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D8" w:rsidRDefault="004872D8" w:rsidP="009D1022">
      <w:pPr>
        <w:spacing w:after="0" w:line="240" w:lineRule="auto"/>
        <w:ind w:right="-709"/>
        <w:jc w:val="center"/>
        <w:rPr>
          <w:rFonts w:ascii="Verdana" w:hAnsi="Verdana"/>
          <w:b/>
          <w:sz w:val="20"/>
          <w:szCs w:val="20"/>
          <w:lang w:val="es-CR"/>
        </w:rPr>
      </w:pPr>
      <w:bookmarkStart w:id="0" w:name="_GoBack"/>
      <w:bookmarkEnd w:id="0"/>
    </w:p>
    <w:p w:rsidR="004872D8" w:rsidRDefault="004872D8" w:rsidP="009D1022">
      <w:pPr>
        <w:spacing w:after="0" w:line="240" w:lineRule="auto"/>
        <w:ind w:right="-709"/>
        <w:jc w:val="center"/>
        <w:rPr>
          <w:rFonts w:ascii="Verdana" w:hAnsi="Verdana"/>
          <w:b/>
          <w:sz w:val="20"/>
          <w:szCs w:val="20"/>
          <w:lang w:val="es-CR"/>
        </w:rPr>
      </w:pPr>
    </w:p>
    <w:p w:rsidR="004872D8" w:rsidRDefault="004872D8" w:rsidP="009D1022">
      <w:pPr>
        <w:spacing w:after="0" w:line="240" w:lineRule="auto"/>
        <w:ind w:right="-709"/>
        <w:jc w:val="center"/>
        <w:rPr>
          <w:rFonts w:ascii="Verdana" w:hAnsi="Verdana"/>
          <w:b/>
          <w:sz w:val="20"/>
          <w:szCs w:val="20"/>
          <w:lang w:val="es-CR"/>
        </w:rPr>
      </w:pPr>
    </w:p>
    <w:p w:rsidR="004872D8" w:rsidRDefault="004872D8" w:rsidP="009D1022">
      <w:pPr>
        <w:spacing w:after="0" w:line="240" w:lineRule="auto"/>
        <w:ind w:right="-709"/>
        <w:jc w:val="center"/>
        <w:rPr>
          <w:rFonts w:ascii="Verdana" w:hAnsi="Verdana"/>
          <w:b/>
          <w:sz w:val="20"/>
          <w:szCs w:val="20"/>
          <w:lang w:val="es-CR"/>
        </w:rPr>
      </w:pPr>
    </w:p>
    <w:p w:rsidR="005F21CB" w:rsidRDefault="005F21CB" w:rsidP="009D1022">
      <w:pPr>
        <w:spacing w:after="0" w:line="240" w:lineRule="auto"/>
        <w:ind w:right="-709"/>
        <w:jc w:val="center"/>
        <w:rPr>
          <w:rFonts w:ascii="Verdana" w:hAnsi="Verdana"/>
          <w:b/>
          <w:sz w:val="20"/>
          <w:szCs w:val="20"/>
          <w:lang w:val="es-CR"/>
        </w:rPr>
      </w:pPr>
    </w:p>
    <w:p w:rsidR="004872D8" w:rsidRDefault="004872D8" w:rsidP="009D1022">
      <w:pPr>
        <w:spacing w:after="0" w:line="240" w:lineRule="auto"/>
        <w:ind w:right="-709"/>
        <w:jc w:val="center"/>
        <w:rPr>
          <w:rFonts w:ascii="Verdana" w:hAnsi="Verdana"/>
          <w:b/>
          <w:sz w:val="20"/>
          <w:szCs w:val="20"/>
          <w:lang w:val="es-CR"/>
        </w:rPr>
      </w:pPr>
    </w:p>
    <w:p w:rsidR="004872D8" w:rsidRDefault="004872D8" w:rsidP="009D1022">
      <w:pPr>
        <w:spacing w:after="0" w:line="240" w:lineRule="auto"/>
        <w:ind w:right="-709"/>
        <w:jc w:val="center"/>
        <w:rPr>
          <w:rFonts w:ascii="Verdana" w:hAnsi="Verdana"/>
          <w:b/>
          <w:sz w:val="20"/>
          <w:szCs w:val="20"/>
          <w:lang w:val="es-CR"/>
        </w:rPr>
      </w:pPr>
    </w:p>
    <w:p w:rsidR="004872D8" w:rsidRDefault="004872D8" w:rsidP="009D1022">
      <w:pPr>
        <w:spacing w:after="0" w:line="240" w:lineRule="auto"/>
        <w:ind w:right="-709"/>
        <w:jc w:val="center"/>
        <w:rPr>
          <w:rFonts w:ascii="Verdana" w:hAnsi="Verdana"/>
          <w:b/>
          <w:sz w:val="20"/>
          <w:szCs w:val="20"/>
          <w:lang w:val="es-CR"/>
        </w:rPr>
      </w:pPr>
    </w:p>
    <w:p w:rsidR="008D790F" w:rsidRDefault="008D790F" w:rsidP="009D1022">
      <w:pPr>
        <w:spacing w:after="0" w:line="240" w:lineRule="auto"/>
        <w:ind w:right="-709"/>
        <w:jc w:val="center"/>
        <w:rPr>
          <w:rFonts w:ascii="Verdana" w:hAnsi="Verdana"/>
          <w:b/>
          <w:sz w:val="20"/>
          <w:szCs w:val="20"/>
          <w:lang w:val="es-CR"/>
        </w:rPr>
      </w:pPr>
    </w:p>
    <w:p w:rsidR="00A047E2" w:rsidRPr="007164BB" w:rsidRDefault="00A047E2" w:rsidP="009D1022">
      <w:pPr>
        <w:spacing w:after="0" w:line="240" w:lineRule="auto"/>
        <w:ind w:right="-709"/>
        <w:jc w:val="center"/>
        <w:rPr>
          <w:rFonts w:ascii="Verdana" w:hAnsi="Verdana"/>
          <w:b/>
          <w:sz w:val="20"/>
          <w:szCs w:val="20"/>
          <w:lang w:val="es-CR"/>
        </w:rPr>
      </w:pPr>
      <w:r w:rsidRPr="007164BB">
        <w:rPr>
          <w:rFonts w:ascii="Verdana" w:hAnsi="Verdana"/>
          <w:b/>
          <w:sz w:val="20"/>
          <w:szCs w:val="20"/>
          <w:lang w:val="es-CR"/>
        </w:rPr>
        <w:t>RESOLUCIÓN DE LA</w:t>
      </w:r>
    </w:p>
    <w:p w:rsidR="00A047E2" w:rsidRPr="007164BB" w:rsidRDefault="00A047E2" w:rsidP="009D1022">
      <w:pPr>
        <w:spacing w:after="0" w:line="240" w:lineRule="auto"/>
        <w:ind w:right="-709"/>
        <w:jc w:val="center"/>
        <w:rPr>
          <w:rFonts w:ascii="Verdana" w:hAnsi="Verdana"/>
          <w:b/>
          <w:sz w:val="20"/>
          <w:szCs w:val="20"/>
          <w:lang w:val="es-CR"/>
        </w:rPr>
      </w:pPr>
      <w:r w:rsidRPr="007164BB">
        <w:rPr>
          <w:rFonts w:ascii="Verdana" w:hAnsi="Verdana"/>
          <w:b/>
          <w:sz w:val="20"/>
          <w:szCs w:val="20"/>
          <w:lang w:val="es-CR"/>
        </w:rPr>
        <w:t>CORTE INTERAMERICANA DE DERECHOS HUMANOS</w:t>
      </w:r>
      <w:r w:rsidRPr="007164BB">
        <w:rPr>
          <w:rStyle w:val="FootnoteReference"/>
          <w:rFonts w:ascii="Verdana" w:hAnsi="Verdana"/>
          <w:b/>
          <w:smallCaps/>
          <w:sz w:val="20"/>
          <w:szCs w:val="20"/>
        </w:rPr>
        <w:footnoteReference w:customMarkFollows="1" w:id="1"/>
        <w:sym w:font="Symbol" w:char="F02A"/>
      </w:r>
    </w:p>
    <w:p w:rsidR="00A047E2" w:rsidRPr="007164BB" w:rsidRDefault="00A047E2" w:rsidP="009D1022">
      <w:pPr>
        <w:spacing w:after="0" w:line="240" w:lineRule="auto"/>
        <w:ind w:right="-709"/>
        <w:jc w:val="center"/>
        <w:rPr>
          <w:rFonts w:ascii="Verdana" w:hAnsi="Verdana"/>
          <w:b/>
          <w:sz w:val="20"/>
          <w:szCs w:val="20"/>
          <w:lang w:val="es-CR"/>
        </w:rPr>
      </w:pPr>
    </w:p>
    <w:p w:rsidR="00A047E2" w:rsidRPr="007164BB" w:rsidRDefault="00130BA7" w:rsidP="009D1022">
      <w:pPr>
        <w:spacing w:after="0" w:line="240" w:lineRule="auto"/>
        <w:ind w:right="-709"/>
        <w:jc w:val="center"/>
        <w:rPr>
          <w:rFonts w:ascii="Verdana" w:hAnsi="Verdana"/>
          <w:b/>
          <w:sz w:val="20"/>
          <w:szCs w:val="20"/>
          <w:lang w:val="es-CR"/>
        </w:rPr>
      </w:pPr>
      <w:r>
        <w:rPr>
          <w:rFonts w:ascii="Verdana" w:hAnsi="Verdana"/>
          <w:b/>
          <w:sz w:val="20"/>
          <w:szCs w:val="20"/>
          <w:lang w:val="es-CR"/>
        </w:rPr>
        <w:t xml:space="preserve">DE </w:t>
      </w:r>
      <w:r w:rsidR="00701D92">
        <w:rPr>
          <w:rFonts w:ascii="Verdana" w:hAnsi="Verdana"/>
          <w:b/>
          <w:sz w:val="20"/>
          <w:szCs w:val="20"/>
          <w:lang w:val="es-CR"/>
        </w:rPr>
        <w:t>30</w:t>
      </w:r>
      <w:r>
        <w:rPr>
          <w:rFonts w:ascii="Verdana" w:hAnsi="Verdana"/>
          <w:b/>
          <w:sz w:val="20"/>
          <w:szCs w:val="20"/>
          <w:lang w:val="es-CR"/>
        </w:rPr>
        <w:t xml:space="preserve"> DE AGOSTO</w:t>
      </w:r>
      <w:r w:rsidR="00A047E2" w:rsidRPr="007164BB">
        <w:rPr>
          <w:rFonts w:ascii="Verdana" w:hAnsi="Verdana"/>
          <w:b/>
          <w:sz w:val="20"/>
          <w:szCs w:val="20"/>
          <w:lang w:val="es-CR"/>
        </w:rPr>
        <w:t xml:space="preserve"> DE 2017</w:t>
      </w:r>
    </w:p>
    <w:p w:rsidR="00A047E2" w:rsidRPr="007164BB" w:rsidRDefault="00A047E2" w:rsidP="009D1022">
      <w:pPr>
        <w:spacing w:after="0" w:line="240" w:lineRule="auto"/>
        <w:ind w:right="-709"/>
        <w:jc w:val="center"/>
        <w:rPr>
          <w:rFonts w:ascii="Verdana" w:hAnsi="Verdana"/>
          <w:b/>
          <w:sz w:val="20"/>
          <w:szCs w:val="20"/>
          <w:lang w:val="es-CR"/>
        </w:rPr>
      </w:pPr>
    </w:p>
    <w:p w:rsidR="00A047E2" w:rsidRPr="007164BB" w:rsidRDefault="00A047E2" w:rsidP="009D1022">
      <w:pPr>
        <w:spacing w:after="0" w:line="240" w:lineRule="auto"/>
        <w:ind w:right="-709"/>
        <w:jc w:val="center"/>
        <w:rPr>
          <w:rFonts w:ascii="Verdana" w:hAnsi="Verdana"/>
          <w:b/>
          <w:sz w:val="20"/>
          <w:szCs w:val="20"/>
          <w:lang w:val="es-CR"/>
        </w:rPr>
      </w:pPr>
      <w:r w:rsidRPr="007164BB">
        <w:rPr>
          <w:rFonts w:ascii="Verdana" w:hAnsi="Verdana"/>
          <w:b/>
          <w:i/>
          <w:sz w:val="20"/>
          <w:szCs w:val="20"/>
          <w:lang w:val="es-CR"/>
        </w:rPr>
        <w:t xml:space="preserve">CASO </w:t>
      </w:r>
      <w:r w:rsidR="00172C09">
        <w:rPr>
          <w:rFonts w:ascii="Verdana" w:hAnsi="Verdana"/>
          <w:b/>
          <w:i/>
          <w:sz w:val="20"/>
          <w:szCs w:val="20"/>
          <w:lang w:val="es-CR"/>
        </w:rPr>
        <w:t xml:space="preserve">OMAR HUMBERTO </w:t>
      </w:r>
      <w:r w:rsidRPr="007164BB">
        <w:rPr>
          <w:rFonts w:ascii="Verdana" w:hAnsi="Verdana"/>
          <w:b/>
          <w:i/>
          <w:sz w:val="20"/>
          <w:szCs w:val="20"/>
          <w:lang w:val="es-CR"/>
        </w:rPr>
        <w:t>MALDONADO VARGAS Y OTROS VS. CHILE</w:t>
      </w:r>
      <w:r w:rsidR="00172C09">
        <w:rPr>
          <w:rFonts w:ascii="Verdana" w:hAnsi="Verdana"/>
          <w:b/>
          <w:i/>
          <w:color w:val="00B050"/>
          <w:sz w:val="20"/>
          <w:szCs w:val="20"/>
          <w:lang w:val="es-CR"/>
        </w:rPr>
        <w:t xml:space="preserve"> </w:t>
      </w:r>
    </w:p>
    <w:p w:rsidR="0063544C" w:rsidRDefault="0063544C" w:rsidP="009D1022">
      <w:pPr>
        <w:spacing w:after="0" w:line="240" w:lineRule="auto"/>
        <w:ind w:right="-709"/>
        <w:jc w:val="center"/>
        <w:rPr>
          <w:rFonts w:ascii="Verdana" w:hAnsi="Verdana"/>
          <w:b/>
          <w:sz w:val="20"/>
          <w:szCs w:val="20"/>
          <w:lang w:val="es-CR"/>
        </w:rPr>
      </w:pPr>
    </w:p>
    <w:p w:rsidR="00A047E2" w:rsidRPr="007164BB" w:rsidRDefault="00A047E2" w:rsidP="009D1022">
      <w:pPr>
        <w:spacing w:after="0" w:line="240" w:lineRule="auto"/>
        <w:ind w:right="-709"/>
        <w:jc w:val="center"/>
        <w:rPr>
          <w:rFonts w:ascii="Verdana" w:hAnsi="Verdana"/>
          <w:sz w:val="20"/>
          <w:szCs w:val="20"/>
          <w:lang w:val="es-CR" w:eastAsia="es-CR"/>
        </w:rPr>
      </w:pPr>
      <w:r w:rsidRPr="007164BB">
        <w:rPr>
          <w:rFonts w:ascii="Verdana" w:hAnsi="Verdana"/>
          <w:b/>
          <w:sz w:val="20"/>
          <w:szCs w:val="20"/>
          <w:lang w:val="es-CR"/>
        </w:rPr>
        <w:t>SUPERVISIÓN DE CUMPLIMIENTO DE SENTENCIA</w:t>
      </w:r>
    </w:p>
    <w:p w:rsidR="00A047E2" w:rsidRPr="007164BB" w:rsidRDefault="00A047E2" w:rsidP="009D1022">
      <w:pPr>
        <w:tabs>
          <w:tab w:val="left" w:pos="851"/>
        </w:tabs>
        <w:spacing w:before="120" w:after="120" w:line="240" w:lineRule="auto"/>
        <w:ind w:right="-709"/>
        <w:jc w:val="both"/>
        <w:rPr>
          <w:rFonts w:ascii="Verdana" w:hAnsi="Verdana"/>
          <w:b/>
          <w:color w:val="000000"/>
          <w:sz w:val="20"/>
          <w:szCs w:val="20"/>
          <w:lang w:val="es-CR"/>
        </w:rPr>
      </w:pPr>
    </w:p>
    <w:p w:rsidR="00A047E2" w:rsidRPr="001B53C4" w:rsidRDefault="00A047E2" w:rsidP="009D1022">
      <w:pPr>
        <w:spacing w:before="120" w:after="120" w:line="240" w:lineRule="auto"/>
        <w:ind w:right="-709"/>
        <w:jc w:val="both"/>
        <w:rPr>
          <w:rFonts w:ascii="Verdana" w:hAnsi="Verdana"/>
          <w:b/>
          <w:sz w:val="20"/>
          <w:szCs w:val="20"/>
          <w:lang w:val="es-CR"/>
        </w:rPr>
      </w:pPr>
      <w:r w:rsidRPr="007164BB">
        <w:rPr>
          <w:rFonts w:ascii="Verdana" w:hAnsi="Verdana"/>
          <w:b/>
          <w:color w:val="000000"/>
          <w:sz w:val="20"/>
          <w:szCs w:val="20"/>
          <w:lang w:val="es-CR"/>
        </w:rPr>
        <w:t>VISTO:</w:t>
      </w:r>
    </w:p>
    <w:p w:rsidR="00A047E2" w:rsidRPr="00E5115B" w:rsidRDefault="00A047E2" w:rsidP="009D1022">
      <w:pPr>
        <w:pStyle w:val="ListParagraph"/>
        <w:numPr>
          <w:ilvl w:val="0"/>
          <w:numId w:val="1"/>
        </w:numPr>
        <w:tabs>
          <w:tab w:val="left" w:pos="709"/>
        </w:tabs>
        <w:spacing w:before="120" w:after="120" w:line="240" w:lineRule="auto"/>
        <w:ind w:left="0" w:right="-709" w:firstLine="0"/>
        <w:contextualSpacing w:val="0"/>
        <w:jc w:val="both"/>
        <w:rPr>
          <w:rFonts w:ascii="Verdana" w:hAnsi="Verdana"/>
          <w:color w:val="FF0000"/>
          <w:sz w:val="20"/>
          <w:szCs w:val="20"/>
        </w:rPr>
      </w:pPr>
      <w:r w:rsidRPr="001B53C4">
        <w:rPr>
          <w:rFonts w:ascii="Verdana" w:hAnsi="Verdana"/>
          <w:sz w:val="20"/>
          <w:szCs w:val="20"/>
        </w:rPr>
        <w:t>La Sentencia de fondo, reparaciones y costas (en adelante “la Sentencia”) dictada por la Corte Interamericana de Derechos Humanos (en adelante “la Corte Interamericana”, “la Corte” o “el Tribunal”) el 2 de septiembre de 2015</w:t>
      </w:r>
      <w:r w:rsidRPr="001B53C4">
        <w:rPr>
          <w:rStyle w:val="FootnoteReference"/>
          <w:rFonts w:ascii="Verdana" w:hAnsi="Verdana"/>
          <w:sz w:val="20"/>
          <w:szCs w:val="20"/>
        </w:rPr>
        <w:footnoteReference w:id="2"/>
      </w:r>
      <w:r w:rsidRPr="001B53C4">
        <w:rPr>
          <w:rFonts w:ascii="Verdana" w:hAnsi="Verdana"/>
          <w:sz w:val="20"/>
          <w:szCs w:val="20"/>
        </w:rPr>
        <w:t>. La Corte declaró la responsabilidad interna</w:t>
      </w:r>
      <w:r w:rsidR="0043730A" w:rsidRPr="001B53C4">
        <w:rPr>
          <w:rFonts w:ascii="Verdana" w:hAnsi="Verdana"/>
          <w:sz w:val="20"/>
          <w:szCs w:val="20"/>
        </w:rPr>
        <w:t>cional de</w:t>
      </w:r>
      <w:r w:rsidR="004872D8">
        <w:rPr>
          <w:rFonts w:ascii="Verdana" w:hAnsi="Verdana"/>
          <w:sz w:val="20"/>
          <w:szCs w:val="20"/>
        </w:rPr>
        <w:t xml:space="preserve"> la República de</w:t>
      </w:r>
      <w:r w:rsidR="0043730A" w:rsidRPr="001B53C4">
        <w:rPr>
          <w:rFonts w:ascii="Verdana" w:hAnsi="Verdana"/>
          <w:sz w:val="20"/>
          <w:szCs w:val="20"/>
        </w:rPr>
        <w:t xml:space="preserve"> Chile</w:t>
      </w:r>
      <w:r w:rsidRPr="001B53C4">
        <w:rPr>
          <w:rFonts w:ascii="Verdana" w:hAnsi="Verdana"/>
          <w:sz w:val="20"/>
          <w:szCs w:val="20"/>
        </w:rPr>
        <w:t xml:space="preserve"> (en adelante “e</w:t>
      </w:r>
      <w:r w:rsidR="0043730A" w:rsidRPr="001B53C4">
        <w:rPr>
          <w:rFonts w:ascii="Verdana" w:hAnsi="Verdana"/>
          <w:sz w:val="20"/>
          <w:szCs w:val="20"/>
        </w:rPr>
        <w:t>l Estado” o “Chile</w:t>
      </w:r>
      <w:r w:rsidRPr="001B53C4">
        <w:rPr>
          <w:rFonts w:ascii="Verdana" w:hAnsi="Verdana"/>
          <w:sz w:val="20"/>
          <w:szCs w:val="20"/>
        </w:rPr>
        <w:t xml:space="preserve">”) </w:t>
      </w:r>
      <w:r w:rsidRPr="001B16DF">
        <w:rPr>
          <w:rFonts w:ascii="Verdana" w:hAnsi="Verdana"/>
          <w:sz w:val="20"/>
          <w:szCs w:val="20"/>
        </w:rPr>
        <w:t xml:space="preserve">por la </w:t>
      </w:r>
      <w:r w:rsidR="00130BA7" w:rsidRPr="001B16DF">
        <w:rPr>
          <w:rFonts w:ascii="Verdana" w:hAnsi="Verdana"/>
          <w:sz w:val="20"/>
          <w:szCs w:val="20"/>
        </w:rPr>
        <w:t>violación del derecho de protección judicial</w:t>
      </w:r>
      <w:r w:rsidR="004872D8">
        <w:rPr>
          <w:rFonts w:ascii="Verdana" w:hAnsi="Verdana"/>
          <w:sz w:val="20"/>
          <w:szCs w:val="20"/>
        </w:rPr>
        <w:t>,</w:t>
      </w:r>
      <w:r w:rsidR="00130BA7" w:rsidRPr="001B16DF">
        <w:rPr>
          <w:rFonts w:ascii="Verdana" w:hAnsi="Verdana"/>
          <w:sz w:val="20"/>
          <w:szCs w:val="20"/>
        </w:rPr>
        <w:t xml:space="preserve"> en perjuicio de las doce víctimas de este caso</w:t>
      </w:r>
      <w:r w:rsidR="00130BA7" w:rsidRPr="001B16DF">
        <w:rPr>
          <w:rStyle w:val="FootnoteReference"/>
          <w:rFonts w:ascii="Verdana" w:hAnsi="Verdana"/>
          <w:sz w:val="20"/>
          <w:szCs w:val="20"/>
        </w:rPr>
        <w:footnoteReference w:id="3"/>
      </w:r>
      <w:r w:rsidR="009876C2">
        <w:rPr>
          <w:rFonts w:ascii="Verdana" w:hAnsi="Verdana"/>
          <w:sz w:val="20"/>
          <w:szCs w:val="20"/>
        </w:rPr>
        <w:t>,</w:t>
      </w:r>
      <w:r w:rsidR="00130BA7" w:rsidRPr="001B16DF">
        <w:rPr>
          <w:rFonts w:ascii="Verdana" w:hAnsi="Verdana"/>
          <w:sz w:val="20"/>
          <w:szCs w:val="20"/>
        </w:rPr>
        <w:t xml:space="preserve"> al no </w:t>
      </w:r>
      <w:r w:rsidR="004872D8">
        <w:rPr>
          <w:rFonts w:ascii="Verdana" w:hAnsi="Verdana"/>
          <w:sz w:val="20"/>
          <w:szCs w:val="20"/>
        </w:rPr>
        <w:t xml:space="preserve"> haberles </w:t>
      </w:r>
      <w:r w:rsidR="003511DD">
        <w:rPr>
          <w:rFonts w:ascii="Verdana" w:hAnsi="Verdana"/>
          <w:sz w:val="20"/>
          <w:szCs w:val="20"/>
        </w:rPr>
        <w:t xml:space="preserve">garantizado </w:t>
      </w:r>
      <w:r w:rsidR="00130BA7" w:rsidRPr="001B16DF">
        <w:rPr>
          <w:rFonts w:ascii="Verdana" w:hAnsi="Verdana"/>
          <w:sz w:val="20"/>
          <w:szCs w:val="20"/>
        </w:rPr>
        <w:t xml:space="preserve">un recurso efectivo para dejar sin efecto </w:t>
      </w:r>
      <w:r w:rsidR="00404BAC">
        <w:rPr>
          <w:rFonts w:ascii="Verdana" w:hAnsi="Verdana"/>
          <w:sz w:val="20"/>
          <w:szCs w:val="20"/>
        </w:rPr>
        <w:t>la</w:t>
      </w:r>
      <w:r w:rsidR="003511DD">
        <w:rPr>
          <w:rFonts w:ascii="Verdana" w:hAnsi="Verdana"/>
          <w:sz w:val="20"/>
          <w:szCs w:val="20"/>
        </w:rPr>
        <w:t>s</w:t>
      </w:r>
      <w:r w:rsidR="00404BAC">
        <w:rPr>
          <w:rFonts w:ascii="Verdana" w:hAnsi="Verdana"/>
          <w:sz w:val="20"/>
          <w:szCs w:val="20"/>
        </w:rPr>
        <w:t xml:space="preserve"> condena</w:t>
      </w:r>
      <w:r w:rsidR="003511DD">
        <w:rPr>
          <w:rFonts w:ascii="Verdana" w:hAnsi="Verdana"/>
          <w:sz w:val="20"/>
          <w:szCs w:val="20"/>
        </w:rPr>
        <w:t>s</w:t>
      </w:r>
      <w:r w:rsidR="00404BAC">
        <w:rPr>
          <w:rFonts w:ascii="Verdana" w:hAnsi="Verdana"/>
          <w:sz w:val="20"/>
          <w:szCs w:val="20"/>
        </w:rPr>
        <w:t xml:space="preserve"> penal</w:t>
      </w:r>
      <w:r w:rsidR="003511DD">
        <w:rPr>
          <w:rFonts w:ascii="Verdana" w:hAnsi="Verdana"/>
          <w:sz w:val="20"/>
          <w:szCs w:val="20"/>
        </w:rPr>
        <w:t>es</w:t>
      </w:r>
      <w:r w:rsidR="00404BAC">
        <w:rPr>
          <w:rFonts w:ascii="Verdana" w:hAnsi="Verdana"/>
          <w:sz w:val="20"/>
          <w:szCs w:val="20"/>
        </w:rPr>
        <w:t xml:space="preserve"> impuesta</w:t>
      </w:r>
      <w:r w:rsidR="003511DD">
        <w:rPr>
          <w:rFonts w:ascii="Verdana" w:hAnsi="Verdana"/>
          <w:sz w:val="20"/>
          <w:szCs w:val="20"/>
        </w:rPr>
        <w:t>s</w:t>
      </w:r>
      <w:r w:rsidR="00404BAC">
        <w:rPr>
          <w:rFonts w:ascii="Verdana" w:hAnsi="Verdana"/>
          <w:sz w:val="20"/>
          <w:szCs w:val="20"/>
        </w:rPr>
        <w:t xml:space="preserve"> </w:t>
      </w:r>
      <w:r w:rsidR="00471D82">
        <w:rPr>
          <w:rFonts w:ascii="Verdana" w:hAnsi="Verdana"/>
          <w:sz w:val="20"/>
          <w:szCs w:val="20"/>
        </w:rPr>
        <w:t>en 1974 y 1975</w:t>
      </w:r>
      <w:r w:rsidR="004872D8">
        <w:rPr>
          <w:rStyle w:val="FootnoteReference"/>
          <w:rFonts w:ascii="Verdana" w:hAnsi="Verdana"/>
          <w:sz w:val="20"/>
          <w:szCs w:val="20"/>
        </w:rPr>
        <w:footnoteReference w:id="4"/>
      </w:r>
      <w:r w:rsidR="00471D82">
        <w:rPr>
          <w:rFonts w:ascii="Verdana" w:hAnsi="Verdana"/>
          <w:sz w:val="20"/>
          <w:szCs w:val="20"/>
        </w:rPr>
        <w:t xml:space="preserve"> </w:t>
      </w:r>
      <w:r w:rsidR="003511DD">
        <w:rPr>
          <w:rFonts w:ascii="Verdana" w:hAnsi="Verdana"/>
          <w:sz w:val="20"/>
          <w:szCs w:val="20"/>
        </w:rPr>
        <w:t xml:space="preserve">en </w:t>
      </w:r>
      <w:r w:rsidR="00130BA7" w:rsidRPr="001B16DF">
        <w:rPr>
          <w:rFonts w:ascii="Verdana" w:hAnsi="Verdana"/>
          <w:sz w:val="20"/>
          <w:szCs w:val="20"/>
        </w:rPr>
        <w:t>un proceso seguido ante Consejos de Guerra</w:t>
      </w:r>
      <w:r w:rsidR="004872D8" w:rsidRPr="001B16DF">
        <w:rPr>
          <w:rStyle w:val="FootnoteReference"/>
          <w:rFonts w:ascii="Verdana" w:hAnsi="Verdana"/>
          <w:sz w:val="20"/>
          <w:szCs w:val="20"/>
        </w:rPr>
        <w:footnoteReference w:id="5"/>
      </w:r>
      <w:r w:rsidR="00130BA7" w:rsidRPr="001B16DF">
        <w:rPr>
          <w:rFonts w:ascii="Verdana" w:hAnsi="Verdana"/>
          <w:sz w:val="20"/>
          <w:szCs w:val="20"/>
        </w:rPr>
        <w:t xml:space="preserve">, durante la dictadura militar en Chile, </w:t>
      </w:r>
      <w:r w:rsidR="003511DD">
        <w:rPr>
          <w:rFonts w:ascii="Verdana" w:hAnsi="Verdana"/>
          <w:sz w:val="20"/>
          <w:szCs w:val="20"/>
        </w:rPr>
        <w:t xml:space="preserve">en </w:t>
      </w:r>
      <w:r w:rsidR="001016F6">
        <w:rPr>
          <w:rFonts w:ascii="Verdana" w:hAnsi="Verdana"/>
          <w:sz w:val="20"/>
          <w:szCs w:val="20"/>
        </w:rPr>
        <w:t xml:space="preserve">el </w:t>
      </w:r>
      <w:r w:rsidR="00621E76" w:rsidRPr="001B16DF">
        <w:rPr>
          <w:rFonts w:ascii="Verdana" w:hAnsi="Verdana"/>
          <w:sz w:val="20"/>
          <w:szCs w:val="20"/>
        </w:rPr>
        <w:t>cual</w:t>
      </w:r>
      <w:r w:rsidR="00130BA7" w:rsidRPr="001B16DF">
        <w:rPr>
          <w:rFonts w:ascii="Verdana" w:hAnsi="Verdana"/>
          <w:sz w:val="20"/>
          <w:szCs w:val="20"/>
        </w:rPr>
        <w:t xml:space="preserve"> </w:t>
      </w:r>
      <w:r w:rsidR="003511DD">
        <w:rPr>
          <w:rFonts w:ascii="Verdana" w:hAnsi="Verdana"/>
          <w:sz w:val="20"/>
          <w:szCs w:val="20"/>
        </w:rPr>
        <w:t xml:space="preserve">se </w:t>
      </w:r>
      <w:r w:rsidR="00130BA7" w:rsidRPr="001B16DF">
        <w:rPr>
          <w:rFonts w:ascii="Verdana" w:hAnsi="Verdana"/>
          <w:sz w:val="20"/>
          <w:szCs w:val="20"/>
        </w:rPr>
        <w:t>tomó en cuenta pruebas y confesiones obtenidas bajo tortura</w:t>
      </w:r>
      <w:r w:rsidR="004872D8">
        <w:rPr>
          <w:rFonts w:ascii="Verdana" w:hAnsi="Verdana"/>
          <w:sz w:val="20"/>
          <w:szCs w:val="20"/>
        </w:rPr>
        <w:t xml:space="preserve"> durante su detención</w:t>
      </w:r>
      <w:r w:rsidR="00621E76" w:rsidRPr="001B16DF">
        <w:rPr>
          <w:rStyle w:val="FootnoteReference"/>
          <w:rFonts w:ascii="Verdana" w:hAnsi="Verdana"/>
          <w:sz w:val="20"/>
          <w:szCs w:val="20"/>
        </w:rPr>
        <w:footnoteReference w:id="6"/>
      </w:r>
      <w:r w:rsidR="00130BA7" w:rsidRPr="001B16DF">
        <w:rPr>
          <w:rFonts w:ascii="Verdana" w:hAnsi="Verdana"/>
          <w:sz w:val="20"/>
          <w:szCs w:val="20"/>
        </w:rPr>
        <w:t>.</w:t>
      </w:r>
      <w:r w:rsidR="00621E76" w:rsidRPr="001B16DF">
        <w:rPr>
          <w:rFonts w:ascii="Verdana" w:hAnsi="Verdana"/>
          <w:sz w:val="20"/>
          <w:szCs w:val="20"/>
        </w:rPr>
        <w:t xml:space="preserve"> </w:t>
      </w:r>
      <w:r w:rsidR="00E5115B" w:rsidRPr="001B16DF">
        <w:rPr>
          <w:rFonts w:ascii="Verdana" w:hAnsi="Verdana"/>
          <w:sz w:val="20"/>
          <w:szCs w:val="20"/>
        </w:rPr>
        <w:t>Al momento</w:t>
      </w:r>
      <w:r w:rsidR="00621E76" w:rsidRPr="001B16DF">
        <w:rPr>
          <w:rFonts w:ascii="Verdana" w:hAnsi="Verdana"/>
          <w:sz w:val="20"/>
          <w:szCs w:val="20"/>
        </w:rPr>
        <w:t xml:space="preserve"> de su arresto y sometimiento a enjuiciamiento</w:t>
      </w:r>
      <w:r w:rsidR="004872D8">
        <w:rPr>
          <w:rFonts w:ascii="Verdana" w:hAnsi="Verdana"/>
          <w:sz w:val="20"/>
          <w:szCs w:val="20"/>
        </w:rPr>
        <w:t>,</w:t>
      </w:r>
      <w:r w:rsidR="00621E76" w:rsidRPr="001B16DF">
        <w:rPr>
          <w:rFonts w:ascii="Verdana" w:hAnsi="Verdana"/>
          <w:sz w:val="20"/>
          <w:szCs w:val="20"/>
        </w:rPr>
        <w:t xml:space="preserve"> las víctimas eran miembros de la Fuerza </w:t>
      </w:r>
      <w:r w:rsidR="00621E76" w:rsidRPr="001B16DF">
        <w:rPr>
          <w:rFonts w:ascii="Verdana" w:hAnsi="Verdana"/>
          <w:sz w:val="20"/>
          <w:szCs w:val="20"/>
        </w:rPr>
        <w:lastRenderedPageBreak/>
        <w:t>Aérea de Chile y uno de ellos era empleado civil de la misma</w:t>
      </w:r>
      <w:r w:rsidR="003511DD">
        <w:rPr>
          <w:rStyle w:val="FootnoteReference"/>
          <w:rFonts w:ascii="Verdana" w:hAnsi="Verdana"/>
          <w:sz w:val="20"/>
          <w:szCs w:val="20"/>
        </w:rPr>
        <w:footnoteReference w:id="7"/>
      </w:r>
      <w:r w:rsidR="00621E76" w:rsidRPr="001B16DF">
        <w:rPr>
          <w:rFonts w:ascii="Verdana" w:hAnsi="Verdana"/>
          <w:sz w:val="20"/>
          <w:szCs w:val="20"/>
        </w:rPr>
        <w:t>.</w:t>
      </w:r>
      <w:r w:rsidR="00E5115B" w:rsidRPr="001B16DF">
        <w:rPr>
          <w:rFonts w:ascii="Verdana" w:hAnsi="Verdana"/>
          <w:sz w:val="20"/>
          <w:szCs w:val="20"/>
        </w:rPr>
        <w:t xml:space="preserve"> </w:t>
      </w:r>
      <w:r w:rsidR="001527A4">
        <w:rPr>
          <w:rFonts w:ascii="Verdana" w:hAnsi="Verdana"/>
          <w:sz w:val="20"/>
          <w:szCs w:val="20"/>
        </w:rPr>
        <w:t>En septiembre de 2001 la Corte Suprema de</w:t>
      </w:r>
      <w:r w:rsidR="001016F6">
        <w:rPr>
          <w:rFonts w:ascii="Verdana" w:hAnsi="Verdana"/>
          <w:sz w:val="20"/>
          <w:szCs w:val="20"/>
        </w:rPr>
        <w:t xml:space="preserve"> Justicia de</w:t>
      </w:r>
      <w:r w:rsidR="001527A4">
        <w:rPr>
          <w:rFonts w:ascii="Verdana" w:hAnsi="Verdana"/>
          <w:sz w:val="20"/>
          <w:szCs w:val="20"/>
        </w:rPr>
        <w:t xml:space="preserve"> Chile </w:t>
      </w:r>
      <w:r w:rsidR="001016F6">
        <w:rPr>
          <w:rFonts w:ascii="Verdana" w:hAnsi="Verdana"/>
          <w:sz w:val="20"/>
          <w:szCs w:val="20"/>
        </w:rPr>
        <w:t xml:space="preserve">(en adelante “Corte Suprema de Chile” o “Corte Suprema”) </w:t>
      </w:r>
      <w:r w:rsidR="001527A4">
        <w:rPr>
          <w:rFonts w:ascii="Verdana" w:hAnsi="Verdana"/>
          <w:sz w:val="20"/>
          <w:szCs w:val="20"/>
        </w:rPr>
        <w:t xml:space="preserve">rechazó </w:t>
      </w:r>
      <w:r w:rsidR="004872D8">
        <w:rPr>
          <w:rFonts w:ascii="Verdana" w:hAnsi="Verdana"/>
          <w:sz w:val="20"/>
          <w:szCs w:val="20"/>
        </w:rPr>
        <w:t xml:space="preserve">un </w:t>
      </w:r>
      <w:r w:rsidR="001527A4">
        <w:rPr>
          <w:rFonts w:ascii="Verdana" w:hAnsi="Verdana"/>
          <w:sz w:val="20"/>
          <w:szCs w:val="20"/>
        </w:rPr>
        <w:t xml:space="preserve">recurso que interpusieron </w:t>
      </w:r>
      <w:r w:rsidR="004872D8">
        <w:rPr>
          <w:rFonts w:ascii="Verdana" w:hAnsi="Verdana"/>
          <w:sz w:val="20"/>
          <w:szCs w:val="20"/>
        </w:rPr>
        <w:t xml:space="preserve">un grupo de personas, incluyendo las víctimas de este caso, </w:t>
      </w:r>
      <w:r w:rsidR="001527A4">
        <w:rPr>
          <w:rFonts w:ascii="Verdana" w:hAnsi="Verdana"/>
          <w:sz w:val="20"/>
          <w:szCs w:val="20"/>
        </w:rPr>
        <w:t xml:space="preserve">para que fueran revisadas tales condenas. </w:t>
      </w:r>
      <w:r w:rsidR="00E5115B" w:rsidRPr="001B16DF">
        <w:rPr>
          <w:rFonts w:ascii="Verdana" w:hAnsi="Verdana"/>
          <w:sz w:val="20"/>
          <w:szCs w:val="20"/>
        </w:rPr>
        <w:t xml:space="preserve">Asimismo, el Tribunal declaró la responsabilidad del Estado por </w:t>
      </w:r>
      <w:r w:rsidR="004872D8">
        <w:rPr>
          <w:rFonts w:ascii="Verdana" w:hAnsi="Verdana"/>
          <w:sz w:val="20"/>
          <w:szCs w:val="20"/>
        </w:rPr>
        <w:t xml:space="preserve">la violación del derecho a las garantías judiciales debido a </w:t>
      </w:r>
      <w:r w:rsidR="00E5115B" w:rsidRPr="001B16DF">
        <w:rPr>
          <w:rFonts w:ascii="Verdana" w:hAnsi="Verdana"/>
          <w:sz w:val="20"/>
          <w:szCs w:val="20"/>
        </w:rPr>
        <w:t>la excesiva demora en iniciar una investigación respecto a</w:t>
      </w:r>
      <w:r w:rsidR="00B14840">
        <w:rPr>
          <w:rFonts w:ascii="Verdana" w:hAnsi="Verdana"/>
          <w:sz w:val="20"/>
          <w:szCs w:val="20"/>
        </w:rPr>
        <w:t xml:space="preserve"> la denuncia que interpusieron</w:t>
      </w:r>
      <w:r w:rsidR="00E5115B" w:rsidRPr="001B16DF">
        <w:rPr>
          <w:rFonts w:ascii="Verdana" w:hAnsi="Verdana"/>
          <w:sz w:val="20"/>
          <w:szCs w:val="20"/>
        </w:rPr>
        <w:t xml:space="preserve"> </w:t>
      </w:r>
      <w:r w:rsidR="00B14840" w:rsidRPr="001B16DF">
        <w:rPr>
          <w:rFonts w:ascii="Verdana" w:hAnsi="Verdana"/>
          <w:sz w:val="20"/>
          <w:szCs w:val="20"/>
        </w:rPr>
        <w:t>cuatro de las víctimas</w:t>
      </w:r>
      <w:r w:rsidR="00B14840">
        <w:rPr>
          <w:rFonts w:ascii="Verdana" w:hAnsi="Verdana"/>
          <w:sz w:val="20"/>
          <w:szCs w:val="20"/>
        </w:rPr>
        <w:t xml:space="preserve"> por</w:t>
      </w:r>
      <w:r w:rsidR="00B14840" w:rsidRPr="001B16DF">
        <w:rPr>
          <w:rFonts w:ascii="Verdana" w:hAnsi="Verdana"/>
          <w:sz w:val="20"/>
          <w:szCs w:val="20"/>
        </w:rPr>
        <w:t xml:space="preserve"> </w:t>
      </w:r>
      <w:r w:rsidR="00E5115B" w:rsidRPr="001B16DF">
        <w:rPr>
          <w:rFonts w:ascii="Verdana" w:hAnsi="Verdana"/>
          <w:sz w:val="20"/>
          <w:szCs w:val="20"/>
        </w:rPr>
        <w:t>las torturas que sufrieron</w:t>
      </w:r>
      <w:r w:rsidR="00E5115B" w:rsidRPr="001B16DF">
        <w:rPr>
          <w:rStyle w:val="FootnoteReference"/>
          <w:rFonts w:ascii="Verdana" w:hAnsi="Verdana"/>
          <w:sz w:val="20"/>
          <w:szCs w:val="20"/>
        </w:rPr>
        <w:footnoteReference w:id="8"/>
      </w:r>
      <w:r w:rsidR="001527A4">
        <w:rPr>
          <w:rFonts w:ascii="Verdana" w:hAnsi="Verdana"/>
          <w:sz w:val="20"/>
          <w:szCs w:val="20"/>
        </w:rPr>
        <w:t>, la cual inició recién en el año 2013.</w:t>
      </w:r>
      <w:r w:rsidR="00A13493">
        <w:rPr>
          <w:rFonts w:ascii="Verdana" w:hAnsi="Verdana"/>
          <w:sz w:val="20"/>
          <w:szCs w:val="20"/>
        </w:rPr>
        <w:t xml:space="preserve"> </w:t>
      </w:r>
      <w:r w:rsidR="00E5115B" w:rsidRPr="001B16DF">
        <w:rPr>
          <w:rFonts w:ascii="Verdana" w:hAnsi="Verdana"/>
          <w:sz w:val="20"/>
          <w:szCs w:val="20"/>
        </w:rPr>
        <w:t>La Corte</w:t>
      </w:r>
      <w:r w:rsidRPr="001B16DF">
        <w:rPr>
          <w:rFonts w:ascii="Verdana" w:hAnsi="Verdana"/>
          <w:sz w:val="20"/>
          <w:szCs w:val="20"/>
        </w:rPr>
        <w:t xml:space="preserve"> estableció que su Sentencia constituye </w:t>
      </w:r>
      <w:r w:rsidRPr="00E5115B">
        <w:rPr>
          <w:rFonts w:ascii="Verdana" w:hAnsi="Verdana"/>
          <w:sz w:val="20"/>
          <w:szCs w:val="20"/>
        </w:rPr>
        <w:t>por sí misma una forma de reparación y, adicionalmente, ordenó al Estado determinadas medidas de reparación (</w:t>
      </w:r>
      <w:r w:rsidRPr="00E5115B">
        <w:rPr>
          <w:rFonts w:ascii="Verdana" w:hAnsi="Verdana"/>
          <w:i/>
          <w:sz w:val="20"/>
          <w:szCs w:val="20"/>
        </w:rPr>
        <w:t>infra</w:t>
      </w:r>
      <w:r w:rsidRPr="00E5115B">
        <w:rPr>
          <w:rFonts w:ascii="Verdana" w:hAnsi="Verdana"/>
          <w:sz w:val="20"/>
          <w:szCs w:val="20"/>
        </w:rPr>
        <w:t xml:space="preserve"> Considerando 1).</w:t>
      </w:r>
    </w:p>
    <w:p w:rsidR="005D58FB" w:rsidRPr="007164BB" w:rsidRDefault="005D58FB" w:rsidP="009D1022">
      <w:pPr>
        <w:pStyle w:val="ListParagraph"/>
        <w:numPr>
          <w:ilvl w:val="0"/>
          <w:numId w:val="1"/>
        </w:numPr>
        <w:tabs>
          <w:tab w:val="left" w:pos="709"/>
        </w:tabs>
        <w:spacing w:before="120" w:after="120" w:line="240" w:lineRule="auto"/>
        <w:ind w:left="0" w:right="-709" w:firstLine="0"/>
        <w:contextualSpacing w:val="0"/>
        <w:jc w:val="both"/>
        <w:rPr>
          <w:rFonts w:ascii="Verdana" w:hAnsi="Verdana"/>
          <w:sz w:val="20"/>
          <w:szCs w:val="20"/>
        </w:rPr>
      </w:pPr>
      <w:r w:rsidRPr="007164BB">
        <w:rPr>
          <w:rFonts w:ascii="Verdana" w:hAnsi="Verdana"/>
          <w:sz w:val="20"/>
          <w:szCs w:val="20"/>
        </w:rPr>
        <w:t xml:space="preserve">El informe presentado por el </w:t>
      </w:r>
      <w:r w:rsidR="00B86D77" w:rsidRPr="007164BB">
        <w:rPr>
          <w:rFonts w:ascii="Verdana" w:hAnsi="Verdana"/>
          <w:sz w:val="20"/>
          <w:szCs w:val="20"/>
        </w:rPr>
        <w:t>Estado el 12 de octubre de 2016</w:t>
      </w:r>
      <w:r w:rsidR="00E5115B">
        <w:rPr>
          <w:rFonts w:ascii="Verdana" w:hAnsi="Verdana"/>
          <w:sz w:val="20"/>
          <w:szCs w:val="20"/>
        </w:rPr>
        <w:t>.</w:t>
      </w:r>
    </w:p>
    <w:p w:rsidR="005D58FB" w:rsidRPr="007164BB" w:rsidRDefault="005D58FB" w:rsidP="009D1022">
      <w:pPr>
        <w:pStyle w:val="ListParagraph"/>
        <w:numPr>
          <w:ilvl w:val="0"/>
          <w:numId w:val="1"/>
        </w:numPr>
        <w:spacing w:before="120" w:after="120" w:line="240" w:lineRule="auto"/>
        <w:ind w:left="0" w:right="-709" w:firstLine="0"/>
        <w:contextualSpacing w:val="0"/>
        <w:jc w:val="both"/>
        <w:rPr>
          <w:rFonts w:ascii="Verdana" w:hAnsi="Verdana"/>
          <w:sz w:val="20"/>
          <w:szCs w:val="20"/>
        </w:rPr>
      </w:pPr>
      <w:r w:rsidRPr="007164BB">
        <w:rPr>
          <w:rFonts w:ascii="Verdana" w:hAnsi="Verdana"/>
          <w:sz w:val="20"/>
          <w:szCs w:val="20"/>
        </w:rPr>
        <w:t xml:space="preserve">El escrito de observaciones presentado por el </w:t>
      </w:r>
      <w:r w:rsidRPr="00671123">
        <w:rPr>
          <w:rFonts w:ascii="Verdana" w:hAnsi="Verdana"/>
          <w:sz w:val="20"/>
          <w:szCs w:val="20"/>
        </w:rPr>
        <w:t>representante de las víctimas</w:t>
      </w:r>
      <w:r w:rsidR="00DC4C4A" w:rsidRPr="00671123">
        <w:rPr>
          <w:rFonts w:ascii="Verdana" w:hAnsi="Verdana"/>
          <w:sz w:val="20"/>
          <w:szCs w:val="20"/>
        </w:rPr>
        <w:t xml:space="preserve"> en adelante “el </w:t>
      </w:r>
      <w:r w:rsidR="00DC4C4A" w:rsidRPr="00671123">
        <w:rPr>
          <w:rFonts w:ascii="Verdana" w:hAnsi="Verdana"/>
          <w:color w:val="000000" w:themeColor="text1"/>
          <w:sz w:val="20"/>
          <w:szCs w:val="20"/>
        </w:rPr>
        <w:t>representante</w:t>
      </w:r>
      <w:r w:rsidR="00DC4C4A" w:rsidRPr="00671123">
        <w:rPr>
          <w:rStyle w:val="Hyperlink"/>
          <w:rFonts w:ascii="Verdana" w:hAnsi="Verdana"/>
          <w:color w:val="000000" w:themeColor="text1"/>
          <w:sz w:val="20"/>
          <w:szCs w:val="20"/>
          <w:u w:val="none"/>
        </w:rPr>
        <w:t>”)</w:t>
      </w:r>
      <w:r w:rsidRPr="00671123">
        <w:rPr>
          <w:rStyle w:val="FootnoteReference"/>
          <w:rFonts w:ascii="Verdana" w:hAnsi="Verdana"/>
          <w:color w:val="000000" w:themeColor="text1"/>
          <w:sz w:val="20"/>
          <w:szCs w:val="20"/>
        </w:rPr>
        <w:footnoteReference w:id="9"/>
      </w:r>
      <w:r w:rsidRPr="00671123">
        <w:rPr>
          <w:rFonts w:ascii="Verdana" w:hAnsi="Verdana"/>
          <w:color w:val="000000" w:themeColor="text1"/>
          <w:sz w:val="20"/>
          <w:szCs w:val="20"/>
        </w:rPr>
        <w:t xml:space="preserve"> </w:t>
      </w:r>
      <w:r w:rsidRPr="00671123">
        <w:rPr>
          <w:rFonts w:ascii="Verdana" w:hAnsi="Verdana"/>
          <w:sz w:val="20"/>
          <w:szCs w:val="20"/>
        </w:rPr>
        <w:t>el 8 de marzo de 2017.</w:t>
      </w:r>
    </w:p>
    <w:p w:rsidR="002C3506" w:rsidRPr="007164BB" w:rsidRDefault="002C3506" w:rsidP="009D1022">
      <w:pPr>
        <w:spacing w:before="120" w:after="120" w:line="240" w:lineRule="auto"/>
        <w:ind w:right="-709"/>
        <w:jc w:val="both"/>
        <w:rPr>
          <w:rFonts w:ascii="Verdana" w:hAnsi="Verdana"/>
          <w:sz w:val="20"/>
          <w:szCs w:val="20"/>
        </w:rPr>
      </w:pPr>
    </w:p>
    <w:p w:rsidR="00455543" w:rsidRDefault="00455543" w:rsidP="009D1022">
      <w:pPr>
        <w:pStyle w:val="ListParagraph"/>
        <w:spacing w:before="120" w:after="120" w:line="240" w:lineRule="auto"/>
        <w:ind w:left="0" w:right="-709"/>
        <w:contextualSpacing w:val="0"/>
        <w:jc w:val="both"/>
        <w:rPr>
          <w:rFonts w:ascii="Verdana" w:hAnsi="Verdana"/>
          <w:b/>
          <w:sz w:val="20"/>
          <w:szCs w:val="20"/>
        </w:rPr>
      </w:pPr>
      <w:r w:rsidRPr="007164BB">
        <w:rPr>
          <w:rFonts w:ascii="Verdana" w:hAnsi="Verdana"/>
          <w:b/>
          <w:sz w:val="20"/>
          <w:szCs w:val="20"/>
        </w:rPr>
        <w:t>CONSIDERANDO QUE:</w:t>
      </w:r>
    </w:p>
    <w:p w:rsidR="00455543" w:rsidRPr="00F85D3E" w:rsidRDefault="00455543" w:rsidP="009D1022">
      <w:pPr>
        <w:pStyle w:val="ListParagraph"/>
        <w:numPr>
          <w:ilvl w:val="0"/>
          <w:numId w:val="2"/>
        </w:numPr>
        <w:tabs>
          <w:tab w:val="left" w:pos="0"/>
          <w:tab w:val="left" w:pos="709"/>
        </w:tabs>
        <w:spacing w:before="120" w:after="120" w:line="240" w:lineRule="auto"/>
        <w:ind w:left="0" w:right="-709" w:firstLine="0"/>
        <w:contextualSpacing w:val="0"/>
        <w:jc w:val="both"/>
        <w:rPr>
          <w:rFonts w:ascii="Verdana" w:hAnsi="Verdana"/>
          <w:sz w:val="20"/>
          <w:szCs w:val="20"/>
        </w:rPr>
      </w:pPr>
      <w:r w:rsidRPr="007164BB">
        <w:rPr>
          <w:rFonts w:ascii="Verdana" w:hAnsi="Verdana"/>
          <w:sz w:val="20"/>
          <w:szCs w:val="20"/>
        </w:rPr>
        <w:t>En el ejercicio de su función jurisdiccional de supervisar el cumplimiento de sus decisiones</w:t>
      </w:r>
      <w:r w:rsidRPr="007164BB">
        <w:rPr>
          <w:rStyle w:val="FootnoteReference"/>
          <w:rFonts w:ascii="Verdana" w:hAnsi="Verdana"/>
          <w:sz w:val="20"/>
          <w:szCs w:val="20"/>
        </w:rPr>
        <w:footnoteReference w:id="10"/>
      </w:r>
      <w:r w:rsidRPr="007164BB">
        <w:rPr>
          <w:rFonts w:ascii="Verdana" w:hAnsi="Verdana"/>
          <w:sz w:val="20"/>
          <w:szCs w:val="20"/>
        </w:rPr>
        <w:t xml:space="preserve">, la Corte ha venido supervisando la ejecución de la Sentencia emitida en el </w:t>
      </w:r>
      <w:r w:rsidR="00C41125" w:rsidRPr="007164BB">
        <w:rPr>
          <w:rFonts w:ascii="Verdana" w:hAnsi="Verdana"/>
          <w:sz w:val="20"/>
          <w:szCs w:val="20"/>
        </w:rPr>
        <w:t>presente caso en el año 2015</w:t>
      </w:r>
      <w:r w:rsidRPr="007164BB">
        <w:rPr>
          <w:rFonts w:ascii="Verdana" w:hAnsi="Verdana"/>
          <w:sz w:val="20"/>
          <w:szCs w:val="20"/>
        </w:rPr>
        <w:t xml:space="preserve"> (</w:t>
      </w:r>
      <w:r w:rsidRPr="007164BB">
        <w:rPr>
          <w:rFonts w:ascii="Verdana" w:hAnsi="Verdana"/>
          <w:i/>
          <w:sz w:val="20"/>
          <w:szCs w:val="20"/>
        </w:rPr>
        <w:t>supra</w:t>
      </w:r>
      <w:r w:rsidRPr="007164BB">
        <w:rPr>
          <w:rFonts w:ascii="Verdana" w:hAnsi="Verdana"/>
          <w:sz w:val="20"/>
          <w:szCs w:val="20"/>
        </w:rPr>
        <w:t xml:space="preserve"> Visto 1). En la Sentencia, el Tribunal dispuso las siguientes medidas de reparación: </w:t>
      </w:r>
      <w:r w:rsidR="00B14840" w:rsidRPr="006D56FF">
        <w:rPr>
          <w:rFonts w:ascii="Verdana" w:hAnsi="Verdana"/>
          <w:sz w:val="20"/>
          <w:szCs w:val="20"/>
        </w:rPr>
        <w:t>i</w:t>
      </w:r>
      <w:r w:rsidRPr="006D56FF">
        <w:rPr>
          <w:rFonts w:ascii="Verdana" w:hAnsi="Verdana"/>
          <w:sz w:val="20"/>
          <w:szCs w:val="20"/>
        </w:rPr>
        <w:t xml:space="preserve">) </w:t>
      </w:r>
      <w:r w:rsidR="00C41125" w:rsidRPr="006D56FF">
        <w:rPr>
          <w:rFonts w:ascii="Verdana" w:hAnsi="Verdana"/>
          <w:sz w:val="20"/>
          <w:szCs w:val="20"/>
        </w:rPr>
        <w:t>continuar y concluir</w:t>
      </w:r>
      <w:r w:rsidR="007E5D3F" w:rsidRPr="006D56FF">
        <w:rPr>
          <w:rFonts w:ascii="Verdana" w:hAnsi="Verdana"/>
          <w:sz w:val="20"/>
          <w:szCs w:val="20"/>
        </w:rPr>
        <w:t xml:space="preserve"> </w:t>
      </w:r>
      <w:r w:rsidR="00C41125" w:rsidRPr="006D56FF">
        <w:rPr>
          <w:rFonts w:ascii="Verdana" w:hAnsi="Verdana"/>
          <w:sz w:val="20"/>
          <w:szCs w:val="20"/>
        </w:rPr>
        <w:t xml:space="preserve">la investigación de los </w:t>
      </w:r>
      <w:r w:rsidR="007041DB" w:rsidRPr="006D56FF">
        <w:rPr>
          <w:rFonts w:ascii="Verdana" w:hAnsi="Verdana"/>
          <w:sz w:val="20"/>
          <w:szCs w:val="20"/>
        </w:rPr>
        <w:t xml:space="preserve">hechos del </w:t>
      </w:r>
      <w:r w:rsidR="00676496" w:rsidRPr="006D56FF">
        <w:rPr>
          <w:rFonts w:ascii="Verdana" w:hAnsi="Verdana"/>
          <w:sz w:val="20"/>
          <w:szCs w:val="20"/>
        </w:rPr>
        <w:t xml:space="preserve">presente </w:t>
      </w:r>
      <w:r w:rsidR="00C41125" w:rsidRPr="006D56FF">
        <w:rPr>
          <w:rFonts w:ascii="Verdana" w:hAnsi="Verdana"/>
          <w:sz w:val="20"/>
          <w:szCs w:val="20"/>
        </w:rPr>
        <w:t>caso</w:t>
      </w:r>
      <w:r w:rsidRPr="006D56FF">
        <w:rPr>
          <w:rFonts w:ascii="Verdana" w:eastAsia="Times New Roman" w:hAnsi="Verdana"/>
          <w:sz w:val="20"/>
          <w:szCs w:val="20"/>
        </w:rPr>
        <w:t xml:space="preserve">; </w:t>
      </w:r>
      <w:r w:rsidR="00B14840" w:rsidRPr="006D56FF">
        <w:rPr>
          <w:rFonts w:ascii="Verdana" w:eastAsia="Times New Roman" w:hAnsi="Verdana"/>
          <w:sz w:val="20"/>
          <w:szCs w:val="20"/>
        </w:rPr>
        <w:t>ii</w:t>
      </w:r>
      <w:r w:rsidRPr="006D56FF">
        <w:rPr>
          <w:rFonts w:ascii="Verdana" w:eastAsia="Times New Roman" w:hAnsi="Verdana"/>
          <w:sz w:val="20"/>
          <w:szCs w:val="20"/>
        </w:rPr>
        <w:t xml:space="preserve">) </w:t>
      </w:r>
      <w:r w:rsidR="007041DB" w:rsidRPr="006D56FF">
        <w:rPr>
          <w:rFonts w:ascii="Verdana" w:eastAsia="Times New Roman" w:hAnsi="Verdana"/>
          <w:sz w:val="20"/>
          <w:szCs w:val="20"/>
        </w:rPr>
        <w:t xml:space="preserve">realizar las publicaciones </w:t>
      </w:r>
      <w:r w:rsidR="007041DB" w:rsidRPr="006D56FF">
        <w:rPr>
          <w:rFonts w:ascii="Verdana" w:hAnsi="Verdana"/>
          <w:spacing w:val="-2"/>
          <w:sz w:val="20"/>
          <w:szCs w:val="20"/>
          <w:lang w:val="es-CR"/>
        </w:rPr>
        <w:t>de la Sentencia y de su resumen oficial que se indican en el párrafo 162 de la misma</w:t>
      </w:r>
      <w:r w:rsidRPr="006D56FF">
        <w:rPr>
          <w:rFonts w:ascii="Verdana" w:eastAsia="Times New Roman" w:hAnsi="Verdana"/>
          <w:sz w:val="20"/>
          <w:szCs w:val="20"/>
        </w:rPr>
        <w:t xml:space="preserve">; </w:t>
      </w:r>
      <w:r w:rsidR="00B14840" w:rsidRPr="006D56FF">
        <w:rPr>
          <w:rFonts w:ascii="Verdana" w:eastAsia="Times New Roman" w:hAnsi="Verdana"/>
          <w:sz w:val="20"/>
          <w:szCs w:val="20"/>
        </w:rPr>
        <w:t>iii</w:t>
      </w:r>
      <w:r w:rsidRPr="006D56FF">
        <w:rPr>
          <w:rFonts w:ascii="Verdana" w:eastAsia="Times New Roman" w:hAnsi="Verdana"/>
          <w:sz w:val="20"/>
          <w:szCs w:val="20"/>
        </w:rPr>
        <w:t xml:space="preserve">) </w:t>
      </w:r>
      <w:r w:rsidR="007041DB" w:rsidRPr="006D56FF">
        <w:rPr>
          <w:rFonts w:ascii="Verdana" w:hAnsi="Verdana"/>
          <w:sz w:val="20"/>
          <w:szCs w:val="20"/>
        </w:rPr>
        <w:t>realizar un acto público de reconocimiento de responsabilidad internacional</w:t>
      </w:r>
      <w:r w:rsidRPr="006D56FF">
        <w:rPr>
          <w:rFonts w:ascii="Verdana" w:hAnsi="Verdana"/>
          <w:spacing w:val="-2"/>
          <w:sz w:val="20"/>
          <w:szCs w:val="20"/>
          <w:lang w:val="es-CR"/>
        </w:rPr>
        <w:t xml:space="preserve">; </w:t>
      </w:r>
      <w:r w:rsidR="00B14840" w:rsidRPr="006D56FF">
        <w:rPr>
          <w:rFonts w:ascii="Verdana" w:hAnsi="Verdana"/>
          <w:spacing w:val="-2"/>
          <w:sz w:val="20"/>
          <w:szCs w:val="20"/>
          <w:lang w:val="es-CR"/>
        </w:rPr>
        <w:t>iv</w:t>
      </w:r>
      <w:r w:rsidRPr="006D56FF">
        <w:rPr>
          <w:rFonts w:ascii="Verdana" w:hAnsi="Verdana"/>
          <w:spacing w:val="-2"/>
          <w:sz w:val="20"/>
          <w:szCs w:val="20"/>
          <w:lang w:val="es-CR"/>
        </w:rPr>
        <w:t>)</w:t>
      </w:r>
      <w:r w:rsidR="007E5D3F" w:rsidRPr="006D56FF">
        <w:rPr>
          <w:rFonts w:ascii="Verdana" w:hAnsi="Verdana"/>
          <w:spacing w:val="-2"/>
          <w:sz w:val="20"/>
          <w:szCs w:val="20"/>
          <w:lang w:val="es-CR"/>
        </w:rPr>
        <w:t xml:space="preserve"> </w:t>
      </w:r>
      <w:r w:rsidR="00676496" w:rsidRPr="006D56FF">
        <w:rPr>
          <w:rFonts w:ascii="Verdana" w:hAnsi="Verdana"/>
          <w:sz w:val="20"/>
          <w:szCs w:val="20"/>
        </w:rPr>
        <w:t xml:space="preserve">develar una placa con la inscripción de los nombres de las víctimas </w:t>
      </w:r>
      <w:r w:rsidR="00E804FA" w:rsidRPr="006D56FF">
        <w:rPr>
          <w:rFonts w:ascii="Verdana" w:hAnsi="Verdana"/>
          <w:sz w:val="20"/>
          <w:szCs w:val="20"/>
        </w:rPr>
        <w:t xml:space="preserve">y las circunstancias en que ocurrieron las violaciones </w:t>
      </w:r>
      <w:r w:rsidR="00676496" w:rsidRPr="006D56FF">
        <w:rPr>
          <w:rFonts w:ascii="Verdana" w:hAnsi="Verdana"/>
          <w:sz w:val="20"/>
          <w:szCs w:val="20"/>
        </w:rPr>
        <w:t xml:space="preserve">del presente caso; </w:t>
      </w:r>
      <w:r w:rsidR="00B14840" w:rsidRPr="006D56FF">
        <w:rPr>
          <w:rFonts w:ascii="Verdana" w:hAnsi="Verdana"/>
          <w:sz w:val="20"/>
          <w:szCs w:val="20"/>
        </w:rPr>
        <w:t>v</w:t>
      </w:r>
      <w:r w:rsidR="00676496" w:rsidRPr="006D56FF">
        <w:rPr>
          <w:rFonts w:ascii="Verdana" w:hAnsi="Verdana"/>
          <w:sz w:val="20"/>
          <w:szCs w:val="20"/>
        </w:rPr>
        <w:t>) poner a disposición de</w:t>
      </w:r>
      <w:r w:rsidR="00582E78" w:rsidRPr="006D56FF">
        <w:rPr>
          <w:rFonts w:ascii="Verdana" w:hAnsi="Verdana"/>
          <w:sz w:val="20"/>
          <w:szCs w:val="20"/>
        </w:rPr>
        <w:t xml:space="preserve"> las víctimas</w:t>
      </w:r>
      <w:r w:rsidR="007E5D3F" w:rsidRPr="006D56FF">
        <w:rPr>
          <w:rFonts w:ascii="Verdana" w:hAnsi="Verdana"/>
          <w:sz w:val="20"/>
          <w:szCs w:val="20"/>
        </w:rPr>
        <w:t xml:space="preserve"> y de las demás personas que fueron condenadas por Consejos de Guerra</w:t>
      </w:r>
      <w:r w:rsidR="006D56FF">
        <w:rPr>
          <w:rFonts w:ascii="Verdana" w:hAnsi="Verdana"/>
          <w:sz w:val="20"/>
          <w:szCs w:val="20"/>
        </w:rPr>
        <w:t xml:space="preserve"> durante la dictadura militar chilena</w:t>
      </w:r>
      <w:r w:rsidR="007E5D3F" w:rsidRPr="006D56FF">
        <w:rPr>
          <w:rFonts w:ascii="Verdana" w:hAnsi="Verdana"/>
          <w:sz w:val="20"/>
          <w:szCs w:val="20"/>
        </w:rPr>
        <w:t>,</w:t>
      </w:r>
      <w:r w:rsidR="00582E78" w:rsidRPr="006D56FF">
        <w:rPr>
          <w:rFonts w:ascii="Verdana" w:hAnsi="Verdana"/>
          <w:sz w:val="20"/>
          <w:szCs w:val="20"/>
        </w:rPr>
        <w:t xml:space="preserve"> un mecanismo</w:t>
      </w:r>
      <w:r w:rsidR="00676496" w:rsidRPr="006D56FF">
        <w:rPr>
          <w:rFonts w:ascii="Verdana" w:hAnsi="Verdana"/>
          <w:sz w:val="20"/>
          <w:szCs w:val="20"/>
        </w:rPr>
        <w:t xml:space="preserve"> efectivo y rápido para revisar y anular las sentencias de condena que fueron dictadas en su perjuicio</w:t>
      </w:r>
      <w:r w:rsidR="00582E78" w:rsidRPr="006D56FF">
        <w:rPr>
          <w:rFonts w:ascii="Verdana" w:hAnsi="Verdana"/>
          <w:sz w:val="20"/>
          <w:szCs w:val="20"/>
        </w:rPr>
        <w:t xml:space="preserve">; </w:t>
      </w:r>
      <w:r w:rsidR="00B14840" w:rsidRPr="006D56FF">
        <w:rPr>
          <w:rFonts w:ascii="Verdana" w:hAnsi="Verdana"/>
          <w:sz w:val="20"/>
          <w:szCs w:val="20"/>
        </w:rPr>
        <w:t>vi</w:t>
      </w:r>
      <w:r w:rsidR="00582E78" w:rsidRPr="006D56FF">
        <w:rPr>
          <w:rFonts w:ascii="Verdana" w:hAnsi="Verdana"/>
          <w:sz w:val="20"/>
          <w:szCs w:val="20"/>
        </w:rPr>
        <w:t xml:space="preserve">) </w:t>
      </w:r>
      <w:r w:rsidRPr="006D56FF">
        <w:rPr>
          <w:rFonts w:ascii="Verdana" w:eastAsia="Times New Roman" w:hAnsi="Verdana"/>
          <w:sz w:val="20"/>
          <w:szCs w:val="20"/>
        </w:rPr>
        <w:t xml:space="preserve">pagar </w:t>
      </w:r>
      <w:r w:rsidR="00582E78" w:rsidRPr="006D56FF">
        <w:rPr>
          <w:rFonts w:ascii="Verdana" w:eastAsia="Times New Roman" w:hAnsi="Verdana"/>
          <w:sz w:val="20"/>
          <w:szCs w:val="20"/>
        </w:rPr>
        <w:t>a la</w:t>
      </w:r>
      <w:r w:rsidRPr="006D56FF">
        <w:rPr>
          <w:rFonts w:ascii="Verdana" w:eastAsia="Times New Roman" w:hAnsi="Verdana"/>
          <w:sz w:val="20"/>
          <w:szCs w:val="20"/>
        </w:rPr>
        <w:t xml:space="preserve">s </w:t>
      </w:r>
      <w:r w:rsidR="00582E78" w:rsidRPr="006D56FF">
        <w:rPr>
          <w:rFonts w:ascii="Verdana" w:eastAsia="Times New Roman" w:hAnsi="Verdana"/>
          <w:sz w:val="20"/>
          <w:szCs w:val="20"/>
        </w:rPr>
        <w:t>víctimas</w:t>
      </w:r>
      <w:r w:rsidRPr="006D56FF">
        <w:rPr>
          <w:rFonts w:ascii="Verdana" w:eastAsia="Times New Roman" w:hAnsi="Verdana"/>
          <w:sz w:val="20"/>
          <w:szCs w:val="20"/>
        </w:rPr>
        <w:t xml:space="preserve"> las cantidades</w:t>
      </w:r>
      <w:r w:rsidRPr="006D56FF">
        <w:rPr>
          <w:rFonts w:ascii="Verdana" w:hAnsi="Verdana"/>
          <w:spacing w:val="-2"/>
          <w:sz w:val="20"/>
          <w:szCs w:val="20"/>
        </w:rPr>
        <w:t xml:space="preserve"> fijadas </w:t>
      </w:r>
      <w:r w:rsidRPr="006D56FF">
        <w:rPr>
          <w:rFonts w:ascii="Verdana" w:eastAsia="Times New Roman" w:hAnsi="Verdana"/>
          <w:sz w:val="20"/>
          <w:szCs w:val="20"/>
        </w:rPr>
        <w:t xml:space="preserve">por concepto de indemnizaciones por daño inmaterial, y </w:t>
      </w:r>
      <w:r w:rsidR="00B14840" w:rsidRPr="006D56FF">
        <w:rPr>
          <w:rFonts w:ascii="Verdana" w:eastAsia="Times New Roman" w:hAnsi="Verdana"/>
          <w:sz w:val="20"/>
          <w:szCs w:val="20"/>
        </w:rPr>
        <w:t>vii</w:t>
      </w:r>
      <w:r w:rsidRPr="006D56FF">
        <w:rPr>
          <w:rFonts w:ascii="Verdana" w:eastAsia="Times New Roman" w:hAnsi="Verdana"/>
          <w:sz w:val="20"/>
          <w:szCs w:val="20"/>
        </w:rPr>
        <w:t xml:space="preserve">) </w:t>
      </w:r>
      <w:r w:rsidRPr="007164BB">
        <w:rPr>
          <w:rFonts w:ascii="Verdana" w:eastAsia="Times New Roman" w:hAnsi="Verdana"/>
          <w:sz w:val="20"/>
          <w:szCs w:val="20"/>
        </w:rPr>
        <w:t>pagar la</w:t>
      </w:r>
      <w:r w:rsidR="007E5D3F">
        <w:rPr>
          <w:rFonts w:ascii="Verdana" w:eastAsia="Times New Roman" w:hAnsi="Verdana"/>
          <w:sz w:val="20"/>
          <w:szCs w:val="20"/>
        </w:rPr>
        <w:t>s</w:t>
      </w:r>
      <w:r w:rsidRPr="007164BB">
        <w:rPr>
          <w:rFonts w:ascii="Verdana" w:eastAsia="Times New Roman" w:hAnsi="Verdana"/>
          <w:sz w:val="20"/>
          <w:szCs w:val="20"/>
        </w:rPr>
        <w:t xml:space="preserve"> cantidad</w:t>
      </w:r>
      <w:r w:rsidR="00582E78" w:rsidRPr="007164BB">
        <w:rPr>
          <w:rFonts w:ascii="Verdana" w:eastAsia="Times New Roman" w:hAnsi="Verdana"/>
          <w:sz w:val="20"/>
          <w:szCs w:val="20"/>
        </w:rPr>
        <w:t>es</w:t>
      </w:r>
      <w:r w:rsidRPr="007164BB">
        <w:rPr>
          <w:rFonts w:ascii="Verdana" w:eastAsia="Times New Roman" w:hAnsi="Verdana"/>
          <w:sz w:val="20"/>
          <w:szCs w:val="20"/>
        </w:rPr>
        <w:t xml:space="preserve"> fijada</w:t>
      </w:r>
      <w:r w:rsidR="00582E78" w:rsidRPr="007164BB">
        <w:rPr>
          <w:rFonts w:ascii="Verdana" w:eastAsia="Times New Roman" w:hAnsi="Verdana"/>
          <w:sz w:val="20"/>
          <w:szCs w:val="20"/>
        </w:rPr>
        <w:t>s</w:t>
      </w:r>
      <w:r w:rsidRPr="007164BB">
        <w:rPr>
          <w:rFonts w:ascii="Verdana" w:eastAsia="Times New Roman" w:hAnsi="Verdana"/>
          <w:sz w:val="20"/>
          <w:szCs w:val="20"/>
        </w:rPr>
        <w:t xml:space="preserve"> por reintegro de</w:t>
      </w:r>
      <w:r w:rsidRPr="007164BB">
        <w:rPr>
          <w:rFonts w:ascii="Verdana" w:hAnsi="Verdana"/>
          <w:spacing w:val="-2"/>
          <w:sz w:val="20"/>
          <w:szCs w:val="20"/>
        </w:rPr>
        <w:t xml:space="preserve"> </w:t>
      </w:r>
      <w:r w:rsidRPr="007164BB">
        <w:rPr>
          <w:rFonts w:ascii="Verdana" w:hAnsi="Verdana"/>
          <w:spacing w:val="-2"/>
          <w:sz w:val="20"/>
          <w:szCs w:val="20"/>
          <w:lang w:val="es-CR"/>
        </w:rPr>
        <w:t>costas y gastos.</w:t>
      </w:r>
    </w:p>
    <w:p w:rsidR="00515A92" w:rsidRPr="00F85D3E" w:rsidRDefault="00455543"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color w:val="000000"/>
          <w:sz w:val="20"/>
          <w:szCs w:val="20"/>
        </w:rPr>
      </w:pPr>
      <w:r w:rsidRPr="007164BB">
        <w:rPr>
          <w:rFonts w:ascii="Verdana" w:hAnsi="Verdana"/>
          <w:color w:val="000000"/>
          <w:sz w:val="20"/>
          <w:szCs w:val="20"/>
        </w:rPr>
        <w:t xml:space="preserve">De conformidad con </w:t>
      </w:r>
      <w:r w:rsidRPr="007164BB">
        <w:rPr>
          <w:rFonts w:ascii="Verdana" w:hAnsi="Verdana"/>
          <w:color w:val="000000"/>
          <w:sz w:val="20"/>
          <w:szCs w:val="20"/>
          <w:lang w:val="es-ES"/>
        </w:rPr>
        <w:t>lo establecido en el artículo</w:t>
      </w:r>
      <w:r w:rsidRPr="007164BB">
        <w:rPr>
          <w:rFonts w:ascii="Verdana" w:hAnsi="Verdana"/>
          <w:color w:val="000000"/>
          <w:sz w:val="20"/>
          <w:szCs w:val="20"/>
        </w:rPr>
        <w:t xml:space="preserve"> </w:t>
      </w:r>
      <w:r w:rsidRPr="007164BB">
        <w:rPr>
          <w:rFonts w:ascii="Verdana" w:hAnsi="Verdana"/>
          <w:color w:val="000000"/>
          <w:sz w:val="20"/>
          <w:szCs w:val="20"/>
          <w:lang w:val="es-CO"/>
        </w:rPr>
        <w:t xml:space="preserve">68.1 de la Convención Americana, “[l]os Estados Partes en la Convención se comprometen a cumplir la decisión de la </w:t>
      </w:r>
      <w:r w:rsidRPr="007164BB">
        <w:rPr>
          <w:rFonts w:ascii="Verdana" w:hAnsi="Verdana"/>
          <w:color w:val="000000"/>
          <w:sz w:val="20"/>
          <w:szCs w:val="20"/>
          <w:lang w:val="es-MX"/>
        </w:rPr>
        <w:t>Corte en todo caso en que sean parte</w:t>
      </w:r>
      <w:r w:rsidRPr="007164BB">
        <w:rPr>
          <w:rFonts w:ascii="Verdana" w:hAnsi="Verdana"/>
          <w:i/>
          <w:color w:val="000000"/>
          <w:sz w:val="20"/>
          <w:szCs w:val="20"/>
          <w:lang w:val="es-MX"/>
        </w:rPr>
        <w:t>s”</w:t>
      </w:r>
      <w:r w:rsidRPr="007164BB">
        <w:rPr>
          <w:rFonts w:ascii="Verdana" w:hAnsi="Verdana" w:cs="Verdana"/>
          <w:i/>
          <w:color w:val="000000"/>
          <w:sz w:val="20"/>
          <w:szCs w:val="20"/>
          <w:lang w:val="es-MX"/>
        </w:rPr>
        <w:t>.</w:t>
      </w:r>
      <w:r w:rsidRPr="007164BB">
        <w:rPr>
          <w:rFonts w:ascii="Verdana" w:hAnsi="Verdana" w:cs="Verdana"/>
          <w:color w:val="000000"/>
          <w:sz w:val="20"/>
          <w:szCs w:val="20"/>
          <w:lang w:val="es-MX"/>
        </w:rPr>
        <w:t xml:space="preserve"> </w:t>
      </w:r>
      <w:r w:rsidRPr="007164BB">
        <w:rPr>
          <w:rFonts w:ascii="Verdana" w:hAnsi="Verdana"/>
          <w:color w:val="000000"/>
          <w:sz w:val="20"/>
          <w:szCs w:val="20"/>
          <w:lang w:val="es-MX"/>
        </w:rPr>
        <w:t>Esta obligación incluye el deber del Estado de informar a la Corte sobre las medidas adoptadas</w:t>
      </w:r>
      <w:r w:rsidRPr="007164BB">
        <w:rPr>
          <w:rFonts w:ascii="Verdana" w:hAnsi="Verdana"/>
          <w:color w:val="000000"/>
          <w:sz w:val="20"/>
          <w:szCs w:val="20"/>
        </w:rPr>
        <w:t xml:space="preserve"> para cumplir cada uno de los puntos ordenados por ésta, lo cual es funda</w:t>
      </w:r>
      <w:r w:rsidRPr="007164BB">
        <w:rPr>
          <w:rFonts w:ascii="Verdana" w:hAnsi="Verdana"/>
          <w:color w:val="000000"/>
          <w:sz w:val="20"/>
          <w:szCs w:val="20"/>
          <w:lang w:val="es-MX"/>
        </w:rPr>
        <w:t>mental para evaluar</w:t>
      </w:r>
      <w:r w:rsidRPr="007164BB">
        <w:rPr>
          <w:rFonts w:ascii="Verdana" w:hAnsi="Verdana"/>
          <w:color w:val="000000"/>
          <w:sz w:val="20"/>
          <w:szCs w:val="20"/>
        </w:rPr>
        <w:t xml:space="preserve"> el estado de cumplimiento de la Sentencia en su conjunto</w:t>
      </w:r>
      <w:r w:rsidRPr="007164BB">
        <w:rPr>
          <w:rStyle w:val="FootnoteReference"/>
          <w:rFonts w:ascii="Verdana" w:hAnsi="Verdana"/>
          <w:sz w:val="20"/>
          <w:szCs w:val="20"/>
        </w:rPr>
        <w:footnoteReference w:id="11"/>
      </w:r>
      <w:r w:rsidRPr="007164BB">
        <w:rPr>
          <w:rFonts w:ascii="Verdana" w:hAnsi="Verdana"/>
          <w:color w:val="000000"/>
          <w:sz w:val="20"/>
          <w:szCs w:val="20"/>
        </w:rPr>
        <w:t xml:space="preserve">. </w:t>
      </w:r>
      <w:r w:rsidRPr="007164BB">
        <w:rPr>
          <w:rFonts w:ascii="Verdana" w:hAnsi="Verdana" w:cs="Verdana"/>
          <w:color w:val="000000"/>
          <w:sz w:val="20"/>
          <w:szCs w:val="20"/>
          <w:lang w:val="es-ES"/>
        </w:rPr>
        <w:t>Los Estados Parte en la Convención deben garantizar el cumplimiento de las disposiciones convencionales y sus efectos propios (</w:t>
      </w:r>
      <w:r w:rsidRPr="007164BB">
        <w:rPr>
          <w:rFonts w:ascii="Verdana" w:hAnsi="Verdana" w:cs="Verdana-Italic"/>
          <w:i/>
          <w:iCs/>
          <w:color w:val="000000"/>
          <w:sz w:val="20"/>
          <w:szCs w:val="20"/>
          <w:lang w:val="es-ES"/>
        </w:rPr>
        <w:t>effet utile</w:t>
      </w:r>
      <w:r w:rsidRPr="007164BB">
        <w:rPr>
          <w:rFonts w:ascii="Verdana" w:hAnsi="Verdana" w:cs="Verdana"/>
          <w:color w:val="000000"/>
          <w:sz w:val="20"/>
          <w:szCs w:val="20"/>
          <w:lang w:val="es-ES"/>
        </w:rPr>
        <w:t xml:space="preserve">) en el plano de sus respectivos derechos internos. Estas obligaciones deben ser interpretadas y aplicadas de manera que la garantía protegida sea </w:t>
      </w:r>
      <w:r w:rsidRPr="007164BB">
        <w:rPr>
          <w:rFonts w:ascii="Verdana" w:hAnsi="Verdana" w:cs="Verdana"/>
          <w:color w:val="000000"/>
          <w:sz w:val="20"/>
          <w:szCs w:val="20"/>
          <w:lang w:val="es-ES"/>
        </w:rPr>
        <w:lastRenderedPageBreak/>
        <w:t>verdaderamente práctica y eficaz, teniendo presente la naturaleza especial de los tratados de derechos humanos</w:t>
      </w:r>
      <w:r w:rsidRPr="007164BB">
        <w:rPr>
          <w:rStyle w:val="FootnoteReference"/>
          <w:rFonts w:ascii="Verdana" w:hAnsi="Verdana" w:cs="Verdana"/>
          <w:color w:val="000000"/>
          <w:sz w:val="20"/>
          <w:szCs w:val="20"/>
        </w:rPr>
        <w:footnoteReference w:id="12"/>
      </w:r>
      <w:r w:rsidRPr="007164BB">
        <w:rPr>
          <w:rFonts w:ascii="Verdana" w:hAnsi="Verdana" w:cs="Verdana"/>
          <w:color w:val="000000"/>
          <w:sz w:val="20"/>
          <w:szCs w:val="20"/>
          <w:lang w:val="es-ES"/>
        </w:rPr>
        <w:t>.</w:t>
      </w:r>
    </w:p>
    <w:p w:rsidR="00F85D3E" w:rsidRDefault="00515A92" w:rsidP="009D1022">
      <w:pPr>
        <w:pStyle w:val="ListParagraph"/>
        <w:numPr>
          <w:ilvl w:val="0"/>
          <w:numId w:val="2"/>
        </w:numPr>
        <w:tabs>
          <w:tab w:val="left" w:pos="0"/>
        </w:tabs>
        <w:spacing w:after="0" w:line="240" w:lineRule="auto"/>
        <w:ind w:left="0" w:right="-709" w:firstLine="0"/>
        <w:contextualSpacing w:val="0"/>
        <w:jc w:val="both"/>
        <w:rPr>
          <w:rFonts w:ascii="Verdana" w:hAnsi="Verdana"/>
          <w:sz w:val="20"/>
          <w:szCs w:val="20"/>
          <w:lang w:val="es-ES"/>
        </w:rPr>
      </w:pPr>
      <w:r w:rsidRPr="00AE78B0">
        <w:rPr>
          <w:rFonts w:ascii="Verdana" w:hAnsi="Verdana"/>
          <w:sz w:val="20"/>
          <w:szCs w:val="20"/>
        </w:rPr>
        <w:t xml:space="preserve">La Corte </w:t>
      </w:r>
      <w:r w:rsidRPr="00AE78B0">
        <w:rPr>
          <w:rFonts w:ascii="Verdana" w:hAnsi="Verdana"/>
          <w:sz w:val="20"/>
          <w:szCs w:val="20"/>
          <w:lang w:val="es-ES"/>
        </w:rPr>
        <w:t>valorará la</w:t>
      </w:r>
      <w:r w:rsidR="00AE78B0" w:rsidRPr="00AE78B0">
        <w:rPr>
          <w:rFonts w:ascii="Verdana" w:hAnsi="Verdana"/>
          <w:sz w:val="20"/>
          <w:szCs w:val="20"/>
          <w:lang w:val="es-ES"/>
        </w:rPr>
        <w:t xml:space="preserve"> información presentada por las partes </w:t>
      </w:r>
      <w:r w:rsidR="008D24A0" w:rsidRPr="00AE78B0">
        <w:rPr>
          <w:rFonts w:ascii="Verdana" w:hAnsi="Verdana"/>
          <w:sz w:val="20"/>
          <w:szCs w:val="20"/>
          <w:lang w:val="es-ES"/>
        </w:rPr>
        <w:t>respecto de las siete medidas de reparación ordenadas en este caso</w:t>
      </w:r>
      <w:r w:rsidR="00AE78B0" w:rsidRPr="00AE78B0">
        <w:rPr>
          <w:rFonts w:ascii="Verdana" w:hAnsi="Verdana"/>
          <w:sz w:val="20"/>
          <w:szCs w:val="20"/>
          <w:lang w:val="es-ES"/>
        </w:rPr>
        <w:t>, y determinará el grado de cumplimiento por parte del Estado. En su escrito de observaciones el representante sostuvo</w:t>
      </w:r>
      <w:r w:rsidR="008D24A0" w:rsidRPr="00AE78B0">
        <w:rPr>
          <w:rFonts w:ascii="Verdana" w:hAnsi="Verdana"/>
          <w:sz w:val="20"/>
          <w:szCs w:val="20"/>
          <w:lang w:val="es-ES"/>
        </w:rPr>
        <w:t xml:space="preserve"> que</w:t>
      </w:r>
      <w:r w:rsidR="001016F6">
        <w:rPr>
          <w:rFonts w:ascii="Verdana" w:hAnsi="Verdana"/>
          <w:sz w:val="20"/>
          <w:szCs w:val="20"/>
          <w:lang w:val="es-ES"/>
        </w:rPr>
        <w:t>,</w:t>
      </w:r>
      <w:r w:rsidR="008D24A0" w:rsidRPr="00AE78B0">
        <w:rPr>
          <w:rFonts w:ascii="Verdana" w:hAnsi="Verdana"/>
          <w:sz w:val="20"/>
          <w:szCs w:val="20"/>
          <w:lang w:val="es-ES"/>
        </w:rPr>
        <w:t xml:space="preserve"> “en principio, todos los hechos y antecedentes señalados en [el i</w:t>
      </w:r>
      <w:r w:rsidR="0017064B">
        <w:rPr>
          <w:rFonts w:ascii="Verdana" w:hAnsi="Verdana"/>
          <w:sz w:val="20"/>
          <w:szCs w:val="20"/>
          <w:lang w:val="es-ES"/>
        </w:rPr>
        <w:t>]</w:t>
      </w:r>
      <w:r w:rsidR="008D24A0" w:rsidRPr="00AE78B0">
        <w:rPr>
          <w:rFonts w:ascii="Verdana" w:hAnsi="Verdana"/>
          <w:sz w:val="20"/>
          <w:szCs w:val="20"/>
          <w:lang w:val="es-ES"/>
        </w:rPr>
        <w:t>nforme por el Estado de Chile corresponden a la verdad” y que s</w:t>
      </w:r>
      <w:r w:rsidR="0017064B">
        <w:rPr>
          <w:rFonts w:ascii="Verdana" w:hAnsi="Verdana"/>
          <w:sz w:val="20"/>
          <w:szCs w:val="20"/>
          <w:lang w:val="es-ES"/>
        </w:rPr>
        <w:t>ó</w:t>
      </w:r>
      <w:r w:rsidR="008D24A0" w:rsidRPr="00AE78B0">
        <w:rPr>
          <w:rFonts w:ascii="Verdana" w:hAnsi="Verdana"/>
          <w:sz w:val="20"/>
          <w:szCs w:val="20"/>
          <w:lang w:val="es-ES"/>
        </w:rPr>
        <w:t>lo e</w:t>
      </w:r>
      <w:r w:rsidR="00AE78B0" w:rsidRPr="00AE78B0">
        <w:rPr>
          <w:rFonts w:ascii="Verdana" w:hAnsi="Verdana"/>
          <w:sz w:val="20"/>
          <w:szCs w:val="20"/>
          <w:lang w:val="es-ES"/>
        </w:rPr>
        <w:t xml:space="preserve">stán pendientes de cumplimiento la medida relativa a la investigación de </w:t>
      </w:r>
      <w:r w:rsidR="00AE78B0" w:rsidRPr="001A7107">
        <w:rPr>
          <w:rFonts w:ascii="Verdana" w:hAnsi="Verdana"/>
          <w:sz w:val="20"/>
          <w:szCs w:val="20"/>
          <w:lang w:val="es-ES"/>
        </w:rPr>
        <w:t>los hechos (</w:t>
      </w:r>
      <w:r w:rsidR="00AE78B0" w:rsidRPr="001A7107">
        <w:rPr>
          <w:rFonts w:ascii="Verdana" w:hAnsi="Verdana"/>
          <w:i/>
          <w:sz w:val="20"/>
          <w:szCs w:val="20"/>
          <w:lang w:val="es-ES"/>
        </w:rPr>
        <w:t>infra</w:t>
      </w:r>
      <w:r w:rsidR="00AE78B0" w:rsidRPr="001A7107">
        <w:rPr>
          <w:rFonts w:ascii="Verdana" w:hAnsi="Verdana"/>
          <w:sz w:val="20"/>
          <w:szCs w:val="20"/>
          <w:lang w:val="es-ES"/>
        </w:rPr>
        <w:t xml:space="preserve"> Considerando </w:t>
      </w:r>
      <w:r w:rsidR="0017064B">
        <w:rPr>
          <w:rFonts w:ascii="Verdana" w:hAnsi="Verdana"/>
          <w:sz w:val="20"/>
          <w:szCs w:val="20"/>
          <w:lang w:val="es-ES"/>
        </w:rPr>
        <w:t>6</w:t>
      </w:r>
      <w:r w:rsidR="0017064B" w:rsidRPr="001A7107">
        <w:rPr>
          <w:rFonts w:ascii="Verdana" w:hAnsi="Verdana"/>
          <w:sz w:val="20"/>
          <w:szCs w:val="20"/>
          <w:lang w:val="es-ES"/>
        </w:rPr>
        <w:t xml:space="preserve">) </w:t>
      </w:r>
      <w:r w:rsidR="00AE78B0" w:rsidRPr="001A7107">
        <w:rPr>
          <w:rFonts w:ascii="Verdana" w:hAnsi="Verdana"/>
          <w:sz w:val="20"/>
          <w:szCs w:val="20"/>
          <w:lang w:val="es-ES"/>
        </w:rPr>
        <w:t>y el pago de la indemnización a una de las víctimas</w:t>
      </w:r>
      <w:r w:rsidR="00536040">
        <w:rPr>
          <w:rFonts w:ascii="Verdana" w:hAnsi="Verdana"/>
          <w:sz w:val="20"/>
          <w:szCs w:val="20"/>
          <w:lang w:val="es-ES"/>
        </w:rPr>
        <w:t xml:space="preserve"> </w:t>
      </w:r>
      <w:r w:rsidR="00B14840">
        <w:rPr>
          <w:rFonts w:ascii="Verdana" w:hAnsi="Verdana"/>
          <w:sz w:val="20"/>
          <w:szCs w:val="20"/>
          <w:lang w:val="es-ES"/>
        </w:rPr>
        <w:t>que falleció</w:t>
      </w:r>
      <w:r w:rsidR="00B14840" w:rsidRPr="001A7107">
        <w:rPr>
          <w:rFonts w:ascii="Verdana" w:hAnsi="Verdana"/>
          <w:sz w:val="20"/>
          <w:szCs w:val="20"/>
          <w:lang w:val="es-ES"/>
        </w:rPr>
        <w:t xml:space="preserve"> </w:t>
      </w:r>
      <w:r w:rsidR="00AE78B0" w:rsidRPr="001A7107">
        <w:rPr>
          <w:rFonts w:ascii="Verdana" w:hAnsi="Verdana"/>
          <w:sz w:val="20"/>
          <w:szCs w:val="20"/>
          <w:lang w:val="es-ES"/>
        </w:rPr>
        <w:t>(</w:t>
      </w:r>
      <w:r w:rsidR="00AE78B0" w:rsidRPr="001A7107">
        <w:rPr>
          <w:rFonts w:ascii="Verdana" w:hAnsi="Verdana"/>
          <w:i/>
          <w:sz w:val="20"/>
          <w:szCs w:val="20"/>
          <w:lang w:val="es-ES"/>
        </w:rPr>
        <w:t>infra</w:t>
      </w:r>
      <w:r w:rsidR="00AE78B0" w:rsidRPr="001A7107">
        <w:rPr>
          <w:rFonts w:ascii="Verdana" w:hAnsi="Verdana"/>
          <w:sz w:val="20"/>
          <w:szCs w:val="20"/>
          <w:lang w:val="es-ES"/>
        </w:rPr>
        <w:t xml:space="preserve"> Considerando </w:t>
      </w:r>
      <w:r w:rsidR="0017064B">
        <w:rPr>
          <w:rFonts w:ascii="Verdana" w:hAnsi="Verdana"/>
          <w:sz w:val="20"/>
          <w:szCs w:val="20"/>
          <w:lang w:val="es-ES"/>
        </w:rPr>
        <w:t>41</w:t>
      </w:r>
      <w:r w:rsidR="0017064B" w:rsidRPr="001A7107">
        <w:rPr>
          <w:rFonts w:ascii="Verdana" w:hAnsi="Verdana"/>
          <w:sz w:val="20"/>
          <w:szCs w:val="20"/>
          <w:lang w:val="es-ES"/>
        </w:rPr>
        <w:t xml:space="preserve">). </w:t>
      </w:r>
      <w:r w:rsidR="0017064B" w:rsidRPr="001016F6">
        <w:rPr>
          <w:rFonts w:ascii="Verdana" w:hAnsi="Verdana"/>
          <w:sz w:val="20"/>
          <w:szCs w:val="20"/>
          <w:lang w:val="es-ES"/>
        </w:rPr>
        <w:t>Por ello, el representante solicitó “que se declare íntegra y oportunamente cumplido lo ordenado en los puntos resolutivos 6, 7, 8, 9, 11 y 12 [de la Sentencia], no siendo procedente hacer tales declaraciones respecto a los puntos resolutivos 5 y 10”.</w:t>
      </w:r>
      <w:r w:rsidR="0017064B">
        <w:rPr>
          <w:rFonts w:ascii="Verdana" w:hAnsi="Verdana"/>
          <w:sz w:val="20"/>
          <w:szCs w:val="20"/>
          <w:lang w:val="es-ES"/>
        </w:rPr>
        <w:t xml:space="preserve"> </w:t>
      </w:r>
      <w:r w:rsidR="00AE78B0" w:rsidRPr="001A7107">
        <w:rPr>
          <w:rFonts w:ascii="Verdana" w:hAnsi="Verdana"/>
          <w:sz w:val="20"/>
          <w:szCs w:val="20"/>
          <w:lang w:val="es-ES"/>
        </w:rPr>
        <w:t>La Comisión Interamericana no presentó observaciones</w:t>
      </w:r>
      <w:r w:rsidR="00AE78B0" w:rsidRPr="001A7107">
        <w:rPr>
          <w:rStyle w:val="FootnoteReference"/>
          <w:rFonts w:ascii="Verdana" w:hAnsi="Verdana"/>
          <w:sz w:val="20"/>
          <w:szCs w:val="20"/>
          <w:lang w:val="es-ES"/>
        </w:rPr>
        <w:footnoteReference w:id="13"/>
      </w:r>
      <w:r w:rsidR="00AE78B0" w:rsidRPr="001A7107">
        <w:rPr>
          <w:rFonts w:ascii="Verdana" w:hAnsi="Verdana"/>
          <w:sz w:val="20"/>
          <w:szCs w:val="20"/>
          <w:lang w:val="es-ES"/>
        </w:rPr>
        <w:t xml:space="preserve">. </w:t>
      </w:r>
      <w:r w:rsidRPr="001A7107">
        <w:rPr>
          <w:rFonts w:ascii="Verdana" w:hAnsi="Verdana"/>
          <w:sz w:val="20"/>
          <w:szCs w:val="20"/>
          <w:lang w:val="es-ES"/>
        </w:rPr>
        <w:t>Las</w:t>
      </w:r>
      <w:r w:rsidRPr="00AE78B0">
        <w:rPr>
          <w:rFonts w:ascii="Verdana" w:hAnsi="Verdana"/>
          <w:sz w:val="20"/>
          <w:szCs w:val="20"/>
          <w:lang w:val="es-ES"/>
        </w:rPr>
        <w:t xml:space="preserve"> consideraciones </w:t>
      </w:r>
      <w:r w:rsidR="00AE78B0">
        <w:rPr>
          <w:rFonts w:ascii="Verdana" w:hAnsi="Verdana"/>
          <w:sz w:val="20"/>
          <w:szCs w:val="20"/>
          <w:lang w:val="es-ES"/>
        </w:rPr>
        <w:t xml:space="preserve">de este Tribunal </w:t>
      </w:r>
      <w:r w:rsidRPr="00AE78B0">
        <w:rPr>
          <w:rFonts w:ascii="Verdana" w:hAnsi="Verdana"/>
          <w:sz w:val="20"/>
          <w:szCs w:val="20"/>
          <w:lang w:val="es-ES"/>
        </w:rPr>
        <w:t>se estructurarán en el siguiente orden:</w:t>
      </w:r>
    </w:p>
    <w:p w:rsidR="008D790F" w:rsidRDefault="008D790F" w:rsidP="008D790F">
      <w:pPr>
        <w:pStyle w:val="ListParagraph"/>
        <w:tabs>
          <w:tab w:val="left" w:pos="0"/>
        </w:tabs>
        <w:spacing w:after="0" w:line="240" w:lineRule="auto"/>
        <w:ind w:left="0" w:right="-709"/>
        <w:contextualSpacing w:val="0"/>
        <w:jc w:val="both"/>
        <w:rPr>
          <w:rFonts w:ascii="Verdana" w:hAnsi="Verdana"/>
          <w:sz w:val="20"/>
          <w:szCs w:val="20"/>
          <w:lang w:val="es-ES"/>
        </w:rPr>
      </w:pPr>
    </w:p>
    <w:p w:rsidR="001B16DF" w:rsidRPr="00CE7064" w:rsidRDefault="001B16DF" w:rsidP="009D1022">
      <w:pPr>
        <w:pStyle w:val="ListParagraph"/>
        <w:tabs>
          <w:tab w:val="left" w:pos="0"/>
        </w:tabs>
        <w:spacing w:before="60" w:after="60" w:line="240" w:lineRule="auto"/>
        <w:ind w:left="0" w:right="-709"/>
        <w:contextualSpacing w:val="0"/>
        <w:jc w:val="both"/>
        <w:rPr>
          <w:rFonts w:ascii="Verdana" w:hAnsi="Verdana"/>
          <w:sz w:val="4"/>
          <w:szCs w:val="4"/>
          <w:lang w:val="es-ES"/>
        </w:rPr>
      </w:pPr>
    </w:p>
    <w:p w:rsidR="00CE7064" w:rsidRPr="00A83D7F" w:rsidRDefault="001B16DF" w:rsidP="009B2C17">
      <w:pPr>
        <w:pStyle w:val="TOC1"/>
        <w:rPr>
          <w:rFonts w:ascii="Verdana" w:eastAsiaTheme="minorEastAsia" w:hAnsi="Verdana" w:cstheme="minorBidi"/>
          <w:noProof/>
          <w:sz w:val="18"/>
          <w:szCs w:val="18"/>
          <w:lang w:val="es-CR" w:eastAsia="es-CR"/>
        </w:rPr>
      </w:pPr>
      <w:r w:rsidRPr="00CE7064">
        <w:rPr>
          <w:lang w:val="es-ES"/>
        </w:rPr>
        <w:fldChar w:fldCharType="begin"/>
      </w:r>
      <w:r w:rsidRPr="00CE7064">
        <w:rPr>
          <w:lang w:val="es-ES"/>
        </w:rPr>
        <w:instrText xml:space="preserve"> TOC \o "1-3" \h \z \u </w:instrText>
      </w:r>
      <w:r w:rsidRPr="00CE7064">
        <w:rPr>
          <w:lang w:val="es-ES"/>
        </w:rPr>
        <w:fldChar w:fldCharType="separate"/>
      </w:r>
      <w:hyperlink w:anchor="_Toc485226646" w:history="1">
        <w:r w:rsidR="00CE7064" w:rsidRPr="00A83D7F">
          <w:rPr>
            <w:rStyle w:val="Hyperlink"/>
            <w:rFonts w:ascii="Verdana" w:hAnsi="Verdana"/>
            <w:i/>
            <w:noProof/>
            <w:sz w:val="18"/>
            <w:szCs w:val="18"/>
          </w:rPr>
          <w:t>Continuar y concluir la investigación de los hechos del presente caso</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_Toc485226646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3</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47" w:history="1">
        <w:r w:rsidR="00CE7064" w:rsidRPr="00A83D7F">
          <w:rPr>
            <w:rStyle w:val="Hyperlink"/>
            <w:rFonts w:ascii="Verdana" w:hAnsi="Verdana"/>
            <w:i/>
            <w:noProof/>
            <w:sz w:val="18"/>
            <w:szCs w:val="18"/>
          </w:rPr>
          <w:t>Publicación y difusión de la Sentencia</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_Toc485226647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5</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48" w:history="1">
        <w:r w:rsidR="00CE7064" w:rsidRPr="00A83D7F">
          <w:rPr>
            <w:rStyle w:val="Hyperlink"/>
            <w:rFonts w:ascii="Verdana" w:hAnsi="Verdana"/>
            <w:i/>
            <w:noProof/>
            <w:sz w:val="18"/>
            <w:szCs w:val="18"/>
          </w:rPr>
          <w:t>Acto público de reconocimiento de responsabilidad internacional</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_Toc485226648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6</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49" w:history="1">
        <w:r w:rsidR="00CE7064" w:rsidRPr="00A83D7F">
          <w:rPr>
            <w:rStyle w:val="Hyperlink"/>
            <w:rFonts w:ascii="Verdana" w:hAnsi="Verdana"/>
            <w:i/>
            <w:noProof/>
            <w:sz w:val="18"/>
            <w:szCs w:val="18"/>
          </w:rPr>
          <w:t>Develar una placa con los nombres de las víctimas y las circunstancias en que ocurrieron las violaciones</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_Toc485226649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7</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50" w:history="1">
        <w:r w:rsidR="00CE7064" w:rsidRPr="00A83D7F">
          <w:rPr>
            <w:rStyle w:val="Hyperlink"/>
            <w:rFonts w:ascii="Verdana" w:hAnsi="Verdana"/>
            <w:i/>
            <w:noProof/>
            <w:sz w:val="18"/>
            <w:szCs w:val="18"/>
          </w:rPr>
          <w:t>Mecanismo para que las víctimas y otras personas puedan revisar y anular las sentencias de condena dictadas por los Consejos de Guerra durante la dictadura militar chilena</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_Toc485226650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9</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51" w:history="1">
        <w:r w:rsidR="00CE7064" w:rsidRPr="00A83D7F">
          <w:rPr>
            <w:rStyle w:val="Hyperlink"/>
            <w:rFonts w:ascii="Verdana" w:hAnsi="Verdana"/>
            <w:i/>
            <w:noProof/>
            <w:sz w:val="18"/>
            <w:szCs w:val="18"/>
          </w:rPr>
          <w:t>Pago de indemnizaciones por concepto de daño inmaterial</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_Toc485226651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17</w:t>
        </w:r>
        <w:r w:rsidR="00CE7064" w:rsidRPr="00A83D7F">
          <w:rPr>
            <w:rFonts w:ascii="Verdana" w:hAnsi="Verdana"/>
            <w:noProof/>
            <w:webHidden/>
            <w:sz w:val="18"/>
            <w:szCs w:val="18"/>
          </w:rPr>
          <w:fldChar w:fldCharType="end"/>
        </w:r>
      </w:hyperlink>
    </w:p>
    <w:p w:rsidR="00CE7064" w:rsidRPr="00A83D7F" w:rsidRDefault="002A3E12" w:rsidP="009B2C17">
      <w:pPr>
        <w:pStyle w:val="TOC1"/>
        <w:rPr>
          <w:rFonts w:ascii="Verdana" w:eastAsiaTheme="minorEastAsia" w:hAnsi="Verdana" w:cstheme="minorBidi"/>
          <w:noProof/>
          <w:sz w:val="18"/>
          <w:szCs w:val="18"/>
          <w:lang w:val="es-CR" w:eastAsia="es-CR"/>
        </w:rPr>
      </w:pPr>
      <w:hyperlink w:anchor="_Toc485226652" w:history="1">
        <w:r w:rsidR="00CE7064" w:rsidRPr="00A83D7F">
          <w:rPr>
            <w:rStyle w:val="Hyperlink"/>
            <w:rFonts w:ascii="Verdana" w:hAnsi="Verdana"/>
            <w:i/>
            <w:noProof/>
            <w:sz w:val="18"/>
            <w:szCs w:val="18"/>
          </w:rPr>
          <w:t>Pago por concepto de reintegro de costas y gastos</w:t>
        </w:r>
        <w:r w:rsidR="00CE7064" w:rsidRPr="00A83D7F">
          <w:rPr>
            <w:rFonts w:ascii="Verdana" w:hAnsi="Verdana"/>
            <w:noProof/>
            <w:webHidden/>
            <w:sz w:val="18"/>
            <w:szCs w:val="18"/>
          </w:rPr>
          <w:tab/>
        </w:r>
        <w:r w:rsidR="00CE7064" w:rsidRPr="00A83D7F">
          <w:rPr>
            <w:rFonts w:ascii="Verdana" w:hAnsi="Verdana"/>
            <w:noProof/>
            <w:webHidden/>
            <w:sz w:val="18"/>
            <w:szCs w:val="18"/>
          </w:rPr>
          <w:fldChar w:fldCharType="begin"/>
        </w:r>
        <w:r w:rsidR="00CE7064" w:rsidRPr="00A83D7F">
          <w:rPr>
            <w:rFonts w:ascii="Verdana" w:hAnsi="Verdana"/>
            <w:noProof/>
            <w:webHidden/>
            <w:sz w:val="18"/>
            <w:szCs w:val="18"/>
          </w:rPr>
          <w:instrText xml:space="preserve"> PAGEREF _Toc485226652 \h </w:instrText>
        </w:r>
        <w:r w:rsidR="00CE7064" w:rsidRPr="00A83D7F">
          <w:rPr>
            <w:rFonts w:ascii="Verdana" w:hAnsi="Verdana"/>
            <w:noProof/>
            <w:webHidden/>
            <w:sz w:val="18"/>
            <w:szCs w:val="18"/>
          </w:rPr>
        </w:r>
        <w:r w:rsidR="00CE7064" w:rsidRPr="00A83D7F">
          <w:rPr>
            <w:rFonts w:ascii="Verdana" w:hAnsi="Verdana"/>
            <w:noProof/>
            <w:webHidden/>
            <w:sz w:val="18"/>
            <w:szCs w:val="18"/>
          </w:rPr>
          <w:fldChar w:fldCharType="separate"/>
        </w:r>
        <w:r w:rsidR="002B5FBF">
          <w:rPr>
            <w:rFonts w:ascii="Verdana" w:hAnsi="Verdana"/>
            <w:noProof/>
            <w:webHidden/>
            <w:sz w:val="18"/>
            <w:szCs w:val="18"/>
          </w:rPr>
          <w:t>18</w:t>
        </w:r>
        <w:r w:rsidR="00CE7064" w:rsidRPr="00A83D7F">
          <w:rPr>
            <w:rFonts w:ascii="Verdana" w:hAnsi="Verdana"/>
            <w:noProof/>
            <w:webHidden/>
            <w:sz w:val="18"/>
            <w:szCs w:val="18"/>
          </w:rPr>
          <w:fldChar w:fldCharType="end"/>
        </w:r>
      </w:hyperlink>
    </w:p>
    <w:p w:rsidR="001B16DF" w:rsidRPr="001B16DF" w:rsidRDefault="001B16DF" w:rsidP="009D1022">
      <w:pPr>
        <w:pStyle w:val="ListParagraph"/>
        <w:tabs>
          <w:tab w:val="left" w:pos="0"/>
        </w:tabs>
        <w:spacing w:before="60" w:after="60" w:line="240" w:lineRule="auto"/>
        <w:ind w:left="0" w:right="-709"/>
        <w:contextualSpacing w:val="0"/>
        <w:jc w:val="both"/>
        <w:rPr>
          <w:rFonts w:ascii="Verdana" w:hAnsi="Verdana"/>
          <w:sz w:val="2"/>
          <w:szCs w:val="20"/>
          <w:lang w:val="es-ES"/>
        </w:rPr>
      </w:pPr>
      <w:r w:rsidRPr="00CE7064">
        <w:rPr>
          <w:rFonts w:ascii="Verdana" w:hAnsi="Verdana"/>
          <w:sz w:val="16"/>
          <w:szCs w:val="16"/>
          <w:lang w:val="es-ES"/>
        </w:rPr>
        <w:fldChar w:fldCharType="end"/>
      </w:r>
    </w:p>
    <w:p w:rsidR="00276021" w:rsidRPr="00E2700E" w:rsidRDefault="00276021" w:rsidP="009D1022">
      <w:pPr>
        <w:pStyle w:val="Heading1"/>
        <w:spacing w:before="120" w:after="120" w:line="240" w:lineRule="auto"/>
        <w:ind w:left="720" w:right="-709"/>
        <w:jc w:val="both"/>
        <w:rPr>
          <w:rFonts w:ascii="Verdana" w:hAnsi="Verdana"/>
          <w:i/>
          <w:color w:val="000000" w:themeColor="text1"/>
          <w:sz w:val="20"/>
          <w:szCs w:val="20"/>
        </w:rPr>
      </w:pPr>
      <w:bookmarkStart w:id="1" w:name="_Toc483918291"/>
    </w:p>
    <w:p w:rsidR="00EB0D38" w:rsidRPr="001016F6" w:rsidRDefault="00EB0D38" w:rsidP="009D1022">
      <w:pPr>
        <w:pStyle w:val="Heading1"/>
        <w:numPr>
          <w:ilvl w:val="0"/>
          <w:numId w:val="3"/>
        </w:numPr>
        <w:spacing w:before="120" w:after="120" w:line="240" w:lineRule="auto"/>
        <w:ind w:right="-709"/>
        <w:jc w:val="both"/>
        <w:rPr>
          <w:rFonts w:ascii="Verdana" w:hAnsi="Verdana"/>
          <w:i/>
          <w:color w:val="000000" w:themeColor="text1"/>
          <w:sz w:val="20"/>
          <w:szCs w:val="20"/>
        </w:rPr>
      </w:pPr>
      <w:bookmarkStart w:id="2" w:name="_Toc485226646"/>
      <w:r w:rsidRPr="00CE7064">
        <w:rPr>
          <w:rFonts w:ascii="Verdana" w:hAnsi="Verdana"/>
          <w:i/>
          <w:color w:val="000000" w:themeColor="text1"/>
          <w:sz w:val="20"/>
          <w:szCs w:val="20"/>
        </w:rPr>
        <w:t xml:space="preserve">Continuar y </w:t>
      </w:r>
      <w:r w:rsidRPr="001016F6">
        <w:rPr>
          <w:rFonts w:ascii="Verdana" w:hAnsi="Verdana"/>
          <w:i/>
          <w:color w:val="000000" w:themeColor="text1"/>
          <w:sz w:val="20"/>
          <w:szCs w:val="20"/>
        </w:rPr>
        <w:t>concluir</w:t>
      </w:r>
      <w:r w:rsidR="00A50ACA" w:rsidRPr="001016F6">
        <w:rPr>
          <w:rFonts w:ascii="Verdana" w:hAnsi="Verdana"/>
          <w:i/>
          <w:color w:val="000000" w:themeColor="text1"/>
          <w:sz w:val="20"/>
          <w:szCs w:val="20"/>
        </w:rPr>
        <w:t xml:space="preserve"> </w:t>
      </w:r>
      <w:r w:rsidRPr="001016F6">
        <w:rPr>
          <w:rFonts w:ascii="Verdana" w:hAnsi="Verdana"/>
          <w:i/>
          <w:color w:val="000000" w:themeColor="text1"/>
          <w:sz w:val="20"/>
          <w:szCs w:val="20"/>
        </w:rPr>
        <w:t>la investigación de los hechos del presente caso</w:t>
      </w:r>
      <w:bookmarkEnd w:id="1"/>
      <w:bookmarkEnd w:id="2"/>
    </w:p>
    <w:p w:rsidR="00B86D77" w:rsidRPr="001016F6" w:rsidRDefault="00B86D77" w:rsidP="009D1022">
      <w:pPr>
        <w:pStyle w:val="ListParagraph"/>
        <w:spacing w:before="120" w:after="120" w:line="240" w:lineRule="auto"/>
        <w:ind w:left="567" w:right="-709"/>
        <w:contextualSpacing w:val="0"/>
        <w:jc w:val="both"/>
        <w:rPr>
          <w:rFonts w:ascii="Verdana" w:hAnsi="Verdana"/>
          <w:i/>
          <w:color w:val="000000" w:themeColor="text1"/>
          <w:sz w:val="20"/>
          <w:szCs w:val="20"/>
        </w:rPr>
      </w:pPr>
      <w:r w:rsidRPr="001016F6">
        <w:rPr>
          <w:rFonts w:ascii="Verdana" w:hAnsi="Verdana"/>
          <w:i/>
          <w:color w:val="000000" w:themeColor="text1"/>
          <w:sz w:val="20"/>
          <w:szCs w:val="20"/>
        </w:rPr>
        <w:t>A.1. Medida ordenada por la Corte</w:t>
      </w:r>
    </w:p>
    <w:p w:rsidR="005100F7" w:rsidRPr="001016F6" w:rsidRDefault="007C4F9F"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color w:val="000000" w:themeColor="text1"/>
          <w:sz w:val="20"/>
          <w:szCs w:val="20"/>
        </w:rPr>
      </w:pPr>
      <w:r w:rsidRPr="001016F6">
        <w:rPr>
          <w:rFonts w:ascii="Verdana" w:hAnsi="Verdana"/>
          <w:sz w:val="20"/>
          <w:szCs w:val="20"/>
        </w:rPr>
        <w:t xml:space="preserve">En el punto resolutivo </w:t>
      </w:r>
      <w:r w:rsidR="005100F7" w:rsidRPr="001016F6">
        <w:rPr>
          <w:rFonts w:ascii="Verdana" w:hAnsi="Verdana"/>
          <w:sz w:val="20"/>
          <w:szCs w:val="20"/>
        </w:rPr>
        <w:t>quinto y en los párrafos 155 y</w:t>
      </w:r>
      <w:r w:rsidR="008E05A0" w:rsidRPr="001016F6">
        <w:rPr>
          <w:rFonts w:ascii="Verdana" w:hAnsi="Verdana"/>
          <w:sz w:val="20"/>
          <w:szCs w:val="20"/>
        </w:rPr>
        <w:t xml:space="preserve"> 156 de la Sentencia, </w:t>
      </w:r>
      <w:r w:rsidR="0017064B" w:rsidRPr="001016F6">
        <w:rPr>
          <w:rFonts w:ascii="Verdana" w:hAnsi="Verdana"/>
          <w:sz w:val="20"/>
          <w:szCs w:val="20"/>
        </w:rPr>
        <w:t>se</w:t>
      </w:r>
      <w:r w:rsidR="00186B1C" w:rsidRPr="001016F6">
        <w:rPr>
          <w:rFonts w:ascii="Verdana" w:hAnsi="Verdana"/>
          <w:sz w:val="20"/>
          <w:szCs w:val="20"/>
        </w:rPr>
        <w:t xml:space="preserve"> dispuso que “el</w:t>
      </w:r>
      <w:r w:rsidR="008E05A0" w:rsidRPr="001016F6">
        <w:rPr>
          <w:rFonts w:ascii="Verdana" w:hAnsi="Verdana"/>
          <w:sz w:val="20"/>
          <w:szCs w:val="20"/>
        </w:rPr>
        <w:t xml:space="preserve"> </w:t>
      </w:r>
      <w:r w:rsidR="00186B1C" w:rsidRPr="001016F6">
        <w:rPr>
          <w:rFonts w:ascii="Verdana" w:hAnsi="Verdana"/>
          <w:sz w:val="20"/>
          <w:szCs w:val="20"/>
        </w:rPr>
        <w:t xml:space="preserve">Estado debe </w:t>
      </w:r>
      <w:r w:rsidR="005100F7" w:rsidRPr="001016F6">
        <w:rPr>
          <w:rFonts w:ascii="Verdana" w:hAnsi="Verdana"/>
          <w:sz w:val="20"/>
          <w:szCs w:val="20"/>
        </w:rPr>
        <w:t>continuar y concluir, eficazmente, en un plazo razonable y con las debidas diligencias, las investigaciones relacionadas con los hechos de tortura en perjuicio de las víctimas de este caso, con el objetivo de identificar, y en su caso procesar y sancionar a los responsables”.</w:t>
      </w:r>
      <w:r w:rsidR="0017064B" w:rsidRPr="001016F6">
        <w:rPr>
          <w:rFonts w:ascii="Verdana" w:hAnsi="Verdana"/>
          <w:sz w:val="20"/>
          <w:szCs w:val="20"/>
        </w:rPr>
        <w:t xml:space="preserve"> También dispuso los aspectos que debe tener en cuenta el Estado para tales efectos</w:t>
      </w:r>
      <w:r w:rsidR="0017064B" w:rsidRPr="001016F6">
        <w:rPr>
          <w:rStyle w:val="FootnoteReference"/>
          <w:rFonts w:ascii="Verdana" w:hAnsi="Verdana"/>
          <w:sz w:val="20"/>
          <w:szCs w:val="20"/>
        </w:rPr>
        <w:footnoteReference w:id="14"/>
      </w:r>
      <w:r w:rsidR="0017064B" w:rsidRPr="001016F6">
        <w:rPr>
          <w:rFonts w:ascii="Verdana" w:hAnsi="Verdana"/>
          <w:sz w:val="20"/>
          <w:szCs w:val="20"/>
        </w:rPr>
        <w:t>.</w:t>
      </w:r>
    </w:p>
    <w:p w:rsidR="008D790F" w:rsidRDefault="008D790F" w:rsidP="009D1022">
      <w:pPr>
        <w:pStyle w:val="ListParagraph"/>
        <w:spacing w:before="120" w:after="120" w:line="240" w:lineRule="auto"/>
        <w:ind w:left="567" w:right="-709"/>
        <w:contextualSpacing w:val="0"/>
        <w:jc w:val="both"/>
        <w:rPr>
          <w:rFonts w:ascii="Verdana" w:hAnsi="Verdana"/>
          <w:i/>
          <w:color w:val="000000" w:themeColor="text1"/>
          <w:sz w:val="20"/>
          <w:szCs w:val="20"/>
        </w:rPr>
      </w:pPr>
    </w:p>
    <w:p w:rsidR="003D6F98" w:rsidRPr="00F51F9A" w:rsidRDefault="003D6F98" w:rsidP="009D1022">
      <w:pPr>
        <w:pStyle w:val="ListParagraph"/>
        <w:spacing w:before="120" w:after="120" w:line="240" w:lineRule="auto"/>
        <w:ind w:left="567" w:right="-709"/>
        <w:contextualSpacing w:val="0"/>
        <w:jc w:val="both"/>
        <w:rPr>
          <w:rFonts w:ascii="Verdana" w:hAnsi="Verdana"/>
          <w:i/>
          <w:color w:val="000000" w:themeColor="text1"/>
          <w:sz w:val="20"/>
          <w:szCs w:val="20"/>
        </w:rPr>
      </w:pPr>
      <w:r w:rsidRPr="00F51F9A">
        <w:rPr>
          <w:rFonts w:ascii="Verdana" w:hAnsi="Verdana"/>
          <w:i/>
          <w:color w:val="000000" w:themeColor="text1"/>
          <w:sz w:val="20"/>
          <w:szCs w:val="20"/>
        </w:rPr>
        <w:t>A.2. Consideraciones de la Corte</w:t>
      </w:r>
    </w:p>
    <w:p w:rsidR="008E05A0" w:rsidRPr="00172C09" w:rsidRDefault="00185C34"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color w:val="000000" w:themeColor="text1"/>
          <w:sz w:val="20"/>
          <w:szCs w:val="20"/>
        </w:rPr>
        <w:t>E</w:t>
      </w:r>
      <w:r w:rsidR="008E05A0" w:rsidRPr="00F51F9A">
        <w:rPr>
          <w:rFonts w:ascii="Verdana" w:hAnsi="Verdana"/>
          <w:color w:val="000000" w:themeColor="text1"/>
          <w:sz w:val="20"/>
          <w:szCs w:val="20"/>
        </w:rPr>
        <w:t xml:space="preserve">n la Sentencia </w:t>
      </w:r>
      <w:r>
        <w:rPr>
          <w:rFonts w:ascii="Verdana" w:hAnsi="Verdana"/>
          <w:color w:val="000000" w:themeColor="text1"/>
          <w:sz w:val="20"/>
          <w:szCs w:val="20"/>
        </w:rPr>
        <w:t xml:space="preserve">se </w:t>
      </w:r>
      <w:r w:rsidR="001461DF" w:rsidRPr="00F51F9A">
        <w:rPr>
          <w:rFonts w:ascii="Verdana" w:hAnsi="Verdana"/>
          <w:color w:val="000000" w:themeColor="text1"/>
          <w:sz w:val="20"/>
          <w:szCs w:val="20"/>
        </w:rPr>
        <w:t>tuvo por probado</w:t>
      </w:r>
      <w:r w:rsidR="008E05A0" w:rsidRPr="00F51F9A">
        <w:rPr>
          <w:rFonts w:ascii="Verdana" w:hAnsi="Verdana"/>
          <w:color w:val="000000" w:themeColor="text1"/>
          <w:sz w:val="20"/>
          <w:szCs w:val="20"/>
        </w:rPr>
        <w:t xml:space="preserve"> que el 28 de agosto de 2013 se inició</w:t>
      </w:r>
      <w:r w:rsidR="001461DF" w:rsidRPr="00F51F9A">
        <w:rPr>
          <w:rFonts w:ascii="Verdana" w:hAnsi="Verdana"/>
          <w:color w:val="000000" w:themeColor="text1"/>
          <w:sz w:val="20"/>
          <w:szCs w:val="20"/>
        </w:rPr>
        <w:t>,</w:t>
      </w:r>
      <w:r w:rsidR="008E05A0" w:rsidRPr="00F51F9A">
        <w:rPr>
          <w:rFonts w:ascii="Verdana" w:hAnsi="Verdana"/>
          <w:color w:val="000000" w:themeColor="text1"/>
          <w:sz w:val="20"/>
          <w:szCs w:val="20"/>
        </w:rPr>
        <w:t xml:space="preserve"> mediante querella de parte</w:t>
      </w:r>
      <w:r w:rsidR="001461DF" w:rsidRPr="00F51F9A">
        <w:rPr>
          <w:rFonts w:ascii="Verdana" w:hAnsi="Verdana"/>
          <w:color w:val="000000" w:themeColor="text1"/>
          <w:sz w:val="20"/>
          <w:szCs w:val="20"/>
        </w:rPr>
        <w:t>,</w:t>
      </w:r>
      <w:r w:rsidR="008E05A0" w:rsidRPr="00F51F9A">
        <w:rPr>
          <w:rFonts w:ascii="Verdana" w:hAnsi="Verdana"/>
          <w:color w:val="000000" w:themeColor="text1"/>
          <w:sz w:val="20"/>
          <w:szCs w:val="20"/>
        </w:rPr>
        <w:t xml:space="preserve"> la investigación por los hechos de tortura </w:t>
      </w:r>
      <w:r w:rsidR="001016F6">
        <w:rPr>
          <w:rFonts w:ascii="Verdana" w:hAnsi="Verdana"/>
          <w:color w:val="000000" w:themeColor="text1"/>
          <w:sz w:val="20"/>
          <w:szCs w:val="20"/>
        </w:rPr>
        <w:t xml:space="preserve">cometidos </w:t>
      </w:r>
      <w:r w:rsidR="00291DB2">
        <w:rPr>
          <w:rFonts w:ascii="Verdana" w:hAnsi="Verdana"/>
          <w:color w:val="000000" w:themeColor="text1"/>
          <w:sz w:val="20"/>
          <w:szCs w:val="20"/>
        </w:rPr>
        <w:t xml:space="preserve">por “agentes del Estado, todos funcionarios de la F[uerza Aérea de Chile”, </w:t>
      </w:r>
      <w:r w:rsidR="008E05A0" w:rsidRPr="00F51F9A">
        <w:rPr>
          <w:rFonts w:ascii="Verdana" w:hAnsi="Verdana"/>
          <w:color w:val="000000" w:themeColor="text1"/>
          <w:sz w:val="20"/>
          <w:szCs w:val="20"/>
        </w:rPr>
        <w:t xml:space="preserve">en </w:t>
      </w:r>
      <w:r>
        <w:rPr>
          <w:rFonts w:ascii="Verdana" w:hAnsi="Verdana"/>
          <w:color w:val="000000" w:themeColor="text1"/>
          <w:sz w:val="20"/>
          <w:szCs w:val="20"/>
        </w:rPr>
        <w:t>perjuicio</w:t>
      </w:r>
      <w:r w:rsidR="008E05A0" w:rsidRPr="00F51F9A">
        <w:rPr>
          <w:rFonts w:ascii="Verdana" w:hAnsi="Verdana"/>
          <w:color w:val="000000" w:themeColor="text1"/>
          <w:sz w:val="20"/>
          <w:szCs w:val="20"/>
        </w:rPr>
        <w:t xml:space="preserve"> de </w:t>
      </w:r>
      <w:r w:rsidR="001016F6">
        <w:rPr>
          <w:rFonts w:ascii="Verdana" w:hAnsi="Verdana"/>
          <w:color w:val="000000" w:themeColor="text1"/>
          <w:sz w:val="20"/>
          <w:szCs w:val="20"/>
        </w:rPr>
        <w:t xml:space="preserve">varias personas, incluyendo </w:t>
      </w:r>
      <w:r w:rsidR="008E05A0" w:rsidRPr="00F51F9A">
        <w:rPr>
          <w:rFonts w:ascii="Verdana" w:hAnsi="Verdana"/>
          <w:color w:val="000000" w:themeColor="text1"/>
          <w:sz w:val="20"/>
          <w:szCs w:val="20"/>
        </w:rPr>
        <w:t xml:space="preserve">las </w:t>
      </w:r>
      <w:r w:rsidR="0017064B">
        <w:rPr>
          <w:rFonts w:ascii="Verdana" w:hAnsi="Verdana"/>
          <w:color w:val="000000" w:themeColor="text1"/>
          <w:sz w:val="20"/>
          <w:szCs w:val="20"/>
        </w:rPr>
        <w:t>doce</w:t>
      </w:r>
      <w:r w:rsidR="0017064B" w:rsidRPr="00F51F9A">
        <w:rPr>
          <w:rFonts w:ascii="Verdana" w:hAnsi="Verdana"/>
          <w:color w:val="000000" w:themeColor="text1"/>
          <w:sz w:val="20"/>
          <w:szCs w:val="20"/>
        </w:rPr>
        <w:t xml:space="preserve"> </w:t>
      </w:r>
      <w:r w:rsidR="008E05A0" w:rsidRPr="00F51F9A">
        <w:rPr>
          <w:rFonts w:ascii="Verdana" w:hAnsi="Verdana"/>
          <w:color w:val="000000" w:themeColor="text1"/>
          <w:sz w:val="20"/>
          <w:szCs w:val="20"/>
        </w:rPr>
        <w:t xml:space="preserve">víctimas de este caso, la cual se encontraba en </w:t>
      </w:r>
      <w:r w:rsidR="008E05A0" w:rsidRPr="00F51F9A">
        <w:rPr>
          <w:rFonts w:ascii="Verdana" w:hAnsi="Verdana"/>
          <w:color w:val="000000" w:themeColor="text1"/>
          <w:sz w:val="20"/>
          <w:szCs w:val="20"/>
        </w:rPr>
        <w:lastRenderedPageBreak/>
        <w:t>curso bajo la causa Rol N° 179-2013</w:t>
      </w:r>
      <w:r w:rsidR="008E05A0" w:rsidRPr="00F51F9A">
        <w:rPr>
          <w:rStyle w:val="FootnoteReference"/>
          <w:rFonts w:ascii="Verdana" w:hAnsi="Verdana"/>
          <w:color w:val="000000" w:themeColor="text1"/>
          <w:sz w:val="20"/>
          <w:szCs w:val="20"/>
        </w:rPr>
        <w:footnoteReference w:id="15"/>
      </w:r>
      <w:r w:rsidR="008E05A0" w:rsidRPr="00F51F9A">
        <w:rPr>
          <w:rFonts w:ascii="Verdana" w:hAnsi="Verdana"/>
          <w:color w:val="000000" w:themeColor="text1"/>
          <w:sz w:val="20"/>
          <w:szCs w:val="20"/>
        </w:rPr>
        <w:t xml:space="preserve">. </w:t>
      </w:r>
      <w:r w:rsidR="001461DF" w:rsidRPr="00F51F9A">
        <w:rPr>
          <w:rFonts w:ascii="Verdana" w:hAnsi="Verdana"/>
          <w:color w:val="000000" w:themeColor="text1"/>
          <w:sz w:val="20"/>
          <w:szCs w:val="20"/>
        </w:rPr>
        <w:t xml:space="preserve">En los párrafos 59 a 69 de la Sentencia </w:t>
      </w:r>
      <w:r>
        <w:rPr>
          <w:rFonts w:ascii="Verdana" w:hAnsi="Verdana"/>
          <w:color w:val="000000" w:themeColor="text1"/>
          <w:sz w:val="20"/>
          <w:szCs w:val="20"/>
        </w:rPr>
        <w:t xml:space="preserve">se </w:t>
      </w:r>
      <w:r w:rsidR="001461DF" w:rsidRPr="00F51F9A">
        <w:rPr>
          <w:rFonts w:ascii="Verdana" w:hAnsi="Verdana"/>
          <w:color w:val="000000" w:themeColor="text1"/>
          <w:sz w:val="20"/>
          <w:szCs w:val="20"/>
        </w:rPr>
        <w:t xml:space="preserve">hizo un recuento de los hechos relativos a la referida investigación penal desde su apertura hasta septiembre de 2014, constatando que “aún seguía en curso”, pero que “[n]o c[ontaba] con información de diligencias de investigación posteriores a e[s]a última fecha”. Asimismo, </w:t>
      </w:r>
      <w:r>
        <w:rPr>
          <w:rFonts w:ascii="Verdana" w:hAnsi="Verdana"/>
          <w:color w:val="000000" w:themeColor="text1"/>
          <w:sz w:val="20"/>
          <w:szCs w:val="20"/>
        </w:rPr>
        <w:t xml:space="preserve">en </w:t>
      </w:r>
      <w:r w:rsidR="001461DF" w:rsidRPr="00F51F9A">
        <w:rPr>
          <w:rFonts w:ascii="Verdana" w:hAnsi="Verdana"/>
          <w:color w:val="000000" w:themeColor="text1"/>
          <w:sz w:val="20"/>
          <w:szCs w:val="20"/>
        </w:rPr>
        <w:t xml:space="preserve">el análisis de fondo sobre </w:t>
      </w:r>
      <w:r w:rsidR="0017064B">
        <w:rPr>
          <w:rFonts w:ascii="Verdana" w:hAnsi="Verdana"/>
          <w:color w:val="000000" w:themeColor="text1"/>
          <w:sz w:val="20"/>
          <w:szCs w:val="20"/>
        </w:rPr>
        <w:t>“</w:t>
      </w:r>
      <w:r w:rsidR="001461DF" w:rsidRPr="00F51F9A">
        <w:rPr>
          <w:rFonts w:ascii="Verdana" w:hAnsi="Verdana"/>
          <w:color w:val="000000" w:themeColor="text1"/>
          <w:sz w:val="20"/>
          <w:szCs w:val="20"/>
        </w:rPr>
        <w:t xml:space="preserve">los derechos a las garantías judiciales y a la protección judicial por la </w:t>
      </w:r>
      <w:r w:rsidR="0017064B">
        <w:rPr>
          <w:rFonts w:ascii="Verdana" w:hAnsi="Verdana"/>
          <w:color w:val="000000" w:themeColor="text1"/>
          <w:sz w:val="20"/>
          <w:szCs w:val="20"/>
        </w:rPr>
        <w:t xml:space="preserve">[…] </w:t>
      </w:r>
      <w:r w:rsidR="001461DF" w:rsidRPr="00F51F9A">
        <w:rPr>
          <w:rFonts w:ascii="Verdana" w:hAnsi="Verdana"/>
          <w:color w:val="000000" w:themeColor="text1"/>
          <w:sz w:val="20"/>
          <w:szCs w:val="20"/>
        </w:rPr>
        <w:t>falta de investigación de los hechos de tortura</w:t>
      </w:r>
      <w:r w:rsidR="0017064B">
        <w:rPr>
          <w:rFonts w:ascii="Verdana" w:hAnsi="Verdana"/>
          <w:color w:val="000000" w:themeColor="text1"/>
          <w:sz w:val="20"/>
          <w:szCs w:val="20"/>
        </w:rPr>
        <w:t>”</w:t>
      </w:r>
      <w:r w:rsidR="001461DF" w:rsidRPr="00F51F9A">
        <w:rPr>
          <w:rFonts w:ascii="Verdana" w:hAnsi="Verdana"/>
          <w:color w:val="000000" w:themeColor="text1"/>
          <w:sz w:val="20"/>
          <w:szCs w:val="20"/>
        </w:rPr>
        <w:t>, la Corte sostuvo que</w:t>
      </w:r>
      <w:r w:rsidR="0017064B">
        <w:rPr>
          <w:rFonts w:ascii="Verdana" w:hAnsi="Verdana"/>
          <w:color w:val="000000" w:themeColor="text1"/>
          <w:sz w:val="20"/>
          <w:szCs w:val="20"/>
        </w:rPr>
        <w:t xml:space="preserve"> </w:t>
      </w:r>
      <w:r w:rsidR="0017064B" w:rsidRPr="001016F6">
        <w:rPr>
          <w:rFonts w:ascii="Verdana" w:hAnsi="Verdana"/>
          <w:color w:val="000000" w:themeColor="text1"/>
          <w:sz w:val="20"/>
          <w:szCs w:val="20"/>
        </w:rPr>
        <w:t>“[e]n el desarrollo de esa causa, se llevaron acciones dirigidas a la investigación y determinación de los responsables de los hechos de tortura en contra de las […] víctimas” y que</w:t>
      </w:r>
      <w:r>
        <w:rPr>
          <w:rFonts w:ascii="Verdana" w:hAnsi="Verdana"/>
          <w:color w:val="000000" w:themeColor="text1"/>
          <w:sz w:val="20"/>
          <w:szCs w:val="20"/>
        </w:rPr>
        <w:t>,</w:t>
      </w:r>
      <w:r w:rsidR="001461DF" w:rsidRPr="00F51F9A">
        <w:rPr>
          <w:rFonts w:ascii="Verdana" w:hAnsi="Verdana"/>
          <w:color w:val="000000" w:themeColor="text1"/>
          <w:sz w:val="20"/>
          <w:szCs w:val="20"/>
        </w:rPr>
        <w:t xml:space="preserve"> </w:t>
      </w:r>
      <w:r w:rsidR="008E05A0" w:rsidRPr="00F51F9A">
        <w:rPr>
          <w:rFonts w:ascii="Verdana" w:hAnsi="Verdana"/>
          <w:color w:val="000000" w:themeColor="text1"/>
          <w:sz w:val="20"/>
          <w:szCs w:val="20"/>
        </w:rPr>
        <w:t xml:space="preserve">hasta el momento de emisión de la Sentencia, “no se p[odía] </w:t>
      </w:r>
      <w:r w:rsidR="00D87C7A">
        <w:rPr>
          <w:rFonts w:ascii="Verdana" w:hAnsi="Verdana"/>
          <w:color w:val="000000" w:themeColor="text1"/>
          <w:sz w:val="20"/>
          <w:szCs w:val="20"/>
        </w:rPr>
        <w:t xml:space="preserve">razonablemente </w:t>
      </w:r>
      <w:r w:rsidR="008E05A0" w:rsidRPr="00F51F9A">
        <w:rPr>
          <w:rFonts w:ascii="Verdana" w:hAnsi="Verdana"/>
          <w:color w:val="000000" w:themeColor="text1"/>
          <w:sz w:val="20"/>
          <w:szCs w:val="20"/>
        </w:rPr>
        <w:t xml:space="preserve">concluir que [dicha] investigación [estuviera siendo] llevada a cabo en menoscabo de los derechos a </w:t>
      </w:r>
      <w:r w:rsidR="008E05A0" w:rsidRPr="00172C09">
        <w:rPr>
          <w:rFonts w:ascii="Verdana" w:hAnsi="Verdana"/>
          <w:sz w:val="20"/>
          <w:szCs w:val="20"/>
        </w:rPr>
        <w:t xml:space="preserve">las garantías y protección judiciales por la inobservancia de </w:t>
      </w:r>
      <w:r w:rsidR="00D87C7A">
        <w:rPr>
          <w:rFonts w:ascii="Verdana" w:hAnsi="Verdana"/>
          <w:sz w:val="20"/>
          <w:szCs w:val="20"/>
        </w:rPr>
        <w:t xml:space="preserve">pautas de </w:t>
      </w:r>
      <w:r w:rsidR="008E05A0" w:rsidRPr="00172C09">
        <w:rPr>
          <w:rFonts w:ascii="Verdana" w:hAnsi="Verdana"/>
          <w:sz w:val="20"/>
          <w:szCs w:val="20"/>
        </w:rPr>
        <w:t>debida diligencia”</w:t>
      </w:r>
      <w:r w:rsidR="008E05A0" w:rsidRPr="00172C09">
        <w:rPr>
          <w:rStyle w:val="FootnoteReference"/>
          <w:rFonts w:ascii="Verdana" w:hAnsi="Verdana"/>
          <w:sz w:val="20"/>
          <w:szCs w:val="20"/>
        </w:rPr>
        <w:footnoteReference w:id="16"/>
      </w:r>
      <w:r w:rsidR="008E05A0" w:rsidRPr="00172C09">
        <w:rPr>
          <w:rFonts w:ascii="Verdana" w:hAnsi="Verdana"/>
          <w:sz w:val="20"/>
          <w:szCs w:val="20"/>
        </w:rPr>
        <w:t>.</w:t>
      </w:r>
    </w:p>
    <w:p w:rsidR="00B32470" w:rsidRDefault="00F51F9A" w:rsidP="00B32470">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172C09">
        <w:rPr>
          <w:rFonts w:ascii="Verdana" w:hAnsi="Verdana"/>
          <w:sz w:val="20"/>
          <w:szCs w:val="20"/>
        </w:rPr>
        <w:t>Durante la etapa de supervisión de cumplimiento</w:t>
      </w:r>
      <w:r w:rsidR="00172C09" w:rsidRPr="00172C09">
        <w:rPr>
          <w:rFonts w:ascii="Verdana" w:hAnsi="Verdana"/>
          <w:sz w:val="20"/>
          <w:szCs w:val="20"/>
        </w:rPr>
        <w:t>,</w:t>
      </w:r>
      <w:r w:rsidRPr="00172C09">
        <w:rPr>
          <w:rFonts w:ascii="Verdana" w:hAnsi="Verdana"/>
          <w:sz w:val="20"/>
          <w:szCs w:val="20"/>
        </w:rPr>
        <w:t xml:space="preserve"> el </w:t>
      </w:r>
      <w:r w:rsidRPr="00172C09">
        <w:rPr>
          <w:rFonts w:ascii="Verdana" w:hAnsi="Verdana"/>
          <w:i/>
          <w:sz w:val="20"/>
          <w:szCs w:val="20"/>
        </w:rPr>
        <w:t>Estado</w:t>
      </w:r>
      <w:r w:rsidRPr="00172C09">
        <w:rPr>
          <w:rFonts w:ascii="Verdana" w:hAnsi="Verdana"/>
          <w:sz w:val="20"/>
          <w:szCs w:val="20"/>
        </w:rPr>
        <w:t xml:space="preserve"> informó que “se ha mantenido abierta la investigación judicial de los hechos del presente caso y se han llevado a cabo diversas diligencias”, y aportó un informe </w:t>
      </w:r>
      <w:r w:rsidR="006A34B7">
        <w:rPr>
          <w:rFonts w:ascii="Verdana" w:hAnsi="Verdana"/>
          <w:sz w:val="20"/>
          <w:szCs w:val="20"/>
        </w:rPr>
        <w:t xml:space="preserve">de 21 de julio de 2016 </w:t>
      </w:r>
      <w:r w:rsidRPr="00172C09">
        <w:rPr>
          <w:rFonts w:ascii="Verdana" w:hAnsi="Verdana"/>
          <w:sz w:val="20"/>
          <w:szCs w:val="20"/>
        </w:rPr>
        <w:t xml:space="preserve">del Ministro en Vista Extraordinaria de la Corte de Apelaciones de Santiago sobre las </w:t>
      </w:r>
      <w:r w:rsidR="00172C09" w:rsidRPr="00172C09">
        <w:rPr>
          <w:rFonts w:ascii="Verdana" w:hAnsi="Verdana"/>
          <w:sz w:val="20"/>
          <w:szCs w:val="20"/>
        </w:rPr>
        <w:t>diligencias realizadas en la “causa Rol. N° 179-2013 del 34° Juzgado del Crimen de Santiago, sustanciada en Vista Extraordinaria</w:t>
      </w:r>
      <w:r w:rsidR="00677A64">
        <w:rPr>
          <w:rFonts w:ascii="Verdana" w:hAnsi="Verdana"/>
          <w:sz w:val="20"/>
          <w:szCs w:val="20"/>
        </w:rPr>
        <w:t>”</w:t>
      </w:r>
      <w:r w:rsidR="00172C09" w:rsidRPr="00172C09">
        <w:rPr>
          <w:rFonts w:ascii="Verdana" w:hAnsi="Verdana"/>
          <w:sz w:val="20"/>
          <w:szCs w:val="20"/>
        </w:rPr>
        <w:t>, seguida por el delito de torturas</w:t>
      </w:r>
      <w:r w:rsidR="00C17D8B">
        <w:rPr>
          <w:rFonts w:ascii="Verdana" w:hAnsi="Verdana"/>
          <w:sz w:val="20"/>
          <w:szCs w:val="20"/>
        </w:rPr>
        <w:t xml:space="preserve"> en perjuicio de varias personas, incluyendo las víctimas del presente caso</w:t>
      </w:r>
      <w:r w:rsidR="00172C09" w:rsidRPr="0029415F">
        <w:rPr>
          <w:rStyle w:val="FootnoteReference"/>
          <w:rFonts w:ascii="Verdana" w:hAnsi="Verdana"/>
          <w:sz w:val="20"/>
          <w:szCs w:val="20"/>
        </w:rPr>
        <w:footnoteReference w:id="17"/>
      </w:r>
      <w:r w:rsidR="00172C09" w:rsidRPr="0029415F">
        <w:rPr>
          <w:rFonts w:ascii="Verdana" w:hAnsi="Verdana"/>
          <w:sz w:val="20"/>
          <w:szCs w:val="20"/>
        </w:rPr>
        <w:t>.</w:t>
      </w:r>
      <w:r w:rsidR="00172C09" w:rsidRPr="00172C09">
        <w:rPr>
          <w:rFonts w:ascii="Verdana" w:hAnsi="Verdana"/>
          <w:sz w:val="20"/>
          <w:szCs w:val="20"/>
        </w:rPr>
        <w:t xml:space="preserve"> El </w:t>
      </w:r>
      <w:r w:rsidR="00172C09" w:rsidRPr="00172C09">
        <w:rPr>
          <w:rFonts w:ascii="Verdana" w:hAnsi="Verdana"/>
          <w:i/>
          <w:sz w:val="20"/>
          <w:szCs w:val="20"/>
        </w:rPr>
        <w:t>representante</w:t>
      </w:r>
      <w:r w:rsidR="00172C09" w:rsidRPr="00172C09">
        <w:rPr>
          <w:rFonts w:ascii="Verdana" w:hAnsi="Verdana"/>
          <w:sz w:val="20"/>
          <w:szCs w:val="20"/>
        </w:rPr>
        <w:t xml:space="preserve"> no realizó observaciones específicas al informe</w:t>
      </w:r>
      <w:r w:rsidR="00C17D8B">
        <w:rPr>
          <w:rFonts w:ascii="Verdana" w:hAnsi="Verdana"/>
          <w:sz w:val="20"/>
          <w:szCs w:val="20"/>
        </w:rPr>
        <w:t xml:space="preserve"> del Ministro en Vista Extraordinaria</w:t>
      </w:r>
      <w:r w:rsidR="00172C09" w:rsidRPr="00172C09">
        <w:rPr>
          <w:rFonts w:ascii="Verdana" w:hAnsi="Verdana"/>
          <w:sz w:val="20"/>
          <w:szCs w:val="20"/>
        </w:rPr>
        <w:t>. De manera general</w:t>
      </w:r>
      <w:r w:rsidR="00C17D8B">
        <w:rPr>
          <w:rFonts w:ascii="Verdana" w:hAnsi="Verdana"/>
          <w:sz w:val="20"/>
          <w:szCs w:val="20"/>
        </w:rPr>
        <w:t xml:space="preserve">, </w:t>
      </w:r>
      <w:r w:rsidR="00172C09" w:rsidRPr="00172C09">
        <w:rPr>
          <w:rFonts w:ascii="Verdana" w:hAnsi="Verdana"/>
          <w:sz w:val="20"/>
          <w:szCs w:val="20"/>
        </w:rPr>
        <w:t>sostuvo que “los hechos y antecedentes señalados […] por el Estado corresponden a la verdad”</w:t>
      </w:r>
      <w:r w:rsidR="007211DD">
        <w:rPr>
          <w:rFonts w:ascii="Verdana" w:hAnsi="Verdana"/>
          <w:sz w:val="20"/>
          <w:szCs w:val="20"/>
        </w:rPr>
        <w:t xml:space="preserve"> (</w:t>
      </w:r>
      <w:r w:rsidR="007211DD" w:rsidRPr="007211DD">
        <w:rPr>
          <w:rFonts w:ascii="Verdana" w:hAnsi="Verdana"/>
          <w:i/>
          <w:sz w:val="20"/>
          <w:szCs w:val="20"/>
        </w:rPr>
        <w:t>supra</w:t>
      </w:r>
      <w:r w:rsidR="007211DD">
        <w:rPr>
          <w:rFonts w:ascii="Verdana" w:hAnsi="Verdana"/>
          <w:sz w:val="20"/>
          <w:szCs w:val="20"/>
        </w:rPr>
        <w:t xml:space="preserve"> Considerando 3)</w:t>
      </w:r>
      <w:r w:rsidR="00172C09" w:rsidRPr="00172C09">
        <w:rPr>
          <w:rFonts w:ascii="Verdana" w:hAnsi="Verdana"/>
          <w:sz w:val="20"/>
          <w:szCs w:val="20"/>
        </w:rPr>
        <w:t>, y que “la investigación de los hechos ha continuado, pero no ha concluido, de manera tal que no puede entenderse cumplida la Sentencia […] en este punto”</w:t>
      </w:r>
      <w:r w:rsidR="00172C09" w:rsidRPr="00172C09">
        <w:rPr>
          <w:rStyle w:val="FootnoteReference"/>
          <w:rFonts w:ascii="Verdana" w:hAnsi="Verdana"/>
          <w:sz w:val="20"/>
          <w:szCs w:val="20"/>
        </w:rPr>
        <w:footnoteReference w:id="18"/>
      </w:r>
      <w:r w:rsidR="00172C09" w:rsidRPr="00172C09">
        <w:rPr>
          <w:rFonts w:ascii="Verdana" w:hAnsi="Verdana"/>
          <w:sz w:val="20"/>
          <w:szCs w:val="20"/>
        </w:rPr>
        <w:t>.</w:t>
      </w:r>
    </w:p>
    <w:p w:rsidR="006D298F" w:rsidRPr="00B32470" w:rsidRDefault="006D095E" w:rsidP="00B32470">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B32470">
        <w:rPr>
          <w:rFonts w:ascii="Verdana" w:hAnsi="Verdana"/>
          <w:sz w:val="20"/>
          <w:szCs w:val="20"/>
        </w:rPr>
        <w:t>Del</w:t>
      </w:r>
      <w:r w:rsidR="00FA7680" w:rsidRPr="00B32470">
        <w:rPr>
          <w:rFonts w:ascii="Verdana" w:hAnsi="Verdana"/>
          <w:sz w:val="20"/>
          <w:szCs w:val="20"/>
        </w:rPr>
        <w:t xml:space="preserve"> referido informe</w:t>
      </w:r>
      <w:r w:rsidR="00FA7680" w:rsidRPr="00B32470">
        <w:rPr>
          <w:rFonts w:ascii="Verdana" w:hAnsi="Verdana"/>
          <w:b/>
          <w:sz w:val="16"/>
          <w:szCs w:val="16"/>
        </w:rPr>
        <w:t xml:space="preserve"> </w:t>
      </w:r>
      <w:r w:rsidR="00FA7680" w:rsidRPr="00B32470">
        <w:rPr>
          <w:rFonts w:ascii="Verdana" w:hAnsi="Verdana"/>
          <w:sz w:val="20"/>
          <w:szCs w:val="20"/>
        </w:rPr>
        <w:t xml:space="preserve">del Ministro en Vista Extraordinaria se desprende que entre septiembre de 2014 y julio de 2016 se han realizado dentro de la investigación penal diversas </w:t>
      </w:r>
      <w:r w:rsidR="00D87C7A" w:rsidRPr="00B32470">
        <w:rPr>
          <w:rFonts w:ascii="Verdana" w:hAnsi="Verdana"/>
          <w:sz w:val="20"/>
          <w:szCs w:val="20"/>
        </w:rPr>
        <w:t xml:space="preserve">acciones </w:t>
      </w:r>
      <w:r w:rsidR="00FA7680" w:rsidRPr="00B32470">
        <w:rPr>
          <w:rFonts w:ascii="Verdana" w:hAnsi="Verdana"/>
          <w:sz w:val="20"/>
          <w:szCs w:val="20"/>
        </w:rPr>
        <w:t>relacionadas</w:t>
      </w:r>
      <w:r w:rsidR="00963798" w:rsidRPr="00B32470">
        <w:rPr>
          <w:rFonts w:ascii="Verdana" w:hAnsi="Verdana"/>
          <w:sz w:val="20"/>
          <w:szCs w:val="20"/>
        </w:rPr>
        <w:t>, entre otras,</w:t>
      </w:r>
      <w:r w:rsidR="00FA7680" w:rsidRPr="00B32470">
        <w:rPr>
          <w:rFonts w:ascii="Verdana" w:hAnsi="Verdana"/>
          <w:sz w:val="20"/>
          <w:szCs w:val="20"/>
        </w:rPr>
        <w:t xml:space="preserve"> con: i)</w:t>
      </w:r>
      <w:r w:rsidR="00963798" w:rsidRPr="00B32470">
        <w:rPr>
          <w:rFonts w:ascii="Verdana" w:hAnsi="Verdana"/>
          <w:sz w:val="20"/>
          <w:szCs w:val="20"/>
        </w:rPr>
        <w:t xml:space="preserve"> </w:t>
      </w:r>
      <w:r w:rsidR="00C450F4" w:rsidRPr="00B32470">
        <w:rPr>
          <w:rFonts w:ascii="Verdana" w:hAnsi="Verdana"/>
          <w:sz w:val="20"/>
          <w:szCs w:val="20"/>
        </w:rPr>
        <w:t xml:space="preserve">diligencias y solicitudes de información </w:t>
      </w:r>
      <w:r w:rsidR="00D906EE" w:rsidRPr="00B32470">
        <w:rPr>
          <w:rFonts w:ascii="Verdana" w:hAnsi="Verdana"/>
          <w:sz w:val="20"/>
          <w:szCs w:val="20"/>
        </w:rPr>
        <w:t xml:space="preserve">ante diversas entidades </w:t>
      </w:r>
      <w:r w:rsidR="00C450F4" w:rsidRPr="00B32470">
        <w:rPr>
          <w:rFonts w:ascii="Verdana" w:hAnsi="Verdana"/>
          <w:sz w:val="20"/>
          <w:szCs w:val="20"/>
        </w:rPr>
        <w:t>para la identificación y ubicación de los querellados en territorio nacional y en el extranjero</w:t>
      </w:r>
      <w:r w:rsidR="00D906EE" w:rsidRPr="00354270">
        <w:rPr>
          <w:rStyle w:val="FootnoteReference"/>
          <w:rFonts w:ascii="Verdana" w:hAnsi="Verdana"/>
          <w:sz w:val="20"/>
          <w:szCs w:val="20"/>
        </w:rPr>
        <w:footnoteReference w:id="19"/>
      </w:r>
      <w:r w:rsidR="00C450F4" w:rsidRPr="00B32470">
        <w:rPr>
          <w:rFonts w:ascii="Verdana" w:hAnsi="Verdana"/>
          <w:sz w:val="20"/>
          <w:szCs w:val="20"/>
        </w:rPr>
        <w:t xml:space="preserve">; ii) </w:t>
      </w:r>
      <w:r w:rsidR="00963798" w:rsidRPr="00B32470">
        <w:rPr>
          <w:rFonts w:ascii="Verdana" w:hAnsi="Verdana"/>
          <w:sz w:val="20"/>
          <w:szCs w:val="20"/>
        </w:rPr>
        <w:t xml:space="preserve">la </w:t>
      </w:r>
      <w:r w:rsidR="00D906EE" w:rsidRPr="00B32470">
        <w:rPr>
          <w:rFonts w:ascii="Verdana" w:hAnsi="Verdana"/>
          <w:sz w:val="20"/>
          <w:szCs w:val="20"/>
        </w:rPr>
        <w:t>recepción</w:t>
      </w:r>
      <w:r w:rsidR="00963798" w:rsidRPr="00B32470">
        <w:rPr>
          <w:rFonts w:ascii="Verdana" w:hAnsi="Verdana"/>
          <w:sz w:val="20"/>
          <w:szCs w:val="20"/>
        </w:rPr>
        <w:t xml:space="preserve"> de “informe[s] policial[es</w:t>
      </w:r>
      <w:r w:rsidR="00D906EE" w:rsidRPr="00B32470">
        <w:rPr>
          <w:rFonts w:ascii="Verdana" w:hAnsi="Verdana"/>
          <w:sz w:val="20"/>
          <w:szCs w:val="20"/>
        </w:rPr>
        <w:t xml:space="preserve"> rendidos por</w:t>
      </w:r>
      <w:r w:rsidR="00963798" w:rsidRPr="00B32470">
        <w:rPr>
          <w:rFonts w:ascii="Verdana" w:hAnsi="Verdana"/>
          <w:sz w:val="20"/>
          <w:szCs w:val="20"/>
        </w:rPr>
        <w:t>] la Brigada de Inteligencia Policial Metropolitana de la Policía de Investigaciones de Chile que dan cuenta de la individualización, ubicación y entrevista de los denunciados por esta causa” así como “sobre la materialización de entrevistas [a varios] de los querellados”; ii</w:t>
      </w:r>
      <w:r w:rsidR="00C450F4" w:rsidRPr="00B32470">
        <w:rPr>
          <w:rFonts w:ascii="Verdana" w:hAnsi="Verdana"/>
          <w:sz w:val="20"/>
          <w:szCs w:val="20"/>
        </w:rPr>
        <w:t>i</w:t>
      </w:r>
      <w:r w:rsidR="00963798" w:rsidRPr="00B32470">
        <w:rPr>
          <w:rFonts w:ascii="Verdana" w:hAnsi="Verdana"/>
          <w:sz w:val="20"/>
          <w:szCs w:val="20"/>
        </w:rPr>
        <w:t>) recepción de la “declaraci</w:t>
      </w:r>
      <w:r w:rsidR="00C450F4" w:rsidRPr="00B32470">
        <w:rPr>
          <w:rFonts w:ascii="Verdana" w:hAnsi="Verdana"/>
          <w:sz w:val="20"/>
          <w:szCs w:val="20"/>
        </w:rPr>
        <w:t xml:space="preserve">ón judicial de [trece] querellados”; iv) </w:t>
      </w:r>
      <w:r w:rsidR="00B77A4D" w:rsidRPr="00B32470">
        <w:rPr>
          <w:rFonts w:ascii="Verdana" w:hAnsi="Verdana"/>
          <w:sz w:val="20"/>
          <w:szCs w:val="20"/>
        </w:rPr>
        <w:t>la solicitud “al Servicio Médico Legal a fin de que se practique examen al tenor del protocolo de Estambul” a varios de los afectados</w:t>
      </w:r>
      <w:r w:rsidR="006A5BD9" w:rsidRPr="00B32470">
        <w:rPr>
          <w:rFonts w:ascii="Verdana" w:hAnsi="Verdana"/>
          <w:sz w:val="20"/>
          <w:szCs w:val="20"/>
        </w:rPr>
        <w:t xml:space="preserve"> con los hechos denunciados, y</w:t>
      </w:r>
      <w:r w:rsidR="00B77A4D" w:rsidRPr="00B32470">
        <w:rPr>
          <w:rFonts w:ascii="Verdana" w:hAnsi="Verdana"/>
          <w:sz w:val="20"/>
          <w:szCs w:val="20"/>
        </w:rPr>
        <w:t xml:space="preserve"> </w:t>
      </w:r>
      <w:r w:rsidR="00B77A4D" w:rsidRPr="00B32470">
        <w:rPr>
          <w:rFonts w:ascii="Verdana" w:hAnsi="Verdana"/>
          <w:sz w:val="20"/>
          <w:szCs w:val="16"/>
        </w:rPr>
        <w:t xml:space="preserve">v) </w:t>
      </w:r>
      <w:r w:rsidR="00C450F4" w:rsidRPr="00B32470">
        <w:rPr>
          <w:rFonts w:ascii="Verdana" w:hAnsi="Verdana"/>
          <w:sz w:val="20"/>
          <w:szCs w:val="20"/>
        </w:rPr>
        <w:t>recepción de “la declaración en calidad de inculpado”</w:t>
      </w:r>
      <w:r w:rsidR="006A5BD9" w:rsidRPr="00B32470">
        <w:rPr>
          <w:rFonts w:ascii="Verdana" w:hAnsi="Verdana"/>
          <w:sz w:val="20"/>
          <w:szCs w:val="20"/>
        </w:rPr>
        <w:t xml:space="preserve"> de cuatro personas.</w:t>
      </w:r>
      <w:r w:rsidR="00C450F4" w:rsidRPr="00B32470">
        <w:rPr>
          <w:rFonts w:ascii="Verdana" w:hAnsi="Verdana"/>
          <w:sz w:val="20"/>
          <w:szCs w:val="20"/>
        </w:rPr>
        <w:t xml:space="preserve"> </w:t>
      </w:r>
    </w:p>
    <w:p w:rsidR="006A5BD9" w:rsidRPr="005B1C71" w:rsidRDefault="006A5BD9"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5B1C71">
        <w:rPr>
          <w:rFonts w:ascii="Verdana" w:hAnsi="Verdana"/>
          <w:sz w:val="20"/>
          <w:szCs w:val="20"/>
        </w:rPr>
        <w:lastRenderedPageBreak/>
        <w:t xml:space="preserve">El Tribunal toma nota de las </w:t>
      </w:r>
      <w:r w:rsidR="00D87C7A">
        <w:rPr>
          <w:rFonts w:ascii="Verdana" w:hAnsi="Verdana"/>
          <w:sz w:val="20"/>
          <w:szCs w:val="20"/>
        </w:rPr>
        <w:t>referidas</w:t>
      </w:r>
      <w:r w:rsidR="00B32470">
        <w:rPr>
          <w:rFonts w:ascii="Verdana" w:hAnsi="Verdana"/>
          <w:sz w:val="20"/>
          <w:szCs w:val="20"/>
        </w:rPr>
        <w:t xml:space="preserve"> </w:t>
      </w:r>
      <w:r w:rsidR="00D87C7A">
        <w:rPr>
          <w:rFonts w:ascii="Verdana" w:hAnsi="Verdana"/>
          <w:sz w:val="20"/>
          <w:szCs w:val="20"/>
        </w:rPr>
        <w:t>acciones</w:t>
      </w:r>
      <w:r w:rsidR="00D87C7A" w:rsidRPr="005B1C71">
        <w:rPr>
          <w:rFonts w:ascii="Verdana" w:hAnsi="Verdana"/>
          <w:sz w:val="20"/>
          <w:szCs w:val="20"/>
        </w:rPr>
        <w:t xml:space="preserve"> </w:t>
      </w:r>
      <w:r w:rsidRPr="005B1C71">
        <w:rPr>
          <w:rFonts w:ascii="Verdana" w:hAnsi="Verdana"/>
          <w:sz w:val="20"/>
          <w:szCs w:val="20"/>
        </w:rPr>
        <w:t>desarrolladas en el marco de la investigación causa Rol No. 179-2013. Fundamentalmente, se reconocen los esfuerzos realizados por Chile para tratar de avanzar en la investigación de los antecedentes de los hechos y la ubicación de las personas querelladas. Asimismo, la Corte valora positivamente que se haya tomado la declaración de cuatro personas en “calidad de inculpados”.</w:t>
      </w:r>
    </w:p>
    <w:p w:rsidR="002D562D" w:rsidRDefault="005B1C71" w:rsidP="002D562D">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5B1C71">
        <w:rPr>
          <w:rFonts w:ascii="Verdana" w:hAnsi="Verdana"/>
          <w:sz w:val="20"/>
          <w:szCs w:val="20"/>
        </w:rPr>
        <w:t xml:space="preserve">No obstante, la Corte </w:t>
      </w:r>
      <w:r w:rsidR="00A230B9">
        <w:rPr>
          <w:rFonts w:ascii="Verdana" w:hAnsi="Verdana"/>
          <w:sz w:val="20"/>
          <w:szCs w:val="20"/>
        </w:rPr>
        <w:t>advierte</w:t>
      </w:r>
      <w:r w:rsidRPr="005B1C71">
        <w:rPr>
          <w:rFonts w:ascii="Verdana" w:hAnsi="Verdana"/>
          <w:sz w:val="20"/>
          <w:szCs w:val="20"/>
        </w:rPr>
        <w:t xml:space="preserve"> que han transcurrido aproximadamente </w:t>
      </w:r>
      <w:r w:rsidR="00204653" w:rsidRPr="005B1C71">
        <w:rPr>
          <w:rFonts w:ascii="Verdana" w:hAnsi="Verdana"/>
          <w:sz w:val="20"/>
          <w:szCs w:val="20"/>
        </w:rPr>
        <w:t>c</w:t>
      </w:r>
      <w:r w:rsidR="00204653">
        <w:rPr>
          <w:rFonts w:ascii="Verdana" w:hAnsi="Verdana"/>
          <w:sz w:val="20"/>
          <w:szCs w:val="20"/>
        </w:rPr>
        <w:t>uatro</w:t>
      </w:r>
      <w:r w:rsidR="00204653" w:rsidRPr="005B1C71">
        <w:rPr>
          <w:rFonts w:ascii="Verdana" w:hAnsi="Verdana"/>
          <w:sz w:val="20"/>
          <w:szCs w:val="20"/>
        </w:rPr>
        <w:t xml:space="preserve"> </w:t>
      </w:r>
      <w:r w:rsidRPr="005B1C71">
        <w:rPr>
          <w:rFonts w:ascii="Verdana" w:hAnsi="Verdana"/>
          <w:sz w:val="20"/>
          <w:szCs w:val="20"/>
        </w:rPr>
        <w:t xml:space="preserve">años desde el inicio de </w:t>
      </w:r>
      <w:r w:rsidR="00D87C7A">
        <w:rPr>
          <w:rFonts w:ascii="Verdana" w:hAnsi="Verdana"/>
          <w:sz w:val="20"/>
          <w:szCs w:val="20"/>
        </w:rPr>
        <w:t xml:space="preserve">esta causa </w:t>
      </w:r>
      <w:r w:rsidRPr="005B1C71">
        <w:rPr>
          <w:rFonts w:ascii="Verdana" w:hAnsi="Verdana"/>
          <w:sz w:val="20"/>
          <w:szCs w:val="20"/>
        </w:rPr>
        <w:t>penal sin que se haya logrado avanzar a otras etapas del proceso</w:t>
      </w:r>
      <w:r w:rsidR="00521A88">
        <w:rPr>
          <w:rFonts w:ascii="Verdana" w:hAnsi="Verdana"/>
          <w:sz w:val="20"/>
          <w:szCs w:val="20"/>
        </w:rPr>
        <w:t>, pues continúa en la fase de investigación</w:t>
      </w:r>
      <w:r w:rsidRPr="005B1C71">
        <w:rPr>
          <w:rFonts w:ascii="Verdana" w:hAnsi="Verdana"/>
          <w:sz w:val="20"/>
          <w:szCs w:val="20"/>
        </w:rPr>
        <w:t xml:space="preserve">. Al respecto, es </w:t>
      </w:r>
      <w:r w:rsidR="00A230B9">
        <w:rPr>
          <w:rFonts w:ascii="Verdana" w:hAnsi="Verdana"/>
          <w:sz w:val="20"/>
          <w:szCs w:val="20"/>
        </w:rPr>
        <w:t>imprescindible</w:t>
      </w:r>
      <w:r w:rsidRPr="005B1C71">
        <w:rPr>
          <w:rFonts w:ascii="Verdana" w:hAnsi="Verdana"/>
          <w:sz w:val="20"/>
          <w:szCs w:val="20"/>
        </w:rPr>
        <w:t xml:space="preserve"> que Chile continúe desplegando todos los esfuerzos y medidas</w:t>
      </w:r>
      <w:r w:rsidR="00A230B9">
        <w:rPr>
          <w:rFonts w:ascii="Verdana" w:hAnsi="Verdana"/>
          <w:sz w:val="20"/>
          <w:szCs w:val="20"/>
        </w:rPr>
        <w:t xml:space="preserve"> concretas</w:t>
      </w:r>
      <w:r w:rsidRPr="005B1C71">
        <w:rPr>
          <w:rFonts w:ascii="Verdana" w:hAnsi="Verdana"/>
          <w:sz w:val="20"/>
          <w:szCs w:val="20"/>
        </w:rPr>
        <w:t xml:space="preserve"> necesarias para concluir, eficazmente, en un plazo razonable y con la debida diligencia, las investigaciones relacionadas con los hechos de tortura en perjuicio de las víctimas de este caso, con el objetivo de identificar</w:t>
      </w:r>
      <w:r w:rsidR="00521A88">
        <w:rPr>
          <w:rFonts w:ascii="Verdana" w:hAnsi="Verdana"/>
          <w:sz w:val="20"/>
          <w:szCs w:val="20"/>
        </w:rPr>
        <w:t xml:space="preserve"> a los posibles responsables</w:t>
      </w:r>
      <w:r w:rsidRPr="005B1C71">
        <w:rPr>
          <w:rFonts w:ascii="Verdana" w:hAnsi="Verdana"/>
          <w:sz w:val="20"/>
          <w:szCs w:val="20"/>
        </w:rPr>
        <w:t xml:space="preserve"> y</w:t>
      </w:r>
      <w:r w:rsidR="00521A88">
        <w:rPr>
          <w:rFonts w:ascii="Verdana" w:hAnsi="Verdana"/>
          <w:sz w:val="20"/>
          <w:szCs w:val="20"/>
        </w:rPr>
        <w:t xml:space="preserve"> </w:t>
      </w:r>
      <w:r w:rsidRPr="005B1C71">
        <w:rPr>
          <w:rFonts w:ascii="Verdana" w:hAnsi="Verdana"/>
          <w:sz w:val="20"/>
          <w:szCs w:val="20"/>
        </w:rPr>
        <w:t>procesar y</w:t>
      </w:r>
      <w:r w:rsidR="00521A88">
        <w:rPr>
          <w:rFonts w:ascii="Verdana" w:hAnsi="Verdana"/>
          <w:sz w:val="20"/>
          <w:szCs w:val="20"/>
        </w:rPr>
        <w:t>, en su caso,</w:t>
      </w:r>
      <w:r w:rsidRPr="005B1C71">
        <w:rPr>
          <w:rFonts w:ascii="Verdana" w:hAnsi="Verdana"/>
          <w:sz w:val="20"/>
          <w:szCs w:val="20"/>
        </w:rPr>
        <w:t xml:space="preserve"> sancionar.</w:t>
      </w:r>
    </w:p>
    <w:p w:rsidR="00FA7C51" w:rsidRDefault="002D562D" w:rsidP="002D562D">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sz w:val="20"/>
          <w:szCs w:val="20"/>
        </w:rPr>
        <w:t>Con base en las consideraciones expuestas, el Tribunal concluye que se encuentra pendiente de cumplimiento la medida de reparación relativa a la obligación de investigar, ordenada en el punto resolutivo quinto de la Sentencia. Se requiere que Chile presente información completa, detallada y actualizada sobre el proceso penal en curso, la cual debe abarcar</w:t>
      </w:r>
      <w:r w:rsidR="008D790F">
        <w:rPr>
          <w:rFonts w:ascii="Verdana" w:hAnsi="Verdana"/>
          <w:sz w:val="20"/>
          <w:szCs w:val="20"/>
        </w:rPr>
        <w:t xml:space="preserve"> </w:t>
      </w:r>
      <w:r w:rsidRPr="008D790F">
        <w:rPr>
          <w:rFonts w:ascii="Verdana" w:hAnsi="Verdana"/>
          <w:sz w:val="20"/>
          <w:szCs w:val="20"/>
        </w:rPr>
        <w:t>los avances en las diligencias y el estado actual en que se encuentra el proceso penal causa Rol No. 179-2013</w:t>
      </w:r>
      <w:r w:rsidR="00FA7C51" w:rsidRPr="008D790F">
        <w:rPr>
          <w:rFonts w:ascii="Verdana" w:hAnsi="Verdana"/>
          <w:sz w:val="20"/>
          <w:szCs w:val="20"/>
        </w:rPr>
        <w:t>. Asimismo, tomando en cuenta que la referida causa penal comprende tanto la investigación de los hechos de tortura ocurridos a las víctimas del caso, como de otros hechos delictivos presuntamente cometidos contra otras personas (</w:t>
      </w:r>
      <w:r w:rsidR="00FA7C51" w:rsidRPr="008D790F">
        <w:rPr>
          <w:rFonts w:ascii="Verdana" w:hAnsi="Verdana"/>
          <w:i/>
          <w:sz w:val="20"/>
          <w:szCs w:val="20"/>
        </w:rPr>
        <w:t>supra</w:t>
      </w:r>
      <w:r w:rsidR="00FA7C51" w:rsidRPr="008D790F">
        <w:rPr>
          <w:rFonts w:ascii="Verdana" w:hAnsi="Verdana"/>
          <w:sz w:val="20"/>
          <w:szCs w:val="20"/>
        </w:rPr>
        <w:t xml:space="preserve"> Considerandos 5 y 6), es necesario, para valorar el cumplimiento de esta medida, que el Estado explique cuáles son los avances que se han dado en relación a la investigación y a la determinación de los responsables de los hechos ocurridos a las víctimas.</w:t>
      </w:r>
      <w:r w:rsidR="00FA7C51" w:rsidRPr="003665A8">
        <w:rPr>
          <w:rFonts w:ascii="Verdana" w:hAnsi="Verdana"/>
          <w:sz w:val="20"/>
          <w:szCs w:val="20"/>
        </w:rPr>
        <w:t xml:space="preserve"> Además, es necesario que en el informe que presente el Estado se indiquen las fechas en las que son practicadas las diligencias.</w:t>
      </w:r>
    </w:p>
    <w:p w:rsidR="00E72009" w:rsidRPr="007164BB" w:rsidRDefault="00E72009" w:rsidP="009D1022">
      <w:pPr>
        <w:pStyle w:val="Heading1"/>
        <w:numPr>
          <w:ilvl w:val="0"/>
          <w:numId w:val="3"/>
        </w:numPr>
        <w:spacing w:line="240" w:lineRule="auto"/>
        <w:ind w:right="-709"/>
        <w:jc w:val="both"/>
        <w:rPr>
          <w:rFonts w:ascii="Verdana" w:hAnsi="Verdana"/>
          <w:i/>
          <w:color w:val="000000" w:themeColor="text1"/>
          <w:sz w:val="20"/>
          <w:szCs w:val="20"/>
        </w:rPr>
      </w:pPr>
      <w:bookmarkStart w:id="3" w:name="_Toc485226647"/>
      <w:r>
        <w:rPr>
          <w:rFonts w:ascii="Verdana" w:hAnsi="Verdana"/>
          <w:i/>
          <w:color w:val="000000" w:themeColor="text1"/>
          <w:sz w:val="20"/>
          <w:szCs w:val="20"/>
        </w:rPr>
        <w:t xml:space="preserve">Publicación </w:t>
      </w:r>
      <w:r w:rsidR="00A50ACA">
        <w:rPr>
          <w:rFonts w:ascii="Verdana" w:hAnsi="Verdana"/>
          <w:i/>
          <w:color w:val="000000" w:themeColor="text1"/>
          <w:sz w:val="20"/>
          <w:szCs w:val="20"/>
        </w:rPr>
        <w:t xml:space="preserve">y difusión </w:t>
      </w:r>
      <w:r>
        <w:rPr>
          <w:rFonts w:ascii="Verdana" w:hAnsi="Verdana"/>
          <w:i/>
          <w:color w:val="000000" w:themeColor="text1"/>
          <w:sz w:val="20"/>
          <w:szCs w:val="20"/>
        </w:rPr>
        <w:t>de la Sentencia</w:t>
      </w:r>
      <w:bookmarkEnd w:id="3"/>
    </w:p>
    <w:p w:rsidR="00606E8C" w:rsidRPr="00856BCC" w:rsidRDefault="00606E8C" w:rsidP="009D1022">
      <w:pPr>
        <w:spacing w:before="120" w:after="120" w:line="240" w:lineRule="auto"/>
        <w:ind w:left="567" w:right="-709"/>
        <w:jc w:val="both"/>
        <w:rPr>
          <w:rFonts w:ascii="Verdana" w:hAnsi="Verdana"/>
          <w:i/>
          <w:color w:val="000000" w:themeColor="text1"/>
          <w:sz w:val="20"/>
          <w:szCs w:val="20"/>
        </w:rPr>
      </w:pPr>
      <w:r w:rsidRPr="00856BCC">
        <w:rPr>
          <w:rFonts w:ascii="Verdana" w:hAnsi="Verdana"/>
          <w:i/>
          <w:color w:val="000000" w:themeColor="text1"/>
          <w:sz w:val="20"/>
          <w:szCs w:val="20"/>
        </w:rPr>
        <w:t>B.1. Medida ordenada por la Corte</w:t>
      </w:r>
    </w:p>
    <w:p w:rsidR="00856BCC" w:rsidRPr="004301F1" w:rsidRDefault="00856BCC"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color w:val="000000" w:themeColor="text1"/>
          <w:sz w:val="20"/>
          <w:szCs w:val="20"/>
        </w:rPr>
      </w:pPr>
      <w:r w:rsidRPr="007164BB">
        <w:rPr>
          <w:rFonts w:ascii="Verdana" w:hAnsi="Verdana"/>
          <w:sz w:val="20"/>
          <w:szCs w:val="20"/>
        </w:rPr>
        <w:t xml:space="preserve">En el punto </w:t>
      </w:r>
      <w:r w:rsidR="00A874CE">
        <w:rPr>
          <w:rFonts w:ascii="Verdana" w:hAnsi="Verdana"/>
          <w:sz w:val="20"/>
          <w:szCs w:val="20"/>
        </w:rPr>
        <w:t>resolutivo</w:t>
      </w:r>
      <w:r w:rsidRPr="007164BB">
        <w:rPr>
          <w:rFonts w:ascii="Verdana" w:hAnsi="Verdana"/>
          <w:sz w:val="20"/>
          <w:szCs w:val="20"/>
        </w:rPr>
        <w:t xml:space="preserve"> sexto y en el párrafo 162 de la Sentencia,</w:t>
      </w:r>
      <w:r w:rsidR="004301F1">
        <w:rPr>
          <w:rFonts w:ascii="Verdana" w:hAnsi="Verdana"/>
          <w:sz w:val="20"/>
          <w:szCs w:val="20"/>
        </w:rPr>
        <w:t xml:space="preserve"> se dispuso que, “</w:t>
      </w:r>
      <w:r w:rsidR="00A50ACA">
        <w:rPr>
          <w:rFonts w:ascii="Verdana" w:hAnsi="Verdana"/>
          <w:sz w:val="20"/>
          <w:szCs w:val="20"/>
        </w:rPr>
        <w:t xml:space="preserve">en el plazo de seis meses, </w:t>
      </w:r>
      <w:r w:rsidRPr="00A50ACA">
        <w:rPr>
          <w:rFonts w:ascii="Verdana" w:hAnsi="Verdana"/>
          <w:sz w:val="20"/>
          <w:szCs w:val="20"/>
        </w:rPr>
        <w:t xml:space="preserve">contado a partir de la notificación de la </w:t>
      </w:r>
      <w:r w:rsidR="004301F1">
        <w:rPr>
          <w:rFonts w:ascii="Verdana" w:hAnsi="Verdana"/>
          <w:sz w:val="20"/>
          <w:szCs w:val="20"/>
        </w:rPr>
        <w:t xml:space="preserve">[…] </w:t>
      </w:r>
      <w:r w:rsidRPr="00A50ACA">
        <w:rPr>
          <w:rFonts w:ascii="Verdana" w:hAnsi="Verdana"/>
          <w:sz w:val="20"/>
          <w:szCs w:val="20"/>
        </w:rPr>
        <w:t>Sentencia</w:t>
      </w:r>
      <w:r w:rsidR="004301F1">
        <w:rPr>
          <w:rFonts w:ascii="Verdana" w:hAnsi="Verdana"/>
          <w:sz w:val="20"/>
          <w:szCs w:val="20"/>
        </w:rPr>
        <w:t xml:space="preserve">”, Chile debía publicar: “a) el resumen </w:t>
      </w:r>
      <w:r w:rsidRPr="004301F1">
        <w:rPr>
          <w:rFonts w:ascii="Verdana" w:hAnsi="Verdana"/>
          <w:sz w:val="20"/>
          <w:szCs w:val="20"/>
        </w:rPr>
        <w:t xml:space="preserve">oficial </w:t>
      </w:r>
      <w:r w:rsidR="00D87C7A">
        <w:rPr>
          <w:rFonts w:ascii="Verdana" w:hAnsi="Verdana"/>
          <w:sz w:val="20"/>
          <w:szCs w:val="20"/>
        </w:rPr>
        <w:t xml:space="preserve">de [la] Sentencia </w:t>
      </w:r>
      <w:r w:rsidRPr="004301F1">
        <w:rPr>
          <w:rFonts w:ascii="Verdana" w:hAnsi="Verdana"/>
          <w:sz w:val="20"/>
          <w:szCs w:val="20"/>
        </w:rPr>
        <w:t xml:space="preserve">elaborado por la Corte </w:t>
      </w:r>
      <w:r w:rsidR="004301F1">
        <w:rPr>
          <w:rFonts w:ascii="Verdana" w:hAnsi="Verdana"/>
          <w:sz w:val="20"/>
          <w:szCs w:val="20"/>
        </w:rPr>
        <w:t xml:space="preserve">[…] </w:t>
      </w:r>
      <w:r w:rsidRPr="004301F1">
        <w:rPr>
          <w:rFonts w:ascii="Verdana" w:hAnsi="Verdana"/>
          <w:sz w:val="20"/>
          <w:szCs w:val="20"/>
        </w:rPr>
        <w:t xml:space="preserve">en el Diario Oficial, en un diario de amplia circulación </w:t>
      </w:r>
      <w:r w:rsidR="004301F1">
        <w:rPr>
          <w:rFonts w:ascii="Verdana" w:hAnsi="Verdana"/>
          <w:sz w:val="20"/>
          <w:szCs w:val="20"/>
        </w:rPr>
        <w:t xml:space="preserve">nacional </w:t>
      </w:r>
      <w:r w:rsidRPr="004301F1">
        <w:rPr>
          <w:rFonts w:ascii="Verdana" w:hAnsi="Verdana"/>
          <w:sz w:val="20"/>
          <w:szCs w:val="20"/>
        </w:rPr>
        <w:t>de Chile, así como en un medio de difusión interno de la Fuerza Aérea de Chile</w:t>
      </w:r>
      <w:r w:rsidR="004301F1">
        <w:rPr>
          <w:rFonts w:ascii="Verdana" w:hAnsi="Verdana"/>
          <w:sz w:val="20"/>
          <w:szCs w:val="20"/>
        </w:rPr>
        <w:t xml:space="preserve"> con la finalidad que el mismo sea conocido por todos sus miembros, y b) </w:t>
      </w:r>
      <w:r w:rsidRPr="004301F1">
        <w:rPr>
          <w:rFonts w:ascii="Verdana" w:hAnsi="Verdana"/>
          <w:sz w:val="20"/>
          <w:szCs w:val="20"/>
        </w:rPr>
        <w:t xml:space="preserve">la </w:t>
      </w:r>
      <w:r w:rsidR="004301F1">
        <w:rPr>
          <w:rFonts w:ascii="Verdana" w:hAnsi="Verdana"/>
          <w:sz w:val="20"/>
          <w:szCs w:val="20"/>
        </w:rPr>
        <w:t xml:space="preserve">[…] </w:t>
      </w:r>
      <w:r w:rsidRPr="004301F1">
        <w:rPr>
          <w:rFonts w:ascii="Verdana" w:hAnsi="Verdana"/>
          <w:sz w:val="20"/>
          <w:szCs w:val="20"/>
        </w:rPr>
        <w:t xml:space="preserve">Sentencia en su integridad, </w:t>
      </w:r>
      <w:r w:rsidR="004301F1">
        <w:rPr>
          <w:rFonts w:ascii="Verdana" w:hAnsi="Verdana"/>
          <w:sz w:val="20"/>
          <w:szCs w:val="20"/>
        </w:rPr>
        <w:t xml:space="preserve">disponible, </w:t>
      </w:r>
      <w:r w:rsidRPr="004301F1">
        <w:rPr>
          <w:rFonts w:ascii="Verdana" w:hAnsi="Verdana"/>
          <w:sz w:val="20"/>
          <w:szCs w:val="20"/>
        </w:rPr>
        <w:t xml:space="preserve">al menos por un período de un año, en el sitio </w:t>
      </w:r>
      <w:r w:rsidRPr="004301F1">
        <w:rPr>
          <w:rFonts w:ascii="Verdana" w:hAnsi="Verdana"/>
          <w:i/>
          <w:sz w:val="20"/>
          <w:szCs w:val="20"/>
        </w:rPr>
        <w:t>web</w:t>
      </w:r>
      <w:r w:rsidRPr="004301F1">
        <w:rPr>
          <w:rFonts w:ascii="Verdana" w:hAnsi="Verdana"/>
          <w:sz w:val="20"/>
          <w:szCs w:val="20"/>
        </w:rPr>
        <w:t xml:space="preserve"> del Poder Judicial</w:t>
      </w:r>
      <w:r w:rsidR="004301F1">
        <w:rPr>
          <w:rFonts w:ascii="Verdana" w:hAnsi="Verdana"/>
          <w:sz w:val="20"/>
          <w:szCs w:val="20"/>
        </w:rPr>
        <w:t>”</w:t>
      </w:r>
      <w:r w:rsidRPr="004301F1">
        <w:rPr>
          <w:rFonts w:ascii="Verdana" w:hAnsi="Verdana"/>
          <w:sz w:val="20"/>
          <w:szCs w:val="20"/>
        </w:rPr>
        <w:t>.</w:t>
      </w:r>
    </w:p>
    <w:p w:rsidR="008D790F" w:rsidRDefault="008D790F" w:rsidP="009D1022">
      <w:pPr>
        <w:spacing w:line="240" w:lineRule="auto"/>
        <w:ind w:left="567" w:right="-709"/>
        <w:jc w:val="both"/>
        <w:rPr>
          <w:rFonts w:ascii="Verdana" w:hAnsi="Verdana"/>
          <w:i/>
          <w:color w:val="000000" w:themeColor="text1"/>
          <w:sz w:val="20"/>
          <w:szCs w:val="20"/>
        </w:rPr>
      </w:pPr>
    </w:p>
    <w:p w:rsidR="0056374B" w:rsidRDefault="00856BCC" w:rsidP="009D1022">
      <w:pPr>
        <w:spacing w:line="240" w:lineRule="auto"/>
        <w:ind w:left="567" w:right="-709"/>
        <w:jc w:val="both"/>
        <w:rPr>
          <w:rFonts w:ascii="Verdana" w:hAnsi="Verdana"/>
          <w:i/>
          <w:color w:val="000000" w:themeColor="text1"/>
          <w:sz w:val="20"/>
          <w:szCs w:val="20"/>
        </w:rPr>
      </w:pPr>
      <w:r>
        <w:rPr>
          <w:rFonts w:ascii="Verdana" w:hAnsi="Verdana"/>
          <w:i/>
          <w:color w:val="000000" w:themeColor="text1"/>
          <w:sz w:val="20"/>
          <w:szCs w:val="20"/>
        </w:rPr>
        <w:t>B</w:t>
      </w:r>
      <w:r w:rsidR="00840FDC" w:rsidRPr="007164BB">
        <w:rPr>
          <w:rFonts w:ascii="Verdana" w:hAnsi="Verdana"/>
          <w:i/>
          <w:color w:val="000000" w:themeColor="text1"/>
          <w:sz w:val="20"/>
          <w:szCs w:val="20"/>
        </w:rPr>
        <w:t>.2. Consideraciones de la Corte</w:t>
      </w:r>
    </w:p>
    <w:p w:rsidR="009E4F60" w:rsidRPr="004A5C7E" w:rsidRDefault="009E4F60"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C516EE">
        <w:rPr>
          <w:rFonts w:ascii="Verdana" w:hAnsi="Verdana"/>
          <w:sz w:val="20"/>
          <w:szCs w:val="20"/>
        </w:rPr>
        <w:t>Con base en los comprobantes aportados por el Estado</w:t>
      </w:r>
      <w:r w:rsidR="004301F1" w:rsidRPr="00C516EE">
        <w:rPr>
          <w:rFonts w:ascii="Verdana" w:hAnsi="Verdana"/>
          <w:sz w:val="20"/>
          <w:szCs w:val="20"/>
        </w:rPr>
        <w:t xml:space="preserve"> y lo observado </w:t>
      </w:r>
      <w:r w:rsidR="005E1F67">
        <w:rPr>
          <w:rFonts w:ascii="Verdana" w:hAnsi="Verdana"/>
          <w:sz w:val="20"/>
          <w:szCs w:val="20"/>
        </w:rPr>
        <w:t xml:space="preserve">de manera general </w:t>
      </w:r>
      <w:r w:rsidR="004301F1" w:rsidRPr="00C516EE">
        <w:rPr>
          <w:rFonts w:ascii="Verdana" w:hAnsi="Verdana"/>
          <w:sz w:val="20"/>
          <w:szCs w:val="20"/>
        </w:rPr>
        <w:t>por el representante (</w:t>
      </w:r>
      <w:r w:rsidR="004301F1" w:rsidRPr="00C516EE">
        <w:rPr>
          <w:rFonts w:ascii="Verdana" w:hAnsi="Verdana"/>
          <w:i/>
          <w:sz w:val="20"/>
          <w:szCs w:val="20"/>
        </w:rPr>
        <w:t xml:space="preserve">supra </w:t>
      </w:r>
      <w:r w:rsidR="004301F1" w:rsidRPr="00C516EE">
        <w:rPr>
          <w:rFonts w:ascii="Verdana" w:hAnsi="Verdana"/>
          <w:sz w:val="20"/>
          <w:szCs w:val="20"/>
        </w:rPr>
        <w:t xml:space="preserve">Considerando </w:t>
      </w:r>
      <w:r w:rsidR="00F52E09">
        <w:rPr>
          <w:rFonts w:ascii="Verdana" w:hAnsi="Verdana"/>
          <w:sz w:val="20"/>
          <w:szCs w:val="20"/>
        </w:rPr>
        <w:t>3</w:t>
      </w:r>
      <w:r w:rsidR="004301F1" w:rsidRPr="00C516EE">
        <w:rPr>
          <w:rFonts w:ascii="Verdana" w:hAnsi="Verdana"/>
          <w:sz w:val="20"/>
          <w:szCs w:val="20"/>
        </w:rPr>
        <w:t>)</w:t>
      </w:r>
      <w:r w:rsidRPr="00C516EE">
        <w:rPr>
          <w:rFonts w:ascii="Verdana" w:hAnsi="Verdana"/>
          <w:sz w:val="20"/>
          <w:szCs w:val="20"/>
        </w:rPr>
        <w:t xml:space="preserve">, este Tribunal constata que </w:t>
      </w:r>
      <w:r w:rsidR="004301F1" w:rsidRPr="00C516EE">
        <w:rPr>
          <w:rFonts w:ascii="Verdana" w:hAnsi="Verdana"/>
          <w:sz w:val="20"/>
          <w:szCs w:val="20"/>
        </w:rPr>
        <w:t>el Estado cumplió con realizar las publicaciones ordenada</w:t>
      </w:r>
      <w:r w:rsidR="00F52E09">
        <w:rPr>
          <w:rFonts w:ascii="Verdana" w:hAnsi="Verdana"/>
          <w:sz w:val="20"/>
          <w:szCs w:val="20"/>
        </w:rPr>
        <w:t>s</w:t>
      </w:r>
      <w:r w:rsidR="004301F1" w:rsidRPr="00C516EE">
        <w:rPr>
          <w:rFonts w:ascii="Verdana" w:hAnsi="Verdana"/>
          <w:sz w:val="20"/>
          <w:szCs w:val="20"/>
        </w:rPr>
        <w:t xml:space="preserve"> en la Sentencia. </w:t>
      </w:r>
      <w:r w:rsidR="00A874CE">
        <w:rPr>
          <w:rFonts w:ascii="Verdana" w:hAnsi="Verdana"/>
          <w:sz w:val="20"/>
          <w:szCs w:val="20"/>
        </w:rPr>
        <w:t xml:space="preserve"> </w:t>
      </w:r>
      <w:r w:rsidR="004301F1" w:rsidRPr="00C516EE">
        <w:rPr>
          <w:rFonts w:ascii="Verdana" w:hAnsi="Verdana"/>
          <w:sz w:val="20"/>
          <w:szCs w:val="20"/>
        </w:rPr>
        <w:t>Chile publicó</w:t>
      </w:r>
      <w:r w:rsidR="00C516EE" w:rsidRPr="00C516EE">
        <w:rPr>
          <w:rFonts w:ascii="Verdana" w:hAnsi="Verdana"/>
          <w:sz w:val="20"/>
          <w:szCs w:val="20"/>
        </w:rPr>
        <w:t>, por una sola vez,</w:t>
      </w:r>
      <w:r w:rsidR="00C516EE">
        <w:rPr>
          <w:rFonts w:ascii="Verdana" w:hAnsi="Verdana"/>
          <w:sz w:val="20"/>
          <w:szCs w:val="20"/>
        </w:rPr>
        <w:t xml:space="preserve"> </w:t>
      </w:r>
      <w:r w:rsidRPr="00C516EE">
        <w:rPr>
          <w:rFonts w:ascii="Verdana" w:hAnsi="Verdana"/>
          <w:sz w:val="20"/>
          <w:szCs w:val="20"/>
        </w:rPr>
        <w:t>el resumen oficial de la Sentencia en el Diario Oficial</w:t>
      </w:r>
      <w:r w:rsidRPr="007164BB">
        <w:rPr>
          <w:rStyle w:val="FootnoteReference"/>
          <w:rFonts w:ascii="Verdana" w:hAnsi="Verdana"/>
          <w:sz w:val="20"/>
          <w:szCs w:val="20"/>
        </w:rPr>
        <w:footnoteReference w:id="20"/>
      </w:r>
      <w:r w:rsidRPr="00C516EE">
        <w:rPr>
          <w:rFonts w:ascii="Verdana" w:hAnsi="Verdana"/>
          <w:sz w:val="20"/>
          <w:szCs w:val="20"/>
        </w:rPr>
        <w:t xml:space="preserve">, en el </w:t>
      </w:r>
      <w:r w:rsidR="00131C38">
        <w:rPr>
          <w:rFonts w:ascii="Verdana" w:hAnsi="Verdana"/>
          <w:sz w:val="20"/>
          <w:szCs w:val="20"/>
        </w:rPr>
        <w:t>“d</w:t>
      </w:r>
      <w:r w:rsidRPr="00C516EE">
        <w:rPr>
          <w:rFonts w:ascii="Verdana" w:hAnsi="Verdana"/>
          <w:sz w:val="20"/>
          <w:szCs w:val="20"/>
        </w:rPr>
        <w:t xml:space="preserve">iario </w:t>
      </w:r>
      <w:r w:rsidR="00F52E09">
        <w:rPr>
          <w:rFonts w:ascii="Verdana" w:hAnsi="Verdana"/>
          <w:sz w:val="20"/>
          <w:szCs w:val="20"/>
        </w:rPr>
        <w:t>de circulación nacional</w:t>
      </w:r>
      <w:r w:rsidR="00131C38">
        <w:rPr>
          <w:rFonts w:ascii="Verdana" w:hAnsi="Verdana"/>
          <w:sz w:val="20"/>
          <w:szCs w:val="20"/>
        </w:rPr>
        <w:t>”</w:t>
      </w:r>
      <w:r w:rsidR="00F52E09">
        <w:rPr>
          <w:rFonts w:ascii="Verdana" w:hAnsi="Verdana"/>
          <w:sz w:val="20"/>
          <w:szCs w:val="20"/>
        </w:rPr>
        <w:t xml:space="preserve"> </w:t>
      </w:r>
      <w:r w:rsidR="00131C38">
        <w:rPr>
          <w:rFonts w:ascii="Verdana" w:hAnsi="Verdana"/>
          <w:sz w:val="20"/>
          <w:szCs w:val="20"/>
        </w:rPr>
        <w:t>“</w:t>
      </w:r>
      <w:r w:rsidR="00F52E09">
        <w:rPr>
          <w:rFonts w:ascii="Verdana" w:hAnsi="Verdana"/>
          <w:sz w:val="20"/>
          <w:szCs w:val="20"/>
        </w:rPr>
        <w:t>L</w:t>
      </w:r>
      <w:r w:rsidRPr="00C516EE">
        <w:rPr>
          <w:rFonts w:ascii="Verdana" w:hAnsi="Verdana"/>
          <w:sz w:val="20"/>
          <w:szCs w:val="20"/>
        </w:rPr>
        <w:t>a Tercera</w:t>
      </w:r>
      <w:r w:rsidR="00131C38">
        <w:rPr>
          <w:rFonts w:ascii="Verdana" w:hAnsi="Verdana"/>
          <w:sz w:val="20"/>
          <w:szCs w:val="20"/>
        </w:rPr>
        <w:t>”</w:t>
      </w:r>
      <w:r w:rsidRPr="007164BB">
        <w:rPr>
          <w:rStyle w:val="FootnoteReference"/>
          <w:rFonts w:ascii="Verdana" w:hAnsi="Verdana"/>
          <w:sz w:val="20"/>
          <w:szCs w:val="20"/>
        </w:rPr>
        <w:footnoteReference w:id="21"/>
      </w:r>
      <w:r w:rsidRPr="00C516EE">
        <w:rPr>
          <w:rFonts w:ascii="Verdana" w:hAnsi="Verdana"/>
          <w:sz w:val="20"/>
          <w:szCs w:val="20"/>
        </w:rPr>
        <w:t xml:space="preserve"> y en la Revista </w:t>
      </w:r>
      <w:r w:rsidR="00C516EE">
        <w:rPr>
          <w:rFonts w:ascii="Verdana" w:hAnsi="Verdana"/>
          <w:sz w:val="20"/>
          <w:szCs w:val="20"/>
        </w:rPr>
        <w:t>“</w:t>
      </w:r>
      <w:r w:rsidR="00C516EE" w:rsidRPr="00C516EE">
        <w:rPr>
          <w:rFonts w:ascii="Verdana" w:hAnsi="Verdana"/>
          <w:sz w:val="20"/>
          <w:szCs w:val="20"/>
        </w:rPr>
        <w:t>Camaradas</w:t>
      </w:r>
      <w:r w:rsidR="00C516EE">
        <w:rPr>
          <w:rFonts w:ascii="Verdana" w:hAnsi="Verdana"/>
          <w:sz w:val="20"/>
          <w:szCs w:val="20"/>
        </w:rPr>
        <w:t xml:space="preserve">” de la </w:t>
      </w:r>
      <w:r w:rsidRPr="00C516EE">
        <w:rPr>
          <w:rFonts w:ascii="Verdana" w:hAnsi="Verdana"/>
          <w:sz w:val="20"/>
          <w:szCs w:val="20"/>
        </w:rPr>
        <w:t xml:space="preserve">Fuerza </w:t>
      </w:r>
      <w:r w:rsidRPr="00C516EE">
        <w:rPr>
          <w:rFonts w:ascii="Verdana" w:hAnsi="Verdana"/>
          <w:sz w:val="20"/>
          <w:szCs w:val="20"/>
        </w:rPr>
        <w:lastRenderedPageBreak/>
        <w:t>Aérea de Chile</w:t>
      </w:r>
      <w:r w:rsidRPr="007164BB">
        <w:rPr>
          <w:rStyle w:val="FootnoteReference"/>
          <w:rFonts w:ascii="Verdana" w:hAnsi="Verdana"/>
          <w:sz w:val="20"/>
          <w:szCs w:val="20"/>
        </w:rPr>
        <w:footnoteReference w:id="22"/>
      </w:r>
      <w:r w:rsidR="00C516EE">
        <w:rPr>
          <w:rFonts w:ascii="Verdana" w:hAnsi="Verdana"/>
          <w:sz w:val="20"/>
          <w:szCs w:val="20"/>
        </w:rPr>
        <w:t>.</w:t>
      </w:r>
      <w:r w:rsidRPr="00C516EE">
        <w:rPr>
          <w:rFonts w:ascii="Verdana" w:hAnsi="Verdana"/>
          <w:sz w:val="20"/>
          <w:szCs w:val="20"/>
        </w:rPr>
        <w:t xml:space="preserve"> </w:t>
      </w:r>
      <w:r w:rsidR="00A874CE">
        <w:rPr>
          <w:rFonts w:ascii="Verdana" w:hAnsi="Verdana"/>
          <w:sz w:val="20"/>
          <w:szCs w:val="20"/>
        </w:rPr>
        <w:t xml:space="preserve">La Corte valora positivamente que las referidas publicaciones </w:t>
      </w:r>
      <w:r w:rsidR="00A874CE" w:rsidRPr="00A874CE">
        <w:rPr>
          <w:rFonts w:ascii="Verdana" w:hAnsi="Verdana"/>
          <w:sz w:val="20"/>
          <w:szCs w:val="20"/>
        </w:rPr>
        <w:t xml:space="preserve">hayan sido realizadas dentro del plazo concedido para tal efecto. </w:t>
      </w:r>
      <w:r w:rsidRPr="00A874CE">
        <w:rPr>
          <w:rFonts w:ascii="Verdana" w:hAnsi="Verdana"/>
          <w:sz w:val="20"/>
          <w:szCs w:val="20"/>
        </w:rPr>
        <w:t xml:space="preserve">De igual forma, </w:t>
      </w:r>
      <w:r w:rsidR="004A5C7E" w:rsidRPr="00A874CE">
        <w:rPr>
          <w:rFonts w:ascii="Verdana" w:hAnsi="Verdana"/>
          <w:sz w:val="20"/>
          <w:szCs w:val="20"/>
        </w:rPr>
        <w:t xml:space="preserve">el Estado </w:t>
      </w:r>
      <w:r w:rsidR="003647A9">
        <w:rPr>
          <w:rFonts w:ascii="Verdana" w:hAnsi="Verdana"/>
          <w:sz w:val="20"/>
          <w:szCs w:val="20"/>
        </w:rPr>
        <w:t xml:space="preserve">ha tenido </w:t>
      </w:r>
      <w:r w:rsidR="004A5C7E" w:rsidRPr="00A874CE">
        <w:rPr>
          <w:rFonts w:ascii="Verdana" w:hAnsi="Verdana"/>
          <w:sz w:val="20"/>
          <w:szCs w:val="20"/>
        </w:rPr>
        <w:t>public</w:t>
      </w:r>
      <w:r w:rsidR="003647A9">
        <w:rPr>
          <w:rFonts w:ascii="Verdana" w:hAnsi="Verdana"/>
          <w:sz w:val="20"/>
          <w:szCs w:val="20"/>
        </w:rPr>
        <w:t>ada por más de un año</w:t>
      </w:r>
      <w:r w:rsidR="004A5C7E" w:rsidRPr="00A874CE">
        <w:rPr>
          <w:rFonts w:ascii="Verdana" w:hAnsi="Verdana"/>
          <w:sz w:val="20"/>
          <w:szCs w:val="20"/>
        </w:rPr>
        <w:t xml:space="preserve">, </w:t>
      </w:r>
      <w:r w:rsidRPr="00A874CE">
        <w:rPr>
          <w:rFonts w:ascii="Verdana" w:hAnsi="Verdana"/>
          <w:sz w:val="20"/>
          <w:szCs w:val="20"/>
        </w:rPr>
        <w:t>de manera íntegra</w:t>
      </w:r>
      <w:r w:rsidR="004A5C7E" w:rsidRPr="00A874CE">
        <w:rPr>
          <w:rFonts w:ascii="Verdana" w:hAnsi="Verdana"/>
          <w:sz w:val="20"/>
          <w:szCs w:val="20"/>
        </w:rPr>
        <w:t>,</w:t>
      </w:r>
      <w:r w:rsidRPr="00A874CE">
        <w:rPr>
          <w:rFonts w:ascii="Verdana" w:hAnsi="Verdana"/>
          <w:sz w:val="20"/>
          <w:szCs w:val="20"/>
        </w:rPr>
        <w:t xml:space="preserve"> la Sentencia </w:t>
      </w:r>
      <w:r w:rsidR="004A5C7E" w:rsidRPr="00A874CE">
        <w:rPr>
          <w:rFonts w:ascii="Verdana" w:hAnsi="Verdana"/>
          <w:sz w:val="20"/>
          <w:szCs w:val="20"/>
        </w:rPr>
        <w:t>del caso en el</w:t>
      </w:r>
      <w:r w:rsidRPr="00A874CE">
        <w:rPr>
          <w:rFonts w:ascii="Verdana" w:hAnsi="Verdana"/>
          <w:sz w:val="20"/>
          <w:szCs w:val="20"/>
        </w:rPr>
        <w:t xml:space="preserve"> sitio </w:t>
      </w:r>
      <w:r w:rsidRPr="00A874CE">
        <w:rPr>
          <w:rFonts w:ascii="Verdana" w:hAnsi="Verdana"/>
          <w:i/>
          <w:sz w:val="20"/>
          <w:szCs w:val="20"/>
        </w:rPr>
        <w:t xml:space="preserve">web </w:t>
      </w:r>
      <w:r w:rsidR="004A5C7E" w:rsidRPr="00A874CE">
        <w:rPr>
          <w:rFonts w:ascii="Verdana" w:hAnsi="Verdana"/>
          <w:sz w:val="20"/>
          <w:szCs w:val="20"/>
        </w:rPr>
        <w:t>oficial del Poder J</w:t>
      </w:r>
      <w:r w:rsidRPr="00A874CE">
        <w:rPr>
          <w:rFonts w:ascii="Verdana" w:hAnsi="Verdana"/>
          <w:sz w:val="20"/>
          <w:szCs w:val="20"/>
        </w:rPr>
        <w:t>udicial</w:t>
      </w:r>
      <w:r w:rsidRPr="00A874CE">
        <w:rPr>
          <w:rStyle w:val="FootnoteReference"/>
          <w:rFonts w:ascii="Verdana" w:hAnsi="Verdana"/>
          <w:sz w:val="20"/>
          <w:szCs w:val="20"/>
        </w:rPr>
        <w:footnoteReference w:id="23"/>
      </w:r>
      <w:r w:rsidR="00FC2210">
        <w:rPr>
          <w:rFonts w:ascii="Verdana" w:hAnsi="Verdana"/>
          <w:sz w:val="20"/>
          <w:szCs w:val="20"/>
        </w:rPr>
        <w:t>.</w:t>
      </w:r>
    </w:p>
    <w:p w:rsidR="00E72009" w:rsidRDefault="009E4F60"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9E4F60">
        <w:rPr>
          <w:rFonts w:ascii="Verdana" w:hAnsi="Verdana"/>
          <w:sz w:val="20"/>
          <w:szCs w:val="20"/>
        </w:rPr>
        <w:t xml:space="preserve">En virtud de lo anterior, </w:t>
      </w:r>
      <w:r w:rsidR="00131C38">
        <w:rPr>
          <w:rFonts w:ascii="Verdana" w:hAnsi="Verdana"/>
          <w:sz w:val="20"/>
          <w:szCs w:val="20"/>
        </w:rPr>
        <w:t>el Tribunal</w:t>
      </w:r>
      <w:r w:rsidRPr="009E4F60">
        <w:rPr>
          <w:rFonts w:ascii="Verdana" w:hAnsi="Verdana"/>
          <w:sz w:val="20"/>
          <w:szCs w:val="20"/>
        </w:rPr>
        <w:t xml:space="preserve"> </w:t>
      </w:r>
      <w:r w:rsidR="00AC028B">
        <w:rPr>
          <w:rFonts w:ascii="Verdana" w:hAnsi="Verdana"/>
          <w:sz w:val="20"/>
          <w:szCs w:val="20"/>
        </w:rPr>
        <w:t>considera</w:t>
      </w:r>
      <w:r w:rsidRPr="009E4F60">
        <w:rPr>
          <w:rFonts w:ascii="Verdana" w:hAnsi="Verdana"/>
          <w:sz w:val="20"/>
          <w:szCs w:val="20"/>
        </w:rPr>
        <w:t xml:space="preserve"> que</w:t>
      </w:r>
      <w:r w:rsidR="00216C50">
        <w:rPr>
          <w:rFonts w:ascii="Verdana" w:hAnsi="Verdana"/>
          <w:sz w:val="20"/>
          <w:szCs w:val="20"/>
        </w:rPr>
        <w:t xml:space="preserve"> </w:t>
      </w:r>
      <w:r w:rsidRPr="009E4F60">
        <w:rPr>
          <w:rFonts w:ascii="Verdana" w:hAnsi="Verdana"/>
          <w:sz w:val="20"/>
          <w:szCs w:val="20"/>
        </w:rPr>
        <w:t xml:space="preserve">el Estado ha dado cumplimiento total a la medida de publicación y difusión de la Sentencia y </w:t>
      </w:r>
      <w:r w:rsidR="00A874CE">
        <w:rPr>
          <w:rFonts w:ascii="Verdana" w:hAnsi="Verdana"/>
          <w:sz w:val="20"/>
          <w:szCs w:val="20"/>
        </w:rPr>
        <w:t xml:space="preserve">de </w:t>
      </w:r>
      <w:r w:rsidRPr="009E4F60">
        <w:rPr>
          <w:rFonts w:ascii="Verdana" w:hAnsi="Verdana"/>
          <w:sz w:val="20"/>
          <w:szCs w:val="20"/>
        </w:rPr>
        <w:t xml:space="preserve">su resumen oficial, ordenada en el punto </w:t>
      </w:r>
      <w:r w:rsidR="00A874CE">
        <w:rPr>
          <w:rFonts w:ascii="Verdana" w:hAnsi="Verdana"/>
          <w:sz w:val="20"/>
          <w:szCs w:val="20"/>
        </w:rPr>
        <w:t>resolutivo</w:t>
      </w:r>
      <w:r w:rsidRPr="009E4F60">
        <w:rPr>
          <w:rFonts w:ascii="Verdana" w:hAnsi="Verdana"/>
          <w:sz w:val="20"/>
          <w:szCs w:val="20"/>
        </w:rPr>
        <w:t xml:space="preserve"> sexto de la misma.</w:t>
      </w:r>
      <w:bookmarkStart w:id="4" w:name="_Toc483918293"/>
    </w:p>
    <w:p w:rsidR="00E72009" w:rsidRDefault="00E72009" w:rsidP="009D1022">
      <w:pPr>
        <w:pStyle w:val="ListParagraph"/>
        <w:tabs>
          <w:tab w:val="left" w:pos="0"/>
        </w:tabs>
        <w:spacing w:before="120" w:after="120" w:line="240" w:lineRule="auto"/>
        <w:ind w:left="0" w:right="-709"/>
        <w:contextualSpacing w:val="0"/>
        <w:jc w:val="both"/>
        <w:rPr>
          <w:rFonts w:ascii="Verdana" w:hAnsi="Verdana"/>
          <w:sz w:val="20"/>
          <w:szCs w:val="20"/>
        </w:rPr>
      </w:pPr>
    </w:p>
    <w:p w:rsidR="00EB0D38" w:rsidRPr="00E72009" w:rsidRDefault="005D7853" w:rsidP="009D1022">
      <w:pPr>
        <w:pStyle w:val="ListParagraph"/>
        <w:numPr>
          <w:ilvl w:val="0"/>
          <w:numId w:val="3"/>
        </w:numPr>
        <w:tabs>
          <w:tab w:val="left" w:pos="0"/>
        </w:tabs>
        <w:spacing w:before="120" w:after="120" w:line="240" w:lineRule="auto"/>
        <w:ind w:right="-709"/>
        <w:contextualSpacing w:val="0"/>
        <w:jc w:val="both"/>
        <w:outlineLvl w:val="0"/>
        <w:rPr>
          <w:rFonts w:ascii="Verdana" w:hAnsi="Verdana"/>
          <w:b/>
          <w:sz w:val="20"/>
          <w:szCs w:val="20"/>
        </w:rPr>
      </w:pPr>
      <w:bookmarkStart w:id="5" w:name="_Toc485226648"/>
      <w:r>
        <w:rPr>
          <w:rFonts w:ascii="Verdana" w:hAnsi="Verdana"/>
          <w:b/>
          <w:i/>
          <w:color w:val="000000" w:themeColor="text1"/>
          <w:sz w:val="20"/>
          <w:szCs w:val="20"/>
        </w:rPr>
        <w:t>A</w:t>
      </w:r>
      <w:r w:rsidR="00EB0D38" w:rsidRPr="00E72009">
        <w:rPr>
          <w:rFonts w:ascii="Verdana" w:hAnsi="Verdana"/>
          <w:b/>
          <w:i/>
          <w:color w:val="000000" w:themeColor="text1"/>
          <w:sz w:val="20"/>
          <w:szCs w:val="20"/>
        </w:rPr>
        <w:t>cto público de reconocimiento de responsabilidad internacional</w:t>
      </w:r>
      <w:bookmarkEnd w:id="4"/>
      <w:bookmarkEnd w:id="5"/>
    </w:p>
    <w:p w:rsidR="00C77AA1" w:rsidRPr="00E72009" w:rsidRDefault="00C77AA1" w:rsidP="009D1022">
      <w:pPr>
        <w:spacing w:before="120" w:after="120" w:line="240" w:lineRule="auto"/>
        <w:ind w:left="567" w:right="-709"/>
        <w:jc w:val="both"/>
        <w:rPr>
          <w:rFonts w:ascii="Verdana" w:hAnsi="Verdana"/>
          <w:i/>
          <w:color w:val="000000" w:themeColor="text1"/>
          <w:sz w:val="20"/>
          <w:szCs w:val="20"/>
        </w:rPr>
      </w:pPr>
      <w:r w:rsidRPr="00E72009">
        <w:rPr>
          <w:rFonts w:ascii="Verdana" w:hAnsi="Verdana"/>
          <w:i/>
          <w:color w:val="000000" w:themeColor="text1"/>
          <w:sz w:val="20"/>
          <w:szCs w:val="20"/>
        </w:rPr>
        <w:t>C.1. Medida ordenada por la Corte</w:t>
      </w:r>
    </w:p>
    <w:p w:rsidR="00F94F37" w:rsidRDefault="00464FE4"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464FE4">
        <w:rPr>
          <w:rFonts w:ascii="Verdana" w:hAnsi="Verdana"/>
          <w:sz w:val="20"/>
          <w:szCs w:val="20"/>
        </w:rPr>
        <w:t xml:space="preserve">En el punto </w:t>
      </w:r>
      <w:r w:rsidR="005D7853">
        <w:rPr>
          <w:rFonts w:ascii="Verdana" w:hAnsi="Verdana"/>
          <w:sz w:val="20"/>
          <w:szCs w:val="20"/>
        </w:rPr>
        <w:t>resolutivo</w:t>
      </w:r>
      <w:r w:rsidRPr="00464FE4">
        <w:rPr>
          <w:rFonts w:ascii="Verdana" w:hAnsi="Verdana"/>
          <w:sz w:val="20"/>
          <w:szCs w:val="20"/>
        </w:rPr>
        <w:t xml:space="preserve"> séptimo y en el </w:t>
      </w:r>
      <w:r w:rsidR="005D7853">
        <w:rPr>
          <w:rFonts w:ascii="Verdana" w:hAnsi="Verdana"/>
          <w:sz w:val="20"/>
          <w:szCs w:val="20"/>
        </w:rPr>
        <w:t>párrafo 160 de la Sentencia, se dispuso que</w:t>
      </w:r>
      <w:r w:rsidR="00F94F37">
        <w:rPr>
          <w:rFonts w:ascii="Verdana" w:hAnsi="Verdana"/>
          <w:sz w:val="20"/>
          <w:szCs w:val="20"/>
        </w:rPr>
        <w:t xml:space="preserve">, en el </w:t>
      </w:r>
      <w:r w:rsidR="00131C38">
        <w:rPr>
          <w:rFonts w:ascii="Verdana" w:hAnsi="Verdana"/>
          <w:sz w:val="20"/>
          <w:szCs w:val="20"/>
        </w:rPr>
        <w:t>“</w:t>
      </w:r>
      <w:r w:rsidR="00F94F37">
        <w:rPr>
          <w:rFonts w:ascii="Verdana" w:hAnsi="Verdana"/>
          <w:sz w:val="20"/>
          <w:szCs w:val="20"/>
        </w:rPr>
        <w:t xml:space="preserve">plazo de un año, a partir de la notificación de la </w:t>
      </w:r>
      <w:r w:rsidR="00131C38">
        <w:rPr>
          <w:rFonts w:ascii="Verdana" w:hAnsi="Verdana"/>
          <w:sz w:val="20"/>
          <w:szCs w:val="20"/>
        </w:rPr>
        <w:t xml:space="preserve">[…] </w:t>
      </w:r>
      <w:r w:rsidR="00F94F37">
        <w:rPr>
          <w:rFonts w:ascii="Verdana" w:hAnsi="Verdana"/>
          <w:sz w:val="20"/>
          <w:szCs w:val="20"/>
        </w:rPr>
        <w:t>Sentencia”,</w:t>
      </w:r>
      <w:r w:rsidRPr="00464FE4">
        <w:rPr>
          <w:rFonts w:ascii="Verdana" w:hAnsi="Verdana"/>
          <w:sz w:val="20"/>
          <w:szCs w:val="20"/>
        </w:rPr>
        <w:t xml:space="preserve"> </w:t>
      </w:r>
      <w:r w:rsidR="005D7853" w:rsidRPr="00F94F37">
        <w:rPr>
          <w:rFonts w:ascii="Verdana" w:hAnsi="Verdana"/>
          <w:sz w:val="20"/>
          <w:szCs w:val="20"/>
        </w:rPr>
        <w:t>“</w:t>
      </w:r>
      <w:r w:rsidRPr="00F94F37">
        <w:rPr>
          <w:rFonts w:ascii="Verdana" w:hAnsi="Verdana"/>
          <w:sz w:val="20"/>
          <w:szCs w:val="20"/>
        </w:rPr>
        <w:t>el Estado deb</w:t>
      </w:r>
      <w:r w:rsidR="005D7853" w:rsidRPr="00F94F37">
        <w:rPr>
          <w:rFonts w:ascii="Verdana" w:hAnsi="Verdana"/>
          <w:sz w:val="20"/>
          <w:szCs w:val="20"/>
        </w:rPr>
        <w:t>[</w:t>
      </w:r>
      <w:r w:rsidRPr="00F94F37">
        <w:rPr>
          <w:rFonts w:ascii="Verdana" w:hAnsi="Verdana"/>
          <w:sz w:val="20"/>
          <w:szCs w:val="20"/>
        </w:rPr>
        <w:t>ía</w:t>
      </w:r>
      <w:r w:rsidR="005D7853" w:rsidRPr="00F94F37">
        <w:rPr>
          <w:rFonts w:ascii="Verdana" w:hAnsi="Verdana"/>
          <w:sz w:val="20"/>
          <w:szCs w:val="20"/>
        </w:rPr>
        <w:t xml:space="preserve">] </w:t>
      </w:r>
      <w:r w:rsidRPr="00F94F37">
        <w:rPr>
          <w:rFonts w:ascii="Verdana" w:hAnsi="Verdana"/>
          <w:sz w:val="20"/>
          <w:szCs w:val="20"/>
        </w:rPr>
        <w:t>realizar un acto público de reconocimiento de responsabilidad internacional</w:t>
      </w:r>
      <w:r w:rsidR="005D7853" w:rsidRPr="00F94F37">
        <w:rPr>
          <w:rFonts w:ascii="Verdana" w:hAnsi="Verdana"/>
          <w:sz w:val="20"/>
          <w:szCs w:val="20"/>
        </w:rPr>
        <w:t>[,]</w:t>
      </w:r>
      <w:r w:rsidRPr="00F94F37">
        <w:rPr>
          <w:rFonts w:ascii="Verdana" w:hAnsi="Verdana"/>
          <w:sz w:val="20"/>
          <w:szCs w:val="20"/>
        </w:rPr>
        <w:t xml:space="preserve"> en el cual deb[ía] hacer referencia a las violaciones de der</w:t>
      </w:r>
      <w:r w:rsidR="005D7853" w:rsidRPr="00F94F37">
        <w:rPr>
          <w:rFonts w:ascii="Verdana" w:hAnsi="Verdana"/>
          <w:sz w:val="20"/>
          <w:szCs w:val="20"/>
        </w:rPr>
        <w:t>echos humanos declaradas en la […]</w:t>
      </w:r>
      <w:r w:rsidRPr="00F94F37">
        <w:rPr>
          <w:rFonts w:ascii="Verdana" w:hAnsi="Verdana"/>
          <w:sz w:val="20"/>
          <w:szCs w:val="20"/>
        </w:rPr>
        <w:t xml:space="preserve"> Sentencia”.</w:t>
      </w:r>
      <w:r w:rsidR="005D7853" w:rsidRPr="00F94F37">
        <w:rPr>
          <w:rFonts w:ascii="Verdana" w:hAnsi="Verdana"/>
          <w:sz w:val="20"/>
          <w:szCs w:val="20"/>
        </w:rPr>
        <w:t xml:space="preserve"> Asimismo, </w:t>
      </w:r>
      <w:r w:rsidR="00131C38">
        <w:rPr>
          <w:rFonts w:ascii="Verdana" w:hAnsi="Verdana"/>
          <w:sz w:val="20"/>
          <w:szCs w:val="20"/>
        </w:rPr>
        <w:t xml:space="preserve"> se estableció</w:t>
      </w:r>
      <w:r w:rsidR="005D7853" w:rsidRPr="00F94F37">
        <w:rPr>
          <w:rFonts w:ascii="Verdana" w:hAnsi="Verdana"/>
          <w:sz w:val="20"/>
          <w:szCs w:val="20"/>
        </w:rPr>
        <w:t xml:space="preserve"> que</w:t>
      </w:r>
      <w:r w:rsidR="00F94F37" w:rsidRPr="00F94F37">
        <w:rPr>
          <w:rFonts w:ascii="Verdana" w:hAnsi="Verdana"/>
          <w:sz w:val="20"/>
          <w:szCs w:val="20"/>
        </w:rPr>
        <w:t xml:space="preserve">: </w:t>
      </w:r>
      <w:r w:rsidR="005D7853" w:rsidRPr="00F94F37">
        <w:rPr>
          <w:rFonts w:ascii="Verdana" w:hAnsi="Verdana"/>
          <w:sz w:val="20"/>
          <w:szCs w:val="20"/>
        </w:rPr>
        <w:t>“[l]</w:t>
      </w:r>
      <w:r w:rsidR="0011363F" w:rsidRPr="00F94F37">
        <w:rPr>
          <w:rFonts w:ascii="Verdana" w:hAnsi="Verdana"/>
          <w:sz w:val="20"/>
          <w:szCs w:val="20"/>
        </w:rPr>
        <w:t>a</w:t>
      </w:r>
      <w:r w:rsidR="005D7853" w:rsidRPr="00F94F37">
        <w:rPr>
          <w:rFonts w:ascii="Verdana" w:hAnsi="Verdana"/>
          <w:sz w:val="20"/>
          <w:szCs w:val="20"/>
        </w:rPr>
        <w:t xml:space="preserve"> </w:t>
      </w:r>
      <w:r w:rsidR="00F94F37" w:rsidRPr="00F94F37">
        <w:rPr>
          <w:rFonts w:ascii="Verdana" w:hAnsi="Verdana"/>
          <w:sz w:val="20"/>
          <w:szCs w:val="20"/>
        </w:rPr>
        <w:t>determinación de la fecha, el lugar y las modalidades del acto deb[ían] ser acordados con las víctimas y sus re</w:t>
      </w:r>
      <w:r w:rsidR="00A3618C">
        <w:rPr>
          <w:rFonts w:ascii="Verdana" w:hAnsi="Verdana"/>
          <w:sz w:val="20"/>
          <w:szCs w:val="20"/>
        </w:rPr>
        <w:t>pre</w:t>
      </w:r>
      <w:r w:rsidR="00F94F37" w:rsidRPr="00F94F37">
        <w:rPr>
          <w:rFonts w:ascii="Verdana" w:hAnsi="Verdana"/>
          <w:sz w:val="20"/>
          <w:szCs w:val="20"/>
        </w:rPr>
        <w:t>sentantes”; “[e]l acto deb[ía] ser realizado en una ceremonia pública, con la presencia de altas autoridades del Estado”,</w:t>
      </w:r>
      <w:r w:rsidR="00131C38">
        <w:rPr>
          <w:rFonts w:ascii="Verdana" w:hAnsi="Verdana"/>
          <w:sz w:val="20"/>
          <w:szCs w:val="20"/>
        </w:rPr>
        <w:t xml:space="preserve"> </w:t>
      </w:r>
      <w:r w:rsidR="00F94F37" w:rsidRPr="00F94F37">
        <w:rPr>
          <w:rFonts w:ascii="Verdana" w:hAnsi="Verdana"/>
          <w:sz w:val="20"/>
          <w:szCs w:val="20"/>
        </w:rPr>
        <w:t>las cuales “deb[ían] ser de alto rango”, y que en el mismo “deb[ía] existir representación del Poder Judicial”.</w:t>
      </w:r>
    </w:p>
    <w:p w:rsidR="008D790F" w:rsidRDefault="008D790F" w:rsidP="009D1022">
      <w:pPr>
        <w:pStyle w:val="ListParagraph"/>
        <w:spacing w:before="120" w:after="120" w:line="240" w:lineRule="auto"/>
        <w:ind w:left="567" w:right="-709"/>
        <w:contextualSpacing w:val="0"/>
        <w:jc w:val="both"/>
        <w:rPr>
          <w:rFonts w:ascii="Verdana" w:hAnsi="Verdana"/>
          <w:i/>
          <w:color w:val="000000" w:themeColor="text1"/>
          <w:sz w:val="20"/>
          <w:szCs w:val="20"/>
        </w:rPr>
      </w:pPr>
    </w:p>
    <w:p w:rsidR="00ED1881" w:rsidRPr="00651C41" w:rsidRDefault="00435AEB" w:rsidP="009D1022">
      <w:pPr>
        <w:pStyle w:val="ListParagraph"/>
        <w:spacing w:before="120" w:after="120" w:line="240" w:lineRule="auto"/>
        <w:ind w:left="567" w:right="-709"/>
        <w:contextualSpacing w:val="0"/>
        <w:jc w:val="both"/>
        <w:rPr>
          <w:rFonts w:ascii="Verdana" w:hAnsi="Verdana"/>
          <w:color w:val="000000" w:themeColor="text1"/>
          <w:sz w:val="20"/>
          <w:szCs w:val="20"/>
        </w:rPr>
      </w:pPr>
      <w:r w:rsidRPr="007164BB">
        <w:rPr>
          <w:rFonts w:ascii="Verdana" w:hAnsi="Verdana"/>
          <w:i/>
          <w:color w:val="000000" w:themeColor="text1"/>
          <w:sz w:val="20"/>
          <w:szCs w:val="20"/>
        </w:rPr>
        <w:t>C.2. Consideraciones de la Corte</w:t>
      </w:r>
      <w:r w:rsidR="00651C41">
        <w:rPr>
          <w:rFonts w:ascii="Verdana" w:hAnsi="Verdana"/>
          <w:i/>
          <w:color w:val="000000" w:themeColor="text1"/>
          <w:sz w:val="20"/>
          <w:szCs w:val="20"/>
        </w:rPr>
        <w:t xml:space="preserve"> </w:t>
      </w:r>
    </w:p>
    <w:p w:rsidR="005E1F67" w:rsidRPr="00BA4B91" w:rsidRDefault="005E1F67"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BA4B91">
        <w:rPr>
          <w:rFonts w:ascii="Verdana" w:hAnsi="Verdana"/>
          <w:sz w:val="20"/>
          <w:szCs w:val="20"/>
        </w:rPr>
        <w:t>Con base en la prueba aportada por el Estado</w:t>
      </w:r>
      <w:r w:rsidR="00AC028B" w:rsidRPr="00BA4B91">
        <w:rPr>
          <w:rStyle w:val="FootnoteReference"/>
          <w:rFonts w:ascii="Verdana" w:hAnsi="Verdana"/>
          <w:sz w:val="20"/>
          <w:szCs w:val="20"/>
        </w:rPr>
        <w:footnoteReference w:id="24"/>
      </w:r>
      <w:r w:rsidRPr="00BA4B91">
        <w:rPr>
          <w:rFonts w:ascii="Verdana" w:hAnsi="Verdana"/>
          <w:sz w:val="20"/>
          <w:szCs w:val="20"/>
        </w:rPr>
        <w:t xml:space="preserve"> y lo observado de manera general por el representante (</w:t>
      </w:r>
      <w:r w:rsidRPr="00BA4B91">
        <w:rPr>
          <w:rFonts w:ascii="Verdana" w:hAnsi="Verdana"/>
          <w:i/>
          <w:sz w:val="20"/>
          <w:szCs w:val="20"/>
        </w:rPr>
        <w:t>supra</w:t>
      </w:r>
      <w:r w:rsidRPr="00BA4B91">
        <w:rPr>
          <w:rFonts w:ascii="Verdana" w:hAnsi="Verdana"/>
          <w:sz w:val="20"/>
          <w:szCs w:val="20"/>
        </w:rPr>
        <w:t xml:space="preserve"> Considerando </w:t>
      </w:r>
      <w:r w:rsidR="009F1440">
        <w:rPr>
          <w:rFonts w:ascii="Verdana" w:hAnsi="Verdana"/>
          <w:sz w:val="20"/>
          <w:szCs w:val="20"/>
        </w:rPr>
        <w:t>3</w:t>
      </w:r>
      <w:r w:rsidRPr="00BA4B91">
        <w:rPr>
          <w:rFonts w:ascii="Verdana" w:hAnsi="Verdana"/>
          <w:sz w:val="20"/>
          <w:szCs w:val="20"/>
        </w:rPr>
        <w:t>), este Tribunal constata que el 7 de octubre 2016 se realizó</w:t>
      </w:r>
      <w:r w:rsidR="00314C39" w:rsidRPr="00BA4B91">
        <w:rPr>
          <w:rFonts w:ascii="Verdana" w:hAnsi="Verdana"/>
          <w:sz w:val="20"/>
          <w:szCs w:val="20"/>
        </w:rPr>
        <w:t xml:space="preserve"> en </w:t>
      </w:r>
      <w:r w:rsidR="009F1440">
        <w:rPr>
          <w:rFonts w:ascii="Verdana" w:hAnsi="Verdana"/>
          <w:sz w:val="20"/>
          <w:szCs w:val="20"/>
        </w:rPr>
        <w:t xml:space="preserve">el </w:t>
      </w:r>
      <w:r w:rsidR="00314C39" w:rsidRPr="00BA4B91">
        <w:rPr>
          <w:rFonts w:ascii="Verdana" w:hAnsi="Verdana"/>
          <w:sz w:val="20"/>
          <w:szCs w:val="20"/>
        </w:rPr>
        <w:t>“Salón de Honor del Congreso Nacional, sede Santiago [de Chile]”</w:t>
      </w:r>
      <w:r w:rsidR="009F1440">
        <w:rPr>
          <w:rFonts w:ascii="Verdana" w:hAnsi="Verdana"/>
          <w:sz w:val="20"/>
          <w:szCs w:val="20"/>
        </w:rPr>
        <w:t>,</w:t>
      </w:r>
      <w:r w:rsidRPr="00BA4B91">
        <w:rPr>
          <w:rFonts w:ascii="Verdana" w:hAnsi="Verdana"/>
          <w:sz w:val="20"/>
          <w:szCs w:val="20"/>
        </w:rPr>
        <w:t xml:space="preserve"> el acto público de reconocimiento de responsabilidad internacional por los hechos y violaciones del presente caso</w:t>
      </w:r>
      <w:r w:rsidR="002D45C8" w:rsidRPr="00BA4B91">
        <w:rPr>
          <w:rStyle w:val="FootnoteReference"/>
          <w:rFonts w:ascii="Verdana" w:hAnsi="Verdana"/>
          <w:sz w:val="20"/>
          <w:szCs w:val="20"/>
        </w:rPr>
        <w:footnoteReference w:id="25"/>
      </w:r>
      <w:r w:rsidRPr="00BA4B91">
        <w:rPr>
          <w:rFonts w:ascii="Verdana" w:hAnsi="Verdana"/>
          <w:sz w:val="20"/>
          <w:szCs w:val="20"/>
        </w:rPr>
        <w:t xml:space="preserve">. </w:t>
      </w:r>
    </w:p>
    <w:p w:rsidR="00AC028B" w:rsidRPr="00BA4B91" w:rsidRDefault="00314C39"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BA4B91">
        <w:rPr>
          <w:rFonts w:ascii="Verdana" w:hAnsi="Verdana"/>
          <w:sz w:val="20"/>
          <w:szCs w:val="20"/>
        </w:rPr>
        <w:t>La Corte valora altamente que dicho acto haya sido realizado dentro del plazo otorgado en la Sentencia</w:t>
      </w:r>
      <w:r w:rsidR="000A46A9">
        <w:rPr>
          <w:rFonts w:ascii="Verdana" w:hAnsi="Verdana"/>
          <w:sz w:val="20"/>
          <w:szCs w:val="20"/>
        </w:rPr>
        <w:t xml:space="preserve"> (</w:t>
      </w:r>
      <w:r w:rsidR="000A46A9" w:rsidRPr="000A46A9">
        <w:rPr>
          <w:rFonts w:ascii="Verdana" w:hAnsi="Verdana"/>
          <w:i/>
          <w:sz w:val="20"/>
          <w:szCs w:val="20"/>
        </w:rPr>
        <w:t>supra</w:t>
      </w:r>
      <w:r w:rsidR="000A46A9">
        <w:rPr>
          <w:rFonts w:ascii="Verdana" w:hAnsi="Verdana"/>
          <w:sz w:val="20"/>
          <w:szCs w:val="20"/>
        </w:rPr>
        <w:t xml:space="preserve"> Considerando 14),</w:t>
      </w:r>
      <w:r w:rsidRPr="00BA4B91">
        <w:rPr>
          <w:rFonts w:ascii="Verdana" w:hAnsi="Verdana"/>
          <w:sz w:val="20"/>
          <w:szCs w:val="20"/>
        </w:rPr>
        <w:t xml:space="preserve"> que el mismo haya sido presidido por la President</w:t>
      </w:r>
      <w:r w:rsidR="009F1440">
        <w:rPr>
          <w:rFonts w:ascii="Verdana" w:hAnsi="Verdana"/>
          <w:sz w:val="20"/>
          <w:szCs w:val="20"/>
        </w:rPr>
        <w:t>a</w:t>
      </w:r>
      <w:r w:rsidRPr="00BA4B91">
        <w:rPr>
          <w:rFonts w:ascii="Verdana" w:hAnsi="Verdana"/>
          <w:sz w:val="20"/>
          <w:szCs w:val="20"/>
        </w:rPr>
        <w:t xml:space="preserve"> de la República, Michelle Bachelet, </w:t>
      </w:r>
      <w:r w:rsidR="000A46A9">
        <w:rPr>
          <w:rFonts w:ascii="Verdana" w:hAnsi="Verdana"/>
          <w:sz w:val="20"/>
          <w:szCs w:val="20"/>
        </w:rPr>
        <w:t xml:space="preserve">y contado </w:t>
      </w:r>
      <w:r w:rsidRPr="00BA4B91">
        <w:rPr>
          <w:rFonts w:ascii="Verdana" w:hAnsi="Verdana"/>
          <w:sz w:val="20"/>
          <w:szCs w:val="20"/>
        </w:rPr>
        <w:t>con la participación, además</w:t>
      </w:r>
      <w:r w:rsidR="009F1440">
        <w:rPr>
          <w:rFonts w:ascii="Verdana" w:hAnsi="Verdana"/>
          <w:sz w:val="20"/>
          <w:szCs w:val="20"/>
        </w:rPr>
        <w:t>,</w:t>
      </w:r>
      <w:r w:rsidRPr="00BA4B91">
        <w:rPr>
          <w:rFonts w:ascii="Verdana" w:hAnsi="Verdana"/>
          <w:sz w:val="20"/>
          <w:szCs w:val="20"/>
        </w:rPr>
        <w:t xml:space="preserve"> de altas autoridades de los tres poderes del Estado</w:t>
      </w:r>
      <w:r w:rsidR="00D45C01" w:rsidRPr="00BA4B91">
        <w:rPr>
          <w:rStyle w:val="FootnoteReference"/>
          <w:rFonts w:ascii="Verdana" w:hAnsi="Verdana"/>
          <w:sz w:val="20"/>
          <w:szCs w:val="20"/>
        </w:rPr>
        <w:footnoteReference w:id="26"/>
      </w:r>
      <w:r w:rsidRPr="00BA4B91">
        <w:rPr>
          <w:rFonts w:ascii="Verdana" w:hAnsi="Verdana"/>
          <w:sz w:val="20"/>
          <w:szCs w:val="20"/>
        </w:rPr>
        <w:t>, de las víctimas</w:t>
      </w:r>
      <w:r w:rsidRPr="00BA4B91">
        <w:rPr>
          <w:rStyle w:val="FootnoteReference"/>
          <w:rFonts w:ascii="Verdana" w:hAnsi="Verdana"/>
          <w:sz w:val="20"/>
          <w:szCs w:val="20"/>
        </w:rPr>
        <w:footnoteReference w:id="27"/>
      </w:r>
      <w:r w:rsidR="008A5825" w:rsidRPr="00BA4B91">
        <w:rPr>
          <w:rFonts w:ascii="Verdana" w:hAnsi="Verdana"/>
          <w:sz w:val="20"/>
          <w:szCs w:val="20"/>
        </w:rPr>
        <w:t xml:space="preserve"> y de </w:t>
      </w:r>
      <w:r w:rsidR="008A5825" w:rsidRPr="00BA4B91">
        <w:rPr>
          <w:rFonts w:ascii="Verdana" w:hAnsi="Verdana"/>
          <w:sz w:val="20"/>
          <w:szCs w:val="20"/>
        </w:rPr>
        <w:lastRenderedPageBreak/>
        <w:t>sus familiares, así como de</w:t>
      </w:r>
      <w:r w:rsidR="00D45C01" w:rsidRPr="00BA4B91">
        <w:rPr>
          <w:rFonts w:ascii="Verdana" w:hAnsi="Verdana"/>
          <w:sz w:val="20"/>
          <w:szCs w:val="20"/>
        </w:rPr>
        <w:t xml:space="preserve"> </w:t>
      </w:r>
      <w:r w:rsidR="008A5825" w:rsidRPr="00BA4B91">
        <w:rPr>
          <w:rFonts w:ascii="Verdana" w:hAnsi="Verdana"/>
          <w:sz w:val="20"/>
          <w:szCs w:val="20"/>
        </w:rPr>
        <w:t>otros</w:t>
      </w:r>
      <w:r w:rsidR="00D45C01" w:rsidRPr="00BA4B91">
        <w:rPr>
          <w:rFonts w:ascii="Verdana" w:hAnsi="Verdana"/>
          <w:sz w:val="20"/>
          <w:szCs w:val="20"/>
        </w:rPr>
        <w:t xml:space="preserve"> invitados</w:t>
      </w:r>
      <w:r w:rsidR="00D45C01" w:rsidRPr="00BA4B91">
        <w:rPr>
          <w:rStyle w:val="FootnoteReference"/>
          <w:rFonts w:ascii="Verdana" w:hAnsi="Verdana"/>
          <w:sz w:val="20"/>
          <w:szCs w:val="20"/>
        </w:rPr>
        <w:footnoteReference w:id="28"/>
      </w:r>
      <w:r w:rsidRPr="00BA4B91">
        <w:rPr>
          <w:rFonts w:ascii="Verdana" w:hAnsi="Verdana"/>
          <w:sz w:val="20"/>
          <w:szCs w:val="20"/>
        </w:rPr>
        <w:t xml:space="preserve">. Asimismo, el Tribunal observa con satisfacción que </w:t>
      </w:r>
      <w:r w:rsidR="00FC2210" w:rsidRPr="00BA4B91">
        <w:rPr>
          <w:rFonts w:ascii="Verdana" w:hAnsi="Verdana"/>
          <w:sz w:val="20"/>
          <w:szCs w:val="20"/>
        </w:rPr>
        <w:t xml:space="preserve">la planificación </w:t>
      </w:r>
      <w:r w:rsidR="009F1440">
        <w:rPr>
          <w:rFonts w:ascii="Verdana" w:hAnsi="Verdana"/>
          <w:sz w:val="20"/>
          <w:szCs w:val="20"/>
        </w:rPr>
        <w:t xml:space="preserve">y contenido </w:t>
      </w:r>
      <w:r w:rsidR="00FC2210" w:rsidRPr="00BA4B91">
        <w:rPr>
          <w:rFonts w:ascii="Verdana" w:hAnsi="Verdana"/>
          <w:sz w:val="20"/>
          <w:szCs w:val="20"/>
        </w:rPr>
        <w:t>del referido acto cumplió con tomar en cu</w:t>
      </w:r>
      <w:r w:rsidR="009F1440">
        <w:rPr>
          <w:rFonts w:ascii="Verdana" w:hAnsi="Verdana"/>
          <w:sz w:val="20"/>
          <w:szCs w:val="20"/>
        </w:rPr>
        <w:t>e</w:t>
      </w:r>
      <w:r w:rsidR="00FC2210" w:rsidRPr="00BA4B91">
        <w:rPr>
          <w:rFonts w:ascii="Verdana" w:hAnsi="Verdana"/>
          <w:sz w:val="20"/>
          <w:szCs w:val="20"/>
        </w:rPr>
        <w:t>nta la debida participación, cooperación y acuerdo de las víctimas.</w:t>
      </w:r>
      <w:r w:rsidR="00FC2210" w:rsidRPr="00BA4B91">
        <w:rPr>
          <w:rFonts w:ascii="Verdana" w:hAnsi="Verdana"/>
          <w:b/>
          <w:sz w:val="20"/>
          <w:szCs w:val="20"/>
        </w:rPr>
        <w:t xml:space="preserve"> </w:t>
      </w:r>
      <w:r w:rsidR="00651C41" w:rsidRPr="00BA4B91">
        <w:rPr>
          <w:rFonts w:ascii="Verdana" w:hAnsi="Verdana"/>
          <w:sz w:val="20"/>
          <w:szCs w:val="20"/>
        </w:rPr>
        <w:t>Asimismo, es pertinente resaltar que las palabras de la Presidenta cumplieron con el propósito de la reparación ordenada ya que reconoció la responsabilidad del Estado por las violaciones de derechos humanos cometidas en contra de las víctimas</w:t>
      </w:r>
      <w:r w:rsidR="000A46A9">
        <w:rPr>
          <w:rFonts w:ascii="Verdana" w:hAnsi="Verdana"/>
          <w:sz w:val="20"/>
          <w:szCs w:val="20"/>
        </w:rPr>
        <w:t xml:space="preserve">. </w:t>
      </w:r>
      <w:r w:rsidR="000A46A9" w:rsidRPr="00A3618C">
        <w:rPr>
          <w:rFonts w:ascii="Verdana" w:hAnsi="Verdana"/>
          <w:sz w:val="20"/>
          <w:szCs w:val="20"/>
        </w:rPr>
        <w:t>Al respecto, la mandataria expresó que “el Estado de Chile se equivocó graveme</w:t>
      </w:r>
      <w:r w:rsidR="00A3618C" w:rsidRPr="00A3618C">
        <w:rPr>
          <w:rFonts w:ascii="Verdana" w:hAnsi="Verdana"/>
          <w:sz w:val="20"/>
          <w:szCs w:val="20"/>
        </w:rPr>
        <w:t>nte” y que ese acto era realizad</w:t>
      </w:r>
      <w:r w:rsidR="000A46A9" w:rsidRPr="00A3618C">
        <w:rPr>
          <w:rFonts w:ascii="Verdana" w:hAnsi="Verdana"/>
          <w:sz w:val="20"/>
          <w:szCs w:val="20"/>
        </w:rPr>
        <w:t>o</w:t>
      </w:r>
      <w:r w:rsidR="008C5911" w:rsidRPr="00A3618C">
        <w:rPr>
          <w:rFonts w:ascii="Verdana" w:hAnsi="Verdana"/>
          <w:sz w:val="20"/>
          <w:szCs w:val="20"/>
        </w:rPr>
        <w:t xml:space="preserve"> “para reconocer esta responsabilidad y reparar a las víctimas con medidas que permitan restaurar su dignidad violentada” </w:t>
      </w:r>
      <w:r w:rsidR="00A3618C" w:rsidRPr="00A3618C">
        <w:rPr>
          <w:rFonts w:ascii="Verdana" w:hAnsi="Verdana"/>
          <w:sz w:val="20"/>
          <w:szCs w:val="20"/>
        </w:rPr>
        <w:t>por la</w:t>
      </w:r>
      <w:r w:rsidR="008C5911" w:rsidRPr="00A3618C">
        <w:rPr>
          <w:rFonts w:ascii="Verdana" w:hAnsi="Verdana"/>
          <w:sz w:val="20"/>
          <w:szCs w:val="20"/>
        </w:rPr>
        <w:t xml:space="preserve"> </w:t>
      </w:r>
      <w:r w:rsidR="00A3618C">
        <w:rPr>
          <w:rFonts w:ascii="Verdana" w:hAnsi="Verdana"/>
          <w:sz w:val="20"/>
          <w:szCs w:val="20"/>
        </w:rPr>
        <w:t>“</w:t>
      </w:r>
      <w:r w:rsidR="008C5911" w:rsidRPr="00A3618C">
        <w:rPr>
          <w:rFonts w:ascii="Verdana" w:hAnsi="Verdana"/>
          <w:sz w:val="20"/>
          <w:szCs w:val="20"/>
        </w:rPr>
        <w:t>tortura</w:t>
      </w:r>
      <w:r w:rsidR="00A3618C" w:rsidRPr="00A3618C">
        <w:rPr>
          <w:rFonts w:ascii="Verdana" w:hAnsi="Verdana"/>
          <w:sz w:val="20"/>
          <w:szCs w:val="20"/>
        </w:rPr>
        <w:t>[…]</w:t>
      </w:r>
      <w:r w:rsidR="008C5911" w:rsidRPr="00A3618C">
        <w:rPr>
          <w:rFonts w:ascii="Verdana" w:hAnsi="Verdana"/>
          <w:sz w:val="20"/>
          <w:szCs w:val="20"/>
        </w:rPr>
        <w:t xml:space="preserve">, </w:t>
      </w:r>
      <w:r w:rsidR="00A3618C" w:rsidRPr="00A3618C">
        <w:rPr>
          <w:rFonts w:ascii="Verdana" w:hAnsi="Verdana"/>
          <w:sz w:val="20"/>
          <w:szCs w:val="20"/>
        </w:rPr>
        <w:t>[la] aplica[ción de]</w:t>
      </w:r>
      <w:r w:rsidR="008C5911" w:rsidRPr="00A3618C">
        <w:rPr>
          <w:rFonts w:ascii="Verdana" w:hAnsi="Verdana"/>
          <w:sz w:val="20"/>
          <w:szCs w:val="20"/>
        </w:rPr>
        <w:t xml:space="preserve"> instancias jurisdiccionales sin garantías al debido proceso y </w:t>
      </w:r>
      <w:r w:rsidR="00A3618C" w:rsidRPr="00A3618C">
        <w:rPr>
          <w:rFonts w:ascii="Verdana" w:hAnsi="Verdana"/>
          <w:sz w:val="20"/>
          <w:szCs w:val="20"/>
        </w:rPr>
        <w:t>[la] nega[ción de]</w:t>
      </w:r>
      <w:r w:rsidR="008C5911" w:rsidRPr="00A3618C">
        <w:rPr>
          <w:rFonts w:ascii="Verdana" w:hAnsi="Verdana"/>
          <w:sz w:val="20"/>
          <w:szCs w:val="20"/>
        </w:rPr>
        <w:t xml:space="preserve"> la posibilidad de reparar</w:t>
      </w:r>
      <w:r w:rsidR="00A3618C" w:rsidRPr="00A3618C">
        <w:rPr>
          <w:rFonts w:ascii="Verdana" w:hAnsi="Verdana"/>
          <w:sz w:val="20"/>
          <w:szCs w:val="20"/>
        </w:rPr>
        <w:t>[los]</w:t>
      </w:r>
      <w:r w:rsidR="008C5911" w:rsidRPr="00A3618C">
        <w:rPr>
          <w:rFonts w:ascii="Verdana" w:hAnsi="Verdana"/>
          <w:sz w:val="20"/>
          <w:szCs w:val="20"/>
        </w:rPr>
        <w:t xml:space="preserve"> con un recurso eficaz en [sus] tribunales, esto último [durante] la democracia”.</w:t>
      </w:r>
      <w:r w:rsidR="00651C41" w:rsidRPr="00BA4B91">
        <w:rPr>
          <w:rFonts w:ascii="Verdana" w:hAnsi="Verdana"/>
          <w:sz w:val="20"/>
          <w:szCs w:val="20"/>
        </w:rPr>
        <w:t xml:space="preserve"> </w:t>
      </w:r>
      <w:r w:rsidR="008C5911">
        <w:rPr>
          <w:rFonts w:ascii="Verdana" w:hAnsi="Verdana"/>
          <w:sz w:val="20"/>
          <w:szCs w:val="20"/>
        </w:rPr>
        <w:t>A</w:t>
      </w:r>
      <w:r w:rsidR="003C4254" w:rsidRPr="00BA4B91">
        <w:rPr>
          <w:rFonts w:ascii="Verdana" w:hAnsi="Verdana"/>
          <w:sz w:val="20"/>
          <w:szCs w:val="20"/>
        </w:rPr>
        <w:t>dicionalmente,</w:t>
      </w:r>
      <w:r w:rsidR="00651C41" w:rsidRPr="00BA4B91">
        <w:rPr>
          <w:rFonts w:ascii="Verdana" w:hAnsi="Verdana"/>
          <w:sz w:val="20"/>
          <w:szCs w:val="20"/>
        </w:rPr>
        <w:t xml:space="preserve"> les </w:t>
      </w:r>
      <w:r w:rsidR="00A3618C" w:rsidRPr="00A3618C">
        <w:rPr>
          <w:rFonts w:ascii="Verdana" w:hAnsi="Verdana"/>
          <w:sz w:val="20"/>
          <w:szCs w:val="20"/>
        </w:rPr>
        <w:t>tomando en cuenta</w:t>
      </w:r>
      <w:r w:rsidR="008C5911" w:rsidRPr="00A3618C">
        <w:rPr>
          <w:rFonts w:ascii="Verdana" w:hAnsi="Verdana"/>
          <w:sz w:val="20"/>
          <w:szCs w:val="20"/>
        </w:rPr>
        <w:t xml:space="preserve"> su “condición de víctimas de graves violaciones  de derechos humanos”,</w:t>
      </w:r>
      <w:r w:rsidR="008C5911">
        <w:rPr>
          <w:rFonts w:ascii="Verdana" w:hAnsi="Verdana"/>
          <w:sz w:val="20"/>
          <w:szCs w:val="20"/>
        </w:rPr>
        <w:t xml:space="preserve"> les </w:t>
      </w:r>
      <w:r w:rsidR="00BA4B91" w:rsidRPr="00BA4B91">
        <w:rPr>
          <w:rFonts w:ascii="Verdana" w:hAnsi="Verdana"/>
          <w:sz w:val="20"/>
          <w:szCs w:val="20"/>
        </w:rPr>
        <w:t xml:space="preserve">agradeció su lucha y les </w:t>
      </w:r>
      <w:r w:rsidR="00651C41" w:rsidRPr="00BA4B91">
        <w:rPr>
          <w:rFonts w:ascii="Verdana" w:hAnsi="Verdana"/>
          <w:sz w:val="20"/>
          <w:szCs w:val="20"/>
        </w:rPr>
        <w:t>ofreció una disculpa</w:t>
      </w:r>
      <w:r w:rsidR="003C4254" w:rsidRPr="00BA4B91">
        <w:rPr>
          <w:rFonts w:ascii="Verdana" w:hAnsi="Verdana"/>
          <w:sz w:val="20"/>
          <w:szCs w:val="20"/>
        </w:rPr>
        <w:t xml:space="preserve"> por haber sido “juzgados y condenados injustamente”, así como por la </w:t>
      </w:r>
      <w:r w:rsidR="00BA4B91" w:rsidRPr="00BA4B91">
        <w:rPr>
          <w:rFonts w:ascii="Verdana" w:hAnsi="Verdana"/>
          <w:sz w:val="20"/>
          <w:szCs w:val="20"/>
        </w:rPr>
        <w:t xml:space="preserve">“negación brutal de </w:t>
      </w:r>
      <w:r w:rsidR="008C5911">
        <w:rPr>
          <w:rFonts w:ascii="Verdana" w:hAnsi="Verdana"/>
          <w:sz w:val="20"/>
          <w:szCs w:val="20"/>
        </w:rPr>
        <w:t>[su]</w:t>
      </w:r>
      <w:r w:rsidR="008C5911" w:rsidRPr="00BA4B91">
        <w:rPr>
          <w:rFonts w:ascii="Verdana" w:hAnsi="Verdana"/>
          <w:sz w:val="20"/>
          <w:szCs w:val="20"/>
        </w:rPr>
        <w:t xml:space="preserve"> </w:t>
      </w:r>
      <w:r w:rsidR="00BA4B91" w:rsidRPr="00BA4B91">
        <w:rPr>
          <w:rFonts w:ascii="Verdana" w:hAnsi="Verdana"/>
          <w:sz w:val="20"/>
          <w:szCs w:val="20"/>
        </w:rPr>
        <w:t xml:space="preserve">dignidad y </w:t>
      </w:r>
      <w:r w:rsidR="008C5911">
        <w:rPr>
          <w:rFonts w:ascii="Verdana" w:hAnsi="Verdana"/>
          <w:sz w:val="20"/>
          <w:szCs w:val="20"/>
        </w:rPr>
        <w:t>[…]</w:t>
      </w:r>
      <w:r w:rsidR="008C5911" w:rsidRPr="00BA4B91">
        <w:rPr>
          <w:rFonts w:ascii="Verdana" w:hAnsi="Verdana"/>
          <w:sz w:val="20"/>
          <w:szCs w:val="20"/>
        </w:rPr>
        <w:t xml:space="preserve"> </w:t>
      </w:r>
      <w:r w:rsidR="00BA4B91" w:rsidRPr="00BA4B91">
        <w:rPr>
          <w:rFonts w:ascii="Verdana" w:hAnsi="Verdana"/>
          <w:sz w:val="20"/>
          <w:szCs w:val="20"/>
        </w:rPr>
        <w:t>honor”</w:t>
      </w:r>
      <w:r w:rsidR="00651C41" w:rsidRPr="00BA4B91">
        <w:rPr>
          <w:rStyle w:val="FootnoteReference"/>
          <w:rFonts w:ascii="Verdana" w:hAnsi="Verdana"/>
          <w:sz w:val="20"/>
          <w:szCs w:val="20"/>
        </w:rPr>
        <w:footnoteReference w:id="29"/>
      </w:r>
      <w:r w:rsidR="00651C41" w:rsidRPr="00BA4B91">
        <w:rPr>
          <w:rFonts w:ascii="Verdana" w:hAnsi="Verdana"/>
          <w:sz w:val="20"/>
          <w:szCs w:val="20"/>
        </w:rPr>
        <w:t xml:space="preserve">. </w:t>
      </w:r>
      <w:r w:rsidR="00AC028B" w:rsidRPr="00BA4B91">
        <w:rPr>
          <w:rFonts w:ascii="Verdana" w:hAnsi="Verdana"/>
          <w:sz w:val="20"/>
          <w:szCs w:val="20"/>
        </w:rPr>
        <w:t xml:space="preserve">Además, </w:t>
      </w:r>
      <w:r w:rsidR="00D45C01" w:rsidRPr="00BA4B91">
        <w:rPr>
          <w:rFonts w:ascii="Verdana" w:hAnsi="Verdana"/>
          <w:sz w:val="20"/>
          <w:szCs w:val="20"/>
        </w:rPr>
        <w:t>el Tribunal</w:t>
      </w:r>
      <w:r w:rsidR="00AC028B" w:rsidRPr="00BA4B91">
        <w:rPr>
          <w:rFonts w:ascii="Verdana" w:hAnsi="Verdana"/>
          <w:sz w:val="20"/>
          <w:szCs w:val="20"/>
        </w:rPr>
        <w:t xml:space="preserve"> estima importante </w:t>
      </w:r>
      <w:r w:rsidR="00651C41" w:rsidRPr="00BA4B91">
        <w:rPr>
          <w:rFonts w:ascii="Verdana" w:hAnsi="Verdana"/>
          <w:sz w:val="20"/>
          <w:szCs w:val="20"/>
        </w:rPr>
        <w:t>destacar</w:t>
      </w:r>
      <w:r w:rsidR="00AC028B" w:rsidRPr="00BA4B91">
        <w:rPr>
          <w:rFonts w:ascii="Verdana" w:hAnsi="Verdana"/>
          <w:sz w:val="20"/>
          <w:szCs w:val="20"/>
        </w:rPr>
        <w:t xml:space="preserve"> la amplia difusión que recibió dicho acto a través de diversos medios de comunicación, pues ello contribuye a una mayor preservación de la memoria histórica de las violaciones a los derechos humanos cometidas, promoviendo a la vez la no repetición de hechos como los del presente caso</w:t>
      </w:r>
      <w:r w:rsidR="00AC028B" w:rsidRPr="00BA4B91">
        <w:rPr>
          <w:rStyle w:val="FootnoteReference"/>
          <w:rFonts w:ascii="Verdana" w:hAnsi="Verdana"/>
          <w:sz w:val="20"/>
          <w:szCs w:val="20"/>
        </w:rPr>
        <w:footnoteReference w:id="30"/>
      </w:r>
      <w:r w:rsidR="00AC028B" w:rsidRPr="00BA4B91">
        <w:rPr>
          <w:rFonts w:ascii="Verdana" w:hAnsi="Verdana"/>
          <w:sz w:val="20"/>
          <w:szCs w:val="20"/>
        </w:rPr>
        <w:t>.</w:t>
      </w:r>
    </w:p>
    <w:p w:rsidR="00464FE4" w:rsidRDefault="003C4254"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BA4B91">
        <w:rPr>
          <w:rFonts w:ascii="Verdana" w:hAnsi="Verdana"/>
          <w:sz w:val="20"/>
          <w:szCs w:val="20"/>
        </w:rPr>
        <w:t xml:space="preserve">En los términos expuestos, </w:t>
      </w:r>
      <w:r w:rsidR="008C5911">
        <w:rPr>
          <w:rFonts w:ascii="Verdana" w:hAnsi="Verdana"/>
          <w:sz w:val="20"/>
          <w:szCs w:val="20"/>
        </w:rPr>
        <w:t>la Corte</w:t>
      </w:r>
      <w:r w:rsidRPr="00BA4B91">
        <w:rPr>
          <w:rFonts w:ascii="Verdana" w:hAnsi="Verdana"/>
          <w:sz w:val="20"/>
          <w:szCs w:val="20"/>
        </w:rPr>
        <w:t xml:space="preserve"> considera que el acto realizado por Chile satisface plenamente el objeto y propósito de </w:t>
      </w:r>
      <w:r>
        <w:rPr>
          <w:rFonts w:ascii="Verdana" w:hAnsi="Verdana"/>
          <w:sz w:val="20"/>
          <w:szCs w:val="20"/>
        </w:rPr>
        <w:t xml:space="preserve">la reparación dispuesta, por lo que </w:t>
      </w:r>
      <w:r w:rsidR="00464FE4" w:rsidRPr="00464FE4">
        <w:rPr>
          <w:rFonts w:ascii="Verdana" w:hAnsi="Verdana"/>
          <w:sz w:val="20"/>
          <w:szCs w:val="20"/>
        </w:rPr>
        <w:t>considera que</w:t>
      </w:r>
      <w:r w:rsidR="001F0637">
        <w:rPr>
          <w:rFonts w:ascii="Verdana" w:hAnsi="Verdana"/>
          <w:sz w:val="20"/>
          <w:szCs w:val="20"/>
        </w:rPr>
        <w:t>, dentro del plazo que le fue otorgado,</w:t>
      </w:r>
      <w:r w:rsidR="00464FE4" w:rsidRPr="00464FE4">
        <w:rPr>
          <w:rFonts w:ascii="Verdana" w:hAnsi="Verdana"/>
          <w:sz w:val="20"/>
          <w:szCs w:val="20"/>
        </w:rPr>
        <w:t xml:space="preserve"> ha dado cumplimiento total a la medida de reparación relativa a la realización de un acto público de reconocimiento de responsabilidad internacional, ordenada en el punto </w:t>
      </w:r>
      <w:r w:rsidR="00AC028B">
        <w:rPr>
          <w:rFonts w:ascii="Verdana" w:hAnsi="Verdana"/>
          <w:sz w:val="20"/>
          <w:szCs w:val="20"/>
        </w:rPr>
        <w:t>resolutivo</w:t>
      </w:r>
      <w:r w:rsidR="00464FE4" w:rsidRPr="00464FE4">
        <w:rPr>
          <w:rFonts w:ascii="Verdana" w:hAnsi="Verdana"/>
          <w:sz w:val="20"/>
          <w:szCs w:val="20"/>
        </w:rPr>
        <w:t xml:space="preserve"> séptimo de la Sentencia.</w:t>
      </w:r>
      <w:bookmarkStart w:id="6" w:name="_Toc483918294"/>
      <w:r w:rsidR="000F1113">
        <w:rPr>
          <w:rFonts w:ascii="Verdana" w:hAnsi="Verdana"/>
          <w:sz w:val="20"/>
          <w:szCs w:val="20"/>
        </w:rPr>
        <w:t xml:space="preserve"> </w:t>
      </w:r>
    </w:p>
    <w:p w:rsidR="00464FE4" w:rsidRDefault="00464FE4" w:rsidP="009D1022">
      <w:pPr>
        <w:pStyle w:val="ListParagraph"/>
        <w:tabs>
          <w:tab w:val="left" w:pos="0"/>
        </w:tabs>
        <w:spacing w:before="120" w:after="120" w:line="240" w:lineRule="auto"/>
        <w:ind w:left="0" w:right="-709"/>
        <w:contextualSpacing w:val="0"/>
        <w:jc w:val="both"/>
        <w:rPr>
          <w:rFonts w:ascii="Verdana" w:hAnsi="Verdana"/>
          <w:sz w:val="20"/>
          <w:szCs w:val="20"/>
        </w:rPr>
      </w:pPr>
    </w:p>
    <w:p w:rsidR="00376B0F" w:rsidRPr="00376B0F" w:rsidRDefault="007977A2" w:rsidP="009D1022">
      <w:pPr>
        <w:pStyle w:val="ListParagraph"/>
        <w:numPr>
          <w:ilvl w:val="0"/>
          <w:numId w:val="3"/>
        </w:numPr>
        <w:tabs>
          <w:tab w:val="left" w:pos="0"/>
        </w:tabs>
        <w:spacing w:before="120" w:after="120" w:line="240" w:lineRule="auto"/>
        <w:ind w:right="-709"/>
        <w:contextualSpacing w:val="0"/>
        <w:jc w:val="both"/>
        <w:outlineLvl w:val="0"/>
        <w:rPr>
          <w:rFonts w:ascii="Verdana" w:hAnsi="Verdana"/>
          <w:b/>
          <w:sz w:val="20"/>
          <w:szCs w:val="20"/>
        </w:rPr>
      </w:pPr>
      <w:bookmarkStart w:id="7" w:name="_Toc485226649"/>
      <w:r>
        <w:rPr>
          <w:rFonts w:ascii="Verdana" w:hAnsi="Verdana"/>
          <w:b/>
          <w:i/>
          <w:color w:val="000000" w:themeColor="text1"/>
          <w:sz w:val="20"/>
          <w:szCs w:val="20"/>
        </w:rPr>
        <w:t>P</w:t>
      </w:r>
      <w:r w:rsidR="00EB0D38" w:rsidRPr="00464FE4">
        <w:rPr>
          <w:rFonts w:ascii="Verdana" w:hAnsi="Verdana"/>
          <w:b/>
          <w:i/>
          <w:color w:val="000000" w:themeColor="text1"/>
          <w:sz w:val="20"/>
          <w:szCs w:val="20"/>
        </w:rPr>
        <w:t xml:space="preserve">laca </w:t>
      </w:r>
      <w:r>
        <w:rPr>
          <w:rFonts w:ascii="Verdana" w:hAnsi="Verdana"/>
          <w:b/>
          <w:i/>
          <w:color w:val="000000" w:themeColor="text1"/>
          <w:sz w:val="20"/>
          <w:szCs w:val="20"/>
        </w:rPr>
        <w:t xml:space="preserve">en conmemoración </w:t>
      </w:r>
      <w:bookmarkEnd w:id="6"/>
      <w:r w:rsidR="000F1113">
        <w:rPr>
          <w:rFonts w:ascii="Verdana" w:hAnsi="Verdana"/>
          <w:b/>
          <w:i/>
          <w:color w:val="000000" w:themeColor="text1"/>
          <w:sz w:val="20"/>
          <w:szCs w:val="20"/>
        </w:rPr>
        <w:t xml:space="preserve">de las víctimas </w:t>
      </w:r>
      <w:bookmarkEnd w:id="7"/>
    </w:p>
    <w:p w:rsidR="00390660" w:rsidRPr="00376B0F" w:rsidRDefault="00390660" w:rsidP="009D1022">
      <w:pPr>
        <w:tabs>
          <w:tab w:val="left" w:pos="0"/>
        </w:tabs>
        <w:spacing w:before="120" w:after="120" w:line="240" w:lineRule="auto"/>
        <w:ind w:left="567" w:right="-709"/>
        <w:jc w:val="both"/>
        <w:rPr>
          <w:rFonts w:ascii="Verdana" w:hAnsi="Verdana"/>
          <w:b/>
          <w:sz w:val="20"/>
          <w:szCs w:val="20"/>
        </w:rPr>
      </w:pPr>
      <w:r w:rsidRPr="00376B0F">
        <w:rPr>
          <w:rFonts w:ascii="Verdana" w:hAnsi="Verdana"/>
          <w:i/>
          <w:color w:val="000000" w:themeColor="text1"/>
          <w:sz w:val="20"/>
          <w:szCs w:val="20"/>
        </w:rPr>
        <w:t>D.1. Medida ordenada por la Corte</w:t>
      </w:r>
    </w:p>
    <w:p w:rsidR="00376B0F" w:rsidRDefault="00464FE4"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464FE4">
        <w:rPr>
          <w:rFonts w:ascii="Verdana" w:hAnsi="Verdana"/>
          <w:sz w:val="20"/>
          <w:szCs w:val="20"/>
        </w:rPr>
        <w:t xml:space="preserve">En el punto </w:t>
      </w:r>
      <w:r w:rsidR="005B7E69">
        <w:rPr>
          <w:rFonts w:ascii="Verdana" w:hAnsi="Verdana"/>
          <w:sz w:val="20"/>
          <w:szCs w:val="20"/>
        </w:rPr>
        <w:t>resolutivo</w:t>
      </w:r>
      <w:r w:rsidRPr="00464FE4">
        <w:rPr>
          <w:rFonts w:ascii="Verdana" w:hAnsi="Verdana"/>
          <w:sz w:val="20"/>
          <w:szCs w:val="20"/>
        </w:rPr>
        <w:t xml:space="preserve"> octavo y en el párrafo 164 de la Sentencia, </w:t>
      </w:r>
      <w:r w:rsidR="00700552">
        <w:rPr>
          <w:rFonts w:ascii="Verdana" w:hAnsi="Verdana"/>
          <w:sz w:val="20"/>
          <w:szCs w:val="20"/>
        </w:rPr>
        <w:t>se</w:t>
      </w:r>
      <w:r w:rsidRPr="00464FE4">
        <w:rPr>
          <w:rFonts w:ascii="Verdana" w:hAnsi="Verdana"/>
          <w:sz w:val="20"/>
          <w:szCs w:val="20"/>
        </w:rPr>
        <w:t xml:space="preserve"> </w:t>
      </w:r>
      <w:r w:rsidR="005B7E69">
        <w:rPr>
          <w:rFonts w:ascii="Verdana" w:hAnsi="Verdana"/>
          <w:sz w:val="20"/>
          <w:szCs w:val="20"/>
        </w:rPr>
        <w:t>dispuso que, “</w:t>
      </w:r>
      <w:r w:rsidR="00700552">
        <w:rPr>
          <w:rFonts w:ascii="Verdana" w:hAnsi="Verdana"/>
          <w:sz w:val="20"/>
          <w:szCs w:val="20"/>
        </w:rPr>
        <w:t>dentro del</w:t>
      </w:r>
      <w:r w:rsidR="005B7E69">
        <w:rPr>
          <w:rFonts w:ascii="Verdana" w:hAnsi="Verdana"/>
          <w:sz w:val="20"/>
          <w:szCs w:val="20"/>
        </w:rPr>
        <w:t xml:space="preserve"> plazo de un año</w:t>
      </w:r>
      <w:r w:rsidR="00700552">
        <w:rPr>
          <w:rFonts w:ascii="Verdana" w:hAnsi="Verdana"/>
          <w:sz w:val="20"/>
          <w:szCs w:val="20"/>
        </w:rPr>
        <w:t xml:space="preserve"> contado desde</w:t>
      </w:r>
      <w:r w:rsidR="005B7E69">
        <w:rPr>
          <w:rFonts w:ascii="Verdana" w:hAnsi="Verdana"/>
          <w:sz w:val="20"/>
          <w:szCs w:val="20"/>
        </w:rPr>
        <w:t xml:space="preserve"> la notificación de la </w:t>
      </w:r>
      <w:r w:rsidR="00700552">
        <w:rPr>
          <w:rFonts w:ascii="Verdana" w:hAnsi="Verdana"/>
          <w:sz w:val="20"/>
          <w:szCs w:val="20"/>
        </w:rPr>
        <w:t xml:space="preserve">[…] </w:t>
      </w:r>
      <w:r w:rsidR="005B7E69">
        <w:rPr>
          <w:rFonts w:ascii="Verdana" w:hAnsi="Verdana"/>
          <w:sz w:val="20"/>
          <w:szCs w:val="20"/>
        </w:rPr>
        <w:t>Sentencia</w:t>
      </w:r>
      <w:r w:rsidR="00700552">
        <w:rPr>
          <w:rFonts w:ascii="Verdana" w:hAnsi="Verdana"/>
          <w:sz w:val="20"/>
          <w:szCs w:val="20"/>
        </w:rPr>
        <w:t>”</w:t>
      </w:r>
      <w:r w:rsidR="005B7E69">
        <w:rPr>
          <w:rFonts w:ascii="Verdana" w:hAnsi="Verdana"/>
          <w:sz w:val="20"/>
          <w:szCs w:val="20"/>
        </w:rPr>
        <w:t>, el Estado debía “</w:t>
      </w:r>
      <w:r w:rsidRPr="00464FE4">
        <w:rPr>
          <w:rFonts w:ascii="Verdana" w:hAnsi="Verdana"/>
          <w:sz w:val="20"/>
          <w:szCs w:val="20"/>
        </w:rPr>
        <w:t>develar, en un lugar con acceso público a los miembros de la Academia de Guerra Aérea</w:t>
      </w:r>
      <w:r w:rsidR="005B7E69">
        <w:rPr>
          <w:rFonts w:ascii="Verdana" w:hAnsi="Verdana"/>
          <w:sz w:val="20"/>
          <w:szCs w:val="20"/>
        </w:rPr>
        <w:t>[,]</w:t>
      </w:r>
      <w:r w:rsidRPr="00464FE4">
        <w:rPr>
          <w:rFonts w:ascii="Verdana" w:hAnsi="Verdana"/>
          <w:sz w:val="20"/>
          <w:szCs w:val="20"/>
        </w:rPr>
        <w:t xml:space="preserve"> para que permanezca en ella, una placa con la inscripción de los nombres de las víctimas del presente caso</w:t>
      </w:r>
      <w:r w:rsidR="00700552">
        <w:rPr>
          <w:rFonts w:ascii="Verdana" w:hAnsi="Verdana"/>
          <w:sz w:val="20"/>
          <w:szCs w:val="20"/>
        </w:rPr>
        <w:t>[,]</w:t>
      </w:r>
      <w:r w:rsidRPr="00464FE4">
        <w:rPr>
          <w:rFonts w:ascii="Verdana" w:hAnsi="Verdana"/>
          <w:sz w:val="20"/>
          <w:szCs w:val="20"/>
        </w:rPr>
        <w:t xml:space="preserve"> con un breve texto narrando las circunstancias en que ocurrieron las violaciones a sus derechos humanos”.</w:t>
      </w:r>
    </w:p>
    <w:p w:rsidR="00860748" w:rsidRPr="00376B0F" w:rsidRDefault="00860748" w:rsidP="009D1022">
      <w:pPr>
        <w:pStyle w:val="ListParagraph"/>
        <w:tabs>
          <w:tab w:val="left" w:pos="0"/>
        </w:tabs>
        <w:spacing w:before="120" w:after="120" w:line="240" w:lineRule="auto"/>
        <w:ind w:left="567" w:right="-709"/>
        <w:contextualSpacing w:val="0"/>
        <w:jc w:val="both"/>
        <w:rPr>
          <w:rFonts w:ascii="Verdana" w:hAnsi="Verdana"/>
          <w:sz w:val="20"/>
          <w:szCs w:val="20"/>
        </w:rPr>
      </w:pPr>
      <w:r w:rsidRPr="00376B0F">
        <w:rPr>
          <w:rFonts w:ascii="Verdana" w:hAnsi="Verdana"/>
          <w:i/>
          <w:color w:val="000000" w:themeColor="text1"/>
          <w:sz w:val="20"/>
          <w:szCs w:val="20"/>
        </w:rPr>
        <w:lastRenderedPageBreak/>
        <w:t>D.2. Consideraciones de la Corte</w:t>
      </w:r>
    </w:p>
    <w:p w:rsidR="00003FFD" w:rsidRPr="008D790F" w:rsidRDefault="00841401"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bookmarkStart w:id="8" w:name="_Toc483918295"/>
      <w:r>
        <w:rPr>
          <w:rFonts w:ascii="Verdana" w:hAnsi="Verdana"/>
          <w:sz w:val="20"/>
          <w:szCs w:val="20"/>
        </w:rPr>
        <w:t>De acuerdo con la prueba aportada por Chile</w:t>
      </w:r>
      <w:r w:rsidR="00EF23D8" w:rsidRPr="00C72108">
        <w:rPr>
          <w:rStyle w:val="FootnoteReference"/>
          <w:rFonts w:ascii="Verdana" w:hAnsi="Verdana"/>
          <w:sz w:val="20"/>
          <w:szCs w:val="20"/>
        </w:rPr>
        <w:footnoteReference w:id="31"/>
      </w:r>
      <w:r w:rsidR="00003FFD">
        <w:rPr>
          <w:rFonts w:ascii="Verdana" w:hAnsi="Verdana"/>
          <w:sz w:val="20"/>
          <w:szCs w:val="20"/>
        </w:rPr>
        <w:t xml:space="preserve"> </w:t>
      </w:r>
      <w:r w:rsidR="00003FFD" w:rsidRPr="00BA4B91">
        <w:rPr>
          <w:rFonts w:ascii="Verdana" w:hAnsi="Verdana"/>
          <w:sz w:val="20"/>
          <w:szCs w:val="20"/>
        </w:rPr>
        <w:t>y lo observado de manera general por el representante (</w:t>
      </w:r>
      <w:r w:rsidR="00003FFD" w:rsidRPr="00BA4B91">
        <w:rPr>
          <w:rFonts w:ascii="Verdana" w:hAnsi="Verdana"/>
          <w:i/>
          <w:sz w:val="20"/>
          <w:szCs w:val="20"/>
        </w:rPr>
        <w:t>supra</w:t>
      </w:r>
      <w:r w:rsidR="00003FFD" w:rsidRPr="00BA4B91">
        <w:rPr>
          <w:rFonts w:ascii="Verdana" w:hAnsi="Verdana"/>
          <w:sz w:val="20"/>
          <w:szCs w:val="20"/>
        </w:rPr>
        <w:t xml:space="preserve"> Considerando </w:t>
      </w:r>
      <w:r w:rsidR="007977A2">
        <w:rPr>
          <w:rFonts w:ascii="Verdana" w:hAnsi="Verdana"/>
          <w:sz w:val="20"/>
          <w:szCs w:val="20"/>
        </w:rPr>
        <w:t>3</w:t>
      </w:r>
      <w:r w:rsidR="00003FFD" w:rsidRPr="00BA4B91">
        <w:rPr>
          <w:rFonts w:ascii="Verdana" w:hAnsi="Verdana"/>
          <w:sz w:val="20"/>
          <w:szCs w:val="20"/>
        </w:rPr>
        <w:t>)</w:t>
      </w:r>
      <w:r>
        <w:rPr>
          <w:rFonts w:ascii="Verdana" w:hAnsi="Verdana"/>
          <w:sz w:val="20"/>
          <w:szCs w:val="20"/>
        </w:rPr>
        <w:t xml:space="preserve">, </w:t>
      </w:r>
      <w:r w:rsidR="00700552">
        <w:rPr>
          <w:rFonts w:ascii="Verdana" w:hAnsi="Verdana"/>
          <w:sz w:val="20"/>
          <w:szCs w:val="20"/>
        </w:rPr>
        <w:t xml:space="preserve">este Tribunal </w:t>
      </w:r>
      <w:r>
        <w:rPr>
          <w:rFonts w:ascii="Verdana" w:hAnsi="Verdana"/>
          <w:sz w:val="20"/>
          <w:szCs w:val="20"/>
        </w:rPr>
        <w:t xml:space="preserve">constata que </w:t>
      </w:r>
      <w:r w:rsidR="00003FFD">
        <w:rPr>
          <w:rFonts w:ascii="Verdana" w:hAnsi="Verdana"/>
          <w:sz w:val="20"/>
          <w:szCs w:val="20"/>
        </w:rPr>
        <w:t xml:space="preserve">el Estado </w:t>
      </w:r>
      <w:r>
        <w:rPr>
          <w:rFonts w:ascii="Verdana" w:hAnsi="Verdana"/>
          <w:sz w:val="20"/>
          <w:szCs w:val="20"/>
        </w:rPr>
        <w:t xml:space="preserve">elaboró una </w:t>
      </w:r>
      <w:r w:rsidR="00003FFD">
        <w:rPr>
          <w:rFonts w:ascii="Verdana" w:hAnsi="Verdana"/>
          <w:sz w:val="20"/>
          <w:szCs w:val="20"/>
        </w:rPr>
        <w:t>“</w:t>
      </w:r>
      <w:r>
        <w:rPr>
          <w:rFonts w:ascii="Verdana" w:hAnsi="Verdana"/>
          <w:sz w:val="20"/>
          <w:szCs w:val="20"/>
        </w:rPr>
        <w:t xml:space="preserve">placa </w:t>
      </w:r>
      <w:r w:rsidR="00003FFD">
        <w:rPr>
          <w:rFonts w:ascii="Verdana" w:hAnsi="Verdana"/>
          <w:sz w:val="20"/>
          <w:szCs w:val="20"/>
        </w:rPr>
        <w:t xml:space="preserve">recordatoria” </w:t>
      </w:r>
      <w:r>
        <w:rPr>
          <w:rFonts w:ascii="Verdana" w:hAnsi="Verdana"/>
          <w:sz w:val="20"/>
          <w:szCs w:val="20"/>
        </w:rPr>
        <w:t>con los nombres de las</w:t>
      </w:r>
      <w:r w:rsidR="00700552">
        <w:rPr>
          <w:rFonts w:ascii="Verdana" w:hAnsi="Verdana"/>
          <w:sz w:val="20"/>
          <w:szCs w:val="20"/>
        </w:rPr>
        <w:t xml:space="preserve"> doce</w:t>
      </w:r>
      <w:r>
        <w:rPr>
          <w:rFonts w:ascii="Verdana" w:hAnsi="Verdana"/>
          <w:sz w:val="20"/>
          <w:szCs w:val="20"/>
        </w:rPr>
        <w:t xml:space="preserve"> víctimas del caso y en </w:t>
      </w:r>
      <w:r w:rsidR="00003FFD">
        <w:rPr>
          <w:rFonts w:ascii="Verdana" w:hAnsi="Verdana"/>
          <w:sz w:val="20"/>
          <w:szCs w:val="20"/>
        </w:rPr>
        <w:t>cuyo texto</w:t>
      </w:r>
      <w:r>
        <w:rPr>
          <w:rFonts w:ascii="Verdana" w:hAnsi="Verdana"/>
          <w:sz w:val="20"/>
          <w:szCs w:val="20"/>
        </w:rPr>
        <w:t>, entre otros</w:t>
      </w:r>
      <w:r w:rsidR="00003FFD">
        <w:rPr>
          <w:rFonts w:ascii="Verdana" w:hAnsi="Verdana"/>
          <w:sz w:val="20"/>
          <w:szCs w:val="20"/>
        </w:rPr>
        <w:t>, se</w:t>
      </w:r>
      <w:r>
        <w:rPr>
          <w:rFonts w:ascii="Verdana" w:hAnsi="Verdana"/>
          <w:sz w:val="20"/>
          <w:szCs w:val="20"/>
        </w:rPr>
        <w:t xml:space="preserve"> reconoce que</w:t>
      </w:r>
      <w:r w:rsidR="00003FFD">
        <w:rPr>
          <w:rFonts w:ascii="Verdana" w:hAnsi="Verdana"/>
          <w:sz w:val="20"/>
          <w:szCs w:val="20"/>
        </w:rPr>
        <w:t xml:space="preserve"> </w:t>
      </w:r>
      <w:r>
        <w:rPr>
          <w:rFonts w:ascii="Verdana" w:hAnsi="Verdana"/>
          <w:sz w:val="20"/>
          <w:szCs w:val="20"/>
        </w:rPr>
        <w:t xml:space="preserve">“[f]ueron víctimas de malos tratos y torturas en [la] Academia [de Guerra Aérea] en la Causa Rol 1-73 de </w:t>
      </w:r>
      <w:r w:rsidR="00700552">
        <w:rPr>
          <w:rFonts w:ascii="Verdana" w:hAnsi="Verdana"/>
          <w:sz w:val="20"/>
          <w:szCs w:val="20"/>
        </w:rPr>
        <w:t>T</w:t>
      </w:r>
      <w:r>
        <w:rPr>
          <w:rFonts w:ascii="Verdana" w:hAnsi="Verdana"/>
          <w:sz w:val="20"/>
          <w:szCs w:val="20"/>
        </w:rPr>
        <w:t xml:space="preserve">iempo de </w:t>
      </w:r>
      <w:r w:rsidR="00700552">
        <w:rPr>
          <w:rFonts w:ascii="Verdana" w:hAnsi="Verdana"/>
          <w:sz w:val="20"/>
          <w:szCs w:val="20"/>
        </w:rPr>
        <w:t>G</w:t>
      </w:r>
      <w:r>
        <w:rPr>
          <w:rFonts w:ascii="Verdana" w:hAnsi="Verdana"/>
          <w:sz w:val="20"/>
          <w:szCs w:val="20"/>
        </w:rPr>
        <w:t>uerra”</w:t>
      </w:r>
      <w:r w:rsidR="00003FFD" w:rsidRPr="00DC6164">
        <w:rPr>
          <w:rStyle w:val="FootnoteReference"/>
          <w:rFonts w:ascii="Verdana" w:hAnsi="Verdana"/>
          <w:sz w:val="20"/>
          <w:szCs w:val="20"/>
        </w:rPr>
        <w:footnoteReference w:id="32"/>
      </w:r>
      <w:r w:rsidR="00003FFD">
        <w:rPr>
          <w:rFonts w:ascii="Verdana" w:hAnsi="Verdana"/>
          <w:sz w:val="20"/>
          <w:szCs w:val="20"/>
        </w:rPr>
        <w:t xml:space="preserve">, y que la misma fue instalada en “uno de los pasillos de la [referida] A[cademia] que tiene un tránsito continuo de estudiantes de la [misma]”. </w:t>
      </w:r>
      <w:r w:rsidR="00700552">
        <w:rPr>
          <w:rFonts w:ascii="Verdana" w:hAnsi="Verdana"/>
          <w:sz w:val="20"/>
          <w:szCs w:val="20"/>
        </w:rPr>
        <w:t>L</w:t>
      </w:r>
      <w:r w:rsidR="00003FFD">
        <w:rPr>
          <w:rFonts w:ascii="Verdana" w:hAnsi="Verdana"/>
          <w:sz w:val="20"/>
          <w:szCs w:val="20"/>
        </w:rPr>
        <w:t>a Corte valora positivamente los esfuerzos emprendidos por el Estado para concertar con las víctimas el texto de la referida placa, su diseño y lugar de instalación</w:t>
      </w:r>
      <w:r w:rsidR="00903F10" w:rsidRPr="0074039A">
        <w:rPr>
          <w:rStyle w:val="FootnoteReference"/>
          <w:rFonts w:ascii="Verdana" w:hAnsi="Verdana"/>
          <w:sz w:val="20"/>
          <w:szCs w:val="20"/>
        </w:rPr>
        <w:footnoteReference w:id="33"/>
      </w:r>
      <w:r w:rsidR="00003FFD" w:rsidRPr="0074039A">
        <w:rPr>
          <w:rFonts w:ascii="Verdana" w:hAnsi="Verdana"/>
          <w:sz w:val="20"/>
          <w:szCs w:val="20"/>
        </w:rPr>
        <w:t>.</w:t>
      </w:r>
      <w:r w:rsidR="00003FFD">
        <w:rPr>
          <w:rFonts w:ascii="Verdana" w:hAnsi="Verdana"/>
          <w:sz w:val="20"/>
          <w:szCs w:val="20"/>
        </w:rPr>
        <w:t xml:space="preserve"> </w:t>
      </w:r>
      <w:r w:rsidR="00003FFD" w:rsidRPr="00003FFD">
        <w:rPr>
          <w:rFonts w:ascii="Verdana" w:hAnsi="Verdana"/>
          <w:sz w:val="20"/>
          <w:szCs w:val="20"/>
        </w:rPr>
        <w:t xml:space="preserve">En consecuencia, </w:t>
      </w:r>
      <w:r w:rsidR="00700552">
        <w:rPr>
          <w:rFonts w:ascii="Verdana" w:hAnsi="Verdana"/>
          <w:sz w:val="20"/>
          <w:szCs w:val="20"/>
        </w:rPr>
        <w:t>se</w:t>
      </w:r>
      <w:r w:rsidR="00003FFD" w:rsidRPr="00003FFD">
        <w:rPr>
          <w:rFonts w:ascii="Verdana" w:hAnsi="Verdana"/>
          <w:sz w:val="20"/>
          <w:szCs w:val="20"/>
          <w:lang w:val="es-CR"/>
        </w:rPr>
        <w:t xml:space="preserve"> considera que la elaboración e instalación de la placa cumple</w:t>
      </w:r>
      <w:r w:rsidR="00EF23D8">
        <w:rPr>
          <w:rFonts w:ascii="Verdana" w:hAnsi="Verdana"/>
          <w:sz w:val="20"/>
          <w:szCs w:val="20"/>
          <w:lang w:val="es-CR"/>
        </w:rPr>
        <w:t>n</w:t>
      </w:r>
      <w:r w:rsidR="00003FFD" w:rsidRPr="00003FFD">
        <w:rPr>
          <w:rFonts w:ascii="Verdana" w:hAnsi="Verdana"/>
          <w:sz w:val="20"/>
          <w:szCs w:val="20"/>
          <w:lang w:val="es-CR"/>
        </w:rPr>
        <w:t xml:space="preserve"> con los requisitos de contenido, visibilidad y permanencia requeridos en la Sentencia</w:t>
      </w:r>
      <w:r w:rsidR="00EF23D8">
        <w:rPr>
          <w:rFonts w:ascii="Verdana" w:hAnsi="Verdana"/>
          <w:sz w:val="20"/>
          <w:szCs w:val="20"/>
          <w:lang w:val="es-CR"/>
        </w:rPr>
        <w:t xml:space="preserve"> (</w:t>
      </w:r>
      <w:r w:rsidR="00EF23D8" w:rsidRPr="00EF23D8">
        <w:rPr>
          <w:rFonts w:ascii="Verdana" w:hAnsi="Verdana"/>
          <w:i/>
          <w:sz w:val="20"/>
          <w:szCs w:val="20"/>
          <w:lang w:val="es-CR"/>
        </w:rPr>
        <w:t xml:space="preserve">supra </w:t>
      </w:r>
      <w:r w:rsidR="00EF23D8">
        <w:rPr>
          <w:rFonts w:ascii="Verdana" w:hAnsi="Verdana"/>
          <w:sz w:val="20"/>
          <w:szCs w:val="20"/>
          <w:lang w:val="es-CR"/>
        </w:rPr>
        <w:t xml:space="preserve">Considerando </w:t>
      </w:r>
      <w:r w:rsidR="007977A2">
        <w:rPr>
          <w:rFonts w:ascii="Verdana" w:hAnsi="Verdana"/>
          <w:sz w:val="20"/>
          <w:szCs w:val="20"/>
          <w:lang w:val="es-CR"/>
        </w:rPr>
        <w:t>18</w:t>
      </w:r>
      <w:r w:rsidR="00EF23D8">
        <w:rPr>
          <w:rFonts w:ascii="Verdana" w:hAnsi="Verdana"/>
          <w:sz w:val="20"/>
          <w:szCs w:val="20"/>
          <w:lang w:val="es-CR"/>
        </w:rPr>
        <w:t>)</w:t>
      </w:r>
      <w:r w:rsidR="00003FFD" w:rsidRPr="00003FFD">
        <w:rPr>
          <w:rFonts w:ascii="Verdana" w:hAnsi="Verdana"/>
          <w:sz w:val="20"/>
          <w:szCs w:val="20"/>
          <w:lang w:val="es-CR"/>
        </w:rPr>
        <w:t>.</w:t>
      </w:r>
      <w:r w:rsidR="00003FFD" w:rsidRPr="00003FFD">
        <w:rPr>
          <w:rFonts w:ascii="Verdana" w:hAnsi="Verdana"/>
          <w:b/>
          <w:sz w:val="16"/>
          <w:szCs w:val="16"/>
          <w:lang w:val="es-CR"/>
        </w:rPr>
        <w:t xml:space="preserve"> </w:t>
      </w:r>
    </w:p>
    <w:p w:rsidR="008D790F" w:rsidRPr="00003FFD" w:rsidRDefault="008D790F" w:rsidP="008D790F">
      <w:pPr>
        <w:pStyle w:val="ListParagraph"/>
        <w:tabs>
          <w:tab w:val="left" w:pos="0"/>
        </w:tabs>
        <w:spacing w:before="120" w:after="120" w:line="240" w:lineRule="auto"/>
        <w:ind w:left="0" w:right="-709"/>
        <w:contextualSpacing w:val="0"/>
        <w:jc w:val="both"/>
        <w:rPr>
          <w:rFonts w:ascii="Verdana" w:hAnsi="Verdana"/>
          <w:sz w:val="20"/>
          <w:szCs w:val="20"/>
        </w:rPr>
      </w:pPr>
    </w:p>
    <w:p w:rsidR="00003FFD" w:rsidRDefault="00003FFD"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003FFD">
        <w:rPr>
          <w:rFonts w:ascii="Verdana" w:hAnsi="Verdana"/>
          <w:sz w:val="20"/>
          <w:szCs w:val="20"/>
        </w:rPr>
        <w:t xml:space="preserve">Adicionalmente, </w:t>
      </w:r>
      <w:r w:rsidR="007977A2">
        <w:rPr>
          <w:rFonts w:ascii="Verdana" w:hAnsi="Verdana"/>
          <w:sz w:val="20"/>
          <w:szCs w:val="20"/>
        </w:rPr>
        <w:t xml:space="preserve">en lo que respecta a </w:t>
      </w:r>
      <w:r w:rsidR="00D83A4E">
        <w:rPr>
          <w:rFonts w:ascii="Verdana" w:hAnsi="Verdana"/>
          <w:sz w:val="20"/>
          <w:szCs w:val="20"/>
        </w:rPr>
        <w:t>la develación de la placa</w:t>
      </w:r>
      <w:r w:rsidR="007977A2">
        <w:rPr>
          <w:rFonts w:ascii="Verdana" w:hAnsi="Verdana"/>
          <w:sz w:val="20"/>
          <w:szCs w:val="20"/>
        </w:rPr>
        <w:t xml:space="preserve">, </w:t>
      </w:r>
      <w:r w:rsidR="007977A2" w:rsidRPr="00003FFD">
        <w:rPr>
          <w:rFonts w:ascii="Verdana" w:hAnsi="Verdana"/>
          <w:sz w:val="20"/>
          <w:szCs w:val="20"/>
        </w:rPr>
        <w:t>la Corte observa con satisfacci</w:t>
      </w:r>
      <w:r w:rsidR="007977A2">
        <w:rPr>
          <w:rFonts w:ascii="Verdana" w:hAnsi="Verdana"/>
          <w:sz w:val="20"/>
          <w:szCs w:val="20"/>
        </w:rPr>
        <w:t>ón que</w:t>
      </w:r>
      <w:r w:rsidR="00700552">
        <w:rPr>
          <w:rFonts w:ascii="Verdana" w:hAnsi="Verdana"/>
          <w:sz w:val="20"/>
          <w:szCs w:val="20"/>
        </w:rPr>
        <w:t xml:space="preserve"> ésta</w:t>
      </w:r>
      <w:r w:rsidR="00D83A4E">
        <w:rPr>
          <w:rFonts w:ascii="Verdana" w:hAnsi="Verdana"/>
          <w:sz w:val="20"/>
          <w:szCs w:val="20"/>
        </w:rPr>
        <w:t xml:space="preserve"> haya sido realizada</w:t>
      </w:r>
      <w:r w:rsidR="00700552">
        <w:rPr>
          <w:rFonts w:ascii="Verdana" w:hAnsi="Verdana"/>
          <w:sz w:val="20"/>
          <w:szCs w:val="20"/>
        </w:rPr>
        <w:t xml:space="preserve"> en</w:t>
      </w:r>
      <w:r w:rsidR="00D83A4E">
        <w:rPr>
          <w:rFonts w:ascii="Verdana" w:hAnsi="Verdana"/>
          <w:sz w:val="20"/>
          <w:szCs w:val="20"/>
        </w:rPr>
        <w:t xml:space="preserve"> </w:t>
      </w:r>
      <w:r w:rsidR="007977A2">
        <w:rPr>
          <w:rFonts w:ascii="Verdana" w:hAnsi="Verdana"/>
          <w:sz w:val="20"/>
          <w:szCs w:val="20"/>
        </w:rPr>
        <w:t>un acto celebrado</w:t>
      </w:r>
      <w:r w:rsidR="007977A2" w:rsidRPr="00003FFD">
        <w:rPr>
          <w:rFonts w:ascii="Verdana" w:hAnsi="Verdana"/>
          <w:sz w:val="20"/>
          <w:szCs w:val="20"/>
        </w:rPr>
        <w:t xml:space="preserve"> el 5 de octubre de 2016</w:t>
      </w:r>
      <w:r w:rsidR="007977A2">
        <w:rPr>
          <w:rFonts w:ascii="Verdana" w:hAnsi="Verdana"/>
          <w:sz w:val="20"/>
          <w:szCs w:val="20"/>
        </w:rPr>
        <w:t xml:space="preserve"> en las dependencias de </w:t>
      </w:r>
      <w:r w:rsidR="001F0637">
        <w:rPr>
          <w:rFonts w:ascii="Verdana" w:hAnsi="Verdana"/>
          <w:sz w:val="20"/>
          <w:szCs w:val="20"/>
        </w:rPr>
        <w:t xml:space="preserve">la </w:t>
      </w:r>
      <w:r w:rsidR="007977A2" w:rsidRPr="00464FE4">
        <w:rPr>
          <w:rFonts w:ascii="Verdana" w:hAnsi="Verdana"/>
          <w:sz w:val="20"/>
          <w:szCs w:val="20"/>
        </w:rPr>
        <w:t>Academia de Guerra Aérea</w:t>
      </w:r>
      <w:r w:rsidR="007977A2">
        <w:rPr>
          <w:rFonts w:ascii="Verdana" w:hAnsi="Verdana"/>
          <w:sz w:val="20"/>
          <w:szCs w:val="20"/>
        </w:rPr>
        <w:t>, dentro d</w:t>
      </w:r>
      <w:r w:rsidR="00D83A4E">
        <w:rPr>
          <w:rFonts w:ascii="Verdana" w:hAnsi="Verdana"/>
          <w:sz w:val="20"/>
          <w:szCs w:val="20"/>
        </w:rPr>
        <w:t>el plazo concedido para ello en la Sentencia</w:t>
      </w:r>
      <w:r w:rsidR="00700552">
        <w:rPr>
          <w:rFonts w:ascii="Verdana" w:hAnsi="Verdana"/>
          <w:sz w:val="20"/>
          <w:szCs w:val="20"/>
        </w:rPr>
        <w:t xml:space="preserve"> (</w:t>
      </w:r>
      <w:r w:rsidR="00700552" w:rsidRPr="00700552">
        <w:rPr>
          <w:rFonts w:ascii="Verdana" w:hAnsi="Verdana"/>
          <w:i/>
          <w:sz w:val="20"/>
          <w:szCs w:val="20"/>
        </w:rPr>
        <w:t>supra</w:t>
      </w:r>
      <w:r w:rsidR="00700552">
        <w:rPr>
          <w:rFonts w:ascii="Verdana" w:hAnsi="Verdana"/>
          <w:sz w:val="20"/>
          <w:szCs w:val="20"/>
        </w:rPr>
        <w:t xml:space="preserve"> Considerando 18)</w:t>
      </w:r>
      <w:r w:rsidRPr="00003FFD">
        <w:rPr>
          <w:rFonts w:ascii="Verdana" w:hAnsi="Verdana"/>
          <w:sz w:val="20"/>
          <w:szCs w:val="20"/>
        </w:rPr>
        <w:t xml:space="preserve">. </w:t>
      </w:r>
      <w:r w:rsidR="00EF23D8">
        <w:rPr>
          <w:rFonts w:ascii="Verdana" w:hAnsi="Verdana"/>
          <w:sz w:val="20"/>
          <w:szCs w:val="20"/>
        </w:rPr>
        <w:t>En particular, se destaca que dicho acto fuera presidido por la Presidenta de la República,</w:t>
      </w:r>
      <w:r w:rsidR="00700552">
        <w:rPr>
          <w:rFonts w:ascii="Verdana" w:hAnsi="Verdana"/>
          <w:sz w:val="20"/>
          <w:szCs w:val="20"/>
        </w:rPr>
        <w:t xml:space="preserve"> </w:t>
      </w:r>
      <w:r w:rsidR="00EF23D8" w:rsidRPr="00BA4B91">
        <w:rPr>
          <w:rFonts w:ascii="Verdana" w:hAnsi="Verdana"/>
          <w:sz w:val="20"/>
          <w:szCs w:val="20"/>
        </w:rPr>
        <w:t>Michelle Bachelet</w:t>
      </w:r>
      <w:r w:rsidR="00EF23D8">
        <w:rPr>
          <w:rFonts w:ascii="Verdana" w:hAnsi="Verdana"/>
          <w:sz w:val="20"/>
          <w:szCs w:val="20"/>
        </w:rPr>
        <w:t xml:space="preserve">, y contado con la participación </w:t>
      </w:r>
      <w:r w:rsidR="00700552">
        <w:rPr>
          <w:rFonts w:ascii="Verdana" w:hAnsi="Verdana"/>
          <w:sz w:val="20"/>
          <w:szCs w:val="20"/>
        </w:rPr>
        <w:t xml:space="preserve">y asistencia </w:t>
      </w:r>
      <w:r w:rsidR="00EF23D8">
        <w:rPr>
          <w:rFonts w:ascii="Verdana" w:hAnsi="Verdana"/>
          <w:sz w:val="20"/>
          <w:szCs w:val="20"/>
        </w:rPr>
        <w:t>de otras altas autoridades del Estado</w:t>
      </w:r>
      <w:r w:rsidR="006D4121">
        <w:rPr>
          <w:rStyle w:val="FootnoteReference"/>
          <w:rFonts w:ascii="Verdana" w:hAnsi="Verdana"/>
          <w:sz w:val="20"/>
          <w:szCs w:val="20"/>
        </w:rPr>
        <w:footnoteReference w:id="34"/>
      </w:r>
      <w:r w:rsidR="00EF23D8">
        <w:rPr>
          <w:rFonts w:ascii="Verdana" w:hAnsi="Verdana"/>
          <w:sz w:val="20"/>
          <w:szCs w:val="20"/>
        </w:rPr>
        <w:t xml:space="preserve">, así como de las víctimas. </w:t>
      </w:r>
    </w:p>
    <w:p w:rsidR="008D790F" w:rsidRPr="008D790F" w:rsidRDefault="008D790F" w:rsidP="008D790F">
      <w:pPr>
        <w:pStyle w:val="ListParagraph"/>
        <w:rPr>
          <w:rFonts w:ascii="Verdana" w:hAnsi="Verdana"/>
          <w:sz w:val="20"/>
          <w:szCs w:val="20"/>
        </w:rPr>
      </w:pPr>
    </w:p>
    <w:p w:rsidR="00D83A4E" w:rsidRDefault="00D83A4E"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464FE4">
        <w:rPr>
          <w:rFonts w:ascii="Verdana" w:hAnsi="Verdana"/>
          <w:sz w:val="20"/>
          <w:szCs w:val="20"/>
        </w:rPr>
        <w:t>Por lo anterior, el Tribunal considera que</w:t>
      </w:r>
      <w:r w:rsidR="001F0637">
        <w:rPr>
          <w:rFonts w:ascii="Verdana" w:hAnsi="Verdana"/>
          <w:sz w:val="20"/>
          <w:szCs w:val="20"/>
        </w:rPr>
        <w:t>, dentro del plazo que le fue otorgado,</w:t>
      </w:r>
      <w:r w:rsidRPr="00464FE4">
        <w:rPr>
          <w:rFonts w:ascii="Verdana" w:hAnsi="Verdana"/>
          <w:sz w:val="20"/>
          <w:szCs w:val="20"/>
        </w:rPr>
        <w:t xml:space="preserve"> el Estado ha dado cumplimiento total a la medida </w:t>
      </w:r>
      <w:r w:rsidR="00E804FA">
        <w:rPr>
          <w:rFonts w:ascii="Verdana" w:hAnsi="Verdana"/>
          <w:sz w:val="20"/>
          <w:szCs w:val="20"/>
        </w:rPr>
        <w:t xml:space="preserve">relativa a develar una placa con los nombres de las víctimas y circunstancias en que ocurrieron las violaciones del caso, </w:t>
      </w:r>
      <w:r w:rsidRPr="00464FE4">
        <w:rPr>
          <w:rFonts w:ascii="Verdana" w:hAnsi="Verdana"/>
          <w:sz w:val="20"/>
          <w:szCs w:val="20"/>
        </w:rPr>
        <w:t xml:space="preserve">ordenada en el punto resolutivo octavo </w:t>
      </w:r>
      <w:r w:rsidR="00E804FA">
        <w:rPr>
          <w:rFonts w:ascii="Verdana" w:hAnsi="Verdana"/>
          <w:sz w:val="20"/>
          <w:szCs w:val="20"/>
        </w:rPr>
        <w:t>de la Sentencia</w:t>
      </w:r>
      <w:r w:rsidR="00903F10">
        <w:rPr>
          <w:rFonts w:ascii="Verdana" w:hAnsi="Verdana"/>
          <w:sz w:val="20"/>
          <w:szCs w:val="20"/>
        </w:rPr>
        <w:t>.</w:t>
      </w:r>
    </w:p>
    <w:p w:rsidR="001906D0" w:rsidRDefault="001906D0" w:rsidP="009D1022">
      <w:pPr>
        <w:pStyle w:val="ListParagraph"/>
        <w:spacing w:before="120" w:after="120" w:line="240" w:lineRule="auto"/>
        <w:ind w:left="426" w:right="-709"/>
        <w:contextualSpacing w:val="0"/>
        <w:jc w:val="both"/>
        <w:rPr>
          <w:rFonts w:ascii="Verdana" w:hAnsi="Verdana"/>
          <w:i/>
          <w:color w:val="000000" w:themeColor="text1"/>
          <w:sz w:val="20"/>
          <w:szCs w:val="20"/>
        </w:rPr>
      </w:pPr>
    </w:p>
    <w:p w:rsidR="008D790F" w:rsidRDefault="008D790F" w:rsidP="009D1022">
      <w:pPr>
        <w:pStyle w:val="ListParagraph"/>
        <w:spacing w:before="120" w:after="120" w:line="240" w:lineRule="auto"/>
        <w:ind w:left="426" w:right="-709"/>
        <w:contextualSpacing w:val="0"/>
        <w:jc w:val="both"/>
        <w:rPr>
          <w:rFonts w:ascii="Verdana" w:hAnsi="Verdana"/>
          <w:i/>
          <w:color w:val="000000" w:themeColor="text1"/>
          <w:sz w:val="20"/>
          <w:szCs w:val="20"/>
        </w:rPr>
      </w:pPr>
    </w:p>
    <w:p w:rsidR="00376B0F" w:rsidRPr="00A22D5F" w:rsidRDefault="00EF0A02" w:rsidP="009D1022">
      <w:pPr>
        <w:pStyle w:val="ListParagraph"/>
        <w:numPr>
          <w:ilvl w:val="0"/>
          <w:numId w:val="3"/>
        </w:numPr>
        <w:spacing w:before="120" w:after="120" w:line="240" w:lineRule="auto"/>
        <w:ind w:right="-709"/>
        <w:contextualSpacing w:val="0"/>
        <w:jc w:val="both"/>
        <w:outlineLvl w:val="0"/>
        <w:rPr>
          <w:rFonts w:ascii="Verdana" w:hAnsi="Verdana"/>
          <w:b/>
          <w:sz w:val="20"/>
          <w:szCs w:val="20"/>
        </w:rPr>
      </w:pPr>
      <w:bookmarkStart w:id="9" w:name="_Toc485226650"/>
      <w:r w:rsidRPr="00A22D5F">
        <w:rPr>
          <w:rFonts w:ascii="Verdana" w:hAnsi="Verdana"/>
          <w:b/>
          <w:i/>
          <w:color w:val="000000" w:themeColor="text1"/>
          <w:sz w:val="20"/>
          <w:szCs w:val="20"/>
        </w:rPr>
        <w:lastRenderedPageBreak/>
        <w:t>M</w:t>
      </w:r>
      <w:r w:rsidR="00EB0D38" w:rsidRPr="00A22D5F">
        <w:rPr>
          <w:rFonts w:ascii="Verdana" w:hAnsi="Verdana"/>
          <w:b/>
          <w:i/>
          <w:color w:val="000000" w:themeColor="text1"/>
          <w:sz w:val="20"/>
          <w:szCs w:val="20"/>
        </w:rPr>
        <w:t xml:space="preserve">ecanismo para revisar y anular las sentencias dictadas </w:t>
      </w:r>
      <w:r w:rsidRPr="00A22D5F">
        <w:rPr>
          <w:rFonts w:ascii="Verdana" w:hAnsi="Verdana"/>
          <w:b/>
          <w:i/>
          <w:color w:val="000000" w:themeColor="text1"/>
          <w:sz w:val="20"/>
          <w:szCs w:val="20"/>
        </w:rPr>
        <w:t>por los Consejos de Guerra durante la dictadura militar chilena</w:t>
      </w:r>
      <w:bookmarkEnd w:id="8"/>
      <w:bookmarkEnd w:id="9"/>
    </w:p>
    <w:p w:rsidR="007F0941" w:rsidRPr="008451E3" w:rsidRDefault="007F0941" w:rsidP="009D1022">
      <w:pPr>
        <w:pStyle w:val="ListParagraph"/>
        <w:spacing w:before="120" w:after="120" w:line="240" w:lineRule="auto"/>
        <w:ind w:left="567" w:right="-709"/>
        <w:contextualSpacing w:val="0"/>
        <w:jc w:val="both"/>
        <w:rPr>
          <w:rFonts w:ascii="Verdana" w:hAnsi="Verdana"/>
          <w:b/>
          <w:sz w:val="20"/>
          <w:szCs w:val="20"/>
        </w:rPr>
      </w:pPr>
      <w:r w:rsidRPr="008451E3">
        <w:rPr>
          <w:rFonts w:ascii="Verdana" w:hAnsi="Verdana"/>
          <w:i/>
          <w:color w:val="000000" w:themeColor="text1"/>
          <w:sz w:val="20"/>
          <w:szCs w:val="20"/>
        </w:rPr>
        <w:t>E.1. Medida ordenada por la Corte</w:t>
      </w:r>
    </w:p>
    <w:p w:rsidR="00A22D5F" w:rsidRPr="008451E3" w:rsidRDefault="00A22D5F"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8451E3">
        <w:rPr>
          <w:rFonts w:ascii="Verdana" w:hAnsi="Verdana"/>
          <w:sz w:val="20"/>
          <w:szCs w:val="20"/>
        </w:rPr>
        <w:t xml:space="preserve">La Corte recuerda que en la Sentencia declaró la responsabilidad internacional del Estado </w:t>
      </w:r>
      <w:r w:rsidR="00D428F6">
        <w:rPr>
          <w:rFonts w:ascii="Verdana" w:hAnsi="Verdana"/>
          <w:sz w:val="20"/>
          <w:szCs w:val="20"/>
        </w:rPr>
        <w:t xml:space="preserve">por incumplimiento de su deber de adoptar disposiciones de derecho interno para garantizar </w:t>
      </w:r>
      <w:r w:rsidR="001B53C4" w:rsidRPr="008451E3">
        <w:rPr>
          <w:rFonts w:ascii="Verdana" w:hAnsi="Verdana"/>
          <w:sz w:val="20"/>
          <w:szCs w:val="20"/>
        </w:rPr>
        <w:t xml:space="preserve">un recurso efectivo </w:t>
      </w:r>
      <w:r w:rsidR="00D428F6">
        <w:rPr>
          <w:rFonts w:ascii="Verdana" w:hAnsi="Verdana"/>
          <w:sz w:val="20"/>
          <w:szCs w:val="20"/>
        </w:rPr>
        <w:t xml:space="preserve">que permitiera </w:t>
      </w:r>
      <w:r w:rsidR="001B53C4" w:rsidRPr="008451E3">
        <w:rPr>
          <w:rFonts w:ascii="Verdana" w:hAnsi="Verdana"/>
          <w:sz w:val="20"/>
          <w:szCs w:val="20"/>
        </w:rPr>
        <w:t xml:space="preserve">revisar las sentencias de condena </w:t>
      </w:r>
      <w:r w:rsidR="00D428F6">
        <w:rPr>
          <w:rFonts w:ascii="Verdana" w:hAnsi="Verdana"/>
          <w:sz w:val="20"/>
          <w:szCs w:val="20"/>
        </w:rPr>
        <w:t xml:space="preserve">dictadas por </w:t>
      </w:r>
      <w:r w:rsidR="001B53C4" w:rsidRPr="008451E3">
        <w:rPr>
          <w:rFonts w:ascii="Verdana" w:hAnsi="Verdana"/>
          <w:sz w:val="20"/>
          <w:szCs w:val="20"/>
        </w:rPr>
        <w:t>los Consejos de Guerra</w:t>
      </w:r>
      <w:r w:rsidR="004F73D9">
        <w:rPr>
          <w:rFonts w:ascii="Verdana" w:hAnsi="Verdana"/>
          <w:sz w:val="20"/>
          <w:szCs w:val="20"/>
        </w:rPr>
        <w:t xml:space="preserve"> </w:t>
      </w:r>
      <w:r w:rsidR="001B53C4" w:rsidRPr="008451E3">
        <w:rPr>
          <w:rFonts w:ascii="Verdana" w:hAnsi="Verdana"/>
          <w:sz w:val="20"/>
          <w:szCs w:val="20"/>
        </w:rPr>
        <w:t>en perjuicio de las víctimas del caso</w:t>
      </w:r>
      <w:r w:rsidR="00634308">
        <w:rPr>
          <w:rFonts w:ascii="Verdana" w:hAnsi="Verdana"/>
          <w:sz w:val="20"/>
          <w:szCs w:val="20"/>
        </w:rPr>
        <w:t xml:space="preserve"> (</w:t>
      </w:r>
      <w:r w:rsidR="00634308" w:rsidRPr="00634308">
        <w:rPr>
          <w:rFonts w:ascii="Verdana" w:hAnsi="Verdana"/>
          <w:i/>
          <w:sz w:val="20"/>
          <w:szCs w:val="20"/>
        </w:rPr>
        <w:t xml:space="preserve">supra </w:t>
      </w:r>
      <w:r w:rsidR="00634308">
        <w:rPr>
          <w:rFonts w:ascii="Verdana" w:hAnsi="Verdana"/>
          <w:sz w:val="20"/>
          <w:szCs w:val="20"/>
        </w:rPr>
        <w:t>Visto 1)</w:t>
      </w:r>
      <w:r w:rsidR="001B53C4" w:rsidRPr="008451E3">
        <w:rPr>
          <w:rFonts w:ascii="Verdana" w:hAnsi="Verdana"/>
          <w:sz w:val="20"/>
          <w:szCs w:val="20"/>
        </w:rPr>
        <w:t xml:space="preserve">. </w:t>
      </w:r>
    </w:p>
    <w:p w:rsidR="00913E16" w:rsidRPr="008451E3" w:rsidRDefault="00A62123" w:rsidP="009D102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8451E3">
        <w:rPr>
          <w:rFonts w:ascii="Verdana" w:hAnsi="Verdana"/>
          <w:sz w:val="20"/>
          <w:szCs w:val="20"/>
        </w:rPr>
        <w:t>En consecuencia, en el punto resolutivo</w:t>
      </w:r>
      <w:r w:rsidR="009D3841" w:rsidRPr="008451E3">
        <w:rPr>
          <w:rFonts w:ascii="Verdana" w:hAnsi="Verdana"/>
          <w:sz w:val="20"/>
          <w:szCs w:val="20"/>
        </w:rPr>
        <w:t xml:space="preserve"> noveno y en los párrafos 167 y 170 de la Sentencia, </w:t>
      </w:r>
      <w:r w:rsidR="00E60ECE">
        <w:rPr>
          <w:rFonts w:ascii="Verdana" w:hAnsi="Verdana"/>
          <w:sz w:val="20"/>
          <w:szCs w:val="20"/>
        </w:rPr>
        <w:t xml:space="preserve">se </w:t>
      </w:r>
      <w:r w:rsidR="009D3841" w:rsidRPr="008451E3">
        <w:rPr>
          <w:rFonts w:ascii="Verdana" w:hAnsi="Verdana"/>
          <w:sz w:val="20"/>
          <w:szCs w:val="20"/>
        </w:rPr>
        <w:t>ordenó que</w:t>
      </w:r>
      <w:r w:rsidR="00CE7239">
        <w:rPr>
          <w:rFonts w:ascii="Verdana" w:hAnsi="Verdana"/>
          <w:sz w:val="20"/>
          <w:szCs w:val="20"/>
        </w:rPr>
        <w:t>, “dentro del plazo de un año contado desde la notificación de la […] Sentencia”,</w:t>
      </w:r>
      <w:r w:rsidR="009D3841" w:rsidRPr="008451E3">
        <w:rPr>
          <w:rFonts w:ascii="Verdana" w:hAnsi="Verdana"/>
          <w:sz w:val="20"/>
          <w:szCs w:val="20"/>
        </w:rPr>
        <w:t xml:space="preserve"> el Estado debía</w:t>
      </w:r>
      <w:r w:rsidR="00913E16" w:rsidRPr="008451E3">
        <w:rPr>
          <w:rFonts w:ascii="Verdana" w:hAnsi="Verdana"/>
          <w:sz w:val="20"/>
          <w:szCs w:val="20"/>
        </w:rPr>
        <w:t>:</w:t>
      </w:r>
    </w:p>
    <w:p w:rsidR="00913E16" w:rsidRPr="008451E3" w:rsidRDefault="009D3841" w:rsidP="009D1022">
      <w:pPr>
        <w:pStyle w:val="ListParagraph"/>
        <w:numPr>
          <w:ilvl w:val="0"/>
          <w:numId w:val="43"/>
        </w:numPr>
        <w:tabs>
          <w:tab w:val="left" w:pos="0"/>
        </w:tabs>
        <w:spacing w:before="120" w:after="120" w:line="240" w:lineRule="auto"/>
        <w:ind w:right="-709"/>
        <w:contextualSpacing w:val="0"/>
        <w:jc w:val="both"/>
        <w:rPr>
          <w:rFonts w:ascii="Verdana" w:hAnsi="Verdana"/>
          <w:sz w:val="20"/>
          <w:szCs w:val="20"/>
        </w:rPr>
      </w:pPr>
      <w:r w:rsidRPr="008451E3">
        <w:rPr>
          <w:rFonts w:ascii="Verdana" w:hAnsi="Verdana"/>
          <w:sz w:val="20"/>
          <w:szCs w:val="20"/>
        </w:rPr>
        <w:t>“poner a disposición de las víctimas del presente caso</w:t>
      </w:r>
      <w:r w:rsidR="001F0637">
        <w:rPr>
          <w:rFonts w:ascii="Verdana" w:hAnsi="Verdana"/>
          <w:sz w:val="20"/>
          <w:szCs w:val="20"/>
        </w:rPr>
        <w:t xml:space="preserve"> […]</w:t>
      </w:r>
      <w:r w:rsidRPr="008451E3">
        <w:rPr>
          <w:rFonts w:ascii="Verdana" w:hAnsi="Verdana"/>
          <w:sz w:val="20"/>
          <w:szCs w:val="20"/>
        </w:rPr>
        <w:t xml:space="preserve"> un mecanismo </w:t>
      </w:r>
      <w:r w:rsidR="00913E16" w:rsidRPr="008451E3">
        <w:rPr>
          <w:rFonts w:ascii="Verdana" w:hAnsi="Verdana"/>
          <w:sz w:val="20"/>
          <w:szCs w:val="20"/>
        </w:rPr>
        <w:t>que sea</w:t>
      </w:r>
      <w:r w:rsidRPr="008451E3">
        <w:rPr>
          <w:rFonts w:ascii="Verdana" w:hAnsi="Verdana"/>
          <w:sz w:val="20"/>
          <w:szCs w:val="20"/>
        </w:rPr>
        <w:t xml:space="preserve"> efectivo y rápido para revisar y/o anular las sentencias de condena que fueron proferidas en la </w:t>
      </w:r>
      <w:r w:rsidR="00CE7239">
        <w:rPr>
          <w:rFonts w:ascii="Verdana" w:hAnsi="Verdana"/>
          <w:sz w:val="20"/>
          <w:szCs w:val="20"/>
        </w:rPr>
        <w:t>[…]</w:t>
      </w:r>
      <w:r w:rsidR="00CE7239" w:rsidRPr="008451E3">
        <w:rPr>
          <w:rFonts w:ascii="Verdana" w:hAnsi="Verdana"/>
          <w:sz w:val="20"/>
          <w:szCs w:val="20"/>
        </w:rPr>
        <w:t xml:space="preserve"> </w:t>
      </w:r>
      <w:r w:rsidRPr="008451E3">
        <w:rPr>
          <w:rFonts w:ascii="Verdana" w:hAnsi="Verdana"/>
          <w:sz w:val="20"/>
          <w:szCs w:val="20"/>
        </w:rPr>
        <w:t xml:space="preserve">causa </w:t>
      </w:r>
      <w:r w:rsidR="00913E16" w:rsidRPr="008451E3">
        <w:rPr>
          <w:rFonts w:ascii="Verdana" w:hAnsi="Verdana"/>
          <w:sz w:val="20"/>
          <w:szCs w:val="20"/>
        </w:rPr>
        <w:t xml:space="preserve">[Rol </w:t>
      </w:r>
      <w:r w:rsidR="00CE7239">
        <w:rPr>
          <w:rFonts w:ascii="Verdana" w:hAnsi="Verdana"/>
          <w:sz w:val="20"/>
          <w:szCs w:val="20"/>
        </w:rPr>
        <w:t>No.</w:t>
      </w:r>
      <w:r w:rsidR="00913E16" w:rsidRPr="008451E3">
        <w:rPr>
          <w:rFonts w:ascii="Verdana" w:hAnsi="Verdana"/>
          <w:sz w:val="20"/>
          <w:szCs w:val="20"/>
        </w:rPr>
        <w:t xml:space="preserve">1-73] en su perjuicio”, </w:t>
      </w:r>
      <w:r w:rsidR="00CD0890">
        <w:rPr>
          <w:rFonts w:ascii="Verdana" w:hAnsi="Verdana"/>
          <w:sz w:val="20"/>
          <w:szCs w:val="20"/>
        </w:rPr>
        <w:t>y</w:t>
      </w:r>
    </w:p>
    <w:p w:rsidR="00913E16" w:rsidRPr="00601BEA" w:rsidRDefault="00913E16" w:rsidP="009D1022">
      <w:pPr>
        <w:pStyle w:val="ListParagraph"/>
        <w:numPr>
          <w:ilvl w:val="0"/>
          <w:numId w:val="43"/>
        </w:numPr>
        <w:tabs>
          <w:tab w:val="left" w:pos="0"/>
        </w:tabs>
        <w:spacing w:before="120" w:after="120" w:line="240" w:lineRule="auto"/>
        <w:ind w:right="-709"/>
        <w:contextualSpacing w:val="0"/>
        <w:jc w:val="both"/>
        <w:rPr>
          <w:rFonts w:ascii="Verdana" w:hAnsi="Verdana"/>
          <w:sz w:val="20"/>
          <w:szCs w:val="20"/>
        </w:rPr>
      </w:pPr>
      <w:r w:rsidRPr="008451E3">
        <w:rPr>
          <w:rFonts w:ascii="Verdana" w:hAnsi="Verdana"/>
          <w:sz w:val="20"/>
          <w:szCs w:val="20"/>
        </w:rPr>
        <w:t>como garantía de no repetición</w:t>
      </w:r>
      <w:r w:rsidR="00E60ECE">
        <w:rPr>
          <w:rFonts w:ascii="Verdana" w:hAnsi="Verdana"/>
          <w:sz w:val="20"/>
          <w:szCs w:val="20"/>
        </w:rPr>
        <w:t>,</w:t>
      </w:r>
      <w:r w:rsidRPr="008451E3">
        <w:rPr>
          <w:rFonts w:ascii="Verdana" w:hAnsi="Verdana"/>
          <w:sz w:val="20"/>
          <w:szCs w:val="20"/>
        </w:rPr>
        <w:t xml:space="preserve"> “adopt</w:t>
      </w:r>
      <w:r w:rsidR="00E60ECE">
        <w:rPr>
          <w:rFonts w:ascii="Verdana" w:hAnsi="Verdana"/>
          <w:sz w:val="20"/>
          <w:szCs w:val="20"/>
        </w:rPr>
        <w:t>[ar]</w:t>
      </w:r>
      <w:r w:rsidRPr="008451E3">
        <w:rPr>
          <w:rFonts w:ascii="Verdana" w:hAnsi="Verdana"/>
          <w:sz w:val="20"/>
          <w:szCs w:val="20"/>
        </w:rPr>
        <w:t xml:space="preserve"> las medidas legislativas, administrativas o de cualquier índole que sean adecuadas para poner a disposición de las personas condenadas por los Consejos de Guerra durante la dictadura militar chilena un mecanismo que sea efectivo para revisar y anular las sentencias de condena que fueron proferidas en procesos que pudieron tomar en cuenta prueba y/o </w:t>
      </w:r>
      <w:r w:rsidRPr="00601BEA">
        <w:rPr>
          <w:rFonts w:ascii="Verdana" w:hAnsi="Verdana"/>
          <w:sz w:val="20"/>
          <w:szCs w:val="20"/>
        </w:rPr>
        <w:t xml:space="preserve">confesiones obtenidas bajo tortura”. </w:t>
      </w:r>
    </w:p>
    <w:p w:rsidR="000B54E9" w:rsidRPr="000B54E9" w:rsidRDefault="004708C6" w:rsidP="004708C6">
      <w:pPr>
        <w:pStyle w:val="ListParagraph"/>
        <w:numPr>
          <w:ilvl w:val="0"/>
          <w:numId w:val="2"/>
        </w:numPr>
        <w:tabs>
          <w:tab w:val="left" w:pos="0"/>
        </w:tabs>
        <w:spacing w:before="120" w:after="120" w:line="240" w:lineRule="auto"/>
        <w:ind w:left="0" w:right="-709" w:firstLine="0"/>
        <w:contextualSpacing w:val="0"/>
        <w:jc w:val="both"/>
        <w:rPr>
          <w:rFonts w:ascii="Verdana" w:hAnsi="Verdana"/>
          <w:i/>
          <w:color w:val="000000" w:themeColor="text1"/>
          <w:sz w:val="20"/>
          <w:szCs w:val="20"/>
        </w:rPr>
      </w:pPr>
      <w:r w:rsidRPr="00567772">
        <w:rPr>
          <w:rFonts w:ascii="Verdana" w:hAnsi="Verdana"/>
          <w:sz w:val="20"/>
          <w:szCs w:val="20"/>
        </w:rPr>
        <w:t xml:space="preserve">Además, en el párrafo 156 de la Sentencia se dispuso que “el Estado deberá divulgar el resultado de una eventual revisión de las condenas de las 12 víctimas de este caso en un medio de difusión interno de las Fuerzas Armadas de Chile con la finalidad que el mismo sea conocido por todos sus miembros”. </w:t>
      </w:r>
    </w:p>
    <w:p w:rsidR="008D790F" w:rsidRDefault="008D790F" w:rsidP="009D1022">
      <w:pPr>
        <w:pStyle w:val="ListParagraph"/>
        <w:tabs>
          <w:tab w:val="left" w:pos="0"/>
        </w:tabs>
        <w:spacing w:before="120" w:after="120" w:line="240" w:lineRule="auto"/>
        <w:ind w:right="-709"/>
        <w:contextualSpacing w:val="0"/>
        <w:jc w:val="both"/>
        <w:rPr>
          <w:rFonts w:ascii="Verdana" w:hAnsi="Verdana"/>
          <w:i/>
          <w:color w:val="000000" w:themeColor="text1"/>
          <w:sz w:val="20"/>
          <w:szCs w:val="20"/>
        </w:rPr>
      </w:pPr>
    </w:p>
    <w:p w:rsidR="00E83A80" w:rsidRDefault="00F06CBB" w:rsidP="009D1022">
      <w:pPr>
        <w:pStyle w:val="ListParagraph"/>
        <w:tabs>
          <w:tab w:val="left" w:pos="0"/>
        </w:tabs>
        <w:spacing w:before="120" w:after="120" w:line="240" w:lineRule="auto"/>
        <w:ind w:right="-709"/>
        <w:contextualSpacing w:val="0"/>
        <w:jc w:val="both"/>
        <w:rPr>
          <w:rFonts w:ascii="Verdana" w:hAnsi="Verdana"/>
          <w:i/>
          <w:color w:val="000000" w:themeColor="text1"/>
          <w:sz w:val="20"/>
          <w:szCs w:val="20"/>
        </w:rPr>
      </w:pPr>
      <w:r w:rsidRPr="00601BEA">
        <w:rPr>
          <w:rFonts w:ascii="Verdana" w:hAnsi="Verdana"/>
          <w:i/>
          <w:color w:val="000000" w:themeColor="text1"/>
          <w:sz w:val="20"/>
          <w:szCs w:val="20"/>
        </w:rPr>
        <w:t xml:space="preserve">E.2. </w:t>
      </w:r>
      <w:r w:rsidR="00E83A80">
        <w:rPr>
          <w:rFonts w:ascii="Verdana" w:hAnsi="Verdana"/>
          <w:i/>
          <w:color w:val="000000" w:themeColor="text1"/>
          <w:sz w:val="20"/>
          <w:szCs w:val="20"/>
        </w:rPr>
        <w:t xml:space="preserve">Información y observaciones de las partes </w:t>
      </w:r>
    </w:p>
    <w:p w:rsidR="007B2FE6" w:rsidRPr="00567772" w:rsidRDefault="007B2FE6" w:rsidP="004708C6">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bookmarkStart w:id="10" w:name="_Toc483918296"/>
      <w:r w:rsidRPr="00567772">
        <w:rPr>
          <w:rFonts w:ascii="Verdana" w:hAnsi="Verdana"/>
          <w:sz w:val="20"/>
          <w:szCs w:val="20"/>
        </w:rPr>
        <w:t xml:space="preserve">El </w:t>
      </w:r>
      <w:r w:rsidRPr="00567772">
        <w:rPr>
          <w:rFonts w:ascii="Verdana" w:hAnsi="Verdana"/>
          <w:i/>
          <w:sz w:val="20"/>
          <w:szCs w:val="20"/>
        </w:rPr>
        <w:t>Estado</w:t>
      </w:r>
      <w:r w:rsidRPr="00567772">
        <w:rPr>
          <w:rFonts w:ascii="Verdana" w:hAnsi="Verdana"/>
          <w:sz w:val="20"/>
          <w:szCs w:val="20"/>
        </w:rPr>
        <w:t xml:space="preserve"> informó a esta Corte que, </w:t>
      </w:r>
      <w:r w:rsidR="00BE2237">
        <w:rPr>
          <w:rFonts w:ascii="Verdana" w:hAnsi="Verdana"/>
          <w:sz w:val="20"/>
          <w:szCs w:val="20"/>
        </w:rPr>
        <w:t>para el</w:t>
      </w:r>
      <w:r w:rsidR="00BE2237" w:rsidRPr="00567772">
        <w:rPr>
          <w:rFonts w:ascii="Verdana" w:hAnsi="Verdana"/>
          <w:sz w:val="20"/>
          <w:szCs w:val="20"/>
        </w:rPr>
        <w:t xml:space="preserve"> </w:t>
      </w:r>
      <w:r w:rsidRPr="00567772">
        <w:rPr>
          <w:rFonts w:ascii="Verdana" w:hAnsi="Verdana"/>
          <w:sz w:val="20"/>
          <w:szCs w:val="20"/>
        </w:rPr>
        <w:t xml:space="preserve">cumplimiento de </w:t>
      </w:r>
      <w:r w:rsidR="00BE2237">
        <w:rPr>
          <w:rFonts w:ascii="Verdana" w:hAnsi="Verdana"/>
          <w:sz w:val="20"/>
          <w:szCs w:val="20"/>
        </w:rPr>
        <w:t>esta</w:t>
      </w:r>
      <w:r w:rsidR="00BE2237" w:rsidRPr="00567772">
        <w:rPr>
          <w:rFonts w:ascii="Verdana" w:hAnsi="Verdana"/>
          <w:sz w:val="20"/>
          <w:szCs w:val="20"/>
        </w:rPr>
        <w:t xml:space="preserve"> </w:t>
      </w:r>
      <w:r w:rsidRPr="00567772">
        <w:rPr>
          <w:rFonts w:ascii="Verdana" w:hAnsi="Verdana"/>
          <w:sz w:val="20"/>
          <w:szCs w:val="20"/>
        </w:rPr>
        <w:t>reparación</w:t>
      </w:r>
      <w:r w:rsidR="001F0637">
        <w:rPr>
          <w:rFonts w:ascii="Verdana" w:hAnsi="Verdana"/>
          <w:sz w:val="20"/>
          <w:szCs w:val="20"/>
        </w:rPr>
        <w:t>,</w:t>
      </w:r>
      <w:r w:rsidRPr="00567772">
        <w:rPr>
          <w:rFonts w:ascii="Verdana" w:hAnsi="Verdana"/>
          <w:sz w:val="20"/>
          <w:szCs w:val="20"/>
        </w:rPr>
        <w:t xml:space="preserve"> </w:t>
      </w:r>
      <w:r w:rsidR="00BE2237" w:rsidRPr="00460436">
        <w:rPr>
          <w:rFonts w:ascii="Verdana" w:hAnsi="Verdana"/>
          <w:sz w:val="20"/>
          <w:szCs w:val="20"/>
          <w:highlight w:val="lightGray"/>
        </w:rPr>
        <w:t xml:space="preserve"> </w:t>
      </w:r>
      <w:r w:rsidR="00BE2237" w:rsidRPr="001F0637">
        <w:rPr>
          <w:rFonts w:ascii="Verdana" w:hAnsi="Verdana"/>
          <w:sz w:val="20"/>
          <w:szCs w:val="20"/>
        </w:rPr>
        <w:t>“se creó un [s]ubcomité liderado por la Secretaría General de la Presidencia, encargada de evaluar la mejor manera de proceder”.</w:t>
      </w:r>
      <w:r w:rsidR="00BE2237">
        <w:rPr>
          <w:rFonts w:ascii="Verdana" w:hAnsi="Verdana"/>
          <w:sz w:val="20"/>
          <w:szCs w:val="20"/>
        </w:rPr>
        <w:t xml:space="preserve"> Agregó que</w:t>
      </w:r>
      <w:r w:rsidRPr="00567772">
        <w:rPr>
          <w:rFonts w:ascii="Verdana" w:hAnsi="Verdana"/>
          <w:sz w:val="20"/>
          <w:szCs w:val="20"/>
        </w:rPr>
        <w:t xml:space="preserve"> </w:t>
      </w:r>
      <w:r w:rsidR="00334085" w:rsidRPr="00567772">
        <w:rPr>
          <w:rFonts w:ascii="Verdana" w:hAnsi="Verdana"/>
          <w:sz w:val="20"/>
          <w:szCs w:val="20"/>
        </w:rPr>
        <w:t>“[l]os representantes de las víctimas sugirieron una propuesta mediante la cual el Estado, a través del Consejo de Defensa, solicitara al Fiscal Judicial de la Corte Suprema presentar un recurso de revisión para anular las sen</w:t>
      </w:r>
      <w:r w:rsidR="007437A0" w:rsidRPr="00567772">
        <w:rPr>
          <w:rFonts w:ascii="Verdana" w:hAnsi="Verdana"/>
          <w:sz w:val="20"/>
          <w:szCs w:val="20"/>
        </w:rPr>
        <w:t>t</w:t>
      </w:r>
      <w:r w:rsidR="00334085" w:rsidRPr="00567772">
        <w:rPr>
          <w:rFonts w:ascii="Verdana" w:hAnsi="Verdana"/>
          <w:sz w:val="20"/>
          <w:szCs w:val="20"/>
        </w:rPr>
        <w:t xml:space="preserve">encias dictadas por los Consejos de Guerra”. </w:t>
      </w:r>
      <w:r w:rsidR="00BE2237">
        <w:rPr>
          <w:rFonts w:ascii="Verdana" w:hAnsi="Verdana"/>
          <w:sz w:val="20"/>
          <w:szCs w:val="20"/>
        </w:rPr>
        <w:t>Indicó</w:t>
      </w:r>
      <w:r w:rsidR="00BE2237" w:rsidRPr="00567772">
        <w:rPr>
          <w:rFonts w:ascii="Verdana" w:hAnsi="Verdana"/>
          <w:sz w:val="20"/>
          <w:szCs w:val="20"/>
        </w:rPr>
        <w:t xml:space="preserve"> </w:t>
      </w:r>
      <w:r w:rsidR="00334085" w:rsidRPr="00567772">
        <w:rPr>
          <w:rFonts w:ascii="Verdana" w:hAnsi="Verdana"/>
          <w:sz w:val="20"/>
          <w:szCs w:val="20"/>
        </w:rPr>
        <w:t xml:space="preserve">que, teniendo en cuenta </w:t>
      </w:r>
      <w:r w:rsidR="001F0637">
        <w:rPr>
          <w:rFonts w:ascii="Verdana" w:hAnsi="Verdana"/>
          <w:sz w:val="20"/>
          <w:szCs w:val="20"/>
        </w:rPr>
        <w:t>es</w:t>
      </w:r>
      <w:r w:rsidR="001F0637" w:rsidRPr="00567772">
        <w:rPr>
          <w:rFonts w:ascii="Verdana" w:hAnsi="Verdana"/>
          <w:sz w:val="20"/>
          <w:szCs w:val="20"/>
        </w:rPr>
        <w:t xml:space="preserve">a </w:t>
      </w:r>
      <w:r w:rsidR="00334085" w:rsidRPr="00567772">
        <w:rPr>
          <w:rFonts w:ascii="Verdana" w:hAnsi="Verdana"/>
          <w:sz w:val="20"/>
          <w:szCs w:val="20"/>
        </w:rPr>
        <w:t xml:space="preserve">propuesta, en abril de 2016 </w:t>
      </w:r>
      <w:r w:rsidR="00BE2237">
        <w:rPr>
          <w:rFonts w:ascii="Verdana" w:hAnsi="Verdana"/>
          <w:sz w:val="20"/>
          <w:szCs w:val="20"/>
        </w:rPr>
        <w:t>“</w:t>
      </w:r>
      <w:r w:rsidR="00334085" w:rsidRPr="00567772">
        <w:rPr>
          <w:rFonts w:ascii="Verdana" w:hAnsi="Verdana"/>
          <w:sz w:val="20"/>
          <w:szCs w:val="20"/>
        </w:rPr>
        <w:t>se presentó dicho requerimiento por parte del Consejo de Defensa” y que en mayo de 2016 “el Fiscal Judicial de la Corte Suprema presentó el recurso de revisi</w:t>
      </w:r>
      <w:r w:rsidR="004708C6" w:rsidRPr="00567772">
        <w:rPr>
          <w:rFonts w:ascii="Verdana" w:hAnsi="Verdana"/>
          <w:sz w:val="20"/>
          <w:szCs w:val="20"/>
        </w:rPr>
        <w:t>ón su</w:t>
      </w:r>
      <w:r w:rsidR="00334085" w:rsidRPr="00567772">
        <w:rPr>
          <w:rFonts w:ascii="Verdana" w:hAnsi="Verdana"/>
          <w:sz w:val="20"/>
          <w:szCs w:val="20"/>
        </w:rPr>
        <w:t xml:space="preserve">gerido por [dicho] Consejo”, el cual fue resuelto el 3 de octubre de 2016 por “sentencia definitiva” de la “Segunda </w:t>
      </w:r>
      <w:r w:rsidR="00BE2237" w:rsidRPr="00567772">
        <w:rPr>
          <w:rFonts w:ascii="Verdana" w:hAnsi="Verdana"/>
          <w:sz w:val="20"/>
          <w:szCs w:val="20"/>
        </w:rPr>
        <w:t xml:space="preserve">Sala </w:t>
      </w:r>
      <w:r w:rsidR="00334085" w:rsidRPr="00567772">
        <w:rPr>
          <w:rFonts w:ascii="Verdana" w:hAnsi="Verdana"/>
          <w:sz w:val="20"/>
          <w:szCs w:val="20"/>
        </w:rPr>
        <w:t>de la Corte Suprema” (</w:t>
      </w:r>
      <w:r w:rsidR="00334085" w:rsidRPr="00567772">
        <w:rPr>
          <w:rFonts w:ascii="Verdana" w:hAnsi="Verdana"/>
          <w:i/>
          <w:sz w:val="20"/>
          <w:szCs w:val="20"/>
        </w:rPr>
        <w:t xml:space="preserve">infra </w:t>
      </w:r>
      <w:r w:rsidR="00334085" w:rsidRPr="00567772">
        <w:rPr>
          <w:rFonts w:ascii="Verdana" w:hAnsi="Verdana"/>
          <w:sz w:val="20"/>
          <w:szCs w:val="20"/>
        </w:rPr>
        <w:t xml:space="preserve">Considerando </w:t>
      </w:r>
      <w:r w:rsidR="00126A26">
        <w:rPr>
          <w:rFonts w:ascii="Verdana" w:hAnsi="Verdana"/>
          <w:sz w:val="20"/>
          <w:szCs w:val="20"/>
        </w:rPr>
        <w:t>34</w:t>
      </w:r>
      <w:r w:rsidR="00126A26" w:rsidRPr="00567772">
        <w:rPr>
          <w:rFonts w:ascii="Verdana" w:hAnsi="Verdana"/>
          <w:sz w:val="20"/>
          <w:szCs w:val="20"/>
        </w:rPr>
        <w:t xml:space="preserve">). </w:t>
      </w:r>
      <w:r w:rsidR="007437A0" w:rsidRPr="00567772">
        <w:rPr>
          <w:rFonts w:ascii="Verdana" w:hAnsi="Verdana"/>
          <w:sz w:val="20"/>
          <w:szCs w:val="20"/>
        </w:rPr>
        <w:t>Chile sostuvo que con</w:t>
      </w:r>
      <w:r w:rsidR="00126A26">
        <w:rPr>
          <w:rFonts w:ascii="Verdana" w:hAnsi="Verdana"/>
          <w:sz w:val="20"/>
          <w:szCs w:val="20"/>
        </w:rPr>
        <w:t xml:space="preserve"> base en</w:t>
      </w:r>
      <w:r w:rsidR="007437A0" w:rsidRPr="00567772">
        <w:rPr>
          <w:rFonts w:ascii="Verdana" w:hAnsi="Verdana"/>
          <w:sz w:val="20"/>
          <w:szCs w:val="20"/>
        </w:rPr>
        <w:t xml:space="preserve"> lo resuelto en </w:t>
      </w:r>
      <w:r w:rsidR="001F0637">
        <w:rPr>
          <w:rFonts w:ascii="Verdana" w:hAnsi="Verdana"/>
          <w:sz w:val="20"/>
          <w:szCs w:val="20"/>
        </w:rPr>
        <w:t>la</w:t>
      </w:r>
      <w:r w:rsidR="001F0637" w:rsidRPr="00567772">
        <w:rPr>
          <w:rFonts w:ascii="Verdana" w:hAnsi="Verdana"/>
          <w:sz w:val="20"/>
          <w:szCs w:val="20"/>
        </w:rPr>
        <w:t xml:space="preserve"> </w:t>
      </w:r>
      <w:r w:rsidR="007437A0" w:rsidRPr="00567772">
        <w:rPr>
          <w:rFonts w:ascii="Verdana" w:hAnsi="Verdana"/>
          <w:sz w:val="20"/>
          <w:szCs w:val="20"/>
        </w:rPr>
        <w:t>referid</w:t>
      </w:r>
      <w:r w:rsidR="001F0637">
        <w:rPr>
          <w:rFonts w:ascii="Verdana" w:hAnsi="Verdana"/>
          <w:sz w:val="20"/>
          <w:szCs w:val="20"/>
        </w:rPr>
        <w:t>a</w:t>
      </w:r>
      <w:r w:rsidR="007437A0" w:rsidRPr="00567772">
        <w:rPr>
          <w:rFonts w:ascii="Verdana" w:hAnsi="Verdana"/>
          <w:sz w:val="20"/>
          <w:szCs w:val="20"/>
        </w:rPr>
        <w:t xml:space="preserve"> </w:t>
      </w:r>
      <w:r w:rsidR="001F0637">
        <w:rPr>
          <w:rFonts w:ascii="Verdana" w:hAnsi="Verdana"/>
          <w:sz w:val="20"/>
          <w:szCs w:val="20"/>
        </w:rPr>
        <w:t>sentencia</w:t>
      </w:r>
      <w:r w:rsidR="001F0637" w:rsidRPr="00567772">
        <w:rPr>
          <w:rFonts w:ascii="Verdana" w:hAnsi="Verdana"/>
          <w:sz w:val="20"/>
          <w:szCs w:val="20"/>
        </w:rPr>
        <w:t xml:space="preserve"> </w:t>
      </w:r>
      <w:r w:rsidR="007437A0" w:rsidRPr="00567772">
        <w:rPr>
          <w:rFonts w:ascii="Verdana" w:hAnsi="Verdana"/>
          <w:sz w:val="20"/>
          <w:szCs w:val="20"/>
        </w:rPr>
        <w:t>de revisión</w:t>
      </w:r>
      <w:r w:rsidR="00126A26">
        <w:rPr>
          <w:rFonts w:ascii="Verdana" w:hAnsi="Verdana"/>
          <w:sz w:val="20"/>
          <w:szCs w:val="20"/>
        </w:rPr>
        <w:t xml:space="preserve">, fundamentalmente en los considerandos trigésimo quinto y trigésimo séptimo </w:t>
      </w:r>
      <w:r w:rsidR="007437A0" w:rsidRPr="00567772">
        <w:rPr>
          <w:rFonts w:ascii="Verdana" w:hAnsi="Verdana"/>
          <w:sz w:val="20"/>
          <w:szCs w:val="20"/>
        </w:rPr>
        <w:t>(</w:t>
      </w:r>
      <w:r w:rsidR="007437A0" w:rsidRPr="00567772">
        <w:rPr>
          <w:rFonts w:ascii="Verdana" w:hAnsi="Verdana"/>
          <w:i/>
          <w:sz w:val="20"/>
          <w:szCs w:val="20"/>
        </w:rPr>
        <w:t xml:space="preserve">infra </w:t>
      </w:r>
      <w:r w:rsidR="007437A0" w:rsidRPr="00567772">
        <w:rPr>
          <w:rFonts w:ascii="Verdana" w:hAnsi="Verdana"/>
          <w:sz w:val="20"/>
          <w:szCs w:val="20"/>
        </w:rPr>
        <w:t>Considerando</w:t>
      </w:r>
      <w:r w:rsidR="00126A26">
        <w:rPr>
          <w:rFonts w:ascii="Verdana" w:hAnsi="Verdana"/>
          <w:sz w:val="20"/>
          <w:szCs w:val="20"/>
        </w:rPr>
        <w:t>s</w:t>
      </w:r>
      <w:r w:rsidR="007437A0" w:rsidRPr="00567772">
        <w:rPr>
          <w:rFonts w:ascii="Verdana" w:hAnsi="Verdana"/>
          <w:sz w:val="20"/>
          <w:szCs w:val="20"/>
        </w:rPr>
        <w:t xml:space="preserve"> </w:t>
      </w:r>
      <w:r w:rsidR="00126A26">
        <w:rPr>
          <w:rFonts w:ascii="Verdana" w:hAnsi="Verdana"/>
          <w:sz w:val="20"/>
          <w:szCs w:val="20"/>
        </w:rPr>
        <w:t>35 y 36</w:t>
      </w:r>
      <w:r w:rsidR="00126A26" w:rsidRPr="00567772">
        <w:rPr>
          <w:rFonts w:ascii="Verdana" w:hAnsi="Verdana"/>
          <w:sz w:val="20"/>
          <w:szCs w:val="20"/>
        </w:rPr>
        <w:t>)</w:t>
      </w:r>
      <w:r w:rsidR="00126A26">
        <w:rPr>
          <w:rFonts w:ascii="Verdana" w:hAnsi="Verdana"/>
          <w:sz w:val="20"/>
          <w:szCs w:val="20"/>
        </w:rPr>
        <w:t>,</w:t>
      </w:r>
      <w:r w:rsidR="00126A26" w:rsidRPr="00567772">
        <w:rPr>
          <w:rFonts w:ascii="Verdana" w:hAnsi="Verdana"/>
          <w:sz w:val="20"/>
          <w:szCs w:val="20"/>
        </w:rPr>
        <w:t xml:space="preserve"> </w:t>
      </w:r>
      <w:r w:rsidR="007437A0" w:rsidRPr="00567772">
        <w:rPr>
          <w:rFonts w:ascii="Verdana" w:hAnsi="Verdana"/>
          <w:sz w:val="20"/>
          <w:szCs w:val="20"/>
        </w:rPr>
        <w:t>“se encuentra cumplida</w:t>
      </w:r>
      <w:r w:rsidR="004708C6" w:rsidRPr="00567772">
        <w:rPr>
          <w:rFonts w:ascii="Verdana" w:hAnsi="Verdana"/>
          <w:sz w:val="20"/>
          <w:szCs w:val="20"/>
        </w:rPr>
        <w:t>”</w:t>
      </w:r>
      <w:r w:rsidR="007437A0" w:rsidRPr="00567772">
        <w:rPr>
          <w:rFonts w:ascii="Verdana" w:hAnsi="Verdana"/>
          <w:sz w:val="20"/>
          <w:szCs w:val="20"/>
        </w:rPr>
        <w:t xml:space="preserve"> </w:t>
      </w:r>
      <w:r w:rsidR="004708C6" w:rsidRPr="00567772">
        <w:rPr>
          <w:rFonts w:ascii="Verdana" w:hAnsi="Verdana"/>
          <w:sz w:val="20"/>
          <w:szCs w:val="20"/>
        </w:rPr>
        <w:t>esta reparación tanto para las víctimas como en lo referido a la garantía de no repetición</w:t>
      </w:r>
      <w:r w:rsidR="00126A26">
        <w:rPr>
          <w:rFonts w:ascii="Verdana" w:hAnsi="Verdana"/>
          <w:sz w:val="20"/>
          <w:szCs w:val="20"/>
        </w:rPr>
        <w:t>. Adicionalmente</w:t>
      </w:r>
      <w:r w:rsidR="004708C6" w:rsidRPr="00567772">
        <w:rPr>
          <w:rFonts w:ascii="Verdana" w:hAnsi="Verdana"/>
          <w:sz w:val="20"/>
          <w:szCs w:val="20"/>
        </w:rPr>
        <w:t xml:space="preserve">, </w:t>
      </w:r>
      <w:r w:rsidR="00126A26">
        <w:rPr>
          <w:rFonts w:ascii="Verdana" w:hAnsi="Verdana"/>
          <w:sz w:val="20"/>
          <w:szCs w:val="20"/>
        </w:rPr>
        <w:t>Chile</w:t>
      </w:r>
      <w:r w:rsidR="00126A26" w:rsidRPr="00567772">
        <w:rPr>
          <w:rFonts w:ascii="Verdana" w:hAnsi="Verdana"/>
          <w:sz w:val="20"/>
          <w:szCs w:val="20"/>
        </w:rPr>
        <w:t xml:space="preserve"> </w:t>
      </w:r>
      <w:r w:rsidR="00E83A80" w:rsidRPr="00567772">
        <w:rPr>
          <w:rFonts w:ascii="Verdana" w:hAnsi="Verdana"/>
          <w:sz w:val="20"/>
          <w:szCs w:val="20"/>
        </w:rPr>
        <w:t xml:space="preserve">reconoció que </w:t>
      </w:r>
      <w:r w:rsidR="004708C6" w:rsidRPr="00567772">
        <w:rPr>
          <w:rFonts w:ascii="Verdana" w:hAnsi="Verdana"/>
          <w:sz w:val="20"/>
          <w:szCs w:val="20"/>
        </w:rPr>
        <w:t>solo “queda[…] en ejecución el párrafo 156 del fallo” (</w:t>
      </w:r>
      <w:r w:rsidR="004708C6" w:rsidRPr="00567772">
        <w:rPr>
          <w:rFonts w:ascii="Verdana" w:hAnsi="Verdana"/>
          <w:i/>
          <w:sz w:val="20"/>
          <w:szCs w:val="20"/>
        </w:rPr>
        <w:t>supra</w:t>
      </w:r>
      <w:r w:rsidR="004708C6" w:rsidRPr="00567772">
        <w:rPr>
          <w:rFonts w:ascii="Verdana" w:hAnsi="Verdana"/>
          <w:sz w:val="20"/>
          <w:szCs w:val="20"/>
        </w:rPr>
        <w:t xml:space="preserve"> Considerando 24). </w:t>
      </w:r>
      <w:r w:rsidR="00E83A80" w:rsidRPr="00567772">
        <w:rPr>
          <w:rFonts w:ascii="Verdana" w:hAnsi="Verdana"/>
          <w:sz w:val="20"/>
          <w:szCs w:val="20"/>
        </w:rPr>
        <w:t>En consecuencia,</w:t>
      </w:r>
      <w:r w:rsidR="00E83A80" w:rsidRPr="00567772">
        <w:rPr>
          <w:rFonts w:ascii="Verdana" w:hAnsi="Verdana"/>
          <w:b/>
          <w:sz w:val="16"/>
          <w:szCs w:val="16"/>
        </w:rPr>
        <w:t xml:space="preserve"> </w:t>
      </w:r>
      <w:r w:rsidR="00E83A80" w:rsidRPr="00567772">
        <w:rPr>
          <w:rFonts w:ascii="Verdana" w:hAnsi="Verdana"/>
          <w:sz w:val="20"/>
          <w:szCs w:val="20"/>
        </w:rPr>
        <w:t xml:space="preserve">solicitó a la Corte que “se declare íntegra y oportunamente cumplido” lo ordenado en </w:t>
      </w:r>
      <w:r w:rsidR="001F0637">
        <w:rPr>
          <w:rFonts w:ascii="Verdana" w:hAnsi="Verdana"/>
          <w:sz w:val="20"/>
          <w:szCs w:val="20"/>
        </w:rPr>
        <w:t>el</w:t>
      </w:r>
      <w:r w:rsidR="001F0637" w:rsidRPr="00567772">
        <w:rPr>
          <w:rFonts w:ascii="Verdana" w:hAnsi="Verdana"/>
          <w:sz w:val="20"/>
          <w:szCs w:val="20"/>
        </w:rPr>
        <w:t xml:space="preserve"> </w:t>
      </w:r>
      <w:r w:rsidR="00E83A80" w:rsidRPr="00567772">
        <w:rPr>
          <w:rFonts w:ascii="Verdana" w:hAnsi="Verdana"/>
          <w:sz w:val="20"/>
          <w:szCs w:val="20"/>
        </w:rPr>
        <w:t>punto resolutivo</w:t>
      </w:r>
      <w:r w:rsidR="001F0637">
        <w:rPr>
          <w:rFonts w:ascii="Verdana" w:hAnsi="Verdana"/>
          <w:sz w:val="20"/>
          <w:szCs w:val="20"/>
        </w:rPr>
        <w:t xml:space="preserve"> noveno de la Sentencia.</w:t>
      </w:r>
      <w:r w:rsidR="001F0637" w:rsidRPr="00567772">
        <w:rPr>
          <w:rFonts w:ascii="Verdana" w:hAnsi="Verdana"/>
          <w:b/>
          <w:sz w:val="16"/>
          <w:szCs w:val="16"/>
        </w:rPr>
        <w:t xml:space="preserve"> </w:t>
      </w:r>
    </w:p>
    <w:p w:rsidR="00E83A80" w:rsidRDefault="00E83A80" w:rsidP="004708C6">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567772">
        <w:rPr>
          <w:rFonts w:ascii="Verdana" w:hAnsi="Verdana"/>
          <w:sz w:val="20"/>
          <w:szCs w:val="20"/>
        </w:rPr>
        <w:t xml:space="preserve">El </w:t>
      </w:r>
      <w:r w:rsidRPr="00567772">
        <w:rPr>
          <w:rFonts w:ascii="Verdana" w:hAnsi="Verdana"/>
          <w:i/>
          <w:sz w:val="20"/>
          <w:szCs w:val="20"/>
        </w:rPr>
        <w:t xml:space="preserve">representante </w:t>
      </w:r>
      <w:r w:rsidRPr="00567772">
        <w:rPr>
          <w:rFonts w:ascii="Verdana" w:hAnsi="Verdana"/>
          <w:sz w:val="20"/>
          <w:szCs w:val="20"/>
        </w:rPr>
        <w:t xml:space="preserve">observó </w:t>
      </w:r>
      <w:r w:rsidR="001F0637">
        <w:rPr>
          <w:rFonts w:ascii="Verdana" w:hAnsi="Verdana"/>
          <w:sz w:val="20"/>
          <w:szCs w:val="20"/>
        </w:rPr>
        <w:t xml:space="preserve">que </w:t>
      </w:r>
      <w:r w:rsidR="007E5325" w:rsidRPr="00567772">
        <w:rPr>
          <w:rFonts w:ascii="Verdana" w:hAnsi="Verdana"/>
          <w:sz w:val="20"/>
          <w:szCs w:val="20"/>
        </w:rPr>
        <w:t>lo señalado por el Estado</w:t>
      </w:r>
      <w:r w:rsidRPr="00567772">
        <w:rPr>
          <w:rFonts w:ascii="Verdana" w:hAnsi="Verdana"/>
          <w:sz w:val="20"/>
          <w:szCs w:val="20"/>
        </w:rPr>
        <w:t xml:space="preserve"> </w:t>
      </w:r>
      <w:r w:rsidR="007E5325" w:rsidRPr="00567772">
        <w:rPr>
          <w:rFonts w:ascii="Verdana" w:hAnsi="Verdana"/>
          <w:sz w:val="20"/>
          <w:szCs w:val="20"/>
        </w:rPr>
        <w:t>“</w:t>
      </w:r>
      <w:r w:rsidRPr="00567772">
        <w:rPr>
          <w:rFonts w:ascii="Verdana" w:hAnsi="Verdana"/>
          <w:sz w:val="20"/>
          <w:szCs w:val="20"/>
        </w:rPr>
        <w:t>corresponde a la verdad” (</w:t>
      </w:r>
      <w:r w:rsidRPr="00567772">
        <w:rPr>
          <w:rFonts w:ascii="Verdana" w:hAnsi="Verdana"/>
          <w:i/>
          <w:sz w:val="20"/>
          <w:szCs w:val="20"/>
        </w:rPr>
        <w:t>supra</w:t>
      </w:r>
      <w:r w:rsidRPr="00567772">
        <w:rPr>
          <w:rFonts w:ascii="Verdana" w:hAnsi="Verdana"/>
          <w:sz w:val="20"/>
          <w:szCs w:val="20"/>
        </w:rPr>
        <w:t xml:space="preserve"> Considerando 3) y </w:t>
      </w:r>
      <w:r w:rsidRPr="00567772">
        <w:rPr>
          <w:rFonts w:ascii="Verdana" w:hAnsi="Verdana"/>
          <w:i/>
          <w:sz w:val="20"/>
          <w:szCs w:val="20"/>
        </w:rPr>
        <w:t>“</w:t>
      </w:r>
      <w:r w:rsidRPr="00AC3415">
        <w:rPr>
          <w:rFonts w:ascii="Verdana" w:hAnsi="Verdana"/>
          <w:sz w:val="20"/>
          <w:szCs w:val="20"/>
        </w:rPr>
        <w:t>con</w:t>
      </w:r>
      <w:r w:rsidRPr="00567772">
        <w:rPr>
          <w:rFonts w:ascii="Verdana" w:hAnsi="Verdana"/>
          <w:sz w:val="20"/>
          <w:szCs w:val="20"/>
        </w:rPr>
        <w:t xml:space="preserve">cord[ó] en que se declare íntegra y oportunamente cumplido” lo ordenado en </w:t>
      </w:r>
      <w:r w:rsidR="001F0637">
        <w:rPr>
          <w:rFonts w:ascii="Verdana" w:hAnsi="Verdana"/>
          <w:sz w:val="20"/>
          <w:szCs w:val="20"/>
        </w:rPr>
        <w:t xml:space="preserve">dicho </w:t>
      </w:r>
      <w:r w:rsidRPr="00567772">
        <w:rPr>
          <w:rFonts w:ascii="Verdana" w:hAnsi="Verdana"/>
          <w:sz w:val="20"/>
          <w:szCs w:val="20"/>
        </w:rPr>
        <w:t xml:space="preserve">punto resolutivo. </w:t>
      </w:r>
    </w:p>
    <w:p w:rsidR="008D790F" w:rsidRDefault="008D790F" w:rsidP="00E83A80">
      <w:pPr>
        <w:pStyle w:val="ListParagraph"/>
        <w:tabs>
          <w:tab w:val="left" w:pos="0"/>
        </w:tabs>
        <w:spacing w:before="120" w:after="120" w:line="240" w:lineRule="auto"/>
        <w:ind w:right="-709"/>
        <w:contextualSpacing w:val="0"/>
        <w:jc w:val="both"/>
        <w:rPr>
          <w:rFonts w:ascii="Verdana" w:hAnsi="Verdana"/>
          <w:i/>
          <w:color w:val="000000" w:themeColor="text1"/>
          <w:sz w:val="20"/>
          <w:szCs w:val="20"/>
        </w:rPr>
      </w:pPr>
    </w:p>
    <w:p w:rsidR="00E83A80" w:rsidRPr="00601BEA" w:rsidRDefault="00B73B69" w:rsidP="00E83A80">
      <w:pPr>
        <w:pStyle w:val="ListParagraph"/>
        <w:tabs>
          <w:tab w:val="left" w:pos="0"/>
        </w:tabs>
        <w:spacing w:before="120" w:after="120" w:line="240" w:lineRule="auto"/>
        <w:ind w:right="-709"/>
        <w:contextualSpacing w:val="0"/>
        <w:jc w:val="both"/>
        <w:rPr>
          <w:rFonts w:ascii="Verdana" w:hAnsi="Verdana"/>
          <w:i/>
          <w:color w:val="000000" w:themeColor="text1"/>
          <w:sz w:val="20"/>
          <w:szCs w:val="20"/>
        </w:rPr>
      </w:pPr>
      <w:r>
        <w:rPr>
          <w:rFonts w:ascii="Verdana" w:hAnsi="Verdana"/>
          <w:i/>
          <w:color w:val="000000" w:themeColor="text1"/>
          <w:sz w:val="20"/>
          <w:szCs w:val="20"/>
        </w:rPr>
        <w:lastRenderedPageBreak/>
        <w:t xml:space="preserve">E.3. </w:t>
      </w:r>
      <w:r w:rsidR="00E83A80" w:rsidRPr="00601BEA">
        <w:rPr>
          <w:rFonts w:ascii="Verdana" w:hAnsi="Verdana"/>
          <w:i/>
          <w:color w:val="000000" w:themeColor="text1"/>
          <w:sz w:val="20"/>
          <w:szCs w:val="20"/>
        </w:rPr>
        <w:t>Consideraciones de la Corte</w:t>
      </w:r>
    </w:p>
    <w:p w:rsidR="002A21B8" w:rsidRDefault="0058527C" w:rsidP="0056777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6822E9">
        <w:rPr>
          <w:rFonts w:ascii="Verdana" w:hAnsi="Verdana"/>
          <w:sz w:val="20"/>
          <w:szCs w:val="20"/>
        </w:rPr>
        <w:t xml:space="preserve">Para </w:t>
      </w:r>
      <w:r w:rsidR="00567772" w:rsidRPr="006822E9">
        <w:rPr>
          <w:rFonts w:ascii="Verdana" w:hAnsi="Verdana"/>
          <w:sz w:val="20"/>
          <w:szCs w:val="20"/>
        </w:rPr>
        <w:t>pronunciarse sobre el cumplimiento de esta medida de reparación, la Corte analizará si</w:t>
      </w:r>
      <w:r w:rsidR="005B481C" w:rsidRPr="006822E9">
        <w:rPr>
          <w:rFonts w:ascii="Verdana" w:hAnsi="Verdana"/>
          <w:sz w:val="20"/>
          <w:szCs w:val="20"/>
        </w:rPr>
        <w:t xml:space="preserve">, según </w:t>
      </w:r>
      <w:r w:rsidR="00AC3415">
        <w:rPr>
          <w:rFonts w:ascii="Verdana" w:hAnsi="Verdana"/>
          <w:sz w:val="20"/>
          <w:szCs w:val="20"/>
        </w:rPr>
        <w:t>alega</w:t>
      </w:r>
      <w:r w:rsidR="00AC3415" w:rsidRPr="006822E9">
        <w:rPr>
          <w:rFonts w:ascii="Verdana" w:hAnsi="Verdana"/>
          <w:sz w:val="20"/>
          <w:szCs w:val="20"/>
        </w:rPr>
        <w:t xml:space="preserve"> </w:t>
      </w:r>
      <w:r w:rsidR="005B481C" w:rsidRPr="006822E9">
        <w:rPr>
          <w:rFonts w:ascii="Verdana" w:hAnsi="Verdana"/>
          <w:sz w:val="20"/>
          <w:szCs w:val="20"/>
        </w:rPr>
        <w:t>el Estado (</w:t>
      </w:r>
      <w:r w:rsidR="005B481C" w:rsidRPr="006822E9">
        <w:rPr>
          <w:rFonts w:ascii="Verdana" w:hAnsi="Verdana"/>
          <w:i/>
          <w:sz w:val="20"/>
          <w:szCs w:val="20"/>
        </w:rPr>
        <w:t>supra</w:t>
      </w:r>
      <w:r w:rsidR="005B481C" w:rsidRPr="006822E9">
        <w:rPr>
          <w:rFonts w:ascii="Verdana" w:hAnsi="Verdana"/>
          <w:sz w:val="20"/>
          <w:szCs w:val="20"/>
        </w:rPr>
        <w:t xml:space="preserve"> Considerando 25), </w:t>
      </w:r>
      <w:r w:rsidR="00567772" w:rsidRPr="006822E9">
        <w:rPr>
          <w:rFonts w:ascii="Verdana" w:hAnsi="Verdana"/>
          <w:sz w:val="20"/>
          <w:szCs w:val="20"/>
        </w:rPr>
        <w:t xml:space="preserve">el recurso de revisión </w:t>
      </w:r>
      <w:r w:rsidR="009261B9">
        <w:rPr>
          <w:rFonts w:ascii="Verdana" w:hAnsi="Verdana"/>
          <w:sz w:val="20"/>
          <w:szCs w:val="20"/>
        </w:rPr>
        <w:t xml:space="preserve">penal </w:t>
      </w:r>
      <w:r w:rsidR="00251822" w:rsidRPr="006822E9">
        <w:rPr>
          <w:rFonts w:ascii="Verdana" w:hAnsi="Verdana"/>
          <w:sz w:val="20"/>
          <w:szCs w:val="20"/>
        </w:rPr>
        <w:t>constituy</w:t>
      </w:r>
      <w:r w:rsidR="00251822">
        <w:rPr>
          <w:rFonts w:ascii="Verdana" w:hAnsi="Verdana"/>
          <w:sz w:val="20"/>
          <w:szCs w:val="20"/>
        </w:rPr>
        <w:t>ó</w:t>
      </w:r>
      <w:r w:rsidR="00251822" w:rsidRPr="006822E9">
        <w:rPr>
          <w:rFonts w:ascii="Verdana" w:hAnsi="Verdana"/>
          <w:sz w:val="20"/>
          <w:szCs w:val="20"/>
        </w:rPr>
        <w:t xml:space="preserve"> </w:t>
      </w:r>
      <w:r w:rsidR="00567772" w:rsidRPr="006822E9">
        <w:rPr>
          <w:rFonts w:ascii="Verdana" w:hAnsi="Verdana"/>
          <w:sz w:val="20"/>
          <w:szCs w:val="20"/>
        </w:rPr>
        <w:t xml:space="preserve">un mecanismo efectivo para las víctimas del caso concreto </w:t>
      </w:r>
      <w:r w:rsidR="00251822">
        <w:rPr>
          <w:rFonts w:ascii="Verdana" w:hAnsi="Verdana"/>
          <w:sz w:val="20"/>
          <w:szCs w:val="20"/>
        </w:rPr>
        <w:t xml:space="preserve">así </w:t>
      </w:r>
      <w:r w:rsidR="00567772" w:rsidRPr="006822E9">
        <w:rPr>
          <w:rFonts w:ascii="Verdana" w:hAnsi="Verdana"/>
          <w:sz w:val="20"/>
          <w:szCs w:val="20"/>
        </w:rPr>
        <w:t xml:space="preserve">como </w:t>
      </w:r>
      <w:r w:rsidR="00251822">
        <w:rPr>
          <w:rFonts w:ascii="Verdana" w:hAnsi="Verdana"/>
          <w:sz w:val="20"/>
          <w:szCs w:val="20"/>
        </w:rPr>
        <w:t xml:space="preserve">si lo constituye </w:t>
      </w:r>
      <w:r w:rsidR="005B481C" w:rsidRPr="006822E9">
        <w:rPr>
          <w:rFonts w:ascii="Verdana" w:hAnsi="Verdana"/>
          <w:sz w:val="20"/>
          <w:szCs w:val="20"/>
        </w:rPr>
        <w:t xml:space="preserve">en lo que respecta a </w:t>
      </w:r>
      <w:r w:rsidR="00567772" w:rsidRPr="006822E9">
        <w:rPr>
          <w:rFonts w:ascii="Verdana" w:hAnsi="Verdana"/>
          <w:sz w:val="20"/>
          <w:szCs w:val="20"/>
        </w:rPr>
        <w:t>la garantía de no repetición. Con ese fin</w:t>
      </w:r>
      <w:r w:rsidR="00423A14" w:rsidRPr="006822E9">
        <w:rPr>
          <w:rFonts w:ascii="Verdana" w:hAnsi="Verdana"/>
          <w:sz w:val="20"/>
          <w:szCs w:val="20"/>
        </w:rPr>
        <w:t>,</w:t>
      </w:r>
      <w:r w:rsidR="00567772" w:rsidRPr="006822E9">
        <w:rPr>
          <w:rFonts w:ascii="Verdana" w:hAnsi="Verdana"/>
          <w:sz w:val="20"/>
          <w:szCs w:val="20"/>
        </w:rPr>
        <w:t xml:space="preserve"> este Tribunal evaluará la decisión emitida </w:t>
      </w:r>
      <w:r w:rsidR="00AC3415">
        <w:rPr>
          <w:rFonts w:ascii="Verdana" w:hAnsi="Verdana"/>
          <w:sz w:val="20"/>
          <w:szCs w:val="20"/>
        </w:rPr>
        <w:t>el 3 de</w:t>
      </w:r>
      <w:r w:rsidR="00AC3415" w:rsidRPr="006822E9">
        <w:rPr>
          <w:rFonts w:ascii="Verdana" w:hAnsi="Verdana"/>
          <w:sz w:val="20"/>
          <w:szCs w:val="20"/>
        </w:rPr>
        <w:t xml:space="preserve"> </w:t>
      </w:r>
      <w:r w:rsidR="00E1113B" w:rsidRPr="006822E9">
        <w:rPr>
          <w:rFonts w:ascii="Verdana" w:hAnsi="Verdana"/>
          <w:sz w:val="20"/>
          <w:szCs w:val="20"/>
        </w:rPr>
        <w:t>octubre de 2016 por la</w:t>
      </w:r>
      <w:r w:rsidR="00655134" w:rsidRPr="006822E9">
        <w:rPr>
          <w:rFonts w:ascii="Verdana" w:hAnsi="Verdana"/>
          <w:sz w:val="20"/>
          <w:szCs w:val="20"/>
        </w:rPr>
        <w:t xml:space="preserve"> Segunda </w:t>
      </w:r>
      <w:r w:rsidR="00AC3415" w:rsidRPr="006822E9">
        <w:rPr>
          <w:rFonts w:ascii="Verdana" w:hAnsi="Verdana"/>
          <w:sz w:val="20"/>
          <w:szCs w:val="20"/>
        </w:rPr>
        <w:t xml:space="preserve">Sala </w:t>
      </w:r>
      <w:r w:rsidR="00655134" w:rsidRPr="006822E9">
        <w:rPr>
          <w:rFonts w:ascii="Verdana" w:hAnsi="Verdana"/>
          <w:sz w:val="20"/>
          <w:szCs w:val="20"/>
        </w:rPr>
        <w:t>de la</w:t>
      </w:r>
      <w:r w:rsidR="00E1113B" w:rsidRPr="006822E9">
        <w:rPr>
          <w:rFonts w:ascii="Verdana" w:hAnsi="Verdana"/>
          <w:sz w:val="20"/>
          <w:szCs w:val="20"/>
        </w:rPr>
        <w:t xml:space="preserve"> Corte Suprema</w:t>
      </w:r>
      <w:r w:rsidR="00567772" w:rsidRPr="006822E9">
        <w:rPr>
          <w:rFonts w:ascii="Verdana" w:hAnsi="Verdana"/>
          <w:sz w:val="20"/>
          <w:szCs w:val="20"/>
        </w:rPr>
        <w:t xml:space="preserve"> de Chile </w:t>
      </w:r>
      <w:r w:rsidR="00F73569" w:rsidRPr="006822E9">
        <w:rPr>
          <w:rFonts w:ascii="Verdana" w:hAnsi="Verdana"/>
          <w:sz w:val="20"/>
          <w:szCs w:val="20"/>
        </w:rPr>
        <w:t>al resolver el recurso de revisión que le fue interpuesto</w:t>
      </w:r>
      <w:r w:rsidR="00567772" w:rsidRPr="006822E9">
        <w:rPr>
          <w:rFonts w:ascii="Verdana" w:hAnsi="Verdana"/>
          <w:sz w:val="20"/>
          <w:szCs w:val="20"/>
        </w:rPr>
        <w:t>.</w:t>
      </w:r>
      <w:r w:rsidR="00E1113B" w:rsidRPr="006822E9">
        <w:rPr>
          <w:rFonts w:ascii="Verdana" w:hAnsi="Verdana"/>
          <w:sz w:val="20"/>
          <w:szCs w:val="20"/>
        </w:rPr>
        <w:t xml:space="preserve"> </w:t>
      </w:r>
    </w:p>
    <w:p w:rsidR="00D50356" w:rsidRPr="002A21B8" w:rsidRDefault="005B481C" w:rsidP="002A21B8">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6822E9">
        <w:rPr>
          <w:rFonts w:ascii="Verdana" w:hAnsi="Verdana"/>
          <w:sz w:val="20"/>
          <w:szCs w:val="20"/>
        </w:rPr>
        <w:t xml:space="preserve">La Corte recuerda que en la Sentencia </w:t>
      </w:r>
      <w:r w:rsidR="00F20494">
        <w:rPr>
          <w:rFonts w:ascii="Verdana" w:hAnsi="Verdana"/>
          <w:sz w:val="20"/>
          <w:szCs w:val="20"/>
        </w:rPr>
        <w:t xml:space="preserve">se </w:t>
      </w:r>
      <w:r w:rsidRPr="006822E9">
        <w:rPr>
          <w:rFonts w:ascii="Verdana" w:hAnsi="Verdana"/>
          <w:sz w:val="20"/>
          <w:szCs w:val="20"/>
        </w:rPr>
        <w:t xml:space="preserve">constató que dicho recurso de revisión </w:t>
      </w:r>
      <w:r w:rsidR="00423A14" w:rsidRPr="006822E9">
        <w:rPr>
          <w:rFonts w:ascii="Verdana" w:hAnsi="Verdana"/>
          <w:sz w:val="20"/>
          <w:szCs w:val="20"/>
        </w:rPr>
        <w:t>no había sido un recuso adecuado y efectivo que permitiera a las personas condenadas por Consejos de Guerra revisar tales sentencias</w:t>
      </w:r>
      <w:r w:rsidR="00423A14" w:rsidRPr="006822E9">
        <w:rPr>
          <w:rStyle w:val="FootnoteReference"/>
          <w:rFonts w:ascii="Verdana" w:hAnsi="Verdana"/>
          <w:sz w:val="20"/>
          <w:szCs w:val="20"/>
        </w:rPr>
        <w:footnoteReference w:id="35"/>
      </w:r>
      <w:r w:rsidR="00423A14" w:rsidRPr="006822E9">
        <w:rPr>
          <w:rFonts w:ascii="Verdana" w:hAnsi="Verdana"/>
          <w:sz w:val="20"/>
          <w:szCs w:val="20"/>
        </w:rPr>
        <w:t>, por lo cual este Tribunal tiene que estudiar si durante la etapa de supervisión de cumplimiento se configuró algún cambio en la efectividad de ese recurso.</w:t>
      </w:r>
      <w:r w:rsidR="002A21B8">
        <w:rPr>
          <w:rFonts w:ascii="Verdana" w:hAnsi="Verdana"/>
          <w:sz w:val="20"/>
          <w:szCs w:val="20"/>
        </w:rPr>
        <w:t xml:space="preserve"> </w:t>
      </w:r>
      <w:r w:rsidR="00B80D49" w:rsidRPr="002A21B8">
        <w:rPr>
          <w:rFonts w:ascii="Verdana" w:hAnsi="Verdana"/>
          <w:sz w:val="20"/>
          <w:szCs w:val="20"/>
        </w:rPr>
        <w:t>Al respecto, es relevante tener presente que e</w:t>
      </w:r>
      <w:r w:rsidR="00D50356" w:rsidRPr="002A21B8">
        <w:rPr>
          <w:rFonts w:ascii="Verdana" w:hAnsi="Verdana"/>
          <w:sz w:val="20"/>
          <w:szCs w:val="20"/>
        </w:rPr>
        <w:t xml:space="preserve">n la Sentencia se hizo constar que </w:t>
      </w:r>
      <w:r w:rsidR="00291B0A">
        <w:rPr>
          <w:rFonts w:ascii="Verdana" w:hAnsi="Verdana"/>
          <w:sz w:val="20"/>
          <w:szCs w:val="20"/>
        </w:rPr>
        <w:t>“</w:t>
      </w:r>
      <w:r w:rsidR="00D50356" w:rsidRPr="002A21B8">
        <w:rPr>
          <w:rFonts w:ascii="Verdana" w:hAnsi="Verdana"/>
          <w:sz w:val="20"/>
          <w:szCs w:val="20"/>
        </w:rPr>
        <w:t>e</w:t>
      </w:r>
      <w:r w:rsidR="00423A14" w:rsidRPr="002A21B8">
        <w:rPr>
          <w:rFonts w:ascii="Verdana" w:hAnsi="Verdana"/>
          <w:sz w:val="20"/>
          <w:szCs w:val="20"/>
        </w:rPr>
        <w:t xml:space="preserve">n el año 2001 las </w:t>
      </w:r>
      <w:r w:rsidR="00291B0A">
        <w:rPr>
          <w:rFonts w:ascii="Verdana" w:hAnsi="Verdana"/>
          <w:sz w:val="20"/>
          <w:szCs w:val="20"/>
        </w:rPr>
        <w:t xml:space="preserve">[…] </w:t>
      </w:r>
      <w:r w:rsidR="00423A14" w:rsidRPr="002A21B8">
        <w:rPr>
          <w:rFonts w:ascii="Verdana" w:hAnsi="Verdana"/>
          <w:sz w:val="20"/>
          <w:szCs w:val="20"/>
        </w:rPr>
        <w:t>víctimas interpusieron un recurso de revisión ante la Corte Suprema de Chile solicitando la revisión</w:t>
      </w:r>
      <w:r w:rsidR="00291B0A">
        <w:rPr>
          <w:rFonts w:ascii="Verdana" w:hAnsi="Verdana"/>
          <w:sz w:val="20"/>
          <w:szCs w:val="20"/>
        </w:rPr>
        <w:t>,</w:t>
      </w:r>
      <w:r w:rsidR="00423A14" w:rsidRPr="002A21B8">
        <w:rPr>
          <w:rFonts w:ascii="Verdana" w:hAnsi="Verdana"/>
          <w:sz w:val="20"/>
          <w:szCs w:val="20"/>
        </w:rPr>
        <w:t xml:space="preserve"> y </w:t>
      </w:r>
      <w:r w:rsidR="00291B0A">
        <w:rPr>
          <w:rFonts w:ascii="Verdana" w:hAnsi="Verdana"/>
          <w:sz w:val="20"/>
          <w:szCs w:val="20"/>
        </w:rPr>
        <w:t xml:space="preserve">en subsidio la declaración de </w:t>
      </w:r>
      <w:r w:rsidR="00423A14" w:rsidRPr="002A21B8">
        <w:rPr>
          <w:rFonts w:ascii="Verdana" w:hAnsi="Verdana"/>
          <w:sz w:val="20"/>
          <w:szCs w:val="20"/>
        </w:rPr>
        <w:t>nulidad</w:t>
      </w:r>
      <w:r w:rsidR="00291B0A">
        <w:rPr>
          <w:rFonts w:ascii="Verdana" w:hAnsi="Verdana"/>
          <w:sz w:val="20"/>
          <w:szCs w:val="20"/>
        </w:rPr>
        <w:t>,</w:t>
      </w:r>
      <w:r w:rsidR="00423A14" w:rsidRPr="002A21B8">
        <w:rPr>
          <w:rFonts w:ascii="Verdana" w:hAnsi="Verdana"/>
          <w:sz w:val="20"/>
          <w:szCs w:val="20"/>
        </w:rPr>
        <w:t xml:space="preserve"> de las sentencias emitidas </w:t>
      </w:r>
      <w:r w:rsidR="00291B0A">
        <w:rPr>
          <w:rFonts w:ascii="Verdana" w:hAnsi="Verdana"/>
          <w:sz w:val="20"/>
          <w:szCs w:val="20"/>
        </w:rPr>
        <w:t>[</w:t>
      </w:r>
      <w:r w:rsidR="00423A14" w:rsidRPr="002A21B8">
        <w:rPr>
          <w:rFonts w:ascii="Verdana" w:hAnsi="Verdana"/>
          <w:sz w:val="20"/>
          <w:szCs w:val="20"/>
        </w:rPr>
        <w:t>en su contra</w:t>
      </w:r>
      <w:r w:rsidR="00291B0A">
        <w:rPr>
          <w:rFonts w:ascii="Verdana" w:hAnsi="Verdana"/>
          <w:sz w:val="20"/>
          <w:szCs w:val="20"/>
        </w:rPr>
        <w:t>] en la causa Rol 1-73”</w:t>
      </w:r>
      <w:r w:rsidR="00423A14" w:rsidRPr="002A21B8">
        <w:rPr>
          <w:rFonts w:ascii="Verdana" w:hAnsi="Verdana"/>
          <w:sz w:val="20"/>
          <w:szCs w:val="20"/>
        </w:rPr>
        <w:t xml:space="preserve"> por los Consejos de Guerra</w:t>
      </w:r>
      <w:r w:rsidR="00291B0A">
        <w:rPr>
          <w:rFonts w:ascii="Verdana" w:hAnsi="Verdana"/>
          <w:sz w:val="20"/>
          <w:szCs w:val="20"/>
        </w:rPr>
        <w:t>. Este recurso fue interpuesto</w:t>
      </w:r>
      <w:r w:rsidR="00CE4D7F" w:rsidRPr="002A21B8">
        <w:rPr>
          <w:rFonts w:ascii="Verdana" w:hAnsi="Verdana"/>
          <w:sz w:val="20"/>
          <w:szCs w:val="20"/>
        </w:rPr>
        <w:t xml:space="preserve"> con base en lo dispuesto en el artículo 657 del Código de Procedimiento Penal chileno</w:t>
      </w:r>
      <w:r w:rsidR="00B80D49" w:rsidRPr="002A21B8">
        <w:rPr>
          <w:rFonts w:ascii="Verdana" w:hAnsi="Verdana"/>
          <w:sz w:val="20"/>
          <w:szCs w:val="20"/>
        </w:rPr>
        <w:t xml:space="preserve"> (</w:t>
      </w:r>
      <w:r w:rsidR="00B80D49" w:rsidRPr="002A21B8">
        <w:rPr>
          <w:rFonts w:ascii="Verdana" w:hAnsi="Verdana"/>
          <w:i/>
          <w:sz w:val="20"/>
          <w:szCs w:val="20"/>
        </w:rPr>
        <w:t>infra</w:t>
      </w:r>
      <w:r w:rsidR="00B80D49" w:rsidRPr="002A21B8">
        <w:rPr>
          <w:rFonts w:ascii="Verdana" w:hAnsi="Verdana"/>
          <w:sz w:val="20"/>
          <w:szCs w:val="20"/>
        </w:rPr>
        <w:t xml:space="preserve"> Considerando </w:t>
      </w:r>
      <w:r w:rsidR="000931A9" w:rsidRPr="002A21B8">
        <w:rPr>
          <w:rFonts w:ascii="Verdana" w:hAnsi="Verdana"/>
          <w:sz w:val="20"/>
          <w:szCs w:val="20"/>
        </w:rPr>
        <w:t>29</w:t>
      </w:r>
      <w:r w:rsidR="00B80D49" w:rsidRPr="002A21B8">
        <w:rPr>
          <w:rFonts w:ascii="Verdana" w:hAnsi="Verdana"/>
          <w:sz w:val="20"/>
          <w:szCs w:val="20"/>
        </w:rPr>
        <w:t>)</w:t>
      </w:r>
      <w:r w:rsidR="00D50356" w:rsidRPr="006822E9">
        <w:rPr>
          <w:rStyle w:val="FootnoteReference"/>
          <w:rFonts w:ascii="Verdana" w:hAnsi="Verdana"/>
          <w:sz w:val="20"/>
          <w:szCs w:val="20"/>
        </w:rPr>
        <w:footnoteReference w:id="36"/>
      </w:r>
      <w:r w:rsidR="00423A14" w:rsidRPr="002A21B8">
        <w:rPr>
          <w:rFonts w:ascii="Verdana" w:hAnsi="Verdana"/>
          <w:sz w:val="20"/>
          <w:szCs w:val="20"/>
        </w:rPr>
        <w:t xml:space="preserve">. </w:t>
      </w:r>
      <w:r w:rsidR="00291B0A">
        <w:rPr>
          <w:rFonts w:ascii="Verdana" w:hAnsi="Verdana"/>
          <w:sz w:val="20"/>
          <w:szCs w:val="20"/>
        </w:rPr>
        <w:t>F</w:t>
      </w:r>
      <w:r w:rsidR="00423A14" w:rsidRPr="002A21B8">
        <w:rPr>
          <w:rFonts w:ascii="Verdana" w:hAnsi="Verdana"/>
          <w:sz w:val="20"/>
          <w:szCs w:val="20"/>
        </w:rPr>
        <w:t>ue declarado inadmisible porque la Corte Suprema interpretó que</w:t>
      </w:r>
      <w:r w:rsidR="00D50356" w:rsidRPr="002A21B8">
        <w:rPr>
          <w:rFonts w:ascii="Verdana" w:hAnsi="Verdana"/>
          <w:sz w:val="20"/>
          <w:szCs w:val="20"/>
        </w:rPr>
        <w:t xml:space="preserve"> no tenía competencia para revisar sentencias emitidas en tiempos de guerra</w:t>
      </w:r>
      <w:r w:rsidR="00D50356" w:rsidRPr="006822E9">
        <w:rPr>
          <w:rStyle w:val="FootnoteReference"/>
          <w:rFonts w:ascii="Verdana" w:hAnsi="Verdana"/>
          <w:sz w:val="20"/>
          <w:szCs w:val="20"/>
        </w:rPr>
        <w:footnoteReference w:id="37"/>
      </w:r>
      <w:r w:rsidR="00D50356" w:rsidRPr="002A21B8">
        <w:rPr>
          <w:rFonts w:ascii="Verdana" w:hAnsi="Verdana"/>
          <w:sz w:val="20"/>
          <w:szCs w:val="20"/>
        </w:rPr>
        <w:t>.</w:t>
      </w:r>
      <w:r w:rsidR="00423A14" w:rsidRPr="002A21B8">
        <w:rPr>
          <w:rFonts w:ascii="Verdana" w:hAnsi="Verdana"/>
          <w:sz w:val="20"/>
          <w:szCs w:val="20"/>
        </w:rPr>
        <w:t xml:space="preserve"> </w:t>
      </w:r>
      <w:r w:rsidR="00D50356" w:rsidRPr="002A21B8">
        <w:rPr>
          <w:rFonts w:ascii="Verdana" w:hAnsi="Verdana"/>
          <w:sz w:val="20"/>
          <w:szCs w:val="20"/>
        </w:rPr>
        <w:t xml:space="preserve">En el </w:t>
      </w:r>
      <w:r w:rsidR="00B80D49" w:rsidRPr="002A21B8">
        <w:rPr>
          <w:rFonts w:ascii="Verdana" w:hAnsi="Verdana"/>
          <w:sz w:val="20"/>
          <w:szCs w:val="20"/>
        </w:rPr>
        <w:t xml:space="preserve">año </w:t>
      </w:r>
      <w:r w:rsidR="00D50356" w:rsidRPr="002A21B8">
        <w:rPr>
          <w:rFonts w:ascii="Verdana" w:hAnsi="Verdana"/>
          <w:sz w:val="20"/>
          <w:szCs w:val="20"/>
        </w:rPr>
        <w:t xml:space="preserve">2005 </w:t>
      </w:r>
      <w:r w:rsidR="00291B0A">
        <w:rPr>
          <w:rFonts w:ascii="Verdana" w:hAnsi="Verdana"/>
          <w:sz w:val="20"/>
          <w:szCs w:val="20"/>
        </w:rPr>
        <w:t>tuvo lugar</w:t>
      </w:r>
      <w:r w:rsidR="00D50356" w:rsidRPr="002A21B8">
        <w:rPr>
          <w:rFonts w:ascii="Verdana" w:hAnsi="Verdana"/>
          <w:sz w:val="20"/>
          <w:szCs w:val="20"/>
        </w:rPr>
        <w:t xml:space="preserve"> una reforma constitucional con la cual se otorgó competencia a la Corte Suprema sobre asuntos ventilados ante los Consejos de Guerra</w:t>
      </w:r>
      <w:r w:rsidR="00D50356" w:rsidRPr="006822E9">
        <w:rPr>
          <w:rStyle w:val="FootnoteReference"/>
          <w:rFonts w:ascii="Verdana" w:hAnsi="Verdana"/>
          <w:sz w:val="20"/>
          <w:szCs w:val="20"/>
        </w:rPr>
        <w:footnoteReference w:id="38"/>
      </w:r>
      <w:r w:rsidR="00D50356" w:rsidRPr="002A21B8">
        <w:rPr>
          <w:rFonts w:ascii="Verdana" w:hAnsi="Verdana"/>
          <w:sz w:val="20"/>
          <w:szCs w:val="20"/>
        </w:rPr>
        <w:t xml:space="preserve">. </w:t>
      </w:r>
      <w:r w:rsidR="00C42C65" w:rsidRPr="002A21B8">
        <w:rPr>
          <w:rFonts w:ascii="Verdana" w:hAnsi="Verdana"/>
          <w:sz w:val="20"/>
          <w:szCs w:val="20"/>
        </w:rPr>
        <w:t>En el año 2011, a pesar de la</w:t>
      </w:r>
      <w:r w:rsidR="002A4E02" w:rsidRPr="002A21B8">
        <w:rPr>
          <w:rFonts w:ascii="Verdana" w:hAnsi="Verdana"/>
          <w:sz w:val="20"/>
          <w:szCs w:val="20"/>
        </w:rPr>
        <w:t xml:space="preserve"> competencia que otorga</w:t>
      </w:r>
      <w:r w:rsidR="000931A9" w:rsidRPr="002A21B8">
        <w:rPr>
          <w:rFonts w:ascii="Verdana" w:hAnsi="Verdana"/>
          <w:sz w:val="20"/>
          <w:szCs w:val="20"/>
        </w:rPr>
        <w:t>ba</w:t>
      </w:r>
      <w:r w:rsidR="002A4E02" w:rsidRPr="002A21B8">
        <w:rPr>
          <w:rFonts w:ascii="Verdana" w:hAnsi="Verdana"/>
          <w:sz w:val="20"/>
          <w:szCs w:val="20"/>
        </w:rPr>
        <w:t xml:space="preserve"> la</w:t>
      </w:r>
      <w:r w:rsidR="00C42C65" w:rsidRPr="002A21B8">
        <w:rPr>
          <w:rFonts w:ascii="Verdana" w:hAnsi="Verdana"/>
          <w:sz w:val="20"/>
          <w:szCs w:val="20"/>
        </w:rPr>
        <w:t xml:space="preserve"> referida reforma constitucional, la Corte Suprema rechazó un recurso de revisión</w:t>
      </w:r>
      <w:r w:rsidR="000931A9" w:rsidRPr="002A21B8">
        <w:rPr>
          <w:rFonts w:ascii="Verdana" w:hAnsi="Verdana"/>
          <w:sz w:val="20"/>
          <w:szCs w:val="20"/>
        </w:rPr>
        <w:t xml:space="preserve"> interpuesto por personas</w:t>
      </w:r>
      <w:r w:rsidR="00C42C65" w:rsidRPr="002A21B8">
        <w:rPr>
          <w:rFonts w:ascii="Verdana" w:hAnsi="Verdana"/>
          <w:sz w:val="20"/>
          <w:szCs w:val="20"/>
        </w:rPr>
        <w:t xml:space="preserve"> distintas a las víctimas de este caso, que también fueron condenadas por Consejos de Guerra en la misma causa que las víctimas (causa Rol No. 1-73)</w:t>
      </w:r>
      <w:r w:rsidR="000931A9" w:rsidRPr="002A21B8">
        <w:rPr>
          <w:rFonts w:ascii="Verdana" w:hAnsi="Verdana"/>
          <w:sz w:val="20"/>
          <w:szCs w:val="20"/>
        </w:rPr>
        <w:t>. La Corte Suprema rechazó dicho recurso</w:t>
      </w:r>
      <w:r w:rsidR="002A4E02" w:rsidRPr="002A21B8">
        <w:rPr>
          <w:rFonts w:ascii="Verdana" w:hAnsi="Verdana"/>
          <w:sz w:val="20"/>
          <w:szCs w:val="20"/>
        </w:rPr>
        <w:t xml:space="preserve"> al</w:t>
      </w:r>
      <w:r w:rsidR="00C42C65" w:rsidRPr="002A21B8">
        <w:rPr>
          <w:rFonts w:ascii="Verdana" w:hAnsi="Verdana"/>
          <w:sz w:val="20"/>
          <w:szCs w:val="20"/>
        </w:rPr>
        <w:t xml:space="preserve"> considerar que no se había</w:t>
      </w:r>
      <w:r w:rsidR="002A4E02" w:rsidRPr="002A21B8">
        <w:rPr>
          <w:rFonts w:ascii="Verdana" w:hAnsi="Verdana"/>
          <w:sz w:val="20"/>
          <w:szCs w:val="20"/>
        </w:rPr>
        <w:t>n</w:t>
      </w:r>
      <w:r w:rsidR="00C42C65" w:rsidRPr="002A21B8">
        <w:rPr>
          <w:rFonts w:ascii="Verdana" w:hAnsi="Verdana"/>
          <w:sz w:val="20"/>
          <w:szCs w:val="20"/>
        </w:rPr>
        <w:t xml:space="preserve"> verificado </w:t>
      </w:r>
      <w:r w:rsidR="00B47B44" w:rsidRPr="002A21B8">
        <w:rPr>
          <w:rFonts w:ascii="Verdana" w:hAnsi="Verdana"/>
          <w:sz w:val="20"/>
          <w:szCs w:val="20"/>
        </w:rPr>
        <w:t xml:space="preserve">los requisitos establecidos por el artículo 657 del Código de Procedimiento Penal que </w:t>
      </w:r>
      <w:r w:rsidR="00E37605" w:rsidRPr="002A21B8">
        <w:rPr>
          <w:rFonts w:ascii="Verdana" w:hAnsi="Verdana"/>
          <w:sz w:val="20"/>
          <w:szCs w:val="20"/>
        </w:rPr>
        <w:t>fue alegada</w:t>
      </w:r>
      <w:r w:rsidR="002A4E02" w:rsidRPr="002A21B8">
        <w:rPr>
          <w:rFonts w:ascii="Verdana" w:hAnsi="Verdana"/>
          <w:sz w:val="20"/>
          <w:szCs w:val="20"/>
        </w:rPr>
        <w:t xml:space="preserve"> </w:t>
      </w:r>
      <w:r w:rsidR="00B47B44" w:rsidRPr="002A21B8">
        <w:rPr>
          <w:rFonts w:ascii="Verdana" w:hAnsi="Verdana"/>
          <w:sz w:val="20"/>
          <w:szCs w:val="20"/>
        </w:rPr>
        <w:t>como causal de revisión</w:t>
      </w:r>
      <w:r w:rsidR="000931A9" w:rsidRPr="002A21B8">
        <w:rPr>
          <w:rFonts w:ascii="Verdana" w:hAnsi="Verdana"/>
          <w:sz w:val="20"/>
          <w:szCs w:val="20"/>
        </w:rPr>
        <w:t xml:space="preserve"> (</w:t>
      </w:r>
      <w:r w:rsidR="000931A9" w:rsidRPr="002A21B8">
        <w:rPr>
          <w:rFonts w:ascii="Verdana" w:hAnsi="Verdana"/>
          <w:i/>
          <w:sz w:val="20"/>
          <w:szCs w:val="20"/>
        </w:rPr>
        <w:t>infra</w:t>
      </w:r>
      <w:r w:rsidR="000931A9" w:rsidRPr="002A21B8">
        <w:rPr>
          <w:rFonts w:ascii="Verdana" w:hAnsi="Verdana"/>
          <w:sz w:val="20"/>
          <w:szCs w:val="20"/>
        </w:rPr>
        <w:t xml:space="preserve"> Considerando 29)</w:t>
      </w:r>
      <w:r w:rsidR="00B47B44" w:rsidRPr="006822E9">
        <w:rPr>
          <w:rStyle w:val="FootnoteReference"/>
          <w:rFonts w:ascii="Verdana" w:hAnsi="Verdana"/>
          <w:sz w:val="20"/>
          <w:szCs w:val="20"/>
        </w:rPr>
        <w:footnoteReference w:id="39"/>
      </w:r>
      <w:r w:rsidR="00B47B44" w:rsidRPr="002A21B8">
        <w:rPr>
          <w:rFonts w:ascii="Verdana" w:hAnsi="Verdana"/>
          <w:sz w:val="20"/>
          <w:szCs w:val="20"/>
        </w:rPr>
        <w:t>.</w:t>
      </w:r>
      <w:r w:rsidR="00C42C65" w:rsidRPr="002A21B8">
        <w:rPr>
          <w:rFonts w:ascii="Verdana" w:hAnsi="Verdana"/>
          <w:sz w:val="20"/>
          <w:szCs w:val="20"/>
        </w:rPr>
        <w:t xml:space="preserve"> </w:t>
      </w:r>
    </w:p>
    <w:p w:rsidR="009261B9" w:rsidRDefault="00251822" w:rsidP="0056777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sz w:val="20"/>
          <w:szCs w:val="20"/>
        </w:rPr>
        <w:t>A</w:t>
      </w:r>
      <w:r w:rsidR="000B4826" w:rsidRPr="006822E9">
        <w:rPr>
          <w:rFonts w:ascii="Verdana" w:hAnsi="Verdana"/>
          <w:sz w:val="20"/>
          <w:szCs w:val="20"/>
        </w:rPr>
        <w:t xml:space="preserve">l momento de ordenar la reparación </w:t>
      </w:r>
      <w:r w:rsidR="00500809">
        <w:rPr>
          <w:rFonts w:ascii="Verdana" w:hAnsi="Verdana"/>
          <w:sz w:val="20"/>
          <w:szCs w:val="20"/>
        </w:rPr>
        <w:t xml:space="preserve">en el 2015 </w:t>
      </w:r>
      <w:r w:rsidR="000B4826" w:rsidRPr="006822E9">
        <w:rPr>
          <w:rFonts w:ascii="Verdana" w:hAnsi="Verdana"/>
          <w:sz w:val="20"/>
          <w:szCs w:val="20"/>
        </w:rPr>
        <w:t>n</w:t>
      </w:r>
      <w:r w:rsidR="00E0105D" w:rsidRPr="006822E9">
        <w:rPr>
          <w:rFonts w:ascii="Verdana" w:hAnsi="Verdana"/>
          <w:sz w:val="20"/>
          <w:szCs w:val="20"/>
        </w:rPr>
        <w:t xml:space="preserve">o existía una norma jurídica que negara la competencia de la Corte Suprema para revisar las sentencias de los Consejos de Guerra. Asimismo, </w:t>
      </w:r>
      <w:r w:rsidR="000931A9">
        <w:rPr>
          <w:rFonts w:ascii="Verdana" w:hAnsi="Verdana"/>
          <w:sz w:val="20"/>
          <w:szCs w:val="20"/>
        </w:rPr>
        <w:t>este Tribunal</w:t>
      </w:r>
      <w:r w:rsidR="00E0105D" w:rsidRPr="006822E9">
        <w:rPr>
          <w:rFonts w:ascii="Verdana" w:hAnsi="Verdana"/>
          <w:sz w:val="20"/>
          <w:szCs w:val="20"/>
        </w:rPr>
        <w:t xml:space="preserve"> hace notar que la causal de revisión alegada en los recursos interpuestos en el 2001, 2011 (</w:t>
      </w:r>
      <w:r w:rsidR="00E0105D" w:rsidRPr="00500809">
        <w:rPr>
          <w:rFonts w:ascii="Verdana" w:hAnsi="Verdana"/>
          <w:i/>
          <w:sz w:val="20"/>
          <w:szCs w:val="20"/>
        </w:rPr>
        <w:t>supra</w:t>
      </w:r>
      <w:r w:rsidR="00E0105D" w:rsidRPr="006822E9">
        <w:rPr>
          <w:rFonts w:ascii="Verdana" w:hAnsi="Verdana"/>
          <w:sz w:val="20"/>
          <w:szCs w:val="20"/>
        </w:rPr>
        <w:t xml:space="preserve"> Considerando 28) y</w:t>
      </w:r>
      <w:r w:rsidR="00500809">
        <w:rPr>
          <w:rFonts w:ascii="Verdana" w:hAnsi="Verdana"/>
          <w:sz w:val="20"/>
          <w:szCs w:val="20"/>
        </w:rPr>
        <w:t xml:space="preserve"> en el</w:t>
      </w:r>
      <w:r w:rsidR="00E0105D" w:rsidRPr="006822E9">
        <w:rPr>
          <w:rFonts w:ascii="Verdana" w:hAnsi="Verdana"/>
          <w:sz w:val="20"/>
          <w:szCs w:val="20"/>
        </w:rPr>
        <w:t xml:space="preserve"> 2016 (</w:t>
      </w:r>
      <w:r w:rsidR="00E0105D" w:rsidRPr="006822E9">
        <w:rPr>
          <w:rFonts w:ascii="Verdana" w:hAnsi="Verdana"/>
          <w:i/>
          <w:sz w:val="20"/>
          <w:szCs w:val="20"/>
        </w:rPr>
        <w:t>infra</w:t>
      </w:r>
      <w:r w:rsidR="00E0105D" w:rsidRPr="006822E9">
        <w:rPr>
          <w:rFonts w:ascii="Verdana" w:hAnsi="Verdana"/>
          <w:sz w:val="20"/>
          <w:szCs w:val="20"/>
        </w:rPr>
        <w:t xml:space="preserve"> Considerando 32) es la misma: el inciso cuarto del artículo 657 del Código de Procedimiento Penal. Según dicha norma</w:t>
      </w:r>
      <w:r w:rsidR="000931A9">
        <w:rPr>
          <w:rFonts w:ascii="Verdana" w:hAnsi="Verdana"/>
          <w:sz w:val="20"/>
          <w:szCs w:val="20"/>
        </w:rPr>
        <w:t>,</w:t>
      </w:r>
      <w:r w:rsidR="00E0105D" w:rsidRPr="006822E9">
        <w:rPr>
          <w:rFonts w:ascii="Verdana" w:hAnsi="Verdana"/>
          <w:sz w:val="20"/>
          <w:szCs w:val="20"/>
        </w:rPr>
        <w:t xml:space="preserve"> “</w:t>
      </w:r>
      <w:r w:rsidR="00500809">
        <w:rPr>
          <w:rFonts w:ascii="Verdana" w:hAnsi="Verdana"/>
          <w:sz w:val="20"/>
          <w:szCs w:val="20"/>
        </w:rPr>
        <w:t>[</w:t>
      </w:r>
      <w:r w:rsidR="00E0105D" w:rsidRPr="006822E9">
        <w:rPr>
          <w:rFonts w:ascii="Verdana" w:hAnsi="Verdana"/>
          <w:sz w:val="20"/>
          <w:szCs w:val="20"/>
        </w:rPr>
        <w:t>l</w:t>
      </w:r>
      <w:r w:rsidR="00500809">
        <w:rPr>
          <w:rFonts w:ascii="Verdana" w:hAnsi="Verdana"/>
          <w:sz w:val="20"/>
          <w:szCs w:val="20"/>
        </w:rPr>
        <w:t>]</w:t>
      </w:r>
      <w:r w:rsidR="00E0105D" w:rsidRPr="006822E9">
        <w:rPr>
          <w:rFonts w:ascii="Verdana" w:hAnsi="Verdana"/>
          <w:sz w:val="20"/>
          <w:szCs w:val="20"/>
        </w:rPr>
        <w:t>a Corte Suprema podrá rever extraordinariamente las sentencias firmes en que se haya condenado a alguien por un crimen o simple delito, para anularla</w:t>
      </w:r>
      <w:r w:rsidR="00500809">
        <w:rPr>
          <w:rFonts w:ascii="Verdana" w:hAnsi="Verdana"/>
          <w:sz w:val="20"/>
          <w:szCs w:val="20"/>
        </w:rPr>
        <w:t>s en los casos</w:t>
      </w:r>
      <w:r w:rsidR="00500809" w:rsidRPr="00500809">
        <w:rPr>
          <w:rFonts w:ascii="Verdana" w:hAnsi="Verdana"/>
          <w:sz w:val="20"/>
          <w:szCs w:val="20"/>
        </w:rPr>
        <w:t xml:space="preserve"> </w:t>
      </w:r>
      <w:r w:rsidR="00500809">
        <w:rPr>
          <w:rFonts w:ascii="Verdana" w:hAnsi="Verdana"/>
          <w:sz w:val="20"/>
          <w:szCs w:val="20"/>
        </w:rPr>
        <w:t>siguientes:</w:t>
      </w:r>
      <w:r w:rsidR="00E0105D" w:rsidRPr="006822E9">
        <w:rPr>
          <w:rFonts w:ascii="Verdana" w:hAnsi="Verdana"/>
          <w:sz w:val="20"/>
          <w:szCs w:val="20"/>
        </w:rPr>
        <w:t xml:space="preserve"> […]</w:t>
      </w:r>
      <w:r w:rsidR="00500809">
        <w:rPr>
          <w:rFonts w:ascii="Verdana" w:hAnsi="Verdana"/>
          <w:sz w:val="20"/>
          <w:szCs w:val="20"/>
        </w:rPr>
        <w:t xml:space="preserve"> 4° C</w:t>
      </w:r>
      <w:r w:rsidR="00E0105D" w:rsidRPr="006822E9">
        <w:rPr>
          <w:rFonts w:ascii="Verdana" w:hAnsi="Verdana"/>
          <w:sz w:val="20"/>
          <w:szCs w:val="20"/>
        </w:rPr>
        <w:t>uando</w:t>
      </w:r>
      <w:r w:rsidR="00500809">
        <w:rPr>
          <w:rFonts w:ascii="Verdana" w:hAnsi="Verdana"/>
          <w:sz w:val="20"/>
          <w:szCs w:val="20"/>
        </w:rPr>
        <w:t>,</w:t>
      </w:r>
      <w:r w:rsidR="00E0105D" w:rsidRPr="006822E9">
        <w:rPr>
          <w:rFonts w:ascii="Verdana" w:hAnsi="Verdana"/>
          <w:sz w:val="20"/>
          <w:szCs w:val="20"/>
        </w:rPr>
        <w:t xml:space="preserve"> con posterioridad a la sentencia condenatoria ocurriere o se descubriere algún hecho o apareciere algún documento desconocido durante el proceso, que sean de naturaleza tal que basten para establecer la inocencia del condenado”</w:t>
      </w:r>
      <w:r w:rsidR="00500809">
        <w:rPr>
          <w:rStyle w:val="FootnoteReference"/>
          <w:rFonts w:ascii="Verdana" w:hAnsi="Verdana"/>
          <w:sz w:val="20"/>
          <w:szCs w:val="20"/>
        </w:rPr>
        <w:footnoteReference w:id="40"/>
      </w:r>
      <w:r w:rsidR="00E0105D" w:rsidRPr="006822E9">
        <w:rPr>
          <w:rFonts w:ascii="Verdana" w:hAnsi="Verdana"/>
          <w:sz w:val="20"/>
          <w:szCs w:val="20"/>
        </w:rPr>
        <w:t>.</w:t>
      </w:r>
      <w:r w:rsidR="00F73569" w:rsidRPr="006822E9">
        <w:rPr>
          <w:rFonts w:ascii="Verdana" w:hAnsi="Verdana"/>
          <w:sz w:val="20"/>
          <w:szCs w:val="20"/>
        </w:rPr>
        <w:t xml:space="preserve"> </w:t>
      </w:r>
    </w:p>
    <w:p w:rsidR="000B4826" w:rsidRPr="006822E9" w:rsidRDefault="009261B9" w:rsidP="0056777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sz w:val="20"/>
          <w:szCs w:val="20"/>
        </w:rPr>
        <w:lastRenderedPageBreak/>
        <w:t xml:space="preserve">Con base en lo anterior, </w:t>
      </w:r>
      <w:r w:rsidR="00500809">
        <w:rPr>
          <w:rFonts w:ascii="Verdana" w:hAnsi="Verdana"/>
          <w:sz w:val="20"/>
          <w:szCs w:val="20"/>
        </w:rPr>
        <w:t xml:space="preserve">se hace notar que </w:t>
      </w:r>
      <w:r>
        <w:rPr>
          <w:rFonts w:ascii="Verdana" w:hAnsi="Verdana"/>
          <w:sz w:val="20"/>
          <w:szCs w:val="20"/>
        </w:rPr>
        <w:t xml:space="preserve">desde la reforma constitucional de 2005 </w:t>
      </w:r>
      <w:r w:rsidR="00500809">
        <w:rPr>
          <w:rFonts w:ascii="Verdana" w:hAnsi="Verdana"/>
          <w:sz w:val="20"/>
          <w:szCs w:val="20"/>
        </w:rPr>
        <w:t>(</w:t>
      </w:r>
      <w:r w:rsidR="00500809" w:rsidRPr="00EF111D">
        <w:rPr>
          <w:rFonts w:ascii="Verdana" w:hAnsi="Verdana"/>
          <w:i/>
          <w:sz w:val="20"/>
          <w:szCs w:val="20"/>
        </w:rPr>
        <w:t>supra</w:t>
      </w:r>
      <w:r w:rsidR="00500809">
        <w:rPr>
          <w:rFonts w:ascii="Verdana" w:hAnsi="Verdana"/>
          <w:sz w:val="20"/>
          <w:szCs w:val="20"/>
        </w:rPr>
        <w:t xml:space="preserve"> Considerando 28) </w:t>
      </w:r>
      <w:r>
        <w:rPr>
          <w:rFonts w:ascii="Verdana" w:hAnsi="Verdana"/>
          <w:sz w:val="20"/>
          <w:szCs w:val="20"/>
        </w:rPr>
        <w:t>la Corte Suprema tiene, sin duda,</w:t>
      </w:r>
      <w:r w:rsidR="00F73569" w:rsidRPr="006822E9">
        <w:rPr>
          <w:rFonts w:ascii="Verdana" w:hAnsi="Verdana"/>
          <w:sz w:val="20"/>
          <w:szCs w:val="20"/>
        </w:rPr>
        <w:t xml:space="preserve"> competencia para resolver los recursos de revisión relativos a sentencias </w:t>
      </w:r>
      <w:r w:rsidR="00500809">
        <w:rPr>
          <w:rFonts w:ascii="Verdana" w:hAnsi="Verdana"/>
          <w:sz w:val="20"/>
          <w:szCs w:val="20"/>
        </w:rPr>
        <w:t>emitidas por</w:t>
      </w:r>
      <w:r w:rsidR="00500809" w:rsidRPr="006822E9">
        <w:rPr>
          <w:rFonts w:ascii="Verdana" w:hAnsi="Verdana"/>
          <w:sz w:val="20"/>
          <w:szCs w:val="20"/>
        </w:rPr>
        <w:t xml:space="preserve"> </w:t>
      </w:r>
      <w:r w:rsidR="00F73569" w:rsidRPr="006822E9">
        <w:rPr>
          <w:rFonts w:ascii="Verdana" w:hAnsi="Verdana"/>
          <w:sz w:val="20"/>
          <w:szCs w:val="20"/>
        </w:rPr>
        <w:t>Consejos de Guerra, y hasta el momento no ha habido reformas normativas en cuanto a la causal de revisión utilizada, por lo cual el recurso de revisión podría constituir un mecanismo adecuado para dar cumplimiento a la reparación ordenada dependiendo de cómo se interprete la causal de revisión.</w:t>
      </w:r>
      <w:r>
        <w:rPr>
          <w:rFonts w:ascii="Verdana" w:hAnsi="Verdana"/>
          <w:sz w:val="20"/>
          <w:szCs w:val="20"/>
        </w:rPr>
        <w:t xml:space="preserve"> Por ello, en la presente resolución se analizará la efectividad del recurso de revisión penal planteado a través de dicha causal, con posterioridad a la Sentencia de la Corte Interamericana.</w:t>
      </w:r>
    </w:p>
    <w:p w:rsidR="002A4E02" w:rsidRPr="006822E9" w:rsidRDefault="00F73569" w:rsidP="0056777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6822E9">
        <w:rPr>
          <w:rFonts w:ascii="Verdana" w:hAnsi="Verdana"/>
          <w:sz w:val="20"/>
          <w:szCs w:val="20"/>
        </w:rPr>
        <w:t>Además, este Tribunal recuerda que</w:t>
      </w:r>
      <w:r w:rsidR="00251822">
        <w:rPr>
          <w:rFonts w:ascii="Verdana" w:hAnsi="Verdana"/>
          <w:sz w:val="20"/>
          <w:szCs w:val="20"/>
        </w:rPr>
        <w:t xml:space="preserve"> por</w:t>
      </w:r>
      <w:r w:rsidRPr="006822E9">
        <w:rPr>
          <w:rFonts w:ascii="Verdana" w:hAnsi="Verdana"/>
          <w:sz w:val="20"/>
          <w:szCs w:val="20"/>
        </w:rPr>
        <w:t xml:space="preserve"> l</w:t>
      </w:r>
      <w:r w:rsidR="002A4E02" w:rsidRPr="006822E9">
        <w:rPr>
          <w:rFonts w:ascii="Verdana" w:hAnsi="Verdana"/>
          <w:sz w:val="20"/>
          <w:szCs w:val="20"/>
        </w:rPr>
        <w:t>a forma en cómo fue ordenada la medida de reparación (</w:t>
      </w:r>
      <w:r w:rsidR="002A4E02" w:rsidRPr="006822E9">
        <w:rPr>
          <w:rFonts w:ascii="Verdana" w:hAnsi="Verdana"/>
          <w:i/>
          <w:sz w:val="20"/>
          <w:szCs w:val="20"/>
        </w:rPr>
        <w:t>supra</w:t>
      </w:r>
      <w:r w:rsidR="002A4E02" w:rsidRPr="006822E9">
        <w:rPr>
          <w:rFonts w:ascii="Verdana" w:hAnsi="Verdana"/>
          <w:sz w:val="20"/>
          <w:szCs w:val="20"/>
        </w:rPr>
        <w:t xml:space="preserve"> Considerando 23) no </w:t>
      </w:r>
      <w:r w:rsidR="00251822">
        <w:rPr>
          <w:rFonts w:ascii="Verdana" w:hAnsi="Verdana"/>
          <w:sz w:val="20"/>
          <w:szCs w:val="20"/>
        </w:rPr>
        <w:t xml:space="preserve">se </w:t>
      </w:r>
      <w:r w:rsidR="002A4E02" w:rsidRPr="006822E9">
        <w:rPr>
          <w:rFonts w:ascii="Verdana" w:hAnsi="Verdana"/>
          <w:sz w:val="20"/>
          <w:szCs w:val="20"/>
        </w:rPr>
        <w:t>requería que el Estado implementara necesariamente un cambio normativo, pero s</w:t>
      </w:r>
      <w:r w:rsidR="00500809">
        <w:rPr>
          <w:rFonts w:ascii="Verdana" w:hAnsi="Verdana"/>
          <w:sz w:val="20"/>
          <w:szCs w:val="20"/>
        </w:rPr>
        <w:t>í</w:t>
      </w:r>
      <w:r w:rsidR="002A4E02" w:rsidRPr="006822E9">
        <w:rPr>
          <w:rFonts w:ascii="Verdana" w:hAnsi="Verdana"/>
          <w:sz w:val="20"/>
          <w:szCs w:val="20"/>
        </w:rPr>
        <w:t xml:space="preserve"> implica </w:t>
      </w:r>
      <w:r w:rsidR="000840D1">
        <w:rPr>
          <w:rFonts w:ascii="Verdana" w:hAnsi="Verdana"/>
          <w:sz w:val="20"/>
          <w:szCs w:val="20"/>
        </w:rPr>
        <w:t>que las medidas que adoptara el Estado deben garantizar</w:t>
      </w:r>
      <w:r w:rsidR="002A4E02" w:rsidRPr="006822E9">
        <w:rPr>
          <w:rFonts w:ascii="Verdana" w:hAnsi="Verdana"/>
          <w:sz w:val="20"/>
          <w:szCs w:val="20"/>
        </w:rPr>
        <w:t xml:space="preserve"> seguridad jurídica suficiente </w:t>
      </w:r>
      <w:r w:rsidR="00500809">
        <w:rPr>
          <w:rFonts w:ascii="Verdana" w:hAnsi="Verdana"/>
          <w:sz w:val="20"/>
          <w:szCs w:val="20"/>
        </w:rPr>
        <w:t>en cuanto a</w:t>
      </w:r>
      <w:r w:rsidR="00500809" w:rsidRPr="006822E9">
        <w:rPr>
          <w:rFonts w:ascii="Verdana" w:hAnsi="Verdana"/>
          <w:sz w:val="20"/>
          <w:szCs w:val="20"/>
        </w:rPr>
        <w:t xml:space="preserve"> </w:t>
      </w:r>
      <w:r w:rsidR="002A4E02" w:rsidRPr="006822E9">
        <w:rPr>
          <w:rFonts w:ascii="Verdana" w:hAnsi="Verdana"/>
          <w:sz w:val="20"/>
          <w:szCs w:val="20"/>
        </w:rPr>
        <w:t xml:space="preserve">que el mecanismo brindado a las víctimas y a otras personas condenadas por Consejos de Guerra es efectivo para revisar sus condenas. </w:t>
      </w:r>
    </w:p>
    <w:p w:rsidR="0058527C" w:rsidRPr="006822E9" w:rsidRDefault="006822E9" w:rsidP="0056777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6822E9">
        <w:rPr>
          <w:rFonts w:ascii="Verdana" w:hAnsi="Verdana"/>
          <w:sz w:val="20"/>
          <w:szCs w:val="20"/>
        </w:rPr>
        <w:t>En el análisis del cumplimiento de esta medida</w:t>
      </w:r>
      <w:r w:rsidR="000840D1">
        <w:rPr>
          <w:rFonts w:ascii="Verdana" w:hAnsi="Verdana"/>
          <w:sz w:val="20"/>
          <w:szCs w:val="20"/>
        </w:rPr>
        <w:t xml:space="preserve"> de reparación</w:t>
      </w:r>
      <w:r w:rsidRPr="006822E9">
        <w:rPr>
          <w:rFonts w:ascii="Verdana" w:hAnsi="Verdana"/>
          <w:sz w:val="20"/>
          <w:szCs w:val="20"/>
        </w:rPr>
        <w:t xml:space="preserve"> la Corte tendrá </w:t>
      </w:r>
      <w:r w:rsidR="0058527C" w:rsidRPr="006822E9">
        <w:rPr>
          <w:rFonts w:ascii="Verdana" w:hAnsi="Verdana"/>
          <w:sz w:val="20"/>
          <w:szCs w:val="20"/>
        </w:rPr>
        <w:t>en cuenta</w:t>
      </w:r>
      <w:r w:rsidRPr="006822E9">
        <w:rPr>
          <w:rFonts w:ascii="Verdana" w:hAnsi="Verdana"/>
          <w:sz w:val="20"/>
          <w:szCs w:val="20"/>
        </w:rPr>
        <w:t>:</w:t>
      </w:r>
      <w:r w:rsidR="0058527C" w:rsidRPr="006822E9">
        <w:rPr>
          <w:rFonts w:ascii="Verdana" w:hAnsi="Verdana"/>
          <w:sz w:val="20"/>
          <w:szCs w:val="20"/>
        </w:rPr>
        <w:t xml:space="preserve"> </w:t>
      </w:r>
      <w:r w:rsidRPr="006822E9">
        <w:rPr>
          <w:rFonts w:ascii="Verdana" w:hAnsi="Verdana"/>
          <w:sz w:val="20"/>
          <w:szCs w:val="20"/>
        </w:rPr>
        <w:t xml:space="preserve">lo expuesto </w:t>
      </w:r>
      <w:r w:rsidR="00EF111D" w:rsidRPr="004C1F8E">
        <w:rPr>
          <w:rFonts w:ascii="Verdana" w:hAnsi="Verdana"/>
          <w:i/>
          <w:sz w:val="20"/>
          <w:szCs w:val="20"/>
        </w:rPr>
        <w:t>supra</w:t>
      </w:r>
      <w:r w:rsidR="00EF111D">
        <w:rPr>
          <w:rFonts w:ascii="Verdana" w:hAnsi="Verdana"/>
          <w:sz w:val="20"/>
          <w:szCs w:val="20"/>
        </w:rPr>
        <w:t xml:space="preserve"> </w:t>
      </w:r>
      <w:r w:rsidRPr="006822E9">
        <w:rPr>
          <w:rFonts w:ascii="Verdana" w:hAnsi="Verdana"/>
          <w:sz w:val="20"/>
          <w:szCs w:val="20"/>
        </w:rPr>
        <w:t xml:space="preserve">en los Considerandos </w:t>
      </w:r>
      <w:r w:rsidR="00EF111D">
        <w:rPr>
          <w:rFonts w:ascii="Verdana" w:hAnsi="Verdana"/>
          <w:sz w:val="20"/>
          <w:szCs w:val="20"/>
        </w:rPr>
        <w:t>28 a 30</w:t>
      </w:r>
      <w:r w:rsidRPr="006822E9">
        <w:rPr>
          <w:rFonts w:ascii="Verdana" w:hAnsi="Verdana"/>
          <w:sz w:val="20"/>
          <w:szCs w:val="20"/>
        </w:rPr>
        <w:t>, el contenido de la decisión de octubre de 2016 de</w:t>
      </w:r>
      <w:r w:rsidR="008F2E3B" w:rsidRPr="006822E9">
        <w:rPr>
          <w:rFonts w:ascii="Verdana" w:hAnsi="Verdana"/>
          <w:sz w:val="20"/>
          <w:szCs w:val="20"/>
        </w:rPr>
        <w:t xml:space="preserve"> la Segunda </w:t>
      </w:r>
      <w:r w:rsidR="00EF111D" w:rsidRPr="006822E9">
        <w:rPr>
          <w:rFonts w:ascii="Verdana" w:hAnsi="Verdana"/>
          <w:sz w:val="20"/>
          <w:szCs w:val="20"/>
        </w:rPr>
        <w:t xml:space="preserve">Sala </w:t>
      </w:r>
      <w:r w:rsidR="008F2E3B" w:rsidRPr="006822E9">
        <w:rPr>
          <w:rFonts w:ascii="Verdana" w:hAnsi="Verdana"/>
          <w:sz w:val="20"/>
          <w:szCs w:val="20"/>
        </w:rPr>
        <w:t>de la Corte Suprema</w:t>
      </w:r>
      <w:r w:rsidR="00EF111D">
        <w:rPr>
          <w:rFonts w:ascii="Verdana" w:hAnsi="Verdana"/>
          <w:sz w:val="20"/>
          <w:szCs w:val="20"/>
        </w:rPr>
        <w:t xml:space="preserve"> (</w:t>
      </w:r>
      <w:r w:rsidR="00EF111D" w:rsidRPr="004C1F8E">
        <w:rPr>
          <w:rFonts w:ascii="Verdana" w:hAnsi="Verdana"/>
          <w:i/>
          <w:sz w:val="20"/>
          <w:szCs w:val="20"/>
        </w:rPr>
        <w:t xml:space="preserve">infra </w:t>
      </w:r>
      <w:r w:rsidR="00EF111D">
        <w:rPr>
          <w:rFonts w:ascii="Verdana" w:hAnsi="Verdana"/>
          <w:sz w:val="20"/>
          <w:szCs w:val="20"/>
        </w:rPr>
        <w:t>Considerando</w:t>
      </w:r>
      <w:r w:rsidR="004C164E">
        <w:rPr>
          <w:rFonts w:ascii="Verdana" w:hAnsi="Verdana"/>
          <w:sz w:val="20"/>
          <w:szCs w:val="20"/>
        </w:rPr>
        <w:t>s</w:t>
      </w:r>
      <w:r w:rsidR="00EF111D">
        <w:rPr>
          <w:rFonts w:ascii="Verdana" w:hAnsi="Verdana"/>
          <w:sz w:val="20"/>
          <w:szCs w:val="20"/>
        </w:rPr>
        <w:t xml:space="preserve"> </w:t>
      </w:r>
      <w:r w:rsidR="004C164E">
        <w:rPr>
          <w:rFonts w:ascii="Verdana" w:hAnsi="Verdana"/>
          <w:sz w:val="20"/>
          <w:szCs w:val="20"/>
        </w:rPr>
        <w:t>34 a 41</w:t>
      </w:r>
      <w:r w:rsidR="00EF111D">
        <w:rPr>
          <w:rFonts w:ascii="Verdana" w:hAnsi="Verdana"/>
          <w:sz w:val="20"/>
          <w:szCs w:val="20"/>
        </w:rPr>
        <w:t>)</w:t>
      </w:r>
      <w:r w:rsidR="0058527C" w:rsidRPr="006822E9">
        <w:rPr>
          <w:rFonts w:ascii="Verdana" w:hAnsi="Verdana"/>
          <w:sz w:val="20"/>
          <w:szCs w:val="20"/>
        </w:rPr>
        <w:t xml:space="preserve">, que el representante de las víctimas consideró que </w:t>
      </w:r>
      <w:r w:rsidR="00567772" w:rsidRPr="006822E9">
        <w:rPr>
          <w:rFonts w:ascii="Verdana" w:hAnsi="Verdana"/>
          <w:sz w:val="20"/>
          <w:szCs w:val="20"/>
        </w:rPr>
        <w:t>esta</w:t>
      </w:r>
      <w:r w:rsidR="0058527C" w:rsidRPr="006822E9">
        <w:rPr>
          <w:rFonts w:ascii="Verdana" w:hAnsi="Verdana"/>
          <w:sz w:val="20"/>
          <w:szCs w:val="20"/>
        </w:rPr>
        <w:t xml:space="preserve"> medida </w:t>
      </w:r>
      <w:r w:rsidR="00567772" w:rsidRPr="006822E9">
        <w:rPr>
          <w:rFonts w:ascii="Verdana" w:hAnsi="Verdana"/>
          <w:sz w:val="20"/>
          <w:szCs w:val="20"/>
        </w:rPr>
        <w:t xml:space="preserve">de reparación </w:t>
      </w:r>
      <w:r w:rsidR="0058527C" w:rsidRPr="006822E9">
        <w:rPr>
          <w:rFonts w:ascii="Verdana" w:hAnsi="Verdana"/>
          <w:sz w:val="20"/>
          <w:szCs w:val="20"/>
        </w:rPr>
        <w:t>est</w:t>
      </w:r>
      <w:r w:rsidR="00567772" w:rsidRPr="006822E9">
        <w:rPr>
          <w:rFonts w:ascii="Verdana" w:hAnsi="Verdana"/>
          <w:sz w:val="20"/>
          <w:szCs w:val="20"/>
        </w:rPr>
        <w:t>á</w:t>
      </w:r>
      <w:r w:rsidR="0058527C" w:rsidRPr="006822E9">
        <w:rPr>
          <w:rFonts w:ascii="Verdana" w:hAnsi="Verdana"/>
          <w:sz w:val="20"/>
          <w:szCs w:val="20"/>
        </w:rPr>
        <w:t xml:space="preserve"> cumplida </w:t>
      </w:r>
      <w:r w:rsidR="00D93C03">
        <w:rPr>
          <w:rFonts w:ascii="Verdana" w:hAnsi="Verdana"/>
          <w:sz w:val="20"/>
          <w:szCs w:val="20"/>
        </w:rPr>
        <w:t xml:space="preserve">y que fueron éstos quienes propusieron que para dar cumplimiento a la medida se planteara un recurso de revisión </w:t>
      </w:r>
      <w:r w:rsidR="00D93C03" w:rsidRPr="006822E9">
        <w:rPr>
          <w:rFonts w:ascii="Verdana" w:hAnsi="Verdana"/>
          <w:sz w:val="20"/>
          <w:szCs w:val="20"/>
        </w:rPr>
        <w:t>(</w:t>
      </w:r>
      <w:r w:rsidR="00D93C03" w:rsidRPr="006822E9">
        <w:rPr>
          <w:rFonts w:ascii="Verdana" w:hAnsi="Verdana"/>
          <w:i/>
          <w:sz w:val="20"/>
          <w:szCs w:val="20"/>
        </w:rPr>
        <w:t>supra</w:t>
      </w:r>
      <w:r w:rsidR="00D93C03" w:rsidRPr="006822E9">
        <w:rPr>
          <w:rFonts w:ascii="Verdana" w:hAnsi="Verdana"/>
          <w:sz w:val="20"/>
          <w:szCs w:val="20"/>
        </w:rPr>
        <w:t xml:space="preserve"> Considerando</w:t>
      </w:r>
      <w:r w:rsidR="00D93C03">
        <w:rPr>
          <w:rFonts w:ascii="Verdana" w:hAnsi="Verdana"/>
          <w:sz w:val="20"/>
          <w:szCs w:val="20"/>
        </w:rPr>
        <w:t xml:space="preserve">s </w:t>
      </w:r>
      <w:r w:rsidR="004C164E">
        <w:rPr>
          <w:rFonts w:ascii="Verdana" w:hAnsi="Verdana"/>
          <w:sz w:val="20"/>
          <w:szCs w:val="20"/>
        </w:rPr>
        <w:t xml:space="preserve">3, </w:t>
      </w:r>
      <w:r w:rsidR="00D93C03">
        <w:rPr>
          <w:rFonts w:ascii="Verdana" w:hAnsi="Verdana"/>
          <w:sz w:val="20"/>
          <w:szCs w:val="20"/>
        </w:rPr>
        <w:t>25 y</w:t>
      </w:r>
      <w:r w:rsidR="00D93C03" w:rsidRPr="006822E9">
        <w:rPr>
          <w:rFonts w:ascii="Verdana" w:hAnsi="Verdana"/>
          <w:sz w:val="20"/>
          <w:szCs w:val="20"/>
        </w:rPr>
        <w:t xml:space="preserve"> 26)</w:t>
      </w:r>
      <w:r w:rsidR="00D93C03">
        <w:rPr>
          <w:rFonts w:ascii="Verdana" w:hAnsi="Verdana"/>
          <w:sz w:val="20"/>
          <w:szCs w:val="20"/>
        </w:rPr>
        <w:t>, así como</w:t>
      </w:r>
      <w:r w:rsidR="0058527C" w:rsidRPr="006822E9">
        <w:rPr>
          <w:rFonts w:ascii="Verdana" w:hAnsi="Verdana"/>
          <w:sz w:val="20"/>
          <w:szCs w:val="20"/>
        </w:rPr>
        <w:t xml:space="preserve"> </w:t>
      </w:r>
      <w:r w:rsidR="00D93C03">
        <w:rPr>
          <w:rFonts w:ascii="Verdana" w:hAnsi="Verdana"/>
          <w:sz w:val="20"/>
          <w:szCs w:val="20"/>
        </w:rPr>
        <w:t>q</w:t>
      </w:r>
      <w:r w:rsidR="0058527C" w:rsidRPr="006822E9">
        <w:rPr>
          <w:rFonts w:ascii="Verdana" w:hAnsi="Verdana"/>
          <w:sz w:val="20"/>
          <w:szCs w:val="20"/>
        </w:rPr>
        <w:t xml:space="preserve">ue </w:t>
      </w:r>
      <w:r w:rsidR="007E5325" w:rsidRPr="006822E9">
        <w:rPr>
          <w:rFonts w:ascii="Verdana" w:hAnsi="Verdana"/>
          <w:sz w:val="20"/>
          <w:szCs w:val="20"/>
        </w:rPr>
        <w:t>la Comisión Interamericana no presentó observaciones al respecto</w:t>
      </w:r>
      <w:r w:rsidR="000840D1">
        <w:rPr>
          <w:rFonts w:ascii="Verdana" w:hAnsi="Verdana"/>
          <w:sz w:val="20"/>
          <w:szCs w:val="20"/>
        </w:rPr>
        <w:t xml:space="preserve"> </w:t>
      </w:r>
      <w:r w:rsidR="000840D1" w:rsidRPr="006822E9">
        <w:rPr>
          <w:rFonts w:ascii="Verdana" w:hAnsi="Verdana"/>
          <w:sz w:val="20"/>
          <w:szCs w:val="20"/>
        </w:rPr>
        <w:t>(</w:t>
      </w:r>
      <w:r w:rsidR="000840D1" w:rsidRPr="006822E9">
        <w:rPr>
          <w:rFonts w:ascii="Verdana" w:hAnsi="Verdana"/>
          <w:i/>
          <w:sz w:val="20"/>
          <w:szCs w:val="20"/>
        </w:rPr>
        <w:t>supra</w:t>
      </w:r>
      <w:r w:rsidR="000840D1">
        <w:rPr>
          <w:rFonts w:ascii="Verdana" w:hAnsi="Verdana"/>
          <w:sz w:val="20"/>
          <w:szCs w:val="20"/>
        </w:rPr>
        <w:t xml:space="preserve"> Considerando 3</w:t>
      </w:r>
      <w:r w:rsidR="000840D1" w:rsidRPr="006822E9">
        <w:rPr>
          <w:rFonts w:ascii="Verdana" w:hAnsi="Verdana"/>
          <w:sz w:val="20"/>
          <w:szCs w:val="20"/>
        </w:rPr>
        <w:t>)</w:t>
      </w:r>
      <w:r w:rsidR="007E5325" w:rsidRPr="006822E9">
        <w:rPr>
          <w:rFonts w:ascii="Verdana" w:hAnsi="Verdana"/>
          <w:sz w:val="20"/>
          <w:szCs w:val="20"/>
        </w:rPr>
        <w:t>.</w:t>
      </w:r>
    </w:p>
    <w:p w:rsidR="00913E16" w:rsidRPr="00631E86" w:rsidRDefault="000840D1" w:rsidP="004708C6">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sz w:val="20"/>
          <w:szCs w:val="20"/>
        </w:rPr>
        <w:t>Con base en la información que ha sido aportada, l</w:t>
      </w:r>
      <w:r w:rsidR="00D2050C" w:rsidRPr="00631E86">
        <w:rPr>
          <w:rFonts w:ascii="Verdana" w:hAnsi="Verdana"/>
          <w:sz w:val="20"/>
          <w:szCs w:val="20"/>
        </w:rPr>
        <w:t>a Corte constata que, c</w:t>
      </w:r>
      <w:r w:rsidR="00A22D5F" w:rsidRPr="00631E86">
        <w:rPr>
          <w:rFonts w:ascii="Verdana" w:hAnsi="Verdana"/>
          <w:sz w:val="20"/>
          <w:szCs w:val="20"/>
        </w:rPr>
        <w:t>on e</w:t>
      </w:r>
      <w:r w:rsidR="00A22D5F" w:rsidRPr="00631E86">
        <w:rPr>
          <w:rFonts w:ascii="Verdana" w:hAnsi="Verdana"/>
          <w:color w:val="000000" w:themeColor="text1"/>
          <w:sz w:val="20"/>
          <w:szCs w:val="20"/>
        </w:rPr>
        <w:t xml:space="preserve">l fin de </w:t>
      </w:r>
      <w:r w:rsidR="00D2050C" w:rsidRPr="00631E86">
        <w:rPr>
          <w:rFonts w:ascii="Verdana" w:hAnsi="Verdana"/>
          <w:color w:val="000000" w:themeColor="text1"/>
          <w:sz w:val="20"/>
          <w:szCs w:val="20"/>
        </w:rPr>
        <w:t xml:space="preserve">brindar a las víctimas un mecanismo para revisar y/o anular las </w:t>
      </w:r>
      <w:r w:rsidR="00D2050C" w:rsidRPr="00631E86">
        <w:rPr>
          <w:rFonts w:ascii="Verdana" w:hAnsi="Verdana"/>
          <w:sz w:val="20"/>
          <w:szCs w:val="20"/>
        </w:rPr>
        <w:t>sentencias de condena proferidas en su perjuicio</w:t>
      </w:r>
      <w:r w:rsidR="001D5B75">
        <w:rPr>
          <w:rFonts w:ascii="Verdana" w:hAnsi="Verdana"/>
          <w:sz w:val="20"/>
          <w:szCs w:val="20"/>
        </w:rPr>
        <w:t xml:space="preserve"> por Consejos de Guerra</w:t>
      </w:r>
      <w:r w:rsidR="00D2050C" w:rsidRPr="00631E86">
        <w:rPr>
          <w:rFonts w:ascii="Verdana" w:hAnsi="Verdana"/>
          <w:sz w:val="20"/>
          <w:szCs w:val="20"/>
        </w:rPr>
        <w:t xml:space="preserve"> en la  causa Rol </w:t>
      </w:r>
      <w:r w:rsidR="001D5B75">
        <w:rPr>
          <w:rFonts w:ascii="Verdana" w:hAnsi="Verdana"/>
          <w:sz w:val="20"/>
          <w:szCs w:val="20"/>
        </w:rPr>
        <w:t xml:space="preserve">No. </w:t>
      </w:r>
      <w:r w:rsidR="00D2050C" w:rsidRPr="00631E86">
        <w:rPr>
          <w:rFonts w:ascii="Verdana" w:hAnsi="Verdana"/>
          <w:sz w:val="20"/>
          <w:szCs w:val="20"/>
        </w:rPr>
        <w:t>1-73</w:t>
      </w:r>
      <w:r w:rsidR="00A22D5F" w:rsidRPr="00631E86">
        <w:rPr>
          <w:rFonts w:ascii="Verdana" w:hAnsi="Verdana"/>
          <w:color w:val="000000" w:themeColor="text1"/>
          <w:sz w:val="20"/>
          <w:szCs w:val="20"/>
        </w:rPr>
        <w:t xml:space="preserve">, </w:t>
      </w:r>
      <w:r w:rsidR="00913E16" w:rsidRPr="00631E86">
        <w:rPr>
          <w:rFonts w:ascii="Verdana" w:hAnsi="Verdana"/>
          <w:color w:val="000000" w:themeColor="text1"/>
          <w:sz w:val="20"/>
          <w:szCs w:val="20"/>
        </w:rPr>
        <w:t xml:space="preserve">el 5 de mayo de 2016 </w:t>
      </w:r>
      <w:r w:rsidR="00061472" w:rsidRPr="00631E86">
        <w:rPr>
          <w:rFonts w:ascii="Verdana" w:hAnsi="Verdana"/>
          <w:color w:val="000000" w:themeColor="text1"/>
          <w:sz w:val="20"/>
          <w:szCs w:val="20"/>
        </w:rPr>
        <w:t xml:space="preserve">el Fiscal Judicial de la Corte Suprema </w:t>
      </w:r>
      <w:r w:rsidR="001119F7" w:rsidRPr="00631E86">
        <w:rPr>
          <w:rFonts w:ascii="Verdana" w:hAnsi="Verdana"/>
          <w:color w:val="000000" w:themeColor="text1"/>
          <w:sz w:val="20"/>
          <w:szCs w:val="20"/>
        </w:rPr>
        <w:t>de Chile</w:t>
      </w:r>
      <w:r w:rsidR="00061472" w:rsidRPr="00631E86">
        <w:rPr>
          <w:rFonts w:ascii="Verdana" w:hAnsi="Verdana"/>
          <w:color w:val="000000" w:themeColor="text1"/>
          <w:sz w:val="20"/>
          <w:szCs w:val="20"/>
        </w:rPr>
        <w:t>, en atención a la solicitud realizada por el Presidente del Consejo de Defensa del Estado</w:t>
      </w:r>
      <w:r w:rsidR="00061472" w:rsidRPr="00631E86">
        <w:rPr>
          <w:rStyle w:val="FootnoteReference"/>
          <w:rFonts w:ascii="Verdana" w:hAnsi="Verdana"/>
          <w:color w:val="000000" w:themeColor="text1"/>
          <w:sz w:val="20"/>
          <w:szCs w:val="20"/>
        </w:rPr>
        <w:footnoteReference w:id="41"/>
      </w:r>
      <w:r w:rsidR="00601BEA" w:rsidRPr="00631E86">
        <w:rPr>
          <w:rFonts w:ascii="Verdana" w:hAnsi="Verdana"/>
          <w:color w:val="000000" w:themeColor="text1"/>
          <w:sz w:val="20"/>
          <w:szCs w:val="20"/>
        </w:rPr>
        <w:t>, “interp[uso] un recurso de revisión de las sentencias dictadas por los Tribunales de Justicia Militar en tiempo de Guerra [(Consejos de Guerra)], en la causa caratulada ‘Fuerza Aérea de Chile contra Bachelet y otros’ Rol N° 1-73”</w:t>
      </w:r>
      <w:r w:rsidR="00D53671" w:rsidRPr="00631E86">
        <w:rPr>
          <w:rFonts w:ascii="Verdana" w:hAnsi="Verdana"/>
          <w:color w:val="000000" w:themeColor="text1"/>
          <w:sz w:val="20"/>
          <w:szCs w:val="20"/>
        </w:rPr>
        <w:t>, con base en la causal prevista en el artículo 657 N°4 del Código</w:t>
      </w:r>
      <w:r w:rsidR="00E0105D">
        <w:rPr>
          <w:rFonts w:ascii="Verdana" w:hAnsi="Verdana"/>
          <w:color w:val="000000" w:themeColor="text1"/>
          <w:sz w:val="20"/>
          <w:szCs w:val="20"/>
        </w:rPr>
        <w:t xml:space="preserve"> de Procedimiento Penal (</w:t>
      </w:r>
      <w:r w:rsidR="00E0105D" w:rsidRPr="00E0105D">
        <w:rPr>
          <w:rFonts w:ascii="Verdana" w:hAnsi="Verdana"/>
          <w:i/>
          <w:color w:val="000000" w:themeColor="text1"/>
          <w:sz w:val="20"/>
          <w:szCs w:val="20"/>
        </w:rPr>
        <w:t xml:space="preserve">supra </w:t>
      </w:r>
      <w:r w:rsidR="00E0105D">
        <w:rPr>
          <w:rFonts w:ascii="Verdana" w:hAnsi="Verdana"/>
          <w:color w:val="000000" w:themeColor="text1"/>
          <w:sz w:val="20"/>
          <w:szCs w:val="20"/>
        </w:rPr>
        <w:t>Considerando 29)</w:t>
      </w:r>
      <w:r w:rsidR="00EC781E" w:rsidRPr="00631E86">
        <w:rPr>
          <w:rFonts w:ascii="Verdana" w:hAnsi="Verdana"/>
          <w:color w:val="000000" w:themeColor="text1"/>
          <w:sz w:val="20"/>
          <w:szCs w:val="20"/>
        </w:rPr>
        <w:t>.</w:t>
      </w:r>
      <w:r w:rsidR="00E1113B" w:rsidRPr="00631E86">
        <w:rPr>
          <w:rFonts w:ascii="Verdana" w:hAnsi="Verdana"/>
          <w:color w:val="000000" w:themeColor="text1"/>
          <w:sz w:val="20"/>
          <w:szCs w:val="20"/>
        </w:rPr>
        <w:t xml:space="preserve"> En ese sentido, s</w:t>
      </w:r>
      <w:r w:rsidR="00EC781E" w:rsidRPr="00631E86">
        <w:rPr>
          <w:rFonts w:ascii="Verdana" w:hAnsi="Verdana"/>
          <w:color w:val="000000" w:themeColor="text1"/>
          <w:sz w:val="20"/>
          <w:szCs w:val="20"/>
        </w:rPr>
        <w:t>e solicitó</w:t>
      </w:r>
      <w:r w:rsidR="00D53671" w:rsidRPr="00631E86">
        <w:rPr>
          <w:rFonts w:ascii="Verdana" w:hAnsi="Verdana"/>
          <w:color w:val="000000" w:themeColor="text1"/>
          <w:sz w:val="20"/>
          <w:szCs w:val="20"/>
        </w:rPr>
        <w:t xml:space="preserve"> </w:t>
      </w:r>
      <w:r w:rsidR="00611E16" w:rsidRPr="00631E86">
        <w:rPr>
          <w:rFonts w:ascii="Verdana" w:hAnsi="Verdana"/>
          <w:color w:val="000000" w:themeColor="text1"/>
          <w:sz w:val="20"/>
          <w:szCs w:val="20"/>
        </w:rPr>
        <w:t xml:space="preserve">que dichas sentencias </w:t>
      </w:r>
      <w:r w:rsidR="00EC781E" w:rsidRPr="00631E86">
        <w:rPr>
          <w:rFonts w:ascii="Verdana" w:hAnsi="Verdana"/>
          <w:color w:val="000000" w:themeColor="text1"/>
          <w:sz w:val="20"/>
          <w:szCs w:val="20"/>
        </w:rPr>
        <w:t>fueran “</w:t>
      </w:r>
      <w:r w:rsidR="00611E16" w:rsidRPr="00631E86">
        <w:rPr>
          <w:rFonts w:ascii="Verdana" w:hAnsi="Verdana"/>
          <w:color w:val="000000" w:themeColor="text1"/>
          <w:sz w:val="20"/>
          <w:szCs w:val="20"/>
        </w:rPr>
        <w:t>anuladas, por existir antecedentes que acreditan de manera indubitada que ellas se basaron en declaraciones obtenidas mediante tortura aplicadas a los imputados dentro de un procedimiento incoado contra ellos, en el que, además se vulneraron las garantías de un debido proceso legal para finalmente condenarlos”.</w:t>
      </w:r>
    </w:p>
    <w:p w:rsidR="00016A8E" w:rsidRPr="00016A8E" w:rsidRDefault="00306DD4" w:rsidP="004708C6">
      <w:pPr>
        <w:pStyle w:val="ListParagraph"/>
        <w:numPr>
          <w:ilvl w:val="0"/>
          <w:numId w:val="2"/>
        </w:numPr>
        <w:tabs>
          <w:tab w:val="left" w:pos="0"/>
        </w:tabs>
        <w:spacing w:before="120" w:after="120" w:line="240" w:lineRule="auto"/>
        <w:ind w:left="0" w:right="-709" w:firstLine="0"/>
        <w:contextualSpacing w:val="0"/>
        <w:jc w:val="both"/>
        <w:rPr>
          <w:rFonts w:ascii="Verdana" w:hAnsi="Verdana"/>
          <w:color w:val="7030A0"/>
          <w:sz w:val="16"/>
          <w:szCs w:val="16"/>
        </w:rPr>
      </w:pPr>
      <w:r w:rsidRPr="004C1F8E">
        <w:rPr>
          <w:rFonts w:ascii="Verdana" w:hAnsi="Verdana"/>
          <w:sz w:val="20"/>
          <w:szCs w:val="20"/>
        </w:rPr>
        <w:t>Dicho recurso</w:t>
      </w:r>
      <w:r w:rsidR="009A4918">
        <w:rPr>
          <w:rFonts w:ascii="Verdana" w:hAnsi="Verdana"/>
          <w:sz w:val="20"/>
          <w:szCs w:val="20"/>
        </w:rPr>
        <w:t xml:space="preserve"> de revisión</w:t>
      </w:r>
      <w:r w:rsidRPr="002B6A84">
        <w:rPr>
          <w:rFonts w:ascii="Verdana" w:hAnsi="Verdana"/>
          <w:sz w:val="20"/>
          <w:szCs w:val="20"/>
        </w:rPr>
        <w:t xml:space="preserve"> fue resuelto </w:t>
      </w:r>
      <w:r w:rsidR="00103E9A" w:rsidRPr="002B6A84">
        <w:rPr>
          <w:rFonts w:ascii="Verdana" w:hAnsi="Verdana"/>
          <w:sz w:val="20"/>
          <w:szCs w:val="20"/>
        </w:rPr>
        <w:t xml:space="preserve">de manera favorable </w:t>
      </w:r>
      <w:r w:rsidRPr="002B6A84">
        <w:rPr>
          <w:rFonts w:ascii="Verdana" w:hAnsi="Verdana"/>
          <w:sz w:val="20"/>
          <w:szCs w:val="20"/>
        </w:rPr>
        <w:t xml:space="preserve">el 3 de octubre de </w:t>
      </w:r>
      <w:r w:rsidR="002D149F">
        <w:rPr>
          <w:rFonts w:ascii="Verdana" w:hAnsi="Verdana"/>
          <w:sz w:val="20"/>
          <w:szCs w:val="20"/>
        </w:rPr>
        <w:t>ese mismo año</w:t>
      </w:r>
      <w:r w:rsidR="00D46935">
        <w:rPr>
          <w:rFonts w:ascii="Verdana" w:hAnsi="Verdana"/>
          <w:sz w:val="20"/>
          <w:szCs w:val="20"/>
        </w:rPr>
        <w:t>,</w:t>
      </w:r>
      <w:r w:rsidRPr="002B6A84">
        <w:rPr>
          <w:rFonts w:ascii="Verdana" w:hAnsi="Verdana"/>
          <w:sz w:val="20"/>
          <w:szCs w:val="20"/>
        </w:rPr>
        <w:t xml:space="preserve"> </w:t>
      </w:r>
      <w:r w:rsidR="001D0A92" w:rsidRPr="002B6A84">
        <w:rPr>
          <w:rFonts w:ascii="Verdana" w:hAnsi="Verdana"/>
          <w:sz w:val="20"/>
          <w:szCs w:val="20"/>
        </w:rPr>
        <w:t>mediante sentencia de</w:t>
      </w:r>
      <w:r w:rsidRPr="002B6A84">
        <w:rPr>
          <w:rFonts w:ascii="Verdana" w:hAnsi="Verdana"/>
          <w:sz w:val="20"/>
          <w:szCs w:val="20"/>
        </w:rPr>
        <w:t xml:space="preserve"> la Segunda Sala de la Corte Suprema</w:t>
      </w:r>
      <w:r w:rsidR="00D46935">
        <w:rPr>
          <w:rFonts w:ascii="Verdana" w:hAnsi="Verdana"/>
          <w:sz w:val="20"/>
          <w:szCs w:val="20"/>
        </w:rPr>
        <w:t xml:space="preserve"> de Chile</w:t>
      </w:r>
      <w:r>
        <w:rPr>
          <w:rStyle w:val="FootnoteReference"/>
          <w:rFonts w:ascii="Verdana" w:hAnsi="Verdana"/>
          <w:sz w:val="20"/>
          <w:szCs w:val="20"/>
        </w:rPr>
        <w:footnoteReference w:id="42"/>
      </w:r>
      <w:r w:rsidRPr="002B6A84">
        <w:rPr>
          <w:rFonts w:ascii="Verdana" w:hAnsi="Verdana"/>
          <w:sz w:val="20"/>
          <w:szCs w:val="20"/>
        </w:rPr>
        <w:t xml:space="preserve">. </w:t>
      </w:r>
      <w:r w:rsidR="00772019" w:rsidRPr="002B6A84">
        <w:rPr>
          <w:rFonts w:ascii="Verdana" w:hAnsi="Verdana"/>
          <w:sz w:val="20"/>
          <w:szCs w:val="20"/>
        </w:rPr>
        <w:t xml:space="preserve">Luego de analizar </w:t>
      </w:r>
      <w:r w:rsidR="00A33DF2" w:rsidRPr="002B6A84">
        <w:rPr>
          <w:rFonts w:ascii="Verdana" w:hAnsi="Verdana"/>
          <w:sz w:val="20"/>
          <w:szCs w:val="20"/>
        </w:rPr>
        <w:t xml:space="preserve">diversos “elementos de convicción </w:t>
      </w:r>
      <w:r w:rsidR="00454920">
        <w:rPr>
          <w:rFonts w:ascii="Verdana" w:hAnsi="Verdana"/>
          <w:sz w:val="20"/>
          <w:szCs w:val="20"/>
        </w:rPr>
        <w:t xml:space="preserve">presentados </w:t>
      </w:r>
      <w:r w:rsidR="00A33DF2" w:rsidRPr="002B6A84">
        <w:rPr>
          <w:rFonts w:ascii="Verdana" w:hAnsi="Verdana"/>
          <w:sz w:val="20"/>
          <w:szCs w:val="20"/>
        </w:rPr>
        <w:t>para configurar la causal de revisión planteada”</w:t>
      </w:r>
      <w:r w:rsidR="00454920">
        <w:rPr>
          <w:rFonts w:ascii="Verdana" w:hAnsi="Verdana"/>
          <w:sz w:val="20"/>
          <w:szCs w:val="20"/>
        </w:rPr>
        <w:t xml:space="preserve"> (</w:t>
      </w:r>
      <w:r w:rsidR="00454920" w:rsidRPr="00460436">
        <w:rPr>
          <w:rFonts w:ascii="Verdana" w:hAnsi="Verdana"/>
          <w:i/>
          <w:sz w:val="20"/>
          <w:szCs w:val="20"/>
        </w:rPr>
        <w:t>supra</w:t>
      </w:r>
      <w:r w:rsidR="00454920">
        <w:rPr>
          <w:rFonts w:ascii="Verdana" w:hAnsi="Verdana"/>
          <w:sz w:val="20"/>
          <w:szCs w:val="20"/>
        </w:rPr>
        <w:t xml:space="preserve"> Considerandos 29 y 33)</w:t>
      </w:r>
      <w:r w:rsidR="00772019" w:rsidRPr="002B6A84">
        <w:rPr>
          <w:rFonts w:ascii="Verdana" w:hAnsi="Verdana"/>
          <w:sz w:val="20"/>
          <w:szCs w:val="20"/>
        </w:rPr>
        <w:t xml:space="preserve">, entre ellos, lo resuelto </w:t>
      </w:r>
      <w:r w:rsidR="00E1113B">
        <w:rPr>
          <w:rFonts w:ascii="Verdana" w:hAnsi="Verdana"/>
          <w:sz w:val="20"/>
          <w:szCs w:val="20"/>
        </w:rPr>
        <w:t xml:space="preserve">en el 2015 </w:t>
      </w:r>
      <w:r w:rsidR="00772019" w:rsidRPr="002B6A84">
        <w:rPr>
          <w:rFonts w:ascii="Verdana" w:hAnsi="Verdana"/>
          <w:sz w:val="20"/>
          <w:szCs w:val="20"/>
        </w:rPr>
        <w:t>por la Corte Interamericana en la Sentencia del presente caso</w:t>
      </w:r>
      <w:r w:rsidR="00772019">
        <w:rPr>
          <w:rStyle w:val="FootnoteReference"/>
          <w:rFonts w:ascii="Verdana" w:hAnsi="Verdana"/>
          <w:sz w:val="20"/>
          <w:szCs w:val="20"/>
        </w:rPr>
        <w:footnoteReference w:id="43"/>
      </w:r>
      <w:r w:rsidR="00772019" w:rsidRPr="002B6A84">
        <w:rPr>
          <w:rFonts w:ascii="Verdana" w:hAnsi="Verdana"/>
          <w:sz w:val="20"/>
          <w:szCs w:val="20"/>
        </w:rPr>
        <w:t xml:space="preserve">, </w:t>
      </w:r>
      <w:r w:rsidR="00772019" w:rsidRPr="00B82570">
        <w:rPr>
          <w:rFonts w:ascii="Verdana" w:hAnsi="Verdana"/>
          <w:sz w:val="20"/>
          <w:szCs w:val="20"/>
        </w:rPr>
        <w:t xml:space="preserve">la Corte </w:t>
      </w:r>
      <w:r w:rsidR="00772019" w:rsidRPr="00B82570">
        <w:rPr>
          <w:rFonts w:ascii="Verdana" w:hAnsi="Verdana"/>
          <w:sz w:val="20"/>
          <w:szCs w:val="20"/>
        </w:rPr>
        <w:lastRenderedPageBreak/>
        <w:t>Suprema</w:t>
      </w:r>
      <w:r w:rsidR="00B82570" w:rsidRPr="00B82570">
        <w:rPr>
          <w:rFonts w:ascii="Verdana" w:hAnsi="Verdana"/>
          <w:sz w:val="20"/>
          <w:szCs w:val="20"/>
        </w:rPr>
        <w:t xml:space="preserve"> “acogi[ó] la solicitud de revisión</w:t>
      </w:r>
      <w:r w:rsidR="00454920">
        <w:rPr>
          <w:rFonts w:ascii="Verdana" w:hAnsi="Verdana"/>
          <w:sz w:val="20"/>
          <w:szCs w:val="20"/>
        </w:rPr>
        <w:t>”</w:t>
      </w:r>
      <w:r w:rsidR="00B82570" w:rsidRPr="00B82570">
        <w:rPr>
          <w:rFonts w:ascii="Verdana" w:hAnsi="Verdana"/>
          <w:sz w:val="20"/>
          <w:szCs w:val="20"/>
        </w:rPr>
        <w:t xml:space="preserve"> interpuesta</w:t>
      </w:r>
      <w:r w:rsidR="00EC781E">
        <w:rPr>
          <w:rFonts w:ascii="Verdana" w:hAnsi="Verdana"/>
          <w:sz w:val="20"/>
          <w:szCs w:val="20"/>
        </w:rPr>
        <w:t>.</w:t>
      </w:r>
      <w:r w:rsidR="00B82570" w:rsidRPr="00B82570">
        <w:rPr>
          <w:rFonts w:ascii="Verdana" w:hAnsi="Verdana"/>
          <w:sz w:val="20"/>
          <w:szCs w:val="20"/>
        </w:rPr>
        <w:t xml:space="preserve"> </w:t>
      </w:r>
      <w:r w:rsidR="00EC781E">
        <w:rPr>
          <w:rFonts w:ascii="Verdana" w:hAnsi="Verdana"/>
          <w:sz w:val="20"/>
          <w:szCs w:val="20"/>
        </w:rPr>
        <w:t xml:space="preserve">Dicho tribunal indicó que tuvo </w:t>
      </w:r>
      <w:r w:rsidR="00B82570" w:rsidRPr="00B82570">
        <w:rPr>
          <w:rFonts w:ascii="Verdana" w:hAnsi="Verdana"/>
          <w:sz w:val="20"/>
          <w:szCs w:val="20"/>
        </w:rPr>
        <w:t>por</w:t>
      </w:r>
      <w:r w:rsidR="00772019" w:rsidRPr="00B82570">
        <w:rPr>
          <w:rFonts w:ascii="Verdana" w:hAnsi="Verdana"/>
          <w:sz w:val="20"/>
          <w:szCs w:val="20"/>
        </w:rPr>
        <w:t xml:space="preserve"> </w:t>
      </w:r>
      <w:r w:rsidR="002B6A84" w:rsidRPr="00B82570">
        <w:rPr>
          <w:rFonts w:ascii="Verdana" w:hAnsi="Verdana"/>
          <w:sz w:val="20"/>
          <w:szCs w:val="20"/>
        </w:rPr>
        <w:t xml:space="preserve">demostrado que “los condenados en los Consejos de Guerra convocados en el proceso Rol N° 1-73, amén de las distintas infracciones a sus derechos procesales, fueron objeto de tortura durante su sustanciación”, </w:t>
      </w:r>
      <w:r w:rsidR="00B82570" w:rsidRPr="00B82570">
        <w:rPr>
          <w:rFonts w:ascii="Verdana" w:hAnsi="Verdana"/>
          <w:sz w:val="20"/>
          <w:szCs w:val="20"/>
        </w:rPr>
        <w:t>lo cual “es suficiente para poner en duda la legitimidad de la forma en que se obtuvieron ‘todas’ las confesiones y declaraciones en [ese] proceso”</w:t>
      </w:r>
      <w:r w:rsidR="00B82570" w:rsidRPr="00B82570">
        <w:rPr>
          <w:rFonts w:ascii="Verdana" w:hAnsi="Verdana"/>
          <w:sz w:val="18"/>
          <w:szCs w:val="20"/>
        </w:rPr>
        <w:t xml:space="preserve"> </w:t>
      </w:r>
      <w:r w:rsidR="002B6A84" w:rsidRPr="00B82570">
        <w:rPr>
          <w:rFonts w:ascii="Verdana" w:hAnsi="Verdana"/>
          <w:sz w:val="20"/>
          <w:szCs w:val="20"/>
        </w:rPr>
        <w:t>y</w:t>
      </w:r>
      <w:r w:rsidR="00B82570" w:rsidRPr="00B82570">
        <w:rPr>
          <w:rFonts w:ascii="Verdana" w:hAnsi="Verdana"/>
          <w:sz w:val="20"/>
          <w:szCs w:val="20"/>
        </w:rPr>
        <w:t xml:space="preserve"> </w:t>
      </w:r>
      <w:r w:rsidR="00454920">
        <w:rPr>
          <w:rFonts w:ascii="Verdana" w:hAnsi="Verdana"/>
          <w:sz w:val="20"/>
          <w:szCs w:val="20"/>
        </w:rPr>
        <w:t>concluir</w:t>
      </w:r>
      <w:r w:rsidR="00B82570" w:rsidRPr="00B82570">
        <w:rPr>
          <w:rFonts w:ascii="Verdana" w:hAnsi="Verdana"/>
          <w:sz w:val="20"/>
          <w:szCs w:val="20"/>
        </w:rPr>
        <w:t>, en consecuencia,</w:t>
      </w:r>
      <w:r w:rsidR="002B6A84" w:rsidRPr="00B82570">
        <w:rPr>
          <w:rFonts w:ascii="Verdana" w:hAnsi="Verdana"/>
          <w:sz w:val="20"/>
          <w:szCs w:val="20"/>
        </w:rPr>
        <w:t xml:space="preserve"> que las confesiones obtenidas de esta manera “no podían sustentar las condenas impuestas a los acusados”</w:t>
      </w:r>
      <w:r w:rsidR="002B6A84" w:rsidRPr="00B82570">
        <w:rPr>
          <w:rStyle w:val="FootnoteReference"/>
          <w:rFonts w:ascii="Verdana" w:hAnsi="Verdana"/>
          <w:sz w:val="20"/>
          <w:szCs w:val="20"/>
        </w:rPr>
        <w:footnoteReference w:id="44"/>
      </w:r>
      <w:r w:rsidR="00B82570" w:rsidRPr="00B82570">
        <w:rPr>
          <w:rFonts w:ascii="Verdana" w:hAnsi="Verdana"/>
          <w:sz w:val="20"/>
          <w:szCs w:val="20"/>
        </w:rPr>
        <w:t>.</w:t>
      </w:r>
    </w:p>
    <w:p w:rsidR="00DD0BD9" w:rsidRPr="00466368" w:rsidRDefault="00B82570" w:rsidP="007E5325">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sidRPr="00466368">
        <w:rPr>
          <w:rFonts w:ascii="Verdana" w:hAnsi="Verdana"/>
          <w:sz w:val="20"/>
          <w:szCs w:val="20"/>
        </w:rPr>
        <w:t xml:space="preserve">En razón de lo anterior, la </w:t>
      </w:r>
      <w:r w:rsidR="005D05FC">
        <w:rPr>
          <w:rFonts w:ascii="Verdana" w:hAnsi="Verdana"/>
          <w:sz w:val="20"/>
          <w:szCs w:val="20"/>
        </w:rPr>
        <w:t xml:space="preserve">referida sala de la </w:t>
      </w:r>
      <w:r w:rsidRPr="00466368">
        <w:rPr>
          <w:rFonts w:ascii="Verdana" w:hAnsi="Verdana"/>
          <w:sz w:val="20"/>
          <w:szCs w:val="20"/>
        </w:rPr>
        <w:t>Corte Suprema dispuso</w:t>
      </w:r>
      <w:r w:rsidR="00454920">
        <w:rPr>
          <w:rFonts w:ascii="Verdana" w:hAnsi="Verdana"/>
          <w:sz w:val="20"/>
          <w:szCs w:val="20"/>
        </w:rPr>
        <w:t xml:space="preserve">, en el considerando trigésimo </w:t>
      </w:r>
      <w:r w:rsidR="009B1724">
        <w:rPr>
          <w:rFonts w:ascii="Verdana" w:hAnsi="Verdana"/>
          <w:sz w:val="20"/>
          <w:szCs w:val="20"/>
        </w:rPr>
        <w:t>quinto</w:t>
      </w:r>
      <w:r w:rsidR="00454920">
        <w:rPr>
          <w:rFonts w:ascii="Verdana" w:hAnsi="Verdana"/>
          <w:sz w:val="20"/>
          <w:szCs w:val="20"/>
        </w:rPr>
        <w:t xml:space="preserve"> de su decisión,</w:t>
      </w:r>
      <w:r w:rsidR="00016A8E" w:rsidRPr="00466368">
        <w:rPr>
          <w:rFonts w:ascii="Verdana" w:hAnsi="Verdana"/>
          <w:sz w:val="20"/>
          <w:szCs w:val="20"/>
        </w:rPr>
        <w:t xml:space="preserve"> </w:t>
      </w:r>
      <w:r w:rsidR="00067B74" w:rsidRPr="00466368">
        <w:rPr>
          <w:rFonts w:ascii="Verdana" w:hAnsi="Verdana"/>
          <w:sz w:val="20"/>
          <w:szCs w:val="20"/>
        </w:rPr>
        <w:t>que “</w:t>
      </w:r>
      <w:r w:rsidRPr="00466368">
        <w:rPr>
          <w:rFonts w:ascii="Verdana" w:hAnsi="Verdana"/>
          <w:sz w:val="20"/>
          <w:szCs w:val="20"/>
        </w:rPr>
        <w:t>se anular</w:t>
      </w:r>
      <w:r w:rsidR="00454920">
        <w:rPr>
          <w:rFonts w:ascii="Verdana" w:hAnsi="Verdana"/>
          <w:sz w:val="20"/>
          <w:szCs w:val="20"/>
        </w:rPr>
        <w:t>[</w:t>
      </w:r>
      <w:r w:rsidRPr="00466368">
        <w:rPr>
          <w:rFonts w:ascii="Verdana" w:hAnsi="Verdana"/>
          <w:sz w:val="20"/>
          <w:szCs w:val="20"/>
        </w:rPr>
        <w:t>a</w:t>
      </w:r>
      <w:r w:rsidR="00454920">
        <w:rPr>
          <w:rFonts w:ascii="Verdana" w:hAnsi="Verdana"/>
          <w:sz w:val="20"/>
          <w:szCs w:val="20"/>
        </w:rPr>
        <w:t>]</w:t>
      </w:r>
      <w:r w:rsidRPr="00466368">
        <w:rPr>
          <w:rFonts w:ascii="Verdana" w:hAnsi="Verdana"/>
          <w:sz w:val="20"/>
          <w:szCs w:val="20"/>
        </w:rPr>
        <w:t>n las sentencias dictadas</w:t>
      </w:r>
      <w:r w:rsidR="00067B74" w:rsidRPr="00466368">
        <w:rPr>
          <w:rFonts w:ascii="Verdana" w:hAnsi="Verdana"/>
          <w:sz w:val="20"/>
          <w:szCs w:val="20"/>
        </w:rPr>
        <w:t xml:space="preserve"> por el Consejo de Guerra en los autos Rol N° 1-73</w:t>
      </w:r>
      <w:r w:rsidR="00067B74" w:rsidRPr="00466368">
        <w:rPr>
          <w:rStyle w:val="FootnoteReference"/>
          <w:rFonts w:ascii="Verdana" w:hAnsi="Verdana"/>
          <w:sz w:val="20"/>
          <w:szCs w:val="20"/>
        </w:rPr>
        <w:footnoteReference w:id="45"/>
      </w:r>
      <w:r w:rsidR="00067B74" w:rsidRPr="00466368">
        <w:rPr>
          <w:rFonts w:ascii="Verdana" w:hAnsi="Verdana"/>
          <w:sz w:val="20"/>
          <w:szCs w:val="20"/>
        </w:rPr>
        <w:t xml:space="preserve"> respecto de todos los condenados en ellas, y no sólo a favor de aquellos que acudieron ante la C[orte IDH] […]”</w:t>
      </w:r>
      <w:r w:rsidR="005D05FC">
        <w:rPr>
          <w:rFonts w:ascii="Verdana" w:hAnsi="Verdana"/>
          <w:sz w:val="20"/>
          <w:szCs w:val="20"/>
        </w:rPr>
        <w:t xml:space="preserve">.Los condenados </w:t>
      </w:r>
      <w:r w:rsidR="00454920">
        <w:rPr>
          <w:rFonts w:ascii="Verdana" w:hAnsi="Verdana"/>
          <w:sz w:val="20"/>
          <w:szCs w:val="20"/>
        </w:rPr>
        <w:t xml:space="preserve">en esa causa </w:t>
      </w:r>
      <w:r w:rsidR="005D05FC">
        <w:rPr>
          <w:rFonts w:ascii="Verdana" w:hAnsi="Verdana"/>
          <w:sz w:val="20"/>
          <w:szCs w:val="20"/>
        </w:rPr>
        <w:t xml:space="preserve">eran </w:t>
      </w:r>
      <w:r w:rsidR="005D05FC" w:rsidRPr="00466368">
        <w:rPr>
          <w:rFonts w:ascii="Verdana" w:hAnsi="Verdana"/>
          <w:sz w:val="20"/>
          <w:szCs w:val="20"/>
        </w:rPr>
        <w:t>84 personas, incluyendo a las doce víctimas de este caso</w:t>
      </w:r>
      <w:r w:rsidR="005D05FC">
        <w:rPr>
          <w:rFonts w:ascii="Verdana" w:hAnsi="Verdana"/>
          <w:sz w:val="20"/>
          <w:szCs w:val="20"/>
        </w:rPr>
        <w:t xml:space="preserve">. También </w:t>
      </w:r>
      <w:r w:rsidR="00067B74" w:rsidRPr="00466368">
        <w:rPr>
          <w:rFonts w:ascii="Verdana" w:hAnsi="Verdana"/>
          <w:sz w:val="20"/>
          <w:szCs w:val="20"/>
        </w:rPr>
        <w:t>declaró</w:t>
      </w:r>
      <w:r w:rsidR="009B1724">
        <w:rPr>
          <w:rFonts w:ascii="Verdana" w:hAnsi="Verdana"/>
          <w:sz w:val="20"/>
          <w:szCs w:val="20"/>
        </w:rPr>
        <w:t>, en el considerando trigésimo octavo de dicha decisión,</w:t>
      </w:r>
      <w:r w:rsidR="00067B74" w:rsidRPr="00466368">
        <w:rPr>
          <w:rFonts w:ascii="Verdana" w:hAnsi="Verdana"/>
          <w:sz w:val="20"/>
          <w:szCs w:val="20"/>
        </w:rPr>
        <w:t xml:space="preserve"> que “se </w:t>
      </w:r>
      <w:r w:rsidR="005D05FC">
        <w:rPr>
          <w:rFonts w:ascii="Verdana" w:hAnsi="Verdana"/>
          <w:sz w:val="20"/>
          <w:szCs w:val="20"/>
        </w:rPr>
        <w:t xml:space="preserve">[les] </w:t>
      </w:r>
      <w:r w:rsidR="00067B74" w:rsidRPr="00466368">
        <w:rPr>
          <w:rFonts w:ascii="Verdana" w:hAnsi="Verdana"/>
          <w:sz w:val="20"/>
          <w:szCs w:val="20"/>
        </w:rPr>
        <w:t>absuelve, por haber sido probada satisfactoriamente su completa inocencia</w:t>
      </w:r>
      <w:r w:rsidR="00BA6F91" w:rsidRPr="00466368">
        <w:rPr>
          <w:rFonts w:ascii="Verdana" w:hAnsi="Verdana"/>
          <w:sz w:val="20"/>
          <w:szCs w:val="20"/>
        </w:rPr>
        <w:t xml:space="preserve"> </w:t>
      </w:r>
      <w:r w:rsidR="009B1724">
        <w:rPr>
          <w:rFonts w:ascii="Verdana" w:hAnsi="Verdana"/>
          <w:sz w:val="20"/>
          <w:szCs w:val="20"/>
        </w:rPr>
        <w:t>[…]</w:t>
      </w:r>
      <w:r w:rsidR="00BA6F91" w:rsidRPr="00466368">
        <w:rPr>
          <w:rFonts w:ascii="Verdana" w:hAnsi="Verdana"/>
          <w:sz w:val="20"/>
          <w:szCs w:val="20"/>
        </w:rPr>
        <w:t xml:space="preserve"> de los cargos formulados en su contra en el referido proceso”</w:t>
      </w:r>
      <w:r w:rsidR="00BA6F91" w:rsidRPr="00466368">
        <w:rPr>
          <w:rStyle w:val="FootnoteReference"/>
          <w:rFonts w:ascii="Verdana" w:hAnsi="Verdana"/>
          <w:sz w:val="20"/>
          <w:szCs w:val="20"/>
        </w:rPr>
        <w:footnoteReference w:id="46"/>
      </w:r>
      <w:r w:rsidR="00BA6F91" w:rsidRPr="00466368">
        <w:rPr>
          <w:rFonts w:ascii="Verdana" w:hAnsi="Verdana"/>
          <w:sz w:val="20"/>
          <w:szCs w:val="20"/>
        </w:rPr>
        <w:t xml:space="preserve">. </w:t>
      </w:r>
    </w:p>
    <w:p w:rsidR="00466368" w:rsidRPr="000E096A" w:rsidRDefault="002D149F" w:rsidP="007E5325">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Pr>
          <w:rFonts w:ascii="Verdana" w:hAnsi="Verdana"/>
          <w:sz w:val="20"/>
          <w:szCs w:val="16"/>
        </w:rPr>
        <w:t>Aunado a lo resuelto en beneficio de las víctimas de este caso</w:t>
      </w:r>
      <w:r w:rsidR="0041605C">
        <w:rPr>
          <w:rFonts w:ascii="Verdana" w:hAnsi="Verdana"/>
          <w:sz w:val="20"/>
          <w:szCs w:val="16"/>
        </w:rPr>
        <w:t xml:space="preserve"> y de los demás condenados en el mismo proceso</w:t>
      </w:r>
      <w:r>
        <w:rPr>
          <w:rFonts w:ascii="Verdana" w:hAnsi="Verdana"/>
          <w:sz w:val="20"/>
          <w:szCs w:val="16"/>
        </w:rPr>
        <w:t xml:space="preserve">, la Segunda </w:t>
      </w:r>
      <w:r w:rsidR="009B1724">
        <w:rPr>
          <w:rFonts w:ascii="Verdana" w:hAnsi="Verdana"/>
          <w:sz w:val="20"/>
          <w:szCs w:val="16"/>
        </w:rPr>
        <w:t xml:space="preserve">Sala </w:t>
      </w:r>
      <w:r>
        <w:rPr>
          <w:rFonts w:ascii="Verdana" w:hAnsi="Verdana"/>
          <w:sz w:val="20"/>
          <w:szCs w:val="16"/>
        </w:rPr>
        <w:t xml:space="preserve">de la Corte Suprema también dispuso importantes consideraciones que repercuten positivamente en el cumplimiento del </w:t>
      </w:r>
      <w:r w:rsidR="00466368" w:rsidRPr="000E096A">
        <w:rPr>
          <w:rFonts w:ascii="Verdana" w:hAnsi="Verdana"/>
          <w:sz w:val="20"/>
          <w:szCs w:val="16"/>
        </w:rPr>
        <w:t>aspecto de la reparación ordenado como garantía de no repetición</w:t>
      </w:r>
      <w:r w:rsidR="00466368" w:rsidRPr="000E096A">
        <w:rPr>
          <w:rFonts w:ascii="Verdana" w:hAnsi="Verdana"/>
          <w:sz w:val="24"/>
          <w:szCs w:val="20"/>
        </w:rPr>
        <w:t xml:space="preserve"> </w:t>
      </w:r>
      <w:r w:rsidR="00466368" w:rsidRPr="000E096A">
        <w:rPr>
          <w:rFonts w:ascii="Verdana" w:hAnsi="Verdana"/>
          <w:sz w:val="20"/>
          <w:szCs w:val="20"/>
        </w:rPr>
        <w:t>(</w:t>
      </w:r>
      <w:r w:rsidR="00466368" w:rsidRPr="000E096A">
        <w:rPr>
          <w:rFonts w:ascii="Verdana" w:hAnsi="Verdana"/>
          <w:i/>
          <w:sz w:val="20"/>
          <w:szCs w:val="20"/>
        </w:rPr>
        <w:t>supra</w:t>
      </w:r>
      <w:r w:rsidR="00466368" w:rsidRPr="000E096A">
        <w:rPr>
          <w:rFonts w:ascii="Verdana" w:hAnsi="Verdana"/>
          <w:sz w:val="20"/>
          <w:szCs w:val="20"/>
        </w:rPr>
        <w:t xml:space="preserve"> Considerando </w:t>
      </w:r>
      <w:r w:rsidR="0041605C">
        <w:rPr>
          <w:rFonts w:ascii="Verdana" w:hAnsi="Verdana"/>
          <w:sz w:val="20"/>
          <w:szCs w:val="20"/>
        </w:rPr>
        <w:t>23.b</w:t>
      </w:r>
      <w:r w:rsidR="00466368" w:rsidRPr="000E096A">
        <w:rPr>
          <w:rFonts w:ascii="Verdana" w:hAnsi="Verdana"/>
          <w:sz w:val="20"/>
          <w:szCs w:val="20"/>
        </w:rPr>
        <w:t>)</w:t>
      </w:r>
      <w:r>
        <w:rPr>
          <w:rFonts w:ascii="Verdana" w:hAnsi="Verdana"/>
          <w:sz w:val="20"/>
          <w:szCs w:val="20"/>
        </w:rPr>
        <w:t>. L</w:t>
      </w:r>
      <w:r w:rsidR="00466368" w:rsidRPr="000E096A">
        <w:rPr>
          <w:rFonts w:ascii="Verdana" w:hAnsi="Verdana"/>
          <w:sz w:val="20"/>
          <w:szCs w:val="20"/>
        </w:rPr>
        <w:t>a Corte Suprema dispuso</w:t>
      </w:r>
      <w:r w:rsidR="00AC4CBC" w:rsidRPr="000E096A">
        <w:rPr>
          <w:rFonts w:ascii="Verdana" w:hAnsi="Verdana"/>
          <w:sz w:val="20"/>
          <w:szCs w:val="20"/>
        </w:rPr>
        <w:t>,</w:t>
      </w:r>
      <w:r w:rsidR="009B1724">
        <w:rPr>
          <w:rFonts w:ascii="Verdana" w:hAnsi="Verdana"/>
          <w:sz w:val="20"/>
          <w:szCs w:val="20"/>
        </w:rPr>
        <w:t xml:space="preserve"> en el considerando trigésimo séptimo de su decisión,</w:t>
      </w:r>
      <w:r w:rsidR="00466368" w:rsidRPr="000E096A">
        <w:rPr>
          <w:rFonts w:ascii="Verdana" w:hAnsi="Verdana"/>
          <w:sz w:val="20"/>
          <w:szCs w:val="20"/>
        </w:rPr>
        <w:t xml:space="preserve"> que</w:t>
      </w:r>
      <w:r w:rsidR="001119F7" w:rsidRPr="000E096A">
        <w:rPr>
          <w:rFonts w:ascii="Verdana" w:hAnsi="Verdana"/>
          <w:sz w:val="20"/>
          <w:szCs w:val="20"/>
        </w:rPr>
        <w:t xml:space="preserve"> “</w:t>
      </w:r>
      <w:r w:rsidR="009B1724">
        <w:rPr>
          <w:rFonts w:ascii="Verdana" w:hAnsi="Verdana"/>
          <w:sz w:val="20"/>
          <w:szCs w:val="20"/>
        </w:rPr>
        <w:t>[</w:t>
      </w:r>
      <w:r w:rsidR="001119F7" w:rsidRPr="000E096A">
        <w:rPr>
          <w:rFonts w:ascii="Verdana" w:hAnsi="Verdana"/>
          <w:sz w:val="20"/>
          <w:szCs w:val="20"/>
        </w:rPr>
        <w:t>tal</w:t>
      </w:r>
      <w:r w:rsidR="009B1724">
        <w:rPr>
          <w:rFonts w:ascii="Verdana" w:hAnsi="Verdana"/>
          <w:sz w:val="20"/>
          <w:szCs w:val="20"/>
        </w:rPr>
        <w:t>]</w:t>
      </w:r>
      <w:r w:rsidR="001119F7" w:rsidRPr="000E096A">
        <w:rPr>
          <w:rFonts w:ascii="Verdana" w:hAnsi="Verdana"/>
          <w:sz w:val="20"/>
          <w:szCs w:val="20"/>
        </w:rPr>
        <w:t xml:space="preserve"> como lo [fue] </w:t>
      </w:r>
      <w:r w:rsidR="009B1724">
        <w:rPr>
          <w:rFonts w:ascii="Verdana" w:hAnsi="Verdana"/>
          <w:sz w:val="20"/>
          <w:szCs w:val="20"/>
        </w:rPr>
        <w:t>en esta</w:t>
      </w:r>
      <w:r w:rsidR="001119F7" w:rsidRPr="000E096A">
        <w:rPr>
          <w:rFonts w:ascii="Verdana" w:hAnsi="Verdana"/>
          <w:sz w:val="20"/>
          <w:szCs w:val="20"/>
        </w:rPr>
        <w:t xml:space="preserve"> causa” de revisión y anulación de las sentencias de la causa Rol No. 1-73, el “recurso de revisión</w:t>
      </w:r>
      <w:r w:rsidR="001119F7" w:rsidRPr="000E096A">
        <w:rPr>
          <w:rFonts w:ascii="Verdana" w:hAnsi="Verdana"/>
          <w:sz w:val="16"/>
          <w:szCs w:val="16"/>
        </w:rPr>
        <w:t xml:space="preserve"> </w:t>
      </w:r>
      <w:r w:rsidR="00AC4CBC" w:rsidRPr="000E096A">
        <w:rPr>
          <w:rFonts w:ascii="Verdana" w:hAnsi="Verdana"/>
          <w:sz w:val="20"/>
          <w:szCs w:val="20"/>
        </w:rPr>
        <w:t xml:space="preserve">previsto en el título VII del libro III del Código de Procesamiento Penal, </w:t>
      </w:r>
      <w:r w:rsidR="001119F7" w:rsidRPr="000E096A">
        <w:rPr>
          <w:rFonts w:ascii="Verdana" w:hAnsi="Verdana"/>
          <w:sz w:val="20"/>
          <w:szCs w:val="20"/>
        </w:rPr>
        <w:t xml:space="preserve">[es la] </w:t>
      </w:r>
      <w:r w:rsidR="00AC4CBC" w:rsidRPr="000E096A">
        <w:rPr>
          <w:rFonts w:ascii="Verdana" w:hAnsi="Verdana"/>
          <w:sz w:val="20"/>
          <w:szCs w:val="20"/>
        </w:rPr>
        <w:t xml:space="preserve">herramienta que </w:t>
      </w:r>
      <w:r w:rsidR="001119F7" w:rsidRPr="000E096A">
        <w:rPr>
          <w:rFonts w:ascii="Verdana" w:hAnsi="Verdana"/>
          <w:sz w:val="20"/>
          <w:szCs w:val="20"/>
        </w:rPr>
        <w:t xml:space="preserve">entonces debe ser la vía procesal para que quienes fueron condenados en otros Consejos de Guerra distintos al objeto de esta causa puedan instar la revisión de las respectivas sentencias, de estimar quienes fueron condenados en ellas o terceros con legitimación legal para </w:t>
      </w:r>
      <w:r w:rsidR="001119F7" w:rsidRPr="000E096A">
        <w:rPr>
          <w:rFonts w:ascii="Verdana" w:hAnsi="Verdana"/>
          <w:sz w:val="20"/>
          <w:szCs w:val="20"/>
        </w:rPr>
        <w:lastRenderedPageBreak/>
        <w:t xml:space="preserve">accionar, que las circunstancias en que se dictaron dichos fallos, ameritan </w:t>
      </w:r>
      <w:r w:rsidR="009B1724">
        <w:rPr>
          <w:rFonts w:ascii="Verdana" w:hAnsi="Verdana"/>
          <w:sz w:val="20"/>
          <w:szCs w:val="20"/>
        </w:rPr>
        <w:t xml:space="preserve">su invalidación </w:t>
      </w:r>
      <w:r w:rsidR="001119F7" w:rsidRPr="000E096A">
        <w:rPr>
          <w:rFonts w:ascii="Verdana" w:hAnsi="Verdana"/>
          <w:sz w:val="20"/>
          <w:szCs w:val="20"/>
        </w:rPr>
        <w:t>por configurarse en el caso alguna causa legal que lo amerite”</w:t>
      </w:r>
      <w:r w:rsidR="001119F7" w:rsidRPr="000E096A">
        <w:rPr>
          <w:rStyle w:val="FootnoteReference"/>
          <w:rFonts w:ascii="Verdana" w:hAnsi="Verdana"/>
          <w:sz w:val="20"/>
          <w:szCs w:val="20"/>
        </w:rPr>
        <w:footnoteReference w:id="47"/>
      </w:r>
      <w:r w:rsidR="001119F7" w:rsidRPr="000E096A">
        <w:rPr>
          <w:rFonts w:ascii="Verdana" w:hAnsi="Verdana"/>
          <w:sz w:val="20"/>
          <w:szCs w:val="20"/>
        </w:rPr>
        <w:t xml:space="preserve">. </w:t>
      </w:r>
    </w:p>
    <w:p w:rsidR="0066208F" w:rsidRPr="00A55ED5" w:rsidRDefault="002B152B" w:rsidP="007E5325">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sidRPr="00BA7765">
        <w:rPr>
          <w:rFonts w:ascii="Verdana" w:hAnsi="Verdana"/>
          <w:sz w:val="20"/>
          <w:szCs w:val="20"/>
        </w:rPr>
        <w:t>En primer lugar, l</w:t>
      </w:r>
      <w:r w:rsidR="00FA772F" w:rsidRPr="00BA7765">
        <w:rPr>
          <w:rFonts w:ascii="Verdana" w:hAnsi="Verdana"/>
          <w:sz w:val="20"/>
          <w:szCs w:val="20"/>
        </w:rPr>
        <w:t xml:space="preserve">a Corte valora </w:t>
      </w:r>
      <w:r w:rsidR="00FA772F" w:rsidRPr="00631E86">
        <w:rPr>
          <w:rFonts w:ascii="Verdana" w:hAnsi="Verdana"/>
          <w:sz w:val="20"/>
          <w:szCs w:val="20"/>
        </w:rPr>
        <w:t xml:space="preserve">positivamente </w:t>
      </w:r>
      <w:r w:rsidR="006433AC" w:rsidRPr="00631E86">
        <w:rPr>
          <w:rFonts w:ascii="Verdana" w:hAnsi="Verdana"/>
          <w:sz w:val="20"/>
          <w:szCs w:val="20"/>
        </w:rPr>
        <w:t xml:space="preserve">que </w:t>
      </w:r>
      <w:r w:rsidR="00655134" w:rsidRPr="00631E86">
        <w:rPr>
          <w:rFonts w:ascii="Verdana" w:hAnsi="Verdana"/>
          <w:sz w:val="20"/>
          <w:szCs w:val="20"/>
        </w:rPr>
        <w:t xml:space="preserve">para dar cumplimiento a esta medida se haya tomado en cuenta la propuesta de los representantes </w:t>
      </w:r>
      <w:r w:rsidR="009B1724">
        <w:rPr>
          <w:rFonts w:ascii="Verdana" w:hAnsi="Verdana"/>
          <w:sz w:val="20"/>
          <w:szCs w:val="20"/>
        </w:rPr>
        <w:t xml:space="preserve">de las víctimas </w:t>
      </w:r>
      <w:r w:rsidR="00655134" w:rsidRPr="00631E86">
        <w:rPr>
          <w:rFonts w:ascii="Verdana" w:hAnsi="Verdana"/>
          <w:sz w:val="20"/>
          <w:szCs w:val="20"/>
        </w:rPr>
        <w:t>de plantear un recurso de revisión (</w:t>
      </w:r>
      <w:r w:rsidR="00655134" w:rsidRPr="00631E86">
        <w:rPr>
          <w:rFonts w:ascii="Verdana" w:hAnsi="Verdana"/>
          <w:i/>
          <w:sz w:val="20"/>
          <w:szCs w:val="20"/>
        </w:rPr>
        <w:t>supra</w:t>
      </w:r>
      <w:r w:rsidR="00655134" w:rsidRPr="00631E86">
        <w:rPr>
          <w:rFonts w:ascii="Verdana" w:hAnsi="Verdana"/>
          <w:sz w:val="20"/>
          <w:szCs w:val="20"/>
        </w:rPr>
        <w:t xml:space="preserve"> Considerandos 25 y 26). </w:t>
      </w:r>
      <w:r w:rsidR="009B1724">
        <w:rPr>
          <w:rFonts w:ascii="Verdana" w:hAnsi="Verdana"/>
          <w:sz w:val="20"/>
          <w:szCs w:val="20"/>
        </w:rPr>
        <w:t>En segundo lugar</w:t>
      </w:r>
      <w:r w:rsidR="00655134" w:rsidRPr="00631E86">
        <w:rPr>
          <w:rFonts w:ascii="Verdana" w:hAnsi="Verdana"/>
          <w:sz w:val="20"/>
          <w:szCs w:val="20"/>
        </w:rPr>
        <w:t xml:space="preserve">, </w:t>
      </w:r>
      <w:r w:rsidR="001E2F3D">
        <w:rPr>
          <w:rFonts w:ascii="Verdana" w:hAnsi="Verdana"/>
          <w:sz w:val="20"/>
          <w:szCs w:val="20"/>
        </w:rPr>
        <w:t>el Tribunal</w:t>
      </w:r>
      <w:r w:rsidR="00655134" w:rsidRPr="00631E86">
        <w:rPr>
          <w:rFonts w:ascii="Verdana" w:hAnsi="Verdana"/>
          <w:sz w:val="20"/>
          <w:szCs w:val="20"/>
        </w:rPr>
        <w:t xml:space="preserve"> considera muy positivo que </w:t>
      </w:r>
      <w:r w:rsidR="00FA772F" w:rsidRPr="00631E86">
        <w:rPr>
          <w:rFonts w:ascii="Verdana" w:hAnsi="Verdana"/>
          <w:sz w:val="20"/>
          <w:szCs w:val="20"/>
        </w:rPr>
        <w:t>la interposición del referido recurso de revisión</w:t>
      </w:r>
      <w:r w:rsidRPr="00631E86">
        <w:rPr>
          <w:rFonts w:ascii="Verdana" w:hAnsi="Verdana"/>
          <w:sz w:val="20"/>
          <w:szCs w:val="20"/>
        </w:rPr>
        <w:t xml:space="preserve"> haya</w:t>
      </w:r>
      <w:r w:rsidRPr="00BA7765">
        <w:rPr>
          <w:rFonts w:ascii="Verdana" w:hAnsi="Verdana"/>
          <w:sz w:val="20"/>
          <w:szCs w:val="20"/>
        </w:rPr>
        <w:t xml:space="preserve"> sido </w:t>
      </w:r>
      <w:r w:rsidR="006433AC" w:rsidRPr="00BA7765">
        <w:rPr>
          <w:rFonts w:ascii="Verdana" w:hAnsi="Verdana"/>
          <w:sz w:val="20"/>
          <w:szCs w:val="20"/>
        </w:rPr>
        <w:t>realizada</w:t>
      </w:r>
      <w:r w:rsidRPr="00BA7765">
        <w:rPr>
          <w:rFonts w:ascii="Verdana" w:hAnsi="Verdana"/>
          <w:sz w:val="20"/>
          <w:szCs w:val="20"/>
        </w:rPr>
        <w:t xml:space="preserve"> de oficio</w:t>
      </w:r>
      <w:r w:rsidR="00FA772F" w:rsidRPr="00BA7765">
        <w:rPr>
          <w:rFonts w:ascii="Verdana" w:hAnsi="Verdana"/>
          <w:sz w:val="20"/>
          <w:szCs w:val="20"/>
        </w:rPr>
        <w:t xml:space="preserve"> </w:t>
      </w:r>
      <w:r w:rsidRPr="00BA7765">
        <w:rPr>
          <w:rFonts w:ascii="Verdana" w:hAnsi="Verdana"/>
          <w:sz w:val="20"/>
          <w:szCs w:val="20"/>
        </w:rPr>
        <w:t>por autoridades estatales (</w:t>
      </w:r>
      <w:r w:rsidRPr="00BA7765">
        <w:rPr>
          <w:rFonts w:ascii="Verdana" w:hAnsi="Verdana"/>
          <w:i/>
          <w:sz w:val="20"/>
          <w:szCs w:val="20"/>
        </w:rPr>
        <w:t>supra</w:t>
      </w:r>
      <w:r w:rsidRPr="00BA7765">
        <w:rPr>
          <w:rFonts w:ascii="Verdana" w:hAnsi="Verdana"/>
          <w:sz w:val="20"/>
          <w:szCs w:val="20"/>
        </w:rPr>
        <w:t xml:space="preserve"> Considerando</w:t>
      </w:r>
      <w:r w:rsidR="009B1724">
        <w:rPr>
          <w:rFonts w:ascii="Verdana" w:hAnsi="Verdana"/>
          <w:sz w:val="20"/>
          <w:szCs w:val="20"/>
        </w:rPr>
        <w:t>s</w:t>
      </w:r>
      <w:r w:rsidRPr="00BA7765">
        <w:rPr>
          <w:rFonts w:ascii="Verdana" w:hAnsi="Verdana"/>
          <w:sz w:val="20"/>
          <w:szCs w:val="20"/>
        </w:rPr>
        <w:t xml:space="preserve"> </w:t>
      </w:r>
      <w:r w:rsidR="009B1724">
        <w:rPr>
          <w:rFonts w:ascii="Verdana" w:hAnsi="Verdana"/>
          <w:sz w:val="20"/>
          <w:szCs w:val="20"/>
        </w:rPr>
        <w:t>25 y 33</w:t>
      </w:r>
      <w:r w:rsidRPr="00BA7765">
        <w:rPr>
          <w:rFonts w:ascii="Verdana" w:hAnsi="Verdana"/>
          <w:sz w:val="20"/>
          <w:szCs w:val="20"/>
        </w:rPr>
        <w:t>), evitando así que las víctimas hayan tenido que promover por su cuenta acciones adicionales para procurar el cumplimiento de la reparación ordenada</w:t>
      </w:r>
      <w:r w:rsidRPr="001470FC">
        <w:rPr>
          <w:rStyle w:val="FootnoteReference"/>
          <w:rFonts w:ascii="Verdana" w:hAnsi="Verdana"/>
          <w:sz w:val="20"/>
          <w:szCs w:val="20"/>
        </w:rPr>
        <w:footnoteReference w:id="48"/>
      </w:r>
      <w:r w:rsidRPr="001470FC">
        <w:rPr>
          <w:rFonts w:ascii="Verdana" w:hAnsi="Verdana"/>
          <w:sz w:val="20"/>
          <w:szCs w:val="20"/>
        </w:rPr>
        <w:t>.</w:t>
      </w:r>
      <w:r w:rsidR="00B42FD6">
        <w:rPr>
          <w:rFonts w:ascii="Verdana" w:hAnsi="Verdana"/>
          <w:sz w:val="20"/>
          <w:szCs w:val="20"/>
        </w:rPr>
        <w:t xml:space="preserve"> </w:t>
      </w:r>
      <w:r w:rsidR="009B1724">
        <w:rPr>
          <w:rFonts w:ascii="Verdana" w:hAnsi="Verdana"/>
          <w:sz w:val="20"/>
          <w:szCs w:val="20"/>
        </w:rPr>
        <w:t>En tercer lugar</w:t>
      </w:r>
      <w:r w:rsidRPr="00BA7765">
        <w:rPr>
          <w:rFonts w:ascii="Verdana" w:hAnsi="Verdana"/>
          <w:sz w:val="20"/>
          <w:szCs w:val="20"/>
        </w:rPr>
        <w:t xml:space="preserve">, es necesario resaltar que </w:t>
      </w:r>
      <w:r w:rsidR="004E7163">
        <w:rPr>
          <w:rFonts w:ascii="Verdana" w:hAnsi="Verdana"/>
          <w:sz w:val="20"/>
          <w:szCs w:val="20"/>
        </w:rPr>
        <w:t xml:space="preserve">a través de dicha decisión de octubre de 2016 </w:t>
      </w:r>
      <w:r w:rsidR="00B42FD6">
        <w:rPr>
          <w:rFonts w:ascii="Verdana" w:hAnsi="Verdana"/>
          <w:sz w:val="20"/>
          <w:szCs w:val="20"/>
        </w:rPr>
        <w:t xml:space="preserve">la Segunda </w:t>
      </w:r>
      <w:r w:rsidR="009B1724">
        <w:rPr>
          <w:rFonts w:ascii="Verdana" w:hAnsi="Verdana"/>
          <w:sz w:val="20"/>
          <w:szCs w:val="20"/>
        </w:rPr>
        <w:t xml:space="preserve">Sala </w:t>
      </w:r>
      <w:r w:rsidR="00B42FD6">
        <w:rPr>
          <w:rFonts w:ascii="Verdana" w:hAnsi="Verdana"/>
          <w:sz w:val="20"/>
          <w:szCs w:val="20"/>
        </w:rPr>
        <w:t>de la Corte Suprema fue capaz de dotar a</w:t>
      </w:r>
      <w:r w:rsidRPr="00BA7765">
        <w:rPr>
          <w:rFonts w:ascii="Verdana" w:hAnsi="Verdana"/>
          <w:sz w:val="20"/>
          <w:szCs w:val="20"/>
        </w:rPr>
        <w:t xml:space="preserve">l recurso de revisión </w:t>
      </w:r>
      <w:r w:rsidR="00B42FD6">
        <w:rPr>
          <w:rFonts w:ascii="Verdana" w:hAnsi="Verdana"/>
          <w:sz w:val="20"/>
          <w:szCs w:val="20"/>
        </w:rPr>
        <w:t xml:space="preserve">de la capacidad de garantizar </w:t>
      </w:r>
      <w:r w:rsidRPr="00BA7765">
        <w:rPr>
          <w:rFonts w:ascii="Verdana" w:hAnsi="Verdana"/>
          <w:sz w:val="20"/>
          <w:szCs w:val="20"/>
        </w:rPr>
        <w:t xml:space="preserve">un mecanismo rápido y efectivo para </w:t>
      </w:r>
      <w:r w:rsidR="00B42FD6">
        <w:rPr>
          <w:rFonts w:ascii="Verdana" w:hAnsi="Verdana"/>
          <w:sz w:val="20"/>
          <w:szCs w:val="20"/>
        </w:rPr>
        <w:t xml:space="preserve">revisar </w:t>
      </w:r>
      <w:r w:rsidRPr="00BA7765">
        <w:rPr>
          <w:rFonts w:ascii="Verdana" w:hAnsi="Verdana"/>
          <w:sz w:val="20"/>
          <w:szCs w:val="20"/>
        </w:rPr>
        <w:t>las sentencias condenatorias proferidas</w:t>
      </w:r>
      <w:r w:rsidR="009B1724">
        <w:rPr>
          <w:rFonts w:ascii="Verdana" w:hAnsi="Verdana"/>
          <w:sz w:val="20"/>
          <w:szCs w:val="20"/>
        </w:rPr>
        <w:t>,</w:t>
      </w:r>
      <w:r w:rsidRPr="00BA7765">
        <w:rPr>
          <w:rFonts w:ascii="Verdana" w:hAnsi="Verdana"/>
          <w:sz w:val="20"/>
          <w:szCs w:val="20"/>
        </w:rPr>
        <w:t xml:space="preserve"> </w:t>
      </w:r>
      <w:r w:rsidR="009B1724">
        <w:rPr>
          <w:rFonts w:ascii="Verdana" w:hAnsi="Verdana"/>
          <w:sz w:val="20"/>
          <w:szCs w:val="20"/>
        </w:rPr>
        <w:t xml:space="preserve">en contravención de las garantías del debido proceso, </w:t>
      </w:r>
      <w:r w:rsidR="00B42FD6">
        <w:rPr>
          <w:rFonts w:ascii="Verdana" w:hAnsi="Verdana"/>
          <w:sz w:val="20"/>
          <w:szCs w:val="20"/>
        </w:rPr>
        <w:t xml:space="preserve">durante la dictadura </w:t>
      </w:r>
      <w:r w:rsidR="00655134">
        <w:rPr>
          <w:rFonts w:ascii="Verdana" w:hAnsi="Verdana"/>
          <w:sz w:val="20"/>
          <w:szCs w:val="20"/>
        </w:rPr>
        <w:t xml:space="preserve">militar </w:t>
      </w:r>
      <w:r w:rsidR="00B42FD6" w:rsidRPr="008451E3">
        <w:rPr>
          <w:rFonts w:ascii="Verdana" w:hAnsi="Verdana"/>
          <w:sz w:val="20"/>
          <w:szCs w:val="20"/>
        </w:rPr>
        <w:t>por los Consejos de Guerra</w:t>
      </w:r>
      <w:r w:rsidR="006C72FE" w:rsidRPr="00BA7765">
        <w:rPr>
          <w:rFonts w:ascii="Verdana" w:hAnsi="Verdana"/>
          <w:sz w:val="20"/>
          <w:szCs w:val="20"/>
        </w:rPr>
        <w:t xml:space="preserve">. </w:t>
      </w:r>
      <w:r w:rsidR="00EF0101">
        <w:rPr>
          <w:rFonts w:ascii="Verdana" w:hAnsi="Verdana"/>
          <w:sz w:val="20"/>
          <w:szCs w:val="20"/>
        </w:rPr>
        <w:t xml:space="preserve">Es destacable que </w:t>
      </w:r>
      <w:r w:rsidR="004E7163">
        <w:rPr>
          <w:rFonts w:ascii="Verdana" w:hAnsi="Verdana"/>
          <w:sz w:val="20"/>
          <w:szCs w:val="20"/>
        </w:rPr>
        <w:t>no se</w:t>
      </w:r>
      <w:r w:rsidR="00655134">
        <w:rPr>
          <w:rFonts w:ascii="Verdana" w:hAnsi="Verdana"/>
          <w:sz w:val="20"/>
          <w:szCs w:val="20"/>
        </w:rPr>
        <w:t xml:space="preserve"> haya</w:t>
      </w:r>
      <w:r w:rsidR="004E7163">
        <w:rPr>
          <w:rFonts w:ascii="Verdana" w:hAnsi="Verdana"/>
          <w:sz w:val="20"/>
          <w:szCs w:val="20"/>
        </w:rPr>
        <w:t xml:space="preserve"> requ</w:t>
      </w:r>
      <w:r w:rsidR="00655134">
        <w:rPr>
          <w:rFonts w:ascii="Verdana" w:hAnsi="Verdana"/>
          <w:sz w:val="20"/>
          <w:szCs w:val="20"/>
        </w:rPr>
        <w:t>erido</w:t>
      </w:r>
      <w:r w:rsidR="004E7163">
        <w:rPr>
          <w:rFonts w:ascii="Verdana" w:hAnsi="Verdana"/>
          <w:sz w:val="20"/>
          <w:szCs w:val="20"/>
        </w:rPr>
        <w:t xml:space="preserve"> de la creación de un nuevo recurso o de una causal adicional de revisión para </w:t>
      </w:r>
      <w:r w:rsidR="00655134">
        <w:rPr>
          <w:rFonts w:ascii="Verdana" w:hAnsi="Verdana"/>
          <w:sz w:val="20"/>
          <w:szCs w:val="20"/>
        </w:rPr>
        <w:t xml:space="preserve">que </w:t>
      </w:r>
      <w:r w:rsidR="00EF0101">
        <w:rPr>
          <w:rFonts w:ascii="Verdana" w:hAnsi="Verdana"/>
          <w:sz w:val="20"/>
          <w:szCs w:val="20"/>
        </w:rPr>
        <w:t xml:space="preserve">dicho alto tribunal interno </w:t>
      </w:r>
      <w:r w:rsidR="004E7163">
        <w:rPr>
          <w:rFonts w:ascii="Verdana" w:hAnsi="Verdana"/>
          <w:sz w:val="20"/>
          <w:szCs w:val="20"/>
        </w:rPr>
        <w:t>dotara de efectividad al recurso de revisión penal</w:t>
      </w:r>
      <w:r w:rsidR="00071360">
        <w:rPr>
          <w:rFonts w:ascii="Verdana" w:hAnsi="Verdana"/>
          <w:sz w:val="20"/>
          <w:szCs w:val="20"/>
        </w:rPr>
        <w:t xml:space="preserve"> (</w:t>
      </w:r>
      <w:r w:rsidR="00071360" w:rsidRPr="00251822">
        <w:rPr>
          <w:rFonts w:ascii="Verdana" w:hAnsi="Verdana"/>
          <w:i/>
          <w:sz w:val="20"/>
          <w:szCs w:val="20"/>
        </w:rPr>
        <w:t>supra</w:t>
      </w:r>
      <w:r w:rsidR="00071360">
        <w:rPr>
          <w:rFonts w:ascii="Verdana" w:hAnsi="Verdana"/>
          <w:sz w:val="20"/>
          <w:szCs w:val="20"/>
        </w:rPr>
        <w:t xml:space="preserve"> Considerando 29)</w:t>
      </w:r>
      <w:r w:rsidR="004E7163">
        <w:rPr>
          <w:rFonts w:ascii="Verdana" w:hAnsi="Verdana"/>
          <w:sz w:val="20"/>
          <w:szCs w:val="20"/>
        </w:rPr>
        <w:t xml:space="preserve">. </w:t>
      </w:r>
      <w:r w:rsidR="006C72FE" w:rsidRPr="00BA7765">
        <w:rPr>
          <w:rFonts w:ascii="Verdana" w:hAnsi="Verdana"/>
          <w:sz w:val="20"/>
          <w:szCs w:val="20"/>
        </w:rPr>
        <w:t>Es además altamente satisfactorio que el resultado de tal revisión haya sido la</w:t>
      </w:r>
      <w:r w:rsidR="006433AC" w:rsidRPr="00BA7765">
        <w:rPr>
          <w:rFonts w:ascii="Verdana" w:hAnsi="Verdana"/>
          <w:sz w:val="20"/>
          <w:szCs w:val="20"/>
        </w:rPr>
        <w:t xml:space="preserve"> anulación</w:t>
      </w:r>
      <w:r w:rsidR="006C72FE" w:rsidRPr="00BA7765">
        <w:rPr>
          <w:rFonts w:ascii="Verdana" w:hAnsi="Verdana"/>
          <w:sz w:val="20"/>
          <w:szCs w:val="20"/>
        </w:rPr>
        <w:t xml:space="preserve"> de esas sentencias con un alcance mayor a las víctimas del caso (</w:t>
      </w:r>
      <w:r w:rsidR="006C72FE" w:rsidRPr="00BA7765">
        <w:rPr>
          <w:rFonts w:ascii="Verdana" w:hAnsi="Verdana"/>
          <w:i/>
          <w:sz w:val="20"/>
          <w:szCs w:val="20"/>
        </w:rPr>
        <w:t>supra</w:t>
      </w:r>
      <w:r w:rsidR="006C72FE" w:rsidRPr="00BA7765">
        <w:rPr>
          <w:rFonts w:ascii="Verdana" w:hAnsi="Verdana"/>
          <w:sz w:val="20"/>
          <w:szCs w:val="20"/>
        </w:rPr>
        <w:t xml:space="preserve"> Considerando </w:t>
      </w:r>
      <w:r w:rsidR="00655134">
        <w:rPr>
          <w:rFonts w:ascii="Verdana" w:hAnsi="Verdana"/>
          <w:sz w:val="20"/>
          <w:szCs w:val="20"/>
        </w:rPr>
        <w:t>3</w:t>
      </w:r>
      <w:r w:rsidR="00071360">
        <w:rPr>
          <w:rFonts w:ascii="Verdana" w:hAnsi="Verdana"/>
          <w:sz w:val="20"/>
          <w:szCs w:val="20"/>
        </w:rPr>
        <w:t>4</w:t>
      </w:r>
      <w:r w:rsidR="00655134" w:rsidRPr="00BA7765">
        <w:rPr>
          <w:rFonts w:ascii="Verdana" w:hAnsi="Verdana"/>
          <w:sz w:val="20"/>
          <w:szCs w:val="20"/>
        </w:rPr>
        <w:t xml:space="preserve">). </w:t>
      </w:r>
    </w:p>
    <w:p w:rsidR="0021327C" w:rsidRPr="00631E86" w:rsidRDefault="00A55ED5" w:rsidP="007E5325">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sidRPr="0067100C">
        <w:rPr>
          <w:rFonts w:ascii="Verdana" w:hAnsi="Verdana"/>
          <w:sz w:val="20"/>
          <w:szCs w:val="20"/>
        </w:rPr>
        <w:t>La Corte</w:t>
      </w:r>
      <w:r w:rsidRPr="00631E86">
        <w:rPr>
          <w:rFonts w:ascii="Verdana" w:hAnsi="Verdana"/>
          <w:sz w:val="20"/>
          <w:szCs w:val="20"/>
        </w:rPr>
        <w:t xml:space="preserve"> </w:t>
      </w:r>
      <w:r w:rsidR="000F7BC1" w:rsidRPr="00631E86">
        <w:rPr>
          <w:rFonts w:ascii="Verdana" w:hAnsi="Verdana"/>
          <w:sz w:val="20"/>
          <w:szCs w:val="20"/>
        </w:rPr>
        <w:t>destaca</w:t>
      </w:r>
      <w:r w:rsidRPr="00631E86">
        <w:rPr>
          <w:rFonts w:ascii="Verdana" w:hAnsi="Verdana"/>
          <w:sz w:val="20"/>
          <w:szCs w:val="20"/>
        </w:rPr>
        <w:t xml:space="preserve"> que</w:t>
      </w:r>
      <w:r w:rsidR="000F7BC1" w:rsidRPr="00631E86">
        <w:rPr>
          <w:rFonts w:ascii="Verdana" w:hAnsi="Verdana"/>
          <w:sz w:val="20"/>
          <w:szCs w:val="20"/>
        </w:rPr>
        <w:t xml:space="preserve"> la</w:t>
      </w:r>
      <w:r w:rsidRPr="00631E86">
        <w:rPr>
          <w:rFonts w:ascii="Verdana" w:hAnsi="Verdana"/>
          <w:sz w:val="20"/>
          <w:szCs w:val="20"/>
        </w:rPr>
        <w:t xml:space="preserve"> posición asumida por la Segunda </w:t>
      </w:r>
      <w:r w:rsidR="0067100C" w:rsidRPr="00631E86">
        <w:rPr>
          <w:rFonts w:ascii="Verdana" w:hAnsi="Verdana"/>
          <w:sz w:val="20"/>
          <w:szCs w:val="20"/>
        </w:rPr>
        <w:t xml:space="preserve">Sala </w:t>
      </w:r>
      <w:r w:rsidRPr="00631E86">
        <w:rPr>
          <w:rFonts w:ascii="Verdana" w:hAnsi="Verdana"/>
          <w:sz w:val="20"/>
          <w:szCs w:val="20"/>
        </w:rPr>
        <w:t xml:space="preserve">de la Corte Suprema </w:t>
      </w:r>
      <w:r w:rsidR="00BE6476" w:rsidRPr="00631E86">
        <w:rPr>
          <w:rFonts w:ascii="Verdana" w:hAnsi="Verdana"/>
          <w:sz w:val="20"/>
          <w:szCs w:val="20"/>
        </w:rPr>
        <w:t>en esta oportunidad cambió</w:t>
      </w:r>
      <w:r w:rsidRPr="00631E86">
        <w:rPr>
          <w:rFonts w:ascii="Verdana" w:hAnsi="Verdana"/>
          <w:sz w:val="20"/>
          <w:szCs w:val="20"/>
        </w:rPr>
        <w:t xml:space="preserve"> la interpretación que tuvo en el pasado </w:t>
      </w:r>
      <w:r w:rsidR="0067100C">
        <w:rPr>
          <w:rFonts w:ascii="Verdana" w:hAnsi="Verdana"/>
          <w:sz w:val="20"/>
          <w:szCs w:val="20"/>
        </w:rPr>
        <w:t>dicho tribun</w:t>
      </w:r>
      <w:r w:rsidR="00251822">
        <w:rPr>
          <w:rFonts w:ascii="Verdana" w:hAnsi="Verdana"/>
          <w:sz w:val="20"/>
          <w:szCs w:val="20"/>
        </w:rPr>
        <w:t>al</w:t>
      </w:r>
      <w:r w:rsidR="0067100C">
        <w:rPr>
          <w:rFonts w:ascii="Verdana" w:hAnsi="Verdana"/>
          <w:sz w:val="20"/>
          <w:szCs w:val="20"/>
        </w:rPr>
        <w:t xml:space="preserve"> interno </w:t>
      </w:r>
      <w:r w:rsidRPr="00631E86">
        <w:rPr>
          <w:rFonts w:ascii="Verdana" w:hAnsi="Verdana"/>
          <w:sz w:val="20"/>
          <w:szCs w:val="20"/>
        </w:rPr>
        <w:t>al r</w:t>
      </w:r>
      <w:r w:rsidR="00BE6476" w:rsidRPr="00631E86">
        <w:rPr>
          <w:rFonts w:ascii="Verdana" w:hAnsi="Verdana"/>
          <w:sz w:val="20"/>
          <w:szCs w:val="20"/>
        </w:rPr>
        <w:t>echazar</w:t>
      </w:r>
      <w:r w:rsidRPr="00631E86">
        <w:rPr>
          <w:rFonts w:ascii="Verdana" w:hAnsi="Verdana"/>
          <w:sz w:val="20"/>
          <w:szCs w:val="20"/>
        </w:rPr>
        <w:t xml:space="preserve"> </w:t>
      </w:r>
      <w:r w:rsidR="000F7BC1" w:rsidRPr="00631E86">
        <w:rPr>
          <w:rFonts w:ascii="Verdana" w:hAnsi="Verdana"/>
          <w:sz w:val="20"/>
          <w:szCs w:val="20"/>
        </w:rPr>
        <w:t xml:space="preserve">en el 2011 un </w:t>
      </w:r>
      <w:r w:rsidRPr="00631E86">
        <w:rPr>
          <w:rFonts w:ascii="Verdana" w:hAnsi="Verdana"/>
          <w:sz w:val="20"/>
          <w:szCs w:val="20"/>
        </w:rPr>
        <w:t>recurso de revisi</w:t>
      </w:r>
      <w:r w:rsidR="000F7BC1" w:rsidRPr="00631E86">
        <w:rPr>
          <w:rFonts w:ascii="Verdana" w:hAnsi="Verdana"/>
          <w:sz w:val="20"/>
          <w:szCs w:val="20"/>
        </w:rPr>
        <w:t xml:space="preserve">ón </w:t>
      </w:r>
      <w:r w:rsidR="00BE6476" w:rsidRPr="00631E86">
        <w:rPr>
          <w:rFonts w:ascii="Verdana" w:hAnsi="Verdana"/>
          <w:sz w:val="20"/>
          <w:szCs w:val="20"/>
        </w:rPr>
        <w:t>interpuesto por personas distintas a las víctimas de este caso que</w:t>
      </w:r>
      <w:r w:rsidR="0067100C">
        <w:rPr>
          <w:rFonts w:ascii="Verdana" w:hAnsi="Verdana"/>
          <w:sz w:val="20"/>
          <w:szCs w:val="20"/>
        </w:rPr>
        <w:t>, al igual que las víctimas de este caso,</w:t>
      </w:r>
      <w:r w:rsidR="00BE6476" w:rsidRPr="00631E86">
        <w:rPr>
          <w:rFonts w:ascii="Verdana" w:hAnsi="Verdana"/>
          <w:sz w:val="20"/>
          <w:szCs w:val="20"/>
        </w:rPr>
        <w:t xml:space="preserve"> habían sido juzgadas y condenadas por Consejos de Guerra en la causa Rol N° 1-73, aduciendo que </w:t>
      </w:r>
      <w:r w:rsidR="0067100C">
        <w:rPr>
          <w:rFonts w:ascii="Verdana" w:hAnsi="Verdana"/>
          <w:sz w:val="20"/>
          <w:szCs w:val="20"/>
        </w:rPr>
        <w:t xml:space="preserve">no podría ser admitido el recurso porque </w:t>
      </w:r>
      <w:r w:rsidR="00BE6476" w:rsidRPr="00631E86">
        <w:rPr>
          <w:rFonts w:ascii="Verdana" w:hAnsi="Verdana"/>
          <w:sz w:val="20"/>
          <w:szCs w:val="20"/>
        </w:rPr>
        <w:t>no se había verificado la ocurrencia</w:t>
      </w:r>
      <w:r w:rsidR="0067100C">
        <w:rPr>
          <w:rFonts w:ascii="Verdana" w:hAnsi="Verdana"/>
          <w:sz w:val="20"/>
          <w:szCs w:val="20"/>
        </w:rPr>
        <w:t xml:space="preserve"> o </w:t>
      </w:r>
      <w:r w:rsidR="00BE6476" w:rsidRPr="00631E86">
        <w:rPr>
          <w:rFonts w:ascii="Verdana" w:hAnsi="Verdana"/>
          <w:sz w:val="20"/>
          <w:szCs w:val="20"/>
        </w:rPr>
        <w:t>descubrimiento</w:t>
      </w:r>
      <w:r w:rsidR="0067100C">
        <w:rPr>
          <w:rFonts w:ascii="Verdana" w:hAnsi="Verdana"/>
          <w:sz w:val="20"/>
          <w:szCs w:val="20"/>
        </w:rPr>
        <w:t xml:space="preserve"> de un hecho nuevo</w:t>
      </w:r>
      <w:r w:rsidR="00BE6476" w:rsidRPr="00631E86">
        <w:rPr>
          <w:rFonts w:ascii="Verdana" w:hAnsi="Verdana"/>
          <w:sz w:val="20"/>
          <w:szCs w:val="20"/>
        </w:rPr>
        <w:t xml:space="preserve"> o </w:t>
      </w:r>
      <w:r w:rsidR="0067100C">
        <w:rPr>
          <w:rFonts w:ascii="Verdana" w:hAnsi="Verdana"/>
          <w:sz w:val="20"/>
          <w:szCs w:val="20"/>
        </w:rPr>
        <w:t xml:space="preserve">la </w:t>
      </w:r>
      <w:r w:rsidR="00BE6476" w:rsidRPr="00631E86">
        <w:rPr>
          <w:rFonts w:ascii="Verdana" w:hAnsi="Verdana"/>
          <w:sz w:val="20"/>
          <w:szCs w:val="20"/>
        </w:rPr>
        <w:t xml:space="preserve">aparición de </w:t>
      </w:r>
      <w:r w:rsidR="0067100C">
        <w:rPr>
          <w:rFonts w:ascii="Verdana" w:hAnsi="Verdana"/>
          <w:sz w:val="20"/>
          <w:szCs w:val="20"/>
        </w:rPr>
        <w:t>algú</w:t>
      </w:r>
      <w:r w:rsidR="00BE6476" w:rsidRPr="00631E86">
        <w:rPr>
          <w:rFonts w:ascii="Verdana" w:hAnsi="Verdana"/>
          <w:sz w:val="20"/>
          <w:szCs w:val="20"/>
        </w:rPr>
        <w:t>n documento que permitiera admitir el recurso, de conformidad con el artículo 657, inciso 4 del Código de Procedimiento Penal</w:t>
      </w:r>
      <w:r w:rsidR="00BE6476" w:rsidRPr="00631E86">
        <w:rPr>
          <w:rStyle w:val="FootnoteReference"/>
          <w:rFonts w:ascii="Verdana" w:hAnsi="Verdana"/>
          <w:sz w:val="20"/>
          <w:szCs w:val="20"/>
        </w:rPr>
        <w:footnoteReference w:id="49"/>
      </w:r>
      <w:r w:rsidR="000735D3">
        <w:rPr>
          <w:rFonts w:ascii="Verdana" w:hAnsi="Verdana"/>
          <w:sz w:val="20"/>
          <w:szCs w:val="20"/>
        </w:rPr>
        <w:t xml:space="preserve"> (</w:t>
      </w:r>
      <w:r w:rsidR="000735D3" w:rsidRPr="000735D3">
        <w:rPr>
          <w:rFonts w:ascii="Verdana" w:hAnsi="Verdana"/>
          <w:i/>
          <w:sz w:val="20"/>
          <w:szCs w:val="20"/>
        </w:rPr>
        <w:t>supra</w:t>
      </w:r>
      <w:r w:rsidR="000735D3">
        <w:rPr>
          <w:rFonts w:ascii="Verdana" w:hAnsi="Verdana"/>
          <w:sz w:val="20"/>
          <w:szCs w:val="20"/>
        </w:rPr>
        <w:t xml:space="preserve"> Considerando</w:t>
      </w:r>
      <w:r w:rsidR="0067100C">
        <w:rPr>
          <w:rFonts w:ascii="Verdana" w:hAnsi="Verdana"/>
          <w:sz w:val="20"/>
          <w:szCs w:val="20"/>
        </w:rPr>
        <w:t>s</w:t>
      </w:r>
      <w:r w:rsidR="000735D3">
        <w:rPr>
          <w:rFonts w:ascii="Verdana" w:hAnsi="Verdana"/>
          <w:sz w:val="20"/>
          <w:szCs w:val="20"/>
        </w:rPr>
        <w:t xml:space="preserve"> </w:t>
      </w:r>
      <w:r w:rsidR="0067100C">
        <w:rPr>
          <w:rFonts w:ascii="Verdana" w:hAnsi="Verdana"/>
          <w:sz w:val="20"/>
          <w:szCs w:val="20"/>
        </w:rPr>
        <w:t>28 y 29</w:t>
      </w:r>
      <w:r w:rsidR="000735D3">
        <w:rPr>
          <w:rFonts w:ascii="Verdana" w:hAnsi="Verdana"/>
          <w:sz w:val="20"/>
          <w:szCs w:val="20"/>
        </w:rPr>
        <w:t>)</w:t>
      </w:r>
      <w:r w:rsidR="00BE6476" w:rsidRPr="00631E86">
        <w:rPr>
          <w:rFonts w:ascii="Verdana" w:hAnsi="Verdana"/>
          <w:sz w:val="20"/>
          <w:szCs w:val="20"/>
        </w:rPr>
        <w:t xml:space="preserve">. En este cambio de interpretación, se destaca </w:t>
      </w:r>
      <w:r w:rsidR="0021327C" w:rsidRPr="00631E86">
        <w:rPr>
          <w:rFonts w:ascii="Verdana" w:hAnsi="Verdana"/>
          <w:sz w:val="20"/>
          <w:szCs w:val="20"/>
        </w:rPr>
        <w:t>el peso</w:t>
      </w:r>
      <w:r w:rsidR="00BE6476" w:rsidRPr="00631E86">
        <w:rPr>
          <w:rFonts w:ascii="Verdana" w:hAnsi="Verdana"/>
          <w:sz w:val="20"/>
          <w:szCs w:val="20"/>
        </w:rPr>
        <w:t xml:space="preserve"> que la Segunda </w:t>
      </w:r>
      <w:r w:rsidR="0067100C" w:rsidRPr="00631E86">
        <w:rPr>
          <w:rFonts w:ascii="Verdana" w:hAnsi="Verdana"/>
          <w:sz w:val="20"/>
          <w:szCs w:val="20"/>
        </w:rPr>
        <w:t xml:space="preserve">Sala </w:t>
      </w:r>
      <w:r w:rsidR="00BE6476" w:rsidRPr="00631E86">
        <w:rPr>
          <w:rFonts w:ascii="Verdana" w:hAnsi="Verdana"/>
          <w:sz w:val="20"/>
          <w:szCs w:val="20"/>
        </w:rPr>
        <w:t xml:space="preserve">de la Corte Suprema de </w:t>
      </w:r>
      <w:r w:rsidR="0067100C">
        <w:rPr>
          <w:rFonts w:ascii="Verdana" w:hAnsi="Verdana"/>
          <w:sz w:val="20"/>
          <w:szCs w:val="20"/>
        </w:rPr>
        <w:t>Chile</w:t>
      </w:r>
      <w:r w:rsidR="0067100C" w:rsidRPr="00631E86">
        <w:rPr>
          <w:rFonts w:ascii="Verdana" w:hAnsi="Verdana"/>
          <w:sz w:val="20"/>
          <w:szCs w:val="20"/>
        </w:rPr>
        <w:t xml:space="preserve"> </w:t>
      </w:r>
      <w:r w:rsidR="00BE6476" w:rsidRPr="00631E86">
        <w:rPr>
          <w:rFonts w:ascii="Verdana" w:hAnsi="Verdana"/>
          <w:sz w:val="20"/>
          <w:szCs w:val="20"/>
        </w:rPr>
        <w:t>dio a la Sentencia de la Corte Interamericana</w:t>
      </w:r>
      <w:r w:rsidR="005C6F27" w:rsidRPr="00631E86">
        <w:rPr>
          <w:rFonts w:ascii="Verdana" w:hAnsi="Verdana"/>
          <w:sz w:val="20"/>
          <w:szCs w:val="20"/>
        </w:rPr>
        <w:t xml:space="preserve"> en el presente caso</w:t>
      </w:r>
      <w:r w:rsidR="00BE6476" w:rsidRPr="00631E86">
        <w:rPr>
          <w:rFonts w:ascii="Verdana" w:hAnsi="Verdana"/>
          <w:sz w:val="20"/>
          <w:szCs w:val="20"/>
        </w:rPr>
        <w:t xml:space="preserve"> como</w:t>
      </w:r>
      <w:r w:rsidR="005C6F27" w:rsidRPr="00631E86">
        <w:rPr>
          <w:rFonts w:ascii="Verdana" w:hAnsi="Verdana"/>
          <w:sz w:val="20"/>
          <w:szCs w:val="20"/>
        </w:rPr>
        <w:t xml:space="preserve"> “elemento de convicción para configurar la causal de revisión planteada” (</w:t>
      </w:r>
      <w:r w:rsidR="005C6F27" w:rsidRPr="00631E86">
        <w:rPr>
          <w:rFonts w:ascii="Verdana" w:hAnsi="Verdana"/>
          <w:i/>
          <w:sz w:val="20"/>
          <w:szCs w:val="20"/>
        </w:rPr>
        <w:t>supra</w:t>
      </w:r>
      <w:r w:rsidR="005C6F27" w:rsidRPr="00631E86">
        <w:rPr>
          <w:rFonts w:ascii="Verdana" w:hAnsi="Verdana"/>
          <w:sz w:val="20"/>
          <w:szCs w:val="20"/>
        </w:rPr>
        <w:t xml:space="preserve"> Considerando </w:t>
      </w:r>
      <w:r w:rsidR="0067100C">
        <w:rPr>
          <w:rFonts w:ascii="Verdana" w:hAnsi="Verdana"/>
          <w:sz w:val="20"/>
          <w:szCs w:val="20"/>
        </w:rPr>
        <w:t>34</w:t>
      </w:r>
      <w:r w:rsidR="0067100C" w:rsidRPr="00631E86">
        <w:rPr>
          <w:rFonts w:ascii="Verdana" w:hAnsi="Verdana"/>
          <w:sz w:val="20"/>
          <w:szCs w:val="20"/>
        </w:rPr>
        <w:t xml:space="preserve">) </w:t>
      </w:r>
      <w:r w:rsidR="00F614AC" w:rsidRPr="00631E86">
        <w:rPr>
          <w:rFonts w:ascii="Verdana" w:hAnsi="Verdana"/>
          <w:sz w:val="20"/>
          <w:szCs w:val="20"/>
        </w:rPr>
        <w:t>y como pauta de interpretación para garantizar el cumplimiento de la reparación ordenada</w:t>
      </w:r>
      <w:r w:rsidR="0021327C" w:rsidRPr="00631E86">
        <w:rPr>
          <w:rFonts w:ascii="Verdana" w:hAnsi="Verdana"/>
          <w:sz w:val="20"/>
          <w:szCs w:val="20"/>
        </w:rPr>
        <w:t>. Al respecto, se destaca lo planteado por el referido tribunal interno en el</w:t>
      </w:r>
      <w:r w:rsidR="0067100C">
        <w:rPr>
          <w:rFonts w:ascii="Verdana" w:hAnsi="Verdana"/>
          <w:sz w:val="20"/>
          <w:szCs w:val="20"/>
        </w:rPr>
        <w:t xml:space="preserve"> considerando </w:t>
      </w:r>
      <w:r w:rsidR="00251822">
        <w:rPr>
          <w:rFonts w:ascii="Verdana" w:hAnsi="Verdana"/>
          <w:sz w:val="20"/>
          <w:szCs w:val="20"/>
        </w:rPr>
        <w:t>undécimo</w:t>
      </w:r>
      <w:r w:rsidR="0067100C">
        <w:rPr>
          <w:rFonts w:ascii="Verdana" w:hAnsi="Verdana"/>
          <w:sz w:val="20"/>
          <w:szCs w:val="20"/>
        </w:rPr>
        <w:t xml:space="preserve"> de su decisión, en</w:t>
      </w:r>
      <w:r w:rsidR="0021327C" w:rsidRPr="00631E86">
        <w:rPr>
          <w:rFonts w:ascii="Verdana" w:hAnsi="Verdana"/>
          <w:sz w:val="20"/>
          <w:szCs w:val="20"/>
        </w:rPr>
        <w:t xml:space="preserve"> </w:t>
      </w:r>
      <w:r w:rsidR="0067100C">
        <w:rPr>
          <w:rFonts w:ascii="Verdana" w:hAnsi="Verdana"/>
          <w:sz w:val="20"/>
          <w:szCs w:val="20"/>
        </w:rPr>
        <w:t xml:space="preserve">el </w:t>
      </w:r>
      <w:r w:rsidR="0021327C" w:rsidRPr="00631E86">
        <w:rPr>
          <w:rFonts w:ascii="Verdana" w:hAnsi="Verdana"/>
          <w:sz w:val="20"/>
          <w:szCs w:val="20"/>
        </w:rPr>
        <w:t xml:space="preserve">sentido de que </w:t>
      </w:r>
    </w:p>
    <w:p w:rsidR="00F614AC" w:rsidRDefault="0021327C" w:rsidP="00044278">
      <w:pPr>
        <w:pStyle w:val="ListParagraph"/>
        <w:tabs>
          <w:tab w:val="left" w:pos="426"/>
          <w:tab w:val="left" w:pos="567"/>
        </w:tabs>
        <w:spacing w:before="120" w:after="120" w:line="240" w:lineRule="auto"/>
        <w:ind w:left="425" w:right="-283"/>
        <w:contextualSpacing w:val="0"/>
        <w:jc w:val="both"/>
        <w:rPr>
          <w:rFonts w:ascii="Verdana" w:hAnsi="Verdana"/>
          <w:i/>
          <w:sz w:val="16"/>
          <w:szCs w:val="16"/>
        </w:rPr>
      </w:pPr>
      <w:r w:rsidRPr="00631E86">
        <w:rPr>
          <w:rFonts w:ascii="Verdana" w:hAnsi="Verdana"/>
          <w:sz w:val="16"/>
          <w:szCs w:val="16"/>
        </w:rPr>
        <w:t xml:space="preserve">[…] </w:t>
      </w:r>
      <w:r w:rsidRPr="00631E86">
        <w:rPr>
          <w:rFonts w:ascii="Verdana" w:hAnsi="Verdana"/>
          <w:b/>
          <w:sz w:val="16"/>
          <w:szCs w:val="16"/>
        </w:rPr>
        <w:t>atender al contenido y resolución del fallo de la C[orte Interamericana]</w:t>
      </w:r>
      <w:r w:rsidRPr="00631E86">
        <w:rPr>
          <w:rFonts w:ascii="Verdana" w:hAnsi="Verdana"/>
          <w:sz w:val="16"/>
          <w:szCs w:val="16"/>
        </w:rPr>
        <w:t xml:space="preserve">, resulta ineludible en esta causa, pues dado el mandato contenido en dicho pronunciamiento al Estado de Chile, ello </w:t>
      </w:r>
      <w:r w:rsidRPr="00631E86">
        <w:rPr>
          <w:rFonts w:ascii="Verdana" w:hAnsi="Verdana"/>
          <w:b/>
          <w:sz w:val="16"/>
          <w:szCs w:val="16"/>
        </w:rPr>
        <w:t>conlleva que la interpretación y aplicación de las disposic</w:t>
      </w:r>
      <w:r w:rsidR="00F614AC" w:rsidRPr="00631E86">
        <w:rPr>
          <w:rFonts w:ascii="Verdana" w:hAnsi="Verdana"/>
          <w:b/>
          <w:sz w:val="16"/>
          <w:szCs w:val="16"/>
        </w:rPr>
        <w:t xml:space="preserve">iones procesales que reglan la acción de revisión </w:t>
      </w:r>
      <w:r w:rsidR="00F614AC" w:rsidRPr="00631E86">
        <w:rPr>
          <w:rFonts w:ascii="Verdana" w:hAnsi="Verdana"/>
          <w:sz w:val="16"/>
          <w:szCs w:val="16"/>
        </w:rPr>
        <w:t xml:space="preserve">que ha sido planteada, contempladas en el Código de Justicia Militar y en el Código de Procedimiento Penal, </w:t>
      </w:r>
      <w:r w:rsidR="00F614AC" w:rsidRPr="00631E86">
        <w:rPr>
          <w:rFonts w:ascii="Verdana" w:hAnsi="Verdana"/>
          <w:b/>
          <w:sz w:val="16"/>
          <w:szCs w:val="16"/>
        </w:rPr>
        <w:t>deberá efectuarse esta vez procurando ajustarse</w:t>
      </w:r>
      <w:r w:rsidR="00F614AC" w:rsidRPr="00631E86">
        <w:rPr>
          <w:rFonts w:ascii="Verdana" w:hAnsi="Verdana"/>
          <w:sz w:val="16"/>
          <w:szCs w:val="16"/>
        </w:rPr>
        <w:t xml:space="preserve"> </w:t>
      </w:r>
      <w:r w:rsidR="00F614AC" w:rsidRPr="00631E86">
        <w:rPr>
          <w:rFonts w:ascii="Verdana" w:hAnsi="Verdana"/>
          <w:b/>
          <w:sz w:val="16"/>
          <w:szCs w:val="16"/>
        </w:rPr>
        <w:t>a lo razonado y decidido por ese tribunal internacional,</w:t>
      </w:r>
      <w:r w:rsidR="00F614AC" w:rsidRPr="00631E86">
        <w:rPr>
          <w:rFonts w:ascii="Verdana" w:hAnsi="Verdana"/>
          <w:sz w:val="16"/>
          <w:szCs w:val="16"/>
        </w:rPr>
        <w:t xml:space="preserve"> para de esa manera resguardar el derecho a la protección judicial que se estimó vulnerado por la ausencia de recursos para revisar las sentencias de condena dictadas en los Consejos de Guerra en el proceso Rol N° 1-73 y, en definitiva hacer posible el mecanismo efectivo y rápido para revisar y poder anular esas sentencias que dispone dicho fallo</w:t>
      </w:r>
      <w:r w:rsidR="00F614AC" w:rsidRPr="00631E86">
        <w:rPr>
          <w:rStyle w:val="FootnoteReference"/>
          <w:rFonts w:ascii="Verdana" w:hAnsi="Verdana"/>
          <w:sz w:val="16"/>
          <w:szCs w:val="16"/>
        </w:rPr>
        <w:footnoteReference w:id="50"/>
      </w:r>
      <w:r w:rsidR="00F614AC" w:rsidRPr="00631E86">
        <w:rPr>
          <w:rFonts w:ascii="Verdana" w:hAnsi="Verdana"/>
          <w:sz w:val="16"/>
          <w:szCs w:val="16"/>
        </w:rPr>
        <w:t>.</w:t>
      </w:r>
      <w:r w:rsidR="00F614AC" w:rsidRPr="00044278">
        <w:rPr>
          <w:rFonts w:ascii="Verdana" w:hAnsi="Verdana"/>
          <w:sz w:val="16"/>
          <w:szCs w:val="16"/>
        </w:rPr>
        <w:t>[…]</w:t>
      </w:r>
      <w:r w:rsidR="00623894" w:rsidRPr="00044278">
        <w:rPr>
          <w:rFonts w:ascii="Verdana" w:hAnsi="Verdana"/>
          <w:sz w:val="16"/>
          <w:szCs w:val="16"/>
        </w:rPr>
        <w:t xml:space="preserve"> </w:t>
      </w:r>
      <w:r w:rsidR="00623894" w:rsidRPr="00044278">
        <w:rPr>
          <w:rFonts w:ascii="Verdana" w:hAnsi="Verdana"/>
          <w:i/>
          <w:sz w:val="16"/>
          <w:szCs w:val="16"/>
        </w:rPr>
        <w:t>(Énfasis añadido)</w:t>
      </w:r>
    </w:p>
    <w:p w:rsidR="00E2700E" w:rsidRPr="00044278" w:rsidRDefault="00E2700E" w:rsidP="00044278">
      <w:pPr>
        <w:pStyle w:val="ListParagraph"/>
        <w:tabs>
          <w:tab w:val="left" w:pos="426"/>
          <w:tab w:val="left" w:pos="567"/>
        </w:tabs>
        <w:spacing w:before="120" w:after="120" w:line="240" w:lineRule="auto"/>
        <w:ind w:left="425" w:right="-283"/>
        <w:contextualSpacing w:val="0"/>
        <w:jc w:val="both"/>
        <w:rPr>
          <w:rFonts w:ascii="Verdana" w:hAnsi="Verdana"/>
          <w:sz w:val="16"/>
          <w:szCs w:val="16"/>
        </w:rPr>
      </w:pPr>
    </w:p>
    <w:p w:rsidR="001772E9" w:rsidRPr="001772E9" w:rsidRDefault="001772E9" w:rsidP="001772E9">
      <w:pPr>
        <w:pStyle w:val="ListParagraph"/>
        <w:numPr>
          <w:ilvl w:val="0"/>
          <w:numId w:val="2"/>
        </w:numPr>
        <w:tabs>
          <w:tab w:val="left" w:pos="0"/>
        </w:tabs>
        <w:spacing w:before="120" w:after="120" w:line="240" w:lineRule="auto"/>
        <w:ind w:left="0" w:right="-709" w:firstLine="0"/>
        <w:contextualSpacing w:val="0"/>
        <w:jc w:val="both"/>
        <w:rPr>
          <w:rFonts w:ascii="Verdana" w:hAnsi="Verdana"/>
          <w:color w:val="0070C0"/>
          <w:sz w:val="16"/>
          <w:szCs w:val="16"/>
        </w:rPr>
      </w:pPr>
      <w:r w:rsidRPr="00086A39">
        <w:rPr>
          <w:rFonts w:ascii="Verdana" w:hAnsi="Verdana"/>
          <w:sz w:val="20"/>
          <w:szCs w:val="20"/>
        </w:rPr>
        <w:lastRenderedPageBreak/>
        <w:t xml:space="preserve">Asimismo, este Tribunal destaca lo afirmado por la Segunda </w:t>
      </w:r>
      <w:r w:rsidR="00623894" w:rsidRPr="00086A39">
        <w:rPr>
          <w:rFonts w:ascii="Verdana" w:hAnsi="Verdana"/>
          <w:sz w:val="20"/>
          <w:szCs w:val="20"/>
        </w:rPr>
        <w:t xml:space="preserve">Sala </w:t>
      </w:r>
      <w:r w:rsidRPr="00086A39">
        <w:rPr>
          <w:rFonts w:ascii="Verdana" w:hAnsi="Verdana"/>
          <w:sz w:val="20"/>
          <w:szCs w:val="20"/>
        </w:rPr>
        <w:t xml:space="preserve">de la Corte Suprema respecto a </w:t>
      </w:r>
      <w:r w:rsidRPr="001772E9">
        <w:rPr>
          <w:rFonts w:ascii="Verdana" w:hAnsi="Verdana"/>
          <w:sz w:val="20"/>
          <w:szCs w:val="20"/>
          <w:lang w:val="es-CR"/>
        </w:rPr>
        <w:t>la</w:t>
      </w:r>
      <w:r w:rsidRPr="001772E9">
        <w:rPr>
          <w:rFonts w:ascii="Verdana" w:hAnsi="Verdana"/>
          <w:sz w:val="20"/>
          <w:lang w:val="es-CR"/>
        </w:rPr>
        <w:t xml:space="preserve"> importancia de optar por interpretaciones que busquen la efectividad de la protección de los derechos humanos</w:t>
      </w:r>
      <w:r>
        <w:rPr>
          <w:rFonts w:ascii="Verdana" w:hAnsi="Verdana"/>
          <w:sz w:val="20"/>
          <w:lang w:val="es-CR"/>
        </w:rPr>
        <w:t xml:space="preserve">. En particular, es relevante lo explicado por dicho tribunal respecto a la </w:t>
      </w:r>
      <w:r w:rsidR="00251822">
        <w:rPr>
          <w:rFonts w:ascii="Verdana" w:hAnsi="Verdana"/>
          <w:sz w:val="20"/>
          <w:lang w:val="es-CR"/>
        </w:rPr>
        <w:t>manera como</w:t>
      </w:r>
      <w:r>
        <w:rPr>
          <w:rFonts w:ascii="Verdana" w:hAnsi="Verdana"/>
          <w:sz w:val="20"/>
          <w:lang w:val="es-CR"/>
        </w:rPr>
        <w:t xml:space="preserve"> </w:t>
      </w:r>
      <w:r w:rsidR="002A21B8">
        <w:rPr>
          <w:rFonts w:ascii="Verdana" w:hAnsi="Verdana"/>
          <w:sz w:val="20"/>
          <w:lang w:val="es-CR"/>
        </w:rPr>
        <w:t>fue</w:t>
      </w:r>
      <w:r>
        <w:rPr>
          <w:rFonts w:ascii="Verdana" w:hAnsi="Verdana"/>
          <w:sz w:val="20"/>
          <w:lang w:val="es-CR"/>
        </w:rPr>
        <w:t xml:space="preserve"> interpretada la causal de revisión prevista en el inciso cuarto del artículo 657 del Código de Procedimiento Penal</w:t>
      </w:r>
      <w:r w:rsidR="002A21B8">
        <w:rPr>
          <w:rFonts w:ascii="Verdana" w:hAnsi="Verdana"/>
          <w:sz w:val="20"/>
          <w:lang w:val="es-CR"/>
        </w:rPr>
        <w:t xml:space="preserve"> para garantizar el cumplimiento de </w:t>
      </w:r>
      <w:r w:rsidR="00623894">
        <w:rPr>
          <w:rFonts w:ascii="Verdana" w:hAnsi="Verdana"/>
          <w:sz w:val="20"/>
          <w:lang w:val="es-CR"/>
        </w:rPr>
        <w:t xml:space="preserve">esta medida de </w:t>
      </w:r>
      <w:r w:rsidR="002A21B8">
        <w:rPr>
          <w:rFonts w:ascii="Verdana" w:hAnsi="Verdana"/>
          <w:sz w:val="20"/>
          <w:lang w:val="es-CR"/>
        </w:rPr>
        <w:t>reparación</w:t>
      </w:r>
      <w:r>
        <w:rPr>
          <w:rFonts w:ascii="Verdana" w:hAnsi="Verdana"/>
          <w:sz w:val="20"/>
          <w:lang w:val="es-CR"/>
        </w:rPr>
        <w:t>. Al respecto</w:t>
      </w:r>
      <w:r w:rsidRPr="001772E9">
        <w:rPr>
          <w:rFonts w:ascii="Verdana" w:hAnsi="Verdana"/>
          <w:sz w:val="20"/>
          <w:lang w:val="es-CR"/>
        </w:rPr>
        <w:t xml:space="preserve">, resulta destacable lo afirmado por dicho tribunal </w:t>
      </w:r>
      <w:r w:rsidR="00E01B27">
        <w:rPr>
          <w:rFonts w:ascii="Verdana" w:hAnsi="Verdana"/>
          <w:sz w:val="20"/>
          <w:lang w:val="es-CR"/>
        </w:rPr>
        <w:t xml:space="preserve">también </w:t>
      </w:r>
      <w:r w:rsidRPr="001772E9">
        <w:rPr>
          <w:rFonts w:ascii="Verdana" w:hAnsi="Verdana"/>
          <w:sz w:val="20"/>
          <w:lang w:val="es-CR"/>
        </w:rPr>
        <w:t xml:space="preserve">en el considerando undécimo de su </w:t>
      </w:r>
      <w:r w:rsidR="00E01B27">
        <w:rPr>
          <w:rFonts w:ascii="Verdana" w:hAnsi="Verdana"/>
          <w:sz w:val="20"/>
          <w:lang w:val="es-CR"/>
        </w:rPr>
        <w:t>decisión</w:t>
      </w:r>
      <w:r w:rsidRPr="004C7DCB">
        <w:rPr>
          <w:rStyle w:val="FootnoteReference"/>
          <w:rFonts w:ascii="Verdana" w:hAnsi="Verdana"/>
          <w:sz w:val="20"/>
          <w:lang w:val="es-CR"/>
        </w:rPr>
        <w:footnoteReference w:id="51"/>
      </w:r>
      <w:r w:rsidRPr="001772E9">
        <w:rPr>
          <w:rFonts w:ascii="Verdana" w:hAnsi="Verdana"/>
          <w:sz w:val="20"/>
          <w:lang w:val="es-CR"/>
        </w:rPr>
        <w:t>, en particular lo siguiente:</w:t>
      </w:r>
    </w:p>
    <w:p w:rsidR="006B56F4" w:rsidRDefault="006B56F4" w:rsidP="00044278">
      <w:pPr>
        <w:pStyle w:val="ListParagraph"/>
        <w:tabs>
          <w:tab w:val="left" w:pos="567"/>
        </w:tabs>
        <w:spacing w:before="120" w:after="120" w:line="240" w:lineRule="auto"/>
        <w:ind w:left="426" w:right="-283"/>
        <w:contextualSpacing w:val="0"/>
        <w:jc w:val="both"/>
        <w:rPr>
          <w:rFonts w:ascii="Verdana" w:hAnsi="Verdana"/>
          <w:sz w:val="16"/>
          <w:szCs w:val="16"/>
        </w:rPr>
      </w:pPr>
    </w:p>
    <w:p w:rsidR="001772E9" w:rsidRDefault="001772E9" w:rsidP="00044278">
      <w:pPr>
        <w:pStyle w:val="ListParagraph"/>
        <w:tabs>
          <w:tab w:val="left" w:pos="567"/>
        </w:tabs>
        <w:spacing w:before="120" w:after="120" w:line="240" w:lineRule="auto"/>
        <w:ind w:left="426" w:right="-283"/>
        <w:contextualSpacing w:val="0"/>
        <w:jc w:val="both"/>
        <w:rPr>
          <w:rFonts w:ascii="Verdana" w:hAnsi="Verdana"/>
          <w:sz w:val="16"/>
          <w:szCs w:val="16"/>
        </w:rPr>
      </w:pPr>
      <w:r w:rsidRPr="004C7DCB">
        <w:rPr>
          <w:rFonts w:ascii="Verdana" w:hAnsi="Verdana"/>
          <w:sz w:val="16"/>
          <w:szCs w:val="16"/>
        </w:rPr>
        <w:t>[…]</w:t>
      </w:r>
    </w:p>
    <w:p w:rsidR="001772E9" w:rsidRPr="004C7DCB" w:rsidRDefault="001772E9" w:rsidP="00044278">
      <w:pPr>
        <w:pStyle w:val="ListParagraph"/>
        <w:tabs>
          <w:tab w:val="left" w:pos="426"/>
          <w:tab w:val="left" w:pos="567"/>
        </w:tabs>
        <w:spacing w:before="120" w:after="120" w:line="240" w:lineRule="auto"/>
        <w:ind w:left="425" w:right="-283"/>
        <w:contextualSpacing w:val="0"/>
        <w:jc w:val="both"/>
        <w:rPr>
          <w:rFonts w:ascii="Verdana" w:hAnsi="Verdana"/>
          <w:sz w:val="16"/>
          <w:szCs w:val="16"/>
        </w:rPr>
      </w:pPr>
      <w:r>
        <w:rPr>
          <w:rFonts w:ascii="Verdana" w:hAnsi="Verdana"/>
          <w:sz w:val="16"/>
          <w:szCs w:val="16"/>
        </w:rPr>
        <w:t>N</w:t>
      </w:r>
      <w:r w:rsidRPr="004C7DCB">
        <w:rPr>
          <w:rFonts w:ascii="Verdana" w:hAnsi="Verdana"/>
          <w:sz w:val="16"/>
          <w:szCs w:val="16"/>
        </w:rPr>
        <w:t xml:space="preserve">o debe olvidarse que, como es propio del derecho del derecho internacional, </w:t>
      </w:r>
      <w:r w:rsidRPr="004C7DCB">
        <w:rPr>
          <w:rFonts w:ascii="Verdana" w:hAnsi="Verdana"/>
          <w:b/>
          <w:sz w:val="16"/>
          <w:szCs w:val="16"/>
        </w:rPr>
        <w:t>los Estados deben cumplir con sus compromisos de buena fe</w:t>
      </w:r>
      <w:r w:rsidRPr="004C7DCB">
        <w:rPr>
          <w:rFonts w:ascii="Verdana" w:hAnsi="Verdana"/>
          <w:sz w:val="16"/>
          <w:szCs w:val="16"/>
        </w:rPr>
        <w:t xml:space="preserve">, es decir, con la voluntad de hacerlos efectivos (este principio de derecho internacional emana de la Convención de Viena sobre Derecho de los Tratados, artículo 26) y que además –o como consecuencia de lo anterior-, </w:t>
      </w:r>
      <w:r w:rsidRPr="004C7DCB">
        <w:rPr>
          <w:rFonts w:ascii="Verdana" w:hAnsi="Verdana"/>
          <w:b/>
          <w:sz w:val="16"/>
          <w:szCs w:val="16"/>
        </w:rPr>
        <w:t>el incumplimiento del fallo trae consigo la responsabilidad internacional del Estado de Chile</w:t>
      </w:r>
      <w:r w:rsidRPr="004C7DCB">
        <w:rPr>
          <w:rFonts w:ascii="Verdana" w:hAnsi="Verdana"/>
          <w:sz w:val="16"/>
          <w:szCs w:val="16"/>
        </w:rPr>
        <w:t xml:space="preserve">, conforme a los artículos 65 y 68 N° 1 de la Convención, </w:t>
      </w:r>
      <w:r w:rsidRPr="004C7DCB">
        <w:rPr>
          <w:rFonts w:ascii="Verdana" w:hAnsi="Verdana"/>
          <w:b/>
          <w:sz w:val="16"/>
          <w:szCs w:val="16"/>
        </w:rPr>
        <w:t>por lo que todos sus órganos –incluyendo ésta Corte, huelga señalar –en el ámbito de sus competencias</w:t>
      </w:r>
      <w:r w:rsidR="004C1F8E" w:rsidRPr="004C7DCB">
        <w:rPr>
          <w:rFonts w:ascii="Verdana" w:hAnsi="Verdana"/>
          <w:b/>
          <w:sz w:val="16"/>
          <w:szCs w:val="16"/>
        </w:rPr>
        <w:t>–</w:t>
      </w:r>
      <w:r w:rsidRPr="004C7DCB">
        <w:rPr>
          <w:rFonts w:ascii="Verdana" w:hAnsi="Verdana"/>
          <w:b/>
          <w:sz w:val="16"/>
          <w:szCs w:val="16"/>
        </w:rPr>
        <w:t xml:space="preserve"> deben tener en consideración dichas obligaciones, para no comprometer la responsabilidad del Estado.</w:t>
      </w:r>
      <w:r w:rsidRPr="004C7DCB">
        <w:rPr>
          <w:rFonts w:ascii="Verdana" w:hAnsi="Verdana"/>
          <w:sz w:val="16"/>
          <w:szCs w:val="16"/>
        </w:rPr>
        <w:t xml:space="preserve"> Así, en la interpretación y aplicación de las normas </w:t>
      </w:r>
      <w:r w:rsidR="004C1F8E">
        <w:rPr>
          <w:rFonts w:ascii="Verdana" w:hAnsi="Verdana"/>
          <w:sz w:val="16"/>
          <w:szCs w:val="16"/>
        </w:rPr>
        <w:t xml:space="preserve">que tratan la acción de revisión, en especial la causal de invalidación invocada, </w:t>
      </w:r>
      <w:r w:rsidRPr="004C7DCB">
        <w:rPr>
          <w:rFonts w:ascii="Verdana" w:hAnsi="Verdana"/>
          <w:sz w:val="16"/>
          <w:szCs w:val="16"/>
        </w:rPr>
        <w:t>no debe preterirse que lo que está en juego no es sólo la resolución de un caso concreto, sino que la responsabilidad del Estado de Chile en caso de optar por una lectura restrictiva de los derechos humanos</w:t>
      </w:r>
      <w:r w:rsidR="00A13E95">
        <w:rPr>
          <w:rFonts w:ascii="Verdana" w:hAnsi="Verdana"/>
          <w:sz w:val="16"/>
          <w:szCs w:val="16"/>
        </w:rPr>
        <w:t xml:space="preserve"> y</w:t>
      </w:r>
      <w:r w:rsidRPr="004C7DCB">
        <w:rPr>
          <w:rFonts w:ascii="Verdana" w:hAnsi="Verdana"/>
          <w:sz w:val="16"/>
          <w:szCs w:val="16"/>
        </w:rPr>
        <w:t>, en particular, del derecho a un mecanismo efectivo y rápido para revisar y poder anular las sentencias dictadas como corolario de un proceso injusto –como se demostrará- por los Consejos de Guerra convocados en el proceso Rol N° 1-73.</w:t>
      </w:r>
    </w:p>
    <w:p w:rsidR="001772E9" w:rsidRPr="004C7DCB" w:rsidRDefault="001772E9" w:rsidP="00044278">
      <w:pPr>
        <w:pStyle w:val="ListParagraph"/>
        <w:tabs>
          <w:tab w:val="left" w:pos="426"/>
          <w:tab w:val="left" w:pos="567"/>
        </w:tabs>
        <w:spacing w:before="120" w:after="120" w:line="240" w:lineRule="auto"/>
        <w:ind w:left="426" w:right="-283"/>
        <w:contextualSpacing w:val="0"/>
        <w:jc w:val="both"/>
        <w:rPr>
          <w:rFonts w:ascii="Verdana" w:hAnsi="Verdana"/>
          <w:sz w:val="16"/>
          <w:szCs w:val="16"/>
        </w:rPr>
      </w:pPr>
      <w:r w:rsidRPr="004C7DCB">
        <w:rPr>
          <w:rFonts w:ascii="Verdana" w:hAnsi="Verdana"/>
          <w:sz w:val="16"/>
          <w:szCs w:val="16"/>
        </w:rPr>
        <w:t xml:space="preserve">Empero, conviene resaltar que, </w:t>
      </w:r>
      <w:r w:rsidRPr="004C7DCB">
        <w:rPr>
          <w:rFonts w:ascii="Verdana" w:hAnsi="Verdana"/>
          <w:b/>
          <w:sz w:val="16"/>
          <w:szCs w:val="16"/>
        </w:rPr>
        <w:t xml:space="preserve">aún de no haberse dictado en </w:t>
      </w:r>
      <w:r w:rsidR="00251822">
        <w:rPr>
          <w:rFonts w:ascii="Verdana" w:hAnsi="Verdana"/>
          <w:b/>
          <w:sz w:val="16"/>
          <w:szCs w:val="16"/>
        </w:rPr>
        <w:t xml:space="preserve">el </w:t>
      </w:r>
      <w:r w:rsidRPr="004C7DCB">
        <w:rPr>
          <w:rFonts w:ascii="Verdana" w:hAnsi="Verdana"/>
          <w:b/>
          <w:sz w:val="16"/>
          <w:szCs w:val="16"/>
        </w:rPr>
        <w:t>pronunciamiento referido por la C[orte Interamericana]</w:t>
      </w:r>
      <w:r w:rsidRPr="004C7DCB">
        <w:rPr>
          <w:rFonts w:ascii="Verdana" w:hAnsi="Verdana"/>
          <w:sz w:val="16"/>
          <w:szCs w:val="16"/>
        </w:rPr>
        <w:t xml:space="preserve"> en el caso ‘Omar Humberto Maldonado Vargas y otros versus Chile’, </w:t>
      </w:r>
      <w:r w:rsidRPr="004C7DCB">
        <w:rPr>
          <w:rFonts w:ascii="Verdana" w:hAnsi="Verdana"/>
          <w:b/>
          <w:sz w:val="16"/>
          <w:szCs w:val="16"/>
        </w:rPr>
        <w:t xml:space="preserve">igualmente esta Corte Suprema debe procurar adoptar una interpretación de las normas procesales nacionales que conduzca al resultado indicado en ese pronunciamiento, dado que lo resuelto por la C[orte Interamericana] no busca sino hacer realidad el derecho a un recurso efectivo y rápido que consagra la Convención Americana de Derechos Humanos que fue suscrita y ratificada por Chile </w:t>
      </w:r>
      <w:r w:rsidRPr="004C7DCB">
        <w:rPr>
          <w:rFonts w:ascii="Verdana" w:hAnsi="Verdana"/>
          <w:sz w:val="16"/>
          <w:szCs w:val="16"/>
        </w:rPr>
        <w:t>y, por tanto, derecho vigente en nuestro ordenamiento de rango constitucional conforme al artículo</w:t>
      </w:r>
      <w:r w:rsidR="00A13E95">
        <w:rPr>
          <w:rFonts w:ascii="Verdana" w:hAnsi="Verdana"/>
          <w:sz w:val="16"/>
          <w:szCs w:val="16"/>
        </w:rPr>
        <w:t xml:space="preserve"> </w:t>
      </w:r>
      <w:r w:rsidRPr="004C7DCB">
        <w:rPr>
          <w:rFonts w:ascii="Verdana" w:hAnsi="Verdana"/>
          <w:sz w:val="16"/>
          <w:szCs w:val="16"/>
        </w:rPr>
        <w:t xml:space="preserve">5, inciso 2°, de la Carta Fundamental. </w:t>
      </w:r>
      <w:r w:rsidRPr="004C7DCB">
        <w:rPr>
          <w:rFonts w:ascii="Verdana" w:hAnsi="Verdana"/>
          <w:b/>
          <w:sz w:val="16"/>
          <w:szCs w:val="16"/>
        </w:rPr>
        <w:t>En ese orden</w:t>
      </w:r>
      <w:r w:rsidR="00A13E95">
        <w:rPr>
          <w:rFonts w:ascii="Verdana" w:hAnsi="Verdana"/>
          <w:b/>
          <w:sz w:val="16"/>
          <w:szCs w:val="16"/>
        </w:rPr>
        <w:t>,</w:t>
      </w:r>
      <w:r w:rsidRPr="004C7DCB">
        <w:rPr>
          <w:rFonts w:ascii="Verdana" w:hAnsi="Verdana"/>
          <w:b/>
          <w:sz w:val="16"/>
          <w:szCs w:val="16"/>
        </w:rPr>
        <w:t xml:space="preserve"> los tribunales tienen </w:t>
      </w:r>
      <w:r w:rsidR="00A13E95">
        <w:rPr>
          <w:rFonts w:ascii="Verdana" w:hAnsi="Verdana"/>
          <w:b/>
          <w:sz w:val="16"/>
          <w:szCs w:val="16"/>
        </w:rPr>
        <w:t>l</w:t>
      </w:r>
      <w:r w:rsidR="00A13E95" w:rsidRPr="004C7DCB">
        <w:rPr>
          <w:rFonts w:ascii="Verdana" w:hAnsi="Verdana"/>
          <w:b/>
          <w:sz w:val="16"/>
          <w:szCs w:val="16"/>
        </w:rPr>
        <w:t xml:space="preserve">a </w:t>
      </w:r>
      <w:r w:rsidRPr="004C7DCB">
        <w:rPr>
          <w:rFonts w:ascii="Verdana" w:hAnsi="Verdana"/>
          <w:b/>
          <w:sz w:val="16"/>
          <w:szCs w:val="16"/>
        </w:rPr>
        <w:t xml:space="preserve">obligación de intentar una interpretación de las normas nacionales que afecten derechos humanos que sea armónica con las obligaciones internacionales del </w:t>
      </w:r>
      <w:r w:rsidRPr="00A13E95">
        <w:rPr>
          <w:rFonts w:ascii="Verdana" w:hAnsi="Verdana"/>
          <w:b/>
          <w:sz w:val="16"/>
          <w:szCs w:val="16"/>
        </w:rPr>
        <w:t>Estado en este campo</w:t>
      </w:r>
      <w:r w:rsidRPr="004C7DCB">
        <w:rPr>
          <w:rFonts w:ascii="Verdana" w:hAnsi="Verdana"/>
          <w:sz w:val="16"/>
          <w:szCs w:val="16"/>
        </w:rPr>
        <w:t>,</w:t>
      </w:r>
      <w:r w:rsidRPr="004C7DCB">
        <w:rPr>
          <w:rFonts w:ascii="Verdana" w:hAnsi="Verdana"/>
          <w:b/>
          <w:sz w:val="16"/>
          <w:szCs w:val="16"/>
        </w:rPr>
        <w:t xml:space="preserve"> </w:t>
      </w:r>
      <w:r w:rsidR="00A13E95" w:rsidRPr="004C7DCB">
        <w:rPr>
          <w:rFonts w:ascii="Verdana" w:hAnsi="Verdana"/>
          <w:b/>
          <w:sz w:val="16"/>
          <w:szCs w:val="16"/>
        </w:rPr>
        <w:t>aun</w:t>
      </w:r>
      <w:r w:rsidRPr="004C7DCB">
        <w:rPr>
          <w:rFonts w:ascii="Verdana" w:hAnsi="Verdana"/>
          <w:b/>
          <w:sz w:val="16"/>
          <w:szCs w:val="16"/>
        </w:rPr>
        <w:t xml:space="preserve"> cuando dichas normas internas en sí mismas no se ajusten a la Convención </w:t>
      </w:r>
      <w:r w:rsidRPr="004C7DCB">
        <w:rPr>
          <w:rFonts w:ascii="Verdana" w:hAnsi="Verdana"/>
          <w:sz w:val="16"/>
          <w:szCs w:val="16"/>
        </w:rPr>
        <w:t xml:space="preserve">[…], a lo que cabe agregar que, atendidas las particularidades de los derechos fundamentales </w:t>
      </w:r>
      <w:r w:rsidRPr="00251822">
        <w:rPr>
          <w:rFonts w:ascii="Verdana" w:hAnsi="Verdana"/>
          <w:sz w:val="16"/>
          <w:szCs w:val="16"/>
        </w:rPr>
        <w:t xml:space="preserve">en un Estado de Derecho Constitucional como el nuestro, dichos derechos deben interpretarse de acuerdo a ciertos criterios, y uno de éstos, es el principio </w:t>
      </w:r>
      <w:r w:rsidRPr="00251822">
        <w:rPr>
          <w:rFonts w:ascii="Verdana" w:hAnsi="Verdana"/>
          <w:i/>
          <w:sz w:val="16"/>
          <w:szCs w:val="16"/>
        </w:rPr>
        <w:t>pro persona</w:t>
      </w:r>
      <w:r w:rsidRPr="00251822">
        <w:rPr>
          <w:rFonts w:ascii="Verdana" w:hAnsi="Verdana"/>
          <w:sz w:val="16"/>
          <w:szCs w:val="16"/>
        </w:rPr>
        <w:t xml:space="preserve">, </w:t>
      </w:r>
      <w:r w:rsidRPr="004C7DCB">
        <w:rPr>
          <w:rFonts w:ascii="Verdana" w:hAnsi="Verdana"/>
          <w:sz w:val="16"/>
          <w:szCs w:val="16"/>
        </w:rPr>
        <w:t xml:space="preserve">de acuerdo al cual debe preferirse aquella norma o interpretación que d[é] mayor efectividad a la protección de los derechos humanos. </w:t>
      </w:r>
    </w:p>
    <w:p w:rsidR="001772E9" w:rsidRPr="004C7DCB" w:rsidRDefault="001772E9" w:rsidP="00044278">
      <w:pPr>
        <w:pStyle w:val="ListParagraph"/>
        <w:tabs>
          <w:tab w:val="left" w:pos="426"/>
          <w:tab w:val="left" w:pos="567"/>
        </w:tabs>
        <w:spacing w:before="120" w:after="120" w:line="240" w:lineRule="auto"/>
        <w:ind w:left="426" w:right="-283"/>
        <w:contextualSpacing w:val="0"/>
        <w:jc w:val="both"/>
        <w:rPr>
          <w:rFonts w:ascii="Verdana" w:hAnsi="Verdana"/>
          <w:sz w:val="16"/>
          <w:szCs w:val="16"/>
        </w:rPr>
      </w:pPr>
      <w:r w:rsidRPr="004C7DCB">
        <w:rPr>
          <w:rFonts w:ascii="Verdana" w:hAnsi="Verdana"/>
          <w:sz w:val="16"/>
          <w:szCs w:val="16"/>
        </w:rPr>
        <w:t>[…</w:t>
      </w:r>
      <w:r>
        <w:rPr>
          <w:rFonts w:ascii="Verdana" w:hAnsi="Verdana"/>
          <w:sz w:val="16"/>
          <w:szCs w:val="16"/>
        </w:rPr>
        <w:t>]</w:t>
      </w:r>
      <w:r w:rsidRPr="004C7DCB">
        <w:rPr>
          <w:rFonts w:ascii="Verdana" w:hAnsi="Verdana"/>
          <w:sz w:val="16"/>
          <w:szCs w:val="16"/>
        </w:rPr>
        <w:t xml:space="preserve"> </w:t>
      </w:r>
    </w:p>
    <w:p w:rsidR="001772E9" w:rsidRDefault="001772E9" w:rsidP="00044278">
      <w:pPr>
        <w:pStyle w:val="ListParagraph"/>
        <w:tabs>
          <w:tab w:val="left" w:pos="426"/>
          <w:tab w:val="left" w:pos="567"/>
        </w:tabs>
        <w:spacing w:before="120" w:after="120" w:line="240" w:lineRule="auto"/>
        <w:ind w:left="426" w:right="-283"/>
        <w:contextualSpacing w:val="0"/>
        <w:jc w:val="both"/>
        <w:rPr>
          <w:rFonts w:ascii="Verdana" w:hAnsi="Verdana"/>
          <w:i/>
          <w:sz w:val="16"/>
          <w:szCs w:val="16"/>
        </w:rPr>
      </w:pPr>
      <w:r w:rsidRPr="004C7DCB">
        <w:rPr>
          <w:rFonts w:ascii="Verdana" w:hAnsi="Verdana"/>
          <w:sz w:val="16"/>
          <w:szCs w:val="16"/>
        </w:rPr>
        <w:t xml:space="preserve">Entonces, ya que se ordena por la Corte IDH que el mecanismo para revisar </w:t>
      </w:r>
      <w:r>
        <w:rPr>
          <w:rFonts w:ascii="Verdana" w:hAnsi="Verdana"/>
          <w:sz w:val="16"/>
          <w:szCs w:val="16"/>
        </w:rPr>
        <w:t>l</w:t>
      </w:r>
      <w:r w:rsidRPr="004C7DCB">
        <w:rPr>
          <w:rFonts w:ascii="Verdana" w:hAnsi="Verdana"/>
          <w:sz w:val="16"/>
          <w:szCs w:val="16"/>
        </w:rPr>
        <w:t xml:space="preserve">as sentencias que se ponga a disposición de quienes comparecieron ante dicho tribunal y los demás sentenciados por Consejos de Guerra sea ‘efectivo’, </w:t>
      </w:r>
      <w:r w:rsidRPr="004C7DCB">
        <w:rPr>
          <w:rFonts w:ascii="Verdana" w:hAnsi="Verdana"/>
          <w:b/>
          <w:sz w:val="16"/>
          <w:szCs w:val="16"/>
        </w:rPr>
        <w:t>ello implica que el estudio de los extremos de la causal de revisión</w:t>
      </w:r>
      <w:r w:rsidRPr="004C7DCB">
        <w:rPr>
          <w:rFonts w:ascii="Verdana" w:hAnsi="Verdana"/>
          <w:sz w:val="16"/>
          <w:szCs w:val="16"/>
        </w:rPr>
        <w:t xml:space="preserve"> invocada del artículo 657 N°4 del Código</w:t>
      </w:r>
      <w:r w:rsidR="00A13E95">
        <w:rPr>
          <w:rFonts w:ascii="Verdana" w:hAnsi="Verdana"/>
          <w:sz w:val="16"/>
          <w:szCs w:val="16"/>
        </w:rPr>
        <w:t xml:space="preserve"> de</w:t>
      </w:r>
      <w:r w:rsidRPr="004C7DCB">
        <w:rPr>
          <w:rFonts w:ascii="Verdana" w:hAnsi="Verdana"/>
          <w:sz w:val="16"/>
          <w:szCs w:val="16"/>
        </w:rPr>
        <w:t xml:space="preserve"> Procedimiento Penal, </w:t>
      </w:r>
      <w:r w:rsidRPr="004C7DCB">
        <w:rPr>
          <w:rFonts w:ascii="Verdana" w:hAnsi="Verdana"/>
          <w:b/>
          <w:sz w:val="16"/>
          <w:szCs w:val="16"/>
        </w:rPr>
        <w:t xml:space="preserve">debe efectuarse por esta Corte Suprema de manera de no sujetar la procedencia de esa causal a condicionamientos excesivos, </w:t>
      </w:r>
      <w:r w:rsidRPr="004C7DCB">
        <w:rPr>
          <w:rFonts w:ascii="Verdana" w:hAnsi="Verdana"/>
          <w:sz w:val="16"/>
          <w:szCs w:val="16"/>
        </w:rPr>
        <w:t>lo que, por ende, conducirá a rechazar interpretaciones de los requisitos legales para su admisión o estimación que sean poco razonables o restrinjan injustificadamente dicho acceso o sus posibilidades de ser acogido.</w:t>
      </w:r>
      <w:r w:rsidR="00A13E95">
        <w:rPr>
          <w:rFonts w:ascii="Verdana" w:hAnsi="Verdana"/>
          <w:sz w:val="16"/>
          <w:szCs w:val="16"/>
        </w:rPr>
        <w:t xml:space="preserve"> Ello en armonía con la jurisprudencia de la misma C[orte Interamericana]</w:t>
      </w:r>
      <w:r w:rsidRPr="004C7DCB">
        <w:rPr>
          <w:rFonts w:ascii="Verdana" w:hAnsi="Verdana"/>
          <w:sz w:val="16"/>
          <w:szCs w:val="16"/>
        </w:rPr>
        <w:t xml:space="preserve"> […]. </w:t>
      </w:r>
      <w:r w:rsidRPr="004C7DCB">
        <w:rPr>
          <w:rFonts w:ascii="Verdana" w:hAnsi="Verdana"/>
          <w:i/>
          <w:sz w:val="16"/>
          <w:szCs w:val="16"/>
        </w:rPr>
        <w:t>(Énfasis añadido)</w:t>
      </w:r>
    </w:p>
    <w:p w:rsidR="00E2700E" w:rsidRDefault="00E2700E" w:rsidP="00E2700E">
      <w:pPr>
        <w:tabs>
          <w:tab w:val="left" w:pos="426"/>
          <w:tab w:val="left" w:pos="567"/>
        </w:tabs>
        <w:spacing w:before="120" w:after="120" w:line="240" w:lineRule="auto"/>
        <w:ind w:right="-283"/>
        <w:jc w:val="both"/>
        <w:rPr>
          <w:rFonts w:ascii="Verdana" w:hAnsi="Verdana"/>
          <w:sz w:val="16"/>
          <w:szCs w:val="16"/>
        </w:rPr>
      </w:pPr>
    </w:p>
    <w:p w:rsidR="006B56F4" w:rsidRDefault="006B56F4" w:rsidP="00E2700E">
      <w:pPr>
        <w:tabs>
          <w:tab w:val="left" w:pos="426"/>
          <w:tab w:val="left" w:pos="567"/>
        </w:tabs>
        <w:spacing w:before="120" w:after="120" w:line="240" w:lineRule="auto"/>
        <w:ind w:right="-283"/>
        <w:jc w:val="both"/>
        <w:rPr>
          <w:rFonts w:ascii="Verdana" w:hAnsi="Verdana"/>
          <w:sz w:val="16"/>
          <w:szCs w:val="16"/>
        </w:rPr>
      </w:pPr>
    </w:p>
    <w:p w:rsidR="006B56F4" w:rsidRDefault="006B56F4" w:rsidP="00E2700E">
      <w:pPr>
        <w:tabs>
          <w:tab w:val="left" w:pos="426"/>
          <w:tab w:val="left" w:pos="567"/>
        </w:tabs>
        <w:spacing w:before="120" w:after="120" w:line="240" w:lineRule="auto"/>
        <w:ind w:right="-283"/>
        <w:jc w:val="both"/>
        <w:rPr>
          <w:rFonts w:ascii="Verdana" w:hAnsi="Verdana"/>
          <w:sz w:val="16"/>
          <w:szCs w:val="16"/>
        </w:rPr>
      </w:pPr>
    </w:p>
    <w:p w:rsidR="006B56F4" w:rsidRPr="00E2700E" w:rsidRDefault="006B56F4" w:rsidP="00E2700E">
      <w:pPr>
        <w:tabs>
          <w:tab w:val="left" w:pos="426"/>
          <w:tab w:val="left" w:pos="567"/>
        </w:tabs>
        <w:spacing w:before="120" w:after="120" w:line="240" w:lineRule="auto"/>
        <w:ind w:right="-283"/>
        <w:jc w:val="both"/>
        <w:rPr>
          <w:rFonts w:ascii="Verdana" w:hAnsi="Verdana"/>
          <w:sz w:val="16"/>
          <w:szCs w:val="16"/>
        </w:rPr>
      </w:pPr>
    </w:p>
    <w:p w:rsidR="001772E9" w:rsidRDefault="001772E9" w:rsidP="001772E9">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sidRPr="001772E9">
        <w:rPr>
          <w:rFonts w:ascii="Verdana" w:hAnsi="Verdana"/>
          <w:sz w:val="20"/>
          <w:szCs w:val="20"/>
        </w:rPr>
        <w:lastRenderedPageBreak/>
        <w:t>Tomando en consideración la forma en la que fue interpuesto y resuelto el recurso de revisión con respecto a las sentencias condenatorias de la causa Rol N° 1-73, así como la jurisprudencia reiterada de este Tribunal con respecto</w:t>
      </w:r>
      <w:r w:rsidR="00251822">
        <w:rPr>
          <w:rFonts w:ascii="Verdana" w:hAnsi="Verdana"/>
          <w:sz w:val="20"/>
          <w:szCs w:val="20"/>
        </w:rPr>
        <w:t xml:space="preserve"> </w:t>
      </w:r>
      <w:r w:rsidRPr="001772E9">
        <w:rPr>
          <w:rFonts w:ascii="Verdana" w:hAnsi="Verdana"/>
          <w:sz w:val="20"/>
          <w:szCs w:val="20"/>
        </w:rPr>
        <w:t>al recurso de revisión</w:t>
      </w:r>
      <w:r w:rsidRPr="0066208F">
        <w:rPr>
          <w:rStyle w:val="FootnoteReference"/>
          <w:rFonts w:ascii="Verdana" w:hAnsi="Verdana"/>
          <w:sz w:val="20"/>
          <w:szCs w:val="20"/>
        </w:rPr>
        <w:footnoteReference w:id="52"/>
      </w:r>
      <w:r w:rsidRPr="001772E9">
        <w:rPr>
          <w:rFonts w:ascii="Verdana" w:hAnsi="Verdana"/>
          <w:sz w:val="20"/>
          <w:szCs w:val="20"/>
        </w:rPr>
        <w:t>, esta Corte entiende que</w:t>
      </w:r>
      <w:r w:rsidR="007E2B33">
        <w:rPr>
          <w:rFonts w:ascii="Verdana" w:hAnsi="Verdana"/>
          <w:sz w:val="20"/>
          <w:szCs w:val="20"/>
        </w:rPr>
        <w:t>,</w:t>
      </w:r>
      <w:r w:rsidRPr="001772E9">
        <w:rPr>
          <w:rFonts w:ascii="Verdana" w:hAnsi="Verdana"/>
          <w:sz w:val="20"/>
          <w:szCs w:val="20"/>
        </w:rPr>
        <w:t xml:space="preserve"> de acuerdo con la</w:t>
      </w:r>
      <w:r w:rsidR="007E2B33">
        <w:rPr>
          <w:rFonts w:ascii="Verdana" w:hAnsi="Verdana"/>
          <w:sz w:val="20"/>
          <w:szCs w:val="20"/>
        </w:rPr>
        <w:t xml:space="preserve"> referida</w:t>
      </w:r>
      <w:r w:rsidRPr="001772E9">
        <w:rPr>
          <w:rFonts w:ascii="Verdana" w:hAnsi="Verdana"/>
          <w:sz w:val="20"/>
          <w:szCs w:val="20"/>
        </w:rPr>
        <w:t xml:space="preserve"> interpretación realizada por la Segunda </w:t>
      </w:r>
      <w:r w:rsidR="007E2B33" w:rsidRPr="001772E9">
        <w:rPr>
          <w:rFonts w:ascii="Verdana" w:hAnsi="Verdana"/>
          <w:sz w:val="20"/>
          <w:szCs w:val="20"/>
        </w:rPr>
        <w:t xml:space="preserve">Sala </w:t>
      </w:r>
      <w:r w:rsidRPr="001772E9">
        <w:rPr>
          <w:rFonts w:ascii="Verdana" w:hAnsi="Verdana"/>
          <w:sz w:val="20"/>
          <w:szCs w:val="20"/>
        </w:rPr>
        <w:t>de la Corte Suprema</w:t>
      </w:r>
      <w:r w:rsidR="007E2B33">
        <w:rPr>
          <w:rFonts w:ascii="Verdana" w:hAnsi="Verdana"/>
          <w:sz w:val="20"/>
          <w:szCs w:val="20"/>
        </w:rPr>
        <w:t>,</w:t>
      </w:r>
      <w:r w:rsidRPr="001772E9">
        <w:rPr>
          <w:rFonts w:ascii="Verdana" w:hAnsi="Verdana"/>
          <w:sz w:val="20"/>
          <w:szCs w:val="20"/>
        </w:rPr>
        <w:t xml:space="preserve"> el recurso de revisión </w:t>
      </w:r>
      <w:r w:rsidR="003A3C7B">
        <w:rPr>
          <w:rFonts w:ascii="Verdana" w:hAnsi="Verdana"/>
          <w:sz w:val="20"/>
          <w:szCs w:val="20"/>
        </w:rPr>
        <w:t>cumple con ser un mecanismo</w:t>
      </w:r>
      <w:r w:rsidRPr="001772E9">
        <w:rPr>
          <w:rFonts w:ascii="Verdana" w:hAnsi="Verdana"/>
          <w:sz w:val="20"/>
          <w:szCs w:val="20"/>
        </w:rPr>
        <w:t xml:space="preserve"> adecuado y efectivo para permitir y garantizar que otras personas condenadas por Consejos de Guerra durante la dictadura</w:t>
      </w:r>
      <w:r w:rsidR="007E2B33">
        <w:rPr>
          <w:rFonts w:ascii="Verdana" w:hAnsi="Verdana"/>
          <w:sz w:val="20"/>
          <w:szCs w:val="20"/>
        </w:rPr>
        <w:t xml:space="preserve"> militar</w:t>
      </w:r>
      <w:r w:rsidRPr="001772E9">
        <w:rPr>
          <w:rFonts w:ascii="Verdana" w:hAnsi="Verdana"/>
          <w:sz w:val="20"/>
          <w:szCs w:val="20"/>
        </w:rPr>
        <w:t xml:space="preserve"> chilena puedan acceder a la revisión y eventual anulación de las sentencias que hayan sido proferidas en procesos que pudieron tomar en cuenta prueba y/o confesiones obtenidas bajo tortura. </w:t>
      </w:r>
    </w:p>
    <w:p w:rsidR="002359F0" w:rsidRPr="001F7032" w:rsidRDefault="001772E9" w:rsidP="001772E9">
      <w:pPr>
        <w:pStyle w:val="ListParagraph"/>
        <w:numPr>
          <w:ilvl w:val="0"/>
          <w:numId w:val="2"/>
        </w:numPr>
        <w:tabs>
          <w:tab w:val="left" w:pos="0"/>
        </w:tabs>
        <w:spacing w:before="120" w:after="120" w:line="240" w:lineRule="auto"/>
        <w:ind w:left="0" w:right="-709" w:firstLine="0"/>
        <w:contextualSpacing w:val="0"/>
        <w:jc w:val="both"/>
        <w:rPr>
          <w:rFonts w:ascii="Verdana" w:hAnsi="Verdana"/>
          <w:sz w:val="16"/>
          <w:szCs w:val="16"/>
        </w:rPr>
      </w:pPr>
      <w:r>
        <w:rPr>
          <w:rFonts w:ascii="Verdana" w:hAnsi="Verdana"/>
          <w:sz w:val="20"/>
          <w:szCs w:val="20"/>
        </w:rPr>
        <w:t>Al realizar tal consideraci</w:t>
      </w:r>
      <w:r w:rsidR="003A3C7B">
        <w:rPr>
          <w:rFonts w:ascii="Verdana" w:hAnsi="Verdana"/>
          <w:sz w:val="20"/>
          <w:szCs w:val="20"/>
        </w:rPr>
        <w:t>ón sobre el cumplimiento de la garantía de no repetición</w:t>
      </w:r>
      <w:r w:rsidR="002359F0" w:rsidRPr="001772E9">
        <w:rPr>
          <w:rFonts w:ascii="Verdana" w:hAnsi="Verdana"/>
          <w:sz w:val="20"/>
          <w:szCs w:val="20"/>
        </w:rPr>
        <w:t>,</w:t>
      </w:r>
      <w:r w:rsidR="000F0C4F" w:rsidRPr="001772E9">
        <w:rPr>
          <w:rFonts w:ascii="Verdana" w:hAnsi="Verdana"/>
          <w:sz w:val="20"/>
          <w:szCs w:val="20"/>
        </w:rPr>
        <w:t xml:space="preserve"> </w:t>
      </w:r>
      <w:r w:rsidR="002359F0" w:rsidRPr="001772E9">
        <w:rPr>
          <w:rFonts w:ascii="Verdana" w:hAnsi="Verdana"/>
          <w:sz w:val="20"/>
          <w:szCs w:val="20"/>
        </w:rPr>
        <w:t xml:space="preserve">el </w:t>
      </w:r>
      <w:r w:rsidR="000F0C4F" w:rsidRPr="001772E9">
        <w:rPr>
          <w:rFonts w:ascii="Verdana" w:hAnsi="Verdana"/>
          <w:sz w:val="20"/>
          <w:szCs w:val="20"/>
        </w:rPr>
        <w:t xml:space="preserve">Tribunal </w:t>
      </w:r>
      <w:r w:rsidR="002359F0" w:rsidRPr="001772E9">
        <w:rPr>
          <w:rFonts w:ascii="Verdana" w:hAnsi="Verdana"/>
          <w:sz w:val="20"/>
          <w:szCs w:val="20"/>
        </w:rPr>
        <w:t>parte de</w:t>
      </w:r>
      <w:r w:rsidR="000F0C4F" w:rsidRPr="001772E9">
        <w:rPr>
          <w:rFonts w:ascii="Verdana" w:hAnsi="Verdana"/>
          <w:sz w:val="20"/>
          <w:szCs w:val="20"/>
        </w:rPr>
        <w:t xml:space="preserve"> que la referida jurisprudencia</w:t>
      </w:r>
      <w:r w:rsidR="007E2B33">
        <w:rPr>
          <w:rFonts w:ascii="Verdana" w:hAnsi="Verdana"/>
          <w:sz w:val="20"/>
          <w:szCs w:val="20"/>
        </w:rPr>
        <w:t xml:space="preserve"> de la Corte Suprema de Chile</w:t>
      </w:r>
      <w:r w:rsidR="002359F0" w:rsidRPr="001772E9">
        <w:rPr>
          <w:rFonts w:ascii="Verdana" w:hAnsi="Verdana"/>
          <w:sz w:val="20"/>
          <w:szCs w:val="20"/>
        </w:rPr>
        <w:t>,</w:t>
      </w:r>
      <w:r w:rsidR="000F0C4F" w:rsidRPr="001772E9">
        <w:rPr>
          <w:rFonts w:ascii="Verdana" w:hAnsi="Verdana"/>
          <w:sz w:val="20"/>
          <w:szCs w:val="20"/>
        </w:rPr>
        <w:t xml:space="preserve"> tan claramente fijada </w:t>
      </w:r>
      <w:r w:rsidR="007E2B33">
        <w:rPr>
          <w:rFonts w:ascii="Verdana" w:hAnsi="Verdana"/>
          <w:sz w:val="20"/>
          <w:szCs w:val="20"/>
        </w:rPr>
        <w:t xml:space="preserve">en esta oportunidad </w:t>
      </w:r>
      <w:r w:rsidR="000F0C4F" w:rsidRPr="001772E9">
        <w:rPr>
          <w:rFonts w:ascii="Verdana" w:hAnsi="Verdana"/>
          <w:sz w:val="20"/>
          <w:szCs w:val="20"/>
        </w:rPr>
        <w:t xml:space="preserve">por </w:t>
      </w:r>
      <w:r>
        <w:rPr>
          <w:rFonts w:ascii="Verdana" w:hAnsi="Verdana"/>
          <w:sz w:val="20"/>
          <w:szCs w:val="20"/>
        </w:rPr>
        <w:t>dicho tribunal</w:t>
      </w:r>
      <w:r w:rsidR="002359F0" w:rsidRPr="001772E9">
        <w:rPr>
          <w:rFonts w:ascii="Verdana" w:hAnsi="Verdana"/>
          <w:sz w:val="20"/>
          <w:szCs w:val="20"/>
        </w:rPr>
        <w:t>,</w:t>
      </w:r>
      <w:r w:rsidR="000F0C4F" w:rsidRPr="001772E9">
        <w:rPr>
          <w:rFonts w:ascii="Verdana" w:hAnsi="Verdana"/>
          <w:sz w:val="20"/>
          <w:szCs w:val="20"/>
        </w:rPr>
        <w:t xml:space="preserve"> brinda seguridad jurídica suficiente respecto a que  tiene competencia para conocer recursos de revisión relativos a sentencias condenatorias proferidas por Consejos de Guerra</w:t>
      </w:r>
      <w:r w:rsidR="002359F0" w:rsidRPr="005E11F2">
        <w:rPr>
          <w:rStyle w:val="FootnoteReference"/>
          <w:rFonts w:ascii="Verdana" w:hAnsi="Verdana"/>
          <w:sz w:val="20"/>
          <w:szCs w:val="20"/>
        </w:rPr>
        <w:footnoteReference w:id="53"/>
      </w:r>
      <w:r w:rsidR="000F0C4F" w:rsidRPr="001772E9">
        <w:rPr>
          <w:rFonts w:ascii="Verdana" w:hAnsi="Verdana"/>
          <w:sz w:val="20"/>
          <w:szCs w:val="20"/>
        </w:rPr>
        <w:t xml:space="preserve"> y que</w:t>
      </w:r>
      <w:r w:rsidR="00AE0F16">
        <w:rPr>
          <w:rFonts w:ascii="Verdana" w:hAnsi="Verdana"/>
          <w:sz w:val="20"/>
          <w:szCs w:val="20"/>
        </w:rPr>
        <w:t>,</w:t>
      </w:r>
      <w:r w:rsidR="002359F0" w:rsidRPr="001772E9">
        <w:rPr>
          <w:rFonts w:ascii="Verdana" w:hAnsi="Verdana"/>
          <w:sz w:val="20"/>
          <w:szCs w:val="20"/>
        </w:rPr>
        <w:t xml:space="preserve"> a futuro</w:t>
      </w:r>
      <w:r w:rsidR="00AE0F16">
        <w:rPr>
          <w:rFonts w:ascii="Verdana" w:hAnsi="Verdana"/>
          <w:sz w:val="20"/>
          <w:szCs w:val="20"/>
        </w:rPr>
        <w:t>,</w:t>
      </w:r>
      <w:r>
        <w:rPr>
          <w:rFonts w:ascii="Verdana" w:hAnsi="Verdana"/>
          <w:sz w:val="20"/>
          <w:szCs w:val="20"/>
        </w:rPr>
        <w:t xml:space="preserve"> a través de</w:t>
      </w:r>
      <w:r w:rsidR="000F0C4F" w:rsidRPr="001772E9">
        <w:rPr>
          <w:rFonts w:ascii="Verdana" w:hAnsi="Verdana"/>
          <w:sz w:val="20"/>
          <w:szCs w:val="20"/>
        </w:rPr>
        <w:t xml:space="preserve"> la causal de revisión prevista en el artículo 657 N°4 del Código de Procedimiento Penal</w:t>
      </w:r>
      <w:r w:rsidR="00AE0F16">
        <w:rPr>
          <w:rFonts w:ascii="Verdana" w:hAnsi="Verdana"/>
          <w:sz w:val="20"/>
          <w:szCs w:val="20"/>
        </w:rPr>
        <w:t>,</w:t>
      </w:r>
      <w:r w:rsidR="000F0C4F" w:rsidRPr="001772E9">
        <w:rPr>
          <w:rFonts w:ascii="Verdana" w:hAnsi="Verdana"/>
          <w:sz w:val="20"/>
          <w:szCs w:val="20"/>
        </w:rPr>
        <w:t xml:space="preserve"> </w:t>
      </w:r>
      <w:r w:rsidR="001F7032">
        <w:rPr>
          <w:rFonts w:ascii="Verdana" w:hAnsi="Verdana"/>
          <w:sz w:val="20"/>
          <w:szCs w:val="20"/>
        </w:rPr>
        <w:t xml:space="preserve">podrá analizar recursos relativos a </w:t>
      </w:r>
      <w:r w:rsidR="000F0C4F" w:rsidRPr="001772E9">
        <w:rPr>
          <w:rFonts w:ascii="Verdana" w:hAnsi="Verdana"/>
          <w:sz w:val="20"/>
          <w:szCs w:val="20"/>
        </w:rPr>
        <w:t>otras personas</w:t>
      </w:r>
      <w:r w:rsidR="000735D3" w:rsidRPr="001772E9">
        <w:rPr>
          <w:rFonts w:ascii="Verdana" w:hAnsi="Verdana"/>
          <w:sz w:val="20"/>
          <w:szCs w:val="20"/>
        </w:rPr>
        <w:t xml:space="preserve"> </w:t>
      </w:r>
      <w:r w:rsidR="002359F0" w:rsidRPr="001772E9">
        <w:rPr>
          <w:rFonts w:ascii="Verdana" w:hAnsi="Verdana"/>
          <w:sz w:val="20"/>
          <w:szCs w:val="20"/>
        </w:rPr>
        <w:t xml:space="preserve">que también fueron condenadas por Consejos de Guerra </w:t>
      </w:r>
      <w:r w:rsidR="001F7032">
        <w:rPr>
          <w:rFonts w:ascii="Verdana" w:hAnsi="Verdana"/>
          <w:sz w:val="20"/>
          <w:szCs w:val="20"/>
        </w:rPr>
        <w:t>que</w:t>
      </w:r>
      <w:r w:rsidR="00C774B6" w:rsidRPr="001772E9">
        <w:rPr>
          <w:rFonts w:ascii="Verdana" w:hAnsi="Verdana"/>
          <w:sz w:val="20"/>
          <w:szCs w:val="20"/>
        </w:rPr>
        <w:t xml:space="preserve"> </w:t>
      </w:r>
      <w:r w:rsidR="002359F0" w:rsidRPr="001772E9">
        <w:rPr>
          <w:rFonts w:ascii="Verdana" w:hAnsi="Verdana"/>
          <w:sz w:val="20"/>
          <w:szCs w:val="20"/>
        </w:rPr>
        <w:t>pretend</w:t>
      </w:r>
      <w:r w:rsidR="001F7032">
        <w:rPr>
          <w:rFonts w:ascii="Verdana" w:hAnsi="Verdana"/>
          <w:sz w:val="20"/>
          <w:szCs w:val="20"/>
        </w:rPr>
        <w:t>an</w:t>
      </w:r>
      <w:r w:rsidR="002359F0" w:rsidRPr="001772E9">
        <w:rPr>
          <w:rFonts w:ascii="Verdana" w:hAnsi="Verdana"/>
          <w:sz w:val="20"/>
          <w:szCs w:val="20"/>
        </w:rPr>
        <w:t xml:space="preserve"> la revisión de sus sentencias. Al respecto, ya ha sido demostrado que el referido recurso fue efectivo para garantizar la revisión de las condenas impuestas a otras 72 personas distintas a las víctimas de este caso (</w:t>
      </w:r>
      <w:r w:rsidR="002359F0" w:rsidRPr="001772E9">
        <w:rPr>
          <w:rFonts w:ascii="Verdana" w:hAnsi="Verdana"/>
          <w:i/>
          <w:sz w:val="20"/>
          <w:szCs w:val="20"/>
        </w:rPr>
        <w:t>supra</w:t>
      </w:r>
      <w:r w:rsidR="002359F0" w:rsidRPr="001772E9">
        <w:rPr>
          <w:rFonts w:ascii="Verdana" w:hAnsi="Verdana"/>
          <w:sz w:val="20"/>
          <w:szCs w:val="20"/>
        </w:rPr>
        <w:t xml:space="preserve"> Considerando </w:t>
      </w:r>
      <w:r w:rsidR="000735D3" w:rsidRPr="001772E9">
        <w:rPr>
          <w:rFonts w:ascii="Verdana" w:hAnsi="Verdana"/>
          <w:sz w:val="20"/>
          <w:szCs w:val="20"/>
        </w:rPr>
        <w:t>34</w:t>
      </w:r>
      <w:r w:rsidR="002359F0" w:rsidRPr="001772E9">
        <w:rPr>
          <w:rFonts w:ascii="Verdana" w:hAnsi="Verdana"/>
          <w:sz w:val="20"/>
          <w:szCs w:val="20"/>
        </w:rPr>
        <w:t xml:space="preserve">), por lo que este Tribunal </w:t>
      </w:r>
      <w:r w:rsidR="001F7032">
        <w:rPr>
          <w:rFonts w:ascii="Verdana" w:hAnsi="Verdana"/>
          <w:sz w:val="20"/>
          <w:szCs w:val="20"/>
        </w:rPr>
        <w:t>parte de</w:t>
      </w:r>
      <w:r w:rsidR="005E11F2" w:rsidRPr="001772E9">
        <w:rPr>
          <w:rFonts w:ascii="Verdana" w:hAnsi="Verdana"/>
          <w:sz w:val="20"/>
          <w:szCs w:val="20"/>
        </w:rPr>
        <w:t xml:space="preserve"> que</w:t>
      </w:r>
      <w:r w:rsidR="002359F0" w:rsidRPr="001772E9">
        <w:rPr>
          <w:rFonts w:ascii="Verdana" w:hAnsi="Verdana"/>
          <w:sz w:val="20"/>
          <w:szCs w:val="20"/>
        </w:rPr>
        <w:t xml:space="preserve">, en atención a la buena fe del Estado en el cumplimiento de sus obligaciones, la referida línea jurisprudencial </w:t>
      </w:r>
      <w:r w:rsidR="000735D3" w:rsidRPr="001772E9">
        <w:rPr>
          <w:rFonts w:ascii="Verdana" w:hAnsi="Verdana"/>
          <w:sz w:val="20"/>
          <w:szCs w:val="20"/>
        </w:rPr>
        <w:t xml:space="preserve">se </w:t>
      </w:r>
      <w:r w:rsidR="00AE0F16">
        <w:rPr>
          <w:rFonts w:ascii="Verdana" w:hAnsi="Verdana"/>
          <w:sz w:val="20"/>
          <w:szCs w:val="20"/>
        </w:rPr>
        <w:t>mantendrá</w:t>
      </w:r>
      <w:r w:rsidR="00AE0F16" w:rsidRPr="001772E9">
        <w:rPr>
          <w:rFonts w:ascii="Verdana" w:hAnsi="Verdana"/>
          <w:sz w:val="20"/>
          <w:szCs w:val="20"/>
        </w:rPr>
        <w:t xml:space="preserve"> </w:t>
      </w:r>
      <w:r w:rsidR="000735D3" w:rsidRPr="001772E9">
        <w:rPr>
          <w:rFonts w:ascii="Verdana" w:hAnsi="Verdana"/>
          <w:sz w:val="20"/>
          <w:szCs w:val="20"/>
        </w:rPr>
        <w:t>en</w:t>
      </w:r>
      <w:r w:rsidR="002359F0" w:rsidRPr="001772E9">
        <w:rPr>
          <w:rFonts w:ascii="Verdana" w:hAnsi="Verdana"/>
          <w:sz w:val="20"/>
          <w:szCs w:val="20"/>
        </w:rPr>
        <w:t xml:space="preserve"> </w:t>
      </w:r>
      <w:r w:rsidR="001F7032">
        <w:rPr>
          <w:rFonts w:ascii="Verdana" w:hAnsi="Verdana"/>
          <w:sz w:val="20"/>
          <w:szCs w:val="20"/>
        </w:rPr>
        <w:t>posteriores</w:t>
      </w:r>
      <w:r w:rsidR="002359F0" w:rsidRPr="001772E9">
        <w:rPr>
          <w:rFonts w:ascii="Verdana" w:hAnsi="Verdana"/>
          <w:sz w:val="20"/>
          <w:szCs w:val="20"/>
        </w:rPr>
        <w:t xml:space="preserve"> recursos de revisión que tenga que resolver la Corte Suprema</w:t>
      </w:r>
      <w:r w:rsidR="005E11F2" w:rsidRPr="001772E9">
        <w:rPr>
          <w:rFonts w:ascii="Verdana" w:hAnsi="Verdana"/>
          <w:sz w:val="20"/>
          <w:szCs w:val="20"/>
        </w:rPr>
        <w:t>,</w:t>
      </w:r>
      <w:r w:rsidR="002359F0" w:rsidRPr="001772E9">
        <w:rPr>
          <w:rFonts w:ascii="Verdana" w:hAnsi="Verdana"/>
          <w:sz w:val="20"/>
          <w:szCs w:val="20"/>
        </w:rPr>
        <w:t xml:space="preserve"> a efecto de garantizar que las circunstancias del presente caso no se vuelvan a repetir.</w:t>
      </w:r>
      <w:r w:rsidR="005E11F2" w:rsidRPr="001772E9">
        <w:rPr>
          <w:rFonts w:ascii="Verdana" w:hAnsi="Verdana"/>
          <w:sz w:val="20"/>
          <w:szCs w:val="20"/>
        </w:rPr>
        <w:t xml:space="preserve"> </w:t>
      </w:r>
    </w:p>
    <w:p w:rsidR="001F7032" w:rsidRPr="001F7032" w:rsidRDefault="001F7032" w:rsidP="001772E9">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1F7032">
        <w:rPr>
          <w:rFonts w:ascii="Verdana" w:hAnsi="Verdana"/>
          <w:sz w:val="20"/>
          <w:szCs w:val="20"/>
        </w:rPr>
        <w:t>El anterior análisis de</w:t>
      </w:r>
      <w:r w:rsidR="00AE0F16">
        <w:rPr>
          <w:rFonts w:ascii="Verdana" w:hAnsi="Verdana"/>
          <w:sz w:val="20"/>
          <w:szCs w:val="20"/>
        </w:rPr>
        <w:t>l</w:t>
      </w:r>
      <w:r w:rsidRPr="001F7032">
        <w:rPr>
          <w:rFonts w:ascii="Verdana" w:hAnsi="Verdana"/>
          <w:sz w:val="20"/>
          <w:szCs w:val="20"/>
        </w:rPr>
        <w:t xml:space="preserve"> cumplimiento de esta garantía de no repetición es realizado por esta Corte en el marco de </w:t>
      </w:r>
      <w:r w:rsidR="00251822">
        <w:rPr>
          <w:rFonts w:ascii="Verdana" w:hAnsi="Verdana"/>
          <w:sz w:val="20"/>
          <w:szCs w:val="20"/>
        </w:rPr>
        <w:t>sus</w:t>
      </w:r>
      <w:r w:rsidR="00251822" w:rsidRPr="001F7032">
        <w:rPr>
          <w:rFonts w:ascii="Verdana" w:hAnsi="Verdana"/>
          <w:sz w:val="20"/>
          <w:szCs w:val="20"/>
        </w:rPr>
        <w:t xml:space="preserve"> </w:t>
      </w:r>
      <w:r w:rsidRPr="001F7032">
        <w:rPr>
          <w:rFonts w:ascii="Verdana" w:hAnsi="Verdana"/>
          <w:sz w:val="20"/>
          <w:szCs w:val="20"/>
        </w:rPr>
        <w:t xml:space="preserve">facultades de supervisión de cumplimiento de sentencia, que no equivalen a un pronunciamiento de fondo, por lo que ello no precluye la posibilidad de este Tribunal para pronunciarse </w:t>
      </w:r>
      <w:r w:rsidR="006B25D9">
        <w:rPr>
          <w:rFonts w:ascii="Verdana" w:hAnsi="Verdana"/>
          <w:sz w:val="20"/>
          <w:szCs w:val="20"/>
        </w:rPr>
        <w:t>si se le llegare a some</w:t>
      </w:r>
      <w:r w:rsidR="00251822">
        <w:rPr>
          <w:rFonts w:ascii="Verdana" w:hAnsi="Verdana"/>
          <w:sz w:val="20"/>
          <w:szCs w:val="20"/>
        </w:rPr>
        <w:t xml:space="preserve">ter otro </w:t>
      </w:r>
      <w:r w:rsidRPr="001F7032">
        <w:rPr>
          <w:rFonts w:ascii="Verdana" w:hAnsi="Verdana"/>
          <w:sz w:val="20"/>
          <w:szCs w:val="20"/>
        </w:rPr>
        <w:t>caso contencioso por hechos similares.</w:t>
      </w:r>
    </w:p>
    <w:p w:rsidR="000765EC" w:rsidRPr="00701D92" w:rsidRDefault="001772E9" w:rsidP="002E49AC">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1F7032">
        <w:rPr>
          <w:rFonts w:ascii="Verdana" w:hAnsi="Verdana"/>
          <w:sz w:val="20"/>
          <w:szCs w:val="20"/>
        </w:rPr>
        <w:t xml:space="preserve">Por otra parte, </w:t>
      </w:r>
      <w:r w:rsidR="00D5104A">
        <w:rPr>
          <w:rFonts w:ascii="Verdana" w:hAnsi="Verdana"/>
          <w:sz w:val="20"/>
          <w:szCs w:val="20"/>
        </w:rPr>
        <w:t xml:space="preserve">también se </w:t>
      </w:r>
      <w:r w:rsidRPr="001F7032">
        <w:rPr>
          <w:rFonts w:ascii="Verdana" w:hAnsi="Verdana"/>
          <w:sz w:val="20"/>
          <w:szCs w:val="20"/>
        </w:rPr>
        <w:t xml:space="preserve">valora positivamente la referida decisión judicial interna porque la Corte Suprema de Chile reconoció el papel fundamental que tienen los tribunales internos, incluso aquellos de máxima jerarquía dentro de un Estado, </w:t>
      </w:r>
      <w:r w:rsidRPr="001F7032">
        <w:rPr>
          <w:rFonts w:ascii="Verdana" w:hAnsi="Verdana"/>
          <w:sz w:val="20"/>
          <w:lang w:val="es-CR"/>
        </w:rPr>
        <w:t>en el cumplimiento o implementación de las Sentencias de la Corte Interamericana</w:t>
      </w:r>
      <w:r w:rsidR="001F7032" w:rsidRPr="001F7032">
        <w:rPr>
          <w:rFonts w:ascii="Verdana" w:hAnsi="Verdana"/>
          <w:sz w:val="20"/>
          <w:lang w:val="es-CR"/>
        </w:rPr>
        <w:t xml:space="preserve"> (</w:t>
      </w:r>
      <w:r w:rsidR="001F7032" w:rsidRPr="00AE0F16">
        <w:rPr>
          <w:rFonts w:ascii="Verdana" w:hAnsi="Verdana"/>
          <w:i/>
          <w:sz w:val="20"/>
          <w:lang w:val="es-CR"/>
        </w:rPr>
        <w:t>supra</w:t>
      </w:r>
      <w:r w:rsidR="001F7032" w:rsidRPr="001F7032">
        <w:rPr>
          <w:rFonts w:ascii="Verdana" w:hAnsi="Verdana"/>
          <w:sz w:val="20"/>
          <w:lang w:val="es-CR"/>
        </w:rPr>
        <w:t xml:space="preserve"> Considerando </w:t>
      </w:r>
      <w:r w:rsidR="00AE0F16">
        <w:rPr>
          <w:rFonts w:ascii="Verdana" w:hAnsi="Verdana"/>
          <w:sz w:val="20"/>
          <w:lang w:val="es-CR"/>
        </w:rPr>
        <w:t>39</w:t>
      </w:r>
      <w:r w:rsidR="001F7032" w:rsidRPr="001F7032">
        <w:rPr>
          <w:rFonts w:ascii="Verdana" w:hAnsi="Verdana"/>
          <w:sz w:val="20"/>
          <w:lang w:val="es-CR"/>
        </w:rPr>
        <w:t>)</w:t>
      </w:r>
      <w:r w:rsidRPr="00631E86">
        <w:rPr>
          <w:rStyle w:val="FootnoteReference"/>
          <w:rFonts w:ascii="Verdana" w:hAnsi="Verdana"/>
          <w:sz w:val="20"/>
          <w:lang w:val="es-CR"/>
        </w:rPr>
        <w:footnoteReference w:id="54"/>
      </w:r>
      <w:r w:rsidR="001F7032" w:rsidRPr="001F7032">
        <w:rPr>
          <w:rFonts w:ascii="Verdana" w:hAnsi="Verdana"/>
          <w:sz w:val="20"/>
          <w:lang w:val="es-CR"/>
        </w:rPr>
        <w:t>.</w:t>
      </w:r>
      <w:r w:rsidR="00D5104A">
        <w:rPr>
          <w:rFonts w:ascii="Verdana" w:hAnsi="Verdana"/>
          <w:sz w:val="20"/>
          <w:lang w:val="es-CR"/>
        </w:rPr>
        <w:t xml:space="preserve"> Esta decisión de la Corte Suprema es una muestra del diálogo </w:t>
      </w:r>
      <w:r w:rsidR="00D5104A">
        <w:rPr>
          <w:rFonts w:ascii="Verdana" w:hAnsi="Verdana"/>
          <w:sz w:val="20"/>
          <w:lang w:val="es-CR"/>
        </w:rPr>
        <w:lastRenderedPageBreak/>
        <w:t xml:space="preserve">constructivo y </w:t>
      </w:r>
      <w:r w:rsidR="00AE0F16">
        <w:rPr>
          <w:rFonts w:ascii="Verdana" w:hAnsi="Verdana"/>
          <w:sz w:val="20"/>
          <w:lang w:val="es-CR"/>
        </w:rPr>
        <w:t xml:space="preserve">de la </w:t>
      </w:r>
      <w:r w:rsidR="00D5104A">
        <w:rPr>
          <w:rFonts w:ascii="Verdana" w:hAnsi="Verdana"/>
          <w:sz w:val="20"/>
          <w:lang w:val="es-CR"/>
        </w:rPr>
        <w:t xml:space="preserve">cooperación entre tribunales nacionales y la Corte Interamericana para el cumplimiento de las </w:t>
      </w:r>
      <w:r w:rsidR="001618AA">
        <w:rPr>
          <w:rFonts w:ascii="Verdana" w:hAnsi="Verdana"/>
          <w:sz w:val="20"/>
          <w:lang w:val="es-CR"/>
        </w:rPr>
        <w:t>sentencias</w:t>
      </w:r>
      <w:r w:rsidR="00D5104A">
        <w:rPr>
          <w:rFonts w:ascii="Verdana" w:hAnsi="Verdana"/>
          <w:sz w:val="20"/>
          <w:lang w:val="es-CR"/>
        </w:rPr>
        <w:t xml:space="preserve"> de esta última.</w:t>
      </w:r>
      <w:r w:rsidR="001F7032">
        <w:rPr>
          <w:rFonts w:ascii="Verdana" w:hAnsi="Verdana"/>
          <w:sz w:val="20"/>
          <w:lang w:val="es-CR"/>
        </w:rPr>
        <w:t xml:space="preserve"> </w:t>
      </w:r>
      <w:r w:rsidR="001F7032" w:rsidRPr="00701D92">
        <w:rPr>
          <w:rFonts w:ascii="Verdana" w:hAnsi="Verdana"/>
          <w:sz w:val="20"/>
          <w:szCs w:val="20"/>
        </w:rPr>
        <w:t>En ese sentido, e</w:t>
      </w:r>
      <w:r w:rsidR="002E49AC" w:rsidRPr="00701D92">
        <w:rPr>
          <w:rFonts w:ascii="Verdana" w:hAnsi="Verdana"/>
          <w:sz w:val="20"/>
          <w:szCs w:val="20"/>
        </w:rPr>
        <w:t xml:space="preserve">sta </w:t>
      </w:r>
      <w:r w:rsidR="00EC766F" w:rsidRPr="00701D92">
        <w:rPr>
          <w:rFonts w:ascii="Verdana" w:hAnsi="Verdana"/>
          <w:sz w:val="20"/>
          <w:szCs w:val="20"/>
        </w:rPr>
        <w:t>relevan</w:t>
      </w:r>
      <w:r w:rsidR="002E49AC" w:rsidRPr="00701D92">
        <w:rPr>
          <w:rFonts w:ascii="Verdana" w:hAnsi="Verdana"/>
          <w:sz w:val="20"/>
          <w:szCs w:val="20"/>
        </w:rPr>
        <w:t>te</w:t>
      </w:r>
      <w:r w:rsidR="00EC766F" w:rsidRPr="00701D92">
        <w:rPr>
          <w:rFonts w:ascii="Verdana" w:hAnsi="Verdana"/>
          <w:sz w:val="20"/>
          <w:szCs w:val="20"/>
        </w:rPr>
        <w:t xml:space="preserve"> decisión del más alto tribunal chileno se suma a las de </w:t>
      </w:r>
      <w:r w:rsidR="002E49AC" w:rsidRPr="00701D92">
        <w:rPr>
          <w:rFonts w:ascii="Verdana" w:hAnsi="Verdana"/>
          <w:sz w:val="20"/>
          <w:szCs w:val="20"/>
        </w:rPr>
        <w:t xml:space="preserve">tribunales internos de </w:t>
      </w:r>
      <w:r w:rsidR="00EC766F" w:rsidRPr="00701D92">
        <w:rPr>
          <w:rFonts w:ascii="Verdana" w:hAnsi="Verdana"/>
          <w:sz w:val="20"/>
          <w:szCs w:val="20"/>
        </w:rPr>
        <w:t>Estados</w:t>
      </w:r>
      <w:r w:rsidR="00251822">
        <w:rPr>
          <w:rFonts w:ascii="Verdana" w:hAnsi="Verdana"/>
          <w:sz w:val="20"/>
          <w:szCs w:val="20"/>
        </w:rPr>
        <w:t>,</w:t>
      </w:r>
      <w:r w:rsidR="00EC766F" w:rsidRPr="00701D92">
        <w:rPr>
          <w:rFonts w:ascii="Verdana" w:hAnsi="Verdana"/>
          <w:sz w:val="20"/>
          <w:szCs w:val="20"/>
        </w:rPr>
        <w:t xml:space="preserve"> </w:t>
      </w:r>
      <w:r w:rsidR="002E49AC" w:rsidRPr="00701D92">
        <w:rPr>
          <w:rFonts w:ascii="Verdana" w:hAnsi="Verdana"/>
          <w:sz w:val="20"/>
          <w:szCs w:val="20"/>
        </w:rPr>
        <w:t xml:space="preserve">tales </w:t>
      </w:r>
      <w:r w:rsidR="00EC766F" w:rsidRPr="00701D92">
        <w:rPr>
          <w:rFonts w:ascii="Verdana" w:hAnsi="Verdana"/>
          <w:sz w:val="20"/>
          <w:szCs w:val="20"/>
        </w:rPr>
        <w:t>como</w:t>
      </w:r>
      <w:r w:rsidR="002E49AC" w:rsidRPr="00701D92">
        <w:rPr>
          <w:rFonts w:ascii="Verdana" w:hAnsi="Verdana"/>
          <w:sz w:val="20"/>
          <w:szCs w:val="20"/>
        </w:rPr>
        <w:t xml:space="preserve"> Costa Rica</w:t>
      </w:r>
      <w:r w:rsidR="004A1C9A" w:rsidRPr="00701D92">
        <w:rPr>
          <w:rStyle w:val="FootnoteReference"/>
          <w:rFonts w:ascii="Verdana" w:hAnsi="Verdana"/>
          <w:sz w:val="20"/>
          <w:szCs w:val="20"/>
        </w:rPr>
        <w:footnoteReference w:id="55"/>
      </w:r>
      <w:r w:rsidR="00251822">
        <w:rPr>
          <w:rFonts w:ascii="Verdana" w:hAnsi="Verdana"/>
          <w:sz w:val="20"/>
          <w:szCs w:val="20"/>
        </w:rPr>
        <w:t>,</w:t>
      </w:r>
      <w:r w:rsidR="005E11F2" w:rsidRPr="00701D92">
        <w:rPr>
          <w:rFonts w:ascii="Verdana" w:hAnsi="Verdana"/>
          <w:sz w:val="20"/>
          <w:szCs w:val="20"/>
        </w:rPr>
        <w:t xml:space="preserve"> </w:t>
      </w:r>
      <w:r w:rsidR="00EC766F" w:rsidRPr="00701D92">
        <w:rPr>
          <w:rFonts w:ascii="Verdana" w:hAnsi="Verdana"/>
          <w:sz w:val="20"/>
          <w:szCs w:val="20"/>
        </w:rPr>
        <w:t>Panamá</w:t>
      </w:r>
      <w:r w:rsidR="005E11F2" w:rsidRPr="00701D92">
        <w:rPr>
          <w:rStyle w:val="FootnoteReference"/>
          <w:rFonts w:ascii="Verdana" w:hAnsi="Verdana"/>
          <w:sz w:val="20"/>
          <w:szCs w:val="20"/>
        </w:rPr>
        <w:footnoteReference w:id="56"/>
      </w:r>
      <w:r w:rsidR="00D81CCA" w:rsidRPr="00701D92">
        <w:rPr>
          <w:rFonts w:ascii="Verdana" w:hAnsi="Verdana"/>
          <w:sz w:val="20"/>
          <w:szCs w:val="20"/>
        </w:rPr>
        <w:t xml:space="preserve">, </w:t>
      </w:r>
      <w:r w:rsidR="00251822" w:rsidRPr="00701D92">
        <w:rPr>
          <w:rFonts w:ascii="Verdana" w:hAnsi="Verdana"/>
          <w:sz w:val="20"/>
          <w:szCs w:val="20"/>
        </w:rPr>
        <w:t>Perú</w:t>
      </w:r>
      <w:r w:rsidR="00251822" w:rsidRPr="00701D92">
        <w:rPr>
          <w:rStyle w:val="FootnoteReference"/>
          <w:rFonts w:ascii="Verdana" w:hAnsi="Verdana"/>
          <w:sz w:val="20"/>
          <w:szCs w:val="20"/>
        </w:rPr>
        <w:footnoteReference w:id="57"/>
      </w:r>
      <w:r w:rsidR="00251822">
        <w:rPr>
          <w:rFonts w:ascii="Verdana" w:hAnsi="Verdana"/>
          <w:sz w:val="20"/>
          <w:szCs w:val="20"/>
        </w:rPr>
        <w:t xml:space="preserve"> y </w:t>
      </w:r>
      <w:r w:rsidR="00251822" w:rsidRPr="00701D92">
        <w:rPr>
          <w:rFonts w:ascii="Verdana" w:hAnsi="Verdana"/>
          <w:sz w:val="20"/>
          <w:szCs w:val="20"/>
        </w:rPr>
        <w:t>El Salvador</w:t>
      </w:r>
      <w:r w:rsidR="00251822" w:rsidRPr="00701D92">
        <w:rPr>
          <w:rStyle w:val="FootnoteReference"/>
          <w:rFonts w:ascii="Verdana" w:hAnsi="Verdana"/>
          <w:sz w:val="20"/>
          <w:szCs w:val="20"/>
        </w:rPr>
        <w:footnoteReference w:id="58"/>
      </w:r>
      <w:r w:rsidR="00D81CCA" w:rsidRPr="00701D92">
        <w:rPr>
          <w:rFonts w:ascii="Verdana" w:hAnsi="Verdana"/>
          <w:sz w:val="20"/>
          <w:szCs w:val="20"/>
        </w:rPr>
        <w:t xml:space="preserve">que </w:t>
      </w:r>
      <w:r w:rsidR="000765EC" w:rsidRPr="00701D92">
        <w:rPr>
          <w:rFonts w:ascii="Verdana" w:hAnsi="Verdana"/>
          <w:sz w:val="20"/>
          <w:szCs w:val="20"/>
        </w:rPr>
        <w:t>han permitido cumplir con reparaciones ordenadas por la Corte Interamericana relativas a dejar sin efecto sentencias internas, así como</w:t>
      </w:r>
      <w:r w:rsidR="005E11F2" w:rsidRPr="00701D92">
        <w:rPr>
          <w:rFonts w:ascii="Verdana" w:hAnsi="Verdana"/>
          <w:sz w:val="20"/>
          <w:szCs w:val="20"/>
        </w:rPr>
        <w:t xml:space="preserve"> </w:t>
      </w:r>
      <w:r w:rsidR="00251822">
        <w:rPr>
          <w:rFonts w:ascii="Verdana" w:hAnsi="Verdana"/>
          <w:sz w:val="20"/>
          <w:szCs w:val="20"/>
        </w:rPr>
        <w:t xml:space="preserve"> a </w:t>
      </w:r>
      <w:r w:rsidR="000765EC" w:rsidRPr="00701D92">
        <w:rPr>
          <w:rFonts w:ascii="Verdana" w:hAnsi="Verdana"/>
          <w:sz w:val="20"/>
          <w:szCs w:val="20"/>
        </w:rPr>
        <w:t>superar amnistías de graves violaciones de derechos humanos para avanzar en el cumplimiento de la obligación de investigar.</w:t>
      </w:r>
    </w:p>
    <w:p w:rsidR="001E05B7" w:rsidRPr="001F7032" w:rsidRDefault="001E05B7" w:rsidP="001F7032">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4C7DCB">
        <w:rPr>
          <w:rFonts w:ascii="Verdana" w:hAnsi="Verdana"/>
          <w:sz w:val="20"/>
          <w:szCs w:val="20"/>
        </w:rPr>
        <w:t>Con base en lo expuesto anteri</w:t>
      </w:r>
      <w:r w:rsidR="00315FDA" w:rsidRPr="004C7DCB">
        <w:rPr>
          <w:rFonts w:ascii="Verdana" w:hAnsi="Verdana"/>
          <w:sz w:val="20"/>
          <w:szCs w:val="20"/>
        </w:rPr>
        <w:t xml:space="preserve">ormente, la Corte considera </w:t>
      </w:r>
      <w:r w:rsidR="001F7032">
        <w:rPr>
          <w:rFonts w:ascii="Verdana" w:hAnsi="Verdana"/>
          <w:sz w:val="20"/>
          <w:szCs w:val="20"/>
        </w:rPr>
        <w:t>que</w:t>
      </w:r>
      <w:r w:rsidR="007066EB">
        <w:rPr>
          <w:rFonts w:ascii="Verdana" w:hAnsi="Verdana"/>
          <w:sz w:val="20"/>
          <w:szCs w:val="20"/>
        </w:rPr>
        <w:t>,</w:t>
      </w:r>
      <w:r w:rsidR="001F7032">
        <w:rPr>
          <w:rFonts w:ascii="Verdana" w:hAnsi="Verdana"/>
          <w:sz w:val="20"/>
          <w:szCs w:val="20"/>
        </w:rPr>
        <w:t xml:space="preserve"> a través de las acciones implementadas por el Estado</w:t>
      </w:r>
      <w:r w:rsidR="007066EB">
        <w:rPr>
          <w:rFonts w:ascii="Verdana" w:hAnsi="Verdana"/>
          <w:sz w:val="20"/>
          <w:szCs w:val="20"/>
        </w:rPr>
        <w:t>,</w:t>
      </w:r>
      <w:r w:rsidR="001F7032">
        <w:rPr>
          <w:rFonts w:ascii="Verdana" w:hAnsi="Verdana"/>
          <w:sz w:val="20"/>
          <w:szCs w:val="20"/>
        </w:rPr>
        <w:t xml:space="preserve"> se ha </w:t>
      </w:r>
      <w:r w:rsidR="001F7032" w:rsidRPr="00631E86">
        <w:rPr>
          <w:rFonts w:ascii="Verdana" w:hAnsi="Verdana"/>
          <w:sz w:val="20"/>
          <w:szCs w:val="20"/>
        </w:rPr>
        <w:t>asegur</w:t>
      </w:r>
      <w:r w:rsidR="007066EB">
        <w:rPr>
          <w:rFonts w:ascii="Verdana" w:hAnsi="Verdana"/>
          <w:sz w:val="20"/>
          <w:szCs w:val="20"/>
        </w:rPr>
        <w:t>ado</w:t>
      </w:r>
      <w:r w:rsidR="001F7032" w:rsidRPr="00631E86">
        <w:rPr>
          <w:rFonts w:ascii="Verdana" w:hAnsi="Verdana"/>
          <w:sz w:val="20"/>
          <w:szCs w:val="20"/>
        </w:rPr>
        <w:t xml:space="preserve"> el adecuado cumplimiento de la reparación ordenada</w:t>
      </w:r>
      <w:r w:rsidR="007066EB">
        <w:rPr>
          <w:rFonts w:ascii="Verdana" w:hAnsi="Verdana"/>
          <w:sz w:val="20"/>
          <w:szCs w:val="20"/>
        </w:rPr>
        <w:t>. La Corte valora positivamente que se haya cumplido</w:t>
      </w:r>
      <w:r w:rsidR="001F7032" w:rsidRPr="00631E86">
        <w:rPr>
          <w:rFonts w:ascii="Verdana" w:hAnsi="Verdana"/>
          <w:sz w:val="20"/>
          <w:szCs w:val="20"/>
        </w:rPr>
        <w:t xml:space="preserve"> </w:t>
      </w:r>
      <w:r w:rsidR="007066EB">
        <w:rPr>
          <w:rFonts w:ascii="Verdana" w:hAnsi="Verdana"/>
          <w:sz w:val="20"/>
          <w:szCs w:val="20"/>
        </w:rPr>
        <w:t xml:space="preserve">con esta </w:t>
      </w:r>
      <w:r w:rsidR="007066EB">
        <w:rPr>
          <w:rFonts w:ascii="Verdana" w:hAnsi="Verdana"/>
          <w:sz w:val="20"/>
          <w:szCs w:val="20"/>
        </w:rPr>
        <w:lastRenderedPageBreak/>
        <w:t xml:space="preserve">medida </w:t>
      </w:r>
      <w:r w:rsidR="001F7032" w:rsidRPr="00631E86">
        <w:rPr>
          <w:rFonts w:ascii="Verdana" w:hAnsi="Verdana"/>
          <w:sz w:val="20"/>
          <w:szCs w:val="20"/>
        </w:rPr>
        <w:t>dentro del plazo de un año otorgado por la Corte</w:t>
      </w:r>
      <w:r w:rsidR="001F7032">
        <w:rPr>
          <w:rFonts w:ascii="Verdana" w:hAnsi="Verdana"/>
          <w:sz w:val="20"/>
          <w:szCs w:val="20"/>
        </w:rPr>
        <w:t xml:space="preserve"> </w:t>
      </w:r>
      <w:r w:rsidR="001F7032" w:rsidRPr="004C7DCB">
        <w:rPr>
          <w:rFonts w:ascii="Verdana" w:hAnsi="Verdana"/>
          <w:sz w:val="20"/>
          <w:szCs w:val="20"/>
        </w:rPr>
        <w:t>(</w:t>
      </w:r>
      <w:r w:rsidR="001F7032" w:rsidRPr="00C85F65">
        <w:rPr>
          <w:rFonts w:ascii="Verdana" w:hAnsi="Verdana"/>
          <w:i/>
          <w:sz w:val="20"/>
          <w:szCs w:val="20"/>
        </w:rPr>
        <w:t xml:space="preserve">supra </w:t>
      </w:r>
      <w:r w:rsidR="001F7032" w:rsidRPr="004C7DCB">
        <w:rPr>
          <w:rFonts w:ascii="Verdana" w:hAnsi="Verdana"/>
          <w:sz w:val="20"/>
          <w:szCs w:val="20"/>
        </w:rPr>
        <w:t xml:space="preserve">Considerando </w:t>
      </w:r>
      <w:r w:rsidR="007066EB">
        <w:rPr>
          <w:rFonts w:ascii="Verdana" w:hAnsi="Verdana"/>
          <w:sz w:val="20"/>
          <w:szCs w:val="20"/>
        </w:rPr>
        <w:t>23</w:t>
      </w:r>
      <w:r w:rsidR="007066EB" w:rsidRPr="004C7DCB">
        <w:rPr>
          <w:rFonts w:ascii="Verdana" w:hAnsi="Verdana"/>
          <w:sz w:val="20"/>
          <w:szCs w:val="20"/>
        </w:rPr>
        <w:t>)</w:t>
      </w:r>
      <w:r w:rsidR="007066EB">
        <w:rPr>
          <w:rFonts w:ascii="Verdana" w:hAnsi="Verdana"/>
          <w:sz w:val="20"/>
          <w:szCs w:val="20"/>
        </w:rPr>
        <w:t xml:space="preserve">. </w:t>
      </w:r>
      <w:r w:rsidR="001F7032">
        <w:rPr>
          <w:rFonts w:ascii="Verdana" w:hAnsi="Verdana"/>
          <w:sz w:val="20"/>
          <w:szCs w:val="20"/>
        </w:rPr>
        <w:t xml:space="preserve">En consecuencia, se declara que </w:t>
      </w:r>
      <w:r w:rsidR="00315FDA" w:rsidRPr="001F7032">
        <w:rPr>
          <w:rFonts w:ascii="Verdana" w:hAnsi="Verdana"/>
          <w:sz w:val="20"/>
          <w:szCs w:val="20"/>
        </w:rPr>
        <w:t xml:space="preserve">Chile ha dado cumplimiento </w:t>
      </w:r>
      <w:r w:rsidR="004C7DCB" w:rsidRPr="001F7032">
        <w:rPr>
          <w:rFonts w:ascii="Verdana" w:hAnsi="Verdana"/>
          <w:sz w:val="20"/>
          <w:szCs w:val="20"/>
        </w:rPr>
        <w:t xml:space="preserve">total </w:t>
      </w:r>
      <w:r w:rsidR="00315FDA" w:rsidRPr="001F7032">
        <w:rPr>
          <w:rFonts w:ascii="Verdana" w:hAnsi="Verdana"/>
          <w:sz w:val="20"/>
          <w:szCs w:val="20"/>
        </w:rPr>
        <w:t>a la medida de reparaci</w:t>
      </w:r>
      <w:r w:rsidR="004C7DCB" w:rsidRPr="001F7032">
        <w:rPr>
          <w:rFonts w:ascii="Verdana" w:hAnsi="Verdana"/>
          <w:sz w:val="20"/>
          <w:szCs w:val="20"/>
        </w:rPr>
        <w:t>ón relativa a poner a disposición de las víctimas y de las demás personas que fueron condenadas por Consejos de Guerra durante la dictadura militar chilena, un mecanismo efectivo y rápido para revisar y</w:t>
      </w:r>
      <w:r w:rsidR="007066EB">
        <w:rPr>
          <w:rFonts w:ascii="Verdana" w:hAnsi="Verdana"/>
          <w:sz w:val="20"/>
          <w:szCs w:val="20"/>
        </w:rPr>
        <w:t>/o</w:t>
      </w:r>
      <w:r w:rsidR="004C7DCB" w:rsidRPr="001F7032">
        <w:rPr>
          <w:rFonts w:ascii="Verdana" w:hAnsi="Verdana"/>
          <w:sz w:val="20"/>
          <w:szCs w:val="20"/>
        </w:rPr>
        <w:t xml:space="preserve"> anular las sentencias de condena que fueron dictadas en su perjuicio, ordenada en el punto resolutivo noveno de la Sentencia.</w:t>
      </w:r>
    </w:p>
    <w:p w:rsidR="00795AD1" w:rsidRPr="007E3373" w:rsidRDefault="00795AD1" w:rsidP="007E3373">
      <w:pPr>
        <w:pStyle w:val="ListParagraph"/>
        <w:numPr>
          <w:ilvl w:val="0"/>
          <w:numId w:val="2"/>
        </w:numPr>
        <w:tabs>
          <w:tab w:val="left" w:pos="0"/>
        </w:tabs>
        <w:spacing w:before="120" w:after="120" w:line="240" w:lineRule="auto"/>
        <w:ind w:left="0" w:right="-709" w:firstLine="0"/>
        <w:contextualSpacing w:val="0"/>
        <w:jc w:val="both"/>
        <w:rPr>
          <w:rFonts w:ascii="Verdana" w:hAnsi="Verdana"/>
          <w:sz w:val="20"/>
          <w:szCs w:val="20"/>
        </w:rPr>
      </w:pPr>
      <w:r w:rsidRPr="007E3373">
        <w:rPr>
          <w:rFonts w:ascii="Verdana" w:hAnsi="Verdana"/>
          <w:sz w:val="20"/>
          <w:szCs w:val="20"/>
        </w:rPr>
        <w:t>Por otra parte, en cuanto a lo dispuesto por el Tribunal en el párrafo 156 de la Sentencia</w:t>
      </w:r>
      <w:r w:rsidR="00C85F65">
        <w:rPr>
          <w:rFonts w:ascii="Verdana" w:hAnsi="Verdana"/>
          <w:sz w:val="20"/>
          <w:szCs w:val="20"/>
        </w:rPr>
        <w:t xml:space="preserve"> (</w:t>
      </w:r>
      <w:r w:rsidR="00C85F65" w:rsidRPr="00C85F65">
        <w:rPr>
          <w:rFonts w:ascii="Verdana" w:hAnsi="Verdana"/>
          <w:i/>
          <w:sz w:val="20"/>
          <w:szCs w:val="20"/>
        </w:rPr>
        <w:t>supra</w:t>
      </w:r>
      <w:r w:rsidR="00C85F65">
        <w:rPr>
          <w:rFonts w:ascii="Verdana" w:hAnsi="Verdana"/>
          <w:sz w:val="20"/>
          <w:szCs w:val="20"/>
        </w:rPr>
        <w:t xml:space="preserve"> Considerando 24)</w:t>
      </w:r>
      <w:r w:rsidRPr="007E3373">
        <w:rPr>
          <w:rFonts w:ascii="Verdana" w:hAnsi="Verdana"/>
          <w:sz w:val="20"/>
          <w:szCs w:val="20"/>
        </w:rPr>
        <w:t>,</w:t>
      </w:r>
      <w:r w:rsidR="00592604" w:rsidRPr="007E3373">
        <w:rPr>
          <w:rFonts w:ascii="Verdana" w:hAnsi="Verdana"/>
          <w:sz w:val="20"/>
          <w:szCs w:val="20"/>
        </w:rPr>
        <w:t xml:space="preserve"> tal como lo reconoció el Estado (</w:t>
      </w:r>
      <w:r w:rsidR="00592604" w:rsidRPr="007E3373">
        <w:rPr>
          <w:rFonts w:ascii="Verdana" w:hAnsi="Verdana"/>
          <w:i/>
          <w:sz w:val="20"/>
          <w:szCs w:val="20"/>
        </w:rPr>
        <w:t>supra</w:t>
      </w:r>
      <w:r w:rsidR="00592604" w:rsidRPr="007E3373">
        <w:rPr>
          <w:rFonts w:ascii="Verdana" w:hAnsi="Verdana"/>
          <w:sz w:val="20"/>
          <w:szCs w:val="20"/>
        </w:rPr>
        <w:t xml:space="preserve"> Considerando 25),</w:t>
      </w:r>
      <w:r w:rsidRPr="007E3373">
        <w:rPr>
          <w:rFonts w:ascii="Verdana" w:hAnsi="Verdana"/>
          <w:sz w:val="20"/>
          <w:szCs w:val="20"/>
        </w:rPr>
        <w:t xml:space="preserve"> </w:t>
      </w:r>
      <w:r w:rsidR="007E3373" w:rsidRPr="007E3373">
        <w:rPr>
          <w:rFonts w:ascii="Verdana" w:hAnsi="Verdana"/>
          <w:sz w:val="20"/>
          <w:szCs w:val="20"/>
        </w:rPr>
        <w:t>éste deberá implementar las acciones necesarias para cumplir</w:t>
      </w:r>
      <w:r w:rsidR="00C85F65">
        <w:rPr>
          <w:rFonts w:ascii="Verdana" w:hAnsi="Verdana"/>
          <w:sz w:val="20"/>
          <w:szCs w:val="20"/>
        </w:rPr>
        <w:t>, a la mayor brevedad,</w:t>
      </w:r>
      <w:r w:rsidR="007E3373" w:rsidRPr="007E3373">
        <w:rPr>
          <w:rFonts w:ascii="Verdana" w:hAnsi="Verdana"/>
          <w:sz w:val="20"/>
          <w:szCs w:val="20"/>
        </w:rPr>
        <w:t xml:space="preserve"> con </w:t>
      </w:r>
      <w:r w:rsidRPr="007E3373">
        <w:rPr>
          <w:rFonts w:ascii="Verdana" w:hAnsi="Verdana"/>
          <w:sz w:val="20"/>
          <w:szCs w:val="20"/>
        </w:rPr>
        <w:t>la divulgación del resultado de la revisión de las condenas de las víctimas de este caso</w:t>
      </w:r>
      <w:r w:rsidR="007E3373" w:rsidRPr="007E3373">
        <w:rPr>
          <w:rFonts w:ascii="Verdana" w:hAnsi="Verdana"/>
          <w:sz w:val="20"/>
          <w:szCs w:val="20"/>
        </w:rPr>
        <w:t xml:space="preserve"> en</w:t>
      </w:r>
      <w:r w:rsidRPr="007E3373">
        <w:rPr>
          <w:rFonts w:ascii="Verdana" w:hAnsi="Verdana"/>
          <w:sz w:val="20"/>
          <w:szCs w:val="20"/>
        </w:rPr>
        <w:t xml:space="preserve"> el algún medio inte</w:t>
      </w:r>
      <w:r w:rsidR="008A08F2" w:rsidRPr="007E3373">
        <w:rPr>
          <w:rFonts w:ascii="Verdana" w:hAnsi="Verdana"/>
          <w:sz w:val="20"/>
          <w:szCs w:val="20"/>
        </w:rPr>
        <w:t>rn</w:t>
      </w:r>
      <w:r w:rsidRPr="007E3373">
        <w:rPr>
          <w:rFonts w:ascii="Verdana" w:hAnsi="Verdana"/>
          <w:sz w:val="20"/>
          <w:szCs w:val="20"/>
        </w:rPr>
        <w:t>o de las Fuerzas Armadas de Chile.</w:t>
      </w:r>
    </w:p>
    <w:p w:rsidR="003A3C7B" w:rsidRPr="00D42FFC" w:rsidRDefault="003A3C7B" w:rsidP="009D1022">
      <w:pPr>
        <w:pStyle w:val="ListParagraph"/>
        <w:spacing w:before="120" w:after="120" w:line="240" w:lineRule="auto"/>
        <w:ind w:right="-709"/>
        <w:contextualSpacing w:val="0"/>
        <w:jc w:val="both"/>
        <w:rPr>
          <w:rFonts w:ascii="Verdana" w:hAnsi="Verdana"/>
          <w:b/>
          <w:sz w:val="20"/>
          <w:szCs w:val="20"/>
        </w:rPr>
      </w:pPr>
    </w:p>
    <w:p w:rsidR="00EB0D38" w:rsidRPr="00D42FFC" w:rsidRDefault="00D27E5C" w:rsidP="009D1022">
      <w:pPr>
        <w:pStyle w:val="ListParagraph"/>
        <w:numPr>
          <w:ilvl w:val="0"/>
          <w:numId w:val="35"/>
        </w:numPr>
        <w:spacing w:before="120" w:after="120" w:line="240" w:lineRule="auto"/>
        <w:ind w:left="709" w:right="-709"/>
        <w:contextualSpacing w:val="0"/>
        <w:jc w:val="both"/>
        <w:outlineLvl w:val="0"/>
        <w:rPr>
          <w:rFonts w:ascii="Verdana" w:eastAsia="Times New Roman" w:hAnsi="Verdana"/>
          <w:b/>
          <w:i/>
          <w:sz w:val="20"/>
          <w:szCs w:val="20"/>
        </w:rPr>
      </w:pPr>
      <w:bookmarkStart w:id="11" w:name="_Toc485226651"/>
      <w:r w:rsidRPr="00D42FFC">
        <w:rPr>
          <w:rFonts w:ascii="Verdana" w:hAnsi="Verdana"/>
          <w:b/>
          <w:i/>
          <w:sz w:val="20"/>
          <w:szCs w:val="20"/>
        </w:rPr>
        <w:t>Pago de i</w:t>
      </w:r>
      <w:r w:rsidR="00B97F26" w:rsidRPr="00D42FFC">
        <w:rPr>
          <w:rFonts w:ascii="Verdana" w:hAnsi="Verdana"/>
          <w:b/>
          <w:i/>
          <w:sz w:val="20"/>
          <w:szCs w:val="20"/>
        </w:rPr>
        <w:t>ndemn</w:t>
      </w:r>
      <w:r w:rsidRPr="00D42FFC">
        <w:rPr>
          <w:rFonts w:ascii="Verdana" w:hAnsi="Verdana"/>
          <w:b/>
          <w:i/>
          <w:sz w:val="20"/>
          <w:szCs w:val="20"/>
        </w:rPr>
        <w:t>izaciones por concepto de daño inmaterial</w:t>
      </w:r>
      <w:bookmarkEnd w:id="10"/>
      <w:bookmarkEnd w:id="11"/>
    </w:p>
    <w:p w:rsidR="008534D8" w:rsidRPr="00D42FFC" w:rsidRDefault="008534D8" w:rsidP="009D1022">
      <w:pPr>
        <w:pStyle w:val="ListParagraph"/>
        <w:spacing w:before="120" w:after="120" w:line="240" w:lineRule="auto"/>
        <w:ind w:left="567" w:right="-709"/>
        <w:contextualSpacing w:val="0"/>
        <w:jc w:val="both"/>
        <w:rPr>
          <w:rFonts w:ascii="Verdana" w:hAnsi="Verdana"/>
          <w:i/>
          <w:color w:val="000000" w:themeColor="text1"/>
          <w:sz w:val="20"/>
          <w:szCs w:val="20"/>
        </w:rPr>
      </w:pPr>
      <w:r w:rsidRPr="00D42FFC">
        <w:rPr>
          <w:rFonts w:ascii="Verdana" w:hAnsi="Verdana"/>
          <w:i/>
          <w:color w:val="000000" w:themeColor="text1"/>
          <w:sz w:val="20"/>
          <w:szCs w:val="20"/>
        </w:rPr>
        <w:t>F.1. Medida ordenada por la Corte</w:t>
      </w:r>
    </w:p>
    <w:p w:rsidR="001B1A10" w:rsidRDefault="00D27E5C" w:rsidP="009F543F">
      <w:pPr>
        <w:pStyle w:val="ListParagraph"/>
        <w:numPr>
          <w:ilvl w:val="0"/>
          <w:numId w:val="51"/>
        </w:numPr>
        <w:tabs>
          <w:tab w:val="left" w:pos="0"/>
        </w:tabs>
        <w:spacing w:before="120" w:after="120" w:line="240" w:lineRule="auto"/>
        <w:ind w:left="0" w:right="-709" w:firstLine="0"/>
        <w:contextualSpacing w:val="0"/>
        <w:jc w:val="both"/>
        <w:rPr>
          <w:rFonts w:ascii="Verdana" w:hAnsi="Verdana"/>
          <w:sz w:val="20"/>
          <w:szCs w:val="20"/>
        </w:rPr>
      </w:pPr>
      <w:r w:rsidRPr="00592604">
        <w:rPr>
          <w:rFonts w:ascii="Verdana" w:hAnsi="Verdana"/>
          <w:sz w:val="20"/>
          <w:szCs w:val="20"/>
        </w:rPr>
        <w:t xml:space="preserve">En el punto </w:t>
      </w:r>
      <w:r w:rsidR="00530A48" w:rsidRPr="00592604">
        <w:rPr>
          <w:rFonts w:ascii="Verdana" w:hAnsi="Verdana"/>
          <w:sz w:val="20"/>
          <w:szCs w:val="20"/>
        </w:rPr>
        <w:t>resolutivo</w:t>
      </w:r>
      <w:r w:rsidRPr="00592604">
        <w:rPr>
          <w:rFonts w:ascii="Verdana" w:hAnsi="Verdana"/>
          <w:sz w:val="20"/>
          <w:szCs w:val="20"/>
        </w:rPr>
        <w:t xml:space="preserve"> décimo </w:t>
      </w:r>
      <w:r w:rsidR="0012428F" w:rsidRPr="00592604">
        <w:rPr>
          <w:rFonts w:ascii="Verdana" w:hAnsi="Verdana"/>
          <w:sz w:val="20"/>
          <w:szCs w:val="20"/>
        </w:rPr>
        <w:t xml:space="preserve">de la Sentencia, </w:t>
      </w:r>
      <w:r w:rsidR="009F543F">
        <w:rPr>
          <w:rFonts w:ascii="Verdana" w:hAnsi="Verdana"/>
          <w:sz w:val="20"/>
          <w:szCs w:val="20"/>
        </w:rPr>
        <w:t>se</w:t>
      </w:r>
      <w:r w:rsidR="0012428F" w:rsidRPr="00592604">
        <w:rPr>
          <w:rFonts w:ascii="Verdana" w:hAnsi="Verdana"/>
          <w:sz w:val="20"/>
          <w:szCs w:val="20"/>
        </w:rPr>
        <w:t xml:space="preserve"> dispuso que el Estado debía pagar</w:t>
      </w:r>
      <w:r w:rsidR="0058028C" w:rsidRPr="00592604">
        <w:rPr>
          <w:rFonts w:ascii="Verdana" w:hAnsi="Verdana"/>
          <w:sz w:val="20"/>
          <w:szCs w:val="20"/>
        </w:rPr>
        <w:t xml:space="preserve"> a las doce víctimas</w:t>
      </w:r>
      <w:r w:rsidR="0012428F" w:rsidRPr="00592604">
        <w:rPr>
          <w:rFonts w:ascii="Verdana" w:hAnsi="Verdana"/>
          <w:sz w:val="20"/>
          <w:szCs w:val="20"/>
        </w:rPr>
        <w:t xml:space="preserve"> </w:t>
      </w:r>
      <w:r w:rsidR="009F543F">
        <w:rPr>
          <w:rFonts w:ascii="Verdana" w:hAnsi="Verdana"/>
          <w:sz w:val="20"/>
          <w:szCs w:val="20"/>
        </w:rPr>
        <w:t xml:space="preserve">de este caso </w:t>
      </w:r>
      <w:r w:rsidR="0012428F" w:rsidRPr="00592604">
        <w:rPr>
          <w:rFonts w:ascii="Verdana" w:hAnsi="Verdana"/>
          <w:sz w:val="20"/>
          <w:szCs w:val="20"/>
        </w:rPr>
        <w:t>las cantida</w:t>
      </w:r>
      <w:r w:rsidRPr="00592604">
        <w:rPr>
          <w:rFonts w:ascii="Verdana" w:hAnsi="Verdana"/>
          <w:sz w:val="20"/>
          <w:szCs w:val="20"/>
        </w:rPr>
        <w:t>des fijadas en los párrafos 178</w:t>
      </w:r>
      <w:r w:rsidR="0058028C" w:rsidRPr="00592604">
        <w:rPr>
          <w:rStyle w:val="FootnoteReference"/>
          <w:rFonts w:ascii="Verdana" w:hAnsi="Verdana"/>
          <w:sz w:val="20"/>
          <w:szCs w:val="20"/>
        </w:rPr>
        <w:footnoteReference w:id="59"/>
      </w:r>
      <w:r w:rsidRPr="00592604">
        <w:rPr>
          <w:rFonts w:ascii="Verdana" w:hAnsi="Verdana"/>
          <w:sz w:val="20"/>
          <w:szCs w:val="20"/>
        </w:rPr>
        <w:t xml:space="preserve"> y 179</w:t>
      </w:r>
      <w:r w:rsidR="0058028C" w:rsidRPr="00592604">
        <w:rPr>
          <w:rStyle w:val="FootnoteReference"/>
          <w:rFonts w:ascii="Verdana" w:hAnsi="Verdana"/>
          <w:sz w:val="20"/>
          <w:szCs w:val="20"/>
        </w:rPr>
        <w:footnoteReference w:id="60"/>
      </w:r>
      <w:r w:rsidRPr="00592604">
        <w:rPr>
          <w:rFonts w:ascii="Verdana" w:hAnsi="Verdana"/>
          <w:sz w:val="20"/>
          <w:szCs w:val="20"/>
        </w:rPr>
        <w:t xml:space="preserve"> </w:t>
      </w:r>
      <w:r w:rsidR="0058028C" w:rsidRPr="00592604">
        <w:rPr>
          <w:rFonts w:ascii="Verdana" w:hAnsi="Verdana"/>
          <w:sz w:val="20"/>
          <w:szCs w:val="20"/>
        </w:rPr>
        <w:t>de la misma, por concepto de</w:t>
      </w:r>
      <w:r w:rsidR="0012428F" w:rsidRPr="00592604">
        <w:rPr>
          <w:rFonts w:ascii="Verdana" w:hAnsi="Verdana"/>
          <w:sz w:val="20"/>
          <w:szCs w:val="20"/>
        </w:rPr>
        <w:t xml:space="preserve"> </w:t>
      </w:r>
      <w:r w:rsidR="009F543F">
        <w:rPr>
          <w:rFonts w:ascii="Verdana" w:hAnsi="Verdana"/>
          <w:sz w:val="20"/>
          <w:szCs w:val="20"/>
        </w:rPr>
        <w:t>“</w:t>
      </w:r>
      <w:r w:rsidR="0012428F" w:rsidRPr="00592604">
        <w:rPr>
          <w:rFonts w:ascii="Verdana" w:hAnsi="Verdana"/>
          <w:sz w:val="20"/>
          <w:szCs w:val="20"/>
        </w:rPr>
        <w:t>compensación po</w:t>
      </w:r>
      <w:r w:rsidRPr="00592604">
        <w:rPr>
          <w:rFonts w:ascii="Verdana" w:hAnsi="Verdana"/>
          <w:sz w:val="20"/>
          <w:szCs w:val="20"/>
        </w:rPr>
        <w:t>r el daño inmaterial ocasionado</w:t>
      </w:r>
      <w:r w:rsidR="0058028C" w:rsidRPr="00592604">
        <w:rPr>
          <w:rFonts w:ascii="Verdana" w:hAnsi="Verdana"/>
          <w:sz w:val="20"/>
          <w:szCs w:val="20"/>
        </w:rPr>
        <w:t>”</w:t>
      </w:r>
      <w:r w:rsidRPr="00592604">
        <w:rPr>
          <w:rFonts w:ascii="Verdana" w:hAnsi="Verdana"/>
          <w:sz w:val="20"/>
          <w:szCs w:val="20"/>
        </w:rPr>
        <w:t>.</w:t>
      </w:r>
      <w:r w:rsidR="00DA3DAA" w:rsidRPr="00592604">
        <w:rPr>
          <w:rFonts w:ascii="Verdana" w:hAnsi="Verdana"/>
          <w:sz w:val="20"/>
          <w:szCs w:val="20"/>
        </w:rPr>
        <w:t xml:space="preserve"> Además, en el párrafo 186 el Tribunal dispuso que dichos pagos debían realizarse “directamente a la personas indicadas [en los referidos párrafos,] dentro del plazo de un año, contado a partir de la notificación del […] Fallo”</w:t>
      </w:r>
      <w:r w:rsidR="0007540D" w:rsidRPr="00592604">
        <w:rPr>
          <w:rFonts w:ascii="Verdana" w:hAnsi="Verdana"/>
          <w:sz w:val="20"/>
          <w:szCs w:val="20"/>
        </w:rPr>
        <w:t>.</w:t>
      </w:r>
      <w:r w:rsidR="000E537D" w:rsidRPr="00592604">
        <w:rPr>
          <w:rFonts w:ascii="Verdana" w:hAnsi="Verdana"/>
          <w:sz w:val="20"/>
          <w:szCs w:val="20"/>
        </w:rPr>
        <w:t xml:space="preserve"> Para las víctimas fallecidas o aquellas que fallecieran antes de que les fueran entregadas las indemnizaciones respectivas el Tribunal dispuso en el párrafo 187 que “los pagos de las mismas se efectuarán directamente a sus derechohabientes conforme al derecho interno aplicable”.</w:t>
      </w:r>
    </w:p>
    <w:p w:rsidR="006B56F4" w:rsidRDefault="006B56F4" w:rsidP="009D1022">
      <w:pPr>
        <w:pStyle w:val="ListParagraph"/>
        <w:tabs>
          <w:tab w:val="left" w:pos="142"/>
        </w:tabs>
        <w:spacing w:before="120" w:after="120" w:line="240" w:lineRule="auto"/>
        <w:ind w:left="567" w:right="-709"/>
        <w:contextualSpacing w:val="0"/>
        <w:jc w:val="both"/>
        <w:rPr>
          <w:rFonts w:ascii="Verdana" w:hAnsi="Verdana"/>
          <w:i/>
          <w:color w:val="000000" w:themeColor="text1"/>
          <w:sz w:val="20"/>
          <w:szCs w:val="20"/>
        </w:rPr>
      </w:pPr>
    </w:p>
    <w:p w:rsidR="00D56F49" w:rsidRPr="001B1A10" w:rsidRDefault="00D56F49" w:rsidP="009D1022">
      <w:pPr>
        <w:pStyle w:val="ListParagraph"/>
        <w:tabs>
          <w:tab w:val="left" w:pos="142"/>
        </w:tabs>
        <w:spacing w:before="120" w:after="120" w:line="240" w:lineRule="auto"/>
        <w:ind w:left="567" w:right="-709"/>
        <w:contextualSpacing w:val="0"/>
        <w:jc w:val="both"/>
        <w:rPr>
          <w:rFonts w:ascii="Verdana" w:hAnsi="Verdana"/>
          <w:sz w:val="20"/>
          <w:szCs w:val="20"/>
        </w:rPr>
      </w:pPr>
      <w:r w:rsidRPr="001B1A10">
        <w:rPr>
          <w:rFonts w:ascii="Verdana" w:hAnsi="Verdana"/>
          <w:i/>
          <w:color w:val="000000" w:themeColor="text1"/>
          <w:sz w:val="20"/>
          <w:szCs w:val="20"/>
        </w:rPr>
        <w:t>F.2. Consideraciones de la Corte</w:t>
      </w:r>
    </w:p>
    <w:p w:rsidR="00C70DBD" w:rsidRDefault="0012428F" w:rsidP="007E32AA">
      <w:pPr>
        <w:pStyle w:val="ListParagraph"/>
        <w:numPr>
          <w:ilvl w:val="0"/>
          <w:numId w:val="51"/>
        </w:numPr>
        <w:tabs>
          <w:tab w:val="left" w:pos="0"/>
        </w:tabs>
        <w:spacing w:before="120" w:after="120" w:line="240" w:lineRule="auto"/>
        <w:ind w:left="0" w:right="-709" w:firstLine="0"/>
        <w:contextualSpacing w:val="0"/>
        <w:jc w:val="both"/>
        <w:rPr>
          <w:rFonts w:ascii="Verdana" w:hAnsi="Verdana"/>
          <w:sz w:val="20"/>
          <w:szCs w:val="20"/>
        </w:rPr>
      </w:pPr>
      <w:r w:rsidRPr="0012428F">
        <w:rPr>
          <w:rFonts w:ascii="Verdana" w:hAnsi="Verdana"/>
          <w:sz w:val="20"/>
          <w:szCs w:val="20"/>
        </w:rPr>
        <w:t xml:space="preserve">Con base en la información </w:t>
      </w:r>
      <w:r w:rsidR="006C25F8">
        <w:rPr>
          <w:rFonts w:ascii="Verdana" w:hAnsi="Verdana"/>
          <w:sz w:val="20"/>
          <w:szCs w:val="20"/>
        </w:rPr>
        <w:t xml:space="preserve">y prueba </w:t>
      </w:r>
      <w:r w:rsidRPr="0012428F">
        <w:rPr>
          <w:rFonts w:ascii="Verdana" w:hAnsi="Verdana"/>
          <w:sz w:val="20"/>
          <w:szCs w:val="20"/>
        </w:rPr>
        <w:t>aportada por el Estado</w:t>
      </w:r>
      <w:r w:rsidRPr="002632A0">
        <w:rPr>
          <w:rStyle w:val="FootnoteReference"/>
          <w:rFonts w:ascii="Verdana" w:hAnsi="Verdana"/>
          <w:sz w:val="20"/>
          <w:szCs w:val="20"/>
        </w:rPr>
        <w:footnoteReference w:id="61"/>
      </w:r>
      <w:r w:rsidR="006221A4">
        <w:rPr>
          <w:rFonts w:ascii="Verdana" w:hAnsi="Verdana"/>
          <w:sz w:val="20"/>
          <w:szCs w:val="20"/>
        </w:rPr>
        <w:t>, así como</w:t>
      </w:r>
      <w:r w:rsidR="00530A48">
        <w:rPr>
          <w:rFonts w:ascii="Verdana" w:hAnsi="Verdana"/>
          <w:sz w:val="20"/>
          <w:szCs w:val="20"/>
        </w:rPr>
        <w:t xml:space="preserve"> lo observado por el representante de las víctimas</w:t>
      </w:r>
      <w:r w:rsidR="009F543F">
        <w:rPr>
          <w:rFonts w:ascii="Verdana" w:hAnsi="Verdana"/>
          <w:sz w:val="20"/>
          <w:szCs w:val="20"/>
        </w:rPr>
        <w:t xml:space="preserve"> (</w:t>
      </w:r>
      <w:r w:rsidR="009F543F" w:rsidRPr="009F543F">
        <w:rPr>
          <w:rFonts w:ascii="Verdana" w:hAnsi="Verdana"/>
          <w:i/>
          <w:sz w:val="20"/>
          <w:szCs w:val="20"/>
        </w:rPr>
        <w:t>supra</w:t>
      </w:r>
      <w:r w:rsidR="009F543F">
        <w:rPr>
          <w:rFonts w:ascii="Verdana" w:hAnsi="Verdana"/>
          <w:sz w:val="20"/>
          <w:szCs w:val="20"/>
        </w:rPr>
        <w:t xml:space="preserve"> Considerando 3)</w:t>
      </w:r>
      <w:r w:rsidR="00530A48">
        <w:rPr>
          <w:rStyle w:val="FootnoteReference"/>
          <w:rFonts w:ascii="Verdana" w:hAnsi="Verdana"/>
          <w:sz w:val="20"/>
          <w:szCs w:val="20"/>
        </w:rPr>
        <w:footnoteReference w:id="62"/>
      </w:r>
      <w:r w:rsidRPr="0012428F">
        <w:rPr>
          <w:rFonts w:ascii="Verdana" w:hAnsi="Verdana"/>
          <w:sz w:val="20"/>
          <w:szCs w:val="20"/>
        </w:rPr>
        <w:t xml:space="preserve">, el </w:t>
      </w:r>
      <w:r w:rsidRPr="006221A4">
        <w:rPr>
          <w:rFonts w:ascii="Verdana" w:hAnsi="Verdana"/>
          <w:sz w:val="20"/>
          <w:szCs w:val="20"/>
        </w:rPr>
        <w:t xml:space="preserve">Tribunal constata que, dentro del plazo otorgado en la Sentencia, Chile cumplió con pagar a once de las doce víctimas la totalidad de los montos fijados en la Sentencia por </w:t>
      </w:r>
      <w:r w:rsidRPr="006221A4">
        <w:rPr>
          <w:rFonts w:ascii="Verdana" w:hAnsi="Verdana"/>
          <w:sz w:val="20"/>
          <w:szCs w:val="20"/>
        </w:rPr>
        <w:lastRenderedPageBreak/>
        <w:t xml:space="preserve">concepto de indemnización por daño inmaterial, quedando pendiente el pago </w:t>
      </w:r>
      <w:r w:rsidR="00D11C27" w:rsidRPr="006221A4">
        <w:rPr>
          <w:rFonts w:ascii="Verdana" w:hAnsi="Verdana"/>
          <w:sz w:val="20"/>
          <w:szCs w:val="20"/>
        </w:rPr>
        <w:t>correspondiente a</w:t>
      </w:r>
      <w:r w:rsidRPr="006221A4">
        <w:rPr>
          <w:rFonts w:ascii="Verdana" w:hAnsi="Verdana"/>
          <w:sz w:val="20"/>
          <w:szCs w:val="20"/>
        </w:rPr>
        <w:t xml:space="preserve"> la víctima fallecida Gustavo Raúl Lastra Saavedra. </w:t>
      </w:r>
    </w:p>
    <w:p w:rsidR="0012428F" w:rsidRPr="00C70DBD" w:rsidRDefault="006221A4" w:rsidP="007E32AA">
      <w:pPr>
        <w:pStyle w:val="ListParagraph"/>
        <w:numPr>
          <w:ilvl w:val="0"/>
          <w:numId w:val="51"/>
        </w:numPr>
        <w:tabs>
          <w:tab w:val="left" w:pos="0"/>
        </w:tabs>
        <w:spacing w:before="120" w:after="120" w:line="240" w:lineRule="auto"/>
        <w:ind w:left="0" w:right="-709" w:firstLine="0"/>
        <w:contextualSpacing w:val="0"/>
        <w:jc w:val="both"/>
        <w:rPr>
          <w:rFonts w:ascii="Verdana" w:hAnsi="Verdana"/>
          <w:sz w:val="20"/>
          <w:szCs w:val="20"/>
        </w:rPr>
      </w:pPr>
      <w:r w:rsidRPr="00C70DBD">
        <w:rPr>
          <w:rFonts w:ascii="Verdana" w:hAnsi="Verdana"/>
          <w:sz w:val="20"/>
          <w:szCs w:val="20"/>
        </w:rPr>
        <w:t>En cuanto</w:t>
      </w:r>
      <w:r w:rsidR="00D11C27" w:rsidRPr="00C70DBD">
        <w:rPr>
          <w:rFonts w:ascii="Verdana" w:hAnsi="Verdana"/>
          <w:sz w:val="20"/>
          <w:szCs w:val="20"/>
        </w:rPr>
        <w:t xml:space="preserve"> al referido pago pendiente, Chile señaló que “se </w:t>
      </w:r>
      <w:r w:rsidR="009F543F">
        <w:rPr>
          <w:rFonts w:ascii="Verdana" w:hAnsi="Verdana"/>
          <w:sz w:val="20"/>
          <w:szCs w:val="20"/>
        </w:rPr>
        <w:t>están</w:t>
      </w:r>
      <w:r w:rsidR="009F543F" w:rsidRPr="00C70DBD">
        <w:rPr>
          <w:rFonts w:ascii="Verdana" w:hAnsi="Verdana"/>
          <w:sz w:val="20"/>
          <w:szCs w:val="20"/>
        </w:rPr>
        <w:t xml:space="preserve"> </w:t>
      </w:r>
      <w:r w:rsidR="00D11C27" w:rsidRPr="00C70DBD">
        <w:rPr>
          <w:rFonts w:ascii="Verdana" w:hAnsi="Verdana"/>
          <w:sz w:val="20"/>
          <w:szCs w:val="20"/>
        </w:rPr>
        <w:t>realizando las gestiones correspondientes a fin de hacer un pago por consignación[,] como [lo] establece el párrafo 189 de la [S]entencia de la Corte Interamericana, dado que los herederos de la víctima fallecida no lograron ponerse de acuerdo para nombrar un representante común”.</w:t>
      </w:r>
      <w:r w:rsidR="0018786A" w:rsidRPr="00C70DBD">
        <w:rPr>
          <w:rFonts w:ascii="Verdana" w:hAnsi="Verdana"/>
          <w:sz w:val="20"/>
          <w:szCs w:val="20"/>
        </w:rPr>
        <w:t xml:space="preserve"> Al respecto, </w:t>
      </w:r>
      <w:r w:rsidR="009F543F">
        <w:rPr>
          <w:rFonts w:ascii="Verdana" w:hAnsi="Verdana"/>
          <w:sz w:val="20"/>
          <w:szCs w:val="20"/>
        </w:rPr>
        <w:t>este Tribunal</w:t>
      </w:r>
      <w:r w:rsidR="000E537D" w:rsidRPr="00C70DBD">
        <w:rPr>
          <w:rFonts w:ascii="Verdana" w:hAnsi="Verdana"/>
          <w:sz w:val="20"/>
          <w:szCs w:val="20"/>
        </w:rPr>
        <w:t xml:space="preserve"> recuerda que</w:t>
      </w:r>
      <w:r w:rsidR="009F543F">
        <w:rPr>
          <w:rFonts w:ascii="Verdana" w:hAnsi="Verdana"/>
          <w:sz w:val="20"/>
          <w:szCs w:val="20"/>
        </w:rPr>
        <w:t>,</w:t>
      </w:r>
      <w:r w:rsidR="000E537D" w:rsidRPr="00C70DBD">
        <w:rPr>
          <w:rFonts w:ascii="Verdana" w:hAnsi="Verdana"/>
          <w:sz w:val="20"/>
          <w:szCs w:val="20"/>
        </w:rPr>
        <w:t xml:space="preserve"> según lo dispuesto en la Sentencia</w:t>
      </w:r>
      <w:r w:rsidR="009F543F">
        <w:rPr>
          <w:rFonts w:ascii="Verdana" w:hAnsi="Verdana"/>
          <w:sz w:val="20"/>
          <w:szCs w:val="20"/>
        </w:rPr>
        <w:t>,</w:t>
      </w:r>
      <w:r w:rsidR="000E537D" w:rsidRPr="00C70DBD">
        <w:rPr>
          <w:rFonts w:ascii="Verdana" w:hAnsi="Verdana"/>
          <w:sz w:val="20"/>
          <w:szCs w:val="20"/>
        </w:rPr>
        <w:t xml:space="preserve"> los pagos correspondientes a las víctimas fallecidas se deben realizar </w:t>
      </w:r>
      <w:r w:rsidR="009F543F">
        <w:rPr>
          <w:rFonts w:ascii="Verdana" w:hAnsi="Verdana"/>
          <w:sz w:val="20"/>
          <w:szCs w:val="20"/>
        </w:rPr>
        <w:t>“</w:t>
      </w:r>
      <w:r w:rsidR="000E537D" w:rsidRPr="00C70DBD">
        <w:rPr>
          <w:rFonts w:ascii="Verdana" w:hAnsi="Verdana"/>
          <w:sz w:val="20"/>
          <w:szCs w:val="20"/>
        </w:rPr>
        <w:t xml:space="preserve">a sus derechohabientes </w:t>
      </w:r>
      <w:r w:rsidR="009F543F">
        <w:rPr>
          <w:rFonts w:ascii="Verdana" w:hAnsi="Verdana"/>
          <w:sz w:val="20"/>
          <w:szCs w:val="20"/>
        </w:rPr>
        <w:t>conforme al</w:t>
      </w:r>
      <w:r w:rsidR="009F543F" w:rsidRPr="00C70DBD">
        <w:rPr>
          <w:rFonts w:ascii="Verdana" w:hAnsi="Verdana"/>
          <w:sz w:val="20"/>
          <w:szCs w:val="20"/>
        </w:rPr>
        <w:t xml:space="preserve"> </w:t>
      </w:r>
      <w:r w:rsidR="000E537D" w:rsidRPr="00C70DBD">
        <w:rPr>
          <w:rFonts w:ascii="Verdana" w:hAnsi="Verdana"/>
          <w:sz w:val="20"/>
          <w:szCs w:val="20"/>
        </w:rPr>
        <w:t>derecho interno aplicable</w:t>
      </w:r>
      <w:r w:rsidR="009F543F">
        <w:rPr>
          <w:rFonts w:ascii="Verdana" w:hAnsi="Verdana"/>
          <w:sz w:val="20"/>
          <w:szCs w:val="20"/>
        </w:rPr>
        <w:t>”</w:t>
      </w:r>
      <w:r w:rsidR="00D618CD" w:rsidRPr="00C70DBD">
        <w:rPr>
          <w:rFonts w:ascii="Verdana" w:hAnsi="Verdana"/>
          <w:sz w:val="20"/>
          <w:szCs w:val="20"/>
        </w:rPr>
        <w:t xml:space="preserve"> (</w:t>
      </w:r>
      <w:r w:rsidR="00D618CD" w:rsidRPr="009F543F">
        <w:rPr>
          <w:rFonts w:ascii="Verdana" w:hAnsi="Verdana"/>
          <w:i/>
          <w:sz w:val="20"/>
          <w:szCs w:val="20"/>
        </w:rPr>
        <w:t>supra</w:t>
      </w:r>
      <w:r w:rsidR="00D618CD" w:rsidRPr="00C70DBD">
        <w:rPr>
          <w:rFonts w:ascii="Verdana" w:hAnsi="Verdana"/>
          <w:sz w:val="20"/>
          <w:szCs w:val="20"/>
        </w:rPr>
        <w:t xml:space="preserve"> Considerando </w:t>
      </w:r>
      <w:r w:rsidR="009F543F">
        <w:rPr>
          <w:rFonts w:ascii="Verdana" w:hAnsi="Verdana"/>
          <w:sz w:val="20"/>
          <w:szCs w:val="20"/>
        </w:rPr>
        <w:t>46</w:t>
      </w:r>
      <w:r w:rsidR="009F543F" w:rsidRPr="00C70DBD">
        <w:rPr>
          <w:rFonts w:ascii="Verdana" w:hAnsi="Verdana"/>
          <w:sz w:val="20"/>
          <w:szCs w:val="20"/>
        </w:rPr>
        <w:t xml:space="preserve">). </w:t>
      </w:r>
      <w:r w:rsidR="000E537D" w:rsidRPr="00C70DBD">
        <w:rPr>
          <w:rFonts w:ascii="Verdana" w:hAnsi="Verdana"/>
          <w:sz w:val="20"/>
          <w:szCs w:val="20"/>
        </w:rPr>
        <w:t>El pago por consignación que sugiere el Estado solo sería posible “si por causas atribuibles a los beneficiarios de las indemnizaciones no fuese posible las reciban”</w:t>
      </w:r>
      <w:r w:rsidR="000E537D" w:rsidRPr="00592604">
        <w:rPr>
          <w:rStyle w:val="FootnoteReference"/>
          <w:rFonts w:ascii="Verdana" w:hAnsi="Verdana"/>
          <w:sz w:val="20"/>
          <w:szCs w:val="20"/>
        </w:rPr>
        <w:footnoteReference w:id="63"/>
      </w:r>
      <w:r w:rsidR="00D618CD" w:rsidRPr="00C70DBD">
        <w:rPr>
          <w:rFonts w:ascii="Verdana" w:hAnsi="Verdana"/>
          <w:sz w:val="20"/>
          <w:szCs w:val="20"/>
        </w:rPr>
        <w:t xml:space="preserve">. En ese sentido, </w:t>
      </w:r>
      <w:r w:rsidR="000D7985" w:rsidRPr="008D790F">
        <w:rPr>
          <w:rFonts w:ascii="Verdana" w:hAnsi="Verdana"/>
          <w:sz w:val="20"/>
          <w:szCs w:val="20"/>
        </w:rPr>
        <w:t>se solicita al Estado y a los representantes que informen cuál es el mecanismo o procedimiento correspondiente conforme al derecho interno que permitiría cumplir</w:t>
      </w:r>
      <w:r w:rsidR="000D7985">
        <w:rPr>
          <w:rFonts w:ascii="Verdana" w:hAnsi="Verdana"/>
          <w:sz w:val="20"/>
          <w:szCs w:val="20"/>
        </w:rPr>
        <w:t xml:space="preserve"> </w:t>
      </w:r>
      <w:r w:rsidR="002F3C3E" w:rsidRPr="00C70DBD">
        <w:rPr>
          <w:rFonts w:ascii="Verdana" w:hAnsi="Verdana"/>
          <w:sz w:val="20"/>
          <w:szCs w:val="20"/>
        </w:rPr>
        <w:t xml:space="preserve">con el </w:t>
      </w:r>
      <w:r w:rsidR="009F543F" w:rsidRPr="00C70DBD">
        <w:rPr>
          <w:rFonts w:ascii="Verdana" w:hAnsi="Verdana"/>
          <w:sz w:val="20"/>
          <w:szCs w:val="20"/>
        </w:rPr>
        <w:t>pag</w:t>
      </w:r>
      <w:r w:rsidR="009F543F">
        <w:rPr>
          <w:rFonts w:ascii="Verdana" w:hAnsi="Verdana"/>
          <w:sz w:val="20"/>
          <w:szCs w:val="20"/>
        </w:rPr>
        <w:t>o</w:t>
      </w:r>
      <w:r w:rsidR="009F543F" w:rsidRPr="00C70DBD">
        <w:rPr>
          <w:rFonts w:ascii="Verdana" w:hAnsi="Verdana"/>
          <w:sz w:val="20"/>
          <w:szCs w:val="20"/>
        </w:rPr>
        <w:t xml:space="preserve"> </w:t>
      </w:r>
      <w:r w:rsidR="002F3C3E" w:rsidRPr="00C70DBD">
        <w:rPr>
          <w:rFonts w:ascii="Verdana" w:hAnsi="Verdana"/>
          <w:sz w:val="20"/>
          <w:szCs w:val="20"/>
        </w:rPr>
        <w:t>a los derechohabientes de la víctima fallecida Gustavo Raúl Lastra Saavedra</w:t>
      </w:r>
      <w:r w:rsidR="005A220C" w:rsidRPr="008D790F">
        <w:rPr>
          <w:rFonts w:ascii="Verdana" w:hAnsi="Verdana"/>
          <w:sz w:val="20"/>
          <w:szCs w:val="20"/>
        </w:rPr>
        <w:t xml:space="preserve"> de</w:t>
      </w:r>
      <w:r w:rsidR="002F3C3E" w:rsidRPr="00C70DBD">
        <w:rPr>
          <w:rFonts w:ascii="Verdana" w:hAnsi="Verdana"/>
          <w:sz w:val="20"/>
          <w:szCs w:val="20"/>
        </w:rPr>
        <w:t xml:space="preserve"> </w:t>
      </w:r>
      <w:r w:rsidR="0018786A" w:rsidRPr="00C70DBD">
        <w:rPr>
          <w:rFonts w:ascii="Verdana" w:hAnsi="Verdana"/>
          <w:sz w:val="20"/>
          <w:szCs w:val="20"/>
        </w:rPr>
        <w:t xml:space="preserve">la indemnización por daño inmaterial ordenada </w:t>
      </w:r>
      <w:r w:rsidR="002F3C3E" w:rsidRPr="00C70DBD">
        <w:rPr>
          <w:rFonts w:ascii="Verdana" w:hAnsi="Verdana"/>
          <w:sz w:val="20"/>
          <w:szCs w:val="20"/>
        </w:rPr>
        <w:t xml:space="preserve">a su favor </w:t>
      </w:r>
      <w:r w:rsidR="0018786A" w:rsidRPr="00C70DBD">
        <w:rPr>
          <w:rFonts w:ascii="Verdana" w:hAnsi="Verdana"/>
          <w:sz w:val="20"/>
          <w:szCs w:val="20"/>
        </w:rPr>
        <w:t>en la Sentencia</w:t>
      </w:r>
      <w:r w:rsidR="002F3C3E" w:rsidRPr="00C70DBD">
        <w:rPr>
          <w:rFonts w:ascii="Verdana" w:hAnsi="Verdana"/>
          <w:sz w:val="20"/>
          <w:szCs w:val="20"/>
        </w:rPr>
        <w:t>.</w:t>
      </w:r>
      <w:r w:rsidR="0018786A" w:rsidRPr="00C70DBD">
        <w:rPr>
          <w:rFonts w:ascii="Verdana" w:hAnsi="Verdana"/>
          <w:sz w:val="20"/>
          <w:szCs w:val="20"/>
        </w:rPr>
        <w:t xml:space="preserve"> </w:t>
      </w:r>
    </w:p>
    <w:p w:rsidR="0018786A" w:rsidRDefault="0018786A" w:rsidP="007E32AA">
      <w:pPr>
        <w:pStyle w:val="ListParagraph"/>
        <w:numPr>
          <w:ilvl w:val="0"/>
          <w:numId w:val="51"/>
        </w:numPr>
        <w:tabs>
          <w:tab w:val="left" w:pos="0"/>
        </w:tabs>
        <w:spacing w:before="120" w:after="120" w:line="240" w:lineRule="auto"/>
        <w:ind w:left="0" w:right="-709" w:firstLine="0"/>
        <w:contextualSpacing w:val="0"/>
        <w:jc w:val="both"/>
        <w:rPr>
          <w:rFonts w:ascii="Verdana" w:hAnsi="Verdana"/>
          <w:sz w:val="20"/>
          <w:szCs w:val="20"/>
        </w:rPr>
      </w:pPr>
      <w:r w:rsidRPr="006C25F8">
        <w:rPr>
          <w:rFonts w:ascii="Verdana" w:hAnsi="Verdana"/>
          <w:sz w:val="20"/>
          <w:szCs w:val="20"/>
        </w:rPr>
        <w:t>Con base en lo anterior,</w:t>
      </w:r>
      <w:r w:rsidR="0012428F" w:rsidRPr="006C25F8">
        <w:rPr>
          <w:rFonts w:ascii="Verdana" w:hAnsi="Verdana"/>
          <w:sz w:val="20"/>
          <w:szCs w:val="20"/>
        </w:rPr>
        <w:t xml:space="preserve"> la Corte considera </w:t>
      </w:r>
      <w:r w:rsidR="001003D1" w:rsidRPr="006C25F8">
        <w:rPr>
          <w:rFonts w:ascii="Verdana" w:hAnsi="Verdana"/>
          <w:sz w:val="20"/>
          <w:szCs w:val="20"/>
        </w:rPr>
        <w:t>que el Estado</w:t>
      </w:r>
      <w:r w:rsidR="006C25F8" w:rsidRPr="006C25F8">
        <w:rPr>
          <w:rFonts w:ascii="Verdana" w:hAnsi="Verdana"/>
          <w:sz w:val="20"/>
          <w:szCs w:val="20"/>
        </w:rPr>
        <w:t>, al haber efectuado el pago de las indemnizaciones por daño inmaterial a once de las doce víctimas,</w:t>
      </w:r>
      <w:r w:rsidR="001003D1" w:rsidRPr="006C25F8">
        <w:rPr>
          <w:rFonts w:ascii="Verdana" w:hAnsi="Verdana"/>
          <w:sz w:val="20"/>
          <w:szCs w:val="20"/>
        </w:rPr>
        <w:t xml:space="preserve"> ha dado cumplimiento parcial a la medida ordenada en el punto </w:t>
      </w:r>
      <w:r w:rsidRPr="006C25F8">
        <w:rPr>
          <w:rFonts w:ascii="Verdana" w:hAnsi="Verdana"/>
          <w:sz w:val="20"/>
          <w:szCs w:val="20"/>
        </w:rPr>
        <w:t>resolutivo</w:t>
      </w:r>
      <w:r w:rsidR="001003D1" w:rsidRPr="006C25F8">
        <w:rPr>
          <w:rFonts w:ascii="Verdana" w:hAnsi="Verdana"/>
          <w:sz w:val="20"/>
          <w:szCs w:val="20"/>
        </w:rPr>
        <w:t xml:space="preserve"> décimo de la Sentencia</w:t>
      </w:r>
      <w:r w:rsidR="006C25F8" w:rsidRPr="006C25F8">
        <w:rPr>
          <w:rFonts w:ascii="Verdana" w:hAnsi="Verdana"/>
          <w:sz w:val="20"/>
          <w:szCs w:val="20"/>
        </w:rPr>
        <w:t>.</w:t>
      </w:r>
    </w:p>
    <w:p w:rsidR="003A3C7B" w:rsidRDefault="003A3C7B" w:rsidP="003A3C7B">
      <w:pPr>
        <w:pStyle w:val="ListParagraph"/>
        <w:tabs>
          <w:tab w:val="left" w:pos="0"/>
        </w:tabs>
        <w:spacing w:before="120" w:after="120" w:line="240" w:lineRule="auto"/>
        <w:ind w:left="0" w:right="-709"/>
        <w:contextualSpacing w:val="0"/>
        <w:jc w:val="both"/>
        <w:rPr>
          <w:rFonts w:ascii="Verdana" w:hAnsi="Verdana"/>
          <w:sz w:val="20"/>
          <w:szCs w:val="20"/>
        </w:rPr>
      </w:pPr>
    </w:p>
    <w:p w:rsidR="00D27E5C" w:rsidRPr="00D27E5C" w:rsidRDefault="001D78EF" w:rsidP="009D1022">
      <w:pPr>
        <w:pStyle w:val="ListParagraph"/>
        <w:numPr>
          <w:ilvl w:val="0"/>
          <w:numId w:val="37"/>
        </w:numPr>
        <w:spacing w:before="120" w:after="120" w:line="240" w:lineRule="auto"/>
        <w:ind w:right="-709"/>
        <w:contextualSpacing w:val="0"/>
        <w:jc w:val="both"/>
        <w:outlineLvl w:val="0"/>
        <w:rPr>
          <w:rFonts w:ascii="Verdana" w:eastAsia="Times New Roman" w:hAnsi="Verdana"/>
          <w:b/>
          <w:i/>
          <w:sz w:val="20"/>
          <w:szCs w:val="20"/>
        </w:rPr>
      </w:pPr>
      <w:bookmarkStart w:id="12" w:name="_Toc485226652"/>
      <w:r>
        <w:rPr>
          <w:rFonts w:ascii="Verdana" w:hAnsi="Verdana"/>
          <w:b/>
          <w:i/>
          <w:sz w:val="20"/>
          <w:szCs w:val="20"/>
        </w:rPr>
        <w:t>Pago por concepto de</w:t>
      </w:r>
      <w:r w:rsidR="00D27E5C" w:rsidRPr="001B1A10">
        <w:rPr>
          <w:rFonts w:ascii="Verdana" w:hAnsi="Verdana"/>
          <w:b/>
          <w:i/>
          <w:sz w:val="20"/>
          <w:szCs w:val="20"/>
        </w:rPr>
        <w:t xml:space="preserve"> reintegro de costas y gastos</w:t>
      </w:r>
      <w:bookmarkEnd w:id="12"/>
    </w:p>
    <w:p w:rsidR="00D27E5C" w:rsidRPr="007164BB" w:rsidRDefault="00530A48" w:rsidP="009D1022">
      <w:pPr>
        <w:pStyle w:val="ListParagraph"/>
        <w:spacing w:before="120" w:after="120" w:line="240" w:lineRule="auto"/>
        <w:ind w:left="567" w:right="-709"/>
        <w:contextualSpacing w:val="0"/>
        <w:jc w:val="both"/>
        <w:rPr>
          <w:rFonts w:ascii="Verdana" w:hAnsi="Verdana"/>
          <w:i/>
          <w:color w:val="000000" w:themeColor="text1"/>
          <w:sz w:val="20"/>
          <w:szCs w:val="20"/>
        </w:rPr>
      </w:pPr>
      <w:r>
        <w:rPr>
          <w:rFonts w:ascii="Verdana" w:hAnsi="Verdana"/>
          <w:i/>
          <w:color w:val="000000" w:themeColor="text1"/>
          <w:sz w:val="20"/>
          <w:szCs w:val="20"/>
        </w:rPr>
        <w:t>G</w:t>
      </w:r>
      <w:r w:rsidR="00D27E5C" w:rsidRPr="007164BB">
        <w:rPr>
          <w:rFonts w:ascii="Verdana" w:hAnsi="Verdana"/>
          <w:i/>
          <w:color w:val="000000" w:themeColor="text1"/>
          <w:sz w:val="20"/>
          <w:szCs w:val="20"/>
        </w:rPr>
        <w:t>.1. Medida ordenada por la Corte</w:t>
      </w:r>
    </w:p>
    <w:p w:rsidR="00D27E5C" w:rsidRPr="002C545F" w:rsidRDefault="00D27E5C" w:rsidP="006237B3">
      <w:pPr>
        <w:pStyle w:val="ListParagraph"/>
        <w:numPr>
          <w:ilvl w:val="0"/>
          <w:numId w:val="51"/>
        </w:numPr>
        <w:tabs>
          <w:tab w:val="left" w:pos="0"/>
        </w:tabs>
        <w:spacing w:before="120" w:after="120" w:line="240" w:lineRule="auto"/>
        <w:ind w:left="0" w:right="-709" w:firstLine="0"/>
        <w:contextualSpacing w:val="0"/>
        <w:jc w:val="both"/>
        <w:rPr>
          <w:rFonts w:ascii="Verdana" w:hAnsi="Verdana"/>
          <w:sz w:val="20"/>
          <w:szCs w:val="20"/>
        </w:rPr>
      </w:pPr>
      <w:r>
        <w:rPr>
          <w:rFonts w:ascii="Verdana" w:hAnsi="Verdana"/>
          <w:sz w:val="20"/>
          <w:szCs w:val="20"/>
        </w:rPr>
        <w:t xml:space="preserve">En el punto </w:t>
      </w:r>
      <w:r w:rsidR="006221A4">
        <w:rPr>
          <w:rFonts w:ascii="Verdana" w:hAnsi="Verdana"/>
          <w:sz w:val="20"/>
          <w:szCs w:val="20"/>
        </w:rPr>
        <w:t>resolutivo</w:t>
      </w:r>
      <w:r>
        <w:rPr>
          <w:rFonts w:ascii="Verdana" w:hAnsi="Verdana"/>
          <w:sz w:val="20"/>
          <w:szCs w:val="20"/>
        </w:rPr>
        <w:t xml:space="preserve"> </w:t>
      </w:r>
      <w:r w:rsidRPr="0012428F">
        <w:rPr>
          <w:rFonts w:ascii="Verdana" w:hAnsi="Verdana"/>
          <w:sz w:val="20"/>
          <w:szCs w:val="20"/>
        </w:rPr>
        <w:t xml:space="preserve">décimo primero de la </w:t>
      </w:r>
      <w:r w:rsidRPr="00592604">
        <w:rPr>
          <w:rFonts w:ascii="Verdana" w:hAnsi="Verdana"/>
          <w:sz w:val="20"/>
          <w:szCs w:val="20"/>
        </w:rPr>
        <w:t xml:space="preserve">Sentencia, </w:t>
      </w:r>
      <w:r w:rsidR="006237B3">
        <w:rPr>
          <w:rFonts w:ascii="Verdana" w:hAnsi="Verdana"/>
          <w:sz w:val="20"/>
          <w:szCs w:val="20"/>
        </w:rPr>
        <w:t>se</w:t>
      </w:r>
      <w:r w:rsidRPr="00592604">
        <w:rPr>
          <w:rFonts w:ascii="Verdana" w:hAnsi="Verdana"/>
          <w:sz w:val="20"/>
          <w:szCs w:val="20"/>
        </w:rPr>
        <w:t xml:space="preserve"> dispuso que</w:t>
      </w:r>
      <w:r w:rsidR="006237B3">
        <w:rPr>
          <w:rFonts w:ascii="Verdana" w:hAnsi="Verdana"/>
          <w:sz w:val="20"/>
          <w:szCs w:val="20"/>
        </w:rPr>
        <w:t>,</w:t>
      </w:r>
      <w:r w:rsidRPr="00592604">
        <w:rPr>
          <w:rFonts w:ascii="Verdana" w:hAnsi="Verdana"/>
          <w:sz w:val="20"/>
          <w:szCs w:val="20"/>
        </w:rPr>
        <w:t xml:space="preserve"> </w:t>
      </w:r>
      <w:r w:rsidR="006237B3">
        <w:rPr>
          <w:rFonts w:ascii="Verdana" w:hAnsi="Verdana"/>
          <w:sz w:val="20"/>
          <w:szCs w:val="20"/>
        </w:rPr>
        <w:t xml:space="preserve">“dentro del plazo de un año contado a partir de la notificación de la […] Sentencia”, </w:t>
      </w:r>
      <w:r w:rsidRPr="00592604">
        <w:rPr>
          <w:rFonts w:ascii="Verdana" w:hAnsi="Verdana"/>
          <w:sz w:val="20"/>
          <w:szCs w:val="20"/>
        </w:rPr>
        <w:t>el Estado debía pagar</w:t>
      </w:r>
      <w:r w:rsidR="00597F50" w:rsidRPr="00592604">
        <w:rPr>
          <w:rFonts w:ascii="Verdana" w:hAnsi="Verdana"/>
          <w:sz w:val="20"/>
          <w:szCs w:val="20"/>
        </w:rPr>
        <w:t xml:space="preserve"> a los representantes de las víctimas la</w:t>
      </w:r>
      <w:r w:rsidRPr="00592604">
        <w:rPr>
          <w:rFonts w:ascii="Verdana" w:hAnsi="Verdana"/>
          <w:sz w:val="20"/>
          <w:szCs w:val="20"/>
        </w:rPr>
        <w:t xml:space="preserve"> cantidad fi</w:t>
      </w:r>
      <w:r w:rsidR="00597F50" w:rsidRPr="00592604">
        <w:rPr>
          <w:rFonts w:ascii="Verdana" w:hAnsi="Verdana"/>
          <w:sz w:val="20"/>
          <w:szCs w:val="20"/>
        </w:rPr>
        <w:t>jada</w:t>
      </w:r>
      <w:r w:rsidRPr="00592604">
        <w:rPr>
          <w:rFonts w:ascii="Verdana" w:hAnsi="Verdana"/>
          <w:sz w:val="20"/>
          <w:szCs w:val="20"/>
        </w:rPr>
        <w:t xml:space="preserve"> en el párrafo 185</w:t>
      </w:r>
      <w:r w:rsidR="00597F50" w:rsidRPr="00592604">
        <w:rPr>
          <w:rStyle w:val="FootnoteReference"/>
          <w:rFonts w:ascii="Verdana" w:hAnsi="Verdana"/>
          <w:sz w:val="20"/>
          <w:szCs w:val="20"/>
        </w:rPr>
        <w:footnoteReference w:id="64"/>
      </w:r>
      <w:r w:rsidRPr="00592604">
        <w:rPr>
          <w:rFonts w:ascii="Verdana" w:hAnsi="Verdana"/>
          <w:sz w:val="20"/>
          <w:szCs w:val="20"/>
        </w:rPr>
        <w:t xml:space="preserve"> </w:t>
      </w:r>
      <w:r w:rsidR="00597F50" w:rsidRPr="00592604">
        <w:rPr>
          <w:rFonts w:ascii="Verdana" w:hAnsi="Verdana"/>
          <w:sz w:val="20"/>
          <w:szCs w:val="20"/>
        </w:rPr>
        <w:t xml:space="preserve">de la misma, </w:t>
      </w:r>
      <w:r w:rsidRPr="00592604">
        <w:rPr>
          <w:rFonts w:ascii="Verdana" w:hAnsi="Verdana"/>
          <w:sz w:val="20"/>
          <w:szCs w:val="20"/>
        </w:rPr>
        <w:t>por concepto de</w:t>
      </w:r>
      <w:r w:rsidR="00597F50" w:rsidRPr="00592604">
        <w:rPr>
          <w:rFonts w:ascii="Verdana" w:hAnsi="Verdana"/>
          <w:sz w:val="20"/>
          <w:szCs w:val="20"/>
        </w:rPr>
        <w:t xml:space="preserve"> reintegro de</w:t>
      </w:r>
      <w:r w:rsidRPr="00592604">
        <w:rPr>
          <w:rFonts w:ascii="Verdana" w:hAnsi="Verdana"/>
          <w:sz w:val="20"/>
          <w:szCs w:val="20"/>
        </w:rPr>
        <w:t xml:space="preserve"> costas y gastos.</w:t>
      </w:r>
      <w:r w:rsidR="00C77270" w:rsidRPr="00592604">
        <w:rPr>
          <w:rFonts w:ascii="Verdana" w:hAnsi="Verdana"/>
          <w:sz w:val="20"/>
          <w:szCs w:val="20"/>
        </w:rPr>
        <w:t xml:space="preserve"> </w:t>
      </w:r>
    </w:p>
    <w:p w:rsidR="006B56F4" w:rsidRDefault="006B56F4" w:rsidP="009D1022">
      <w:pPr>
        <w:pStyle w:val="ListParagraph"/>
        <w:tabs>
          <w:tab w:val="left" w:pos="142"/>
        </w:tabs>
        <w:spacing w:before="120" w:after="120" w:line="240" w:lineRule="auto"/>
        <w:ind w:left="567" w:right="-709"/>
        <w:contextualSpacing w:val="0"/>
        <w:jc w:val="both"/>
        <w:rPr>
          <w:rFonts w:ascii="Verdana" w:hAnsi="Verdana"/>
          <w:i/>
          <w:color w:val="000000" w:themeColor="text1"/>
          <w:sz w:val="20"/>
          <w:szCs w:val="20"/>
        </w:rPr>
      </w:pPr>
    </w:p>
    <w:p w:rsidR="001003D1" w:rsidRPr="001003D1" w:rsidRDefault="00530A48" w:rsidP="009D1022">
      <w:pPr>
        <w:pStyle w:val="ListParagraph"/>
        <w:tabs>
          <w:tab w:val="left" w:pos="142"/>
        </w:tabs>
        <w:spacing w:before="120" w:after="120" w:line="240" w:lineRule="auto"/>
        <w:ind w:left="567" w:right="-709"/>
        <w:contextualSpacing w:val="0"/>
        <w:jc w:val="both"/>
        <w:rPr>
          <w:rFonts w:ascii="Verdana" w:hAnsi="Verdana"/>
          <w:sz w:val="20"/>
          <w:szCs w:val="20"/>
        </w:rPr>
      </w:pPr>
      <w:r>
        <w:rPr>
          <w:rFonts w:ascii="Verdana" w:hAnsi="Verdana"/>
          <w:i/>
          <w:color w:val="000000" w:themeColor="text1"/>
          <w:sz w:val="20"/>
          <w:szCs w:val="20"/>
        </w:rPr>
        <w:t>G</w:t>
      </w:r>
      <w:r w:rsidR="001003D1" w:rsidRPr="001B1A10">
        <w:rPr>
          <w:rFonts w:ascii="Verdana" w:hAnsi="Verdana"/>
          <w:i/>
          <w:color w:val="000000" w:themeColor="text1"/>
          <w:sz w:val="20"/>
          <w:szCs w:val="20"/>
        </w:rPr>
        <w:t>.2. Consideraciones de la Corte</w:t>
      </w:r>
    </w:p>
    <w:p w:rsidR="001A3D3F" w:rsidRPr="00D95432" w:rsidRDefault="001003D1" w:rsidP="00354270">
      <w:pPr>
        <w:pStyle w:val="ListParagraph"/>
        <w:numPr>
          <w:ilvl w:val="0"/>
          <w:numId w:val="51"/>
        </w:numPr>
        <w:tabs>
          <w:tab w:val="left" w:pos="0"/>
        </w:tabs>
        <w:spacing w:before="120" w:after="120" w:line="240" w:lineRule="auto"/>
        <w:ind w:left="0" w:right="-709" w:firstLine="0"/>
        <w:contextualSpacing w:val="0"/>
        <w:jc w:val="both"/>
        <w:rPr>
          <w:rFonts w:ascii="Verdana" w:hAnsi="Verdana"/>
          <w:sz w:val="16"/>
          <w:szCs w:val="16"/>
        </w:rPr>
      </w:pPr>
      <w:r w:rsidRPr="0012428F">
        <w:rPr>
          <w:rFonts w:ascii="Verdana" w:hAnsi="Verdana"/>
          <w:sz w:val="20"/>
          <w:szCs w:val="20"/>
        </w:rPr>
        <w:t>Con base en la información aportada por el Estado</w:t>
      </w:r>
      <w:r w:rsidR="001A3D3F" w:rsidRPr="007164BB">
        <w:rPr>
          <w:rStyle w:val="FootnoteReference"/>
          <w:rFonts w:ascii="Verdana" w:hAnsi="Verdana"/>
          <w:sz w:val="20"/>
          <w:szCs w:val="20"/>
        </w:rPr>
        <w:footnoteReference w:id="65"/>
      </w:r>
      <w:r w:rsidR="001A3D3F">
        <w:rPr>
          <w:rFonts w:ascii="Verdana" w:hAnsi="Verdana"/>
          <w:sz w:val="20"/>
          <w:szCs w:val="20"/>
        </w:rPr>
        <w:t xml:space="preserve"> y lo observado de manera general por el representante</w:t>
      </w:r>
      <w:r w:rsidR="006237B3">
        <w:rPr>
          <w:rFonts w:ascii="Verdana" w:hAnsi="Verdana"/>
          <w:sz w:val="20"/>
          <w:szCs w:val="20"/>
        </w:rPr>
        <w:t xml:space="preserve"> (</w:t>
      </w:r>
      <w:r w:rsidR="006237B3" w:rsidRPr="00460436">
        <w:rPr>
          <w:rFonts w:ascii="Verdana" w:hAnsi="Verdana"/>
          <w:i/>
          <w:sz w:val="20"/>
          <w:szCs w:val="20"/>
        </w:rPr>
        <w:t xml:space="preserve">supra </w:t>
      </w:r>
      <w:r w:rsidR="006237B3">
        <w:rPr>
          <w:rFonts w:ascii="Verdana" w:hAnsi="Verdana"/>
          <w:sz w:val="20"/>
          <w:szCs w:val="20"/>
        </w:rPr>
        <w:t>Considerando 3)</w:t>
      </w:r>
      <w:r w:rsidRPr="0012428F">
        <w:rPr>
          <w:rFonts w:ascii="Verdana" w:hAnsi="Verdana"/>
          <w:sz w:val="20"/>
          <w:szCs w:val="20"/>
        </w:rPr>
        <w:t>,</w:t>
      </w:r>
      <w:r>
        <w:rPr>
          <w:rFonts w:ascii="Verdana" w:hAnsi="Verdana"/>
          <w:sz w:val="20"/>
          <w:szCs w:val="20"/>
        </w:rPr>
        <w:t xml:space="preserve"> </w:t>
      </w:r>
      <w:r w:rsidRPr="0012428F">
        <w:rPr>
          <w:rFonts w:ascii="Verdana" w:hAnsi="Verdana"/>
          <w:sz w:val="20"/>
          <w:szCs w:val="20"/>
        </w:rPr>
        <w:t xml:space="preserve">esta Corte </w:t>
      </w:r>
      <w:r w:rsidR="001A3D3F">
        <w:rPr>
          <w:rFonts w:ascii="Verdana" w:hAnsi="Verdana"/>
          <w:sz w:val="20"/>
          <w:szCs w:val="20"/>
        </w:rPr>
        <w:t>considera que</w:t>
      </w:r>
      <w:r w:rsidR="000D7985">
        <w:rPr>
          <w:rFonts w:ascii="Verdana" w:hAnsi="Verdana"/>
          <w:sz w:val="20"/>
          <w:szCs w:val="20"/>
        </w:rPr>
        <w:t xml:space="preserve">, dentro </w:t>
      </w:r>
      <w:r w:rsidR="000D7985">
        <w:rPr>
          <w:rFonts w:ascii="Verdana" w:hAnsi="Verdana"/>
          <w:sz w:val="20"/>
          <w:szCs w:val="20"/>
        </w:rPr>
        <w:lastRenderedPageBreak/>
        <w:t>del plazo concedido,</w:t>
      </w:r>
      <w:r w:rsidR="001A3D3F">
        <w:rPr>
          <w:rFonts w:ascii="Verdana" w:hAnsi="Verdana"/>
          <w:sz w:val="20"/>
          <w:szCs w:val="20"/>
        </w:rPr>
        <w:t xml:space="preserve"> el Estado </w:t>
      </w:r>
      <w:r w:rsidR="001A3D3F" w:rsidRPr="0012428F">
        <w:rPr>
          <w:rFonts w:ascii="Verdana" w:hAnsi="Verdana"/>
          <w:sz w:val="20"/>
          <w:szCs w:val="20"/>
        </w:rPr>
        <w:t>ha dado cumplimiento total a la medida ordenada en el punto dispositivo décimo primero de la Sentencia</w:t>
      </w:r>
      <w:r w:rsidR="001A3D3F">
        <w:rPr>
          <w:rFonts w:ascii="Verdana" w:hAnsi="Verdana"/>
          <w:sz w:val="20"/>
          <w:szCs w:val="20"/>
        </w:rPr>
        <w:t xml:space="preserve"> al haber pagado</w:t>
      </w:r>
      <w:r w:rsidR="001A3D3F" w:rsidRPr="001A3D3F">
        <w:rPr>
          <w:rFonts w:ascii="Verdana" w:hAnsi="Verdana"/>
          <w:sz w:val="20"/>
          <w:szCs w:val="20"/>
        </w:rPr>
        <w:t xml:space="preserve"> </w:t>
      </w:r>
      <w:r w:rsidR="001A3D3F">
        <w:rPr>
          <w:rFonts w:ascii="Verdana" w:hAnsi="Verdana"/>
          <w:sz w:val="20"/>
          <w:szCs w:val="20"/>
        </w:rPr>
        <w:t>a los representantes de las víctimas la cantidad fijada por concepto de</w:t>
      </w:r>
      <w:r w:rsidR="006237B3">
        <w:rPr>
          <w:rFonts w:ascii="Verdana" w:hAnsi="Verdana"/>
          <w:sz w:val="20"/>
          <w:szCs w:val="20"/>
        </w:rPr>
        <w:t xml:space="preserve"> reintegro de</w:t>
      </w:r>
      <w:r w:rsidR="001A3D3F">
        <w:rPr>
          <w:rFonts w:ascii="Verdana" w:hAnsi="Verdana"/>
          <w:sz w:val="20"/>
          <w:szCs w:val="20"/>
        </w:rPr>
        <w:t xml:space="preserve"> costas y gastos. </w:t>
      </w:r>
    </w:p>
    <w:p w:rsidR="00701D92" w:rsidRDefault="00701D92" w:rsidP="009D1022">
      <w:pPr>
        <w:spacing w:before="120" w:after="120" w:line="240" w:lineRule="auto"/>
        <w:ind w:right="-709"/>
        <w:jc w:val="both"/>
        <w:rPr>
          <w:rFonts w:ascii="Verdana" w:hAnsi="Verdana"/>
          <w:b/>
          <w:sz w:val="20"/>
          <w:szCs w:val="20"/>
        </w:rPr>
      </w:pPr>
    </w:p>
    <w:p w:rsidR="00DF0E53" w:rsidRPr="00070C51" w:rsidRDefault="00DF0E53" w:rsidP="009D1022">
      <w:pPr>
        <w:spacing w:before="120" w:after="120" w:line="240" w:lineRule="auto"/>
        <w:ind w:right="-709"/>
        <w:jc w:val="both"/>
        <w:rPr>
          <w:rFonts w:ascii="Verdana" w:hAnsi="Verdana"/>
          <w:b/>
          <w:sz w:val="20"/>
          <w:szCs w:val="20"/>
        </w:rPr>
      </w:pPr>
      <w:r w:rsidRPr="00070C51">
        <w:rPr>
          <w:rFonts w:ascii="Verdana" w:hAnsi="Verdana"/>
          <w:b/>
          <w:sz w:val="20"/>
          <w:szCs w:val="20"/>
        </w:rPr>
        <w:t xml:space="preserve">POR TANTO: </w:t>
      </w:r>
    </w:p>
    <w:p w:rsidR="00DF0E53" w:rsidRPr="00070C51" w:rsidRDefault="00DF0E53" w:rsidP="009D1022">
      <w:pPr>
        <w:spacing w:before="120" w:after="120" w:line="240" w:lineRule="auto"/>
        <w:ind w:right="-709"/>
        <w:jc w:val="both"/>
        <w:rPr>
          <w:rFonts w:ascii="Verdana" w:hAnsi="Verdana"/>
          <w:b/>
          <w:sz w:val="20"/>
          <w:szCs w:val="20"/>
        </w:rPr>
      </w:pPr>
      <w:r w:rsidRPr="00070C51">
        <w:rPr>
          <w:rFonts w:ascii="Verdana" w:hAnsi="Verdana"/>
          <w:b/>
          <w:sz w:val="20"/>
          <w:szCs w:val="20"/>
        </w:rPr>
        <w:t xml:space="preserve">LA CORTE INTERAMERICANA DE DERECHOS HUMANOS, </w:t>
      </w:r>
    </w:p>
    <w:p w:rsidR="00DF0E53" w:rsidRDefault="00DF0E53" w:rsidP="009D1022">
      <w:pPr>
        <w:spacing w:before="120" w:after="120" w:line="240" w:lineRule="auto"/>
        <w:ind w:right="-709"/>
        <w:jc w:val="both"/>
        <w:rPr>
          <w:rFonts w:ascii="Verdana" w:hAnsi="Verdana"/>
          <w:sz w:val="20"/>
          <w:szCs w:val="20"/>
        </w:rPr>
      </w:pPr>
      <w:r w:rsidRPr="00070C51">
        <w:rPr>
          <w:rFonts w:ascii="Verdana" w:hAnsi="Verdana"/>
          <w:sz w:val="20"/>
          <w:szCs w:val="20"/>
        </w:rPr>
        <w:t xml:space="preserve">en el ejercicio de sus atribuciones de supervisión del cumplimiento de sus decisiones, de conformidad con los artículos 33, 62.1, 62.3, 65, 67 y 68.1 de la Convención Americana sobre Derechos Humanos, 24, 25 y 30 del Estatuto, y 31.2 y 69 de su Reglamento, </w:t>
      </w:r>
    </w:p>
    <w:p w:rsidR="001906D0" w:rsidRDefault="001906D0" w:rsidP="009D1022">
      <w:pPr>
        <w:spacing w:before="120" w:after="120" w:line="240" w:lineRule="auto"/>
        <w:ind w:right="-709"/>
        <w:jc w:val="both"/>
        <w:rPr>
          <w:rFonts w:ascii="Verdana" w:hAnsi="Verdana"/>
          <w:b/>
          <w:sz w:val="4"/>
          <w:szCs w:val="4"/>
        </w:rPr>
      </w:pPr>
    </w:p>
    <w:p w:rsidR="001906D0" w:rsidRPr="001906D0" w:rsidRDefault="001906D0" w:rsidP="009D1022">
      <w:pPr>
        <w:spacing w:before="120" w:after="120" w:line="240" w:lineRule="auto"/>
        <w:ind w:right="-709"/>
        <w:jc w:val="both"/>
        <w:rPr>
          <w:rFonts w:ascii="Verdana" w:hAnsi="Verdana"/>
          <w:b/>
          <w:sz w:val="4"/>
          <w:szCs w:val="4"/>
        </w:rPr>
      </w:pPr>
    </w:p>
    <w:p w:rsidR="00DF0E53" w:rsidRPr="00070C51" w:rsidRDefault="00DF0E53" w:rsidP="009D1022">
      <w:pPr>
        <w:spacing w:before="120" w:after="120" w:line="240" w:lineRule="auto"/>
        <w:ind w:right="-709"/>
        <w:jc w:val="both"/>
        <w:rPr>
          <w:rFonts w:ascii="Verdana" w:hAnsi="Verdana"/>
          <w:b/>
          <w:sz w:val="20"/>
          <w:szCs w:val="20"/>
        </w:rPr>
      </w:pPr>
      <w:r w:rsidRPr="00070C51">
        <w:rPr>
          <w:rFonts w:ascii="Verdana" w:hAnsi="Verdana"/>
          <w:b/>
          <w:sz w:val="20"/>
          <w:szCs w:val="20"/>
        </w:rPr>
        <w:t xml:space="preserve">RESUELVE: </w:t>
      </w:r>
    </w:p>
    <w:p w:rsidR="00DF0E53" w:rsidRDefault="00DF0E53"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070C51">
        <w:rPr>
          <w:rFonts w:ascii="Verdana" w:hAnsi="Verdana"/>
          <w:sz w:val="20"/>
          <w:szCs w:val="20"/>
        </w:rPr>
        <w:t xml:space="preserve">Declarar, de conformidad con lo señalado en los Considerandos </w:t>
      </w:r>
      <w:r w:rsidR="007156DF">
        <w:rPr>
          <w:rFonts w:ascii="Verdana" w:hAnsi="Verdana"/>
          <w:sz w:val="20"/>
          <w:szCs w:val="20"/>
        </w:rPr>
        <w:t xml:space="preserve">13, 17, </w:t>
      </w:r>
      <w:r w:rsidR="000D7985">
        <w:rPr>
          <w:rFonts w:ascii="Verdana" w:hAnsi="Verdana"/>
          <w:sz w:val="20"/>
          <w:szCs w:val="20"/>
        </w:rPr>
        <w:t xml:space="preserve">21, </w:t>
      </w:r>
      <w:r w:rsidR="007156DF">
        <w:rPr>
          <w:rFonts w:ascii="Verdana" w:hAnsi="Verdana"/>
          <w:sz w:val="20"/>
          <w:szCs w:val="20"/>
        </w:rPr>
        <w:t>44 y 51</w:t>
      </w:r>
      <w:r w:rsidR="007156DF" w:rsidRPr="00070C51">
        <w:rPr>
          <w:rFonts w:ascii="Verdana" w:hAnsi="Verdana"/>
          <w:sz w:val="20"/>
          <w:szCs w:val="20"/>
        </w:rPr>
        <w:t xml:space="preserve"> </w:t>
      </w:r>
      <w:r w:rsidRPr="00070C51">
        <w:rPr>
          <w:rFonts w:ascii="Verdana" w:hAnsi="Verdana"/>
          <w:sz w:val="20"/>
          <w:szCs w:val="20"/>
        </w:rPr>
        <w:t>de la presente Resolución, que el Estado ha dado cumplimiento total a las siguientes reparaciones:</w:t>
      </w:r>
    </w:p>
    <w:p w:rsidR="00DF0E53" w:rsidRPr="007156DF" w:rsidRDefault="00DF0E53" w:rsidP="00872841">
      <w:pPr>
        <w:pStyle w:val="ListParagraph"/>
        <w:numPr>
          <w:ilvl w:val="0"/>
          <w:numId w:val="21"/>
        </w:numPr>
        <w:spacing w:before="120" w:after="120" w:line="240" w:lineRule="auto"/>
        <w:ind w:left="714" w:right="-709" w:hanging="357"/>
        <w:contextualSpacing w:val="0"/>
        <w:jc w:val="both"/>
        <w:rPr>
          <w:rFonts w:ascii="Verdana" w:hAnsi="Verdana"/>
          <w:sz w:val="20"/>
          <w:szCs w:val="20"/>
        </w:rPr>
      </w:pPr>
      <w:r w:rsidRPr="007156DF">
        <w:rPr>
          <w:rFonts w:ascii="Verdana" w:hAnsi="Verdana"/>
          <w:sz w:val="20"/>
          <w:szCs w:val="20"/>
        </w:rPr>
        <w:t xml:space="preserve">realizar las publicaciones de la Sentencia </w:t>
      </w:r>
      <w:r w:rsidR="000D7985">
        <w:rPr>
          <w:rFonts w:ascii="Verdana" w:hAnsi="Verdana"/>
          <w:sz w:val="20"/>
          <w:szCs w:val="20"/>
        </w:rPr>
        <w:t>y</w:t>
      </w:r>
      <w:r w:rsidRPr="007156DF">
        <w:rPr>
          <w:rFonts w:ascii="Verdana" w:hAnsi="Verdana"/>
          <w:sz w:val="20"/>
          <w:szCs w:val="20"/>
        </w:rPr>
        <w:t xml:space="preserve"> de su resumen oficial que se indican en el párrafo 162 de la misma (</w:t>
      </w:r>
      <w:r w:rsidRPr="007156DF">
        <w:rPr>
          <w:rFonts w:ascii="Verdana" w:hAnsi="Verdana"/>
          <w:i/>
          <w:sz w:val="20"/>
          <w:szCs w:val="20"/>
        </w:rPr>
        <w:t xml:space="preserve">punto </w:t>
      </w:r>
      <w:r w:rsidR="00104901" w:rsidRPr="007156DF">
        <w:rPr>
          <w:rFonts w:ascii="Verdana" w:hAnsi="Verdana"/>
          <w:i/>
          <w:sz w:val="20"/>
          <w:szCs w:val="20"/>
        </w:rPr>
        <w:t>resolutivo</w:t>
      </w:r>
      <w:r w:rsidRPr="007156DF">
        <w:rPr>
          <w:rFonts w:ascii="Verdana" w:hAnsi="Verdana"/>
          <w:i/>
          <w:sz w:val="20"/>
          <w:szCs w:val="20"/>
        </w:rPr>
        <w:t xml:space="preserve"> sexto</w:t>
      </w:r>
      <w:r w:rsidR="00104901" w:rsidRPr="007156DF">
        <w:rPr>
          <w:rFonts w:ascii="Verdana" w:hAnsi="Verdana"/>
          <w:i/>
          <w:sz w:val="20"/>
          <w:szCs w:val="20"/>
        </w:rPr>
        <w:t xml:space="preserve"> de la Sentencia</w:t>
      </w:r>
      <w:r w:rsidRPr="007156DF">
        <w:rPr>
          <w:rFonts w:ascii="Verdana" w:hAnsi="Verdana"/>
          <w:sz w:val="20"/>
          <w:szCs w:val="20"/>
        </w:rPr>
        <w:t>);</w:t>
      </w:r>
    </w:p>
    <w:p w:rsidR="00475AF8" w:rsidRPr="007156DF" w:rsidRDefault="00DF0E53" w:rsidP="00872841">
      <w:pPr>
        <w:pStyle w:val="ListParagraph"/>
        <w:numPr>
          <w:ilvl w:val="0"/>
          <w:numId w:val="21"/>
        </w:numPr>
        <w:spacing w:before="120" w:after="120" w:line="240" w:lineRule="auto"/>
        <w:ind w:left="714" w:right="-709" w:hanging="357"/>
        <w:contextualSpacing w:val="0"/>
        <w:jc w:val="both"/>
        <w:rPr>
          <w:rFonts w:ascii="Verdana" w:hAnsi="Verdana"/>
          <w:sz w:val="20"/>
          <w:szCs w:val="20"/>
        </w:rPr>
      </w:pPr>
      <w:r w:rsidRPr="007156DF">
        <w:rPr>
          <w:rFonts w:ascii="Verdana" w:hAnsi="Verdana"/>
          <w:sz w:val="20"/>
          <w:szCs w:val="20"/>
        </w:rPr>
        <w:t xml:space="preserve">realizar un acto público de reconocimiento de responsabilidad internacional por los hechos </w:t>
      </w:r>
      <w:r w:rsidR="007156DF" w:rsidRPr="007156DF">
        <w:rPr>
          <w:rFonts w:ascii="Verdana" w:hAnsi="Verdana"/>
          <w:sz w:val="20"/>
          <w:szCs w:val="20"/>
        </w:rPr>
        <w:t xml:space="preserve">y violaciones </w:t>
      </w:r>
      <w:r w:rsidRPr="007156DF">
        <w:rPr>
          <w:rFonts w:ascii="Verdana" w:hAnsi="Verdana"/>
          <w:sz w:val="20"/>
          <w:szCs w:val="20"/>
        </w:rPr>
        <w:t>del presente caso (</w:t>
      </w:r>
      <w:r w:rsidR="00104901" w:rsidRPr="007156DF">
        <w:rPr>
          <w:rFonts w:ascii="Verdana" w:hAnsi="Verdana"/>
          <w:i/>
          <w:sz w:val="20"/>
          <w:szCs w:val="20"/>
        </w:rPr>
        <w:t xml:space="preserve">punto resolutivo </w:t>
      </w:r>
      <w:r w:rsidR="00475AF8" w:rsidRPr="007156DF">
        <w:rPr>
          <w:rFonts w:ascii="Verdana" w:hAnsi="Verdana"/>
          <w:i/>
          <w:sz w:val="20"/>
          <w:szCs w:val="20"/>
        </w:rPr>
        <w:t>séptimo</w:t>
      </w:r>
      <w:r w:rsidR="00104901" w:rsidRPr="007156DF">
        <w:rPr>
          <w:rFonts w:ascii="Verdana" w:hAnsi="Verdana"/>
          <w:i/>
          <w:sz w:val="20"/>
          <w:szCs w:val="20"/>
        </w:rPr>
        <w:t xml:space="preserve"> de la Sentencia</w:t>
      </w:r>
      <w:r w:rsidR="00831C8C" w:rsidRPr="007156DF">
        <w:rPr>
          <w:rFonts w:ascii="Verdana" w:hAnsi="Verdana"/>
          <w:sz w:val="20"/>
          <w:szCs w:val="20"/>
        </w:rPr>
        <w:t>)</w:t>
      </w:r>
      <w:r w:rsidR="00820AC2" w:rsidRPr="007156DF">
        <w:rPr>
          <w:rFonts w:ascii="Verdana" w:hAnsi="Verdana"/>
          <w:sz w:val="20"/>
          <w:szCs w:val="20"/>
        </w:rPr>
        <w:t xml:space="preserve">; </w:t>
      </w:r>
    </w:p>
    <w:p w:rsidR="00475AF8" w:rsidRPr="007156DF" w:rsidRDefault="00475AF8" w:rsidP="00872841">
      <w:pPr>
        <w:pStyle w:val="ListParagraph"/>
        <w:numPr>
          <w:ilvl w:val="0"/>
          <w:numId w:val="21"/>
        </w:numPr>
        <w:spacing w:before="120" w:after="120" w:line="240" w:lineRule="auto"/>
        <w:ind w:left="714" w:right="-709" w:hanging="357"/>
        <w:contextualSpacing w:val="0"/>
        <w:jc w:val="both"/>
        <w:rPr>
          <w:rFonts w:ascii="Verdana" w:hAnsi="Verdana"/>
          <w:sz w:val="20"/>
          <w:szCs w:val="20"/>
        </w:rPr>
      </w:pPr>
      <w:r w:rsidRPr="007156DF">
        <w:rPr>
          <w:rFonts w:ascii="Verdana" w:hAnsi="Verdana"/>
          <w:color w:val="000000" w:themeColor="text1"/>
          <w:sz w:val="20"/>
          <w:szCs w:val="20"/>
        </w:rPr>
        <w:t>develar una placa con la inscripción de los nombres de las víctimas</w:t>
      </w:r>
      <w:r w:rsidR="007156DF">
        <w:rPr>
          <w:rFonts w:ascii="Verdana" w:hAnsi="Verdana"/>
          <w:color w:val="000000" w:themeColor="text1"/>
          <w:sz w:val="20"/>
          <w:szCs w:val="20"/>
        </w:rPr>
        <w:t xml:space="preserve"> y circunstancias en que ocurrieron los hechos</w:t>
      </w:r>
      <w:r w:rsidRPr="007156DF">
        <w:rPr>
          <w:rFonts w:ascii="Verdana" w:hAnsi="Verdana"/>
          <w:color w:val="000000" w:themeColor="text1"/>
          <w:sz w:val="20"/>
          <w:szCs w:val="20"/>
        </w:rPr>
        <w:t xml:space="preserve"> del presente caso</w:t>
      </w:r>
      <w:r w:rsidR="00D0263E" w:rsidRPr="007156DF">
        <w:rPr>
          <w:rFonts w:ascii="Verdana" w:hAnsi="Verdana"/>
          <w:i/>
          <w:color w:val="000000" w:themeColor="text1"/>
          <w:sz w:val="20"/>
          <w:szCs w:val="20"/>
        </w:rPr>
        <w:t xml:space="preserve"> </w:t>
      </w:r>
      <w:r w:rsidRPr="007156DF">
        <w:rPr>
          <w:rFonts w:ascii="Verdana" w:hAnsi="Verdana"/>
          <w:sz w:val="20"/>
          <w:szCs w:val="20"/>
        </w:rPr>
        <w:t>(</w:t>
      </w:r>
      <w:r w:rsidR="00104901" w:rsidRPr="007156DF">
        <w:rPr>
          <w:rFonts w:ascii="Verdana" w:hAnsi="Verdana"/>
          <w:i/>
          <w:sz w:val="20"/>
          <w:szCs w:val="20"/>
        </w:rPr>
        <w:t>punto resolutivo</w:t>
      </w:r>
      <w:r w:rsidRPr="007156DF">
        <w:rPr>
          <w:rFonts w:ascii="Verdana" w:hAnsi="Verdana"/>
          <w:i/>
          <w:sz w:val="20"/>
          <w:szCs w:val="20"/>
        </w:rPr>
        <w:t xml:space="preserve"> octavo</w:t>
      </w:r>
      <w:r w:rsidR="00104901" w:rsidRPr="007156DF">
        <w:rPr>
          <w:rFonts w:ascii="Verdana" w:hAnsi="Verdana"/>
          <w:i/>
          <w:sz w:val="20"/>
          <w:szCs w:val="20"/>
        </w:rPr>
        <w:t xml:space="preserve"> de la Sentencia</w:t>
      </w:r>
      <w:r w:rsidRPr="007156DF">
        <w:rPr>
          <w:rFonts w:ascii="Verdana" w:hAnsi="Verdana"/>
          <w:sz w:val="20"/>
          <w:szCs w:val="20"/>
        </w:rPr>
        <w:t>);</w:t>
      </w:r>
    </w:p>
    <w:p w:rsidR="00475AF8" w:rsidRPr="007156DF" w:rsidRDefault="00475AF8" w:rsidP="00872841">
      <w:pPr>
        <w:pStyle w:val="ListParagraph"/>
        <w:numPr>
          <w:ilvl w:val="0"/>
          <w:numId w:val="21"/>
        </w:numPr>
        <w:spacing w:before="120" w:after="120" w:line="240" w:lineRule="auto"/>
        <w:ind w:left="714" w:right="-709" w:hanging="357"/>
        <w:contextualSpacing w:val="0"/>
        <w:jc w:val="both"/>
        <w:rPr>
          <w:rFonts w:ascii="Verdana" w:hAnsi="Verdana"/>
          <w:sz w:val="20"/>
          <w:szCs w:val="20"/>
        </w:rPr>
      </w:pPr>
      <w:r w:rsidRPr="007156DF">
        <w:rPr>
          <w:rFonts w:ascii="Verdana" w:hAnsi="Verdana"/>
          <w:color w:val="000000" w:themeColor="text1"/>
          <w:sz w:val="20"/>
          <w:szCs w:val="20"/>
        </w:rPr>
        <w:t xml:space="preserve">poner a disposición de las víctimas del presente caso </w:t>
      </w:r>
      <w:r w:rsidR="00D0263E" w:rsidRPr="007156DF">
        <w:rPr>
          <w:rFonts w:ascii="Verdana" w:hAnsi="Verdana"/>
          <w:color w:val="000000" w:themeColor="text1"/>
          <w:sz w:val="20"/>
          <w:szCs w:val="20"/>
        </w:rPr>
        <w:t xml:space="preserve">un mecanismo que sea efectivo y rápido para revisar y anular las sentencias de condena que fueron dictadas en su perjuicio en la causa Rol N° 1-73, y poner dicho mecanismo a disposición de las demás personas que </w:t>
      </w:r>
      <w:r w:rsidRPr="007156DF">
        <w:rPr>
          <w:rFonts w:ascii="Verdana" w:hAnsi="Verdana"/>
          <w:color w:val="000000" w:themeColor="text1"/>
          <w:sz w:val="20"/>
          <w:szCs w:val="20"/>
        </w:rPr>
        <w:t>fueron condenadas por los Consejos de Guerra durante la dictadura militar chilena</w:t>
      </w:r>
      <w:r w:rsidRPr="007156DF">
        <w:rPr>
          <w:rFonts w:ascii="Verdana" w:hAnsi="Verdana"/>
          <w:i/>
          <w:color w:val="000000" w:themeColor="text1"/>
          <w:sz w:val="20"/>
          <w:szCs w:val="20"/>
        </w:rPr>
        <w:t xml:space="preserve"> </w:t>
      </w:r>
      <w:r w:rsidRPr="007156DF">
        <w:rPr>
          <w:rFonts w:ascii="Verdana" w:hAnsi="Verdana"/>
          <w:sz w:val="20"/>
          <w:szCs w:val="20"/>
        </w:rPr>
        <w:t>(</w:t>
      </w:r>
      <w:r w:rsidRPr="007156DF">
        <w:rPr>
          <w:rFonts w:ascii="Verdana" w:hAnsi="Verdana"/>
          <w:i/>
          <w:sz w:val="20"/>
          <w:szCs w:val="20"/>
        </w:rPr>
        <w:t xml:space="preserve">punto </w:t>
      </w:r>
      <w:r w:rsidR="00104901" w:rsidRPr="007156DF">
        <w:rPr>
          <w:rFonts w:ascii="Verdana" w:hAnsi="Verdana"/>
          <w:i/>
          <w:sz w:val="20"/>
          <w:szCs w:val="20"/>
        </w:rPr>
        <w:t>resolutivo</w:t>
      </w:r>
      <w:r w:rsidRPr="007156DF">
        <w:rPr>
          <w:rFonts w:ascii="Verdana" w:hAnsi="Verdana"/>
          <w:i/>
          <w:sz w:val="20"/>
          <w:szCs w:val="20"/>
        </w:rPr>
        <w:t xml:space="preserve"> noven</w:t>
      </w:r>
      <w:r w:rsidR="00831C8C" w:rsidRPr="007156DF">
        <w:rPr>
          <w:rFonts w:ascii="Verdana" w:hAnsi="Verdana"/>
          <w:i/>
          <w:sz w:val="20"/>
          <w:szCs w:val="20"/>
        </w:rPr>
        <w:t>o</w:t>
      </w:r>
      <w:r w:rsidR="00104901" w:rsidRPr="007156DF">
        <w:rPr>
          <w:rFonts w:ascii="Verdana" w:hAnsi="Verdana"/>
          <w:i/>
          <w:sz w:val="20"/>
          <w:szCs w:val="20"/>
        </w:rPr>
        <w:t xml:space="preserve"> de la Sentencia</w:t>
      </w:r>
      <w:r w:rsidR="00D0263E" w:rsidRPr="007156DF">
        <w:rPr>
          <w:rFonts w:ascii="Verdana" w:hAnsi="Verdana"/>
          <w:sz w:val="20"/>
          <w:szCs w:val="20"/>
        </w:rPr>
        <w:t>), y</w:t>
      </w:r>
    </w:p>
    <w:p w:rsidR="00475AF8" w:rsidRDefault="00475AF8" w:rsidP="00872841">
      <w:pPr>
        <w:pStyle w:val="ListParagraph"/>
        <w:numPr>
          <w:ilvl w:val="0"/>
          <w:numId w:val="21"/>
        </w:numPr>
        <w:spacing w:before="120" w:after="120" w:line="240" w:lineRule="auto"/>
        <w:ind w:left="714" w:right="-709" w:hanging="357"/>
        <w:contextualSpacing w:val="0"/>
        <w:jc w:val="both"/>
        <w:rPr>
          <w:rFonts w:ascii="Verdana" w:hAnsi="Verdana"/>
          <w:sz w:val="20"/>
          <w:szCs w:val="20"/>
        </w:rPr>
      </w:pPr>
      <w:r w:rsidRPr="007156DF">
        <w:rPr>
          <w:rFonts w:ascii="Verdana" w:hAnsi="Verdana"/>
          <w:sz w:val="20"/>
          <w:szCs w:val="20"/>
        </w:rPr>
        <w:t xml:space="preserve">pagar a los representantes </w:t>
      </w:r>
      <w:r w:rsidR="007156DF">
        <w:rPr>
          <w:rFonts w:ascii="Verdana" w:hAnsi="Verdana"/>
          <w:sz w:val="20"/>
          <w:szCs w:val="20"/>
        </w:rPr>
        <w:t xml:space="preserve">de las víctimas </w:t>
      </w:r>
      <w:r w:rsidRPr="007156DF">
        <w:rPr>
          <w:rFonts w:ascii="Verdana" w:hAnsi="Verdana"/>
          <w:sz w:val="20"/>
          <w:szCs w:val="20"/>
        </w:rPr>
        <w:t>la cantidad fijada</w:t>
      </w:r>
      <w:r w:rsidR="000D7985">
        <w:rPr>
          <w:rFonts w:ascii="Verdana" w:hAnsi="Verdana"/>
          <w:sz w:val="20"/>
          <w:szCs w:val="20"/>
        </w:rPr>
        <w:t xml:space="preserve"> </w:t>
      </w:r>
      <w:r w:rsidR="00831C8C" w:rsidRPr="007156DF">
        <w:rPr>
          <w:rFonts w:ascii="Verdana" w:hAnsi="Verdana"/>
          <w:sz w:val="20"/>
          <w:szCs w:val="20"/>
        </w:rPr>
        <w:t>en el párrafo 185 de la Sentencia</w:t>
      </w:r>
      <w:r w:rsidRPr="007156DF">
        <w:rPr>
          <w:rFonts w:ascii="Verdana" w:hAnsi="Verdana"/>
          <w:sz w:val="20"/>
          <w:szCs w:val="20"/>
        </w:rPr>
        <w:t xml:space="preserve"> por concepto de reintegro de costas y gastos (</w:t>
      </w:r>
      <w:r w:rsidRPr="007156DF">
        <w:rPr>
          <w:rFonts w:ascii="Verdana" w:hAnsi="Verdana"/>
          <w:i/>
          <w:sz w:val="20"/>
          <w:szCs w:val="20"/>
        </w:rPr>
        <w:t xml:space="preserve">punto </w:t>
      </w:r>
      <w:r w:rsidR="00104901" w:rsidRPr="007156DF">
        <w:rPr>
          <w:rFonts w:ascii="Verdana" w:hAnsi="Verdana"/>
          <w:i/>
          <w:sz w:val="20"/>
          <w:szCs w:val="20"/>
        </w:rPr>
        <w:t xml:space="preserve">resolutivo </w:t>
      </w:r>
      <w:r w:rsidR="00831C8C" w:rsidRPr="007156DF">
        <w:rPr>
          <w:rFonts w:ascii="Verdana" w:hAnsi="Verdana"/>
          <w:i/>
          <w:sz w:val="20"/>
          <w:szCs w:val="20"/>
        </w:rPr>
        <w:t>décimo primero</w:t>
      </w:r>
      <w:r w:rsidR="00104901" w:rsidRPr="007156DF">
        <w:rPr>
          <w:rFonts w:ascii="Verdana" w:hAnsi="Verdana"/>
          <w:i/>
          <w:sz w:val="20"/>
          <w:szCs w:val="20"/>
        </w:rPr>
        <w:t xml:space="preserve"> de la Sentencia</w:t>
      </w:r>
      <w:r w:rsidR="00D0263E" w:rsidRPr="007156DF">
        <w:rPr>
          <w:rFonts w:ascii="Verdana" w:hAnsi="Verdana"/>
          <w:sz w:val="20"/>
          <w:szCs w:val="20"/>
        </w:rPr>
        <w:t>).</w:t>
      </w:r>
    </w:p>
    <w:p w:rsidR="001906D0" w:rsidRDefault="001906D0" w:rsidP="001906D0">
      <w:pPr>
        <w:pStyle w:val="ListParagraph"/>
        <w:spacing w:before="120" w:after="120" w:line="240" w:lineRule="auto"/>
        <w:ind w:left="714" w:right="-709"/>
        <w:contextualSpacing w:val="0"/>
        <w:jc w:val="both"/>
        <w:rPr>
          <w:rFonts w:ascii="Verdana" w:hAnsi="Verdana"/>
          <w:sz w:val="20"/>
          <w:szCs w:val="20"/>
        </w:rPr>
      </w:pPr>
    </w:p>
    <w:p w:rsidR="00831C8C" w:rsidRDefault="00475AF8"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070C51">
        <w:rPr>
          <w:rFonts w:ascii="Verdana" w:hAnsi="Verdana"/>
          <w:sz w:val="20"/>
          <w:szCs w:val="20"/>
        </w:rPr>
        <w:t xml:space="preserve">Declarar, de conformidad con lo señalado en </w:t>
      </w:r>
      <w:r w:rsidR="007156DF">
        <w:rPr>
          <w:rFonts w:ascii="Verdana" w:hAnsi="Verdana"/>
          <w:sz w:val="20"/>
          <w:szCs w:val="20"/>
        </w:rPr>
        <w:t>el</w:t>
      </w:r>
      <w:r w:rsidR="007156DF" w:rsidRPr="00070C51">
        <w:rPr>
          <w:rFonts w:ascii="Verdana" w:hAnsi="Verdana"/>
          <w:sz w:val="20"/>
          <w:szCs w:val="20"/>
        </w:rPr>
        <w:t xml:space="preserve"> </w:t>
      </w:r>
      <w:r w:rsidRPr="00070C51">
        <w:rPr>
          <w:rFonts w:ascii="Verdana" w:hAnsi="Verdana"/>
          <w:sz w:val="20"/>
          <w:szCs w:val="20"/>
        </w:rPr>
        <w:t xml:space="preserve">Considerando </w:t>
      </w:r>
      <w:r w:rsidR="007156DF">
        <w:rPr>
          <w:rFonts w:ascii="Verdana" w:hAnsi="Verdana"/>
          <w:sz w:val="20"/>
          <w:szCs w:val="20"/>
        </w:rPr>
        <w:t>49</w:t>
      </w:r>
      <w:r w:rsidR="007156DF" w:rsidRPr="00070C51">
        <w:rPr>
          <w:rFonts w:ascii="Verdana" w:hAnsi="Verdana"/>
          <w:sz w:val="20"/>
          <w:szCs w:val="20"/>
        </w:rPr>
        <w:t xml:space="preserve"> </w:t>
      </w:r>
      <w:r w:rsidRPr="00070C51">
        <w:rPr>
          <w:rFonts w:ascii="Verdana" w:hAnsi="Verdana"/>
          <w:sz w:val="20"/>
          <w:szCs w:val="20"/>
        </w:rPr>
        <w:t xml:space="preserve">de la presente Resolución, que el Estado ha dado cumplimiento parcial </w:t>
      </w:r>
      <w:r w:rsidR="00104901" w:rsidRPr="00070C51">
        <w:rPr>
          <w:rFonts w:ascii="Verdana" w:hAnsi="Verdana"/>
          <w:sz w:val="20"/>
          <w:szCs w:val="20"/>
        </w:rPr>
        <w:t xml:space="preserve">a la </w:t>
      </w:r>
      <w:r w:rsidRPr="00070C51">
        <w:rPr>
          <w:rFonts w:ascii="Verdana" w:hAnsi="Verdana"/>
          <w:sz w:val="20"/>
          <w:szCs w:val="20"/>
        </w:rPr>
        <w:t>reparación</w:t>
      </w:r>
      <w:r w:rsidR="00104901" w:rsidRPr="00070C51">
        <w:rPr>
          <w:rFonts w:ascii="Verdana" w:hAnsi="Verdana"/>
          <w:sz w:val="20"/>
          <w:szCs w:val="20"/>
        </w:rPr>
        <w:t xml:space="preserve"> relativa a </w:t>
      </w:r>
      <w:r w:rsidRPr="00070C51">
        <w:rPr>
          <w:rFonts w:ascii="Verdana" w:hAnsi="Verdana"/>
          <w:sz w:val="20"/>
          <w:szCs w:val="20"/>
        </w:rPr>
        <w:t xml:space="preserve">pagar </w:t>
      </w:r>
      <w:r w:rsidR="00104901" w:rsidRPr="00070C51">
        <w:rPr>
          <w:rFonts w:ascii="Verdana" w:hAnsi="Verdana"/>
          <w:sz w:val="20"/>
          <w:szCs w:val="20"/>
        </w:rPr>
        <w:t xml:space="preserve">a las víctimas </w:t>
      </w:r>
      <w:r w:rsidRPr="00070C51">
        <w:rPr>
          <w:rFonts w:ascii="Verdana" w:hAnsi="Verdana"/>
          <w:sz w:val="20"/>
          <w:szCs w:val="20"/>
        </w:rPr>
        <w:t>las cantidades fijada</w:t>
      </w:r>
      <w:r w:rsidR="00831C8C" w:rsidRPr="00070C51">
        <w:rPr>
          <w:rFonts w:ascii="Verdana" w:hAnsi="Verdana"/>
          <w:sz w:val="20"/>
          <w:szCs w:val="20"/>
        </w:rPr>
        <w:t>s en los párrafos 178 y 179</w:t>
      </w:r>
      <w:r w:rsidRPr="00070C51">
        <w:rPr>
          <w:rFonts w:ascii="Verdana" w:hAnsi="Verdana"/>
          <w:sz w:val="20"/>
          <w:szCs w:val="20"/>
        </w:rPr>
        <w:t xml:space="preserve"> de la Sentencia,</w:t>
      </w:r>
      <w:r w:rsidR="00831C8C" w:rsidRPr="00070C51">
        <w:rPr>
          <w:rFonts w:ascii="Verdana" w:hAnsi="Verdana"/>
          <w:sz w:val="20"/>
          <w:szCs w:val="20"/>
        </w:rPr>
        <w:t xml:space="preserve"> por concepto de </w:t>
      </w:r>
      <w:r w:rsidR="00831C8C" w:rsidRPr="008667F2">
        <w:rPr>
          <w:rFonts w:ascii="Verdana" w:hAnsi="Verdana"/>
          <w:sz w:val="20"/>
          <w:szCs w:val="20"/>
        </w:rPr>
        <w:t>indemnización por daño</w:t>
      </w:r>
      <w:r w:rsidRPr="008667F2">
        <w:rPr>
          <w:rFonts w:ascii="Verdana" w:hAnsi="Verdana"/>
          <w:sz w:val="20"/>
          <w:szCs w:val="20"/>
        </w:rPr>
        <w:t xml:space="preserve"> </w:t>
      </w:r>
      <w:r w:rsidR="00831C8C" w:rsidRPr="008667F2">
        <w:rPr>
          <w:rFonts w:ascii="Verdana" w:hAnsi="Verdana"/>
          <w:sz w:val="20"/>
          <w:szCs w:val="20"/>
        </w:rPr>
        <w:t>inmaterial</w:t>
      </w:r>
      <w:r w:rsidR="008667F2" w:rsidRPr="008667F2">
        <w:rPr>
          <w:rFonts w:ascii="Verdana" w:hAnsi="Verdana"/>
          <w:sz w:val="20"/>
          <w:szCs w:val="20"/>
        </w:rPr>
        <w:t xml:space="preserve">, ya que </w:t>
      </w:r>
      <w:r w:rsidR="00EE7B08">
        <w:rPr>
          <w:rFonts w:ascii="Verdana" w:hAnsi="Verdana"/>
          <w:sz w:val="20"/>
          <w:szCs w:val="20"/>
        </w:rPr>
        <w:t>Chile</w:t>
      </w:r>
      <w:r w:rsidR="008667F2" w:rsidRPr="008667F2">
        <w:rPr>
          <w:rFonts w:ascii="Verdana" w:hAnsi="Verdana"/>
          <w:sz w:val="20"/>
          <w:szCs w:val="20"/>
        </w:rPr>
        <w:t xml:space="preserve"> pagó la referida indemnización a </w:t>
      </w:r>
      <w:r w:rsidR="007156DF">
        <w:rPr>
          <w:rFonts w:ascii="Verdana" w:hAnsi="Verdana"/>
          <w:sz w:val="20"/>
          <w:szCs w:val="20"/>
        </w:rPr>
        <w:t>once</w:t>
      </w:r>
      <w:r w:rsidR="007156DF" w:rsidRPr="008667F2">
        <w:rPr>
          <w:rFonts w:ascii="Verdana" w:hAnsi="Verdana"/>
          <w:sz w:val="20"/>
          <w:szCs w:val="20"/>
        </w:rPr>
        <w:t xml:space="preserve"> </w:t>
      </w:r>
      <w:r w:rsidR="008667F2" w:rsidRPr="008667F2">
        <w:rPr>
          <w:rFonts w:ascii="Verdana" w:hAnsi="Verdana"/>
          <w:sz w:val="20"/>
          <w:szCs w:val="20"/>
        </w:rPr>
        <w:t xml:space="preserve">de las </w:t>
      </w:r>
      <w:r w:rsidR="007156DF">
        <w:rPr>
          <w:rFonts w:ascii="Verdana" w:hAnsi="Verdana"/>
          <w:sz w:val="20"/>
          <w:szCs w:val="20"/>
        </w:rPr>
        <w:t>doce</w:t>
      </w:r>
      <w:r w:rsidR="007156DF" w:rsidRPr="008667F2">
        <w:rPr>
          <w:rFonts w:ascii="Verdana" w:hAnsi="Verdana"/>
          <w:sz w:val="20"/>
          <w:szCs w:val="20"/>
        </w:rPr>
        <w:t xml:space="preserve"> </w:t>
      </w:r>
      <w:r w:rsidR="008667F2" w:rsidRPr="008667F2">
        <w:rPr>
          <w:rFonts w:ascii="Verdana" w:hAnsi="Verdana"/>
          <w:sz w:val="20"/>
          <w:szCs w:val="20"/>
        </w:rPr>
        <w:t xml:space="preserve">víctimas (Omar Humberto Maldonado Vargas, Álvaro Yañez del Villar, Mario Antonio Cornejo Barahona, Belarmino Constanzo Merino, Manuel Osvaldo López Oyanedel, Ernesto Augusto Galaz Guzmán, Mario González Rifo, Jaime Donoso Parra, Alberto Salustio Bustamante Rojas, Víctor Hugo Adriazola Meza e Ivar Onoldo Rojas Ravanal), </w:t>
      </w:r>
      <w:r w:rsidR="00104901" w:rsidRPr="008667F2">
        <w:rPr>
          <w:rFonts w:ascii="Verdana" w:hAnsi="Verdana"/>
          <w:sz w:val="20"/>
          <w:szCs w:val="20"/>
        </w:rPr>
        <w:t xml:space="preserve">quedando pendiente </w:t>
      </w:r>
      <w:r w:rsidR="008667F2" w:rsidRPr="008667F2">
        <w:rPr>
          <w:rFonts w:ascii="Verdana" w:hAnsi="Verdana"/>
          <w:sz w:val="20"/>
          <w:szCs w:val="20"/>
        </w:rPr>
        <w:t xml:space="preserve">únicamente </w:t>
      </w:r>
      <w:r w:rsidR="00070C51" w:rsidRPr="008667F2">
        <w:rPr>
          <w:rFonts w:ascii="Verdana" w:hAnsi="Verdana"/>
          <w:sz w:val="20"/>
          <w:szCs w:val="20"/>
        </w:rPr>
        <w:t xml:space="preserve">el pago relativo a la </w:t>
      </w:r>
      <w:r w:rsidR="00821972" w:rsidRPr="008667F2">
        <w:rPr>
          <w:rFonts w:ascii="Verdana" w:hAnsi="Verdana"/>
          <w:sz w:val="20"/>
          <w:szCs w:val="20"/>
        </w:rPr>
        <w:t>indemnización</w:t>
      </w:r>
      <w:r w:rsidR="00EF6ACB" w:rsidRPr="008667F2">
        <w:rPr>
          <w:rFonts w:ascii="Verdana" w:hAnsi="Verdana"/>
          <w:sz w:val="20"/>
          <w:szCs w:val="20"/>
        </w:rPr>
        <w:t xml:space="preserve"> fijada a favor de la </w:t>
      </w:r>
      <w:r w:rsidR="00070C51" w:rsidRPr="008667F2">
        <w:rPr>
          <w:rFonts w:ascii="Verdana" w:hAnsi="Verdana"/>
          <w:sz w:val="20"/>
          <w:szCs w:val="20"/>
        </w:rPr>
        <w:t xml:space="preserve">víctima fallecida Gustavo Raúl Lastra Saavedra </w:t>
      </w:r>
      <w:r w:rsidRPr="008667F2">
        <w:rPr>
          <w:rFonts w:ascii="Verdana" w:hAnsi="Verdana"/>
          <w:sz w:val="20"/>
          <w:szCs w:val="20"/>
        </w:rPr>
        <w:t>(</w:t>
      </w:r>
      <w:r w:rsidR="00831C8C" w:rsidRPr="008667F2">
        <w:rPr>
          <w:rFonts w:ascii="Verdana" w:hAnsi="Verdana"/>
          <w:i/>
          <w:sz w:val="20"/>
          <w:szCs w:val="20"/>
        </w:rPr>
        <w:t xml:space="preserve">punto </w:t>
      </w:r>
      <w:r w:rsidR="00104901" w:rsidRPr="008667F2">
        <w:rPr>
          <w:rFonts w:ascii="Verdana" w:hAnsi="Verdana"/>
          <w:i/>
          <w:sz w:val="20"/>
          <w:szCs w:val="20"/>
        </w:rPr>
        <w:t>resolutivo</w:t>
      </w:r>
      <w:r w:rsidR="00831C8C" w:rsidRPr="008667F2">
        <w:rPr>
          <w:rFonts w:ascii="Verdana" w:hAnsi="Verdana"/>
          <w:i/>
          <w:sz w:val="20"/>
          <w:szCs w:val="20"/>
        </w:rPr>
        <w:t xml:space="preserve"> décimo</w:t>
      </w:r>
      <w:r w:rsidR="00104901" w:rsidRPr="008667F2">
        <w:rPr>
          <w:rFonts w:ascii="Verdana" w:hAnsi="Verdana"/>
          <w:i/>
          <w:sz w:val="20"/>
          <w:szCs w:val="20"/>
        </w:rPr>
        <w:t xml:space="preserve"> de la Sentencia</w:t>
      </w:r>
      <w:r w:rsidRPr="008667F2">
        <w:rPr>
          <w:rFonts w:ascii="Verdana" w:hAnsi="Verdana"/>
          <w:sz w:val="20"/>
          <w:szCs w:val="20"/>
        </w:rPr>
        <w:t>).</w:t>
      </w:r>
    </w:p>
    <w:p w:rsidR="001906D0" w:rsidRDefault="001906D0" w:rsidP="001906D0">
      <w:pPr>
        <w:spacing w:before="120" w:after="120" w:line="240" w:lineRule="auto"/>
        <w:ind w:right="-709"/>
        <w:jc w:val="both"/>
        <w:rPr>
          <w:rFonts w:ascii="Verdana" w:hAnsi="Verdana"/>
          <w:sz w:val="20"/>
          <w:szCs w:val="20"/>
        </w:rPr>
      </w:pPr>
    </w:p>
    <w:p w:rsidR="001906D0" w:rsidRPr="001906D0" w:rsidRDefault="001906D0" w:rsidP="001906D0">
      <w:pPr>
        <w:spacing w:before="120" w:after="120" w:line="240" w:lineRule="auto"/>
        <w:ind w:right="-709"/>
        <w:jc w:val="both"/>
        <w:rPr>
          <w:rFonts w:ascii="Verdana" w:hAnsi="Verdana"/>
          <w:sz w:val="20"/>
          <w:szCs w:val="20"/>
        </w:rPr>
      </w:pPr>
    </w:p>
    <w:p w:rsidR="00B37B17" w:rsidRPr="00070C51" w:rsidRDefault="00831C8C"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070C51">
        <w:rPr>
          <w:rFonts w:ascii="Verdana" w:hAnsi="Verdana"/>
          <w:sz w:val="20"/>
          <w:szCs w:val="20"/>
        </w:rPr>
        <w:t>Mantener abierto el procedimiento de supervisión de cumplimiento de las siguientes medidas de reparación:</w:t>
      </w:r>
      <w:bookmarkStart w:id="13" w:name="_Toc483918297"/>
    </w:p>
    <w:p w:rsidR="00B37B17" w:rsidRPr="007156DF" w:rsidRDefault="00070C51" w:rsidP="00872841">
      <w:pPr>
        <w:pStyle w:val="ListParagraph"/>
        <w:numPr>
          <w:ilvl w:val="0"/>
          <w:numId w:val="25"/>
        </w:numPr>
        <w:spacing w:before="120" w:after="120" w:line="240" w:lineRule="auto"/>
        <w:ind w:left="1077" w:right="-709" w:hanging="357"/>
        <w:contextualSpacing w:val="0"/>
        <w:jc w:val="both"/>
        <w:rPr>
          <w:rFonts w:ascii="Verdana" w:hAnsi="Verdana"/>
          <w:sz w:val="20"/>
          <w:szCs w:val="20"/>
        </w:rPr>
      </w:pPr>
      <w:r w:rsidRPr="007156DF">
        <w:rPr>
          <w:rFonts w:ascii="Verdana" w:hAnsi="Verdana"/>
          <w:sz w:val="20"/>
          <w:szCs w:val="20"/>
        </w:rPr>
        <w:t>c</w:t>
      </w:r>
      <w:r w:rsidR="00831C8C" w:rsidRPr="007156DF">
        <w:rPr>
          <w:rFonts w:ascii="Verdana" w:hAnsi="Verdana"/>
          <w:sz w:val="20"/>
          <w:szCs w:val="20"/>
        </w:rPr>
        <w:t>ontinuar y concluir, en un plazo razonable, la investigación de los hechos del presente caso</w:t>
      </w:r>
      <w:r w:rsidR="00831C8C" w:rsidRPr="007156DF">
        <w:rPr>
          <w:rFonts w:ascii="Verdana" w:hAnsi="Verdana"/>
          <w:i/>
          <w:sz w:val="20"/>
          <w:szCs w:val="20"/>
        </w:rPr>
        <w:t xml:space="preserve"> </w:t>
      </w:r>
      <w:r w:rsidR="00831C8C" w:rsidRPr="007156DF">
        <w:rPr>
          <w:rFonts w:ascii="Verdana" w:hAnsi="Verdana"/>
          <w:sz w:val="20"/>
          <w:szCs w:val="20"/>
        </w:rPr>
        <w:t>(</w:t>
      </w:r>
      <w:r w:rsidR="00831C8C" w:rsidRPr="007156DF">
        <w:rPr>
          <w:rFonts w:ascii="Verdana" w:hAnsi="Verdana"/>
          <w:i/>
          <w:sz w:val="20"/>
          <w:szCs w:val="20"/>
        </w:rPr>
        <w:t xml:space="preserve">punto </w:t>
      </w:r>
      <w:r w:rsidRPr="007156DF">
        <w:rPr>
          <w:rFonts w:ascii="Verdana" w:hAnsi="Verdana"/>
          <w:i/>
          <w:sz w:val="20"/>
          <w:szCs w:val="20"/>
        </w:rPr>
        <w:t>resolutivo</w:t>
      </w:r>
      <w:r w:rsidR="00831C8C" w:rsidRPr="007156DF">
        <w:rPr>
          <w:rFonts w:ascii="Verdana" w:hAnsi="Verdana"/>
          <w:i/>
          <w:sz w:val="20"/>
          <w:szCs w:val="20"/>
        </w:rPr>
        <w:t xml:space="preserve"> </w:t>
      </w:r>
      <w:r w:rsidRPr="007156DF">
        <w:rPr>
          <w:rFonts w:ascii="Verdana" w:hAnsi="Verdana"/>
          <w:i/>
          <w:sz w:val="20"/>
          <w:szCs w:val="20"/>
        </w:rPr>
        <w:t>quinto de la Sentencia</w:t>
      </w:r>
      <w:r w:rsidR="00831C8C" w:rsidRPr="007156DF">
        <w:rPr>
          <w:rFonts w:ascii="Verdana" w:hAnsi="Verdana"/>
          <w:sz w:val="20"/>
          <w:szCs w:val="20"/>
        </w:rPr>
        <w:t>)</w:t>
      </w:r>
      <w:bookmarkEnd w:id="13"/>
      <w:r w:rsidR="00592604" w:rsidRPr="007156DF">
        <w:rPr>
          <w:rFonts w:ascii="Verdana" w:hAnsi="Verdana"/>
          <w:sz w:val="20"/>
          <w:szCs w:val="20"/>
        </w:rPr>
        <w:t xml:space="preserve">, </w:t>
      </w:r>
      <w:r w:rsidRPr="007156DF">
        <w:rPr>
          <w:rFonts w:ascii="Verdana" w:hAnsi="Verdana"/>
          <w:sz w:val="20"/>
          <w:szCs w:val="20"/>
        </w:rPr>
        <w:t>y</w:t>
      </w:r>
    </w:p>
    <w:p w:rsidR="00831C8C" w:rsidRDefault="00831C8C" w:rsidP="00872841">
      <w:pPr>
        <w:pStyle w:val="ListParagraph"/>
        <w:numPr>
          <w:ilvl w:val="0"/>
          <w:numId w:val="25"/>
        </w:numPr>
        <w:spacing w:before="120" w:after="120" w:line="240" w:lineRule="auto"/>
        <w:ind w:left="1077" w:right="-709" w:hanging="357"/>
        <w:contextualSpacing w:val="0"/>
        <w:jc w:val="both"/>
        <w:rPr>
          <w:rFonts w:ascii="Verdana" w:hAnsi="Verdana"/>
          <w:sz w:val="20"/>
          <w:szCs w:val="20"/>
        </w:rPr>
      </w:pPr>
      <w:r w:rsidRPr="007156DF">
        <w:rPr>
          <w:rFonts w:ascii="Verdana" w:hAnsi="Verdana"/>
          <w:sz w:val="20"/>
          <w:szCs w:val="20"/>
        </w:rPr>
        <w:t xml:space="preserve">pagar la cantidad fijada en </w:t>
      </w:r>
      <w:r w:rsidR="000D7985">
        <w:rPr>
          <w:rFonts w:ascii="Verdana" w:hAnsi="Verdana"/>
          <w:sz w:val="20"/>
          <w:szCs w:val="20"/>
        </w:rPr>
        <w:t>el</w:t>
      </w:r>
      <w:r w:rsidR="000D7985" w:rsidRPr="007156DF">
        <w:rPr>
          <w:rFonts w:ascii="Verdana" w:hAnsi="Verdana"/>
          <w:sz w:val="20"/>
          <w:szCs w:val="20"/>
        </w:rPr>
        <w:t xml:space="preserve"> </w:t>
      </w:r>
      <w:r w:rsidRPr="007156DF">
        <w:rPr>
          <w:rFonts w:ascii="Verdana" w:hAnsi="Verdana"/>
          <w:sz w:val="20"/>
          <w:szCs w:val="20"/>
        </w:rPr>
        <w:t xml:space="preserve">párrafo 179 de la Sentencia, por concepto de indemnización por daño inmaterial </w:t>
      </w:r>
      <w:r w:rsidR="00EF6ACB" w:rsidRPr="007156DF">
        <w:rPr>
          <w:rFonts w:ascii="Verdana" w:hAnsi="Verdana"/>
          <w:sz w:val="20"/>
          <w:szCs w:val="20"/>
        </w:rPr>
        <w:t xml:space="preserve">en lo que respecta </w:t>
      </w:r>
      <w:r w:rsidR="007156DF" w:rsidRPr="007156DF">
        <w:rPr>
          <w:rFonts w:ascii="Verdana" w:hAnsi="Verdana"/>
          <w:sz w:val="20"/>
          <w:szCs w:val="20"/>
        </w:rPr>
        <w:t xml:space="preserve">únicamente </w:t>
      </w:r>
      <w:r w:rsidR="00EF6ACB" w:rsidRPr="007156DF">
        <w:rPr>
          <w:rFonts w:ascii="Verdana" w:hAnsi="Verdana"/>
          <w:sz w:val="20"/>
          <w:szCs w:val="20"/>
        </w:rPr>
        <w:t xml:space="preserve">al pago de la </w:t>
      </w:r>
      <w:r w:rsidR="001C41F2" w:rsidRPr="007156DF">
        <w:rPr>
          <w:rFonts w:ascii="Verdana" w:hAnsi="Verdana"/>
          <w:sz w:val="20"/>
          <w:szCs w:val="20"/>
        </w:rPr>
        <w:t>indem</w:t>
      </w:r>
      <w:r w:rsidR="00EF6ACB" w:rsidRPr="007156DF">
        <w:rPr>
          <w:rFonts w:ascii="Verdana" w:hAnsi="Verdana"/>
          <w:sz w:val="20"/>
          <w:szCs w:val="20"/>
        </w:rPr>
        <w:t xml:space="preserve">nización fijada a favor de la víctima fallecida Gustavo Raúl Lastra Saavedra </w:t>
      </w:r>
      <w:r w:rsidRPr="007156DF">
        <w:rPr>
          <w:rFonts w:ascii="Verdana" w:hAnsi="Verdana"/>
          <w:sz w:val="20"/>
          <w:szCs w:val="20"/>
        </w:rPr>
        <w:t>(</w:t>
      </w:r>
      <w:r w:rsidRPr="007156DF">
        <w:rPr>
          <w:rFonts w:ascii="Verdana" w:hAnsi="Verdana"/>
          <w:i/>
          <w:sz w:val="20"/>
          <w:szCs w:val="20"/>
        </w:rPr>
        <w:t xml:space="preserve">punto </w:t>
      </w:r>
      <w:r w:rsidR="00070C51" w:rsidRPr="007156DF">
        <w:rPr>
          <w:rFonts w:ascii="Verdana" w:hAnsi="Verdana"/>
          <w:i/>
          <w:sz w:val="20"/>
          <w:szCs w:val="20"/>
        </w:rPr>
        <w:t xml:space="preserve">resolutivo </w:t>
      </w:r>
      <w:r w:rsidRPr="007156DF">
        <w:rPr>
          <w:rFonts w:ascii="Verdana" w:hAnsi="Verdana"/>
          <w:i/>
          <w:sz w:val="20"/>
          <w:szCs w:val="20"/>
        </w:rPr>
        <w:t>décimo</w:t>
      </w:r>
      <w:r w:rsidR="00070C51" w:rsidRPr="007156DF">
        <w:rPr>
          <w:rFonts w:ascii="Verdana" w:hAnsi="Verdana"/>
          <w:i/>
          <w:sz w:val="20"/>
          <w:szCs w:val="20"/>
        </w:rPr>
        <w:t xml:space="preserve"> de la Sentencia</w:t>
      </w:r>
      <w:r w:rsidRPr="007156DF">
        <w:rPr>
          <w:rFonts w:ascii="Verdana" w:hAnsi="Verdana"/>
          <w:sz w:val="20"/>
          <w:szCs w:val="20"/>
        </w:rPr>
        <w:t>).</w:t>
      </w:r>
    </w:p>
    <w:p w:rsidR="001906D0" w:rsidRDefault="001906D0" w:rsidP="001906D0">
      <w:pPr>
        <w:pStyle w:val="ListParagraph"/>
        <w:spacing w:before="120" w:after="120" w:line="240" w:lineRule="auto"/>
        <w:ind w:left="1077" w:right="-709"/>
        <w:contextualSpacing w:val="0"/>
        <w:jc w:val="both"/>
        <w:rPr>
          <w:rFonts w:ascii="Verdana" w:hAnsi="Verdana"/>
          <w:sz w:val="20"/>
          <w:szCs w:val="20"/>
        </w:rPr>
      </w:pPr>
    </w:p>
    <w:p w:rsidR="00070C51" w:rsidRDefault="00070C51"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070C51">
        <w:rPr>
          <w:rFonts w:ascii="Verdana" w:hAnsi="Verdana"/>
          <w:sz w:val="20"/>
          <w:szCs w:val="20"/>
        </w:rPr>
        <w:t xml:space="preserve">Disponer que el Estado adopte, en definitiva y a la mayor brevedad, las medidas que sean necesarias para dar efectivo y pronto cumplimiento los dos puntos </w:t>
      </w:r>
      <w:r w:rsidRPr="00365A1C">
        <w:rPr>
          <w:rFonts w:ascii="Verdana" w:hAnsi="Verdana"/>
          <w:sz w:val="20"/>
          <w:szCs w:val="20"/>
        </w:rPr>
        <w:t>pendiente</w:t>
      </w:r>
      <w:r w:rsidR="000D7985">
        <w:rPr>
          <w:rFonts w:ascii="Verdana" w:hAnsi="Verdana"/>
          <w:sz w:val="20"/>
          <w:szCs w:val="20"/>
        </w:rPr>
        <w:t>s</w:t>
      </w:r>
      <w:r w:rsidRPr="00365A1C">
        <w:rPr>
          <w:rFonts w:ascii="Verdana" w:hAnsi="Verdana"/>
          <w:sz w:val="20"/>
          <w:szCs w:val="20"/>
        </w:rPr>
        <w:t xml:space="preserve"> de la Sentencia de fondo, reparaciones y costas emitida en el presente caso, de acuerdo con lo considerado en la presente Resolución, y con lo estipulado en el artículo 68.1 de la Convención Americana sobre Derechos Humanos.</w:t>
      </w:r>
    </w:p>
    <w:p w:rsidR="001906D0" w:rsidRDefault="001906D0" w:rsidP="001906D0">
      <w:pPr>
        <w:pStyle w:val="ListParagraph"/>
        <w:spacing w:before="120" w:after="120" w:line="240" w:lineRule="auto"/>
        <w:ind w:left="0" w:right="-709"/>
        <w:contextualSpacing w:val="0"/>
        <w:jc w:val="both"/>
        <w:rPr>
          <w:rFonts w:ascii="Verdana" w:hAnsi="Verdana"/>
          <w:sz w:val="20"/>
          <w:szCs w:val="20"/>
        </w:rPr>
      </w:pPr>
    </w:p>
    <w:p w:rsidR="00070C51" w:rsidRDefault="00070C51"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365A1C">
        <w:rPr>
          <w:rFonts w:ascii="Verdana" w:hAnsi="Verdana"/>
          <w:sz w:val="20"/>
          <w:szCs w:val="20"/>
        </w:rPr>
        <w:t xml:space="preserve">Disponer que el Estado presente a la Corte Interamericana de Derechos Humanos, a más tardar el </w:t>
      </w:r>
      <w:r w:rsidR="007156DF" w:rsidRPr="006B56F4">
        <w:rPr>
          <w:rFonts w:ascii="Verdana" w:hAnsi="Verdana"/>
          <w:sz w:val="20"/>
          <w:szCs w:val="20"/>
        </w:rPr>
        <w:t xml:space="preserve">15 </w:t>
      </w:r>
      <w:r w:rsidRPr="006B56F4">
        <w:rPr>
          <w:rFonts w:ascii="Verdana" w:hAnsi="Verdana"/>
          <w:sz w:val="20"/>
          <w:szCs w:val="20"/>
        </w:rPr>
        <w:t xml:space="preserve">de </w:t>
      </w:r>
      <w:r w:rsidR="007156DF" w:rsidRPr="006B56F4">
        <w:rPr>
          <w:rFonts w:ascii="Verdana" w:hAnsi="Verdana"/>
          <w:sz w:val="20"/>
          <w:szCs w:val="20"/>
        </w:rPr>
        <w:t xml:space="preserve">diciembre </w:t>
      </w:r>
      <w:r w:rsidRPr="006B56F4">
        <w:rPr>
          <w:rFonts w:ascii="Verdana" w:hAnsi="Verdana"/>
          <w:sz w:val="20"/>
          <w:szCs w:val="20"/>
        </w:rPr>
        <w:t>de 2017</w:t>
      </w:r>
      <w:r w:rsidRPr="00365A1C">
        <w:rPr>
          <w:rFonts w:ascii="Verdana" w:hAnsi="Verdana"/>
          <w:sz w:val="20"/>
          <w:szCs w:val="20"/>
        </w:rPr>
        <w:t xml:space="preserve">, un informe en el cual indique todas las medidas adoptadas para cumplir con las </w:t>
      </w:r>
      <w:r w:rsidR="007156DF">
        <w:rPr>
          <w:rFonts w:ascii="Verdana" w:hAnsi="Verdana"/>
          <w:sz w:val="20"/>
          <w:szCs w:val="20"/>
        </w:rPr>
        <w:t xml:space="preserve">dos </w:t>
      </w:r>
      <w:r w:rsidRPr="00365A1C">
        <w:rPr>
          <w:rFonts w:ascii="Verdana" w:hAnsi="Verdana"/>
          <w:sz w:val="20"/>
          <w:szCs w:val="20"/>
        </w:rPr>
        <w:t xml:space="preserve">reparaciones ordenadas por esta Corte que se encuentran pendientes de cumplimiento, de conformidad con los Considerandos </w:t>
      </w:r>
      <w:r w:rsidR="007156DF">
        <w:rPr>
          <w:rFonts w:ascii="Verdana" w:hAnsi="Verdana"/>
          <w:sz w:val="20"/>
          <w:szCs w:val="20"/>
        </w:rPr>
        <w:t>10, 48 y 49,</w:t>
      </w:r>
      <w:r w:rsidR="007156DF" w:rsidRPr="00365A1C">
        <w:rPr>
          <w:rFonts w:ascii="Verdana" w:hAnsi="Verdana"/>
          <w:sz w:val="20"/>
          <w:szCs w:val="20"/>
        </w:rPr>
        <w:t xml:space="preserve"> </w:t>
      </w:r>
      <w:r w:rsidRPr="00365A1C">
        <w:rPr>
          <w:rFonts w:ascii="Verdana" w:hAnsi="Verdana"/>
          <w:sz w:val="20"/>
          <w:szCs w:val="20"/>
        </w:rPr>
        <w:t xml:space="preserve">así como </w:t>
      </w:r>
      <w:r w:rsidR="00365A1C" w:rsidRPr="00365A1C">
        <w:rPr>
          <w:rFonts w:ascii="Verdana" w:hAnsi="Verdana"/>
          <w:sz w:val="20"/>
          <w:szCs w:val="20"/>
        </w:rPr>
        <w:t>con los</w:t>
      </w:r>
      <w:r w:rsidRPr="00365A1C">
        <w:rPr>
          <w:rFonts w:ascii="Verdana" w:hAnsi="Verdana"/>
          <w:sz w:val="20"/>
          <w:szCs w:val="20"/>
        </w:rPr>
        <w:t xml:space="preserve"> punto</w:t>
      </w:r>
      <w:r w:rsidR="00365A1C" w:rsidRPr="00365A1C">
        <w:rPr>
          <w:rFonts w:ascii="Verdana" w:hAnsi="Verdana"/>
          <w:sz w:val="20"/>
          <w:szCs w:val="20"/>
        </w:rPr>
        <w:t>s</w:t>
      </w:r>
      <w:r w:rsidRPr="00365A1C">
        <w:rPr>
          <w:rFonts w:ascii="Verdana" w:hAnsi="Verdana"/>
          <w:sz w:val="20"/>
          <w:szCs w:val="20"/>
        </w:rPr>
        <w:t xml:space="preserve"> resolutivo</w:t>
      </w:r>
      <w:r w:rsidR="00365A1C" w:rsidRPr="00365A1C">
        <w:rPr>
          <w:rFonts w:ascii="Verdana" w:hAnsi="Verdana"/>
          <w:sz w:val="20"/>
          <w:szCs w:val="20"/>
        </w:rPr>
        <w:t>s</w:t>
      </w:r>
      <w:r w:rsidRPr="00365A1C">
        <w:rPr>
          <w:rFonts w:ascii="Verdana" w:hAnsi="Verdana"/>
          <w:sz w:val="20"/>
          <w:szCs w:val="20"/>
        </w:rPr>
        <w:t xml:space="preserve"> segundo</w:t>
      </w:r>
      <w:r w:rsidR="00365A1C" w:rsidRPr="00365A1C">
        <w:rPr>
          <w:rFonts w:ascii="Verdana" w:hAnsi="Verdana"/>
          <w:sz w:val="20"/>
          <w:szCs w:val="20"/>
        </w:rPr>
        <w:t xml:space="preserve"> y tercero</w:t>
      </w:r>
      <w:r w:rsidRPr="00365A1C">
        <w:rPr>
          <w:rFonts w:ascii="Verdana" w:hAnsi="Verdana"/>
          <w:sz w:val="20"/>
          <w:szCs w:val="20"/>
        </w:rPr>
        <w:t xml:space="preserve"> de esta Resolución. </w:t>
      </w:r>
    </w:p>
    <w:p w:rsidR="001906D0" w:rsidRPr="001906D0" w:rsidRDefault="001906D0" w:rsidP="001906D0">
      <w:pPr>
        <w:pStyle w:val="ListParagraph"/>
        <w:rPr>
          <w:rFonts w:ascii="Verdana" w:hAnsi="Verdana"/>
          <w:sz w:val="20"/>
          <w:szCs w:val="20"/>
        </w:rPr>
      </w:pPr>
    </w:p>
    <w:p w:rsidR="00365A1C" w:rsidRDefault="00070C51"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365A1C">
        <w:rPr>
          <w:rFonts w:ascii="Verdana" w:hAnsi="Verdana"/>
          <w:sz w:val="20"/>
          <w:szCs w:val="20"/>
        </w:rPr>
        <w:t xml:space="preserve">Disponer que </w:t>
      </w:r>
      <w:r w:rsidR="00365A1C" w:rsidRPr="00365A1C">
        <w:rPr>
          <w:rFonts w:ascii="Verdana" w:hAnsi="Verdana"/>
          <w:sz w:val="20"/>
          <w:szCs w:val="20"/>
        </w:rPr>
        <w:t>el representante</w:t>
      </w:r>
      <w:r w:rsidRPr="00365A1C">
        <w:rPr>
          <w:rFonts w:ascii="Verdana" w:hAnsi="Verdana"/>
          <w:sz w:val="20"/>
          <w:szCs w:val="20"/>
        </w:rPr>
        <w:t xml:space="preserve"> de las víctimas y la Comisión Interamericana de Derechos Humanos presenten observaciones al informe del Estado mencionado en el punto resolutivo anterior, en los plazos de cuatro y seis semanas, respectivamente, contados a partir de la recepción del informe. </w:t>
      </w:r>
    </w:p>
    <w:p w:rsidR="001906D0" w:rsidRPr="001906D0" w:rsidRDefault="001906D0" w:rsidP="001906D0">
      <w:pPr>
        <w:pStyle w:val="ListParagraph"/>
        <w:rPr>
          <w:rFonts w:ascii="Verdana" w:hAnsi="Verdana"/>
          <w:sz w:val="20"/>
          <w:szCs w:val="20"/>
        </w:rPr>
      </w:pPr>
    </w:p>
    <w:p w:rsidR="000C1CC6" w:rsidRDefault="00070C51" w:rsidP="00872841">
      <w:pPr>
        <w:pStyle w:val="ListParagraph"/>
        <w:numPr>
          <w:ilvl w:val="0"/>
          <w:numId w:val="20"/>
        </w:numPr>
        <w:spacing w:before="120" w:after="120" w:line="240" w:lineRule="auto"/>
        <w:ind w:left="0" w:right="-709" w:firstLine="0"/>
        <w:contextualSpacing w:val="0"/>
        <w:jc w:val="both"/>
        <w:rPr>
          <w:rFonts w:ascii="Verdana" w:hAnsi="Verdana"/>
          <w:sz w:val="20"/>
          <w:szCs w:val="20"/>
        </w:rPr>
      </w:pPr>
      <w:r w:rsidRPr="00365A1C">
        <w:rPr>
          <w:rFonts w:ascii="Verdana" w:hAnsi="Verdana"/>
          <w:sz w:val="20"/>
          <w:szCs w:val="20"/>
        </w:rPr>
        <w:t>Disponer que la Secretaría de la Corte notifique la presente Resolución al Estado, a</w:t>
      </w:r>
      <w:r w:rsidR="00365A1C" w:rsidRPr="00365A1C">
        <w:rPr>
          <w:rFonts w:ascii="Verdana" w:hAnsi="Verdana"/>
          <w:sz w:val="20"/>
          <w:szCs w:val="20"/>
        </w:rPr>
        <w:t>l</w:t>
      </w:r>
      <w:r w:rsidRPr="00365A1C">
        <w:rPr>
          <w:rFonts w:ascii="Verdana" w:hAnsi="Verdana"/>
          <w:sz w:val="20"/>
          <w:szCs w:val="20"/>
        </w:rPr>
        <w:t xml:space="preserve"> representante de las víctimas y a la Comisión Interamericana de Derechos Humanos.</w:t>
      </w:r>
    </w:p>
    <w:p w:rsidR="002B5FBF" w:rsidRPr="002B5FBF" w:rsidRDefault="002B5FBF" w:rsidP="002B5FBF">
      <w:pPr>
        <w:pStyle w:val="ListParagrap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2B5FBF" w:rsidRDefault="002B5FBF" w:rsidP="002B5FBF">
      <w:pPr>
        <w:spacing w:before="120" w:after="120" w:line="240" w:lineRule="auto"/>
        <w:ind w:right="-709"/>
        <w:jc w:val="both"/>
        <w:rPr>
          <w:rFonts w:ascii="Verdana" w:hAnsi="Verdana"/>
          <w:sz w:val="20"/>
          <w:szCs w:val="20"/>
        </w:rPr>
      </w:pPr>
    </w:p>
    <w:p w:rsidR="001B0D9B" w:rsidRPr="001B0D9B" w:rsidRDefault="001B0D9B" w:rsidP="001B0D9B">
      <w:pPr>
        <w:keepNext/>
        <w:spacing w:after="0" w:line="240" w:lineRule="auto"/>
        <w:jc w:val="both"/>
        <w:outlineLvl w:val="0"/>
        <w:rPr>
          <w:rFonts w:ascii="Verdana" w:eastAsia="Times" w:hAnsi="Verdana" w:cs="Verdana"/>
          <w:b/>
          <w:bCs/>
          <w:sz w:val="20"/>
          <w:szCs w:val="20"/>
          <w:lang w:val="es-ES"/>
        </w:rPr>
      </w:pPr>
      <w:r w:rsidRPr="001B0D9B">
        <w:rPr>
          <w:rFonts w:ascii="Verdana" w:eastAsia="Times" w:hAnsi="Verdana" w:cs="Courier New"/>
          <w:noProof/>
          <w:sz w:val="20"/>
          <w:szCs w:val="20"/>
          <w:lang w:val="es-AR"/>
        </w:rPr>
        <w:lastRenderedPageBreak/>
        <w:t xml:space="preserve">Corte IDH. </w:t>
      </w:r>
      <w:r w:rsidRPr="001B0D9B">
        <w:rPr>
          <w:rFonts w:ascii="Verdana" w:eastAsia="Times" w:hAnsi="Verdana"/>
          <w:bCs/>
          <w:i/>
          <w:sz w:val="20"/>
          <w:szCs w:val="20"/>
          <w:lang w:val="es-CR"/>
        </w:rPr>
        <w:t>Caso Omar Humberto Maldonado Vargas y otros Vs Chile</w:t>
      </w:r>
      <w:r w:rsidRPr="001B0D9B">
        <w:rPr>
          <w:rFonts w:ascii="Verdana" w:eastAsia="Times" w:hAnsi="Verdana"/>
          <w:i/>
          <w:sz w:val="20"/>
          <w:szCs w:val="20"/>
          <w:lang w:val="es-ES"/>
        </w:rPr>
        <w:t>.</w:t>
      </w:r>
      <w:r w:rsidRPr="001B0D9B">
        <w:rPr>
          <w:rFonts w:ascii="Verdana" w:eastAsia="Times" w:hAnsi="Verdana" w:cs="Arial"/>
          <w:i/>
          <w:sz w:val="20"/>
          <w:szCs w:val="20"/>
          <w:lang w:val="es-CR"/>
        </w:rPr>
        <w:t xml:space="preserve"> </w:t>
      </w:r>
      <w:r w:rsidRPr="001B0D9B">
        <w:rPr>
          <w:rFonts w:ascii="Verdana" w:eastAsia="Times" w:hAnsi="Verdana"/>
          <w:sz w:val="20"/>
          <w:szCs w:val="20"/>
          <w:lang w:val="es-CR"/>
        </w:rPr>
        <w:t xml:space="preserve">Supervisión de cumplimiento de sentencia. </w:t>
      </w:r>
      <w:r w:rsidRPr="001B0D9B">
        <w:rPr>
          <w:rFonts w:ascii="Verdana" w:eastAsia="Times" w:hAnsi="Verdana"/>
          <w:sz w:val="20"/>
          <w:szCs w:val="20"/>
          <w:lang w:val="es-ES"/>
        </w:rPr>
        <w:t xml:space="preserve">Resolución de la Corte Interamericana de Derechos Humanos de </w:t>
      </w:r>
      <w:r w:rsidRPr="001B0D9B">
        <w:rPr>
          <w:rFonts w:ascii="Verdana" w:eastAsia="Times" w:hAnsi="Verdana"/>
          <w:sz w:val="20"/>
          <w:szCs w:val="20"/>
          <w:lang w:val="es-CR"/>
        </w:rPr>
        <w:t>30 de agosto de 2017</w:t>
      </w:r>
      <w:r w:rsidRPr="001B0D9B">
        <w:rPr>
          <w:rFonts w:ascii="Verdana" w:eastAsia="Times" w:hAnsi="Verdana"/>
          <w:sz w:val="20"/>
          <w:szCs w:val="20"/>
          <w:lang w:val="es-ES"/>
        </w:rPr>
        <w:t xml:space="preserve">. </w:t>
      </w:r>
    </w:p>
    <w:p w:rsidR="001B0D9B" w:rsidRPr="001B0D9B" w:rsidRDefault="001B0D9B" w:rsidP="001B0D9B">
      <w:pPr>
        <w:spacing w:after="0" w:line="240" w:lineRule="auto"/>
        <w:jc w:val="center"/>
        <w:rPr>
          <w:rFonts w:ascii="Verdana" w:eastAsia="Times" w:hAnsi="Verdana"/>
          <w:sz w:val="20"/>
          <w:szCs w:val="20"/>
          <w:lang w:val="es-ES"/>
        </w:rPr>
      </w:pPr>
    </w:p>
    <w:p w:rsidR="001B0D9B" w:rsidRPr="001B0D9B" w:rsidRDefault="001B0D9B" w:rsidP="001B0D9B">
      <w:pPr>
        <w:spacing w:after="0" w:line="240" w:lineRule="auto"/>
        <w:jc w:val="center"/>
        <w:rPr>
          <w:rFonts w:ascii="Verdana" w:eastAsia="Times" w:hAnsi="Verdana"/>
          <w:sz w:val="20"/>
          <w:szCs w:val="20"/>
          <w:lang w:val="es-ES"/>
        </w:rPr>
      </w:pPr>
    </w:p>
    <w:p w:rsidR="001B0D9B" w:rsidRPr="001B0D9B" w:rsidRDefault="001B0D9B" w:rsidP="001B0D9B">
      <w:pPr>
        <w:spacing w:after="0" w:line="240" w:lineRule="auto"/>
        <w:jc w:val="center"/>
        <w:rPr>
          <w:rFonts w:ascii="Verdana" w:hAnsi="Verdana"/>
          <w:b/>
          <w:i/>
          <w:sz w:val="20"/>
          <w:szCs w:val="20"/>
          <w:lang w:val="es-CR"/>
        </w:rPr>
      </w:pPr>
    </w:p>
    <w:p w:rsidR="001B0D9B" w:rsidRPr="001B0D9B" w:rsidRDefault="001B0D9B" w:rsidP="001B0D9B">
      <w:pPr>
        <w:spacing w:after="0" w:line="240" w:lineRule="auto"/>
        <w:rPr>
          <w:rFonts w:ascii="Verdana" w:eastAsia="Times" w:hAnsi="Verdana"/>
          <w:sz w:val="20"/>
          <w:szCs w:val="20"/>
          <w:lang w:val="es-MX"/>
        </w:rPr>
      </w:pPr>
    </w:p>
    <w:p w:rsidR="001B0D9B" w:rsidRPr="001B0D9B" w:rsidRDefault="001B0D9B" w:rsidP="001B0D9B">
      <w:pPr>
        <w:spacing w:after="0" w:line="240" w:lineRule="auto"/>
        <w:jc w:val="center"/>
        <w:rPr>
          <w:rFonts w:ascii="Verdana" w:eastAsia="Times" w:hAnsi="Verdana"/>
          <w:sz w:val="20"/>
          <w:szCs w:val="20"/>
          <w:lang w:val="es-ES"/>
        </w:rPr>
      </w:pPr>
    </w:p>
    <w:p w:rsidR="001B0D9B" w:rsidRPr="001B0D9B" w:rsidRDefault="001B0D9B" w:rsidP="001B0D9B">
      <w:pPr>
        <w:spacing w:after="0" w:line="240" w:lineRule="auto"/>
        <w:jc w:val="center"/>
        <w:rPr>
          <w:rFonts w:ascii="Verdana" w:eastAsia="Times" w:hAnsi="Verdana"/>
          <w:sz w:val="20"/>
          <w:szCs w:val="20"/>
          <w:lang w:val="es-ES"/>
        </w:rPr>
      </w:pPr>
      <w:r w:rsidRPr="001B0D9B">
        <w:rPr>
          <w:rFonts w:ascii="Verdana" w:eastAsia="Times" w:hAnsi="Verdana"/>
          <w:sz w:val="20"/>
          <w:szCs w:val="20"/>
          <w:lang w:val="es-ES"/>
        </w:rPr>
        <w:t>Roberto F. Caldas</w:t>
      </w:r>
    </w:p>
    <w:p w:rsidR="001B0D9B" w:rsidRPr="001B0D9B" w:rsidRDefault="001B0D9B" w:rsidP="001B0D9B">
      <w:pPr>
        <w:spacing w:after="0" w:line="240" w:lineRule="auto"/>
        <w:jc w:val="center"/>
        <w:rPr>
          <w:rFonts w:ascii="Verdana" w:eastAsia="Times" w:hAnsi="Verdana"/>
          <w:sz w:val="20"/>
          <w:szCs w:val="20"/>
          <w:lang w:val="es-ES"/>
        </w:rPr>
      </w:pPr>
      <w:r w:rsidRPr="001B0D9B">
        <w:rPr>
          <w:rFonts w:ascii="Verdana" w:eastAsia="Times" w:hAnsi="Verdana"/>
          <w:sz w:val="20"/>
          <w:szCs w:val="20"/>
          <w:lang w:val="es-ES"/>
        </w:rPr>
        <w:t xml:space="preserve">Presidente </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tabs>
          <w:tab w:val="left" w:pos="1485"/>
        </w:tabs>
        <w:spacing w:after="0" w:line="240" w:lineRule="auto"/>
        <w:jc w:val="both"/>
        <w:rPr>
          <w:rFonts w:ascii="Verdana" w:eastAsia="Times" w:hAnsi="Verdana"/>
          <w:sz w:val="20"/>
          <w:szCs w:val="20"/>
          <w:lang w:val="es-ES"/>
        </w:rPr>
      </w:pPr>
      <w:r w:rsidRPr="001B0D9B">
        <w:rPr>
          <w:rFonts w:ascii="Verdana" w:eastAsia="Times" w:hAnsi="Verdana"/>
          <w:sz w:val="20"/>
          <w:szCs w:val="20"/>
          <w:lang w:val="es-ES"/>
        </w:rPr>
        <w:tab/>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r w:rsidRPr="001B0D9B">
        <w:rPr>
          <w:rFonts w:ascii="Verdana" w:eastAsia="Times" w:hAnsi="Verdana"/>
          <w:sz w:val="20"/>
          <w:szCs w:val="20"/>
          <w:lang w:val="es-ES"/>
        </w:rPr>
        <w:t>Eduardo Ferrer Mac-Gregor Poisot</w:t>
      </w:r>
      <w:r w:rsidRPr="001B0D9B">
        <w:rPr>
          <w:rFonts w:ascii="Verdana" w:eastAsia="Times" w:hAnsi="Verdana"/>
          <w:sz w:val="20"/>
          <w:szCs w:val="20"/>
          <w:lang w:val="es-ES"/>
        </w:rPr>
        <w:tab/>
      </w:r>
      <w:r w:rsidRPr="001B0D9B">
        <w:rPr>
          <w:rFonts w:ascii="Verdana" w:eastAsia="Times" w:hAnsi="Verdana"/>
          <w:sz w:val="20"/>
          <w:szCs w:val="20"/>
          <w:lang w:val="es-ES"/>
        </w:rPr>
        <w:tab/>
      </w:r>
      <w:r w:rsidRPr="001B0D9B">
        <w:rPr>
          <w:rFonts w:ascii="Verdana" w:eastAsia="Times" w:hAnsi="Verdana"/>
          <w:sz w:val="20"/>
          <w:szCs w:val="20"/>
          <w:lang w:val="es-ES"/>
        </w:rPr>
        <w:tab/>
      </w:r>
      <w:r w:rsidRPr="001B0D9B">
        <w:rPr>
          <w:rFonts w:ascii="Verdana" w:eastAsia="Times" w:hAnsi="Verdana"/>
          <w:sz w:val="20"/>
          <w:szCs w:val="20"/>
          <w:lang w:val="es-ES"/>
        </w:rPr>
        <w:tab/>
        <w:t xml:space="preserve">Humberto Antonio Sierra Porto   </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r w:rsidRPr="001B0D9B">
        <w:rPr>
          <w:rFonts w:ascii="Verdana" w:eastAsia="Times" w:hAnsi="Verdana"/>
          <w:sz w:val="20"/>
          <w:szCs w:val="20"/>
          <w:lang w:val="es-ES"/>
        </w:rPr>
        <w:t xml:space="preserve">Elizabeth Odio Benito </w:t>
      </w:r>
      <w:r w:rsidRPr="001B0D9B">
        <w:rPr>
          <w:rFonts w:ascii="Verdana" w:eastAsia="Times" w:hAnsi="Verdana"/>
          <w:sz w:val="20"/>
          <w:szCs w:val="20"/>
          <w:lang w:val="es-ES"/>
        </w:rPr>
        <w:tab/>
      </w:r>
      <w:r w:rsidRPr="001B0D9B">
        <w:rPr>
          <w:rFonts w:ascii="Verdana" w:eastAsia="Times" w:hAnsi="Verdana"/>
          <w:sz w:val="20"/>
          <w:szCs w:val="20"/>
          <w:lang w:val="es-ES"/>
        </w:rPr>
        <w:tab/>
      </w:r>
      <w:r w:rsidRPr="001B0D9B">
        <w:rPr>
          <w:rFonts w:ascii="Verdana" w:eastAsia="Times" w:hAnsi="Verdana"/>
          <w:sz w:val="20"/>
          <w:szCs w:val="20"/>
          <w:lang w:val="es-ES"/>
        </w:rPr>
        <w:tab/>
      </w:r>
      <w:r w:rsidRPr="001B0D9B">
        <w:rPr>
          <w:rFonts w:ascii="Verdana" w:eastAsia="Times" w:hAnsi="Verdana"/>
          <w:sz w:val="20"/>
          <w:szCs w:val="20"/>
          <w:lang w:val="es-ES"/>
        </w:rPr>
        <w:tab/>
      </w:r>
      <w:r w:rsidRPr="001B0D9B">
        <w:rPr>
          <w:rFonts w:ascii="Verdana" w:eastAsia="Times" w:hAnsi="Verdana"/>
          <w:sz w:val="20"/>
          <w:szCs w:val="20"/>
          <w:lang w:val="es-ES"/>
        </w:rPr>
        <w:tab/>
        <w:t>Eugenio Raúl Zaffaroni</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center"/>
        <w:rPr>
          <w:rFonts w:ascii="Verdana" w:eastAsia="Times" w:hAnsi="Verdana"/>
          <w:sz w:val="20"/>
          <w:szCs w:val="20"/>
          <w:lang w:val="es-ES"/>
        </w:rPr>
      </w:pPr>
      <w:r w:rsidRPr="001B0D9B">
        <w:rPr>
          <w:rFonts w:ascii="Verdana" w:eastAsia="Times" w:hAnsi="Verdana"/>
          <w:sz w:val="20"/>
          <w:szCs w:val="20"/>
          <w:lang w:val="es-ES"/>
        </w:rPr>
        <w:t>L. Patricio Pazmiño Freire</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CR"/>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center"/>
        <w:rPr>
          <w:rFonts w:ascii="Verdana" w:eastAsia="Times" w:hAnsi="Verdana"/>
          <w:sz w:val="20"/>
          <w:szCs w:val="20"/>
          <w:lang w:val="es-ES"/>
        </w:rPr>
      </w:pPr>
      <w:r w:rsidRPr="001B0D9B">
        <w:rPr>
          <w:rFonts w:ascii="Verdana" w:eastAsia="Times" w:hAnsi="Verdana"/>
          <w:sz w:val="20"/>
          <w:szCs w:val="20"/>
          <w:lang w:val="es-ES"/>
        </w:rPr>
        <w:t>Pablo Saavedra Alessandri</w:t>
      </w:r>
    </w:p>
    <w:p w:rsidR="001B0D9B" w:rsidRPr="001B0D9B" w:rsidRDefault="001B0D9B" w:rsidP="001B0D9B">
      <w:pPr>
        <w:spacing w:after="0" w:line="240" w:lineRule="auto"/>
        <w:jc w:val="center"/>
        <w:rPr>
          <w:rFonts w:ascii="Verdana" w:eastAsia="Times" w:hAnsi="Verdana"/>
          <w:sz w:val="20"/>
          <w:szCs w:val="20"/>
          <w:lang w:val="es-ES"/>
        </w:rPr>
      </w:pPr>
      <w:r w:rsidRPr="001B0D9B">
        <w:rPr>
          <w:rFonts w:ascii="Verdana" w:eastAsia="Times" w:hAnsi="Verdana"/>
          <w:sz w:val="20"/>
          <w:szCs w:val="20"/>
          <w:lang w:val="es-ES"/>
        </w:rPr>
        <w:t>Secretario</w:t>
      </w:r>
    </w:p>
    <w:p w:rsidR="001B0D9B" w:rsidRPr="001B0D9B" w:rsidRDefault="001B0D9B" w:rsidP="001B0D9B">
      <w:pPr>
        <w:spacing w:after="0" w:line="240" w:lineRule="auto"/>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r w:rsidRPr="001B0D9B">
        <w:rPr>
          <w:rFonts w:ascii="Verdana" w:eastAsia="Times" w:hAnsi="Verdana"/>
          <w:sz w:val="20"/>
          <w:szCs w:val="20"/>
          <w:lang w:val="es-ES"/>
        </w:rPr>
        <w:t>Comuníquese y ejecútese,</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ind w:left="4956" w:firstLine="708"/>
        <w:jc w:val="center"/>
        <w:rPr>
          <w:rFonts w:ascii="Verdana" w:eastAsia="Times" w:hAnsi="Verdana"/>
          <w:sz w:val="20"/>
          <w:szCs w:val="20"/>
          <w:lang w:val="es-ES"/>
        </w:rPr>
      </w:pPr>
      <w:r w:rsidRPr="001B0D9B">
        <w:rPr>
          <w:rFonts w:ascii="Verdana" w:eastAsia="Times" w:hAnsi="Verdana"/>
          <w:sz w:val="20"/>
          <w:szCs w:val="20"/>
          <w:lang w:val="es-ES"/>
        </w:rPr>
        <w:t>Roberto F. Caldas</w:t>
      </w:r>
    </w:p>
    <w:p w:rsidR="001B0D9B" w:rsidRPr="001B0D9B" w:rsidRDefault="001B0D9B" w:rsidP="001B0D9B">
      <w:pPr>
        <w:spacing w:after="0" w:line="240" w:lineRule="auto"/>
        <w:ind w:left="4956" w:firstLine="708"/>
        <w:jc w:val="center"/>
        <w:rPr>
          <w:rFonts w:ascii="Verdana" w:eastAsia="Times" w:hAnsi="Verdana"/>
          <w:sz w:val="20"/>
          <w:szCs w:val="20"/>
          <w:lang w:val="es-ES"/>
        </w:rPr>
      </w:pPr>
      <w:r w:rsidRPr="001B0D9B">
        <w:rPr>
          <w:rFonts w:ascii="Verdana" w:eastAsia="Times" w:hAnsi="Verdana"/>
          <w:sz w:val="20"/>
          <w:szCs w:val="20"/>
          <w:lang w:val="es-ES"/>
        </w:rPr>
        <w:t xml:space="preserve">Presidente </w:t>
      </w: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p>
    <w:p w:rsidR="001B0D9B" w:rsidRPr="001B0D9B" w:rsidRDefault="001B0D9B" w:rsidP="001B0D9B">
      <w:pPr>
        <w:spacing w:after="0" w:line="240" w:lineRule="auto"/>
        <w:jc w:val="both"/>
        <w:rPr>
          <w:rFonts w:ascii="Verdana" w:eastAsia="Times" w:hAnsi="Verdana"/>
          <w:sz w:val="20"/>
          <w:szCs w:val="20"/>
          <w:lang w:val="es-ES"/>
        </w:rPr>
      </w:pPr>
      <w:r w:rsidRPr="001B0D9B">
        <w:rPr>
          <w:rFonts w:ascii="Verdana" w:eastAsia="Times" w:hAnsi="Verdana"/>
          <w:sz w:val="20"/>
          <w:szCs w:val="20"/>
          <w:lang w:val="es-ES"/>
        </w:rPr>
        <w:t>Pablo Saavedra Alessandri</w:t>
      </w:r>
    </w:p>
    <w:p w:rsidR="002B5FBF" w:rsidRPr="001B0D9B" w:rsidRDefault="001B0D9B" w:rsidP="001B0D9B">
      <w:pPr>
        <w:spacing w:after="0" w:line="240" w:lineRule="auto"/>
        <w:rPr>
          <w:rFonts w:ascii="Verdana" w:eastAsia="Times" w:hAnsi="Verdana"/>
          <w:sz w:val="20"/>
          <w:szCs w:val="20"/>
          <w:lang w:val="es-CR"/>
        </w:rPr>
      </w:pPr>
      <w:r w:rsidRPr="001B0D9B">
        <w:rPr>
          <w:rFonts w:ascii="Verdana" w:eastAsia="Times" w:hAnsi="Verdana"/>
          <w:sz w:val="20"/>
          <w:szCs w:val="20"/>
          <w:lang w:val="es-ES"/>
        </w:rPr>
        <w:tab/>
      </w:r>
      <w:r w:rsidRPr="001B0D9B">
        <w:rPr>
          <w:rFonts w:ascii="Verdana" w:eastAsia="Times" w:hAnsi="Verdana"/>
          <w:sz w:val="20"/>
          <w:szCs w:val="20"/>
          <w:lang w:val="es-CR"/>
        </w:rPr>
        <w:t>Secretario</w:t>
      </w:r>
    </w:p>
    <w:sectPr w:rsidR="002B5FBF" w:rsidRPr="001B0D9B" w:rsidSect="00E2700E">
      <w:headerReference w:type="default" r:id="rId9"/>
      <w:pgSz w:w="12240" w:h="15840"/>
      <w:pgMar w:top="1417" w:right="2317" w:bottom="1417" w:left="1701"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9D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6D" w:rsidRDefault="003B556D" w:rsidP="00A047E2">
      <w:pPr>
        <w:spacing w:after="0" w:line="240" w:lineRule="auto"/>
      </w:pPr>
      <w:r>
        <w:separator/>
      </w:r>
    </w:p>
  </w:endnote>
  <w:endnote w:type="continuationSeparator" w:id="0">
    <w:p w:rsidR="003B556D" w:rsidRDefault="003B556D" w:rsidP="00A0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4D"/>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6D" w:rsidRDefault="003B556D" w:rsidP="00A047E2">
      <w:pPr>
        <w:spacing w:after="0" w:line="240" w:lineRule="auto"/>
      </w:pPr>
      <w:r>
        <w:separator/>
      </w:r>
    </w:p>
  </w:footnote>
  <w:footnote w:type="continuationSeparator" w:id="0">
    <w:p w:rsidR="003B556D" w:rsidRDefault="003B556D" w:rsidP="00A047E2">
      <w:pPr>
        <w:spacing w:after="0" w:line="240" w:lineRule="auto"/>
      </w:pPr>
      <w:r>
        <w:continuationSeparator/>
      </w:r>
    </w:p>
  </w:footnote>
  <w:footnote w:id="1">
    <w:p w:rsidR="003B556D" w:rsidRPr="00592604" w:rsidRDefault="003B556D" w:rsidP="009D1022">
      <w:pPr>
        <w:pStyle w:val="FootnoteText"/>
        <w:suppressLineNumbers/>
        <w:tabs>
          <w:tab w:val="left" w:pos="426"/>
          <w:tab w:val="left" w:pos="709"/>
          <w:tab w:val="left" w:pos="851"/>
        </w:tabs>
        <w:ind w:right="-709"/>
        <w:jc w:val="both"/>
        <w:rPr>
          <w:rFonts w:ascii="Verdana" w:hAnsi="Verdana"/>
          <w:sz w:val="16"/>
          <w:szCs w:val="16"/>
          <w:lang w:val="es-CR"/>
        </w:rPr>
      </w:pPr>
      <w:r w:rsidRPr="00592604">
        <w:rPr>
          <w:rFonts w:ascii="Verdana" w:hAnsi="Verdana"/>
          <w:sz w:val="16"/>
          <w:szCs w:val="16"/>
          <w:lang w:val="es-CR"/>
        </w:rPr>
        <w:t>*</w:t>
      </w:r>
      <w:r w:rsidRPr="00592604">
        <w:rPr>
          <w:rFonts w:ascii="Verdana" w:hAnsi="Verdana"/>
          <w:sz w:val="16"/>
          <w:szCs w:val="16"/>
          <w:lang w:val="es-CR"/>
        </w:rPr>
        <w:tab/>
        <w:t xml:space="preserve">El Juez Eduardo Vio Grossi, de nacionalidad chilena, no participó </w:t>
      </w:r>
      <w:r>
        <w:rPr>
          <w:rFonts w:ascii="Verdana" w:hAnsi="Verdana"/>
          <w:sz w:val="16"/>
          <w:szCs w:val="16"/>
          <w:lang w:val="es-CR"/>
        </w:rPr>
        <w:t xml:space="preserve">en la deliberación y firma de la Sentencia del presente caso, ni </w:t>
      </w:r>
      <w:r w:rsidRPr="00592604">
        <w:rPr>
          <w:rFonts w:ascii="Verdana" w:hAnsi="Verdana"/>
          <w:sz w:val="16"/>
          <w:szCs w:val="16"/>
          <w:lang w:val="es-CR"/>
        </w:rPr>
        <w:t xml:space="preserve">en el conocimiento y deliberación de la presente Resolución, de conformidad con lo dispuesto en el artículo 19.1 del Reglamento de la Corte. </w:t>
      </w:r>
    </w:p>
  </w:footnote>
  <w:footnote w:id="2">
    <w:p w:rsidR="003B556D" w:rsidRPr="00592604" w:rsidRDefault="003B556D" w:rsidP="009D1022">
      <w:pPr>
        <w:pStyle w:val="FootnoteText"/>
        <w:tabs>
          <w:tab w:val="left" w:pos="426"/>
          <w:tab w:val="left" w:pos="709"/>
          <w:tab w:val="left" w:pos="851"/>
        </w:tabs>
        <w:ind w:right="-709"/>
        <w:jc w:val="both"/>
        <w:rPr>
          <w:rFonts w:ascii="Verdana" w:hAnsi="Verdana" w:cs="Arial"/>
          <w:b/>
          <w:sz w:val="16"/>
          <w:szCs w:val="16"/>
        </w:rPr>
      </w:pPr>
      <w:r w:rsidRPr="00592604">
        <w:rPr>
          <w:rStyle w:val="FootnoteReference"/>
          <w:rFonts w:ascii="Verdana" w:hAnsi="Verdana" w:cs="Arial"/>
          <w:sz w:val="16"/>
          <w:szCs w:val="16"/>
        </w:rPr>
        <w:footnoteRef/>
      </w:r>
      <w:r w:rsidRPr="00592604">
        <w:rPr>
          <w:rFonts w:ascii="Verdana" w:hAnsi="Verdana" w:cs="Arial"/>
          <w:sz w:val="16"/>
          <w:szCs w:val="16"/>
        </w:rPr>
        <w:t xml:space="preserve"> </w:t>
      </w:r>
      <w:r w:rsidRPr="00592604">
        <w:rPr>
          <w:rFonts w:ascii="Verdana" w:hAnsi="Verdana" w:cs="Arial"/>
          <w:b/>
          <w:sz w:val="16"/>
          <w:szCs w:val="16"/>
        </w:rPr>
        <w:tab/>
      </w:r>
      <w:r w:rsidRPr="00592604">
        <w:rPr>
          <w:rFonts w:ascii="Verdana" w:hAnsi="Verdana" w:cs="Arial"/>
          <w:sz w:val="16"/>
          <w:szCs w:val="16"/>
        </w:rPr>
        <w:t xml:space="preserve">La Sentencia fue notificada el 8 de octubre de 2015.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 Vs. Chile.</w:t>
      </w:r>
      <w:r w:rsidRPr="00592604">
        <w:rPr>
          <w:rStyle w:val="Strong"/>
          <w:rFonts w:ascii="Verdana" w:hAnsi="Verdana" w:cs="Arial"/>
          <w:b w:val="0"/>
          <w:i/>
          <w:sz w:val="16"/>
          <w:szCs w:val="16"/>
          <w:shd w:val="clear" w:color="auto" w:fill="FFFFFF"/>
        </w:rPr>
        <w:t xml:space="preserve"> Fondo, Reparaciones y Costas. </w:t>
      </w:r>
      <w:r w:rsidRPr="00592604">
        <w:rPr>
          <w:rStyle w:val="Strong"/>
          <w:rFonts w:ascii="Verdana" w:hAnsi="Verdana" w:cs="Arial"/>
          <w:b w:val="0"/>
          <w:sz w:val="16"/>
          <w:szCs w:val="16"/>
          <w:shd w:val="clear" w:color="auto" w:fill="FFFFFF"/>
        </w:rPr>
        <w:t xml:space="preserve">Sentencia de </w:t>
      </w:r>
      <w:r>
        <w:rPr>
          <w:rStyle w:val="Strong"/>
          <w:rFonts w:ascii="Verdana" w:hAnsi="Verdana" w:cs="Arial"/>
          <w:b w:val="0"/>
          <w:sz w:val="16"/>
          <w:szCs w:val="16"/>
          <w:shd w:val="clear" w:color="auto" w:fill="FFFFFF"/>
        </w:rPr>
        <w:t>2 de septiembre</w:t>
      </w:r>
      <w:r w:rsidRPr="00592604">
        <w:rPr>
          <w:rStyle w:val="Strong"/>
          <w:rFonts w:ascii="Verdana" w:hAnsi="Verdana" w:cs="Arial"/>
          <w:b w:val="0"/>
          <w:sz w:val="16"/>
          <w:szCs w:val="16"/>
          <w:shd w:val="clear" w:color="auto" w:fill="FFFFFF"/>
        </w:rPr>
        <w:t xml:space="preserve"> de 2015. Serie C No. 300. El texto íntegro </w:t>
      </w:r>
      <w:r>
        <w:rPr>
          <w:rStyle w:val="Strong"/>
          <w:rFonts w:ascii="Verdana" w:hAnsi="Verdana" w:cs="Arial"/>
          <w:b w:val="0"/>
          <w:sz w:val="16"/>
          <w:szCs w:val="16"/>
          <w:shd w:val="clear" w:color="auto" w:fill="FFFFFF"/>
        </w:rPr>
        <w:t xml:space="preserve">de la Sentencia </w:t>
      </w:r>
      <w:r w:rsidRPr="00592604">
        <w:rPr>
          <w:rStyle w:val="Strong"/>
          <w:rFonts w:ascii="Verdana" w:hAnsi="Verdana" w:cs="Arial"/>
          <w:b w:val="0"/>
          <w:sz w:val="16"/>
          <w:szCs w:val="16"/>
          <w:shd w:val="clear" w:color="auto" w:fill="FFFFFF"/>
        </w:rPr>
        <w:t xml:space="preserve">se encuentra disponible en: </w:t>
      </w:r>
      <w:hyperlink r:id="rId1" w:history="1">
        <w:r w:rsidRPr="00592604">
          <w:rPr>
            <w:rStyle w:val="Hyperlink"/>
            <w:rFonts w:ascii="Verdana" w:hAnsi="Verdana" w:cs="Arial"/>
            <w:sz w:val="16"/>
            <w:szCs w:val="16"/>
            <w:shd w:val="clear" w:color="auto" w:fill="FFFFFF"/>
          </w:rPr>
          <w:t>http://www.corteidh.or.cr/docs/casos/articulos/seriec_300_esp.pdf</w:t>
        </w:r>
      </w:hyperlink>
      <w:r w:rsidRPr="00592604">
        <w:rPr>
          <w:rStyle w:val="Strong"/>
          <w:rFonts w:ascii="Verdana" w:hAnsi="Verdana" w:cs="Arial"/>
          <w:b w:val="0"/>
          <w:sz w:val="16"/>
          <w:szCs w:val="16"/>
          <w:shd w:val="clear" w:color="auto" w:fill="FFFFFF"/>
        </w:rPr>
        <w:t xml:space="preserve">. </w:t>
      </w:r>
    </w:p>
  </w:footnote>
  <w:footnote w:id="3">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r>
      <w:r w:rsidRPr="00592604">
        <w:rPr>
          <w:rFonts w:ascii="Verdana" w:hAnsi="Verdana"/>
          <w:sz w:val="16"/>
          <w:szCs w:val="16"/>
        </w:rPr>
        <w:t>Omar Humberto Maldonado Vargas, Álvaro Yañez del Villar, Mario Antonio Cornejo Barahona, Belarmino Constanzo Merino, Manuel Osvaldo López Oyanedel, Ernesto Augusto Galaz Guzmán, Mario González Rifo, Jaime Donoso Parra, Alberto Salustio Bustamante Rojas, Gustavo Raúl Lastra Saavedra, Víctor Hugo Adriazola Meza e Ivar Onoldo Rojas Ravanal.</w:t>
      </w:r>
    </w:p>
  </w:footnote>
  <w:footnote w:id="4">
    <w:p w:rsidR="003B556D" w:rsidRPr="00F77AB3" w:rsidRDefault="003B556D" w:rsidP="004872D8">
      <w:pPr>
        <w:pStyle w:val="FootnoteText"/>
        <w:ind w:right="-709"/>
        <w:jc w:val="both"/>
        <w:rPr>
          <w:rFonts w:ascii="Verdana" w:hAnsi="Verdana"/>
          <w:sz w:val="16"/>
          <w:szCs w:val="16"/>
        </w:rPr>
      </w:pPr>
      <w:r w:rsidRPr="00460436">
        <w:rPr>
          <w:rStyle w:val="FootnoteReference"/>
          <w:rFonts w:ascii="Verdana" w:hAnsi="Verdana"/>
          <w:sz w:val="16"/>
          <w:szCs w:val="16"/>
        </w:rPr>
        <w:footnoteRef/>
      </w:r>
      <w:r w:rsidRPr="00460436">
        <w:rPr>
          <w:rFonts w:ascii="Verdana" w:hAnsi="Verdana"/>
          <w:sz w:val="16"/>
          <w:szCs w:val="16"/>
        </w:rPr>
        <w:t xml:space="preserve"> </w:t>
      </w:r>
      <w:r w:rsidRPr="00460436">
        <w:rPr>
          <w:rFonts w:ascii="Verdana" w:hAnsi="Verdana"/>
          <w:sz w:val="16"/>
          <w:szCs w:val="16"/>
        </w:rPr>
        <w:tab/>
        <w:t>Las víctimas fueron condenadas dentro de causas seguidas ante los Consejos de Guerra por los delitos de incumplimiento de deberes militares, de promoción a la sedición, de conspiración a la sedición y de traición.</w:t>
      </w:r>
      <w:r w:rsidRPr="00592604">
        <w:rPr>
          <w:rFonts w:ascii="Verdana" w:hAnsi="Verdana"/>
          <w:sz w:val="16"/>
          <w:szCs w:val="16"/>
        </w:rPr>
        <w:t xml:space="preserve"> </w:t>
      </w:r>
      <w:r>
        <w:rPr>
          <w:rFonts w:ascii="Verdana" w:hAnsi="Verdana"/>
          <w:sz w:val="16"/>
          <w:szCs w:val="16"/>
        </w:rPr>
        <w:t>Los delitos por los que fueron condenados</w:t>
      </w:r>
      <w:r w:rsidR="001016F6">
        <w:rPr>
          <w:rFonts w:ascii="Verdana" w:hAnsi="Verdana"/>
          <w:sz w:val="16"/>
          <w:szCs w:val="16"/>
        </w:rPr>
        <w:t xml:space="preserve"> y</w:t>
      </w:r>
      <w:r>
        <w:rPr>
          <w:rFonts w:ascii="Verdana" w:hAnsi="Verdana"/>
          <w:sz w:val="16"/>
          <w:szCs w:val="16"/>
        </w:rPr>
        <w:t xml:space="preserve"> las penas impuestas varían según cada víctima.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w:t>
      </w:r>
      <w:r>
        <w:rPr>
          <w:rStyle w:val="Strong"/>
          <w:rFonts w:ascii="Verdana" w:hAnsi="Verdana" w:cs="Arial"/>
          <w:b w:val="0"/>
          <w:i/>
          <w:sz w:val="16"/>
          <w:szCs w:val="16"/>
          <w:shd w:val="clear" w:color="auto" w:fill="FFFFFF"/>
          <w:lang w:val="es-CR"/>
        </w:rPr>
        <w:t xml:space="preserve">, supra </w:t>
      </w:r>
      <w:r w:rsidRPr="00F77AB3">
        <w:rPr>
          <w:rStyle w:val="Strong"/>
          <w:rFonts w:ascii="Verdana" w:hAnsi="Verdana" w:cs="Arial"/>
          <w:b w:val="0"/>
          <w:sz w:val="16"/>
          <w:szCs w:val="16"/>
          <w:shd w:val="clear" w:color="auto" w:fill="FFFFFF"/>
          <w:lang w:val="es-CR"/>
        </w:rPr>
        <w:t xml:space="preserve">nota 1, </w:t>
      </w:r>
      <w:r>
        <w:rPr>
          <w:rStyle w:val="Strong"/>
          <w:rFonts w:ascii="Verdana" w:hAnsi="Verdana" w:cs="Arial"/>
          <w:b w:val="0"/>
          <w:sz w:val="16"/>
          <w:szCs w:val="16"/>
          <w:shd w:val="clear" w:color="auto" w:fill="FFFFFF"/>
          <w:lang w:val="es-CR"/>
        </w:rPr>
        <w:t>párr. 38.</w:t>
      </w:r>
    </w:p>
  </w:footnote>
  <w:footnote w:id="5">
    <w:p w:rsidR="003B556D" w:rsidRPr="00592604" w:rsidRDefault="003B556D" w:rsidP="004872D8">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Los Consejos de Guerra se encargaron de juzgar los delitos de la jurisdicción militar mediante procedimientos breves y sumarios de instancia única, y se caracterizaron por numerosas irregularidades y violaciones al debido proceso.</w:t>
      </w:r>
      <w:r>
        <w:rPr>
          <w:rFonts w:ascii="Verdana" w:hAnsi="Verdana"/>
          <w:sz w:val="16"/>
          <w:szCs w:val="16"/>
        </w:rPr>
        <w:t xml:space="preserve">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w:t>
      </w:r>
      <w:r>
        <w:rPr>
          <w:rStyle w:val="Strong"/>
          <w:rFonts w:ascii="Verdana" w:hAnsi="Verdana" w:cs="Arial"/>
          <w:b w:val="0"/>
          <w:i/>
          <w:sz w:val="16"/>
          <w:szCs w:val="16"/>
          <w:shd w:val="clear" w:color="auto" w:fill="FFFFFF"/>
          <w:lang w:val="es-CR"/>
        </w:rPr>
        <w:t xml:space="preserve">, supra </w:t>
      </w:r>
      <w:r w:rsidRPr="00F77AB3">
        <w:rPr>
          <w:rStyle w:val="Strong"/>
          <w:rFonts w:ascii="Verdana" w:hAnsi="Verdana" w:cs="Arial"/>
          <w:b w:val="0"/>
          <w:sz w:val="16"/>
          <w:szCs w:val="16"/>
          <w:shd w:val="clear" w:color="auto" w:fill="FFFFFF"/>
          <w:lang w:val="es-CR"/>
        </w:rPr>
        <w:t xml:space="preserve">nota 1, </w:t>
      </w:r>
      <w:r>
        <w:rPr>
          <w:rStyle w:val="Strong"/>
          <w:rFonts w:ascii="Verdana" w:hAnsi="Verdana" w:cs="Arial"/>
          <w:b w:val="0"/>
          <w:sz w:val="16"/>
          <w:szCs w:val="16"/>
          <w:shd w:val="clear" w:color="auto" w:fill="FFFFFF"/>
          <w:lang w:val="es-CR"/>
        </w:rPr>
        <w:t>párr. 25.</w:t>
      </w:r>
    </w:p>
  </w:footnote>
  <w:footnote w:id="6">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t xml:space="preserve">La causa </w:t>
      </w:r>
      <w:r>
        <w:rPr>
          <w:rFonts w:ascii="Verdana" w:hAnsi="Verdana"/>
          <w:sz w:val="16"/>
          <w:szCs w:val="16"/>
          <w:lang w:val="es-CR"/>
        </w:rPr>
        <w:t xml:space="preserve">mediante la cual se les procesó (causa Rol No. 1-73) </w:t>
      </w:r>
      <w:r w:rsidRPr="00592604">
        <w:rPr>
          <w:rFonts w:ascii="Verdana" w:hAnsi="Verdana"/>
          <w:sz w:val="16"/>
          <w:szCs w:val="16"/>
          <w:lang w:val="es-CR"/>
        </w:rPr>
        <w:t xml:space="preserve">se </w:t>
      </w:r>
      <w:r w:rsidRPr="00592604">
        <w:rPr>
          <w:rFonts w:ascii="Verdana" w:hAnsi="Verdana"/>
          <w:sz w:val="16"/>
          <w:szCs w:val="16"/>
        </w:rPr>
        <w:t xml:space="preserve">inició el 14 de septiembre de 1973. Los días 30 de julio de 1974 y 27 de enero de 1975 se dictaron dos sentencias de condena, las cuales fueron confirmadas los días 26 de septiembre de 1974 y 10 de abril de 1975. </w:t>
      </w:r>
      <w:r w:rsidRPr="00592604">
        <w:rPr>
          <w:rFonts w:ascii="Verdana" w:hAnsi="Verdana"/>
          <w:sz w:val="16"/>
          <w:szCs w:val="16"/>
          <w:lang w:val="es-CR"/>
        </w:rPr>
        <w:t xml:space="preserve">Como consecuencia de la condena, las víctimas permanecieron privadas de libertad por períodos de tiempo que llegaron a ser </w:t>
      </w:r>
      <w:r>
        <w:rPr>
          <w:rFonts w:ascii="Verdana" w:hAnsi="Verdana"/>
          <w:sz w:val="16"/>
          <w:szCs w:val="16"/>
          <w:lang w:val="es-CR"/>
        </w:rPr>
        <w:t xml:space="preserve">para algunas de ellas </w:t>
      </w:r>
      <w:r w:rsidRPr="00592604">
        <w:rPr>
          <w:rFonts w:ascii="Verdana" w:hAnsi="Verdana"/>
          <w:sz w:val="16"/>
          <w:szCs w:val="16"/>
          <w:lang w:val="es-CR"/>
        </w:rPr>
        <w:t xml:space="preserve">de hasta </w:t>
      </w:r>
      <w:r>
        <w:rPr>
          <w:rFonts w:ascii="Verdana" w:hAnsi="Verdana"/>
          <w:sz w:val="16"/>
          <w:szCs w:val="16"/>
          <w:lang w:val="es-CR"/>
        </w:rPr>
        <w:t>cinco</w:t>
      </w:r>
      <w:r w:rsidRPr="00592604">
        <w:rPr>
          <w:rFonts w:ascii="Verdana" w:hAnsi="Verdana"/>
          <w:sz w:val="16"/>
          <w:szCs w:val="16"/>
          <w:lang w:val="es-CR"/>
        </w:rPr>
        <w:t xml:space="preserve"> años y </w:t>
      </w:r>
      <w:r>
        <w:rPr>
          <w:rFonts w:ascii="Verdana" w:hAnsi="Verdana"/>
          <w:sz w:val="16"/>
          <w:szCs w:val="16"/>
          <w:lang w:val="es-CR"/>
        </w:rPr>
        <w:t>posterio</w:t>
      </w:r>
      <w:r w:rsidRPr="00592604">
        <w:rPr>
          <w:rFonts w:ascii="Verdana" w:hAnsi="Verdana"/>
          <w:sz w:val="16"/>
          <w:szCs w:val="16"/>
          <w:lang w:val="es-CR"/>
        </w:rPr>
        <w:t>rmente se les conmutó la pena por extrañamiento o exilio</w:t>
      </w:r>
      <w:r>
        <w:rPr>
          <w:rFonts w:ascii="Verdana" w:hAnsi="Verdana"/>
          <w:sz w:val="16"/>
          <w:szCs w:val="16"/>
          <w:lang w:val="es-CR"/>
        </w:rPr>
        <w:t>, salvo para una de las víctimas que recuperó su libertad y no se exilió</w:t>
      </w:r>
      <w:r w:rsidRPr="00592604">
        <w:rPr>
          <w:rFonts w:ascii="Verdana" w:hAnsi="Verdana"/>
          <w:sz w:val="16"/>
          <w:szCs w:val="16"/>
          <w:lang w:val="es-CR"/>
        </w:rPr>
        <w:t>.</w:t>
      </w:r>
      <w:r>
        <w:rPr>
          <w:rFonts w:ascii="Verdana" w:hAnsi="Verdana"/>
          <w:sz w:val="16"/>
          <w:szCs w:val="16"/>
          <w:lang w:val="es-CR"/>
        </w:rPr>
        <w:t xml:space="preserve">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w:t>
      </w:r>
      <w:r>
        <w:rPr>
          <w:rStyle w:val="Strong"/>
          <w:rFonts w:ascii="Verdana" w:hAnsi="Verdana" w:cs="Arial"/>
          <w:b w:val="0"/>
          <w:i/>
          <w:sz w:val="16"/>
          <w:szCs w:val="16"/>
          <w:shd w:val="clear" w:color="auto" w:fill="FFFFFF"/>
          <w:lang w:val="es-CR"/>
        </w:rPr>
        <w:t xml:space="preserve">, supra </w:t>
      </w:r>
      <w:r w:rsidRPr="00F77AB3">
        <w:rPr>
          <w:rStyle w:val="Strong"/>
          <w:rFonts w:ascii="Verdana" w:hAnsi="Verdana" w:cs="Arial"/>
          <w:b w:val="0"/>
          <w:sz w:val="16"/>
          <w:szCs w:val="16"/>
          <w:shd w:val="clear" w:color="auto" w:fill="FFFFFF"/>
          <w:lang w:val="es-CR"/>
        </w:rPr>
        <w:t xml:space="preserve">nota 1, </w:t>
      </w:r>
      <w:r>
        <w:rPr>
          <w:rStyle w:val="Strong"/>
          <w:rFonts w:ascii="Verdana" w:hAnsi="Verdana" w:cs="Arial"/>
          <w:b w:val="0"/>
          <w:sz w:val="16"/>
          <w:szCs w:val="16"/>
          <w:shd w:val="clear" w:color="auto" w:fill="FFFFFF"/>
          <w:lang w:val="es-CR"/>
        </w:rPr>
        <w:t>párrs. 34, 37 y 39.</w:t>
      </w:r>
    </w:p>
  </w:footnote>
  <w:footnote w:id="7">
    <w:p w:rsidR="003B556D" w:rsidRPr="00592604" w:rsidRDefault="003B556D" w:rsidP="009D1022">
      <w:pPr>
        <w:pStyle w:val="FootnoteText"/>
        <w:tabs>
          <w:tab w:val="left" w:pos="360"/>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Algunas ocuparon cargos públicos en el Gobierno del Presidente Allende, otras fueron procesados por haber declarado su adhesión al Presidente, otras por haberse opuesto al golpe de estado o por haberse relacionado con personas calificadas como enemigos por la Junta Militar.</w:t>
      </w:r>
      <w:r>
        <w:rPr>
          <w:rFonts w:ascii="Verdana" w:hAnsi="Verdana"/>
          <w:sz w:val="16"/>
          <w:szCs w:val="16"/>
        </w:rPr>
        <w:t xml:space="preserve">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w:t>
      </w:r>
      <w:r>
        <w:rPr>
          <w:rStyle w:val="Strong"/>
          <w:rFonts w:ascii="Verdana" w:hAnsi="Verdana" w:cs="Arial"/>
          <w:b w:val="0"/>
          <w:i/>
          <w:sz w:val="16"/>
          <w:szCs w:val="16"/>
          <w:shd w:val="clear" w:color="auto" w:fill="FFFFFF"/>
          <w:lang w:val="es-CR"/>
        </w:rPr>
        <w:t xml:space="preserve">, supra </w:t>
      </w:r>
      <w:r w:rsidRPr="00F77AB3">
        <w:rPr>
          <w:rStyle w:val="Strong"/>
          <w:rFonts w:ascii="Verdana" w:hAnsi="Verdana" w:cs="Arial"/>
          <w:b w:val="0"/>
          <w:sz w:val="16"/>
          <w:szCs w:val="16"/>
          <w:shd w:val="clear" w:color="auto" w:fill="FFFFFF"/>
          <w:lang w:val="es-CR"/>
        </w:rPr>
        <w:t xml:space="preserve">nota 1, </w:t>
      </w:r>
      <w:r>
        <w:rPr>
          <w:rStyle w:val="Strong"/>
          <w:rFonts w:ascii="Verdana" w:hAnsi="Verdana" w:cs="Arial"/>
          <w:b w:val="0"/>
          <w:sz w:val="16"/>
          <w:szCs w:val="16"/>
          <w:shd w:val="clear" w:color="auto" w:fill="FFFFFF"/>
          <w:lang w:val="es-CR"/>
        </w:rPr>
        <w:t>párr. 29.</w:t>
      </w:r>
    </w:p>
  </w:footnote>
  <w:footnote w:id="8">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r>
      <w:r w:rsidRPr="00592604">
        <w:rPr>
          <w:rFonts w:ascii="Verdana" w:hAnsi="Verdana"/>
          <w:sz w:val="16"/>
          <w:szCs w:val="16"/>
        </w:rPr>
        <w:t>Ivar Onoldo Rojas Ravanal, Alberto Salustio Bustamante Rojas, Álvaro Yáñez del Villar y Omar Humberto Maldonado Vargas.</w:t>
      </w:r>
    </w:p>
  </w:footnote>
  <w:footnote w:id="9">
    <w:p w:rsidR="003B556D" w:rsidRPr="00592604" w:rsidRDefault="003B556D" w:rsidP="009D1022">
      <w:pPr>
        <w:pStyle w:val="FootnoteText"/>
        <w:tabs>
          <w:tab w:val="left" w:pos="426"/>
        </w:tabs>
        <w:ind w:right="-709"/>
        <w:jc w:val="both"/>
        <w:rPr>
          <w:rFonts w:ascii="Verdana" w:hAnsi="Verdana"/>
          <w:b/>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t>Señor Ciro Colombara López.</w:t>
      </w:r>
    </w:p>
  </w:footnote>
  <w:footnote w:id="10">
    <w:p w:rsidR="003B556D" w:rsidRPr="00592604" w:rsidRDefault="003B556D" w:rsidP="009D1022">
      <w:pPr>
        <w:pStyle w:val="FootnoteText"/>
        <w:tabs>
          <w:tab w:val="left" w:pos="426"/>
          <w:tab w:val="left" w:pos="709"/>
          <w:tab w:val="left" w:pos="851"/>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Facultad que además se desprende de los dispuesto en los artículos 33, 62.1, 62.3 y 65 de la Convención Americana y 30 de su Estatuto y se encuentra regulada en el artículo 69 de su Reglamento.</w:t>
      </w:r>
    </w:p>
  </w:footnote>
  <w:footnote w:id="11">
    <w:p w:rsidR="003B556D" w:rsidRPr="00592604" w:rsidRDefault="003B556D" w:rsidP="009D1022">
      <w:pPr>
        <w:pStyle w:val="FootnoteText"/>
        <w:tabs>
          <w:tab w:val="left" w:pos="426"/>
          <w:tab w:val="left" w:pos="709"/>
          <w:tab w:val="left" w:pos="851"/>
        </w:tabs>
        <w:ind w:right="-709"/>
        <w:jc w:val="both"/>
        <w:rPr>
          <w:rFonts w:ascii="Verdana" w:hAnsi="Verdana"/>
          <w:b/>
          <w:color w:val="000000"/>
          <w:sz w:val="16"/>
          <w:szCs w:val="16"/>
          <w:lang w:val="es-CR"/>
        </w:rPr>
      </w:pPr>
      <w:r w:rsidRPr="00592604">
        <w:rPr>
          <w:rStyle w:val="FootnoteReference"/>
          <w:rFonts w:ascii="Verdana" w:hAnsi="Verdana"/>
          <w:sz w:val="16"/>
          <w:szCs w:val="16"/>
        </w:rPr>
        <w:footnoteRef/>
      </w:r>
      <w:r w:rsidRPr="00592604">
        <w:rPr>
          <w:rFonts w:ascii="Verdana" w:hAnsi="Verdana"/>
          <w:i/>
          <w:color w:val="000000"/>
          <w:sz w:val="16"/>
          <w:szCs w:val="16"/>
          <w:lang w:val="es-AR"/>
        </w:rPr>
        <w:t xml:space="preserve"> </w:t>
      </w:r>
      <w:r w:rsidRPr="00592604">
        <w:rPr>
          <w:rFonts w:ascii="Verdana" w:hAnsi="Verdana"/>
          <w:i/>
          <w:color w:val="000000"/>
          <w:sz w:val="16"/>
          <w:szCs w:val="16"/>
          <w:lang w:val="es-AR"/>
        </w:rPr>
        <w:tab/>
        <w:t>Cfr. Caso Cinco Pensionistas Vs. Perú. Supervisión de Cumplimiento de Sentencia.</w:t>
      </w:r>
      <w:r w:rsidRPr="00592604">
        <w:rPr>
          <w:rFonts w:ascii="Verdana" w:hAnsi="Verdana"/>
          <w:color w:val="000000"/>
          <w:sz w:val="16"/>
          <w:szCs w:val="16"/>
          <w:lang w:val="es-AR"/>
        </w:rPr>
        <w:t xml:space="preserve"> Resolución de la Corte Interamericana de Derechos Humanos de 17 de noviembre de 2004, Considerando quinto, y </w:t>
      </w:r>
      <w:r w:rsidRPr="00592604">
        <w:rPr>
          <w:rStyle w:val="Strong"/>
          <w:rFonts w:ascii="Verdana" w:hAnsi="Verdana"/>
          <w:b w:val="0"/>
          <w:i/>
          <w:color w:val="000000"/>
          <w:sz w:val="16"/>
          <w:szCs w:val="16"/>
          <w:shd w:val="clear" w:color="auto" w:fill="FFFFFF"/>
          <w:lang w:val="es-CR"/>
        </w:rPr>
        <w:t xml:space="preserve">Caso </w:t>
      </w:r>
      <w:r>
        <w:rPr>
          <w:rStyle w:val="Strong"/>
          <w:rFonts w:ascii="Verdana" w:hAnsi="Verdana"/>
          <w:b w:val="0"/>
          <w:i/>
          <w:color w:val="000000"/>
          <w:sz w:val="16"/>
          <w:szCs w:val="16"/>
          <w:shd w:val="clear" w:color="auto" w:fill="FFFFFF"/>
          <w:lang w:val="es-CR"/>
        </w:rPr>
        <w:t>Masacre Plan de Sánchez</w:t>
      </w:r>
      <w:r w:rsidRPr="00592604">
        <w:rPr>
          <w:rStyle w:val="Strong"/>
          <w:rFonts w:ascii="Verdana" w:hAnsi="Verdana"/>
          <w:b w:val="0"/>
          <w:i/>
          <w:color w:val="000000"/>
          <w:sz w:val="16"/>
          <w:szCs w:val="16"/>
          <w:shd w:val="clear" w:color="auto" w:fill="FFFFFF"/>
          <w:lang w:val="es-CR"/>
        </w:rPr>
        <w:t xml:space="preserve"> Vs. </w:t>
      </w:r>
      <w:r>
        <w:rPr>
          <w:rStyle w:val="Strong"/>
          <w:rFonts w:ascii="Verdana" w:hAnsi="Verdana"/>
          <w:b w:val="0"/>
          <w:i/>
          <w:color w:val="000000"/>
          <w:sz w:val="16"/>
          <w:szCs w:val="16"/>
          <w:shd w:val="clear" w:color="auto" w:fill="FFFFFF"/>
          <w:lang w:val="es-CR"/>
        </w:rPr>
        <w:t>Guatemala</w:t>
      </w:r>
      <w:r w:rsidRPr="00592604">
        <w:rPr>
          <w:rStyle w:val="Strong"/>
          <w:rFonts w:ascii="Verdana" w:hAnsi="Verdana"/>
          <w:b w:val="0"/>
          <w:i/>
          <w:color w:val="000000"/>
          <w:sz w:val="16"/>
          <w:szCs w:val="16"/>
          <w:shd w:val="clear" w:color="auto" w:fill="FFFFFF"/>
          <w:lang w:val="es-CR"/>
        </w:rPr>
        <w:t xml:space="preserve">. Supervisión de Cumplimiento de Sentencia. </w:t>
      </w:r>
      <w:r w:rsidRPr="00592604">
        <w:rPr>
          <w:rStyle w:val="Strong"/>
          <w:rFonts w:ascii="Verdana" w:hAnsi="Verdana"/>
          <w:b w:val="0"/>
          <w:color w:val="000000"/>
          <w:sz w:val="16"/>
          <w:szCs w:val="16"/>
          <w:shd w:val="clear" w:color="auto" w:fill="FFFFFF"/>
          <w:lang w:val="es-CR"/>
        </w:rPr>
        <w:t xml:space="preserve">Resolución de la Corte Interamericana de Derechos Humanos de </w:t>
      </w:r>
      <w:r>
        <w:rPr>
          <w:rStyle w:val="Strong"/>
          <w:rFonts w:ascii="Verdana" w:hAnsi="Verdana"/>
          <w:b w:val="0"/>
          <w:color w:val="000000"/>
          <w:sz w:val="16"/>
          <w:szCs w:val="16"/>
          <w:shd w:val="clear" w:color="auto" w:fill="FFFFFF"/>
          <w:lang w:val="es-CR"/>
        </w:rPr>
        <w:t>25</w:t>
      </w:r>
      <w:r w:rsidRPr="00592604">
        <w:rPr>
          <w:rStyle w:val="Strong"/>
          <w:rFonts w:ascii="Verdana" w:hAnsi="Verdana"/>
          <w:b w:val="0"/>
          <w:color w:val="000000"/>
          <w:sz w:val="16"/>
          <w:szCs w:val="16"/>
          <w:shd w:val="clear" w:color="auto" w:fill="FFFFFF"/>
          <w:lang w:val="es-CR"/>
        </w:rPr>
        <w:t xml:space="preserve"> de </w:t>
      </w:r>
      <w:r>
        <w:rPr>
          <w:rStyle w:val="Strong"/>
          <w:rFonts w:ascii="Verdana" w:hAnsi="Verdana"/>
          <w:b w:val="0"/>
          <w:color w:val="000000"/>
          <w:sz w:val="16"/>
          <w:szCs w:val="16"/>
          <w:shd w:val="clear" w:color="auto" w:fill="FFFFFF"/>
          <w:lang w:val="es-CR"/>
        </w:rPr>
        <w:t>mayo</w:t>
      </w:r>
      <w:r w:rsidRPr="00592604">
        <w:rPr>
          <w:rStyle w:val="Strong"/>
          <w:rFonts w:ascii="Verdana" w:hAnsi="Verdana"/>
          <w:b w:val="0"/>
          <w:color w:val="000000"/>
          <w:sz w:val="16"/>
          <w:szCs w:val="16"/>
          <w:shd w:val="clear" w:color="auto" w:fill="FFFFFF"/>
          <w:lang w:val="es-CR"/>
        </w:rPr>
        <w:t xml:space="preserve"> de 2017, Considerando segundo.</w:t>
      </w:r>
    </w:p>
  </w:footnote>
  <w:footnote w:id="12">
    <w:p w:rsidR="003B556D" w:rsidRPr="00592604" w:rsidRDefault="003B556D" w:rsidP="009D1022">
      <w:pPr>
        <w:tabs>
          <w:tab w:val="left" w:pos="426"/>
          <w:tab w:val="left" w:pos="709"/>
          <w:tab w:val="left" w:pos="851"/>
        </w:tabs>
        <w:autoSpaceDE w:val="0"/>
        <w:autoSpaceDN w:val="0"/>
        <w:adjustRightInd w:val="0"/>
        <w:spacing w:after="0" w:line="240" w:lineRule="auto"/>
        <w:ind w:right="-709"/>
        <w:jc w:val="both"/>
        <w:rPr>
          <w:rFonts w:ascii="Verdana" w:hAnsi="Verdana"/>
          <w:b/>
          <w:color w:val="000000"/>
          <w:sz w:val="16"/>
          <w:szCs w:val="16"/>
          <w:lang w:val="es-AR"/>
        </w:rPr>
      </w:pPr>
      <w:r w:rsidRPr="00592604">
        <w:rPr>
          <w:rStyle w:val="FootnoteReference"/>
          <w:rFonts w:ascii="Verdana" w:hAnsi="Verdana"/>
          <w:sz w:val="16"/>
          <w:szCs w:val="16"/>
        </w:rPr>
        <w:footnoteRef/>
      </w:r>
      <w:r w:rsidRPr="00592604">
        <w:rPr>
          <w:rFonts w:ascii="Verdana" w:hAnsi="Verdana"/>
          <w:sz w:val="16"/>
          <w:szCs w:val="16"/>
          <w:lang w:val="de-DE"/>
        </w:rPr>
        <w:t xml:space="preserve"> </w:t>
      </w:r>
      <w:r w:rsidRPr="00592604">
        <w:rPr>
          <w:rFonts w:ascii="Verdana" w:hAnsi="Verdana"/>
          <w:sz w:val="16"/>
          <w:szCs w:val="16"/>
          <w:lang w:val="de-DE"/>
        </w:rPr>
        <w:tab/>
      </w:r>
      <w:r w:rsidRPr="00592604">
        <w:rPr>
          <w:rFonts w:ascii="Verdana" w:hAnsi="Verdana"/>
          <w:i/>
          <w:noProof/>
          <w:sz w:val="16"/>
          <w:szCs w:val="16"/>
          <w:lang w:val="de-DE"/>
        </w:rPr>
        <w:t xml:space="preserve">Cfr. Caso Ivcher Bronstein Vs. </w:t>
      </w:r>
      <w:r w:rsidRPr="00592604">
        <w:rPr>
          <w:rFonts w:ascii="Verdana" w:hAnsi="Verdana"/>
          <w:i/>
          <w:noProof/>
          <w:sz w:val="16"/>
          <w:szCs w:val="16"/>
          <w:lang w:val="es-ES"/>
        </w:rPr>
        <w:t>Perú. Competencia.</w:t>
      </w:r>
      <w:r w:rsidRPr="00592604">
        <w:rPr>
          <w:rFonts w:ascii="Verdana" w:hAnsi="Verdana"/>
          <w:noProof/>
          <w:sz w:val="16"/>
          <w:szCs w:val="16"/>
          <w:lang w:val="es-ES"/>
        </w:rPr>
        <w:t xml:space="preserve"> Sentencia de de la Corte Interamericana de Derechos Humanos de 24 de septiembre de 1999.</w:t>
      </w:r>
      <w:r w:rsidRPr="00592604">
        <w:rPr>
          <w:rFonts w:ascii="Verdana" w:hAnsi="Verdana"/>
          <w:sz w:val="16"/>
          <w:szCs w:val="16"/>
          <w:lang w:val="es-ES"/>
        </w:rPr>
        <w:t xml:space="preserve"> </w:t>
      </w:r>
      <w:r w:rsidRPr="00592604">
        <w:rPr>
          <w:rFonts w:ascii="Verdana" w:hAnsi="Verdana"/>
          <w:noProof/>
          <w:sz w:val="16"/>
          <w:szCs w:val="16"/>
          <w:lang w:val="es-ES"/>
        </w:rPr>
        <w:t xml:space="preserve">Serie C No. 54, párr. 37, </w:t>
      </w:r>
      <w:r w:rsidRPr="00592604">
        <w:rPr>
          <w:rFonts w:ascii="Verdana" w:hAnsi="Verdana"/>
          <w:bCs/>
          <w:sz w:val="16"/>
          <w:szCs w:val="16"/>
          <w:lang w:bidi="en-US"/>
        </w:rPr>
        <w:t xml:space="preserve">y </w:t>
      </w:r>
      <w:r w:rsidRPr="00592604">
        <w:rPr>
          <w:rStyle w:val="Strong"/>
          <w:rFonts w:ascii="Verdana" w:hAnsi="Verdana"/>
          <w:b w:val="0"/>
          <w:i/>
          <w:sz w:val="16"/>
          <w:szCs w:val="16"/>
          <w:shd w:val="clear" w:color="auto" w:fill="FFFFFF"/>
        </w:rPr>
        <w:t xml:space="preserve">Caso </w:t>
      </w:r>
      <w:r>
        <w:rPr>
          <w:rStyle w:val="Strong"/>
          <w:rFonts w:ascii="Verdana" w:hAnsi="Verdana"/>
          <w:b w:val="0"/>
          <w:i/>
          <w:color w:val="000000"/>
          <w:sz w:val="16"/>
          <w:szCs w:val="16"/>
          <w:shd w:val="clear" w:color="auto" w:fill="FFFFFF"/>
          <w:lang w:val="es-CR"/>
        </w:rPr>
        <w:t>Masacre Plan de Sánchez</w:t>
      </w:r>
      <w:r w:rsidRPr="00592604">
        <w:rPr>
          <w:rStyle w:val="Strong"/>
          <w:rFonts w:ascii="Verdana" w:hAnsi="Verdana"/>
          <w:b w:val="0"/>
          <w:i/>
          <w:sz w:val="16"/>
          <w:szCs w:val="16"/>
          <w:shd w:val="clear" w:color="auto" w:fill="FFFFFF"/>
        </w:rPr>
        <w:t>, supra</w:t>
      </w:r>
      <w:r>
        <w:rPr>
          <w:rStyle w:val="Strong"/>
          <w:rFonts w:ascii="Verdana" w:hAnsi="Verdana"/>
          <w:b w:val="0"/>
          <w:sz w:val="16"/>
          <w:szCs w:val="16"/>
          <w:shd w:val="clear" w:color="auto" w:fill="FFFFFF"/>
        </w:rPr>
        <w:t xml:space="preserve"> nota 10</w:t>
      </w:r>
      <w:r w:rsidRPr="00592604">
        <w:rPr>
          <w:rStyle w:val="Strong"/>
          <w:rFonts w:ascii="Verdana" w:hAnsi="Verdana"/>
          <w:b w:val="0"/>
          <w:i/>
          <w:sz w:val="16"/>
          <w:szCs w:val="16"/>
          <w:shd w:val="clear" w:color="auto" w:fill="FFFFFF"/>
        </w:rPr>
        <w:t>,</w:t>
      </w:r>
      <w:r w:rsidRPr="00592604">
        <w:rPr>
          <w:rStyle w:val="Strong"/>
          <w:rFonts w:ascii="Verdana" w:hAnsi="Verdana"/>
          <w:b w:val="0"/>
          <w:sz w:val="16"/>
          <w:szCs w:val="16"/>
          <w:shd w:val="clear" w:color="auto" w:fill="FFFFFF"/>
        </w:rPr>
        <w:t xml:space="preserve"> </w:t>
      </w:r>
      <w:r w:rsidRPr="00592604">
        <w:rPr>
          <w:rFonts w:ascii="Verdana" w:hAnsi="Verdana"/>
          <w:bCs/>
          <w:sz w:val="16"/>
          <w:szCs w:val="16"/>
          <w:lang w:val="es-AR"/>
        </w:rPr>
        <w:t>Considerando segundo.</w:t>
      </w:r>
    </w:p>
  </w:footnote>
  <w:footnote w:id="13">
    <w:p w:rsidR="003B556D" w:rsidRPr="0017064B" w:rsidRDefault="003B556D" w:rsidP="009D1022">
      <w:pPr>
        <w:pStyle w:val="FootnoteText"/>
        <w:tabs>
          <w:tab w:val="left" w:pos="426"/>
        </w:tabs>
        <w:ind w:right="-709"/>
        <w:jc w:val="both"/>
        <w:rPr>
          <w:rFonts w:ascii="Verdana" w:hAnsi="Verdana"/>
          <w:sz w:val="16"/>
          <w:szCs w:val="16"/>
        </w:rPr>
      </w:pPr>
      <w:r w:rsidRPr="0017064B">
        <w:rPr>
          <w:rStyle w:val="FootnoteReference"/>
          <w:rFonts w:ascii="Verdana" w:hAnsi="Verdana"/>
          <w:sz w:val="16"/>
          <w:szCs w:val="16"/>
        </w:rPr>
        <w:footnoteRef/>
      </w:r>
      <w:r w:rsidRPr="0017064B">
        <w:rPr>
          <w:rFonts w:ascii="Verdana" w:hAnsi="Verdana"/>
          <w:sz w:val="16"/>
          <w:szCs w:val="16"/>
        </w:rPr>
        <w:t xml:space="preserve"> </w:t>
      </w:r>
      <w:r w:rsidRPr="0017064B">
        <w:rPr>
          <w:rFonts w:ascii="Verdana" w:hAnsi="Verdana"/>
          <w:sz w:val="16"/>
          <w:szCs w:val="16"/>
        </w:rPr>
        <w:tab/>
        <w:t>Mediante notas de la Secretaría de la Corte de 22 de diciembre de 2016 y 27 de febrero de 2017</w:t>
      </w:r>
      <w:r w:rsidRPr="008C5911">
        <w:rPr>
          <w:rFonts w:ascii="Verdana" w:hAnsi="Verdana"/>
          <w:sz w:val="16"/>
          <w:szCs w:val="16"/>
        </w:rPr>
        <w:t xml:space="preserve">, siguiendo instrucciones del Presidente </w:t>
      </w:r>
      <w:r w:rsidRPr="000B7B54">
        <w:rPr>
          <w:rFonts w:ascii="Verdana" w:hAnsi="Verdana"/>
          <w:sz w:val="16"/>
          <w:szCs w:val="16"/>
        </w:rPr>
        <w:t>del Tribunal</w:t>
      </w:r>
      <w:r w:rsidRPr="00500809">
        <w:rPr>
          <w:rFonts w:ascii="Verdana" w:hAnsi="Verdana"/>
          <w:sz w:val="16"/>
          <w:szCs w:val="16"/>
        </w:rPr>
        <w:t xml:space="preserve">, se recordó a la Comisión </w:t>
      </w:r>
      <w:r w:rsidRPr="0017064B">
        <w:rPr>
          <w:rFonts w:ascii="Verdana" w:hAnsi="Verdana"/>
          <w:sz w:val="16"/>
          <w:szCs w:val="16"/>
        </w:rPr>
        <w:t>Interamericana que había vencido el plazo para que presentara sus observaciones al informe estatal de octubre de 2016 y se le solicitó que las remitiera a la mayor brevedad posible, sin que las mismas hayan sido recibidas.</w:t>
      </w:r>
    </w:p>
  </w:footnote>
  <w:footnote w:id="14">
    <w:p w:rsidR="003B556D" w:rsidRPr="0017064B" w:rsidRDefault="003B556D" w:rsidP="0017064B">
      <w:pPr>
        <w:pStyle w:val="FootnoteText"/>
        <w:tabs>
          <w:tab w:val="left" w:pos="426"/>
        </w:tabs>
      </w:pPr>
      <w:r w:rsidRPr="0017064B">
        <w:rPr>
          <w:rStyle w:val="FootnoteReference"/>
          <w:rFonts w:ascii="Verdana" w:hAnsi="Verdana"/>
          <w:sz w:val="16"/>
          <w:szCs w:val="16"/>
        </w:rPr>
        <w:footnoteRef/>
      </w:r>
      <w:r w:rsidRPr="0017064B">
        <w:rPr>
          <w:rFonts w:ascii="Verdana" w:hAnsi="Verdana"/>
          <w:sz w:val="16"/>
          <w:szCs w:val="16"/>
        </w:rPr>
        <w:t xml:space="preserve"> </w:t>
      </w:r>
      <w:r w:rsidRPr="0017064B">
        <w:rPr>
          <w:rFonts w:ascii="Verdana" w:hAnsi="Verdana"/>
          <w:sz w:val="16"/>
          <w:szCs w:val="16"/>
        </w:rPr>
        <w:tab/>
      </w:r>
      <w:r w:rsidRPr="0017064B">
        <w:rPr>
          <w:rFonts w:ascii="Verdana" w:hAnsi="Verdana" w:cs="Arial"/>
          <w:i/>
          <w:sz w:val="16"/>
          <w:szCs w:val="16"/>
          <w:lang w:val="es-CR"/>
        </w:rPr>
        <w:t>Cfr</w:t>
      </w:r>
      <w:r w:rsidRPr="00592604">
        <w:rPr>
          <w:rFonts w:ascii="Verdana" w:hAnsi="Verdana" w:cs="Arial"/>
          <w:i/>
          <w:sz w:val="16"/>
          <w:szCs w:val="16"/>
          <w:lang w:val="es-CR"/>
        </w:rPr>
        <w:t>.</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Caso Omar Humberto Maldonado Vargas y otros</w:t>
      </w:r>
      <w:r>
        <w:rPr>
          <w:rStyle w:val="Strong"/>
          <w:rFonts w:ascii="Verdana" w:hAnsi="Verdana" w:cs="Arial"/>
          <w:b w:val="0"/>
          <w:i/>
          <w:sz w:val="16"/>
          <w:szCs w:val="16"/>
          <w:shd w:val="clear" w:color="auto" w:fill="FFFFFF"/>
          <w:lang w:val="es-CR"/>
        </w:rPr>
        <w:t xml:space="preserve">, supra </w:t>
      </w:r>
      <w:r w:rsidRPr="00F77AB3">
        <w:rPr>
          <w:rStyle w:val="Strong"/>
          <w:rFonts w:ascii="Verdana" w:hAnsi="Verdana" w:cs="Arial"/>
          <w:b w:val="0"/>
          <w:sz w:val="16"/>
          <w:szCs w:val="16"/>
          <w:shd w:val="clear" w:color="auto" w:fill="FFFFFF"/>
          <w:lang w:val="es-CR"/>
        </w:rPr>
        <w:t xml:space="preserve">nota 1, </w:t>
      </w:r>
      <w:r>
        <w:rPr>
          <w:rStyle w:val="Strong"/>
          <w:rFonts w:ascii="Verdana" w:hAnsi="Verdana" w:cs="Arial"/>
          <w:b w:val="0"/>
          <w:sz w:val="16"/>
          <w:szCs w:val="16"/>
          <w:shd w:val="clear" w:color="auto" w:fill="FFFFFF"/>
          <w:lang w:val="es-CR"/>
        </w:rPr>
        <w:t xml:space="preserve">párr. 156. </w:t>
      </w:r>
    </w:p>
  </w:footnote>
  <w:footnote w:id="15">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 xml:space="preserve">Caso Omar Humberto Maldonado Vargas y otros, supra </w:t>
      </w:r>
      <w:r w:rsidRPr="00592604">
        <w:rPr>
          <w:rStyle w:val="Strong"/>
          <w:rFonts w:ascii="Verdana" w:hAnsi="Verdana" w:cs="Arial"/>
          <w:b w:val="0"/>
          <w:sz w:val="16"/>
          <w:szCs w:val="16"/>
          <w:shd w:val="clear" w:color="auto" w:fill="FFFFFF"/>
          <w:lang w:val="es-CR"/>
        </w:rPr>
        <w:t xml:space="preserve">nota 1, párrs. </w:t>
      </w:r>
      <w:r>
        <w:rPr>
          <w:rStyle w:val="Strong"/>
          <w:rFonts w:ascii="Verdana" w:hAnsi="Verdana" w:cs="Arial"/>
          <w:b w:val="0"/>
          <w:sz w:val="16"/>
          <w:szCs w:val="16"/>
          <w:shd w:val="clear" w:color="auto" w:fill="FFFFFF"/>
          <w:lang w:val="es-CR"/>
        </w:rPr>
        <w:t>5</w:t>
      </w:r>
      <w:r w:rsidRPr="00592604">
        <w:rPr>
          <w:rStyle w:val="Strong"/>
          <w:rFonts w:ascii="Verdana" w:hAnsi="Verdana" w:cs="Arial"/>
          <w:b w:val="0"/>
          <w:sz w:val="16"/>
          <w:szCs w:val="16"/>
          <w:shd w:val="clear" w:color="auto" w:fill="FFFFFF"/>
          <w:lang w:val="es-CR"/>
        </w:rPr>
        <w:t>9 y 155</w:t>
      </w:r>
      <w:r w:rsidR="00291DB2">
        <w:rPr>
          <w:rStyle w:val="Strong"/>
          <w:rFonts w:ascii="Verdana" w:hAnsi="Verdana" w:cs="Arial"/>
          <w:b w:val="0"/>
          <w:sz w:val="16"/>
          <w:szCs w:val="16"/>
          <w:shd w:val="clear" w:color="auto" w:fill="FFFFFF"/>
          <w:lang w:val="es-CR"/>
        </w:rPr>
        <w:t xml:space="preserve"> y </w:t>
      </w:r>
      <w:r w:rsidR="00291DB2" w:rsidRPr="00592604">
        <w:rPr>
          <w:rFonts w:ascii="Verdana" w:hAnsi="Verdana"/>
          <w:noProof/>
          <w:sz w:val="16"/>
          <w:szCs w:val="16"/>
          <w:lang w:val="de-DE"/>
        </w:rPr>
        <w:t>Oficio N° 3355-2016 de la Corte de Apelaciones de Santiago de 21 de julio de 2016 suscrito por el Ministro en Vista Extraordinaria (anexo 1 al informe estatal de octubre de 2016)</w:t>
      </w:r>
      <w:r w:rsidRPr="00592604">
        <w:rPr>
          <w:rStyle w:val="Strong"/>
          <w:rFonts w:ascii="Verdana" w:hAnsi="Verdana" w:cs="Arial"/>
          <w:b w:val="0"/>
          <w:sz w:val="16"/>
          <w:szCs w:val="16"/>
          <w:shd w:val="clear" w:color="auto" w:fill="FFFFFF"/>
          <w:lang w:val="es-CR"/>
        </w:rPr>
        <w:t>.</w:t>
      </w:r>
    </w:p>
  </w:footnote>
  <w:footnote w:id="16">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 xml:space="preserve">Caso Omar Humberto Maldonado Vargas y otros, supra </w:t>
      </w:r>
      <w:r w:rsidRPr="00592604">
        <w:rPr>
          <w:rStyle w:val="Strong"/>
          <w:rFonts w:ascii="Verdana" w:hAnsi="Verdana" w:cs="Arial"/>
          <w:b w:val="0"/>
          <w:sz w:val="16"/>
          <w:szCs w:val="16"/>
          <w:shd w:val="clear" w:color="auto" w:fill="FFFFFF"/>
          <w:lang w:val="es-CR"/>
        </w:rPr>
        <w:t>nota 1, párr</w:t>
      </w:r>
      <w:r>
        <w:rPr>
          <w:rStyle w:val="Strong"/>
          <w:rFonts w:ascii="Verdana" w:hAnsi="Verdana" w:cs="Arial"/>
          <w:b w:val="0"/>
          <w:sz w:val="16"/>
          <w:szCs w:val="16"/>
          <w:shd w:val="clear" w:color="auto" w:fill="FFFFFF"/>
          <w:lang w:val="es-CR"/>
        </w:rPr>
        <w:t>s</w:t>
      </w:r>
      <w:r w:rsidRPr="00592604">
        <w:rPr>
          <w:rStyle w:val="Strong"/>
          <w:rFonts w:ascii="Verdana" w:hAnsi="Verdana" w:cs="Arial"/>
          <w:b w:val="0"/>
          <w:sz w:val="16"/>
          <w:szCs w:val="16"/>
          <w:shd w:val="clear" w:color="auto" w:fill="FFFFFF"/>
          <w:lang w:val="es-CR"/>
        </w:rPr>
        <w:t xml:space="preserve">. </w:t>
      </w:r>
      <w:r>
        <w:rPr>
          <w:rStyle w:val="Strong"/>
          <w:rFonts w:ascii="Verdana" w:hAnsi="Verdana" w:cs="Arial"/>
          <w:b w:val="0"/>
          <w:sz w:val="16"/>
          <w:szCs w:val="16"/>
          <w:shd w:val="clear" w:color="auto" w:fill="FFFFFF"/>
          <w:lang w:val="es-CR"/>
        </w:rPr>
        <w:t xml:space="preserve">109 y </w:t>
      </w:r>
      <w:r w:rsidRPr="00592604">
        <w:rPr>
          <w:rStyle w:val="Strong"/>
          <w:rFonts w:ascii="Verdana" w:hAnsi="Verdana" w:cs="Arial"/>
          <w:b w:val="0"/>
          <w:sz w:val="16"/>
          <w:szCs w:val="16"/>
          <w:shd w:val="clear" w:color="auto" w:fill="FFFFFF"/>
          <w:lang w:val="es-CR"/>
        </w:rPr>
        <w:t>110.</w:t>
      </w:r>
    </w:p>
  </w:footnote>
  <w:footnote w:id="17">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noProof/>
          <w:sz w:val="16"/>
          <w:szCs w:val="16"/>
          <w:lang w:val="de-DE"/>
        </w:rPr>
        <w:t xml:space="preserve">Cfr. </w:t>
      </w:r>
      <w:r w:rsidRPr="00592604">
        <w:rPr>
          <w:rFonts w:ascii="Verdana" w:hAnsi="Verdana"/>
          <w:noProof/>
          <w:sz w:val="16"/>
          <w:szCs w:val="16"/>
          <w:lang w:val="de-DE"/>
        </w:rPr>
        <w:t>Oficio N° 3355-2016 de la Corte de Apelaciones de Santiago de 21 de julio de 2016 suscrito por el Ministro en Vista Extraordinaria (anexo 1 al informe estatal de octubre de 2016).</w:t>
      </w:r>
    </w:p>
  </w:footnote>
  <w:footnote w:id="18">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Agregó que “</w:t>
      </w:r>
      <w:r>
        <w:rPr>
          <w:rFonts w:ascii="Verdana" w:hAnsi="Verdana"/>
          <w:sz w:val="16"/>
          <w:szCs w:val="16"/>
        </w:rPr>
        <w:t>[</w:t>
      </w:r>
      <w:r w:rsidRPr="00592604">
        <w:rPr>
          <w:rFonts w:ascii="Verdana" w:hAnsi="Verdana"/>
          <w:sz w:val="16"/>
          <w:szCs w:val="16"/>
        </w:rPr>
        <w:t>s</w:t>
      </w:r>
      <w:r>
        <w:rPr>
          <w:rFonts w:ascii="Verdana" w:hAnsi="Verdana"/>
          <w:sz w:val="16"/>
          <w:szCs w:val="16"/>
        </w:rPr>
        <w:t>]</w:t>
      </w:r>
      <w:r w:rsidRPr="00592604">
        <w:rPr>
          <w:rFonts w:ascii="Verdana" w:hAnsi="Verdana"/>
          <w:sz w:val="16"/>
          <w:szCs w:val="16"/>
        </w:rPr>
        <w:t>ólo podrá entenderse cumplida cuando la investigación haya terminado con las sentencias condenatorias respectivas”.</w:t>
      </w:r>
    </w:p>
  </w:footnote>
  <w:footnote w:id="19">
    <w:p w:rsidR="003B556D" w:rsidRPr="00592604" w:rsidRDefault="003B556D" w:rsidP="00D87C7A">
      <w:pPr>
        <w:pStyle w:val="ListParagraph"/>
        <w:tabs>
          <w:tab w:val="left" w:pos="0"/>
          <w:tab w:val="left" w:pos="426"/>
        </w:tabs>
        <w:spacing w:after="0" w:line="240" w:lineRule="auto"/>
        <w:ind w:left="0" w:right="-709"/>
        <w:contextualSpacing w:val="0"/>
        <w:jc w:val="both"/>
        <w:rPr>
          <w:rFonts w:ascii="Verdana" w:hAnsi="Verdana"/>
          <w:sz w:val="16"/>
          <w:szCs w:val="16"/>
        </w:rPr>
      </w:pPr>
      <w:r w:rsidRPr="00354270">
        <w:rPr>
          <w:rStyle w:val="FootnoteReference"/>
          <w:rFonts w:ascii="Verdana" w:hAnsi="Verdana"/>
          <w:sz w:val="16"/>
          <w:szCs w:val="16"/>
        </w:rPr>
        <w:footnoteRef/>
      </w:r>
      <w:r w:rsidRPr="00354270">
        <w:rPr>
          <w:rFonts w:ascii="Verdana" w:hAnsi="Verdana"/>
          <w:sz w:val="16"/>
          <w:szCs w:val="16"/>
        </w:rPr>
        <w:t xml:space="preserve"> </w:t>
      </w:r>
      <w:r w:rsidRPr="00354270">
        <w:rPr>
          <w:rFonts w:ascii="Verdana" w:hAnsi="Verdana"/>
          <w:sz w:val="16"/>
          <w:szCs w:val="16"/>
        </w:rPr>
        <w:tab/>
        <w:t>Entre ellas, se ha requerido información: al Programa de Derechos Humanos del Ministerio del Interior sobre antecedentes de la investigación y de los querellados; al Servicio de Registro Civil e Identificación en relación con la defunción de algunos querellados; a la Brigada de Inteligencia Policial Metropolitana de la Policía de Investigaciones de Chile en relación con diversos aspectos; al “Programa Continuación Ley 19123 del Ministerio del Interior y Seguridad Pública” en relación con antecedentes de los querellados y con “la estructura de la Academia de Fuerza Aérea, y el funcionamiento de la Fiscalía de Aviación”; a la “OCN Interpol” para que proporcione información de la ubicación en el extranjero de uno de los querellados,</w:t>
      </w:r>
      <w:r w:rsidRPr="00354270">
        <w:rPr>
          <w:rFonts w:ascii="Verdana" w:hAnsi="Verdana"/>
          <w:b/>
          <w:sz w:val="16"/>
          <w:szCs w:val="16"/>
        </w:rPr>
        <w:t xml:space="preserve"> </w:t>
      </w:r>
      <w:r w:rsidRPr="00354270">
        <w:rPr>
          <w:rFonts w:ascii="Verdana" w:hAnsi="Verdana"/>
          <w:sz w:val="16"/>
          <w:szCs w:val="16"/>
        </w:rPr>
        <w:t>y al Ministerio de Defensa Nacional.</w:t>
      </w:r>
    </w:p>
  </w:footnote>
  <w:footnote w:id="20">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Copia de la publicación del resumen oficial de la Sentencia en el Diario Oficial de la República de Chile No. 41.302 de 9 de noviembre de 2015 (anexo 2 al informe estatal de octubre de 2016).</w:t>
      </w:r>
    </w:p>
  </w:footnote>
  <w:footnote w:id="21">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Copia de la publicación del resumen oficial de la Sentencia en el “Diario La Tercera” de 31 de enero de 2016 (anexo 3 al informe estatal de octubre de 2016).</w:t>
      </w:r>
    </w:p>
  </w:footnote>
  <w:footnote w:id="22">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Chile sostuvo que se utilizó esta revista por ser el “medio más idóneo para [la] tarea” de dar difusión a la Sentencia </w:t>
      </w:r>
      <w:r>
        <w:rPr>
          <w:rFonts w:ascii="Verdana" w:hAnsi="Verdana"/>
          <w:sz w:val="16"/>
          <w:szCs w:val="16"/>
        </w:rPr>
        <w:t>entre los miembros de</w:t>
      </w:r>
      <w:r w:rsidRPr="00592604">
        <w:rPr>
          <w:rFonts w:ascii="Verdana" w:hAnsi="Verdana"/>
          <w:sz w:val="16"/>
          <w:szCs w:val="16"/>
        </w:rPr>
        <w:t xml:space="preserve"> la Fuerza Aérea de Chile. </w:t>
      </w:r>
      <w:r w:rsidRPr="00592604">
        <w:rPr>
          <w:rFonts w:ascii="Verdana" w:hAnsi="Verdana"/>
          <w:i/>
          <w:sz w:val="16"/>
          <w:szCs w:val="16"/>
        </w:rPr>
        <w:t xml:space="preserve">Cfr. </w:t>
      </w:r>
      <w:r w:rsidRPr="00592604">
        <w:rPr>
          <w:rFonts w:ascii="Verdana" w:hAnsi="Verdana"/>
          <w:sz w:val="16"/>
          <w:szCs w:val="16"/>
        </w:rPr>
        <w:t>Copia de la publicación del resumen oficial de la Sentencia realizada en la “edición de enero” de 2016 de la Revista “Camaradas” de la Fuerza Aérea de Chile (anexo 4 al informe estatal de octubre de 2016).</w:t>
      </w:r>
    </w:p>
  </w:footnote>
  <w:footnote w:id="23">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w:t>
      </w:r>
      <w:r w:rsidRPr="00131C38">
        <w:rPr>
          <w:rFonts w:ascii="Verdana" w:hAnsi="Verdana"/>
          <w:i/>
          <w:sz w:val="16"/>
          <w:szCs w:val="16"/>
        </w:rPr>
        <w:t>Estado</w:t>
      </w:r>
      <w:r w:rsidRPr="00592604">
        <w:rPr>
          <w:rFonts w:ascii="Verdana" w:hAnsi="Verdana"/>
          <w:sz w:val="16"/>
          <w:szCs w:val="16"/>
        </w:rPr>
        <w:t xml:space="preserve"> sostuvo que la publicación de la Sentencia “se encuentra disponible desde el 28 de abril de 2016”. La Corte constata que la referida publicación aún se encuentra disponible a través de la página de inicio del sitio </w:t>
      </w:r>
      <w:r w:rsidRPr="00131C38">
        <w:rPr>
          <w:rFonts w:ascii="Verdana" w:hAnsi="Verdana"/>
          <w:i/>
          <w:sz w:val="16"/>
          <w:szCs w:val="16"/>
        </w:rPr>
        <w:t>web</w:t>
      </w:r>
      <w:r w:rsidRPr="00592604">
        <w:rPr>
          <w:rFonts w:ascii="Verdana" w:hAnsi="Verdana"/>
          <w:sz w:val="16"/>
          <w:szCs w:val="16"/>
        </w:rPr>
        <w:t xml:space="preserve"> oficial del Poder Judicial</w:t>
      </w:r>
      <w:r>
        <w:rPr>
          <w:rFonts w:ascii="Verdana" w:hAnsi="Verdana"/>
          <w:sz w:val="16"/>
          <w:szCs w:val="16"/>
        </w:rPr>
        <w:t>:</w:t>
      </w:r>
      <w:r w:rsidRPr="00592604">
        <w:rPr>
          <w:rFonts w:ascii="Verdana" w:hAnsi="Verdana"/>
          <w:sz w:val="16"/>
          <w:szCs w:val="16"/>
        </w:rPr>
        <w:t xml:space="preserve"> </w:t>
      </w:r>
      <w:hyperlink r:id="rId2" w:history="1">
        <w:r w:rsidRPr="00592604">
          <w:rPr>
            <w:rStyle w:val="Hyperlink"/>
            <w:rFonts w:ascii="Verdana" w:hAnsi="Verdana"/>
            <w:sz w:val="16"/>
            <w:szCs w:val="16"/>
          </w:rPr>
          <w:t>www.pjud.cl</w:t>
        </w:r>
      </w:hyperlink>
      <w:r w:rsidRPr="00592604">
        <w:rPr>
          <w:rFonts w:ascii="Verdana" w:hAnsi="Verdana"/>
          <w:sz w:val="16"/>
          <w:szCs w:val="16"/>
        </w:rPr>
        <w:t xml:space="preserve"> (última consulta el </w:t>
      </w:r>
      <w:r>
        <w:rPr>
          <w:rFonts w:ascii="Verdana" w:hAnsi="Verdana"/>
          <w:sz w:val="16"/>
          <w:szCs w:val="16"/>
        </w:rPr>
        <w:t>30</w:t>
      </w:r>
      <w:r w:rsidRPr="00592604">
        <w:rPr>
          <w:rFonts w:ascii="Verdana" w:hAnsi="Verdana"/>
          <w:sz w:val="16"/>
          <w:szCs w:val="16"/>
        </w:rPr>
        <w:t xml:space="preserve"> de </w:t>
      </w:r>
      <w:r>
        <w:rPr>
          <w:rFonts w:ascii="Verdana" w:hAnsi="Verdana"/>
          <w:sz w:val="16"/>
          <w:szCs w:val="16"/>
        </w:rPr>
        <w:t>agosto</w:t>
      </w:r>
      <w:r w:rsidRPr="00592604">
        <w:rPr>
          <w:rFonts w:ascii="Verdana" w:hAnsi="Verdana"/>
          <w:sz w:val="16"/>
          <w:szCs w:val="16"/>
        </w:rPr>
        <w:t xml:space="preserve"> de 2017). </w:t>
      </w:r>
    </w:p>
  </w:footnote>
  <w:footnote w:id="24">
    <w:p w:rsidR="003B556D" w:rsidRPr="00592604" w:rsidRDefault="003B556D" w:rsidP="009D1022">
      <w:pPr>
        <w:pStyle w:val="FootnoteText"/>
        <w:tabs>
          <w:tab w:val="left" w:pos="426"/>
        </w:tabs>
        <w:ind w:right="-709"/>
        <w:jc w:val="both"/>
        <w:rPr>
          <w:rFonts w:ascii="Verdana" w:hAnsi="Verdana"/>
          <w:sz w:val="16"/>
          <w:szCs w:val="16"/>
          <w:highlight w:val="yellow"/>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Invitación del Ministerio de Relaciones Exteriores de Chile al acto público de reconocimiento de responsabilidad internacional; </w:t>
      </w:r>
      <w:r>
        <w:rPr>
          <w:rFonts w:ascii="Verdana" w:hAnsi="Verdana"/>
          <w:sz w:val="16"/>
          <w:szCs w:val="16"/>
        </w:rPr>
        <w:t>“</w:t>
      </w:r>
      <w:r w:rsidRPr="00592604">
        <w:rPr>
          <w:rFonts w:ascii="Verdana" w:hAnsi="Verdana"/>
          <w:sz w:val="16"/>
          <w:szCs w:val="16"/>
        </w:rPr>
        <w:t>Programa</w:t>
      </w:r>
      <w:r>
        <w:rPr>
          <w:rFonts w:ascii="Verdana" w:hAnsi="Verdana"/>
          <w:sz w:val="16"/>
          <w:szCs w:val="16"/>
        </w:rPr>
        <w:t>”</w:t>
      </w:r>
      <w:r w:rsidRPr="00592604">
        <w:rPr>
          <w:rFonts w:ascii="Verdana" w:hAnsi="Verdana"/>
          <w:sz w:val="16"/>
          <w:szCs w:val="16"/>
        </w:rPr>
        <w:t xml:space="preserve"> y </w:t>
      </w:r>
      <w:r>
        <w:rPr>
          <w:rFonts w:ascii="Verdana" w:hAnsi="Verdana"/>
          <w:sz w:val="16"/>
          <w:szCs w:val="16"/>
        </w:rPr>
        <w:t>“</w:t>
      </w:r>
      <w:r w:rsidRPr="00592604">
        <w:rPr>
          <w:rFonts w:ascii="Verdana" w:hAnsi="Verdana"/>
          <w:sz w:val="16"/>
          <w:szCs w:val="16"/>
        </w:rPr>
        <w:t>Libreto</w:t>
      </w:r>
      <w:r>
        <w:rPr>
          <w:rFonts w:ascii="Verdana" w:hAnsi="Verdana"/>
          <w:sz w:val="16"/>
          <w:szCs w:val="16"/>
        </w:rPr>
        <w:t>”</w:t>
      </w:r>
      <w:r w:rsidRPr="00592604">
        <w:rPr>
          <w:rFonts w:ascii="Verdana" w:hAnsi="Verdana"/>
          <w:sz w:val="16"/>
          <w:szCs w:val="16"/>
        </w:rPr>
        <w:t xml:space="preserve"> del </w:t>
      </w:r>
      <w:r>
        <w:rPr>
          <w:rFonts w:ascii="Verdana" w:hAnsi="Verdana"/>
          <w:sz w:val="16"/>
          <w:szCs w:val="16"/>
        </w:rPr>
        <w:t>a</w:t>
      </w:r>
      <w:r w:rsidRPr="00592604">
        <w:rPr>
          <w:rFonts w:ascii="Verdana" w:hAnsi="Verdana"/>
          <w:sz w:val="16"/>
          <w:szCs w:val="16"/>
        </w:rPr>
        <w:t xml:space="preserve">cto público de reconocimiento de responsabilidad internacional, y </w:t>
      </w:r>
      <w:r>
        <w:rPr>
          <w:rFonts w:ascii="Verdana" w:hAnsi="Verdana"/>
          <w:sz w:val="16"/>
          <w:szCs w:val="16"/>
        </w:rPr>
        <w:t>“</w:t>
      </w:r>
      <w:r w:rsidRPr="00592604">
        <w:rPr>
          <w:rFonts w:ascii="Verdana" w:hAnsi="Verdana"/>
          <w:sz w:val="16"/>
          <w:szCs w:val="16"/>
        </w:rPr>
        <w:t>Listado de medios de prensa en el acto de reconocimiento de responsabilidad internacional</w:t>
      </w:r>
      <w:r>
        <w:rPr>
          <w:rFonts w:ascii="Verdana" w:hAnsi="Verdana"/>
          <w:sz w:val="16"/>
          <w:szCs w:val="16"/>
        </w:rPr>
        <w:t>”</w:t>
      </w:r>
      <w:r w:rsidRPr="00592604">
        <w:rPr>
          <w:rFonts w:ascii="Verdana" w:hAnsi="Verdana"/>
          <w:sz w:val="16"/>
          <w:szCs w:val="16"/>
        </w:rPr>
        <w:t xml:space="preserve">, en cual se indican enlaces electrónicos de comunicados de prensa de la Presidencia de Chile y </w:t>
      </w:r>
      <w:r>
        <w:rPr>
          <w:rFonts w:ascii="Verdana" w:hAnsi="Verdana"/>
          <w:sz w:val="16"/>
          <w:szCs w:val="16"/>
        </w:rPr>
        <w:t xml:space="preserve">de notas de prensa de </w:t>
      </w:r>
      <w:r w:rsidRPr="00592604">
        <w:rPr>
          <w:rFonts w:ascii="Verdana" w:hAnsi="Verdana"/>
          <w:sz w:val="16"/>
          <w:szCs w:val="16"/>
        </w:rPr>
        <w:t>diversos medios de comunicación que dieron cobertura a</w:t>
      </w:r>
      <w:r>
        <w:rPr>
          <w:rFonts w:ascii="Verdana" w:hAnsi="Verdana"/>
          <w:sz w:val="16"/>
          <w:szCs w:val="16"/>
        </w:rPr>
        <w:t>l</w:t>
      </w:r>
      <w:r w:rsidRPr="00592604">
        <w:rPr>
          <w:rFonts w:ascii="Verdana" w:hAnsi="Verdana"/>
          <w:sz w:val="16"/>
          <w:szCs w:val="16"/>
        </w:rPr>
        <w:t xml:space="preserve"> acto (anexos 7, 8 y 9 al informe estatal de octubre de 2016).</w:t>
      </w:r>
    </w:p>
  </w:footnote>
  <w:footnote w:id="25">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w:t>
      </w:r>
      <w:r w:rsidRPr="003566E3">
        <w:rPr>
          <w:rFonts w:ascii="Verdana" w:hAnsi="Verdana"/>
          <w:i/>
          <w:sz w:val="16"/>
          <w:szCs w:val="16"/>
        </w:rPr>
        <w:t>Estado</w:t>
      </w:r>
      <w:r w:rsidRPr="00592604">
        <w:rPr>
          <w:rFonts w:ascii="Verdana" w:hAnsi="Verdana"/>
          <w:sz w:val="16"/>
          <w:szCs w:val="16"/>
        </w:rPr>
        <w:t xml:space="preserve"> explicó que “[l]a ceremonia comenzó </w:t>
      </w:r>
      <w:r>
        <w:rPr>
          <w:rFonts w:ascii="Verdana" w:hAnsi="Verdana"/>
          <w:sz w:val="16"/>
          <w:szCs w:val="16"/>
        </w:rPr>
        <w:t xml:space="preserve">[a las 11:00 horas] </w:t>
      </w:r>
      <w:r w:rsidRPr="00592604">
        <w:rPr>
          <w:rFonts w:ascii="Verdana" w:hAnsi="Verdana"/>
          <w:sz w:val="16"/>
          <w:szCs w:val="16"/>
        </w:rPr>
        <w:t xml:space="preserve">con la lectura del resumen oficial de la [S]entencia, a lo que siguieron los discursos de las máximas autoridades de cada uno de los Poderes del Estado, cerrando con las palabras [de una] de las víctimas[,] el señor Ernesto Galaz”, y que “se contó con un acto musical correspondiente a una cantata orquestada, lo que fue solicitado por las propias víctimas”. </w:t>
      </w:r>
      <w:r>
        <w:rPr>
          <w:rFonts w:ascii="Verdana" w:hAnsi="Verdana"/>
          <w:sz w:val="16"/>
          <w:szCs w:val="16"/>
        </w:rPr>
        <w:t>Agregó que e</w:t>
      </w:r>
      <w:r w:rsidRPr="00592604">
        <w:rPr>
          <w:rFonts w:ascii="Verdana" w:hAnsi="Verdana"/>
          <w:sz w:val="16"/>
          <w:szCs w:val="16"/>
        </w:rPr>
        <w:t>l acto “culminó con un cóctel ofrecido para 250 personas en la Academia Diplomática de Chile, al cual asistieron autoridades, víctimas y familiares</w:t>
      </w:r>
      <w:r>
        <w:rPr>
          <w:rFonts w:ascii="Verdana" w:hAnsi="Verdana"/>
          <w:sz w:val="16"/>
          <w:szCs w:val="16"/>
        </w:rPr>
        <w:t xml:space="preserve">[,] </w:t>
      </w:r>
      <w:r w:rsidRPr="00592604">
        <w:rPr>
          <w:rFonts w:ascii="Verdana" w:hAnsi="Verdana"/>
          <w:sz w:val="16"/>
          <w:szCs w:val="16"/>
        </w:rPr>
        <w:t>invitados en general</w:t>
      </w:r>
      <w:r>
        <w:rPr>
          <w:rFonts w:ascii="Verdana" w:hAnsi="Verdana"/>
          <w:sz w:val="16"/>
          <w:szCs w:val="16"/>
        </w:rPr>
        <w:t xml:space="preserve"> [y] medios de prensa</w:t>
      </w:r>
      <w:r w:rsidRPr="00592604">
        <w:rPr>
          <w:rFonts w:ascii="Verdana" w:hAnsi="Verdana"/>
          <w:sz w:val="16"/>
          <w:szCs w:val="16"/>
        </w:rPr>
        <w:t xml:space="preserve">”. </w:t>
      </w:r>
    </w:p>
  </w:footnote>
  <w:footnote w:id="26">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Pr>
          <w:rFonts w:ascii="Verdana" w:hAnsi="Verdana"/>
          <w:sz w:val="16"/>
          <w:szCs w:val="16"/>
        </w:rPr>
        <w:t>“[</w:t>
      </w:r>
      <w:r w:rsidRPr="00592604">
        <w:rPr>
          <w:rFonts w:ascii="Verdana" w:hAnsi="Verdana"/>
          <w:sz w:val="16"/>
          <w:szCs w:val="16"/>
        </w:rPr>
        <w:t>E</w:t>
      </w:r>
      <w:r>
        <w:rPr>
          <w:rFonts w:ascii="Verdana" w:hAnsi="Verdana"/>
          <w:sz w:val="16"/>
          <w:szCs w:val="16"/>
        </w:rPr>
        <w:t>]</w:t>
      </w:r>
      <w:r w:rsidRPr="00592604">
        <w:rPr>
          <w:rFonts w:ascii="Verdana" w:hAnsi="Verdana"/>
          <w:sz w:val="16"/>
          <w:szCs w:val="16"/>
        </w:rPr>
        <w:t>l Presidente de la Corte Suprema, Hugo Dolmestch</w:t>
      </w:r>
      <w:r>
        <w:rPr>
          <w:rFonts w:ascii="Verdana" w:hAnsi="Verdana"/>
          <w:sz w:val="16"/>
          <w:szCs w:val="16"/>
        </w:rPr>
        <w:t>,</w:t>
      </w:r>
      <w:r w:rsidRPr="00592604">
        <w:rPr>
          <w:rFonts w:ascii="Verdana" w:hAnsi="Verdana"/>
          <w:sz w:val="16"/>
          <w:szCs w:val="16"/>
        </w:rPr>
        <w:t xml:space="preserve"> el Presidente del Senado, Ricardo Lagos Weber</w:t>
      </w:r>
      <w:r>
        <w:rPr>
          <w:rFonts w:ascii="Verdana" w:hAnsi="Verdana"/>
          <w:sz w:val="16"/>
          <w:szCs w:val="16"/>
        </w:rPr>
        <w:t>,</w:t>
      </w:r>
      <w:r w:rsidRPr="00592604">
        <w:rPr>
          <w:rFonts w:ascii="Verdana" w:hAnsi="Verdana"/>
          <w:sz w:val="16"/>
          <w:szCs w:val="16"/>
        </w:rPr>
        <w:t xml:space="preserve"> el Presidente de la Cámara de Diputados, Osvaldo Andrade</w:t>
      </w:r>
      <w:r>
        <w:rPr>
          <w:rFonts w:ascii="Verdana" w:hAnsi="Verdana"/>
          <w:sz w:val="16"/>
          <w:szCs w:val="16"/>
        </w:rPr>
        <w:t>,</w:t>
      </w:r>
      <w:r w:rsidRPr="00592604">
        <w:rPr>
          <w:rFonts w:ascii="Verdana" w:hAnsi="Verdana"/>
          <w:sz w:val="16"/>
          <w:szCs w:val="16"/>
        </w:rPr>
        <w:t xml:space="preserve"> el Ministro de Relaciones Exteriores, Heraldo Muñoz</w:t>
      </w:r>
      <w:r>
        <w:rPr>
          <w:rFonts w:ascii="Verdana" w:hAnsi="Verdana"/>
          <w:sz w:val="16"/>
          <w:szCs w:val="16"/>
        </w:rPr>
        <w:t>,</w:t>
      </w:r>
      <w:r w:rsidRPr="00592604">
        <w:rPr>
          <w:rFonts w:ascii="Verdana" w:hAnsi="Verdana"/>
          <w:sz w:val="16"/>
          <w:szCs w:val="16"/>
        </w:rPr>
        <w:t xml:space="preserve"> la Ministra de Justicia y Derechos Humanos, Javiera Blanco, y la Subsecretaria de Derechos Humanos del Ministerio de Justicia, Lorena Fries</w:t>
      </w:r>
      <w:r>
        <w:rPr>
          <w:rFonts w:ascii="Verdana" w:hAnsi="Verdana"/>
          <w:sz w:val="16"/>
          <w:szCs w:val="16"/>
        </w:rPr>
        <w:t>”</w:t>
      </w:r>
      <w:r w:rsidRPr="00592604">
        <w:rPr>
          <w:rFonts w:ascii="Verdana" w:hAnsi="Verdana"/>
          <w:sz w:val="16"/>
          <w:szCs w:val="16"/>
        </w:rPr>
        <w:t>.</w:t>
      </w:r>
    </w:p>
  </w:footnote>
  <w:footnote w:id="27">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acto se dio la bienvenida a las víctimas </w:t>
      </w:r>
      <w:r w:rsidRPr="00592604">
        <w:rPr>
          <w:rFonts w:ascii="Verdana" w:eastAsiaTheme="minorHAnsi" w:hAnsi="Verdana"/>
          <w:sz w:val="16"/>
          <w:szCs w:val="16"/>
          <w:lang w:val="es-CR"/>
        </w:rPr>
        <w:t xml:space="preserve">Omar Humberto Maldonado Vargas, Álvaro </w:t>
      </w:r>
      <w:r w:rsidRPr="00592604">
        <w:rPr>
          <w:rFonts w:ascii="Verdana" w:eastAsia="HiddenHorzOCR" w:hAnsi="Verdana" w:cs="HiddenHorzOCR"/>
          <w:sz w:val="16"/>
          <w:szCs w:val="16"/>
          <w:lang w:val="es-CR"/>
        </w:rPr>
        <w:t xml:space="preserve">Yáñez </w:t>
      </w:r>
      <w:r w:rsidRPr="00592604">
        <w:rPr>
          <w:rFonts w:ascii="Verdana" w:eastAsiaTheme="minorHAnsi" w:hAnsi="Verdana"/>
          <w:sz w:val="16"/>
          <w:szCs w:val="16"/>
          <w:lang w:val="es-CR"/>
        </w:rPr>
        <w:t xml:space="preserve">del Villar, Mario Antonio Cornejo Barahona, Manuel Osvaldo López Oyanedel, Ernesto Augusto Galaz Guzmán, Mario González Rifo, Jaime Donoso Parra, Alberto Salustio Bustamante Rojas, </w:t>
      </w:r>
      <w:r w:rsidR="006B25D9">
        <w:rPr>
          <w:rFonts w:ascii="Verdana" w:eastAsiaTheme="minorHAnsi" w:hAnsi="Verdana"/>
          <w:sz w:val="16"/>
          <w:szCs w:val="16"/>
          <w:lang w:val="es-CR"/>
        </w:rPr>
        <w:t>Víctor Hugo Adriazola Meza e Iva</w:t>
      </w:r>
      <w:r w:rsidRPr="00592604">
        <w:rPr>
          <w:rFonts w:ascii="Verdana" w:eastAsiaTheme="minorHAnsi" w:hAnsi="Verdana"/>
          <w:sz w:val="16"/>
          <w:szCs w:val="16"/>
          <w:lang w:val="es-CR"/>
        </w:rPr>
        <w:t xml:space="preserve">r Oroldo Rojas Ravanal, y se recordó a las víctimas fallecidas Belarmino Constanzo Merino y Gustavo Raúl Lastra Saavedra”. </w:t>
      </w:r>
      <w:r w:rsidRPr="00592604">
        <w:rPr>
          <w:rFonts w:ascii="Verdana" w:hAnsi="Verdana"/>
          <w:i/>
          <w:sz w:val="16"/>
          <w:szCs w:val="16"/>
        </w:rPr>
        <w:t xml:space="preserve">Cfr. </w:t>
      </w:r>
      <w:r>
        <w:rPr>
          <w:rFonts w:ascii="Verdana" w:hAnsi="Verdana"/>
          <w:i/>
          <w:sz w:val="16"/>
          <w:szCs w:val="16"/>
        </w:rPr>
        <w:t>“</w:t>
      </w:r>
      <w:r w:rsidRPr="00592604">
        <w:rPr>
          <w:rFonts w:ascii="Verdana" w:hAnsi="Verdana"/>
          <w:sz w:val="16"/>
          <w:szCs w:val="16"/>
        </w:rPr>
        <w:t>Libreto</w:t>
      </w:r>
      <w:r>
        <w:rPr>
          <w:rFonts w:ascii="Verdana" w:hAnsi="Verdana"/>
          <w:sz w:val="16"/>
          <w:szCs w:val="16"/>
        </w:rPr>
        <w:t>”</w:t>
      </w:r>
      <w:r w:rsidRPr="00592604">
        <w:rPr>
          <w:rFonts w:ascii="Verdana" w:hAnsi="Verdana"/>
          <w:sz w:val="16"/>
          <w:szCs w:val="16"/>
        </w:rPr>
        <w:t xml:space="preserve"> del acto</w:t>
      </w:r>
      <w:r>
        <w:rPr>
          <w:rFonts w:ascii="Verdana" w:hAnsi="Verdana"/>
          <w:sz w:val="16"/>
          <w:szCs w:val="16"/>
        </w:rPr>
        <w:t xml:space="preserve"> público</w:t>
      </w:r>
      <w:r w:rsidRPr="00592604">
        <w:rPr>
          <w:rFonts w:ascii="Verdana" w:hAnsi="Verdana"/>
          <w:sz w:val="16"/>
          <w:szCs w:val="16"/>
        </w:rPr>
        <w:t xml:space="preserve"> de reconocimiento de responsabilidad internacional, </w:t>
      </w:r>
      <w:r w:rsidRPr="00592604">
        <w:rPr>
          <w:rFonts w:ascii="Verdana" w:hAnsi="Verdana"/>
          <w:i/>
          <w:sz w:val="16"/>
          <w:szCs w:val="16"/>
        </w:rPr>
        <w:t>supra</w:t>
      </w:r>
      <w:r w:rsidRPr="00592604">
        <w:rPr>
          <w:rFonts w:ascii="Verdana" w:hAnsi="Verdana"/>
          <w:sz w:val="16"/>
          <w:szCs w:val="16"/>
        </w:rPr>
        <w:t xml:space="preserve"> nota </w:t>
      </w:r>
      <w:r>
        <w:rPr>
          <w:rFonts w:ascii="Verdana" w:hAnsi="Verdana"/>
          <w:sz w:val="16"/>
          <w:szCs w:val="16"/>
        </w:rPr>
        <w:t>23</w:t>
      </w:r>
      <w:r w:rsidRPr="00592604">
        <w:rPr>
          <w:rFonts w:ascii="Verdana" w:hAnsi="Verdana"/>
          <w:sz w:val="16"/>
          <w:szCs w:val="16"/>
        </w:rPr>
        <w:t xml:space="preserve">. </w:t>
      </w:r>
    </w:p>
  </w:footnote>
  <w:footnote w:id="28">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Según lo informado por el Estado el acto “cont[ó] con la participación de más de 200 invitados”.</w:t>
      </w:r>
    </w:p>
  </w:footnote>
  <w:footnote w:id="29">
    <w:p w:rsidR="003B556D" w:rsidRPr="00592604" w:rsidRDefault="003B556D" w:rsidP="009D1022">
      <w:pPr>
        <w:pStyle w:val="FootnoteText"/>
        <w:tabs>
          <w:tab w:val="left" w:pos="426"/>
        </w:tabs>
        <w:ind w:right="-709"/>
        <w:jc w:val="both"/>
        <w:rPr>
          <w:rFonts w:ascii="Verdana" w:hAnsi="Verdana"/>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r>
      <w:r w:rsidRPr="001F0637">
        <w:rPr>
          <w:rFonts w:ascii="Verdana" w:hAnsi="Verdana"/>
          <w:sz w:val="16"/>
          <w:szCs w:val="16"/>
          <w:lang w:val="es-CR"/>
        </w:rPr>
        <w:t>La Presidenta también manifestó que “gracias a este fallo otras víctimas de Consejos de Guerra podrán presentar recursos de revisión y restaurar, así, su dignidad y honor militar, cuando se trate de uniformados”.</w:t>
      </w:r>
      <w:r>
        <w:rPr>
          <w:rFonts w:ascii="Verdana" w:hAnsi="Verdana"/>
          <w:sz w:val="16"/>
          <w:szCs w:val="16"/>
          <w:lang w:val="es-CR"/>
        </w:rPr>
        <w:t xml:space="preserve"> </w:t>
      </w:r>
      <w:r w:rsidRPr="00592604">
        <w:rPr>
          <w:rFonts w:ascii="Verdana" w:hAnsi="Verdana"/>
          <w:i/>
          <w:sz w:val="16"/>
          <w:szCs w:val="16"/>
          <w:lang w:val="es-CR"/>
        </w:rPr>
        <w:t>Cfr</w:t>
      </w:r>
      <w:r w:rsidRPr="00592604">
        <w:rPr>
          <w:rFonts w:ascii="Verdana" w:hAnsi="Verdana"/>
          <w:sz w:val="16"/>
          <w:szCs w:val="16"/>
          <w:lang w:val="es-CR"/>
        </w:rPr>
        <w:t xml:space="preserve">. Comunicado de Prensa de la Presidencia de Chile de 7 de octubre de 2016 titulado </w:t>
      </w:r>
      <w:r w:rsidRPr="00592604">
        <w:rPr>
          <w:rFonts w:ascii="Verdana" w:hAnsi="Verdana"/>
          <w:i/>
          <w:sz w:val="16"/>
          <w:szCs w:val="16"/>
          <w:lang w:val="es-CR"/>
        </w:rPr>
        <w:t xml:space="preserve">“Presidenta Bachelet: </w:t>
      </w:r>
      <w:r>
        <w:rPr>
          <w:rFonts w:ascii="Verdana" w:hAnsi="Verdana"/>
          <w:i/>
          <w:sz w:val="16"/>
          <w:szCs w:val="16"/>
          <w:lang w:val="es-CR"/>
        </w:rPr>
        <w:t>‘</w:t>
      </w:r>
      <w:r w:rsidRPr="00592604">
        <w:rPr>
          <w:rFonts w:ascii="Verdana" w:hAnsi="Verdana"/>
          <w:i/>
          <w:sz w:val="16"/>
          <w:szCs w:val="16"/>
          <w:lang w:val="es-CR"/>
        </w:rPr>
        <w:t>El Estado de Chile se equivocó gravemente, y hoy estamos aquí para reconocer esta responsabilidad y reparar a las víctimas con medidas que permitan restaurar su dignidad violentada</w:t>
      </w:r>
      <w:r>
        <w:rPr>
          <w:rFonts w:ascii="Verdana" w:hAnsi="Verdana"/>
          <w:i/>
          <w:sz w:val="16"/>
          <w:szCs w:val="16"/>
          <w:lang w:val="es-CR"/>
        </w:rPr>
        <w:t>’</w:t>
      </w:r>
      <w:r w:rsidRPr="00592604">
        <w:rPr>
          <w:rFonts w:ascii="Verdana" w:hAnsi="Verdana"/>
          <w:i/>
          <w:sz w:val="16"/>
          <w:szCs w:val="16"/>
          <w:lang w:val="es-CR"/>
        </w:rPr>
        <w:t>”</w:t>
      </w:r>
      <w:r w:rsidRPr="00592604">
        <w:rPr>
          <w:rFonts w:ascii="Verdana" w:hAnsi="Verdana"/>
          <w:sz w:val="16"/>
          <w:szCs w:val="16"/>
          <w:lang w:val="es-CR"/>
        </w:rPr>
        <w:t xml:space="preserve">, disponible en: </w:t>
      </w:r>
      <w:hyperlink r:id="rId3" w:history="1">
        <w:r w:rsidRPr="00592604">
          <w:rPr>
            <w:rStyle w:val="Hyperlink"/>
            <w:rFonts w:ascii="Verdana" w:hAnsi="Verdana"/>
            <w:sz w:val="16"/>
            <w:szCs w:val="16"/>
            <w:lang w:val="es-CR"/>
          </w:rPr>
          <w:t>https://prensa.presidencia.cl/comunicado.aspx?id=41916</w:t>
        </w:r>
      </w:hyperlink>
      <w:r w:rsidRPr="00592604">
        <w:rPr>
          <w:rFonts w:ascii="Verdana" w:hAnsi="Verdana"/>
          <w:sz w:val="16"/>
          <w:szCs w:val="16"/>
          <w:lang w:val="es-CR"/>
        </w:rPr>
        <w:t xml:space="preserve">, y transcripción del discurso de la Presidenta Michelle Bachelet durante el acto de reconocimiento de responsabilidad internacional, disponible en: </w:t>
      </w:r>
      <w:hyperlink r:id="rId4" w:history="1">
        <w:r w:rsidRPr="00592604">
          <w:rPr>
            <w:rStyle w:val="Hyperlink"/>
            <w:rFonts w:ascii="Verdana" w:hAnsi="Verdana"/>
            <w:sz w:val="16"/>
            <w:szCs w:val="16"/>
            <w:lang w:val="es-CR"/>
          </w:rPr>
          <w:t>https://prensa.presidencia.cl/discurso.aspx?id=41919</w:t>
        </w:r>
      </w:hyperlink>
      <w:r>
        <w:rPr>
          <w:rStyle w:val="Hyperlink"/>
          <w:rFonts w:ascii="Verdana" w:hAnsi="Verdana"/>
          <w:sz w:val="16"/>
          <w:szCs w:val="16"/>
          <w:lang w:val="es-CR"/>
        </w:rPr>
        <w:t>,</w:t>
      </w:r>
      <w:r w:rsidRPr="00592604">
        <w:rPr>
          <w:rFonts w:ascii="Verdana" w:hAnsi="Verdana"/>
          <w:sz w:val="16"/>
          <w:szCs w:val="16"/>
          <w:lang w:val="es-CR"/>
        </w:rPr>
        <w:t xml:space="preserve"> referidos en el anexo 9 al informe estatal de octubre de 2016</w:t>
      </w:r>
      <w:r>
        <w:rPr>
          <w:rFonts w:ascii="Verdana" w:hAnsi="Verdana"/>
          <w:sz w:val="16"/>
          <w:szCs w:val="16"/>
          <w:lang w:val="es-CR"/>
        </w:rPr>
        <w:t xml:space="preserve">, </w:t>
      </w:r>
      <w:r w:rsidRPr="008C5911">
        <w:rPr>
          <w:rFonts w:ascii="Verdana" w:hAnsi="Verdana"/>
          <w:i/>
          <w:sz w:val="16"/>
          <w:szCs w:val="16"/>
          <w:lang w:val="es-CR"/>
        </w:rPr>
        <w:t>supra</w:t>
      </w:r>
      <w:r>
        <w:rPr>
          <w:rFonts w:ascii="Verdana" w:hAnsi="Verdana"/>
          <w:sz w:val="16"/>
          <w:szCs w:val="16"/>
          <w:lang w:val="es-CR"/>
        </w:rPr>
        <w:t xml:space="preserve"> nota 23 (última consulta el 30 de agosto de 2017)</w:t>
      </w:r>
      <w:r w:rsidRPr="00592604">
        <w:rPr>
          <w:rFonts w:ascii="Verdana" w:hAnsi="Verdana"/>
          <w:sz w:val="16"/>
          <w:szCs w:val="16"/>
          <w:lang w:val="es-CR"/>
        </w:rPr>
        <w:t>.</w:t>
      </w:r>
    </w:p>
  </w:footnote>
  <w:footnote w:id="30">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w:t>
      </w:r>
      <w:r w:rsidRPr="00592604">
        <w:rPr>
          <w:rFonts w:ascii="Verdana" w:hAnsi="Verdana"/>
          <w:i/>
          <w:sz w:val="16"/>
          <w:szCs w:val="16"/>
        </w:rPr>
        <w:t>Caso Kimel Vs. Argentina. Supervisión de Cumplimiento de Sentencia.</w:t>
      </w:r>
      <w:r w:rsidRPr="00592604">
        <w:rPr>
          <w:rFonts w:ascii="Verdana" w:hAnsi="Verdana"/>
          <w:sz w:val="16"/>
          <w:szCs w:val="16"/>
        </w:rPr>
        <w:t xml:space="preserve"> Resolución de la Corte </w:t>
      </w:r>
      <w:r>
        <w:rPr>
          <w:rFonts w:ascii="Verdana" w:hAnsi="Verdana"/>
          <w:sz w:val="16"/>
          <w:szCs w:val="16"/>
        </w:rPr>
        <w:t xml:space="preserve">Interamericana de Derechos Humanos </w:t>
      </w:r>
      <w:r w:rsidRPr="00592604">
        <w:rPr>
          <w:rFonts w:ascii="Verdana" w:hAnsi="Verdana"/>
          <w:sz w:val="16"/>
          <w:szCs w:val="16"/>
        </w:rPr>
        <w:t>de 15 de noviembre de 2010, Considerando 17.</w:t>
      </w:r>
    </w:p>
  </w:footnote>
  <w:footnote w:id="31">
    <w:p w:rsidR="003B556D" w:rsidRPr="00592604" w:rsidRDefault="003B556D" w:rsidP="009D1022">
      <w:pPr>
        <w:pStyle w:val="FootnoteText"/>
        <w:tabs>
          <w:tab w:val="left" w:pos="426"/>
        </w:tabs>
        <w:ind w:right="-709"/>
        <w:jc w:val="both"/>
        <w:rPr>
          <w:rFonts w:ascii="Verdana" w:hAnsi="Verdana"/>
          <w:sz w:val="16"/>
          <w:szCs w:val="16"/>
          <w:highlight w:val="yellow"/>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lang w:val="es-CR"/>
        </w:rPr>
        <w:tab/>
      </w:r>
      <w:r w:rsidRPr="00592604">
        <w:rPr>
          <w:rFonts w:ascii="Verdana" w:hAnsi="Verdana"/>
          <w:i/>
          <w:sz w:val="16"/>
          <w:szCs w:val="16"/>
          <w:lang w:val="es-CR"/>
        </w:rPr>
        <w:t>Cfr.</w:t>
      </w:r>
      <w:r w:rsidRPr="00592604">
        <w:rPr>
          <w:rFonts w:ascii="Verdana" w:hAnsi="Verdana"/>
          <w:sz w:val="16"/>
          <w:szCs w:val="16"/>
          <w:lang w:val="es-CR"/>
        </w:rPr>
        <w:t xml:space="preserve"> Minuta de la reunión celebrada el 11 de marzo de 2016 </w:t>
      </w:r>
      <w:r>
        <w:rPr>
          <w:rFonts w:ascii="Verdana" w:hAnsi="Verdana"/>
          <w:sz w:val="16"/>
          <w:szCs w:val="16"/>
          <w:lang w:val="es-CR"/>
        </w:rPr>
        <w:t>“</w:t>
      </w:r>
      <w:r w:rsidRPr="00592604">
        <w:rPr>
          <w:rFonts w:ascii="Verdana" w:hAnsi="Verdana"/>
          <w:sz w:val="16"/>
          <w:szCs w:val="16"/>
          <w:lang w:val="es-CR"/>
        </w:rPr>
        <w:t>entre personeros de la Academia de Guerra de la F</w:t>
      </w:r>
      <w:r>
        <w:rPr>
          <w:rFonts w:ascii="Verdana" w:hAnsi="Verdana"/>
          <w:sz w:val="16"/>
          <w:szCs w:val="16"/>
          <w:lang w:val="es-CR"/>
        </w:rPr>
        <w:t>[</w:t>
      </w:r>
      <w:r w:rsidRPr="00592604">
        <w:rPr>
          <w:rFonts w:ascii="Verdana" w:hAnsi="Verdana"/>
          <w:sz w:val="16"/>
          <w:szCs w:val="16"/>
          <w:lang w:val="es-CR"/>
        </w:rPr>
        <w:t>uerza Aérea de Chile</w:t>
      </w:r>
      <w:r>
        <w:rPr>
          <w:rFonts w:ascii="Verdana" w:hAnsi="Verdana"/>
          <w:sz w:val="16"/>
          <w:szCs w:val="16"/>
          <w:lang w:val="es-CR"/>
        </w:rPr>
        <w:t>]</w:t>
      </w:r>
      <w:r w:rsidRPr="00592604">
        <w:rPr>
          <w:rFonts w:ascii="Verdana" w:hAnsi="Verdana"/>
          <w:sz w:val="16"/>
          <w:szCs w:val="16"/>
          <w:lang w:val="es-CR"/>
        </w:rPr>
        <w:t xml:space="preserve">, representantes del Ministerio de Defensa, de la Dirección de Derechos Humanos del Ministerio de Relaciones Exteriores y del Programa de Derechos Humanos del </w:t>
      </w:r>
      <w:r>
        <w:rPr>
          <w:rFonts w:ascii="Verdana" w:hAnsi="Verdana"/>
          <w:sz w:val="16"/>
          <w:szCs w:val="16"/>
          <w:lang w:val="es-CR"/>
        </w:rPr>
        <w:t xml:space="preserve">Ministerio del </w:t>
      </w:r>
      <w:r w:rsidRPr="00592604">
        <w:rPr>
          <w:rFonts w:ascii="Verdana" w:hAnsi="Verdana"/>
          <w:sz w:val="16"/>
          <w:szCs w:val="16"/>
          <w:lang w:val="es-CR"/>
        </w:rPr>
        <w:t xml:space="preserve">Interior y Seguridad Pública </w:t>
      </w:r>
      <w:r>
        <w:rPr>
          <w:rFonts w:ascii="Verdana" w:hAnsi="Verdana"/>
          <w:sz w:val="16"/>
          <w:szCs w:val="16"/>
          <w:lang w:val="es-CR"/>
        </w:rPr>
        <w:t>[</w:t>
      </w:r>
      <w:r w:rsidRPr="00592604">
        <w:rPr>
          <w:rFonts w:ascii="Verdana" w:hAnsi="Verdana"/>
          <w:sz w:val="16"/>
          <w:szCs w:val="16"/>
          <w:lang w:val="es-CR"/>
        </w:rPr>
        <w:t>para</w:t>
      </w:r>
      <w:r>
        <w:rPr>
          <w:rFonts w:ascii="Verdana" w:hAnsi="Verdana"/>
          <w:sz w:val="16"/>
          <w:szCs w:val="16"/>
          <w:lang w:val="es-CR"/>
        </w:rPr>
        <w:t>]</w:t>
      </w:r>
      <w:r w:rsidRPr="00592604">
        <w:rPr>
          <w:rFonts w:ascii="Verdana" w:hAnsi="Verdana"/>
          <w:sz w:val="16"/>
          <w:szCs w:val="16"/>
          <w:lang w:val="es-CR"/>
        </w:rPr>
        <w:t xml:space="preserve"> proyectar un espacio </w:t>
      </w:r>
      <w:r>
        <w:rPr>
          <w:rFonts w:ascii="Verdana" w:hAnsi="Verdana"/>
          <w:sz w:val="16"/>
          <w:szCs w:val="16"/>
          <w:lang w:val="es-CR"/>
        </w:rPr>
        <w:t xml:space="preserve">en la […] Academia </w:t>
      </w:r>
      <w:r w:rsidRPr="00592604">
        <w:rPr>
          <w:rFonts w:ascii="Verdana" w:hAnsi="Verdana"/>
          <w:sz w:val="16"/>
          <w:szCs w:val="16"/>
          <w:lang w:val="es-CR"/>
        </w:rPr>
        <w:t>para la colocación de la placa</w:t>
      </w:r>
      <w:r>
        <w:rPr>
          <w:rFonts w:ascii="Verdana" w:hAnsi="Verdana"/>
          <w:sz w:val="16"/>
          <w:szCs w:val="16"/>
          <w:lang w:val="es-CR"/>
        </w:rPr>
        <w:t>”</w:t>
      </w:r>
      <w:r w:rsidRPr="00592604">
        <w:rPr>
          <w:rFonts w:ascii="Verdana" w:hAnsi="Verdana"/>
          <w:sz w:val="16"/>
          <w:szCs w:val="16"/>
          <w:lang w:val="es-CR"/>
        </w:rPr>
        <w:t xml:space="preserve">; </w:t>
      </w:r>
      <w:r>
        <w:rPr>
          <w:rFonts w:ascii="Verdana" w:hAnsi="Verdana"/>
          <w:sz w:val="16"/>
          <w:szCs w:val="16"/>
          <w:lang w:val="es-CR"/>
        </w:rPr>
        <w:t>d</w:t>
      </w:r>
      <w:r w:rsidRPr="00592604">
        <w:rPr>
          <w:rFonts w:ascii="Verdana" w:hAnsi="Verdana"/>
          <w:sz w:val="16"/>
          <w:szCs w:val="16"/>
          <w:lang w:val="es-CR"/>
        </w:rPr>
        <w:t xml:space="preserve">ocumento </w:t>
      </w:r>
      <w:r>
        <w:rPr>
          <w:rFonts w:ascii="Verdana" w:hAnsi="Verdana"/>
          <w:sz w:val="16"/>
          <w:szCs w:val="16"/>
          <w:lang w:val="es-CR"/>
        </w:rPr>
        <w:t xml:space="preserve">sin fecha </w:t>
      </w:r>
      <w:r w:rsidRPr="00592604">
        <w:rPr>
          <w:rFonts w:ascii="Verdana" w:hAnsi="Verdana"/>
          <w:sz w:val="16"/>
          <w:szCs w:val="16"/>
          <w:lang w:val="es-CR"/>
        </w:rPr>
        <w:t>titulado “Minuta Plaza Recordatoria”; transcripción del texto de la placa y fotografía de la misma; borrador del “</w:t>
      </w:r>
      <w:r>
        <w:rPr>
          <w:rFonts w:ascii="Verdana" w:hAnsi="Verdana"/>
          <w:sz w:val="16"/>
          <w:szCs w:val="16"/>
          <w:lang w:val="es-CR"/>
        </w:rPr>
        <w:t>L</w:t>
      </w:r>
      <w:r w:rsidRPr="00592604">
        <w:rPr>
          <w:rFonts w:ascii="Verdana" w:hAnsi="Verdana"/>
          <w:sz w:val="16"/>
          <w:szCs w:val="16"/>
          <w:lang w:val="es-CR"/>
        </w:rPr>
        <w:t xml:space="preserve">ibreto” del acto de develación de la placa, y </w:t>
      </w:r>
      <w:r>
        <w:rPr>
          <w:rFonts w:ascii="Verdana" w:hAnsi="Verdana"/>
          <w:sz w:val="16"/>
          <w:szCs w:val="16"/>
          <w:lang w:val="es-CR"/>
        </w:rPr>
        <w:t>“L</w:t>
      </w:r>
      <w:r w:rsidRPr="00592604">
        <w:rPr>
          <w:rFonts w:ascii="Verdana" w:hAnsi="Verdana"/>
          <w:sz w:val="16"/>
          <w:szCs w:val="16"/>
          <w:lang w:val="es-CR"/>
        </w:rPr>
        <w:t>istado de medios de prensa en acto de develación de la placa conmemorativa</w:t>
      </w:r>
      <w:r>
        <w:rPr>
          <w:rFonts w:ascii="Verdana" w:hAnsi="Verdana"/>
          <w:sz w:val="16"/>
          <w:szCs w:val="16"/>
          <w:lang w:val="es-CR"/>
        </w:rPr>
        <w:t>”</w:t>
      </w:r>
      <w:r w:rsidRPr="00592604">
        <w:rPr>
          <w:rFonts w:ascii="Verdana" w:hAnsi="Verdana"/>
          <w:sz w:val="16"/>
          <w:szCs w:val="16"/>
          <w:lang w:val="es-CR"/>
        </w:rPr>
        <w:t xml:space="preserve"> (anexos 10, 11 y 12 al informe estatal de octubre de 2016). </w:t>
      </w:r>
    </w:p>
  </w:footnote>
  <w:footnote w:id="32">
    <w:p w:rsidR="003B556D" w:rsidRPr="00592604" w:rsidRDefault="003B556D" w:rsidP="009D1022">
      <w:pPr>
        <w:pStyle w:val="FootnoteText"/>
        <w:tabs>
          <w:tab w:val="left" w:pos="426"/>
        </w:tabs>
        <w:ind w:right="-709"/>
        <w:jc w:val="both"/>
        <w:rPr>
          <w:rFonts w:ascii="Verdana" w:hAnsi="Verdana"/>
          <w:sz w:val="16"/>
          <w:szCs w:val="16"/>
          <w:highlight w:val="yellow"/>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texto de la placa también indica que “[e]l Estado de Chile, cumpliendo con el mandato de la Corte Interamericana de Derechos Humanos contenido en la sentencia ‘Omar Humberto Maldonado Vargas y otros Vs. Chile’, recuerda a todos quienes en [la] Academia [de Guerra Aérea] fueron víctimas de graves violaciones de derechos humanos a partir del 11 de septiembre de 1973”, y que “[l]a Fuerza Aérea de Chile reitera el compromiso de las actuales y futuras generaciones de oficiales y suboficiales de respetar y promover el valor de la Democracia, del Estado de Derecho y de los Derechos Humanos inherentes a toda persona”. </w:t>
      </w:r>
      <w:r w:rsidRPr="00592604">
        <w:rPr>
          <w:rFonts w:ascii="Verdana" w:hAnsi="Verdana"/>
          <w:i/>
          <w:sz w:val="16"/>
          <w:szCs w:val="16"/>
        </w:rPr>
        <w:t>Cfr.</w:t>
      </w:r>
      <w:r w:rsidRPr="00592604">
        <w:rPr>
          <w:rFonts w:ascii="Verdana" w:hAnsi="Verdana"/>
          <w:sz w:val="16"/>
          <w:szCs w:val="16"/>
        </w:rPr>
        <w:t xml:space="preserve"> </w:t>
      </w:r>
      <w:r w:rsidRPr="00592604">
        <w:rPr>
          <w:rFonts w:ascii="Verdana" w:hAnsi="Verdana"/>
          <w:sz w:val="16"/>
          <w:szCs w:val="16"/>
          <w:lang w:val="es-CR"/>
        </w:rPr>
        <w:t>Transcripción del texto de la placa y fotografía de la misma (anexo 11 al informe estatal de octubre de 201</w:t>
      </w:r>
      <w:r>
        <w:rPr>
          <w:rFonts w:ascii="Verdana" w:hAnsi="Verdana"/>
          <w:sz w:val="16"/>
          <w:szCs w:val="16"/>
          <w:lang w:val="es-CR"/>
        </w:rPr>
        <w:t>6</w:t>
      </w:r>
      <w:r w:rsidRPr="00592604">
        <w:rPr>
          <w:rFonts w:ascii="Verdana" w:hAnsi="Verdana"/>
          <w:sz w:val="16"/>
          <w:szCs w:val="16"/>
          <w:lang w:val="es-CR"/>
        </w:rPr>
        <w:t>).</w:t>
      </w:r>
    </w:p>
  </w:footnote>
  <w:footnote w:id="33">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Pr>
          <w:rFonts w:ascii="Verdana" w:hAnsi="Verdana"/>
          <w:sz w:val="16"/>
          <w:szCs w:val="16"/>
        </w:rPr>
        <w:t>Según prueba aportada por el Estado, “[e]</w:t>
      </w:r>
      <w:r w:rsidRPr="00592604">
        <w:rPr>
          <w:rFonts w:ascii="Verdana" w:hAnsi="Verdana"/>
          <w:sz w:val="16"/>
          <w:szCs w:val="16"/>
        </w:rPr>
        <w:t xml:space="preserve">l contenido de la placa fue aprobado por el representante de las víctimas y sus abogados, así como </w:t>
      </w:r>
      <w:r>
        <w:rPr>
          <w:rFonts w:ascii="Verdana" w:hAnsi="Verdana"/>
          <w:sz w:val="16"/>
          <w:szCs w:val="16"/>
        </w:rPr>
        <w:t>[</w:t>
      </w:r>
      <w:r w:rsidRPr="00592604">
        <w:rPr>
          <w:rFonts w:ascii="Verdana" w:hAnsi="Verdana"/>
          <w:sz w:val="16"/>
          <w:szCs w:val="16"/>
        </w:rPr>
        <w:t>por</w:t>
      </w:r>
      <w:r>
        <w:rPr>
          <w:rFonts w:ascii="Verdana" w:hAnsi="Verdana"/>
          <w:sz w:val="16"/>
          <w:szCs w:val="16"/>
        </w:rPr>
        <w:t>]</w:t>
      </w:r>
      <w:r w:rsidRPr="00592604">
        <w:rPr>
          <w:rFonts w:ascii="Verdana" w:hAnsi="Verdana"/>
          <w:sz w:val="16"/>
          <w:szCs w:val="16"/>
        </w:rPr>
        <w:t xml:space="preserve"> los representantes de los ministerios de Relaciones Exteriores, del Interior y de Defensa</w:t>
      </w:r>
      <w:r>
        <w:rPr>
          <w:rFonts w:ascii="Verdana" w:hAnsi="Verdana"/>
          <w:sz w:val="16"/>
          <w:szCs w:val="16"/>
        </w:rPr>
        <w:t>”</w:t>
      </w:r>
      <w:r w:rsidRPr="00592604">
        <w:rPr>
          <w:rFonts w:ascii="Verdana" w:hAnsi="Verdana"/>
          <w:sz w:val="16"/>
          <w:szCs w:val="16"/>
        </w:rPr>
        <w:t xml:space="preserve">. Para determinar el </w:t>
      </w:r>
      <w:r>
        <w:rPr>
          <w:rFonts w:ascii="Verdana" w:hAnsi="Verdana"/>
          <w:sz w:val="16"/>
          <w:szCs w:val="16"/>
        </w:rPr>
        <w:t>“[</w:t>
      </w:r>
      <w:r w:rsidRPr="00592604">
        <w:rPr>
          <w:rFonts w:ascii="Verdana" w:hAnsi="Verdana"/>
          <w:sz w:val="16"/>
          <w:szCs w:val="16"/>
        </w:rPr>
        <w:t>l</w:t>
      </w:r>
      <w:r>
        <w:rPr>
          <w:rFonts w:ascii="Verdana" w:hAnsi="Verdana"/>
          <w:sz w:val="16"/>
          <w:szCs w:val="16"/>
        </w:rPr>
        <w:t>]</w:t>
      </w:r>
      <w:r w:rsidRPr="00592604">
        <w:rPr>
          <w:rFonts w:ascii="Verdana" w:hAnsi="Verdana"/>
          <w:sz w:val="16"/>
          <w:szCs w:val="16"/>
        </w:rPr>
        <w:t xml:space="preserve">ugar de instalación de la placa </w:t>
      </w:r>
      <w:r>
        <w:rPr>
          <w:rFonts w:ascii="Verdana" w:hAnsi="Verdana"/>
          <w:sz w:val="16"/>
          <w:szCs w:val="16"/>
        </w:rPr>
        <w:t>recordatoria” “[</w:t>
      </w:r>
      <w:r w:rsidRPr="00592604">
        <w:rPr>
          <w:rFonts w:ascii="Verdana" w:hAnsi="Verdana"/>
          <w:sz w:val="16"/>
          <w:szCs w:val="16"/>
        </w:rPr>
        <w:t>s</w:t>
      </w:r>
      <w:r>
        <w:rPr>
          <w:rFonts w:ascii="Verdana" w:hAnsi="Verdana"/>
          <w:sz w:val="16"/>
          <w:szCs w:val="16"/>
        </w:rPr>
        <w:t>]</w:t>
      </w:r>
      <w:r w:rsidRPr="00592604">
        <w:rPr>
          <w:rFonts w:ascii="Verdana" w:hAnsi="Verdana"/>
          <w:sz w:val="16"/>
          <w:szCs w:val="16"/>
        </w:rPr>
        <w:t xml:space="preserve">e realizaron </w:t>
      </w:r>
      <w:r>
        <w:rPr>
          <w:rFonts w:ascii="Verdana" w:hAnsi="Verdana"/>
          <w:sz w:val="16"/>
          <w:szCs w:val="16"/>
        </w:rPr>
        <w:t>varias</w:t>
      </w:r>
      <w:r w:rsidRPr="00592604">
        <w:rPr>
          <w:rFonts w:ascii="Verdana" w:hAnsi="Verdana"/>
          <w:sz w:val="16"/>
          <w:szCs w:val="16"/>
        </w:rPr>
        <w:t xml:space="preserve"> visitas a las dependencias de la A</w:t>
      </w:r>
      <w:r>
        <w:rPr>
          <w:rFonts w:ascii="Verdana" w:hAnsi="Verdana"/>
          <w:sz w:val="16"/>
          <w:szCs w:val="16"/>
        </w:rPr>
        <w:t>[</w:t>
      </w:r>
      <w:r w:rsidRPr="00592604">
        <w:rPr>
          <w:rFonts w:ascii="Verdana" w:hAnsi="Verdana"/>
          <w:sz w:val="16"/>
          <w:szCs w:val="16"/>
        </w:rPr>
        <w:t>cademia de Guerra Aérea a las cuales</w:t>
      </w:r>
      <w:r>
        <w:rPr>
          <w:rFonts w:ascii="Verdana" w:hAnsi="Verdana"/>
          <w:sz w:val="16"/>
          <w:szCs w:val="16"/>
        </w:rPr>
        <w:t>]</w:t>
      </w:r>
      <w:r w:rsidRPr="00592604">
        <w:rPr>
          <w:rFonts w:ascii="Verdana" w:hAnsi="Verdana"/>
          <w:sz w:val="16"/>
          <w:szCs w:val="16"/>
        </w:rPr>
        <w:t xml:space="preserve"> asistieron representantes de las víctimas y sus abogados, así como representantes de los ministerios de Relaciones Exteriores, del Interior, de Defensa y de Obras Públicas</w:t>
      </w:r>
      <w:r>
        <w:rPr>
          <w:rFonts w:ascii="Verdana" w:hAnsi="Verdana"/>
          <w:sz w:val="16"/>
          <w:szCs w:val="16"/>
        </w:rPr>
        <w:t>”</w:t>
      </w:r>
      <w:r w:rsidRPr="00592604">
        <w:rPr>
          <w:rFonts w:ascii="Verdana" w:hAnsi="Verdana"/>
          <w:sz w:val="16"/>
          <w:szCs w:val="16"/>
        </w:rPr>
        <w:t xml:space="preserve">. En cuando al </w:t>
      </w:r>
      <w:r>
        <w:rPr>
          <w:rFonts w:ascii="Verdana" w:hAnsi="Verdana"/>
          <w:sz w:val="16"/>
          <w:szCs w:val="16"/>
        </w:rPr>
        <w:t>“</w:t>
      </w:r>
      <w:r w:rsidRPr="00592604">
        <w:rPr>
          <w:rFonts w:ascii="Verdana" w:hAnsi="Verdana"/>
          <w:sz w:val="16"/>
          <w:szCs w:val="16"/>
        </w:rPr>
        <w:t>diseño de la placa</w:t>
      </w:r>
      <w:r>
        <w:rPr>
          <w:rFonts w:ascii="Verdana" w:hAnsi="Verdana"/>
          <w:sz w:val="16"/>
          <w:szCs w:val="16"/>
        </w:rPr>
        <w:t>”</w:t>
      </w:r>
      <w:r w:rsidRPr="00592604">
        <w:rPr>
          <w:rFonts w:ascii="Verdana" w:hAnsi="Verdana"/>
          <w:sz w:val="16"/>
          <w:szCs w:val="16"/>
        </w:rPr>
        <w:t xml:space="preserve">, </w:t>
      </w:r>
      <w:r>
        <w:rPr>
          <w:rFonts w:ascii="Verdana" w:hAnsi="Verdana"/>
          <w:sz w:val="16"/>
          <w:szCs w:val="16"/>
        </w:rPr>
        <w:t>“</w:t>
      </w:r>
      <w:r w:rsidRPr="00592604">
        <w:rPr>
          <w:rFonts w:ascii="Verdana" w:hAnsi="Verdana"/>
          <w:sz w:val="16"/>
          <w:szCs w:val="16"/>
        </w:rPr>
        <w:t xml:space="preserve">se invitó a tres artistas plásticos de reconocida trayectoria </w:t>
      </w:r>
      <w:r>
        <w:rPr>
          <w:rFonts w:ascii="Verdana" w:hAnsi="Verdana"/>
          <w:sz w:val="16"/>
          <w:szCs w:val="16"/>
        </w:rPr>
        <w:t xml:space="preserve">y experiencia” </w:t>
      </w:r>
      <w:r w:rsidRPr="00592604">
        <w:rPr>
          <w:rFonts w:ascii="Verdana" w:hAnsi="Verdana"/>
          <w:sz w:val="16"/>
          <w:szCs w:val="16"/>
        </w:rPr>
        <w:t>para presentar cada uno una propuesta de diseño, y los representantes de las víctimas escogieron</w:t>
      </w:r>
      <w:r>
        <w:rPr>
          <w:rFonts w:ascii="Verdana" w:hAnsi="Verdana"/>
          <w:sz w:val="16"/>
          <w:szCs w:val="16"/>
        </w:rPr>
        <w:t xml:space="preserve"> en una reunión realizada en septiembre de 2016</w:t>
      </w:r>
      <w:r w:rsidRPr="00592604">
        <w:rPr>
          <w:rFonts w:ascii="Verdana" w:hAnsi="Verdana"/>
          <w:sz w:val="16"/>
          <w:szCs w:val="16"/>
        </w:rPr>
        <w:t xml:space="preserve"> la propuesta de su preferencia</w:t>
      </w:r>
      <w:r>
        <w:rPr>
          <w:rFonts w:ascii="Verdana" w:hAnsi="Verdana"/>
          <w:sz w:val="16"/>
          <w:szCs w:val="16"/>
        </w:rPr>
        <w:t>.</w:t>
      </w:r>
      <w:r w:rsidRPr="00592604">
        <w:rPr>
          <w:rFonts w:ascii="Verdana" w:hAnsi="Verdana"/>
          <w:sz w:val="16"/>
          <w:szCs w:val="16"/>
        </w:rPr>
        <w:t xml:space="preserve"> </w:t>
      </w:r>
      <w:r w:rsidRPr="00592604">
        <w:rPr>
          <w:rFonts w:ascii="Verdana" w:hAnsi="Verdana"/>
          <w:i/>
          <w:sz w:val="16"/>
          <w:szCs w:val="16"/>
        </w:rPr>
        <w:t>Cfr.</w:t>
      </w:r>
      <w:r w:rsidRPr="00592604">
        <w:rPr>
          <w:rFonts w:ascii="Verdana" w:hAnsi="Verdana"/>
          <w:b/>
          <w:sz w:val="16"/>
          <w:szCs w:val="16"/>
        </w:rPr>
        <w:t xml:space="preserve"> </w:t>
      </w:r>
      <w:r w:rsidRPr="00592604">
        <w:rPr>
          <w:rFonts w:ascii="Verdana" w:hAnsi="Verdana"/>
          <w:sz w:val="16"/>
          <w:szCs w:val="16"/>
          <w:lang w:val="es-CR"/>
        </w:rPr>
        <w:t>Documento</w:t>
      </w:r>
      <w:r>
        <w:rPr>
          <w:rFonts w:ascii="Verdana" w:hAnsi="Verdana"/>
          <w:sz w:val="16"/>
          <w:szCs w:val="16"/>
          <w:lang w:val="es-CR"/>
        </w:rPr>
        <w:t xml:space="preserve"> sin fecha</w:t>
      </w:r>
      <w:r w:rsidRPr="00592604">
        <w:rPr>
          <w:rFonts w:ascii="Verdana" w:hAnsi="Verdana"/>
          <w:sz w:val="16"/>
          <w:szCs w:val="16"/>
          <w:lang w:val="es-CR"/>
        </w:rPr>
        <w:t xml:space="preserve"> titulado “Minuta Plaza Recordatoria” (anexo 11 al informe estatal de octubre de 201</w:t>
      </w:r>
      <w:r>
        <w:rPr>
          <w:rFonts w:ascii="Verdana" w:hAnsi="Verdana"/>
          <w:sz w:val="16"/>
          <w:szCs w:val="16"/>
          <w:lang w:val="es-CR"/>
        </w:rPr>
        <w:t>6</w:t>
      </w:r>
      <w:r w:rsidRPr="00592604">
        <w:rPr>
          <w:rFonts w:ascii="Verdana" w:hAnsi="Verdana"/>
          <w:sz w:val="16"/>
          <w:szCs w:val="16"/>
          <w:lang w:val="es-CR"/>
        </w:rPr>
        <w:t>).</w:t>
      </w:r>
    </w:p>
  </w:footnote>
  <w:footnote w:id="34">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Los Ministros de Relaciones Exteriores, Defensa Nacional, Justicia y Derechos Humanos y Vivienda y Urbanismo, y los Subsecretarios de Defensa y para las Fuerzas Armadas, así como el Comandante en Jefe de la Fuerza Aérea.</w:t>
      </w:r>
    </w:p>
  </w:footnote>
  <w:footnote w:id="35">
    <w:p w:rsidR="003B556D" w:rsidRPr="00B47B44" w:rsidRDefault="003B556D" w:rsidP="00B32470">
      <w:pPr>
        <w:pStyle w:val="FootnoteText"/>
        <w:tabs>
          <w:tab w:val="left" w:pos="426"/>
        </w:tabs>
        <w:ind w:right="-709"/>
        <w:jc w:val="both"/>
        <w:rPr>
          <w:rFonts w:ascii="Verdana" w:hAnsi="Verdana"/>
          <w:sz w:val="16"/>
          <w:szCs w:val="16"/>
        </w:rPr>
      </w:pPr>
      <w:r w:rsidRPr="00B47B44">
        <w:rPr>
          <w:rStyle w:val="FootnoteReference"/>
          <w:rFonts w:ascii="Verdana" w:hAnsi="Verdana"/>
          <w:sz w:val="16"/>
          <w:szCs w:val="16"/>
        </w:rPr>
        <w:footnoteRef/>
      </w:r>
      <w:r w:rsidRPr="00B47B44">
        <w:rPr>
          <w:rFonts w:ascii="Verdana" w:hAnsi="Verdana"/>
          <w:sz w:val="16"/>
          <w:szCs w:val="16"/>
        </w:rPr>
        <w:t xml:space="preserve"> </w:t>
      </w:r>
      <w:r w:rsidRPr="00B47B44">
        <w:rPr>
          <w:rFonts w:ascii="Verdana" w:hAnsi="Verdana"/>
          <w:sz w:val="16"/>
          <w:szCs w:val="16"/>
        </w:rPr>
        <w:tab/>
      </w:r>
      <w:r w:rsidRPr="00B47B44">
        <w:rPr>
          <w:rFonts w:ascii="Verdana" w:hAnsi="Verdana" w:cs="Arial"/>
          <w:i/>
          <w:sz w:val="16"/>
          <w:szCs w:val="16"/>
          <w:lang w:val="es-CR"/>
        </w:rPr>
        <w:t>Cfr.</w:t>
      </w:r>
      <w:r w:rsidRPr="00B47B44">
        <w:rPr>
          <w:rFonts w:ascii="Verdana" w:hAnsi="Verdana" w:cs="Arial"/>
          <w:b/>
          <w:i/>
          <w:sz w:val="16"/>
          <w:szCs w:val="16"/>
          <w:lang w:val="es-CR"/>
        </w:rPr>
        <w:t xml:space="preserve"> </w:t>
      </w:r>
      <w:r w:rsidRPr="00B47B44">
        <w:rPr>
          <w:rStyle w:val="Strong"/>
          <w:rFonts w:ascii="Verdana" w:hAnsi="Verdana" w:cs="Arial"/>
          <w:b w:val="0"/>
          <w:i/>
          <w:sz w:val="16"/>
          <w:szCs w:val="16"/>
          <w:shd w:val="clear" w:color="auto" w:fill="FFFFFF"/>
          <w:lang w:val="es-CR"/>
        </w:rPr>
        <w:t xml:space="preserve">Caso Omar Humberto Maldonado Vargas y otros, supra </w:t>
      </w:r>
      <w:r w:rsidRPr="00B47B44">
        <w:rPr>
          <w:rStyle w:val="Strong"/>
          <w:rFonts w:ascii="Verdana" w:hAnsi="Verdana" w:cs="Arial"/>
          <w:b w:val="0"/>
          <w:sz w:val="16"/>
          <w:szCs w:val="16"/>
          <w:shd w:val="clear" w:color="auto" w:fill="FFFFFF"/>
          <w:lang w:val="es-CR"/>
        </w:rPr>
        <w:t xml:space="preserve">nota 1, párrs. 44, 45, 47 y </w:t>
      </w:r>
      <w:r>
        <w:rPr>
          <w:rStyle w:val="Strong"/>
          <w:rFonts w:ascii="Verdana" w:hAnsi="Verdana" w:cs="Arial"/>
          <w:b w:val="0"/>
          <w:sz w:val="16"/>
          <w:szCs w:val="16"/>
          <w:shd w:val="clear" w:color="auto" w:fill="FFFFFF"/>
          <w:lang w:val="es-CR"/>
        </w:rPr>
        <w:t xml:space="preserve">125 a </w:t>
      </w:r>
      <w:r w:rsidRPr="00B47B44">
        <w:rPr>
          <w:rStyle w:val="Strong"/>
          <w:rFonts w:ascii="Verdana" w:hAnsi="Verdana" w:cs="Arial"/>
          <w:b w:val="0"/>
          <w:sz w:val="16"/>
          <w:szCs w:val="16"/>
          <w:shd w:val="clear" w:color="auto" w:fill="FFFFFF"/>
          <w:lang w:val="es-CR"/>
        </w:rPr>
        <w:t>142.</w:t>
      </w:r>
    </w:p>
  </w:footnote>
  <w:footnote w:id="36">
    <w:p w:rsidR="003B556D" w:rsidRPr="00B47B44" w:rsidRDefault="003B556D" w:rsidP="00B32470">
      <w:pPr>
        <w:pStyle w:val="FootnoteText"/>
        <w:tabs>
          <w:tab w:val="left" w:pos="426"/>
        </w:tabs>
        <w:jc w:val="both"/>
        <w:rPr>
          <w:rFonts w:ascii="Verdana" w:hAnsi="Verdana"/>
          <w:sz w:val="16"/>
          <w:szCs w:val="16"/>
        </w:rPr>
      </w:pPr>
      <w:r w:rsidRPr="00B47B44">
        <w:rPr>
          <w:rStyle w:val="FootnoteReference"/>
          <w:rFonts w:ascii="Verdana" w:hAnsi="Verdana"/>
          <w:sz w:val="16"/>
          <w:szCs w:val="16"/>
        </w:rPr>
        <w:footnoteRef/>
      </w:r>
      <w:r w:rsidRPr="00B47B44">
        <w:rPr>
          <w:rFonts w:ascii="Verdana" w:hAnsi="Verdana"/>
          <w:sz w:val="16"/>
          <w:szCs w:val="16"/>
        </w:rPr>
        <w:t xml:space="preserve"> </w:t>
      </w:r>
      <w:r w:rsidRPr="00B47B44">
        <w:rPr>
          <w:rFonts w:ascii="Verdana" w:hAnsi="Verdana"/>
          <w:sz w:val="16"/>
          <w:szCs w:val="16"/>
        </w:rPr>
        <w:tab/>
      </w:r>
      <w:r w:rsidRPr="00B47B44">
        <w:rPr>
          <w:rFonts w:ascii="Verdana" w:hAnsi="Verdana" w:cs="Arial"/>
          <w:i/>
          <w:sz w:val="16"/>
          <w:szCs w:val="16"/>
          <w:lang w:val="es-CR"/>
        </w:rPr>
        <w:t>Cfr.</w:t>
      </w:r>
      <w:r w:rsidRPr="00B47B44">
        <w:rPr>
          <w:rFonts w:ascii="Verdana" w:hAnsi="Verdana" w:cs="Arial"/>
          <w:b/>
          <w:i/>
          <w:sz w:val="16"/>
          <w:szCs w:val="16"/>
          <w:lang w:val="es-CR"/>
        </w:rPr>
        <w:t xml:space="preserve"> </w:t>
      </w:r>
      <w:r w:rsidRPr="00B47B44">
        <w:rPr>
          <w:rStyle w:val="Strong"/>
          <w:rFonts w:ascii="Verdana" w:hAnsi="Verdana" w:cs="Arial"/>
          <w:b w:val="0"/>
          <w:i/>
          <w:sz w:val="16"/>
          <w:szCs w:val="16"/>
          <w:shd w:val="clear" w:color="auto" w:fill="FFFFFF"/>
          <w:lang w:val="es-CR"/>
        </w:rPr>
        <w:t xml:space="preserve">Caso Omar Humberto Maldonado Vargas y otros, supra </w:t>
      </w:r>
      <w:r w:rsidRPr="00B47B44">
        <w:rPr>
          <w:rStyle w:val="Strong"/>
          <w:rFonts w:ascii="Verdana" w:hAnsi="Verdana" w:cs="Arial"/>
          <w:b w:val="0"/>
          <w:sz w:val="16"/>
          <w:szCs w:val="16"/>
          <w:shd w:val="clear" w:color="auto" w:fill="FFFFFF"/>
          <w:lang w:val="es-CR"/>
        </w:rPr>
        <w:t>nota 1, párr</w:t>
      </w:r>
      <w:r>
        <w:rPr>
          <w:rStyle w:val="Strong"/>
          <w:rFonts w:ascii="Verdana" w:hAnsi="Verdana" w:cs="Arial"/>
          <w:b w:val="0"/>
          <w:sz w:val="16"/>
          <w:szCs w:val="16"/>
          <w:shd w:val="clear" w:color="auto" w:fill="FFFFFF"/>
          <w:lang w:val="es-CR"/>
        </w:rPr>
        <w:t>s</w:t>
      </w:r>
      <w:r w:rsidRPr="00B47B44">
        <w:rPr>
          <w:rStyle w:val="Strong"/>
          <w:rFonts w:ascii="Verdana" w:hAnsi="Verdana" w:cs="Arial"/>
          <w:b w:val="0"/>
          <w:sz w:val="16"/>
          <w:szCs w:val="16"/>
          <w:shd w:val="clear" w:color="auto" w:fill="FFFFFF"/>
          <w:lang w:val="es-CR"/>
        </w:rPr>
        <w:t xml:space="preserve">. </w:t>
      </w:r>
      <w:r>
        <w:rPr>
          <w:rStyle w:val="Strong"/>
          <w:rFonts w:ascii="Verdana" w:hAnsi="Verdana" w:cs="Arial"/>
          <w:b w:val="0"/>
          <w:sz w:val="16"/>
          <w:szCs w:val="16"/>
          <w:shd w:val="clear" w:color="auto" w:fill="FFFFFF"/>
          <w:lang w:val="es-CR"/>
        </w:rPr>
        <w:t xml:space="preserve">47 y </w:t>
      </w:r>
      <w:r w:rsidRPr="00B47B44">
        <w:rPr>
          <w:rStyle w:val="Strong"/>
          <w:rFonts w:ascii="Verdana" w:hAnsi="Verdana" w:cs="Arial"/>
          <w:b w:val="0"/>
          <w:sz w:val="16"/>
          <w:szCs w:val="16"/>
          <w:shd w:val="clear" w:color="auto" w:fill="FFFFFF"/>
          <w:lang w:val="es-CR"/>
        </w:rPr>
        <w:t>127.</w:t>
      </w:r>
    </w:p>
  </w:footnote>
  <w:footnote w:id="37">
    <w:p w:rsidR="003B556D" w:rsidRPr="008D790F" w:rsidRDefault="003B556D" w:rsidP="00B32470">
      <w:pPr>
        <w:pStyle w:val="ListParagraph"/>
        <w:tabs>
          <w:tab w:val="left" w:pos="0"/>
          <w:tab w:val="left" w:pos="426"/>
        </w:tabs>
        <w:spacing w:after="0" w:line="240" w:lineRule="auto"/>
        <w:ind w:left="0" w:right="-709"/>
        <w:contextualSpacing w:val="0"/>
        <w:jc w:val="both"/>
        <w:rPr>
          <w:rFonts w:ascii="Verdana" w:hAnsi="Verdana"/>
          <w:sz w:val="16"/>
          <w:szCs w:val="16"/>
        </w:rPr>
      </w:pPr>
      <w:r w:rsidRPr="00B47B44">
        <w:rPr>
          <w:rStyle w:val="FootnoteReference"/>
          <w:rFonts w:ascii="Verdana" w:hAnsi="Verdana"/>
          <w:sz w:val="16"/>
          <w:szCs w:val="16"/>
        </w:rPr>
        <w:footnoteRef/>
      </w:r>
      <w:r w:rsidRPr="00B47B44">
        <w:rPr>
          <w:rFonts w:ascii="Verdana" w:hAnsi="Verdana"/>
          <w:sz w:val="16"/>
          <w:szCs w:val="16"/>
        </w:rPr>
        <w:t xml:space="preserve"> </w:t>
      </w:r>
      <w:r w:rsidRPr="00B47B44">
        <w:rPr>
          <w:rFonts w:ascii="Verdana" w:hAnsi="Verdana"/>
          <w:sz w:val="16"/>
          <w:szCs w:val="16"/>
        </w:rPr>
        <w:tab/>
      </w:r>
      <w:r w:rsidRPr="002A4E02">
        <w:rPr>
          <w:rFonts w:ascii="Verdana" w:hAnsi="Verdana"/>
          <w:sz w:val="16"/>
          <w:szCs w:val="16"/>
        </w:rPr>
        <w:t xml:space="preserve">La Corte Suprema estimó que carecía de competencia en virtud de lo dispuesto en el artículo 70-A.2) del Código de Justicia Militar, el cual sólo le otorgaba competencia  para revisar sentencias firmes en materia de jurisdicción militar en tiempo de paz. </w:t>
      </w:r>
      <w:r w:rsidRPr="002A4E02">
        <w:rPr>
          <w:rFonts w:ascii="Verdana" w:hAnsi="Verdana" w:cs="Arial"/>
          <w:i/>
          <w:sz w:val="16"/>
          <w:szCs w:val="16"/>
          <w:lang w:val="es-CR"/>
        </w:rPr>
        <w:t>Cfr.</w:t>
      </w:r>
      <w:r w:rsidRPr="002A4E02">
        <w:rPr>
          <w:rFonts w:ascii="Verdana" w:hAnsi="Verdana" w:cs="Arial"/>
          <w:b/>
          <w:i/>
          <w:sz w:val="16"/>
          <w:szCs w:val="16"/>
          <w:lang w:val="es-CR"/>
        </w:rPr>
        <w:t xml:space="preserve"> </w:t>
      </w:r>
      <w:r w:rsidRPr="002A4E02">
        <w:rPr>
          <w:rStyle w:val="Strong"/>
          <w:rFonts w:ascii="Verdana" w:hAnsi="Verdana" w:cs="Arial"/>
          <w:b w:val="0"/>
          <w:i/>
          <w:sz w:val="16"/>
          <w:szCs w:val="16"/>
          <w:shd w:val="clear" w:color="auto" w:fill="FFFFFF"/>
          <w:lang w:val="es-CR"/>
        </w:rPr>
        <w:t xml:space="preserve">Caso </w:t>
      </w:r>
      <w:r w:rsidRPr="00B47B44">
        <w:rPr>
          <w:rStyle w:val="Strong"/>
          <w:rFonts w:ascii="Verdana" w:hAnsi="Verdana" w:cs="Arial"/>
          <w:b w:val="0"/>
          <w:i/>
          <w:sz w:val="16"/>
          <w:szCs w:val="16"/>
          <w:shd w:val="clear" w:color="auto" w:fill="FFFFFF"/>
          <w:lang w:val="es-CR"/>
        </w:rPr>
        <w:t xml:space="preserve">Omar Humberto Maldonado Vargas y otros, supra </w:t>
      </w:r>
      <w:r w:rsidRPr="00B47B44">
        <w:rPr>
          <w:rStyle w:val="Strong"/>
          <w:rFonts w:ascii="Verdana" w:hAnsi="Verdana" w:cs="Arial"/>
          <w:b w:val="0"/>
          <w:sz w:val="16"/>
          <w:szCs w:val="16"/>
          <w:shd w:val="clear" w:color="auto" w:fill="FFFFFF"/>
          <w:lang w:val="es-CR"/>
        </w:rPr>
        <w:t xml:space="preserve">nota 1, párr. </w:t>
      </w:r>
      <w:r>
        <w:rPr>
          <w:rStyle w:val="Strong"/>
          <w:rFonts w:ascii="Verdana" w:hAnsi="Verdana" w:cs="Arial"/>
          <w:b w:val="0"/>
          <w:sz w:val="16"/>
          <w:szCs w:val="16"/>
          <w:shd w:val="clear" w:color="auto" w:fill="FFFFFF"/>
          <w:lang w:val="es-CR"/>
        </w:rPr>
        <w:t xml:space="preserve">47 y </w:t>
      </w:r>
      <w:r w:rsidRPr="00B47B44">
        <w:rPr>
          <w:rStyle w:val="Strong"/>
          <w:rFonts w:ascii="Verdana" w:hAnsi="Verdana" w:cs="Arial"/>
          <w:b w:val="0"/>
          <w:sz w:val="16"/>
          <w:szCs w:val="16"/>
          <w:shd w:val="clear" w:color="auto" w:fill="FFFFFF"/>
          <w:lang w:val="es-CR"/>
        </w:rPr>
        <w:t>128.</w:t>
      </w:r>
    </w:p>
  </w:footnote>
  <w:footnote w:id="38">
    <w:p w:rsidR="003B556D" w:rsidRPr="00B47B44" w:rsidRDefault="003B556D" w:rsidP="00B32470">
      <w:pPr>
        <w:pStyle w:val="FootnoteText"/>
        <w:tabs>
          <w:tab w:val="left" w:pos="426"/>
        </w:tabs>
        <w:ind w:right="-709"/>
        <w:jc w:val="both"/>
        <w:rPr>
          <w:rFonts w:ascii="Verdana" w:hAnsi="Verdana"/>
          <w:sz w:val="16"/>
          <w:szCs w:val="16"/>
        </w:rPr>
      </w:pPr>
      <w:r w:rsidRPr="00B47B44">
        <w:rPr>
          <w:rStyle w:val="FootnoteReference"/>
          <w:rFonts w:ascii="Verdana" w:hAnsi="Verdana"/>
          <w:sz w:val="16"/>
          <w:szCs w:val="16"/>
        </w:rPr>
        <w:footnoteRef/>
      </w:r>
      <w:r w:rsidRPr="00B47B44">
        <w:rPr>
          <w:rFonts w:ascii="Verdana" w:hAnsi="Verdana"/>
          <w:sz w:val="16"/>
          <w:szCs w:val="16"/>
        </w:rPr>
        <w:t xml:space="preserve"> </w:t>
      </w:r>
      <w:r w:rsidRPr="00B47B44">
        <w:rPr>
          <w:rFonts w:ascii="Verdana" w:hAnsi="Verdana"/>
          <w:sz w:val="16"/>
          <w:szCs w:val="16"/>
        </w:rPr>
        <w:tab/>
      </w:r>
      <w:r>
        <w:rPr>
          <w:rFonts w:ascii="Verdana" w:hAnsi="Verdana"/>
          <w:sz w:val="16"/>
          <w:szCs w:val="16"/>
        </w:rPr>
        <w:t xml:space="preserve">Con ella </w:t>
      </w:r>
      <w:r w:rsidRPr="00B47B44">
        <w:rPr>
          <w:rFonts w:ascii="Verdana" w:hAnsi="Verdana"/>
          <w:sz w:val="16"/>
          <w:szCs w:val="16"/>
        </w:rPr>
        <w:t>“</w:t>
      </w:r>
      <w:r>
        <w:rPr>
          <w:rFonts w:ascii="Verdana" w:hAnsi="Verdana"/>
          <w:sz w:val="16"/>
          <w:szCs w:val="16"/>
        </w:rPr>
        <w:t>[e]</w:t>
      </w:r>
      <w:r w:rsidRPr="00B47B44">
        <w:rPr>
          <w:rFonts w:ascii="Verdana" w:hAnsi="Verdana"/>
          <w:sz w:val="16"/>
          <w:szCs w:val="16"/>
        </w:rPr>
        <w:t>l texto actual del artículo 82 de la Constitución dispone lo siguiente: ‘La Corte Suprema tiene la superintendencia directiva, correccional y económica de todos los tribunales de la Nación. Se exceptúan de esta norma el Tribunal Constitucional, el Tribunal Calificador de Elecciones y los tribunales electorales regionales. Los tribunales superiores de justicia, en uso de sus facultades disciplinarias sólo podrán invalidar resoluciones jurisdiccionales en los casos y forma que establezca la ley orgánica constitucional</w:t>
      </w:r>
      <w:r>
        <w:rPr>
          <w:rFonts w:ascii="Verdana" w:hAnsi="Verdana"/>
          <w:sz w:val="16"/>
          <w:szCs w:val="16"/>
        </w:rPr>
        <w:t xml:space="preserve"> respectiva</w:t>
      </w:r>
      <w:r w:rsidRPr="00B47B44">
        <w:rPr>
          <w:rFonts w:ascii="Verdana" w:hAnsi="Verdana"/>
          <w:sz w:val="16"/>
          <w:szCs w:val="16"/>
        </w:rPr>
        <w:t xml:space="preserve">”. </w:t>
      </w:r>
      <w:r w:rsidRPr="00B47B44">
        <w:rPr>
          <w:rFonts w:ascii="Verdana" w:hAnsi="Verdana" w:cs="Arial"/>
          <w:i/>
          <w:sz w:val="16"/>
          <w:szCs w:val="16"/>
          <w:lang w:val="es-CR"/>
        </w:rPr>
        <w:t>Cfr.</w:t>
      </w:r>
      <w:r w:rsidRPr="00B47B44">
        <w:rPr>
          <w:rFonts w:ascii="Verdana" w:hAnsi="Verdana" w:cs="Arial"/>
          <w:b/>
          <w:i/>
          <w:sz w:val="16"/>
          <w:szCs w:val="16"/>
          <w:lang w:val="es-CR"/>
        </w:rPr>
        <w:t xml:space="preserve"> </w:t>
      </w:r>
      <w:r w:rsidRPr="00B47B44">
        <w:rPr>
          <w:rStyle w:val="Strong"/>
          <w:rFonts w:ascii="Verdana" w:hAnsi="Verdana" w:cs="Arial"/>
          <w:b w:val="0"/>
          <w:i/>
          <w:sz w:val="16"/>
          <w:szCs w:val="16"/>
          <w:shd w:val="clear" w:color="auto" w:fill="FFFFFF"/>
          <w:lang w:val="es-CR"/>
        </w:rPr>
        <w:t xml:space="preserve">Caso Omar Humberto Maldonado Vargas y otros, supra </w:t>
      </w:r>
      <w:r w:rsidRPr="00B47B44">
        <w:rPr>
          <w:rStyle w:val="Strong"/>
          <w:rFonts w:ascii="Verdana" w:hAnsi="Verdana" w:cs="Arial"/>
          <w:b w:val="0"/>
          <w:sz w:val="16"/>
          <w:szCs w:val="16"/>
          <w:shd w:val="clear" w:color="auto" w:fill="FFFFFF"/>
          <w:lang w:val="es-CR"/>
        </w:rPr>
        <w:t>nota 1, párrs. 50 y 51.</w:t>
      </w:r>
    </w:p>
  </w:footnote>
  <w:footnote w:id="39">
    <w:p w:rsidR="003B556D" w:rsidRPr="00B32470" w:rsidRDefault="003B556D" w:rsidP="00B32470">
      <w:pPr>
        <w:pStyle w:val="FootnoteText"/>
        <w:tabs>
          <w:tab w:val="left" w:pos="426"/>
        </w:tabs>
        <w:ind w:right="-709"/>
        <w:jc w:val="both"/>
        <w:rPr>
          <w:rFonts w:ascii="Verdana" w:hAnsi="Verdana"/>
          <w:sz w:val="16"/>
          <w:szCs w:val="16"/>
        </w:rPr>
      </w:pPr>
      <w:r w:rsidRPr="00B47B44">
        <w:rPr>
          <w:rStyle w:val="FootnoteReference"/>
          <w:rFonts w:ascii="Verdana" w:hAnsi="Verdana"/>
          <w:sz w:val="16"/>
          <w:szCs w:val="16"/>
        </w:rPr>
        <w:footnoteRef/>
      </w:r>
      <w:r w:rsidRPr="00B47B44">
        <w:rPr>
          <w:rFonts w:ascii="Verdana" w:hAnsi="Verdana"/>
          <w:sz w:val="16"/>
          <w:szCs w:val="16"/>
        </w:rPr>
        <w:t xml:space="preserve"> </w:t>
      </w:r>
      <w:r w:rsidRPr="00B47B44">
        <w:rPr>
          <w:rFonts w:ascii="Verdana" w:hAnsi="Verdana"/>
          <w:sz w:val="16"/>
          <w:szCs w:val="16"/>
        </w:rPr>
        <w:tab/>
      </w:r>
      <w:r w:rsidRPr="00B47B44">
        <w:rPr>
          <w:rFonts w:ascii="Verdana" w:hAnsi="Verdana" w:cs="Arial"/>
          <w:i/>
          <w:sz w:val="16"/>
          <w:szCs w:val="16"/>
          <w:lang w:val="es-CR"/>
        </w:rPr>
        <w:t>Cfr.</w:t>
      </w:r>
      <w:r w:rsidRPr="00B47B44">
        <w:rPr>
          <w:rFonts w:ascii="Verdana" w:hAnsi="Verdana" w:cs="Arial"/>
          <w:b/>
          <w:i/>
          <w:sz w:val="16"/>
          <w:szCs w:val="16"/>
          <w:lang w:val="es-CR"/>
        </w:rPr>
        <w:t xml:space="preserve"> </w:t>
      </w:r>
      <w:r w:rsidRPr="00B47B44">
        <w:rPr>
          <w:rStyle w:val="Strong"/>
          <w:rFonts w:ascii="Verdana" w:hAnsi="Verdana" w:cs="Arial"/>
          <w:b w:val="0"/>
          <w:i/>
          <w:sz w:val="16"/>
          <w:szCs w:val="16"/>
          <w:shd w:val="clear" w:color="auto" w:fill="FFFFFF"/>
          <w:lang w:val="es-CR"/>
        </w:rPr>
        <w:t xml:space="preserve">Caso Omar Humberto Maldonado Vargas y otros, supra </w:t>
      </w:r>
      <w:r w:rsidRPr="00B47B44">
        <w:rPr>
          <w:rStyle w:val="Strong"/>
          <w:rFonts w:ascii="Verdana" w:hAnsi="Verdana" w:cs="Arial"/>
          <w:b w:val="0"/>
          <w:sz w:val="16"/>
          <w:szCs w:val="16"/>
          <w:shd w:val="clear" w:color="auto" w:fill="FFFFFF"/>
          <w:lang w:val="es-CR"/>
        </w:rPr>
        <w:t>nota 1, párrs. 5</w:t>
      </w:r>
      <w:r>
        <w:rPr>
          <w:rStyle w:val="Strong"/>
          <w:rFonts w:ascii="Verdana" w:hAnsi="Verdana" w:cs="Arial"/>
          <w:b w:val="0"/>
          <w:sz w:val="16"/>
          <w:szCs w:val="16"/>
          <w:shd w:val="clear" w:color="auto" w:fill="FFFFFF"/>
          <w:lang w:val="es-CR"/>
        </w:rPr>
        <w:t>2, y 133 a 135</w:t>
      </w:r>
      <w:r w:rsidRPr="00B47B44">
        <w:rPr>
          <w:rStyle w:val="Strong"/>
          <w:rFonts w:ascii="Verdana" w:hAnsi="Verdana" w:cs="Arial"/>
          <w:b w:val="0"/>
          <w:sz w:val="16"/>
          <w:szCs w:val="16"/>
          <w:shd w:val="clear" w:color="auto" w:fill="FFFFFF"/>
          <w:lang w:val="es-CR"/>
        </w:rPr>
        <w:t>.</w:t>
      </w:r>
    </w:p>
  </w:footnote>
  <w:footnote w:id="40">
    <w:p w:rsidR="003B556D" w:rsidRPr="00500809" w:rsidRDefault="003B556D" w:rsidP="00B32470">
      <w:pPr>
        <w:pStyle w:val="FootnoteText"/>
        <w:tabs>
          <w:tab w:val="left" w:pos="426"/>
        </w:tabs>
        <w:jc w:val="both"/>
        <w:rPr>
          <w:rFonts w:ascii="Verdana" w:hAnsi="Verdana"/>
          <w:sz w:val="16"/>
          <w:szCs w:val="16"/>
        </w:rPr>
      </w:pPr>
      <w:r w:rsidRPr="00500809">
        <w:rPr>
          <w:rStyle w:val="FootnoteReference"/>
          <w:rFonts w:ascii="Verdana" w:hAnsi="Verdana"/>
          <w:sz w:val="16"/>
          <w:szCs w:val="16"/>
        </w:rPr>
        <w:footnoteRef/>
      </w:r>
      <w:r w:rsidRPr="00500809">
        <w:rPr>
          <w:rFonts w:ascii="Verdana" w:hAnsi="Verdana"/>
          <w:sz w:val="16"/>
          <w:szCs w:val="16"/>
        </w:rPr>
        <w:t xml:space="preserve"> </w:t>
      </w:r>
      <w:r w:rsidRPr="00500809">
        <w:rPr>
          <w:rFonts w:ascii="Verdana" w:hAnsi="Verdana"/>
          <w:sz w:val="16"/>
          <w:szCs w:val="16"/>
        </w:rPr>
        <w:tab/>
      </w:r>
      <w:r w:rsidRPr="00500809">
        <w:rPr>
          <w:rFonts w:ascii="Verdana" w:hAnsi="Verdana" w:cs="Arial"/>
          <w:i/>
          <w:sz w:val="16"/>
          <w:szCs w:val="16"/>
          <w:lang w:val="es-CR"/>
        </w:rPr>
        <w:t>Cfr.</w:t>
      </w:r>
      <w:r w:rsidRPr="00500809">
        <w:rPr>
          <w:rFonts w:ascii="Verdana" w:hAnsi="Verdana" w:cs="Arial"/>
          <w:b/>
          <w:i/>
          <w:sz w:val="16"/>
          <w:szCs w:val="16"/>
          <w:lang w:val="es-CR"/>
        </w:rPr>
        <w:t xml:space="preserve"> </w:t>
      </w:r>
      <w:r w:rsidRPr="00500809">
        <w:rPr>
          <w:rStyle w:val="Strong"/>
          <w:rFonts w:ascii="Verdana" w:hAnsi="Verdana" w:cs="Arial"/>
          <w:b w:val="0"/>
          <w:i/>
          <w:sz w:val="16"/>
          <w:szCs w:val="16"/>
          <w:shd w:val="clear" w:color="auto" w:fill="FFFFFF"/>
          <w:lang w:val="es-CR"/>
        </w:rPr>
        <w:t xml:space="preserve">Caso Omar Humberto Maldonado Vargas y otros, supra </w:t>
      </w:r>
      <w:r w:rsidRPr="00500809">
        <w:rPr>
          <w:rStyle w:val="Strong"/>
          <w:rFonts w:ascii="Verdana" w:hAnsi="Verdana" w:cs="Arial"/>
          <w:b w:val="0"/>
          <w:sz w:val="16"/>
          <w:szCs w:val="16"/>
          <w:shd w:val="clear" w:color="auto" w:fill="FFFFFF"/>
          <w:lang w:val="es-CR"/>
        </w:rPr>
        <w:t>nota 1, párrs. 128 y 134.</w:t>
      </w:r>
    </w:p>
  </w:footnote>
  <w:footnote w:id="41">
    <w:p w:rsidR="003B556D" w:rsidRPr="00592604" w:rsidRDefault="003B556D" w:rsidP="009D1022">
      <w:pPr>
        <w:pStyle w:val="FootnoteText"/>
        <w:tabs>
          <w:tab w:val="left" w:pos="426"/>
        </w:tabs>
        <w:ind w:right="-709"/>
        <w:jc w:val="both"/>
        <w:rPr>
          <w:rFonts w:ascii="Verdana" w:hAnsi="Verdana"/>
          <w:sz w:val="16"/>
          <w:szCs w:val="16"/>
        </w:rPr>
      </w:pPr>
      <w:r w:rsidRPr="00423A14">
        <w:rPr>
          <w:rStyle w:val="FootnoteReference"/>
          <w:rFonts w:ascii="Verdana" w:hAnsi="Verdana"/>
          <w:sz w:val="16"/>
          <w:szCs w:val="16"/>
        </w:rPr>
        <w:footnoteRef/>
      </w:r>
      <w:r w:rsidRPr="00423A14">
        <w:rPr>
          <w:rFonts w:ascii="Verdana" w:hAnsi="Verdana"/>
          <w:sz w:val="16"/>
          <w:szCs w:val="16"/>
        </w:rPr>
        <w:t xml:space="preserve"> </w:t>
      </w:r>
      <w:r w:rsidRPr="00423A14">
        <w:rPr>
          <w:rFonts w:ascii="Verdana" w:hAnsi="Verdana"/>
          <w:sz w:val="16"/>
          <w:szCs w:val="16"/>
        </w:rPr>
        <w:tab/>
        <w:t>Uno de los fundamentos expuestos por el Consejo de Estado para la “procedencia […] en la interposición del recurso” fue la Sentencia emitida por la Corte Interamericana en el presente caso</w:t>
      </w:r>
      <w:r w:rsidRPr="00592604">
        <w:rPr>
          <w:rFonts w:ascii="Verdana" w:hAnsi="Verdana"/>
          <w:sz w:val="16"/>
          <w:szCs w:val="16"/>
        </w:rPr>
        <w:t xml:space="preserve"> y la necesidad </w:t>
      </w:r>
      <w:r w:rsidR="00251822">
        <w:rPr>
          <w:rFonts w:ascii="Verdana" w:hAnsi="Verdana"/>
          <w:sz w:val="16"/>
          <w:szCs w:val="16"/>
        </w:rPr>
        <w:t xml:space="preserve">de </w:t>
      </w:r>
      <w:r w:rsidRPr="00592604">
        <w:rPr>
          <w:rFonts w:ascii="Verdana" w:hAnsi="Verdana"/>
          <w:sz w:val="16"/>
          <w:szCs w:val="16"/>
        </w:rPr>
        <w:t xml:space="preserve">dar cumplimiento a las medidas de reparación ordenadas. </w:t>
      </w:r>
      <w:r w:rsidRPr="00592604">
        <w:rPr>
          <w:rFonts w:ascii="Verdana" w:hAnsi="Verdana"/>
          <w:i/>
          <w:sz w:val="16"/>
          <w:szCs w:val="16"/>
        </w:rPr>
        <w:t>Cfr.</w:t>
      </w:r>
      <w:r w:rsidRPr="00592604">
        <w:rPr>
          <w:rFonts w:ascii="Verdana" w:hAnsi="Verdana"/>
          <w:sz w:val="16"/>
          <w:szCs w:val="16"/>
        </w:rPr>
        <w:t xml:space="preserve"> Presentación del Presidente del Consejo de Defensa del Estado recibida en la Fiscalía de la Corte Suprema el 26 de abril de 2016 (anexo 13 al informe estatal de octubre de 2016).</w:t>
      </w:r>
    </w:p>
  </w:footnote>
  <w:footnote w:id="42">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Sentencia emitida por la Segunda Sala de la Corte Suprema de </w:t>
      </w:r>
      <w:r>
        <w:rPr>
          <w:rFonts w:ascii="Verdana" w:hAnsi="Verdana"/>
          <w:sz w:val="16"/>
          <w:szCs w:val="16"/>
        </w:rPr>
        <w:t>Chile</w:t>
      </w:r>
      <w:r w:rsidRPr="00592604">
        <w:rPr>
          <w:rFonts w:ascii="Verdana" w:hAnsi="Verdana"/>
          <w:sz w:val="16"/>
          <w:szCs w:val="16"/>
        </w:rPr>
        <w:t xml:space="preserve"> el 3 de octubre de 2016 (anexo 14 al informe estatal de octubre de 2016).</w:t>
      </w:r>
    </w:p>
  </w:footnote>
  <w:footnote w:id="43">
    <w:p w:rsidR="003B556D" w:rsidRPr="00592604" w:rsidRDefault="003B556D" w:rsidP="009D1022">
      <w:pPr>
        <w:pStyle w:val="FootnoteText"/>
        <w:tabs>
          <w:tab w:val="left" w:pos="426"/>
        </w:tabs>
        <w:ind w:right="-709"/>
        <w:jc w:val="both"/>
        <w:rPr>
          <w:rFonts w:ascii="Verdana" w:hAnsi="Verdana"/>
          <w:b/>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Además, tomó en cuenta: i) “lo consignado en los informes finales emitidos en la Comisión de Verdad y Reconciliación, conocida como ‘Comisión Retting’ […], y la Comisión Nacional sobre Prisión Política y Tortura de Chile, denominad</w:t>
      </w:r>
      <w:r>
        <w:rPr>
          <w:rFonts w:ascii="Verdana" w:hAnsi="Verdana"/>
          <w:sz w:val="16"/>
          <w:szCs w:val="16"/>
        </w:rPr>
        <w:t>[a]</w:t>
      </w:r>
      <w:r w:rsidRPr="00592604">
        <w:rPr>
          <w:rFonts w:ascii="Verdana" w:hAnsi="Verdana"/>
          <w:sz w:val="16"/>
          <w:szCs w:val="16"/>
        </w:rPr>
        <w:t xml:space="preserve"> usualmente ‘Comisión Valech’ […] que se refirieron a la práctica de la tortura en el contexto de los procesos llevados a cabo ante los Consejos de Guerra en la época posterior al pronunciamiento militar de 1973”; ii) “todo lo consignado en la sentencia de término dictada en la causa Rol N° 495-2010, del 34° Juzgado del Crimen de Santiago, en que por fallo</w:t>
      </w:r>
      <w:r>
        <w:rPr>
          <w:rFonts w:ascii="Verdana" w:hAnsi="Verdana"/>
          <w:sz w:val="16"/>
          <w:szCs w:val="16"/>
        </w:rPr>
        <w:t>,</w:t>
      </w:r>
      <w:r w:rsidRPr="00592604">
        <w:rPr>
          <w:rFonts w:ascii="Verdana" w:hAnsi="Verdana"/>
          <w:sz w:val="16"/>
          <w:szCs w:val="16"/>
        </w:rPr>
        <w:t xml:space="preserve"> de primera instancia de 21 de noviembre de 2014 se condenó [a tres personas] como coautores del delito reiterado de aplicación de tormentos […] en contra del detenido Alberto Bachelet Martínez en la Academia de Guerra Aérea, hechos todos ocurridos antes de la realización del aludido Consejo de Guerra”, y iii) “todo lo consignado en la causa Rol N° 179-2013, radicada en el 34° Juzgado del Crimen, en que se investigan las torturas de que fueron víctimas varias personas en la Academia de Guerra Aérea, entre ellas algunos de los demandantes que acudieron ante la Comisión Interamericana de Derechos Humanos”. </w:t>
      </w:r>
      <w:r>
        <w:rPr>
          <w:rFonts w:ascii="Verdana" w:hAnsi="Verdana"/>
          <w:sz w:val="16"/>
          <w:szCs w:val="16"/>
        </w:rPr>
        <w:t xml:space="preserve">Todos estos elementos de convicción son previos a la Sentencia de la Corte Interamericana de 2015. </w:t>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Pr>
          <w:rFonts w:ascii="Verdana" w:hAnsi="Verdana"/>
          <w:sz w:val="16"/>
          <w:szCs w:val="16"/>
        </w:rPr>
        <w:t>42</w:t>
      </w:r>
      <w:r w:rsidRPr="00592604">
        <w:rPr>
          <w:rFonts w:ascii="Verdana" w:hAnsi="Verdana"/>
          <w:sz w:val="16"/>
          <w:szCs w:val="16"/>
        </w:rPr>
        <w:t>, Considerandos décimo sexto a vigésimo séptimo</w:t>
      </w:r>
      <w:r>
        <w:rPr>
          <w:rFonts w:ascii="Verdana" w:hAnsi="Verdana"/>
          <w:sz w:val="16"/>
          <w:szCs w:val="16"/>
        </w:rPr>
        <w:t>, págs. 45 a 65</w:t>
      </w:r>
      <w:r w:rsidRPr="00592604">
        <w:rPr>
          <w:rFonts w:ascii="Verdana" w:hAnsi="Verdana"/>
          <w:sz w:val="16"/>
          <w:szCs w:val="16"/>
        </w:rPr>
        <w:t>.</w:t>
      </w:r>
    </w:p>
  </w:footnote>
  <w:footnote w:id="44">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La </w:t>
      </w:r>
      <w:r w:rsidR="00251822">
        <w:rPr>
          <w:rFonts w:ascii="Verdana" w:hAnsi="Verdana"/>
          <w:sz w:val="16"/>
          <w:szCs w:val="16"/>
        </w:rPr>
        <w:t xml:space="preserve">Segunda Sala de la </w:t>
      </w:r>
      <w:r w:rsidRPr="00592604">
        <w:rPr>
          <w:rFonts w:ascii="Verdana" w:hAnsi="Verdana"/>
          <w:sz w:val="16"/>
          <w:szCs w:val="16"/>
        </w:rPr>
        <w:t xml:space="preserve">Corte Suprema tuvo por “demostrada la existencia de un método o patrón o sistema general de menoscabo físico o mental y de afrenta a su dignidad, al que </w:t>
      </w:r>
      <w:r>
        <w:rPr>
          <w:rFonts w:ascii="Verdana" w:hAnsi="Verdana"/>
          <w:sz w:val="16"/>
          <w:szCs w:val="16"/>
        </w:rPr>
        <w:t>fueron</w:t>
      </w:r>
      <w:r w:rsidRPr="00592604">
        <w:rPr>
          <w:rFonts w:ascii="Verdana" w:hAnsi="Verdana"/>
          <w:sz w:val="16"/>
          <w:szCs w:val="16"/>
        </w:rPr>
        <w:t xml:space="preserve"> sometidos </w:t>
      </w:r>
      <w:r>
        <w:rPr>
          <w:rFonts w:ascii="Verdana" w:hAnsi="Verdana"/>
          <w:sz w:val="16"/>
          <w:szCs w:val="16"/>
        </w:rPr>
        <w:t>los</w:t>
      </w:r>
      <w:r w:rsidRPr="00592604">
        <w:rPr>
          <w:rFonts w:ascii="Verdana" w:hAnsi="Verdana"/>
          <w:sz w:val="16"/>
          <w:szCs w:val="16"/>
        </w:rPr>
        <w:t xml:space="preserve"> acusados ante los Consejos de Guerra convocados en la causa Rol N° 1-73 de la Fiscalía de Aviación</w:t>
      </w:r>
      <w:r>
        <w:rPr>
          <w:rFonts w:ascii="Verdana" w:hAnsi="Verdana"/>
          <w:sz w:val="16"/>
          <w:szCs w:val="16"/>
        </w:rPr>
        <w:t>,</w:t>
      </w:r>
      <w:r w:rsidRPr="00592604">
        <w:rPr>
          <w:rFonts w:ascii="Verdana" w:hAnsi="Verdana"/>
          <w:sz w:val="16"/>
          <w:szCs w:val="16"/>
        </w:rPr>
        <w:t xml:space="preserve"> cometido</w:t>
      </w:r>
      <w:r>
        <w:rPr>
          <w:rFonts w:ascii="Verdana" w:hAnsi="Verdana"/>
          <w:sz w:val="16"/>
          <w:szCs w:val="16"/>
        </w:rPr>
        <w:t>[</w:t>
      </w:r>
      <w:r w:rsidRPr="00592604">
        <w:rPr>
          <w:rFonts w:ascii="Verdana" w:hAnsi="Verdana"/>
          <w:sz w:val="16"/>
          <w:szCs w:val="16"/>
        </w:rPr>
        <w:t>s</w:t>
      </w:r>
      <w:r>
        <w:rPr>
          <w:rFonts w:ascii="Verdana" w:hAnsi="Verdana"/>
          <w:sz w:val="16"/>
          <w:szCs w:val="16"/>
        </w:rPr>
        <w:t>]</w:t>
      </w:r>
      <w:r w:rsidRPr="00592604">
        <w:rPr>
          <w:rFonts w:ascii="Verdana" w:hAnsi="Verdana"/>
          <w:sz w:val="16"/>
          <w:szCs w:val="16"/>
        </w:rPr>
        <w:t xml:space="preserve"> por parte de sus interrogadores, celadores u otros funcionarios que intervinieron en el procedimiento mientras dichos inculpados eran mantenidos detenidos en la Academia de Guerra de la Fuerza Aérea de Chile, todo ello con el objeto de obtener su admisión o confesión de los hechos que les atribuían, así como para que implicaran o imputaran al resto de los procesados en los mismos hechos”. </w:t>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Considerandos vigésimo octavo, trigésimo primero y trigésimo tercero</w:t>
      </w:r>
      <w:r>
        <w:rPr>
          <w:rFonts w:ascii="Verdana" w:hAnsi="Verdana"/>
          <w:sz w:val="16"/>
          <w:szCs w:val="16"/>
        </w:rPr>
        <w:t>, págs. 66, 73 y 75</w:t>
      </w:r>
      <w:r w:rsidRPr="00592604">
        <w:rPr>
          <w:rFonts w:ascii="Verdana" w:hAnsi="Verdana"/>
          <w:sz w:val="16"/>
          <w:szCs w:val="16"/>
        </w:rPr>
        <w:t xml:space="preserve">. </w:t>
      </w:r>
    </w:p>
  </w:footnote>
  <w:footnote w:id="45">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La </w:t>
      </w:r>
      <w:r w:rsidR="00251822">
        <w:rPr>
          <w:rFonts w:ascii="Verdana" w:hAnsi="Verdana"/>
          <w:sz w:val="16"/>
          <w:szCs w:val="16"/>
        </w:rPr>
        <w:t xml:space="preserve">Segunda Sala de la </w:t>
      </w:r>
      <w:r w:rsidRPr="00592604">
        <w:rPr>
          <w:rFonts w:ascii="Verdana" w:hAnsi="Verdana"/>
          <w:sz w:val="16"/>
          <w:szCs w:val="16"/>
        </w:rPr>
        <w:t xml:space="preserve">Corte Suprema declaró que “se invalidan las sentencias dictadas en los Consejos de Guerra convocados con fecha 30 de julio de 1974 y 27 de enero de 1975 y, en consecuencia se anula todo lo obrado en los autos Rol N° 1-73 de la Fiscalía de Aviación”. </w:t>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w:t>
      </w:r>
      <w:r>
        <w:rPr>
          <w:rFonts w:ascii="Verdana" w:hAnsi="Verdana"/>
          <w:sz w:val="16"/>
          <w:szCs w:val="16"/>
        </w:rPr>
        <w:t>s</w:t>
      </w:r>
      <w:r w:rsidRPr="00592604">
        <w:rPr>
          <w:rFonts w:ascii="Verdana" w:hAnsi="Verdana"/>
          <w:sz w:val="16"/>
          <w:szCs w:val="16"/>
        </w:rPr>
        <w:t xml:space="preserve"> trigésimo</w:t>
      </w:r>
      <w:r>
        <w:rPr>
          <w:rFonts w:ascii="Verdana" w:hAnsi="Verdana"/>
          <w:sz w:val="16"/>
          <w:szCs w:val="16"/>
        </w:rPr>
        <w:t xml:space="preserve"> quinto y trigésimo</w:t>
      </w:r>
      <w:r w:rsidRPr="00592604">
        <w:rPr>
          <w:rFonts w:ascii="Verdana" w:hAnsi="Verdana"/>
          <w:sz w:val="16"/>
          <w:szCs w:val="16"/>
        </w:rPr>
        <w:t xml:space="preserve"> octavo</w:t>
      </w:r>
      <w:r>
        <w:rPr>
          <w:rFonts w:ascii="Verdana" w:hAnsi="Verdana"/>
          <w:sz w:val="16"/>
          <w:szCs w:val="16"/>
        </w:rPr>
        <w:t>, págs. 77 a 79</w:t>
      </w:r>
      <w:r w:rsidRPr="00592604">
        <w:rPr>
          <w:rFonts w:ascii="Verdana" w:hAnsi="Verdana"/>
          <w:sz w:val="16"/>
          <w:szCs w:val="16"/>
        </w:rPr>
        <w:t>.</w:t>
      </w:r>
    </w:p>
  </w:footnote>
  <w:footnote w:id="46">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Considerandos trigésimo quinto y trigésimo octavo</w:t>
      </w:r>
      <w:r>
        <w:rPr>
          <w:rFonts w:ascii="Verdana" w:hAnsi="Verdana"/>
          <w:sz w:val="16"/>
          <w:szCs w:val="16"/>
        </w:rPr>
        <w:t>, págs. 77 a 79</w:t>
      </w:r>
      <w:r w:rsidRPr="00592604">
        <w:rPr>
          <w:rFonts w:ascii="Verdana" w:hAnsi="Verdana"/>
          <w:sz w:val="16"/>
          <w:szCs w:val="16"/>
        </w:rPr>
        <w:t>.</w:t>
      </w:r>
    </w:p>
  </w:footnote>
  <w:footnote w:id="47">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 trigésimo séptimo</w:t>
      </w:r>
      <w:r>
        <w:rPr>
          <w:rFonts w:ascii="Verdana" w:hAnsi="Verdana"/>
          <w:sz w:val="16"/>
          <w:szCs w:val="16"/>
        </w:rPr>
        <w:t>, pág. 78</w:t>
      </w:r>
      <w:r w:rsidRPr="00592604">
        <w:rPr>
          <w:rFonts w:ascii="Verdana" w:hAnsi="Verdana"/>
          <w:sz w:val="16"/>
          <w:szCs w:val="16"/>
        </w:rPr>
        <w:t>.</w:t>
      </w:r>
    </w:p>
  </w:footnote>
  <w:footnote w:id="48">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representante de las víctimas, Ciro Colombara, “se […] adhiri[ó] plenamente al recurso de revisión interpuesto”. </w:t>
      </w:r>
      <w:r w:rsidRPr="00592604">
        <w:rPr>
          <w:rFonts w:ascii="Verdana" w:hAnsi="Verdana"/>
          <w:i/>
          <w:sz w:val="16"/>
          <w:szCs w:val="16"/>
        </w:rPr>
        <w:t>Cfr.</w:t>
      </w:r>
      <w:r w:rsidRPr="00592604">
        <w:rPr>
          <w:rFonts w:ascii="Verdana" w:hAnsi="Verdana"/>
          <w:sz w:val="16"/>
          <w:szCs w:val="16"/>
        </w:rPr>
        <w:t xml:space="preserve"> Sentencia emitida por la Sala Segunda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 tercero</w:t>
      </w:r>
      <w:r>
        <w:rPr>
          <w:rFonts w:ascii="Verdana" w:hAnsi="Verdana"/>
          <w:sz w:val="16"/>
          <w:szCs w:val="16"/>
        </w:rPr>
        <w:t>, pág. 8</w:t>
      </w:r>
      <w:r w:rsidRPr="00592604">
        <w:rPr>
          <w:rFonts w:ascii="Verdana" w:hAnsi="Verdana"/>
          <w:sz w:val="16"/>
          <w:szCs w:val="16"/>
        </w:rPr>
        <w:t>.</w:t>
      </w:r>
    </w:p>
  </w:footnote>
  <w:footnote w:id="49">
    <w:p w:rsidR="003B556D" w:rsidRPr="00592604" w:rsidRDefault="003B556D" w:rsidP="00BE6476">
      <w:pPr>
        <w:pStyle w:val="FootnoteText"/>
        <w:tabs>
          <w:tab w:val="left" w:pos="426"/>
        </w:tabs>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C</w:t>
      </w:r>
      <w:r w:rsidRPr="00592604">
        <w:rPr>
          <w:rFonts w:ascii="Verdana" w:hAnsi="Verdana" w:cs="Arial"/>
          <w:i/>
          <w:sz w:val="16"/>
          <w:szCs w:val="16"/>
          <w:lang w:val="es-CR"/>
        </w:rPr>
        <w:t>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 xml:space="preserve">Caso Omar Humberto Maldonado Vargas y otros, supra </w:t>
      </w:r>
      <w:r w:rsidRPr="00592604">
        <w:rPr>
          <w:rStyle w:val="Strong"/>
          <w:rFonts w:ascii="Verdana" w:hAnsi="Verdana" w:cs="Arial"/>
          <w:b w:val="0"/>
          <w:sz w:val="16"/>
          <w:szCs w:val="16"/>
          <w:shd w:val="clear" w:color="auto" w:fill="FFFFFF"/>
          <w:lang w:val="es-CR"/>
        </w:rPr>
        <w:t>nota 1, párr</w:t>
      </w:r>
      <w:r>
        <w:rPr>
          <w:rStyle w:val="Strong"/>
          <w:rFonts w:ascii="Verdana" w:hAnsi="Verdana" w:cs="Arial"/>
          <w:b w:val="0"/>
          <w:sz w:val="16"/>
          <w:szCs w:val="16"/>
          <w:shd w:val="clear" w:color="auto" w:fill="FFFFFF"/>
          <w:lang w:val="es-CR"/>
        </w:rPr>
        <w:t>s</w:t>
      </w:r>
      <w:r w:rsidRPr="00592604">
        <w:rPr>
          <w:rStyle w:val="Strong"/>
          <w:rFonts w:ascii="Verdana" w:hAnsi="Verdana" w:cs="Arial"/>
          <w:b w:val="0"/>
          <w:sz w:val="16"/>
          <w:szCs w:val="16"/>
          <w:shd w:val="clear" w:color="auto" w:fill="FFFFFF"/>
          <w:lang w:val="es-CR"/>
        </w:rPr>
        <w:t>. 52</w:t>
      </w:r>
      <w:r>
        <w:rPr>
          <w:rStyle w:val="Strong"/>
          <w:rFonts w:ascii="Verdana" w:hAnsi="Verdana" w:cs="Arial"/>
          <w:b w:val="0"/>
          <w:sz w:val="16"/>
          <w:szCs w:val="16"/>
          <w:shd w:val="clear" w:color="auto" w:fill="FFFFFF"/>
          <w:lang w:val="es-CR"/>
        </w:rPr>
        <w:t xml:space="preserve"> y 135</w:t>
      </w:r>
      <w:r w:rsidRPr="00592604">
        <w:rPr>
          <w:rStyle w:val="Strong"/>
          <w:rFonts w:ascii="Verdana" w:hAnsi="Verdana" w:cs="Arial"/>
          <w:b w:val="0"/>
          <w:sz w:val="16"/>
          <w:szCs w:val="16"/>
          <w:shd w:val="clear" w:color="auto" w:fill="FFFFFF"/>
          <w:lang w:val="es-CR"/>
        </w:rPr>
        <w:t>.</w:t>
      </w:r>
    </w:p>
  </w:footnote>
  <w:footnote w:id="50">
    <w:p w:rsidR="003B556D" w:rsidRPr="00592604" w:rsidRDefault="003B556D" w:rsidP="00F614AC">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Considerando undécimo</w:t>
      </w:r>
      <w:r>
        <w:rPr>
          <w:rFonts w:ascii="Verdana" w:hAnsi="Verdana"/>
          <w:sz w:val="16"/>
          <w:szCs w:val="16"/>
        </w:rPr>
        <w:t xml:space="preserve">, págs. 36 a 39. </w:t>
      </w:r>
    </w:p>
  </w:footnote>
  <w:footnote w:id="51">
    <w:p w:rsidR="003B556D" w:rsidRPr="00592604" w:rsidRDefault="003B556D" w:rsidP="001772E9">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La Corte Suprema también citó la jurisprudencia reiterada de la Corte Interamericana según la cual </w:t>
      </w:r>
      <w:r>
        <w:rPr>
          <w:rFonts w:ascii="Verdana" w:hAnsi="Verdana"/>
          <w:sz w:val="16"/>
          <w:szCs w:val="16"/>
        </w:rPr>
        <w:t>“</w:t>
      </w:r>
      <w:r w:rsidRPr="00592604">
        <w:rPr>
          <w:rFonts w:ascii="Verdana" w:hAnsi="Verdana"/>
          <w:sz w:val="16"/>
          <w:szCs w:val="16"/>
        </w:rPr>
        <w:t xml:space="preserve">el Poder Judicial debe ejercer un </w:t>
      </w:r>
      <w:r>
        <w:rPr>
          <w:rFonts w:ascii="Verdana" w:hAnsi="Verdana"/>
          <w:sz w:val="16"/>
          <w:szCs w:val="16"/>
        </w:rPr>
        <w:t>‘</w:t>
      </w:r>
      <w:r w:rsidRPr="00592604">
        <w:rPr>
          <w:rFonts w:ascii="Verdana" w:eastAsiaTheme="minorHAnsi" w:hAnsi="Verdana" w:cs="Arial"/>
          <w:iCs/>
          <w:sz w:val="16"/>
          <w:szCs w:val="16"/>
          <w:lang w:val="es-CR"/>
        </w:rPr>
        <w:t>control de convencionalidad</w:t>
      </w:r>
      <w:r>
        <w:rPr>
          <w:rFonts w:ascii="Verdana" w:eastAsiaTheme="minorHAnsi" w:hAnsi="Verdana" w:cs="Arial"/>
          <w:iCs/>
          <w:sz w:val="16"/>
          <w:szCs w:val="16"/>
          <w:lang w:val="es-CR"/>
        </w:rPr>
        <w:t>’</w:t>
      </w:r>
      <w:r w:rsidRPr="00592604">
        <w:rPr>
          <w:rFonts w:ascii="Verdana" w:eastAsiaTheme="minorHAnsi" w:hAnsi="Verdana" w:cs="Arial"/>
          <w:iCs/>
          <w:sz w:val="16"/>
          <w:szCs w:val="16"/>
          <w:lang w:val="es-CR"/>
        </w:rPr>
        <w:t xml:space="preserve"> </w:t>
      </w:r>
      <w:r w:rsidRPr="00592604">
        <w:rPr>
          <w:rFonts w:ascii="Verdana" w:eastAsiaTheme="minorHAnsi" w:hAnsi="Verdana" w:cs="Arial"/>
          <w:i/>
          <w:iCs/>
          <w:sz w:val="16"/>
          <w:szCs w:val="16"/>
          <w:lang w:val="es-CR"/>
        </w:rPr>
        <w:t>ex officio</w:t>
      </w:r>
      <w:r w:rsidRPr="00592604">
        <w:rPr>
          <w:rFonts w:ascii="Verdana" w:eastAsiaTheme="minorHAnsi" w:hAnsi="Verdana" w:cs="Arial"/>
          <w:iCs/>
          <w:sz w:val="16"/>
          <w:szCs w:val="16"/>
          <w:lang w:val="es-CR"/>
        </w:rPr>
        <w:t xml:space="preserve"> entre las normas internas y la Convención Americana, evidentemente en el marco de sus respectivas competencias</w:t>
      </w:r>
      <w:r>
        <w:rPr>
          <w:rFonts w:ascii="Verdana" w:eastAsiaTheme="minorHAnsi" w:hAnsi="Verdana" w:cs="Arial"/>
          <w:iCs/>
          <w:sz w:val="16"/>
          <w:szCs w:val="16"/>
          <w:lang w:val="es-CR"/>
        </w:rPr>
        <w:t>”</w:t>
      </w:r>
      <w:r w:rsidRPr="00592604">
        <w:rPr>
          <w:rFonts w:ascii="Verdana" w:eastAsiaTheme="minorHAnsi" w:hAnsi="Verdana" w:cs="Arial"/>
          <w:iCs/>
          <w:sz w:val="16"/>
          <w:szCs w:val="16"/>
          <w:lang w:val="es-CR"/>
        </w:rPr>
        <w:t xml:space="preserve">. </w:t>
      </w:r>
    </w:p>
  </w:footnote>
  <w:footnote w:id="52">
    <w:p w:rsidR="003B556D" w:rsidRPr="00592604" w:rsidRDefault="003B556D" w:rsidP="001772E9">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La Corte ha establecido que “el recurso de revisión constituye una excepción al principio de cosa juzgada y está orientado a enmendar los errores, irregularidades, o violaciones al debido proceso, cometidos en determinadas decisiones judiciales, para que, en aplicación de la justicia material, se profiera una nueva decisión que resulte acorde al ordenamiento jurídico cuando sea evidente que en esas mismas decisiones se cometieron errores o ilicitudes que las vuelven contrarias a derecho”</w:t>
      </w:r>
      <w:r>
        <w:rPr>
          <w:rStyle w:val="FootnoteReference"/>
          <w:rFonts w:ascii="Verdana" w:hAnsi="Verdana"/>
          <w:sz w:val="16"/>
          <w:szCs w:val="16"/>
          <w:vertAlign w:val="baseline"/>
        </w:rPr>
        <w:t>, de manera tal que</w:t>
      </w:r>
      <w:r w:rsidRPr="00592604">
        <w:rPr>
          <w:rFonts w:ascii="Verdana" w:hAnsi="Verdana"/>
          <w:sz w:val="16"/>
          <w:szCs w:val="16"/>
        </w:rPr>
        <w:t xml:space="preserve"> éstos “se establecen como un remedio contra los actos violatorios de los derechos fundamentales, en los términos del artículo 25 de la Convención, cometidos en el desarrollo de un proceso judicial”. </w:t>
      </w:r>
      <w:r w:rsidRPr="00592604">
        <w:rPr>
          <w:rFonts w:ascii="Verdana" w:hAnsi="Verdana" w:cs="Arial"/>
          <w:i/>
          <w:sz w:val="16"/>
          <w:szCs w:val="16"/>
          <w:lang w:val="es-CR"/>
        </w:rPr>
        <w:t>Cfr.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 xml:space="preserve">Caso Omar Humberto Maldonado Vargas y otros, </w:t>
      </w:r>
      <w:r w:rsidRPr="00592604">
        <w:rPr>
          <w:rStyle w:val="Strong"/>
          <w:rFonts w:ascii="Verdana" w:hAnsi="Verdana" w:cs="Arial"/>
          <w:b w:val="0"/>
          <w:sz w:val="16"/>
          <w:szCs w:val="16"/>
          <w:shd w:val="clear" w:color="auto" w:fill="FFFFFF"/>
          <w:lang w:val="es-CR"/>
        </w:rPr>
        <w:t>supra nota 1, párr. 122.</w:t>
      </w:r>
    </w:p>
  </w:footnote>
  <w:footnote w:id="53">
    <w:p w:rsidR="003B556D" w:rsidRPr="00592604" w:rsidRDefault="003B556D" w:rsidP="002359F0">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considerando décimo tercero de </w:t>
      </w:r>
      <w:r>
        <w:rPr>
          <w:rFonts w:ascii="Verdana" w:hAnsi="Verdana"/>
          <w:sz w:val="16"/>
          <w:szCs w:val="16"/>
        </w:rPr>
        <w:t>su</w:t>
      </w:r>
      <w:r w:rsidRPr="00592604">
        <w:rPr>
          <w:rFonts w:ascii="Verdana" w:hAnsi="Verdana"/>
          <w:sz w:val="16"/>
          <w:szCs w:val="16"/>
        </w:rPr>
        <w:t xml:space="preserve"> </w:t>
      </w:r>
      <w:r>
        <w:rPr>
          <w:rFonts w:ascii="Verdana" w:hAnsi="Verdana"/>
          <w:sz w:val="16"/>
          <w:szCs w:val="16"/>
        </w:rPr>
        <w:t>decisión,</w:t>
      </w:r>
      <w:r w:rsidRPr="00592604">
        <w:rPr>
          <w:rFonts w:ascii="Verdana" w:hAnsi="Verdana"/>
          <w:sz w:val="16"/>
          <w:szCs w:val="16"/>
        </w:rPr>
        <w:t xml:space="preserve"> la</w:t>
      </w:r>
      <w:r w:rsidR="00251822">
        <w:rPr>
          <w:rFonts w:ascii="Verdana" w:hAnsi="Verdana"/>
          <w:sz w:val="16"/>
          <w:szCs w:val="16"/>
        </w:rPr>
        <w:t xml:space="preserve"> Segunda Sala de la</w:t>
      </w:r>
      <w:r w:rsidRPr="00592604">
        <w:rPr>
          <w:rFonts w:ascii="Verdana" w:hAnsi="Verdana"/>
          <w:sz w:val="16"/>
          <w:szCs w:val="16"/>
        </w:rPr>
        <w:t xml:space="preserve"> Corte Suprema estableció “[q]ue la acción de revisión es una acción declarativa, de competencia exclusiva y excluyente de una Sala de [la] Corte Suprema, que se ejerce para invalidar sentencias firmes o ejecutoriadas que han sido ganadas fraudulenta o injustamente en casos expresamente señalados por la ley”.</w:t>
      </w:r>
      <w:r>
        <w:rPr>
          <w:rFonts w:ascii="Verdana" w:hAnsi="Verdana"/>
          <w:sz w:val="16"/>
          <w:szCs w:val="16"/>
        </w:rPr>
        <w:t xml:space="preserve"> Además, señaló que el recurso de revisión “[s]e diferencia [de] otras formas de impugnación [por] la particular finalidad que persigue[:] hacer primar la justicia en detrimento de la seguridad jurídica […] formada por la cosa juzgada”.</w:t>
      </w:r>
      <w:r w:rsidRPr="00592604">
        <w:rPr>
          <w:rFonts w:ascii="Verdana" w:hAnsi="Verdana"/>
          <w:sz w:val="16"/>
          <w:szCs w:val="16"/>
        </w:rPr>
        <w:t xml:space="preserve"> </w:t>
      </w:r>
      <w:r w:rsidRPr="00592604">
        <w:rPr>
          <w:rFonts w:ascii="Verdana" w:hAnsi="Verdana"/>
          <w:i/>
          <w:sz w:val="16"/>
          <w:szCs w:val="16"/>
        </w:rPr>
        <w:t>Cfr.</w:t>
      </w:r>
      <w:r w:rsidRPr="00592604">
        <w:rPr>
          <w:rFonts w:ascii="Verdana" w:hAnsi="Verdana"/>
          <w:sz w:val="16"/>
          <w:szCs w:val="16"/>
        </w:rPr>
        <w:t xml:space="preserve"> Sentencia emitida por la Segunda Sala de la Corte Suprema, </w:t>
      </w:r>
      <w:r w:rsidRPr="00592604">
        <w:rPr>
          <w:rFonts w:ascii="Verdana" w:hAnsi="Verdana"/>
          <w:i/>
          <w:sz w:val="16"/>
          <w:szCs w:val="16"/>
        </w:rPr>
        <w:t>supra</w:t>
      </w:r>
      <w:r w:rsidRPr="00592604">
        <w:rPr>
          <w:rFonts w:ascii="Verdana" w:hAnsi="Verdana"/>
          <w:sz w:val="16"/>
          <w:szCs w:val="16"/>
        </w:rPr>
        <w:t xml:space="preserve"> nota </w:t>
      </w:r>
      <w:r w:rsidR="00251822">
        <w:rPr>
          <w:rFonts w:ascii="Verdana" w:hAnsi="Verdana"/>
          <w:sz w:val="16"/>
          <w:szCs w:val="16"/>
        </w:rPr>
        <w:t>41</w:t>
      </w:r>
      <w:r w:rsidRPr="00592604">
        <w:rPr>
          <w:rFonts w:ascii="Verdana" w:hAnsi="Verdana"/>
          <w:sz w:val="16"/>
          <w:szCs w:val="16"/>
        </w:rPr>
        <w:t xml:space="preserve">, Considerando </w:t>
      </w:r>
      <w:r>
        <w:rPr>
          <w:rFonts w:ascii="Verdana" w:hAnsi="Verdana"/>
          <w:sz w:val="16"/>
          <w:szCs w:val="16"/>
        </w:rPr>
        <w:t>décimo tercero, págs. 40 a 43.</w:t>
      </w:r>
    </w:p>
  </w:footnote>
  <w:footnote w:id="54">
    <w:p w:rsidR="003B556D" w:rsidRPr="00592604" w:rsidRDefault="003B556D" w:rsidP="001772E9">
      <w:pPr>
        <w:pStyle w:val="FootnoteText"/>
        <w:tabs>
          <w:tab w:val="left" w:pos="426"/>
        </w:tabs>
        <w:ind w:right="-709"/>
        <w:jc w:val="both"/>
        <w:rPr>
          <w:rFonts w:ascii="Verdana" w:hAnsi="Verdana"/>
          <w:b/>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Esta Corte ha establecido en su jurisprudencia que “</w:t>
      </w:r>
      <w:r w:rsidRPr="00592604">
        <w:rPr>
          <w:rFonts w:ascii="Verdana" w:hAnsi="Verdana"/>
          <w:sz w:val="16"/>
          <w:szCs w:val="16"/>
          <w:lang w:val="es-CR"/>
        </w:rPr>
        <w:t xml:space="preserve">los tribunales internos también tienen –en el ámbito de sus competencias- un papel fundamental en el cumplimiento o implementación de las Sentencias de la Corte Interamericana, ya que deben velar por el acatamiento de las disposiciones convencionales. El que la Corte Interamericana determine el estado de cumplimiento de las medidas de reparación ordenadas en sus Sentencias, no excluye que los tribunales constitucionales asuman ese importante rol”. </w:t>
      </w:r>
      <w:r w:rsidRPr="00592604">
        <w:rPr>
          <w:rFonts w:ascii="Verdana" w:hAnsi="Verdana"/>
          <w:i/>
          <w:sz w:val="16"/>
          <w:szCs w:val="16"/>
        </w:rPr>
        <w:t>Cfr.</w:t>
      </w:r>
      <w:r w:rsidRPr="00592604">
        <w:rPr>
          <w:rFonts w:ascii="Verdana" w:hAnsi="Verdana"/>
          <w:sz w:val="16"/>
          <w:szCs w:val="16"/>
        </w:rPr>
        <w:t xml:space="preserve"> </w:t>
      </w:r>
      <w:r w:rsidRPr="00592604">
        <w:rPr>
          <w:rFonts w:ascii="Verdana" w:hAnsi="Verdana"/>
          <w:i/>
          <w:sz w:val="16"/>
          <w:szCs w:val="16"/>
        </w:rPr>
        <w:t>Caso Gelman Vs. Uruguay. Supervisión de Cumplimiento de Sentencia</w:t>
      </w:r>
      <w:r w:rsidRPr="00592604">
        <w:rPr>
          <w:rFonts w:ascii="Verdana" w:hAnsi="Verdana"/>
          <w:sz w:val="16"/>
          <w:szCs w:val="16"/>
        </w:rPr>
        <w:t>. Resolución de la Corte Interamericana de Derechos Humanos 20 de marzo de 2013, Considerandos 65 a 68</w:t>
      </w:r>
      <w:r w:rsidR="00251822">
        <w:rPr>
          <w:rFonts w:ascii="Verdana" w:hAnsi="Verdana"/>
          <w:sz w:val="16"/>
          <w:szCs w:val="16"/>
        </w:rPr>
        <w:t>;</w:t>
      </w:r>
      <w:r w:rsidRPr="00592604">
        <w:rPr>
          <w:rFonts w:ascii="Verdana" w:hAnsi="Verdana"/>
          <w:sz w:val="16"/>
          <w:szCs w:val="16"/>
        </w:rPr>
        <w:t xml:space="preserve"> </w:t>
      </w:r>
      <w:r w:rsidRPr="00592604">
        <w:rPr>
          <w:rFonts w:ascii="Verdana" w:hAnsi="Verdana"/>
          <w:i/>
          <w:sz w:val="16"/>
          <w:szCs w:val="16"/>
        </w:rPr>
        <w:t>Caso Artavia Murillo y otros ("Fecundación In Vitro") Vs. Costa Rica. Supervisión de Cumplimiento de Sentencia</w:t>
      </w:r>
      <w:r w:rsidRPr="00592604">
        <w:rPr>
          <w:rFonts w:ascii="Verdana" w:hAnsi="Verdana"/>
          <w:sz w:val="16"/>
          <w:szCs w:val="16"/>
        </w:rPr>
        <w:t xml:space="preserve">. Resolución de la Corte Interamericana de Derechos Humanos de 26 de febrero de 2016, Considerando 12, y </w:t>
      </w:r>
      <w:r w:rsidRPr="00592604">
        <w:rPr>
          <w:rStyle w:val="Strong"/>
          <w:rFonts w:ascii="Verdana" w:hAnsi="Verdana"/>
          <w:b w:val="0"/>
          <w:i/>
          <w:color w:val="000000"/>
          <w:sz w:val="16"/>
          <w:szCs w:val="16"/>
          <w:shd w:val="clear" w:color="auto" w:fill="FFFFFF"/>
        </w:rPr>
        <w:t xml:space="preserve">Caso 19 Comerciantes Vs. Colombia. Supervisión de Cumplimiento de Sentencia. </w:t>
      </w:r>
      <w:r w:rsidRPr="00592604">
        <w:rPr>
          <w:rStyle w:val="Strong"/>
          <w:rFonts w:ascii="Verdana" w:hAnsi="Verdana"/>
          <w:b w:val="0"/>
          <w:color w:val="000000"/>
          <w:sz w:val="16"/>
          <w:szCs w:val="16"/>
          <w:shd w:val="clear" w:color="auto" w:fill="FFFFFF"/>
        </w:rPr>
        <w:t>Resolución de la Corte Interamericana de Derechos Humanos de 23 de junio de 2016, Considerando 10.</w:t>
      </w:r>
    </w:p>
  </w:footnote>
  <w:footnote w:id="55">
    <w:p w:rsidR="003B556D" w:rsidRPr="00592604" w:rsidRDefault="003B556D" w:rsidP="004A1C9A">
      <w:pPr>
        <w:tabs>
          <w:tab w:val="left" w:pos="426"/>
        </w:tabs>
        <w:spacing w:after="0" w:line="240" w:lineRule="auto"/>
        <w:ind w:right="-709"/>
        <w:jc w:val="both"/>
        <w:rPr>
          <w:rFonts w:ascii="Verdana" w:hAnsi="Verdana"/>
          <w:color w:val="0070C0"/>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caso </w:t>
      </w:r>
      <w:r w:rsidRPr="00592604">
        <w:rPr>
          <w:rFonts w:ascii="Verdana" w:hAnsi="Verdana"/>
          <w:i/>
          <w:sz w:val="16"/>
          <w:szCs w:val="16"/>
        </w:rPr>
        <w:t>Herrera Ulloa</w:t>
      </w:r>
      <w:r w:rsidRPr="00592604">
        <w:rPr>
          <w:rFonts w:ascii="Verdana" w:hAnsi="Verdana"/>
          <w:sz w:val="16"/>
          <w:szCs w:val="16"/>
        </w:rPr>
        <w:t xml:space="preserve"> se ordenó a Costa Rica “dejar sin efecto, en todos sus extremos, la sentencia [penal condenatoria] emitida el 12 de noviembre de 1999 por el Tribunal Penal del Primer Circuito Judicial de San José”</w:t>
      </w:r>
      <w:r>
        <w:rPr>
          <w:rFonts w:ascii="Verdana" w:hAnsi="Verdana"/>
          <w:sz w:val="16"/>
          <w:szCs w:val="16"/>
        </w:rPr>
        <w:t>,</w:t>
      </w:r>
      <w:r w:rsidRPr="00592604">
        <w:rPr>
          <w:rFonts w:ascii="Verdana" w:hAnsi="Verdana"/>
          <w:sz w:val="16"/>
          <w:szCs w:val="16"/>
        </w:rPr>
        <w:t xml:space="preserve"> en perjuicio del señor Mauricio Herrera Ulloa. El referido tribunal interno </w:t>
      </w:r>
      <w:r w:rsidR="00251822">
        <w:rPr>
          <w:rFonts w:ascii="Verdana" w:hAnsi="Verdana"/>
          <w:sz w:val="16"/>
          <w:szCs w:val="16"/>
        </w:rPr>
        <w:t xml:space="preserve">en </w:t>
      </w:r>
      <w:r w:rsidRPr="00592604">
        <w:rPr>
          <w:rFonts w:ascii="Verdana" w:hAnsi="Verdana"/>
          <w:sz w:val="16"/>
          <w:szCs w:val="16"/>
        </w:rPr>
        <w:t>“estricto acatamiento a lo ordenado por la Corte Interamericana” dejó sin efecto la sentencia de 1999</w:t>
      </w:r>
      <w:r>
        <w:rPr>
          <w:rFonts w:ascii="Verdana" w:hAnsi="Verdana"/>
          <w:sz w:val="16"/>
          <w:szCs w:val="16"/>
        </w:rPr>
        <w:t xml:space="preserve"> a través de la emisión de una decisión judicial en la cual dispuso que se dejaran sin efecto en todos sus extremos la sentencia condenatoria violatoria de la Convención. Además, se emitió una sentencia </w:t>
      </w:r>
      <w:r w:rsidR="005A220C">
        <w:rPr>
          <w:rFonts w:ascii="Verdana" w:hAnsi="Verdana"/>
          <w:sz w:val="16"/>
          <w:szCs w:val="16"/>
        </w:rPr>
        <w:t xml:space="preserve">en la jurisdicción </w:t>
      </w:r>
      <w:r>
        <w:rPr>
          <w:rFonts w:ascii="Verdana" w:hAnsi="Verdana"/>
          <w:sz w:val="16"/>
          <w:szCs w:val="16"/>
        </w:rPr>
        <w:t>contencios</w:t>
      </w:r>
      <w:r w:rsidR="005A220C">
        <w:rPr>
          <w:rFonts w:ascii="Verdana" w:hAnsi="Verdana"/>
          <w:sz w:val="16"/>
          <w:szCs w:val="16"/>
        </w:rPr>
        <w:t>o</w:t>
      </w:r>
      <w:r>
        <w:rPr>
          <w:rFonts w:ascii="Verdana" w:hAnsi="Verdana"/>
          <w:sz w:val="16"/>
          <w:szCs w:val="16"/>
        </w:rPr>
        <w:t xml:space="preserve"> administrativa para ordenar al Estado la restitución de lo que pagó la víctima de este caso como consecuencia de dicha condena</w:t>
      </w:r>
      <w:r w:rsidRPr="00592604">
        <w:rPr>
          <w:rFonts w:ascii="Verdana" w:hAnsi="Verdana"/>
          <w:sz w:val="16"/>
          <w:szCs w:val="16"/>
        </w:rPr>
        <w:t xml:space="preserve">. </w:t>
      </w:r>
      <w:r w:rsidRPr="00592604">
        <w:rPr>
          <w:rFonts w:ascii="Verdana" w:hAnsi="Verdana"/>
          <w:i/>
          <w:sz w:val="16"/>
          <w:szCs w:val="16"/>
        </w:rPr>
        <w:t xml:space="preserve">Cfr. </w:t>
      </w:r>
      <w:r w:rsidRPr="00592604">
        <w:rPr>
          <w:rStyle w:val="Strong"/>
          <w:rFonts w:ascii="Verdana" w:hAnsi="Verdana"/>
          <w:b w:val="0"/>
          <w:i/>
          <w:sz w:val="16"/>
          <w:szCs w:val="16"/>
          <w:shd w:val="clear" w:color="auto" w:fill="FFFFFF"/>
        </w:rPr>
        <w:t>Caso Herrera Ulloa Vs. Costa Rica. Supervisión de Cumplimiento de Sentencia.</w:t>
      </w:r>
      <w:r w:rsidRPr="00592604">
        <w:rPr>
          <w:rStyle w:val="Strong"/>
          <w:rFonts w:ascii="Verdana" w:hAnsi="Verdana"/>
          <w:b w:val="0"/>
          <w:sz w:val="16"/>
          <w:szCs w:val="16"/>
          <w:shd w:val="clear" w:color="auto" w:fill="FFFFFF"/>
        </w:rPr>
        <w:t xml:space="preserve"> Resoluci</w:t>
      </w:r>
      <w:r>
        <w:rPr>
          <w:rStyle w:val="Strong"/>
          <w:rFonts w:ascii="Verdana" w:hAnsi="Verdana"/>
          <w:b w:val="0"/>
          <w:sz w:val="16"/>
          <w:szCs w:val="16"/>
          <w:shd w:val="clear" w:color="auto" w:fill="FFFFFF"/>
        </w:rPr>
        <w:t>o</w:t>
      </w:r>
      <w:r w:rsidRPr="00592604">
        <w:rPr>
          <w:rStyle w:val="Strong"/>
          <w:rFonts w:ascii="Verdana" w:hAnsi="Verdana"/>
          <w:b w:val="0"/>
          <w:sz w:val="16"/>
          <w:szCs w:val="16"/>
          <w:shd w:val="clear" w:color="auto" w:fill="FFFFFF"/>
        </w:rPr>
        <w:t>n</w:t>
      </w:r>
      <w:r>
        <w:rPr>
          <w:rStyle w:val="Strong"/>
          <w:rFonts w:ascii="Verdana" w:hAnsi="Verdana"/>
          <w:b w:val="0"/>
          <w:sz w:val="16"/>
          <w:szCs w:val="16"/>
          <w:shd w:val="clear" w:color="auto" w:fill="FFFFFF"/>
        </w:rPr>
        <w:t>es</w:t>
      </w:r>
      <w:r w:rsidRPr="00592604">
        <w:rPr>
          <w:rStyle w:val="Strong"/>
          <w:rFonts w:ascii="Verdana" w:hAnsi="Verdana"/>
          <w:b w:val="0"/>
          <w:sz w:val="16"/>
          <w:szCs w:val="16"/>
          <w:shd w:val="clear" w:color="auto" w:fill="FFFFFF"/>
        </w:rPr>
        <w:t xml:space="preserve"> de la Corte Interamericana de Derechos Humanos de 22 de septiembre de 2006</w:t>
      </w:r>
      <w:r>
        <w:rPr>
          <w:rStyle w:val="Strong"/>
          <w:rFonts w:ascii="Verdana" w:hAnsi="Verdana"/>
          <w:b w:val="0"/>
          <w:sz w:val="16"/>
          <w:szCs w:val="16"/>
          <w:shd w:val="clear" w:color="auto" w:fill="FFFFFF"/>
        </w:rPr>
        <w:t>, 9 de julio de 2009 y 22 de noviembre de 2010</w:t>
      </w:r>
      <w:r w:rsidRPr="00592604">
        <w:rPr>
          <w:rStyle w:val="Strong"/>
          <w:rFonts w:ascii="Verdana" w:hAnsi="Verdana"/>
          <w:b w:val="0"/>
          <w:sz w:val="16"/>
          <w:szCs w:val="16"/>
          <w:shd w:val="clear" w:color="auto" w:fill="FFFFFF"/>
        </w:rPr>
        <w:t>.</w:t>
      </w:r>
    </w:p>
  </w:footnote>
  <w:footnote w:id="56">
    <w:p w:rsidR="003B556D" w:rsidRPr="00592604" w:rsidRDefault="003B556D" w:rsidP="005E11F2">
      <w:pPr>
        <w:pStyle w:val="FootnoteText"/>
        <w:tabs>
          <w:tab w:val="left" w:pos="426"/>
        </w:tabs>
        <w:ind w:right="-709"/>
        <w:jc w:val="both"/>
        <w:rPr>
          <w:rFonts w:ascii="Verdana" w:hAnsi="Verdana"/>
          <w:color w:val="0070C0"/>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caso </w:t>
      </w:r>
      <w:r w:rsidRPr="00592604">
        <w:rPr>
          <w:rStyle w:val="Strong"/>
          <w:rFonts w:ascii="Verdana" w:hAnsi="Verdana"/>
          <w:b w:val="0"/>
          <w:i/>
          <w:sz w:val="16"/>
          <w:szCs w:val="16"/>
          <w:shd w:val="clear" w:color="auto" w:fill="FFFFFF"/>
        </w:rPr>
        <w:t xml:space="preserve">Tristán Donoso </w:t>
      </w:r>
      <w:r w:rsidRPr="00592604">
        <w:rPr>
          <w:rStyle w:val="Strong"/>
          <w:rFonts w:ascii="Verdana" w:hAnsi="Verdana"/>
          <w:b w:val="0"/>
          <w:sz w:val="16"/>
          <w:szCs w:val="16"/>
          <w:shd w:val="clear" w:color="auto" w:fill="FFFFFF"/>
        </w:rPr>
        <w:t xml:space="preserve">se ordenó a Panamá </w:t>
      </w:r>
      <w:r w:rsidRPr="00592604">
        <w:rPr>
          <w:rStyle w:val="Strong"/>
          <w:rFonts w:ascii="Verdana" w:hAnsi="Verdana"/>
          <w:b w:val="0"/>
          <w:i/>
          <w:sz w:val="16"/>
          <w:szCs w:val="16"/>
          <w:shd w:val="clear" w:color="auto" w:fill="FFFFFF"/>
        </w:rPr>
        <w:t>“</w:t>
      </w:r>
      <w:r w:rsidRPr="00592604">
        <w:rPr>
          <w:rFonts w:ascii="Verdana" w:hAnsi="Verdana"/>
          <w:sz w:val="16"/>
          <w:szCs w:val="16"/>
        </w:rPr>
        <w:t>dejar sin efecto la condena penal impuesta al señor Santander Tristán Donoso y todas las consecuencias que de ella derivaron”. En virtud</w:t>
      </w:r>
      <w:r w:rsidR="005A220C">
        <w:rPr>
          <w:rFonts w:ascii="Verdana" w:hAnsi="Verdana"/>
          <w:sz w:val="16"/>
          <w:szCs w:val="16"/>
        </w:rPr>
        <w:t xml:space="preserve"> del</w:t>
      </w:r>
      <w:r w:rsidRPr="00592604">
        <w:rPr>
          <w:rFonts w:ascii="Verdana" w:hAnsi="Verdana"/>
          <w:sz w:val="16"/>
          <w:szCs w:val="16"/>
        </w:rPr>
        <w:t xml:space="preserve"> Fallo emitido por este Tribunal, el Pleno de la Corte Suprema de Justicia emitió un acuerdo mediante el cual resolvió remitir el Fallo a la Sala Penal de la Corte Suprema de Justicia, “a fin que se revis[ara] la sentencia penal de 1 de abril de 2005, mediante la cual se condenó al señor Tristán Donoso”. Dicha Sala resolvió dejar sin efecto la  referida sentencia y todas sus consecuencias. </w:t>
      </w:r>
      <w:r w:rsidRPr="00592604">
        <w:rPr>
          <w:rFonts w:ascii="Verdana" w:hAnsi="Verdana"/>
          <w:i/>
          <w:sz w:val="16"/>
          <w:szCs w:val="16"/>
        </w:rPr>
        <w:t xml:space="preserve">Cfr. </w:t>
      </w:r>
      <w:r w:rsidRPr="00592604">
        <w:rPr>
          <w:rStyle w:val="Strong"/>
          <w:rFonts w:ascii="Verdana" w:hAnsi="Verdana"/>
          <w:b w:val="0"/>
          <w:i/>
          <w:sz w:val="16"/>
          <w:szCs w:val="16"/>
          <w:shd w:val="clear" w:color="auto" w:fill="FFFFFF"/>
        </w:rPr>
        <w:t>Caso Tristán Donoso Vs. Panamá. Supervisión de Cumplimiento de Sentencia.</w:t>
      </w:r>
      <w:r w:rsidRPr="00592604">
        <w:rPr>
          <w:rStyle w:val="Strong"/>
          <w:rFonts w:ascii="Verdana" w:hAnsi="Verdana"/>
          <w:b w:val="0"/>
          <w:sz w:val="16"/>
          <w:szCs w:val="16"/>
          <w:shd w:val="clear" w:color="auto" w:fill="FFFFFF"/>
        </w:rPr>
        <w:t xml:space="preserve"> Resolución de la Corte Interamericana de Derechos Humanos 1 de septiembre de 2010.</w:t>
      </w:r>
    </w:p>
  </w:footnote>
  <w:footnote w:id="57">
    <w:p w:rsidR="00251822" w:rsidRPr="00A17075" w:rsidRDefault="00251822" w:rsidP="00251822">
      <w:pPr>
        <w:pStyle w:val="FootnoteText"/>
        <w:tabs>
          <w:tab w:val="left" w:pos="426"/>
        </w:tabs>
        <w:ind w:right="-709"/>
        <w:jc w:val="both"/>
        <w:rPr>
          <w:rFonts w:ascii="Verdana" w:hAnsi="Verdana"/>
          <w:sz w:val="16"/>
          <w:szCs w:val="16"/>
        </w:rPr>
      </w:pPr>
      <w:r w:rsidRPr="00A17075">
        <w:rPr>
          <w:rStyle w:val="FootnoteReference"/>
          <w:rFonts w:ascii="Verdana" w:hAnsi="Verdana"/>
          <w:sz w:val="16"/>
          <w:szCs w:val="16"/>
        </w:rPr>
        <w:footnoteRef/>
      </w:r>
      <w:r w:rsidRPr="00A17075">
        <w:rPr>
          <w:rFonts w:ascii="Verdana" w:hAnsi="Verdana"/>
          <w:sz w:val="16"/>
          <w:szCs w:val="16"/>
        </w:rPr>
        <w:t xml:space="preserve"> </w:t>
      </w:r>
      <w:r w:rsidRPr="00A17075">
        <w:rPr>
          <w:rFonts w:ascii="Verdana" w:hAnsi="Verdana"/>
          <w:sz w:val="16"/>
          <w:szCs w:val="16"/>
        </w:rPr>
        <w:tab/>
        <w:t xml:space="preserve">En </w:t>
      </w:r>
      <w:r>
        <w:rPr>
          <w:rFonts w:ascii="Verdana" w:hAnsi="Verdana"/>
          <w:sz w:val="16"/>
          <w:szCs w:val="16"/>
        </w:rPr>
        <w:t>la Sentencia de fondo d</w:t>
      </w:r>
      <w:r w:rsidRPr="00A17075">
        <w:rPr>
          <w:rFonts w:ascii="Verdana" w:hAnsi="Verdana"/>
          <w:sz w:val="16"/>
          <w:szCs w:val="16"/>
        </w:rPr>
        <w:t xml:space="preserve">el </w:t>
      </w:r>
      <w:r w:rsidRPr="006B4E1A">
        <w:rPr>
          <w:rFonts w:ascii="Verdana" w:hAnsi="Verdana"/>
          <w:i/>
          <w:sz w:val="16"/>
          <w:szCs w:val="16"/>
        </w:rPr>
        <w:t>Caso</w:t>
      </w:r>
      <w:r w:rsidRPr="00A17075">
        <w:rPr>
          <w:rFonts w:ascii="Verdana" w:hAnsi="Verdana"/>
          <w:sz w:val="16"/>
          <w:szCs w:val="16"/>
        </w:rPr>
        <w:t xml:space="preserve"> </w:t>
      </w:r>
      <w:r w:rsidRPr="00A17075">
        <w:rPr>
          <w:rFonts w:ascii="Verdana" w:hAnsi="Verdana"/>
          <w:i/>
          <w:sz w:val="16"/>
          <w:szCs w:val="16"/>
        </w:rPr>
        <w:t>Barrios Altos Vs. Perú</w:t>
      </w:r>
      <w:r>
        <w:rPr>
          <w:rFonts w:ascii="Verdana" w:hAnsi="Verdana"/>
          <w:i/>
          <w:sz w:val="16"/>
          <w:szCs w:val="16"/>
        </w:rPr>
        <w:t>,</w:t>
      </w:r>
      <w:r w:rsidRPr="00A17075">
        <w:rPr>
          <w:rFonts w:ascii="Verdana" w:hAnsi="Verdana"/>
          <w:sz w:val="16"/>
          <w:szCs w:val="16"/>
        </w:rPr>
        <w:t xml:space="preserve"> la Corte </w:t>
      </w:r>
      <w:r>
        <w:rPr>
          <w:rFonts w:ascii="Verdana" w:hAnsi="Verdana"/>
          <w:sz w:val="16"/>
          <w:szCs w:val="16"/>
        </w:rPr>
        <w:t>declaró</w:t>
      </w:r>
      <w:r w:rsidRPr="00A17075">
        <w:rPr>
          <w:rFonts w:ascii="Verdana" w:hAnsi="Verdana"/>
          <w:sz w:val="16"/>
          <w:szCs w:val="16"/>
        </w:rPr>
        <w:t xml:space="preserve"> que las leyes de amnistía No. 26.479 y No. 26.492 eran incompatibles con la Convención Americana sobre Derechos Humanos y, en consecuencia, carecían de efectos jurídicos</w:t>
      </w:r>
      <w:r>
        <w:rPr>
          <w:rFonts w:ascii="Verdana" w:hAnsi="Verdana"/>
          <w:sz w:val="16"/>
          <w:szCs w:val="16"/>
        </w:rPr>
        <w:t>.</w:t>
      </w:r>
      <w:r w:rsidR="00D43663">
        <w:rPr>
          <w:rFonts w:ascii="Verdana" w:hAnsi="Verdana"/>
          <w:sz w:val="16"/>
          <w:szCs w:val="16"/>
        </w:rPr>
        <w:t xml:space="preserve"> En la Sentencia de interpretación de la Sentencia de Fondo, la Corte estableció que “</w:t>
      </w:r>
      <w:r w:rsidR="00D43663" w:rsidRPr="00D43663">
        <w:rPr>
          <w:rFonts w:ascii="Verdana" w:hAnsi="Verdana"/>
          <w:sz w:val="16"/>
          <w:szCs w:val="16"/>
        </w:rPr>
        <w:t>dada la naturaleza de la violación constituida por las leyes de amnistía No. 26479 y No. 26492, lo resuelto en la sentencia de fondo en el caso Barrios Altos tiene efectos generales”</w:t>
      </w:r>
      <w:r w:rsidR="00D43663">
        <w:rPr>
          <w:rFonts w:ascii="Verdana" w:hAnsi="Verdana"/>
          <w:sz w:val="16"/>
          <w:szCs w:val="16"/>
        </w:rPr>
        <w:t>.</w:t>
      </w:r>
      <w:r w:rsidR="00D43663" w:rsidRPr="00D43663">
        <w:rPr>
          <w:rFonts w:ascii="Verdana" w:hAnsi="Verdana"/>
          <w:sz w:val="16"/>
          <w:szCs w:val="16"/>
        </w:rPr>
        <w:t xml:space="preserve"> </w:t>
      </w:r>
      <w:r>
        <w:rPr>
          <w:rFonts w:ascii="Verdana" w:hAnsi="Verdana"/>
          <w:sz w:val="16"/>
          <w:szCs w:val="16"/>
        </w:rPr>
        <w:t xml:space="preserve">En la Sentencia de reparaciones y costas, este Tribunal ordenó a dicho </w:t>
      </w:r>
      <w:r w:rsidRPr="00A17075">
        <w:rPr>
          <w:rFonts w:ascii="Verdana" w:hAnsi="Verdana"/>
          <w:sz w:val="16"/>
          <w:szCs w:val="16"/>
        </w:rPr>
        <w:t xml:space="preserve">Estado </w:t>
      </w:r>
      <w:r>
        <w:rPr>
          <w:rFonts w:ascii="Verdana" w:hAnsi="Verdana"/>
          <w:sz w:val="16"/>
          <w:szCs w:val="16"/>
        </w:rPr>
        <w:t xml:space="preserve">que </w:t>
      </w:r>
      <w:r w:rsidRPr="00A17075">
        <w:rPr>
          <w:rFonts w:ascii="Verdana" w:hAnsi="Verdana"/>
          <w:sz w:val="16"/>
          <w:szCs w:val="16"/>
        </w:rPr>
        <w:t xml:space="preserve">debía </w:t>
      </w:r>
      <w:r w:rsidRPr="00A17075">
        <w:rPr>
          <w:rFonts w:ascii="Verdana" w:hAnsi="Verdana"/>
          <w:sz w:val="16"/>
          <w:szCs w:val="16"/>
          <w:lang w:val="es-CR"/>
        </w:rPr>
        <w:t xml:space="preserve">dar aplicación a lo </w:t>
      </w:r>
      <w:r w:rsidRPr="00284A6D">
        <w:rPr>
          <w:rFonts w:ascii="Verdana" w:hAnsi="Verdana"/>
          <w:sz w:val="16"/>
          <w:szCs w:val="16"/>
          <w:lang w:val="es-CR"/>
        </w:rPr>
        <w:t xml:space="preserve">dispuesto por esta Corte </w:t>
      </w:r>
      <w:r w:rsidR="00D43663">
        <w:rPr>
          <w:rFonts w:ascii="Verdana" w:hAnsi="Verdana"/>
          <w:sz w:val="16"/>
          <w:szCs w:val="16"/>
          <w:lang w:val="es-CR"/>
        </w:rPr>
        <w:t xml:space="preserve">en la sentencia de interpretación </w:t>
      </w:r>
      <w:r w:rsidRPr="00284A6D">
        <w:rPr>
          <w:rFonts w:ascii="Verdana" w:hAnsi="Verdana"/>
          <w:sz w:val="16"/>
          <w:szCs w:val="16"/>
          <w:lang w:val="es-CR"/>
        </w:rPr>
        <w:t>sobre el sentido y alcances de la declaración de ineficacia de las referidas leyes. E</w:t>
      </w:r>
      <w:r>
        <w:rPr>
          <w:rFonts w:ascii="Verdana" w:hAnsi="Verdana"/>
          <w:sz w:val="16"/>
          <w:szCs w:val="16"/>
          <w:lang w:val="es-CR"/>
        </w:rPr>
        <w:t>l 29 de</w:t>
      </w:r>
      <w:r w:rsidRPr="00284A6D">
        <w:rPr>
          <w:rFonts w:ascii="Verdana" w:hAnsi="Verdana"/>
          <w:sz w:val="16"/>
          <w:szCs w:val="16"/>
          <w:lang w:val="es-CR"/>
        </w:rPr>
        <w:t xml:space="preserve"> noviembre de 2005 el Tribunal Constitucional de Perú, al resolver un recurso de amparo, estableció que “</w:t>
      </w:r>
      <w:r w:rsidRPr="00284A6D">
        <w:rPr>
          <w:rFonts w:ascii="Verdana" w:hAnsi="Verdana"/>
          <w:sz w:val="16"/>
          <w:szCs w:val="16"/>
        </w:rPr>
        <w:t xml:space="preserve">la obligación del Estado de investigar los hechos y sancionar a los responsables por la violación de los derechos humanos declarados en la Sentencia de la Corte Interamericana de Derechos Humanos […] comprende la nulidad de aquellos procesos donde se hubiese aplicado las leyes de amnistía Nº 26479 y Nº 26492, tras haberse declarado que dichas leyes no tienen efectos jurídicos”. La Corte concluyó con base en determinadas normas y jurisprudencia del derecho peruano, que las decisiones de la Corte Interamericana tienen efectos inmediatos y vinculantes y que, por ende, la sentencia dictada en el caso Barrios Altos está plenamente incorporada a nivel normativo interno. </w:t>
      </w:r>
      <w:r>
        <w:rPr>
          <w:rFonts w:ascii="Verdana" w:hAnsi="Verdana"/>
          <w:sz w:val="16"/>
          <w:szCs w:val="16"/>
        </w:rPr>
        <w:t>Con ello, se vio concretada en general en dicho Estado “la incompatibilidad de las leyes de amnistía con la C</w:t>
      </w:r>
      <w:r w:rsidR="006B25D9">
        <w:rPr>
          <w:rFonts w:ascii="Verdana" w:hAnsi="Verdana"/>
          <w:sz w:val="16"/>
          <w:szCs w:val="16"/>
        </w:rPr>
        <w:t>onvención […], es decir [se] su</w:t>
      </w:r>
      <w:r>
        <w:rPr>
          <w:rFonts w:ascii="Verdana" w:hAnsi="Verdana"/>
          <w:sz w:val="16"/>
          <w:szCs w:val="16"/>
        </w:rPr>
        <w:t xml:space="preserve">prim[ieron] los efectos que en algún momento pudieron generar esas leyes”. </w:t>
      </w:r>
      <w:r w:rsidRPr="00284A6D">
        <w:rPr>
          <w:rFonts w:ascii="Verdana" w:hAnsi="Verdana"/>
          <w:i/>
          <w:sz w:val="16"/>
          <w:szCs w:val="16"/>
        </w:rPr>
        <w:t xml:space="preserve">Cfr. </w:t>
      </w:r>
      <w:r w:rsidRPr="00284A6D">
        <w:rPr>
          <w:rStyle w:val="Strong"/>
          <w:rFonts w:ascii="Verdana" w:hAnsi="Verdana"/>
          <w:b w:val="0"/>
          <w:i/>
          <w:color w:val="000000"/>
          <w:sz w:val="16"/>
          <w:szCs w:val="16"/>
          <w:shd w:val="clear" w:color="auto" w:fill="FFFFFF"/>
        </w:rPr>
        <w:t>Caso Barrios Altos Vs. Perú. Fondo.</w:t>
      </w:r>
      <w:r w:rsidRPr="00284A6D">
        <w:rPr>
          <w:rStyle w:val="Strong"/>
          <w:rFonts w:ascii="Verdana" w:hAnsi="Verdana"/>
          <w:b w:val="0"/>
          <w:color w:val="000000"/>
          <w:sz w:val="16"/>
          <w:szCs w:val="16"/>
          <w:shd w:val="clear" w:color="auto" w:fill="FFFFFF"/>
        </w:rPr>
        <w:t xml:space="preserve"> Sentencia de 14 d</w:t>
      </w:r>
      <w:r>
        <w:rPr>
          <w:rStyle w:val="Strong"/>
          <w:rFonts w:ascii="Verdana" w:hAnsi="Verdana"/>
          <w:b w:val="0"/>
          <w:color w:val="000000"/>
          <w:sz w:val="16"/>
          <w:szCs w:val="16"/>
          <w:shd w:val="clear" w:color="auto" w:fill="FFFFFF"/>
        </w:rPr>
        <w:t xml:space="preserve">e marzo de 2001. Serie C No. 75; </w:t>
      </w:r>
      <w:r w:rsidRPr="00284A6D">
        <w:rPr>
          <w:rStyle w:val="Strong"/>
          <w:rFonts w:ascii="Verdana" w:hAnsi="Verdana"/>
          <w:b w:val="0"/>
          <w:i/>
          <w:color w:val="000000"/>
          <w:sz w:val="16"/>
          <w:szCs w:val="16"/>
          <w:shd w:val="clear" w:color="auto" w:fill="FFFFFF"/>
        </w:rPr>
        <w:t>Caso Barrios Altos Vs. Perú. Reparaciones y Costas.</w:t>
      </w:r>
      <w:r w:rsidRPr="00284A6D">
        <w:rPr>
          <w:rStyle w:val="Strong"/>
          <w:rFonts w:ascii="Verdana" w:hAnsi="Verdana"/>
          <w:b w:val="0"/>
          <w:color w:val="000000"/>
          <w:sz w:val="16"/>
          <w:szCs w:val="16"/>
          <w:shd w:val="clear" w:color="auto" w:fill="FFFFFF"/>
        </w:rPr>
        <w:t xml:space="preserve"> Sentencia de 30 de no</w:t>
      </w:r>
      <w:r w:rsidR="005A220C">
        <w:rPr>
          <w:rStyle w:val="Strong"/>
          <w:rFonts w:ascii="Verdana" w:hAnsi="Verdana"/>
          <w:b w:val="0"/>
          <w:color w:val="000000"/>
          <w:sz w:val="16"/>
          <w:szCs w:val="16"/>
          <w:shd w:val="clear" w:color="auto" w:fill="FFFFFF"/>
        </w:rPr>
        <w:t>viembre de 2001. Serie C No. 87, y</w:t>
      </w:r>
      <w:r w:rsidRPr="00284A6D">
        <w:rPr>
          <w:rStyle w:val="Strong"/>
          <w:rFonts w:ascii="Verdana" w:hAnsi="Verdana"/>
          <w:b w:val="0"/>
          <w:color w:val="000000"/>
          <w:sz w:val="16"/>
          <w:szCs w:val="16"/>
          <w:shd w:val="clear" w:color="auto" w:fill="FFFFFF"/>
        </w:rPr>
        <w:t xml:space="preserve"> </w:t>
      </w:r>
      <w:r w:rsidRPr="00284A6D">
        <w:rPr>
          <w:rStyle w:val="Strong"/>
          <w:rFonts w:ascii="Verdana" w:hAnsi="Verdana"/>
          <w:b w:val="0"/>
          <w:i/>
          <w:color w:val="000000"/>
          <w:sz w:val="16"/>
          <w:szCs w:val="16"/>
          <w:shd w:val="clear" w:color="auto" w:fill="FFFFFF"/>
        </w:rPr>
        <w:t>Caso La Cantuta Vs. Perú. Fondo, Reparaciones y Costas.</w:t>
      </w:r>
      <w:r w:rsidRPr="00284A6D">
        <w:rPr>
          <w:rStyle w:val="Strong"/>
          <w:rFonts w:ascii="Verdana" w:hAnsi="Verdana"/>
          <w:b w:val="0"/>
          <w:color w:val="000000"/>
          <w:sz w:val="16"/>
          <w:szCs w:val="16"/>
          <w:shd w:val="clear" w:color="auto" w:fill="FFFFFF"/>
        </w:rPr>
        <w:t xml:space="preserve"> Sentencia de 29 de noviembre de 2006. Serie C No. 162, párrs. 181 a 189.</w:t>
      </w:r>
    </w:p>
  </w:footnote>
  <w:footnote w:id="58">
    <w:p w:rsidR="00251822" w:rsidRPr="005A220C" w:rsidRDefault="00251822" w:rsidP="00251822">
      <w:pPr>
        <w:pStyle w:val="FootnoteText"/>
        <w:tabs>
          <w:tab w:val="left" w:pos="426"/>
        </w:tabs>
        <w:ind w:right="-709"/>
        <w:jc w:val="both"/>
        <w:rPr>
          <w:rFonts w:ascii="Verdana" w:hAnsi="Verdana"/>
          <w:i/>
          <w:sz w:val="16"/>
          <w:szCs w:val="16"/>
          <w:lang w:val="es-CR"/>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caso </w:t>
      </w:r>
      <w:r w:rsidRPr="00592604">
        <w:rPr>
          <w:rFonts w:ascii="Verdana" w:hAnsi="Verdana"/>
          <w:i/>
          <w:sz w:val="16"/>
          <w:szCs w:val="16"/>
        </w:rPr>
        <w:t>Masacres de El Mozote</w:t>
      </w:r>
      <w:r>
        <w:rPr>
          <w:rFonts w:ascii="Verdana" w:hAnsi="Verdana"/>
          <w:i/>
          <w:sz w:val="16"/>
          <w:szCs w:val="16"/>
        </w:rPr>
        <w:t xml:space="preserve"> y lugares aledaños</w:t>
      </w:r>
      <w:r w:rsidRPr="00592604">
        <w:rPr>
          <w:rFonts w:ascii="Verdana" w:hAnsi="Verdana"/>
          <w:sz w:val="16"/>
          <w:szCs w:val="16"/>
        </w:rPr>
        <w:t xml:space="preserve"> se ordenó a El Salvador “asegurar que la Ley de Amnistía General para la Consolidación de la Paz no v</w:t>
      </w:r>
      <w:r>
        <w:rPr>
          <w:rFonts w:ascii="Verdana" w:hAnsi="Verdana"/>
          <w:sz w:val="16"/>
          <w:szCs w:val="16"/>
        </w:rPr>
        <w:t>uelva</w:t>
      </w:r>
      <w:r w:rsidRPr="00592604">
        <w:rPr>
          <w:rFonts w:ascii="Verdana" w:hAnsi="Verdana"/>
          <w:sz w:val="16"/>
          <w:szCs w:val="16"/>
        </w:rPr>
        <w:t xml:space="preserve">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E</w:t>
      </w:r>
      <w:r>
        <w:rPr>
          <w:rFonts w:ascii="Verdana" w:hAnsi="Verdana"/>
          <w:sz w:val="16"/>
          <w:szCs w:val="16"/>
        </w:rPr>
        <w:t>l 13 de</w:t>
      </w:r>
      <w:r w:rsidRPr="00592604">
        <w:rPr>
          <w:rFonts w:ascii="Verdana" w:hAnsi="Verdana"/>
          <w:sz w:val="16"/>
          <w:szCs w:val="16"/>
        </w:rPr>
        <w:t xml:space="preserve"> julio de 2016 la Sala de lo Constitucional de la Corte Suprema de Justicia, teniendo en cuenta lo resuelto por la Corte Interamericana en la Sentencia de este caso, </w:t>
      </w:r>
      <w:r>
        <w:rPr>
          <w:rFonts w:ascii="Verdana" w:hAnsi="Verdana"/>
          <w:sz w:val="16"/>
          <w:szCs w:val="16"/>
        </w:rPr>
        <w:t xml:space="preserve">emitió una sentencia en la que </w:t>
      </w:r>
      <w:r w:rsidRPr="00592604">
        <w:rPr>
          <w:rFonts w:ascii="Verdana" w:hAnsi="Verdana"/>
          <w:sz w:val="16"/>
          <w:szCs w:val="16"/>
        </w:rPr>
        <w:t xml:space="preserve">resolvió declarar la inconstitucionalidad de la referida ley. </w:t>
      </w:r>
      <w:r w:rsidRPr="006B4E1A">
        <w:rPr>
          <w:rFonts w:ascii="Verdana" w:hAnsi="Verdana"/>
          <w:i/>
          <w:sz w:val="16"/>
          <w:szCs w:val="16"/>
        </w:rPr>
        <w:t xml:space="preserve"> </w:t>
      </w:r>
      <w:r w:rsidR="005A220C" w:rsidRPr="008D790F">
        <w:rPr>
          <w:rFonts w:ascii="Verdana" w:hAnsi="Verdana"/>
          <w:i/>
          <w:sz w:val="16"/>
          <w:szCs w:val="16"/>
          <w:lang w:val="es-CR"/>
        </w:rPr>
        <w:t>Cfr.</w:t>
      </w:r>
      <w:r w:rsidR="005A220C" w:rsidRPr="008D790F">
        <w:rPr>
          <w:rFonts w:ascii="Verdana" w:hAnsi="Verdana"/>
          <w:sz w:val="16"/>
          <w:szCs w:val="16"/>
          <w:lang w:val="es-CR"/>
        </w:rPr>
        <w:t xml:space="preserve"> Sentencia de la Sala de lo Constitucional de El Salvador de 13 de julio de 2016.</w:t>
      </w:r>
    </w:p>
  </w:footnote>
  <w:footnote w:id="59">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En el párrafo 178 la Corte “consider[ó] pertinente fijar, en equidad, la suma de US$ 30.000 (treinta mil dólares de los Estados Unidos de América) a cada una de las [siguientes cuatro] víctimas”: “Ivar Onoldo Rojas Ravanal, Alberto Salustio Bustamante Rojas, Álvaro Yáñez del Villar, y Omar Humberto Maldonado Vargas”.</w:t>
      </w:r>
    </w:p>
  </w:footnote>
  <w:footnote w:id="60">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párrafo 179 la Corte “consider[ó] pertinente fijar, en equidad, la suma de US$ 25.000 (veinticinco mil dólares de los Estados Unidos de América) a [favor de] cada un[a de las siguientes ocho víctimas]”: “Belarmino Constanzo Merino, Manuel Osvaldo López Oyanedel, Gustavo Raúl Lastra Saavedra, Mario Antonio Cornejo Barahona, Ernesto Augusto Galaz Guzmán, Mario González Rifo, Jaime Donoso Parra y Víctor Hugo Adriazola Meza”. </w:t>
      </w:r>
    </w:p>
  </w:footnote>
  <w:footnote w:id="61">
    <w:p w:rsidR="003B556D" w:rsidRPr="00592604" w:rsidRDefault="003B556D" w:rsidP="009D1022">
      <w:pPr>
        <w:pStyle w:val="FootnoteText"/>
        <w:tabs>
          <w:tab w:val="left" w:pos="426"/>
        </w:tabs>
        <w:ind w:right="-709"/>
        <w:jc w:val="both"/>
        <w:rPr>
          <w:rFonts w:ascii="Verdana" w:hAnsi="Verdana"/>
          <w:color w:val="7030A0"/>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w:t>
      </w:r>
      <w:r w:rsidRPr="009F543F">
        <w:rPr>
          <w:rFonts w:ascii="Verdana" w:hAnsi="Verdana"/>
          <w:i/>
          <w:sz w:val="16"/>
          <w:szCs w:val="16"/>
        </w:rPr>
        <w:t>Estado</w:t>
      </w:r>
      <w:r w:rsidRPr="00592604">
        <w:rPr>
          <w:rFonts w:ascii="Verdana" w:hAnsi="Verdana"/>
          <w:sz w:val="16"/>
          <w:szCs w:val="16"/>
        </w:rPr>
        <w:t xml:space="preserve"> informó que “se ha pagado a 11 de las 12 víctimas, restando el pago a la familia de la víctima fallecida Gustavo Raúl Lara Saavedra”. Como prueba de los pagos, Chile remitió una “Resolución Exenta” del Ministerio de Justicia</w:t>
      </w:r>
      <w:r>
        <w:rPr>
          <w:rFonts w:ascii="Verdana" w:hAnsi="Verdana"/>
          <w:sz w:val="16"/>
          <w:szCs w:val="16"/>
        </w:rPr>
        <w:t>,</w:t>
      </w:r>
      <w:r w:rsidRPr="00592604">
        <w:rPr>
          <w:rFonts w:ascii="Verdana" w:hAnsi="Verdana"/>
          <w:sz w:val="16"/>
          <w:szCs w:val="16"/>
        </w:rPr>
        <w:t xml:space="preserve"> en la cual se resolvió </w:t>
      </w:r>
      <w:r>
        <w:rPr>
          <w:rFonts w:ascii="Verdana" w:hAnsi="Verdana"/>
          <w:sz w:val="16"/>
          <w:szCs w:val="16"/>
        </w:rPr>
        <w:t>“[</w:t>
      </w:r>
      <w:r w:rsidRPr="00592604">
        <w:rPr>
          <w:rFonts w:ascii="Verdana" w:hAnsi="Verdana"/>
          <w:sz w:val="16"/>
          <w:szCs w:val="16"/>
        </w:rPr>
        <w:t>p</w:t>
      </w:r>
      <w:r>
        <w:rPr>
          <w:rFonts w:ascii="Verdana" w:hAnsi="Verdana"/>
          <w:sz w:val="16"/>
          <w:szCs w:val="16"/>
        </w:rPr>
        <w:t>]</w:t>
      </w:r>
      <w:r w:rsidRPr="00592604">
        <w:rPr>
          <w:rFonts w:ascii="Verdana" w:hAnsi="Verdana"/>
          <w:sz w:val="16"/>
          <w:szCs w:val="16"/>
        </w:rPr>
        <w:t>ag</w:t>
      </w:r>
      <w:r>
        <w:rPr>
          <w:rFonts w:ascii="Verdana" w:hAnsi="Verdana"/>
          <w:sz w:val="16"/>
          <w:szCs w:val="16"/>
        </w:rPr>
        <w:t>[</w:t>
      </w:r>
      <w:r w:rsidRPr="00592604">
        <w:rPr>
          <w:rFonts w:ascii="Verdana" w:hAnsi="Verdana"/>
          <w:sz w:val="16"/>
          <w:szCs w:val="16"/>
        </w:rPr>
        <w:t>ar</w:t>
      </w:r>
      <w:r>
        <w:rPr>
          <w:rFonts w:ascii="Verdana" w:hAnsi="Verdana"/>
          <w:sz w:val="16"/>
          <w:szCs w:val="16"/>
        </w:rPr>
        <w:t>]</w:t>
      </w:r>
      <w:r w:rsidRPr="00592604">
        <w:rPr>
          <w:rFonts w:ascii="Verdana" w:hAnsi="Verdana"/>
          <w:sz w:val="16"/>
          <w:szCs w:val="16"/>
        </w:rPr>
        <w:t>, a través de los Tesorería General de la República</w:t>
      </w:r>
      <w:r>
        <w:rPr>
          <w:rFonts w:ascii="Verdana" w:hAnsi="Verdana"/>
          <w:sz w:val="16"/>
          <w:szCs w:val="16"/>
        </w:rPr>
        <w:t>”</w:t>
      </w:r>
      <w:r w:rsidRPr="00592604">
        <w:rPr>
          <w:rFonts w:ascii="Verdana" w:hAnsi="Verdana"/>
          <w:sz w:val="16"/>
          <w:szCs w:val="16"/>
        </w:rPr>
        <w:t>, los montos dispuestos en la Sentencia a favor de las víctimas. El Estado no presentó los comprobantes de los pagos realizados</w:t>
      </w:r>
      <w:r w:rsidR="005A220C">
        <w:rPr>
          <w:rFonts w:ascii="Verdana" w:hAnsi="Verdana"/>
          <w:sz w:val="16"/>
          <w:szCs w:val="16"/>
        </w:rPr>
        <w:t>;</w:t>
      </w:r>
      <w:r w:rsidRPr="00592604">
        <w:rPr>
          <w:rFonts w:ascii="Verdana" w:hAnsi="Verdana"/>
          <w:sz w:val="16"/>
          <w:szCs w:val="16"/>
        </w:rPr>
        <w:t xml:space="preserve"> sin embargo</w:t>
      </w:r>
      <w:r w:rsidR="005A220C">
        <w:rPr>
          <w:rFonts w:ascii="Verdana" w:hAnsi="Verdana"/>
          <w:sz w:val="16"/>
          <w:szCs w:val="16"/>
        </w:rPr>
        <w:t>,</w:t>
      </w:r>
      <w:r w:rsidRPr="00592604">
        <w:rPr>
          <w:rFonts w:ascii="Verdana" w:hAnsi="Verdana"/>
          <w:sz w:val="16"/>
          <w:szCs w:val="16"/>
        </w:rPr>
        <w:t xml:space="preserve"> no existen objeciones de los representantes con respecto a que los mismos hayan sido realizados según lo dispuesto en la Sentencia de este Tribunal. Por el contrario, el representante sostuvo que lo indicado por el Estado en su informe “corresponde a la verdad” y únicamente realizó la salvedad con respecto al pago pendiente la víctima fallecida Lara Saavedra. </w:t>
      </w:r>
      <w:r w:rsidRPr="00592604">
        <w:rPr>
          <w:rFonts w:ascii="Verdana" w:hAnsi="Verdana"/>
          <w:i/>
          <w:sz w:val="16"/>
          <w:szCs w:val="16"/>
        </w:rPr>
        <w:t>Cfr.</w:t>
      </w:r>
      <w:r w:rsidRPr="00592604">
        <w:rPr>
          <w:rFonts w:ascii="Verdana" w:hAnsi="Verdana"/>
          <w:sz w:val="16"/>
          <w:szCs w:val="16"/>
        </w:rPr>
        <w:t xml:space="preserve"> Resolución Exenta No. 5268 suscrita por el Subsecretario de Justicia del Ministerio de Justicia y Derechos Humanos el 9 de diciembre de 2015 (anexo 15 al informe estatal de octubre de 2016).</w:t>
      </w:r>
    </w:p>
  </w:footnote>
  <w:footnote w:id="62">
    <w:p w:rsidR="003B556D" w:rsidRPr="00592604"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w:t>
      </w:r>
      <w:r w:rsidRPr="00592604">
        <w:rPr>
          <w:rFonts w:ascii="Verdana" w:hAnsi="Verdana"/>
          <w:i/>
          <w:sz w:val="16"/>
          <w:szCs w:val="16"/>
        </w:rPr>
        <w:t>representante</w:t>
      </w:r>
      <w:r w:rsidRPr="00592604">
        <w:rPr>
          <w:rFonts w:ascii="Verdana" w:hAnsi="Verdana"/>
          <w:sz w:val="16"/>
          <w:szCs w:val="16"/>
        </w:rPr>
        <w:t xml:space="preserve"> sostuvo que</w:t>
      </w:r>
      <w:r>
        <w:rPr>
          <w:rFonts w:ascii="Verdana" w:hAnsi="Verdana"/>
          <w:sz w:val="16"/>
          <w:szCs w:val="16"/>
        </w:rPr>
        <w:t>,</w:t>
      </w:r>
      <w:r w:rsidRPr="00592604">
        <w:rPr>
          <w:rFonts w:ascii="Verdana" w:hAnsi="Verdana"/>
          <w:sz w:val="16"/>
          <w:szCs w:val="16"/>
        </w:rPr>
        <w:t xml:space="preserve"> en cuanto “a los pagos por concepto de daño inmaterial a las víctimas</w:t>
      </w:r>
      <w:r>
        <w:rPr>
          <w:rFonts w:ascii="Verdana" w:hAnsi="Verdana"/>
          <w:sz w:val="16"/>
          <w:szCs w:val="16"/>
        </w:rPr>
        <w:t>[,]</w:t>
      </w:r>
      <w:r w:rsidRPr="00592604">
        <w:rPr>
          <w:rFonts w:ascii="Verdana" w:hAnsi="Verdana"/>
          <w:sz w:val="16"/>
          <w:szCs w:val="16"/>
        </w:rPr>
        <w:t xml:space="preserve"> deb[ía] pre</w:t>
      </w:r>
      <w:r>
        <w:rPr>
          <w:rFonts w:ascii="Verdana" w:hAnsi="Verdana"/>
          <w:sz w:val="16"/>
          <w:szCs w:val="16"/>
        </w:rPr>
        <w:t>c</w:t>
      </w:r>
      <w:r w:rsidRPr="00592604">
        <w:rPr>
          <w:rFonts w:ascii="Verdana" w:hAnsi="Verdana"/>
          <w:sz w:val="16"/>
          <w:szCs w:val="16"/>
        </w:rPr>
        <w:t xml:space="preserve">isar que de acuerdo a la […] información remitida por el Estado, estaría pendiente el pago por consignación a la familia de la víctima fallecida Gustavo Lastra Saavedra”. </w:t>
      </w:r>
    </w:p>
  </w:footnote>
  <w:footnote w:id="63">
    <w:p w:rsidR="003B556D" w:rsidRPr="00592604" w:rsidRDefault="003B556D" w:rsidP="000E537D">
      <w:pPr>
        <w:pStyle w:val="FootnoteText"/>
        <w:tabs>
          <w:tab w:val="left" w:pos="426"/>
        </w:tabs>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r>
      <w:r w:rsidRPr="00592604">
        <w:rPr>
          <w:rFonts w:ascii="Verdana" w:hAnsi="Verdana"/>
          <w:i/>
          <w:sz w:val="16"/>
          <w:szCs w:val="16"/>
        </w:rPr>
        <w:t>C</w:t>
      </w:r>
      <w:r w:rsidRPr="00592604">
        <w:rPr>
          <w:rFonts w:ascii="Verdana" w:hAnsi="Verdana" w:cs="Arial"/>
          <w:i/>
          <w:sz w:val="16"/>
          <w:szCs w:val="16"/>
          <w:lang w:val="es-CR"/>
        </w:rPr>
        <w:t>fr.</w:t>
      </w:r>
      <w:r w:rsidRPr="00592604">
        <w:rPr>
          <w:rFonts w:ascii="Verdana" w:hAnsi="Verdana" w:cs="Arial"/>
          <w:b/>
          <w:i/>
          <w:sz w:val="16"/>
          <w:szCs w:val="16"/>
          <w:lang w:val="es-CR"/>
        </w:rPr>
        <w:t xml:space="preserve"> </w:t>
      </w:r>
      <w:r w:rsidRPr="00592604">
        <w:rPr>
          <w:rStyle w:val="Strong"/>
          <w:rFonts w:ascii="Verdana" w:hAnsi="Verdana" w:cs="Arial"/>
          <w:b w:val="0"/>
          <w:i/>
          <w:sz w:val="16"/>
          <w:szCs w:val="16"/>
          <w:shd w:val="clear" w:color="auto" w:fill="FFFFFF"/>
          <w:lang w:val="es-CR"/>
        </w:rPr>
        <w:t xml:space="preserve">Caso Omar Humberto Maldonado Vargas y otros, supra </w:t>
      </w:r>
      <w:r w:rsidRPr="00592604">
        <w:rPr>
          <w:rStyle w:val="Strong"/>
          <w:rFonts w:ascii="Verdana" w:hAnsi="Verdana" w:cs="Arial"/>
          <w:b w:val="0"/>
          <w:sz w:val="16"/>
          <w:szCs w:val="16"/>
          <w:shd w:val="clear" w:color="auto" w:fill="FFFFFF"/>
          <w:lang w:val="es-CR"/>
        </w:rPr>
        <w:t>nota 1, párr. 189.</w:t>
      </w:r>
    </w:p>
  </w:footnote>
  <w:footnote w:id="64">
    <w:p w:rsidR="003B556D" w:rsidRPr="006237B3" w:rsidRDefault="003B556D" w:rsidP="009D1022">
      <w:pPr>
        <w:pStyle w:val="FootnoteText"/>
        <w:tabs>
          <w:tab w:val="left" w:pos="426"/>
        </w:tabs>
        <w:ind w:right="-709"/>
        <w:jc w:val="both"/>
        <w:rPr>
          <w:rFonts w:ascii="Verdana" w:hAnsi="Verdana"/>
          <w:color w:val="7030A0"/>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En el párrafo 185 “la Corte decid[ió] fijar la cantidad de US$ 10.000 (diez mil dólares de los Estados Unidos de América) por las labores realizadas en el litigio del caso a nivel internacional, suma que incluye los US$ 6.714 (seis mil setecientos catorce dólares de los Estados Unidos de América) que fueron acreditados mediante comprobantes de pago </w:t>
      </w:r>
      <w:r>
        <w:rPr>
          <w:rFonts w:ascii="Verdana" w:hAnsi="Verdana"/>
          <w:sz w:val="16"/>
          <w:szCs w:val="16"/>
        </w:rPr>
        <w:t xml:space="preserve">[ por los representantes] </w:t>
      </w:r>
      <w:r w:rsidRPr="00592604">
        <w:rPr>
          <w:rFonts w:ascii="Verdana" w:hAnsi="Verdana"/>
          <w:sz w:val="16"/>
          <w:szCs w:val="16"/>
        </w:rPr>
        <w:t>y un monto en equidad para el reembolso de gastos incurridos en los procedimientos internacionales llevados a cabo ante la Comisión así como para los gastos de oficina y de alimentación en el viaje para asistir a la audiencia pública”</w:t>
      </w:r>
      <w:r>
        <w:rPr>
          <w:rFonts w:ascii="Verdana" w:hAnsi="Verdana"/>
          <w:sz w:val="16"/>
          <w:szCs w:val="16"/>
        </w:rPr>
        <w:t xml:space="preserve"> ante la Corte Interamericana</w:t>
      </w:r>
      <w:r w:rsidRPr="00592604">
        <w:rPr>
          <w:rFonts w:ascii="Verdana" w:hAnsi="Verdana"/>
          <w:sz w:val="16"/>
          <w:szCs w:val="16"/>
        </w:rPr>
        <w:t xml:space="preserve">. Además, dispuso que “[e]sa suma deb[ía] ser pagada por el Estado a los representantes”. En la etapa de fondo del caso los representantes legales de las víctimas eran el señor Ciro Colombara, actual representante en la etapa de supervisión, y el señor Branislav Marelic, quien renunció a la representación en agosto de 2016. </w:t>
      </w:r>
      <w:r w:rsidRPr="00592604">
        <w:rPr>
          <w:rFonts w:ascii="Verdana" w:hAnsi="Verdana"/>
          <w:i/>
          <w:sz w:val="16"/>
          <w:szCs w:val="16"/>
        </w:rPr>
        <w:t>C</w:t>
      </w:r>
      <w:r w:rsidRPr="00592604">
        <w:rPr>
          <w:rFonts w:ascii="Verdana" w:hAnsi="Verdana" w:cs="Arial"/>
          <w:i/>
          <w:sz w:val="16"/>
          <w:szCs w:val="16"/>
          <w:lang w:val="es-CR"/>
        </w:rPr>
        <w:t>fr.</w:t>
      </w:r>
      <w:r>
        <w:rPr>
          <w:rFonts w:ascii="Verdana" w:hAnsi="Verdana" w:cs="Arial"/>
          <w:i/>
          <w:sz w:val="16"/>
          <w:szCs w:val="16"/>
          <w:lang w:val="es-CR"/>
        </w:rPr>
        <w:t xml:space="preserve"> </w:t>
      </w:r>
      <w:r w:rsidRPr="006237B3">
        <w:rPr>
          <w:rFonts w:ascii="Verdana" w:hAnsi="Verdana" w:cs="Arial"/>
          <w:sz w:val="16"/>
          <w:szCs w:val="16"/>
          <w:lang w:val="es-CR"/>
        </w:rPr>
        <w:t xml:space="preserve">Escrito presentado por el </w:t>
      </w:r>
      <w:r w:rsidRPr="006237B3">
        <w:rPr>
          <w:rFonts w:ascii="Verdana" w:hAnsi="Verdana"/>
          <w:sz w:val="16"/>
          <w:szCs w:val="16"/>
        </w:rPr>
        <w:t>señor Branislav Marelic el 9 de agosto de 2016.</w:t>
      </w:r>
    </w:p>
  </w:footnote>
  <w:footnote w:id="65">
    <w:p w:rsidR="003B556D" w:rsidRPr="006237B3" w:rsidRDefault="003B556D" w:rsidP="009D1022">
      <w:pPr>
        <w:pStyle w:val="FootnoteText"/>
        <w:tabs>
          <w:tab w:val="left" w:pos="426"/>
        </w:tabs>
        <w:ind w:right="-709"/>
        <w:jc w:val="both"/>
        <w:rPr>
          <w:rFonts w:ascii="Verdana" w:hAnsi="Verdana"/>
          <w:sz w:val="16"/>
          <w:szCs w:val="16"/>
        </w:rPr>
      </w:pPr>
      <w:r w:rsidRPr="00592604">
        <w:rPr>
          <w:rStyle w:val="FootnoteReference"/>
          <w:rFonts w:ascii="Verdana" w:hAnsi="Verdana"/>
          <w:sz w:val="16"/>
          <w:szCs w:val="16"/>
        </w:rPr>
        <w:footnoteRef/>
      </w:r>
      <w:r w:rsidRPr="00592604">
        <w:rPr>
          <w:rFonts w:ascii="Verdana" w:hAnsi="Verdana"/>
          <w:sz w:val="16"/>
          <w:szCs w:val="16"/>
        </w:rPr>
        <w:t xml:space="preserve"> </w:t>
      </w:r>
      <w:r w:rsidRPr="00592604">
        <w:rPr>
          <w:rFonts w:ascii="Verdana" w:hAnsi="Verdana"/>
          <w:sz w:val="16"/>
          <w:szCs w:val="16"/>
        </w:rPr>
        <w:tab/>
        <w:t xml:space="preserve">El </w:t>
      </w:r>
      <w:r w:rsidRPr="00460436">
        <w:rPr>
          <w:rFonts w:ascii="Verdana" w:hAnsi="Verdana"/>
          <w:i/>
          <w:sz w:val="16"/>
          <w:szCs w:val="16"/>
        </w:rPr>
        <w:t>Estado</w:t>
      </w:r>
      <w:r w:rsidRPr="00592604">
        <w:rPr>
          <w:rFonts w:ascii="Verdana" w:hAnsi="Verdana"/>
          <w:sz w:val="16"/>
          <w:szCs w:val="16"/>
        </w:rPr>
        <w:t xml:space="preserve"> informó que “se resolvió pagar la suma única, total y en conjunto de US$10.000 (diez mil dólares de los Estados Unidos de América) o su equivalente en moneda nacional, por concepto de costas y gastos incurridos en el juicio, según lo establecido en [la] sentencia de [el] tribunal interamericano”. Como prueba de los pagos, Chile remitió una “Resolución Exenta” del Ministerio de Justicia en la cual se resolvió </w:t>
      </w:r>
      <w:r>
        <w:rPr>
          <w:rFonts w:ascii="Verdana" w:hAnsi="Verdana"/>
          <w:sz w:val="16"/>
          <w:szCs w:val="16"/>
        </w:rPr>
        <w:t>“[</w:t>
      </w:r>
      <w:r w:rsidRPr="00592604">
        <w:rPr>
          <w:rFonts w:ascii="Verdana" w:hAnsi="Verdana"/>
          <w:sz w:val="16"/>
          <w:szCs w:val="16"/>
        </w:rPr>
        <w:t>p</w:t>
      </w:r>
      <w:r>
        <w:rPr>
          <w:rFonts w:ascii="Verdana" w:hAnsi="Verdana"/>
          <w:sz w:val="16"/>
          <w:szCs w:val="16"/>
        </w:rPr>
        <w:t>]</w:t>
      </w:r>
      <w:r w:rsidRPr="00592604">
        <w:rPr>
          <w:rFonts w:ascii="Verdana" w:hAnsi="Verdana"/>
          <w:sz w:val="16"/>
          <w:szCs w:val="16"/>
        </w:rPr>
        <w:t>ag</w:t>
      </w:r>
      <w:r>
        <w:rPr>
          <w:rFonts w:ascii="Verdana" w:hAnsi="Verdana"/>
          <w:sz w:val="16"/>
          <w:szCs w:val="16"/>
        </w:rPr>
        <w:t>[</w:t>
      </w:r>
      <w:r w:rsidRPr="00592604">
        <w:rPr>
          <w:rFonts w:ascii="Verdana" w:hAnsi="Verdana"/>
          <w:sz w:val="16"/>
          <w:szCs w:val="16"/>
        </w:rPr>
        <w:t>ar</w:t>
      </w:r>
      <w:r>
        <w:rPr>
          <w:rFonts w:ascii="Verdana" w:hAnsi="Verdana"/>
          <w:sz w:val="16"/>
          <w:szCs w:val="16"/>
        </w:rPr>
        <w:t>]</w:t>
      </w:r>
      <w:r w:rsidRPr="00592604">
        <w:rPr>
          <w:rFonts w:ascii="Verdana" w:hAnsi="Verdana"/>
          <w:sz w:val="16"/>
          <w:szCs w:val="16"/>
        </w:rPr>
        <w:t xml:space="preserve">, a través de los Tesorería General de la República, a </w:t>
      </w:r>
      <w:r>
        <w:rPr>
          <w:rFonts w:ascii="Verdana" w:hAnsi="Verdana"/>
          <w:sz w:val="16"/>
          <w:szCs w:val="16"/>
        </w:rPr>
        <w:t>don</w:t>
      </w:r>
      <w:r w:rsidRPr="00592604">
        <w:rPr>
          <w:rFonts w:ascii="Verdana" w:hAnsi="Verdana"/>
          <w:sz w:val="16"/>
          <w:szCs w:val="16"/>
        </w:rPr>
        <w:t xml:space="preserve"> Ciro Colombara López </w:t>
      </w:r>
      <w:r>
        <w:rPr>
          <w:rFonts w:ascii="Verdana" w:hAnsi="Verdana"/>
          <w:sz w:val="16"/>
          <w:szCs w:val="16"/>
        </w:rPr>
        <w:t xml:space="preserve">[…] </w:t>
      </w:r>
      <w:r w:rsidRPr="00592604">
        <w:rPr>
          <w:rFonts w:ascii="Verdana" w:hAnsi="Verdana"/>
          <w:sz w:val="16"/>
          <w:szCs w:val="16"/>
        </w:rPr>
        <w:t xml:space="preserve">y </w:t>
      </w:r>
      <w:r>
        <w:rPr>
          <w:rFonts w:ascii="Verdana" w:hAnsi="Verdana"/>
          <w:sz w:val="16"/>
          <w:szCs w:val="16"/>
        </w:rPr>
        <w:t xml:space="preserve">a don </w:t>
      </w:r>
      <w:r w:rsidRPr="00592604">
        <w:rPr>
          <w:rFonts w:ascii="Verdana" w:hAnsi="Verdana"/>
          <w:sz w:val="16"/>
          <w:szCs w:val="16"/>
        </w:rPr>
        <w:t xml:space="preserve">Branislav Marelic Rokov </w:t>
      </w:r>
      <w:r>
        <w:rPr>
          <w:rFonts w:ascii="Verdana" w:hAnsi="Verdana"/>
          <w:sz w:val="16"/>
          <w:szCs w:val="16"/>
        </w:rPr>
        <w:t xml:space="preserve">[…]” </w:t>
      </w:r>
      <w:r w:rsidRPr="00592604">
        <w:rPr>
          <w:rFonts w:ascii="Verdana" w:hAnsi="Verdana"/>
          <w:sz w:val="16"/>
          <w:szCs w:val="16"/>
        </w:rPr>
        <w:t xml:space="preserve">el monto dispuesto en la Sentencia por concepto de reintegro de costas y gastos. El Estado no presentó el comprobante del referido pago; sin embargo, no existen objeciones de los representantes con respecto a que éste haya sido realizado según lo dispuesto en la Sentencia de este Tribunal. Por el contrario, el representante sostuvo que lo indicado por el Estado en su informe “corresponde a la verdad”. </w:t>
      </w:r>
      <w:r w:rsidRPr="00592604">
        <w:rPr>
          <w:rFonts w:ascii="Verdana" w:hAnsi="Verdana"/>
          <w:i/>
          <w:sz w:val="16"/>
          <w:szCs w:val="16"/>
        </w:rPr>
        <w:t>Cfr.</w:t>
      </w:r>
      <w:r w:rsidRPr="00592604">
        <w:rPr>
          <w:rFonts w:ascii="Verdana" w:hAnsi="Verdana"/>
          <w:sz w:val="16"/>
          <w:szCs w:val="16"/>
        </w:rPr>
        <w:t xml:space="preserve"> Resolución Exenta No. 5268 suscrita por el Subsecretario de Justicia del Ministerio de Justicia y Derechos Humanos el 9 de diciembre de 2015 (anexo 15 al informe estatal de octubre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88628"/>
      <w:docPartObj>
        <w:docPartGallery w:val="Page Numbers (Top of Page)"/>
        <w:docPartUnique/>
      </w:docPartObj>
    </w:sdtPr>
    <w:sdtEndPr>
      <w:rPr>
        <w:rFonts w:ascii="Verdana" w:hAnsi="Verdana"/>
        <w:sz w:val="20"/>
        <w:szCs w:val="20"/>
      </w:rPr>
    </w:sdtEndPr>
    <w:sdtContent>
      <w:p w:rsidR="003B556D" w:rsidRPr="00F33F3A" w:rsidRDefault="003B556D">
        <w:pPr>
          <w:pStyle w:val="Header"/>
          <w:jc w:val="center"/>
          <w:rPr>
            <w:rFonts w:ascii="Verdana" w:hAnsi="Verdana"/>
            <w:sz w:val="20"/>
            <w:szCs w:val="20"/>
          </w:rPr>
        </w:pPr>
        <w:r w:rsidRPr="00F33F3A">
          <w:rPr>
            <w:rFonts w:ascii="Verdana" w:hAnsi="Verdana"/>
            <w:sz w:val="20"/>
            <w:szCs w:val="20"/>
          </w:rPr>
          <w:t>-</w:t>
        </w:r>
        <w:r w:rsidRPr="00F33F3A">
          <w:rPr>
            <w:rFonts w:ascii="Verdana" w:hAnsi="Verdana"/>
            <w:sz w:val="20"/>
            <w:szCs w:val="20"/>
          </w:rPr>
          <w:fldChar w:fldCharType="begin"/>
        </w:r>
        <w:r w:rsidRPr="00F33F3A">
          <w:rPr>
            <w:rFonts w:ascii="Verdana" w:hAnsi="Verdana"/>
            <w:sz w:val="20"/>
            <w:szCs w:val="20"/>
          </w:rPr>
          <w:instrText>PAGE   \* MERGEFORMAT</w:instrText>
        </w:r>
        <w:r w:rsidRPr="00F33F3A">
          <w:rPr>
            <w:rFonts w:ascii="Verdana" w:hAnsi="Verdana"/>
            <w:sz w:val="20"/>
            <w:szCs w:val="20"/>
          </w:rPr>
          <w:fldChar w:fldCharType="separate"/>
        </w:r>
        <w:r w:rsidR="002A3E12" w:rsidRPr="002A3E12">
          <w:rPr>
            <w:rFonts w:ascii="Verdana" w:hAnsi="Verdana"/>
            <w:noProof/>
            <w:sz w:val="20"/>
            <w:szCs w:val="20"/>
            <w:lang w:val="es-ES"/>
          </w:rPr>
          <w:t>2</w:t>
        </w:r>
        <w:r w:rsidRPr="00F33F3A">
          <w:rPr>
            <w:rFonts w:ascii="Verdana" w:hAnsi="Verdana"/>
            <w:sz w:val="20"/>
            <w:szCs w:val="20"/>
          </w:rPr>
          <w:fldChar w:fldCharType="end"/>
        </w:r>
        <w:r w:rsidRPr="00F33F3A">
          <w:rPr>
            <w:rFonts w:ascii="Verdana" w:hAnsi="Verdana"/>
            <w:sz w:val="20"/>
            <w:szCs w:val="20"/>
          </w:rPr>
          <w:t>-</w:t>
        </w:r>
      </w:p>
    </w:sdtContent>
  </w:sdt>
  <w:p w:rsidR="003B556D" w:rsidRPr="006B38C4" w:rsidRDefault="003B556D" w:rsidP="005C6424">
    <w:pPr>
      <w:pStyle w:val="Header"/>
      <w:jc w:val="right"/>
      <w:rPr>
        <w:rFonts w:ascii="Verdana" w:hAnsi="Verdana"/>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48E"/>
    <w:multiLevelType w:val="hybridMultilevel"/>
    <w:tmpl w:val="8696C28E"/>
    <w:lvl w:ilvl="0" w:tplc="04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9342F"/>
    <w:multiLevelType w:val="hybridMultilevel"/>
    <w:tmpl w:val="8918C33C"/>
    <w:lvl w:ilvl="0" w:tplc="7780C45C">
      <w:start w:val="1"/>
      <w:numFmt w:val="decimal"/>
      <w:lvlText w:val="%1."/>
      <w:lvlJc w:val="left"/>
      <w:pPr>
        <w:ind w:left="360" w:hanging="360"/>
      </w:pPr>
      <w:rPr>
        <w:b w:val="0"/>
        <w:color w:val="auto"/>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2">
    <w:nsid w:val="02AE0DA4"/>
    <w:multiLevelType w:val="hybridMultilevel"/>
    <w:tmpl w:val="F4CCB6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5E55329"/>
    <w:multiLevelType w:val="hybridMultilevel"/>
    <w:tmpl w:val="A99E7B82"/>
    <w:lvl w:ilvl="0" w:tplc="6C84984A">
      <w:start w:val="1"/>
      <w:numFmt w:val="upperLetter"/>
      <w:lvlText w:val="%1."/>
      <w:lvlJc w:val="left"/>
      <w:pPr>
        <w:ind w:left="1080" w:hanging="360"/>
      </w:pPr>
      <w:rPr>
        <w:rFonts w:ascii="Verdana" w:hAnsi="Verdana" w:hint="default"/>
        <w:b/>
        <w:color w:val="000000" w:themeColor="text1"/>
        <w:sz w:val="20"/>
        <w:szCs w:val="2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6CE38A2"/>
    <w:multiLevelType w:val="hybridMultilevel"/>
    <w:tmpl w:val="B47227B6"/>
    <w:lvl w:ilvl="0" w:tplc="040A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DC5C49"/>
    <w:multiLevelType w:val="hybridMultilevel"/>
    <w:tmpl w:val="619069CA"/>
    <w:lvl w:ilvl="0" w:tplc="E3E0BE6A">
      <w:start w:val="46"/>
      <w:numFmt w:val="decimal"/>
      <w:lvlText w:val="%1."/>
      <w:lvlJc w:val="left"/>
      <w:pPr>
        <w:ind w:left="108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F863D2D"/>
    <w:multiLevelType w:val="hybridMultilevel"/>
    <w:tmpl w:val="4FB68A74"/>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nsid w:val="0F892131"/>
    <w:multiLevelType w:val="hybridMultilevel"/>
    <w:tmpl w:val="21E22484"/>
    <w:lvl w:ilvl="0" w:tplc="9F5AED16">
      <w:start w:val="33"/>
      <w:numFmt w:val="decimal"/>
      <w:lvlText w:val="%1."/>
      <w:lvlJc w:val="left"/>
      <w:pPr>
        <w:ind w:left="108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2992A19"/>
    <w:multiLevelType w:val="hybridMultilevel"/>
    <w:tmpl w:val="F266EABE"/>
    <w:lvl w:ilvl="0" w:tplc="1B1C724A">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33E54F8"/>
    <w:multiLevelType w:val="multilevel"/>
    <w:tmpl w:val="88AA8020"/>
    <w:lvl w:ilvl="0">
      <w:start w:val="1"/>
      <w:numFmt w:val="none"/>
      <w:lvlText w:val="D."/>
      <w:lvlJc w:val="left"/>
      <w:pPr>
        <w:ind w:left="720" w:hanging="360"/>
      </w:pPr>
      <w:rPr>
        <w:rFonts w:ascii="Verdana" w:hAnsi="Verdana" w:hint="default"/>
        <w:b/>
        <w:color w:val="000000" w:themeColor="text1"/>
        <w:sz w:val="20"/>
        <w:szCs w:val="20"/>
        <w14:textOutline w14:w="0" w14:cap="rnd" w14:cmpd="sng" w14:algn="ctr">
          <w14:noFill/>
          <w14:prstDash w14:val="solid"/>
          <w14:bevel/>
        </w14:textOutline>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nsid w:val="151A303F"/>
    <w:multiLevelType w:val="hybridMultilevel"/>
    <w:tmpl w:val="F64412FA"/>
    <w:lvl w:ilvl="0" w:tplc="6C84984A">
      <w:start w:val="1"/>
      <w:numFmt w:val="upperLetter"/>
      <w:lvlText w:val="%1."/>
      <w:lvlJc w:val="left"/>
      <w:pPr>
        <w:ind w:left="720" w:hanging="360"/>
      </w:pPr>
      <w:rPr>
        <w:rFonts w:ascii="Verdana" w:hAnsi="Verdana" w:hint="default"/>
        <w:b/>
        <w:color w:val="000000" w:themeColor="text1"/>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5661F33"/>
    <w:multiLevelType w:val="hybridMultilevel"/>
    <w:tmpl w:val="49E66F78"/>
    <w:lvl w:ilvl="0" w:tplc="873CB160">
      <w:start w:val="40"/>
      <w:numFmt w:val="decimal"/>
      <w:lvlText w:val="%1."/>
      <w:lvlJc w:val="left"/>
      <w:pPr>
        <w:ind w:left="108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5BA2AE0"/>
    <w:multiLevelType w:val="hybridMultilevel"/>
    <w:tmpl w:val="06880B9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nsid w:val="16C36F1E"/>
    <w:multiLevelType w:val="hybridMultilevel"/>
    <w:tmpl w:val="269A5A6E"/>
    <w:lvl w:ilvl="0" w:tplc="6C84984A">
      <w:start w:val="1"/>
      <w:numFmt w:val="upperLetter"/>
      <w:lvlText w:val="%1."/>
      <w:lvlJc w:val="left"/>
      <w:pPr>
        <w:ind w:left="720" w:hanging="360"/>
      </w:pPr>
      <w:rPr>
        <w:rFonts w:ascii="Verdana" w:hAnsi="Verdana" w:hint="default"/>
        <w:b/>
        <w:color w:val="000000" w:themeColor="text1"/>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1AFB4098"/>
    <w:multiLevelType w:val="hybridMultilevel"/>
    <w:tmpl w:val="934AF5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1CD01C88"/>
    <w:multiLevelType w:val="hybridMultilevel"/>
    <w:tmpl w:val="F6B41ACA"/>
    <w:lvl w:ilvl="0" w:tplc="2DEE4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42026"/>
    <w:multiLevelType w:val="hybridMultilevel"/>
    <w:tmpl w:val="FB907F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31A58E3"/>
    <w:multiLevelType w:val="hybridMultilevel"/>
    <w:tmpl w:val="8A50A2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75E08D9"/>
    <w:multiLevelType w:val="hybridMultilevel"/>
    <w:tmpl w:val="2D1AC71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nsid w:val="29207481"/>
    <w:multiLevelType w:val="hybridMultilevel"/>
    <w:tmpl w:val="8DB4D086"/>
    <w:lvl w:ilvl="0" w:tplc="3A902790">
      <w:start w:val="24"/>
      <w:numFmt w:val="decimal"/>
      <w:lvlText w:val="%1."/>
      <w:lvlJc w:val="left"/>
      <w:pPr>
        <w:ind w:left="644" w:hanging="360"/>
      </w:pPr>
      <w:rPr>
        <w:rFonts w:hint="default"/>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2A4850B4"/>
    <w:multiLevelType w:val="hybridMultilevel"/>
    <w:tmpl w:val="9E1649C6"/>
    <w:lvl w:ilvl="0" w:tplc="E920288A">
      <w:start w:val="6"/>
      <w:numFmt w:val="upperLetter"/>
      <w:lvlText w:val="%1."/>
      <w:lvlJc w:val="left"/>
      <w:pPr>
        <w:ind w:left="1080" w:hanging="360"/>
      </w:pPr>
      <w:rPr>
        <w:rFonts w:eastAsia="Calibri" w:hint="default"/>
        <w:i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2A83157E"/>
    <w:multiLevelType w:val="multilevel"/>
    <w:tmpl w:val="CB9A6200"/>
    <w:lvl w:ilvl="0">
      <w:start w:val="1"/>
      <w:numFmt w:val="none"/>
      <w:lvlText w:val="C."/>
      <w:lvlJc w:val="left"/>
      <w:pPr>
        <w:ind w:left="720" w:hanging="360"/>
      </w:pPr>
      <w:rPr>
        <w:rFonts w:ascii="Verdana" w:hAnsi="Verdana" w:hint="default"/>
        <w:b/>
        <w:color w:val="000000" w:themeColor="text1"/>
        <w:sz w:val="20"/>
        <w:szCs w:val="20"/>
        <w14:textOutline w14:w="0" w14:cap="rnd" w14:cmpd="sng" w14:algn="ctr">
          <w14:noFill/>
          <w14:prstDash w14:val="solid"/>
          <w14:bevel/>
        </w14:textOutline>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2">
    <w:nsid w:val="2C17231F"/>
    <w:multiLevelType w:val="hybridMultilevel"/>
    <w:tmpl w:val="3BA44E0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2C8407D6"/>
    <w:multiLevelType w:val="hybridMultilevel"/>
    <w:tmpl w:val="B3CE85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2F2E37ED"/>
    <w:multiLevelType w:val="hybridMultilevel"/>
    <w:tmpl w:val="36826B7A"/>
    <w:lvl w:ilvl="0" w:tplc="96C807C6">
      <w:start w:val="30"/>
      <w:numFmt w:val="decimal"/>
      <w:lvlText w:val="%1."/>
      <w:lvlJc w:val="left"/>
      <w:pPr>
        <w:ind w:left="72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2C14DE5"/>
    <w:multiLevelType w:val="hybridMultilevel"/>
    <w:tmpl w:val="11E6E8E8"/>
    <w:lvl w:ilvl="0" w:tplc="A94C6DB0">
      <w:start w:val="1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373B001F"/>
    <w:multiLevelType w:val="hybridMultilevel"/>
    <w:tmpl w:val="C546B54A"/>
    <w:lvl w:ilvl="0" w:tplc="B29A4842">
      <w:start w:val="2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37FD17A2"/>
    <w:multiLevelType w:val="hybridMultilevel"/>
    <w:tmpl w:val="4DA42360"/>
    <w:lvl w:ilvl="0" w:tplc="040A0011">
      <w:start w:val="1"/>
      <w:numFmt w:val="decimal"/>
      <w:lvlText w:val="%1)"/>
      <w:lvlJc w:val="left"/>
      <w:pPr>
        <w:ind w:left="720" w:hanging="360"/>
      </w:pPr>
      <w:rPr>
        <w:rFonts w:hint="default"/>
        <w:b/>
        <w:color w:val="000000" w:themeColor="text1"/>
        <w:sz w:val="20"/>
        <w:szCs w:val="20"/>
        <w14:textOutline w14:w="0" w14:cap="rnd" w14:cmpd="sng" w14:algn="ctr">
          <w14:noFill/>
          <w14:prstDash w14:val="solid"/>
          <w14:bevel/>
        </w14:textOutline>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8">
    <w:nsid w:val="42C964D6"/>
    <w:multiLevelType w:val="multilevel"/>
    <w:tmpl w:val="B644E088"/>
    <w:lvl w:ilvl="0">
      <w:start w:val="1"/>
      <w:numFmt w:val="upperLetter"/>
      <w:lvlText w:val="%1."/>
      <w:lvlJc w:val="left"/>
      <w:pPr>
        <w:ind w:left="426" w:hanging="360"/>
      </w:pPr>
      <w:rPr>
        <w:rFonts w:ascii="Verdana" w:hAnsi="Verdana" w:hint="default"/>
        <w:b/>
        <w:color w:val="000000" w:themeColor="text1"/>
        <w:sz w:val="20"/>
        <w:szCs w:val="20"/>
        <w14:textOutline w14:w="0" w14:cap="rnd" w14:cmpd="sng" w14:algn="ctr">
          <w14:noFill/>
          <w14:prstDash w14:val="solid"/>
          <w14:bevel/>
        </w14:textOutline>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9">
    <w:nsid w:val="439D1B67"/>
    <w:multiLevelType w:val="hybridMultilevel"/>
    <w:tmpl w:val="F936125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482A3B3E"/>
    <w:multiLevelType w:val="hybridMultilevel"/>
    <w:tmpl w:val="D048D2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49CF5470"/>
    <w:multiLevelType w:val="hybridMultilevel"/>
    <w:tmpl w:val="D042F7F4"/>
    <w:lvl w:ilvl="0" w:tplc="DD12B4FA">
      <w:start w:val="4"/>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4260C9C"/>
    <w:multiLevelType w:val="multilevel"/>
    <w:tmpl w:val="B644E088"/>
    <w:lvl w:ilvl="0">
      <w:start w:val="1"/>
      <w:numFmt w:val="upperLetter"/>
      <w:lvlText w:val="%1."/>
      <w:lvlJc w:val="left"/>
      <w:pPr>
        <w:ind w:left="426" w:hanging="360"/>
      </w:pPr>
      <w:rPr>
        <w:rFonts w:ascii="Verdana" w:hAnsi="Verdana" w:hint="default"/>
        <w:b/>
        <w:color w:val="000000" w:themeColor="text1"/>
        <w:sz w:val="20"/>
        <w:szCs w:val="20"/>
        <w14:textOutline w14:w="0" w14:cap="rnd" w14:cmpd="sng" w14:algn="ctr">
          <w14:noFill/>
          <w14:prstDash w14:val="solid"/>
          <w14:bevel/>
        </w14:textOutline>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3">
    <w:nsid w:val="555860A0"/>
    <w:multiLevelType w:val="hybridMultilevel"/>
    <w:tmpl w:val="2E340BF6"/>
    <w:lvl w:ilvl="0" w:tplc="0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86476"/>
    <w:multiLevelType w:val="hybridMultilevel"/>
    <w:tmpl w:val="849E46D4"/>
    <w:lvl w:ilvl="0" w:tplc="BD562E84">
      <w:start w:val="1"/>
      <w:numFmt w:val="upperLetter"/>
      <w:pStyle w:val="TOC1"/>
      <w:lvlText w:val="%1."/>
      <w:lvlJc w:val="left"/>
      <w:pPr>
        <w:ind w:left="1069" w:hanging="360"/>
      </w:pPr>
      <w:rPr>
        <w:rFonts w:ascii="Verdana" w:eastAsia="Calibri" w:hAnsi="Verdana" w:cs="Times New Roman" w:hint="default"/>
        <w:i/>
        <w:color w:val="auto"/>
        <w:sz w:val="16"/>
        <w:szCs w:val="16"/>
        <w:u w:val="none"/>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5">
    <w:nsid w:val="58E044B9"/>
    <w:multiLevelType w:val="hybridMultilevel"/>
    <w:tmpl w:val="92A2CC3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5C2302E2"/>
    <w:multiLevelType w:val="hybridMultilevel"/>
    <w:tmpl w:val="73AE7D6A"/>
    <w:lvl w:ilvl="0" w:tplc="904C581C">
      <w:start w:val="1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5C42111D"/>
    <w:multiLevelType w:val="hybridMultilevel"/>
    <w:tmpl w:val="8A50A2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24954DA"/>
    <w:multiLevelType w:val="hybridMultilevel"/>
    <w:tmpl w:val="DE98EFEC"/>
    <w:lvl w:ilvl="0" w:tplc="A2B0E982">
      <w:start w:val="1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66F6C08"/>
    <w:multiLevelType w:val="hybridMultilevel"/>
    <w:tmpl w:val="3CEE09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7090F63"/>
    <w:multiLevelType w:val="hybridMultilevel"/>
    <w:tmpl w:val="F05CB290"/>
    <w:lvl w:ilvl="0" w:tplc="50123C5A">
      <w:start w:val="2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67380D50"/>
    <w:multiLevelType w:val="hybridMultilevel"/>
    <w:tmpl w:val="E95C31B8"/>
    <w:lvl w:ilvl="0" w:tplc="968CF738">
      <w:start w:val="7"/>
      <w:numFmt w:val="upperLetter"/>
      <w:lvlText w:val="%1."/>
      <w:lvlJc w:val="left"/>
      <w:pPr>
        <w:ind w:left="720" w:hanging="360"/>
      </w:pPr>
      <w:rPr>
        <w:rFonts w:ascii="Verdana" w:hAnsi="Verdana" w:hint="default"/>
        <w:b/>
        <w:color w:val="000000" w:themeColor="text1"/>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69924E96"/>
    <w:multiLevelType w:val="hybridMultilevel"/>
    <w:tmpl w:val="8A50A2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2BC5BF5"/>
    <w:multiLevelType w:val="hybridMultilevel"/>
    <w:tmpl w:val="F37440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64F7F3F"/>
    <w:multiLevelType w:val="hybridMultilevel"/>
    <w:tmpl w:val="C6D45C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6753A80"/>
    <w:multiLevelType w:val="hybridMultilevel"/>
    <w:tmpl w:val="A0DEDDAE"/>
    <w:lvl w:ilvl="0" w:tplc="FB467564">
      <w:start w:val="1"/>
      <w:numFmt w:val="decimal"/>
      <w:lvlText w:val="%1."/>
      <w:lvlJc w:val="left"/>
      <w:pPr>
        <w:ind w:left="0" w:firstLine="0"/>
      </w:pPr>
      <w:rPr>
        <w:rFonts w:ascii="Verdana" w:hAnsi="Verdana" w:hint="default"/>
        <w:b w:val="0"/>
        <w:i w:val="0"/>
        <w:strike w:val="0"/>
        <w:color w:val="auto"/>
        <w:sz w:val="20"/>
        <w:szCs w:val="20"/>
        <w:lang w:val="es-CR"/>
      </w:rPr>
    </w:lvl>
    <w:lvl w:ilvl="1" w:tplc="FC667E30">
      <w:start w:val="1"/>
      <w:numFmt w:val="lowerRoman"/>
      <w:lvlText w:val="%2."/>
      <w:lvlJc w:val="right"/>
      <w:pPr>
        <w:ind w:left="1298" w:hanging="360"/>
      </w:pPr>
      <w:rPr>
        <w:rFonts w:cs="Times New Roman" w:hint="default"/>
        <w:i/>
        <w:sz w:val="20"/>
        <w:szCs w:val="20"/>
        <w:lang w:val="es-CR"/>
      </w:rPr>
    </w:lvl>
    <w:lvl w:ilvl="2" w:tplc="140A001B">
      <w:start w:val="1"/>
      <w:numFmt w:val="lowerRoman"/>
      <w:lvlText w:val="%3."/>
      <w:lvlJc w:val="right"/>
      <w:pPr>
        <w:ind w:left="2018" w:hanging="180"/>
      </w:pPr>
      <w:rPr>
        <w:i/>
      </w:r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6">
    <w:nsid w:val="7CFC2AB5"/>
    <w:multiLevelType w:val="hybridMultilevel"/>
    <w:tmpl w:val="A53EB7B4"/>
    <w:lvl w:ilvl="0" w:tplc="17FA4632">
      <w:start w:val="1"/>
      <w:numFmt w:val="decimal"/>
      <w:lvlText w:val="%1."/>
      <w:lvlJc w:val="left"/>
      <w:pPr>
        <w:ind w:left="2912" w:hanging="360"/>
      </w:pPr>
      <w:rPr>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57388"/>
    <w:multiLevelType w:val="hybridMultilevel"/>
    <w:tmpl w:val="CF46692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48">
    <w:nsid w:val="7E926C05"/>
    <w:multiLevelType w:val="multilevel"/>
    <w:tmpl w:val="6ACA3A86"/>
    <w:lvl w:ilvl="0">
      <w:start w:val="1"/>
      <w:numFmt w:val="none"/>
      <w:lvlText w:val="C."/>
      <w:lvlJc w:val="left"/>
      <w:pPr>
        <w:ind w:left="720" w:hanging="360"/>
      </w:pPr>
      <w:rPr>
        <w:rFonts w:ascii="Verdana" w:hAnsi="Verdana" w:hint="default"/>
        <w:b/>
        <w:color w:val="000000" w:themeColor="text1"/>
        <w:sz w:val="20"/>
        <w:szCs w:val="20"/>
        <w14:textOutline w14:w="0" w14:cap="rnd" w14:cmpd="sng" w14:algn="ctr">
          <w14:noFill/>
          <w14:prstDash w14:val="solid"/>
          <w14:bevel/>
        </w14:textOutline>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49">
    <w:nsid w:val="7F1A5A63"/>
    <w:multiLevelType w:val="hybridMultilevel"/>
    <w:tmpl w:val="8F843F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46"/>
  </w:num>
  <w:num w:numId="3">
    <w:abstractNumId w:val="10"/>
  </w:num>
  <w:num w:numId="4">
    <w:abstractNumId w:val="8"/>
  </w:num>
  <w:num w:numId="5">
    <w:abstractNumId w:val="13"/>
  </w:num>
  <w:num w:numId="6">
    <w:abstractNumId w:val="6"/>
  </w:num>
  <w:num w:numId="7">
    <w:abstractNumId w:val="18"/>
  </w:num>
  <w:num w:numId="8">
    <w:abstractNumId w:val="31"/>
  </w:num>
  <w:num w:numId="9">
    <w:abstractNumId w:val="23"/>
  </w:num>
  <w:num w:numId="10">
    <w:abstractNumId w:val="49"/>
  </w:num>
  <w:num w:numId="11">
    <w:abstractNumId w:val="36"/>
  </w:num>
  <w:num w:numId="12">
    <w:abstractNumId w:val="30"/>
  </w:num>
  <w:num w:numId="13">
    <w:abstractNumId w:val="25"/>
  </w:num>
  <w:num w:numId="14">
    <w:abstractNumId w:val="44"/>
  </w:num>
  <w:num w:numId="15">
    <w:abstractNumId w:val="38"/>
  </w:num>
  <w:num w:numId="16">
    <w:abstractNumId w:val="47"/>
  </w:num>
  <w:num w:numId="17">
    <w:abstractNumId w:val="40"/>
  </w:num>
  <w:num w:numId="18">
    <w:abstractNumId w:val="16"/>
  </w:num>
  <w:num w:numId="19">
    <w:abstractNumId w:val="26"/>
  </w:num>
  <w:num w:numId="20">
    <w:abstractNumId w:val="39"/>
  </w:num>
  <w:num w:numId="21">
    <w:abstractNumId w:val="22"/>
  </w:num>
  <w:num w:numId="22">
    <w:abstractNumId w:val="43"/>
  </w:num>
  <w:num w:numId="23">
    <w:abstractNumId w:val="35"/>
  </w:num>
  <w:num w:numId="24">
    <w:abstractNumId w:val="29"/>
  </w:num>
  <w:num w:numId="25">
    <w:abstractNumId w:val="0"/>
  </w:num>
  <w:num w:numId="26">
    <w:abstractNumId w:val="4"/>
  </w:num>
  <w:num w:numId="27">
    <w:abstractNumId w:val="33"/>
  </w:num>
  <w:num w:numId="28">
    <w:abstractNumId w:val="27"/>
  </w:num>
  <w:num w:numId="29">
    <w:abstractNumId w:val="32"/>
  </w:num>
  <w:num w:numId="30">
    <w:abstractNumId w:val="28"/>
  </w:num>
  <w:num w:numId="31">
    <w:abstractNumId w:val="48"/>
  </w:num>
  <w:num w:numId="32">
    <w:abstractNumId w:val="9"/>
  </w:num>
  <w:num w:numId="33">
    <w:abstractNumId w:val="21"/>
  </w:num>
  <w:num w:numId="34">
    <w:abstractNumId w:val="3"/>
  </w:num>
  <w:num w:numId="35">
    <w:abstractNumId w:val="20"/>
  </w:num>
  <w:num w:numId="36">
    <w:abstractNumId w:val="12"/>
  </w:num>
  <w:num w:numId="37">
    <w:abstractNumId w:val="41"/>
  </w:num>
  <w:num w:numId="38">
    <w:abstractNumId w:val="34"/>
  </w:num>
  <w:num w:numId="39">
    <w:abstractNumId w:val="14"/>
  </w:num>
  <w:num w:numId="40">
    <w:abstractNumId w:val="2"/>
  </w:num>
  <w:num w:numId="41">
    <w:abstractNumId w:val="19"/>
  </w:num>
  <w:num w:numId="42">
    <w:abstractNumId w:val="24"/>
  </w:num>
  <w:num w:numId="43">
    <w:abstractNumId w:val="37"/>
  </w:num>
  <w:num w:numId="44">
    <w:abstractNumId w:val="17"/>
  </w:num>
  <w:num w:numId="45">
    <w:abstractNumId w:val="1"/>
  </w:num>
  <w:num w:numId="46">
    <w:abstractNumId w:val="45"/>
  </w:num>
  <w:num w:numId="47">
    <w:abstractNumId w:val="42"/>
  </w:num>
  <w:num w:numId="48">
    <w:abstractNumId w:val="34"/>
    <w:lvlOverride w:ilvl="0">
      <w:startOverride w:val="1"/>
    </w:lvlOverride>
  </w:num>
  <w:num w:numId="49">
    <w:abstractNumId w:val="7"/>
  </w:num>
  <w:num w:numId="50">
    <w:abstractNumId w:val="11"/>
  </w:num>
  <w:num w:numId="51">
    <w:abstractNumId w:val="5"/>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E2"/>
    <w:rsid w:val="00003FFD"/>
    <w:rsid w:val="000143DF"/>
    <w:rsid w:val="00016A8E"/>
    <w:rsid w:val="00022506"/>
    <w:rsid w:val="00024E34"/>
    <w:rsid w:val="00025439"/>
    <w:rsid w:val="00034F68"/>
    <w:rsid w:val="0003768E"/>
    <w:rsid w:val="00037835"/>
    <w:rsid w:val="000409E5"/>
    <w:rsid w:val="00043662"/>
    <w:rsid w:val="00044278"/>
    <w:rsid w:val="0005017D"/>
    <w:rsid w:val="000539FB"/>
    <w:rsid w:val="00061472"/>
    <w:rsid w:val="00067B74"/>
    <w:rsid w:val="00070C51"/>
    <w:rsid w:val="00071360"/>
    <w:rsid w:val="000735D3"/>
    <w:rsid w:val="0007540D"/>
    <w:rsid w:val="000765EC"/>
    <w:rsid w:val="000837E3"/>
    <w:rsid w:val="000840D1"/>
    <w:rsid w:val="000854A2"/>
    <w:rsid w:val="00086A39"/>
    <w:rsid w:val="000931A9"/>
    <w:rsid w:val="000A34C6"/>
    <w:rsid w:val="000A46A9"/>
    <w:rsid w:val="000B4482"/>
    <w:rsid w:val="000B4826"/>
    <w:rsid w:val="000B54E9"/>
    <w:rsid w:val="000B5C6F"/>
    <w:rsid w:val="000B7B54"/>
    <w:rsid w:val="000B7F59"/>
    <w:rsid w:val="000C0B8C"/>
    <w:rsid w:val="000C1CC6"/>
    <w:rsid w:val="000C447B"/>
    <w:rsid w:val="000C60AC"/>
    <w:rsid w:val="000D022C"/>
    <w:rsid w:val="000D31B0"/>
    <w:rsid w:val="000D652C"/>
    <w:rsid w:val="000D769B"/>
    <w:rsid w:val="000D7783"/>
    <w:rsid w:val="000D7985"/>
    <w:rsid w:val="000E096A"/>
    <w:rsid w:val="000E2D15"/>
    <w:rsid w:val="000E537D"/>
    <w:rsid w:val="000F0C4F"/>
    <w:rsid w:val="000F1113"/>
    <w:rsid w:val="000F7BC1"/>
    <w:rsid w:val="000F7C37"/>
    <w:rsid w:val="001003D1"/>
    <w:rsid w:val="001016F6"/>
    <w:rsid w:val="00103E9A"/>
    <w:rsid w:val="00104901"/>
    <w:rsid w:val="00106632"/>
    <w:rsid w:val="001119F7"/>
    <w:rsid w:val="00112E96"/>
    <w:rsid w:val="0011363F"/>
    <w:rsid w:val="00115180"/>
    <w:rsid w:val="0012428F"/>
    <w:rsid w:val="00126A26"/>
    <w:rsid w:val="001305F4"/>
    <w:rsid w:val="00130BA7"/>
    <w:rsid w:val="00131C38"/>
    <w:rsid w:val="00135F91"/>
    <w:rsid w:val="00137713"/>
    <w:rsid w:val="001461DF"/>
    <w:rsid w:val="001470FC"/>
    <w:rsid w:val="00152497"/>
    <w:rsid w:val="001527A4"/>
    <w:rsid w:val="001529B3"/>
    <w:rsid w:val="001570E9"/>
    <w:rsid w:val="001618AA"/>
    <w:rsid w:val="001666F9"/>
    <w:rsid w:val="0017064B"/>
    <w:rsid w:val="00172C09"/>
    <w:rsid w:val="001750C8"/>
    <w:rsid w:val="001772E9"/>
    <w:rsid w:val="00184A23"/>
    <w:rsid w:val="00185C34"/>
    <w:rsid w:val="00186B1C"/>
    <w:rsid w:val="0018786A"/>
    <w:rsid w:val="001906D0"/>
    <w:rsid w:val="001A31F4"/>
    <w:rsid w:val="001A3D3F"/>
    <w:rsid w:val="001A6C14"/>
    <w:rsid w:val="001A7107"/>
    <w:rsid w:val="001B0496"/>
    <w:rsid w:val="001B0D9B"/>
    <w:rsid w:val="001B16DF"/>
    <w:rsid w:val="001B1A10"/>
    <w:rsid w:val="001B53C4"/>
    <w:rsid w:val="001C0AA7"/>
    <w:rsid w:val="001C16D1"/>
    <w:rsid w:val="001C41F2"/>
    <w:rsid w:val="001D0A92"/>
    <w:rsid w:val="001D3DF0"/>
    <w:rsid w:val="001D5B75"/>
    <w:rsid w:val="001D78EF"/>
    <w:rsid w:val="001E05B7"/>
    <w:rsid w:val="001E2ACD"/>
    <w:rsid w:val="001E2F3D"/>
    <w:rsid w:val="001E6972"/>
    <w:rsid w:val="001F0637"/>
    <w:rsid w:val="001F3C97"/>
    <w:rsid w:val="001F7032"/>
    <w:rsid w:val="00200101"/>
    <w:rsid w:val="00204653"/>
    <w:rsid w:val="002055C7"/>
    <w:rsid w:val="00210BB5"/>
    <w:rsid w:val="0021327C"/>
    <w:rsid w:val="00216C50"/>
    <w:rsid w:val="00220BD6"/>
    <w:rsid w:val="0022370B"/>
    <w:rsid w:val="00227F35"/>
    <w:rsid w:val="002359F0"/>
    <w:rsid w:val="00240364"/>
    <w:rsid w:val="00251822"/>
    <w:rsid w:val="00253184"/>
    <w:rsid w:val="00256725"/>
    <w:rsid w:val="002632A0"/>
    <w:rsid w:val="002633B6"/>
    <w:rsid w:val="00270F08"/>
    <w:rsid w:val="00276021"/>
    <w:rsid w:val="00284A6D"/>
    <w:rsid w:val="00286914"/>
    <w:rsid w:val="002906AE"/>
    <w:rsid w:val="00291B0A"/>
    <w:rsid w:val="00291DB2"/>
    <w:rsid w:val="0029415F"/>
    <w:rsid w:val="002960C1"/>
    <w:rsid w:val="00297150"/>
    <w:rsid w:val="002A21B8"/>
    <w:rsid w:val="002A3E12"/>
    <w:rsid w:val="002A4E02"/>
    <w:rsid w:val="002B152B"/>
    <w:rsid w:val="002B325B"/>
    <w:rsid w:val="002B3B02"/>
    <w:rsid w:val="002B3DDE"/>
    <w:rsid w:val="002B5FBF"/>
    <w:rsid w:val="002B6A84"/>
    <w:rsid w:val="002C3506"/>
    <w:rsid w:val="002C51D2"/>
    <w:rsid w:val="002C545F"/>
    <w:rsid w:val="002D149F"/>
    <w:rsid w:val="002D45C8"/>
    <w:rsid w:val="002D4DAB"/>
    <w:rsid w:val="002D562D"/>
    <w:rsid w:val="002E49AC"/>
    <w:rsid w:val="002E5422"/>
    <w:rsid w:val="002F3C3E"/>
    <w:rsid w:val="00306DD4"/>
    <w:rsid w:val="00311850"/>
    <w:rsid w:val="00314C39"/>
    <w:rsid w:val="00315FDA"/>
    <w:rsid w:val="00316B53"/>
    <w:rsid w:val="00320E48"/>
    <w:rsid w:val="003210E8"/>
    <w:rsid w:val="003212FB"/>
    <w:rsid w:val="003301E1"/>
    <w:rsid w:val="00330A23"/>
    <w:rsid w:val="00331D7E"/>
    <w:rsid w:val="00334085"/>
    <w:rsid w:val="0033427E"/>
    <w:rsid w:val="003343A9"/>
    <w:rsid w:val="00343B09"/>
    <w:rsid w:val="0034591D"/>
    <w:rsid w:val="0034716E"/>
    <w:rsid w:val="003511DD"/>
    <w:rsid w:val="00354270"/>
    <w:rsid w:val="003566E3"/>
    <w:rsid w:val="00356C53"/>
    <w:rsid w:val="003647A9"/>
    <w:rsid w:val="00365A1C"/>
    <w:rsid w:val="00376B0F"/>
    <w:rsid w:val="00390660"/>
    <w:rsid w:val="0039285E"/>
    <w:rsid w:val="0039569D"/>
    <w:rsid w:val="00395C0E"/>
    <w:rsid w:val="003A3C7B"/>
    <w:rsid w:val="003B556D"/>
    <w:rsid w:val="003B6B06"/>
    <w:rsid w:val="003C4254"/>
    <w:rsid w:val="003D6F98"/>
    <w:rsid w:val="003F4998"/>
    <w:rsid w:val="003F5D1D"/>
    <w:rsid w:val="004023AE"/>
    <w:rsid w:val="0040326F"/>
    <w:rsid w:val="00404BAC"/>
    <w:rsid w:val="004158BC"/>
    <w:rsid w:val="0041605C"/>
    <w:rsid w:val="004213EB"/>
    <w:rsid w:val="00423A14"/>
    <w:rsid w:val="00424498"/>
    <w:rsid w:val="0042578C"/>
    <w:rsid w:val="004301F1"/>
    <w:rsid w:val="00435AEB"/>
    <w:rsid w:val="0043730A"/>
    <w:rsid w:val="0044214C"/>
    <w:rsid w:val="0045184C"/>
    <w:rsid w:val="00452A08"/>
    <w:rsid w:val="00454920"/>
    <w:rsid w:val="00454BA2"/>
    <w:rsid w:val="00455543"/>
    <w:rsid w:val="00455A1A"/>
    <w:rsid w:val="00460436"/>
    <w:rsid w:val="00464FE4"/>
    <w:rsid w:val="00466368"/>
    <w:rsid w:val="004708C6"/>
    <w:rsid w:val="00471D82"/>
    <w:rsid w:val="00475AF8"/>
    <w:rsid w:val="0047728B"/>
    <w:rsid w:val="00480489"/>
    <w:rsid w:val="0048568B"/>
    <w:rsid w:val="00485A35"/>
    <w:rsid w:val="00485D99"/>
    <w:rsid w:val="004872D8"/>
    <w:rsid w:val="00490265"/>
    <w:rsid w:val="00492FCB"/>
    <w:rsid w:val="00493829"/>
    <w:rsid w:val="004A1C9A"/>
    <w:rsid w:val="004A1F62"/>
    <w:rsid w:val="004A5C7E"/>
    <w:rsid w:val="004A76A0"/>
    <w:rsid w:val="004B0BC2"/>
    <w:rsid w:val="004C164E"/>
    <w:rsid w:val="004C1F8E"/>
    <w:rsid w:val="004C4C0F"/>
    <w:rsid w:val="004C7DCB"/>
    <w:rsid w:val="004D0C35"/>
    <w:rsid w:val="004E7163"/>
    <w:rsid w:val="004E7434"/>
    <w:rsid w:val="004F73D9"/>
    <w:rsid w:val="00500809"/>
    <w:rsid w:val="00502A71"/>
    <w:rsid w:val="00507041"/>
    <w:rsid w:val="005100F7"/>
    <w:rsid w:val="005127DB"/>
    <w:rsid w:val="00515A92"/>
    <w:rsid w:val="00516AA0"/>
    <w:rsid w:val="00521A88"/>
    <w:rsid w:val="005243B7"/>
    <w:rsid w:val="0052671E"/>
    <w:rsid w:val="00530A48"/>
    <w:rsid w:val="00531562"/>
    <w:rsid w:val="00536040"/>
    <w:rsid w:val="00550D8C"/>
    <w:rsid w:val="00554328"/>
    <w:rsid w:val="0055491E"/>
    <w:rsid w:val="00556DC7"/>
    <w:rsid w:val="00562F6E"/>
    <w:rsid w:val="0056374B"/>
    <w:rsid w:val="00567772"/>
    <w:rsid w:val="00574538"/>
    <w:rsid w:val="0058028C"/>
    <w:rsid w:val="00581E4A"/>
    <w:rsid w:val="00582E78"/>
    <w:rsid w:val="0058527C"/>
    <w:rsid w:val="00592604"/>
    <w:rsid w:val="00597F50"/>
    <w:rsid w:val="005A1FA7"/>
    <w:rsid w:val="005A220C"/>
    <w:rsid w:val="005A5444"/>
    <w:rsid w:val="005B1C71"/>
    <w:rsid w:val="005B481C"/>
    <w:rsid w:val="005B7E69"/>
    <w:rsid w:val="005C6424"/>
    <w:rsid w:val="005C6F27"/>
    <w:rsid w:val="005D05FC"/>
    <w:rsid w:val="005D0EAE"/>
    <w:rsid w:val="005D0EDD"/>
    <w:rsid w:val="005D58FB"/>
    <w:rsid w:val="005D7853"/>
    <w:rsid w:val="005E11F2"/>
    <w:rsid w:val="005E1F67"/>
    <w:rsid w:val="005F21CB"/>
    <w:rsid w:val="005F4A0D"/>
    <w:rsid w:val="00601BEA"/>
    <w:rsid w:val="00606E8C"/>
    <w:rsid w:val="00611E16"/>
    <w:rsid w:val="00617476"/>
    <w:rsid w:val="00621E76"/>
    <w:rsid w:val="006221A4"/>
    <w:rsid w:val="006237B3"/>
    <w:rsid w:val="00623894"/>
    <w:rsid w:val="00631E86"/>
    <w:rsid w:val="00634308"/>
    <w:rsid w:val="0063544C"/>
    <w:rsid w:val="006433AC"/>
    <w:rsid w:val="00651C41"/>
    <w:rsid w:val="0065421D"/>
    <w:rsid w:val="00655134"/>
    <w:rsid w:val="00657ED2"/>
    <w:rsid w:val="0066208F"/>
    <w:rsid w:val="00663187"/>
    <w:rsid w:val="0067100C"/>
    <w:rsid w:val="00671123"/>
    <w:rsid w:val="006743A5"/>
    <w:rsid w:val="00676496"/>
    <w:rsid w:val="00677A64"/>
    <w:rsid w:val="006816AA"/>
    <w:rsid w:val="006822E9"/>
    <w:rsid w:val="00692C54"/>
    <w:rsid w:val="006938DC"/>
    <w:rsid w:val="006A34B7"/>
    <w:rsid w:val="006A5BD9"/>
    <w:rsid w:val="006A7938"/>
    <w:rsid w:val="006B25D9"/>
    <w:rsid w:val="006B38C4"/>
    <w:rsid w:val="006B4E1A"/>
    <w:rsid w:val="006B56DB"/>
    <w:rsid w:val="006B56F4"/>
    <w:rsid w:val="006B5D80"/>
    <w:rsid w:val="006B74D9"/>
    <w:rsid w:val="006C25F8"/>
    <w:rsid w:val="006C72FE"/>
    <w:rsid w:val="006D095E"/>
    <w:rsid w:val="006D298F"/>
    <w:rsid w:val="006D4121"/>
    <w:rsid w:val="006D56FF"/>
    <w:rsid w:val="006F1E05"/>
    <w:rsid w:val="006F27C1"/>
    <w:rsid w:val="006F5E6C"/>
    <w:rsid w:val="00700552"/>
    <w:rsid w:val="0070071B"/>
    <w:rsid w:val="00701D92"/>
    <w:rsid w:val="0070325B"/>
    <w:rsid w:val="007041DB"/>
    <w:rsid w:val="007057B7"/>
    <w:rsid w:val="007066EB"/>
    <w:rsid w:val="007156DF"/>
    <w:rsid w:val="007164BB"/>
    <w:rsid w:val="00717CBD"/>
    <w:rsid w:val="007211DD"/>
    <w:rsid w:val="00727B09"/>
    <w:rsid w:val="00731D96"/>
    <w:rsid w:val="00735B4C"/>
    <w:rsid w:val="00735FFD"/>
    <w:rsid w:val="0074039A"/>
    <w:rsid w:val="00740F08"/>
    <w:rsid w:val="00741202"/>
    <w:rsid w:val="007437A0"/>
    <w:rsid w:val="007517C4"/>
    <w:rsid w:val="00763F2B"/>
    <w:rsid w:val="00766956"/>
    <w:rsid w:val="00772019"/>
    <w:rsid w:val="007751A3"/>
    <w:rsid w:val="007802BD"/>
    <w:rsid w:val="007858A9"/>
    <w:rsid w:val="00793327"/>
    <w:rsid w:val="00794E82"/>
    <w:rsid w:val="00795AD1"/>
    <w:rsid w:val="007977A2"/>
    <w:rsid w:val="007B0F87"/>
    <w:rsid w:val="007B2FE6"/>
    <w:rsid w:val="007C4F9F"/>
    <w:rsid w:val="007E08A6"/>
    <w:rsid w:val="007E1580"/>
    <w:rsid w:val="007E2B33"/>
    <w:rsid w:val="007E32AA"/>
    <w:rsid w:val="007E3373"/>
    <w:rsid w:val="007E5325"/>
    <w:rsid w:val="007E5D3F"/>
    <w:rsid w:val="007F0941"/>
    <w:rsid w:val="00800BC7"/>
    <w:rsid w:val="00801F20"/>
    <w:rsid w:val="00820AC2"/>
    <w:rsid w:val="00821972"/>
    <w:rsid w:val="00831C8C"/>
    <w:rsid w:val="0083566E"/>
    <w:rsid w:val="00840FDC"/>
    <w:rsid w:val="00841401"/>
    <w:rsid w:val="008414A7"/>
    <w:rsid w:val="0084316C"/>
    <w:rsid w:val="008451E3"/>
    <w:rsid w:val="0084656E"/>
    <w:rsid w:val="008534D8"/>
    <w:rsid w:val="008537D5"/>
    <w:rsid w:val="00856BCC"/>
    <w:rsid w:val="00860748"/>
    <w:rsid w:val="00863985"/>
    <w:rsid w:val="00863F76"/>
    <w:rsid w:val="00864F2A"/>
    <w:rsid w:val="008667F2"/>
    <w:rsid w:val="0087212F"/>
    <w:rsid w:val="00872841"/>
    <w:rsid w:val="00873A37"/>
    <w:rsid w:val="0087636E"/>
    <w:rsid w:val="00883BC7"/>
    <w:rsid w:val="008844C9"/>
    <w:rsid w:val="00897164"/>
    <w:rsid w:val="008A08F2"/>
    <w:rsid w:val="008A3989"/>
    <w:rsid w:val="008A5825"/>
    <w:rsid w:val="008B077D"/>
    <w:rsid w:val="008B6FC7"/>
    <w:rsid w:val="008C5911"/>
    <w:rsid w:val="008D24A0"/>
    <w:rsid w:val="008D3D84"/>
    <w:rsid w:val="008D3FBE"/>
    <w:rsid w:val="008D790F"/>
    <w:rsid w:val="008E05A0"/>
    <w:rsid w:val="008E1943"/>
    <w:rsid w:val="008F2E3B"/>
    <w:rsid w:val="00900099"/>
    <w:rsid w:val="00903632"/>
    <w:rsid w:val="00903F10"/>
    <w:rsid w:val="009058F4"/>
    <w:rsid w:val="00910DBE"/>
    <w:rsid w:val="00912F69"/>
    <w:rsid w:val="00913E16"/>
    <w:rsid w:val="0092447C"/>
    <w:rsid w:val="00925C0B"/>
    <w:rsid w:val="009261B9"/>
    <w:rsid w:val="00931C3C"/>
    <w:rsid w:val="0094167C"/>
    <w:rsid w:val="00950EA9"/>
    <w:rsid w:val="00956760"/>
    <w:rsid w:val="00957017"/>
    <w:rsid w:val="00963798"/>
    <w:rsid w:val="009637B8"/>
    <w:rsid w:val="00966464"/>
    <w:rsid w:val="00970159"/>
    <w:rsid w:val="009766BB"/>
    <w:rsid w:val="0098502D"/>
    <w:rsid w:val="0098554C"/>
    <w:rsid w:val="009876C2"/>
    <w:rsid w:val="00992BBF"/>
    <w:rsid w:val="00994932"/>
    <w:rsid w:val="009A0181"/>
    <w:rsid w:val="009A2A8E"/>
    <w:rsid w:val="009A2B0A"/>
    <w:rsid w:val="009A3170"/>
    <w:rsid w:val="009A4918"/>
    <w:rsid w:val="009A66BC"/>
    <w:rsid w:val="009B1724"/>
    <w:rsid w:val="009B2C17"/>
    <w:rsid w:val="009B34AF"/>
    <w:rsid w:val="009B7BF1"/>
    <w:rsid w:val="009C1A23"/>
    <w:rsid w:val="009C5E61"/>
    <w:rsid w:val="009D1022"/>
    <w:rsid w:val="009D169A"/>
    <w:rsid w:val="009D3238"/>
    <w:rsid w:val="009D3841"/>
    <w:rsid w:val="009E4F60"/>
    <w:rsid w:val="009F122B"/>
    <w:rsid w:val="009F1440"/>
    <w:rsid w:val="009F543F"/>
    <w:rsid w:val="00A038BE"/>
    <w:rsid w:val="00A04227"/>
    <w:rsid w:val="00A047E2"/>
    <w:rsid w:val="00A13493"/>
    <w:rsid w:val="00A13E95"/>
    <w:rsid w:val="00A16D3A"/>
    <w:rsid w:val="00A17075"/>
    <w:rsid w:val="00A22D5F"/>
    <w:rsid w:val="00A230B9"/>
    <w:rsid w:val="00A27154"/>
    <w:rsid w:val="00A27686"/>
    <w:rsid w:val="00A3200A"/>
    <w:rsid w:val="00A33DF2"/>
    <w:rsid w:val="00A3618C"/>
    <w:rsid w:val="00A42403"/>
    <w:rsid w:val="00A44250"/>
    <w:rsid w:val="00A46075"/>
    <w:rsid w:val="00A50ACA"/>
    <w:rsid w:val="00A55ED5"/>
    <w:rsid w:val="00A5708C"/>
    <w:rsid w:val="00A62123"/>
    <w:rsid w:val="00A639B6"/>
    <w:rsid w:val="00A80B5D"/>
    <w:rsid w:val="00A83D7F"/>
    <w:rsid w:val="00A8582E"/>
    <w:rsid w:val="00A874CE"/>
    <w:rsid w:val="00A974FD"/>
    <w:rsid w:val="00AC028B"/>
    <w:rsid w:val="00AC3415"/>
    <w:rsid w:val="00AC4CBC"/>
    <w:rsid w:val="00AC4F85"/>
    <w:rsid w:val="00AC6B12"/>
    <w:rsid w:val="00AC7BC8"/>
    <w:rsid w:val="00AD141C"/>
    <w:rsid w:val="00AD5930"/>
    <w:rsid w:val="00AD5ED9"/>
    <w:rsid w:val="00AE0F16"/>
    <w:rsid w:val="00AE5DD2"/>
    <w:rsid w:val="00AE78B0"/>
    <w:rsid w:val="00B111A2"/>
    <w:rsid w:val="00B14840"/>
    <w:rsid w:val="00B22782"/>
    <w:rsid w:val="00B2671A"/>
    <w:rsid w:val="00B32470"/>
    <w:rsid w:val="00B3357D"/>
    <w:rsid w:val="00B37B17"/>
    <w:rsid w:val="00B42FD6"/>
    <w:rsid w:val="00B449FA"/>
    <w:rsid w:val="00B47B44"/>
    <w:rsid w:val="00B65566"/>
    <w:rsid w:val="00B73B69"/>
    <w:rsid w:val="00B75FC0"/>
    <w:rsid w:val="00B77A4D"/>
    <w:rsid w:val="00B77A5A"/>
    <w:rsid w:val="00B8098F"/>
    <w:rsid w:val="00B80D49"/>
    <w:rsid w:val="00B82570"/>
    <w:rsid w:val="00B854F4"/>
    <w:rsid w:val="00B85C3B"/>
    <w:rsid w:val="00B86D77"/>
    <w:rsid w:val="00B93B89"/>
    <w:rsid w:val="00B96304"/>
    <w:rsid w:val="00B97F26"/>
    <w:rsid w:val="00BA1BFD"/>
    <w:rsid w:val="00BA4B91"/>
    <w:rsid w:val="00BA4F5A"/>
    <w:rsid w:val="00BA6F91"/>
    <w:rsid w:val="00BA7765"/>
    <w:rsid w:val="00BC1A48"/>
    <w:rsid w:val="00BC2A31"/>
    <w:rsid w:val="00BC664E"/>
    <w:rsid w:val="00BC73FF"/>
    <w:rsid w:val="00BD2A17"/>
    <w:rsid w:val="00BE2237"/>
    <w:rsid w:val="00BE6476"/>
    <w:rsid w:val="00C0512D"/>
    <w:rsid w:val="00C13827"/>
    <w:rsid w:val="00C1511E"/>
    <w:rsid w:val="00C17D8B"/>
    <w:rsid w:val="00C21549"/>
    <w:rsid w:val="00C27BD0"/>
    <w:rsid w:val="00C34AFF"/>
    <w:rsid w:val="00C41125"/>
    <w:rsid w:val="00C411BF"/>
    <w:rsid w:val="00C42C65"/>
    <w:rsid w:val="00C450F4"/>
    <w:rsid w:val="00C516EE"/>
    <w:rsid w:val="00C6416A"/>
    <w:rsid w:val="00C70DBD"/>
    <w:rsid w:val="00C72108"/>
    <w:rsid w:val="00C77270"/>
    <w:rsid w:val="00C774B6"/>
    <w:rsid w:val="00C77AA1"/>
    <w:rsid w:val="00C85F65"/>
    <w:rsid w:val="00C878B2"/>
    <w:rsid w:val="00C93FC6"/>
    <w:rsid w:val="00CB552A"/>
    <w:rsid w:val="00CB7897"/>
    <w:rsid w:val="00CC26DE"/>
    <w:rsid w:val="00CC4FA4"/>
    <w:rsid w:val="00CD011D"/>
    <w:rsid w:val="00CD03E3"/>
    <w:rsid w:val="00CD0890"/>
    <w:rsid w:val="00CD19C8"/>
    <w:rsid w:val="00CD3273"/>
    <w:rsid w:val="00CD7D2C"/>
    <w:rsid w:val="00CE2200"/>
    <w:rsid w:val="00CE4D7F"/>
    <w:rsid w:val="00CE7064"/>
    <w:rsid w:val="00CE7239"/>
    <w:rsid w:val="00CF036D"/>
    <w:rsid w:val="00CF4B06"/>
    <w:rsid w:val="00D0263E"/>
    <w:rsid w:val="00D043F0"/>
    <w:rsid w:val="00D07143"/>
    <w:rsid w:val="00D11C27"/>
    <w:rsid w:val="00D12AEA"/>
    <w:rsid w:val="00D12C94"/>
    <w:rsid w:val="00D12F81"/>
    <w:rsid w:val="00D17F63"/>
    <w:rsid w:val="00D2050C"/>
    <w:rsid w:val="00D208C3"/>
    <w:rsid w:val="00D2333F"/>
    <w:rsid w:val="00D2383E"/>
    <w:rsid w:val="00D24110"/>
    <w:rsid w:val="00D27E5C"/>
    <w:rsid w:val="00D421E5"/>
    <w:rsid w:val="00D428F6"/>
    <w:rsid w:val="00D42FFC"/>
    <w:rsid w:val="00D43663"/>
    <w:rsid w:val="00D45C01"/>
    <w:rsid w:val="00D46935"/>
    <w:rsid w:val="00D47F29"/>
    <w:rsid w:val="00D50356"/>
    <w:rsid w:val="00D5104A"/>
    <w:rsid w:val="00D5290E"/>
    <w:rsid w:val="00D53671"/>
    <w:rsid w:val="00D56F49"/>
    <w:rsid w:val="00D618CD"/>
    <w:rsid w:val="00D6213E"/>
    <w:rsid w:val="00D767DA"/>
    <w:rsid w:val="00D81CCA"/>
    <w:rsid w:val="00D83A4E"/>
    <w:rsid w:val="00D850F2"/>
    <w:rsid w:val="00D87C7A"/>
    <w:rsid w:val="00D906EE"/>
    <w:rsid w:val="00D93C03"/>
    <w:rsid w:val="00D95432"/>
    <w:rsid w:val="00DA3DAA"/>
    <w:rsid w:val="00DA4037"/>
    <w:rsid w:val="00DA5D15"/>
    <w:rsid w:val="00DA5DEF"/>
    <w:rsid w:val="00DC4C4A"/>
    <w:rsid w:val="00DC6164"/>
    <w:rsid w:val="00DC69BE"/>
    <w:rsid w:val="00DD0BD9"/>
    <w:rsid w:val="00DD13B3"/>
    <w:rsid w:val="00DD17D4"/>
    <w:rsid w:val="00DE587C"/>
    <w:rsid w:val="00DF0B5F"/>
    <w:rsid w:val="00DF0E53"/>
    <w:rsid w:val="00DF2C8A"/>
    <w:rsid w:val="00E0105D"/>
    <w:rsid w:val="00E01B27"/>
    <w:rsid w:val="00E05472"/>
    <w:rsid w:val="00E07C28"/>
    <w:rsid w:val="00E1113B"/>
    <w:rsid w:val="00E202A8"/>
    <w:rsid w:val="00E2700E"/>
    <w:rsid w:val="00E305A7"/>
    <w:rsid w:val="00E31279"/>
    <w:rsid w:val="00E360BC"/>
    <w:rsid w:val="00E37605"/>
    <w:rsid w:val="00E5115B"/>
    <w:rsid w:val="00E60ECE"/>
    <w:rsid w:val="00E72009"/>
    <w:rsid w:val="00E72919"/>
    <w:rsid w:val="00E804FA"/>
    <w:rsid w:val="00E82513"/>
    <w:rsid w:val="00E83A80"/>
    <w:rsid w:val="00E83F8F"/>
    <w:rsid w:val="00E87993"/>
    <w:rsid w:val="00E87E24"/>
    <w:rsid w:val="00E9248C"/>
    <w:rsid w:val="00E93245"/>
    <w:rsid w:val="00E934C3"/>
    <w:rsid w:val="00E93A72"/>
    <w:rsid w:val="00E973AE"/>
    <w:rsid w:val="00EB0D38"/>
    <w:rsid w:val="00EC13F6"/>
    <w:rsid w:val="00EC42C6"/>
    <w:rsid w:val="00EC5D6A"/>
    <w:rsid w:val="00EC766F"/>
    <w:rsid w:val="00EC781E"/>
    <w:rsid w:val="00ED1191"/>
    <w:rsid w:val="00ED1881"/>
    <w:rsid w:val="00EE06E0"/>
    <w:rsid w:val="00EE5E2A"/>
    <w:rsid w:val="00EE7B08"/>
    <w:rsid w:val="00EF0101"/>
    <w:rsid w:val="00EF0A02"/>
    <w:rsid w:val="00EF111D"/>
    <w:rsid w:val="00EF23D8"/>
    <w:rsid w:val="00EF25A5"/>
    <w:rsid w:val="00EF6ACB"/>
    <w:rsid w:val="00F06CBB"/>
    <w:rsid w:val="00F075C1"/>
    <w:rsid w:val="00F17F5C"/>
    <w:rsid w:val="00F20494"/>
    <w:rsid w:val="00F259DF"/>
    <w:rsid w:val="00F27F23"/>
    <w:rsid w:val="00F33F3A"/>
    <w:rsid w:val="00F349DC"/>
    <w:rsid w:val="00F51F9A"/>
    <w:rsid w:val="00F525A0"/>
    <w:rsid w:val="00F52E09"/>
    <w:rsid w:val="00F614AC"/>
    <w:rsid w:val="00F620EA"/>
    <w:rsid w:val="00F658C9"/>
    <w:rsid w:val="00F73569"/>
    <w:rsid w:val="00F74827"/>
    <w:rsid w:val="00F76B0F"/>
    <w:rsid w:val="00F77AB3"/>
    <w:rsid w:val="00F85D3E"/>
    <w:rsid w:val="00F90332"/>
    <w:rsid w:val="00F923B2"/>
    <w:rsid w:val="00F94F37"/>
    <w:rsid w:val="00FA49DF"/>
    <w:rsid w:val="00FA66FB"/>
    <w:rsid w:val="00FA7680"/>
    <w:rsid w:val="00FA772F"/>
    <w:rsid w:val="00FA7C51"/>
    <w:rsid w:val="00FB1CF6"/>
    <w:rsid w:val="00FB2F66"/>
    <w:rsid w:val="00FC2210"/>
    <w:rsid w:val="00FC3487"/>
    <w:rsid w:val="00FD1666"/>
    <w:rsid w:val="00FE0A79"/>
    <w:rsid w:val="00FE1522"/>
    <w:rsid w:val="00FE242C"/>
    <w:rsid w:val="00FE2673"/>
    <w:rsid w:val="00FE71BC"/>
    <w:rsid w:val="00FF0E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2"/>
    <w:rPr>
      <w:rFonts w:ascii="Calibri" w:eastAsia="Calibri" w:hAnsi="Calibri" w:cs="Times New Roman"/>
      <w:lang w:val="es-HN"/>
    </w:rPr>
  </w:style>
  <w:style w:type="paragraph" w:styleId="Heading1">
    <w:name w:val="heading 1"/>
    <w:basedOn w:val="Normal"/>
    <w:next w:val="Normal"/>
    <w:link w:val="Heading1Char"/>
    <w:uiPriority w:val="9"/>
    <w:qFormat/>
    <w:rsid w:val="00EB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
    <w:basedOn w:val="Normal"/>
    <w:link w:val="ListParagraphChar"/>
    <w:qFormat/>
    <w:rsid w:val="00A047E2"/>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A047E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047E2"/>
    <w:rPr>
      <w:rFonts w:ascii="Calibri" w:eastAsia="Calibri" w:hAnsi="Calibri" w:cs="Times New Roman"/>
      <w:sz w:val="20"/>
      <w:szCs w:val="20"/>
      <w:lang w:val="es-HN"/>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A047E2"/>
    <w:rPr>
      <w:vertAlign w:val="superscript"/>
    </w:rPr>
  </w:style>
  <w:style w:type="character" w:styleId="Strong">
    <w:name w:val="Strong"/>
    <w:uiPriority w:val="22"/>
    <w:qFormat/>
    <w:rsid w:val="00A047E2"/>
    <w:rPr>
      <w:b/>
      <w:bCs/>
    </w:rPr>
  </w:style>
  <w:style w:type="character" w:styleId="Hyperlink">
    <w:name w:val="Hyperlink"/>
    <w:uiPriority w:val="99"/>
    <w:unhideWhenUsed/>
    <w:rsid w:val="00A047E2"/>
    <w:rPr>
      <w:color w:val="0000FF"/>
      <w:u w:val="single"/>
    </w:rPr>
  </w:style>
  <w:style w:type="character" w:customStyle="1" w:styleId="ListParagraphChar">
    <w:name w:val="List Paragraph Char"/>
    <w:aliases w:val="Footnote Char,List Paragraph1 Char,Colorful List - Accent 11 Char,Párrafo de lista1 Char"/>
    <w:link w:val="ListParagraph"/>
    <w:rsid w:val="00A047E2"/>
    <w:rPr>
      <w:rFonts w:ascii="Calibri" w:eastAsia="Calibri" w:hAnsi="Calibri" w:cs="Times New Roman"/>
      <w:lang w:val="es-HN"/>
    </w:rPr>
  </w:style>
  <w:style w:type="paragraph" w:styleId="NormalWeb">
    <w:name w:val="Normal (Web)"/>
    <w:basedOn w:val="Normal"/>
    <w:uiPriority w:val="99"/>
    <w:unhideWhenUsed/>
    <w:rsid w:val="00A047E2"/>
    <w:pPr>
      <w:spacing w:before="100" w:beforeAutospacing="1" w:after="100" w:afterAutospacing="1" w:line="240" w:lineRule="auto"/>
    </w:pPr>
    <w:rPr>
      <w:rFonts w:ascii="Times" w:eastAsia="MS Mincho" w:hAnsi="Times"/>
      <w:sz w:val="20"/>
      <w:szCs w:val="20"/>
      <w:lang w:val="en-US"/>
    </w:rPr>
  </w:style>
  <w:style w:type="paragraph" w:styleId="TOC1">
    <w:name w:val="toc 1"/>
    <w:basedOn w:val="Normal"/>
    <w:next w:val="Normal"/>
    <w:autoRedefine/>
    <w:uiPriority w:val="39"/>
    <w:unhideWhenUsed/>
    <w:rsid w:val="009B2C17"/>
    <w:pPr>
      <w:numPr>
        <w:numId w:val="38"/>
      </w:numPr>
      <w:tabs>
        <w:tab w:val="left" w:pos="426"/>
        <w:tab w:val="left" w:pos="709"/>
        <w:tab w:val="right" w:leader="dot" w:pos="8080"/>
      </w:tabs>
      <w:spacing w:before="60" w:after="60" w:line="240" w:lineRule="auto"/>
      <w:ind w:left="426" w:right="142" w:firstLine="0"/>
      <w:jc w:val="both"/>
    </w:pPr>
  </w:style>
  <w:style w:type="character" w:customStyle="1" w:styleId="Heading1Char">
    <w:name w:val="Heading 1 Char"/>
    <w:basedOn w:val="DefaultParagraphFont"/>
    <w:link w:val="Heading1"/>
    <w:uiPriority w:val="9"/>
    <w:rsid w:val="00EB0D38"/>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EB0D38"/>
    <w:pPr>
      <w:outlineLvl w:val="9"/>
    </w:pPr>
    <w:rPr>
      <w:lang w:val="en-US" w:eastAsia="ja-JP"/>
    </w:rPr>
  </w:style>
  <w:style w:type="paragraph" w:styleId="BalloonText">
    <w:name w:val="Balloon Text"/>
    <w:basedOn w:val="Normal"/>
    <w:link w:val="BalloonTextChar"/>
    <w:uiPriority w:val="99"/>
    <w:semiHidden/>
    <w:unhideWhenUsed/>
    <w:rsid w:val="00EB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38"/>
    <w:rPr>
      <w:rFonts w:ascii="Tahoma" w:eastAsia="Calibri" w:hAnsi="Tahoma" w:cs="Tahoma"/>
      <w:sz w:val="16"/>
      <w:szCs w:val="16"/>
      <w:lang w:val="es-HN"/>
    </w:rPr>
  </w:style>
  <w:style w:type="paragraph" w:styleId="Header">
    <w:name w:val="header"/>
    <w:basedOn w:val="Normal"/>
    <w:link w:val="HeaderChar"/>
    <w:uiPriority w:val="99"/>
    <w:unhideWhenUsed/>
    <w:rsid w:val="00B86D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B86D77"/>
    <w:rPr>
      <w:rFonts w:ascii="Calibri" w:eastAsia="Calibri" w:hAnsi="Calibri" w:cs="Times New Roman"/>
      <w:lang w:val="es-HN"/>
    </w:rPr>
  </w:style>
  <w:style w:type="paragraph" w:styleId="Footer">
    <w:name w:val="footer"/>
    <w:basedOn w:val="Normal"/>
    <w:link w:val="FooterChar"/>
    <w:uiPriority w:val="99"/>
    <w:unhideWhenUsed/>
    <w:rsid w:val="00B86D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6D77"/>
    <w:rPr>
      <w:rFonts w:ascii="Calibri" w:eastAsia="Calibri" w:hAnsi="Calibri" w:cs="Times New Roman"/>
      <w:lang w:val="es-HN"/>
    </w:rPr>
  </w:style>
  <w:style w:type="character" w:styleId="LineNumber">
    <w:name w:val="line number"/>
    <w:basedOn w:val="DefaultParagraphFont"/>
    <w:uiPriority w:val="99"/>
    <w:semiHidden/>
    <w:unhideWhenUsed/>
    <w:rsid w:val="000B4482"/>
  </w:style>
  <w:style w:type="character" w:styleId="CommentReference">
    <w:name w:val="annotation reference"/>
    <w:basedOn w:val="DefaultParagraphFont"/>
    <w:uiPriority w:val="99"/>
    <w:semiHidden/>
    <w:unhideWhenUsed/>
    <w:rsid w:val="00863985"/>
    <w:rPr>
      <w:sz w:val="18"/>
      <w:szCs w:val="18"/>
    </w:rPr>
  </w:style>
  <w:style w:type="paragraph" w:styleId="CommentText">
    <w:name w:val="annotation text"/>
    <w:basedOn w:val="Normal"/>
    <w:link w:val="CommentTextChar"/>
    <w:uiPriority w:val="99"/>
    <w:semiHidden/>
    <w:unhideWhenUsed/>
    <w:rsid w:val="00863985"/>
    <w:pPr>
      <w:spacing w:line="240" w:lineRule="auto"/>
    </w:pPr>
    <w:rPr>
      <w:sz w:val="24"/>
      <w:szCs w:val="24"/>
    </w:rPr>
  </w:style>
  <w:style w:type="character" w:customStyle="1" w:styleId="CommentTextChar">
    <w:name w:val="Comment Text Char"/>
    <w:basedOn w:val="DefaultParagraphFont"/>
    <w:link w:val="CommentText"/>
    <w:uiPriority w:val="99"/>
    <w:semiHidden/>
    <w:rsid w:val="00863985"/>
    <w:rPr>
      <w:rFonts w:ascii="Calibri" w:eastAsia="Calibri" w:hAnsi="Calibri" w:cs="Times New Roman"/>
      <w:sz w:val="24"/>
      <w:szCs w:val="24"/>
      <w:lang w:val="es-HN"/>
    </w:rPr>
  </w:style>
  <w:style w:type="paragraph" w:styleId="CommentSubject">
    <w:name w:val="annotation subject"/>
    <w:basedOn w:val="CommentText"/>
    <w:next w:val="CommentText"/>
    <w:link w:val="CommentSubjectChar"/>
    <w:uiPriority w:val="99"/>
    <w:semiHidden/>
    <w:unhideWhenUsed/>
    <w:rsid w:val="00863985"/>
    <w:rPr>
      <w:b/>
      <w:bCs/>
      <w:sz w:val="20"/>
      <w:szCs w:val="20"/>
    </w:rPr>
  </w:style>
  <w:style w:type="character" w:customStyle="1" w:styleId="CommentSubjectChar">
    <w:name w:val="Comment Subject Char"/>
    <w:basedOn w:val="CommentTextChar"/>
    <w:link w:val="CommentSubject"/>
    <w:uiPriority w:val="99"/>
    <w:semiHidden/>
    <w:rsid w:val="00863985"/>
    <w:rPr>
      <w:rFonts w:ascii="Calibri" w:eastAsia="Calibri" w:hAnsi="Calibri" w:cs="Times New Roman"/>
      <w:b/>
      <w:bCs/>
      <w:sz w:val="20"/>
      <w:szCs w:val="20"/>
      <w:lang w:val="es-HN"/>
    </w:rPr>
  </w:style>
  <w:style w:type="character" w:styleId="FollowedHyperlink">
    <w:name w:val="FollowedHyperlink"/>
    <w:basedOn w:val="DefaultParagraphFont"/>
    <w:uiPriority w:val="99"/>
    <w:semiHidden/>
    <w:unhideWhenUsed/>
    <w:rsid w:val="007B2F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2"/>
    <w:rPr>
      <w:rFonts w:ascii="Calibri" w:eastAsia="Calibri" w:hAnsi="Calibri" w:cs="Times New Roman"/>
      <w:lang w:val="es-HN"/>
    </w:rPr>
  </w:style>
  <w:style w:type="paragraph" w:styleId="Heading1">
    <w:name w:val="heading 1"/>
    <w:basedOn w:val="Normal"/>
    <w:next w:val="Normal"/>
    <w:link w:val="Heading1Char"/>
    <w:uiPriority w:val="9"/>
    <w:qFormat/>
    <w:rsid w:val="00EB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
    <w:basedOn w:val="Normal"/>
    <w:link w:val="ListParagraphChar"/>
    <w:qFormat/>
    <w:rsid w:val="00A047E2"/>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A047E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047E2"/>
    <w:rPr>
      <w:rFonts w:ascii="Calibri" w:eastAsia="Calibri" w:hAnsi="Calibri" w:cs="Times New Roman"/>
      <w:sz w:val="20"/>
      <w:szCs w:val="20"/>
      <w:lang w:val="es-HN"/>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A047E2"/>
    <w:rPr>
      <w:vertAlign w:val="superscript"/>
    </w:rPr>
  </w:style>
  <w:style w:type="character" w:styleId="Strong">
    <w:name w:val="Strong"/>
    <w:uiPriority w:val="22"/>
    <w:qFormat/>
    <w:rsid w:val="00A047E2"/>
    <w:rPr>
      <w:b/>
      <w:bCs/>
    </w:rPr>
  </w:style>
  <w:style w:type="character" w:styleId="Hyperlink">
    <w:name w:val="Hyperlink"/>
    <w:uiPriority w:val="99"/>
    <w:unhideWhenUsed/>
    <w:rsid w:val="00A047E2"/>
    <w:rPr>
      <w:color w:val="0000FF"/>
      <w:u w:val="single"/>
    </w:rPr>
  </w:style>
  <w:style w:type="character" w:customStyle="1" w:styleId="ListParagraphChar">
    <w:name w:val="List Paragraph Char"/>
    <w:aliases w:val="Footnote Char,List Paragraph1 Char,Colorful List - Accent 11 Char,Párrafo de lista1 Char"/>
    <w:link w:val="ListParagraph"/>
    <w:rsid w:val="00A047E2"/>
    <w:rPr>
      <w:rFonts w:ascii="Calibri" w:eastAsia="Calibri" w:hAnsi="Calibri" w:cs="Times New Roman"/>
      <w:lang w:val="es-HN"/>
    </w:rPr>
  </w:style>
  <w:style w:type="paragraph" w:styleId="NormalWeb">
    <w:name w:val="Normal (Web)"/>
    <w:basedOn w:val="Normal"/>
    <w:uiPriority w:val="99"/>
    <w:unhideWhenUsed/>
    <w:rsid w:val="00A047E2"/>
    <w:pPr>
      <w:spacing w:before="100" w:beforeAutospacing="1" w:after="100" w:afterAutospacing="1" w:line="240" w:lineRule="auto"/>
    </w:pPr>
    <w:rPr>
      <w:rFonts w:ascii="Times" w:eastAsia="MS Mincho" w:hAnsi="Times"/>
      <w:sz w:val="20"/>
      <w:szCs w:val="20"/>
      <w:lang w:val="en-US"/>
    </w:rPr>
  </w:style>
  <w:style w:type="paragraph" w:styleId="TOC1">
    <w:name w:val="toc 1"/>
    <w:basedOn w:val="Normal"/>
    <w:next w:val="Normal"/>
    <w:autoRedefine/>
    <w:uiPriority w:val="39"/>
    <w:unhideWhenUsed/>
    <w:rsid w:val="009B2C17"/>
    <w:pPr>
      <w:numPr>
        <w:numId w:val="38"/>
      </w:numPr>
      <w:tabs>
        <w:tab w:val="left" w:pos="426"/>
        <w:tab w:val="left" w:pos="709"/>
        <w:tab w:val="right" w:leader="dot" w:pos="8080"/>
      </w:tabs>
      <w:spacing w:before="60" w:after="60" w:line="240" w:lineRule="auto"/>
      <w:ind w:left="426" w:right="142" w:firstLine="0"/>
      <w:jc w:val="both"/>
    </w:pPr>
  </w:style>
  <w:style w:type="character" w:customStyle="1" w:styleId="Heading1Char">
    <w:name w:val="Heading 1 Char"/>
    <w:basedOn w:val="DefaultParagraphFont"/>
    <w:link w:val="Heading1"/>
    <w:uiPriority w:val="9"/>
    <w:rsid w:val="00EB0D38"/>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EB0D38"/>
    <w:pPr>
      <w:outlineLvl w:val="9"/>
    </w:pPr>
    <w:rPr>
      <w:lang w:val="en-US" w:eastAsia="ja-JP"/>
    </w:rPr>
  </w:style>
  <w:style w:type="paragraph" w:styleId="BalloonText">
    <w:name w:val="Balloon Text"/>
    <w:basedOn w:val="Normal"/>
    <w:link w:val="BalloonTextChar"/>
    <w:uiPriority w:val="99"/>
    <w:semiHidden/>
    <w:unhideWhenUsed/>
    <w:rsid w:val="00EB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38"/>
    <w:rPr>
      <w:rFonts w:ascii="Tahoma" w:eastAsia="Calibri" w:hAnsi="Tahoma" w:cs="Tahoma"/>
      <w:sz w:val="16"/>
      <w:szCs w:val="16"/>
      <w:lang w:val="es-HN"/>
    </w:rPr>
  </w:style>
  <w:style w:type="paragraph" w:styleId="Header">
    <w:name w:val="header"/>
    <w:basedOn w:val="Normal"/>
    <w:link w:val="HeaderChar"/>
    <w:uiPriority w:val="99"/>
    <w:unhideWhenUsed/>
    <w:rsid w:val="00B86D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B86D77"/>
    <w:rPr>
      <w:rFonts w:ascii="Calibri" w:eastAsia="Calibri" w:hAnsi="Calibri" w:cs="Times New Roman"/>
      <w:lang w:val="es-HN"/>
    </w:rPr>
  </w:style>
  <w:style w:type="paragraph" w:styleId="Footer">
    <w:name w:val="footer"/>
    <w:basedOn w:val="Normal"/>
    <w:link w:val="FooterChar"/>
    <w:uiPriority w:val="99"/>
    <w:unhideWhenUsed/>
    <w:rsid w:val="00B86D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6D77"/>
    <w:rPr>
      <w:rFonts w:ascii="Calibri" w:eastAsia="Calibri" w:hAnsi="Calibri" w:cs="Times New Roman"/>
      <w:lang w:val="es-HN"/>
    </w:rPr>
  </w:style>
  <w:style w:type="character" w:styleId="LineNumber">
    <w:name w:val="line number"/>
    <w:basedOn w:val="DefaultParagraphFont"/>
    <w:uiPriority w:val="99"/>
    <w:semiHidden/>
    <w:unhideWhenUsed/>
    <w:rsid w:val="000B4482"/>
  </w:style>
  <w:style w:type="character" w:styleId="CommentReference">
    <w:name w:val="annotation reference"/>
    <w:basedOn w:val="DefaultParagraphFont"/>
    <w:uiPriority w:val="99"/>
    <w:semiHidden/>
    <w:unhideWhenUsed/>
    <w:rsid w:val="00863985"/>
    <w:rPr>
      <w:sz w:val="18"/>
      <w:szCs w:val="18"/>
    </w:rPr>
  </w:style>
  <w:style w:type="paragraph" w:styleId="CommentText">
    <w:name w:val="annotation text"/>
    <w:basedOn w:val="Normal"/>
    <w:link w:val="CommentTextChar"/>
    <w:uiPriority w:val="99"/>
    <w:semiHidden/>
    <w:unhideWhenUsed/>
    <w:rsid w:val="00863985"/>
    <w:pPr>
      <w:spacing w:line="240" w:lineRule="auto"/>
    </w:pPr>
    <w:rPr>
      <w:sz w:val="24"/>
      <w:szCs w:val="24"/>
    </w:rPr>
  </w:style>
  <w:style w:type="character" w:customStyle="1" w:styleId="CommentTextChar">
    <w:name w:val="Comment Text Char"/>
    <w:basedOn w:val="DefaultParagraphFont"/>
    <w:link w:val="CommentText"/>
    <w:uiPriority w:val="99"/>
    <w:semiHidden/>
    <w:rsid w:val="00863985"/>
    <w:rPr>
      <w:rFonts w:ascii="Calibri" w:eastAsia="Calibri" w:hAnsi="Calibri" w:cs="Times New Roman"/>
      <w:sz w:val="24"/>
      <w:szCs w:val="24"/>
      <w:lang w:val="es-HN"/>
    </w:rPr>
  </w:style>
  <w:style w:type="paragraph" w:styleId="CommentSubject">
    <w:name w:val="annotation subject"/>
    <w:basedOn w:val="CommentText"/>
    <w:next w:val="CommentText"/>
    <w:link w:val="CommentSubjectChar"/>
    <w:uiPriority w:val="99"/>
    <w:semiHidden/>
    <w:unhideWhenUsed/>
    <w:rsid w:val="00863985"/>
    <w:rPr>
      <w:b/>
      <w:bCs/>
      <w:sz w:val="20"/>
      <w:szCs w:val="20"/>
    </w:rPr>
  </w:style>
  <w:style w:type="character" w:customStyle="1" w:styleId="CommentSubjectChar">
    <w:name w:val="Comment Subject Char"/>
    <w:basedOn w:val="CommentTextChar"/>
    <w:link w:val="CommentSubject"/>
    <w:uiPriority w:val="99"/>
    <w:semiHidden/>
    <w:rsid w:val="00863985"/>
    <w:rPr>
      <w:rFonts w:ascii="Calibri" w:eastAsia="Calibri" w:hAnsi="Calibri" w:cs="Times New Roman"/>
      <w:b/>
      <w:bCs/>
      <w:sz w:val="20"/>
      <w:szCs w:val="20"/>
      <w:lang w:val="es-HN"/>
    </w:rPr>
  </w:style>
  <w:style w:type="character" w:styleId="FollowedHyperlink">
    <w:name w:val="FollowedHyperlink"/>
    <w:basedOn w:val="DefaultParagraphFont"/>
    <w:uiPriority w:val="99"/>
    <w:semiHidden/>
    <w:unhideWhenUsed/>
    <w:rsid w:val="007B2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prensa.presidencia.cl/comunicado.aspx?id=41916" TargetMode="External"/><Relationship Id="rId2" Type="http://schemas.openxmlformats.org/officeDocument/2006/relationships/hyperlink" Target="http://www.pjud.cl" TargetMode="External"/><Relationship Id="rId1" Type="http://schemas.openxmlformats.org/officeDocument/2006/relationships/hyperlink" Target="http://www.corteidh.or.cr/docs/casos/articulos/seriec_300_esp.pdf" TargetMode="External"/><Relationship Id="rId4" Type="http://schemas.openxmlformats.org/officeDocument/2006/relationships/hyperlink" Target="https://prensa.presidencia.cl/discurso.aspx?id=4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8D93-0ABC-40CA-888A-DC712B0E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8016</Words>
  <Characters>44091</Characters>
  <Application>Microsoft Office Word</Application>
  <DocSecurity>6</DocSecurity>
  <Lines>367</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2017-09-12T20:32:00Z</cp:lastPrinted>
  <dcterms:created xsi:type="dcterms:W3CDTF">2017-09-12T23:21:00Z</dcterms:created>
  <dcterms:modified xsi:type="dcterms:W3CDTF">2017-09-12T23:21:00Z</dcterms:modified>
</cp:coreProperties>
</file>