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6646" w14:textId="77777777" w:rsidR="00CE43A6" w:rsidRPr="004A798E" w:rsidRDefault="00CE43A6" w:rsidP="008174C8">
      <w:pPr>
        <w:spacing w:after="0" w:line="240" w:lineRule="auto"/>
        <w:ind w:left="708" w:hanging="708"/>
        <w:jc w:val="center"/>
        <w:rPr>
          <w:rStyle w:val="Ttulodellibro"/>
        </w:rPr>
      </w:pPr>
      <w:bookmarkStart w:id="0" w:name="_GoBack"/>
      <w:bookmarkEnd w:id="0"/>
    </w:p>
    <w:p w14:paraId="5FD1D143" w14:textId="77777777" w:rsidR="001E08F7" w:rsidRDefault="001E08F7" w:rsidP="00CE43A6">
      <w:pPr>
        <w:spacing w:before="60" w:after="60" w:line="240" w:lineRule="auto"/>
        <w:jc w:val="center"/>
        <w:rPr>
          <w:rFonts w:ascii="Verdana" w:hAnsi="Verdana"/>
          <w:b/>
          <w:sz w:val="20"/>
          <w:szCs w:val="20"/>
        </w:rPr>
      </w:pPr>
    </w:p>
    <w:p w14:paraId="365CE0B6" w14:textId="77777777" w:rsidR="001E08F7" w:rsidRDefault="001E08F7" w:rsidP="00CE43A6">
      <w:pPr>
        <w:spacing w:before="60" w:after="60" w:line="240" w:lineRule="auto"/>
        <w:jc w:val="center"/>
        <w:rPr>
          <w:rFonts w:ascii="Verdana" w:hAnsi="Verdana"/>
          <w:b/>
          <w:sz w:val="20"/>
          <w:szCs w:val="20"/>
        </w:rPr>
      </w:pPr>
    </w:p>
    <w:p w14:paraId="79E633ED" w14:textId="77777777" w:rsidR="001E08F7" w:rsidRDefault="001E08F7" w:rsidP="00CE43A6">
      <w:pPr>
        <w:spacing w:before="60" w:after="60" w:line="240" w:lineRule="auto"/>
        <w:jc w:val="center"/>
        <w:rPr>
          <w:rFonts w:ascii="Verdana" w:hAnsi="Verdana"/>
          <w:b/>
          <w:sz w:val="20"/>
          <w:szCs w:val="20"/>
        </w:rPr>
      </w:pPr>
    </w:p>
    <w:p w14:paraId="64DDE299" w14:textId="77777777" w:rsidR="001E08F7" w:rsidRDefault="001E08F7" w:rsidP="0050112C">
      <w:pPr>
        <w:spacing w:before="60" w:after="60" w:line="240" w:lineRule="auto"/>
        <w:rPr>
          <w:rFonts w:ascii="Verdana" w:hAnsi="Verdana"/>
          <w:b/>
          <w:sz w:val="20"/>
          <w:szCs w:val="20"/>
        </w:rPr>
      </w:pPr>
    </w:p>
    <w:p w14:paraId="7EBA77D9" w14:textId="77777777" w:rsidR="00644C7F" w:rsidRDefault="00CE43A6" w:rsidP="00CE43A6">
      <w:pPr>
        <w:spacing w:before="60" w:after="60" w:line="240" w:lineRule="auto"/>
        <w:jc w:val="center"/>
        <w:rPr>
          <w:rFonts w:ascii="Verdana" w:hAnsi="Verdana"/>
          <w:b/>
          <w:sz w:val="20"/>
          <w:szCs w:val="20"/>
        </w:rPr>
      </w:pPr>
      <w:r>
        <w:rPr>
          <w:rFonts w:ascii="Verdana" w:hAnsi="Verdana"/>
          <w:b/>
          <w:sz w:val="20"/>
          <w:szCs w:val="20"/>
        </w:rPr>
        <w:t>RESOLUCIÓN DE</w:t>
      </w:r>
      <w:r w:rsidR="00644C7F">
        <w:rPr>
          <w:rFonts w:ascii="Verdana" w:hAnsi="Verdana"/>
          <w:b/>
          <w:sz w:val="20"/>
          <w:szCs w:val="20"/>
        </w:rPr>
        <w:t xml:space="preserve"> </w:t>
      </w:r>
      <w:r>
        <w:rPr>
          <w:rFonts w:ascii="Verdana" w:hAnsi="Verdana"/>
          <w:b/>
          <w:sz w:val="20"/>
          <w:szCs w:val="20"/>
        </w:rPr>
        <w:t>L</w:t>
      </w:r>
      <w:r w:rsidR="00644C7F">
        <w:rPr>
          <w:rFonts w:ascii="Verdana" w:hAnsi="Verdana"/>
          <w:b/>
          <w:sz w:val="20"/>
          <w:szCs w:val="20"/>
        </w:rPr>
        <w:t>A</w:t>
      </w:r>
      <w:r>
        <w:rPr>
          <w:rFonts w:ascii="Verdana" w:hAnsi="Verdana"/>
          <w:b/>
          <w:sz w:val="20"/>
          <w:szCs w:val="20"/>
        </w:rPr>
        <w:t xml:space="preserve"> </w:t>
      </w:r>
    </w:p>
    <w:p w14:paraId="5294B9BD" w14:textId="77777777" w:rsidR="00CE43A6" w:rsidRDefault="00CE43A6" w:rsidP="00CE43A6">
      <w:pPr>
        <w:spacing w:before="60" w:after="60" w:line="240" w:lineRule="auto"/>
        <w:jc w:val="center"/>
        <w:rPr>
          <w:rFonts w:ascii="Verdana" w:hAnsi="Verdana"/>
          <w:b/>
          <w:sz w:val="20"/>
          <w:szCs w:val="20"/>
        </w:rPr>
      </w:pPr>
      <w:r>
        <w:rPr>
          <w:rFonts w:ascii="Verdana" w:hAnsi="Verdana"/>
          <w:b/>
          <w:sz w:val="20"/>
          <w:szCs w:val="20"/>
        </w:rPr>
        <w:t>CORTE INTERAMERICANA DE DERECHOS HUMANOS</w:t>
      </w:r>
    </w:p>
    <w:p w14:paraId="2EA675E2" w14:textId="4F1AC87E" w:rsidR="00CE43A6" w:rsidRDefault="00CE43A6" w:rsidP="00CE43A6">
      <w:pPr>
        <w:spacing w:before="60" w:after="60" w:line="240" w:lineRule="auto"/>
        <w:jc w:val="center"/>
        <w:rPr>
          <w:rFonts w:ascii="Verdana" w:hAnsi="Verdana"/>
          <w:b/>
          <w:sz w:val="20"/>
          <w:szCs w:val="20"/>
        </w:rPr>
      </w:pPr>
      <w:r>
        <w:rPr>
          <w:rFonts w:ascii="Verdana" w:hAnsi="Verdana"/>
          <w:b/>
          <w:sz w:val="20"/>
          <w:szCs w:val="20"/>
        </w:rPr>
        <w:t xml:space="preserve">DE </w:t>
      </w:r>
      <w:r w:rsidR="00A86F51">
        <w:rPr>
          <w:rFonts w:ascii="Verdana" w:hAnsi="Verdana"/>
          <w:b/>
          <w:sz w:val="20"/>
          <w:szCs w:val="20"/>
        </w:rPr>
        <w:t>3</w:t>
      </w:r>
      <w:r>
        <w:rPr>
          <w:rFonts w:ascii="Verdana" w:hAnsi="Verdana"/>
          <w:b/>
          <w:sz w:val="20"/>
          <w:szCs w:val="20"/>
        </w:rPr>
        <w:t xml:space="preserve"> DE </w:t>
      </w:r>
      <w:r w:rsidR="00644C7F" w:rsidRPr="00767267">
        <w:rPr>
          <w:rFonts w:ascii="Verdana" w:hAnsi="Verdana"/>
          <w:b/>
          <w:sz w:val="20"/>
          <w:szCs w:val="20"/>
        </w:rPr>
        <w:t>SEPTIEMBRE</w:t>
      </w:r>
      <w:r>
        <w:rPr>
          <w:rFonts w:ascii="Verdana" w:hAnsi="Verdana"/>
          <w:b/>
          <w:sz w:val="20"/>
          <w:szCs w:val="20"/>
        </w:rPr>
        <w:t xml:space="preserve"> DE 2019</w:t>
      </w:r>
    </w:p>
    <w:p w14:paraId="430519FF" w14:textId="77777777" w:rsidR="00CE43A6" w:rsidRDefault="00CE43A6" w:rsidP="00CE43A6">
      <w:pPr>
        <w:spacing w:before="60" w:after="60" w:line="240" w:lineRule="auto"/>
        <w:jc w:val="center"/>
        <w:rPr>
          <w:rFonts w:ascii="Verdana" w:hAnsi="Verdana"/>
          <w:b/>
          <w:sz w:val="20"/>
          <w:szCs w:val="20"/>
        </w:rPr>
      </w:pPr>
    </w:p>
    <w:p w14:paraId="35C31CA3" w14:textId="77777777" w:rsidR="00CE43A6" w:rsidRPr="00F25FE1" w:rsidRDefault="00CC2148" w:rsidP="00CE43A6">
      <w:pPr>
        <w:spacing w:after="0" w:line="240" w:lineRule="auto"/>
        <w:jc w:val="center"/>
        <w:rPr>
          <w:rFonts w:ascii="Verdana" w:hAnsi="Verdana"/>
          <w:b/>
          <w:sz w:val="20"/>
          <w:szCs w:val="20"/>
        </w:rPr>
      </w:pPr>
      <w:r w:rsidRPr="00961400">
        <w:rPr>
          <w:rFonts w:ascii="Verdana" w:hAnsi="Verdana"/>
          <w:b/>
          <w:sz w:val="20"/>
          <w:szCs w:val="20"/>
        </w:rPr>
        <w:t>SOLICITUD DE</w:t>
      </w:r>
      <w:r w:rsidR="00202488">
        <w:rPr>
          <w:rFonts w:ascii="Verdana" w:hAnsi="Verdana"/>
          <w:b/>
          <w:sz w:val="20"/>
          <w:szCs w:val="20"/>
        </w:rPr>
        <w:t xml:space="preserve"> </w:t>
      </w:r>
      <w:r w:rsidR="00CE43A6" w:rsidRPr="00F25FE1">
        <w:rPr>
          <w:rFonts w:ascii="Verdana" w:hAnsi="Verdana"/>
          <w:b/>
          <w:sz w:val="20"/>
          <w:szCs w:val="20"/>
        </w:rPr>
        <w:t xml:space="preserve">MEDIDAS </w:t>
      </w:r>
      <w:r>
        <w:rPr>
          <w:rFonts w:ascii="Verdana" w:hAnsi="Verdana"/>
          <w:b/>
          <w:sz w:val="20"/>
          <w:szCs w:val="20"/>
        </w:rPr>
        <w:t>PROVISIONALES</w:t>
      </w:r>
      <w:r w:rsidR="00CE43A6" w:rsidRPr="00F25FE1">
        <w:rPr>
          <w:rFonts w:ascii="Verdana" w:hAnsi="Verdana"/>
          <w:b/>
          <w:sz w:val="20"/>
          <w:szCs w:val="20"/>
        </w:rPr>
        <w:t xml:space="preserve"> Y </w:t>
      </w:r>
    </w:p>
    <w:p w14:paraId="192E5A41" w14:textId="77777777" w:rsidR="00CE43A6" w:rsidRPr="00F25FE1" w:rsidRDefault="00CE43A6" w:rsidP="00CE43A6">
      <w:pPr>
        <w:spacing w:after="0" w:line="240" w:lineRule="auto"/>
        <w:jc w:val="center"/>
        <w:rPr>
          <w:rFonts w:ascii="Verdana" w:hAnsi="Verdana"/>
          <w:b/>
          <w:sz w:val="20"/>
          <w:szCs w:val="20"/>
        </w:rPr>
      </w:pPr>
      <w:r w:rsidRPr="00F25FE1">
        <w:rPr>
          <w:rFonts w:ascii="Verdana" w:hAnsi="Verdana"/>
          <w:b/>
          <w:sz w:val="20"/>
          <w:szCs w:val="20"/>
        </w:rPr>
        <w:t>SUPERVISIÓN DE CUMPLIMIENTO DE SENTENCIA</w:t>
      </w:r>
    </w:p>
    <w:p w14:paraId="22493C91" w14:textId="77777777" w:rsidR="00CE43A6" w:rsidRPr="00F25FE1" w:rsidRDefault="00CE43A6" w:rsidP="00CE43A6">
      <w:pPr>
        <w:spacing w:after="0" w:line="240" w:lineRule="auto"/>
        <w:jc w:val="center"/>
        <w:rPr>
          <w:rFonts w:ascii="Verdana" w:hAnsi="Verdana"/>
          <w:b/>
          <w:sz w:val="20"/>
          <w:szCs w:val="20"/>
        </w:rPr>
      </w:pPr>
    </w:p>
    <w:p w14:paraId="6EA54F0E" w14:textId="26240162" w:rsidR="00CE43A6" w:rsidRDefault="00CE43A6" w:rsidP="00CE43A6">
      <w:pPr>
        <w:spacing w:after="0" w:line="240" w:lineRule="auto"/>
        <w:jc w:val="center"/>
        <w:rPr>
          <w:rFonts w:ascii="Verdana" w:hAnsi="Verdana"/>
          <w:b/>
          <w:i/>
          <w:sz w:val="20"/>
          <w:szCs w:val="20"/>
        </w:rPr>
      </w:pPr>
      <w:r w:rsidRPr="00F25FE1">
        <w:rPr>
          <w:rFonts w:ascii="Verdana" w:hAnsi="Verdana"/>
          <w:b/>
          <w:i/>
          <w:sz w:val="20"/>
          <w:szCs w:val="20"/>
        </w:rPr>
        <w:t>CASO MASACRES DE E</w:t>
      </w:r>
      <w:r w:rsidR="001E08F7">
        <w:rPr>
          <w:rFonts w:ascii="Verdana" w:hAnsi="Verdana"/>
          <w:b/>
          <w:i/>
          <w:sz w:val="20"/>
          <w:szCs w:val="20"/>
        </w:rPr>
        <w:t>L</w:t>
      </w:r>
      <w:r w:rsidRPr="00F25FE1">
        <w:rPr>
          <w:rFonts w:ascii="Verdana" w:hAnsi="Verdana"/>
          <w:b/>
          <w:i/>
          <w:sz w:val="20"/>
          <w:szCs w:val="20"/>
        </w:rPr>
        <w:t xml:space="preserve"> MOZOTE Y LUGARES ALEDAÑOS VS. EL SALVADOR</w:t>
      </w:r>
    </w:p>
    <w:p w14:paraId="56D6B7C2" w14:textId="77777777" w:rsidR="00CE43A6" w:rsidRDefault="00CE43A6" w:rsidP="00CE43A6">
      <w:pPr>
        <w:spacing w:after="0" w:line="240" w:lineRule="auto"/>
        <w:jc w:val="center"/>
        <w:rPr>
          <w:rFonts w:ascii="Verdana" w:hAnsi="Verdana"/>
          <w:b/>
          <w:sz w:val="20"/>
          <w:szCs w:val="20"/>
        </w:rPr>
      </w:pPr>
    </w:p>
    <w:p w14:paraId="15F4ABA6" w14:textId="77777777" w:rsidR="00506B11" w:rsidRDefault="00506B11" w:rsidP="00CE43A6">
      <w:pPr>
        <w:spacing w:after="0" w:line="240" w:lineRule="auto"/>
        <w:jc w:val="center"/>
        <w:rPr>
          <w:rFonts w:ascii="Verdana" w:hAnsi="Verdana"/>
          <w:b/>
          <w:sz w:val="20"/>
          <w:szCs w:val="20"/>
        </w:rPr>
      </w:pPr>
    </w:p>
    <w:p w14:paraId="06546812" w14:textId="77777777" w:rsidR="00CE43A6" w:rsidRDefault="00CE43A6" w:rsidP="00CE43A6">
      <w:pPr>
        <w:spacing w:before="120" w:after="120" w:line="240" w:lineRule="auto"/>
        <w:rPr>
          <w:rFonts w:ascii="Verdana" w:hAnsi="Verdana"/>
          <w:b/>
          <w:sz w:val="20"/>
          <w:szCs w:val="20"/>
        </w:rPr>
      </w:pPr>
      <w:r>
        <w:rPr>
          <w:rFonts w:ascii="Verdana" w:hAnsi="Verdana"/>
          <w:b/>
          <w:sz w:val="20"/>
          <w:szCs w:val="20"/>
        </w:rPr>
        <w:t>VISTO:</w:t>
      </w:r>
    </w:p>
    <w:p w14:paraId="6F291ECD" w14:textId="7D8B277C" w:rsidR="00CE43A6" w:rsidRPr="00A76C55"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bookmarkStart w:id="1" w:name="_Ref3224330"/>
      <w:r>
        <w:rPr>
          <w:rFonts w:ascii="Verdana" w:hAnsi="Verdana"/>
          <w:sz w:val="20"/>
          <w:szCs w:val="20"/>
        </w:rPr>
        <w:t xml:space="preserve">La </w:t>
      </w:r>
      <w:r w:rsidRPr="009A591E">
        <w:rPr>
          <w:rFonts w:ascii="Verdana" w:hAnsi="Verdana"/>
          <w:sz w:val="20"/>
          <w:szCs w:val="20"/>
          <w:lang w:val="es-ES_tradnl"/>
        </w:rPr>
        <w:t>Sentencia de fondo, reparaciones y costas (en adelante “la Sentencia”) dictada por la Corte Interamericana de Derechos Humanos (en adelante “la Corte Interamericana”, “la Corte” o “el Tribunal”) el 25 de octubre de 2012</w:t>
      </w:r>
      <w:r>
        <w:rPr>
          <w:rStyle w:val="Refdenotaalpie"/>
          <w:rFonts w:ascii="Verdana" w:hAnsi="Verdana"/>
          <w:lang w:val="es-ES_tradnl"/>
        </w:rPr>
        <w:footnoteReference w:id="1"/>
      </w:r>
      <w:r w:rsidRPr="009A591E">
        <w:rPr>
          <w:rFonts w:ascii="Verdana" w:hAnsi="Verdana"/>
          <w:sz w:val="20"/>
          <w:szCs w:val="20"/>
          <w:lang w:val="es-ES_tradnl"/>
        </w:rPr>
        <w:t>. El caso se refirió a las violaciones a derechos humanos perpetradas por la Fuerza Armada salvadoreña en las masacres cometidas del 11 al 13 de diciembre de 1981 en el caserío de El Mozote y otros lugares aledaños, en el Departamento de Morazán, en el marco del conflicto armado interno salvadoreño. En dichas masacres murieron aproximadamente mil personas</w:t>
      </w:r>
      <w:r>
        <w:rPr>
          <w:rStyle w:val="Refdenotaalpie"/>
          <w:rFonts w:ascii="Verdana" w:hAnsi="Verdana"/>
          <w:lang w:val="es-ES_tradnl"/>
        </w:rPr>
        <w:footnoteReference w:id="2"/>
      </w:r>
      <w:r w:rsidRPr="009A591E">
        <w:rPr>
          <w:rFonts w:ascii="Verdana" w:hAnsi="Verdana"/>
          <w:sz w:val="20"/>
          <w:szCs w:val="20"/>
          <w:lang w:val="es-ES_tradnl"/>
        </w:rPr>
        <w:t xml:space="preserve">, en su mayoría niñas y niños. Igualmente, se refirió a la aprobación de una ley </w:t>
      </w:r>
      <w:r w:rsidR="001E08F7">
        <w:rPr>
          <w:rFonts w:ascii="Verdana" w:hAnsi="Verdana"/>
          <w:sz w:val="20"/>
          <w:szCs w:val="20"/>
          <w:lang w:val="es-ES_tradnl"/>
        </w:rPr>
        <w:t xml:space="preserve">general </w:t>
      </w:r>
      <w:r w:rsidRPr="009A591E">
        <w:rPr>
          <w:rFonts w:ascii="Verdana" w:hAnsi="Verdana"/>
          <w:sz w:val="20"/>
          <w:szCs w:val="20"/>
          <w:lang w:val="es-ES_tradnl"/>
        </w:rPr>
        <w:t xml:space="preserve">de amnistía y su posterior aplicación judicial a la investigación penal del presente caso de forma contraria a la obligación internacional del Estado de investigar graves violaciones a derechos humanos. La Corte declaró responsable </w:t>
      </w:r>
      <w:r w:rsidRPr="009A591E">
        <w:rPr>
          <w:rFonts w:ascii="Verdana" w:hAnsi="Verdana"/>
          <w:bCs/>
          <w:sz w:val="20"/>
          <w:szCs w:val="20"/>
          <w:lang w:val="es-ES_tradnl"/>
        </w:rPr>
        <w:t>internacionalmente</w:t>
      </w:r>
      <w:r w:rsidRPr="009A591E">
        <w:rPr>
          <w:rFonts w:ascii="Verdana" w:hAnsi="Verdana"/>
          <w:sz w:val="20"/>
          <w:szCs w:val="20"/>
          <w:lang w:val="es-ES_tradnl"/>
        </w:rPr>
        <w:t xml:space="preserve"> a la República de El Salvador (en adelante “el Estado” o “El Salvador”) </w:t>
      </w:r>
      <w:r w:rsidRPr="009A591E">
        <w:rPr>
          <w:rFonts w:ascii="Verdana" w:hAnsi="Verdana"/>
          <w:bCs/>
          <w:sz w:val="20"/>
          <w:szCs w:val="20"/>
          <w:lang w:val="es-ES_tradnl"/>
        </w:rPr>
        <w:t xml:space="preserve">por la violación, entre otros, de los derechos a la vida, a la integridad personal, </w:t>
      </w:r>
      <w:r w:rsidRPr="009A591E">
        <w:rPr>
          <w:rFonts w:ascii="Verdana" w:hAnsi="Verdana"/>
          <w:sz w:val="20"/>
          <w:szCs w:val="20"/>
          <w:lang w:val="es-ES_tradnl"/>
        </w:rPr>
        <w:t>a la propiedad privada y a la libertad personal</w:t>
      </w:r>
      <w:r w:rsidR="001E08F7">
        <w:rPr>
          <w:rFonts w:ascii="Verdana" w:hAnsi="Verdana"/>
          <w:sz w:val="20"/>
          <w:szCs w:val="20"/>
          <w:lang w:val="es-ES_tradnl"/>
        </w:rPr>
        <w:t>,</w:t>
      </w:r>
      <w:r w:rsidRPr="009A591E">
        <w:rPr>
          <w:rFonts w:ascii="Verdana" w:hAnsi="Verdana"/>
          <w:sz w:val="20"/>
          <w:szCs w:val="20"/>
          <w:lang w:val="es-ES_tradnl"/>
        </w:rPr>
        <w:t xml:space="preserve"> en perjuicio de víctimas ejecutadas; por la violación de la prohibición de la tortura y otros tratos crueles, inhumanos o  degradantes, así como por la violación del derecho a la vida privada, en perjuicio de las mujeres que fueron víctimas de violaciones sexuales en el caserío El Mozote; por la violación de los derechos a la integridad personal, a la vida privada y el domicilio, y a la propiedad privada en perjuicio de las víctimas sobrevivientes de las masacres; por la violación del derecho de circulación y de residencia, en perjuicio de personas que fueron forzadas a desplazarse dentro de El Salvador y hacia la República de Honduras; por la violación de los derechos a la integridad personal y a la propiedad privada en perjuicio de familiares de las víctimas ejecutadas; por la violación de los derechos a las garantías judiciales y a la protección judicial, así como por el incumplimiento de las obligaciones establecidas en los artículos 1, 6 y 8 de la Convención </w:t>
      </w:r>
      <w:r w:rsidRPr="009A591E">
        <w:rPr>
          <w:rFonts w:ascii="Verdana" w:hAnsi="Verdana"/>
          <w:sz w:val="20"/>
          <w:szCs w:val="20"/>
          <w:lang w:val="es-ES_tradnl"/>
        </w:rPr>
        <w:lastRenderedPageBreak/>
        <w:t xml:space="preserve">Interamericana para Prevenir y Sancionar la Tortura y 7.b de la Convención Interamericana para Prevenir, Sancionar y Erradicar la Violencia contra la Mujer (“Convención de Belém do Pará”), en perjuicio de víctimas sobrevivientes de las masacres, así como de familiares de las víctimas ejecutadas. </w:t>
      </w:r>
      <w:r w:rsidRPr="003578EC">
        <w:rPr>
          <w:rFonts w:ascii="Verdana" w:hAnsi="Verdana"/>
          <w:sz w:val="20"/>
          <w:szCs w:val="20"/>
          <w:lang w:val="es-ES_tradnl"/>
        </w:rPr>
        <w:t>El Salva</w:t>
      </w:r>
      <w:r w:rsidRPr="003578EC">
        <w:rPr>
          <w:rFonts w:ascii="Verdana" w:hAnsi="Verdana"/>
          <w:noProof/>
          <w:sz w:val="20"/>
          <w:szCs w:val="20"/>
          <w:lang w:val="es-ES_tradnl"/>
        </w:rPr>
        <w:t>dor</w:t>
      </w:r>
      <w:r w:rsidRPr="00A76C55">
        <w:rPr>
          <w:rFonts w:ascii="Verdana" w:hAnsi="Verdana"/>
          <w:noProof/>
          <w:sz w:val="20"/>
          <w:szCs w:val="20"/>
          <w:lang w:val="es-ES_tradnl"/>
        </w:rPr>
        <w:t xml:space="preserve"> efectuó una aceptación total de los hechos que configuraron las violaciones antes indicadas.</w:t>
      </w:r>
      <w:r w:rsidRPr="009A591E">
        <w:rPr>
          <w:rFonts w:ascii="Verdana" w:hAnsi="Verdana"/>
          <w:noProof/>
          <w:sz w:val="20"/>
          <w:szCs w:val="20"/>
          <w:lang w:val="es-ES_tradnl"/>
        </w:rPr>
        <w:t xml:space="preserve"> </w:t>
      </w:r>
      <w:r w:rsidRPr="000629D1">
        <w:rPr>
          <w:rFonts w:ascii="Verdana" w:hAnsi="Verdana"/>
          <w:noProof/>
          <w:sz w:val="20"/>
          <w:szCs w:val="20"/>
          <w:lang w:val="es-ES_tradnl"/>
        </w:rPr>
        <w:t>En la Sentencia, el Tribunal dispuso, entre otras medidas de reparación, que el Estado debía cumplir con su obligación de investigar, identificar y, en su caso sancionar, así como asegurar que la Ley de Amnistía General para la Consolidación de la Paz no volviera a representar un obstáculo para el cumplimiento de dicha obligación en este caso y respecto de otras graves violaciones de derechos humanos similares acontecidas durante el conflicto armado en El Salvad</w:t>
      </w:r>
      <w:r w:rsidRPr="00194D84">
        <w:rPr>
          <w:rFonts w:ascii="Verdana" w:hAnsi="Verdana"/>
          <w:noProof/>
          <w:sz w:val="20"/>
          <w:szCs w:val="20"/>
          <w:lang w:val="es-ES_tradnl"/>
        </w:rPr>
        <w:t>or (</w:t>
      </w:r>
      <w:r w:rsidRPr="00194D84">
        <w:rPr>
          <w:rFonts w:ascii="Verdana" w:hAnsi="Verdana"/>
          <w:i/>
          <w:noProof/>
          <w:sz w:val="20"/>
          <w:szCs w:val="20"/>
          <w:lang w:val="es-ES_tradnl"/>
        </w:rPr>
        <w:t>infra</w:t>
      </w:r>
      <w:r w:rsidRPr="00194D84">
        <w:rPr>
          <w:rFonts w:ascii="Verdana" w:hAnsi="Verdana"/>
          <w:noProof/>
          <w:sz w:val="20"/>
          <w:szCs w:val="20"/>
          <w:lang w:val="es-ES_tradnl"/>
        </w:rPr>
        <w:t xml:space="preserve"> Considerandos </w:t>
      </w:r>
      <w:r w:rsidR="00986596">
        <w:rPr>
          <w:rFonts w:ascii="Verdana" w:hAnsi="Verdana"/>
          <w:noProof/>
          <w:sz w:val="20"/>
          <w:szCs w:val="20"/>
          <w:lang w:val="es-ES_tradnl"/>
        </w:rPr>
        <w:t>3</w:t>
      </w:r>
      <w:r w:rsidRPr="00194D84">
        <w:rPr>
          <w:rFonts w:ascii="Verdana" w:hAnsi="Verdana"/>
          <w:noProof/>
          <w:sz w:val="20"/>
          <w:szCs w:val="20"/>
          <w:lang w:val="es-ES_tradnl"/>
        </w:rPr>
        <w:t xml:space="preserve"> y </w:t>
      </w:r>
      <w:r w:rsidR="00986596">
        <w:rPr>
          <w:rFonts w:ascii="Verdana" w:hAnsi="Verdana"/>
          <w:noProof/>
          <w:sz w:val="20"/>
          <w:szCs w:val="20"/>
          <w:lang w:val="es-ES_tradnl"/>
        </w:rPr>
        <w:t>6</w:t>
      </w:r>
      <w:r w:rsidRPr="00194D84">
        <w:rPr>
          <w:rFonts w:ascii="Verdana" w:hAnsi="Verdana"/>
          <w:noProof/>
          <w:sz w:val="20"/>
          <w:szCs w:val="20"/>
          <w:lang w:val="es-ES_tradnl"/>
        </w:rPr>
        <w:t>).</w:t>
      </w:r>
      <w:r w:rsidRPr="00A76C55">
        <w:rPr>
          <w:rFonts w:ascii="Verdana" w:hAnsi="Verdana"/>
          <w:noProof/>
          <w:sz w:val="20"/>
          <w:szCs w:val="20"/>
          <w:lang w:val="es-ES_tradnl"/>
        </w:rPr>
        <w:t xml:space="preserve"> </w:t>
      </w:r>
    </w:p>
    <w:p w14:paraId="178F9B62" w14:textId="59DD2FE8" w:rsidR="00CE43A6" w:rsidRPr="00F25FE1"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bookmarkStart w:id="2" w:name="_Ref492545367"/>
      <w:r w:rsidRPr="00A76C55">
        <w:rPr>
          <w:rFonts w:ascii="Verdana" w:hAnsi="Verdana"/>
          <w:sz w:val="20"/>
          <w:szCs w:val="20"/>
          <w:lang w:val="es-ES_tradnl"/>
        </w:rPr>
        <w:t>Las Resoluciones de supervisión de cumplimiento de Sentencia emitidas por la Corte Interamericana el 3 de mayo de 2016</w:t>
      </w:r>
      <w:r>
        <w:rPr>
          <w:rStyle w:val="Refdenotaalpie"/>
          <w:rFonts w:ascii="Verdana" w:hAnsi="Verdana"/>
          <w:lang w:val="es-ES_tradnl"/>
        </w:rPr>
        <w:footnoteReference w:id="3"/>
      </w:r>
      <w:r w:rsidRPr="00A76C55">
        <w:rPr>
          <w:rFonts w:ascii="Verdana" w:hAnsi="Verdana"/>
          <w:sz w:val="20"/>
          <w:szCs w:val="20"/>
          <w:lang w:val="es-ES_tradnl"/>
        </w:rPr>
        <w:t>, el 31 de agosto de 2017</w:t>
      </w:r>
      <w:r>
        <w:rPr>
          <w:rStyle w:val="Refdenotaalpie"/>
          <w:rFonts w:ascii="Verdana" w:hAnsi="Verdana"/>
          <w:lang w:val="es-ES_tradnl"/>
        </w:rPr>
        <w:footnoteReference w:id="4"/>
      </w:r>
      <w:r w:rsidR="00457172">
        <w:rPr>
          <w:rFonts w:ascii="Verdana" w:hAnsi="Verdana"/>
          <w:sz w:val="20"/>
          <w:szCs w:val="20"/>
          <w:lang w:val="es-ES_tradnl"/>
        </w:rPr>
        <w:t>,</w:t>
      </w:r>
      <w:r w:rsidRPr="00A76C55">
        <w:rPr>
          <w:rFonts w:ascii="Verdana" w:hAnsi="Verdana"/>
          <w:sz w:val="20"/>
          <w:szCs w:val="20"/>
          <w:lang w:val="es-ES_tradnl"/>
        </w:rPr>
        <w:t xml:space="preserve"> el 30 de mayo</w:t>
      </w:r>
      <w:r>
        <w:rPr>
          <w:rStyle w:val="Refdenotaalpie"/>
          <w:rFonts w:ascii="Verdana" w:hAnsi="Verdana"/>
          <w:lang w:val="es-ES_tradnl"/>
        </w:rPr>
        <w:footnoteReference w:id="5"/>
      </w:r>
      <w:r w:rsidRPr="00A76C55">
        <w:rPr>
          <w:rFonts w:ascii="Verdana" w:hAnsi="Verdana"/>
          <w:sz w:val="20"/>
          <w:szCs w:val="20"/>
          <w:lang w:val="es-ES_tradnl"/>
        </w:rPr>
        <w:t xml:space="preserve"> </w:t>
      </w:r>
      <w:r>
        <w:rPr>
          <w:rFonts w:ascii="Verdana" w:hAnsi="Verdana"/>
          <w:sz w:val="20"/>
          <w:szCs w:val="20"/>
          <w:lang w:val="es-ES_tradnl"/>
        </w:rPr>
        <w:t xml:space="preserve">y 28 </w:t>
      </w:r>
      <w:r w:rsidRPr="00A76C55">
        <w:rPr>
          <w:rFonts w:ascii="Verdana" w:hAnsi="Verdana"/>
          <w:sz w:val="20"/>
          <w:szCs w:val="20"/>
          <w:lang w:val="es-ES_tradnl"/>
        </w:rPr>
        <w:t xml:space="preserve">de </w:t>
      </w:r>
      <w:r>
        <w:rPr>
          <w:rFonts w:ascii="Verdana" w:hAnsi="Verdana"/>
          <w:sz w:val="20"/>
          <w:szCs w:val="20"/>
          <w:lang w:val="es-ES_tradnl"/>
        </w:rPr>
        <w:t xml:space="preserve">noviembre de </w:t>
      </w:r>
      <w:r w:rsidRPr="00A76C55">
        <w:rPr>
          <w:rFonts w:ascii="Verdana" w:hAnsi="Verdana"/>
          <w:sz w:val="20"/>
          <w:szCs w:val="20"/>
          <w:lang w:val="es-ES_tradnl"/>
        </w:rPr>
        <w:t>2018</w:t>
      </w:r>
      <w:r>
        <w:rPr>
          <w:rStyle w:val="Refdenotaalpie"/>
          <w:rFonts w:ascii="Verdana" w:hAnsi="Verdana"/>
          <w:lang w:val="es-ES_tradnl"/>
        </w:rPr>
        <w:footnoteReference w:id="6"/>
      </w:r>
      <w:r w:rsidRPr="00A76C55">
        <w:rPr>
          <w:rFonts w:ascii="Verdana" w:hAnsi="Verdana"/>
          <w:noProof/>
          <w:sz w:val="20"/>
          <w:szCs w:val="20"/>
          <w:lang w:val="es-ES_tradnl"/>
        </w:rPr>
        <w:t>.</w:t>
      </w:r>
      <w:bookmarkStart w:id="3" w:name="_Ref492906675"/>
      <w:bookmarkEnd w:id="2"/>
    </w:p>
    <w:p w14:paraId="7B48AA48" w14:textId="3FE9EB87" w:rsidR="00CE43A6" w:rsidRPr="00D2745E"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r w:rsidRPr="00D2745E">
        <w:rPr>
          <w:rFonts w:ascii="Verdana" w:hAnsi="Verdana"/>
          <w:sz w:val="20"/>
          <w:szCs w:val="20"/>
        </w:rPr>
        <w:t>La visita de supervisión de cumplimiento de la Sentencia realizada por una delegación de la Corte, los días 28 a 30 de agosto de 2018 en San Salvador, en el Juzgado Segundo de Paz de San Francisco Gotera, en El Mozote y en Arambala</w:t>
      </w:r>
      <w:r w:rsidR="001E08F7">
        <w:rPr>
          <w:rStyle w:val="Refdenotaalpie"/>
          <w:rFonts w:ascii="Verdana" w:hAnsi="Verdana"/>
          <w:sz w:val="20"/>
          <w:szCs w:val="20"/>
        </w:rPr>
        <w:footnoteReference w:id="7"/>
      </w:r>
      <w:r w:rsidRPr="00D2745E">
        <w:rPr>
          <w:rFonts w:ascii="Verdana" w:hAnsi="Verdana"/>
          <w:sz w:val="20"/>
          <w:szCs w:val="20"/>
        </w:rPr>
        <w:t xml:space="preserve">. </w:t>
      </w:r>
    </w:p>
    <w:p w14:paraId="2DB98864" w14:textId="435361CA" w:rsidR="00CE43A6"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Los escritos presentados por los representantes de las víctimas (en adelante “los representantes”)</w:t>
      </w:r>
      <w:r>
        <w:rPr>
          <w:rStyle w:val="Refdenotaalpie"/>
          <w:rFonts w:ascii="Verdana" w:hAnsi="Verdana"/>
        </w:rPr>
        <w:footnoteReference w:id="8"/>
      </w:r>
      <w:r>
        <w:rPr>
          <w:rFonts w:ascii="Verdana" w:hAnsi="Verdana"/>
          <w:sz w:val="20"/>
          <w:szCs w:val="20"/>
        </w:rPr>
        <w:t xml:space="preserve"> entre febrero y marzo de 2019 en </w:t>
      </w:r>
      <w:r w:rsidR="001E08F7">
        <w:rPr>
          <w:rFonts w:ascii="Verdana" w:hAnsi="Verdana"/>
          <w:sz w:val="20"/>
          <w:szCs w:val="20"/>
        </w:rPr>
        <w:t xml:space="preserve">el marco de </w:t>
      </w:r>
      <w:r>
        <w:rPr>
          <w:rFonts w:ascii="Verdana" w:hAnsi="Verdana"/>
          <w:sz w:val="20"/>
          <w:szCs w:val="20"/>
        </w:rPr>
        <w:t>la supervisión de cumplimiento del  presente caso, en los cuales expresaron, entre otros aspectos, sus observaciones respecto “a la existencia de un proyecto de ꞌLey de Reconciliación Nacionalꞌ”</w:t>
      </w:r>
      <w:r w:rsidR="001E08F7">
        <w:rPr>
          <w:rFonts w:ascii="Verdana" w:hAnsi="Verdana"/>
          <w:sz w:val="20"/>
          <w:szCs w:val="20"/>
        </w:rPr>
        <w:t>,</w:t>
      </w:r>
      <w:r>
        <w:rPr>
          <w:rFonts w:ascii="Verdana" w:hAnsi="Verdana"/>
          <w:sz w:val="20"/>
          <w:szCs w:val="20"/>
        </w:rPr>
        <w:t xml:space="preserve"> que se encuentra en trámite ante la Asamblea Legislativa de El Salvador</w:t>
      </w:r>
      <w:r w:rsidR="001E08F7">
        <w:rPr>
          <w:rFonts w:ascii="Verdana" w:hAnsi="Verdana"/>
          <w:sz w:val="20"/>
          <w:szCs w:val="20"/>
        </w:rPr>
        <w:t xml:space="preserve"> y</w:t>
      </w:r>
      <w:r>
        <w:rPr>
          <w:rFonts w:ascii="Verdana" w:hAnsi="Verdana"/>
          <w:sz w:val="20"/>
          <w:szCs w:val="20"/>
        </w:rPr>
        <w:t xml:space="preserve"> que podría afectar la obligación de investigar graves violaciones a derechos humanos cometidas durante el conflicto armado, tales como la de este caso.</w:t>
      </w:r>
    </w:p>
    <w:p w14:paraId="41B21E19" w14:textId="0BFD80A0" w:rsidR="00CE43A6" w:rsidRPr="00194D84"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La</w:t>
      </w:r>
      <w:r w:rsidRPr="00194D84">
        <w:rPr>
          <w:rFonts w:ascii="Verdana" w:hAnsi="Verdana"/>
          <w:sz w:val="20"/>
          <w:szCs w:val="20"/>
        </w:rPr>
        <w:t xml:space="preserve"> nota de la Secretaría de la Corte (en adelante “la Secretaría”</w:t>
      </w:r>
      <w:r>
        <w:rPr>
          <w:rFonts w:ascii="Verdana" w:hAnsi="Verdana"/>
          <w:sz w:val="20"/>
          <w:szCs w:val="20"/>
        </w:rPr>
        <w:t>)</w:t>
      </w:r>
      <w:r w:rsidRPr="00194D84">
        <w:rPr>
          <w:rFonts w:ascii="Verdana" w:hAnsi="Verdana"/>
          <w:sz w:val="20"/>
          <w:szCs w:val="20"/>
        </w:rPr>
        <w:t xml:space="preserve"> de 15 de marzo de 2019, mediante la cual, siguiendo instrucciones del Presidente del Tribunal, se solicitó al Estado que presentara información </w:t>
      </w:r>
      <w:r w:rsidR="001E08F7">
        <w:rPr>
          <w:rFonts w:ascii="Verdana" w:hAnsi="Verdana"/>
          <w:sz w:val="20"/>
          <w:szCs w:val="20"/>
        </w:rPr>
        <w:t>actualizada sobre el trámite legislativo de</w:t>
      </w:r>
      <w:r w:rsidRPr="00194D84">
        <w:rPr>
          <w:rFonts w:ascii="Verdana" w:hAnsi="Verdana"/>
          <w:sz w:val="20"/>
          <w:szCs w:val="20"/>
        </w:rPr>
        <w:t xml:space="preserve"> dicho proyecto de ley.</w:t>
      </w:r>
    </w:p>
    <w:p w14:paraId="693980A4" w14:textId="78C2B4BB" w:rsidR="00CE43A6" w:rsidRPr="00194D84"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r w:rsidRPr="00194D84">
        <w:rPr>
          <w:rFonts w:ascii="Verdana" w:hAnsi="Verdana"/>
          <w:sz w:val="20"/>
          <w:szCs w:val="20"/>
        </w:rPr>
        <w:t xml:space="preserve">El </w:t>
      </w:r>
      <w:r w:rsidR="002A4F24">
        <w:rPr>
          <w:rFonts w:ascii="Verdana" w:hAnsi="Verdana"/>
          <w:sz w:val="20"/>
          <w:szCs w:val="20"/>
        </w:rPr>
        <w:t>informe</w:t>
      </w:r>
      <w:r w:rsidRPr="00194D84">
        <w:rPr>
          <w:rFonts w:ascii="Verdana" w:hAnsi="Verdana"/>
          <w:sz w:val="20"/>
          <w:szCs w:val="20"/>
        </w:rPr>
        <w:t xml:space="preserve"> presentado por </w:t>
      </w:r>
      <w:r>
        <w:rPr>
          <w:rFonts w:ascii="Verdana" w:hAnsi="Verdana"/>
          <w:sz w:val="20"/>
          <w:szCs w:val="20"/>
        </w:rPr>
        <w:t>el Estado</w:t>
      </w:r>
      <w:r w:rsidRPr="00194D84">
        <w:rPr>
          <w:rFonts w:ascii="Verdana" w:hAnsi="Verdana"/>
          <w:sz w:val="20"/>
          <w:szCs w:val="20"/>
        </w:rPr>
        <w:t xml:space="preserve"> el 29 de marzo de 2019, en el cual únicamente indicó que se había creado una Comisión </w:t>
      </w:r>
      <w:r w:rsidRPr="007F425E">
        <w:rPr>
          <w:rFonts w:ascii="Verdana" w:hAnsi="Verdana"/>
          <w:i/>
          <w:sz w:val="20"/>
          <w:szCs w:val="20"/>
        </w:rPr>
        <w:t>Ad-hoc</w:t>
      </w:r>
      <w:r w:rsidRPr="00194D84">
        <w:rPr>
          <w:rFonts w:ascii="Verdana" w:hAnsi="Verdana"/>
          <w:sz w:val="20"/>
          <w:szCs w:val="20"/>
        </w:rPr>
        <w:t xml:space="preserve"> que “a </w:t>
      </w:r>
      <w:r w:rsidR="001E08F7">
        <w:rPr>
          <w:rFonts w:ascii="Verdana" w:hAnsi="Verdana"/>
          <w:sz w:val="20"/>
          <w:szCs w:val="20"/>
        </w:rPr>
        <w:t>[esa]</w:t>
      </w:r>
      <w:r w:rsidR="001E08F7" w:rsidRPr="00194D84">
        <w:rPr>
          <w:rFonts w:ascii="Verdana" w:hAnsi="Verdana"/>
          <w:sz w:val="20"/>
          <w:szCs w:val="20"/>
        </w:rPr>
        <w:t xml:space="preserve"> </w:t>
      </w:r>
      <w:r w:rsidRPr="00194D84">
        <w:rPr>
          <w:rFonts w:ascii="Verdana" w:hAnsi="Verdana"/>
          <w:sz w:val="20"/>
          <w:szCs w:val="20"/>
        </w:rPr>
        <w:t xml:space="preserve">fecha se </w:t>
      </w:r>
      <w:r w:rsidR="001E08F7" w:rsidRPr="00194D84">
        <w:rPr>
          <w:rFonts w:ascii="Verdana" w:hAnsi="Verdana"/>
          <w:sz w:val="20"/>
          <w:szCs w:val="20"/>
        </w:rPr>
        <w:t>enc</w:t>
      </w:r>
      <w:r w:rsidR="001E08F7">
        <w:rPr>
          <w:rFonts w:ascii="Verdana" w:hAnsi="Verdana"/>
          <w:sz w:val="20"/>
          <w:szCs w:val="20"/>
        </w:rPr>
        <w:t>[ontraba]</w:t>
      </w:r>
      <w:r w:rsidR="001E08F7" w:rsidRPr="00194D84">
        <w:rPr>
          <w:rFonts w:ascii="Verdana" w:hAnsi="Verdana"/>
          <w:sz w:val="20"/>
          <w:szCs w:val="20"/>
        </w:rPr>
        <w:t xml:space="preserve"> </w:t>
      </w:r>
      <w:r w:rsidRPr="00194D84">
        <w:rPr>
          <w:rFonts w:ascii="Verdana" w:hAnsi="Verdana"/>
          <w:sz w:val="20"/>
          <w:szCs w:val="20"/>
        </w:rPr>
        <w:t>concluyendo un proyecto de ley relacionado a [dicha] temática”.</w:t>
      </w:r>
    </w:p>
    <w:p w14:paraId="5E09126E" w14:textId="0BA09AD3" w:rsidR="00CE43A6" w:rsidRPr="00194D84"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r w:rsidRPr="00194D84">
        <w:rPr>
          <w:rFonts w:ascii="Verdana" w:hAnsi="Verdana"/>
          <w:sz w:val="20"/>
          <w:szCs w:val="20"/>
        </w:rPr>
        <w:t>La nota de la Secretaría de 22 de mayo de 2019, mediante la cual, siguiendo instrucciones del Presidente del Tribunal, se realizó un pedido detallado de información al Estado sobre</w:t>
      </w:r>
      <w:r w:rsidR="001E08F7">
        <w:rPr>
          <w:rFonts w:ascii="Verdana" w:hAnsi="Verdana"/>
          <w:sz w:val="20"/>
          <w:szCs w:val="20"/>
        </w:rPr>
        <w:t xml:space="preserve"> diversos aspectos relacionados con</w:t>
      </w:r>
      <w:r w:rsidRPr="00194D84">
        <w:rPr>
          <w:rFonts w:ascii="Verdana" w:hAnsi="Verdana"/>
          <w:sz w:val="20"/>
          <w:szCs w:val="20"/>
        </w:rPr>
        <w:t xml:space="preserve"> el referido proyecto de ley</w:t>
      </w:r>
      <w:r w:rsidRPr="00194D84">
        <w:rPr>
          <w:rStyle w:val="Refdenotaalpie"/>
          <w:rFonts w:ascii="Verdana" w:hAnsi="Verdana"/>
        </w:rPr>
        <w:footnoteReference w:id="9"/>
      </w:r>
      <w:r w:rsidRPr="00194D84">
        <w:rPr>
          <w:rFonts w:ascii="Verdana" w:hAnsi="Verdana"/>
          <w:sz w:val="20"/>
          <w:szCs w:val="20"/>
        </w:rPr>
        <w:t>.</w:t>
      </w:r>
    </w:p>
    <w:p w14:paraId="1D14F3A9" w14:textId="67EEDD15" w:rsidR="00CE43A6" w:rsidRPr="00194D84" w:rsidRDefault="00CE43A6" w:rsidP="0050112C">
      <w:pPr>
        <w:pStyle w:val="Prrafodelista"/>
        <w:numPr>
          <w:ilvl w:val="0"/>
          <w:numId w:val="1"/>
        </w:numPr>
        <w:spacing w:before="120" w:after="120" w:line="240" w:lineRule="auto"/>
        <w:ind w:left="0" w:firstLine="0"/>
        <w:contextualSpacing w:val="0"/>
        <w:jc w:val="both"/>
        <w:rPr>
          <w:rFonts w:ascii="Verdana" w:hAnsi="Verdana"/>
          <w:sz w:val="20"/>
          <w:szCs w:val="20"/>
        </w:rPr>
      </w:pPr>
      <w:r w:rsidRPr="00194D84">
        <w:rPr>
          <w:rFonts w:ascii="Verdana" w:hAnsi="Verdana"/>
          <w:sz w:val="20"/>
          <w:szCs w:val="20"/>
        </w:rPr>
        <w:lastRenderedPageBreak/>
        <w:t>El escrito de 24 de mayo de 2019 y sus anexos, mediante los cuales los representantes solicitaron, “con base en lo dispuesto en el artículo 63 de la Convención Americana sobre Derechos Humanos</w:t>
      </w:r>
      <w:r w:rsidR="001E08F7">
        <w:rPr>
          <w:rFonts w:ascii="Verdana" w:hAnsi="Verdana"/>
          <w:sz w:val="20"/>
          <w:szCs w:val="20"/>
        </w:rPr>
        <w:t xml:space="preserve"> </w:t>
      </w:r>
      <w:r w:rsidRPr="00194D84">
        <w:rPr>
          <w:rFonts w:ascii="Verdana" w:hAnsi="Verdana"/>
          <w:sz w:val="20"/>
          <w:szCs w:val="20"/>
        </w:rPr>
        <w:t xml:space="preserve"> y el artículo 27 del Reglamento de [la Corte]”, “la adopción de medidas provisionales a favor de las víctimas reconocidas en la Sentencia” del presente caso (</w:t>
      </w:r>
      <w:r w:rsidRPr="00194D84">
        <w:rPr>
          <w:rFonts w:ascii="Verdana" w:hAnsi="Verdana"/>
          <w:i/>
          <w:sz w:val="20"/>
          <w:szCs w:val="20"/>
        </w:rPr>
        <w:t xml:space="preserve">infra </w:t>
      </w:r>
      <w:r w:rsidRPr="00194D84">
        <w:rPr>
          <w:rFonts w:ascii="Verdana" w:hAnsi="Verdana"/>
          <w:sz w:val="20"/>
          <w:szCs w:val="20"/>
        </w:rPr>
        <w:t xml:space="preserve">Considerandos </w:t>
      </w:r>
      <w:r w:rsidR="001E08F7">
        <w:rPr>
          <w:rFonts w:ascii="Verdana" w:hAnsi="Verdana"/>
          <w:sz w:val="20"/>
          <w:szCs w:val="20"/>
        </w:rPr>
        <w:t xml:space="preserve">13 </w:t>
      </w:r>
      <w:r w:rsidR="00986596">
        <w:rPr>
          <w:rFonts w:ascii="Verdana" w:hAnsi="Verdana"/>
          <w:sz w:val="20"/>
          <w:szCs w:val="20"/>
        </w:rPr>
        <w:t xml:space="preserve">y </w:t>
      </w:r>
      <w:r w:rsidR="001E08F7">
        <w:rPr>
          <w:rFonts w:ascii="Verdana" w:hAnsi="Verdana"/>
          <w:sz w:val="20"/>
          <w:szCs w:val="20"/>
        </w:rPr>
        <w:t>14</w:t>
      </w:r>
      <w:r w:rsidRPr="00194D84">
        <w:rPr>
          <w:rFonts w:ascii="Verdana" w:hAnsi="Verdana"/>
          <w:sz w:val="20"/>
          <w:szCs w:val="20"/>
        </w:rPr>
        <w:t>).</w:t>
      </w:r>
    </w:p>
    <w:p w14:paraId="47D44ADF" w14:textId="7AEC2460" w:rsidR="00CE43A6" w:rsidRPr="00587AD2" w:rsidRDefault="00CE43A6" w:rsidP="00CE43A6">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La nota de la Secretaría de 24 de mayo de 2019, mediante la cual, </w:t>
      </w:r>
      <w:bookmarkEnd w:id="1"/>
      <w:bookmarkEnd w:id="3"/>
      <w:r w:rsidRPr="00587AD2">
        <w:rPr>
          <w:rFonts w:ascii="Verdana" w:hAnsi="Verdana" w:cs="Verdana"/>
          <w:sz w:val="20"/>
          <w:szCs w:val="20"/>
        </w:rPr>
        <w:t xml:space="preserve">siguiendo instrucciones del Presidente del Tribunal, se otorgó un plazo </w:t>
      </w:r>
      <w:r w:rsidR="0016741D">
        <w:rPr>
          <w:rFonts w:ascii="Verdana" w:hAnsi="Verdana" w:cs="Verdana"/>
          <w:sz w:val="20"/>
          <w:szCs w:val="20"/>
        </w:rPr>
        <w:t>hasta el 27 de mayo de 201</w:t>
      </w:r>
      <w:r w:rsidR="00457172">
        <w:rPr>
          <w:rFonts w:ascii="Verdana" w:hAnsi="Verdana" w:cs="Verdana"/>
          <w:sz w:val="20"/>
          <w:szCs w:val="20"/>
        </w:rPr>
        <w:t>9</w:t>
      </w:r>
      <w:r w:rsidR="001E08F7">
        <w:rPr>
          <w:rFonts w:ascii="Verdana" w:hAnsi="Verdana" w:cs="Verdana"/>
          <w:sz w:val="20"/>
          <w:szCs w:val="20"/>
        </w:rPr>
        <w:t>,</w:t>
      </w:r>
      <w:r w:rsidR="0016741D">
        <w:rPr>
          <w:rFonts w:ascii="Verdana" w:hAnsi="Verdana" w:cs="Verdana"/>
          <w:sz w:val="20"/>
          <w:szCs w:val="20"/>
        </w:rPr>
        <w:t xml:space="preserve"> para que el</w:t>
      </w:r>
      <w:r w:rsidRPr="00587AD2">
        <w:rPr>
          <w:rFonts w:ascii="Verdana" w:hAnsi="Verdana" w:cs="Verdana"/>
          <w:sz w:val="20"/>
          <w:szCs w:val="20"/>
        </w:rPr>
        <w:t xml:space="preserve"> Estado y la Comisión Interamericana de Derechos Humanos (en adelante “la Comisión” o “la Comisión Interamericana”) presentar</w:t>
      </w:r>
      <w:r w:rsidR="0016741D">
        <w:rPr>
          <w:rFonts w:ascii="Verdana" w:hAnsi="Verdana" w:cs="Verdana"/>
          <w:sz w:val="20"/>
          <w:szCs w:val="20"/>
        </w:rPr>
        <w:t>an</w:t>
      </w:r>
      <w:r w:rsidRPr="00587AD2">
        <w:rPr>
          <w:rFonts w:ascii="Verdana" w:hAnsi="Verdana" w:cs="Verdana"/>
          <w:sz w:val="20"/>
          <w:szCs w:val="20"/>
        </w:rPr>
        <w:t xml:space="preserve"> sus observaciones a la </w:t>
      </w:r>
      <w:r w:rsidR="001E08F7">
        <w:rPr>
          <w:rFonts w:ascii="Verdana" w:hAnsi="Verdana" w:cs="Verdana"/>
          <w:sz w:val="20"/>
          <w:szCs w:val="20"/>
        </w:rPr>
        <w:t xml:space="preserve">referida </w:t>
      </w:r>
      <w:r w:rsidRPr="00587AD2">
        <w:rPr>
          <w:rFonts w:ascii="Verdana" w:hAnsi="Verdana" w:cs="Verdana"/>
          <w:sz w:val="20"/>
          <w:szCs w:val="20"/>
        </w:rPr>
        <w:t>solicitud de medidas provisionales.</w:t>
      </w:r>
      <w:r w:rsidRPr="00587AD2">
        <w:rPr>
          <w:sz w:val="20"/>
          <w:szCs w:val="20"/>
        </w:rPr>
        <w:t xml:space="preserve"> </w:t>
      </w:r>
    </w:p>
    <w:p w14:paraId="36493ADC" w14:textId="63BEDCF7" w:rsidR="00CE43A6" w:rsidRDefault="00CE43A6" w:rsidP="00CE43A6">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sidRPr="00651A8C">
        <w:rPr>
          <w:rFonts w:ascii="Verdana" w:hAnsi="Verdana"/>
          <w:sz w:val="20"/>
          <w:szCs w:val="20"/>
        </w:rPr>
        <w:t>El escrito presentado por El Salvador el 27</w:t>
      </w:r>
      <w:r w:rsidRPr="00651A8C">
        <w:rPr>
          <w:rFonts w:ascii="Verdana" w:hAnsi="Verdana"/>
          <w:sz w:val="20"/>
        </w:rPr>
        <w:t xml:space="preserve"> de mayo de 2019, mediante el cual </w:t>
      </w:r>
      <w:bookmarkStart w:id="4" w:name="_Ref3292275"/>
      <w:r w:rsidRPr="00651A8C">
        <w:rPr>
          <w:rFonts w:ascii="Verdana" w:hAnsi="Verdana"/>
          <w:sz w:val="20"/>
        </w:rPr>
        <w:t>remitió sus observaciones a la referida solicitud de medidas provisionales</w:t>
      </w:r>
      <w:bookmarkEnd w:id="4"/>
      <w:r>
        <w:rPr>
          <w:rFonts w:ascii="Verdana" w:hAnsi="Verdana"/>
          <w:sz w:val="20"/>
          <w:szCs w:val="20"/>
        </w:rPr>
        <w:t>.</w:t>
      </w:r>
    </w:p>
    <w:p w14:paraId="3263C857" w14:textId="2C2FDFF9" w:rsidR="00CE43A6" w:rsidRDefault="00CE43A6" w:rsidP="00CE43A6">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sidRPr="00B30617">
        <w:rPr>
          <w:rFonts w:ascii="Verdana" w:hAnsi="Verdana"/>
          <w:sz w:val="20"/>
          <w:szCs w:val="20"/>
        </w:rPr>
        <w:t>El escrito presentado por la Comisión</w:t>
      </w:r>
      <w:r w:rsidR="00DC507E">
        <w:rPr>
          <w:rFonts w:ascii="Verdana" w:hAnsi="Verdana"/>
          <w:sz w:val="20"/>
          <w:szCs w:val="20"/>
        </w:rPr>
        <w:t xml:space="preserve"> Interamericana</w:t>
      </w:r>
      <w:r w:rsidRPr="00B30617">
        <w:rPr>
          <w:rFonts w:ascii="Verdana" w:hAnsi="Verdana"/>
          <w:sz w:val="20"/>
          <w:szCs w:val="20"/>
        </w:rPr>
        <w:t xml:space="preserve"> el 27 de mayo de 2019, mediante el cual remitió sus observaciones a la referida solicitud de medidas provisionales.</w:t>
      </w:r>
    </w:p>
    <w:p w14:paraId="390970D8" w14:textId="151E34A9" w:rsidR="00644C7F" w:rsidRDefault="00644C7F" w:rsidP="00CE43A6">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La Resolución </w:t>
      </w:r>
      <w:r w:rsidR="00AF444A">
        <w:rPr>
          <w:rFonts w:ascii="Verdana" w:hAnsi="Verdana"/>
          <w:sz w:val="20"/>
          <w:szCs w:val="20"/>
        </w:rPr>
        <w:t>de medidas urgentes y supervisión de cumplimiento de Sentencia</w:t>
      </w:r>
      <w:r w:rsidR="00AF444A" w:rsidDel="00AF444A">
        <w:rPr>
          <w:rFonts w:ascii="Verdana" w:hAnsi="Verdana"/>
          <w:sz w:val="20"/>
          <w:szCs w:val="20"/>
        </w:rPr>
        <w:t xml:space="preserve"> </w:t>
      </w:r>
      <w:r w:rsidR="00AF444A">
        <w:rPr>
          <w:rFonts w:ascii="Verdana" w:hAnsi="Verdana"/>
          <w:sz w:val="20"/>
          <w:szCs w:val="20"/>
        </w:rPr>
        <w:t xml:space="preserve">emitida por el </w:t>
      </w:r>
      <w:r>
        <w:rPr>
          <w:rFonts w:ascii="Verdana" w:hAnsi="Verdana"/>
          <w:sz w:val="20"/>
          <w:szCs w:val="20"/>
        </w:rPr>
        <w:t xml:space="preserve">Presidente de la Corte </w:t>
      </w:r>
      <w:r w:rsidR="00D3201A">
        <w:rPr>
          <w:rFonts w:ascii="Verdana" w:hAnsi="Verdana"/>
          <w:sz w:val="20"/>
          <w:szCs w:val="20"/>
        </w:rPr>
        <w:t xml:space="preserve">Interamericana </w:t>
      </w:r>
      <w:r w:rsidR="00AF444A">
        <w:rPr>
          <w:rFonts w:ascii="Verdana" w:hAnsi="Verdana"/>
          <w:sz w:val="20"/>
          <w:szCs w:val="20"/>
        </w:rPr>
        <w:t xml:space="preserve">el </w:t>
      </w:r>
      <w:r>
        <w:rPr>
          <w:rFonts w:ascii="Verdana" w:hAnsi="Verdana"/>
          <w:sz w:val="20"/>
          <w:szCs w:val="20"/>
        </w:rPr>
        <w:t>28 de mayo de 2019</w:t>
      </w:r>
      <w:r w:rsidR="00986596">
        <w:rPr>
          <w:rFonts w:ascii="Verdana" w:hAnsi="Verdana"/>
          <w:sz w:val="20"/>
          <w:szCs w:val="20"/>
        </w:rPr>
        <w:t xml:space="preserve"> (</w:t>
      </w:r>
      <w:r w:rsidR="00986596" w:rsidRPr="00986596">
        <w:rPr>
          <w:rFonts w:ascii="Verdana" w:hAnsi="Verdana"/>
          <w:i/>
          <w:sz w:val="20"/>
          <w:szCs w:val="20"/>
        </w:rPr>
        <w:t xml:space="preserve">infra </w:t>
      </w:r>
      <w:r w:rsidR="00986596">
        <w:rPr>
          <w:rFonts w:ascii="Verdana" w:hAnsi="Verdana"/>
          <w:sz w:val="20"/>
          <w:szCs w:val="20"/>
        </w:rPr>
        <w:t xml:space="preserve">Considerandos </w:t>
      </w:r>
      <w:r w:rsidR="00D3201A">
        <w:rPr>
          <w:rFonts w:ascii="Verdana" w:hAnsi="Verdana"/>
          <w:sz w:val="20"/>
          <w:szCs w:val="20"/>
        </w:rPr>
        <w:t xml:space="preserve">16 </w:t>
      </w:r>
      <w:r w:rsidR="00986596">
        <w:rPr>
          <w:rFonts w:ascii="Verdana" w:hAnsi="Verdana"/>
          <w:sz w:val="20"/>
          <w:szCs w:val="20"/>
        </w:rPr>
        <w:t xml:space="preserve">a </w:t>
      </w:r>
      <w:r w:rsidR="00D3201A">
        <w:rPr>
          <w:rFonts w:ascii="Verdana" w:hAnsi="Verdana"/>
          <w:sz w:val="20"/>
          <w:szCs w:val="20"/>
        </w:rPr>
        <w:t>19</w:t>
      </w:r>
      <w:r w:rsidR="00986596">
        <w:rPr>
          <w:rFonts w:ascii="Verdana" w:hAnsi="Verdana"/>
          <w:sz w:val="20"/>
          <w:szCs w:val="20"/>
        </w:rPr>
        <w:t>)</w:t>
      </w:r>
      <w:r>
        <w:rPr>
          <w:rStyle w:val="Refdenotaalpie"/>
          <w:rFonts w:ascii="Verdana" w:hAnsi="Verdana"/>
          <w:sz w:val="20"/>
          <w:szCs w:val="20"/>
        </w:rPr>
        <w:footnoteReference w:id="10"/>
      </w:r>
      <w:r w:rsidR="005349B3">
        <w:rPr>
          <w:rFonts w:ascii="Verdana" w:hAnsi="Verdana"/>
          <w:sz w:val="20"/>
          <w:szCs w:val="20"/>
        </w:rPr>
        <w:t>.</w:t>
      </w:r>
    </w:p>
    <w:p w14:paraId="3A3AF3FF" w14:textId="5F566D6D" w:rsidR="005349B3" w:rsidRDefault="005349B3" w:rsidP="00CE43A6">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Los </w:t>
      </w:r>
      <w:r w:rsidR="002A4F24">
        <w:rPr>
          <w:rFonts w:ascii="Verdana" w:hAnsi="Verdana"/>
          <w:sz w:val="20"/>
          <w:szCs w:val="20"/>
        </w:rPr>
        <w:t>informes</w:t>
      </w:r>
      <w:r>
        <w:rPr>
          <w:rFonts w:ascii="Verdana" w:hAnsi="Verdana"/>
          <w:sz w:val="20"/>
          <w:szCs w:val="20"/>
        </w:rPr>
        <w:t xml:space="preserve"> presentados por El Salvador el 31 de mayo</w:t>
      </w:r>
      <w:r w:rsidR="002A4F24">
        <w:rPr>
          <w:rFonts w:ascii="Verdana" w:hAnsi="Verdana"/>
          <w:sz w:val="20"/>
          <w:szCs w:val="20"/>
        </w:rPr>
        <w:t>,</w:t>
      </w:r>
      <w:r>
        <w:rPr>
          <w:rFonts w:ascii="Verdana" w:hAnsi="Verdana"/>
          <w:sz w:val="20"/>
          <w:szCs w:val="20"/>
        </w:rPr>
        <w:t xml:space="preserve"> el 14</w:t>
      </w:r>
      <w:r w:rsidR="002A4F24">
        <w:rPr>
          <w:rFonts w:ascii="Verdana" w:hAnsi="Verdana"/>
          <w:sz w:val="20"/>
          <w:szCs w:val="20"/>
        </w:rPr>
        <w:t xml:space="preserve"> y 19</w:t>
      </w:r>
      <w:r>
        <w:rPr>
          <w:rFonts w:ascii="Verdana" w:hAnsi="Verdana"/>
          <w:sz w:val="20"/>
          <w:szCs w:val="20"/>
        </w:rPr>
        <w:t xml:space="preserve"> de junio de 2019, en respuesta a las solicitudes efectuadas por el</w:t>
      </w:r>
      <w:r w:rsidR="002A4F24">
        <w:rPr>
          <w:rFonts w:ascii="Verdana" w:hAnsi="Verdana"/>
          <w:sz w:val="20"/>
          <w:szCs w:val="20"/>
        </w:rPr>
        <w:t xml:space="preserve"> </w:t>
      </w:r>
      <w:r>
        <w:rPr>
          <w:rFonts w:ascii="Verdana" w:hAnsi="Verdana"/>
          <w:sz w:val="20"/>
          <w:szCs w:val="20"/>
        </w:rPr>
        <w:t>Presidente de la Corte</w:t>
      </w:r>
      <w:r w:rsidR="002A4F24">
        <w:rPr>
          <w:rFonts w:ascii="Verdana" w:hAnsi="Verdana"/>
          <w:sz w:val="20"/>
          <w:szCs w:val="20"/>
        </w:rPr>
        <w:t xml:space="preserve"> </w:t>
      </w:r>
      <w:r w:rsidR="0016741D">
        <w:rPr>
          <w:rFonts w:ascii="Verdana" w:hAnsi="Verdana"/>
          <w:sz w:val="20"/>
          <w:szCs w:val="20"/>
        </w:rPr>
        <w:t>en el marco de la supervisión de cumplimiento y en la referida Resolución de 28 de mayo de 2019</w:t>
      </w:r>
      <w:r w:rsidR="00D3201A">
        <w:rPr>
          <w:rFonts w:ascii="Verdana" w:hAnsi="Verdana"/>
          <w:sz w:val="20"/>
          <w:szCs w:val="20"/>
        </w:rPr>
        <w:t xml:space="preserve"> (</w:t>
      </w:r>
      <w:r w:rsidR="00D3201A" w:rsidRPr="005349B3">
        <w:rPr>
          <w:rFonts w:ascii="Verdana" w:hAnsi="Verdana"/>
          <w:i/>
          <w:sz w:val="20"/>
          <w:szCs w:val="20"/>
        </w:rPr>
        <w:t>supra</w:t>
      </w:r>
      <w:r w:rsidR="00D3201A">
        <w:rPr>
          <w:rFonts w:ascii="Verdana" w:hAnsi="Verdana"/>
          <w:sz w:val="20"/>
          <w:szCs w:val="20"/>
        </w:rPr>
        <w:t xml:space="preserve"> Vistos 7 y 12)</w:t>
      </w:r>
      <w:r w:rsidR="0016741D">
        <w:rPr>
          <w:rFonts w:ascii="Verdana" w:hAnsi="Verdana"/>
          <w:sz w:val="20"/>
          <w:szCs w:val="20"/>
        </w:rPr>
        <w:t xml:space="preserve">, </w:t>
      </w:r>
      <w:r w:rsidR="002A4F24">
        <w:rPr>
          <w:rFonts w:ascii="Verdana" w:hAnsi="Verdana"/>
          <w:sz w:val="20"/>
          <w:szCs w:val="20"/>
        </w:rPr>
        <w:t>y el informe de 15 de julio</w:t>
      </w:r>
      <w:r w:rsidR="0016741D">
        <w:rPr>
          <w:rFonts w:ascii="Verdana" w:hAnsi="Verdana"/>
          <w:sz w:val="20"/>
          <w:szCs w:val="20"/>
        </w:rPr>
        <w:t xml:space="preserve"> de 2019,</w:t>
      </w:r>
      <w:r w:rsidR="002A4F24">
        <w:rPr>
          <w:rFonts w:ascii="Verdana" w:hAnsi="Verdana"/>
          <w:sz w:val="20"/>
          <w:szCs w:val="20"/>
        </w:rPr>
        <w:t xml:space="preserve"> mediante el cual remitió información adicional sobre la</w:t>
      </w:r>
      <w:r w:rsidR="00D3201A">
        <w:rPr>
          <w:rFonts w:ascii="Verdana" w:hAnsi="Verdana"/>
          <w:sz w:val="20"/>
          <w:szCs w:val="20"/>
        </w:rPr>
        <w:t xml:space="preserve"> solicitud de</w:t>
      </w:r>
      <w:r w:rsidR="002A4F24">
        <w:rPr>
          <w:rFonts w:ascii="Verdana" w:hAnsi="Verdana"/>
          <w:sz w:val="20"/>
          <w:szCs w:val="20"/>
        </w:rPr>
        <w:t xml:space="preserve"> medidas provisionales.</w:t>
      </w:r>
    </w:p>
    <w:p w14:paraId="02AF5C33" w14:textId="5E0DE814" w:rsidR="009D7A98" w:rsidRPr="006C4A5D" w:rsidRDefault="006E6CA3" w:rsidP="009D7A98">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sidRPr="0046457E">
        <w:rPr>
          <w:rFonts w:ascii="Verdana" w:hAnsi="Verdana"/>
          <w:sz w:val="20"/>
          <w:szCs w:val="20"/>
        </w:rPr>
        <w:t xml:space="preserve">El escrito presentado por </w:t>
      </w:r>
      <w:r w:rsidR="009D7A98" w:rsidRPr="0046457E">
        <w:rPr>
          <w:rFonts w:ascii="Verdana" w:hAnsi="Verdana"/>
          <w:sz w:val="20"/>
          <w:szCs w:val="20"/>
        </w:rPr>
        <w:t>la Procuraduría para la Defensa de los Derechos Humanos</w:t>
      </w:r>
      <w:r w:rsidR="0016741D">
        <w:rPr>
          <w:rFonts w:ascii="Verdana" w:hAnsi="Verdana"/>
          <w:sz w:val="20"/>
          <w:szCs w:val="20"/>
        </w:rPr>
        <w:t xml:space="preserve"> de El Salvador</w:t>
      </w:r>
      <w:r w:rsidR="009D7A98" w:rsidRPr="0046457E">
        <w:rPr>
          <w:rFonts w:ascii="Verdana" w:hAnsi="Verdana"/>
          <w:sz w:val="20"/>
          <w:szCs w:val="20"/>
        </w:rPr>
        <w:t xml:space="preserve"> el 19 de junio de 2019</w:t>
      </w:r>
      <w:r w:rsidR="00D6370F" w:rsidRPr="0046457E">
        <w:rPr>
          <w:rStyle w:val="Refdenotaalpie"/>
          <w:rFonts w:ascii="Verdana" w:hAnsi="Verdana"/>
          <w:sz w:val="20"/>
          <w:szCs w:val="20"/>
        </w:rPr>
        <w:footnoteReference w:id="11"/>
      </w:r>
      <w:r w:rsidR="009D7A98" w:rsidRPr="0046457E">
        <w:rPr>
          <w:rFonts w:ascii="Verdana" w:hAnsi="Verdana"/>
          <w:sz w:val="20"/>
          <w:szCs w:val="20"/>
        </w:rPr>
        <w:t xml:space="preserve">, el cual, siguiendo instrucciones del Presidente del Tribunal fue recibido como </w:t>
      </w:r>
      <w:r w:rsidR="009D7A98" w:rsidRPr="0046457E">
        <w:rPr>
          <w:rFonts w:ascii="Verdana" w:hAnsi="Verdana"/>
          <w:sz w:val="20"/>
          <w:szCs w:val="20"/>
          <w:lang w:val="es-ES_tradnl"/>
        </w:rPr>
        <w:t>“otra fuente de información</w:t>
      </w:r>
      <w:r w:rsidR="00457172">
        <w:rPr>
          <w:rFonts w:ascii="Verdana" w:hAnsi="Verdana"/>
          <w:sz w:val="20"/>
          <w:szCs w:val="20"/>
          <w:lang w:val="es-ES_tradnl"/>
        </w:rPr>
        <w:t>”</w:t>
      </w:r>
      <w:r w:rsidR="009D7A98" w:rsidRPr="0046457E">
        <w:rPr>
          <w:rFonts w:ascii="Verdana" w:hAnsi="Verdana"/>
          <w:sz w:val="20"/>
          <w:szCs w:val="20"/>
          <w:lang w:val="es-ES_tradnl"/>
        </w:rPr>
        <w:t xml:space="preserve">, distinta a la que brinda el Estado en su carácter de parte en </w:t>
      </w:r>
      <w:r w:rsidR="00D6370F" w:rsidRPr="0046457E">
        <w:rPr>
          <w:rFonts w:ascii="Verdana" w:hAnsi="Verdana"/>
          <w:sz w:val="20"/>
          <w:szCs w:val="20"/>
          <w:lang w:val="es-ES_tradnl"/>
        </w:rPr>
        <w:t>el</w:t>
      </w:r>
      <w:r w:rsidR="009D7A98" w:rsidRPr="0046457E">
        <w:rPr>
          <w:rFonts w:ascii="Verdana" w:hAnsi="Verdana"/>
          <w:sz w:val="20"/>
          <w:szCs w:val="20"/>
          <w:lang w:val="es-ES_tradnl"/>
        </w:rPr>
        <w:t xml:space="preserve"> proceso</w:t>
      </w:r>
      <w:r w:rsidR="00D6370F" w:rsidRPr="0046457E">
        <w:rPr>
          <w:rFonts w:ascii="Verdana" w:hAnsi="Verdana"/>
          <w:sz w:val="20"/>
          <w:szCs w:val="20"/>
          <w:lang w:val="es-ES_tradnl"/>
        </w:rPr>
        <w:t xml:space="preserve">, en los términos de lo dispuesto en los </w:t>
      </w:r>
      <w:r w:rsidR="00D6370F" w:rsidRPr="006C4A5D">
        <w:rPr>
          <w:rFonts w:ascii="Verdana" w:hAnsi="Verdana"/>
          <w:sz w:val="20"/>
          <w:szCs w:val="20"/>
          <w:lang w:val="es-ES_tradnl"/>
        </w:rPr>
        <w:t>artículos 27.8 y 69.2 del Reglamento de la Corte</w:t>
      </w:r>
      <w:r w:rsidR="00D6370F" w:rsidRPr="006C4A5D">
        <w:rPr>
          <w:rStyle w:val="Refdenotaalpie"/>
          <w:rFonts w:ascii="Verdana" w:hAnsi="Verdana"/>
          <w:sz w:val="20"/>
          <w:szCs w:val="20"/>
          <w:lang w:val="es-ES_tradnl"/>
        </w:rPr>
        <w:footnoteReference w:id="12"/>
      </w:r>
      <w:r w:rsidR="009D7A98" w:rsidRPr="006C4A5D">
        <w:rPr>
          <w:rFonts w:ascii="Verdana" w:hAnsi="Verdana"/>
          <w:sz w:val="20"/>
          <w:szCs w:val="20"/>
          <w:lang w:val="es-ES_tradnl"/>
        </w:rPr>
        <w:t>.</w:t>
      </w:r>
    </w:p>
    <w:p w14:paraId="1C70CCD9" w14:textId="77777777" w:rsidR="005349B3" w:rsidRPr="006C4A5D" w:rsidRDefault="002A4F24" w:rsidP="00CE43A6">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sidRPr="006C4A5D">
        <w:rPr>
          <w:rFonts w:ascii="Verdana" w:hAnsi="Verdana"/>
          <w:sz w:val="20"/>
          <w:szCs w:val="20"/>
        </w:rPr>
        <w:t>Los escritos presentados por los representantes de las víctimas el 27 de junio y 23 de julio de 2019, mediante los cuales remitieron sus observaciones a los informes estatales (</w:t>
      </w:r>
      <w:r w:rsidRPr="006C4A5D">
        <w:rPr>
          <w:rFonts w:ascii="Verdana" w:hAnsi="Verdana"/>
          <w:i/>
          <w:iCs/>
          <w:sz w:val="20"/>
          <w:szCs w:val="20"/>
        </w:rPr>
        <w:t xml:space="preserve">supra </w:t>
      </w:r>
      <w:r w:rsidRPr="006C4A5D">
        <w:rPr>
          <w:rFonts w:ascii="Verdana" w:hAnsi="Verdana"/>
          <w:sz w:val="20"/>
          <w:szCs w:val="20"/>
        </w:rPr>
        <w:t xml:space="preserve">Visto 13) y el escrito presentado el 26 de julio de 2019, mediante el </w:t>
      </w:r>
      <w:r w:rsidRPr="006C4A5D">
        <w:rPr>
          <w:rFonts w:ascii="Verdana" w:hAnsi="Verdana"/>
          <w:sz w:val="20"/>
          <w:szCs w:val="20"/>
        </w:rPr>
        <w:lastRenderedPageBreak/>
        <w:t>cual remitieron sus observaciones al escrito de la Procuraduría para la Defensa de los Derechos Humanos (</w:t>
      </w:r>
      <w:r w:rsidRPr="006C4A5D">
        <w:rPr>
          <w:rFonts w:ascii="Verdana" w:hAnsi="Verdana"/>
          <w:i/>
          <w:iCs/>
          <w:sz w:val="20"/>
          <w:szCs w:val="20"/>
        </w:rPr>
        <w:t>supra</w:t>
      </w:r>
      <w:r w:rsidRPr="006C4A5D">
        <w:rPr>
          <w:rFonts w:ascii="Verdana" w:hAnsi="Verdana"/>
          <w:sz w:val="20"/>
          <w:szCs w:val="20"/>
        </w:rPr>
        <w:t xml:space="preserve"> Visto 14).</w:t>
      </w:r>
    </w:p>
    <w:p w14:paraId="2E6F5CC7" w14:textId="0DD45BB3" w:rsidR="005349B3" w:rsidRPr="00D320DA" w:rsidRDefault="00D320DA" w:rsidP="00CE43A6">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bCs/>
          <w:strike/>
          <w:sz w:val="20"/>
          <w:szCs w:val="20"/>
        </w:rPr>
      </w:pPr>
      <w:r w:rsidRPr="00D320DA">
        <w:rPr>
          <w:rFonts w:ascii="Verdana" w:hAnsi="Verdana"/>
          <w:bCs/>
          <w:sz w:val="20"/>
          <w:szCs w:val="20"/>
        </w:rPr>
        <w:t xml:space="preserve">El </w:t>
      </w:r>
      <w:r w:rsidR="00F5678F" w:rsidRPr="00D320DA">
        <w:rPr>
          <w:rFonts w:ascii="Verdana" w:hAnsi="Verdana"/>
          <w:bCs/>
          <w:sz w:val="20"/>
          <w:szCs w:val="20"/>
        </w:rPr>
        <w:t xml:space="preserve">escrito presentado por la Comisión </w:t>
      </w:r>
      <w:r w:rsidR="00DC507E">
        <w:rPr>
          <w:rFonts w:ascii="Verdana" w:hAnsi="Verdana"/>
          <w:bCs/>
          <w:sz w:val="20"/>
          <w:szCs w:val="20"/>
        </w:rPr>
        <w:t xml:space="preserve">Interamericana </w:t>
      </w:r>
      <w:r w:rsidR="00F5678F" w:rsidRPr="00D320DA">
        <w:rPr>
          <w:rFonts w:ascii="Verdana" w:hAnsi="Verdana"/>
          <w:bCs/>
          <w:sz w:val="20"/>
          <w:szCs w:val="20"/>
        </w:rPr>
        <w:t>el 21 de agosto de 2019, mediante el cual remitió sus observaciones a los informes estatales (</w:t>
      </w:r>
      <w:r w:rsidR="00F5678F" w:rsidRPr="00D320DA">
        <w:rPr>
          <w:rFonts w:ascii="Verdana" w:hAnsi="Verdana"/>
          <w:bCs/>
          <w:i/>
          <w:sz w:val="20"/>
          <w:szCs w:val="20"/>
        </w:rPr>
        <w:t>supra</w:t>
      </w:r>
      <w:r w:rsidR="00F5678F" w:rsidRPr="00D320DA">
        <w:rPr>
          <w:rFonts w:ascii="Verdana" w:hAnsi="Verdana"/>
          <w:bCs/>
          <w:sz w:val="20"/>
          <w:szCs w:val="20"/>
        </w:rPr>
        <w:t xml:space="preserve"> Visto 13)</w:t>
      </w:r>
      <w:r>
        <w:rPr>
          <w:rFonts w:ascii="Verdana" w:hAnsi="Verdana"/>
          <w:bCs/>
          <w:sz w:val="20"/>
          <w:szCs w:val="20"/>
        </w:rPr>
        <w:t>.</w:t>
      </w:r>
    </w:p>
    <w:p w14:paraId="3AF4DE48" w14:textId="77777777" w:rsidR="00003859" w:rsidRPr="00B30617" w:rsidRDefault="00003859" w:rsidP="005349B3">
      <w:pPr>
        <w:pStyle w:val="Prrafodelista"/>
        <w:autoSpaceDE w:val="0"/>
        <w:autoSpaceDN w:val="0"/>
        <w:adjustRightInd w:val="0"/>
        <w:spacing w:before="120" w:after="120" w:line="240" w:lineRule="auto"/>
        <w:ind w:left="0"/>
        <w:contextualSpacing w:val="0"/>
        <w:jc w:val="both"/>
        <w:rPr>
          <w:rFonts w:ascii="Verdana" w:hAnsi="Verdana"/>
          <w:sz w:val="20"/>
          <w:szCs w:val="20"/>
        </w:rPr>
      </w:pPr>
    </w:p>
    <w:p w14:paraId="1EF447D8" w14:textId="77777777" w:rsidR="00CE43A6" w:rsidRDefault="00CE43A6" w:rsidP="00CE43A6">
      <w:pPr>
        <w:autoSpaceDE w:val="0"/>
        <w:autoSpaceDN w:val="0"/>
        <w:adjustRightInd w:val="0"/>
        <w:spacing w:before="120" w:after="120" w:line="240" w:lineRule="auto"/>
        <w:jc w:val="both"/>
        <w:rPr>
          <w:rFonts w:ascii="Verdana" w:hAnsi="Verdana"/>
          <w:b/>
          <w:sz w:val="20"/>
          <w:szCs w:val="20"/>
        </w:rPr>
      </w:pPr>
      <w:r>
        <w:rPr>
          <w:rFonts w:ascii="Verdana" w:hAnsi="Verdana"/>
          <w:b/>
          <w:sz w:val="20"/>
          <w:szCs w:val="20"/>
        </w:rPr>
        <w:t>CONSIDERANDO QUE:</w:t>
      </w:r>
    </w:p>
    <w:p w14:paraId="57252E36" w14:textId="77777777" w:rsidR="00506B11" w:rsidRDefault="00506B11" w:rsidP="00CE43A6">
      <w:pPr>
        <w:autoSpaceDE w:val="0"/>
        <w:autoSpaceDN w:val="0"/>
        <w:adjustRightInd w:val="0"/>
        <w:spacing w:before="120" w:after="120" w:line="240" w:lineRule="auto"/>
        <w:jc w:val="both"/>
        <w:rPr>
          <w:rFonts w:ascii="Verdana" w:hAnsi="Verdana"/>
          <w:b/>
          <w:sz w:val="20"/>
          <w:szCs w:val="20"/>
        </w:rPr>
      </w:pPr>
    </w:p>
    <w:p w14:paraId="49900487" w14:textId="4DB2FE92" w:rsidR="00F8071F" w:rsidRPr="00F8071F" w:rsidRDefault="00F8071F" w:rsidP="00F8071F">
      <w:pPr>
        <w:pStyle w:val="Prrafodelista"/>
        <w:tabs>
          <w:tab w:val="left" w:pos="0"/>
        </w:tabs>
        <w:autoSpaceDE w:val="0"/>
        <w:autoSpaceDN w:val="0"/>
        <w:adjustRightInd w:val="0"/>
        <w:spacing w:before="120" w:after="120" w:line="240" w:lineRule="auto"/>
        <w:ind w:left="0" w:right="99"/>
        <w:contextualSpacing w:val="0"/>
        <w:jc w:val="center"/>
        <w:rPr>
          <w:rFonts w:ascii="Verdana" w:hAnsi="Verdana" w:cs="Verdana"/>
          <w:b/>
          <w:smallCaps/>
          <w:sz w:val="20"/>
          <w:szCs w:val="20"/>
        </w:rPr>
      </w:pPr>
      <w:r>
        <w:rPr>
          <w:rFonts w:ascii="Verdana" w:hAnsi="Verdana" w:cs="Verdana"/>
          <w:b/>
          <w:smallCaps/>
          <w:sz w:val="20"/>
          <w:szCs w:val="20"/>
        </w:rPr>
        <w:t>I</w:t>
      </w:r>
      <w:r w:rsidRPr="00F8071F">
        <w:rPr>
          <w:rFonts w:ascii="Verdana" w:hAnsi="Verdana" w:cs="Verdana"/>
          <w:b/>
          <w:smallCaps/>
          <w:sz w:val="20"/>
          <w:szCs w:val="20"/>
        </w:rPr>
        <w:t>. S</w:t>
      </w:r>
      <w:r>
        <w:rPr>
          <w:rFonts w:ascii="Verdana" w:hAnsi="Verdana" w:cs="Verdana"/>
          <w:b/>
          <w:smallCaps/>
          <w:sz w:val="20"/>
          <w:szCs w:val="20"/>
        </w:rPr>
        <w:t>olicitud de Medidas Provisionales</w:t>
      </w:r>
    </w:p>
    <w:p w14:paraId="38ECEA29" w14:textId="1433E5B5" w:rsidR="00C32E4D" w:rsidRPr="00C32E4D" w:rsidRDefault="00AF444A" w:rsidP="00C32E4D">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bookmarkStart w:id="5" w:name="_Ref3291976"/>
      <w:r>
        <w:rPr>
          <w:rFonts w:ascii="Verdana" w:hAnsi="Verdana" w:cs="Arial"/>
          <w:sz w:val="20"/>
          <w:szCs w:val="20"/>
          <w:lang w:val="es-MX"/>
        </w:rPr>
        <w:t xml:space="preserve">En la presente </w:t>
      </w:r>
      <w:r w:rsidR="00DC507E">
        <w:rPr>
          <w:rFonts w:ascii="Verdana" w:hAnsi="Verdana" w:cs="Arial"/>
          <w:sz w:val="20"/>
          <w:szCs w:val="20"/>
          <w:lang w:val="es-MX"/>
        </w:rPr>
        <w:t xml:space="preserve">Resolución </w:t>
      </w:r>
      <w:r>
        <w:rPr>
          <w:rFonts w:ascii="Verdana" w:hAnsi="Verdana" w:cs="Arial"/>
          <w:sz w:val="20"/>
          <w:szCs w:val="20"/>
          <w:lang w:val="es-MX"/>
        </w:rPr>
        <w:t>la Corte se pronunciará sobre la solicitud de medidas provisionales presentada el 24 de mayo de 2019 por los representantes de las víctimas</w:t>
      </w:r>
      <w:r w:rsidR="00DC507E">
        <w:rPr>
          <w:rFonts w:ascii="Verdana" w:hAnsi="Verdana" w:cs="Arial"/>
          <w:sz w:val="20"/>
          <w:szCs w:val="20"/>
          <w:lang w:val="es-MX"/>
        </w:rPr>
        <w:t>,</w:t>
      </w:r>
      <w:r>
        <w:rPr>
          <w:rFonts w:ascii="Verdana" w:hAnsi="Verdana" w:cs="Arial"/>
          <w:sz w:val="20"/>
          <w:szCs w:val="20"/>
          <w:lang w:val="es-MX"/>
        </w:rPr>
        <w:t xml:space="preserve"> </w:t>
      </w:r>
      <w:r w:rsidR="00C32E4D">
        <w:rPr>
          <w:rFonts w:ascii="Verdana" w:hAnsi="Verdana" w:cs="Arial"/>
          <w:sz w:val="20"/>
          <w:szCs w:val="20"/>
          <w:lang w:val="es-MX"/>
        </w:rPr>
        <w:t>“</w:t>
      </w:r>
      <w:r w:rsidR="00DC507E">
        <w:rPr>
          <w:rFonts w:ascii="Verdana" w:hAnsi="Verdana" w:cs="Arial"/>
          <w:sz w:val="20"/>
          <w:szCs w:val="20"/>
          <w:lang w:val="es-MX"/>
        </w:rPr>
        <w:t xml:space="preserve">en </w:t>
      </w:r>
      <w:r w:rsidR="00C32E4D">
        <w:rPr>
          <w:rFonts w:ascii="Verdana" w:hAnsi="Verdana" w:cs="Arial"/>
          <w:sz w:val="20"/>
          <w:szCs w:val="20"/>
          <w:lang w:val="es-MX"/>
        </w:rPr>
        <w:t>favor de las víctimas del caso”, para que la Corte “ordene al Estado de El Salvador interrumpir el trámite legislativo de la iniciativa de Ley de Reconciliación Nacional en comento</w:t>
      </w:r>
      <w:r w:rsidR="00DC507E">
        <w:rPr>
          <w:rFonts w:ascii="Verdana" w:hAnsi="Verdana" w:cs="Arial"/>
          <w:sz w:val="20"/>
          <w:szCs w:val="20"/>
          <w:lang w:val="es-MX"/>
        </w:rPr>
        <w:t xml:space="preserve"> y se abstenga de aprobar cualquier normativa similar</w:t>
      </w:r>
      <w:r w:rsidR="00C32E4D">
        <w:rPr>
          <w:rFonts w:ascii="Verdana" w:hAnsi="Verdana" w:cs="Arial"/>
          <w:sz w:val="20"/>
          <w:szCs w:val="20"/>
          <w:lang w:val="es-MX"/>
        </w:rPr>
        <w:t xml:space="preserve">” </w:t>
      </w:r>
      <w:r>
        <w:rPr>
          <w:rFonts w:ascii="Verdana" w:hAnsi="Verdana" w:cs="Arial"/>
          <w:sz w:val="20"/>
          <w:szCs w:val="20"/>
          <w:lang w:val="es-MX"/>
        </w:rPr>
        <w:t>(</w:t>
      </w:r>
      <w:r w:rsidRPr="006C4A5D">
        <w:rPr>
          <w:rFonts w:ascii="Verdana" w:hAnsi="Verdana" w:cs="Arial"/>
          <w:i/>
          <w:sz w:val="20"/>
          <w:szCs w:val="20"/>
          <w:lang w:val="es-MX"/>
        </w:rPr>
        <w:t>supra</w:t>
      </w:r>
      <w:r>
        <w:rPr>
          <w:rFonts w:ascii="Verdana" w:hAnsi="Verdana" w:cs="Arial"/>
          <w:sz w:val="20"/>
          <w:szCs w:val="20"/>
          <w:lang w:val="es-MX"/>
        </w:rPr>
        <w:t xml:space="preserve"> Visto </w:t>
      </w:r>
      <w:r w:rsidR="00986596">
        <w:rPr>
          <w:rFonts w:ascii="Verdana" w:hAnsi="Verdana" w:cs="Arial"/>
          <w:sz w:val="20"/>
          <w:szCs w:val="20"/>
          <w:lang w:val="es-MX"/>
        </w:rPr>
        <w:t>8</w:t>
      </w:r>
      <w:r>
        <w:rPr>
          <w:rFonts w:ascii="Verdana" w:hAnsi="Verdana" w:cs="Arial"/>
          <w:sz w:val="20"/>
          <w:szCs w:val="20"/>
          <w:lang w:val="es-MX"/>
        </w:rPr>
        <w:t xml:space="preserve"> e </w:t>
      </w:r>
      <w:r w:rsidRPr="006C4A5D">
        <w:rPr>
          <w:rFonts w:ascii="Verdana" w:hAnsi="Verdana" w:cs="Arial"/>
          <w:i/>
          <w:sz w:val="20"/>
          <w:szCs w:val="20"/>
          <w:lang w:val="es-MX"/>
        </w:rPr>
        <w:t xml:space="preserve">infra </w:t>
      </w:r>
      <w:r>
        <w:rPr>
          <w:rFonts w:ascii="Verdana" w:hAnsi="Verdana" w:cs="Arial"/>
          <w:sz w:val="20"/>
          <w:szCs w:val="20"/>
          <w:lang w:val="es-MX"/>
        </w:rPr>
        <w:t>Considerando</w:t>
      </w:r>
      <w:r w:rsidR="00E31C4E">
        <w:rPr>
          <w:rFonts w:ascii="Verdana" w:hAnsi="Verdana" w:cs="Arial"/>
          <w:sz w:val="20"/>
          <w:szCs w:val="20"/>
          <w:lang w:val="es-MX"/>
        </w:rPr>
        <w:t>s</w:t>
      </w:r>
      <w:r>
        <w:rPr>
          <w:rFonts w:ascii="Verdana" w:hAnsi="Verdana" w:cs="Arial"/>
          <w:sz w:val="20"/>
          <w:szCs w:val="20"/>
          <w:lang w:val="es-MX"/>
        </w:rPr>
        <w:t xml:space="preserve"> </w:t>
      </w:r>
      <w:r w:rsidR="00DC507E">
        <w:rPr>
          <w:rFonts w:ascii="Verdana" w:hAnsi="Verdana" w:cs="Arial"/>
          <w:sz w:val="20"/>
          <w:szCs w:val="20"/>
          <w:lang w:val="es-MX"/>
        </w:rPr>
        <w:t xml:space="preserve">13 </w:t>
      </w:r>
      <w:r w:rsidR="00986596">
        <w:rPr>
          <w:rFonts w:ascii="Verdana" w:hAnsi="Verdana" w:cs="Arial"/>
          <w:sz w:val="20"/>
          <w:szCs w:val="20"/>
          <w:lang w:val="es-MX"/>
        </w:rPr>
        <w:t xml:space="preserve">y </w:t>
      </w:r>
      <w:r w:rsidR="00DC507E">
        <w:rPr>
          <w:rFonts w:ascii="Verdana" w:hAnsi="Verdana" w:cs="Arial"/>
          <w:sz w:val="20"/>
          <w:szCs w:val="20"/>
          <w:lang w:val="es-MX"/>
        </w:rPr>
        <w:t>14</w:t>
      </w:r>
      <w:r>
        <w:rPr>
          <w:rFonts w:ascii="Verdana" w:hAnsi="Verdana" w:cs="Arial"/>
          <w:sz w:val="20"/>
          <w:szCs w:val="20"/>
          <w:lang w:val="es-MX"/>
        </w:rPr>
        <w:t xml:space="preserve">). Al respecto, el Presidente del Tribunal emitió una Resolución el 28 </w:t>
      </w:r>
      <w:r w:rsidR="00C32E4D">
        <w:rPr>
          <w:rFonts w:ascii="Verdana" w:hAnsi="Verdana" w:cs="Arial"/>
          <w:sz w:val="20"/>
          <w:szCs w:val="20"/>
          <w:lang w:val="es-MX"/>
        </w:rPr>
        <w:t xml:space="preserve">de ese mismo mes </w:t>
      </w:r>
      <w:r>
        <w:rPr>
          <w:rFonts w:ascii="Verdana" w:hAnsi="Verdana" w:cs="Arial"/>
          <w:sz w:val="20"/>
          <w:szCs w:val="20"/>
          <w:lang w:val="es-MX"/>
        </w:rPr>
        <w:t>(</w:t>
      </w:r>
      <w:r w:rsidR="00DC507E" w:rsidRPr="00506B11">
        <w:rPr>
          <w:rFonts w:ascii="Verdana" w:hAnsi="Verdana" w:cs="Arial"/>
          <w:i/>
          <w:sz w:val="20"/>
          <w:szCs w:val="20"/>
          <w:lang w:val="es-MX"/>
        </w:rPr>
        <w:t>supra</w:t>
      </w:r>
      <w:r w:rsidR="00DC507E">
        <w:rPr>
          <w:rFonts w:ascii="Verdana" w:hAnsi="Verdana" w:cs="Arial"/>
          <w:sz w:val="20"/>
          <w:szCs w:val="20"/>
          <w:lang w:val="es-MX"/>
        </w:rPr>
        <w:t xml:space="preserve"> Visto 12 e </w:t>
      </w:r>
      <w:r w:rsidRPr="006C4A5D">
        <w:rPr>
          <w:rFonts w:ascii="Verdana" w:hAnsi="Verdana" w:cs="Arial"/>
          <w:i/>
          <w:iCs/>
          <w:sz w:val="20"/>
          <w:szCs w:val="20"/>
          <w:lang w:val="es-MX"/>
        </w:rPr>
        <w:t>infra</w:t>
      </w:r>
      <w:r>
        <w:rPr>
          <w:rFonts w:ascii="Verdana" w:hAnsi="Verdana" w:cs="Arial"/>
          <w:sz w:val="20"/>
          <w:szCs w:val="20"/>
          <w:lang w:val="es-MX"/>
        </w:rPr>
        <w:t xml:space="preserve"> Considerando</w:t>
      </w:r>
      <w:r w:rsidR="00986596">
        <w:rPr>
          <w:rFonts w:ascii="Verdana" w:hAnsi="Verdana" w:cs="Arial"/>
          <w:sz w:val="20"/>
          <w:szCs w:val="20"/>
          <w:lang w:val="es-MX"/>
        </w:rPr>
        <w:t>s</w:t>
      </w:r>
      <w:r>
        <w:rPr>
          <w:rFonts w:ascii="Verdana" w:hAnsi="Verdana" w:cs="Arial"/>
          <w:sz w:val="20"/>
          <w:szCs w:val="20"/>
          <w:lang w:val="es-MX"/>
        </w:rPr>
        <w:t xml:space="preserve"> </w:t>
      </w:r>
      <w:r w:rsidR="00DC507E">
        <w:rPr>
          <w:rFonts w:ascii="Verdana" w:hAnsi="Verdana" w:cs="Arial"/>
          <w:sz w:val="20"/>
          <w:szCs w:val="20"/>
          <w:lang w:val="es-MX"/>
        </w:rPr>
        <w:t xml:space="preserve">16 </w:t>
      </w:r>
      <w:r w:rsidR="00986596">
        <w:rPr>
          <w:rFonts w:ascii="Verdana" w:hAnsi="Verdana" w:cs="Arial"/>
          <w:sz w:val="20"/>
          <w:szCs w:val="20"/>
          <w:lang w:val="es-MX"/>
        </w:rPr>
        <w:t xml:space="preserve">a </w:t>
      </w:r>
      <w:r w:rsidR="00DC507E">
        <w:rPr>
          <w:rFonts w:ascii="Verdana" w:hAnsi="Verdana" w:cs="Arial"/>
          <w:sz w:val="20"/>
          <w:szCs w:val="20"/>
          <w:lang w:val="es-MX"/>
        </w:rPr>
        <w:t>19</w:t>
      </w:r>
      <w:r>
        <w:rPr>
          <w:rFonts w:ascii="Verdana" w:hAnsi="Verdana" w:cs="Arial"/>
          <w:sz w:val="20"/>
          <w:szCs w:val="20"/>
          <w:lang w:val="es-MX"/>
        </w:rPr>
        <w:t xml:space="preserve">), en la cual </w:t>
      </w:r>
      <w:r>
        <w:rPr>
          <w:rFonts w:ascii="Verdana" w:hAnsi="Verdana"/>
          <w:sz w:val="20"/>
          <w:szCs w:val="20"/>
        </w:rPr>
        <w:t xml:space="preserve">adoptó medidas urgentes “hasta que el Pleno </w:t>
      </w:r>
      <w:r w:rsidR="00003859">
        <w:rPr>
          <w:rFonts w:ascii="Verdana" w:hAnsi="Verdana"/>
          <w:sz w:val="20"/>
          <w:szCs w:val="20"/>
        </w:rPr>
        <w:t>de la Corte Interamericana cono</w:t>
      </w:r>
      <w:r>
        <w:rPr>
          <w:rFonts w:ascii="Verdana" w:hAnsi="Verdana"/>
          <w:sz w:val="20"/>
          <w:szCs w:val="20"/>
        </w:rPr>
        <w:t>c</w:t>
      </w:r>
      <w:r w:rsidR="006C4A5D">
        <w:rPr>
          <w:rFonts w:ascii="Verdana" w:hAnsi="Verdana"/>
          <w:sz w:val="20"/>
          <w:szCs w:val="20"/>
        </w:rPr>
        <w:t>[iera]</w:t>
      </w:r>
      <w:r>
        <w:rPr>
          <w:rFonts w:ascii="Verdana" w:hAnsi="Verdana"/>
          <w:sz w:val="20"/>
          <w:szCs w:val="20"/>
        </w:rPr>
        <w:t xml:space="preserve"> y se pronunci</w:t>
      </w:r>
      <w:r w:rsidR="006C4A5D">
        <w:rPr>
          <w:rFonts w:ascii="Verdana" w:hAnsi="Verdana"/>
          <w:sz w:val="20"/>
          <w:szCs w:val="20"/>
        </w:rPr>
        <w:t>[ara]</w:t>
      </w:r>
      <w:r>
        <w:rPr>
          <w:rFonts w:ascii="Verdana" w:hAnsi="Verdana"/>
          <w:sz w:val="20"/>
          <w:szCs w:val="20"/>
        </w:rPr>
        <w:t xml:space="preserve"> sobre esta solicitud de medidas provisionales” y requirió información adicional al Estado a fin de que el Pleno </w:t>
      </w:r>
      <w:r w:rsidR="00DC507E">
        <w:rPr>
          <w:rFonts w:ascii="Verdana" w:hAnsi="Verdana"/>
          <w:sz w:val="20"/>
          <w:szCs w:val="20"/>
        </w:rPr>
        <w:t xml:space="preserve">del Tribunal </w:t>
      </w:r>
      <w:r>
        <w:rPr>
          <w:rFonts w:ascii="Verdana" w:hAnsi="Verdana"/>
          <w:sz w:val="20"/>
          <w:szCs w:val="20"/>
        </w:rPr>
        <w:t>c</w:t>
      </w:r>
      <w:r w:rsidR="006C4A5D">
        <w:rPr>
          <w:rFonts w:ascii="Verdana" w:hAnsi="Verdana"/>
          <w:sz w:val="20"/>
          <w:szCs w:val="20"/>
        </w:rPr>
        <w:t>ontara</w:t>
      </w:r>
      <w:r>
        <w:rPr>
          <w:rFonts w:ascii="Verdana" w:hAnsi="Verdana"/>
          <w:sz w:val="20"/>
          <w:szCs w:val="20"/>
        </w:rPr>
        <w:t xml:space="preserve"> con mayores elementos para pronunciarse al respecto. </w:t>
      </w:r>
    </w:p>
    <w:p w14:paraId="04087719" w14:textId="537125E1" w:rsidR="005E663D" w:rsidRPr="005E663D" w:rsidRDefault="00D320DA" w:rsidP="005E663D">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r>
        <w:rPr>
          <w:rFonts w:ascii="Verdana" w:hAnsi="Verdana" w:cs="Arial"/>
          <w:sz w:val="20"/>
          <w:szCs w:val="20"/>
          <w:lang w:val="es-MX"/>
        </w:rPr>
        <w:t>L</w:t>
      </w:r>
      <w:r w:rsidR="005E663D">
        <w:rPr>
          <w:rFonts w:ascii="Verdana" w:hAnsi="Verdana" w:cs="Arial"/>
          <w:sz w:val="20"/>
          <w:szCs w:val="20"/>
          <w:lang w:val="es-MX"/>
        </w:rPr>
        <w:t xml:space="preserve">a Corte estructurará </w:t>
      </w:r>
      <w:r w:rsidRPr="00A86F51">
        <w:rPr>
          <w:rFonts w:ascii="Verdana" w:hAnsi="Verdana" w:cs="Arial"/>
          <w:sz w:val="20"/>
          <w:szCs w:val="20"/>
          <w:lang w:val="es-MX"/>
        </w:rPr>
        <w:t>la presente Resolución</w:t>
      </w:r>
      <w:r>
        <w:rPr>
          <w:rFonts w:ascii="Verdana" w:hAnsi="Verdana" w:cs="Arial"/>
          <w:sz w:val="20"/>
          <w:szCs w:val="20"/>
          <w:lang w:val="es-MX"/>
        </w:rPr>
        <w:t xml:space="preserve"> </w:t>
      </w:r>
      <w:r w:rsidR="005E663D">
        <w:rPr>
          <w:rFonts w:ascii="Verdana" w:hAnsi="Verdana" w:cs="Arial"/>
          <w:sz w:val="20"/>
          <w:szCs w:val="20"/>
          <w:lang w:val="es-MX"/>
        </w:rPr>
        <w:t xml:space="preserve">en el siguiente orden: </w:t>
      </w:r>
    </w:p>
    <w:p w14:paraId="0D73C228" w14:textId="77777777" w:rsidR="005E663D" w:rsidRPr="005E663D" w:rsidRDefault="005E663D" w:rsidP="005E663D">
      <w:pPr>
        <w:pStyle w:val="TDC1"/>
        <w:tabs>
          <w:tab w:val="left" w:pos="660"/>
          <w:tab w:val="right" w:leader="dot" w:pos="8828"/>
        </w:tabs>
        <w:ind w:left="283"/>
        <w:jc w:val="both"/>
        <w:rPr>
          <w:rFonts w:ascii="Verdana" w:hAnsi="Verdana"/>
          <w:noProof/>
          <w:sz w:val="16"/>
          <w:szCs w:val="16"/>
        </w:rPr>
      </w:pPr>
      <w:r>
        <w:rPr>
          <w:rFonts w:ascii="Verdana" w:eastAsia="Times" w:hAnsi="Verdana"/>
          <w:sz w:val="16"/>
          <w:szCs w:val="16"/>
        </w:rPr>
        <w:fldChar w:fldCharType="begin"/>
      </w:r>
      <w:r w:rsidRPr="005E663D">
        <w:rPr>
          <w:rFonts w:ascii="Verdana" w:eastAsia="Times" w:hAnsi="Verdana"/>
          <w:sz w:val="16"/>
          <w:szCs w:val="16"/>
        </w:rPr>
        <w:instrText xml:space="preserve"> TOC \o "1-3" \h \z \u </w:instrText>
      </w:r>
      <w:r>
        <w:rPr>
          <w:rFonts w:ascii="Verdana" w:eastAsia="Times" w:hAnsi="Verdana"/>
          <w:sz w:val="16"/>
          <w:szCs w:val="16"/>
        </w:rPr>
        <w:fldChar w:fldCharType="separate"/>
      </w:r>
      <w:hyperlink w:anchor="_Toc17111742" w:history="1">
        <w:r w:rsidRPr="005E663D">
          <w:rPr>
            <w:rStyle w:val="Hipervnculo"/>
            <w:rFonts w:ascii="Verdana" w:hAnsi="Verdana"/>
            <w:i/>
            <w:noProof/>
            <w:sz w:val="16"/>
            <w:szCs w:val="16"/>
          </w:rPr>
          <w:t>A)</w:t>
        </w:r>
        <w:r w:rsidRPr="005E663D">
          <w:rPr>
            <w:rFonts w:ascii="Verdana" w:hAnsi="Verdana"/>
            <w:noProof/>
            <w:sz w:val="16"/>
            <w:szCs w:val="16"/>
          </w:rPr>
          <w:tab/>
        </w:r>
        <w:r w:rsidRPr="005E663D">
          <w:rPr>
            <w:rStyle w:val="Hipervnculo"/>
            <w:rFonts w:ascii="Verdana" w:hAnsi="Verdana"/>
            <w:i/>
            <w:noProof/>
            <w:sz w:val="16"/>
            <w:szCs w:val="16"/>
          </w:rPr>
          <w:t>Obligación de investigar, juzgar y, en su caso, sancionar ordenada en la Sentencia</w:t>
        </w:r>
        <w:r w:rsidRPr="005E663D">
          <w:rPr>
            <w:rFonts w:ascii="Verdana" w:hAnsi="Verdana"/>
            <w:noProof/>
            <w:webHidden/>
            <w:sz w:val="16"/>
            <w:szCs w:val="16"/>
          </w:rPr>
          <w:tab/>
        </w:r>
        <w:r w:rsidRPr="005E663D">
          <w:rPr>
            <w:rFonts w:ascii="Verdana" w:hAnsi="Verdana"/>
            <w:noProof/>
            <w:webHidden/>
            <w:sz w:val="16"/>
            <w:szCs w:val="16"/>
          </w:rPr>
          <w:fldChar w:fldCharType="begin"/>
        </w:r>
        <w:r w:rsidRPr="005E663D">
          <w:rPr>
            <w:rFonts w:ascii="Verdana" w:hAnsi="Verdana"/>
            <w:noProof/>
            <w:webHidden/>
            <w:sz w:val="16"/>
            <w:szCs w:val="16"/>
          </w:rPr>
          <w:instrText xml:space="preserve"> PAGEREF _Toc17111742 \h </w:instrText>
        </w:r>
        <w:r w:rsidRPr="005E663D">
          <w:rPr>
            <w:rFonts w:ascii="Verdana" w:hAnsi="Verdana"/>
            <w:noProof/>
            <w:webHidden/>
            <w:sz w:val="16"/>
            <w:szCs w:val="16"/>
          </w:rPr>
        </w:r>
        <w:r w:rsidRPr="005E663D">
          <w:rPr>
            <w:rFonts w:ascii="Verdana" w:hAnsi="Verdana"/>
            <w:noProof/>
            <w:webHidden/>
            <w:sz w:val="16"/>
            <w:szCs w:val="16"/>
          </w:rPr>
          <w:fldChar w:fldCharType="separate"/>
        </w:r>
        <w:r w:rsidR="001749D3">
          <w:rPr>
            <w:rFonts w:ascii="Verdana" w:hAnsi="Verdana"/>
            <w:noProof/>
            <w:webHidden/>
            <w:sz w:val="16"/>
            <w:szCs w:val="16"/>
          </w:rPr>
          <w:t>4</w:t>
        </w:r>
        <w:r w:rsidRPr="005E663D">
          <w:rPr>
            <w:rFonts w:ascii="Verdana" w:hAnsi="Verdana"/>
            <w:noProof/>
            <w:webHidden/>
            <w:sz w:val="16"/>
            <w:szCs w:val="16"/>
          </w:rPr>
          <w:fldChar w:fldCharType="end"/>
        </w:r>
      </w:hyperlink>
    </w:p>
    <w:p w14:paraId="2CEC2F75" w14:textId="77777777" w:rsidR="005E663D" w:rsidRPr="005E663D" w:rsidRDefault="005D36E3" w:rsidP="005E663D">
      <w:pPr>
        <w:pStyle w:val="TDC1"/>
        <w:tabs>
          <w:tab w:val="left" w:pos="660"/>
          <w:tab w:val="right" w:leader="dot" w:pos="8828"/>
        </w:tabs>
        <w:ind w:left="283"/>
        <w:jc w:val="both"/>
        <w:rPr>
          <w:rFonts w:ascii="Verdana" w:hAnsi="Verdana"/>
          <w:noProof/>
          <w:sz w:val="16"/>
          <w:szCs w:val="16"/>
        </w:rPr>
      </w:pPr>
      <w:hyperlink w:anchor="_Toc17111743" w:history="1">
        <w:r w:rsidR="005E663D" w:rsidRPr="005E663D">
          <w:rPr>
            <w:rStyle w:val="Hipervnculo"/>
            <w:rFonts w:ascii="Verdana" w:hAnsi="Verdana"/>
            <w:i/>
            <w:noProof/>
            <w:sz w:val="16"/>
            <w:szCs w:val="16"/>
          </w:rPr>
          <w:t>B)</w:t>
        </w:r>
        <w:r w:rsidR="005E663D" w:rsidRPr="005E663D">
          <w:rPr>
            <w:rFonts w:ascii="Verdana" w:hAnsi="Verdana"/>
            <w:noProof/>
            <w:sz w:val="16"/>
            <w:szCs w:val="16"/>
          </w:rPr>
          <w:tab/>
        </w:r>
        <w:r w:rsidR="005E663D" w:rsidRPr="005E663D">
          <w:rPr>
            <w:rStyle w:val="Hipervnculo"/>
            <w:rFonts w:ascii="Verdana" w:hAnsi="Verdana"/>
            <w:i/>
            <w:noProof/>
            <w:sz w:val="16"/>
            <w:szCs w:val="16"/>
          </w:rPr>
          <w:t>Solicitud de medidas provisionales presentada por los representantes de las víctimas y observaciones del Estado y la Comisión</w:t>
        </w:r>
        <w:r w:rsidR="005E663D" w:rsidRPr="005E663D">
          <w:rPr>
            <w:rFonts w:ascii="Verdana" w:hAnsi="Verdana"/>
            <w:noProof/>
            <w:webHidden/>
            <w:sz w:val="16"/>
            <w:szCs w:val="16"/>
          </w:rPr>
          <w:tab/>
        </w:r>
        <w:r w:rsidR="005E663D" w:rsidRPr="005E663D">
          <w:rPr>
            <w:rFonts w:ascii="Verdana" w:hAnsi="Verdana"/>
            <w:noProof/>
            <w:webHidden/>
            <w:sz w:val="16"/>
            <w:szCs w:val="16"/>
          </w:rPr>
          <w:fldChar w:fldCharType="begin"/>
        </w:r>
        <w:r w:rsidR="005E663D" w:rsidRPr="005E663D">
          <w:rPr>
            <w:rFonts w:ascii="Verdana" w:hAnsi="Verdana"/>
            <w:noProof/>
            <w:webHidden/>
            <w:sz w:val="16"/>
            <w:szCs w:val="16"/>
          </w:rPr>
          <w:instrText xml:space="preserve"> PAGEREF _Toc17111743 \h </w:instrText>
        </w:r>
        <w:r w:rsidR="005E663D" w:rsidRPr="005E663D">
          <w:rPr>
            <w:rFonts w:ascii="Verdana" w:hAnsi="Verdana"/>
            <w:noProof/>
            <w:webHidden/>
            <w:sz w:val="16"/>
            <w:szCs w:val="16"/>
          </w:rPr>
        </w:r>
        <w:r w:rsidR="005E663D" w:rsidRPr="005E663D">
          <w:rPr>
            <w:rFonts w:ascii="Verdana" w:hAnsi="Verdana"/>
            <w:noProof/>
            <w:webHidden/>
            <w:sz w:val="16"/>
            <w:szCs w:val="16"/>
          </w:rPr>
          <w:fldChar w:fldCharType="separate"/>
        </w:r>
        <w:r w:rsidR="001749D3">
          <w:rPr>
            <w:rFonts w:ascii="Verdana" w:hAnsi="Verdana"/>
            <w:noProof/>
            <w:webHidden/>
            <w:sz w:val="16"/>
            <w:szCs w:val="16"/>
          </w:rPr>
          <w:t>8</w:t>
        </w:r>
        <w:r w:rsidR="005E663D" w:rsidRPr="005E663D">
          <w:rPr>
            <w:rFonts w:ascii="Verdana" w:hAnsi="Verdana"/>
            <w:noProof/>
            <w:webHidden/>
            <w:sz w:val="16"/>
            <w:szCs w:val="16"/>
          </w:rPr>
          <w:fldChar w:fldCharType="end"/>
        </w:r>
      </w:hyperlink>
    </w:p>
    <w:p w14:paraId="7BE55472" w14:textId="77777777" w:rsidR="005E663D" w:rsidRPr="005E663D" w:rsidRDefault="005D36E3" w:rsidP="005E663D">
      <w:pPr>
        <w:pStyle w:val="TDC1"/>
        <w:tabs>
          <w:tab w:val="left" w:pos="660"/>
          <w:tab w:val="right" w:leader="dot" w:pos="8828"/>
        </w:tabs>
        <w:ind w:left="283"/>
        <w:jc w:val="both"/>
        <w:rPr>
          <w:rFonts w:ascii="Verdana" w:hAnsi="Verdana"/>
          <w:noProof/>
          <w:sz w:val="16"/>
          <w:szCs w:val="16"/>
        </w:rPr>
      </w:pPr>
      <w:hyperlink w:anchor="_Toc17111744" w:history="1">
        <w:r w:rsidR="005E663D" w:rsidRPr="005E663D">
          <w:rPr>
            <w:rStyle w:val="Hipervnculo"/>
            <w:rFonts w:ascii="Verdana" w:hAnsi="Verdana"/>
            <w:i/>
            <w:noProof/>
            <w:sz w:val="16"/>
            <w:szCs w:val="16"/>
          </w:rPr>
          <w:t>C)</w:t>
        </w:r>
        <w:r w:rsidR="005E663D" w:rsidRPr="005E663D">
          <w:rPr>
            <w:rFonts w:ascii="Verdana" w:hAnsi="Verdana"/>
            <w:noProof/>
            <w:sz w:val="16"/>
            <w:szCs w:val="16"/>
          </w:rPr>
          <w:tab/>
        </w:r>
        <w:r w:rsidR="005E663D" w:rsidRPr="005E663D">
          <w:rPr>
            <w:rStyle w:val="Hipervnculo"/>
            <w:rFonts w:ascii="Verdana" w:hAnsi="Verdana"/>
            <w:i/>
            <w:noProof/>
            <w:sz w:val="16"/>
            <w:szCs w:val="16"/>
          </w:rPr>
          <w:t>Resolución de medidas urgentes y supervisión de cumplimiento de Sentencia emitida por el Presidente del Tribunal el 28 de mayo de 2019</w:t>
        </w:r>
        <w:r w:rsidR="005E663D" w:rsidRPr="005E663D">
          <w:rPr>
            <w:rFonts w:ascii="Verdana" w:hAnsi="Verdana"/>
            <w:noProof/>
            <w:webHidden/>
            <w:sz w:val="16"/>
            <w:szCs w:val="16"/>
          </w:rPr>
          <w:tab/>
        </w:r>
        <w:r w:rsidR="005E663D" w:rsidRPr="005E663D">
          <w:rPr>
            <w:rFonts w:ascii="Verdana" w:hAnsi="Verdana"/>
            <w:noProof/>
            <w:webHidden/>
            <w:sz w:val="16"/>
            <w:szCs w:val="16"/>
          </w:rPr>
          <w:fldChar w:fldCharType="begin"/>
        </w:r>
        <w:r w:rsidR="005E663D" w:rsidRPr="005E663D">
          <w:rPr>
            <w:rFonts w:ascii="Verdana" w:hAnsi="Verdana"/>
            <w:noProof/>
            <w:webHidden/>
            <w:sz w:val="16"/>
            <w:szCs w:val="16"/>
          </w:rPr>
          <w:instrText xml:space="preserve"> PAGEREF _Toc17111744 \h </w:instrText>
        </w:r>
        <w:r w:rsidR="005E663D" w:rsidRPr="005E663D">
          <w:rPr>
            <w:rFonts w:ascii="Verdana" w:hAnsi="Verdana"/>
            <w:noProof/>
            <w:webHidden/>
            <w:sz w:val="16"/>
            <w:szCs w:val="16"/>
          </w:rPr>
        </w:r>
        <w:r w:rsidR="005E663D" w:rsidRPr="005E663D">
          <w:rPr>
            <w:rFonts w:ascii="Verdana" w:hAnsi="Verdana"/>
            <w:noProof/>
            <w:webHidden/>
            <w:sz w:val="16"/>
            <w:szCs w:val="16"/>
          </w:rPr>
          <w:fldChar w:fldCharType="separate"/>
        </w:r>
        <w:r w:rsidR="001749D3">
          <w:rPr>
            <w:rFonts w:ascii="Verdana" w:hAnsi="Verdana"/>
            <w:noProof/>
            <w:webHidden/>
            <w:sz w:val="16"/>
            <w:szCs w:val="16"/>
          </w:rPr>
          <w:t>8</w:t>
        </w:r>
        <w:r w:rsidR="005E663D" w:rsidRPr="005E663D">
          <w:rPr>
            <w:rFonts w:ascii="Verdana" w:hAnsi="Verdana"/>
            <w:noProof/>
            <w:webHidden/>
            <w:sz w:val="16"/>
            <w:szCs w:val="16"/>
          </w:rPr>
          <w:fldChar w:fldCharType="end"/>
        </w:r>
      </w:hyperlink>
    </w:p>
    <w:p w14:paraId="27E59B6B" w14:textId="77777777" w:rsidR="005E663D" w:rsidRPr="005E663D" w:rsidRDefault="005D36E3" w:rsidP="005E663D">
      <w:pPr>
        <w:pStyle w:val="TDC1"/>
        <w:tabs>
          <w:tab w:val="left" w:pos="660"/>
          <w:tab w:val="right" w:leader="dot" w:pos="8828"/>
        </w:tabs>
        <w:ind w:left="283"/>
        <w:jc w:val="both"/>
        <w:rPr>
          <w:rFonts w:ascii="Verdana" w:hAnsi="Verdana"/>
          <w:noProof/>
          <w:sz w:val="16"/>
          <w:szCs w:val="16"/>
        </w:rPr>
      </w:pPr>
      <w:hyperlink w:anchor="_Toc17111745" w:history="1">
        <w:r w:rsidR="005E663D" w:rsidRPr="005E663D">
          <w:rPr>
            <w:rStyle w:val="Hipervnculo"/>
            <w:rFonts w:ascii="Verdana" w:hAnsi="Verdana"/>
            <w:i/>
            <w:noProof/>
            <w:sz w:val="16"/>
            <w:szCs w:val="16"/>
          </w:rPr>
          <w:t>D)</w:t>
        </w:r>
        <w:r w:rsidR="005E663D" w:rsidRPr="005E663D">
          <w:rPr>
            <w:rFonts w:ascii="Verdana" w:hAnsi="Verdana"/>
            <w:noProof/>
            <w:sz w:val="16"/>
            <w:szCs w:val="16"/>
          </w:rPr>
          <w:tab/>
        </w:r>
        <w:r w:rsidR="005E663D" w:rsidRPr="005E663D">
          <w:rPr>
            <w:rStyle w:val="Hipervnculo"/>
            <w:rFonts w:ascii="Verdana" w:hAnsi="Verdana"/>
            <w:i/>
            <w:noProof/>
            <w:sz w:val="16"/>
            <w:szCs w:val="16"/>
          </w:rPr>
          <w:t>Información y argumentos presentados por las partes con posterioridad a la Resolución del Presidente del Tribunal de 28 de mayo de 2019</w:t>
        </w:r>
        <w:r w:rsidR="005E663D" w:rsidRPr="005E663D">
          <w:rPr>
            <w:rFonts w:ascii="Verdana" w:hAnsi="Verdana"/>
            <w:noProof/>
            <w:webHidden/>
            <w:sz w:val="16"/>
            <w:szCs w:val="16"/>
          </w:rPr>
          <w:tab/>
        </w:r>
        <w:r w:rsidR="005E663D" w:rsidRPr="005E663D">
          <w:rPr>
            <w:rFonts w:ascii="Verdana" w:hAnsi="Verdana"/>
            <w:noProof/>
            <w:webHidden/>
            <w:sz w:val="16"/>
            <w:szCs w:val="16"/>
          </w:rPr>
          <w:fldChar w:fldCharType="begin"/>
        </w:r>
        <w:r w:rsidR="005E663D" w:rsidRPr="005E663D">
          <w:rPr>
            <w:rFonts w:ascii="Verdana" w:hAnsi="Verdana"/>
            <w:noProof/>
            <w:webHidden/>
            <w:sz w:val="16"/>
            <w:szCs w:val="16"/>
          </w:rPr>
          <w:instrText xml:space="preserve"> PAGEREF _Toc17111745 \h </w:instrText>
        </w:r>
        <w:r w:rsidR="005E663D" w:rsidRPr="005E663D">
          <w:rPr>
            <w:rFonts w:ascii="Verdana" w:hAnsi="Verdana"/>
            <w:noProof/>
            <w:webHidden/>
            <w:sz w:val="16"/>
            <w:szCs w:val="16"/>
          </w:rPr>
        </w:r>
        <w:r w:rsidR="005E663D" w:rsidRPr="005E663D">
          <w:rPr>
            <w:rFonts w:ascii="Verdana" w:hAnsi="Verdana"/>
            <w:noProof/>
            <w:webHidden/>
            <w:sz w:val="16"/>
            <w:szCs w:val="16"/>
          </w:rPr>
          <w:fldChar w:fldCharType="separate"/>
        </w:r>
        <w:r w:rsidR="001749D3">
          <w:rPr>
            <w:rFonts w:ascii="Verdana" w:hAnsi="Verdana"/>
            <w:noProof/>
            <w:webHidden/>
            <w:sz w:val="16"/>
            <w:szCs w:val="16"/>
          </w:rPr>
          <w:t>9</w:t>
        </w:r>
        <w:r w:rsidR="005E663D" w:rsidRPr="005E663D">
          <w:rPr>
            <w:rFonts w:ascii="Verdana" w:hAnsi="Verdana"/>
            <w:noProof/>
            <w:webHidden/>
            <w:sz w:val="16"/>
            <w:szCs w:val="16"/>
          </w:rPr>
          <w:fldChar w:fldCharType="end"/>
        </w:r>
      </w:hyperlink>
    </w:p>
    <w:p w14:paraId="2E88110B" w14:textId="77777777" w:rsidR="005E663D" w:rsidRPr="005E663D" w:rsidRDefault="005D36E3" w:rsidP="005E663D">
      <w:pPr>
        <w:pStyle w:val="TDC1"/>
        <w:tabs>
          <w:tab w:val="left" w:pos="660"/>
          <w:tab w:val="right" w:leader="dot" w:pos="8828"/>
        </w:tabs>
        <w:ind w:left="283"/>
        <w:jc w:val="both"/>
        <w:rPr>
          <w:rFonts w:ascii="Verdana" w:hAnsi="Verdana"/>
          <w:noProof/>
          <w:sz w:val="16"/>
          <w:szCs w:val="16"/>
        </w:rPr>
      </w:pPr>
      <w:hyperlink w:anchor="_Toc17111746" w:history="1">
        <w:r w:rsidR="005E663D" w:rsidRPr="005E663D">
          <w:rPr>
            <w:rStyle w:val="Hipervnculo"/>
            <w:rFonts w:ascii="Verdana" w:hAnsi="Verdana"/>
            <w:i/>
            <w:noProof/>
            <w:sz w:val="16"/>
            <w:szCs w:val="16"/>
          </w:rPr>
          <w:t>E)</w:t>
        </w:r>
        <w:r w:rsidR="005E663D" w:rsidRPr="005E663D">
          <w:rPr>
            <w:rFonts w:ascii="Verdana" w:hAnsi="Verdana"/>
            <w:noProof/>
            <w:sz w:val="16"/>
            <w:szCs w:val="16"/>
          </w:rPr>
          <w:tab/>
        </w:r>
        <w:r w:rsidR="005E663D" w:rsidRPr="005E663D">
          <w:rPr>
            <w:rStyle w:val="Hipervnculo"/>
            <w:rFonts w:ascii="Verdana" w:hAnsi="Verdana"/>
            <w:i/>
            <w:noProof/>
            <w:sz w:val="16"/>
            <w:szCs w:val="16"/>
          </w:rPr>
          <w:t>Consideraciones de la Corte</w:t>
        </w:r>
        <w:r w:rsidR="005E663D" w:rsidRPr="005E663D">
          <w:rPr>
            <w:rFonts w:ascii="Verdana" w:hAnsi="Verdana"/>
            <w:noProof/>
            <w:webHidden/>
            <w:sz w:val="16"/>
            <w:szCs w:val="16"/>
          </w:rPr>
          <w:tab/>
        </w:r>
        <w:r w:rsidR="005E663D" w:rsidRPr="005E663D">
          <w:rPr>
            <w:rFonts w:ascii="Verdana" w:hAnsi="Verdana"/>
            <w:noProof/>
            <w:webHidden/>
            <w:sz w:val="16"/>
            <w:szCs w:val="16"/>
          </w:rPr>
          <w:fldChar w:fldCharType="begin"/>
        </w:r>
        <w:r w:rsidR="005E663D" w:rsidRPr="005E663D">
          <w:rPr>
            <w:rFonts w:ascii="Verdana" w:hAnsi="Verdana"/>
            <w:noProof/>
            <w:webHidden/>
            <w:sz w:val="16"/>
            <w:szCs w:val="16"/>
          </w:rPr>
          <w:instrText xml:space="preserve"> PAGEREF _Toc17111746 \h </w:instrText>
        </w:r>
        <w:r w:rsidR="005E663D" w:rsidRPr="005E663D">
          <w:rPr>
            <w:rFonts w:ascii="Verdana" w:hAnsi="Verdana"/>
            <w:noProof/>
            <w:webHidden/>
            <w:sz w:val="16"/>
            <w:szCs w:val="16"/>
          </w:rPr>
        </w:r>
        <w:r w:rsidR="005E663D" w:rsidRPr="005E663D">
          <w:rPr>
            <w:rFonts w:ascii="Verdana" w:hAnsi="Verdana"/>
            <w:noProof/>
            <w:webHidden/>
            <w:sz w:val="16"/>
            <w:szCs w:val="16"/>
          </w:rPr>
          <w:fldChar w:fldCharType="separate"/>
        </w:r>
        <w:r w:rsidR="001749D3">
          <w:rPr>
            <w:rFonts w:ascii="Verdana" w:hAnsi="Verdana"/>
            <w:noProof/>
            <w:webHidden/>
            <w:sz w:val="16"/>
            <w:szCs w:val="16"/>
          </w:rPr>
          <w:t>14</w:t>
        </w:r>
        <w:r w:rsidR="005E663D" w:rsidRPr="005E663D">
          <w:rPr>
            <w:rFonts w:ascii="Verdana" w:hAnsi="Verdana"/>
            <w:noProof/>
            <w:webHidden/>
            <w:sz w:val="16"/>
            <w:szCs w:val="16"/>
          </w:rPr>
          <w:fldChar w:fldCharType="end"/>
        </w:r>
      </w:hyperlink>
    </w:p>
    <w:p w14:paraId="4363BCB1" w14:textId="77777777" w:rsidR="004769E8" w:rsidRDefault="005E663D" w:rsidP="005E663D">
      <w:pPr>
        <w:pStyle w:val="Prrafodelista"/>
        <w:autoSpaceDE w:val="0"/>
        <w:autoSpaceDN w:val="0"/>
        <w:adjustRightInd w:val="0"/>
        <w:spacing w:before="120" w:after="120" w:line="240" w:lineRule="auto"/>
        <w:ind w:left="283"/>
        <w:contextualSpacing w:val="0"/>
        <w:jc w:val="both"/>
        <w:rPr>
          <w:rFonts w:ascii="Verdana" w:eastAsia="Times" w:hAnsi="Verdana"/>
          <w:sz w:val="20"/>
          <w:szCs w:val="20"/>
        </w:rPr>
      </w:pPr>
      <w:r>
        <w:rPr>
          <w:rFonts w:ascii="Verdana" w:eastAsia="Times" w:hAnsi="Verdana"/>
          <w:sz w:val="20"/>
          <w:szCs w:val="20"/>
        </w:rPr>
        <w:fldChar w:fldCharType="end"/>
      </w:r>
    </w:p>
    <w:p w14:paraId="2B72A89A" w14:textId="55431614" w:rsidR="004769E8" w:rsidRPr="009A7584" w:rsidRDefault="004769E8" w:rsidP="005E663D">
      <w:pPr>
        <w:pStyle w:val="Prrafodelista"/>
        <w:numPr>
          <w:ilvl w:val="0"/>
          <w:numId w:val="15"/>
        </w:numPr>
        <w:autoSpaceDE w:val="0"/>
        <w:autoSpaceDN w:val="0"/>
        <w:adjustRightInd w:val="0"/>
        <w:spacing w:before="120" w:after="120" w:line="240" w:lineRule="auto"/>
        <w:contextualSpacing w:val="0"/>
        <w:jc w:val="both"/>
        <w:outlineLvl w:val="0"/>
        <w:rPr>
          <w:rFonts w:ascii="Verdana" w:hAnsi="Verdana"/>
          <w:b/>
          <w:i/>
          <w:sz w:val="20"/>
          <w:szCs w:val="20"/>
        </w:rPr>
      </w:pPr>
      <w:bookmarkStart w:id="6" w:name="_Toc17111742"/>
      <w:r>
        <w:rPr>
          <w:rFonts w:ascii="Verdana" w:hAnsi="Verdana"/>
          <w:b/>
          <w:i/>
          <w:sz w:val="20"/>
          <w:szCs w:val="20"/>
        </w:rPr>
        <w:t>Obligación de investigar, juzgar y, en su caso, sancionar ordenada en la Sentencia</w:t>
      </w:r>
      <w:bookmarkEnd w:id="6"/>
    </w:p>
    <w:p w14:paraId="62C810FF" w14:textId="698E0E97" w:rsidR="00FA4561" w:rsidRPr="00E652DA" w:rsidRDefault="0090778A" w:rsidP="001E6BF9">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r>
        <w:rPr>
          <w:rFonts w:ascii="Verdana" w:hAnsi="Verdana" w:cs="Arial"/>
          <w:sz w:val="20"/>
          <w:szCs w:val="20"/>
          <w:lang w:val="es-MX"/>
        </w:rPr>
        <w:t xml:space="preserve">En </w:t>
      </w:r>
      <w:r>
        <w:rPr>
          <w:rFonts w:ascii="Verdana" w:hAnsi="Verdana"/>
          <w:sz w:val="20"/>
          <w:szCs w:val="20"/>
        </w:rPr>
        <w:t xml:space="preserve">el </w:t>
      </w:r>
      <w:r w:rsidRPr="0090778A">
        <w:rPr>
          <w:rFonts w:ascii="Verdana" w:hAnsi="Verdana"/>
          <w:sz w:val="20"/>
          <w:szCs w:val="20"/>
        </w:rPr>
        <w:t xml:space="preserve">punto dispositivo tercero </w:t>
      </w:r>
      <w:r>
        <w:rPr>
          <w:rFonts w:ascii="Verdana" w:hAnsi="Verdana"/>
          <w:sz w:val="20"/>
          <w:szCs w:val="20"/>
        </w:rPr>
        <w:t xml:space="preserve">de </w:t>
      </w:r>
      <w:r>
        <w:rPr>
          <w:rFonts w:ascii="Verdana" w:hAnsi="Verdana" w:cs="Arial"/>
          <w:sz w:val="20"/>
          <w:szCs w:val="20"/>
          <w:lang w:val="es-MX"/>
        </w:rPr>
        <w:t xml:space="preserve">la Sentencia que emitió la Corte en el </w:t>
      </w:r>
      <w:r w:rsidR="00CE43A6" w:rsidRPr="0090778A">
        <w:rPr>
          <w:rFonts w:ascii="Verdana" w:hAnsi="Verdana"/>
          <w:sz w:val="20"/>
          <w:szCs w:val="20"/>
        </w:rPr>
        <w:t xml:space="preserve">caso </w:t>
      </w:r>
      <w:r w:rsidR="00CE43A6" w:rsidRPr="0090778A">
        <w:rPr>
          <w:rFonts w:ascii="Verdana" w:hAnsi="Verdana"/>
          <w:i/>
          <w:sz w:val="20"/>
          <w:szCs w:val="20"/>
        </w:rPr>
        <w:t>Masacres de El Mozote y lugares aledaños</w:t>
      </w:r>
      <w:r w:rsidR="00CE43A6" w:rsidRPr="0090778A">
        <w:rPr>
          <w:rFonts w:ascii="Verdana" w:hAnsi="Verdana"/>
          <w:sz w:val="20"/>
          <w:szCs w:val="20"/>
        </w:rPr>
        <w:t xml:space="preserve"> (</w:t>
      </w:r>
      <w:r w:rsidR="00CE43A6" w:rsidRPr="0090778A">
        <w:rPr>
          <w:rFonts w:ascii="Verdana" w:hAnsi="Verdana"/>
          <w:i/>
          <w:sz w:val="20"/>
          <w:szCs w:val="20"/>
        </w:rPr>
        <w:t xml:space="preserve">supra </w:t>
      </w:r>
      <w:r w:rsidR="00CE43A6" w:rsidRPr="0090778A">
        <w:rPr>
          <w:rFonts w:ascii="Verdana" w:hAnsi="Verdana"/>
          <w:sz w:val="20"/>
          <w:szCs w:val="20"/>
        </w:rPr>
        <w:t xml:space="preserve">Visto </w:t>
      </w:r>
      <w:r w:rsidR="00CE43A6" w:rsidRPr="0090778A">
        <w:rPr>
          <w:rFonts w:ascii="Verdana" w:hAnsi="Verdana"/>
          <w:sz w:val="20"/>
          <w:szCs w:val="20"/>
        </w:rPr>
        <w:fldChar w:fldCharType="begin"/>
      </w:r>
      <w:r w:rsidR="00CE43A6" w:rsidRPr="0090778A">
        <w:rPr>
          <w:rFonts w:ascii="Verdana" w:hAnsi="Verdana"/>
          <w:sz w:val="20"/>
          <w:szCs w:val="20"/>
        </w:rPr>
        <w:instrText xml:space="preserve"> REF _Ref3224330 \r \h  \* MERGEFORMAT </w:instrText>
      </w:r>
      <w:r w:rsidR="00CE43A6" w:rsidRPr="0090778A">
        <w:rPr>
          <w:rFonts w:ascii="Verdana" w:hAnsi="Verdana"/>
          <w:sz w:val="20"/>
          <w:szCs w:val="20"/>
        </w:rPr>
      </w:r>
      <w:r w:rsidR="00CE43A6" w:rsidRPr="0090778A">
        <w:rPr>
          <w:rFonts w:ascii="Verdana" w:hAnsi="Verdana"/>
          <w:sz w:val="20"/>
          <w:szCs w:val="20"/>
        </w:rPr>
        <w:fldChar w:fldCharType="separate"/>
      </w:r>
      <w:r w:rsidR="001749D3">
        <w:rPr>
          <w:rFonts w:ascii="Verdana" w:hAnsi="Verdana"/>
          <w:sz w:val="20"/>
          <w:szCs w:val="20"/>
        </w:rPr>
        <w:t>1</w:t>
      </w:r>
      <w:r w:rsidR="00CE43A6" w:rsidRPr="0090778A">
        <w:rPr>
          <w:rFonts w:ascii="Verdana" w:hAnsi="Verdana"/>
          <w:sz w:val="20"/>
          <w:szCs w:val="20"/>
        </w:rPr>
        <w:fldChar w:fldCharType="end"/>
      </w:r>
      <w:r w:rsidR="00CE43A6" w:rsidRPr="0090778A">
        <w:rPr>
          <w:rFonts w:ascii="Verdana" w:hAnsi="Verdana"/>
          <w:sz w:val="20"/>
          <w:szCs w:val="20"/>
        </w:rPr>
        <w:t xml:space="preserve">), </w:t>
      </w:r>
      <w:r>
        <w:rPr>
          <w:rFonts w:ascii="Verdana" w:hAnsi="Verdana"/>
          <w:sz w:val="20"/>
          <w:szCs w:val="20"/>
        </w:rPr>
        <w:t xml:space="preserve">se </w:t>
      </w:r>
      <w:r w:rsidR="00CE43A6" w:rsidRPr="0090778A">
        <w:rPr>
          <w:rFonts w:ascii="Verdana" w:hAnsi="Verdana"/>
          <w:sz w:val="20"/>
          <w:szCs w:val="20"/>
        </w:rPr>
        <w:t xml:space="preserve">ordenó </w:t>
      </w:r>
      <w:r>
        <w:rPr>
          <w:rFonts w:ascii="Verdana" w:hAnsi="Verdana"/>
          <w:sz w:val="20"/>
          <w:szCs w:val="20"/>
        </w:rPr>
        <w:t>al</w:t>
      </w:r>
      <w:r w:rsidR="00CE43A6" w:rsidRPr="0090778A">
        <w:rPr>
          <w:rFonts w:ascii="Verdana" w:hAnsi="Verdana"/>
          <w:sz w:val="20"/>
          <w:szCs w:val="20"/>
        </w:rPr>
        <w:t xml:space="preserve"> Estado “</w:t>
      </w:r>
      <w:r w:rsidR="00CE43A6" w:rsidRPr="0090778A">
        <w:rPr>
          <w:rFonts w:ascii="Verdana" w:hAnsi="Verdana"/>
          <w:sz w:val="20"/>
          <w:szCs w:val="20"/>
          <w:lang w:val="es-MX"/>
        </w:rPr>
        <w:t xml:space="preserve">iniciar, impulsar, reabrir, dirigir, continuar y concluir, según corresponda, </w:t>
      </w:r>
      <w:r w:rsidR="00CE43A6" w:rsidRPr="0090778A">
        <w:rPr>
          <w:rFonts w:ascii="Verdana" w:eastAsia="MS Mincho" w:hAnsi="Verdana" w:cs="Times New Roman"/>
          <w:sz w:val="20"/>
          <w:szCs w:val="20"/>
        </w:rPr>
        <w:t xml:space="preserve">con la mayor diligencia, </w:t>
      </w:r>
      <w:r w:rsidR="00CE43A6" w:rsidRPr="0090778A">
        <w:rPr>
          <w:rFonts w:ascii="Verdana" w:hAnsi="Verdana"/>
          <w:sz w:val="20"/>
          <w:szCs w:val="20"/>
          <w:lang w:val="es-MX"/>
        </w:rPr>
        <w:t xml:space="preserve">las investigaciones de todos los hechos que originaron las violaciones declaradas en la presente Sentencia, con el propósito de identificar, juzgar </w:t>
      </w:r>
      <w:r w:rsidR="00CE43A6" w:rsidRPr="0090778A">
        <w:rPr>
          <w:rFonts w:ascii="Verdana" w:eastAsia="Times" w:hAnsi="Verdana" w:cs="Verdana"/>
          <w:sz w:val="20"/>
          <w:szCs w:val="20"/>
        </w:rPr>
        <w:t>y, en su caso, sancionar a los responsables</w:t>
      </w:r>
      <w:r w:rsidR="00CE43A6" w:rsidRPr="0090778A">
        <w:rPr>
          <w:rFonts w:ascii="Verdana" w:hAnsi="Verdana"/>
          <w:sz w:val="20"/>
          <w:szCs w:val="20"/>
          <w:lang w:val="es-MX"/>
        </w:rPr>
        <w:t xml:space="preserve">, </w:t>
      </w:r>
      <w:r w:rsidR="00CE43A6" w:rsidRPr="0090778A">
        <w:rPr>
          <w:rFonts w:ascii="Verdana" w:eastAsia="Times" w:hAnsi="Verdana"/>
          <w:sz w:val="20"/>
          <w:szCs w:val="20"/>
        </w:rPr>
        <w:t>de conformidad con lo establecido en los párrafos</w:t>
      </w:r>
      <w:r>
        <w:rPr>
          <w:rFonts w:ascii="Verdana" w:eastAsia="Times" w:hAnsi="Verdana"/>
          <w:sz w:val="20"/>
          <w:szCs w:val="20"/>
        </w:rPr>
        <w:t xml:space="preserve"> 315 a 321 de [esta] Sentencia”</w:t>
      </w:r>
      <w:r w:rsidR="00FA4561" w:rsidRPr="0090778A">
        <w:rPr>
          <w:rFonts w:ascii="Verdana" w:eastAsia="Times" w:hAnsi="Verdana"/>
          <w:sz w:val="20"/>
          <w:szCs w:val="20"/>
        </w:rPr>
        <w:t xml:space="preserve">. </w:t>
      </w:r>
      <w:r w:rsidR="00E652DA" w:rsidRPr="00F91515">
        <w:rPr>
          <w:rFonts w:ascii="Verdana" w:eastAsia="Times" w:hAnsi="Verdana"/>
          <w:sz w:val="20"/>
          <w:szCs w:val="20"/>
        </w:rPr>
        <w:t xml:space="preserve">Para ello, estableció que </w:t>
      </w:r>
      <w:r w:rsidR="00DC507E">
        <w:rPr>
          <w:rFonts w:ascii="Verdana" w:eastAsia="Times" w:hAnsi="Verdana"/>
          <w:sz w:val="20"/>
          <w:szCs w:val="20"/>
        </w:rPr>
        <w:t>El Salvador</w:t>
      </w:r>
      <w:r w:rsidR="00E652DA" w:rsidRPr="00F91515">
        <w:rPr>
          <w:rFonts w:ascii="Verdana" w:eastAsia="Times" w:hAnsi="Verdana"/>
          <w:sz w:val="20"/>
          <w:szCs w:val="20"/>
        </w:rPr>
        <w:t xml:space="preserve"> debía “</w:t>
      </w:r>
      <w:r w:rsidR="00E652DA" w:rsidRPr="00F91515">
        <w:rPr>
          <w:rFonts w:ascii="Verdana" w:eastAsia="MS Mincho" w:hAnsi="Verdana" w:cs="Times New Roman"/>
          <w:sz w:val="20"/>
          <w:szCs w:val="20"/>
        </w:rPr>
        <w:t xml:space="preserve">remover todos los obstáculos </w:t>
      </w:r>
      <w:r w:rsidR="00E652DA" w:rsidRPr="00F91515">
        <w:rPr>
          <w:rFonts w:ascii="Verdana" w:eastAsia="MS Mincho" w:hAnsi="Verdana" w:cs="Times New Roman"/>
          <w:i/>
          <w:iCs/>
          <w:sz w:val="20"/>
          <w:szCs w:val="20"/>
        </w:rPr>
        <w:t xml:space="preserve">de facto </w:t>
      </w:r>
      <w:r w:rsidR="00E652DA" w:rsidRPr="00F91515">
        <w:rPr>
          <w:rFonts w:ascii="Verdana" w:eastAsia="MS Mincho" w:hAnsi="Verdana" w:cs="Times New Roman"/>
          <w:iCs/>
          <w:sz w:val="20"/>
          <w:szCs w:val="20"/>
        </w:rPr>
        <w:t>y</w:t>
      </w:r>
      <w:r w:rsidR="00E652DA" w:rsidRPr="00F91515">
        <w:rPr>
          <w:rFonts w:ascii="Verdana" w:eastAsia="MS Mincho" w:hAnsi="Verdana" w:cs="Times New Roman"/>
          <w:i/>
          <w:iCs/>
          <w:sz w:val="20"/>
          <w:szCs w:val="20"/>
        </w:rPr>
        <w:t xml:space="preserve"> de jure</w:t>
      </w:r>
      <w:r w:rsidR="00E652DA" w:rsidRPr="00F91515">
        <w:rPr>
          <w:rFonts w:ascii="Verdana" w:eastAsia="MS Mincho" w:hAnsi="Verdana" w:cs="Times New Roman"/>
          <w:sz w:val="20"/>
          <w:szCs w:val="20"/>
        </w:rPr>
        <w:t xml:space="preserve"> </w:t>
      </w:r>
      <w:r w:rsidR="00E652DA" w:rsidRPr="00F91515">
        <w:rPr>
          <w:rFonts w:ascii="Verdana" w:eastAsia="MS Mincho" w:hAnsi="Verdana" w:cs="Times New Roman"/>
          <w:sz w:val="20"/>
          <w:szCs w:val="20"/>
          <w:lang w:bidi="en-US"/>
        </w:rPr>
        <w:t>que mantiene</w:t>
      </w:r>
      <w:r w:rsidR="00E652DA" w:rsidRPr="00F91515">
        <w:rPr>
          <w:rFonts w:ascii="Verdana" w:eastAsia="MS Mincho" w:hAnsi="Verdana" w:cs="Times New Roman"/>
          <w:sz w:val="20"/>
          <w:szCs w:val="20"/>
        </w:rPr>
        <w:t>n la impunidad total en este</w:t>
      </w:r>
      <w:r w:rsidR="00E652DA" w:rsidRPr="00F91515">
        <w:rPr>
          <w:rFonts w:ascii="Verdana" w:eastAsia="MS Mincho" w:hAnsi="Verdana" w:cs="Times New Roman"/>
          <w:sz w:val="20"/>
          <w:szCs w:val="20"/>
          <w:lang w:bidi="en-US"/>
        </w:rPr>
        <w:t xml:space="preserve"> caso</w:t>
      </w:r>
      <w:r w:rsidR="00E652DA" w:rsidRPr="00F91515">
        <w:rPr>
          <w:rFonts w:ascii="Verdana" w:hAnsi="Verdana"/>
          <w:sz w:val="20"/>
          <w:szCs w:val="20"/>
        </w:rPr>
        <w:t>, tomando en cuenta que [a ese momento] ha[bían] transcurrido aproximadamente 31 años desde que sucedieron las referidas masacres”, y que “[e]</w:t>
      </w:r>
      <w:r w:rsidR="00E652DA" w:rsidRPr="00F91515">
        <w:rPr>
          <w:rFonts w:ascii="Verdana" w:eastAsia="MS Mincho" w:hAnsi="Verdana" w:cs="Times New Roman"/>
          <w:sz w:val="20"/>
          <w:szCs w:val="20"/>
        </w:rPr>
        <w:t xml:space="preserve">n esta línea, el Estado debe </w:t>
      </w:r>
      <w:r w:rsidR="00E652DA" w:rsidRPr="00F91515">
        <w:rPr>
          <w:rFonts w:ascii="Verdana" w:eastAsia="Calibri" w:hAnsi="Verdana" w:cs="Times New Roman"/>
          <w:sz w:val="20"/>
          <w:szCs w:val="20"/>
        </w:rPr>
        <w:t>investigar de forma efectiva todos los hechos de las masacres, incluyendo, además de</w:t>
      </w:r>
      <w:r w:rsidR="00E652DA" w:rsidRPr="00F91515">
        <w:rPr>
          <w:rFonts w:ascii="Verdana" w:hAnsi="Verdana"/>
          <w:sz w:val="20"/>
          <w:szCs w:val="20"/>
        </w:rPr>
        <w:t xml:space="preserve"> </w:t>
      </w:r>
      <w:r w:rsidR="00E652DA" w:rsidRPr="00F91515">
        <w:rPr>
          <w:rFonts w:ascii="Verdana" w:eastAsia="Calibri" w:hAnsi="Verdana" w:cs="Times New Roman"/>
          <w:sz w:val="20"/>
          <w:szCs w:val="20"/>
        </w:rPr>
        <w:t>l</w:t>
      </w:r>
      <w:r w:rsidR="00E652DA" w:rsidRPr="00F91515">
        <w:rPr>
          <w:rFonts w:ascii="Verdana" w:hAnsi="Verdana"/>
          <w:sz w:val="20"/>
          <w:szCs w:val="20"/>
        </w:rPr>
        <w:t>as ejecuciones extrajudiciales</w:t>
      </w:r>
      <w:r w:rsidR="00E652DA" w:rsidRPr="00F91515">
        <w:rPr>
          <w:rFonts w:ascii="Verdana" w:eastAsia="Calibri" w:hAnsi="Verdana" w:cs="Times New Roman"/>
          <w:sz w:val="20"/>
          <w:szCs w:val="20"/>
        </w:rPr>
        <w:t>, otras posibles graves afectaciones a la integridad personal, y en particular, los actos de tortura y la</w:t>
      </w:r>
      <w:r w:rsidR="00E652DA" w:rsidRPr="00F91515">
        <w:rPr>
          <w:rFonts w:ascii="Verdana" w:hAnsi="Verdana"/>
          <w:sz w:val="20"/>
          <w:szCs w:val="20"/>
        </w:rPr>
        <w:t>s</w:t>
      </w:r>
      <w:r w:rsidR="00E652DA" w:rsidRPr="00F91515">
        <w:rPr>
          <w:rFonts w:ascii="Verdana" w:eastAsia="Calibri" w:hAnsi="Verdana" w:cs="Times New Roman"/>
          <w:sz w:val="20"/>
          <w:szCs w:val="20"/>
        </w:rPr>
        <w:t xml:space="preserve"> </w:t>
      </w:r>
      <w:r w:rsidR="00E652DA" w:rsidRPr="00F91515">
        <w:rPr>
          <w:rFonts w:ascii="Verdana" w:hAnsi="Verdana"/>
          <w:sz w:val="20"/>
          <w:szCs w:val="20"/>
        </w:rPr>
        <w:t xml:space="preserve">violaciones sexuales contra las </w:t>
      </w:r>
      <w:r w:rsidR="00E652DA" w:rsidRPr="00F91515">
        <w:rPr>
          <w:rFonts w:ascii="Verdana" w:eastAsia="Calibri" w:hAnsi="Verdana" w:cs="Times New Roman"/>
          <w:sz w:val="20"/>
          <w:szCs w:val="20"/>
        </w:rPr>
        <w:t>mujer</w:t>
      </w:r>
      <w:r w:rsidR="00E652DA" w:rsidRPr="00F91515">
        <w:rPr>
          <w:rFonts w:ascii="Verdana" w:hAnsi="Verdana"/>
          <w:sz w:val="20"/>
          <w:szCs w:val="20"/>
        </w:rPr>
        <w:t>es, así como los desplazamientos forzados”</w:t>
      </w:r>
      <w:r w:rsidR="00E652DA" w:rsidRPr="00F91515">
        <w:rPr>
          <w:rFonts w:ascii="Verdana" w:eastAsia="MS Mincho" w:hAnsi="Verdana" w:cs="Times New Roman"/>
          <w:sz w:val="20"/>
          <w:szCs w:val="20"/>
          <w:lang w:bidi="en-US"/>
        </w:rPr>
        <w:t>.</w:t>
      </w:r>
      <w:r w:rsidR="00E652DA" w:rsidRPr="00F91515">
        <w:rPr>
          <w:rFonts w:ascii="Verdana" w:hAnsi="Verdana" w:cs="Arial"/>
          <w:sz w:val="20"/>
          <w:szCs w:val="20"/>
        </w:rPr>
        <w:t xml:space="preserve"> </w:t>
      </w:r>
      <w:r w:rsidR="00E652DA" w:rsidRPr="00F91515">
        <w:rPr>
          <w:rFonts w:ascii="Verdana" w:eastAsia="Times" w:hAnsi="Verdana"/>
          <w:sz w:val="20"/>
          <w:szCs w:val="20"/>
        </w:rPr>
        <w:t xml:space="preserve">Asimismo, en los referidos párrafos de </w:t>
      </w:r>
      <w:r w:rsidR="0053657D">
        <w:rPr>
          <w:rFonts w:ascii="Verdana" w:eastAsia="Times" w:hAnsi="Verdana"/>
          <w:sz w:val="20"/>
          <w:szCs w:val="20"/>
        </w:rPr>
        <w:t>la</w:t>
      </w:r>
      <w:r w:rsidR="00E652DA" w:rsidRPr="00F91515">
        <w:rPr>
          <w:rFonts w:ascii="Verdana" w:eastAsia="Times" w:hAnsi="Verdana"/>
          <w:sz w:val="20"/>
          <w:szCs w:val="20"/>
        </w:rPr>
        <w:t xml:space="preserve"> Sentencia se establecieron criterios para dar cumplimiento a </w:t>
      </w:r>
      <w:r w:rsidR="00DC507E">
        <w:rPr>
          <w:rFonts w:ascii="Verdana" w:eastAsia="Times" w:hAnsi="Verdana"/>
          <w:sz w:val="20"/>
          <w:szCs w:val="20"/>
        </w:rPr>
        <w:t>esta</w:t>
      </w:r>
      <w:r w:rsidR="00DC507E" w:rsidRPr="00F91515">
        <w:rPr>
          <w:rFonts w:ascii="Verdana" w:eastAsia="Times" w:hAnsi="Verdana"/>
          <w:sz w:val="20"/>
          <w:szCs w:val="20"/>
        </w:rPr>
        <w:t xml:space="preserve"> </w:t>
      </w:r>
      <w:r w:rsidR="00E652DA" w:rsidRPr="00F91515">
        <w:rPr>
          <w:rFonts w:ascii="Verdana" w:eastAsia="Times" w:hAnsi="Verdana"/>
          <w:sz w:val="20"/>
          <w:szCs w:val="20"/>
        </w:rPr>
        <w:t>obligación</w:t>
      </w:r>
      <w:r w:rsidR="00E652DA">
        <w:rPr>
          <w:rFonts w:ascii="Verdana" w:eastAsia="Times" w:hAnsi="Verdana"/>
          <w:sz w:val="20"/>
          <w:szCs w:val="20"/>
        </w:rPr>
        <w:t>.</w:t>
      </w:r>
      <w:r w:rsidR="00E652DA" w:rsidRPr="00F91515">
        <w:rPr>
          <w:rFonts w:ascii="Verdana" w:eastAsia="Times" w:hAnsi="Verdana"/>
          <w:sz w:val="20"/>
          <w:szCs w:val="20"/>
        </w:rPr>
        <w:t xml:space="preserve"> </w:t>
      </w:r>
      <w:r w:rsidR="00E652DA">
        <w:rPr>
          <w:rFonts w:ascii="Verdana" w:eastAsia="Times" w:hAnsi="Verdana"/>
          <w:sz w:val="20"/>
          <w:szCs w:val="20"/>
        </w:rPr>
        <w:t>E</w:t>
      </w:r>
      <w:r w:rsidR="00E652DA" w:rsidRPr="00F91515">
        <w:rPr>
          <w:rFonts w:ascii="Verdana" w:eastAsia="Times" w:hAnsi="Verdana"/>
          <w:sz w:val="20"/>
          <w:szCs w:val="20"/>
        </w:rPr>
        <w:t xml:space="preserve">ntre </w:t>
      </w:r>
      <w:r w:rsidR="0053657D">
        <w:rPr>
          <w:rFonts w:ascii="Verdana" w:eastAsia="Times" w:hAnsi="Verdana"/>
          <w:sz w:val="20"/>
          <w:szCs w:val="20"/>
        </w:rPr>
        <w:t>ellos</w:t>
      </w:r>
      <w:r w:rsidR="00E652DA" w:rsidRPr="00F91515">
        <w:rPr>
          <w:rFonts w:ascii="Verdana" w:eastAsia="Times" w:hAnsi="Verdana"/>
          <w:sz w:val="20"/>
          <w:szCs w:val="20"/>
        </w:rPr>
        <w:t xml:space="preserve"> se destaca </w:t>
      </w:r>
      <w:r w:rsidR="00E652DA">
        <w:rPr>
          <w:rFonts w:ascii="Verdana" w:eastAsia="Times" w:hAnsi="Verdana"/>
          <w:sz w:val="20"/>
          <w:szCs w:val="20"/>
        </w:rPr>
        <w:t>el relativo a que el</w:t>
      </w:r>
      <w:r w:rsidR="00E652DA" w:rsidRPr="00F91515">
        <w:rPr>
          <w:rFonts w:ascii="Verdana" w:eastAsia="Times" w:hAnsi="Verdana"/>
          <w:sz w:val="20"/>
          <w:szCs w:val="20"/>
        </w:rPr>
        <w:t xml:space="preserve"> Estado debe</w:t>
      </w:r>
      <w:r w:rsidR="00E652DA">
        <w:rPr>
          <w:rFonts w:ascii="Verdana" w:eastAsia="Times" w:hAnsi="Verdana"/>
          <w:sz w:val="20"/>
          <w:szCs w:val="20"/>
        </w:rPr>
        <w:t xml:space="preserve"> </w:t>
      </w:r>
      <w:r w:rsidR="00E652DA" w:rsidRPr="00E652DA">
        <w:rPr>
          <w:rFonts w:ascii="Verdana" w:eastAsia="Times" w:hAnsi="Verdana"/>
          <w:sz w:val="20"/>
          <w:szCs w:val="20"/>
        </w:rPr>
        <w:t>“</w:t>
      </w:r>
      <w:r w:rsidR="00E652DA" w:rsidRPr="00E652DA">
        <w:rPr>
          <w:rFonts w:ascii="Verdana" w:hAnsi="Verdana" w:cs="Verdana"/>
          <w:sz w:val="20"/>
          <w:szCs w:val="20"/>
        </w:rPr>
        <w:t xml:space="preserve">abstenerse de recurrir a figuras como la amnistía </w:t>
      </w:r>
      <w:r w:rsidR="00E652DA" w:rsidRPr="00E652DA">
        <w:rPr>
          <w:rFonts w:ascii="Verdana" w:hAnsi="Verdana"/>
          <w:sz w:val="20"/>
          <w:szCs w:val="20"/>
        </w:rPr>
        <w:t xml:space="preserve">en </w:t>
      </w:r>
      <w:r w:rsidR="00E652DA" w:rsidRPr="00E652DA">
        <w:rPr>
          <w:rFonts w:ascii="Verdana" w:hAnsi="Verdana"/>
          <w:sz w:val="20"/>
          <w:szCs w:val="20"/>
        </w:rPr>
        <w:lastRenderedPageBreak/>
        <w:t>beneficio de los autores</w:t>
      </w:r>
      <w:r w:rsidR="00E652DA" w:rsidRPr="00E652DA">
        <w:rPr>
          <w:rFonts w:ascii="Verdana" w:hAnsi="Verdana" w:cs="Verdana"/>
          <w:sz w:val="20"/>
          <w:szCs w:val="20"/>
        </w:rPr>
        <w:t xml:space="preserve">, </w:t>
      </w:r>
      <w:r w:rsidR="00E652DA" w:rsidRPr="00E652DA">
        <w:rPr>
          <w:rFonts w:ascii="Verdana" w:hAnsi="Verdana"/>
          <w:sz w:val="20"/>
          <w:szCs w:val="20"/>
        </w:rPr>
        <w:t>así como ninguna otra disposición análoga,</w:t>
      </w:r>
      <w:r w:rsidR="00E652DA" w:rsidRPr="00E652DA">
        <w:rPr>
          <w:rFonts w:ascii="Verdana" w:hAnsi="Verdana" w:cs="Verdana"/>
          <w:sz w:val="20"/>
          <w:szCs w:val="20"/>
        </w:rPr>
        <w:t xml:space="preserve"> la prescripción, irretroactividad de la ley penal, cosa juzgada, </w:t>
      </w:r>
      <w:r w:rsidR="00E652DA" w:rsidRPr="00E652DA">
        <w:rPr>
          <w:rFonts w:ascii="Verdana" w:hAnsi="Verdana" w:cs="Verdana"/>
          <w:i/>
          <w:sz w:val="20"/>
          <w:szCs w:val="20"/>
        </w:rPr>
        <w:t>ne bis in idem</w:t>
      </w:r>
      <w:r w:rsidR="00E652DA" w:rsidRPr="00E652DA">
        <w:rPr>
          <w:rFonts w:ascii="Verdana" w:hAnsi="Verdana" w:cs="Verdana"/>
          <w:sz w:val="20"/>
          <w:szCs w:val="20"/>
        </w:rPr>
        <w:t xml:space="preserve"> o cualquier eximente similar de responsabilidad, </w:t>
      </w:r>
      <w:r w:rsidR="00E652DA" w:rsidRPr="00E652DA">
        <w:rPr>
          <w:rFonts w:ascii="Verdana" w:hAnsi="Verdana"/>
          <w:sz w:val="20"/>
          <w:szCs w:val="20"/>
        </w:rPr>
        <w:t>para excusarse de esta obligación”.</w:t>
      </w:r>
    </w:p>
    <w:p w14:paraId="08B1B2E3" w14:textId="6F882515" w:rsidR="006E1E17" w:rsidRPr="006E1E17" w:rsidRDefault="00E652DA" w:rsidP="001E6BF9">
      <w:pPr>
        <w:pStyle w:val="Prrafodelista"/>
        <w:numPr>
          <w:ilvl w:val="0"/>
          <w:numId w:val="3"/>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74597A">
        <w:rPr>
          <w:rFonts w:ascii="Verdana" w:eastAsia="Times" w:hAnsi="Verdana"/>
          <w:sz w:val="20"/>
          <w:szCs w:val="20"/>
        </w:rPr>
        <w:t>Adicionalmente, en los párrafos 283 a 296 de la Sentencia, la Corte desarrolló las razones por las cuales la Ley de Amnistía General para la Consolidación de la Paz de 20 de marzo de 1993, que “</w:t>
      </w:r>
      <w:r w:rsidRPr="0074597A">
        <w:rPr>
          <w:rFonts w:ascii="Verdana" w:hAnsi="Verdana"/>
          <w:sz w:val="20"/>
          <w:szCs w:val="20"/>
        </w:rPr>
        <w:t xml:space="preserve">concedió una amnistía de carácter general y absoluta que amplió la posibilidad de impedir la investigación penal y la determinación de responsabilidades a aquellas personas que hubieran participado </w:t>
      </w:r>
      <w:r w:rsidR="00DC507E">
        <w:rPr>
          <w:rFonts w:ascii="Verdana" w:hAnsi="Verdana"/>
          <w:sz w:val="20"/>
          <w:szCs w:val="20"/>
        </w:rPr>
        <w:t xml:space="preserve">como autores inmediatos, mediatos o cómplices </w:t>
      </w:r>
      <w:r w:rsidRPr="0074597A">
        <w:rPr>
          <w:rFonts w:ascii="Verdana" w:hAnsi="Verdana"/>
          <w:sz w:val="20"/>
          <w:szCs w:val="20"/>
        </w:rPr>
        <w:t>en la comisión de graves violaciones a los derechos humanos e infracciones graves del derecho internacional humanitario durante el conflicto armado interno, incluidos aquellos casos ejemplarizantes determinados por la Comisión de la Verdad”,</w:t>
      </w:r>
      <w:r w:rsidRPr="0074597A">
        <w:rPr>
          <w:rFonts w:ascii="Verdana" w:eastAsia="Times" w:hAnsi="Verdana"/>
          <w:sz w:val="20"/>
          <w:szCs w:val="20"/>
        </w:rPr>
        <w:t xml:space="preserve"> era incompatible con los estándares del Derecho Internacional de los Derechos Humanos y del Derecho Internacional Humanitario y, en consecuencia</w:t>
      </w:r>
      <w:r w:rsidR="0016741D">
        <w:rPr>
          <w:rFonts w:ascii="Verdana" w:eastAsia="Times" w:hAnsi="Verdana"/>
          <w:sz w:val="20"/>
          <w:szCs w:val="20"/>
        </w:rPr>
        <w:t>,</w:t>
      </w:r>
      <w:r w:rsidRPr="0074597A">
        <w:rPr>
          <w:rFonts w:ascii="Verdana" w:eastAsia="Times" w:hAnsi="Verdana"/>
          <w:sz w:val="20"/>
          <w:szCs w:val="20"/>
        </w:rPr>
        <w:t xml:space="preserve"> carece de efectos jurídicos.</w:t>
      </w:r>
      <w:r w:rsidRPr="00F91515">
        <w:rPr>
          <w:rFonts w:ascii="Verdana" w:eastAsia="Times" w:hAnsi="Verdana"/>
          <w:sz w:val="20"/>
          <w:szCs w:val="20"/>
        </w:rPr>
        <w:t xml:space="preserve"> </w:t>
      </w:r>
    </w:p>
    <w:p w14:paraId="557E81ED" w14:textId="722ECE61" w:rsidR="006E1E17" w:rsidRPr="006E1E17" w:rsidRDefault="006E1E17" w:rsidP="006E1E17">
      <w:pPr>
        <w:pStyle w:val="Prrafodelista"/>
        <w:numPr>
          <w:ilvl w:val="0"/>
          <w:numId w:val="3"/>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6E1E17">
        <w:rPr>
          <w:rFonts w:ascii="Verdana" w:hAnsi="Verdana"/>
          <w:sz w:val="20"/>
          <w:szCs w:val="20"/>
        </w:rPr>
        <w:t>Al pronunciarse sobre la incompatibilidad de la Ley de Amnistía General para la Consolidación de la Paz de 1993 con la Convención Americana</w:t>
      </w:r>
      <w:r w:rsidR="00DC507E">
        <w:rPr>
          <w:rFonts w:ascii="Verdana" w:hAnsi="Verdana"/>
          <w:sz w:val="20"/>
          <w:szCs w:val="20"/>
        </w:rPr>
        <w:t xml:space="preserve"> sobre Derechos Humanos (en adelante “la Convención Americana” o “la Convención”)</w:t>
      </w:r>
      <w:r w:rsidRPr="006E1E17">
        <w:rPr>
          <w:rFonts w:ascii="Verdana" w:hAnsi="Verdana"/>
          <w:sz w:val="20"/>
          <w:szCs w:val="20"/>
        </w:rPr>
        <w:t>, la Corte hizo notar que, “</w:t>
      </w:r>
      <w:r w:rsidRPr="006E1E17">
        <w:rPr>
          <w:rFonts w:ascii="Verdana" w:hAnsi="Verdana" w:cs="Times-Roman"/>
          <w:sz w:val="20"/>
          <w:szCs w:val="20"/>
          <w:lang w:val="es-ES" w:bidi="en-US"/>
        </w:rPr>
        <w:t xml:space="preserve">a diferencia de los casos abordados anteriormente por este Tribunal, en el presente caso se trata de una ley de amnistía general </w:t>
      </w:r>
      <w:r w:rsidRPr="006E1E17">
        <w:rPr>
          <w:rFonts w:ascii="Verdana" w:hAnsi="Verdana" w:cs="Times-Roman"/>
          <w:sz w:val="20"/>
          <w:szCs w:val="20"/>
          <w:lang w:bidi="en-US"/>
        </w:rPr>
        <w:t>que se refiere a hechos cometidos en el contexto de un conflicto armado interno”</w:t>
      </w:r>
      <w:r>
        <w:rPr>
          <w:rStyle w:val="Refdenotaalpie"/>
          <w:rFonts w:ascii="Verdana" w:hAnsi="Verdana" w:cs="Times-Roman"/>
          <w:lang w:bidi="en-US"/>
        </w:rPr>
        <w:footnoteReference w:id="13"/>
      </w:r>
      <w:r w:rsidRPr="006E1E17">
        <w:rPr>
          <w:rFonts w:ascii="Verdana" w:hAnsi="Verdana" w:cs="Times-Roman"/>
          <w:sz w:val="20"/>
          <w:szCs w:val="20"/>
          <w:lang w:bidi="en-US"/>
        </w:rPr>
        <w:t xml:space="preserve">. Por ello, </w:t>
      </w:r>
      <w:r w:rsidR="00DC507E">
        <w:rPr>
          <w:rFonts w:ascii="Verdana" w:hAnsi="Verdana" w:cs="Times-Roman"/>
          <w:sz w:val="20"/>
          <w:szCs w:val="20"/>
          <w:lang w:bidi="en-US"/>
        </w:rPr>
        <w:t>el Tribunal</w:t>
      </w:r>
      <w:r w:rsidRPr="006E1E17">
        <w:rPr>
          <w:rFonts w:ascii="Verdana" w:hAnsi="Verdana" w:cs="Times-Roman"/>
          <w:sz w:val="20"/>
          <w:szCs w:val="20"/>
          <w:lang w:bidi="en-US"/>
        </w:rPr>
        <w:t xml:space="preserve"> estimó necesario hacer tal análisis </w:t>
      </w:r>
      <w:r w:rsidR="00DC507E">
        <w:rPr>
          <w:rFonts w:ascii="Verdana" w:hAnsi="Verdana" w:cs="Times-Roman"/>
          <w:sz w:val="20"/>
          <w:szCs w:val="20"/>
          <w:lang w:bidi="en-US"/>
        </w:rPr>
        <w:t>“</w:t>
      </w:r>
      <w:r w:rsidRPr="006E1E17">
        <w:rPr>
          <w:rFonts w:ascii="Verdana" w:hAnsi="Verdana" w:cs="Times-Roman"/>
          <w:sz w:val="20"/>
          <w:szCs w:val="20"/>
          <w:lang w:bidi="en-US"/>
        </w:rPr>
        <w:t xml:space="preserve">también a la luz de lo establecido en el Protocolo </w:t>
      </w:r>
      <w:r w:rsidRPr="006E1E17">
        <w:rPr>
          <w:rFonts w:ascii="Verdana" w:hAnsi="Verdana" w:cs="Times-Roman"/>
          <w:sz w:val="20"/>
          <w:szCs w:val="20"/>
          <w:lang w:val="es-ES" w:bidi="en-US"/>
        </w:rPr>
        <w:t>II adicional a los Convenios de Ginebra de 1949 así como de los términos específicos en que se acordó el cese de las hostilidades que puso fin al conflicto en El Salvador y, en particular, del Capítulo I (‘Fuerza Armada’), punto 5 (‘Superación de la Impunidad’), del Acuerdo de Paz de 16 de enero de 1992”</w:t>
      </w:r>
      <w:r>
        <w:rPr>
          <w:rStyle w:val="Refdenotaalpie"/>
          <w:rFonts w:ascii="Verdana" w:hAnsi="Verdana" w:cs="Times-Roman"/>
          <w:lang w:val="es-ES" w:bidi="en-US"/>
        </w:rPr>
        <w:footnoteReference w:id="14"/>
      </w:r>
      <w:r w:rsidRPr="006E1E17">
        <w:rPr>
          <w:rFonts w:ascii="Verdana" w:hAnsi="Verdana" w:cs="Times-Roman"/>
          <w:sz w:val="20"/>
          <w:szCs w:val="20"/>
          <w:lang w:val="es-ES" w:bidi="en-US"/>
        </w:rPr>
        <w:t>. La Corte consideró que “[s]egún el Derecho Internacional Humanitario aplicable a estas situaciones, se justifica en ocasiones la emisión de leyes de amnistía al cese de las hostilidades en los conflictos armados de carácter no internacional para posibilitar el retorno a la paz”</w:t>
      </w:r>
      <w:r w:rsidRPr="00D01F00">
        <w:rPr>
          <w:rStyle w:val="Refdenotaalpie"/>
          <w:rFonts w:ascii="Verdana" w:hAnsi="Verdana" w:cs="Times-Roman"/>
          <w:lang w:val="es-ES" w:bidi="en-US"/>
        </w:rPr>
        <w:footnoteReference w:id="15"/>
      </w:r>
      <w:r w:rsidRPr="006E1E17">
        <w:rPr>
          <w:rFonts w:ascii="Verdana" w:hAnsi="Verdana" w:cs="Times-Roman"/>
          <w:sz w:val="20"/>
          <w:szCs w:val="20"/>
          <w:lang w:val="es-ES" w:bidi="en-US"/>
        </w:rPr>
        <w:t xml:space="preserve">. Sin embargo, </w:t>
      </w:r>
      <w:r w:rsidR="00F25A52">
        <w:rPr>
          <w:rFonts w:ascii="Verdana" w:hAnsi="Verdana" w:cs="Times-Roman"/>
          <w:sz w:val="20"/>
          <w:szCs w:val="20"/>
          <w:lang w:val="es-ES" w:bidi="en-US"/>
        </w:rPr>
        <w:t xml:space="preserve">consideró que </w:t>
      </w:r>
      <w:r w:rsidRPr="006E1E17">
        <w:rPr>
          <w:rFonts w:ascii="Verdana" w:hAnsi="Verdana" w:cs="Times-Roman"/>
          <w:sz w:val="20"/>
          <w:szCs w:val="20"/>
          <w:lang w:val="es-ES" w:bidi="en-US"/>
        </w:rPr>
        <w:t>“esta norma no es absoluta”</w:t>
      </w:r>
      <w:r w:rsidR="00F25A52">
        <w:rPr>
          <w:rFonts w:ascii="Verdana" w:hAnsi="Verdana" w:cs="Times-Roman"/>
          <w:sz w:val="20"/>
          <w:szCs w:val="20"/>
          <w:lang w:val="es-ES" w:bidi="en-US"/>
        </w:rPr>
        <w:t>,</w:t>
      </w:r>
      <w:r w:rsidRPr="006E1E17">
        <w:rPr>
          <w:rFonts w:ascii="Verdana" w:hAnsi="Verdana" w:cs="Times-Roman"/>
          <w:sz w:val="20"/>
          <w:szCs w:val="20"/>
          <w:lang w:val="es-ES" w:bidi="en-US"/>
        </w:rPr>
        <w:t xml:space="preserve"> pues</w:t>
      </w:r>
      <w:r w:rsidR="00F25A52">
        <w:rPr>
          <w:rFonts w:ascii="Verdana" w:hAnsi="Verdana" w:cs="Times-Roman"/>
          <w:sz w:val="20"/>
          <w:szCs w:val="20"/>
          <w:lang w:val="es-ES" w:bidi="en-US"/>
        </w:rPr>
        <w:t xml:space="preserve"> también en el Derecho Internacional Humanitario</w:t>
      </w:r>
      <w:r w:rsidRPr="006E1E17">
        <w:rPr>
          <w:rFonts w:ascii="Verdana" w:hAnsi="Verdana" w:cs="Times-Roman"/>
          <w:sz w:val="20"/>
          <w:szCs w:val="20"/>
          <w:lang w:val="es-ES" w:bidi="en-US"/>
        </w:rPr>
        <w:t xml:space="preserve"> subsiste la obligación de investigar y juzgar crímenes de guerra y crímenes de lesa humanidad</w:t>
      </w:r>
      <w:r>
        <w:rPr>
          <w:rStyle w:val="Refdenotaalpie"/>
          <w:rFonts w:ascii="Verdana" w:hAnsi="Verdana" w:cs="Times-Roman"/>
          <w:lang w:val="es-ES" w:bidi="en-US"/>
        </w:rPr>
        <w:footnoteReference w:id="16"/>
      </w:r>
      <w:r w:rsidRPr="006E1E17">
        <w:rPr>
          <w:rFonts w:ascii="Verdana" w:hAnsi="Verdana" w:cs="Times-Roman"/>
          <w:sz w:val="20"/>
          <w:szCs w:val="20"/>
          <w:lang w:val="es-ES" w:bidi="en-US"/>
        </w:rPr>
        <w:t>.</w:t>
      </w:r>
    </w:p>
    <w:p w14:paraId="7F8CFF9C" w14:textId="25E76E00" w:rsidR="00CC4B19" w:rsidRDefault="006E1E17" w:rsidP="00CC4B19">
      <w:pPr>
        <w:pStyle w:val="Prrafodelista"/>
        <w:numPr>
          <w:ilvl w:val="0"/>
          <w:numId w:val="3"/>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Pr>
          <w:rFonts w:ascii="Verdana" w:eastAsia="Times" w:hAnsi="Verdana"/>
          <w:sz w:val="20"/>
          <w:szCs w:val="20"/>
        </w:rPr>
        <w:t>En relación con lo anterior</w:t>
      </w:r>
      <w:r w:rsidR="00E652DA" w:rsidRPr="00F91515">
        <w:rPr>
          <w:rFonts w:ascii="Verdana" w:eastAsia="Times" w:hAnsi="Verdana"/>
          <w:sz w:val="20"/>
          <w:szCs w:val="20"/>
        </w:rPr>
        <w:t>, en el punto dispositivo cuarto y el párrafo 318 de la Sentencia, se ordenó que “</w:t>
      </w:r>
      <w:r w:rsidR="00E652DA">
        <w:rPr>
          <w:rFonts w:ascii="Verdana" w:eastAsia="Times" w:hAnsi="Verdana"/>
          <w:sz w:val="20"/>
          <w:szCs w:val="20"/>
        </w:rPr>
        <w:t xml:space="preserve">dado que </w:t>
      </w:r>
      <w:r w:rsidR="00E652DA" w:rsidRPr="00F91515">
        <w:rPr>
          <w:rFonts w:ascii="Verdana" w:eastAsia="MS Mincho" w:hAnsi="Verdana" w:cs="Verdana"/>
          <w:sz w:val="20"/>
          <w:szCs w:val="20"/>
        </w:rPr>
        <w:t>[dicha] Ley</w:t>
      </w:r>
      <w:r w:rsidR="00E652DA">
        <w:rPr>
          <w:rFonts w:ascii="Verdana" w:eastAsia="MS Mincho" w:hAnsi="Verdana" w:cs="Verdana"/>
          <w:sz w:val="20"/>
          <w:szCs w:val="20"/>
        </w:rPr>
        <w:t xml:space="preserve"> </w:t>
      </w:r>
      <w:r w:rsidR="00F25A52">
        <w:rPr>
          <w:rFonts w:ascii="Verdana" w:eastAsia="MS Mincho" w:hAnsi="Verdana" w:cs="Verdana"/>
          <w:sz w:val="20"/>
          <w:szCs w:val="20"/>
        </w:rPr>
        <w:t xml:space="preserve">de Amnistía General para la Consolidación de la Paz </w:t>
      </w:r>
      <w:r w:rsidR="00E652DA">
        <w:rPr>
          <w:rFonts w:ascii="Verdana" w:eastAsia="MS Mincho" w:hAnsi="Verdana" w:cs="Verdana"/>
          <w:sz w:val="20"/>
          <w:szCs w:val="20"/>
        </w:rPr>
        <w:t>carece de efectos […] el Estado deb[ía] asegurar que</w:t>
      </w:r>
      <w:r w:rsidR="00E652DA" w:rsidRPr="00F91515">
        <w:rPr>
          <w:rFonts w:ascii="Verdana" w:eastAsia="MS Mincho" w:hAnsi="Verdana" w:cs="Verdana"/>
          <w:sz w:val="20"/>
          <w:szCs w:val="20"/>
        </w:rPr>
        <w:t xml:space="preserve"> </w:t>
      </w:r>
      <w:r w:rsidR="00F25A52">
        <w:rPr>
          <w:rFonts w:ascii="Verdana" w:eastAsia="MS Mincho" w:hAnsi="Verdana" w:cs="Verdana"/>
          <w:sz w:val="20"/>
          <w:szCs w:val="20"/>
        </w:rPr>
        <w:t xml:space="preserve">[…] </w:t>
      </w:r>
      <w:r w:rsidR="00E652DA" w:rsidRPr="00F91515">
        <w:rPr>
          <w:rFonts w:ascii="Verdana" w:eastAsia="MS Mincho" w:hAnsi="Verdana" w:cs="Verdana"/>
          <w:sz w:val="20"/>
          <w:szCs w:val="20"/>
        </w:rPr>
        <w:t>no v[olviera]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p>
    <w:p w14:paraId="7E9C41B6" w14:textId="0F5EBC65" w:rsidR="00CC4B19" w:rsidRPr="00CC4B19" w:rsidRDefault="00FB472A" w:rsidP="00CC4B19">
      <w:pPr>
        <w:pStyle w:val="Prrafodelista"/>
        <w:numPr>
          <w:ilvl w:val="0"/>
          <w:numId w:val="3"/>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CC4B19">
        <w:rPr>
          <w:rFonts w:ascii="Verdana" w:hAnsi="Verdana" w:cs="Arial"/>
          <w:sz w:val="20"/>
          <w:szCs w:val="20"/>
          <w:lang w:val="es-MX"/>
        </w:rPr>
        <w:t>En la Resolución de supervisión de cumplimiento de Sentencia de agosto de 2017 (</w:t>
      </w:r>
      <w:r w:rsidRPr="00CC4B19">
        <w:rPr>
          <w:rFonts w:ascii="Verdana" w:hAnsi="Verdana" w:cs="Arial"/>
          <w:i/>
          <w:sz w:val="20"/>
          <w:szCs w:val="20"/>
          <w:lang w:val="es-MX"/>
        </w:rPr>
        <w:t xml:space="preserve">supra </w:t>
      </w:r>
      <w:r w:rsidRPr="00CC4B19">
        <w:rPr>
          <w:rFonts w:ascii="Verdana" w:hAnsi="Verdana" w:cs="Arial"/>
          <w:sz w:val="20"/>
          <w:szCs w:val="20"/>
          <w:lang w:val="es-MX"/>
        </w:rPr>
        <w:t xml:space="preserve">Visto 2) la Corte constató el cumplimiento total de la reparación referida en el considerando anterior, en virtud de que el 13 de julio de 2016 la Sala de lo Constitucional de la Corte Suprema de Justicia de El Salvador emitió una </w:t>
      </w:r>
      <w:r w:rsidR="00C56C70">
        <w:rPr>
          <w:rFonts w:ascii="Verdana" w:hAnsi="Verdana" w:cs="Arial"/>
          <w:sz w:val="20"/>
          <w:szCs w:val="20"/>
          <w:lang w:val="es-MX"/>
        </w:rPr>
        <w:t>sentencia</w:t>
      </w:r>
      <w:r w:rsidR="00C56C70" w:rsidRPr="00CC4B19">
        <w:rPr>
          <w:rFonts w:ascii="Verdana" w:hAnsi="Verdana" w:cs="Arial"/>
          <w:sz w:val="20"/>
          <w:szCs w:val="20"/>
          <w:lang w:val="es-MX"/>
        </w:rPr>
        <w:t xml:space="preserve"> </w:t>
      </w:r>
      <w:r w:rsidRPr="00CC4B19">
        <w:rPr>
          <w:rFonts w:ascii="Verdana" w:hAnsi="Verdana" w:cs="Arial"/>
          <w:sz w:val="20"/>
          <w:szCs w:val="20"/>
          <w:lang w:val="es-MX"/>
        </w:rPr>
        <w:t>en la cual declaró la inconstitucionalidad de la Ley de Amnistía General para la Consolidación de la Paz aprobada en 1993</w:t>
      </w:r>
      <w:r w:rsidR="0053657D" w:rsidRPr="00CC4B19">
        <w:rPr>
          <w:rFonts w:ascii="Verdana" w:hAnsi="Verdana" w:cs="Arial"/>
          <w:sz w:val="20"/>
          <w:szCs w:val="20"/>
          <w:lang w:val="es-MX"/>
        </w:rPr>
        <w:t xml:space="preserve"> (en adelante también “sentencia de inconstitucionalidad de julio de 2016)</w:t>
      </w:r>
      <w:r w:rsidRPr="00CC4B19">
        <w:rPr>
          <w:rFonts w:ascii="Verdana" w:hAnsi="Verdana" w:cs="Arial"/>
          <w:sz w:val="20"/>
          <w:szCs w:val="20"/>
          <w:lang w:val="es-MX"/>
        </w:rPr>
        <w:t xml:space="preserve"> por considerar, entre otros, que </w:t>
      </w:r>
      <w:r w:rsidR="00C56C70">
        <w:rPr>
          <w:rFonts w:ascii="Verdana" w:hAnsi="Verdana" w:cs="Arial"/>
          <w:sz w:val="20"/>
          <w:szCs w:val="20"/>
          <w:lang w:val="es-MX"/>
        </w:rPr>
        <w:t>la</w:t>
      </w:r>
      <w:r w:rsidR="00457172">
        <w:rPr>
          <w:rFonts w:ascii="Verdana" w:hAnsi="Verdana" w:cs="Arial"/>
          <w:sz w:val="20"/>
          <w:szCs w:val="20"/>
          <w:lang w:val="es-MX"/>
        </w:rPr>
        <w:t xml:space="preserve"> </w:t>
      </w:r>
      <w:r w:rsidRPr="00CC4B19">
        <w:rPr>
          <w:rFonts w:ascii="Verdana" w:hAnsi="Verdana" w:cs="Arial"/>
          <w:sz w:val="20"/>
          <w:szCs w:val="20"/>
          <w:lang w:val="es-MX"/>
        </w:rPr>
        <w:t>“</w:t>
      </w:r>
      <w:r w:rsidR="00C56C70">
        <w:rPr>
          <w:rFonts w:ascii="Verdana" w:hAnsi="Verdana" w:cs="Arial"/>
          <w:sz w:val="20"/>
          <w:szCs w:val="20"/>
          <w:lang w:val="es-MX"/>
        </w:rPr>
        <w:t>[…]</w:t>
      </w:r>
      <w:r w:rsidRPr="00CC4B19">
        <w:rPr>
          <w:rFonts w:ascii="Verdana" w:hAnsi="Verdana" w:cs="Arial"/>
          <w:sz w:val="20"/>
          <w:szCs w:val="20"/>
          <w:lang w:val="es-MX"/>
        </w:rPr>
        <w:t xml:space="preserve"> extensión objetiva y subjetiva de la amnistía es contraria al derecho de acceso a la justicia, a la tutela judicial –protección de los derechos fundamentales–, y al derecho a la reparación </w:t>
      </w:r>
      <w:r w:rsidRPr="00CC4B19">
        <w:rPr>
          <w:rFonts w:ascii="Verdana" w:hAnsi="Verdana" w:cs="Arial"/>
          <w:sz w:val="20"/>
          <w:szCs w:val="20"/>
          <w:lang w:val="es-MX"/>
        </w:rPr>
        <w:lastRenderedPageBreak/>
        <w:t>integral de las víctimas de crímenes de lesa humanidad y crímenes de guerra constitutivos de graves violaciones al Derecho Internacional Humanitario</w:t>
      </w:r>
      <w:r w:rsidR="00C56C70">
        <w:rPr>
          <w:rFonts w:ascii="Verdana" w:hAnsi="Verdana" w:cs="Arial"/>
          <w:sz w:val="20"/>
          <w:szCs w:val="20"/>
          <w:lang w:val="es-MX"/>
        </w:rPr>
        <w:t>, pues impide el cumplimiento de las obligaciones estatales de prevención, investigación, enjuiciamiento, sanción y reparación integral […]</w:t>
      </w:r>
      <w:r w:rsidRPr="00CC4B19">
        <w:rPr>
          <w:rFonts w:ascii="Verdana" w:hAnsi="Verdana" w:cs="Arial"/>
          <w:sz w:val="20"/>
          <w:szCs w:val="20"/>
          <w:lang w:val="es-MX"/>
        </w:rPr>
        <w:t>”</w:t>
      </w:r>
      <w:r w:rsidRPr="00103C4D">
        <w:rPr>
          <w:rStyle w:val="Refdenotaalpie"/>
          <w:rFonts w:ascii="Verdana" w:hAnsi="Verdana" w:cs="Arial"/>
          <w:lang w:val="es-MX"/>
        </w:rPr>
        <w:footnoteReference w:id="17"/>
      </w:r>
      <w:r w:rsidRPr="00CC4B19">
        <w:rPr>
          <w:rFonts w:ascii="Verdana" w:hAnsi="Verdana" w:cs="Arial"/>
          <w:sz w:val="20"/>
          <w:szCs w:val="20"/>
          <w:lang w:val="es-MX"/>
        </w:rPr>
        <w:t xml:space="preserve">. </w:t>
      </w:r>
      <w:r w:rsidR="00C4013E" w:rsidRPr="00CC4B19">
        <w:rPr>
          <w:rFonts w:ascii="Verdana" w:hAnsi="Verdana" w:cs="Arial"/>
          <w:sz w:val="20"/>
          <w:szCs w:val="20"/>
          <w:lang w:val="es-MX"/>
        </w:rPr>
        <w:t xml:space="preserve"> </w:t>
      </w:r>
    </w:p>
    <w:p w14:paraId="48A4E3CE" w14:textId="76AA6522" w:rsidR="00CE43A6" w:rsidRPr="00CC4B19" w:rsidRDefault="00C4013E" w:rsidP="001E6BF9">
      <w:pPr>
        <w:pStyle w:val="Prrafodelista"/>
        <w:numPr>
          <w:ilvl w:val="0"/>
          <w:numId w:val="3"/>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CC4B19">
        <w:rPr>
          <w:rFonts w:ascii="Verdana" w:hAnsi="Verdana" w:cs="Arial"/>
          <w:sz w:val="20"/>
          <w:szCs w:val="20"/>
          <w:lang w:val="es-MX"/>
        </w:rPr>
        <w:t xml:space="preserve">Adicionalmente, </w:t>
      </w:r>
      <w:r w:rsidR="00CC4B19" w:rsidRPr="00CC4B19">
        <w:rPr>
          <w:rFonts w:ascii="Verdana" w:hAnsi="Verdana" w:cs="Arial"/>
          <w:sz w:val="20"/>
          <w:szCs w:val="20"/>
          <w:lang w:val="es-MX"/>
        </w:rPr>
        <w:t>en la referida Resolución este Tribunal</w:t>
      </w:r>
      <w:r w:rsidR="00CE43A6" w:rsidRPr="00CC4B19">
        <w:rPr>
          <w:rFonts w:ascii="Verdana" w:hAnsi="Verdana" w:cs="Arial"/>
          <w:sz w:val="20"/>
          <w:szCs w:val="20"/>
          <w:lang w:val="es-MX"/>
        </w:rPr>
        <w:t xml:space="preserve"> constató que, a raíz de la</w:t>
      </w:r>
      <w:r w:rsidRPr="00CC4B19">
        <w:rPr>
          <w:rFonts w:ascii="Verdana" w:hAnsi="Verdana" w:cs="Arial"/>
          <w:sz w:val="20"/>
          <w:szCs w:val="20"/>
          <w:lang w:val="es-MX"/>
        </w:rPr>
        <w:t xml:space="preserve"> </w:t>
      </w:r>
      <w:r w:rsidR="00CC4B19" w:rsidRPr="00CC4B19">
        <w:rPr>
          <w:rFonts w:ascii="Verdana" w:hAnsi="Verdana" w:cs="Arial"/>
          <w:sz w:val="20"/>
          <w:szCs w:val="20"/>
          <w:lang w:val="es-MX"/>
        </w:rPr>
        <w:t>mencionada</w:t>
      </w:r>
      <w:r w:rsidR="00CE43A6" w:rsidRPr="00CC4B19">
        <w:rPr>
          <w:rFonts w:ascii="Verdana" w:hAnsi="Verdana" w:cs="Arial"/>
          <w:sz w:val="20"/>
          <w:szCs w:val="20"/>
          <w:lang w:val="es-MX"/>
        </w:rPr>
        <w:t xml:space="preserve"> sentencia de la Sala de lo Constitucional, se había revocado el sobreseimiento definitivo de las investigaciones sobre los hechos de las </w:t>
      </w:r>
      <w:r w:rsidR="008174C8">
        <w:rPr>
          <w:rFonts w:ascii="Verdana" w:hAnsi="Verdana" w:cs="Arial"/>
          <w:sz w:val="20"/>
          <w:szCs w:val="20"/>
          <w:lang w:val="es-MX"/>
        </w:rPr>
        <w:t>m</w:t>
      </w:r>
      <w:r w:rsidR="00C56C70" w:rsidRPr="00CC4B19">
        <w:rPr>
          <w:rFonts w:ascii="Verdana" w:hAnsi="Verdana" w:cs="Arial"/>
          <w:sz w:val="20"/>
          <w:szCs w:val="20"/>
          <w:lang w:val="es-MX"/>
        </w:rPr>
        <w:t xml:space="preserve">asacres </w:t>
      </w:r>
      <w:r w:rsidR="00CE43A6" w:rsidRPr="00CC4B19">
        <w:rPr>
          <w:rFonts w:ascii="Verdana" w:hAnsi="Verdana" w:cs="Arial"/>
          <w:sz w:val="20"/>
          <w:szCs w:val="20"/>
          <w:lang w:val="es-MX"/>
        </w:rPr>
        <w:t>de El Mozote, dictado en septiembre de 1993 en aplicación de la referida Ley de Amnistía</w:t>
      </w:r>
      <w:r w:rsidR="00C56C70">
        <w:rPr>
          <w:rFonts w:ascii="Verdana" w:hAnsi="Verdana" w:cs="Arial"/>
          <w:sz w:val="20"/>
          <w:szCs w:val="20"/>
          <w:lang w:val="es-MX"/>
        </w:rPr>
        <w:t xml:space="preserve"> General</w:t>
      </w:r>
      <w:r w:rsidR="00CE43A6" w:rsidRPr="00CC4B19">
        <w:rPr>
          <w:rFonts w:ascii="Verdana" w:hAnsi="Verdana" w:cs="Arial"/>
          <w:sz w:val="20"/>
          <w:szCs w:val="20"/>
          <w:lang w:val="es-MX"/>
        </w:rPr>
        <w:t xml:space="preserve">, y se </w:t>
      </w:r>
      <w:r w:rsidR="00CC4B19" w:rsidRPr="00CC4B19">
        <w:rPr>
          <w:rFonts w:ascii="Verdana" w:hAnsi="Verdana" w:cs="Arial"/>
          <w:sz w:val="20"/>
          <w:szCs w:val="20"/>
          <w:lang w:val="es-MX"/>
        </w:rPr>
        <w:t>había ordenado</w:t>
      </w:r>
      <w:r w:rsidR="00CE43A6" w:rsidRPr="00CC4B19">
        <w:rPr>
          <w:rFonts w:ascii="Verdana" w:hAnsi="Verdana" w:cs="Arial"/>
          <w:sz w:val="20"/>
          <w:szCs w:val="20"/>
          <w:lang w:val="es-MX"/>
        </w:rPr>
        <w:t xml:space="preserve"> la reapertura del proceso penal</w:t>
      </w:r>
      <w:r w:rsidR="00CC4B19" w:rsidRPr="00CC4B19">
        <w:rPr>
          <w:rFonts w:ascii="Verdana" w:hAnsi="Verdana" w:cs="Arial"/>
          <w:sz w:val="20"/>
          <w:szCs w:val="20"/>
          <w:lang w:val="es-MX"/>
        </w:rPr>
        <w:t xml:space="preserve"> </w:t>
      </w:r>
      <w:r w:rsidR="00CC4B19" w:rsidRPr="00CC4B19">
        <w:rPr>
          <w:rFonts w:ascii="Verdana" w:hAnsi="Verdana"/>
          <w:sz w:val="20"/>
          <w:szCs w:val="20"/>
        </w:rPr>
        <w:t>ante el Juzgado Segundo de Primera Instancia de San Francisco Gotera</w:t>
      </w:r>
      <w:r w:rsidR="00CC4B19" w:rsidRPr="00CC4B19">
        <w:rPr>
          <w:rFonts w:ascii="Verdana" w:hAnsi="Verdana" w:cs="Arial"/>
          <w:sz w:val="20"/>
          <w:szCs w:val="20"/>
          <w:lang w:val="es-MX"/>
        </w:rPr>
        <w:t xml:space="preserve">. </w:t>
      </w:r>
      <w:r w:rsidR="00457172">
        <w:rPr>
          <w:rFonts w:ascii="Verdana" w:hAnsi="Verdana" w:cs="Arial"/>
          <w:sz w:val="20"/>
          <w:szCs w:val="20"/>
          <w:lang w:val="es-MX"/>
        </w:rPr>
        <w:t xml:space="preserve">Asimismo, dicho juzgado ordenó la continuidad de la instrucción penal contra diez acusados “así como también contra otros que pudieran ser identificados durante la investigación”. </w:t>
      </w:r>
      <w:r w:rsidR="00CC4B19" w:rsidRPr="00CC4B19">
        <w:rPr>
          <w:rFonts w:ascii="Verdana" w:hAnsi="Verdana" w:cs="Arial"/>
          <w:sz w:val="20"/>
          <w:szCs w:val="20"/>
          <w:lang w:val="es-MX"/>
        </w:rPr>
        <w:t>Si bien la Corte valoró positivamente la reapertura del proceso penal, también tuvo en cuenta que aún quedaban pendientes diligencias e investigaciones con el fin de determinar las responsabilidades correspondientes por los hechos del presente caso. Por ello, consideró que la obligación de investigar ordenada en la Sentencia</w:t>
      </w:r>
      <w:r w:rsidR="00C56C70">
        <w:rPr>
          <w:rFonts w:ascii="Verdana" w:hAnsi="Verdana" w:cs="Arial"/>
          <w:sz w:val="20"/>
          <w:szCs w:val="20"/>
          <w:lang w:val="es-MX"/>
        </w:rPr>
        <w:t xml:space="preserve"> de este caso</w:t>
      </w:r>
      <w:r w:rsidR="00CC4B19" w:rsidRPr="00CC4B19">
        <w:rPr>
          <w:rFonts w:ascii="Verdana" w:hAnsi="Verdana" w:cs="Arial"/>
          <w:sz w:val="20"/>
          <w:szCs w:val="20"/>
          <w:lang w:val="es-MX"/>
        </w:rPr>
        <w:t xml:space="preserve"> </w:t>
      </w:r>
      <w:r w:rsidR="00CC4B19" w:rsidRPr="00CC4B19">
        <w:rPr>
          <w:rFonts w:ascii="Verdana" w:hAnsi="Verdana"/>
          <w:sz w:val="20"/>
          <w:szCs w:val="20"/>
        </w:rPr>
        <w:t>continuaba pendiente de cumplimiento, y requirió al Estado que presentara información actualizada y detallada sobre la adopción de medidas destinadas a culminar con la investigación y el juzgamiento de las personas que ya se encontraban en el marco del proceso penal iniciado ante el Juzgado Segundo de Primera Instancia de San Francisco Gotera, al igual que las medidas adoptadas para continuar con la identificación y enjuiciamiento de otras posibles personas que hayan estado involucradas en los hechos concernientes a las masacres de El Mozote y lugares aledaños</w:t>
      </w:r>
      <w:r w:rsidR="00CE43A6" w:rsidRPr="00CC4B19">
        <w:rPr>
          <w:rStyle w:val="Refdenotaalpie"/>
          <w:rFonts w:ascii="Verdana" w:hAnsi="Verdana" w:cs="Arial"/>
          <w:sz w:val="20"/>
          <w:szCs w:val="20"/>
          <w:lang w:val="es-MX"/>
        </w:rPr>
        <w:footnoteReference w:id="18"/>
      </w:r>
      <w:r w:rsidR="00CE43A6" w:rsidRPr="00CC4B19">
        <w:rPr>
          <w:rFonts w:ascii="Verdana" w:hAnsi="Verdana" w:cs="Arial"/>
          <w:sz w:val="20"/>
          <w:szCs w:val="20"/>
          <w:lang w:val="es-MX"/>
        </w:rPr>
        <w:t xml:space="preserve">. </w:t>
      </w:r>
    </w:p>
    <w:p w14:paraId="78C42ED9" w14:textId="77777777" w:rsidR="00CE43A6" w:rsidRPr="004A11E5" w:rsidRDefault="00C4013E" w:rsidP="001E6BF9">
      <w:pPr>
        <w:pStyle w:val="Prrafodelista"/>
        <w:numPr>
          <w:ilvl w:val="0"/>
          <w:numId w:val="3"/>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Pr>
          <w:rFonts w:ascii="Verdana" w:hAnsi="Verdana" w:cs="Arial"/>
          <w:sz w:val="20"/>
          <w:szCs w:val="20"/>
          <w:lang w:val="es-MX"/>
        </w:rPr>
        <w:t>También, en</w:t>
      </w:r>
      <w:r w:rsidR="00CE43A6" w:rsidRPr="004A11E5">
        <w:rPr>
          <w:rFonts w:ascii="Verdana" w:hAnsi="Verdana" w:cs="Arial"/>
          <w:sz w:val="20"/>
          <w:szCs w:val="20"/>
          <w:lang w:val="es-MX"/>
        </w:rPr>
        <w:t xml:space="preserve"> la referida </w:t>
      </w:r>
      <w:r w:rsidR="00DC4437">
        <w:rPr>
          <w:rFonts w:ascii="Verdana" w:hAnsi="Verdana" w:cs="Arial"/>
          <w:sz w:val="20"/>
          <w:szCs w:val="20"/>
          <w:lang w:val="es-MX"/>
        </w:rPr>
        <w:t>sentencia de inconstitucionalidad</w:t>
      </w:r>
      <w:r w:rsidR="00CE43A6" w:rsidRPr="004A11E5">
        <w:rPr>
          <w:rFonts w:ascii="Verdana" w:hAnsi="Verdana" w:cs="Arial"/>
          <w:sz w:val="20"/>
          <w:szCs w:val="20"/>
          <w:lang w:val="es-MX"/>
        </w:rPr>
        <w:t xml:space="preserve"> de julio de 2016, la Sala de lo Constitucional reconoció que</w:t>
      </w:r>
      <w:r w:rsidR="00CE43A6">
        <w:rPr>
          <w:rFonts w:ascii="Verdana" w:hAnsi="Verdana" w:cs="Arial"/>
          <w:sz w:val="20"/>
          <w:szCs w:val="20"/>
          <w:lang w:val="es-MX"/>
        </w:rPr>
        <w:t>:</w:t>
      </w:r>
      <w:r w:rsidR="00CE43A6" w:rsidRPr="004A11E5">
        <w:rPr>
          <w:rFonts w:ascii="Verdana" w:hAnsi="Verdana" w:cs="Arial"/>
          <w:sz w:val="20"/>
          <w:szCs w:val="20"/>
          <w:lang w:val="es-MX"/>
        </w:rPr>
        <w:t xml:space="preserve"> </w:t>
      </w:r>
    </w:p>
    <w:p w14:paraId="194632F2" w14:textId="6D15E820" w:rsidR="00CE43A6" w:rsidRDefault="00CE43A6" w:rsidP="00CE43A6">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4A11E5">
        <w:rPr>
          <w:rFonts w:ascii="Verdana" w:hAnsi="Verdana"/>
          <w:sz w:val="16"/>
          <w:szCs w:val="16"/>
        </w:rPr>
        <w:t>[l]a nueva situación que se abr[ía] con esta sentencia constitucional pon[ía] en evidencia la necesidad de una regulación complementaria para la genuina transición democrática hacia la paz, que respete la dignidad humana y los derechos fundamentales de las víctimas, en especial, los derechos de acceso a la justicia y a la tutela judicial, el derecho a la reparación integral, el derecho a la verdad y la garantía de no repetición de los crímenes de lesa humanidad y crímenes de guerra constitutivos de graves violaciones al D[erecho Internacional Humanitario], debiéndose garantizar, en todo caso, el derecho</w:t>
      </w:r>
      <w:r w:rsidR="00C56C70">
        <w:rPr>
          <w:rFonts w:ascii="Verdana" w:hAnsi="Verdana"/>
          <w:sz w:val="16"/>
          <w:szCs w:val="16"/>
        </w:rPr>
        <w:t xml:space="preserve"> al debido proceso</w:t>
      </w:r>
      <w:r w:rsidRPr="004A11E5">
        <w:rPr>
          <w:rFonts w:ascii="Verdana" w:hAnsi="Verdana"/>
          <w:sz w:val="16"/>
          <w:szCs w:val="16"/>
        </w:rPr>
        <w:t xml:space="preserve"> de las personas investigadas y enjuiciadas por los hechos del conflicto armado</w:t>
      </w:r>
      <w:r w:rsidR="00C56C70">
        <w:rPr>
          <w:rFonts w:ascii="Verdana" w:hAnsi="Verdana"/>
          <w:sz w:val="16"/>
          <w:szCs w:val="16"/>
        </w:rPr>
        <w:t xml:space="preserve"> y que no pueden gozar de amnistía conforme a los parámetros de la presente sentencia</w:t>
      </w:r>
      <w:r w:rsidRPr="004A11E5">
        <w:rPr>
          <w:rStyle w:val="Refdenotaalpie"/>
          <w:rFonts w:ascii="Verdana" w:hAnsi="Verdana"/>
          <w:sz w:val="16"/>
          <w:szCs w:val="16"/>
        </w:rPr>
        <w:footnoteReference w:id="19"/>
      </w:r>
      <w:r w:rsidRPr="004A11E5">
        <w:rPr>
          <w:rFonts w:ascii="Verdana" w:hAnsi="Verdana"/>
          <w:sz w:val="16"/>
          <w:szCs w:val="16"/>
        </w:rPr>
        <w:t>.</w:t>
      </w:r>
      <w:r w:rsidRPr="001D29E4">
        <w:rPr>
          <w:rFonts w:ascii="Verdana" w:hAnsi="Verdana"/>
          <w:sz w:val="16"/>
          <w:szCs w:val="16"/>
        </w:rPr>
        <w:t xml:space="preserve"> </w:t>
      </w:r>
    </w:p>
    <w:p w14:paraId="351D27FC" w14:textId="77777777" w:rsidR="00CE43A6" w:rsidRPr="00D123FC" w:rsidRDefault="00CE43A6" w:rsidP="00CE43A6">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4"/>
          <w:szCs w:val="4"/>
        </w:rPr>
      </w:pPr>
    </w:p>
    <w:p w14:paraId="3A93BF9F" w14:textId="4DA8AE09" w:rsidR="00CE43A6" w:rsidRPr="0019593B" w:rsidRDefault="00CE43A6" w:rsidP="001E6BF9">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19593B">
        <w:rPr>
          <w:rFonts w:ascii="Verdana" w:hAnsi="Verdana" w:cs="Arial"/>
          <w:sz w:val="20"/>
          <w:szCs w:val="20"/>
          <w:lang w:val="es-MX"/>
        </w:rPr>
        <w:t xml:space="preserve">En ese sentido, dicho tribunal interno determinó que, </w:t>
      </w:r>
      <w:r w:rsidR="00C56C70">
        <w:rPr>
          <w:rFonts w:ascii="Verdana" w:hAnsi="Verdana" w:cs="Arial"/>
          <w:sz w:val="20"/>
          <w:szCs w:val="20"/>
          <w:lang w:val="es-MX"/>
        </w:rPr>
        <w:t>“</w:t>
      </w:r>
      <w:r w:rsidRPr="0019593B">
        <w:rPr>
          <w:rFonts w:ascii="Verdana" w:hAnsi="Verdana" w:cs="Arial"/>
          <w:sz w:val="20"/>
          <w:szCs w:val="20"/>
          <w:lang w:val="es-MX"/>
        </w:rPr>
        <w:t>en un plazo razonable</w:t>
      </w:r>
      <w:r w:rsidR="00C56C70">
        <w:rPr>
          <w:rFonts w:ascii="Verdana" w:hAnsi="Verdana" w:cs="Arial"/>
          <w:sz w:val="20"/>
          <w:szCs w:val="20"/>
          <w:lang w:val="es-MX"/>
        </w:rPr>
        <w:t>”</w:t>
      </w:r>
      <w:r w:rsidRPr="0019593B">
        <w:rPr>
          <w:rFonts w:ascii="Verdana" w:hAnsi="Verdana" w:cs="Arial"/>
          <w:sz w:val="20"/>
          <w:szCs w:val="20"/>
          <w:lang w:val="es-MX"/>
        </w:rPr>
        <w:t>, la Asamblea Legislativa de El Salvador debía:</w:t>
      </w:r>
    </w:p>
    <w:p w14:paraId="512AFEC4" w14:textId="3C0F119B" w:rsidR="00CE43A6" w:rsidRPr="006F1C7D" w:rsidRDefault="00CE43A6" w:rsidP="00CE43A6">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19593B">
        <w:rPr>
          <w:rFonts w:ascii="Verdana" w:hAnsi="Verdana"/>
          <w:sz w:val="16"/>
          <w:szCs w:val="16"/>
        </w:rPr>
        <w:t xml:space="preserve">[…] (i) regular los medios para garantizar el acceso a la información pública sobre los hechos y sus circunstancias relacionadas con </w:t>
      </w:r>
      <w:r w:rsidR="00C56C70">
        <w:rPr>
          <w:rFonts w:ascii="Verdana" w:hAnsi="Verdana"/>
          <w:sz w:val="16"/>
          <w:szCs w:val="16"/>
        </w:rPr>
        <w:t xml:space="preserve">los </w:t>
      </w:r>
      <w:r w:rsidRPr="0019593B">
        <w:rPr>
          <w:rFonts w:ascii="Verdana" w:hAnsi="Verdana"/>
          <w:sz w:val="16"/>
          <w:szCs w:val="16"/>
        </w:rPr>
        <w:t>crímenes de lesa humanidad y crímenes de guerra constitutivos de graves violaciones al D[erecho Internacional Humanitario], ocurridos durante el conflicto armado y atribuidos a ambas partes; (ii) disponer de los recursos adecuados para responder</w:t>
      </w:r>
      <w:r w:rsidR="00C56C70">
        <w:rPr>
          <w:rFonts w:ascii="Verdana" w:hAnsi="Verdana"/>
          <w:sz w:val="16"/>
          <w:szCs w:val="16"/>
        </w:rPr>
        <w:t>,</w:t>
      </w:r>
      <w:r w:rsidRPr="0019593B">
        <w:rPr>
          <w:rFonts w:ascii="Verdana" w:hAnsi="Verdana"/>
          <w:sz w:val="16"/>
          <w:szCs w:val="16"/>
        </w:rPr>
        <w:t xml:space="preserve"> en menor tiempo posible, a las exigencias de las víctimas y sus familiares y de la sociedad salvadoreña, respecto de las investigaciones, el enjuiciamiento, el esclarecimiento de la verdad y la sanción a los responsables de crímenes de lesa humanidad y crímenes de guerra constitutivos de graves violaciones al D[erecho Internacional Humanitario], </w:t>
      </w:r>
      <w:r w:rsidR="00C56C70">
        <w:rPr>
          <w:rFonts w:ascii="Verdana" w:hAnsi="Verdana"/>
          <w:sz w:val="16"/>
          <w:szCs w:val="16"/>
        </w:rPr>
        <w:t>sucedidas en</w:t>
      </w:r>
      <w:r w:rsidRPr="0019593B">
        <w:rPr>
          <w:rFonts w:ascii="Verdana" w:hAnsi="Verdana"/>
          <w:sz w:val="16"/>
          <w:szCs w:val="16"/>
        </w:rPr>
        <w:t xml:space="preserve"> el conflicto armado y atribuidos a ambas partes; y (iii) considerar las medidas de reparación integral a las víctimas que fuer</w:t>
      </w:r>
      <w:r w:rsidR="00C56C70">
        <w:rPr>
          <w:rFonts w:ascii="Verdana" w:hAnsi="Verdana"/>
          <w:sz w:val="16"/>
          <w:szCs w:val="16"/>
        </w:rPr>
        <w:t>e</w:t>
      </w:r>
      <w:r w:rsidRPr="0019593B">
        <w:rPr>
          <w:rFonts w:ascii="Verdana" w:hAnsi="Verdana"/>
          <w:sz w:val="16"/>
          <w:szCs w:val="16"/>
        </w:rPr>
        <w:t xml:space="preserve">n necesarias para </w:t>
      </w:r>
      <w:r w:rsidR="00C56C70">
        <w:rPr>
          <w:rFonts w:ascii="Verdana" w:hAnsi="Verdana"/>
          <w:sz w:val="16"/>
          <w:szCs w:val="16"/>
        </w:rPr>
        <w:t xml:space="preserve">garantizar </w:t>
      </w:r>
      <w:r w:rsidRPr="0019593B">
        <w:rPr>
          <w:rFonts w:ascii="Verdana" w:hAnsi="Verdana"/>
          <w:sz w:val="16"/>
          <w:szCs w:val="16"/>
        </w:rPr>
        <w:t xml:space="preserve">su satisfacción, compensación y reivindicación, así como las medidas de no repetición de los crímenes de lesa humanidad y crímenes de guerra constitutivos de graves violaciones al D[erecho Internacional Humanitario], tomando en cuenta los parámetros de </w:t>
      </w:r>
      <w:r w:rsidRPr="0019593B">
        <w:rPr>
          <w:rFonts w:ascii="Verdana" w:hAnsi="Verdana"/>
          <w:sz w:val="16"/>
          <w:szCs w:val="16"/>
        </w:rPr>
        <w:lastRenderedPageBreak/>
        <w:t xml:space="preserve">[esa] sentencia y los estándares de la justicia transicional desarrollados </w:t>
      </w:r>
      <w:r>
        <w:rPr>
          <w:rFonts w:ascii="Verdana" w:hAnsi="Verdana"/>
          <w:sz w:val="16"/>
          <w:szCs w:val="16"/>
        </w:rPr>
        <w:t xml:space="preserve">fundamentalmente </w:t>
      </w:r>
      <w:r w:rsidRPr="006F1C7D">
        <w:rPr>
          <w:rFonts w:ascii="Verdana" w:hAnsi="Verdana"/>
          <w:sz w:val="16"/>
          <w:szCs w:val="16"/>
        </w:rPr>
        <w:t>en la jurisprudencia de la Corte Interamericana de Derechos Humanos</w:t>
      </w:r>
      <w:r w:rsidR="00C56C70">
        <w:rPr>
          <w:rFonts w:ascii="Verdana" w:hAnsi="Verdana"/>
          <w:sz w:val="16"/>
          <w:szCs w:val="16"/>
        </w:rPr>
        <w:t xml:space="preserve"> y este tribunal</w:t>
      </w:r>
      <w:r w:rsidRPr="006F1C7D">
        <w:rPr>
          <w:rStyle w:val="Refdenotaalpie"/>
          <w:rFonts w:ascii="Verdana" w:hAnsi="Verdana"/>
          <w:sz w:val="16"/>
          <w:szCs w:val="16"/>
        </w:rPr>
        <w:footnoteReference w:id="20"/>
      </w:r>
      <w:r w:rsidRPr="006F1C7D">
        <w:rPr>
          <w:rFonts w:ascii="Verdana" w:hAnsi="Verdana"/>
          <w:sz w:val="16"/>
          <w:szCs w:val="16"/>
        </w:rPr>
        <w:t>.</w:t>
      </w:r>
    </w:p>
    <w:p w14:paraId="061BA824" w14:textId="77777777" w:rsidR="003A0683" w:rsidRPr="003A0683" w:rsidRDefault="003A0683" w:rsidP="00CE43A6">
      <w:pPr>
        <w:tabs>
          <w:tab w:val="left" w:pos="720"/>
        </w:tabs>
        <w:autoSpaceDE w:val="0"/>
        <w:autoSpaceDN w:val="0"/>
        <w:adjustRightInd w:val="0"/>
        <w:spacing w:before="120" w:after="120" w:line="240" w:lineRule="auto"/>
        <w:ind w:right="713"/>
        <w:jc w:val="both"/>
        <w:rPr>
          <w:rFonts w:ascii="Verdana" w:hAnsi="Verdana"/>
          <w:sz w:val="16"/>
          <w:szCs w:val="16"/>
        </w:rPr>
      </w:pPr>
    </w:p>
    <w:p w14:paraId="3B55D5D0" w14:textId="77777777" w:rsidR="00CE43A6" w:rsidRPr="006F1C7D" w:rsidRDefault="00CE43A6" w:rsidP="001E6BF9">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6F1C7D">
        <w:rPr>
          <w:rFonts w:ascii="Verdana" w:hAnsi="Verdana" w:cs="Arial"/>
          <w:sz w:val="20"/>
          <w:szCs w:val="20"/>
          <w:lang w:val="es-MX"/>
        </w:rPr>
        <w:t>Adicionalmente, al referirse a los “[c]asos excluidos de la amnistía”, la Sala de lo Constitucional indicó que consideraba “necesario establecer que, para los efectos de esta sentencia, se entenderá que los hechos que quedan excluidos de la amnistía son los atribuidos a ambas partes que puedan ser calificados como crímenes de lesa humanidad y crímenes de guerra constitutivos de graves violaciones al D[erecho Internacional Humanitario]”</w:t>
      </w:r>
      <w:r w:rsidRPr="006F1C7D">
        <w:rPr>
          <w:rStyle w:val="Refdenotaalpie"/>
          <w:rFonts w:ascii="Verdana" w:hAnsi="Verdana" w:cs="Arial"/>
          <w:lang w:val="es-MX"/>
        </w:rPr>
        <w:footnoteReference w:id="21"/>
      </w:r>
      <w:r w:rsidRPr="006F1C7D">
        <w:rPr>
          <w:rFonts w:ascii="Verdana" w:hAnsi="Verdana" w:cs="Arial"/>
          <w:sz w:val="20"/>
          <w:szCs w:val="20"/>
          <w:lang w:val="es-MX"/>
        </w:rPr>
        <w:t>.</w:t>
      </w:r>
    </w:p>
    <w:p w14:paraId="66F84E6C" w14:textId="5BAF8055" w:rsidR="00B419B0" w:rsidRDefault="009351E6" w:rsidP="00DE2ED3">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DE2ED3">
        <w:rPr>
          <w:rFonts w:ascii="Verdana" w:hAnsi="Verdana" w:cs="Arial"/>
          <w:sz w:val="20"/>
          <w:szCs w:val="20"/>
          <w:lang w:val="es-MX"/>
        </w:rPr>
        <w:t>En fase de ejecución de sentencia, l</w:t>
      </w:r>
      <w:r w:rsidR="00221B53" w:rsidRPr="00DE2ED3">
        <w:rPr>
          <w:rFonts w:ascii="Verdana" w:hAnsi="Verdana" w:cs="Arial"/>
          <w:sz w:val="20"/>
          <w:szCs w:val="20"/>
          <w:lang w:val="es-MX"/>
        </w:rPr>
        <w:t xml:space="preserve">a Sala de lo Constitucional </w:t>
      </w:r>
      <w:r w:rsidRPr="00DE2ED3">
        <w:rPr>
          <w:rFonts w:ascii="Verdana" w:hAnsi="Verdana" w:cs="Arial"/>
          <w:sz w:val="20"/>
          <w:szCs w:val="20"/>
          <w:lang w:val="es-MX"/>
        </w:rPr>
        <w:t xml:space="preserve">ha dado seguimiento al cumplimiento de la referida sentencia </w:t>
      </w:r>
      <w:r w:rsidR="00DC4437" w:rsidRPr="00DE2ED3">
        <w:rPr>
          <w:rFonts w:ascii="Verdana" w:hAnsi="Verdana" w:cs="Arial"/>
          <w:sz w:val="20"/>
          <w:szCs w:val="20"/>
          <w:lang w:val="es-MX"/>
        </w:rPr>
        <w:t xml:space="preserve">de inconstitucionalidad </w:t>
      </w:r>
      <w:r w:rsidRPr="00DE2ED3">
        <w:rPr>
          <w:rFonts w:ascii="Verdana" w:hAnsi="Verdana" w:cs="Arial"/>
          <w:sz w:val="20"/>
          <w:szCs w:val="20"/>
          <w:lang w:val="es-MX"/>
        </w:rPr>
        <w:t>de julio de 2016</w:t>
      </w:r>
      <w:r w:rsidR="00DC4437" w:rsidRPr="00DE2ED3">
        <w:rPr>
          <w:rFonts w:ascii="Verdana" w:hAnsi="Verdana" w:cs="Arial"/>
          <w:sz w:val="20"/>
          <w:szCs w:val="20"/>
          <w:lang w:val="es-MX"/>
        </w:rPr>
        <w:t xml:space="preserve">, </w:t>
      </w:r>
      <w:r w:rsidR="00DE2ED3" w:rsidRPr="00DE2ED3">
        <w:rPr>
          <w:rFonts w:ascii="Verdana" w:hAnsi="Verdana" w:cs="Arial"/>
          <w:sz w:val="20"/>
          <w:szCs w:val="20"/>
          <w:lang w:val="es-MX"/>
        </w:rPr>
        <w:t xml:space="preserve">determinando a cuáles órganos del Estado les compete la adopción de acciones para su cumplimiento y brindando pautas para su implementación. En el marco del seguimiento </w:t>
      </w:r>
      <w:r w:rsidR="00DA559A">
        <w:rPr>
          <w:rFonts w:ascii="Verdana" w:hAnsi="Verdana" w:cs="Arial"/>
          <w:sz w:val="20"/>
          <w:szCs w:val="20"/>
          <w:lang w:val="es-MX"/>
        </w:rPr>
        <w:t xml:space="preserve">del cumplimiento </w:t>
      </w:r>
      <w:r w:rsidR="00DE2ED3" w:rsidRPr="00DE2ED3">
        <w:rPr>
          <w:rFonts w:ascii="Verdana" w:hAnsi="Verdana" w:cs="Arial"/>
          <w:sz w:val="20"/>
          <w:szCs w:val="20"/>
          <w:lang w:val="es-MX"/>
        </w:rPr>
        <w:t xml:space="preserve">de la referida </w:t>
      </w:r>
      <w:r w:rsidR="00DE2ED3">
        <w:rPr>
          <w:rFonts w:ascii="Verdana" w:hAnsi="Verdana" w:cs="Arial"/>
          <w:sz w:val="20"/>
          <w:szCs w:val="20"/>
          <w:lang w:val="es-MX"/>
        </w:rPr>
        <w:t>sentencia</w:t>
      </w:r>
      <w:r w:rsidR="00DE2ED3" w:rsidRPr="00DE2ED3">
        <w:rPr>
          <w:rFonts w:ascii="Verdana" w:hAnsi="Verdana" w:cs="Arial"/>
          <w:sz w:val="20"/>
          <w:szCs w:val="20"/>
          <w:lang w:val="es-MX"/>
        </w:rPr>
        <w:t xml:space="preserve">, </w:t>
      </w:r>
      <w:r w:rsidR="00DE2ED3">
        <w:rPr>
          <w:rFonts w:ascii="Verdana" w:hAnsi="Verdana" w:cs="Arial"/>
          <w:sz w:val="20"/>
          <w:szCs w:val="20"/>
          <w:lang w:val="es-MX"/>
        </w:rPr>
        <w:t xml:space="preserve">ha realizado </w:t>
      </w:r>
      <w:r w:rsidR="00DE2ED3" w:rsidRPr="00DE2ED3">
        <w:rPr>
          <w:rFonts w:ascii="Verdana" w:hAnsi="Verdana" w:cs="Arial"/>
          <w:sz w:val="20"/>
          <w:szCs w:val="20"/>
          <w:lang w:val="es-MX"/>
        </w:rPr>
        <w:t xml:space="preserve">dos audiencias públicas de seguimiento </w:t>
      </w:r>
      <w:r w:rsidR="009100DF" w:rsidRPr="00DE2ED3">
        <w:rPr>
          <w:rFonts w:ascii="Verdana" w:hAnsi="Verdana" w:cs="Arial"/>
          <w:sz w:val="20"/>
          <w:szCs w:val="20"/>
          <w:lang w:val="es-MX"/>
        </w:rPr>
        <w:t xml:space="preserve">en julio de 2017 y junio de 2018 </w:t>
      </w:r>
      <w:r w:rsidR="00DC4437" w:rsidRPr="00DE2ED3">
        <w:rPr>
          <w:rFonts w:ascii="Verdana" w:hAnsi="Verdana" w:cs="Arial"/>
          <w:sz w:val="20"/>
          <w:szCs w:val="20"/>
          <w:lang w:val="es-MX"/>
        </w:rPr>
        <w:t xml:space="preserve">y </w:t>
      </w:r>
      <w:r w:rsidR="009100DF" w:rsidRPr="00DE2ED3">
        <w:rPr>
          <w:rFonts w:ascii="Verdana" w:hAnsi="Verdana" w:cs="Arial"/>
          <w:sz w:val="20"/>
          <w:szCs w:val="20"/>
          <w:lang w:val="es-MX"/>
        </w:rPr>
        <w:t xml:space="preserve">ha </w:t>
      </w:r>
      <w:r w:rsidR="00DC4437" w:rsidRPr="00DE2ED3">
        <w:rPr>
          <w:rFonts w:ascii="Verdana" w:hAnsi="Verdana" w:cs="Arial"/>
          <w:sz w:val="20"/>
          <w:szCs w:val="20"/>
          <w:lang w:val="es-MX"/>
        </w:rPr>
        <w:t>emitido resoluciones de seguimiento</w:t>
      </w:r>
      <w:r w:rsidR="00C93061">
        <w:rPr>
          <w:rStyle w:val="Refdenotaalpie"/>
          <w:rFonts w:ascii="Verdana" w:hAnsi="Verdana" w:cs="Arial"/>
          <w:sz w:val="20"/>
          <w:szCs w:val="20"/>
          <w:lang w:val="es-MX"/>
        </w:rPr>
        <w:footnoteReference w:id="22"/>
      </w:r>
      <w:r w:rsidRPr="00DE2ED3">
        <w:rPr>
          <w:rFonts w:ascii="Verdana" w:hAnsi="Verdana" w:cs="Arial"/>
          <w:sz w:val="20"/>
          <w:szCs w:val="20"/>
          <w:lang w:val="es-MX"/>
        </w:rPr>
        <w:t xml:space="preserve">. </w:t>
      </w:r>
      <w:r w:rsidR="009100DF" w:rsidRPr="00DE2ED3">
        <w:rPr>
          <w:rFonts w:ascii="Verdana" w:hAnsi="Verdana" w:cs="Arial"/>
          <w:sz w:val="20"/>
          <w:szCs w:val="20"/>
          <w:lang w:val="es-MX"/>
        </w:rPr>
        <w:t xml:space="preserve">En la resolución de 7 de julio de 2017, la Sala de lo Constitucional </w:t>
      </w:r>
      <w:r w:rsidRPr="00DE2ED3">
        <w:rPr>
          <w:rFonts w:ascii="Verdana" w:hAnsi="Verdana" w:cs="Arial"/>
          <w:sz w:val="20"/>
          <w:szCs w:val="20"/>
          <w:lang w:val="es-MX"/>
        </w:rPr>
        <w:t xml:space="preserve">indicó que las obligaciones contenidas en </w:t>
      </w:r>
      <w:r w:rsidR="009100DF" w:rsidRPr="00DE2ED3">
        <w:rPr>
          <w:rFonts w:ascii="Verdana" w:hAnsi="Verdana" w:cs="Arial"/>
          <w:sz w:val="20"/>
          <w:szCs w:val="20"/>
          <w:lang w:val="es-MX"/>
        </w:rPr>
        <w:t>su</w:t>
      </w:r>
      <w:r w:rsidRPr="00DE2ED3">
        <w:rPr>
          <w:rFonts w:ascii="Verdana" w:hAnsi="Verdana" w:cs="Arial"/>
          <w:sz w:val="20"/>
          <w:szCs w:val="20"/>
          <w:lang w:val="es-MX"/>
        </w:rPr>
        <w:t xml:space="preserve"> sentencia </w:t>
      </w:r>
      <w:r w:rsidR="009100DF" w:rsidRPr="00DE2ED3">
        <w:rPr>
          <w:rFonts w:ascii="Verdana" w:hAnsi="Verdana" w:cs="Arial"/>
          <w:sz w:val="20"/>
          <w:szCs w:val="20"/>
          <w:lang w:val="es-MX"/>
        </w:rPr>
        <w:t>de inconstitucionalidad de julio de 2016</w:t>
      </w:r>
      <w:r w:rsidRPr="00DE2ED3">
        <w:rPr>
          <w:rFonts w:ascii="Verdana" w:hAnsi="Verdana" w:cs="Arial"/>
          <w:sz w:val="20"/>
          <w:szCs w:val="20"/>
          <w:lang w:val="es-MX"/>
        </w:rPr>
        <w:t xml:space="preserve"> </w:t>
      </w:r>
      <w:r w:rsidR="00C93061">
        <w:rPr>
          <w:rFonts w:ascii="Verdana" w:hAnsi="Verdana" w:cs="Arial"/>
          <w:sz w:val="20"/>
          <w:szCs w:val="20"/>
          <w:lang w:val="es-MX"/>
        </w:rPr>
        <w:t>“</w:t>
      </w:r>
      <w:r w:rsidRPr="00DE2ED3">
        <w:rPr>
          <w:rFonts w:ascii="Verdana" w:hAnsi="Verdana" w:cs="Arial"/>
          <w:sz w:val="20"/>
          <w:szCs w:val="20"/>
          <w:lang w:val="es-MX"/>
        </w:rPr>
        <w:t xml:space="preserve">no debían interpretarse y aplicarse como un deber exclusivo y aislado del </w:t>
      </w:r>
      <w:r w:rsidR="00753405" w:rsidRPr="00DE2ED3">
        <w:rPr>
          <w:rFonts w:ascii="Verdana" w:hAnsi="Verdana" w:cs="Arial"/>
          <w:sz w:val="20"/>
          <w:szCs w:val="20"/>
          <w:lang w:val="es-MX"/>
        </w:rPr>
        <w:t>Ó</w:t>
      </w:r>
      <w:r w:rsidRPr="00DE2ED3">
        <w:rPr>
          <w:rFonts w:ascii="Verdana" w:hAnsi="Verdana" w:cs="Arial"/>
          <w:sz w:val="20"/>
          <w:szCs w:val="20"/>
          <w:lang w:val="es-MX"/>
        </w:rPr>
        <w:t xml:space="preserve">rgano </w:t>
      </w:r>
      <w:r w:rsidR="00753405" w:rsidRPr="00DE2ED3">
        <w:rPr>
          <w:rFonts w:ascii="Verdana" w:hAnsi="Verdana" w:cs="Arial"/>
          <w:sz w:val="20"/>
          <w:szCs w:val="20"/>
          <w:lang w:val="es-MX"/>
        </w:rPr>
        <w:t>L</w:t>
      </w:r>
      <w:r w:rsidRPr="00DE2ED3">
        <w:rPr>
          <w:rFonts w:ascii="Verdana" w:hAnsi="Verdana" w:cs="Arial"/>
          <w:sz w:val="20"/>
          <w:szCs w:val="20"/>
          <w:lang w:val="es-MX"/>
        </w:rPr>
        <w:t xml:space="preserve">egislativo, sino que </w:t>
      </w:r>
      <w:r w:rsidR="00C93061">
        <w:rPr>
          <w:rFonts w:ascii="Verdana" w:hAnsi="Verdana" w:cs="Arial"/>
          <w:sz w:val="20"/>
          <w:szCs w:val="20"/>
          <w:lang w:val="es-MX"/>
        </w:rPr>
        <w:t>la</w:t>
      </w:r>
      <w:r w:rsidRPr="00DE2ED3">
        <w:rPr>
          <w:rFonts w:ascii="Verdana" w:hAnsi="Verdana" w:cs="Arial"/>
          <w:sz w:val="20"/>
          <w:szCs w:val="20"/>
          <w:lang w:val="es-MX"/>
        </w:rPr>
        <w:t xml:space="preserve"> naturaleza </w:t>
      </w:r>
      <w:r w:rsidR="00C93061">
        <w:rPr>
          <w:rFonts w:ascii="Verdana" w:hAnsi="Verdana" w:cs="Arial"/>
          <w:sz w:val="20"/>
          <w:szCs w:val="20"/>
          <w:lang w:val="es-MX"/>
        </w:rPr>
        <w:t xml:space="preserve">especial de éstas </w:t>
      </w:r>
      <w:r w:rsidR="00C93061" w:rsidRPr="00DE2ED3">
        <w:rPr>
          <w:rFonts w:ascii="Verdana" w:hAnsi="Verdana" w:cs="Arial"/>
          <w:sz w:val="20"/>
          <w:szCs w:val="20"/>
          <w:lang w:val="es-MX"/>
        </w:rPr>
        <w:t>requ</w:t>
      </w:r>
      <w:r w:rsidR="00C93061">
        <w:rPr>
          <w:rFonts w:ascii="Verdana" w:hAnsi="Verdana" w:cs="Arial"/>
          <w:sz w:val="20"/>
          <w:szCs w:val="20"/>
          <w:lang w:val="es-MX"/>
        </w:rPr>
        <w:t>iere</w:t>
      </w:r>
      <w:r w:rsidR="00C93061" w:rsidRPr="00DE2ED3">
        <w:rPr>
          <w:rFonts w:ascii="Verdana" w:hAnsi="Verdana" w:cs="Arial"/>
          <w:sz w:val="20"/>
          <w:szCs w:val="20"/>
          <w:lang w:val="es-MX"/>
        </w:rPr>
        <w:t xml:space="preserve"> </w:t>
      </w:r>
      <w:r w:rsidR="00C93061">
        <w:rPr>
          <w:rFonts w:ascii="Verdana" w:hAnsi="Verdana" w:cs="Arial"/>
          <w:sz w:val="20"/>
          <w:szCs w:val="20"/>
          <w:lang w:val="es-MX"/>
        </w:rPr>
        <w:t>una</w:t>
      </w:r>
      <w:r w:rsidR="00C93061" w:rsidRPr="00DE2ED3">
        <w:rPr>
          <w:rFonts w:ascii="Verdana" w:hAnsi="Verdana" w:cs="Arial"/>
          <w:sz w:val="20"/>
          <w:szCs w:val="20"/>
          <w:lang w:val="es-MX"/>
        </w:rPr>
        <w:t xml:space="preserve"> </w:t>
      </w:r>
      <w:r w:rsidRPr="00DE2ED3">
        <w:rPr>
          <w:rFonts w:ascii="Verdana" w:hAnsi="Verdana" w:cs="Arial"/>
          <w:sz w:val="20"/>
          <w:szCs w:val="20"/>
          <w:lang w:val="es-MX"/>
        </w:rPr>
        <w:t xml:space="preserve">colaboración coordinada con el </w:t>
      </w:r>
      <w:r w:rsidR="00753405" w:rsidRPr="00DE2ED3">
        <w:rPr>
          <w:rFonts w:ascii="Verdana" w:hAnsi="Verdana" w:cs="Arial"/>
          <w:sz w:val="20"/>
          <w:szCs w:val="20"/>
          <w:lang w:val="es-MX"/>
        </w:rPr>
        <w:t>Ó</w:t>
      </w:r>
      <w:r w:rsidRPr="00DE2ED3">
        <w:rPr>
          <w:rFonts w:ascii="Verdana" w:hAnsi="Verdana" w:cs="Arial"/>
          <w:sz w:val="20"/>
          <w:szCs w:val="20"/>
          <w:lang w:val="es-MX"/>
        </w:rPr>
        <w:t xml:space="preserve">rgano </w:t>
      </w:r>
      <w:r w:rsidR="00753405" w:rsidRPr="00DE2ED3">
        <w:rPr>
          <w:rFonts w:ascii="Verdana" w:hAnsi="Verdana" w:cs="Arial"/>
          <w:sz w:val="20"/>
          <w:szCs w:val="20"/>
          <w:lang w:val="es-MX"/>
        </w:rPr>
        <w:t>E</w:t>
      </w:r>
      <w:r w:rsidRPr="00DE2ED3">
        <w:rPr>
          <w:rFonts w:ascii="Verdana" w:hAnsi="Verdana" w:cs="Arial"/>
          <w:sz w:val="20"/>
          <w:szCs w:val="20"/>
          <w:lang w:val="es-MX"/>
        </w:rPr>
        <w:t>jecutivo y la Fiscalía General de la Rep</w:t>
      </w:r>
      <w:r w:rsidR="00C93061">
        <w:rPr>
          <w:rFonts w:ascii="Verdana" w:hAnsi="Verdana" w:cs="Arial"/>
          <w:sz w:val="20"/>
          <w:szCs w:val="20"/>
          <w:lang w:val="es-MX"/>
        </w:rPr>
        <w:t>ú</w:t>
      </w:r>
      <w:r w:rsidRPr="00DE2ED3">
        <w:rPr>
          <w:rFonts w:ascii="Verdana" w:hAnsi="Verdana" w:cs="Arial"/>
          <w:sz w:val="20"/>
          <w:szCs w:val="20"/>
          <w:lang w:val="es-MX"/>
        </w:rPr>
        <w:t>blica</w:t>
      </w:r>
      <w:r w:rsidR="00C93061">
        <w:rPr>
          <w:rFonts w:ascii="Verdana" w:hAnsi="Verdana" w:cs="Arial"/>
          <w:sz w:val="20"/>
          <w:szCs w:val="20"/>
          <w:lang w:val="es-MX"/>
        </w:rPr>
        <w:t>”</w:t>
      </w:r>
      <w:r w:rsidRPr="00DE2ED3">
        <w:rPr>
          <w:rFonts w:ascii="Verdana" w:hAnsi="Verdana" w:cs="Arial"/>
          <w:sz w:val="20"/>
          <w:szCs w:val="20"/>
          <w:lang w:val="es-MX"/>
        </w:rPr>
        <w:t xml:space="preserve">. </w:t>
      </w:r>
      <w:r w:rsidR="000466B1">
        <w:rPr>
          <w:rFonts w:ascii="Verdana" w:hAnsi="Verdana" w:cs="Arial"/>
          <w:sz w:val="20"/>
          <w:szCs w:val="20"/>
          <w:lang w:val="es-MX"/>
        </w:rPr>
        <w:t xml:space="preserve">Posteriormente, en la resolución de </w:t>
      </w:r>
      <w:r w:rsidR="00C558FB" w:rsidRPr="00DE2ED3">
        <w:rPr>
          <w:rFonts w:ascii="Verdana" w:hAnsi="Verdana" w:cs="Arial"/>
          <w:sz w:val="20"/>
          <w:szCs w:val="20"/>
          <w:lang w:val="es-MX"/>
        </w:rPr>
        <w:t xml:space="preserve">13 de julio de 2018, </w:t>
      </w:r>
      <w:r w:rsidR="009100DF" w:rsidRPr="00DE2ED3">
        <w:rPr>
          <w:rFonts w:ascii="Verdana" w:hAnsi="Verdana" w:cs="Arial"/>
          <w:sz w:val="20"/>
          <w:szCs w:val="20"/>
          <w:lang w:val="es-MX"/>
        </w:rPr>
        <w:t xml:space="preserve">con base en la información presentada por los referidos órganos estatales, </w:t>
      </w:r>
      <w:r w:rsidR="000466B1">
        <w:rPr>
          <w:rFonts w:ascii="Verdana" w:hAnsi="Verdana" w:cs="Arial"/>
          <w:sz w:val="20"/>
          <w:szCs w:val="20"/>
          <w:lang w:val="es-MX"/>
        </w:rPr>
        <w:t xml:space="preserve">la Sala de lo Constitucional </w:t>
      </w:r>
      <w:r w:rsidR="00C93061">
        <w:rPr>
          <w:rFonts w:ascii="Verdana" w:hAnsi="Verdana" w:cs="Arial"/>
          <w:sz w:val="20"/>
          <w:szCs w:val="20"/>
          <w:lang w:val="es-MX"/>
        </w:rPr>
        <w:t>resolvió</w:t>
      </w:r>
      <w:r w:rsidR="009100DF" w:rsidRPr="00DE2ED3">
        <w:rPr>
          <w:rFonts w:ascii="Verdana" w:hAnsi="Verdana" w:cs="Arial"/>
          <w:sz w:val="20"/>
          <w:szCs w:val="20"/>
          <w:lang w:val="es-MX"/>
        </w:rPr>
        <w:t xml:space="preserve">, entre otros aspectos, </w:t>
      </w:r>
      <w:r w:rsidR="000D481E" w:rsidRPr="00DE2ED3">
        <w:rPr>
          <w:rFonts w:ascii="Verdana" w:hAnsi="Verdana" w:cs="Arial"/>
          <w:sz w:val="20"/>
          <w:szCs w:val="20"/>
          <w:lang w:val="es-MX"/>
        </w:rPr>
        <w:t>“t[</w:t>
      </w:r>
      <w:r w:rsidR="009100DF" w:rsidRPr="00DE2ED3">
        <w:rPr>
          <w:rFonts w:ascii="Verdana" w:hAnsi="Verdana" w:cs="Arial"/>
          <w:sz w:val="20"/>
          <w:szCs w:val="20"/>
          <w:lang w:val="es-MX"/>
        </w:rPr>
        <w:t>ener</w:t>
      </w:r>
      <w:r w:rsidR="000D481E" w:rsidRPr="00DE2ED3">
        <w:rPr>
          <w:rFonts w:ascii="Verdana" w:hAnsi="Verdana" w:cs="Arial"/>
          <w:sz w:val="20"/>
          <w:szCs w:val="20"/>
          <w:lang w:val="es-MX"/>
        </w:rPr>
        <w:t xml:space="preserve">] por incumplida </w:t>
      </w:r>
      <w:r w:rsidR="00C93061">
        <w:rPr>
          <w:rFonts w:ascii="Verdana" w:hAnsi="Verdana" w:cs="Arial"/>
          <w:sz w:val="20"/>
          <w:szCs w:val="20"/>
          <w:lang w:val="es-MX"/>
        </w:rPr>
        <w:t>[</w:t>
      </w:r>
      <w:r w:rsidR="000D481E" w:rsidRPr="00DE2ED3">
        <w:rPr>
          <w:rFonts w:ascii="Verdana" w:hAnsi="Verdana" w:cs="Arial"/>
          <w:sz w:val="20"/>
          <w:szCs w:val="20"/>
          <w:lang w:val="es-MX"/>
        </w:rPr>
        <w:t>su</w:t>
      </w:r>
      <w:r w:rsidR="00C93061">
        <w:rPr>
          <w:rFonts w:ascii="Verdana" w:hAnsi="Verdana" w:cs="Arial"/>
          <w:sz w:val="20"/>
          <w:szCs w:val="20"/>
          <w:lang w:val="es-MX"/>
        </w:rPr>
        <w:t>]</w:t>
      </w:r>
      <w:r w:rsidR="000D481E" w:rsidRPr="00DE2ED3">
        <w:rPr>
          <w:rFonts w:ascii="Verdana" w:hAnsi="Verdana" w:cs="Arial"/>
          <w:sz w:val="20"/>
          <w:szCs w:val="20"/>
          <w:lang w:val="es-MX"/>
        </w:rPr>
        <w:t xml:space="preserve"> sentencia” de</w:t>
      </w:r>
      <w:r w:rsidR="009100DF" w:rsidRPr="00DE2ED3">
        <w:rPr>
          <w:rFonts w:ascii="Verdana" w:hAnsi="Verdana" w:cs="Arial"/>
          <w:sz w:val="20"/>
          <w:szCs w:val="20"/>
          <w:lang w:val="es-MX"/>
        </w:rPr>
        <w:t xml:space="preserve"> inconstitucionalidad de</w:t>
      </w:r>
      <w:r w:rsidR="000D481E" w:rsidRPr="00DE2ED3">
        <w:rPr>
          <w:rFonts w:ascii="Verdana" w:hAnsi="Verdana" w:cs="Arial"/>
          <w:sz w:val="20"/>
          <w:szCs w:val="20"/>
          <w:lang w:val="es-MX"/>
        </w:rPr>
        <w:t xml:space="preserve"> julio de 2016 por parte del Órgano Legislativo, ya que “a dos años de [su] pronuncia[miento,] la Asamblea Legislativa no ha</w:t>
      </w:r>
      <w:r w:rsidR="009100DF" w:rsidRPr="00DE2ED3">
        <w:rPr>
          <w:rFonts w:ascii="Verdana" w:hAnsi="Verdana" w:cs="Arial"/>
          <w:sz w:val="20"/>
          <w:szCs w:val="20"/>
          <w:lang w:val="es-MX"/>
        </w:rPr>
        <w:t>[bía]</w:t>
      </w:r>
      <w:r w:rsidR="000D481E" w:rsidRPr="00DE2ED3">
        <w:rPr>
          <w:rFonts w:ascii="Verdana" w:hAnsi="Verdana" w:cs="Arial"/>
          <w:sz w:val="20"/>
          <w:szCs w:val="20"/>
          <w:lang w:val="es-MX"/>
        </w:rPr>
        <w:t xml:space="preserve"> promulgado una nueva ley de reconciliación nacional y de asistencia a víctimas que tenga en cuenta sus derechos y todas aquellas medidas que se relacionen con la conservación y fomento de la memoria histórica”. Por esta razón, la Sala de lo Constitucional </w:t>
      </w:r>
      <w:r w:rsidR="000466B1">
        <w:rPr>
          <w:rFonts w:ascii="Verdana" w:hAnsi="Verdana" w:cs="Arial"/>
          <w:sz w:val="20"/>
          <w:szCs w:val="20"/>
          <w:lang w:val="es-MX"/>
        </w:rPr>
        <w:t xml:space="preserve">brindó “algunas puntualizaciones necesarias para su correcta elaboración” y </w:t>
      </w:r>
      <w:r w:rsidR="000D481E" w:rsidRPr="00DE2ED3">
        <w:rPr>
          <w:rFonts w:ascii="Verdana" w:hAnsi="Verdana" w:cs="Arial"/>
          <w:sz w:val="20"/>
          <w:szCs w:val="20"/>
          <w:lang w:val="es-MX"/>
        </w:rPr>
        <w:t>dispuso que “dicho órgano de Estado deberá emitir dicha normativa a más tardar el día 13 de [julio] de 2019- fecha impostergable”</w:t>
      </w:r>
      <w:r w:rsidR="000466B1">
        <w:rPr>
          <w:rFonts w:ascii="Verdana" w:hAnsi="Verdana" w:cs="Arial"/>
          <w:sz w:val="20"/>
          <w:szCs w:val="20"/>
          <w:lang w:val="es-MX"/>
        </w:rPr>
        <w:t xml:space="preserve">. Además, </w:t>
      </w:r>
      <w:r w:rsidR="000D481E" w:rsidRPr="00DE2ED3">
        <w:rPr>
          <w:rFonts w:ascii="Verdana" w:hAnsi="Verdana" w:cs="Arial"/>
          <w:sz w:val="20"/>
          <w:szCs w:val="20"/>
          <w:lang w:val="es-MX"/>
        </w:rPr>
        <w:t>especificó que “[e]n su elaboración deberá tenerse en cuenta la consulta con las víctimas del conflicto armado, las asociaciones que las representan y otros sectores de la sociedad que se muestren interesados en contribuir a los fines de su elaboración”</w:t>
      </w:r>
      <w:r w:rsidR="00CF162A" w:rsidRPr="009100DF">
        <w:rPr>
          <w:rStyle w:val="Refdenotaalpie"/>
          <w:rFonts w:ascii="Verdana" w:hAnsi="Verdana" w:cs="Arial"/>
          <w:sz w:val="20"/>
          <w:szCs w:val="20"/>
          <w:lang w:val="es-MX"/>
        </w:rPr>
        <w:footnoteReference w:id="23"/>
      </w:r>
      <w:r w:rsidR="000D481E" w:rsidRPr="00DE2ED3">
        <w:rPr>
          <w:rFonts w:ascii="Verdana" w:hAnsi="Verdana" w:cs="Arial"/>
          <w:sz w:val="20"/>
          <w:szCs w:val="20"/>
          <w:lang w:val="es-MX"/>
        </w:rPr>
        <w:t xml:space="preserve">. </w:t>
      </w:r>
    </w:p>
    <w:p w14:paraId="244BA1BC" w14:textId="77777777" w:rsidR="000466B1" w:rsidRPr="009A7584" w:rsidRDefault="000466B1" w:rsidP="005E663D">
      <w:pPr>
        <w:pStyle w:val="Prrafodelista"/>
        <w:numPr>
          <w:ilvl w:val="0"/>
          <w:numId w:val="15"/>
        </w:numPr>
        <w:autoSpaceDE w:val="0"/>
        <w:autoSpaceDN w:val="0"/>
        <w:adjustRightInd w:val="0"/>
        <w:spacing w:before="120" w:after="120" w:line="240" w:lineRule="auto"/>
        <w:contextualSpacing w:val="0"/>
        <w:jc w:val="both"/>
        <w:outlineLvl w:val="0"/>
        <w:rPr>
          <w:rFonts w:ascii="Verdana" w:hAnsi="Verdana"/>
          <w:b/>
          <w:i/>
          <w:sz w:val="20"/>
          <w:szCs w:val="20"/>
        </w:rPr>
      </w:pPr>
      <w:bookmarkStart w:id="7" w:name="_Toc17111743"/>
      <w:r>
        <w:rPr>
          <w:rFonts w:ascii="Verdana" w:hAnsi="Verdana"/>
          <w:b/>
          <w:i/>
          <w:sz w:val="20"/>
          <w:szCs w:val="20"/>
        </w:rPr>
        <w:lastRenderedPageBreak/>
        <w:t xml:space="preserve">Solicitud de medidas provisionales </w:t>
      </w:r>
      <w:r w:rsidRPr="009A7584">
        <w:rPr>
          <w:rFonts w:ascii="Verdana" w:hAnsi="Verdana"/>
          <w:b/>
          <w:i/>
          <w:sz w:val="20"/>
          <w:szCs w:val="20"/>
        </w:rPr>
        <w:t>presentada por l</w:t>
      </w:r>
      <w:r>
        <w:rPr>
          <w:rFonts w:ascii="Verdana" w:hAnsi="Verdana"/>
          <w:b/>
          <w:i/>
          <w:sz w:val="20"/>
          <w:szCs w:val="20"/>
        </w:rPr>
        <w:t>o</w:t>
      </w:r>
      <w:r w:rsidRPr="009A7584">
        <w:rPr>
          <w:rFonts w:ascii="Verdana" w:hAnsi="Verdana"/>
          <w:b/>
          <w:i/>
          <w:sz w:val="20"/>
          <w:szCs w:val="20"/>
        </w:rPr>
        <w:t xml:space="preserve">s representantes de las víctimas </w:t>
      </w:r>
      <w:r>
        <w:rPr>
          <w:rFonts w:ascii="Verdana" w:hAnsi="Verdana"/>
          <w:b/>
          <w:i/>
          <w:sz w:val="20"/>
          <w:szCs w:val="20"/>
        </w:rPr>
        <w:t>y observaciones del Estado y la Comisión</w:t>
      </w:r>
      <w:bookmarkEnd w:id="7"/>
    </w:p>
    <w:p w14:paraId="5AE39996" w14:textId="30315512" w:rsidR="0017642D" w:rsidRPr="0017642D" w:rsidRDefault="00043671" w:rsidP="0017642D">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6F1C7D">
        <w:rPr>
          <w:rFonts w:ascii="Verdana" w:hAnsi="Verdana" w:cs="Arial"/>
          <w:sz w:val="20"/>
          <w:szCs w:val="20"/>
          <w:lang w:val="es-MX"/>
        </w:rPr>
        <w:t xml:space="preserve">El 24 de mayo de 2019 los representantes de las víctimas del </w:t>
      </w:r>
      <w:r w:rsidRPr="006F1C7D">
        <w:rPr>
          <w:rFonts w:ascii="Verdana" w:hAnsi="Verdana" w:cs="Arial"/>
          <w:i/>
          <w:iCs/>
          <w:sz w:val="20"/>
          <w:szCs w:val="20"/>
          <w:lang w:val="es-MX"/>
        </w:rPr>
        <w:t>caso Masacres de El Mozote y lugares aledaños</w:t>
      </w:r>
      <w:r w:rsidRPr="006F1C7D">
        <w:rPr>
          <w:rFonts w:ascii="Verdana" w:hAnsi="Verdana" w:cs="Arial"/>
          <w:sz w:val="20"/>
          <w:szCs w:val="20"/>
          <w:lang w:val="es-MX"/>
        </w:rPr>
        <w:t xml:space="preserve">, presentaron a la Corte una solicitud de medidas provisionales por el </w:t>
      </w:r>
      <w:r w:rsidR="00CE43A6" w:rsidRPr="006F1C7D">
        <w:rPr>
          <w:rFonts w:ascii="Verdana" w:hAnsi="Verdana" w:cs="Arial"/>
          <w:sz w:val="20"/>
          <w:szCs w:val="20"/>
          <w:lang w:val="es-MX"/>
        </w:rPr>
        <w:t>alegado “riesgo de daño irreparable de extrema gravedad y urgencia de que el derecho de acceso a la justicia de las víctimas de la[s] Masacre[s] de El Mozote y lugares aledaños y de las víctimas de violaciones a derechos humanos del conflicto armado en su conjunto sea violado”, debido a la “inminente aprobación</w:t>
      </w:r>
      <w:r w:rsidR="00D17F90">
        <w:rPr>
          <w:rFonts w:ascii="Verdana" w:hAnsi="Verdana" w:cs="Arial"/>
          <w:sz w:val="20"/>
          <w:szCs w:val="20"/>
          <w:lang w:val="es-MX"/>
        </w:rPr>
        <w:t xml:space="preserve"> en la Asamblea Legisl</w:t>
      </w:r>
      <w:r w:rsidR="00C93061">
        <w:rPr>
          <w:rFonts w:ascii="Verdana" w:hAnsi="Verdana" w:cs="Arial"/>
          <w:sz w:val="20"/>
          <w:szCs w:val="20"/>
          <w:lang w:val="es-MX"/>
        </w:rPr>
        <w:t>ativa</w:t>
      </w:r>
      <w:r w:rsidR="00CE43A6" w:rsidRPr="006F1C7D">
        <w:rPr>
          <w:rFonts w:ascii="Verdana" w:hAnsi="Verdana" w:cs="Arial"/>
          <w:sz w:val="20"/>
          <w:szCs w:val="20"/>
          <w:lang w:val="es-MX"/>
        </w:rPr>
        <w:t>” del “proyecto de Ley Especial de Justicia Transicional y Restaurativa para la Reconciliación Nacional”</w:t>
      </w:r>
      <w:bookmarkEnd w:id="5"/>
      <w:r w:rsidR="00CE43A6" w:rsidRPr="006F1C7D">
        <w:rPr>
          <w:rFonts w:ascii="Verdana" w:hAnsi="Verdana"/>
          <w:sz w:val="20"/>
          <w:szCs w:val="20"/>
        </w:rPr>
        <w:t xml:space="preserve"> (en adelante también “iniciativa de Ley de Reconciliación Nacional”). Según la exposición de motivos del </w:t>
      </w:r>
      <w:r w:rsidR="000466B1">
        <w:rPr>
          <w:rFonts w:ascii="Verdana" w:hAnsi="Verdana"/>
          <w:sz w:val="20"/>
          <w:szCs w:val="20"/>
        </w:rPr>
        <w:t xml:space="preserve">referido </w:t>
      </w:r>
      <w:r w:rsidR="00CE43A6" w:rsidRPr="006F1C7D">
        <w:rPr>
          <w:rFonts w:ascii="Verdana" w:hAnsi="Verdana"/>
          <w:sz w:val="20"/>
          <w:szCs w:val="20"/>
        </w:rPr>
        <w:t xml:space="preserve">proyecto de ley, </w:t>
      </w:r>
      <w:r w:rsidR="00C8147E">
        <w:rPr>
          <w:rFonts w:ascii="Verdana" w:hAnsi="Verdana"/>
          <w:sz w:val="20"/>
          <w:szCs w:val="20"/>
        </w:rPr>
        <w:t>su</w:t>
      </w:r>
      <w:r w:rsidR="00CE43A6" w:rsidRPr="006F1C7D">
        <w:rPr>
          <w:rFonts w:ascii="Verdana" w:hAnsi="Verdana"/>
          <w:sz w:val="20"/>
          <w:szCs w:val="20"/>
        </w:rPr>
        <w:t xml:space="preserve"> trámite </w:t>
      </w:r>
      <w:r w:rsidR="00A06BC5">
        <w:rPr>
          <w:rFonts w:ascii="Verdana" w:hAnsi="Verdana"/>
          <w:sz w:val="20"/>
          <w:szCs w:val="20"/>
        </w:rPr>
        <w:t xml:space="preserve">se </w:t>
      </w:r>
      <w:r w:rsidR="00CE43A6" w:rsidRPr="006F1C7D">
        <w:rPr>
          <w:rFonts w:ascii="Verdana" w:hAnsi="Verdana"/>
          <w:sz w:val="20"/>
          <w:szCs w:val="20"/>
        </w:rPr>
        <w:t xml:space="preserve">estaría llevando a cabo para el cumplimiento de </w:t>
      </w:r>
      <w:r w:rsidR="00C93061">
        <w:rPr>
          <w:rFonts w:ascii="Verdana" w:hAnsi="Verdana"/>
          <w:sz w:val="20"/>
          <w:szCs w:val="20"/>
        </w:rPr>
        <w:t>lo dispuesto en la</w:t>
      </w:r>
      <w:r w:rsidR="00CE43A6" w:rsidRPr="006F1C7D">
        <w:rPr>
          <w:rFonts w:ascii="Verdana" w:hAnsi="Verdana"/>
          <w:sz w:val="20"/>
          <w:szCs w:val="20"/>
        </w:rPr>
        <w:t xml:space="preserve"> sentencia </w:t>
      </w:r>
      <w:r w:rsidR="00C8147E">
        <w:rPr>
          <w:rFonts w:ascii="Verdana" w:hAnsi="Verdana"/>
          <w:sz w:val="20"/>
          <w:szCs w:val="20"/>
        </w:rPr>
        <w:t xml:space="preserve">de inconstitucionalidad </w:t>
      </w:r>
      <w:r w:rsidR="00CE43A6" w:rsidRPr="006F1C7D">
        <w:rPr>
          <w:rFonts w:ascii="Verdana" w:hAnsi="Verdana"/>
          <w:sz w:val="20"/>
          <w:szCs w:val="20"/>
        </w:rPr>
        <w:t xml:space="preserve">de la Sala de lo </w:t>
      </w:r>
      <w:r w:rsidR="00457172">
        <w:rPr>
          <w:rFonts w:ascii="Verdana" w:hAnsi="Verdana"/>
          <w:sz w:val="20"/>
          <w:szCs w:val="20"/>
        </w:rPr>
        <w:t>Constitucional de julio de 2016</w:t>
      </w:r>
      <w:r w:rsidRPr="006F1C7D">
        <w:rPr>
          <w:rFonts w:ascii="Verdana" w:hAnsi="Verdana"/>
          <w:sz w:val="20"/>
          <w:szCs w:val="20"/>
        </w:rPr>
        <w:t xml:space="preserve"> (</w:t>
      </w:r>
      <w:r w:rsidRPr="006F1C7D">
        <w:rPr>
          <w:rFonts w:ascii="Verdana" w:hAnsi="Verdana"/>
          <w:i/>
          <w:iCs/>
          <w:sz w:val="20"/>
          <w:szCs w:val="20"/>
        </w:rPr>
        <w:t>supra</w:t>
      </w:r>
      <w:r w:rsidRPr="006F1C7D">
        <w:rPr>
          <w:rFonts w:ascii="Verdana" w:hAnsi="Verdana"/>
          <w:sz w:val="20"/>
          <w:szCs w:val="20"/>
        </w:rPr>
        <w:t xml:space="preserve"> Considerando</w:t>
      </w:r>
      <w:r w:rsidR="003A0683">
        <w:rPr>
          <w:rFonts w:ascii="Verdana" w:hAnsi="Verdana"/>
          <w:sz w:val="20"/>
          <w:szCs w:val="20"/>
        </w:rPr>
        <w:t>s</w:t>
      </w:r>
      <w:r w:rsidRPr="006F1C7D">
        <w:rPr>
          <w:rFonts w:ascii="Verdana" w:hAnsi="Verdana"/>
          <w:sz w:val="20"/>
          <w:szCs w:val="20"/>
        </w:rPr>
        <w:t xml:space="preserve"> </w:t>
      </w:r>
      <w:r w:rsidR="003A0683">
        <w:rPr>
          <w:rFonts w:ascii="Verdana" w:hAnsi="Verdana"/>
          <w:sz w:val="20"/>
          <w:szCs w:val="20"/>
        </w:rPr>
        <w:t>9 y 10</w:t>
      </w:r>
      <w:r w:rsidRPr="006F1C7D">
        <w:rPr>
          <w:rFonts w:ascii="Verdana" w:hAnsi="Verdana"/>
          <w:sz w:val="20"/>
          <w:szCs w:val="20"/>
        </w:rPr>
        <w:t>)</w:t>
      </w:r>
      <w:r w:rsidR="00CE43A6" w:rsidRPr="006F1C7D">
        <w:rPr>
          <w:rFonts w:ascii="Verdana" w:hAnsi="Verdana"/>
          <w:sz w:val="20"/>
          <w:szCs w:val="20"/>
        </w:rPr>
        <w:t xml:space="preserve">. </w:t>
      </w:r>
    </w:p>
    <w:p w14:paraId="6711A02F" w14:textId="31C79E19" w:rsidR="00C8147E" w:rsidRPr="0017642D" w:rsidRDefault="00C8147E" w:rsidP="0017642D">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17642D">
        <w:rPr>
          <w:rFonts w:ascii="Verdana" w:hAnsi="Verdana" w:cs="Arial"/>
          <w:sz w:val="20"/>
          <w:szCs w:val="20"/>
          <w:lang w:val="es-MX"/>
        </w:rPr>
        <w:t xml:space="preserve">Con base </w:t>
      </w:r>
      <w:r w:rsidR="0017642D" w:rsidRPr="0017642D">
        <w:rPr>
          <w:rFonts w:ascii="Verdana" w:hAnsi="Verdana" w:cs="Arial"/>
          <w:sz w:val="20"/>
          <w:szCs w:val="20"/>
          <w:lang w:val="es-MX"/>
        </w:rPr>
        <w:t>lo expuesto en el referido escrito</w:t>
      </w:r>
      <w:r w:rsidR="0017642D">
        <w:rPr>
          <w:rStyle w:val="Refdenotaalpie"/>
          <w:rFonts w:ascii="Verdana" w:hAnsi="Verdana"/>
          <w:sz w:val="20"/>
          <w:szCs w:val="20"/>
        </w:rPr>
        <w:footnoteReference w:id="24"/>
      </w:r>
      <w:r w:rsidRPr="0017642D">
        <w:rPr>
          <w:rFonts w:ascii="Verdana" w:hAnsi="Verdana" w:cs="Arial"/>
          <w:sz w:val="20"/>
          <w:szCs w:val="20"/>
          <w:lang w:val="es-MX"/>
        </w:rPr>
        <w:t xml:space="preserve">, los representantes solicitaron a la Corte Interamericana que </w:t>
      </w:r>
    </w:p>
    <w:p w14:paraId="2A3B0DFB" w14:textId="68A79AB5" w:rsidR="00C8147E" w:rsidRPr="00C8147E" w:rsidRDefault="00C93061" w:rsidP="00C8147E">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A</w:t>
      </w:r>
      <w:r w:rsidR="000466B1" w:rsidRPr="00C8147E">
        <w:rPr>
          <w:rFonts w:ascii="Verdana" w:hAnsi="Verdana"/>
          <w:sz w:val="16"/>
          <w:szCs w:val="16"/>
        </w:rPr>
        <w:t>dopte medidas provisionales en favor de las víctimas del caso [Masacres de El Mozote y lugares aledaños] y ordene al Estado de El Salvador interrumpir el trámite legislativo de la iniciativa de Ley de Reconciliación Nacional en comento y se abstenga de apr</w:t>
      </w:r>
      <w:r w:rsidR="00D17F90">
        <w:rPr>
          <w:rFonts w:ascii="Verdana" w:hAnsi="Verdana"/>
          <w:sz w:val="16"/>
          <w:szCs w:val="16"/>
        </w:rPr>
        <w:t>obar cualquier normativa simil</w:t>
      </w:r>
      <w:r w:rsidR="000466B1" w:rsidRPr="00C8147E">
        <w:rPr>
          <w:rFonts w:ascii="Verdana" w:hAnsi="Verdana"/>
          <w:sz w:val="16"/>
          <w:szCs w:val="16"/>
        </w:rPr>
        <w:t xml:space="preserve">ar. </w:t>
      </w:r>
    </w:p>
    <w:p w14:paraId="31DAE53D" w14:textId="34D412BD" w:rsidR="00027599" w:rsidRPr="00027599" w:rsidRDefault="000466B1" w:rsidP="00027599">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C8147E">
        <w:rPr>
          <w:rFonts w:ascii="Verdana" w:hAnsi="Verdana"/>
          <w:sz w:val="20"/>
          <w:szCs w:val="20"/>
        </w:rPr>
        <w:t xml:space="preserve">Al respecto, se dio </w:t>
      </w:r>
      <w:r w:rsidR="0017642D">
        <w:rPr>
          <w:rFonts w:ascii="Verdana" w:hAnsi="Verdana"/>
          <w:sz w:val="20"/>
          <w:szCs w:val="20"/>
        </w:rPr>
        <w:t>plazo hasta el 27 de mayo de 2019 para que e</w:t>
      </w:r>
      <w:r w:rsidRPr="00C8147E">
        <w:rPr>
          <w:rFonts w:ascii="Verdana" w:hAnsi="Verdana"/>
          <w:sz w:val="20"/>
          <w:szCs w:val="20"/>
        </w:rPr>
        <w:t xml:space="preserve">l Estado </w:t>
      </w:r>
      <w:r w:rsidR="0017642D">
        <w:rPr>
          <w:rFonts w:ascii="Verdana" w:hAnsi="Verdana"/>
          <w:sz w:val="20"/>
          <w:szCs w:val="20"/>
        </w:rPr>
        <w:t xml:space="preserve">y la Comisión Interamericana </w:t>
      </w:r>
      <w:r w:rsidRPr="00C8147E">
        <w:rPr>
          <w:rFonts w:ascii="Verdana" w:hAnsi="Verdana"/>
          <w:sz w:val="20"/>
          <w:szCs w:val="20"/>
        </w:rPr>
        <w:t>presentar</w:t>
      </w:r>
      <w:r w:rsidR="0017642D">
        <w:rPr>
          <w:rFonts w:ascii="Verdana" w:hAnsi="Verdana"/>
          <w:sz w:val="20"/>
          <w:szCs w:val="20"/>
        </w:rPr>
        <w:t>an</w:t>
      </w:r>
      <w:r w:rsidRPr="00C8147E">
        <w:rPr>
          <w:rFonts w:ascii="Verdana" w:hAnsi="Verdana"/>
          <w:sz w:val="20"/>
          <w:szCs w:val="20"/>
        </w:rPr>
        <w:t xml:space="preserve"> sus observaciones </w:t>
      </w:r>
      <w:r w:rsidR="0017642D">
        <w:rPr>
          <w:rFonts w:ascii="Verdana" w:hAnsi="Verdana"/>
          <w:sz w:val="20"/>
          <w:szCs w:val="20"/>
        </w:rPr>
        <w:t xml:space="preserve">a dicha solicitud </w:t>
      </w:r>
      <w:r w:rsidRPr="00C8147E">
        <w:rPr>
          <w:rFonts w:ascii="Verdana" w:hAnsi="Verdana"/>
          <w:sz w:val="20"/>
          <w:szCs w:val="20"/>
        </w:rPr>
        <w:t>(</w:t>
      </w:r>
      <w:r w:rsidRPr="00C8147E">
        <w:rPr>
          <w:rFonts w:ascii="Verdana" w:hAnsi="Verdana"/>
          <w:i/>
          <w:iCs/>
          <w:sz w:val="20"/>
          <w:szCs w:val="20"/>
        </w:rPr>
        <w:t xml:space="preserve">supra </w:t>
      </w:r>
      <w:r w:rsidRPr="00C8147E">
        <w:rPr>
          <w:rFonts w:ascii="Verdana" w:hAnsi="Verdana"/>
          <w:sz w:val="20"/>
          <w:szCs w:val="20"/>
        </w:rPr>
        <w:t xml:space="preserve">Visto </w:t>
      </w:r>
      <w:r w:rsidR="003A0683">
        <w:rPr>
          <w:rFonts w:ascii="Verdana" w:hAnsi="Verdana"/>
          <w:sz w:val="20"/>
          <w:szCs w:val="20"/>
        </w:rPr>
        <w:t>9</w:t>
      </w:r>
      <w:r w:rsidRPr="00C8147E">
        <w:rPr>
          <w:rFonts w:ascii="Verdana" w:hAnsi="Verdana"/>
          <w:sz w:val="20"/>
          <w:szCs w:val="20"/>
        </w:rPr>
        <w:t xml:space="preserve">). </w:t>
      </w:r>
      <w:r w:rsidRPr="00C8147E">
        <w:rPr>
          <w:rFonts w:ascii="Verdana" w:hAnsi="Verdana" w:cs="Verdana"/>
          <w:sz w:val="20"/>
          <w:szCs w:val="20"/>
        </w:rPr>
        <w:t xml:space="preserve">Estas observaciones fueron presentadas </w:t>
      </w:r>
      <w:r w:rsidR="0017642D">
        <w:rPr>
          <w:rFonts w:ascii="Verdana" w:hAnsi="Verdana" w:cs="Verdana"/>
          <w:sz w:val="20"/>
          <w:szCs w:val="20"/>
        </w:rPr>
        <w:t>en el plazo otorgado</w:t>
      </w:r>
      <w:r w:rsidRPr="00C8147E">
        <w:rPr>
          <w:rFonts w:ascii="Verdana" w:hAnsi="Verdana" w:cs="Verdana"/>
          <w:sz w:val="20"/>
          <w:szCs w:val="20"/>
        </w:rPr>
        <w:t xml:space="preserve"> (</w:t>
      </w:r>
      <w:r w:rsidRPr="0017642D">
        <w:rPr>
          <w:rFonts w:ascii="Verdana" w:hAnsi="Verdana" w:cs="Verdana"/>
          <w:i/>
          <w:iCs/>
          <w:sz w:val="20"/>
          <w:szCs w:val="20"/>
        </w:rPr>
        <w:t xml:space="preserve">supra </w:t>
      </w:r>
      <w:r w:rsidRPr="00C8147E">
        <w:rPr>
          <w:rFonts w:ascii="Verdana" w:hAnsi="Verdana" w:cs="Verdana"/>
          <w:sz w:val="20"/>
          <w:szCs w:val="20"/>
        </w:rPr>
        <w:t xml:space="preserve">Vistos </w:t>
      </w:r>
      <w:r w:rsidR="003A0683">
        <w:rPr>
          <w:rFonts w:ascii="Verdana" w:hAnsi="Verdana" w:cs="Verdana"/>
          <w:sz w:val="20"/>
          <w:szCs w:val="20"/>
        </w:rPr>
        <w:t>10 y 11</w:t>
      </w:r>
      <w:r w:rsidRPr="00C8147E">
        <w:rPr>
          <w:rFonts w:ascii="Verdana" w:hAnsi="Verdana" w:cs="Verdana"/>
          <w:sz w:val="20"/>
          <w:szCs w:val="20"/>
        </w:rPr>
        <w:t>)</w:t>
      </w:r>
      <w:r w:rsidR="0017642D">
        <w:rPr>
          <w:rStyle w:val="Refdenotaalpie"/>
          <w:rFonts w:ascii="Verdana" w:hAnsi="Verdana" w:cs="Verdana"/>
          <w:sz w:val="20"/>
          <w:szCs w:val="20"/>
        </w:rPr>
        <w:footnoteReference w:id="25"/>
      </w:r>
      <w:r w:rsidR="00C8147E">
        <w:rPr>
          <w:rFonts w:ascii="Verdana" w:hAnsi="Verdana" w:cs="Verdana"/>
          <w:sz w:val="20"/>
          <w:szCs w:val="20"/>
        </w:rPr>
        <w:t>.</w:t>
      </w:r>
      <w:r w:rsidR="00027599">
        <w:rPr>
          <w:rFonts w:ascii="Verdana" w:hAnsi="Verdana" w:cs="Verdana"/>
          <w:sz w:val="20"/>
          <w:szCs w:val="20"/>
        </w:rPr>
        <w:t xml:space="preserve"> </w:t>
      </w:r>
    </w:p>
    <w:p w14:paraId="7DC34375" w14:textId="77777777" w:rsidR="00546046" w:rsidRPr="007F0724" w:rsidRDefault="00546046" w:rsidP="00CE43A6">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Cambria"/>
          <w:sz w:val="20"/>
          <w:szCs w:val="20"/>
        </w:rPr>
      </w:pPr>
    </w:p>
    <w:p w14:paraId="46FFD930" w14:textId="77777777" w:rsidR="00CE43A6" w:rsidRPr="009A7584" w:rsidRDefault="009A7584" w:rsidP="005E663D">
      <w:pPr>
        <w:pStyle w:val="Prrafodelista"/>
        <w:numPr>
          <w:ilvl w:val="0"/>
          <w:numId w:val="15"/>
        </w:numPr>
        <w:autoSpaceDE w:val="0"/>
        <w:autoSpaceDN w:val="0"/>
        <w:adjustRightInd w:val="0"/>
        <w:spacing w:before="120" w:after="120" w:line="240" w:lineRule="auto"/>
        <w:contextualSpacing w:val="0"/>
        <w:jc w:val="both"/>
        <w:outlineLvl w:val="0"/>
        <w:rPr>
          <w:rFonts w:ascii="Verdana" w:hAnsi="Verdana"/>
          <w:b/>
          <w:i/>
          <w:sz w:val="20"/>
          <w:szCs w:val="20"/>
        </w:rPr>
      </w:pPr>
      <w:bookmarkStart w:id="8" w:name="_Toc17111744"/>
      <w:r w:rsidRPr="009A7584">
        <w:rPr>
          <w:rFonts w:ascii="Verdana" w:hAnsi="Verdana"/>
          <w:b/>
          <w:i/>
          <w:sz w:val="20"/>
          <w:szCs w:val="20"/>
        </w:rPr>
        <w:t>Resolución de medidas urgentes y supervisión de cumplimiento de Sentencia emitida por el Presidente del Tribunal el 28 de mayo de 2019</w:t>
      </w:r>
      <w:bookmarkEnd w:id="8"/>
      <w:r w:rsidRPr="009A7584">
        <w:rPr>
          <w:rFonts w:ascii="Verdana" w:hAnsi="Verdana"/>
          <w:b/>
          <w:i/>
          <w:sz w:val="20"/>
          <w:szCs w:val="20"/>
        </w:rPr>
        <w:t xml:space="preserve"> </w:t>
      </w:r>
    </w:p>
    <w:p w14:paraId="7A5B6B33" w14:textId="4D5F2AAA" w:rsidR="00422F7E" w:rsidRPr="00303B43" w:rsidRDefault="00D320DA" w:rsidP="00303B43">
      <w:pPr>
        <w:pStyle w:val="Prrafodelista"/>
        <w:numPr>
          <w:ilvl w:val="0"/>
          <w:numId w:val="3"/>
        </w:numPr>
        <w:tabs>
          <w:tab w:val="left" w:pos="0"/>
        </w:tabs>
        <w:autoSpaceDE w:val="0"/>
        <w:autoSpaceDN w:val="0"/>
        <w:adjustRightInd w:val="0"/>
        <w:spacing w:before="120" w:after="120" w:line="240" w:lineRule="auto"/>
        <w:ind w:left="0" w:right="-93" w:firstLine="0"/>
        <w:contextualSpacing w:val="0"/>
        <w:jc w:val="both"/>
        <w:rPr>
          <w:rFonts w:ascii="Verdana" w:hAnsi="Verdana" w:cs="Verdana"/>
          <w:strike/>
          <w:color w:val="000000" w:themeColor="text1"/>
          <w:sz w:val="20"/>
          <w:szCs w:val="20"/>
        </w:rPr>
      </w:pPr>
      <w:r w:rsidRPr="00303B43">
        <w:rPr>
          <w:rFonts w:ascii="Verdana" w:hAnsi="Verdana" w:cs="Verdana"/>
          <w:color w:val="000000" w:themeColor="text1"/>
          <w:sz w:val="20"/>
          <w:szCs w:val="20"/>
        </w:rPr>
        <w:t xml:space="preserve">Dado que la Corte no se encontraba reunida, </w:t>
      </w:r>
      <w:r w:rsidR="00A06BC5" w:rsidRPr="00303B43">
        <w:rPr>
          <w:rFonts w:ascii="Verdana" w:hAnsi="Verdana" w:cs="Verdana"/>
          <w:color w:val="000000" w:themeColor="text1"/>
          <w:sz w:val="20"/>
          <w:szCs w:val="20"/>
        </w:rPr>
        <w:t xml:space="preserve">el Presidente adoptó una </w:t>
      </w:r>
      <w:r w:rsidR="00955481" w:rsidRPr="00303B43">
        <w:rPr>
          <w:rFonts w:ascii="Verdana" w:hAnsi="Verdana" w:cs="Verdana"/>
          <w:color w:val="000000" w:themeColor="text1"/>
          <w:sz w:val="20"/>
          <w:szCs w:val="20"/>
        </w:rPr>
        <w:t>R</w:t>
      </w:r>
      <w:r w:rsidR="00A06BC5" w:rsidRPr="00303B43">
        <w:rPr>
          <w:rFonts w:ascii="Verdana" w:hAnsi="Verdana" w:cs="Verdana"/>
          <w:color w:val="000000" w:themeColor="text1"/>
          <w:sz w:val="20"/>
          <w:szCs w:val="20"/>
        </w:rPr>
        <w:t>esolución</w:t>
      </w:r>
      <w:r w:rsidR="007B2EB4">
        <w:rPr>
          <w:rFonts w:ascii="Verdana" w:hAnsi="Verdana" w:cs="Verdana"/>
          <w:color w:val="000000" w:themeColor="text1"/>
          <w:sz w:val="20"/>
          <w:szCs w:val="20"/>
        </w:rPr>
        <w:t xml:space="preserve"> (</w:t>
      </w:r>
      <w:r w:rsidR="007B2EB4" w:rsidRPr="00506B11">
        <w:rPr>
          <w:rFonts w:ascii="Verdana" w:hAnsi="Verdana" w:cs="Verdana"/>
          <w:i/>
          <w:color w:val="000000" w:themeColor="text1"/>
          <w:sz w:val="20"/>
          <w:szCs w:val="20"/>
        </w:rPr>
        <w:t>infra</w:t>
      </w:r>
      <w:r w:rsidR="007B2EB4">
        <w:rPr>
          <w:rFonts w:ascii="Verdana" w:hAnsi="Verdana" w:cs="Verdana"/>
          <w:color w:val="000000" w:themeColor="text1"/>
          <w:sz w:val="20"/>
          <w:szCs w:val="20"/>
        </w:rPr>
        <w:t xml:space="preserve"> Considerando 36)</w:t>
      </w:r>
      <w:r w:rsidRPr="00303B43">
        <w:rPr>
          <w:rFonts w:ascii="Verdana" w:hAnsi="Verdana" w:cs="Verdana"/>
          <w:color w:val="000000" w:themeColor="text1"/>
          <w:sz w:val="20"/>
          <w:szCs w:val="20"/>
        </w:rPr>
        <w:t>, en la cual ordenó</w:t>
      </w:r>
      <w:r w:rsidR="00A06BC5" w:rsidRPr="00303B43">
        <w:rPr>
          <w:rFonts w:ascii="Verdana" w:hAnsi="Verdana" w:cs="Verdana"/>
          <w:color w:val="000000" w:themeColor="text1"/>
          <w:sz w:val="20"/>
          <w:szCs w:val="20"/>
        </w:rPr>
        <w:t xml:space="preserve"> medidas urgentes</w:t>
      </w:r>
      <w:r w:rsidR="007B2EB4">
        <w:rPr>
          <w:rFonts w:ascii="Verdana" w:hAnsi="Verdana" w:cs="Verdana"/>
          <w:sz w:val="20"/>
          <w:szCs w:val="20"/>
        </w:rPr>
        <w:t>.</w:t>
      </w:r>
    </w:p>
    <w:p w14:paraId="603BDFAD" w14:textId="2A598AC4" w:rsidR="009A7584" w:rsidRPr="00303B43" w:rsidRDefault="00955481" w:rsidP="00955481">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sidRPr="00303B43">
        <w:rPr>
          <w:rFonts w:ascii="Verdana" w:hAnsi="Verdana" w:cs="Verdana"/>
          <w:color w:val="000000" w:themeColor="text1"/>
          <w:sz w:val="20"/>
          <w:szCs w:val="20"/>
        </w:rPr>
        <w:t xml:space="preserve">Después </w:t>
      </w:r>
      <w:r w:rsidR="00D228E6" w:rsidRPr="00303B43">
        <w:rPr>
          <w:rFonts w:ascii="Verdana" w:hAnsi="Verdana" w:cs="Verdana"/>
          <w:color w:val="000000" w:themeColor="text1"/>
          <w:sz w:val="20"/>
          <w:szCs w:val="20"/>
        </w:rPr>
        <w:t>de realizar un</w:t>
      </w:r>
      <w:r w:rsidRPr="00303B43">
        <w:rPr>
          <w:rFonts w:ascii="Verdana" w:hAnsi="Verdana" w:cs="Verdana"/>
          <w:color w:val="000000" w:themeColor="text1"/>
          <w:sz w:val="20"/>
          <w:szCs w:val="20"/>
        </w:rPr>
        <w:t xml:space="preserve"> análisis </w:t>
      </w:r>
      <w:r w:rsidRPr="00303B43">
        <w:rPr>
          <w:rFonts w:ascii="Verdana" w:hAnsi="Verdana" w:cs="Verdana"/>
          <w:i/>
          <w:iCs/>
          <w:color w:val="000000" w:themeColor="text1"/>
          <w:sz w:val="20"/>
          <w:szCs w:val="20"/>
        </w:rPr>
        <w:t>prima facie</w:t>
      </w:r>
      <w:r w:rsidR="00834908" w:rsidRPr="00303B43">
        <w:rPr>
          <w:rFonts w:ascii="Verdana" w:hAnsi="Verdana" w:cs="Verdana"/>
          <w:i/>
          <w:iCs/>
          <w:color w:val="000000" w:themeColor="text1"/>
          <w:sz w:val="20"/>
          <w:szCs w:val="20"/>
        </w:rPr>
        <w:t xml:space="preserve"> </w:t>
      </w:r>
      <w:r w:rsidR="00834908" w:rsidRPr="00303B43">
        <w:rPr>
          <w:rFonts w:ascii="Verdana" w:hAnsi="Verdana" w:cs="Verdana"/>
          <w:color w:val="000000" w:themeColor="text1"/>
          <w:sz w:val="20"/>
          <w:szCs w:val="20"/>
        </w:rPr>
        <w:t>de los requisitos para el otorgamiento de medidas provisionales</w:t>
      </w:r>
      <w:r w:rsidR="007B2EB4">
        <w:rPr>
          <w:rFonts w:ascii="Verdana" w:hAnsi="Verdana" w:cs="Verdana"/>
          <w:color w:val="000000" w:themeColor="text1"/>
          <w:sz w:val="20"/>
          <w:szCs w:val="20"/>
        </w:rPr>
        <w:t xml:space="preserve"> (</w:t>
      </w:r>
      <w:r w:rsidR="007B2EB4" w:rsidRPr="00506B11">
        <w:rPr>
          <w:rFonts w:ascii="Verdana" w:hAnsi="Verdana" w:cs="Verdana"/>
          <w:i/>
          <w:color w:val="000000" w:themeColor="text1"/>
          <w:sz w:val="20"/>
          <w:szCs w:val="20"/>
        </w:rPr>
        <w:t>infra</w:t>
      </w:r>
      <w:r w:rsidR="007B2EB4">
        <w:rPr>
          <w:rFonts w:ascii="Verdana" w:hAnsi="Verdana" w:cs="Verdana"/>
          <w:color w:val="000000" w:themeColor="text1"/>
          <w:sz w:val="20"/>
          <w:szCs w:val="20"/>
        </w:rPr>
        <w:t xml:space="preserve"> Considerando 35)</w:t>
      </w:r>
      <w:r w:rsidR="007B2EB4">
        <w:rPr>
          <w:rStyle w:val="Refdenotaalpie"/>
          <w:rFonts w:ascii="Verdana" w:hAnsi="Verdana" w:cs="Verdana"/>
          <w:color w:val="000000" w:themeColor="text1"/>
          <w:sz w:val="20"/>
          <w:szCs w:val="20"/>
        </w:rPr>
        <w:footnoteReference w:id="26"/>
      </w:r>
      <w:r w:rsidRPr="00303B43">
        <w:rPr>
          <w:rFonts w:ascii="Verdana" w:hAnsi="Verdana" w:cs="Verdana"/>
          <w:color w:val="000000" w:themeColor="text1"/>
          <w:sz w:val="20"/>
          <w:szCs w:val="20"/>
        </w:rPr>
        <w:t xml:space="preserve">, </w:t>
      </w:r>
      <w:r w:rsidR="00834908" w:rsidRPr="00303B43">
        <w:rPr>
          <w:rFonts w:ascii="Verdana" w:hAnsi="Verdana" w:cs="Verdana"/>
          <w:color w:val="000000" w:themeColor="text1"/>
          <w:sz w:val="20"/>
          <w:szCs w:val="20"/>
        </w:rPr>
        <w:t xml:space="preserve">el Presidente </w:t>
      </w:r>
      <w:r w:rsidR="009A7584" w:rsidRPr="00303B43">
        <w:rPr>
          <w:rFonts w:ascii="Verdana" w:hAnsi="Verdana" w:cs="Verdana"/>
          <w:color w:val="000000" w:themeColor="text1"/>
          <w:sz w:val="20"/>
          <w:szCs w:val="20"/>
        </w:rPr>
        <w:t>dispuso la siguiente medida urgente:</w:t>
      </w:r>
    </w:p>
    <w:p w14:paraId="7400D67F" w14:textId="5E7F1EAB" w:rsidR="002E4B2E" w:rsidRDefault="00BB23AC" w:rsidP="00BB23A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color w:val="000000" w:themeColor="text1"/>
          <w:sz w:val="16"/>
          <w:szCs w:val="16"/>
        </w:rPr>
      </w:pPr>
      <w:r w:rsidRPr="002A2216">
        <w:rPr>
          <w:rFonts w:ascii="Verdana" w:hAnsi="Verdana"/>
          <w:color w:val="000000" w:themeColor="text1"/>
          <w:sz w:val="16"/>
          <w:szCs w:val="16"/>
        </w:rPr>
        <w:t xml:space="preserve">42. En conclusión, esta Presidencia considera que para evitar que el Estado incumpla con garantizar el derecho de acceso a la justicia de las víctimas del presente caso y con sus obligaciones internacionales derivadas de la Convención Americana, otros instrumentos internacionales y de la Sentencia del presente caso, mediante la eventual aprobación de un proyecto de ley que, </w:t>
      </w:r>
      <w:r w:rsidRPr="00506B11">
        <w:rPr>
          <w:rFonts w:ascii="Verdana" w:hAnsi="Verdana"/>
          <w:i/>
          <w:color w:val="000000" w:themeColor="text1"/>
          <w:sz w:val="16"/>
          <w:szCs w:val="16"/>
        </w:rPr>
        <w:t>prima facie</w:t>
      </w:r>
      <w:r w:rsidRPr="002A2216">
        <w:rPr>
          <w:rFonts w:ascii="Verdana" w:hAnsi="Verdana"/>
          <w:color w:val="000000" w:themeColor="text1"/>
          <w:sz w:val="16"/>
          <w:szCs w:val="16"/>
        </w:rPr>
        <w:t xml:space="preserve">, parece incompatible con las referidas obligaciones, y de acuerdo a las facultades que le otorga el artículo 63.2 de la Convención Americana, </w:t>
      </w:r>
      <w:r w:rsidRPr="002A2216">
        <w:rPr>
          <w:rFonts w:ascii="Verdana" w:hAnsi="Verdana"/>
          <w:b/>
          <w:color w:val="000000" w:themeColor="text1"/>
          <w:sz w:val="16"/>
          <w:szCs w:val="16"/>
        </w:rPr>
        <w:t xml:space="preserve">se requiere, al Estado de El Salvador que suspenda inmediatamente el trámite legislativo del proyecto de “Ley Especial de Justicia Transicional y Restaurativa para la Reconciliación Nacional” que se encuentra actualmente en la Comisión Política de la Asamblea Legislativa, hasta que el Pleno de la Corte Interamericana </w:t>
      </w:r>
      <w:r w:rsidRPr="002A2216">
        <w:rPr>
          <w:rFonts w:ascii="Verdana" w:hAnsi="Verdana"/>
          <w:b/>
          <w:color w:val="000000" w:themeColor="text1"/>
          <w:sz w:val="16"/>
          <w:szCs w:val="16"/>
        </w:rPr>
        <w:lastRenderedPageBreak/>
        <w:t>conozca y se pronuncie sobre esta solicitud de medidas provisionales durante su próximo período de sesiones</w:t>
      </w:r>
      <w:r w:rsidRPr="002A2216">
        <w:rPr>
          <w:rFonts w:ascii="Verdana" w:hAnsi="Verdana"/>
          <w:color w:val="000000" w:themeColor="text1"/>
          <w:sz w:val="16"/>
          <w:szCs w:val="16"/>
        </w:rPr>
        <w:t>. (Énfasis añadido)</w:t>
      </w:r>
    </w:p>
    <w:p w14:paraId="5F31C07E" w14:textId="58EA4064" w:rsidR="00BB23AC" w:rsidRDefault="00BB23AC" w:rsidP="001E6BF9">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sidRPr="002A2216">
        <w:rPr>
          <w:rFonts w:ascii="Verdana" w:hAnsi="Verdana" w:cs="Verdana"/>
          <w:color w:val="000000" w:themeColor="text1"/>
          <w:sz w:val="20"/>
          <w:szCs w:val="20"/>
        </w:rPr>
        <w:t xml:space="preserve">Asimismo, el Presidente del Tribunal solicitó al Estado </w:t>
      </w:r>
      <w:r w:rsidR="00913E76">
        <w:rPr>
          <w:rFonts w:ascii="Verdana" w:hAnsi="Verdana" w:cs="Verdana"/>
          <w:color w:val="000000" w:themeColor="text1"/>
          <w:sz w:val="20"/>
          <w:szCs w:val="20"/>
        </w:rPr>
        <w:t>que presentara</w:t>
      </w:r>
      <w:r w:rsidRPr="002A2216">
        <w:rPr>
          <w:rFonts w:ascii="Verdana" w:hAnsi="Verdana" w:cs="Verdana"/>
          <w:color w:val="000000" w:themeColor="text1"/>
          <w:sz w:val="20"/>
          <w:szCs w:val="20"/>
        </w:rPr>
        <w:t xml:space="preserve"> determinada información a fin de que el Pleno de la Corte contara con mayores elementos para pronunciarse sobre la referida solicitud de medidas provisionales. Al respecto, dispuso que:</w:t>
      </w:r>
    </w:p>
    <w:p w14:paraId="6CF5CD1A" w14:textId="77777777" w:rsidR="008A7D45" w:rsidRDefault="008A7D45" w:rsidP="008A7D45">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color w:val="000000" w:themeColor="text1"/>
          <w:sz w:val="16"/>
          <w:szCs w:val="16"/>
        </w:rPr>
      </w:pPr>
      <w:r w:rsidRPr="002A2216">
        <w:rPr>
          <w:rFonts w:ascii="Verdana" w:hAnsi="Verdana"/>
          <w:color w:val="000000" w:themeColor="text1"/>
          <w:sz w:val="16"/>
          <w:szCs w:val="16"/>
        </w:rPr>
        <w:t xml:space="preserve">44. A fin de que el Pleno de la Corte cuente con mayores elementos para pronunciarse sobre la referida solicitud, esta Presidencia requiere al Estado que en el plazo indicado en el punto resolutivo segundo de la presente Resolución, aporte un informe en el cual se refiera </w:t>
      </w:r>
      <w:r w:rsidRPr="000A4009">
        <w:rPr>
          <w:rFonts w:ascii="Verdana" w:hAnsi="Verdana"/>
          <w:b/>
          <w:color w:val="000000" w:themeColor="text1"/>
          <w:sz w:val="16"/>
          <w:szCs w:val="16"/>
        </w:rPr>
        <w:t>al impacto que tendría este proyecto de ley respecto del cumplimiento de la obligación de investigar derivada de la Sentencia del caso Masacres de El Mozote y lugares aledaños</w:t>
      </w:r>
      <w:r w:rsidRPr="002A2216">
        <w:rPr>
          <w:rFonts w:ascii="Verdana" w:hAnsi="Verdana"/>
          <w:color w:val="000000" w:themeColor="text1"/>
          <w:sz w:val="16"/>
          <w:szCs w:val="16"/>
        </w:rPr>
        <w:t xml:space="preserve">, así como que </w:t>
      </w:r>
      <w:r w:rsidRPr="000A4009">
        <w:rPr>
          <w:rFonts w:ascii="Verdana" w:hAnsi="Verdana"/>
          <w:b/>
          <w:color w:val="000000" w:themeColor="text1"/>
          <w:sz w:val="16"/>
          <w:szCs w:val="16"/>
        </w:rPr>
        <w:t>explique si dentro de su ordenamiento jurídico la Sala de lo Constitucional podría realizar un control previo de constitucionalidad de proyectos de ley, o bien, si en el marco de las audiencias y resoluciones de seguimiento que dicha Sala está realizando respecto al cumplimiento de su sentencia de 13 de julio de 2016 podría valorar si el contenido del proyecto de “Ley Especial de Justicia Transicional y Restaurativa para la Reconciliación Nacional” cumple con las disposiciones que realizó en dicha decisión</w:t>
      </w:r>
      <w:r w:rsidRPr="002A2216">
        <w:rPr>
          <w:rFonts w:ascii="Verdana" w:hAnsi="Verdana"/>
          <w:color w:val="000000" w:themeColor="text1"/>
          <w:sz w:val="16"/>
          <w:szCs w:val="16"/>
        </w:rPr>
        <w:t>.</w:t>
      </w:r>
      <w:r>
        <w:rPr>
          <w:rFonts w:ascii="Verdana" w:hAnsi="Verdana"/>
          <w:color w:val="000000" w:themeColor="text1"/>
          <w:sz w:val="16"/>
          <w:szCs w:val="16"/>
        </w:rPr>
        <w:t xml:space="preserve"> </w:t>
      </w:r>
      <w:r w:rsidRPr="002A2216">
        <w:rPr>
          <w:rFonts w:ascii="Verdana" w:hAnsi="Verdana"/>
          <w:color w:val="000000" w:themeColor="text1"/>
          <w:sz w:val="16"/>
          <w:szCs w:val="16"/>
        </w:rPr>
        <w:t>(Énfasis añadido)</w:t>
      </w:r>
    </w:p>
    <w:p w14:paraId="674E0464" w14:textId="2DB525AE" w:rsidR="008A7D45" w:rsidRPr="00CC4B19" w:rsidRDefault="008A7D45" w:rsidP="00FF5F4F">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sidRPr="00FF5F4F">
        <w:rPr>
          <w:rFonts w:ascii="Verdana" w:hAnsi="Verdana" w:cs="Verdana"/>
          <w:color w:val="000000" w:themeColor="text1"/>
          <w:sz w:val="20"/>
          <w:szCs w:val="20"/>
        </w:rPr>
        <w:t>Adicionalmente, el Presidente dispuso que la información que presentaran las partes y Comisión se incluiría también en el expediente relativo a la etapa de supervisión de cumplimiento del presente caso</w:t>
      </w:r>
      <w:r w:rsidR="007B2EB4">
        <w:rPr>
          <w:rFonts w:ascii="Verdana" w:hAnsi="Verdana" w:cs="Verdana"/>
          <w:color w:val="000000" w:themeColor="text1"/>
          <w:sz w:val="20"/>
          <w:szCs w:val="20"/>
        </w:rPr>
        <w:t>,</w:t>
      </w:r>
      <w:r w:rsidRPr="00FF5F4F">
        <w:rPr>
          <w:rFonts w:ascii="Verdana" w:hAnsi="Verdana" w:cs="Verdana"/>
          <w:color w:val="000000" w:themeColor="text1"/>
          <w:sz w:val="20"/>
          <w:szCs w:val="20"/>
        </w:rPr>
        <w:t xml:space="preserve"> </w:t>
      </w:r>
      <w:r w:rsidR="00FF5F4F" w:rsidRPr="00FF5F4F">
        <w:rPr>
          <w:rFonts w:ascii="Verdana" w:hAnsi="Verdana" w:cs="Verdana"/>
          <w:color w:val="000000" w:themeColor="text1"/>
          <w:sz w:val="20"/>
          <w:szCs w:val="20"/>
        </w:rPr>
        <w:t xml:space="preserve">debido a que todo lo indicado en la referida Resolución </w:t>
      </w:r>
      <w:r w:rsidRPr="00FF5F4F">
        <w:rPr>
          <w:rFonts w:ascii="Verdana" w:hAnsi="Verdana"/>
          <w:sz w:val="20"/>
          <w:szCs w:val="20"/>
        </w:rPr>
        <w:t xml:space="preserve">concierne al cumplimiento de la </w:t>
      </w:r>
      <w:r w:rsidR="00FF5F4F" w:rsidRPr="00FF5F4F">
        <w:rPr>
          <w:rFonts w:ascii="Verdana" w:hAnsi="Verdana"/>
          <w:sz w:val="20"/>
          <w:szCs w:val="20"/>
        </w:rPr>
        <w:t>Sentencia</w:t>
      </w:r>
      <w:r w:rsidRPr="00FF5F4F">
        <w:rPr>
          <w:rFonts w:ascii="Verdana" w:hAnsi="Verdana"/>
          <w:sz w:val="20"/>
          <w:szCs w:val="20"/>
        </w:rPr>
        <w:t xml:space="preserve">, respecto de la obligación de investigar, </w:t>
      </w:r>
      <w:r w:rsidR="00FF5F4F" w:rsidRPr="00FF5F4F">
        <w:rPr>
          <w:rFonts w:ascii="Verdana" w:hAnsi="Verdana"/>
          <w:sz w:val="20"/>
          <w:szCs w:val="20"/>
        </w:rPr>
        <w:t>juzgar y, en su caso, sancionar</w:t>
      </w:r>
      <w:r w:rsidR="00EF5AC4">
        <w:rPr>
          <w:rStyle w:val="Refdenotaalpie"/>
          <w:rFonts w:ascii="Verdana" w:hAnsi="Verdana"/>
          <w:sz w:val="20"/>
          <w:szCs w:val="20"/>
        </w:rPr>
        <w:footnoteReference w:id="27"/>
      </w:r>
      <w:r w:rsidRPr="00FF5F4F">
        <w:rPr>
          <w:rFonts w:ascii="Verdana" w:hAnsi="Verdana"/>
          <w:sz w:val="20"/>
          <w:szCs w:val="20"/>
        </w:rPr>
        <w:t>.</w:t>
      </w:r>
    </w:p>
    <w:p w14:paraId="5E4BA6B9" w14:textId="77777777" w:rsidR="00CC4B19" w:rsidRPr="00FF5F4F" w:rsidRDefault="00CC4B19" w:rsidP="00CC4B19">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color w:val="000000" w:themeColor="text1"/>
          <w:sz w:val="20"/>
          <w:szCs w:val="20"/>
        </w:rPr>
      </w:pPr>
    </w:p>
    <w:p w14:paraId="0FD50D61" w14:textId="303D946D" w:rsidR="00B649ED" w:rsidRPr="009A7584" w:rsidRDefault="00B649ED" w:rsidP="005E663D">
      <w:pPr>
        <w:pStyle w:val="Prrafodelista"/>
        <w:numPr>
          <w:ilvl w:val="0"/>
          <w:numId w:val="15"/>
        </w:numPr>
        <w:autoSpaceDE w:val="0"/>
        <w:autoSpaceDN w:val="0"/>
        <w:adjustRightInd w:val="0"/>
        <w:spacing w:before="120" w:after="120" w:line="240" w:lineRule="auto"/>
        <w:contextualSpacing w:val="0"/>
        <w:jc w:val="both"/>
        <w:outlineLvl w:val="0"/>
        <w:rPr>
          <w:rFonts w:ascii="Verdana" w:hAnsi="Verdana"/>
          <w:b/>
          <w:i/>
          <w:sz w:val="20"/>
          <w:szCs w:val="20"/>
        </w:rPr>
      </w:pPr>
      <w:bookmarkStart w:id="9" w:name="_Toc17111745"/>
      <w:r>
        <w:rPr>
          <w:rFonts w:ascii="Verdana" w:hAnsi="Verdana"/>
          <w:b/>
          <w:i/>
          <w:sz w:val="20"/>
          <w:szCs w:val="20"/>
        </w:rPr>
        <w:t xml:space="preserve">Información y argumentos presentados por las partes </w:t>
      </w:r>
      <w:r w:rsidR="007B2EB4">
        <w:rPr>
          <w:rFonts w:ascii="Verdana" w:hAnsi="Verdana"/>
          <w:b/>
          <w:i/>
          <w:sz w:val="20"/>
          <w:szCs w:val="20"/>
        </w:rPr>
        <w:t xml:space="preserve">y la Comisión Interamericana, </w:t>
      </w:r>
      <w:r w:rsidR="00F84D35">
        <w:rPr>
          <w:rFonts w:ascii="Verdana" w:hAnsi="Verdana"/>
          <w:b/>
          <w:i/>
          <w:sz w:val="20"/>
          <w:szCs w:val="20"/>
        </w:rPr>
        <w:t xml:space="preserve">con posterioridad a </w:t>
      </w:r>
      <w:r w:rsidR="00913E76">
        <w:rPr>
          <w:rFonts w:ascii="Verdana" w:hAnsi="Verdana"/>
          <w:b/>
          <w:i/>
          <w:sz w:val="20"/>
          <w:szCs w:val="20"/>
        </w:rPr>
        <w:t>la Resolución del Presidente del Tribunal de 28 de mayo de 2019</w:t>
      </w:r>
      <w:bookmarkEnd w:id="9"/>
    </w:p>
    <w:p w14:paraId="7B6EEE25" w14:textId="77777777" w:rsidR="00EF0C24" w:rsidRPr="00EF0C24" w:rsidRDefault="00EF0C24" w:rsidP="00EF0C24">
      <w:pPr>
        <w:pStyle w:val="Prrafodelista"/>
        <w:numPr>
          <w:ilvl w:val="0"/>
          <w:numId w:val="18"/>
        </w:numPr>
        <w:tabs>
          <w:tab w:val="left" w:pos="0"/>
        </w:tabs>
        <w:autoSpaceDE w:val="0"/>
        <w:autoSpaceDN w:val="0"/>
        <w:adjustRightInd w:val="0"/>
        <w:spacing w:before="120" w:after="120" w:line="240" w:lineRule="auto"/>
        <w:ind w:right="99"/>
        <w:contextualSpacing w:val="0"/>
        <w:jc w:val="both"/>
        <w:rPr>
          <w:rFonts w:ascii="Verdana" w:hAnsi="Verdana" w:cs="Verdana"/>
          <w:i/>
          <w:color w:val="000000" w:themeColor="text1"/>
          <w:sz w:val="20"/>
          <w:szCs w:val="20"/>
        </w:rPr>
      </w:pPr>
      <w:r w:rsidRPr="00EF0C24">
        <w:rPr>
          <w:rFonts w:ascii="Verdana" w:hAnsi="Verdana" w:cs="Verdana"/>
          <w:i/>
          <w:color w:val="000000" w:themeColor="text1"/>
          <w:sz w:val="20"/>
          <w:szCs w:val="20"/>
        </w:rPr>
        <w:t>Información del Estado</w:t>
      </w:r>
    </w:p>
    <w:p w14:paraId="001E379D" w14:textId="0AA603AB" w:rsidR="006203FD" w:rsidRDefault="002A2216" w:rsidP="006203FD">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sidRPr="00231D73">
        <w:rPr>
          <w:rFonts w:ascii="Verdana" w:hAnsi="Verdana" w:cs="Verdana"/>
          <w:i/>
          <w:color w:val="000000" w:themeColor="text1"/>
          <w:sz w:val="20"/>
          <w:szCs w:val="20"/>
        </w:rPr>
        <w:t>El Salvador</w:t>
      </w:r>
      <w:r w:rsidRPr="00231D73">
        <w:rPr>
          <w:rFonts w:ascii="Verdana" w:hAnsi="Verdana" w:cs="Verdana"/>
          <w:color w:val="000000" w:themeColor="text1"/>
          <w:sz w:val="20"/>
          <w:szCs w:val="20"/>
        </w:rPr>
        <w:t xml:space="preserve"> presentó información en cuatro oportunidades (</w:t>
      </w:r>
      <w:r w:rsidRPr="00231D73">
        <w:rPr>
          <w:rFonts w:ascii="Verdana" w:hAnsi="Verdana" w:cs="Verdana"/>
          <w:i/>
          <w:color w:val="000000" w:themeColor="text1"/>
          <w:sz w:val="20"/>
          <w:szCs w:val="20"/>
        </w:rPr>
        <w:t>supra</w:t>
      </w:r>
      <w:r w:rsidRPr="00231D73">
        <w:rPr>
          <w:rFonts w:ascii="Verdana" w:hAnsi="Verdana" w:cs="Verdana"/>
          <w:color w:val="000000" w:themeColor="text1"/>
          <w:sz w:val="20"/>
          <w:szCs w:val="20"/>
        </w:rPr>
        <w:t xml:space="preserve"> Visto </w:t>
      </w:r>
      <w:r w:rsidR="00EF5AC4">
        <w:rPr>
          <w:rFonts w:ascii="Verdana" w:hAnsi="Verdana" w:cs="Verdana"/>
          <w:color w:val="000000" w:themeColor="text1"/>
          <w:sz w:val="20"/>
          <w:szCs w:val="20"/>
        </w:rPr>
        <w:t>13</w:t>
      </w:r>
      <w:r w:rsidRPr="00231D73">
        <w:rPr>
          <w:rFonts w:ascii="Verdana" w:hAnsi="Verdana" w:cs="Verdana"/>
          <w:color w:val="000000" w:themeColor="text1"/>
          <w:sz w:val="20"/>
          <w:szCs w:val="20"/>
        </w:rPr>
        <w:t>).</w:t>
      </w:r>
      <w:r w:rsidR="000E0FC8">
        <w:rPr>
          <w:rFonts w:ascii="Verdana" w:hAnsi="Verdana" w:cs="Verdana"/>
          <w:color w:val="000000" w:themeColor="text1"/>
          <w:sz w:val="20"/>
          <w:szCs w:val="20"/>
        </w:rPr>
        <w:t xml:space="preserve"> En ninguna de ellas expresó su posición respecto a si se debe mantener o levantar la medida urgente dispuesta por el Presidente de la Corte Interamericana</w:t>
      </w:r>
      <w:r w:rsidR="007E4289">
        <w:rPr>
          <w:rFonts w:ascii="Verdana" w:hAnsi="Verdana" w:cs="Verdana"/>
          <w:color w:val="000000" w:themeColor="text1"/>
          <w:sz w:val="20"/>
          <w:szCs w:val="20"/>
        </w:rPr>
        <w:t xml:space="preserve"> en la Resolución de 28 de mayo de 2019 (</w:t>
      </w:r>
      <w:r w:rsidR="007E4289" w:rsidRPr="00506B11">
        <w:rPr>
          <w:rFonts w:ascii="Verdana" w:hAnsi="Verdana" w:cs="Verdana"/>
          <w:i/>
          <w:color w:val="000000" w:themeColor="text1"/>
          <w:sz w:val="20"/>
          <w:szCs w:val="20"/>
        </w:rPr>
        <w:t xml:space="preserve">supra </w:t>
      </w:r>
      <w:r w:rsidR="007E4289">
        <w:rPr>
          <w:rFonts w:ascii="Verdana" w:hAnsi="Verdana" w:cs="Verdana"/>
          <w:color w:val="000000" w:themeColor="text1"/>
          <w:sz w:val="20"/>
          <w:szCs w:val="20"/>
        </w:rPr>
        <w:t>Considerando 16)</w:t>
      </w:r>
      <w:r w:rsidR="000E0FC8">
        <w:rPr>
          <w:rFonts w:ascii="Verdana" w:hAnsi="Verdana" w:cs="Verdana"/>
          <w:color w:val="000000" w:themeColor="text1"/>
          <w:sz w:val="20"/>
          <w:szCs w:val="20"/>
        </w:rPr>
        <w:t xml:space="preserve">. </w:t>
      </w:r>
    </w:p>
    <w:p w14:paraId="0ED66A9B" w14:textId="67A75AB4" w:rsidR="00A35A4E" w:rsidRDefault="00796918" w:rsidP="001E6BF9">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Pr>
          <w:rFonts w:ascii="Verdana" w:hAnsi="Verdana" w:cs="Verdana"/>
          <w:color w:val="000000" w:themeColor="text1"/>
          <w:sz w:val="20"/>
          <w:szCs w:val="20"/>
        </w:rPr>
        <w:t>E</w:t>
      </w:r>
      <w:r w:rsidR="006203FD">
        <w:rPr>
          <w:rFonts w:ascii="Verdana" w:hAnsi="Verdana" w:cs="Verdana"/>
          <w:color w:val="000000" w:themeColor="text1"/>
          <w:sz w:val="20"/>
          <w:szCs w:val="20"/>
        </w:rPr>
        <w:t xml:space="preserve">l </w:t>
      </w:r>
      <w:r w:rsidR="006203FD" w:rsidRPr="00506B11">
        <w:rPr>
          <w:rFonts w:ascii="Verdana" w:hAnsi="Verdana" w:cs="Verdana"/>
          <w:i/>
          <w:color w:val="000000" w:themeColor="text1"/>
          <w:sz w:val="20"/>
          <w:szCs w:val="20"/>
        </w:rPr>
        <w:t>Estado</w:t>
      </w:r>
      <w:r w:rsidR="000E0FC8">
        <w:rPr>
          <w:rFonts w:ascii="Verdana" w:hAnsi="Verdana" w:cs="Verdana"/>
          <w:color w:val="000000" w:themeColor="text1"/>
          <w:sz w:val="20"/>
          <w:szCs w:val="20"/>
        </w:rPr>
        <w:t xml:space="preserve"> </w:t>
      </w:r>
      <w:r>
        <w:rPr>
          <w:rFonts w:ascii="Verdana" w:hAnsi="Verdana" w:cs="Verdana"/>
          <w:color w:val="000000" w:themeColor="text1"/>
          <w:sz w:val="20"/>
          <w:szCs w:val="20"/>
        </w:rPr>
        <w:t xml:space="preserve">tampoco </w:t>
      </w:r>
      <w:r w:rsidR="0074597A">
        <w:rPr>
          <w:rFonts w:ascii="Verdana" w:hAnsi="Verdana" w:cs="Verdana"/>
          <w:color w:val="000000" w:themeColor="text1"/>
          <w:sz w:val="20"/>
          <w:szCs w:val="20"/>
        </w:rPr>
        <w:t>contestó expresamente</w:t>
      </w:r>
      <w:r w:rsidR="000E0FC8">
        <w:rPr>
          <w:rFonts w:ascii="Verdana" w:hAnsi="Verdana" w:cs="Verdana"/>
          <w:color w:val="000000" w:themeColor="text1"/>
          <w:sz w:val="20"/>
          <w:szCs w:val="20"/>
        </w:rPr>
        <w:t xml:space="preserve"> en el texto de sus informes </w:t>
      </w:r>
      <w:r w:rsidR="0074597A">
        <w:rPr>
          <w:rFonts w:ascii="Verdana" w:hAnsi="Verdana" w:cs="Verdana"/>
          <w:color w:val="000000" w:themeColor="text1"/>
          <w:sz w:val="20"/>
          <w:szCs w:val="20"/>
        </w:rPr>
        <w:t xml:space="preserve">los requerimientos de información </w:t>
      </w:r>
      <w:r w:rsidR="00314939">
        <w:rPr>
          <w:rFonts w:ascii="Verdana" w:hAnsi="Verdana" w:cs="Verdana"/>
          <w:color w:val="000000" w:themeColor="text1"/>
          <w:sz w:val="20"/>
          <w:szCs w:val="20"/>
        </w:rPr>
        <w:t>realizados</w:t>
      </w:r>
      <w:r w:rsidR="007E4289">
        <w:rPr>
          <w:rFonts w:ascii="Verdana" w:hAnsi="Verdana" w:cs="Verdana"/>
          <w:color w:val="000000" w:themeColor="text1"/>
          <w:sz w:val="20"/>
          <w:szCs w:val="20"/>
        </w:rPr>
        <w:t xml:space="preserve"> por el Presidente</w:t>
      </w:r>
      <w:r w:rsidR="00314939">
        <w:rPr>
          <w:rFonts w:ascii="Verdana" w:hAnsi="Verdana" w:cs="Verdana"/>
          <w:color w:val="000000" w:themeColor="text1"/>
          <w:sz w:val="20"/>
          <w:szCs w:val="20"/>
        </w:rPr>
        <w:t xml:space="preserve"> en la referida </w:t>
      </w:r>
      <w:r w:rsidR="00E4372E">
        <w:rPr>
          <w:rFonts w:ascii="Verdana" w:hAnsi="Verdana" w:cs="Verdana"/>
          <w:color w:val="000000" w:themeColor="text1"/>
          <w:sz w:val="20"/>
          <w:szCs w:val="20"/>
        </w:rPr>
        <w:t>R</w:t>
      </w:r>
      <w:r w:rsidR="00314939">
        <w:rPr>
          <w:rFonts w:ascii="Verdana" w:hAnsi="Verdana" w:cs="Verdana"/>
          <w:color w:val="000000" w:themeColor="text1"/>
          <w:sz w:val="20"/>
          <w:szCs w:val="20"/>
        </w:rPr>
        <w:t xml:space="preserve">esolución </w:t>
      </w:r>
      <w:r w:rsidR="007E4289">
        <w:rPr>
          <w:rFonts w:ascii="Verdana" w:hAnsi="Verdana" w:cs="Verdana"/>
          <w:color w:val="000000" w:themeColor="text1"/>
          <w:sz w:val="20"/>
          <w:szCs w:val="20"/>
        </w:rPr>
        <w:t>(</w:t>
      </w:r>
      <w:r w:rsidR="007E4289" w:rsidRPr="00506B11">
        <w:rPr>
          <w:rFonts w:ascii="Verdana" w:hAnsi="Verdana" w:cs="Verdana"/>
          <w:i/>
          <w:color w:val="000000" w:themeColor="text1"/>
          <w:sz w:val="20"/>
          <w:szCs w:val="20"/>
        </w:rPr>
        <w:t>supra</w:t>
      </w:r>
      <w:r w:rsidR="007E4289">
        <w:rPr>
          <w:rFonts w:ascii="Verdana" w:hAnsi="Verdana" w:cs="Verdana"/>
          <w:color w:val="000000" w:themeColor="text1"/>
          <w:sz w:val="20"/>
          <w:szCs w:val="20"/>
        </w:rPr>
        <w:t xml:space="preserve"> Considerando 18)</w:t>
      </w:r>
      <w:r w:rsidR="006203FD">
        <w:rPr>
          <w:rFonts w:ascii="Verdana" w:hAnsi="Verdana" w:cs="Verdana"/>
          <w:color w:val="000000" w:themeColor="text1"/>
          <w:sz w:val="20"/>
          <w:szCs w:val="20"/>
        </w:rPr>
        <w:t xml:space="preserve">, </w:t>
      </w:r>
      <w:r w:rsidR="007E4289">
        <w:rPr>
          <w:rFonts w:ascii="Verdana" w:hAnsi="Verdana" w:cs="Verdana"/>
          <w:color w:val="000000" w:themeColor="text1"/>
          <w:sz w:val="20"/>
          <w:szCs w:val="20"/>
        </w:rPr>
        <w:t xml:space="preserve">aunque </w:t>
      </w:r>
      <w:r w:rsidR="006203FD" w:rsidRPr="00A35A4E">
        <w:rPr>
          <w:rFonts w:ascii="Verdana" w:hAnsi="Verdana" w:cs="Verdana"/>
          <w:color w:val="000000" w:themeColor="text1"/>
          <w:sz w:val="20"/>
          <w:szCs w:val="20"/>
        </w:rPr>
        <w:t xml:space="preserve">aportó como anexos varios documentos que se refieren a los temas sobre los </w:t>
      </w:r>
      <w:r w:rsidR="006203FD">
        <w:rPr>
          <w:rFonts w:ascii="Verdana" w:hAnsi="Verdana" w:cs="Verdana"/>
          <w:color w:val="000000" w:themeColor="text1"/>
          <w:sz w:val="20"/>
          <w:szCs w:val="20"/>
        </w:rPr>
        <w:t xml:space="preserve">cuales el </w:t>
      </w:r>
      <w:r w:rsidR="006203FD" w:rsidRPr="00A35A4E">
        <w:rPr>
          <w:rFonts w:ascii="Verdana" w:hAnsi="Verdana" w:cs="Verdana"/>
          <w:color w:val="000000" w:themeColor="text1"/>
          <w:sz w:val="20"/>
          <w:szCs w:val="20"/>
        </w:rPr>
        <w:t xml:space="preserve">Presidente de la Corte requirió información, entre ellos, informes del Presidente de la Asamblea Legislativa, </w:t>
      </w:r>
      <w:r w:rsidR="007E4289">
        <w:rPr>
          <w:rFonts w:ascii="Verdana" w:hAnsi="Verdana" w:cs="Verdana"/>
          <w:color w:val="000000" w:themeColor="text1"/>
          <w:sz w:val="20"/>
          <w:szCs w:val="20"/>
        </w:rPr>
        <w:t>resoluciones</w:t>
      </w:r>
      <w:r w:rsidR="007E4289" w:rsidRPr="00A35A4E">
        <w:rPr>
          <w:rFonts w:ascii="Verdana" w:hAnsi="Verdana" w:cs="Verdana"/>
          <w:color w:val="000000" w:themeColor="text1"/>
          <w:sz w:val="20"/>
          <w:szCs w:val="20"/>
        </w:rPr>
        <w:t xml:space="preserve"> </w:t>
      </w:r>
      <w:r w:rsidR="006203FD" w:rsidRPr="00A35A4E">
        <w:rPr>
          <w:rFonts w:ascii="Verdana" w:hAnsi="Verdana" w:cs="Verdana"/>
          <w:color w:val="000000" w:themeColor="text1"/>
          <w:sz w:val="20"/>
          <w:szCs w:val="20"/>
        </w:rPr>
        <w:t>y comunicaciones de la Sala de lo Constitucional</w:t>
      </w:r>
      <w:r w:rsidR="007E4289">
        <w:rPr>
          <w:rFonts w:ascii="Verdana" w:hAnsi="Verdana" w:cs="Verdana"/>
          <w:color w:val="000000" w:themeColor="text1"/>
          <w:sz w:val="20"/>
          <w:szCs w:val="20"/>
        </w:rPr>
        <w:t xml:space="preserve"> de la Corte Suprema de Justicia</w:t>
      </w:r>
      <w:r w:rsidR="006203FD" w:rsidRPr="00A35A4E">
        <w:rPr>
          <w:rFonts w:ascii="Verdana" w:hAnsi="Verdana" w:cs="Verdana"/>
          <w:color w:val="000000" w:themeColor="text1"/>
          <w:sz w:val="20"/>
          <w:szCs w:val="20"/>
        </w:rPr>
        <w:t xml:space="preserve"> y un informe </w:t>
      </w:r>
      <w:r w:rsidR="007E4289">
        <w:rPr>
          <w:rFonts w:ascii="Verdana" w:hAnsi="Verdana" w:cs="Verdana"/>
          <w:color w:val="000000" w:themeColor="text1"/>
          <w:sz w:val="20"/>
          <w:szCs w:val="20"/>
        </w:rPr>
        <w:t xml:space="preserve">elaborado por </w:t>
      </w:r>
      <w:r w:rsidR="006203FD" w:rsidRPr="00A35A4E">
        <w:rPr>
          <w:rFonts w:ascii="Verdana" w:hAnsi="Verdana" w:cs="Verdana"/>
          <w:color w:val="000000" w:themeColor="text1"/>
          <w:sz w:val="20"/>
          <w:szCs w:val="20"/>
        </w:rPr>
        <w:t xml:space="preserve">el Juez </w:t>
      </w:r>
      <w:r w:rsidR="00A02111">
        <w:rPr>
          <w:rFonts w:ascii="Verdana" w:hAnsi="Verdana" w:cs="Verdana"/>
          <w:color w:val="000000" w:themeColor="text1"/>
          <w:sz w:val="20"/>
          <w:szCs w:val="20"/>
        </w:rPr>
        <w:t>Segundo de Primera Instancia de</w:t>
      </w:r>
      <w:r w:rsidR="006203FD" w:rsidRPr="00A35A4E">
        <w:rPr>
          <w:rFonts w:ascii="Verdana" w:hAnsi="Verdana" w:cs="Verdana"/>
          <w:color w:val="000000" w:themeColor="text1"/>
          <w:sz w:val="20"/>
          <w:szCs w:val="20"/>
        </w:rPr>
        <w:t xml:space="preserve"> San Francisco Gotera, quien se encuentra a cargo de</w:t>
      </w:r>
      <w:r w:rsidR="00A02111">
        <w:rPr>
          <w:rFonts w:ascii="Verdana" w:hAnsi="Verdana" w:cs="Verdana"/>
          <w:color w:val="000000" w:themeColor="text1"/>
          <w:sz w:val="20"/>
          <w:szCs w:val="20"/>
        </w:rPr>
        <w:t xml:space="preserve"> </w:t>
      </w:r>
      <w:r w:rsidR="006203FD" w:rsidRPr="00A35A4E">
        <w:rPr>
          <w:rFonts w:ascii="Verdana" w:hAnsi="Verdana" w:cs="Verdana"/>
          <w:color w:val="000000" w:themeColor="text1"/>
          <w:sz w:val="20"/>
          <w:szCs w:val="20"/>
        </w:rPr>
        <w:t>l</w:t>
      </w:r>
      <w:r w:rsidR="00A02111">
        <w:rPr>
          <w:rFonts w:ascii="Verdana" w:hAnsi="Verdana" w:cs="Verdana"/>
          <w:color w:val="000000" w:themeColor="text1"/>
          <w:sz w:val="20"/>
          <w:szCs w:val="20"/>
        </w:rPr>
        <w:t>a instrucción del</w:t>
      </w:r>
      <w:r w:rsidR="006203FD" w:rsidRPr="00A35A4E">
        <w:rPr>
          <w:rFonts w:ascii="Verdana" w:hAnsi="Verdana" w:cs="Verdana"/>
          <w:color w:val="000000" w:themeColor="text1"/>
          <w:sz w:val="20"/>
          <w:szCs w:val="20"/>
        </w:rPr>
        <w:t xml:space="preserve"> proceso penal actualmente en curso respecto al caso </w:t>
      </w:r>
      <w:r w:rsidR="006203FD" w:rsidRPr="00A35A4E">
        <w:rPr>
          <w:rFonts w:ascii="Verdana" w:hAnsi="Verdana" w:cs="Verdana"/>
          <w:i/>
          <w:color w:val="000000" w:themeColor="text1"/>
          <w:sz w:val="20"/>
          <w:szCs w:val="20"/>
        </w:rPr>
        <w:t>Masacres de El Mozote y lugares aledaños</w:t>
      </w:r>
      <w:r w:rsidR="006203FD" w:rsidRPr="00A35A4E">
        <w:rPr>
          <w:rFonts w:ascii="Verdana" w:hAnsi="Verdana" w:cs="Verdana"/>
          <w:iCs/>
          <w:color w:val="000000" w:themeColor="text1"/>
          <w:sz w:val="20"/>
          <w:szCs w:val="20"/>
        </w:rPr>
        <w:t xml:space="preserve">.  </w:t>
      </w:r>
    </w:p>
    <w:p w14:paraId="2589914D" w14:textId="2708B380" w:rsidR="00522275" w:rsidRDefault="007E4289" w:rsidP="00E4372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Pr>
          <w:rFonts w:ascii="Verdana" w:hAnsi="Verdana" w:cs="Verdana"/>
          <w:color w:val="000000" w:themeColor="text1"/>
          <w:sz w:val="20"/>
          <w:szCs w:val="20"/>
        </w:rPr>
        <w:t>En cuanto a la información requerida por el Presidente</w:t>
      </w:r>
      <w:r w:rsidR="00A02111">
        <w:rPr>
          <w:rFonts w:ascii="Verdana" w:hAnsi="Verdana" w:cs="Verdana"/>
          <w:color w:val="000000" w:themeColor="text1"/>
          <w:sz w:val="20"/>
          <w:szCs w:val="20"/>
        </w:rPr>
        <w:t xml:space="preserve"> de esta Corte</w:t>
      </w:r>
      <w:r>
        <w:rPr>
          <w:rFonts w:ascii="Verdana" w:hAnsi="Verdana" w:cs="Verdana"/>
          <w:color w:val="000000" w:themeColor="text1"/>
          <w:sz w:val="20"/>
          <w:szCs w:val="20"/>
        </w:rPr>
        <w:t xml:space="preserve"> respecto a la posición que ha asumido el Poder Ejecutivo ante el Poder Legislativo en relación al proyecto de “Ley Especial de Justicia Transicional y Restaurativa para la Reconciliación Nacional” (supra nota al pie 9), </w:t>
      </w:r>
      <w:r w:rsidR="00A35A4E">
        <w:rPr>
          <w:rFonts w:ascii="Verdana" w:hAnsi="Verdana" w:cs="Verdana"/>
          <w:color w:val="000000" w:themeColor="text1"/>
          <w:sz w:val="20"/>
          <w:szCs w:val="20"/>
        </w:rPr>
        <w:t>en su informe de 14 de junio de 2019</w:t>
      </w:r>
      <w:r>
        <w:rPr>
          <w:rFonts w:ascii="Verdana" w:hAnsi="Verdana" w:cs="Verdana"/>
          <w:color w:val="000000" w:themeColor="text1"/>
          <w:sz w:val="20"/>
          <w:szCs w:val="20"/>
        </w:rPr>
        <w:t xml:space="preserve"> el Estado</w:t>
      </w:r>
      <w:r w:rsidR="00A35A4E">
        <w:rPr>
          <w:rFonts w:ascii="Verdana" w:hAnsi="Verdana" w:cs="Verdana"/>
          <w:color w:val="000000" w:themeColor="text1"/>
          <w:sz w:val="20"/>
          <w:szCs w:val="20"/>
        </w:rPr>
        <w:t xml:space="preserve"> </w:t>
      </w:r>
      <w:r w:rsidR="00E4372E">
        <w:rPr>
          <w:rFonts w:ascii="Verdana" w:hAnsi="Verdana" w:cs="Verdana"/>
          <w:color w:val="000000" w:themeColor="text1"/>
          <w:sz w:val="20"/>
          <w:szCs w:val="20"/>
        </w:rPr>
        <w:t xml:space="preserve">explicó que </w:t>
      </w:r>
    </w:p>
    <w:p w14:paraId="27CA857B" w14:textId="558B521B" w:rsidR="00A35A4E" w:rsidRPr="00CC4B19" w:rsidRDefault="004C24B0" w:rsidP="00FF5F4F">
      <w:pPr>
        <w:pStyle w:val="Prrafodelista"/>
        <w:tabs>
          <w:tab w:val="left" w:pos="0"/>
        </w:tabs>
        <w:autoSpaceDE w:val="0"/>
        <w:autoSpaceDN w:val="0"/>
        <w:adjustRightInd w:val="0"/>
        <w:spacing w:before="120" w:after="120" w:line="240" w:lineRule="auto"/>
        <w:ind w:left="708" w:right="616"/>
        <w:contextualSpacing w:val="0"/>
        <w:jc w:val="both"/>
        <w:rPr>
          <w:rFonts w:ascii="Verdana" w:hAnsi="Verdana" w:cs="Verdana"/>
          <w:color w:val="000000" w:themeColor="text1"/>
          <w:sz w:val="16"/>
          <w:szCs w:val="16"/>
        </w:rPr>
      </w:pPr>
      <w:r w:rsidRPr="00506B11">
        <w:rPr>
          <w:rFonts w:ascii="Verdana" w:hAnsi="Verdana" w:cs="Verdana"/>
          <w:color w:val="000000" w:themeColor="text1"/>
          <w:sz w:val="16"/>
          <w:szCs w:val="16"/>
        </w:rPr>
        <w:t>el Presidente Constitucional</w:t>
      </w:r>
      <w:r w:rsidRPr="001236F3">
        <w:rPr>
          <w:rFonts w:ascii="Verdana" w:hAnsi="Verdana" w:cs="Verdana"/>
          <w:color w:val="000000" w:themeColor="text1"/>
          <w:sz w:val="16"/>
          <w:szCs w:val="16"/>
        </w:rPr>
        <w:t xml:space="preserve"> </w:t>
      </w:r>
      <w:r w:rsidR="00CD7361" w:rsidRPr="001236F3">
        <w:rPr>
          <w:rFonts w:ascii="Verdana" w:hAnsi="Verdana" w:cs="Verdana"/>
          <w:color w:val="000000" w:themeColor="text1"/>
          <w:sz w:val="16"/>
          <w:szCs w:val="16"/>
        </w:rPr>
        <w:t xml:space="preserve">de El Salvador </w:t>
      </w:r>
      <w:r w:rsidRPr="001236F3">
        <w:rPr>
          <w:rFonts w:ascii="Verdana" w:hAnsi="Verdana" w:cs="Verdana"/>
          <w:color w:val="000000" w:themeColor="text1"/>
          <w:sz w:val="16"/>
          <w:szCs w:val="16"/>
        </w:rPr>
        <w:t>Nayib Armando Bukele Ort</w:t>
      </w:r>
      <w:r w:rsidR="00CD7361" w:rsidRPr="001236F3">
        <w:rPr>
          <w:rFonts w:ascii="Verdana" w:hAnsi="Verdana" w:cs="Verdana"/>
          <w:color w:val="000000" w:themeColor="text1"/>
          <w:sz w:val="16"/>
          <w:szCs w:val="16"/>
        </w:rPr>
        <w:t>e</w:t>
      </w:r>
      <w:r w:rsidRPr="001236F3">
        <w:rPr>
          <w:rFonts w:ascii="Verdana" w:hAnsi="Verdana" w:cs="Verdana"/>
          <w:color w:val="000000" w:themeColor="text1"/>
          <w:sz w:val="16"/>
          <w:szCs w:val="16"/>
        </w:rPr>
        <w:t>z</w:t>
      </w:r>
      <w:r w:rsidR="00A35A4E" w:rsidRPr="001236F3">
        <w:rPr>
          <w:rFonts w:ascii="Verdana" w:hAnsi="Verdana" w:cs="Verdana"/>
          <w:color w:val="000000" w:themeColor="text1"/>
          <w:sz w:val="16"/>
          <w:szCs w:val="16"/>
        </w:rPr>
        <w:t>, cuyo mandato inició el 1 de junio del año en curso</w:t>
      </w:r>
      <w:r w:rsidR="00CD7361" w:rsidRPr="001236F3">
        <w:rPr>
          <w:rFonts w:ascii="Verdana" w:hAnsi="Verdana" w:cs="Verdana"/>
          <w:color w:val="000000" w:themeColor="text1"/>
          <w:sz w:val="16"/>
          <w:szCs w:val="16"/>
        </w:rPr>
        <w:t>,</w:t>
      </w:r>
      <w:r w:rsidR="00A35A4E" w:rsidRPr="001236F3">
        <w:rPr>
          <w:rFonts w:ascii="Verdana" w:hAnsi="Verdana" w:cs="Verdana"/>
          <w:color w:val="000000" w:themeColor="text1"/>
          <w:sz w:val="16"/>
          <w:szCs w:val="16"/>
        </w:rPr>
        <w:t xml:space="preserve"> </w:t>
      </w:r>
      <w:r w:rsidR="00A35A4E" w:rsidRPr="00506B11">
        <w:rPr>
          <w:rFonts w:ascii="Verdana" w:hAnsi="Verdana" w:cs="Verdana"/>
          <w:color w:val="000000" w:themeColor="text1"/>
          <w:sz w:val="16"/>
          <w:szCs w:val="16"/>
        </w:rPr>
        <w:t>estim[aba] conveniente hacer del conocimiento de [la] Corte Interamericana</w:t>
      </w:r>
      <w:r w:rsidR="001236F3" w:rsidRPr="00506B11">
        <w:rPr>
          <w:rFonts w:ascii="Verdana" w:hAnsi="Verdana" w:cs="Verdana"/>
          <w:color w:val="000000" w:themeColor="text1"/>
          <w:sz w:val="16"/>
          <w:szCs w:val="16"/>
        </w:rPr>
        <w:t xml:space="preserve"> de Derechos Humanos</w:t>
      </w:r>
      <w:r w:rsidR="00A35A4E" w:rsidRPr="001236F3">
        <w:rPr>
          <w:rFonts w:ascii="Verdana" w:hAnsi="Verdana" w:cs="Verdana"/>
          <w:color w:val="000000" w:themeColor="text1"/>
          <w:sz w:val="16"/>
          <w:szCs w:val="16"/>
        </w:rPr>
        <w:t xml:space="preserve"> que a la fecha del […] informe de</w:t>
      </w:r>
      <w:r w:rsidR="001236F3" w:rsidRPr="001236F3">
        <w:rPr>
          <w:rFonts w:ascii="Verdana" w:hAnsi="Verdana" w:cs="Verdana"/>
          <w:color w:val="000000" w:themeColor="text1"/>
          <w:sz w:val="16"/>
          <w:szCs w:val="16"/>
        </w:rPr>
        <w:t>[</w:t>
      </w:r>
      <w:r w:rsidR="00A35A4E" w:rsidRPr="001236F3">
        <w:rPr>
          <w:rFonts w:ascii="Verdana" w:hAnsi="Verdana" w:cs="Verdana"/>
          <w:color w:val="000000" w:themeColor="text1"/>
          <w:sz w:val="16"/>
          <w:szCs w:val="16"/>
        </w:rPr>
        <w:t>l</w:t>
      </w:r>
      <w:r w:rsidR="001236F3" w:rsidRPr="001236F3">
        <w:rPr>
          <w:rFonts w:ascii="Verdana" w:hAnsi="Verdana" w:cs="Verdana"/>
          <w:color w:val="000000" w:themeColor="text1"/>
          <w:sz w:val="16"/>
          <w:szCs w:val="16"/>
        </w:rPr>
        <w:t>]</w:t>
      </w:r>
      <w:r w:rsidR="00A35A4E" w:rsidRPr="001236F3">
        <w:rPr>
          <w:rFonts w:ascii="Verdana" w:hAnsi="Verdana" w:cs="Verdana"/>
          <w:color w:val="000000" w:themeColor="text1"/>
          <w:sz w:val="16"/>
          <w:szCs w:val="16"/>
        </w:rPr>
        <w:t xml:space="preserve"> Estado[,] no t[enía] </w:t>
      </w:r>
      <w:r w:rsidR="00A35A4E" w:rsidRPr="00A607D8">
        <w:rPr>
          <w:rFonts w:ascii="Verdana" w:hAnsi="Verdana" w:cs="Verdana"/>
          <w:color w:val="000000" w:themeColor="text1"/>
          <w:sz w:val="16"/>
          <w:szCs w:val="16"/>
        </w:rPr>
        <w:t xml:space="preserve">conocimiento oficial del anteproyecto de Ley Especial de Justicia Trasicional y Restaurativa </w:t>
      </w:r>
      <w:r w:rsidR="00A35A4E" w:rsidRPr="00A607D8">
        <w:rPr>
          <w:rFonts w:ascii="Verdana" w:hAnsi="Verdana" w:cs="Verdana"/>
          <w:color w:val="000000" w:themeColor="text1"/>
          <w:sz w:val="16"/>
          <w:szCs w:val="16"/>
        </w:rPr>
        <w:lastRenderedPageBreak/>
        <w:t>para la Reconciliación Nacional que se encuentra en el seno de la Asamblea Legislativa, [pero] que</w:t>
      </w:r>
      <w:r w:rsidR="001236F3" w:rsidRPr="00732D9B">
        <w:rPr>
          <w:rFonts w:ascii="Verdana" w:hAnsi="Verdana" w:cs="Verdana"/>
          <w:color w:val="000000" w:themeColor="text1"/>
          <w:sz w:val="16"/>
          <w:szCs w:val="16"/>
        </w:rPr>
        <w:t>,</w:t>
      </w:r>
      <w:r w:rsidR="00A35A4E" w:rsidRPr="002B1772">
        <w:rPr>
          <w:rFonts w:ascii="Verdana" w:hAnsi="Verdana" w:cs="Verdana"/>
          <w:color w:val="000000" w:themeColor="text1"/>
          <w:sz w:val="16"/>
          <w:szCs w:val="16"/>
        </w:rPr>
        <w:t xml:space="preserve"> en cumplimiento a la sentencia de la Sala de lo Constitucional d</w:t>
      </w:r>
      <w:r w:rsidR="00A35A4E" w:rsidRPr="0030668A">
        <w:rPr>
          <w:rFonts w:ascii="Verdana" w:hAnsi="Verdana" w:cs="Verdana"/>
          <w:color w:val="000000" w:themeColor="text1"/>
          <w:sz w:val="16"/>
          <w:szCs w:val="16"/>
        </w:rPr>
        <w:t xml:space="preserve">e la Corte Suprema de Justicia que declaró inconstitucional la Ley General de Amnistía </w:t>
      </w:r>
      <w:r w:rsidR="001236F3" w:rsidRPr="00506B11">
        <w:rPr>
          <w:rFonts w:ascii="Verdana" w:hAnsi="Verdana" w:cs="Verdana"/>
          <w:color w:val="000000" w:themeColor="text1"/>
          <w:sz w:val="16"/>
          <w:szCs w:val="16"/>
        </w:rPr>
        <w:t xml:space="preserve">para la Consolidación de la Paz </w:t>
      </w:r>
      <w:r w:rsidR="00A35A4E" w:rsidRPr="00506B11">
        <w:rPr>
          <w:rFonts w:ascii="Verdana" w:hAnsi="Verdana" w:cs="Verdana"/>
          <w:color w:val="000000" w:themeColor="text1"/>
          <w:sz w:val="16"/>
          <w:szCs w:val="16"/>
        </w:rPr>
        <w:t xml:space="preserve">de 1993, cualquier Decreto Legislativo en materia de justicia transicional que sea remitido por la Asamblea Legislativa al Presidente de la República, en el marco del proceso de formación de ley que establece la </w:t>
      </w:r>
      <w:r w:rsidR="001236F3" w:rsidRPr="00506B11">
        <w:rPr>
          <w:rFonts w:ascii="Verdana" w:hAnsi="Verdana" w:cs="Verdana"/>
          <w:color w:val="000000" w:themeColor="text1"/>
          <w:sz w:val="16"/>
          <w:szCs w:val="16"/>
        </w:rPr>
        <w:t xml:space="preserve">Constitución </w:t>
      </w:r>
      <w:r w:rsidR="00A35A4E" w:rsidRPr="00506B11">
        <w:rPr>
          <w:rFonts w:ascii="Verdana" w:hAnsi="Verdana" w:cs="Verdana"/>
          <w:color w:val="000000" w:themeColor="text1"/>
          <w:sz w:val="16"/>
          <w:szCs w:val="16"/>
        </w:rPr>
        <w:t xml:space="preserve">salvadoreña, será examinado teniendo como eje central el derecho a la verdad, a la justicia, a la reparación integral y a las garantías de no repetición de las víctimas de violaciones graves a los derechos humanos e infracciones graves </w:t>
      </w:r>
      <w:r w:rsidR="001236F3" w:rsidRPr="00506B11">
        <w:rPr>
          <w:rFonts w:ascii="Verdana" w:hAnsi="Verdana" w:cs="Verdana"/>
          <w:color w:val="000000" w:themeColor="text1"/>
          <w:sz w:val="16"/>
          <w:szCs w:val="16"/>
        </w:rPr>
        <w:t xml:space="preserve">del </w:t>
      </w:r>
      <w:r w:rsidR="00A35A4E" w:rsidRPr="00506B11">
        <w:rPr>
          <w:rFonts w:ascii="Verdana" w:hAnsi="Verdana" w:cs="Verdana"/>
          <w:color w:val="000000" w:themeColor="text1"/>
          <w:sz w:val="16"/>
          <w:szCs w:val="16"/>
        </w:rPr>
        <w:t>derecho internacional humanitario cometidas en el contexto del conflicto armado interno de El Salvador y sus familiares</w:t>
      </w:r>
      <w:r w:rsidR="00A35A4E" w:rsidRPr="001236F3">
        <w:rPr>
          <w:rFonts w:ascii="Verdana" w:hAnsi="Verdana" w:cs="Verdana"/>
          <w:color w:val="000000" w:themeColor="text1"/>
          <w:sz w:val="16"/>
          <w:szCs w:val="16"/>
        </w:rPr>
        <w:t>.</w:t>
      </w:r>
    </w:p>
    <w:p w14:paraId="127959AA" w14:textId="13DAFD49" w:rsidR="00303B43" w:rsidRPr="006203FD" w:rsidRDefault="001236F3" w:rsidP="006203FD">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Pr>
          <w:rFonts w:ascii="Verdana" w:hAnsi="Verdana" w:cs="Verdana"/>
          <w:sz w:val="20"/>
          <w:szCs w:val="20"/>
        </w:rPr>
        <w:t>Respecto de</w:t>
      </w:r>
      <w:r w:rsidR="003B7B4C" w:rsidRPr="00303B43">
        <w:rPr>
          <w:rFonts w:ascii="Verdana" w:hAnsi="Verdana" w:cs="Verdana"/>
          <w:sz w:val="20"/>
          <w:szCs w:val="20"/>
        </w:rPr>
        <w:t xml:space="preserve"> la orden del Presidente de la Corte de suspender el trámite legislativo del proyecto de “Ley Especial de Justicia Transicional y Restaurativa para la Reconciliación Nacional”</w:t>
      </w:r>
      <w:r>
        <w:rPr>
          <w:rFonts w:ascii="Verdana" w:hAnsi="Verdana" w:cs="Verdana"/>
          <w:sz w:val="20"/>
          <w:szCs w:val="20"/>
        </w:rPr>
        <w:t xml:space="preserve"> (</w:t>
      </w:r>
      <w:r w:rsidRPr="00506B11">
        <w:rPr>
          <w:rFonts w:ascii="Verdana" w:hAnsi="Verdana" w:cs="Verdana"/>
          <w:i/>
          <w:sz w:val="20"/>
          <w:szCs w:val="20"/>
        </w:rPr>
        <w:t>supra</w:t>
      </w:r>
      <w:r>
        <w:rPr>
          <w:rFonts w:ascii="Verdana" w:hAnsi="Verdana" w:cs="Verdana"/>
          <w:sz w:val="20"/>
          <w:szCs w:val="20"/>
        </w:rPr>
        <w:t xml:space="preserve"> Considerando 16)</w:t>
      </w:r>
      <w:r w:rsidR="003B7B4C" w:rsidRPr="00303B43">
        <w:rPr>
          <w:rFonts w:ascii="Verdana" w:hAnsi="Verdana" w:cs="Verdana"/>
          <w:sz w:val="20"/>
          <w:szCs w:val="20"/>
        </w:rPr>
        <w:t>, el Estado aportó un informe suscrito por el Presidente de la Asamblea Legislativa, con fecha 20 de junio de 2019</w:t>
      </w:r>
      <w:r w:rsidRPr="00DC5366">
        <w:rPr>
          <w:rStyle w:val="Refdenotaalpie"/>
          <w:rFonts w:ascii="Verdana" w:hAnsi="Verdana" w:cs="Verdana"/>
          <w:sz w:val="20"/>
          <w:szCs w:val="20"/>
        </w:rPr>
        <w:footnoteReference w:id="28"/>
      </w:r>
      <w:r w:rsidR="003B7B4C" w:rsidRPr="00303B43">
        <w:rPr>
          <w:rFonts w:ascii="Verdana" w:hAnsi="Verdana" w:cs="Verdana"/>
          <w:sz w:val="20"/>
          <w:szCs w:val="20"/>
        </w:rPr>
        <w:t xml:space="preserve">, en el cual “expres[ó] que no existe ninguna intención por parte de esta Asamblea de aprobar una ley, sino cuenta con el consenso y la participación de los diferentes sectores interesados en participar en [esta] temática”. </w:t>
      </w:r>
      <w:r w:rsidR="003B7B4C" w:rsidRPr="006203FD">
        <w:rPr>
          <w:rFonts w:ascii="Verdana" w:hAnsi="Verdana" w:cs="Verdana"/>
          <w:sz w:val="20"/>
          <w:szCs w:val="20"/>
        </w:rPr>
        <w:t xml:space="preserve">Además, en el referido informe el Presidente de la Asamblea Legislativa señaló que ante </w:t>
      </w:r>
      <w:r>
        <w:rPr>
          <w:rFonts w:ascii="Verdana" w:hAnsi="Verdana" w:cs="Verdana"/>
          <w:sz w:val="20"/>
          <w:szCs w:val="20"/>
        </w:rPr>
        <w:t>la</w:t>
      </w:r>
      <w:r w:rsidRPr="006203FD">
        <w:rPr>
          <w:rFonts w:ascii="Verdana" w:hAnsi="Verdana" w:cs="Verdana"/>
          <w:sz w:val="20"/>
          <w:szCs w:val="20"/>
        </w:rPr>
        <w:t xml:space="preserve"> </w:t>
      </w:r>
      <w:r w:rsidR="003B7B4C" w:rsidRPr="006203FD">
        <w:rPr>
          <w:rFonts w:ascii="Verdana" w:hAnsi="Verdana" w:cs="Verdana"/>
          <w:sz w:val="20"/>
          <w:szCs w:val="20"/>
        </w:rPr>
        <w:t xml:space="preserve">Subcomisión </w:t>
      </w:r>
      <w:r>
        <w:rPr>
          <w:rFonts w:ascii="Verdana" w:hAnsi="Verdana" w:cs="Verdana"/>
          <w:sz w:val="20"/>
          <w:szCs w:val="20"/>
        </w:rPr>
        <w:t xml:space="preserve">de la Comisión Política de la Asamblea Legislativa </w:t>
      </w:r>
      <w:r w:rsidR="003B7B4C" w:rsidRPr="006203FD">
        <w:rPr>
          <w:rFonts w:ascii="Verdana" w:hAnsi="Verdana" w:cs="Verdana"/>
          <w:sz w:val="20"/>
          <w:szCs w:val="20"/>
        </w:rPr>
        <w:t>se encuentran dos propuestas de proyectos de ley y aportó copia de las mismas, a saber: i) el proyecto “Ley Especial de Justicia Transicional y Restaurativa para la Reconciliación Nacional”, y ii) el proyecto “Ley Especial de Reparación Integral y Acceso a la Justicia para Víctimas de Graves Violaciones de Derechos Humanos en el Contexto del Conflicto Armado”</w:t>
      </w:r>
      <w:r w:rsidR="003B7B4C" w:rsidRPr="00DC5366">
        <w:rPr>
          <w:rStyle w:val="Refdenotaalpie"/>
          <w:rFonts w:ascii="Verdana" w:hAnsi="Verdana" w:cs="Verdana"/>
          <w:sz w:val="20"/>
          <w:szCs w:val="20"/>
        </w:rPr>
        <w:footnoteReference w:id="29"/>
      </w:r>
      <w:r w:rsidR="003B7B4C" w:rsidRPr="006203FD">
        <w:rPr>
          <w:rFonts w:ascii="Verdana" w:hAnsi="Verdana" w:cs="Verdana"/>
          <w:sz w:val="20"/>
          <w:szCs w:val="20"/>
        </w:rPr>
        <w:t xml:space="preserve">. </w:t>
      </w:r>
    </w:p>
    <w:p w14:paraId="7BB9FF17" w14:textId="7080E400" w:rsidR="00303B43" w:rsidRDefault="003B7B4C" w:rsidP="003B7B4C">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sidRPr="00303B43">
        <w:rPr>
          <w:rFonts w:ascii="Verdana" w:hAnsi="Verdana" w:cs="Verdana"/>
          <w:sz w:val="20"/>
          <w:szCs w:val="20"/>
        </w:rPr>
        <w:t>Adicionalmente,</w:t>
      </w:r>
      <w:r w:rsidR="001236F3">
        <w:rPr>
          <w:rFonts w:ascii="Verdana" w:hAnsi="Verdana" w:cs="Verdana"/>
          <w:sz w:val="20"/>
          <w:szCs w:val="20"/>
        </w:rPr>
        <w:t xml:space="preserve"> en el comunicado de prensa emitido por la Corte Suprema de Justicia el 12 de julio de 2019, aportado por el Estado, se indica que</w:t>
      </w:r>
      <w:r w:rsidRPr="00303B43">
        <w:rPr>
          <w:rFonts w:ascii="Verdana" w:hAnsi="Verdana" w:cs="Verdana"/>
          <w:sz w:val="20"/>
          <w:szCs w:val="20"/>
        </w:rPr>
        <w:t xml:space="preserve"> la Sala de lo Constitucional emitió una resolución </w:t>
      </w:r>
      <w:r w:rsidR="0023130F">
        <w:rPr>
          <w:rFonts w:ascii="Verdana" w:hAnsi="Verdana" w:cs="Verdana"/>
          <w:sz w:val="20"/>
          <w:szCs w:val="20"/>
        </w:rPr>
        <w:t>ese mismo día</w:t>
      </w:r>
      <w:r w:rsidRPr="00DC5366">
        <w:rPr>
          <w:rStyle w:val="Refdenotaalpie"/>
          <w:rFonts w:ascii="Verdana" w:hAnsi="Verdana" w:cs="Verdana"/>
          <w:sz w:val="20"/>
          <w:szCs w:val="20"/>
        </w:rPr>
        <w:footnoteReference w:id="30"/>
      </w:r>
      <w:r w:rsidRPr="00303B43">
        <w:rPr>
          <w:rFonts w:ascii="Verdana" w:hAnsi="Verdana" w:cs="Verdana"/>
          <w:sz w:val="20"/>
          <w:szCs w:val="20"/>
        </w:rPr>
        <w:t>, en la cual decidió “conded[er] una ampliación del plazo</w:t>
      </w:r>
      <w:r w:rsidR="0023130F">
        <w:rPr>
          <w:rFonts w:ascii="Verdana" w:hAnsi="Verdana" w:cs="Verdana"/>
          <w:sz w:val="20"/>
          <w:szCs w:val="20"/>
        </w:rPr>
        <w:t>, por 4 meses</w:t>
      </w:r>
      <w:r w:rsidRPr="00303B43">
        <w:rPr>
          <w:rFonts w:ascii="Verdana" w:hAnsi="Verdana" w:cs="Verdana"/>
          <w:sz w:val="20"/>
          <w:szCs w:val="20"/>
        </w:rPr>
        <w:t>”</w:t>
      </w:r>
      <w:r w:rsidR="0023130F">
        <w:rPr>
          <w:rFonts w:ascii="Verdana" w:hAnsi="Verdana" w:cs="Verdana"/>
          <w:sz w:val="20"/>
          <w:szCs w:val="20"/>
        </w:rPr>
        <w:t>,</w:t>
      </w:r>
      <w:r w:rsidRPr="00303B43">
        <w:rPr>
          <w:rFonts w:ascii="Verdana" w:hAnsi="Verdana" w:cs="Verdana"/>
          <w:sz w:val="20"/>
          <w:szCs w:val="20"/>
        </w:rPr>
        <w:t xml:space="preserve"> hasta el “13 de noviembre de 2019”</w:t>
      </w:r>
      <w:r w:rsidR="00A607D8">
        <w:rPr>
          <w:rStyle w:val="Refdenotaalpie"/>
          <w:rFonts w:ascii="Verdana" w:hAnsi="Verdana" w:cs="Verdana"/>
          <w:sz w:val="20"/>
          <w:szCs w:val="20"/>
        </w:rPr>
        <w:footnoteReference w:id="31"/>
      </w:r>
      <w:r w:rsidR="0023130F">
        <w:rPr>
          <w:rFonts w:ascii="Verdana" w:hAnsi="Verdana" w:cs="Verdana"/>
          <w:sz w:val="20"/>
          <w:szCs w:val="20"/>
        </w:rPr>
        <w:t>,</w:t>
      </w:r>
      <w:r w:rsidRPr="00303B43">
        <w:rPr>
          <w:rFonts w:ascii="Verdana" w:hAnsi="Verdana" w:cs="Verdana"/>
          <w:sz w:val="20"/>
          <w:szCs w:val="20"/>
        </w:rPr>
        <w:t xml:space="preserve"> “para que la Asamblea Legislativa apruebe una ley de reconciliación nacional y de asistencia a víctimas </w:t>
      </w:r>
      <w:r w:rsidR="0023130F">
        <w:rPr>
          <w:rFonts w:ascii="Verdana" w:hAnsi="Verdana" w:cs="Verdana"/>
          <w:sz w:val="20"/>
          <w:szCs w:val="20"/>
        </w:rPr>
        <w:t>que cumpla con lo</w:t>
      </w:r>
      <w:r w:rsidRPr="00303B43">
        <w:rPr>
          <w:rFonts w:ascii="Verdana" w:hAnsi="Verdana" w:cs="Verdana"/>
          <w:sz w:val="20"/>
          <w:szCs w:val="20"/>
        </w:rPr>
        <w:t xml:space="preserve"> establecido en la sentencia de inconstitucionalidad de la Ley de Amnistía emitida el 13 de julio de 2016</w:t>
      </w:r>
      <w:r w:rsidR="0023130F">
        <w:rPr>
          <w:rFonts w:ascii="Verdana" w:hAnsi="Verdana" w:cs="Verdana"/>
          <w:sz w:val="20"/>
          <w:szCs w:val="20"/>
        </w:rPr>
        <w:t>” y con “los parámetros establecidos</w:t>
      </w:r>
      <w:r w:rsidRPr="00303B43">
        <w:rPr>
          <w:rFonts w:ascii="Verdana" w:hAnsi="Verdana" w:cs="Verdana"/>
          <w:sz w:val="20"/>
          <w:szCs w:val="20"/>
        </w:rPr>
        <w:t xml:space="preserve"> </w:t>
      </w:r>
      <w:r w:rsidR="0023130F">
        <w:rPr>
          <w:rFonts w:ascii="Verdana" w:hAnsi="Verdana" w:cs="Verdana"/>
          <w:sz w:val="20"/>
          <w:szCs w:val="20"/>
        </w:rPr>
        <w:t xml:space="preserve">[…] </w:t>
      </w:r>
      <w:r w:rsidRPr="00303B43">
        <w:rPr>
          <w:rFonts w:ascii="Verdana" w:hAnsi="Verdana" w:cs="Verdana"/>
          <w:sz w:val="20"/>
          <w:szCs w:val="20"/>
        </w:rPr>
        <w:t>en resoluciones de seguimiento” (</w:t>
      </w:r>
      <w:r w:rsidRPr="00303B43">
        <w:rPr>
          <w:rFonts w:ascii="Verdana" w:hAnsi="Verdana" w:cs="Verdana"/>
          <w:i/>
          <w:iCs/>
          <w:sz w:val="20"/>
          <w:szCs w:val="20"/>
        </w:rPr>
        <w:t xml:space="preserve">supra </w:t>
      </w:r>
      <w:r w:rsidRPr="00303B43">
        <w:rPr>
          <w:rFonts w:ascii="Verdana" w:hAnsi="Verdana" w:cs="Verdana"/>
          <w:sz w:val="20"/>
          <w:szCs w:val="20"/>
        </w:rPr>
        <w:t>Considerandos 9 a 12).</w:t>
      </w:r>
    </w:p>
    <w:p w14:paraId="7489F54B" w14:textId="74A19C5A" w:rsidR="00303B43" w:rsidRDefault="009D3FAA" w:rsidP="003B7B4C">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themeColor="text1"/>
          <w:sz w:val="20"/>
          <w:szCs w:val="20"/>
        </w:rPr>
      </w:pPr>
      <w:r>
        <w:rPr>
          <w:rFonts w:ascii="Verdana" w:hAnsi="Verdana" w:cs="Verdana"/>
          <w:sz w:val="20"/>
          <w:szCs w:val="20"/>
        </w:rPr>
        <w:t xml:space="preserve">Asimismo, se indica </w:t>
      </w:r>
      <w:r w:rsidR="00A02111">
        <w:rPr>
          <w:rFonts w:ascii="Verdana" w:hAnsi="Verdana" w:cs="Verdana"/>
          <w:sz w:val="20"/>
          <w:szCs w:val="20"/>
        </w:rPr>
        <w:t xml:space="preserve">en el referido comunicado de prensa </w:t>
      </w:r>
      <w:r>
        <w:rPr>
          <w:rFonts w:ascii="Verdana" w:hAnsi="Verdana" w:cs="Verdana"/>
          <w:sz w:val="20"/>
          <w:szCs w:val="20"/>
        </w:rPr>
        <w:t xml:space="preserve">que en dicha resolución </w:t>
      </w:r>
      <w:r w:rsidRPr="00303B43">
        <w:rPr>
          <w:rFonts w:ascii="Verdana" w:hAnsi="Verdana" w:cs="Verdana"/>
          <w:sz w:val="20"/>
          <w:szCs w:val="20"/>
        </w:rPr>
        <w:t>de julio de 2019</w:t>
      </w:r>
      <w:r>
        <w:rPr>
          <w:rFonts w:ascii="Verdana" w:hAnsi="Verdana" w:cs="Verdana"/>
          <w:sz w:val="20"/>
          <w:szCs w:val="20"/>
        </w:rPr>
        <w:t>, l</w:t>
      </w:r>
      <w:r w:rsidR="003B7B4C" w:rsidRPr="00303B43">
        <w:rPr>
          <w:rFonts w:ascii="Verdana" w:hAnsi="Verdana" w:cs="Verdana"/>
          <w:sz w:val="20"/>
          <w:szCs w:val="20"/>
        </w:rPr>
        <w:t>a Sala de lo Constitucional también reiteró que “en [la] elaboración [de dicha ley</w:t>
      </w:r>
      <w:r>
        <w:rPr>
          <w:rFonts w:ascii="Verdana" w:hAnsi="Verdana" w:cs="Verdana"/>
          <w:sz w:val="20"/>
          <w:szCs w:val="20"/>
        </w:rPr>
        <w:t xml:space="preserve"> de reconciliación nacional</w:t>
      </w:r>
      <w:r w:rsidR="003B7B4C" w:rsidRPr="00303B43">
        <w:rPr>
          <w:rFonts w:ascii="Verdana" w:hAnsi="Verdana" w:cs="Verdana"/>
          <w:sz w:val="20"/>
          <w:szCs w:val="20"/>
        </w:rPr>
        <w:t>] debe tomarse en consideración la opinión de las víctimas del conflicto armado, las asociaciones que las representan y otros sectores de la sociedad que se muestren interesados en contribuir a los fines de su elaboración”.</w:t>
      </w:r>
      <w:r w:rsidR="003B7B4C" w:rsidRPr="00303B43">
        <w:rPr>
          <w:rFonts w:ascii="Verdana" w:hAnsi="Verdana" w:cs="Verdana"/>
          <w:b/>
          <w:sz w:val="20"/>
          <w:szCs w:val="20"/>
        </w:rPr>
        <w:t xml:space="preserve"> </w:t>
      </w:r>
      <w:r w:rsidR="003B7B4C" w:rsidRPr="00303B43">
        <w:rPr>
          <w:rFonts w:ascii="Verdana" w:hAnsi="Verdana" w:cs="Verdana"/>
          <w:sz w:val="20"/>
          <w:szCs w:val="20"/>
        </w:rPr>
        <w:t xml:space="preserve">Asimismo, </w:t>
      </w:r>
      <w:r w:rsidR="00A02111">
        <w:rPr>
          <w:rFonts w:ascii="Verdana" w:hAnsi="Verdana" w:cs="Verdana"/>
          <w:sz w:val="20"/>
          <w:szCs w:val="20"/>
        </w:rPr>
        <w:t xml:space="preserve">dicho tribunal </w:t>
      </w:r>
      <w:r w:rsidR="003B7B4C" w:rsidRPr="00303B43">
        <w:rPr>
          <w:rFonts w:ascii="Verdana" w:hAnsi="Verdana" w:cs="Verdana"/>
          <w:sz w:val="20"/>
          <w:szCs w:val="20"/>
        </w:rPr>
        <w:t xml:space="preserve">enfatizó en el deber de la Asamblea Legislativa de “propiciar aún más un proceso de diálogo abierto, transparente e inclusivo con </w:t>
      </w:r>
      <w:r w:rsidR="00012F6E">
        <w:rPr>
          <w:rFonts w:ascii="Verdana" w:hAnsi="Verdana" w:cs="Verdana"/>
          <w:sz w:val="20"/>
          <w:szCs w:val="20"/>
        </w:rPr>
        <w:t>diversos</w:t>
      </w:r>
      <w:r w:rsidR="003B7B4C" w:rsidRPr="00303B43">
        <w:rPr>
          <w:rFonts w:ascii="Verdana" w:hAnsi="Verdana" w:cs="Verdana"/>
          <w:sz w:val="20"/>
          <w:szCs w:val="20"/>
        </w:rPr>
        <w:t xml:space="preserve"> sectores</w:t>
      </w:r>
      <w:r w:rsidR="00012F6E">
        <w:rPr>
          <w:rFonts w:ascii="Verdana" w:hAnsi="Verdana" w:cs="Verdana"/>
          <w:sz w:val="20"/>
          <w:szCs w:val="20"/>
        </w:rPr>
        <w:t xml:space="preserve"> de la sociedad civil, especialmente con grupos de víctimas del conflicto armado</w:t>
      </w:r>
      <w:r w:rsidR="003B7B4C" w:rsidRPr="00303B43">
        <w:rPr>
          <w:rFonts w:ascii="Verdana" w:hAnsi="Verdana" w:cs="Verdana"/>
          <w:sz w:val="20"/>
          <w:szCs w:val="20"/>
        </w:rPr>
        <w:t xml:space="preserve">”, </w:t>
      </w:r>
      <w:r w:rsidR="00012F6E">
        <w:rPr>
          <w:rFonts w:ascii="Verdana" w:hAnsi="Verdana" w:cs="Verdana"/>
          <w:sz w:val="20"/>
          <w:szCs w:val="20"/>
        </w:rPr>
        <w:t>en particular</w:t>
      </w:r>
      <w:r w:rsidR="00012F6E" w:rsidRPr="00303B43">
        <w:rPr>
          <w:rFonts w:ascii="Verdana" w:hAnsi="Verdana" w:cs="Verdana"/>
          <w:sz w:val="20"/>
          <w:szCs w:val="20"/>
        </w:rPr>
        <w:t xml:space="preserve"> </w:t>
      </w:r>
      <w:r w:rsidR="003B7B4C" w:rsidRPr="00303B43">
        <w:rPr>
          <w:rFonts w:ascii="Verdana" w:hAnsi="Verdana" w:cs="Verdana"/>
          <w:sz w:val="20"/>
          <w:szCs w:val="20"/>
        </w:rPr>
        <w:t xml:space="preserve">porque “el actual proceso legislativo realizado para la promulgación de la Ley </w:t>
      </w:r>
      <w:r w:rsidR="003B7B4C" w:rsidRPr="00303B43">
        <w:rPr>
          <w:rFonts w:ascii="Verdana" w:hAnsi="Verdana" w:cs="Verdana"/>
          <w:sz w:val="20"/>
          <w:szCs w:val="20"/>
        </w:rPr>
        <w:lastRenderedPageBreak/>
        <w:t>Especial de Justicia Transicional y Restaurativa para la Reconciliación Nacional no ha sido capaz de generar niveles de confianza mínim</w:t>
      </w:r>
      <w:r w:rsidR="00012F6E">
        <w:rPr>
          <w:rFonts w:ascii="Verdana" w:hAnsi="Verdana" w:cs="Verdana"/>
          <w:sz w:val="20"/>
          <w:szCs w:val="20"/>
        </w:rPr>
        <w:t>os en este último sector</w:t>
      </w:r>
      <w:r w:rsidR="00A02111">
        <w:rPr>
          <w:rFonts w:ascii="Verdana" w:hAnsi="Verdana" w:cs="Verdana"/>
          <w:sz w:val="20"/>
          <w:szCs w:val="20"/>
        </w:rPr>
        <w:t>”. La Sala de lo Constitucional a</w:t>
      </w:r>
      <w:r w:rsidR="003B7B4C" w:rsidRPr="00303B43">
        <w:rPr>
          <w:rFonts w:ascii="Verdana" w:hAnsi="Verdana" w:cs="Verdana"/>
          <w:sz w:val="20"/>
          <w:szCs w:val="20"/>
        </w:rPr>
        <w:t xml:space="preserve">gregó que, sin “ha[ber] efectuado ningún examen o valoración sobre el contenido del [referido] </w:t>
      </w:r>
      <w:r w:rsidR="00012F6E">
        <w:rPr>
          <w:rFonts w:ascii="Verdana" w:hAnsi="Verdana" w:cs="Verdana"/>
          <w:sz w:val="20"/>
          <w:szCs w:val="20"/>
        </w:rPr>
        <w:t xml:space="preserve">proyecto </w:t>
      </w:r>
      <w:r w:rsidR="003B7B4C" w:rsidRPr="00303B43">
        <w:rPr>
          <w:rFonts w:ascii="Verdana" w:hAnsi="Verdana" w:cs="Verdana"/>
          <w:sz w:val="20"/>
          <w:szCs w:val="20"/>
        </w:rPr>
        <w:t xml:space="preserve">de ley”,  la “[a]proba[ción] de una ley en estas condiciones no solo significaría el incumplimiento a las obligaciones derivadas de la sentencia pronunciada en el proceso de inconstitucionalidad y sus resoluciones de seguimiento, sino también un debilitamiento al Estado constitucional de derecho”. </w:t>
      </w:r>
    </w:p>
    <w:p w14:paraId="7BD83BE6" w14:textId="6C33B22A" w:rsidR="00303B43" w:rsidRPr="00303B43" w:rsidRDefault="003B7B4C" w:rsidP="00796918">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303B43">
        <w:rPr>
          <w:rFonts w:ascii="Verdana" w:hAnsi="Verdana" w:cs="Verdana"/>
          <w:sz w:val="20"/>
          <w:szCs w:val="20"/>
        </w:rPr>
        <w:t>Por otra parte, en cuanto a la información requerida por el Presidente del Tribunal respecto al impacto que tendría el proyecto de “Ley Especial de Justicia Transicional y Restaurativa para la Reconciliación Nacional” en el cumplimiento de la obligación de investigar derivada de la Sentencia del presente caso (</w:t>
      </w:r>
      <w:r w:rsidRPr="00303B43">
        <w:rPr>
          <w:rFonts w:ascii="Verdana" w:hAnsi="Verdana" w:cs="Verdana"/>
          <w:i/>
          <w:sz w:val="20"/>
          <w:szCs w:val="20"/>
        </w:rPr>
        <w:t>supra</w:t>
      </w:r>
      <w:r w:rsidRPr="00303B43">
        <w:rPr>
          <w:rFonts w:ascii="Verdana" w:hAnsi="Verdana" w:cs="Verdana"/>
          <w:sz w:val="20"/>
          <w:szCs w:val="20"/>
        </w:rPr>
        <w:t xml:space="preserve"> Considerando </w:t>
      </w:r>
      <w:r w:rsidR="00012F6E">
        <w:rPr>
          <w:rFonts w:ascii="Verdana" w:hAnsi="Verdana" w:cs="Verdana"/>
          <w:sz w:val="20"/>
          <w:szCs w:val="20"/>
        </w:rPr>
        <w:t>18</w:t>
      </w:r>
      <w:r w:rsidRPr="00303B43">
        <w:rPr>
          <w:rFonts w:ascii="Verdana" w:hAnsi="Verdana" w:cs="Verdana"/>
          <w:sz w:val="20"/>
          <w:szCs w:val="20"/>
        </w:rPr>
        <w:t xml:space="preserve">), </w:t>
      </w:r>
      <w:r w:rsidR="00390202">
        <w:rPr>
          <w:rFonts w:ascii="Verdana" w:hAnsi="Verdana" w:cs="Verdana"/>
          <w:sz w:val="20"/>
          <w:szCs w:val="20"/>
        </w:rPr>
        <w:t xml:space="preserve">en </w:t>
      </w:r>
      <w:r w:rsidRPr="00303B43">
        <w:rPr>
          <w:rFonts w:ascii="Verdana" w:hAnsi="Verdana" w:cs="Verdana"/>
          <w:sz w:val="20"/>
          <w:szCs w:val="20"/>
        </w:rPr>
        <w:t xml:space="preserve">sus informes el Estado no se refirió expresamente a este punto. Tampoco se pronunció sobre el contenido de ese proyecto de ley, ni sobre las apreciaciones </w:t>
      </w:r>
      <w:r w:rsidRPr="00303B43">
        <w:rPr>
          <w:rFonts w:ascii="Verdana" w:hAnsi="Verdana" w:cs="Verdana"/>
          <w:i/>
          <w:sz w:val="20"/>
          <w:szCs w:val="20"/>
        </w:rPr>
        <w:t>prima facie</w:t>
      </w:r>
      <w:r w:rsidRPr="00303B43">
        <w:rPr>
          <w:rFonts w:ascii="Verdana" w:hAnsi="Verdana" w:cs="Verdana"/>
          <w:sz w:val="20"/>
          <w:szCs w:val="20"/>
        </w:rPr>
        <w:t xml:space="preserve"> </w:t>
      </w:r>
      <w:r w:rsidR="00012F6E">
        <w:rPr>
          <w:rFonts w:ascii="Verdana" w:hAnsi="Verdana" w:cs="Verdana"/>
          <w:sz w:val="20"/>
          <w:szCs w:val="20"/>
        </w:rPr>
        <w:t xml:space="preserve">realizadas por </w:t>
      </w:r>
      <w:r w:rsidR="00012F6E" w:rsidRPr="00303B43">
        <w:rPr>
          <w:rFonts w:ascii="Verdana" w:hAnsi="Verdana" w:cs="Verdana"/>
          <w:sz w:val="20"/>
          <w:szCs w:val="20"/>
        </w:rPr>
        <w:t xml:space="preserve">el </w:t>
      </w:r>
      <w:r w:rsidRPr="00303B43">
        <w:rPr>
          <w:rFonts w:ascii="Verdana" w:hAnsi="Verdana" w:cs="Verdana"/>
          <w:sz w:val="20"/>
          <w:szCs w:val="20"/>
        </w:rPr>
        <w:t>Presidente de la Corte respecto a que algunas de sus disposiciones podrían ser contrarias a los estándares internacionales relativos a la investigación de graves violaciones a derechos humanos. Sin embargo, junto con su informe de 14 de junio de 2019</w:t>
      </w:r>
      <w:r w:rsidR="00A02111">
        <w:rPr>
          <w:rFonts w:ascii="Verdana" w:hAnsi="Verdana" w:cs="Verdana"/>
          <w:sz w:val="20"/>
          <w:szCs w:val="20"/>
        </w:rPr>
        <w:t>,</w:t>
      </w:r>
      <w:r w:rsidRPr="00303B43">
        <w:rPr>
          <w:rFonts w:ascii="Verdana" w:hAnsi="Verdana" w:cs="Verdana"/>
          <w:sz w:val="20"/>
          <w:szCs w:val="20"/>
        </w:rPr>
        <w:t xml:space="preserve"> El Salvador aportó un informe elaborado por el Juez </w:t>
      </w:r>
      <w:r w:rsidR="00A02111">
        <w:rPr>
          <w:rFonts w:ascii="Verdana" w:hAnsi="Verdana" w:cs="Verdana"/>
          <w:sz w:val="20"/>
          <w:szCs w:val="20"/>
        </w:rPr>
        <w:t>Segundo de Primera Instancia</w:t>
      </w:r>
      <w:r w:rsidR="00012F6E" w:rsidRPr="00303B43">
        <w:rPr>
          <w:rFonts w:ascii="Verdana" w:hAnsi="Verdana" w:cs="Verdana"/>
          <w:sz w:val="20"/>
          <w:szCs w:val="20"/>
        </w:rPr>
        <w:t xml:space="preserve"> </w:t>
      </w:r>
      <w:r w:rsidRPr="00303B43">
        <w:rPr>
          <w:rFonts w:ascii="Verdana" w:hAnsi="Verdana" w:cs="Verdana"/>
          <w:sz w:val="20"/>
          <w:szCs w:val="20"/>
        </w:rPr>
        <w:t>de San Francisco Gotera, quien se encuentra a cargo de</w:t>
      </w:r>
      <w:r w:rsidR="00A02111">
        <w:rPr>
          <w:rFonts w:ascii="Verdana" w:hAnsi="Verdana" w:cs="Verdana"/>
          <w:sz w:val="20"/>
          <w:szCs w:val="20"/>
        </w:rPr>
        <w:t xml:space="preserve"> </w:t>
      </w:r>
      <w:r w:rsidRPr="00303B43">
        <w:rPr>
          <w:rFonts w:ascii="Verdana" w:hAnsi="Verdana" w:cs="Verdana"/>
          <w:sz w:val="20"/>
          <w:szCs w:val="20"/>
        </w:rPr>
        <w:t>l</w:t>
      </w:r>
      <w:r w:rsidR="00A02111">
        <w:rPr>
          <w:rFonts w:ascii="Verdana" w:hAnsi="Verdana" w:cs="Verdana"/>
          <w:sz w:val="20"/>
          <w:szCs w:val="20"/>
        </w:rPr>
        <w:t>a instrucción del</w:t>
      </w:r>
      <w:r w:rsidRPr="00303B43">
        <w:rPr>
          <w:rFonts w:ascii="Verdana" w:hAnsi="Verdana" w:cs="Verdana"/>
          <w:sz w:val="20"/>
          <w:szCs w:val="20"/>
        </w:rPr>
        <w:t xml:space="preserve"> proceso penal actualmente en curso sobre el caso </w:t>
      </w:r>
      <w:r w:rsidRPr="00303B43">
        <w:rPr>
          <w:rFonts w:ascii="Verdana" w:hAnsi="Verdana" w:cs="Verdana"/>
          <w:i/>
          <w:iCs/>
          <w:sz w:val="20"/>
          <w:szCs w:val="20"/>
        </w:rPr>
        <w:t>Masacres de El Mozote y lugares aledaños</w:t>
      </w:r>
      <w:r w:rsidRPr="00390202">
        <w:rPr>
          <w:rStyle w:val="Refdenotaalpie"/>
          <w:rFonts w:ascii="Verdana" w:hAnsi="Verdana" w:cs="Verdana"/>
          <w:iCs/>
          <w:sz w:val="20"/>
          <w:szCs w:val="20"/>
        </w:rPr>
        <w:footnoteReference w:id="32"/>
      </w:r>
      <w:r w:rsidRPr="00303B43">
        <w:rPr>
          <w:rFonts w:ascii="Verdana" w:hAnsi="Verdana" w:cs="Verdana"/>
          <w:sz w:val="20"/>
          <w:szCs w:val="20"/>
        </w:rPr>
        <w:t xml:space="preserve">, en el cual, entre otros aspectos, detalló las razones por las cuales considera que algunas “regulaciones </w:t>
      </w:r>
      <w:r w:rsidRPr="00303B43">
        <w:rPr>
          <w:rFonts w:ascii="Verdana" w:hAnsi="Verdana" w:cs="Verdana"/>
          <w:color w:val="000000" w:themeColor="text1"/>
          <w:sz w:val="20"/>
          <w:szCs w:val="20"/>
        </w:rPr>
        <w:t xml:space="preserve">del Proyecto de Ley de Justicia </w:t>
      </w:r>
      <w:r w:rsidR="00012F6E">
        <w:rPr>
          <w:rFonts w:ascii="Verdana" w:hAnsi="Verdana" w:cs="Verdana"/>
          <w:color w:val="000000" w:themeColor="text1"/>
          <w:sz w:val="20"/>
          <w:szCs w:val="20"/>
        </w:rPr>
        <w:t>T</w:t>
      </w:r>
      <w:r w:rsidR="00012F6E" w:rsidRPr="00303B43">
        <w:rPr>
          <w:rFonts w:ascii="Verdana" w:hAnsi="Verdana" w:cs="Verdana"/>
          <w:color w:val="000000" w:themeColor="text1"/>
          <w:sz w:val="20"/>
          <w:szCs w:val="20"/>
        </w:rPr>
        <w:t xml:space="preserve">ransicional </w:t>
      </w:r>
      <w:r w:rsidRPr="00303B43">
        <w:rPr>
          <w:rFonts w:ascii="Verdana" w:hAnsi="Verdana" w:cs="Verdana"/>
          <w:color w:val="000000" w:themeColor="text1"/>
          <w:sz w:val="20"/>
          <w:szCs w:val="20"/>
        </w:rPr>
        <w:t xml:space="preserve">[…] afectarían directamente la tramitación de [este] proceso penal” y tendrían un </w:t>
      </w:r>
      <w:r w:rsidR="00012F6E">
        <w:rPr>
          <w:rFonts w:ascii="Verdana" w:hAnsi="Verdana" w:cs="Verdana"/>
          <w:color w:val="000000" w:themeColor="text1"/>
          <w:sz w:val="20"/>
          <w:szCs w:val="20"/>
        </w:rPr>
        <w:t>“</w:t>
      </w:r>
      <w:r w:rsidRPr="00303B43">
        <w:rPr>
          <w:rFonts w:ascii="Verdana" w:hAnsi="Verdana" w:cs="Verdana"/>
          <w:color w:val="000000" w:themeColor="text1"/>
          <w:sz w:val="20"/>
          <w:szCs w:val="20"/>
        </w:rPr>
        <w:t xml:space="preserve">impacto </w:t>
      </w:r>
      <w:r w:rsidR="00012F6E">
        <w:rPr>
          <w:rFonts w:ascii="Verdana" w:hAnsi="Verdana" w:cs="Verdana"/>
          <w:color w:val="000000" w:themeColor="text1"/>
          <w:sz w:val="20"/>
          <w:szCs w:val="20"/>
        </w:rPr>
        <w:t>[</w:t>
      </w:r>
      <w:r w:rsidRPr="00303B43">
        <w:rPr>
          <w:rFonts w:ascii="Verdana" w:hAnsi="Verdana" w:cs="Verdana"/>
          <w:color w:val="000000" w:themeColor="text1"/>
          <w:sz w:val="20"/>
          <w:szCs w:val="20"/>
        </w:rPr>
        <w:t>en el</w:t>
      </w:r>
      <w:r w:rsidR="00012F6E">
        <w:rPr>
          <w:rFonts w:ascii="Verdana" w:hAnsi="Verdana" w:cs="Verdana"/>
          <w:color w:val="000000" w:themeColor="text1"/>
          <w:sz w:val="20"/>
          <w:szCs w:val="20"/>
        </w:rPr>
        <w:t>]</w:t>
      </w:r>
      <w:r w:rsidRPr="00303B43">
        <w:rPr>
          <w:rFonts w:ascii="Verdana" w:hAnsi="Verdana" w:cs="Verdana"/>
          <w:color w:val="000000" w:themeColor="text1"/>
          <w:sz w:val="20"/>
          <w:szCs w:val="20"/>
        </w:rPr>
        <w:t xml:space="preserve"> cumplimiento de la obligación de investigar derivada de la sentencia</w:t>
      </w:r>
      <w:r w:rsidR="00012F6E">
        <w:rPr>
          <w:rFonts w:ascii="Verdana" w:hAnsi="Verdana" w:cs="Verdana"/>
          <w:color w:val="000000" w:themeColor="text1"/>
          <w:sz w:val="20"/>
          <w:szCs w:val="20"/>
        </w:rPr>
        <w:t>”</w:t>
      </w:r>
      <w:r w:rsidRPr="00303B43">
        <w:rPr>
          <w:rFonts w:ascii="Verdana" w:hAnsi="Verdana" w:cs="Verdana"/>
          <w:color w:val="000000" w:themeColor="text1"/>
          <w:sz w:val="20"/>
          <w:szCs w:val="20"/>
        </w:rPr>
        <w:t xml:space="preserve"> emitida por la Corte Interamericana</w:t>
      </w:r>
      <w:r>
        <w:rPr>
          <w:rStyle w:val="Refdenotaalpie"/>
          <w:rFonts w:ascii="Verdana" w:hAnsi="Verdana" w:cs="Verdana"/>
          <w:color w:val="000000" w:themeColor="text1"/>
          <w:sz w:val="20"/>
          <w:szCs w:val="20"/>
        </w:rPr>
        <w:footnoteReference w:id="33"/>
      </w:r>
      <w:r w:rsidRPr="00303B43">
        <w:rPr>
          <w:rFonts w:ascii="Verdana" w:hAnsi="Verdana" w:cs="Verdana"/>
          <w:color w:val="000000" w:themeColor="text1"/>
          <w:sz w:val="20"/>
          <w:szCs w:val="20"/>
        </w:rPr>
        <w:t xml:space="preserve">. </w:t>
      </w:r>
    </w:p>
    <w:p w14:paraId="7F243788" w14:textId="6EC2AED9" w:rsidR="00303B43" w:rsidRDefault="003E487E" w:rsidP="003E487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303B43">
        <w:rPr>
          <w:rFonts w:ascii="Verdana" w:hAnsi="Verdana" w:cs="Verdana"/>
          <w:sz w:val="20"/>
          <w:szCs w:val="20"/>
        </w:rPr>
        <w:t>Adicionalmente, en cuanto a la información requerida por el Presidente</w:t>
      </w:r>
      <w:r w:rsidR="006F0571">
        <w:rPr>
          <w:rFonts w:ascii="Verdana" w:hAnsi="Verdana" w:cs="Verdana"/>
          <w:sz w:val="20"/>
          <w:szCs w:val="20"/>
        </w:rPr>
        <w:t xml:space="preserve"> de la Corte</w:t>
      </w:r>
      <w:r w:rsidRPr="00303B43">
        <w:rPr>
          <w:rFonts w:ascii="Verdana" w:hAnsi="Verdana" w:cs="Verdana"/>
          <w:sz w:val="20"/>
          <w:szCs w:val="20"/>
        </w:rPr>
        <w:t xml:space="preserve"> respecto a la facultad de la Sala de lo Constitucional de realizar un control previo de constitucionalidad (</w:t>
      </w:r>
      <w:r w:rsidRPr="00303B43">
        <w:rPr>
          <w:rFonts w:ascii="Verdana" w:hAnsi="Verdana" w:cs="Verdana"/>
          <w:i/>
          <w:iCs/>
          <w:sz w:val="20"/>
          <w:szCs w:val="20"/>
        </w:rPr>
        <w:t>supra</w:t>
      </w:r>
      <w:r w:rsidRPr="00303B43">
        <w:rPr>
          <w:rFonts w:ascii="Verdana" w:hAnsi="Verdana" w:cs="Verdana"/>
          <w:sz w:val="20"/>
          <w:szCs w:val="20"/>
        </w:rPr>
        <w:t xml:space="preserve"> Considerando </w:t>
      </w:r>
      <w:r w:rsidR="006F0571">
        <w:rPr>
          <w:rFonts w:ascii="Verdana" w:hAnsi="Verdana" w:cs="Verdana"/>
          <w:sz w:val="20"/>
          <w:szCs w:val="20"/>
        </w:rPr>
        <w:t>18</w:t>
      </w:r>
      <w:r w:rsidRPr="00303B43">
        <w:rPr>
          <w:rFonts w:ascii="Verdana" w:hAnsi="Verdana" w:cs="Verdana"/>
          <w:sz w:val="20"/>
          <w:szCs w:val="20"/>
        </w:rPr>
        <w:t xml:space="preserve">), el </w:t>
      </w:r>
      <w:r w:rsidRPr="00303B43">
        <w:rPr>
          <w:rFonts w:ascii="Verdana" w:hAnsi="Verdana" w:cs="Verdana"/>
          <w:i/>
          <w:iCs/>
          <w:sz w:val="20"/>
          <w:szCs w:val="20"/>
        </w:rPr>
        <w:t>Estado</w:t>
      </w:r>
      <w:r w:rsidRPr="00303B43">
        <w:rPr>
          <w:rFonts w:ascii="Verdana" w:hAnsi="Verdana" w:cs="Verdana"/>
          <w:sz w:val="20"/>
          <w:szCs w:val="20"/>
        </w:rPr>
        <w:t xml:space="preserve"> explicó en su informe de 31 de mayo de 2019 cómo funciona el proceso de formación de ley en el ordenamiento jurídico salvadoreño</w:t>
      </w:r>
      <w:r>
        <w:rPr>
          <w:rStyle w:val="Refdenotaalpie"/>
          <w:rFonts w:ascii="Verdana" w:hAnsi="Verdana" w:cs="Verdana"/>
          <w:sz w:val="20"/>
          <w:szCs w:val="20"/>
        </w:rPr>
        <w:footnoteReference w:id="34"/>
      </w:r>
      <w:r w:rsidRPr="00303B43">
        <w:rPr>
          <w:rFonts w:ascii="Verdana" w:hAnsi="Verdana" w:cs="Verdana"/>
          <w:sz w:val="20"/>
          <w:szCs w:val="20"/>
        </w:rPr>
        <w:t xml:space="preserve">. </w:t>
      </w:r>
      <w:r w:rsidRPr="00303B43">
        <w:rPr>
          <w:rFonts w:ascii="Verdana" w:hAnsi="Verdana" w:cs="Verdana"/>
          <w:color w:val="000000" w:themeColor="text1"/>
          <w:sz w:val="20"/>
          <w:szCs w:val="20"/>
        </w:rPr>
        <w:t xml:space="preserve">También aportó una resolución emitida por la Sala de lo </w:t>
      </w:r>
      <w:r w:rsidRPr="00303B43">
        <w:rPr>
          <w:rFonts w:ascii="Verdana" w:hAnsi="Verdana" w:cs="Verdana"/>
          <w:color w:val="000000" w:themeColor="text1"/>
          <w:sz w:val="20"/>
          <w:szCs w:val="20"/>
        </w:rPr>
        <w:lastRenderedPageBreak/>
        <w:t>Constitucional el 14 de junio de 2019</w:t>
      </w:r>
      <w:r>
        <w:rPr>
          <w:rStyle w:val="Refdenotaalpie"/>
          <w:rFonts w:ascii="Verdana" w:hAnsi="Verdana" w:cs="Verdana"/>
          <w:color w:val="000000" w:themeColor="text1"/>
          <w:sz w:val="20"/>
          <w:szCs w:val="20"/>
        </w:rPr>
        <w:footnoteReference w:id="35"/>
      </w:r>
      <w:r w:rsidRPr="00303B43">
        <w:rPr>
          <w:rFonts w:ascii="Verdana" w:hAnsi="Verdana" w:cs="Verdana"/>
          <w:color w:val="000000" w:themeColor="text1"/>
          <w:sz w:val="20"/>
          <w:szCs w:val="20"/>
        </w:rPr>
        <w:t>, en la cual se explica</w:t>
      </w:r>
      <w:r w:rsidR="006F0571">
        <w:rPr>
          <w:rFonts w:ascii="Verdana" w:hAnsi="Verdana" w:cs="Verdana"/>
          <w:color w:val="000000" w:themeColor="text1"/>
          <w:sz w:val="20"/>
          <w:szCs w:val="20"/>
        </w:rPr>
        <w:t>n</w:t>
      </w:r>
      <w:r w:rsidRPr="00303B43">
        <w:rPr>
          <w:rFonts w:ascii="Verdana" w:hAnsi="Verdana" w:cs="Verdana"/>
          <w:color w:val="000000" w:themeColor="text1"/>
          <w:sz w:val="20"/>
          <w:szCs w:val="20"/>
        </w:rPr>
        <w:t xml:space="preserve"> las facultades que le brinda el ordenamiento jurídico salvadoreño para realizar el control de constitucionalidad. </w:t>
      </w:r>
    </w:p>
    <w:p w14:paraId="70A882D5" w14:textId="5E95CE62" w:rsidR="00303B43" w:rsidRDefault="003E487E" w:rsidP="00591963">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303B43">
        <w:rPr>
          <w:rFonts w:ascii="Verdana" w:hAnsi="Verdana" w:cs="Verdana"/>
          <w:sz w:val="20"/>
          <w:szCs w:val="20"/>
        </w:rPr>
        <w:t>Según la información</w:t>
      </w:r>
      <w:r w:rsidR="007231DE">
        <w:rPr>
          <w:rFonts w:ascii="Verdana" w:hAnsi="Verdana" w:cs="Verdana"/>
          <w:sz w:val="20"/>
          <w:szCs w:val="20"/>
        </w:rPr>
        <w:t xml:space="preserve"> aportada</w:t>
      </w:r>
      <w:r w:rsidRPr="00303B43">
        <w:rPr>
          <w:rFonts w:ascii="Verdana" w:hAnsi="Verdana" w:cs="Verdana"/>
          <w:sz w:val="20"/>
          <w:szCs w:val="20"/>
        </w:rPr>
        <w:t xml:space="preserve">, el </w:t>
      </w:r>
      <w:r w:rsidR="006F0571">
        <w:rPr>
          <w:rFonts w:ascii="Verdana" w:hAnsi="Verdana" w:cs="Verdana"/>
          <w:sz w:val="20"/>
          <w:szCs w:val="20"/>
        </w:rPr>
        <w:t>“</w:t>
      </w:r>
      <w:r w:rsidRPr="00303B43">
        <w:rPr>
          <w:rFonts w:ascii="Verdana" w:hAnsi="Verdana" w:cs="Verdana"/>
          <w:sz w:val="20"/>
          <w:szCs w:val="20"/>
        </w:rPr>
        <w:t>único mecanismo</w:t>
      </w:r>
      <w:r w:rsidR="006F0571">
        <w:rPr>
          <w:rFonts w:ascii="Verdana" w:hAnsi="Verdana" w:cs="Verdana"/>
          <w:sz w:val="20"/>
          <w:szCs w:val="20"/>
        </w:rPr>
        <w:t>”</w:t>
      </w:r>
      <w:r w:rsidRPr="00303B43">
        <w:rPr>
          <w:rFonts w:ascii="Verdana" w:hAnsi="Verdana" w:cs="Verdana"/>
          <w:sz w:val="20"/>
          <w:szCs w:val="20"/>
        </w:rPr>
        <w:t xml:space="preserve"> que permitiría la intervención de la Sala de lo Constitucional para realizar un control previo de constitucionalidad de un proyecto de ley es el veto presidencial por razones de inconstitucionalidad, regulado en los artículos 137 y 138 de la Constitución </w:t>
      </w:r>
      <w:r w:rsidR="00A02111">
        <w:rPr>
          <w:rFonts w:ascii="Verdana" w:hAnsi="Verdana" w:cs="Verdana"/>
          <w:sz w:val="20"/>
          <w:szCs w:val="20"/>
        </w:rPr>
        <w:t xml:space="preserve">Política </w:t>
      </w:r>
      <w:r w:rsidRPr="00303B43">
        <w:rPr>
          <w:rFonts w:ascii="Verdana" w:hAnsi="Verdana" w:cs="Verdana"/>
          <w:sz w:val="20"/>
          <w:szCs w:val="20"/>
        </w:rPr>
        <w:t>de El Salvador</w:t>
      </w:r>
      <w:r>
        <w:rPr>
          <w:rStyle w:val="Refdenotaalpie"/>
          <w:rFonts w:ascii="Verdana" w:hAnsi="Verdana" w:cs="Verdana"/>
          <w:sz w:val="20"/>
          <w:szCs w:val="20"/>
        </w:rPr>
        <w:footnoteReference w:id="36"/>
      </w:r>
      <w:r w:rsidRPr="00303B43">
        <w:rPr>
          <w:rFonts w:ascii="Verdana" w:hAnsi="Verdana" w:cs="Verdana"/>
          <w:sz w:val="20"/>
          <w:szCs w:val="20"/>
        </w:rPr>
        <w:t>. Se trata de un mecanismo “</w:t>
      </w:r>
      <w:r w:rsidR="006F0571">
        <w:rPr>
          <w:rFonts w:ascii="Verdana" w:hAnsi="Verdana" w:cs="Verdana"/>
          <w:sz w:val="20"/>
          <w:szCs w:val="20"/>
        </w:rPr>
        <w:t>con ocasión</w:t>
      </w:r>
      <w:r w:rsidRPr="00303B43">
        <w:rPr>
          <w:rFonts w:ascii="Verdana" w:hAnsi="Verdana" w:cs="Verdana"/>
          <w:sz w:val="20"/>
          <w:szCs w:val="20"/>
        </w:rPr>
        <w:t xml:space="preserve"> de </w:t>
      </w:r>
      <w:r w:rsidR="006F0571">
        <w:rPr>
          <w:rFonts w:ascii="Verdana" w:hAnsi="Verdana" w:cs="Verdana"/>
          <w:sz w:val="20"/>
          <w:szCs w:val="20"/>
        </w:rPr>
        <w:t xml:space="preserve">la </w:t>
      </w:r>
      <w:r w:rsidRPr="00303B43">
        <w:rPr>
          <w:rFonts w:ascii="Verdana" w:hAnsi="Verdana" w:cs="Verdana"/>
          <w:sz w:val="20"/>
          <w:szCs w:val="20"/>
        </w:rPr>
        <w:t xml:space="preserve">controversia </w:t>
      </w:r>
      <w:r w:rsidR="006F0571">
        <w:rPr>
          <w:rFonts w:ascii="Verdana" w:hAnsi="Verdana" w:cs="Verdana"/>
          <w:sz w:val="20"/>
          <w:szCs w:val="20"/>
        </w:rPr>
        <w:t xml:space="preserve">[…] que puede suscitarse </w:t>
      </w:r>
      <w:r w:rsidRPr="00303B43">
        <w:rPr>
          <w:rFonts w:ascii="Verdana" w:hAnsi="Verdana" w:cs="Verdana"/>
          <w:sz w:val="20"/>
          <w:szCs w:val="20"/>
        </w:rPr>
        <w:t xml:space="preserve">entre el Órgano Legislativo y </w:t>
      </w:r>
      <w:r w:rsidR="006F0571">
        <w:rPr>
          <w:rFonts w:ascii="Verdana" w:hAnsi="Verdana" w:cs="Verdana"/>
          <w:sz w:val="20"/>
          <w:szCs w:val="20"/>
        </w:rPr>
        <w:t>[</w:t>
      </w:r>
      <w:r w:rsidRPr="00303B43">
        <w:rPr>
          <w:rFonts w:ascii="Verdana" w:hAnsi="Verdana" w:cs="Verdana"/>
          <w:sz w:val="20"/>
          <w:szCs w:val="20"/>
        </w:rPr>
        <w:t>el Órgano</w:t>
      </w:r>
      <w:r w:rsidR="006F0571">
        <w:rPr>
          <w:rFonts w:ascii="Verdana" w:hAnsi="Verdana" w:cs="Verdana"/>
          <w:sz w:val="20"/>
          <w:szCs w:val="20"/>
        </w:rPr>
        <w:t>]</w:t>
      </w:r>
      <w:r w:rsidRPr="00303B43">
        <w:rPr>
          <w:rFonts w:ascii="Verdana" w:hAnsi="Verdana" w:cs="Verdana"/>
          <w:sz w:val="20"/>
          <w:szCs w:val="20"/>
        </w:rPr>
        <w:t xml:space="preserve"> Ejecutivo </w:t>
      </w:r>
      <w:r w:rsidR="006F0571">
        <w:rPr>
          <w:rFonts w:ascii="Verdana" w:hAnsi="Verdana" w:cs="Verdana"/>
          <w:sz w:val="20"/>
          <w:szCs w:val="20"/>
        </w:rPr>
        <w:t>dentro</w:t>
      </w:r>
      <w:r w:rsidR="006F0571" w:rsidRPr="00303B43">
        <w:rPr>
          <w:rFonts w:ascii="Verdana" w:hAnsi="Verdana" w:cs="Verdana"/>
          <w:sz w:val="20"/>
          <w:szCs w:val="20"/>
        </w:rPr>
        <w:t xml:space="preserve"> </w:t>
      </w:r>
      <w:r w:rsidR="006F0571">
        <w:rPr>
          <w:rFonts w:ascii="Verdana" w:hAnsi="Verdana" w:cs="Verdana"/>
          <w:sz w:val="20"/>
          <w:szCs w:val="20"/>
        </w:rPr>
        <w:t>d</w:t>
      </w:r>
      <w:r w:rsidRPr="00303B43">
        <w:rPr>
          <w:rFonts w:ascii="Verdana" w:hAnsi="Verdana" w:cs="Verdana"/>
          <w:sz w:val="20"/>
          <w:szCs w:val="20"/>
        </w:rPr>
        <w:t xml:space="preserve">el proceso de formación de [ley]”. Según, las explicaciones contenidas en la </w:t>
      </w:r>
      <w:r w:rsidR="006F0571">
        <w:rPr>
          <w:rFonts w:ascii="Verdana" w:hAnsi="Verdana" w:cs="Verdana"/>
          <w:sz w:val="20"/>
          <w:szCs w:val="20"/>
        </w:rPr>
        <w:t xml:space="preserve">referida </w:t>
      </w:r>
      <w:r w:rsidRPr="00303B43">
        <w:rPr>
          <w:rFonts w:ascii="Verdana" w:hAnsi="Verdana" w:cs="Verdana"/>
          <w:sz w:val="20"/>
          <w:szCs w:val="20"/>
        </w:rPr>
        <w:t>resolución de la Sala de lo Constitucional de 14 de junio de 2019 (</w:t>
      </w:r>
      <w:r w:rsidRPr="00303B43">
        <w:rPr>
          <w:rFonts w:ascii="Verdana" w:hAnsi="Verdana" w:cs="Verdana"/>
          <w:i/>
          <w:iCs/>
          <w:sz w:val="20"/>
          <w:szCs w:val="20"/>
        </w:rPr>
        <w:t>supra</w:t>
      </w:r>
      <w:r w:rsidRPr="00303B43">
        <w:rPr>
          <w:rFonts w:ascii="Verdana" w:hAnsi="Verdana" w:cs="Verdana"/>
          <w:sz w:val="20"/>
          <w:szCs w:val="20"/>
        </w:rPr>
        <w:t xml:space="preserve"> Considerando </w:t>
      </w:r>
      <w:r w:rsidR="006F0571">
        <w:rPr>
          <w:rFonts w:ascii="Verdana" w:hAnsi="Verdana" w:cs="Verdana"/>
          <w:sz w:val="20"/>
          <w:szCs w:val="20"/>
        </w:rPr>
        <w:t>27</w:t>
      </w:r>
      <w:r w:rsidRPr="00303B43">
        <w:rPr>
          <w:rFonts w:ascii="Verdana" w:hAnsi="Verdana" w:cs="Verdana"/>
          <w:sz w:val="20"/>
          <w:szCs w:val="20"/>
        </w:rPr>
        <w:t>), en caso que la Asamblea Legislativa no coincida con el criterio del Presidente</w:t>
      </w:r>
      <w:r w:rsidR="00A02111">
        <w:rPr>
          <w:rFonts w:ascii="Verdana" w:hAnsi="Verdana" w:cs="Verdana"/>
          <w:sz w:val="20"/>
          <w:szCs w:val="20"/>
        </w:rPr>
        <w:t xml:space="preserve"> de la República</w:t>
      </w:r>
      <w:r w:rsidRPr="00303B43">
        <w:rPr>
          <w:rFonts w:ascii="Verdana" w:hAnsi="Verdana" w:cs="Verdana"/>
          <w:sz w:val="20"/>
          <w:szCs w:val="20"/>
        </w:rPr>
        <w:t>, puede ratificar el proyecto de ley con por lo menos dos tercios de los votos de los diputados electos, con lo cual es enviado de nuevo al Presidente, debiendo éste dirigirse, dentro del plazo establecido en la Constitución, a la Corte Suprema de Justicia, para que la Sala de lo Constitucional decida sobre la constitucionalidad del proyecto de ley. Si la referida Sala considera que el proyecto de ley es constitucional, el Presidente deberá sancionarlo y publicarlo como ley y, en caso de que considere que el proyecto es contrario a la Constitución, deberá ser rechazado, pues la decisión de la Sala de lo Constitucional es de carácter “preceptivo y vinculante”</w:t>
      </w:r>
      <w:r w:rsidRPr="005B1459">
        <w:rPr>
          <w:rStyle w:val="Refdenotaalpie"/>
          <w:rFonts w:ascii="Verdana" w:hAnsi="Verdana" w:cs="Verdana"/>
          <w:sz w:val="20"/>
          <w:szCs w:val="20"/>
        </w:rPr>
        <w:footnoteReference w:id="37"/>
      </w:r>
      <w:r w:rsidRPr="00303B43">
        <w:rPr>
          <w:rFonts w:ascii="Verdana" w:hAnsi="Verdana" w:cs="Verdana"/>
          <w:sz w:val="20"/>
          <w:szCs w:val="20"/>
        </w:rPr>
        <w:t xml:space="preserve">. </w:t>
      </w:r>
    </w:p>
    <w:p w14:paraId="2E3228E6" w14:textId="18A229CE" w:rsidR="00591963" w:rsidRPr="00303B43" w:rsidRDefault="00591963" w:rsidP="00591963">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303B43">
        <w:rPr>
          <w:rFonts w:ascii="Verdana" w:hAnsi="Verdana" w:cs="Verdana"/>
          <w:sz w:val="20"/>
          <w:szCs w:val="20"/>
        </w:rPr>
        <w:t>Adicionalmente,</w:t>
      </w:r>
      <w:r w:rsidR="00A02111">
        <w:rPr>
          <w:rFonts w:ascii="Verdana" w:hAnsi="Verdana" w:cs="Verdana"/>
          <w:sz w:val="20"/>
          <w:szCs w:val="20"/>
        </w:rPr>
        <w:t xml:space="preserve"> en dicha decisión</w:t>
      </w:r>
      <w:r w:rsidRPr="00303B43">
        <w:rPr>
          <w:rFonts w:ascii="Verdana" w:hAnsi="Verdana" w:cs="Verdana"/>
          <w:sz w:val="20"/>
          <w:szCs w:val="20"/>
        </w:rPr>
        <w:t xml:space="preserve"> la Sala de lo Constitucional </w:t>
      </w:r>
      <w:r w:rsidR="006F0571">
        <w:rPr>
          <w:rFonts w:ascii="Verdana" w:hAnsi="Verdana" w:cs="Verdana"/>
          <w:sz w:val="20"/>
          <w:szCs w:val="20"/>
        </w:rPr>
        <w:t xml:space="preserve">también </w:t>
      </w:r>
      <w:r w:rsidRPr="00303B43">
        <w:rPr>
          <w:rFonts w:ascii="Verdana" w:hAnsi="Verdana" w:cs="Verdana"/>
          <w:sz w:val="20"/>
          <w:szCs w:val="20"/>
        </w:rPr>
        <w:t xml:space="preserve">explicó que tiene la facultad de decidir y hacer ejecutar lo juzgado en materia constitucional. En consecuencia, sostuvo que en el marco del seguimiento del cumplimiento de su sentencia de inconstitucionalidad de 13 de julio de 2016 realizará un control de constitucionalidad de carácter posterior de la ley que eventualmente apruebe el </w:t>
      </w:r>
      <w:r w:rsidR="006F0571">
        <w:rPr>
          <w:rFonts w:ascii="Verdana" w:hAnsi="Verdana" w:cs="Verdana"/>
          <w:sz w:val="20"/>
          <w:szCs w:val="20"/>
        </w:rPr>
        <w:t>Ó</w:t>
      </w:r>
      <w:r w:rsidRPr="00303B43">
        <w:rPr>
          <w:rFonts w:ascii="Verdana" w:hAnsi="Verdana" w:cs="Verdana"/>
          <w:sz w:val="20"/>
          <w:szCs w:val="20"/>
        </w:rPr>
        <w:t xml:space="preserve">rgano </w:t>
      </w:r>
      <w:r w:rsidR="006F0571">
        <w:rPr>
          <w:rFonts w:ascii="Verdana" w:hAnsi="Verdana" w:cs="Verdana"/>
          <w:sz w:val="20"/>
          <w:szCs w:val="20"/>
        </w:rPr>
        <w:t>L</w:t>
      </w:r>
      <w:r w:rsidRPr="00303B43">
        <w:rPr>
          <w:rFonts w:ascii="Verdana" w:hAnsi="Verdana" w:cs="Verdana"/>
          <w:sz w:val="20"/>
          <w:szCs w:val="20"/>
        </w:rPr>
        <w:t xml:space="preserve">egislativo. Es decir, “[e]n el supuesto de que la Asamblea Legislativa apruebe el actual proyecto de </w:t>
      </w:r>
      <w:r w:rsidR="00BF2EA6">
        <w:rPr>
          <w:rFonts w:ascii="Verdana" w:hAnsi="Verdana" w:cs="Verdana"/>
          <w:sz w:val="20"/>
          <w:szCs w:val="20"/>
        </w:rPr>
        <w:t>‘</w:t>
      </w:r>
      <w:r w:rsidRPr="00303B43">
        <w:rPr>
          <w:rFonts w:ascii="Verdana" w:hAnsi="Verdana" w:cs="Verdana"/>
          <w:sz w:val="20"/>
          <w:szCs w:val="20"/>
        </w:rPr>
        <w:t>Ley Especial de Justicia Transicional y Restaurativa para la Reconciliación Nacional</w:t>
      </w:r>
      <w:r w:rsidR="00BF2EA6">
        <w:rPr>
          <w:rFonts w:ascii="Verdana" w:hAnsi="Verdana" w:cs="Verdana"/>
          <w:sz w:val="20"/>
          <w:szCs w:val="20"/>
        </w:rPr>
        <w:t>’</w:t>
      </w:r>
      <w:r w:rsidRPr="00303B43">
        <w:rPr>
          <w:rFonts w:ascii="Verdana" w:hAnsi="Verdana" w:cs="Verdana"/>
          <w:sz w:val="20"/>
          <w:szCs w:val="20"/>
        </w:rPr>
        <w:t xml:space="preserve"> y </w:t>
      </w:r>
      <w:r w:rsidR="00BF2EA6">
        <w:rPr>
          <w:rFonts w:ascii="Verdana" w:hAnsi="Verdana" w:cs="Verdana"/>
          <w:sz w:val="20"/>
          <w:szCs w:val="20"/>
        </w:rPr>
        <w:t>“</w:t>
      </w:r>
      <w:r w:rsidRPr="00303B43">
        <w:rPr>
          <w:rFonts w:ascii="Verdana" w:hAnsi="Verdana" w:cs="Verdana"/>
          <w:sz w:val="20"/>
          <w:szCs w:val="20"/>
        </w:rPr>
        <w:t xml:space="preserve">el decreto que la contiene sea sancionado por el Presidente de la </w:t>
      </w:r>
      <w:r w:rsidRPr="00303B43">
        <w:rPr>
          <w:rFonts w:ascii="Verdana" w:hAnsi="Verdana" w:cs="Verdana"/>
          <w:sz w:val="20"/>
          <w:szCs w:val="20"/>
        </w:rPr>
        <w:lastRenderedPageBreak/>
        <w:t xml:space="preserve">República”, la Sala “deberá verificar si ha cumplido o no con los criterios que se fijaron en [dicha] sentencia, así como en las audiencias orales y resoluciones de seguimiento”. </w:t>
      </w:r>
    </w:p>
    <w:p w14:paraId="7E2051BB" w14:textId="77777777" w:rsidR="003E487E" w:rsidRPr="00D228E6" w:rsidRDefault="003E487E" w:rsidP="00D228E6">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color w:val="000000" w:themeColor="text1"/>
          <w:sz w:val="20"/>
          <w:szCs w:val="20"/>
        </w:rPr>
      </w:pPr>
    </w:p>
    <w:p w14:paraId="3C0B3B91" w14:textId="77777777" w:rsidR="00EF0C24" w:rsidRPr="00EF0C24" w:rsidRDefault="00EF0C24" w:rsidP="00EF0C24">
      <w:pPr>
        <w:pStyle w:val="Prrafodelista"/>
        <w:numPr>
          <w:ilvl w:val="0"/>
          <w:numId w:val="18"/>
        </w:numPr>
        <w:tabs>
          <w:tab w:val="left" w:pos="0"/>
        </w:tabs>
        <w:autoSpaceDE w:val="0"/>
        <w:autoSpaceDN w:val="0"/>
        <w:adjustRightInd w:val="0"/>
        <w:spacing w:before="120" w:after="120" w:line="240" w:lineRule="auto"/>
        <w:ind w:right="99"/>
        <w:contextualSpacing w:val="0"/>
        <w:jc w:val="both"/>
        <w:rPr>
          <w:rFonts w:ascii="Verdana" w:hAnsi="Verdana" w:cs="Verdana"/>
          <w:i/>
          <w:color w:val="000000" w:themeColor="text1"/>
          <w:sz w:val="20"/>
          <w:szCs w:val="20"/>
        </w:rPr>
      </w:pPr>
      <w:r>
        <w:rPr>
          <w:rFonts w:ascii="Verdana" w:hAnsi="Verdana" w:cs="Verdana"/>
          <w:i/>
          <w:color w:val="000000" w:themeColor="text1"/>
          <w:sz w:val="20"/>
          <w:szCs w:val="20"/>
        </w:rPr>
        <w:t>Observaciones de los representantes de las víctimas</w:t>
      </w:r>
    </w:p>
    <w:p w14:paraId="15F8FBBA" w14:textId="0CC34E0C" w:rsidR="00157E4F" w:rsidRPr="00157E4F" w:rsidRDefault="001B1BA6" w:rsidP="006E1368">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B0F0"/>
          <w:sz w:val="20"/>
          <w:szCs w:val="20"/>
        </w:rPr>
      </w:pPr>
      <w:r w:rsidRPr="00157E4F">
        <w:rPr>
          <w:rFonts w:ascii="Verdana" w:hAnsi="Verdana" w:cs="Verdana"/>
          <w:iCs/>
          <w:sz w:val="20"/>
          <w:szCs w:val="20"/>
        </w:rPr>
        <w:t xml:space="preserve">Los </w:t>
      </w:r>
      <w:r w:rsidRPr="00157E4F">
        <w:rPr>
          <w:rFonts w:ascii="Verdana" w:hAnsi="Verdana" w:cs="Verdana"/>
          <w:i/>
          <w:sz w:val="20"/>
          <w:szCs w:val="20"/>
        </w:rPr>
        <w:t xml:space="preserve">representantes </w:t>
      </w:r>
      <w:r w:rsidR="00E9420D" w:rsidRPr="00157E4F">
        <w:rPr>
          <w:rFonts w:ascii="Verdana" w:hAnsi="Verdana" w:cs="Verdana"/>
          <w:i/>
          <w:sz w:val="20"/>
          <w:szCs w:val="20"/>
        </w:rPr>
        <w:t>“</w:t>
      </w:r>
      <w:r w:rsidR="00FB7242" w:rsidRPr="00157E4F">
        <w:rPr>
          <w:rFonts w:ascii="Verdana" w:hAnsi="Verdana" w:cs="Verdana"/>
          <w:sz w:val="20"/>
          <w:szCs w:val="20"/>
        </w:rPr>
        <w:t>observa[ron] que la información proporcionada [por el Estado] no cumple cabalmente con lo requerido por [el Presidente] de la Corte”. Al respecto</w:t>
      </w:r>
      <w:r w:rsidR="00BF2EA6">
        <w:rPr>
          <w:rFonts w:ascii="Verdana" w:hAnsi="Verdana" w:cs="Verdana"/>
          <w:sz w:val="20"/>
          <w:szCs w:val="20"/>
        </w:rPr>
        <w:t>,</w:t>
      </w:r>
      <w:r w:rsidR="00FB7242" w:rsidRPr="00157E4F">
        <w:rPr>
          <w:rFonts w:ascii="Verdana" w:hAnsi="Verdana" w:cs="Verdana"/>
          <w:sz w:val="20"/>
          <w:szCs w:val="20"/>
        </w:rPr>
        <w:t xml:space="preserve"> indicaron que el Estado “omite referirse al contenido del proyecto de </w:t>
      </w:r>
      <w:r w:rsidR="00FB7242" w:rsidRPr="00157E4F">
        <w:rPr>
          <w:rFonts w:ascii="Verdana" w:hAnsi="Verdana" w:cs="Verdana"/>
          <w:iCs/>
          <w:sz w:val="20"/>
          <w:szCs w:val="20"/>
        </w:rPr>
        <w:t xml:space="preserve">L[ey Especial de Justicia Transicional y Restaurativa para la Reconciliación Nacional] en cuestión y su incompatibilidad con las obligaciones internacionales del Estado, particularmente aquellas derivadas de la Sentencia” de este caso. También, “lamenta[ron] la falta de </w:t>
      </w:r>
      <w:r w:rsidR="00BF2EA6">
        <w:rPr>
          <w:rFonts w:ascii="Verdana" w:hAnsi="Verdana" w:cs="Verdana"/>
          <w:iCs/>
          <w:sz w:val="20"/>
          <w:szCs w:val="20"/>
        </w:rPr>
        <w:t>disposición</w:t>
      </w:r>
      <w:r w:rsidR="00BF2EA6" w:rsidRPr="00157E4F">
        <w:rPr>
          <w:rFonts w:ascii="Verdana" w:hAnsi="Verdana" w:cs="Verdana"/>
          <w:iCs/>
          <w:sz w:val="20"/>
          <w:szCs w:val="20"/>
        </w:rPr>
        <w:t xml:space="preserve"> </w:t>
      </w:r>
      <w:r w:rsidR="00FB7242" w:rsidRPr="00157E4F">
        <w:rPr>
          <w:rFonts w:ascii="Verdana" w:hAnsi="Verdana" w:cs="Verdana"/>
          <w:iCs/>
          <w:sz w:val="20"/>
          <w:szCs w:val="20"/>
        </w:rPr>
        <w:t>del Poder Ejecutivo de responder lo solicitado por [el Presidente] de la Corte en relación a su posición sobre el anteproyecto de Ley y su posible incompatibilidad con el contenido de la Sentencia”, y</w:t>
      </w:r>
      <w:r w:rsidR="00FB7242" w:rsidRPr="00157E4F">
        <w:rPr>
          <w:rFonts w:ascii="Verdana" w:hAnsi="Verdana" w:cs="Verdana"/>
          <w:b/>
          <w:iCs/>
          <w:sz w:val="20"/>
          <w:szCs w:val="20"/>
        </w:rPr>
        <w:t xml:space="preserve"> </w:t>
      </w:r>
      <w:r w:rsidR="00FB7242" w:rsidRPr="00157E4F">
        <w:rPr>
          <w:rFonts w:ascii="Verdana" w:hAnsi="Verdana" w:cs="Verdana"/>
          <w:iCs/>
          <w:sz w:val="20"/>
          <w:szCs w:val="20"/>
        </w:rPr>
        <w:t>“llama[ron] la atención [respecto] de que el informe del Órgano Legislativo</w:t>
      </w:r>
      <w:r w:rsidR="00157E4F" w:rsidRPr="00157E4F">
        <w:rPr>
          <w:rFonts w:ascii="Verdana" w:hAnsi="Verdana" w:cs="Verdana"/>
          <w:iCs/>
          <w:sz w:val="20"/>
          <w:szCs w:val="20"/>
        </w:rPr>
        <w:t xml:space="preserve"> no se refiere al contenido del mencionado proyecto” ni a “los aspectos [de éste] que […] generan grave preocupación, en la medida en que ponen en grave riesgo el derecho al acceso a la justicia de graves violaciones a derechos humanos durante el conflicto armado</w:t>
      </w:r>
      <w:r w:rsidR="00BF2EA6">
        <w:rPr>
          <w:rFonts w:ascii="Verdana" w:hAnsi="Verdana" w:cs="Verdana"/>
          <w:iCs/>
          <w:sz w:val="20"/>
          <w:szCs w:val="20"/>
        </w:rPr>
        <w:t>, y en particular de las víctimas de la Masacre de El Mozote y lugares aledaños</w:t>
      </w:r>
      <w:r w:rsidR="00157E4F" w:rsidRPr="00157E4F">
        <w:rPr>
          <w:rFonts w:ascii="Verdana" w:hAnsi="Verdana" w:cs="Verdana"/>
          <w:iCs/>
          <w:sz w:val="20"/>
          <w:szCs w:val="20"/>
        </w:rPr>
        <w:t>”</w:t>
      </w:r>
      <w:r w:rsidR="00FB7242" w:rsidRPr="00157E4F">
        <w:rPr>
          <w:rFonts w:ascii="Verdana" w:hAnsi="Verdana" w:cs="Verdana"/>
          <w:iCs/>
          <w:sz w:val="20"/>
          <w:szCs w:val="20"/>
        </w:rPr>
        <w:t>.</w:t>
      </w:r>
      <w:r w:rsidR="00157E4F" w:rsidRPr="00157E4F">
        <w:rPr>
          <w:rFonts w:ascii="Verdana" w:hAnsi="Verdana" w:cs="Verdana"/>
          <w:iCs/>
          <w:sz w:val="20"/>
          <w:szCs w:val="20"/>
        </w:rPr>
        <w:t xml:space="preserve"> </w:t>
      </w:r>
    </w:p>
    <w:p w14:paraId="30826145" w14:textId="6F255A1F" w:rsidR="007D5C19" w:rsidRDefault="00157E4F" w:rsidP="003E487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157E4F">
        <w:rPr>
          <w:rFonts w:ascii="Verdana" w:hAnsi="Verdana" w:cs="Verdana"/>
          <w:iCs/>
          <w:sz w:val="20"/>
          <w:szCs w:val="20"/>
        </w:rPr>
        <w:t xml:space="preserve">Adicionalmente, </w:t>
      </w:r>
      <w:r>
        <w:rPr>
          <w:rFonts w:ascii="Verdana" w:hAnsi="Verdana" w:cs="Verdana"/>
          <w:iCs/>
          <w:sz w:val="20"/>
          <w:szCs w:val="20"/>
        </w:rPr>
        <w:t xml:space="preserve">en cuanto al </w:t>
      </w:r>
      <w:r w:rsidR="0028292E" w:rsidRPr="00157E4F">
        <w:rPr>
          <w:rFonts w:ascii="Verdana" w:hAnsi="Verdana" w:cs="Verdana"/>
          <w:iCs/>
          <w:sz w:val="20"/>
          <w:szCs w:val="20"/>
        </w:rPr>
        <w:t xml:space="preserve">estado </w:t>
      </w:r>
      <w:r w:rsidR="00BF2EA6">
        <w:rPr>
          <w:rFonts w:ascii="Verdana" w:hAnsi="Verdana" w:cs="Verdana"/>
          <w:iCs/>
          <w:sz w:val="20"/>
          <w:szCs w:val="20"/>
        </w:rPr>
        <w:t>d</w:t>
      </w:r>
      <w:r w:rsidR="0028292E" w:rsidRPr="00157E4F">
        <w:rPr>
          <w:rFonts w:ascii="Verdana" w:hAnsi="Verdana" w:cs="Verdana"/>
          <w:iCs/>
          <w:sz w:val="20"/>
          <w:szCs w:val="20"/>
        </w:rPr>
        <w:t>el</w:t>
      </w:r>
      <w:r w:rsidR="00121C1D" w:rsidRPr="00157E4F">
        <w:rPr>
          <w:rFonts w:ascii="Verdana" w:hAnsi="Verdana" w:cs="Verdana"/>
          <w:iCs/>
          <w:sz w:val="20"/>
          <w:szCs w:val="20"/>
        </w:rPr>
        <w:t xml:space="preserve"> trámite legislativo del</w:t>
      </w:r>
      <w:r>
        <w:rPr>
          <w:rFonts w:ascii="Verdana" w:hAnsi="Verdana" w:cs="Verdana"/>
          <w:iCs/>
          <w:sz w:val="20"/>
          <w:szCs w:val="20"/>
        </w:rPr>
        <w:t xml:space="preserve"> referido</w:t>
      </w:r>
      <w:r w:rsidR="0028292E" w:rsidRPr="00157E4F">
        <w:rPr>
          <w:rFonts w:ascii="Verdana" w:hAnsi="Verdana" w:cs="Verdana"/>
          <w:iCs/>
          <w:sz w:val="20"/>
          <w:szCs w:val="20"/>
        </w:rPr>
        <w:t xml:space="preserve"> proyecto de </w:t>
      </w:r>
      <w:r w:rsidR="00BF2EA6">
        <w:rPr>
          <w:rFonts w:ascii="Verdana" w:hAnsi="Verdana" w:cs="Verdana"/>
          <w:iCs/>
          <w:sz w:val="20"/>
          <w:szCs w:val="20"/>
        </w:rPr>
        <w:t>ley</w:t>
      </w:r>
      <w:r>
        <w:rPr>
          <w:rFonts w:ascii="Verdana" w:hAnsi="Verdana" w:cs="Verdana"/>
          <w:iCs/>
          <w:sz w:val="20"/>
          <w:szCs w:val="20"/>
        </w:rPr>
        <w:t xml:space="preserve">, </w:t>
      </w:r>
      <w:r w:rsidR="001B428C" w:rsidRPr="00157E4F">
        <w:rPr>
          <w:rFonts w:ascii="Verdana" w:hAnsi="Verdana" w:cs="Verdana"/>
          <w:iCs/>
          <w:sz w:val="20"/>
          <w:szCs w:val="20"/>
        </w:rPr>
        <w:t>explicaron que aunque el Presidente de la Corte ordenó detener su trámite “esto no ha ocurrido</w:t>
      </w:r>
      <w:r w:rsidR="001B428C" w:rsidRPr="004F6674">
        <w:rPr>
          <w:rFonts w:ascii="Verdana" w:hAnsi="Verdana" w:cs="Verdana"/>
          <w:iCs/>
          <w:sz w:val="20"/>
          <w:szCs w:val="20"/>
        </w:rPr>
        <w:t>”</w:t>
      </w:r>
      <w:r w:rsidR="00BF2EA6" w:rsidRPr="004F6674">
        <w:rPr>
          <w:rFonts w:ascii="Verdana" w:hAnsi="Verdana" w:cs="Verdana"/>
          <w:iCs/>
          <w:sz w:val="20"/>
          <w:szCs w:val="20"/>
        </w:rPr>
        <w:t>.</w:t>
      </w:r>
      <w:r w:rsidR="001B428C" w:rsidRPr="004F6674">
        <w:rPr>
          <w:rFonts w:ascii="Verdana" w:hAnsi="Verdana" w:cs="Verdana"/>
          <w:iCs/>
          <w:sz w:val="20"/>
          <w:szCs w:val="20"/>
        </w:rPr>
        <w:t xml:space="preserve"> </w:t>
      </w:r>
      <w:r w:rsidR="00FF48FE" w:rsidRPr="004F6674">
        <w:rPr>
          <w:rFonts w:ascii="Verdana" w:hAnsi="Verdana" w:cs="Verdana"/>
          <w:sz w:val="20"/>
          <w:szCs w:val="20"/>
        </w:rPr>
        <w:t>Al respecto, explicaron que el 11 de junio de 2019 se reactivó la labor de la Subcomisión de la Comisión Política de la Asamblea Legislativa que tiene a su cargo elaborar un proyecto de ley de reconciliación nacional, y aportaron una nota de prensa emitida por la Asamblea Legislativa</w:t>
      </w:r>
      <w:r w:rsidR="00FF48FE" w:rsidRPr="004F6674">
        <w:rPr>
          <w:rStyle w:val="Refdenotaalpie"/>
          <w:rFonts w:ascii="Verdana" w:hAnsi="Verdana" w:cs="Helvetica"/>
          <w:sz w:val="20"/>
          <w:szCs w:val="20"/>
        </w:rPr>
        <w:footnoteReference w:id="38"/>
      </w:r>
      <w:r w:rsidR="00FF48FE" w:rsidRPr="004F6674">
        <w:rPr>
          <w:rFonts w:ascii="Verdana" w:hAnsi="Verdana" w:cs="Verdana"/>
          <w:sz w:val="20"/>
          <w:szCs w:val="20"/>
        </w:rPr>
        <w:t>, en la cual se señala que la reactivación de la labor de dicha Subcomisión se debió a que el 13 de julio de 2019 vencía el plazo otorgado por la Sala de lo Constitucional a la Asamblea Legislativa para emitir la normativa dispuesta en su sentencia de inconstitucionalidad de julio de 2016 y sus resoluciones de seguimiento (</w:t>
      </w:r>
      <w:r w:rsidR="00FF48FE" w:rsidRPr="004F6674">
        <w:rPr>
          <w:rFonts w:ascii="Verdana" w:hAnsi="Verdana" w:cs="Verdana"/>
          <w:i/>
          <w:sz w:val="20"/>
          <w:szCs w:val="20"/>
        </w:rPr>
        <w:t xml:space="preserve">supra </w:t>
      </w:r>
      <w:r w:rsidR="00FF48FE" w:rsidRPr="004F6674">
        <w:rPr>
          <w:rFonts w:ascii="Verdana" w:hAnsi="Verdana" w:cs="Verdana"/>
          <w:sz w:val="20"/>
          <w:szCs w:val="20"/>
        </w:rPr>
        <w:t xml:space="preserve">Considerandos 12). </w:t>
      </w:r>
      <w:r w:rsidR="00FF48FE" w:rsidRPr="004F6674">
        <w:rPr>
          <w:rFonts w:ascii="Verdana" w:hAnsi="Verdana" w:cs="Verdana"/>
          <w:bCs/>
          <w:sz w:val="20"/>
          <w:szCs w:val="20"/>
        </w:rPr>
        <w:t>De acuerdo con lo señalado en dicha nota de prensa, el Presidente de la Asamblea Legislativa sostuvo que la reactivación del trabajo de la Subcomisión Legislativa sería, entre otros, para “</w:t>
      </w:r>
      <w:r w:rsidR="00FF48FE" w:rsidRPr="004F6674">
        <w:rPr>
          <w:rFonts w:ascii="Verdana" w:hAnsi="Verdana" w:cs="Helvetica"/>
          <w:sz w:val="20"/>
          <w:szCs w:val="20"/>
        </w:rPr>
        <w:t>analizar la parte inminentemente jurídica [y] ver diferencias y similitudes de los dos proyectos [de ley] que ya tenemos” (</w:t>
      </w:r>
      <w:r w:rsidR="00FF48FE" w:rsidRPr="004F6674">
        <w:rPr>
          <w:rFonts w:ascii="Verdana" w:hAnsi="Verdana" w:cs="Helvetica"/>
          <w:i/>
          <w:sz w:val="20"/>
          <w:szCs w:val="20"/>
        </w:rPr>
        <w:t>supra</w:t>
      </w:r>
      <w:r w:rsidR="00FF48FE" w:rsidRPr="004F6674">
        <w:rPr>
          <w:rFonts w:ascii="Verdana" w:hAnsi="Verdana" w:cs="Helvetica"/>
          <w:sz w:val="20"/>
          <w:szCs w:val="20"/>
        </w:rPr>
        <w:t xml:space="preserve"> Considerando 23), así como para “</w:t>
      </w:r>
      <w:r w:rsidR="00FF48FE" w:rsidRPr="004F6674">
        <w:rPr>
          <w:rFonts w:ascii="Verdana" w:hAnsi="Verdana" w:cs="Helvetica"/>
          <w:sz w:val="20"/>
          <w:szCs w:val="20"/>
          <w:shd w:val="clear" w:color="auto" w:fill="FFFFFF"/>
        </w:rPr>
        <w:t>ampliar y abrir el espacio de consulta y de participación”</w:t>
      </w:r>
      <w:r w:rsidR="00FF48FE" w:rsidRPr="004F6674">
        <w:rPr>
          <w:rFonts w:ascii="Verdana" w:hAnsi="Verdana" w:cs="Helvetica"/>
          <w:sz w:val="20"/>
          <w:szCs w:val="20"/>
        </w:rPr>
        <w:t>. Ello, sería con el fin de “trabaj[ar] en un nuevo cuerpo normativo a partir de insumos generados de la consulta y participación ciudadana”.</w:t>
      </w:r>
      <w:r w:rsidR="00FF48FE">
        <w:rPr>
          <w:rFonts w:ascii="Verdana" w:hAnsi="Verdana" w:cs="Helvetica"/>
          <w:sz w:val="20"/>
          <w:szCs w:val="20"/>
        </w:rPr>
        <w:t xml:space="preserve"> Además de advertir la anterior situación, los representantes expresaron que la reactivación del trámite legislativo se da </w:t>
      </w:r>
      <w:r w:rsidR="001B428C" w:rsidRPr="00157E4F">
        <w:rPr>
          <w:rFonts w:ascii="Verdana" w:hAnsi="Verdana" w:cs="Verdana"/>
          <w:iCs/>
          <w:sz w:val="20"/>
          <w:szCs w:val="20"/>
        </w:rPr>
        <w:t xml:space="preserve">con el agravante de que “no existe ninguna indicación de que la Asamblea Legislativa esté tomando en cuenta el contenido de la Resolución del Presidente de la Corte en las discusiones que sigue llevando a cabo”. </w:t>
      </w:r>
      <w:r w:rsidR="00BF5688">
        <w:rPr>
          <w:rFonts w:ascii="Verdana" w:hAnsi="Verdana" w:cs="Verdana"/>
          <w:iCs/>
          <w:sz w:val="20"/>
          <w:szCs w:val="20"/>
        </w:rPr>
        <w:t>En ese sentido</w:t>
      </w:r>
      <w:r w:rsidR="00FB7EBE">
        <w:rPr>
          <w:rFonts w:ascii="Verdana" w:hAnsi="Verdana" w:cs="Verdana"/>
          <w:iCs/>
          <w:sz w:val="20"/>
          <w:szCs w:val="20"/>
        </w:rPr>
        <w:t xml:space="preserve">, sostuvieron que </w:t>
      </w:r>
      <w:r w:rsidR="00FB7EBE" w:rsidRPr="00157E4F">
        <w:rPr>
          <w:rFonts w:ascii="Verdana" w:hAnsi="Verdana" w:cs="Verdana"/>
          <w:iCs/>
          <w:sz w:val="20"/>
          <w:szCs w:val="20"/>
        </w:rPr>
        <w:t xml:space="preserve">mientras dicha “iniciativa de ley continúe su trámite en los términos que h[an] señalado”, </w:t>
      </w:r>
      <w:r w:rsidR="00BF5688" w:rsidRPr="00506B11">
        <w:rPr>
          <w:rFonts w:ascii="Verdana" w:hAnsi="Verdana" w:cs="Verdana"/>
          <w:bCs/>
          <w:iCs/>
          <w:sz w:val="20"/>
          <w:szCs w:val="20"/>
        </w:rPr>
        <w:t>“</w:t>
      </w:r>
      <w:r w:rsidR="00FB7EBE" w:rsidRPr="00FB7EBE">
        <w:rPr>
          <w:rFonts w:ascii="Verdana" w:hAnsi="Verdana" w:cs="Verdana"/>
          <w:iCs/>
          <w:sz w:val="20"/>
          <w:szCs w:val="20"/>
        </w:rPr>
        <w:t>persist</w:t>
      </w:r>
      <w:r w:rsidR="00BF5688">
        <w:rPr>
          <w:rFonts w:ascii="Verdana" w:hAnsi="Verdana" w:cs="Verdana"/>
          <w:iCs/>
          <w:sz w:val="20"/>
          <w:szCs w:val="20"/>
        </w:rPr>
        <w:t>[</w:t>
      </w:r>
      <w:r w:rsidR="00FB7EBE" w:rsidRPr="00FB7EBE">
        <w:rPr>
          <w:rFonts w:ascii="Verdana" w:hAnsi="Verdana" w:cs="Verdana"/>
          <w:iCs/>
          <w:sz w:val="20"/>
          <w:szCs w:val="20"/>
        </w:rPr>
        <w:t>irá</w:t>
      </w:r>
      <w:r w:rsidR="00BF5688">
        <w:rPr>
          <w:rFonts w:ascii="Verdana" w:hAnsi="Verdana" w:cs="Verdana"/>
          <w:iCs/>
          <w:sz w:val="20"/>
          <w:szCs w:val="20"/>
        </w:rPr>
        <w:t>]</w:t>
      </w:r>
      <w:r w:rsidR="00FB7EBE" w:rsidRPr="00FB7EBE">
        <w:rPr>
          <w:rFonts w:ascii="Verdana" w:hAnsi="Verdana" w:cs="Verdana"/>
          <w:iCs/>
          <w:sz w:val="20"/>
          <w:szCs w:val="20"/>
        </w:rPr>
        <w:t xml:space="preserve"> </w:t>
      </w:r>
      <w:r w:rsidR="0028292E" w:rsidRPr="00FB7EBE">
        <w:rPr>
          <w:rFonts w:ascii="Verdana" w:hAnsi="Verdana" w:cs="Verdana"/>
          <w:iCs/>
          <w:sz w:val="20"/>
          <w:szCs w:val="20"/>
        </w:rPr>
        <w:t>la situación de extrema gravedad y urgencia y riesgo de daño irreparable en que se encuentra el derecho al acceso a la justicia de las víctimas de [este] caso”</w:t>
      </w:r>
      <w:r w:rsidR="00FB7EBE">
        <w:rPr>
          <w:rFonts w:ascii="Verdana" w:hAnsi="Verdana" w:cs="Verdana"/>
          <w:iCs/>
          <w:sz w:val="20"/>
          <w:szCs w:val="20"/>
        </w:rPr>
        <w:t>.</w:t>
      </w:r>
      <w:r w:rsidR="0028292E" w:rsidRPr="00FB7EBE">
        <w:rPr>
          <w:rFonts w:ascii="Verdana" w:hAnsi="Verdana" w:cs="Verdana"/>
          <w:iCs/>
          <w:sz w:val="20"/>
          <w:szCs w:val="20"/>
        </w:rPr>
        <w:t xml:space="preserve"> </w:t>
      </w:r>
    </w:p>
    <w:p w14:paraId="7EE333D0" w14:textId="483DA783" w:rsidR="003E487E" w:rsidRPr="007D5C19" w:rsidRDefault="00BF5688" w:rsidP="003E487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FB7EBE">
        <w:rPr>
          <w:rFonts w:ascii="Verdana" w:hAnsi="Verdana" w:cs="Verdana"/>
          <w:iCs/>
          <w:sz w:val="20"/>
          <w:szCs w:val="20"/>
        </w:rPr>
        <w:t>Agregaron que, “[a] ello se suma  que</w:t>
      </w:r>
      <w:r>
        <w:rPr>
          <w:rFonts w:ascii="Verdana" w:hAnsi="Verdana" w:cs="Verdana"/>
          <w:iCs/>
          <w:sz w:val="20"/>
          <w:szCs w:val="20"/>
        </w:rPr>
        <w:t>, como lo informó el propio Estado,</w:t>
      </w:r>
      <w:r w:rsidRPr="00FB7EBE">
        <w:rPr>
          <w:rFonts w:ascii="Verdana" w:hAnsi="Verdana" w:cs="Verdana"/>
          <w:iCs/>
          <w:sz w:val="20"/>
          <w:szCs w:val="20"/>
        </w:rPr>
        <w:t xml:space="preserve"> en El Salvador no existe ninguna forma de control previo de constitucionalidad de una norma que pueda ser activado por las víctimas y sus representantes”, con lo cual “una vez que entren en vigencia las normas en cuestión afectarán directamente el trámite del caso </w:t>
      </w:r>
      <w:r w:rsidRPr="00FB7EBE">
        <w:rPr>
          <w:rFonts w:ascii="Verdana" w:hAnsi="Verdana" w:cs="Verdana"/>
          <w:iCs/>
          <w:sz w:val="20"/>
          <w:szCs w:val="20"/>
        </w:rPr>
        <w:lastRenderedPageBreak/>
        <w:t>que se lleva a nivel interno, garantizando la impunidad de los responsables de los hechos”.</w:t>
      </w:r>
      <w:r w:rsidRPr="00FB7EBE">
        <w:rPr>
          <w:rFonts w:ascii="Verdana" w:hAnsi="Verdana" w:cs="Verdana"/>
          <w:b/>
          <w:bCs/>
          <w:iCs/>
          <w:sz w:val="20"/>
          <w:szCs w:val="20"/>
        </w:rPr>
        <w:t xml:space="preserve"> </w:t>
      </w:r>
      <w:r w:rsidRPr="00506B11">
        <w:rPr>
          <w:rFonts w:ascii="Verdana" w:hAnsi="Verdana" w:cs="Verdana"/>
          <w:bCs/>
          <w:iCs/>
          <w:sz w:val="20"/>
          <w:szCs w:val="20"/>
        </w:rPr>
        <w:t xml:space="preserve"> </w:t>
      </w:r>
      <w:r w:rsidR="00A607D8">
        <w:rPr>
          <w:rFonts w:ascii="Verdana" w:hAnsi="Verdana" w:cs="Verdana"/>
          <w:bCs/>
          <w:iCs/>
          <w:sz w:val="20"/>
          <w:szCs w:val="20"/>
        </w:rPr>
        <w:t>Además</w:t>
      </w:r>
      <w:r>
        <w:rPr>
          <w:rFonts w:ascii="Verdana" w:hAnsi="Verdana" w:cs="Verdana"/>
          <w:bCs/>
          <w:iCs/>
          <w:sz w:val="20"/>
          <w:szCs w:val="20"/>
        </w:rPr>
        <w:t xml:space="preserve">, </w:t>
      </w:r>
      <w:r>
        <w:rPr>
          <w:rFonts w:ascii="Verdana" w:hAnsi="Verdana" w:cs="Verdana"/>
          <w:sz w:val="20"/>
          <w:szCs w:val="20"/>
        </w:rPr>
        <w:t>e</w:t>
      </w:r>
      <w:r w:rsidR="003E487E" w:rsidRPr="007D5C19">
        <w:rPr>
          <w:rFonts w:ascii="Verdana" w:hAnsi="Verdana" w:cs="Verdana"/>
          <w:sz w:val="20"/>
          <w:szCs w:val="20"/>
        </w:rPr>
        <w:t>n cuanto al referido mecanismo de control de constitucionalidad</w:t>
      </w:r>
      <w:r>
        <w:rPr>
          <w:rFonts w:ascii="Verdana" w:hAnsi="Verdana" w:cs="Verdana"/>
          <w:sz w:val="20"/>
          <w:szCs w:val="20"/>
        </w:rPr>
        <w:t xml:space="preserve"> referido por el Estado (</w:t>
      </w:r>
      <w:r w:rsidRPr="00506B11">
        <w:rPr>
          <w:rFonts w:ascii="Verdana" w:hAnsi="Verdana" w:cs="Verdana"/>
          <w:i/>
          <w:sz w:val="20"/>
          <w:szCs w:val="20"/>
        </w:rPr>
        <w:t>supra</w:t>
      </w:r>
      <w:r>
        <w:rPr>
          <w:rFonts w:ascii="Verdana" w:hAnsi="Verdana" w:cs="Verdana"/>
          <w:sz w:val="20"/>
          <w:szCs w:val="20"/>
        </w:rPr>
        <w:t xml:space="preserve"> Considerando 28)</w:t>
      </w:r>
      <w:r w:rsidR="003E487E" w:rsidRPr="007D5C19">
        <w:rPr>
          <w:rFonts w:ascii="Verdana" w:hAnsi="Verdana" w:cs="Verdana"/>
          <w:sz w:val="20"/>
          <w:szCs w:val="20"/>
        </w:rPr>
        <w:t xml:space="preserve">, los representantes </w:t>
      </w:r>
      <w:r w:rsidR="00A607D8">
        <w:rPr>
          <w:rFonts w:ascii="Verdana" w:hAnsi="Verdana" w:cs="Verdana"/>
          <w:sz w:val="20"/>
          <w:szCs w:val="20"/>
        </w:rPr>
        <w:t>hicieron</w:t>
      </w:r>
      <w:r w:rsidR="003E487E" w:rsidRPr="007D5C19">
        <w:rPr>
          <w:rFonts w:ascii="Verdana" w:hAnsi="Verdana" w:cs="Verdana"/>
          <w:sz w:val="20"/>
          <w:szCs w:val="20"/>
        </w:rPr>
        <w:t xml:space="preserve"> notar que “depende de la voluntad del </w:t>
      </w:r>
      <w:r w:rsidR="00A607D8">
        <w:rPr>
          <w:rFonts w:ascii="Verdana" w:hAnsi="Verdana" w:cs="Verdana"/>
          <w:sz w:val="20"/>
          <w:szCs w:val="20"/>
        </w:rPr>
        <w:t>[</w:t>
      </w:r>
      <w:r w:rsidR="003E487E" w:rsidRPr="007D5C19">
        <w:rPr>
          <w:rFonts w:ascii="Verdana" w:hAnsi="Verdana" w:cs="Verdana"/>
          <w:sz w:val="20"/>
          <w:szCs w:val="20"/>
        </w:rPr>
        <w:t>P</w:t>
      </w:r>
      <w:r w:rsidR="00A607D8">
        <w:rPr>
          <w:rFonts w:ascii="Verdana" w:hAnsi="Verdana" w:cs="Verdana"/>
          <w:sz w:val="20"/>
          <w:szCs w:val="20"/>
        </w:rPr>
        <w:t>]</w:t>
      </w:r>
      <w:r w:rsidR="003E487E" w:rsidRPr="007D5C19">
        <w:rPr>
          <w:rFonts w:ascii="Verdana" w:hAnsi="Verdana" w:cs="Verdana"/>
          <w:sz w:val="20"/>
          <w:szCs w:val="20"/>
        </w:rPr>
        <w:t xml:space="preserve">residente” con lo cual “el </w:t>
      </w:r>
      <w:r w:rsidR="00A607D8">
        <w:rPr>
          <w:rFonts w:ascii="Verdana" w:hAnsi="Verdana" w:cs="Verdana"/>
          <w:sz w:val="20"/>
          <w:szCs w:val="20"/>
        </w:rPr>
        <w:t>Ó</w:t>
      </w:r>
      <w:r w:rsidR="003E487E" w:rsidRPr="007D5C19">
        <w:rPr>
          <w:rFonts w:ascii="Verdana" w:hAnsi="Verdana" w:cs="Verdana"/>
          <w:sz w:val="20"/>
          <w:szCs w:val="20"/>
        </w:rPr>
        <w:t>rgano Judicial no cuenta con facultades para ejercerlo directamente”, y que “dado que el Órgano Ejecutivo no ha externado su posición sobre la iniciativa legislativa – a pesar de haberle sido solicitado- no existe certeza de que este mecanismo será activado”.</w:t>
      </w:r>
    </w:p>
    <w:p w14:paraId="54D1BEE2" w14:textId="202A78BD" w:rsidR="001B1BA6" w:rsidRPr="00A72B51" w:rsidRDefault="00E4018B" w:rsidP="00FB7EB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FB7EBE">
        <w:rPr>
          <w:rFonts w:ascii="Verdana" w:hAnsi="Verdana" w:cs="Verdana"/>
          <w:iCs/>
          <w:sz w:val="20"/>
          <w:szCs w:val="20"/>
        </w:rPr>
        <w:t xml:space="preserve">Por lo anterior, solicitaron </w:t>
      </w:r>
      <w:r w:rsidR="00337240">
        <w:rPr>
          <w:rFonts w:ascii="Verdana" w:hAnsi="Verdana" w:cs="Verdana"/>
          <w:iCs/>
          <w:sz w:val="20"/>
          <w:szCs w:val="20"/>
        </w:rPr>
        <w:t>a</w:t>
      </w:r>
      <w:r w:rsidRPr="00FB7EBE">
        <w:rPr>
          <w:rFonts w:ascii="Verdana" w:hAnsi="Verdana" w:cs="Verdana"/>
          <w:iCs/>
          <w:sz w:val="20"/>
          <w:szCs w:val="20"/>
        </w:rPr>
        <w:t xml:space="preserve"> la Corte que “[m]antenga la vigencia de las presentes medidas urgentes y en su momento otorgue medidas provisionales”</w:t>
      </w:r>
      <w:r w:rsidR="00362948" w:rsidRPr="00FB7EBE">
        <w:rPr>
          <w:rFonts w:ascii="Verdana" w:hAnsi="Verdana" w:cs="Verdana"/>
          <w:iCs/>
          <w:sz w:val="20"/>
          <w:szCs w:val="20"/>
        </w:rPr>
        <w:t>, “con el fin de que el Estado se abstenga de adoptar normas contrarias a sus obligaciones internacionales en materia de justicia”. Adicionalmente</w:t>
      </w:r>
      <w:r w:rsidRPr="00FB7EBE">
        <w:rPr>
          <w:rFonts w:ascii="Verdana" w:hAnsi="Verdana" w:cs="Verdana"/>
          <w:iCs/>
          <w:sz w:val="20"/>
          <w:szCs w:val="20"/>
        </w:rPr>
        <w:t>,</w:t>
      </w:r>
      <w:r w:rsidR="00362948" w:rsidRPr="00FB7EBE">
        <w:rPr>
          <w:rFonts w:ascii="Verdana" w:hAnsi="Verdana" w:cs="Verdana"/>
          <w:iCs/>
          <w:sz w:val="20"/>
          <w:szCs w:val="20"/>
        </w:rPr>
        <w:t xml:space="preserve"> solicitaron </w:t>
      </w:r>
      <w:r w:rsidRPr="00FB7EBE">
        <w:rPr>
          <w:rFonts w:ascii="Verdana" w:hAnsi="Verdana" w:cs="Verdana"/>
          <w:iCs/>
          <w:sz w:val="20"/>
          <w:szCs w:val="20"/>
        </w:rPr>
        <w:t xml:space="preserve">que </w:t>
      </w:r>
      <w:r w:rsidR="00EF0C24">
        <w:rPr>
          <w:rFonts w:ascii="Verdana" w:hAnsi="Verdana" w:cs="Verdana"/>
          <w:iCs/>
          <w:sz w:val="20"/>
          <w:szCs w:val="20"/>
        </w:rPr>
        <w:t xml:space="preserve">se </w:t>
      </w:r>
      <w:r w:rsidRPr="00FB7EBE">
        <w:rPr>
          <w:rFonts w:ascii="Verdana" w:hAnsi="Verdana" w:cs="Verdana"/>
          <w:iCs/>
          <w:sz w:val="20"/>
          <w:szCs w:val="20"/>
        </w:rPr>
        <w:t>“[i]</w:t>
      </w:r>
      <w:r w:rsidR="00D0721B" w:rsidRPr="00FB7EBE">
        <w:rPr>
          <w:rFonts w:ascii="Verdana" w:hAnsi="Verdana" w:cs="Verdana"/>
          <w:iCs/>
          <w:sz w:val="20"/>
          <w:szCs w:val="20"/>
        </w:rPr>
        <w:t xml:space="preserve">nste al Estado de El Salvador a abstenerse de continuar con el trámite legislativo de </w:t>
      </w:r>
      <w:r w:rsidR="00944B2A" w:rsidRPr="00FB7EBE">
        <w:rPr>
          <w:rFonts w:ascii="Verdana" w:hAnsi="Verdana" w:cs="Verdana"/>
          <w:iCs/>
          <w:sz w:val="20"/>
          <w:szCs w:val="20"/>
        </w:rPr>
        <w:t>[dicha]</w:t>
      </w:r>
      <w:r w:rsidR="00D0721B" w:rsidRPr="00FB7EBE">
        <w:rPr>
          <w:rFonts w:ascii="Verdana" w:hAnsi="Verdana" w:cs="Verdana"/>
          <w:iCs/>
          <w:sz w:val="20"/>
          <w:szCs w:val="20"/>
        </w:rPr>
        <w:t xml:space="preserve"> iniciativa de Ley</w:t>
      </w:r>
      <w:r w:rsidR="00CA5549" w:rsidRPr="00FB7EBE">
        <w:rPr>
          <w:rFonts w:ascii="Verdana" w:hAnsi="Verdana" w:cs="Verdana"/>
          <w:iCs/>
          <w:sz w:val="20"/>
          <w:szCs w:val="20"/>
        </w:rPr>
        <w:t xml:space="preserve"> […]</w:t>
      </w:r>
      <w:r w:rsidR="00D0721B" w:rsidRPr="00FB7EBE">
        <w:rPr>
          <w:rFonts w:ascii="Verdana" w:hAnsi="Verdana" w:cs="Verdana"/>
          <w:iCs/>
          <w:sz w:val="20"/>
          <w:szCs w:val="20"/>
        </w:rPr>
        <w:t xml:space="preserve"> </w:t>
      </w:r>
      <w:r w:rsidR="00CA5549" w:rsidRPr="00FB7EBE">
        <w:rPr>
          <w:rFonts w:ascii="Verdana" w:hAnsi="Verdana" w:cs="Verdana"/>
          <w:iCs/>
          <w:sz w:val="20"/>
          <w:szCs w:val="20"/>
        </w:rPr>
        <w:t xml:space="preserve">en los términos descritos; y que garantice que la normativa que la Asamblea </w:t>
      </w:r>
      <w:r w:rsidR="00A607D8">
        <w:rPr>
          <w:rFonts w:ascii="Verdana" w:hAnsi="Verdana" w:cs="Verdana"/>
          <w:iCs/>
          <w:sz w:val="20"/>
          <w:szCs w:val="20"/>
        </w:rPr>
        <w:t xml:space="preserve">Legislativa </w:t>
      </w:r>
      <w:r w:rsidR="00CA5549" w:rsidRPr="00FB7EBE">
        <w:rPr>
          <w:rFonts w:ascii="Verdana" w:hAnsi="Verdana" w:cs="Verdana"/>
          <w:iCs/>
          <w:sz w:val="20"/>
          <w:szCs w:val="20"/>
        </w:rPr>
        <w:t xml:space="preserve">tiene el deber de elaborar, cumpla con los estándares y obligaciones </w:t>
      </w:r>
      <w:r w:rsidR="00CA5549" w:rsidRPr="000725E7">
        <w:rPr>
          <w:rFonts w:ascii="Verdana" w:hAnsi="Verdana" w:cs="Verdana"/>
          <w:iCs/>
          <w:sz w:val="20"/>
          <w:szCs w:val="20"/>
        </w:rPr>
        <w:t xml:space="preserve">internacionales del Estado, respetando los derechos de las víctimas e incluyéndolas en el proceso de elaboración de la misma”. </w:t>
      </w:r>
    </w:p>
    <w:p w14:paraId="62DF2736" w14:textId="77777777" w:rsidR="000725E7" w:rsidRPr="00A72B51" w:rsidRDefault="000725E7" w:rsidP="000725E7">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p>
    <w:p w14:paraId="2232CB17" w14:textId="77777777" w:rsidR="00EF0C24" w:rsidRPr="000725E7" w:rsidRDefault="00EF0C24" w:rsidP="00EF0C24">
      <w:pPr>
        <w:pStyle w:val="Prrafodelista"/>
        <w:numPr>
          <w:ilvl w:val="0"/>
          <w:numId w:val="18"/>
        </w:numPr>
        <w:tabs>
          <w:tab w:val="left" w:pos="0"/>
        </w:tabs>
        <w:autoSpaceDE w:val="0"/>
        <w:autoSpaceDN w:val="0"/>
        <w:adjustRightInd w:val="0"/>
        <w:spacing w:before="120" w:after="120" w:line="240" w:lineRule="auto"/>
        <w:ind w:right="99"/>
        <w:contextualSpacing w:val="0"/>
        <w:jc w:val="both"/>
        <w:rPr>
          <w:rFonts w:ascii="Verdana" w:hAnsi="Verdana" w:cs="Verdana"/>
          <w:iCs/>
          <w:sz w:val="20"/>
          <w:szCs w:val="20"/>
        </w:rPr>
      </w:pPr>
      <w:r w:rsidRPr="000725E7">
        <w:rPr>
          <w:rFonts w:ascii="Verdana" w:hAnsi="Verdana" w:cs="Verdana"/>
          <w:i/>
          <w:color w:val="000000" w:themeColor="text1"/>
          <w:sz w:val="20"/>
          <w:szCs w:val="20"/>
        </w:rPr>
        <w:t>Observaciones de la Comisión Interamericana</w:t>
      </w:r>
    </w:p>
    <w:p w14:paraId="13A5159D" w14:textId="7DB8FC4C" w:rsidR="000725E7" w:rsidRPr="00591963" w:rsidRDefault="000725E7" w:rsidP="000725E7">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Cs/>
          <w:iCs/>
          <w:sz w:val="20"/>
          <w:szCs w:val="20"/>
        </w:rPr>
      </w:pPr>
      <w:r w:rsidRPr="00591963">
        <w:rPr>
          <w:rFonts w:ascii="Verdana" w:hAnsi="Verdana"/>
          <w:bCs/>
          <w:sz w:val="20"/>
          <w:szCs w:val="20"/>
        </w:rPr>
        <w:t xml:space="preserve">La </w:t>
      </w:r>
      <w:r w:rsidRPr="00591963">
        <w:rPr>
          <w:rFonts w:ascii="Verdana" w:hAnsi="Verdana"/>
          <w:bCs/>
          <w:i/>
          <w:sz w:val="20"/>
          <w:szCs w:val="20"/>
        </w:rPr>
        <w:t>Comisión Interamericana</w:t>
      </w:r>
      <w:r w:rsidRPr="00591963">
        <w:rPr>
          <w:rFonts w:ascii="Verdana" w:hAnsi="Verdana"/>
          <w:bCs/>
          <w:sz w:val="20"/>
          <w:szCs w:val="20"/>
        </w:rPr>
        <w:t xml:space="preserve"> </w:t>
      </w:r>
      <w:r w:rsidR="00AD71FD" w:rsidRPr="00591963">
        <w:rPr>
          <w:rFonts w:ascii="Verdana" w:hAnsi="Verdana"/>
          <w:bCs/>
          <w:iCs/>
          <w:sz w:val="20"/>
          <w:szCs w:val="20"/>
        </w:rPr>
        <w:t>“reiter</w:t>
      </w:r>
      <w:r w:rsidR="00732D9B">
        <w:rPr>
          <w:rFonts w:ascii="Verdana" w:hAnsi="Verdana"/>
          <w:bCs/>
          <w:iCs/>
          <w:sz w:val="20"/>
          <w:szCs w:val="20"/>
        </w:rPr>
        <w:t>[</w:t>
      </w:r>
      <w:r w:rsidR="00AD71FD" w:rsidRPr="00591963">
        <w:rPr>
          <w:rFonts w:ascii="Verdana" w:hAnsi="Verdana"/>
          <w:bCs/>
          <w:iCs/>
          <w:sz w:val="20"/>
          <w:szCs w:val="20"/>
        </w:rPr>
        <w:t>ó</w:t>
      </w:r>
      <w:r w:rsidR="00732D9B">
        <w:rPr>
          <w:rFonts w:ascii="Verdana" w:hAnsi="Verdana"/>
          <w:bCs/>
          <w:iCs/>
          <w:sz w:val="20"/>
          <w:szCs w:val="20"/>
        </w:rPr>
        <w:t>]</w:t>
      </w:r>
      <w:r w:rsidR="00AD71FD" w:rsidRPr="00591963">
        <w:rPr>
          <w:rFonts w:ascii="Verdana" w:hAnsi="Verdana"/>
          <w:bCs/>
          <w:iCs/>
          <w:sz w:val="20"/>
          <w:szCs w:val="20"/>
        </w:rPr>
        <w:t xml:space="preserve"> que el trámite legislativo de la ‘Ley de Reconciliación Nacional’ podría impactar el cumplimiento” de la obligación de investigar ordenada en la Sentencia de este caso</w:t>
      </w:r>
      <w:r w:rsidR="00AD71FD" w:rsidRPr="00591963">
        <w:rPr>
          <w:rStyle w:val="Refdenotaalpie"/>
          <w:rFonts w:ascii="Verdana" w:hAnsi="Verdana"/>
          <w:bCs/>
          <w:iCs/>
          <w:sz w:val="20"/>
          <w:szCs w:val="20"/>
        </w:rPr>
        <w:footnoteReference w:id="39"/>
      </w:r>
      <w:r w:rsidR="00AD71FD" w:rsidRPr="00591963">
        <w:rPr>
          <w:rFonts w:ascii="Verdana" w:hAnsi="Verdana"/>
          <w:bCs/>
          <w:iCs/>
          <w:sz w:val="20"/>
          <w:szCs w:val="20"/>
        </w:rPr>
        <w:t xml:space="preserve">. Además, </w:t>
      </w:r>
      <w:r w:rsidR="00F96834" w:rsidRPr="00591963">
        <w:rPr>
          <w:rFonts w:ascii="Verdana" w:hAnsi="Verdana"/>
          <w:bCs/>
          <w:iCs/>
          <w:sz w:val="20"/>
          <w:szCs w:val="20"/>
        </w:rPr>
        <w:t>explicó las razones por las cuales consideró de</w:t>
      </w:r>
      <w:r w:rsidR="00AD71FD" w:rsidRPr="00591963">
        <w:rPr>
          <w:rFonts w:ascii="Verdana" w:hAnsi="Verdana"/>
          <w:bCs/>
          <w:iCs/>
          <w:sz w:val="20"/>
          <w:szCs w:val="20"/>
        </w:rPr>
        <w:t xml:space="preserve"> </w:t>
      </w:r>
      <w:r w:rsidR="00F96834" w:rsidRPr="00591963">
        <w:rPr>
          <w:rFonts w:ascii="Verdana" w:hAnsi="Verdana"/>
          <w:bCs/>
          <w:iCs/>
          <w:sz w:val="20"/>
          <w:szCs w:val="20"/>
        </w:rPr>
        <w:t>“</w:t>
      </w:r>
      <w:r w:rsidR="00AD71FD" w:rsidRPr="00591963">
        <w:rPr>
          <w:rFonts w:ascii="Verdana" w:hAnsi="Verdana"/>
          <w:bCs/>
          <w:iCs/>
          <w:sz w:val="20"/>
          <w:szCs w:val="20"/>
        </w:rPr>
        <w:t>relevancia</w:t>
      </w:r>
      <w:r w:rsidR="00F96834" w:rsidRPr="00591963">
        <w:rPr>
          <w:rFonts w:ascii="Verdana" w:hAnsi="Verdana"/>
          <w:bCs/>
          <w:iCs/>
          <w:sz w:val="20"/>
          <w:szCs w:val="20"/>
        </w:rPr>
        <w:t>”</w:t>
      </w:r>
      <w:r w:rsidR="00B0340A">
        <w:rPr>
          <w:rFonts w:ascii="Verdana" w:hAnsi="Verdana"/>
          <w:bCs/>
          <w:iCs/>
          <w:sz w:val="20"/>
          <w:szCs w:val="20"/>
        </w:rPr>
        <w:t xml:space="preserve"> </w:t>
      </w:r>
      <w:r w:rsidR="00AD71FD" w:rsidRPr="00591963">
        <w:rPr>
          <w:rFonts w:ascii="Verdana" w:hAnsi="Verdana"/>
          <w:bCs/>
          <w:iCs/>
          <w:sz w:val="20"/>
          <w:szCs w:val="20"/>
        </w:rPr>
        <w:t xml:space="preserve">la información contenida en el informe elaborado por </w:t>
      </w:r>
      <w:r w:rsidR="00A02111">
        <w:rPr>
          <w:rFonts w:ascii="Verdana" w:hAnsi="Verdana"/>
          <w:bCs/>
          <w:iCs/>
          <w:sz w:val="20"/>
          <w:szCs w:val="20"/>
        </w:rPr>
        <w:t xml:space="preserve">el </w:t>
      </w:r>
      <w:r w:rsidR="00AD71FD" w:rsidRPr="00591963">
        <w:rPr>
          <w:rFonts w:ascii="Verdana" w:hAnsi="Verdana"/>
          <w:bCs/>
          <w:iCs/>
          <w:sz w:val="20"/>
          <w:szCs w:val="20"/>
        </w:rPr>
        <w:t xml:space="preserve">Juez </w:t>
      </w:r>
      <w:r w:rsidR="00A02111">
        <w:rPr>
          <w:rFonts w:ascii="Verdana" w:hAnsi="Verdana"/>
          <w:bCs/>
          <w:iCs/>
          <w:sz w:val="20"/>
          <w:szCs w:val="20"/>
        </w:rPr>
        <w:t xml:space="preserve">Segundo de Primera Instancia </w:t>
      </w:r>
      <w:r w:rsidR="00AD71FD" w:rsidRPr="00591963">
        <w:rPr>
          <w:rFonts w:ascii="Verdana" w:hAnsi="Verdana"/>
          <w:bCs/>
          <w:iCs/>
          <w:sz w:val="20"/>
          <w:szCs w:val="20"/>
        </w:rPr>
        <w:t>de San Francisco Gotera</w:t>
      </w:r>
      <w:r w:rsidR="00A02111">
        <w:rPr>
          <w:rFonts w:ascii="Verdana" w:hAnsi="Verdana"/>
          <w:bCs/>
          <w:iCs/>
          <w:sz w:val="20"/>
          <w:szCs w:val="20"/>
        </w:rPr>
        <w:t>,</w:t>
      </w:r>
      <w:r w:rsidR="00AD71FD" w:rsidRPr="00591963">
        <w:rPr>
          <w:rFonts w:ascii="Verdana" w:hAnsi="Verdana"/>
          <w:bCs/>
          <w:iCs/>
          <w:sz w:val="20"/>
          <w:szCs w:val="20"/>
        </w:rPr>
        <w:t xml:space="preserve"> que fue aportado por el Estado (</w:t>
      </w:r>
      <w:r w:rsidR="00AD71FD" w:rsidRPr="00506B11">
        <w:rPr>
          <w:rFonts w:ascii="Verdana" w:hAnsi="Verdana"/>
          <w:bCs/>
          <w:i/>
          <w:iCs/>
          <w:sz w:val="20"/>
          <w:szCs w:val="20"/>
        </w:rPr>
        <w:t xml:space="preserve">supra </w:t>
      </w:r>
      <w:r w:rsidR="00AD71FD" w:rsidRPr="00591963">
        <w:rPr>
          <w:rFonts w:ascii="Verdana" w:hAnsi="Verdana"/>
          <w:bCs/>
          <w:iCs/>
          <w:sz w:val="20"/>
          <w:szCs w:val="20"/>
        </w:rPr>
        <w:t xml:space="preserve">Considerando </w:t>
      </w:r>
      <w:r w:rsidR="00732D9B">
        <w:rPr>
          <w:rFonts w:ascii="Verdana" w:hAnsi="Verdana"/>
          <w:bCs/>
          <w:iCs/>
          <w:sz w:val="20"/>
          <w:szCs w:val="20"/>
        </w:rPr>
        <w:t>26</w:t>
      </w:r>
      <w:r w:rsidR="00732D9B" w:rsidRPr="00591963">
        <w:rPr>
          <w:rFonts w:ascii="Verdana" w:hAnsi="Verdana"/>
          <w:bCs/>
          <w:iCs/>
          <w:sz w:val="20"/>
          <w:szCs w:val="20"/>
        </w:rPr>
        <w:t xml:space="preserve">), </w:t>
      </w:r>
      <w:r w:rsidR="00F96834" w:rsidRPr="00591963">
        <w:rPr>
          <w:rFonts w:ascii="Verdana" w:hAnsi="Verdana"/>
          <w:bCs/>
          <w:iCs/>
          <w:sz w:val="20"/>
          <w:szCs w:val="20"/>
        </w:rPr>
        <w:t>en particular, porque</w:t>
      </w:r>
      <w:r w:rsidR="00AD71FD" w:rsidRPr="00591963">
        <w:rPr>
          <w:rFonts w:ascii="Verdana" w:hAnsi="Verdana"/>
          <w:bCs/>
          <w:iCs/>
          <w:sz w:val="20"/>
          <w:szCs w:val="20"/>
        </w:rPr>
        <w:t xml:space="preserve"> explica el impacto que tendría dicho proyecto de ley en la investigación penal en curso por el caso </w:t>
      </w:r>
      <w:r w:rsidR="00AD71FD" w:rsidRPr="00591963">
        <w:rPr>
          <w:rFonts w:ascii="Verdana" w:hAnsi="Verdana" w:cs="Verdana"/>
          <w:bCs/>
          <w:i/>
          <w:color w:val="000000" w:themeColor="text1"/>
          <w:sz w:val="20"/>
          <w:szCs w:val="20"/>
        </w:rPr>
        <w:t>Masacres de El Mozote y lugares aledaños</w:t>
      </w:r>
      <w:r w:rsidR="00AD71FD" w:rsidRPr="00591963">
        <w:rPr>
          <w:rStyle w:val="Refdenotaalpie"/>
          <w:rFonts w:ascii="Verdana" w:hAnsi="Verdana" w:cs="Verdana"/>
          <w:bCs/>
          <w:i/>
          <w:color w:val="000000" w:themeColor="text1"/>
          <w:sz w:val="20"/>
          <w:szCs w:val="20"/>
        </w:rPr>
        <w:footnoteReference w:id="40"/>
      </w:r>
      <w:r w:rsidR="00AD71FD" w:rsidRPr="00591963">
        <w:rPr>
          <w:rFonts w:ascii="Verdana" w:hAnsi="Verdana" w:cs="Verdana"/>
          <w:bCs/>
          <w:i/>
          <w:color w:val="000000" w:themeColor="text1"/>
          <w:sz w:val="20"/>
          <w:szCs w:val="20"/>
        </w:rPr>
        <w:t xml:space="preserve">. </w:t>
      </w:r>
      <w:r w:rsidR="00AD71FD" w:rsidRPr="00591963">
        <w:rPr>
          <w:rFonts w:ascii="Verdana" w:hAnsi="Verdana" w:cs="Verdana"/>
          <w:bCs/>
          <w:color w:val="000000" w:themeColor="text1"/>
          <w:sz w:val="20"/>
          <w:szCs w:val="20"/>
        </w:rPr>
        <w:t>Adicionalmente, observ</w:t>
      </w:r>
      <w:r w:rsidR="00F96834" w:rsidRPr="00591963">
        <w:rPr>
          <w:rFonts w:ascii="Verdana" w:hAnsi="Verdana" w:cs="Verdana"/>
          <w:bCs/>
          <w:color w:val="000000" w:themeColor="text1"/>
          <w:sz w:val="20"/>
          <w:szCs w:val="20"/>
        </w:rPr>
        <w:t xml:space="preserve">ó que “[s]i bien el Estado ha informado que no existe un mecanismo de control de constitucionalidad de proyectos de ley establecido, [… los Estados tienen] la obligación de ejercer un control de convencional[idad] de oficio, según ha sido enfáticamente señalado por la Corte </w:t>
      </w:r>
      <w:r w:rsidR="00732D9B">
        <w:rPr>
          <w:rFonts w:ascii="Verdana" w:hAnsi="Verdana" w:cs="Verdana"/>
          <w:bCs/>
          <w:color w:val="000000" w:themeColor="text1"/>
          <w:sz w:val="20"/>
          <w:szCs w:val="20"/>
        </w:rPr>
        <w:t xml:space="preserve">Interamericana </w:t>
      </w:r>
      <w:r w:rsidR="00F96834" w:rsidRPr="00591963">
        <w:rPr>
          <w:rFonts w:ascii="Verdana" w:hAnsi="Verdana" w:cs="Verdana"/>
          <w:bCs/>
          <w:color w:val="000000" w:themeColor="text1"/>
          <w:sz w:val="20"/>
          <w:szCs w:val="20"/>
        </w:rPr>
        <w:t>en su jurisprudencia”. Concluyó reiterando que “en los términos en los que está redactado el proyecto de ley resulta evidente</w:t>
      </w:r>
      <w:r w:rsidR="000D07A4" w:rsidRPr="00591963">
        <w:rPr>
          <w:rFonts w:ascii="Verdana" w:hAnsi="Verdana" w:cs="Verdana"/>
          <w:bCs/>
          <w:color w:val="000000" w:themeColor="text1"/>
          <w:sz w:val="20"/>
          <w:szCs w:val="20"/>
        </w:rPr>
        <w:t xml:space="preserve"> que no cumple con salvaguardas mínimas para el derecho a la justicia de las víctimas y presenta un serio riesgo a los derechos a la verdad y justicia de las víctimas de graves violaciones de derechos humanos”. La Comisión no se pronunció respecto a si se debe mantener o levantar la medida urgente dispuesta por el Presidente de la Corte Interamericana</w:t>
      </w:r>
      <w:r w:rsidR="00732D9B">
        <w:rPr>
          <w:rFonts w:ascii="Verdana" w:hAnsi="Verdana" w:cs="Verdana"/>
          <w:bCs/>
          <w:color w:val="000000" w:themeColor="text1"/>
          <w:sz w:val="20"/>
          <w:szCs w:val="20"/>
        </w:rPr>
        <w:t xml:space="preserve"> en la Resolución de mayo de 2019</w:t>
      </w:r>
      <w:r w:rsidR="000D07A4" w:rsidRPr="00591963">
        <w:rPr>
          <w:rFonts w:ascii="Verdana" w:hAnsi="Verdana" w:cs="Verdana"/>
          <w:bCs/>
          <w:color w:val="000000" w:themeColor="text1"/>
          <w:sz w:val="20"/>
          <w:szCs w:val="20"/>
        </w:rPr>
        <w:t>.</w:t>
      </w:r>
    </w:p>
    <w:p w14:paraId="6714F33B" w14:textId="4367DE92" w:rsidR="006D5C1C" w:rsidRDefault="006D5C1C" w:rsidP="005E663D">
      <w:pPr>
        <w:pStyle w:val="Prrafodelista"/>
        <w:numPr>
          <w:ilvl w:val="0"/>
          <w:numId w:val="15"/>
        </w:numPr>
        <w:autoSpaceDE w:val="0"/>
        <w:autoSpaceDN w:val="0"/>
        <w:adjustRightInd w:val="0"/>
        <w:spacing w:before="120" w:after="120" w:line="240" w:lineRule="auto"/>
        <w:contextualSpacing w:val="0"/>
        <w:jc w:val="both"/>
        <w:outlineLvl w:val="0"/>
        <w:rPr>
          <w:rFonts w:ascii="Verdana" w:hAnsi="Verdana"/>
          <w:b/>
          <w:i/>
          <w:sz w:val="20"/>
          <w:szCs w:val="20"/>
        </w:rPr>
      </w:pPr>
      <w:bookmarkStart w:id="10" w:name="_Toc17111746"/>
      <w:r>
        <w:rPr>
          <w:rFonts w:ascii="Verdana" w:hAnsi="Verdana"/>
          <w:b/>
          <w:i/>
          <w:sz w:val="20"/>
          <w:szCs w:val="20"/>
        </w:rPr>
        <w:t xml:space="preserve">Consideraciones </w:t>
      </w:r>
      <w:r w:rsidR="0095218C">
        <w:rPr>
          <w:rFonts w:ascii="Verdana" w:hAnsi="Verdana"/>
          <w:b/>
          <w:i/>
          <w:sz w:val="20"/>
          <w:szCs w:val="20"/>
        </w:rPr>
        <w:t xml:space="preserve">de la </w:t>
      </w:r>
      <w:r>
        <w:rPr>
          <w:rFonts w:ascii="Verdana" w:hAnsi="Verdana"/>
          <w:b/>
          <w:i/>
          <w:sz w:val="20"/>
          <w:szCs w:val="20"/>
        </w:rPr>
        <w:t>Corte</w:t>
      </w:r>
      <w:bookmarkEnd w:id="10"/>
    </w:p>
    <w:p w14:paraId="29C3FF78" w14:textId="77777777" w:rsidR="00362948" w:rsidRPr="00362948" w:rsidRDefault="00362948" w:rsidP="00362948">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362948">
        <w:rPr>
          <w:rFonts w:ascii="Verdana" w:hAnsi="Verdana"/>
          <w:sz w:val="20"/>
          <w:szCs w:val="20"/>
        </w:rPr>
        <w:t xml:space="preserve">El artículo 63.2 de la Convención Americana sobre Derechos Humanos (en adelante “la Convención” o “la Convención Americana”) dispone, en lo relevante, que “[e]n casos de extrema gravedad y urgencia, y cuando se haga necesario evitar daños irreparables a las personas, la Corte, en los asuntos que esté conociendo, podrá tomar las medidas provisionales que considere pertinentes”. </w:t>
      </w:r>
    </w:p>
    <w:p w14:paraId="5F2C5AAF" w14:textId="77777777" w:rsidR="00362948" w:rsidRPr="00841CDF" w:rsidRDefault="00362948" w:rsidP="00362948">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841CDF">
        <w:rPr>
          <w:rFonts w:ascii="Verdana" w:hAnsi="Verdana"/>
          <w:sz w:val="20"/>
          <w:szCs w:val="20"/>
        </w:rPr>
        <w:t xml:space="preserve">Asimismo, el artículo 27.3 del Reglamento del Tribunal establece que “[e]n los casos contenciosos que se encuentren en conocimiento de la Corte, las víctimas o las </w:t>
      </w:r>
      <w:r w:rsidRPr="00841CDF">
        <w:rPr>
          <w:rFonts w:ascii="Verdana" w:hAnsi="Verdana"/>
          <w:sz w:val="20"/>
          <w:szCs w:val="20"/>
        </w:rPr>
        <w:lastRenderedPageBreak/>
        <w:t xml:space="preserve">presuntas víctimas, o sus representantes, podrán presentar directamente a ésta una solicitud de medidas provisionales, las que deberán tener relación con el objeto del caso”. </w:t>
      </w:r>
      <w:r w:rsidRPr="00841CDF">
        <w:rPr>
          <w:rFonts w:ascii="Verdana" w:hAnsi="Verdana" w:cs="Arial"/>
          <w:sz w:val="20"/>
          <w:szCs w:val="20"/>
          <w:lang w:val="es-PR"/>
        </w:rPr>
        <w:t>Asimismo, el artículo 27.6 del Reglamento establece que “[s]i la Corte no estuviere reunida, la Presidencia, en consulta con la Comisión Permanente y, de ser posible, con los demás Jueces, requerirá del Estado respectivo que dicte las providencias urgentes necesarias a fin de asegurar la eficacia de las medidas provisionales que después pueda tomar la Corte en su próximo período de sesiones”.</w:t>
      </w:r>
    </w:p>
    <w:p w14:paraId="439FDF57" w14:textId="77777777" w:rsidR="00E5423B" w:rsidRPr="00D17F90" w:rsidRDefault="00362948" w:rsidP="00E5423B">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D17F90">
        <w:rPr>
          <w:rFonts w:ascii="Verdana" w:hAnsi="Verdana"/>
          <w:sz w:val="20"/>
          <w:szCs w:val="20"/>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D17F90">
        <w:rPr>
          <w:rStyle w:val="Refdenotaalpie"/>
          <w:rFonts w:ascii="Verdana" w:hAnsi="Verdana"/>
        </w:rPr>
        <w:footnoteReference w:id="41"/>
      </w:r>
      <w:r w:rsidRPr="00D17F90">
        <w:rPr>
          <w:rFonts w:ascii="Verdana" w:hAnsi="Verdana"/>
          <w:sz w:val="20"/>
          <w:szCs w:val="20"/>
        </w:rPr>
        <w:t>.</w:t>
      </w:r>
      <w:r w:rsidR="00E5423B" w:rsidRPr="00D17F90">
        <w:rPr>
          <w:rFonts w:ascii="Verdana" w:hAnsi="Verdana"/>
          <w:sz w:val="20"/>
          <w:szCs w:val="20"/>
        </w:rPr>
        <w:t xml:space="preserve"> </w:t>
      </w:r>
    </w:p>
    <w:p w14:paraId="6747D86E" w14:textId="0B1BEA90" w:rsidR="00E5423B" w:rsidRPr="00D17F90" w:rsidRDefault="00E5423B" w:rsidP="00E5423B">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D17F90">
        <w:rPr>
          <w:rFonts w:ascii="Verdana" w:hAnsi="Verdana"/>
          <w:sz w:val="20"/>
          <w:szCs w:val="20"/>
        </w:rPr>
        <w:t>Las referidas tres condiciones (extrema gravedad, urgencia y prevención de daño irreparable) son coexistentes y deben estar presentes en toda situación en la que se solicite la intervención del Tribunal</w:t>
      </w:r>
      <w:r w:rsidR="00732D9B" w:rsidRPr="00D17F90">
        <w:rPr>
          <w:rStyle w:val="Refdenotaalpie"/>
          <w:rFonts w:ascii="Verdana" w:hAnsi="Verdana"/>
          <w:sz w:val="20"/>
          <w:szCs w:val="20"/>
        </w:rPr>
        <w:footnoteReference w:id="42"/>
      </w:r>
      <w:r w:rsidRPr="00D17F90">
        <w:rPr>
          <w:rFonts w:ascii="Verdana" w:hAnsi="Verdana"/>
          <w:sz w:val="20"/>
          <w:szCs w:val="20"/>
        </w:rPr>
        <w:t>. Del mismo modo, las tres condiciones descritas deben persistir para que la Corte mantenga la protección ordenada. Si una de ellas ha dejado de tener vigencia, corresponderá al Tribunal valorar la pertinencia de continuar con la protección ordenada</w:t>
      </w:r>
      <w:bookmarkStart w:id="11" w:name="_Ref268288324"/>
      <w:r w:rsidRPr="00D17F90">
        <w:rPr>
          <w:rStyle w:val="Refdenotaalpie"/>
          <w:rFonts w:ascii="Verdana" w:hAnsi="Verdana"/>
          <w:sz w:val="20"/>
          <w:szCs w:val="20"/>
          <w:lang w:val="es-ES"/>
        </w:rPr>
        <w:footnoteReference w:id="43"/>
      </w:r>
      <w:bookmarkEnd w:id="11"/>
      <w:r w:rsidRPr="00D17F90">
        <w:rPr>
          <w:rFonts w:ascii="Verdana" w:hAnsi="Verdana"/>
          <w:sz w:val="20"/>
          <w:szCs w:val="20"/>
        </w:rPr>
        <w:t xml:space="preserve">, sin perjuicio de que pueda volver a ordenarla si en el futuro se reúnen nuevamente las tres condiciones. Además, no obstante que </w:t>
      </w:r>
      <w:r w:rsidRPr="00D17F90">
        <w:rPr>
          <w:rStyle w:val="eacep"/>
          <w:rFonts w:ascii="Verdana" w:hAnsi="Verdana"/>
          <w:sz w:val="20"/>
          <w:szCs w:val="20"/>
        </w:rPr>
        <w:t>a</w:t>
      </w:r>
      <w:r w:rsidRPr="00D17F90">
        <w:rPr>
          <w:rFonts w:ascii="Verdana" w:hAnsi="Verdana"/>
          <w:sz w:val="20"/>
          <w:szCs w:val="20"/>
        </w:rPr>
        <w:t xml:space="preserve">l dictar las medidas de protección el estándar de apreciación de estos requisitos por parte del Tribunal o quien lo presida es </w:t>
      </w:r>
      <w:r w:rsidRPr="00D17F90">
        <w:rPr>
          <w:rFonts w:ascii="Verdana" w:hAnsi="Verdana"/>
          <w:i/>
          <w:sz w:val="20"/>
          <w:szCs w:val="20"/>
        </w:rPr>
        <w:t>prima facie</w:t>
      </w:r>
      <w:r w:rsidRPr="00D17F90">
        <w:rPr>
          <w:rFonts w:ascii="Verdana" w:hAnsi="Verdana"/>
          <w:sz w:val="20"/>
          <w:szCs w:val="20"/>
          <w:vertAlign w:val="superscript"/>
        </w:rPr>
        <w:footnoteReference w:id="44"/>
      </w:r>
      <w:r w:rsidRPr="00D17F90">
        <w:rPr>
          <w:rFonts w:ascii="Verdana" w:hAnsi="Verdana"/>
          <w:sz w:val="20"/>
          <w:szCs w:val="20"/>
        </w:rPr>
        <w:t>, el mantenimiento de las medidas de protección exige una evaluación más rigurosa de la Corte en cuanto a la persistencia de la situación que dio origen a las mismas</w:t>
      </w:r>
      <w:r w:rsidRPr="00D17F90">
        <w:rPr>
          <w:rFonts w:ascii="Verdana" w:hAnsi="Verdana"/>
          <w:sz w:val="20"/>
          <w:szCs w:val="20"/>
          <w:vertAlign w:val="superscript"/>
        </w:rPr>
        <w:footnoteReference w:id="45"/>
      </w:r>
      <w:r w:rsidRPr="00D17F90">
        <w:rPr>
          <w:rFonts w:ascii="Verdana" w:hAnsi="Verdana"/>
          <w:sz w:val="20"/>
          <w:szCs w:val="20"/>
        </w:rPr>
        <w:t>.</w:t>
      </w:r>
    </w:p>
    <w:p w14:paraId="4A46ED45" w14:textId="1B3D0FF9" w:rsidR="008002E4" w:rsidRPr="00CB74A0" w:rsidRDefault="008002E4" w:rsidP="00276C90">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CB74A0">
        <w:rPr>
          <w:rFonts w:ascii="Verdana" w:hAnsi="Verdana" w:cs="Verdana"/>
          <w:sz w:val="20"/>
          <w:szCs w:val="20"/>
        </w:rPr>
        <w:t xml:space="preserve">Para adoptar la presente </w:t>
      </w:r>
      <w:r w:rsidR="002B1772">
        <w:rPr>
          <w:rFonts w:ascii="Verdana" w:hAnsi="Verdana" w:cs="Verdana"/>
          <w:sz w:val="20"/>
          <w:szCs w:val="20"/>
        </w:rPr>
        <w:t>R</w:t>
      </w:r>
      <w:r w:rsidR="002B1772" w:rsidRPr="00CB74A0">
        <w:rPr>
          <w:rFonts w:ascii="Verdana" w:hAnsi="Verdana" w:cs="Verdana"/>
          <w:sz w:val="20"/>
          <w:szCs w:val="20"/>
        </w:rPr>
        <w:t>esolución</w:t>
      </w:r>
      <w:r w:rsidRPr="00CB74A0">
        <w:rPr>
          <w:rFonts w:ascii="Verdana" w:hAnsi="Verdana" w:cs="Verdana"/>
          <w:sz w:val="20"/>
          <w:szCs w:val="20"/>
        </w:rPr>
        <w:t xml:space="preserve">, el Pleno del Tribunal </w:t>
      </w:r>
      <w:r w:rsidR="002B1772">
        <w:rPr>
          <w:rFonts w:ascii="Verdana" w:hAnsi="Verdana" w:cs="Verdana"/>
          <w:sz w:val="20"/>
          <w:szCs w:val="20"/>
        </w:rPr>
        <w:t>tomará en cuenta</w:t>
      </w:r>
      <w:r w:rsidR="002B1772" w:rsidRPr="00CB74A0">
        <w:rPr>
          <w:rFonts w:ascii="Verdana" w:hAnsi="Verdana" w:cs="Verdana"/>
          <w:sz w:val="20"/>
          <w:szCs w:val="20"/>
        </w:rPr>
        <w:t xml:space="preserve"> </w:t>
      </w:r>
      <w:r w:rsidRPr="00CB74A0">
        <w:rPr>
          <w:rFonts w:ascii="Verdana" w:hAnsi="Verdana" w:cs="Verdana"/>
          <w:sz w:val="20"/>
          <w:szCs w:val="20"/>
        </w:rPr>
        <w:t>tanto la información y argumentos presentados por las partes y la Comisión antes de la adopción de la referida Resolución del Presidente de la Corte de mayo de 2019 (</w:t>
      </w:r>
      <w:r w:rsidRPr="00CB74A0">
        <w:rPr>
          <w:rFonts w:ascii="Verdana" w:hAnsi="Verdana" w:cs="Verdana"/>
          <w:i/>
          <w:iCs/>
          <w:sz w:val="20"/>
          <w:szCs w:val="20"/>
        </w:rPr>
        <w:t>supra</w:t>
      </w:r>
      <w:r w:rsidRPr="00CB74A0">
        <w:rPr>
          <w:rFonts w:ascii="Verdana" w:hAnsi="Verdana" w:cs="Verdana"/>
          <w:sz w:val="20"/>
          <w:szCs w:val="20"/>
        </w:rPr>
        <w:t xml:space="preserve"> Considerandos </w:t>
      </w:r>
      <w:r w:rsidR="002B1772" w:rsidRPr="00CB74A0">
        <w:rPr>
          <w:rFonts w:ascii="Verdana" w:hAnsi="Verdana" w:cs="Verdana"/>
          <w:sz w:val="20"/>
          <w:szCs w:val="20"/>
        </w:rPr>
        <w:t>1</w:t>
      </w:r>
      <w:r w:rsidR="002B1772">
        <w:rPr>
          <w:rFonts w:ascii="Verdana" w:hAnsi="Verdana" w:cs="Verdana"/>
          <w:sz w:val="20"/>
          <w:szCs w:val="20"/>
        </w:rPr>
        <w:t>3</w:t>
      </w:r>
      <w:r w:rsidR="002B1772" w:rsidRPr="00CB74A0">
        <w:rPr>
          <w:rFonts w:ascii="Verdana" w:hAnsi="Verdana" w:cs="Verdana"/>
          <w:sz w:val="20"/>
          <w:szCs w:val="20"/>
        </w:rPr>
        <w:t xml:space="preserve"> </w:t>
      </w:r>
      <w:r w:rsidR="00676DE8" w:rsidRPr="00CB74A0">
        <w:rPr>
          <w:rFonts w:ascii="Verdana" w:hAnsi="Verdana" w:cs="Verdana"/>
          <w:sz w:val="20"/>
          <w:szCs w:val="20"/>
        </w:rPr>
        <w:t xml:space="preserve">a </w:t>
      </w:r>
      <w:r w:rsidR="002B1772" w:rsidRPr="00CB74A0">
        <w:rPr>
          <w:rFonts w:ascii="Verdana" w:hAnsi="Verdana" w:cs="Verdana"/>
          <w:sz w:val="20"/>
          <w:szCs w:val="20"/>
        </w:rPr>
        <w:t>1</w:t>
      </w:r>
      <w:r w:rsidR="002B1772">
        <w:rPr>
          <w:rFonts w:ascii="Verdana" w:hAnsi="Verdana" w:cs="Verdana"/>
          <w:sz w:val="20"/>
          <w:szCs w:val="20"/>
        </w:rPr>
        <w:t>5</w:t>
      </w:r>
      <w:r w:rsidRPr="00CB74A0">
        <w:rPr>
          <w:rFonts w:ascii="Verdana" w:hAnsi="Verdana" w:cs="Verdana"/>
          <w:sz w:val="20"/>
          <w:szCs w:val="20"/>
        </w:rPr>
        <w:t>), como los presentados con posterioridad a la emisión de la misma</w:t>
      </w:r>
      <w:r w:rsidR="00CF1F2B" w:rsidRPr="00CB74A0">
        <w:rPr>
          <w:rFonts w:ascii="Verdana" w:hAnsi="Verdana" w:cs="Verdana"/>
          <w:sz w:val="20"/>
          <w:szCs w:val="20"/>
        </w:rPr>
        <w:t xml:space="preserve"> (</w:t>
      </w:r>
      <w:r w:rsidR="00CF1F2B" w:rsidRPr="00CB74A0">
        <w:rPr>
          <w:rFonts w:ascii="Verdana" w:hAnsi="Verdana" w:cs="Verdana"/>
          <w:i/>
          <w:iCs/>
          <w:sz w:val="20"/>
          <w:szCs w:val="20"/>
        </w:rPr>
        <w:t xml:space="preserve">supra </w:t>
      </w:r>
      <w:r w:rsidR="00CF1F2B" w:rsidRPr="00CB74A0">
        <w:rPr>
          <w:rFonts w:ascii="Verdana" w:hAnsi="Verdana" w:cs="Verdana"/>
          <w:sz w:val="20"/>
          <w:szCs w:val="20"/>
        </w:rPr>
        <w:t>Considerando</w:t>
      </w:r>
      <w:r w:rsidR="00676DE8" w:rsidRPr="00CB74A0">
        <w:rPr>
          <w:rFonts w:ascii="Verdana" w:hAnsi="Verdana" w:cs="Verdana"/>
          <w:sz w:val="20"/>
          <w:szCs w:val="20"/>
        </w:rPr>
        <w:t>s</w:t>
      </w:r>
      <w:r w:rsidR="00CF1F2B" w:rsidRPr="00CB74A0">
        <w:rPr>
          <w:rFonts w:ascii="Verdana" w:hAnsi="Verdana" w:cs="Verdana"/>
          <w:sz w:val="20"/>
          <w:szCs w:val="20"/>
        </w:rPr>
        <w:t xml:space="preserve"> </w:t>
      </w:r>
      <w:r w:rsidR="002B1772" w:rsidRPr="00CB74A0">
        <w:rPr>
          <w:rFonts w:ascii="Verdana" w:hAnsi="Verdana" w:cs="Verdana"/>
          <w:sz w:val="20"/>
          <w:szCs w:val="20"/>
        </w:rPr>
        <w:t>2</w:t>
      </w:r>
      <w:r w:rsidR="002B1772">
        <w:rPr>
          <w:rFonts w:ascii="Verdana" w:hAnsi="Verdana" w:cs="Verdana"/>
          <w:sz w:val="20"/>
          <w:szCs w:val="20"/>
        </w:rPr>
        <w:t>0</w:t>
      </w:r>
      <w:r w:rsidR="002B1772" w:rsidRPr="00CB74A0">
        <w:rPr>
          <w:rFonts w:ascii="Verdana" w:hAnsi="Verdana" w:cs="Verdana"/>
          <w:sz w:val="20"/>
          <w:szCs w:val="20"/>
        </w:rPr>
        <w:t xml:space="preserve"> </w:t>
      </w:r>
      <w:r w:rsidR="00676DE8" w:rsidRPr="00CB74A0">
        <w:rPr>
          <w:rFonts w:ascii="Verdana" w:hAnsi="Verdana" w:cs="Verdana"/>
          <w:sz w:val="20"/>
          <w:szCs w:val="20"/>
        </w:rPr>
        <w:t xml:space="preserve">a </w:t>
      </w:r>
      <w:r w:rsidR="002B1772">
        <w:rPr>
          <w:rFonts w:ascii="Verdana" w:hAnsi="Verdana" w:cs="Verdana"/>
          <w:sz w:val="20"/>
          <w:szCs w:val="20"/>
        </w:rPr>
        <w:t>34</w:t>
      </w:r>
      <w:r w:rsidR="00CF1F2B" w:rsidRPr="00CB74A0">
        <w:rPr>
          <w:rFonts w:ascii="Verdana" w:hAnsi="Verdana" w:cs="Verdana"/>
          <w:sz w:val="20"/>
          <w:szCs w:val="20"/>
        </w:rPr>
        <w:t>)</w:t>
      </w:r>
      <w:r w:rsidRPr="00CB74A0">
        <w:rPr>
          <w:rFonts w:ascii="Verdana" w:hAnsi="Verdana" w:cs="Verdana"/>
          <w:sz w:val="20"/>
          <w:szCs w:val="20"/>
        </w:rPr>
        <w:t xml:space="preserve">. </w:t>
      </w:r>
      <w:r w:rsidR="00CF1F2B" w:rsidRPr="00CB74A0">
        <w:rPr>
          <w:rFonts w:ascii="Verdana" w:hAnsi="Verdana" w:cs="Verdana"/>
          <w:sz w:val="20"/>
          <w:szCs w:val="20"/>
        </w:rPr>
        <w:t xml:space="preserve">Asimismo, se tomará en consideración el escrito presentado por la Procuraduría para la Defensa de los Derechos Humanos </w:t>
      </w:r>
      <w:r w:rsidR="005C0450" w:rsidRPr="00CB74A0">
        <w:rPr>
          <w:rFonts w:ascii="Verdana" w:hAnsi="Verdana" w:cs="Verdana"/>
          <w:sz w:val="20"/>
          <w:szCs w:val="20"/>
        </w:rPr>
        <w:t>de</w:t>
      </w:r>
      <w:r w:rsidR="00CF1F2B" w:rsidRPr="00CB74A0">
        <w:rPr>
          <w:rFonts w:ascii="Verdana" w:hAnsi="Verdana" w:cs="Verdana"/>
          <w:sz w:val="20"/>
          <w:szCs w:val="20"/>
        </w:rPr>
        <w:t xml:space="preserve"> El Salvador (</w:t>
      </w:r>
      <w:r w:rsidR="00CF1F2B" w:rsidRPr="00CB74A0">
        <w:rPr>
          <w:rFonts w:ascii="Verdana" w:hAnsi="Verdana" w:cs="Verdana"/>
          <w:i/>
          <w:iCs/>
          <w:sz w:val="20"/>
          <w:szCs w:val="20"/>
        </w:rPr>
        <w:t>supra</w:t>
      </w:r>
      <w:r w:rsidR="00CF1F2B" w:rsidRPr="00CB74A0">
        <w:rPr>
          <w:rFonts w:ascii="Verdana" w:hAnsi="Verdana" w:cs="Verdana"/>
          <w:sz w:val="20"/>
          <w:szCs w:val="20"/>
        </w:rPr>
        <w:t xml:space="preserve"> Visto </w:t>
      </w:r>
      <w:r w:rsidR="00676DE8" w:rsidRPr="00CB74A0">
        <w:rPr>
          <w:rFonts w:ascii="Verdana" w:hAnsi="Verdana" w:cs="Verdana"/>
          <w:sz w:val="20"/>
          <w:szCs w:val="20"/>
        </w:rPr>
        <w:t>14</w:t>
      </w:r>
      <w:r w:rsidR="00CF1F2B" w:rsidRPr="00CB74A0">
        <w:rPr>
          <w:rFonts w:ascii="Verdana" w:hAnsi="Verdana" w:cs="Verdana"/>
          <w:sz w:val="20"/>
          <w:szCs w:val="20"/>
        </w:rPr>
        <w:t xml:space="preserve">). </w:t>
      </w:r>
    </w:p>
    <w:p w14:paraId="1E094CD4" w14:textId="6724A415" w:rsidR="00137555" w:rsidRPr="002718F9" w:rsidRDefault="002B1772" w:rsidP="002718F9">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13484B">
        <w:rPr>
          <w:rFonts w:ascii="Verdana" w:hAnsi="Verdana" w:cs="Verdana"/>
          <w:sz w:val="20"/>
          <w:szCs w:val="20"/>
        </w:rPr>
        <w:lastRenderedPageBreak/>
        <w:t>La Corte observa que l</w:t>
      </w:r>
      <w:r w:rsidR="007A08F1">
        <w:rPr>
          <w:rFonts w:ascii="Verdana" w:hAnsi="Verdana" w:cs="Verdana"/>
          <w:sz w:val="20"/>
          <w:szCs w:val="20"/>
        </w:rPr>
        <w:t xml:space="preserve">as partes aportaron </w:t>
      </w:r>
      <w:r w:rsidR="002718F9">
        <w:rPr>
          <w:rFonts w:ascii="Verdana" w:hAnsi="Verdana" w:cs="Verdana"/>
          <w:sz w:val="20"/>
          <w:szCs w:val="20"/>
        </w:rPr>
        <w:t xml:space="preserve">información sobre los dos aspectos solicitados por el Presidente del Tribunal en su </w:t>
      </w:r>
      <w:r w:rsidR="00137555" w:rsidRPr="002718F9">
        <w:rPr>
          <w:rFonts w:ascii="Verdana" w:hAnsi="Verdana" w:cs="Verdana"/>
          <w:sz w:val="20"/>
          <w:szCs w:val="20"/>
        </w:rPr>
        <w:t xml:space="preserve">Resolución de </w:t>
      </w:r>
      <w:r w:rsidR="002718F9">
        <w:rPr>
          <w:rFonts w:ascii="Verdana" w:hAnsi="Verdana" w:cs="Verdana"/>
          <w:sz w:val="20"/>
          <w:szCs w:val="20"/>
        </w:rPr>
        <w:t xml:space="preserve">28 de </w:t>
      </w:r>
      <w:r w:rsidR="00137555" w:rsidRPr="002718F9">
        <w:rPr>
          <w:rFonts w:ascii="Verdana" w:hAnsi="Verdana" w:cs="Verdana"/>
          <w:sz w:val="20"/>
          <w:szCs w:val="20"/>
        </w:rPr>
        <w:t>mayo de 201</w:t>
      </w:r>
      <w:r w:rsidR="007E64CD" w:rsidRPr="002718F9">
        <w:rPr>
          <w:rFonts w:ascii="Verdana" w:hAnsi="Verdana" w:cs="Verdana"/>
          <w:sz w:val="20"/>
          <w:szCs w:val="20"/>
        </w:rPr>
        <w:t>9</w:t>
      </w:r>
      <w:r w:rsidR="007A08F1">
        <w:rPr>
          <w:rFonts w:ascii="Verdana" w:hAnsi="Verdana" w:cs="Verdana"/>
          <w:sz w:val="20"/>
          <w:szCs w:val="20"/>
        </w:rPr>
        <w:t xml:space="preserve"> (</w:t>
      </w:r>
      <w:r w:rsidR="007A08F1" w:rsidRPr="007A08F1">
        <w:rPr>
          <w:rFonts w:ascii="Verdana" w:hAnsi="Verdana" w:cs="Verdana"/>
          <w:i/>
          <w:sz w:val="20"/>
          <w:szCs w:val="20"/>
        </w:rPr>
        <w:t>supra</w:t>
      </w:r>
      <w:r w:rsidR="007A08F1">
        <w:rPr>
          <w:rFonts w:ascii="Verdana" w:hAnsi="Verdana" w:cs="Verdana"/>
          <w:sz w:val="20"/>
          <w:szCs w:val="20"/>
        </w:rPr>
        <w:t xml:space="preserve"> Considerando </w:t>
      </w:r>
      <w:r>
        <w:rPr>
          <w:rFonts w:ascii="Verdana" w:hAnsi="Verdana" w:cs="Verdana"/>
          <w:sz w:val="20"/>
          <w:szCs w:val="20"/>
        </w:rPr>
        <w:t>18)</w:t>
      </w:r>
      <w:r w:rsidRPr="002718F9">
        <w:rPr>
          <w:rFonts w:ascii="Verdana" w:hAnsi="Verdana" w:cs="Verdana"/>
          <w:sz w:val="20"/>
          <w:szCs w:val="20"/>
        </w:rPr>
        <w:t>:</w:t>
      </w:r>
    </w:p>
    <w:p w14:paraId="65D535E8" w14:textId="322A2222" w:rsidR="001E6BF9" w:rsidRPr="000068D5" w:rsidRDefault="001E6BF9" w:rsidP="001E6BF9">
      <w:pPr>
        <w:pStyle w:val="Prrafodelista"/>
        <w:numPr>
          <w:ilvl w:val="0"/>
          <w:numId w:val="9"/>
        </w:numPr>
        <w:tabs>
          <w:tab w:val="left" w:pos="0"/>
        </w:tabs>
        <w:autoSpaceDE w:val="0"/>
        <w:autoSpaceDN w:val="0"/>
        <w:adjustRightInd w:val="0"/>
        <w:spacing w:before="120" w:after="120" w:line="240" w:lineRule="auto"/>
        <w:ind w:right="99"/>
        <w:contextualSpacing w:val="0"/>
        <w:jc w:val="both"/>
        <w:rPr>
          <w:rFonts w:ascii="Verdana" w:hAnsi="Verdana"/>
          <w:sz w:val="20"/>
          <w:szCs w:val="20"/>
        </w:rPr>
      </w:pPr>
      <w:r w:rsidRPr="000068D5">
        <w:rPr>
          <w:rFonts w:ascii="Verdana" w:hAnsi="Verdana"/>
          <w:sz w:val="20"/>
          <w:szCs w:val="20"/>
        </w:rPr>
        <w:t>el impacto que tendría la aprobaci</w:t>
      </w:r>
      <w:r w:rsidR="0013484B">
        <w:rPr>
          <w:rFonts w:ascii="Verdana" w:hAnsi="Verdana"/>
          <w:sz w:val="20"/>
          <w:szCs w:val="20"/>
        </w:rPr>
        <w:t xml:space="preserve">ón del </w:t>
      </w:r>
      <w:r w:rsidRPr="000068D5">
        <w:rPr>
          <w:rFonts w:ascii="Verdana" w:hAnsi="Verdana"/>
          <w:sz w:val="20"/>
          <w:szCs w:val="20"/>
        </w:rPr>
        <w:t xml:space="preserve">proyecto de </w:t>
      </w:r>
      <w:r w:rsidR="0013484B">
        <w:rPr>
          <w:rFonts w:ascii="Verdana" w:hAnsi="Verdana"/>
          <w:sz w:val="20"/>
          <w:szCs w:val="20"/>
        </w:rPr>
        <w:t xml:space="preserve">“Ley Especial de Justicia Transicional y Restaurativa para la Reconciliación Nacional” </w:t>
      </w:r>
      <w:r w:rsidRPr="000068D5">
        <w:rPr>
          <w:rFonts w:ascii="Verdana" w:hAnsi="Verdana"/>
          <w:sz w:val="20"/>
          <w:szCs w:val="20"/>
        </w:rPr>
        <w:t xml:space="preserve">en el cumplimiento de la obligación de investigar derivada de la Sentencia emitida en el caso </w:t>
      </w:r>
      <w:r w:rsidRPr="000068D5">
        <w:rPr>
          <w:rFonts w:ascii="Verdana" w:hAnsi="Verdana"/>
          <w:i/>
          <w:sz w:val="20"/>
          <w:szCs w:val="20"/>
        </w:rPr>
        <w:t>Masacres de El Mozote y lugares aledaños</w:t>
      </w:r>
      <w:r w:rsidR="00137555" w:rsidRPr="000068D5">
        <w:rPr>
          <w:rFonts w:ascii="Verdana" w:hAnsi="Verdana"/>
          <w:sz w:val="20"/>
          <w:szCs w:val="20"/>
        </w:rPr>
        <w:t>, y</w:t>
      </w:r>
    </w:p>
    <w:p w14:paraId="3F81FDC4" w14:textId="24D11C5B" w:rsidR="001E6BF9" w:rsidRPr="0013484B" w:rsidRDefault="002B1772" w:rsidP="001E6BF9">
      <w:pPr>
        <w:pStyle w:val="Prrafodelista"/>
        <w:numPr>
          <w:ilvl w:val="0"/>
          <w:numId w:val="9"/>
        </w:numPr>
        <w:tabs>
          <w:tab w:val="left" w:pos="0"/>
        </w:tabs>
        <w:autoSpaceDE w:val="0"/>
        <w:autoSpaceDN w:val="0"/>
        <w:adjustRightInd w:val="0"/>
        <w:spacing w:before="120" w:after="120" w:line="240" w:lineRule="auto"/>
        <w:ind w:right="99"/>
        <w:contextualSpacing w:val="0"/>
        <w:jc w:val="both"/>
        <w:rPr>
          <w:rFonts w:ascii="Verdana" w:hAnsi="Verdana"/>
          <w:sz w:val="20"/>
          <w:szCs w:val="20"/>
        </w:rPr>
      </w:pPr>
      <w:r w:rsidRPr="0013484B">
        <w:rPr>
          <w:rFonts w:ascii="Verdana" w:hAnsi="Verdana"/>
          <w:sz w:val="20"/>
          <w:szCs w:val="20"/>
        </w:rPr>
        <w:t xml:space="preserve">las </w:t>
      </w:r>
      <w:r w:rsidR="0013484B" w:rsidRPr="0013484B">
        <w:rPr>
          <w:rFonts w:ascii="Verdana" w:hAnsi="Verdana"/>
          <w:sz w:val="20"/>
          <w:szCs w:val="20"/>
        </w:rPr>
        <w:t>facultades</w:t>
      </w:r>
      <w:r w:rsidRPr="0013484B">
        <w:rPr>
          <w:rFonts w:ascii="Verdana" w:hAnsi="Verdana"/>
          <w:sz w:val="20"/>
          <w:szCs w:val="20"/>
        </w:rPr>
        <w:t xml:space="preserve"> que brinda el</w:t>
      </w:r>
      <w:r w:rsidR="001E6BF9" w:rsidRPr="0013484B">
        <w:rPr>
          <w:rFonts w:ascii="Verdana" w:hAnsi="Verdana"/>
          <w:sz w:val="20"/>
          <w:szCs w:val="20"/>
        </w:rPr>
        <w:t xml:space="preserve"> ordenamiento jurídico salvadoreño</w:t>
      </w:r>
      <w:r w:rsidR="0013484B" w:rsidRPr="0013484B">
        <w:rPr>
          <w:rFonts w:ascii="Verdana" w:hAnsi="Verdana"/>
          <w:sz w:val="20"/>
          <w:szCs w:val="20"/>
        </w:rPr>
        <w:t xml:space="preserve"> </w:t>
      </w:r>
      <w:r w:rsidRPr="0013484B">
        <w:rPr>
          <w:rFonts w:ascii="Verdana" w:hAnsi="Verdana"/>
          <w:sz w:val="20"/>
          <w:szCs w:val="20"/>
        </w:rPr>
        <w:t xml:space="preserve">a </w:t>
      </w:r>
      <w:r w:rsidR="001E6BF9" w:rsidRPr="0013484B">
        <w:rPr>
          <w:rFonts w:ascii="Verdana" w:hAnsi="Verdana"/>
          <w:sz w:val="20"/>
          <w:szCs w:val="20"/>
        </w:rPr>
        <w:t xml:space="preserve">la Sala de lo Constitucional </w:t>
      </w:r>
      <w:r w:rsidRPr="0013484B">
        <w:rPr>
          <w:rFonts w:ascii="Verdana" w:hAnsi="Verdana"/>
          <w:sz w:val="20"/>
          <w:szCs w:val="20"/>
        </w:rPr>
        <w:t>para</w:t>
      </w:r>
      <w:r w:rsidR="001E6BF9" w:rsidRPr="0013484B">
        <w:rPr>
          <w:rFonts w:ascii="Verdana" w:hAnsi="Verdana"/>
          <w:sz w:val="20"/>
          <w:szCs w:val="20"/>
        </w:rPr>
        <w:t xml:space="preserve"> realizar un control previo de constitucionalidad del referido proyecto de ley o </w:t>
      </w:r>
      <w:r w:rsidRPr="0013484B">
        <w:rPr>
          <w:rFonts w:ascii="Verdana" w:hAnsi="Verdana"/>
          <w:sz w:val="20"/>
          <w:szCs w:val="20"/>
        </w:rPr>
        <w:t xml:space="preserve">para </w:t>
      </w:r>
      <w:r w:rsidR="001E6BF9" w:rsidRPr="0013484B">
        <w:rPr>
          <w:rFonts w:ascii="Verdana" w:hAnsi="Verdana"/>
          <w:sz w:val="20"/>
          <w:szCs w:val="20"/>
        </w:rPr>
        <w:t xml:space="preserve">valorar si su contenido cumple con las disposiciones </w:t>
      </w:r>
      <w:r w:rsidR="00137555" w:rsidRPr="0013484B">
        <w:rPr>
          <w:rFonts w:ascii="Verdana" w:hAnsi="Verdana"/>
          <w:sz w:val="20"/>
          <w:szCs w:val="20"/>
        </w:rPr>
        <w:t>dadas</w:t>
      </w:r>
      <w:r w:rsidR="001E6BF9" w:rsidRPr="0013484B">
        <w:rPr>
          <w:rFonts w:ascii="Verdana" w:hAnsi="Verdana"/>
          <w:sz w:val="20"/>
          <w:szCs w:val="20"/>
        </w:rPr>
        <w:t xml:space="preserve"> en su </w:t>
      </w:r>
      <w:r w:rsidR="0013484B">
        <w:rPr>
          <w:rFonts w:ascii="Verdana" w:hAnsi="Verdana"/>
          <w:sz w:val="20"/>
          <w:szCs w:val="20"/>
        </w:rPr>
        <w:t>sentencia</w:t>
      </w:r>
      <w:r w:rsidR="001E6BF9" w:rsidRPr="0013484B">
        <w:rPr>
          <w:rFonts w:ascii="Verdana" w:hAnsi="Verdana"/>
          <w:sz w:val="20"/>
          <w:szCs w:val="20"/>
        </w:rPr>
        <w:t xml:space="preserve"> de inconstitucionalidad de la Ley General de Amnistía de 13 de julio de 2016.</w:t>
      </w:r>
    </w:p>
    <w:p w14:paraId="02E9CAFB" w14:textId="09B09134" w:rsidR="00073256" w:rsidRPr="007D5C19" w:rsidRDefault="00184D33" w:rsidP="00184D33">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7D5C19">
        <w:rPr>
          <w:rFonts w:ascii="Verdana" w:hAnsi="Verdana" w:cs="Verdana"/>
          <w:sz w:val="20"/>
          <w:szCs w:val="20"/>
        </w:rPr>
        <w:t>Tomando en consideració</w:t>
      </w:r>
      <w:r w:rsidR="00D86E50">
        <w:rPr>
          <w:rFonts w:ascii="Verdana" w:hAnsi="Verdana" w:cs="Verdana"/>
          <w:sz w:val="20"/>
          <w:szCs w:val="20"/>
        </w:rPr>
        <w:t>n esa información</w:t>
      </w:r>
      <w:r w:rsidR="00091687">
        <w:rPr>
          <w:rFonts w:ascii="Verdana" w:hAnsi="Verdana" w:cs="Verdana"/>
          <w:sz w:val="20"/>
          <w:szCs w:val="20"/>
        </w:rPr>
        <w:t xml:space="preserve"> aportada con posterioridad a la resolución del Presidente</w:t>
      </w:r>
      <w:r w:rsidR="00975940" w:rsidRPr="007D5C19">
        <w:rPr>
          <w:rFonts w:ascii="Verdana" w:hAnsi="Verdana" w:cs="Verdana"/>
          <w:sz w:val="20"/>
          <w:szCs w:val="20"/>
        </w:rPr>
        <w:t xml:space="preserve">, </w:t>
      </w:r>
      <w:r w:rsidR="0013484B">
        <w:rPr>
          <w:rFonts w:ascii="Verdana" w:hAnsi="Verdana" w:cs="Verdana"/>
          <w:sz w:val="20"/>
          <w:szCs w:val="20"/>
        </w:rPr>
        <w:t>e</w:t>
      </w:r>
      <w:r w:rsidR="00091687">
        <w:rPr>
          <w:rFonts w:ascii="Verdana" w:hAnsi="Verdana" w:cs="Verdana"/>
          <w:sz w:val="20"/>
          <w:szCs w:val="20"/>
        </w:rPr>
        <w:t>sta</w:t>
      </w:r>
      <w:r w:rsidR="00D86E50">
        <w:rPr>
          <w:rFonts w:ascii="Verdana" w:hAnsi="Verdana" w:cs="Verdana"/>
          <w:sz w:val="20"/>
          <w:szCs w:val="20"/>
        </w:rPr>
        <w:t xml:space="preserve"> </w:t>
      </w:r>
      <w:r w:rsidR="0013484B">
        <w:rPr>
          <w:rFonts w:ascii="Verdana" w:hAnsi="Verdana" w:cs="Verdana"/>
          <w:sz w:val="20"/>
          <w:szCs w:val="20"/>
        </w:rPr>
        <w:t xml:space="preserve">Corte </w:t>
      </w:r>
      <w:r w:rsidR="00073256" w:rsidRPr="007D5C19">
        <w:rPr>
          <w:rFonts w:ascii="Verdana" w:hAnsi="Verdana" w:cs="Verdana"/>
          <w:sz w:val="20"/>
          <w:szCs w:val="20"/>
        </w:rPr>
        <w:t xml:space="preserve">considera que no </w:t>
      </w:r>
      <w:r w:rsidR="00B44A00" w:rsidRPr="007D5C19">
        <w:rPr>
          <w:rFonts w:ascii="Verdana" w:hAnsi="Verdana" w:cs="Verdana"/>
          <w:sz w:val="20"/>
          <w:szCs w:val="20"/>
        </w:rPr>
        <w:t>se dan los presupuestos</w:t>
      </w:r>
      <w:r w:rsidR="00073256" w:rsidRPr="007D5C19">
        <w:rPr>
          <w:rFonts w:ascii="Verdana" w:hAnsi="Verdana" w:cs="Verdana"/>
          <w:sz w:val="20"/>
          <w:szCs w:val="20"/>
        </w:rPr>
        <w:t xml:space="preserve"> que </w:t>
      </w:r>
      <w:r w:rsidR="00B44A00" w:rsidRPr="007D5C19">
        <w:rPr>
          <w:rFonts w:ascii="Verdana" w:hAnsi="Verdana" w:cs="Verdana"/>
          <w:sz w:val="20"/>
          <w:szCs w:val="20"/>
        </w:rPr>
        <w:t>existieron</w:t>
      </w:r>
      <w:r w:rsidR="00073256" w:rsidRPr="007D5C19">
        <w:rPr>
          <w:rFonts w:ascii="Verdana" w:hAnsi="Verdana" w:cs="Verdana"/>
          <w:sz w:val="20"/>
          <w:szCs w:val="20"/>
        </w:rPr>
        <w:t xml:space="preserve"> al momento en que el Presidente ordenó medidas urgentes, por las siguientes razones:</w:t>
      </w:r>
    </w:p>
    <w:p w14:paraId="74900465" w14:textId="4D86F417" w:rsidR="00073256" w:rsidRDefault="00073256" w:rsidP="00073256">
      <w:pPr>
        <w:pStyle w:val="Prrafodelista"/>
        <w:numPr>
          <w:ilvl w:val="0"/>
          <w:numId w:val="21"/>
        </w:numPr>
        <w:tabs>
          <w:tab w:val="left" w:pos="0"/>
        </w:tabs>
        <w:autoSpaceDE w:val="0"/>
        <w:autoSpaceDN w:val="0"/>
        <w:adjustRightInd w:val="0"/>
        <w:spacing w:before="120" w:after="120" w:line="240" w:lineRule="auto"/>
        <w:ind w:right="99"/>
        <w:contextualSpacing w:val="0"/>
        <w:jc w:val="both"/>
        <w:rPr>
          <w:rFonts w:ascii="Verdana" w:hAnsi="Verdana" w:cs="Verdana"/>
          <w:sz w:val="20"/>
          <w:szCs w:val="20"/>
        </w:rPr>
      </w:pPr>
      <w:r w:rsidRPr="00184D33">
        <w:rPr>
          <w:rFonts w:ascii="Verdana" w:hAnsi="Verdana" w:cs="Verdana"/>
          <w:sz w:val="20"/>
          <w:szCs w:val="20"/>
        </w:rPr>
        <w:t>la Sala de lo Constitucional ha ampliado el plazo de la Asamblea Legislativa para la emisión de normativa sobre reconciliación nacional (</w:t>
      </w:r>
      <w:r w:rsidRPr="00184D33">
        <w:rPr>
          <w:rFonts w:ascii="Verdana" w:hAnsi="Verdana" w:cs="Verdana"/>
          <w:i/>
          <w:iCs/>
          <w:sz w:val="20"/>
          <w:szCs w:val="20"/>
        </w:rPr>
        <w:t>supra</w:t>
      </w:r>
      <w:r w:rsidR="00FB03A0">
        <w:rPr>
          <w:rFonts w:ascii="Verdana" w:hAnsi="Verdana" w:cs="Verdana"/>
          <w:sz w:val="20"/>
          <w:szCs w:val="20"/>
        </w:rPr>
        <w:t xml:space="preserve"> Considerando</w:t>
      </w:r>
      <w:r w:rsidRPr="00184D33">
        <w:rPr>
          <w:rFonts w:ascii="Verdana" w:hAnsi="Verdana" w:cs="Verdana"/>
          <w:sz w:val="20"/>
          <w:szCs w:val="20"/>
        </w:rPr>
        <w:t xml:space="preserve"> </w:t>
      </w:r>
      <w:r w:rsidR="002B1772">
        <w:rPr>
          <w:rFonts w:ascii="Verdana" w:hAnsi="Verdana" w:cs="Verdana"/>
          <w:sz w:val="20"/>
          <w:szCs w:val="20"/>
        </w:rPr>
        <w:t>24</w:t>
      </w:r>
      <w:r w:rsidRPr="00184D33">
        <w:rPr>
          <w:rFonts w:ascii="Verdana" w:hAnsi="Verdana" w:cs="Verdana"/>
          <w:sz w:val="20"/>
          <w:szCs w:val="20"/>
        </w:rPr>
        <w:t>)</w:t>
      </w:r>
      <w:r>
        <w:rPr>
          <w:rFonts w:ascii="Verdana" w:hAnsi="Verdana" w:cs="Verdana"/>
          <w:sz w:val="20"/>
          <w:szCs w:val="20"/>
        </w:rPr>
        <w:t>;</w:t>
      </w:r>
    </w:p>
    <w:p w14:paraId="1579E655" w14:textId="68FF98B9" w:rsidR="00073256" w:rsidRDefault="00073256" w:rsidP="00073256">
      <w:pPr>
        <w:pStyle w:val="Prrafodelista"/>
        <w:numPr>
          <w:ilvl w:val="0"/>
          <w:numId w:val="21"/>
        </w:numPr>
        <w:tabs>
          <w:tab w:val="left" w:pos="0"/>
        </w:tabs>
        <w:autoSpaceDE w:val="0"/>
        <w:autoSpaceDN w:val="0"/>
        <w:adjustRightInd w:val="0"/>
        <w:spacing w:before="120" w:after="120" w:line="240" w:lineRule="auto"/>
        <w:ind w:right="99"/>
        <w:contextualSpacing w:val="0"/>
        <w:jc w:val="both"/>
        <w:rPr>
          <w:rFonts w:ascii="Verdana" w:hAnsi="Verdana" w:cs="Verdana"/>
          <w:sz w:val="20"/>
          <w:szCs w:val="20"/>
        </w:rPr>
      </w:pPr>
      <w:r w:rsidRPr="00073256">
        <w:rPr>
          <w:rFonts w:ascii="Verdana" w:hAnsi="Verdana" w:cs="Verdana"/>
          <w:sz w:val="20"/>
          <w:szCs w:val="20"/>
        </w:rPr>
        <w:t xml:space="preserve">el Presidente de la Asamblea Legislativa </w:t>
      </w:r>
      <w:r>
        <w:rPr>
          <w:rFonts w:ascii="Verdana" w:hAnsi="Verdana" w:cs="Verdana"/>
          <w:sz w:val="20"/>
          <w:szCs w:val="20"/>
        </w:rPr>
        <w:t>ha afirmado</w:t>
      </w:r>
      <w:r w:rsidRPr="00073256">
        <w:rPr>
          <w:rFonts w:ascii="Verdana" w:hAnsi="Verdana" w:cs="Verdana"/>
          <w:sz w:val="20"/>
          <w:szCs w:val="20"/>
        </w:rPr>
        <w:t xml:space="preserve"> que se encuentran analizando dos proyectos de ley y dispuestos a mantener un proceso participativo para la elaboración de dicha normativa </w:t>
      </w:r>
      <w:r>
        <w:rPr>
          <w:rFonts w:ascii="Verdana" w:hAnsi="Verdana" w:cs="Verdana"/>
          <w:sz w:val="20"/>
          <w:szCs w:val="20"/>
        </w:rPr>
        <w:t>de reconciliación nacional</w:t>
      </w:r>
      <w:r w:rsidR="00FB03A0">
        <w:rPr>
          <w:rFonts w:ascii="Verdana" w:hAnsi="Verdana" w:cs="Verdana"/>
          <w:sz w:val="20"/>
          <w:szCs w:val="20"/>
        </w:rPr>
        <w:t xml:space="preserve"> (</w:t>
      </w:r>
      <w:r w:rsidR="00FB03A0" w:rsidRPr="00FB03A0">
        <w:rPr>
          <w:rFonts w:ascii="Verdana" w:hAnsi="Verdana" w:cs="Verdana"/>
          <w:i/>
          <w:sz w:val="20"/>
          <w:szCs w:val="20"/>
        </w:rPr>
        <w:t>supra</w:t>
      </w:r>
      <w:r w:rsidR="00FB03A0">
        <w:rPr>
          <w:rFonts w:ascii="Verdana" w:hAnsi="Verdana" w:cs="Verdana"/>
          <w:sz w:val="20"/>
          <w:szCs w:val="20"/>
        </w:rPr>
        <w:t xml:space="preserve"> Considerando</w:t>
      </w:r>
      <w:r w:rsidR="002B1772">
        <w:rPr>
          <w:rFonts w:ascii="Verdana" w:hAnsi="Verdana" w:cs="Verdana"/>
          <w:sz w:val="20"/>
          <w:szCs w:val="20"/>
        </w:rPr>
        <w:t>s</w:t>
      </w:r>
      <w:r w:rsidR="00FB03A0">
        <w:rPr>
          <w:rFonts w:ascii="Verdana" w:hAnsi="Verdana" w:cs="Verdana"/>
          <w:sz w:val="20"/>
          <w:szCs w:val="20"/>
        </w:rPr>
        <w:t xml:space="preserve"> </w:t>
      </w:r>
      <w:r w:rsidR="002B1772">
        <w:rPr>
          <w:rFonts w:ascii="Verdana" w:hAnsi="Verdana" w:cs="Verdana"/>
          <w:sz w:val="20"/>
          <w:szCs w:val="20"/>
        </w:rPr>
        <w:t>23 y 31</w:t>
      </w:r>
      <w:r w:rsidR="00FB03A0">
        <w:rPr>
          <w:rFonts w:ascii="Verdana" w:hAnsi="Verdana" w:cs="Verdana"/>
          <w:sz w:val="20"/>
          <w:szCs w:val="20"/>
        </w:rPr>
        <w:t>);</w:t>
      </w:r>
    </w:p>
    <w:p w14:paraId="4146F9F9" w14:textId="3C38CAD0" w:rsidR="00073256" w:rsidRDefault="00073256" w:rsidP="00073256">
      <w:pPr>
        <w:pStyle w:val="Prrafodelista"/>
        <w:numPr>
          <w:ilvl w:val="0"/>
          <w:numId w:val="21"/>
        </w:numPr>
        <w:tabs>
          <w:tab w:val="left" w:pos="0"/>
        </w:tabs>
        <w:autoSpaceDE w:val="0"/>
        <w:autoSpaceDN w:val="0"/>
        <w:adjustRightInd w:val="0"/>
        <w:spacing w:before="120" w:after="120" w:line="240" w:lineRule="auto"/>
        <w:ind w:right="99"/>
        <w:contextualSpacing w:val="0"/>
        <w:jc w:val="both"/>
        <w:rPr>
          <w:rFonts w:ascii="Verdana" w:hAnsi="Verdana" w:cs="Verdana"/>
          <w:sz w:val="20"/>
          <w:szCs w:val="20"/>
        </w:rPr>
      </w:pPr>
      <w:r>
        <w:rPr>
          <w:rFonts w:ascii="Verdana" w:hAnsi="Verdana" w:cs="Verdana"/>
          <w:sz w:val="20"/>
          <w:szCs w:val="20"/>
        </w:rPr>
        <w:t>las manifestaciones realizadas por el actual Presidente de la República de El Salvador respecto de que cualquier proyecto de ley que le sea presentado lo analizará teniendo como eje central los derechos de las víctimas de graves violaciones a derechos humanos cometidas durante el conflicto armado interno salvadoreño (</w:t>
      </w:r>
      <w:r w:rsidRPr="00234E19">
        <w:rPr>
          <w:rFonts w:ascii="Verdana" w:hAnsi="Verdana" w:cs="Verdana"/>
          <w:i/>
          <w:iCs/>
          <w:sz w:val="20"/>
          <w:szCs w:val="20"/>
        </w:rPr>
        <w:t>supra</w:t>
      </w:r>
      <w:r>
        <w:rPr>
          <w:rFonts w:ascii="Verdana" w:hAnsi="Verdana" w:cs="Verdana"/>
          <w:sz w:val="20"/>
          <w:szCs w:val="20"/>
        </w:rPr>
        <w:t xml:space="preserve"> Considerando </w:t>
      </w:r>
      <w:r w:rsidR="0030668A">
        <w:rPr>
          <w:rFonts w:ascii="Verdana" w:hAnsi="Verdana" w:cs="Verdana"/>
          <w:sz w:val="20"/>
          <w:szCs w:val="20"/>
        </w:rPr>
        <w:t>22</w:t>
      </w:r>
      <w:r>
        <w:rPr>
          <w:rFonts w:ascii="Verdana" w:hAnsi="Verdana" w:cs="Verdana"/>
          <w:sz w:val="20"/>
          <w:szCs w:val="20"/>
        </w:rPr>
        <w:t xml:space="preserve">), y </w:t>
      </w:r>
    </w:p>
    <w:p w14:paraId="3F0311B7" w14:textId="48E77647" w:rsidR="00073256" w:rsidRPr="00073256" w:rsidRDefault="00073256" w:rsidP="00073256">
      <w:pPr>
        <w:pStyle w:val="Prrafodelista"/>
        <w:numPr>
          <w:ilvl w:val="0"/>
          <w:numId w:val="21"/>
        </w:numPr>
        <w:tabs>
          <w:tab w:val="left" w:pos="0"/>
        </w:tabs>
        <w:autoSpaceDE w:val="0"/>
        <w:autoSpaceDN w:val="0"/>
        <w:adjustRightInd w:val="0"/>
        <w:spacing w:before="120" w:after="120" w:line="240" w:lineRule="auto"/>
        <w:ind w:right="99"/>
        <w:contextualSpacing w:val="0"/>
        <w:jc w:val="both"/>
        <w:rPr>
          <w:rFonts w:ascii="Verdana" w:hAnsi="Verdana" w:cs="Verdana"/>
          <w:sz w:val="20"/>
          <w:szCs w:val="20"/>
        </w:rPr>
      </w:pPr>
      <w:r>
        <w:rPr>
          <w:rFonts w:ascii="Verdana" w:hAnsi="Verdana" w:cs="Verdana"/>
          <w:sz w:val="20"/>
          <w:szCs w:val="20"/>
        </w:rPr>
        <w:t xml:space="preserve">los mecanismos a través de los cuales la Sala de lo Constitucional de la Corte Suprema de Justicia podría eventualmente pronunciarse sobre la constitucionalidad de la normativa </w:t>
      </w:r>
      <w:r w:rsidR="00F3588C">
        <w:rPr>
          <w:rFonts w:ascii="Verdana" w:hAnsi="Verdana" w:cs="Verdana"/>
          <w:sz w:val="20"/>
          <w:szCs w:val="20"/>
        </w:rPr>
        <w:t xml:space="preserve">en caso de veto del Presidente de la República y en caso de </w:t>
      </w:r>
      <w:r>
        <w:rPr>
          <w:rFonts w:ascii="Verdana" w:hAnsi="Verdana" w:cs="Verdana"/>
          <w:sz w:val="20"/>
          <w:szCs w:val="20"/>
        </w:rPr>
        <w:t xml:space="preserve">que se apruebe </w:t>
      </w:r>
      <w:r w:rsidR="00F3588C">
        <w:rPr>
          <w:rFonts w:ascii="Verdana" w:hAnsi="Verdana" w:cs="Verdana"/>
          <w:sz w:val="20"/>
          <w:szCs w:val="20"/>
        </w:rPr>
        <w:t xml:space="preserve">la ley </w:t>
      </w:r>
      <w:r w:rsidRPr="00234E19">
        <w:rPr>
          <w:rFonts w:ascii="Verdana" w:hAnsi="Verdana" w:cs="Verdana"/>
          <w:i/>
          <w:iCs/>
          <w:sz w:val="20"/>
          <w:szCs w:val="20"/>
        </w:rPr>
        <w:t>(supra</w:t>
      </w:r>
      <w:r>
        <w:rPr>
          <w:rFonts w:ascii="Verdana" w:hAnsi="Verdana" w:cs="Verdana"/>
          <w:sz w:val="20"/>
          <w:szCs w:val="20"/>
        </w:rPr>
        <w:t xml:space="preserve"> Considerandos </w:t>
      </w:r>
      <w:r w:rsidR="0030668A">
        <w:rPr>
          <w:rFonts w:ascii="Verdana" w:hAnsi="Verdana" w:cs="Verdana"/>
          <w:sz w:val="20"/>
          <w:szCs w:val="20"/>
        </w:rPr>
        <w:t xml:space="preserve">27 </w:t>
      </w:r>
      <w:r w:rsidR="00FB03A0">
        <w:rPr>
          <w:rFonts w:ascii="Verdana" w:hAnsi="Verdana" w:cs="Verdana"/>
          <w:sz w:val="20"/>
          <w:szCs w:val="20"/>
        </w:rPr>
        <w:t xml:space="preserve">a </w:t>
      </w:r>
      <w:r w:rsidR="0030668A">
        <w:rPr>
          <w:rFonts w:ascii="Verdana" w:hAnsi="Verdana" w:cs="Verdana"/>
          <w:sz w:val="20"/>
          <w:szCs w:val="20"/>
        </w:rPr>
        <w:t>29</w:t>
      </w:r>
      <w:r>
        <w:rPr>
          <w:rFonts w:ascii="Verdana" w:hAnsi="Verdana" w:cs="Verdana"/>
          <w:sz w:val="20"/>
          <w:szCs w:val="20"/>
        </w:rPr>
        <w:t>).</w:t>
      </w:r>
    </w:p>
    <w:p w14:paraId="27910807" w14:textId="1205E008" w:rsidR="00F8071F" w:rsidRPr="005F1CA6" w:rsidRDefault="00B44A00" w:rsidP="007D5C19">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7D5C19">
        <w:rPr>
          <w:rFonts w:ascii="Verdana" w:hAnsi="Verdana" w:cs="Verdana"/>
          <w:sz w:val="20"/>
          <w:szCs w:val="20"/>
        </w:rPr>
        <w:t>Por consiguiente,</w:t>
      </w:r>
      <w:r w:rsidRPr="007D5C19">
        <w:rPr>
          <w:rFonts w:ascii="Verdana" w:hAnsi="Verdana" w:cs="Verdana"/>
          <w:sz w:val="16"/>
          <w:szCs w:val="16"/>
        </w:rPr>
        <w:t xml:space="preserve"> </w:t>
      </w:r>
      <w:r w:rsidR="00FC7B3A" w:rsidRPr="007D5C19">
        <w:rPr>
          <w:rFonts w:ascii="Verdana" w:hAnsi="Verdana" w:cs="Verdana"/>
          <w:sz w:val="20"/>
          <w:szCs w:val="20"/>
        </w:rPr>
        <w:t>este</w:t>
      </w:r>
      <w:r w:rsidR="00FC7B3A" w:rsidRPr="00A86659">
        <w:rPr>
          <w:rFonts w:ascii="Verdana" w:hAnsi="Verdana" w:cs="Verdana"/>
          <w:sz w:val="20"/>
          <w:szCs w:val="20"/>
        </w:rPr>
        <w:t xml:space="preserve"> Tribunal concluye que no procede ordenar al Estado la ado</w:t>
      </w:r>
      <w:r w:rsidR="00BE2356">
        <w:rPr>
          <w:rFonts w:ascii="Verdana" w:hAnsi="Verdana" w:cs="Verdana"/>
          <w:sz w:val="20"/>
          <w:szCs w:val="20"/>
        </w:rPr>
        <w:t>pción de medidas provisionales</w:t>
      </w:r>
      <w:r w:rsidR="00FC7B3A" w:rsidRPr="00A86659">
        <w:rPr>
          <w:rFonts w:ascii="Verdana" w:hAnsi="Verdana" w:cs="Verdana"/>
          <w:sz w:val="20"/>
          <w:szCs w:val="20"/>
        </w:rPr>
        <w:t>.</w:t>
      </w:r>
    </w:p>
    <w:p w14:paraId="11F45401" w14:textId="77777777" w:rsidR="0030668A" w:rsidRDefault="0030668A" w:rsidP="00F8071F">
      <w:pPr>
        <w:pStyle w:val="Prrafodelista"/>
        <w:tabs>
          <w:tab w:val="left" w:pos="0"/>
        </w:tabs>
        <w:autoSpaceDE w:val="0"/>
        <w:autoSpaceDN w:val="0"/>
        <w:adjustRightInd w:val="0"/>
        <w:spacing w:before="120" w:after="120" w:line="240" w:lineRule="auto"/>
        <w:ind w:left="0" w:right="99"/>
        <w:contextualSpacing w:val="0"/>
        <w:jc w:val="center"/>
        <w:rPr>
          <w:rFonts w:ascii="Verdana" w:hAnsi="Verdana" w:cs="Verdana"/>
          <w:b/>
          <w:smallCaps/>
          <w:sz w:val="20"/>
          <w:szCs w:val="20"/>
        </w:rPr>
      </w:pPr>
    </w:p>
    <w:p w14:paraId="2A8FAA0E" w14:textId="6F09B4A0" w:rsidR="00F8071F" w:rsidRPr="00F8071F" w:rsidRDefault="00F8071F" w:rsidP="00F8071F">
      <w:pPr>
        <w:pStyle w:val="Prrafodelista"/>
        <w:tabs>
          <w:tab w:val="left" w:pos="0"/>
        </w:tabs>
        <w:autoSpaceDE w:val="0"/>
        <w:autoSpaceDN w:val="0"/>
        <w:adjustRightInd w:val="0"/>
        <w:spacing w:before="120" w:after="120" w:line="240" w:lineRule="auto"/>
        <w:ind w:left="0" w:right="99"/>
        <w:contextualSpacing w:val="0"/>
        <w:jc w:val="center"/>
        <w:rPr>
          <w:rFonts w:ascii="Verdana" w:hAnsi="Verdana" w:cs="Verdana"/>
          <w:b/>
          <w:smallCaps/>
          <w:sz w:val="20"/>
          <w:szCs w:val="20"/>
        </w:rPr>
      </w:pPr>
      <w:r w:rsidRPr="00F8071F">
        <w:rPr>
          <w:rFonts w:ascii="Verdana" w:hAnsi="Verdana" w:cs="Verdana"/>
          <w:b/>
          <w:smallCaps/>
          <w:sz w:val="20"/>
          <w:szCs w:val="20"/>
        </w:rPr>
        <w:t>II. Supervisión de Cumplimiento</w:t>
      </w:r>
    </w:p>
    <w:p w14:paraId="23FF3F57" w14:textId="72B162D3" w:rsidR="00F8071F" w:rsidRPr="00F8071F" w:rsidRDefault="00F8071F" w:rsidP="00F8071F">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F8071F">
        <w:rPr>
          <w:rFonts w:ascii="Verdana" w:hAnsi="Verdana" w:cs="Verdana"/>
          <w:sz w:val="20"/>
          <w:szCs w:val="20"/>
        </w:rPr>
        <w:t xml:space="preserve">Debido a que lo indicado por la Corte en la presente Resolución </w:t>
      </w:r>
      <w:r w:rsidRPr="00F8071F">
        <w:rPr>
          <w:rFonts w:ascii="Verdana" w:hAnsi="Verdana"/>
          <w:sz w:val="20"/>
          <w:szCs w:val="20"/>
        </w:rPr>
        <w:t xml:space="preserve">concierne al cumplimiento de la </w:t>
      </w:r>
      <w:r w:rsidR="0030668A">
        <w:rPr>
          <w:rFonts w:ascii="Verdana" w:hAnsi="Verdana"/>
          <w:sz w:val="20"/>
          <w:szCs w:val="20"/>
        </w:rPr>
        <w:t>S</w:t>
      </w:r>
      <w:r w:rsidR="0030668A" w:rsidRPr="00F8071F">
        <w:rPr>
          <w:rFonts w:ascii="Verdana" w:hAnsi="Verdana"/>
          <w:sz w:val="20"/>
          <w:szCs w:val="20"/>
        </w:rPr>
        <w:t xml:space="preserve">entencia </w:t>
      </w:r>
      <w:r w:rsidRPr="00F8071F">
        <w:rPr>
          <w:rFonts w:ascii="Verdana" w:hAnsi="Verdana"/>
          <w:sz w:val="20"/>
          <w:szCs w:val="20"/>
        </w:rPr>
        <w:t xml:space="preserve">del </w:t>
      </w:r>
      <w:r w:rsidRPr="00FB03A0">
        <w:rPr>
          <w:rFonts w:ascii="Verdana" w:hAnsi="Verdana"/>
          <w:i/>
          <w:sz w:val="20"/>
          <w:szCs w:val="20"/>
        </w:rPr>
        <w:t>caso Masacres de El Mozote y lugares aledaños</w:t>
      </w:r>
      <w:r w:rsidRPr="00F8071F">
        <w:rPr>
          <w:rFonts w:ascii="Verdana" w:hAnsi="Verdana"/>
          <w:sz w:val="20"/>
          <w:szCs w:val="20"/>
        </w:rPr>
        <w:t xml:space="preserve">, respecto de la obligación de investigar, juzgar y, en su caso, sancionar, la información aportada </w:t>
      </w:r>
      <w:r w:rsidR="0030668A">
        <w:rPr>
          <w:rFonts w:ascii="Verdana" w:hAnsi="Verdana"/>
          <w:sz w:val="20"/>
          <w:szCs w:val="20"/>
        </w:rPr>
        <w:t xml:space="preserve">en relación con esta solicitud de medidas provisionales </w:t>
      </w:r>
      <w:r w:rsidRPr="00F8071F">
        <w:rPr>
          <w:rFonts w:ascii="Verdana" w:hAnsi="Verdana"/>
          <w:sz w:val="20"/>
          <w:szCs w:val="20"/>
        </w:rPr>
        <w:t>se incluirá también en el expediente relativo a dicha etapa de supervisión.</w:t>
      </w:r>
    </w:p>
    <w:p w14:paraId="4262D371" w14:textId="77777777" w:rsidR="00F8071F" w:rsidRDefault="00F8071F"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55BF21ED" w14:textId="77777777" w:rsidR="0013484B" w:rsidRDefault="0013484B"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0F486503" w14:textId="77777777" w:rsidR="001749D3" w:rsidRDefault="001749D3"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6757D88A" w14:textId="77777777" w:rsidR="001749D3" w:rsidRDefault="001749D3"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2085571E" w14:textId="77777777" w:rsidR="0013484B" w:rsidRDefault="0013484B"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20B4F860" w14:textId="77777777" w:rsidR="00D46C1F" w:rsidRPr="00D46C1F" w:rsidRDefault="00D46C1F"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r w:rsidRPr="00D46C1F">
        <w:rPr>
          <w:rFonts w:ascii="Verdana" w:hAnsi="Verdana" w:cs="Verdana"/>
          <w:b/>
          <w:bCs/>
          <w:sz w:val="20"/>
          <w:szCs w:val="20"/>
        </w:rPr>
        <w:lastRenderedPageBreak/>
        <w:t xml:space="preserve">POR TANTO: </w:t>
      </w:r>
    </w:p>
    <w:p w14:paraId="59A94581" w14:textId="77777777" w:rsidR="00D46C1F" w:rsidRDefault="00D46C1F"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r w:rsidRPr="00D46C1F">
        <w:rPr>
          <w:rFonts w:ascii="Verdana" w:hAnsi="Verdana" w:cs="Verdana"/>
          <w:b/>
          <w:bCs/>
          <w:sz w:val="20"/>
          <w:szCs w:val="20"/>
        </w:rPr>
        <w:t>LA CORTE INTERAMERICAN</w:t>
      </w:r>
      <w:r>
        <w:rPr>
          <w:rFonts w:ascii="Verdana" w:hAnsi="Verdana" w:cs="Verdana"/>
          <w:b/>
          <w:bCs/>
          <w:sz w:val="20"/>
          <w:szCs w:val="20"/>
        </w:rPr>
        <w:t>A</w:t>
      </w:r>
      <w:r w:rsidRPr="00D46C1F">
        <w:rPr>
          <w:rFonts w:ascii="Verdana" w:hAnsi="Verdana" w:cs="Verdana"/>
          <w:b/>
          <w:bCs/>
          <w:sz w:val="20"/>
          <w:szCs w:val="20"/>
        </w:rPr>
        <w:t xml:space="preserve"> DE DERECHOS HUMANOS, </w:t>
      </w:r>
    </w:p>
    <w:p w14:paraId="4DDC3C68" w14:textId="77777777" w:rsidR="00D46C1F" w:rsidRPr="00D46C1F" w:rsidRDefault="00D46C1F"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r>
        <w:rPr>
          <w:rFonts w:ascii="Verdana" w:hAnsi="Verdana" w:cs="Verdana"/>
          <w:sz w:val="20"/>
          <w:szCs w:val="20"/>
        </w:rPr>
        <w:t>en uso de las atribuciones que le confieren el artículo 63.2 de la Convención Americana sobre Derechos Humanos y los artículos 27 y 31 del Reglamento del Tribunal,</w:t>
      </w:r>
    </w:p>
    <w:p w14:paraId="3BE4B748" w14:textId="77777777" w:rsidR="00CC4B19" w:rsidRDefault="00CC4B19"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2AE0E5F4" w14:textId="186A7BF6" w:rsidR="003574F2" w:rsidRDefault="00D46C1F"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r>
        <w:rPr>
          <w:rFonts w:ascii="Verdana" w:hAnsi="Verdana" w:cs="Verdana"/>
          <w:b/>
          <w:bCs/>
          <w:sz w:val="20"/>
          <w:szCs w:val="20"/>
        </w:rPr>
        <w:t>RESUELVE:</w:t>
      </w:r>
    </w:p>
    <w:p w14:paraId="4EDC55EE" w14:textId="0C8D4848" w:rsidR="003574F2" w:rsidRPr="003574F2" w:rsidRDefault="003574F2" w:rsidP="00D46C1F">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Cs/>
          <w:sz w:val="20"/>
          <w:szCs w:val="20"/>
        </w:rPr>
      </w:pPr>
      <w:r w:rsidRPr="003574F2">
        <w:rPr>
          <w:rFonts w:ascii="Verdana" w:hAnsi="Verdana" w:cs="Verdana"/>
          <w:bCs/>
          <w:sz w:val="20"/>
          <w:szCs w:val="20"/>
        </w:rPr>
        <w:t>Por seis votos a favor y uno en contra,</w:t>
      </w:r>
    </w:p>
    <w:p w14:paraId="4D7D5132" w14:textId="6ECF6B15" w:rsidR="00D46C1F" w:rsidRDefault="0060637B" w:rsidP="00D46C1F">
      <w:pPr>
        <w:pStyle w:val="Prrafodelista"/>
        <w:numPr>
          <w:ilvl w:val="0"/>
          <w:numId w:val="17"/>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Pr>
          <w:rFonts w:ascii="Verdana" w:hAnsi="Verdana" w:cs="Verdana"/>
          <w:sz w:val="20"/>
          <w:szCs w:val="20"/>
        </w:rPr>
        <w:t xml:space="preserve">Tomando en consideración </w:t>
      </w:r>
      <w:r w:rsidR="00F66E8D">
        <w:rPr>
          <w:rFonts w:ascii="Verdana" w:hAnsi="Verdana" w:cs="Verdana"/>
          <w:sz w:val="20"/>
          <w:szCs w:val="20"/>
        </w:rPr>
        <w:t>la información aportada</w:t>
      </w:r>
      <w:r>
        <w:rPr>
          <w:rFonts w:ascii="Verdana" w:hAnsi="Verdana" w:cs="Verdana"/>
          <w:sz w:val="20"/>
          <w:szCs w:val="20"/>
        </w:rPr>
        <w:t xml:space="preserve"> con posterioridad a la Resolución </w:t>
      </w:r>
      <w:r w:rsidR="00F66E8D">
        <w:rPr>
          <w:rFonts w:ascii="Verdana" w:hAnsi="Verdana" w:cs="Verdana"/>
          <w:sz w:val="20"/>
          <w:szCs w:val="20"/>
        </w:rPr>
        <w:t xml:space="preserve">de medidas urgentes </w:t>
      </w:r>
      <w:r>
        <w:rPr>
          <w:rFonts w:ascii="Verdana" w:hAnsi="Verdana" w:cs="Verdana"/>
          <w:sz w:val="20"/>
          <w:szCs w:val="20"/>
        </w:rPr>
        <w:t>del Presidente</w:t>
      </w:r>
      <w:r w:rsidR="00E97C13">
        <w:rPr>
          <w:rFonts w:ascii="Verdana" w:hAnsi="Verdana" w:cs="Verdana"/>
          <w:sz w:val="20"/>
          <w:szCs w:val="20"/>
        </w:rPr>
        <w:t xml:space="preserve"> de 28 de mayo de 2019</w:t>
      </w:r>
      <w:r>
        <w:rPr>
          <w:rFonts w:ascii="Verdana" w:hAnsi="Verdana" w:cs="Verdana"/>
          <w:sz w:val="20"/>
          <w:szCs w:val="20"/>
        </w:rPr>
        <w:t>, n</w:t>
      </w:r>
      <w:r w:rsidR="003D673B" w:rsidRPr="003D673B">
        <w:rPr>
          <w:rFonts w:ascii="Verdana" w:hAnsi="Verdana" w:cs="Verdana"/>
          <w:sz w:val="20"/>
          <w:szCs w:val="20"/>
        </w:rPr>
        <w:t xml:space="preserve">o ordenar al Estado la adopción de medidas provisionales a favor de las víctimas del caso </w:t>
      </w:r>
      <w:r w:rsidR="003D673B" w:rsidRPr="00506B11">
        <w:rPr>
          <w:rFonts w:ascii="Verdana" w:hAnsi="Verdana" w:cs="Verdana"/>
          <w:i/>
          <w:sz w:val="20"/>
          <w:szCs w:val="20"/>
        </w:rPr>
        <w:t>Masacres d</w:t>
      </w:r>
      <w:r w:rsidR="00975940" w:rsidRPr="00506B11">
        <w:rPr>
          <w:rFonts w:ascii="Verdana" w:hAnsi="Verdana" w:cs="Verdana"/>
          <w:i/>
          <w:sz w:val="20"/>
          <w:szCs w:val="20"/>
        </w:rPr>
        <w:t>e El Mozote y lugares aledaños</w:t>
      </w:r>
      <w:r w:rsidR="003D673B" w:rsidRPr="003D673B">
        <w:rPr>
          <w:rFonts w:ascii="Verdana" w:hAnsi="Verdana" w:cs="Verdana"/>
          <w:sz w:val="20"/>
          <w:szCs w:val="20"/>
        </w:rPr>
        <w:t xml:space="preserve">, según lo indicado en </w:t>
      </w:r>
      <w:r w:rsidR="008174C8">
        <w:rPr>
          <w:rFonts w:ascii="Verdana" w:hAnsi="Verdana" w:cs="Verdana"/>
          <w:sz w:val="20"/>
          <w:szCs w:val="20"/>
        </w:rPr>
        <w:t>los</w:t>
      </w:r>
      <w:r w:rsidR="0030668A" w:rsidRPr="003D673B">
        <w:rPr>
          <w:rFonts w:ascii="Verdana" w:hAnsi="Verdana" w:cs="Verdana"/>
          <w:sz w:val="20"/>
          <w:szCs w:val="20"/>
        </w:rPr>
        <w:t xml:space="preserve"> </w:t>
      </w:r>
      <w:r w:rsidR="003D673B" w:rsidRPr="003D673B">
        <w:rPr>
          <w:rFonts w:ascii="Verdana" w:hAnsi="Verdana" w:cs="Verdana"/>
          <w:sz w:val="20"/>
          <w:szCs w:val="20"/>
        </w:rPr>
        <w:t>Considerando</w:t>
      </w:r>
      <w:r w:rsidR="008174C8">
        <w:rPr>
          <w:rFonts w:ascii="Verdana" w:hAnsi="Verdana" w:cs="Verdana"/>
          <w:sz w:val="20"/>
          <w:szCs w:val="20"/>
        </w:rPr>
        <w:t>s</w:t>
      </w:r>
      <w:r w:rsidR="003D673B" w:rsidRPr="003D673B">
        <w:rPr>
          <w:rFonts w:ascii="Verdana" w:hAnsi="Verdana" w:cs="Verdana"/>
          <w:sz w:val="20"/>
          <w:szCs w:val="20"/>
        </w:rPr>
        <w:t xml:space="preserve"> </w:t>
      </w:r>
      <w:r w:rsidR="0030668A">
        <w:rPr>
          <w:rFonts w:ascii="Verdana" w:hAnsi="Verdana" w:cs="Verdana"/>
          <w:sz w:val="20"/>
          <w:szCs w:val="20"/>
        </w:rPr>
        <w:t xml:space="preserve">41 </w:t>
      </w:r>
      <w:r w:rsidR="008174C8">
        <w:rPr>
          <w:rFonts w:ascii="Verdana" w:hAnsi="Verdana" w:cs="Verdana"/>
          <w:sz w:val="20"/>
          <w:szCs w:val="20"/>
        </w:rPr>
        <w:t xml:space="preserve">y 42 </w:t>
      </w:r>
      <w:r w:rsidR="003D673B">
        <w:rPr>
          <w:rFonts w:ascii="Verdana" w:hAnsi="Verdana" w:cs="Verdana"/>
          <w:sz w:val="20"/>
          <w:szCs w:val="20"/>
        </w:rPr>
        <w:t>de la presente Resolución.</w:t>
      </w:r>
    </w:p>
    <w:p w14:paraId="0D77D732" w14:textId="0265B020" w:rsidR="003574F2" w:rsidRDefault="003574F2" w:rsidP="003574F2">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r>
        <w:rPr>
          <w:rFonts w:ascii="Verdana" w:hAnsi="Verdana" w:cs="Verdana"/>
          <w:sz w:val="20"/>
          <w:szCs w:val="20"/>
        </w:rPr>
        <w:t>Disidente el Juez Eduardo Vio Grossi.</w:t>
      </w:r>
    </w:p>
    <w:p w14:paraId="122275D9" w14:textId="77777777" w:rsidR="003574F2" w:rsidRDefault="003574F2" w:rsidP="003574F2">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p>
    <w:p w14:paraId="3C612C91" w14:textId="0FD7D98E" w:rsidR="003574F2" w:rsidRDefault="003574F2" w:rsidP="003574F2">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r>
        <w:rPr>
          <w:rFonts w:ascii="Verdana" w:hAnsi="Verdana" w:cs="Verdana"/>
          <w:sz w:val="20"/>
          <w:szCs w:val="20"/>
        </w:rPr>
        <w:t>Por unanimidad,</w:t>
      </w:r>
    </w:p>
    <w:p w14:paraId="3FCF9EC3" w14:textId="77777777" w:rsidR="001027E8" w:rsidRDefault="001027E8" w:rsidP="001027E8">
      <w:pPr>
        <w:pStyle w:val="Prrafodelista"/>
        <w:numPr>
          <w:ilvl w:val="0"/>
          <w:numId w:val="17"/>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1027E8">
        <w:rPr>
          <w:rFonts w:ascii="Verdana" w:hAnsi="Verdana" w:cs="Verdana"/>
          <w:sz w:val="20"/>
          <w:szCs w:val="20"/>
        </w:rPr>
        <w:t xml:space="preserve">Archivar el expediente referido a la solicitud de medidas provisionales planteada el </w:t>
      </w:r>
      <w:r>
        <w:rPr>
          <w:rFonts w:ascii="Verdana" w:hAnsi="Verdana" w:cs="Verdana"/>
          <w:sz w:val="20"/>
          <w:szCs w:val="20"/>
        </w:rPr>
        <w:t>24</w:t>
      </w:r>
      <w:r w:rsidRPr="001027E8">
        <w:rPr>
          <w:rFonts w:ascii="Verdana" w:hAnsi="Verdana" w:cs="Verdana"/>
          <w:sz w:val="20"/>
          <w:szCs w:val="20"/>
        </w:rPr>
        <w:t xml:space="preserve"> de mayo de 2019 por los representantes de las víctimas en el </w:t>
      </w:r>
      <w:r w:rsidR="003D673B" w:rsidRPr="003D673B">
        <w:rPr>
          <w:rFonts w:ascii="Verdana" w:hAnsi="Verdana" w:cs="Verdana"/>
          <w:i/>
          <w:iCs/>
          <w:sz w:val="20"/>
          <w:szCs w:val="20"/>
        </w:rPr>
        <w:t>c</w:t>
      </w:r>
      <w:r w:rsidRPr="003D673B">
        <w:rPr>
          <w:rFonts w:ascii="Verdana" w:hAnsi="Verdana" w:cs="Verdana"/>
          <w:i/>
          <w:iCs/>
          <w:sz w:val="20"/>
          <w:szCs w:val="20"/>
        </w:rPr>
        <w:t>aso Masacres de El Mozote y lugares aledaños</w:t>
      </w:r>
      <w:r w:rsidRPr="001027E8">
        <w:rPr>
          <w:rFonts w:ascii="Verdana" w:hAnsi="Verdana" w:cs="Verdana"/>
          <w:sz w:val="20"/>
          <w:szCs w:val="20"/>
        </w:rPr>
        <w:t>.</w:t>
      </w:r>
    </w:p>
    <w:p w14:paraId="65A20429" w14:textId="77777777" w:rsidR="003574F2" w:rsidRDefault="003574F2" w:rsidP="003574F2">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p>
    <w:p w14:paraId="45A864E8" w14:textId="34242F92" w:rsidR="003574F2" w:rsidRPr="001027E8" w:rsidRDefault="003574F2" w:rsidP="003574F2">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sz w:val="20"/>
          <w:szCs w:val="20"/>
        </w:rPr>
      </w:pPr>
      <w:r>
        <w:rPr>
          <w:rFonts w:ascii="Verdana" w:hAnsi="Verdana" w:cs="Verdana"/>
          <w:sz w:val="20"/>
          <w:szCs w:val="20"/>
        </w:rPr>
        <w:t>Por unanimidad,</w:t>
      </w:r>
    </w:p>
    <w:p w14:paraId="7BF83A8D" w14:textId="6504D2DF" w:rsidR="00FE16E2" w:rsidRDefault="001027E8" w:rsidP="001027E8">
      <w:pPr>
        <w:pStyle w:val="Prrafodelista"/>
        <w:numPr>
          <w:ilvl w:val="0"/>
          <w:numId w:val="17"/>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1027E8">
        <w:rPr>
          <w:rFonts w:ascii="Verdana" w:hAnsi="Verdana"/>
          <w:sz w:val="20"/>
          <w:szCs w:val="20"/>
        </w:rPr>
        <w:t xml:space="preserve">Disponer que la Secretaría de la Corte notifique la presente Resolución al Estado de El Salvador, a </w:t>
      </w:r>
      <w:r w:rsidR="0030668A" w:rsidRPr="001027E8">
        <w:rPr>
          <w:rFonts w:ascii="Verdana" w:hAnsi="Verdana"/>
          <w:sz w:val="20"/>
          <w:szCs w:val="20"/>
        </w:rPr>
        <w:t>l</w:t>
      </w:r>
      <w:r w:rsidR="0030668A">
        <w:rPr>
          <w:rFonts w:ascii="Verdana" w:hAnsi="Verdana"/>
          <w:sz w:val="20"/>
          <w:szCs w:val="20"/>
        </w:rPr>
        <w:t>o</w:t>
      </w:r>
      <w:r w:rsidR="0030668A" w:rsidRPr="001027E8">
        <w:rPr>
          <w:rFonts w:ascii="Verdana" w:hAnsi="Verdana"/>
          <w:sz w:val="20"/>
          <w:szCs w:val="20"/>
        </w:rPr>
        <w:t xml:space="preserve">s </w:t>
      </w:r>
      <w:r w:rsidRPr="001027E8">
        <w:rPr>
          <w:rFonts w:ascii="Verdana" w:hAnsi="Verdana"/>
          <w:sz w:val="20"/>
          <w:szCs w:val="20"/>
        </w:rPr>
        <w:t>representantes de las víctimas y a la Comisión Interamericana Derechos Humanos.</w:t>
      </w:r>
    </w:p>
    <w:p w14:paraId="7A7FB793" w14:textId="77777777" w:rsidR="00EF61E3" w:rsidRDefault="00EF61E3" w:rsidP="00EF61E3">
      <w:pPr>
        <w:tabs>
          <w:tab w:val="left" w:pos="0"/>
        </w:tabs>
        <w:autoSpaceDE w:val="0"/>
        <w:autoSpaceDN w:val="0"/>
        <w:adjustRightInd w:val="0"/>
        <w:spacing w:before="120" w:after="120" w:line="240" w:lineRule="auto"/>
        <w:ind w:right="99"/>
        <w:jc w:val="both"/>
        <w:rPr>
          <w:rFonts w:ascii="Verdana" w:hAnsi="Verdana"/>
          <w:sz w:val="20"/>
          <w:szCs w:val="20"/>
        </w:rPr>
      </w:pPr>
    </w:p>
    <w:p w14:paraId="60C21B8A" w14:textId="0E6BE631" w:rsidR="00EF61E3" w:rsidRDefault="00EF61E3" w:rsidP="00EF61E3">
      <w:pPr>
        <w:tabs>
          <w:tab w:val="left" w:pos="0"/>
        </w:tabs>
        <w:autoSpaceDE w:val="0"/>
        <w:autoSpaceDN w:val="0"/>
        <w:adjustRightInd w:val="0"/>
        <w:spacing w:before="120" w:after="120" w:line="240" w:lineRule="auto"/>
        <w:ind w:right="99"/>
        <w:jc w:val="both"/>
        <w:rPr>
          <w:rFonts w:ascii="Verdana" w:hAnsi="Verdana"/>
          <w:sz w:val="20"/>
          <w:szCs w:val="20"/>
        </w:rPr>
      </w:pPr>
      <w:r>
        <w:rPr>
          <w:rFonts w:ascii="Verdana" w:hAnsi="Verdana"/>
          <w:sz w:val="20"/>
        </w:rPr>
        <w:t>El Juez Eduardo Vio Grossi hizo conocer a la Corte su Voto disidente respecto del punto resolutivo primero, el cual acompaña la presente Resolución.</w:t>
      </w:r>
    </w:p>
    <w:p w14:paraId="11A76FA0" w14:textId="77777777" w:rsidR="00EF61E3" w:rsidRPr="00EF61E3" w:rsidRDefault="00EF61E3" w:rsidP="00EF61E3">
      <w:pPr>
        <w:tabs>
          <w:tab w:val="left" w:pos="0"/>
        </w:tabs>
        <w:autoSpaceDE w:val="0"/>
        <w:autoSpaceDN w:val="0"/>
        <w:adjustRightInd w:val="0"/>
        <w:spacing w:before="120" w:after="120" w:line="240" w:lineRule="auto"/>
        <w:ind w:right="99"/>
        <w:jc w:val="both"/>
        <w:rPr>
          <w:rFonts w:ascii="Verdana" w:hAnsi="Verdana"/>
          <w:sz w:val="20"/>
          <w:szCs w:val="20"/>
        </w:rPr>
      </w:pPr>
    </w:p>
    <w:p w14:paraId="45AEFBF5" w14:textId="5D58DE5D" w:rsidR="009F491B" w:rsidRDefault="009F491B">
      <w:pPr>
        <w:spacing w:after="160" w:line="259" w:lineRule="auto"/>
        <w:rPr>
          <w:rFonts w:ascii="Verdana" w:hAnsi="Verdana"/>
          <w:sz w:val="20"/>
          <w:szCs w:val="20"/>
        </w:rPr>
      </w:pPr>
      <w:r>
        <w:rPr>
          <w:rFonts w:ascii="Verdana" w:hAnsi="Verdana"/>
          <w:sz w:val="20"/>
          <w:szCs w:val="20"/>
        </w:rPr>
        <w:br w:type="page"/>
      </w:r>
    </w:p>
    <w:p w14:paraId="6DBA4664" w14:textId="77777777" w:rsidR="009F491B" w:rsidRPr="00847B73" w:rsidRDefault="009F491B" w:rsidP="009F491B">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rPr>
        <w:t xml:space="preserve">Caso </w:t>
      </w:r>
      <w:r>
        <w:rPr>
          <w:rFonts w:ascii="Verdana" w:hAnsi="Verdana"/>
          <w:bCs/>
          <w:i/>
          <w:sz w:val="20"/>
        </w:rPr>
        <w:t>Masacres del El Mozote y lugares aledaños Vs .El Salvador</w:t>
      </w:r>
      <w:r w:rsidRPr="00847B73">
        <w:rPr>
          <w:rFonts w:ascii="Verdana" w:hAnsi="Verdana"/>
          <w:i/>
          <w:sz w:val="20"/>
          <w:lang w:val="es-ES"/>
        </w:rPr>
        <w:t>.</w:t>
      </w:r>
      <w:r w:rsidRPr="00847B73">
        <w:rPr>
          <w:rFonts w:ascii="Verdana" w:hAnsi="Verdana" w:cs="Arial"/>
          <w:i/>
          <w:sz w:val="20"/>
        </w:rPr>
        <w:t xml:space="preserve"> </w:t>
      </w:r>
      <w:r>
        <w:rPr>
          <w:rFonts w:ascii="Verdana" w:hAnsi="Verdana" w:cs="Arial"/>
          <w:i/>
          <w:sz w:val="20"/>
        </w:rPr>
        <w:t xml:space="preserve">Solicitud de Medidas Provisionales y </w:t>
      </w:r>
      <w:r w:rsidRPr="001D0B51">
        <w:rPr>
          <w:rFonts w:ascii="Verdana" w:hAnsi="Verdana" w:cs="Arial"/>
          <w:i/>
          <w:sz w:val="20"/>
        </w:rPr>
        <w:t>Supervisión de Cumplimiento de Sentencia.</w:t>
      </w:r>
      <w:r w:rsidRPr="00847B73">
        <w:rPr>
          <w:rFonts w:ascii="Verdana" w:hAnsi="Verdana" w:cs="Arial"/>
          <w:i/>
          <w:sz w:val="20"/>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3</w:t>
      </w:r>
      <w:r w:rsidRPr="00847B73">
        <w:rPr>
          <w:rFonts w:ascii="Verdana" w:hAnsi="Verdana"/>
          <w:sz w:val="20"/>
        </w:rPr>
        <w:t xml:space="preserve"> de </w:t>
      </w:r>
      <w:r>
        <w:rPr>
          <w:rFonts w:ascii="Verdana" w:hAnsi="Verdana"/>
          <w:sz w:val="20"/>
        </w:rPr>
        <w:t xml:space="preserve">septiembre </w:t>
      </w:r>
      <w:r w:rsidRPr="00847B73">
        <w:rPr>
          <w:rFonts w:ascii="Verdana" w:hAnsi="Verdana"/>
          <w:sz w:val="20"/>
        </w:rPr>
        <w:t>de 2019</w:t>
      </w:r>
      <w:r w:rsidRPr="00847B73">
        <w:rPr>
          <w:rFonts w:ascii="Verdana" w:hAnsi="Verdana"/>
          <w:sz w:val="20"/>
          <w:lang w:val="es-ES"/>
        </w:rPr>
        <w:t xml:space="preserve">. </w:t>
      </w:r>
    </w:p>
    <w:p w14:paraId="1E2B59AD" w14:textId="77777777" w:rsidR="009F491B" w:rsidRPr="00847B73" w:rsidRDefault="009F491B" w:rsidP="009F491B">
      <w:pPr>
        <w:jc w:val="center"/>
        <w:rPr>
          <w:rFonts w:ascii="Verdana" w:hAnsi="Verdana"/>
          <w:sz w:val="20"/>
          <w:lang w:val="es-ES"/>
        </w:rPr>
      </w:pPr>
    </w:p>
    <w:p w14:paraId="0BC23CDF" w14:textId="77777777" w:rsidR="009F491B" w:rsidRDefault="009F491B" w:rsidP="009F491B">
      <w:pPr>
        <w:jc w:val="center"/>
        <w:rPr>
          <w:rFonts w:ascii="Verdana" w:hAnsi="Verdana"/>
          <w:sz w:val="20"/>
          <w:lang w:val="es-ES"/>
        </w:rPr>
      </w:pPr>
    </w:p>
    <w:p w14:paraId="3E7C826B" w14:textId="77777777" w:rsidR="009F491B" w:rsidRDefault="009F491B" w:rsidP="009F491B">
      <w:pPr>
        <w:jc w:val="center"/>
        <w:rPr>
          <w:rFonts w:ascii="Verdana" w:hAnsi="Verdana"/>
          <w:sz w:val="20"/>
          <w:lang w:val="es-ES"/>
        </w:rPr>
      </w:pPr>
    </w:p>
    <w:p w14:paraId="568D3F7B" w14:textId="77777777" w:rsidR="009F491B" w:rsidRPr="00847B73" w:rsidRDefault="009F491B" w:rsidP="009F491B">
      <w:pPr>
        <w:spacing w:after="0" w:line="240" w:lineRule="auto"/>
        <w:jc w:val="center"/>
        <w:rPr>
          <w:rFonts w:ascii="Verdana" w:hAnsi="Verdana"/>
          <w:sz w:val="20"/>
          <w:lang w:val="es-ES"/>
        </w:rPr>
      </w:pPr>
    </w:p>
    <w:p w14:paraId="35A5FD98" w14:textId="77777777" w:rsidR="009F491B" w:rsidRPr="00847B73" w:rsidRDefault="009F491B" w:rsidP="009F491B">
      <w:pPr>
        <w:spacing w:after="0" w:line="240" w:lineRule="auto"/>
        <w:jc w:val="center"/>
        <w:rPr>
          <w:rFonts w:ascii="Verdana" w:hAnsi="Verdana"/>
          <w:sz w:val="20"/>
          <w:lang w:val="pt-BR"/>
        </w:rPr>
      </w:pPr>
      <w:r w:rsidRPr="00847B73">
        <w:rPr>
          <w:rFonts w:ascii="Verdana" w:hAnsi="Verdana"/>
          <w:sz w:val="20"/>
          <w:lang w:val="pt-BR"/>
        </w:rPr>
        <w:t xml:space="preserve">Eduardo Ferrer Mac-Gregor Poisot </w:t>
      </w:r>
    </w:p>
    <w:p w14:paraId="3BFE8E1B" w14:textId="77777777" w:rsidR="009F491B" w:rsidRPr="00847B73" w:rsidRDefault="009F491B" w:rsidP="009F491B">
      <w:pPr>
        <w:spacing w:after="0" w:line="240" w:lineRule="auto"/>
        <w:jc w:val="center"/>
        <w:rPr>
          <w:rFonts w:ascii="Verdana" w:hAnsi="Verdana"/>
          <w:sz w:val="20"/>
          <w:lang w:val="pt-BR"/>
        </w:rPr>
      </w:pPr>
      <w:r w:rsidRPr="00847B73">
        <w:rPr>
          <w:rFonts w:ascii="Verdana" w:hAnsi="Verdana"/>
          <w:sz w:val="20"/>
          <w:lang w:val="pt-BR"/>
        </w:rPr>
        <w:t>Presidente</w:t>
      </w:r>
    </w:p>
    <w:p w14:paraId="2F9E6C24" w14:textId="77777777" w:rsidR="009F491B" w:rsidRPr="00847B73" w:rsidRDefault="009F491B" w:rsidP="009F491B">
      <w:pPr>
        <w:spacing w:after="0" w:line="240" w:lineRule="auto"/>
        <w:jc w:val="both"/>
        <w:rPr>
          <w:rFonts w:ascii="Verdana" w:hAnsi="Verdana"/>
          <w:sz w:val="20"/>
          <w:lang w:val="pt-BR"/>
        </w:rPr>
      </w:pPr>
    </w:p>
    <w:p w14:paraId="1BFC7C06" w14:textId="77777777" w:rsidR="009F491B" w:rsidRDefault="009F491B" w:rsidP="009F491B">
      <w:pPr>
        <w:spacing w:after="0" w:line="240" w:lineRule="auto"/>
        <w:jc w:val="both"/>
        <w:rPr>
          <w:rFonts w:ascii="Verdana" w:hAnsi="Verdana"/>
          <w:sz w:val="20"/>
          <w:lang w:val="pt-BR"/>
        </w:rPr>
      </w:pPr>
    </w:p>
    <w:p w14:paraId="256B4F6E" w14:textId="77777777" w:rsidR="009F491B" w:rsidRDefault="009F491B" w:rsidP="009F491B">
      <w:pPr>
        <w:spacing w:after="0" w:line="240" w:lineRule="auto"/>
        <w:jc w:val="both"/>
        <w:rPr>
          <w:rFonts w:ascii="Verdana" w:hAnsi="Verdana"/>
          <w:sz w:val="20"/>
          <w:lang w:val="pt-BR"/>
        </w:rPr>
      </w:pPr>
    </w:p>
    <w:p w14:paraId="402EA595" w14:textId="77777777" w:rsidR="009F491B" w:rsidRPr="00847B73" w:rsidRDefault="009F491B" w:rsidP="009F491B">
      <w:pPr>
        <w:spacing w:after="0" w:line="240" w:lineRule="auto"/>
        <w:jc w:val="both"/>
        <w:rPr>
          <w:rFonts w:ascii="Verdana" w:hAnsi="Verdana"/>
          <w:sz w:val="20"/>
          <w:lang w:val="pt-BR"/>
        </w:rPr>
      </w:pPr>
    </w:p>
    <w:p w14:paraId="58930FD5" w14:textId="77777777" w:rsidR="009F491B" w:rsidRDefault="009F491B" w:rsidP="009F491B">
      <w:pPr>
        <w:spacing w:after="0" w:line="240" w:lineRule="auto"/>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1CD33BE4" w14:textId="77777777" w:rsidR="009F491B" w:rsidRDefault="009F491B" w:rsidP="009F491B">
      <w:pPr>
        <w:spacing w:after="0" w:line="240" w:lineRule="auto"/>
        <w:rPr>
          <w:rFonts w:ascii="Verdana" w:hAnsi="Verdana"/>
          <w:sz w:val="20"/>
          <w:lang w:val="pt-BR"/>
        </w:rPr>
      </w:pPr>
    </w:p>
    <w:p w14:paraId="6EAD67AD" w14:textId="77777777" w:rsidR="009F491B" w:rsidRDefault="009F491B" w:rsidP="009F491B">
      <w:pPr>
        <w:spacing w:after="0" w:line="240" w:lineRule="auto"/>
        <w:rPr>
          <w:rFonts w:ascii="Verdana" w:hAnsi="Verdana"/>
          <w:sz w:val="20"/>
          <w:lang w:val="pt-BR"/>
        </w:rPr>
      </w:pPr>
    </w:p>
    <w:p w14:paraId="0D6F4D7D" w14:textId="77777777" w:rsidR="009F491B" w:rsidRDefault="009F491B" w:rsidP="009F491B">
      <w:pPr>
        <w:spacing w:after="0" w:line="240" w:lineRule="auto"/>
        <w:rPr>
          <w:rFonts w:ascii="Verdana" w:hAnsi="Verdana"/>
          <w:sz w:val="20"/>
          <w:lang w:val="pt-BR"/>
        </w:rPr>
      </w:pPr>
    </w:p>
    <w:p w14:paraId="01FC6EC9" w14:textId="77777777" w:rsidR="009F491B" w:rsidRPr="00847B73" w:rsidRDefault="009F491B" w:rsidP="009F491B">
      <w:pPr>
        <w:spacing w:after="0" w:line="240" w:lineRule="auto"/>
        <w:rPr>
          <w:rFonts w:ascii="Verdana" w:hAnsi="Verdana"/>
          <w:sz w:val="20"/>
          <w:lang w:val="pt-BR"/>
        </w:rPr>
      </w:pPr>
    </w:p>
    <w:p w14:paraId="4C32B53D" w14:textId="77777777" w:rsidR="009F491B" w:rsidRPr="00847B73" w:rsidRDefault="009F491B" w:rsidP="009F491B">
      <w:pPr>
        <w:spacing w:after="0" w:line="240" w:lineRule="auto"/>
        <w:jc w:val="both"/>
        <w:rPr>
          <w:rFonts w:ascii="Verdana" w:hAnsi="Verdana"/>
          <w:sz w:val="20"/>
          <w:lang w:val="pt-BR"/>
        </w:rPr>
      </w:pPr>
    </w:p>
    <w:p w14:paraId="505FC30C" w14:textId="77777777" w:rsidR="009F491B" w:rsidRPr="00847B73" w:rsidRDefault="009F491B" w:rsidP="009F491B">
      <w:pPr>
        <w:spacing w:after="0" w:line="240" w:lineRule="auto"/>
        <w:rPr>
          <w:rFonts w:ascii="Verdana" w:hAnsi="Verdana"/>
          <w:sz w:val="20"/>
          <w:lang w:val="pt-BR"/>
        </w:rPr>
      </w:pPr>
      <w:r w:rsidRPr="00847B73">
        <w:rPr>
          <w:rFonts w:ascii="Verdana" w:hAnsi="Verdana"/>
          <w:sz w:val="20"/>
          <w:lang w:val="pt-BR"/>
        </w:rPr>
        <w:t xml:space="preserve">Elizabeth Odio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Eugenio Raúl Zaffaroni </w:t>
      </w:r>
    </w:p>
    <w:p w14:paraId="04CA84B2" w14:textId="77777777" w:rsidR="009F491B" w:rsidRPr="00847B73" w:rsidRDefault="009F491B" w:rsidP="009F491B">
      <w:pPr>
        <w:spacing w:after="0" w:line="240" w:lineRule="auto"/>
        <w:rPr>
          <w:rFonts w:ascii="Verdana" w:hAnsi="Verdana"/>
          <w:sz w:val="20"/>
          <w:lang w:val="pt-BR"/>
        </w:rPr>
      </w:pPr>
    </w:p>
    <w:p w14:paraId="68515244" w14:textId="77777777" w:rsidR="009F491B" w:rsidRDefault="009F491B" w:rsidP="009F491B">
      <w:pPr>
        <w:spacing w:after="0" w:line="240" w:lineRule="auto"/>
        <w:rPr>
          <w:rFonts w:ascii="Verdana" w:hAnsi="Verdana"/>
          <w:sz w:val="20"/>
          <w:lang w:val="pt-BR"/>
        </w:rPr>
      </w:pPr>
    </w:p>
    <w:p w14:paraId="7EC9D9DF" w14:textId="77777777" w:rsidR="009F491B" w:rsidRPr="00847B73" w:rsidRDefault="009F491B" w:rsidP="009F491B">
      <w:pPr>
        <w:spacing w:after="0" w:line="240" w:lineRule="auto"/>
        <w:rPr>
          <w:rFonts w:ascii="Verdana" w:hAnsi="Verdana"/>
          <w:sz w:val="20"/>
          <w:lang w:val="pt-BR"/>
        </w:rPr>
      </w:pPr>
    </w:p>
    <w:p w14:paraId="20B82B3D" w14:textId="77777777" w:rsidR="009F491B" w:rsidRPr="00847B73" w:rsidRDefault="009F491B" w:rsidP="009F491B">
      <w:pPr>
        <w:spacing w:after="0" w:line="240" w:lineRule="auto"/>
        <w:rPr>
          <w:rFonts w:ascii="Verdana" w:hAnsi="Verdana"/>
          <w:sz w:val="20"/>
          <w:lang w:val="pt-BR"/>
        </w:rPr>
      </w:pPr>
    </w:p>
    <w:p w14:paraId="545F73F0" w14:textId="77777777" w:rsidR="009F491B" w:rsidRPr="00847B73" w:rsidRDefault="009F491B" w:rsidP="009F491B">
      <w:pPr>
        <w:spacing w:after="0" w:line="240" w:lineRule="auto"/>
        <w:rPr>
          <w:rFonts w:ascii="Verdana" w:hAnsi="Verdana"/>
          <w:sz w:val="20"/>
        </w:rPr>
      </w:pPr>
      <w:r w:rsidRPr="00847B73">
        <w:rPr>
          <w:rFonts w:ascii="Verdana" w:hAnsi="Verdana"/>
          <w:sz w:val="20"/>
          <w:lang w:val="pt-BR"/>
        </w:rPr>
        <w:t xml:space="preserve">L. Patricio Pazmiño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rPr>
        <w:t>Ricardo C. Pérez Manrique</w:t>
      </w:r>
    </w:p>
    <w:p w14:paraId="6CEFA18A" w14:textId="77777777" w:rsidR="009F491B" w:rsidRPr="00847B73" w:rsidRDefault="009F491B" w:rsidP="009F491B">
      <w:pPr>
        <w:spacing w:after="0" w:line="240" w:lineRule="auto"/>
        <w:jc w:val="both"/>
        <w:rPr>
          <w:rFonts w:ascii="Verdana" w:hAnsi="Verdana"/>
          <w:sz w:val="20"/>
        </w:rPr>
      </w:pPr>
    </w:p>
    <w:p w14:paraId="401525CA" w14:textId="77777777" w:rsidR="009F491B" w:rsidRDefault="009F491B" w:rsidP="009F491B">
      <w:pPr>
        <w:spacing w:after="0" w:line="240" w:lineRule="auto"/>
        <w:jc w:val="both"/>
        <w:rPr>
          <w:rFonts w:ascii="Verdana" w:hAnsi="Verdana"/>
          <w:sz w:val="20"/>
          <w:lang w:val="pt-BR"/>
        </w:rPr>
      </w:pPr>
    </w:p>
    <w:p w14:paraId="06579D90" w14:textId="77777777" w:rsidR="009F491B" w:rsidRPr="00847B73" w:rsidRDefault="009F491B" w:rsidP="009F491B">
      <w:pPr>
        <w:spacing w:after="0" w:line="240" w:lineRule="auto"/>
        <w:jc w:val="both"/>
        <w:rPr>
          <w:rFonts w:ascii="Verdana" w:hAnsi="Verdana"/>
          <w:sz w:val="20"/>
          <w:lang w:val="pt-BR"/>
        </w:rPr>
      </w:pPr>
    </w:p>
    <w:p w14:paraId="5A8B7F2A" w14:textId="77777777" w:rsidR="009F491B" w:rsidRPr="00847B73" w:rsidRDefault="009F491B" w:rsidP="009F491B">
      <w:pPr>
        <w:spacing w:after="0" w:line="240" w:lineRule="auto"/>
        <w:jc w:val="both"/>
        <w:rPr>
          <w:rFonts w:ascii="Verdana" w:hAnsi="Verdana"/>
          <w:sz w:val="20"/>
          <w:lang w:val="pt-BR"/>
        </w:rPr>
      </w:pPr>
    </w:p>
    <w:p w14:paraId="349A58CF" w14:textId="77777777" w:rsidR="009F491B" w:rsidRPr="00847B73" w:rsidRDefault="009F491B" w:rsidP="009F491B">
      <w:pPr>
        <w:spacing w:after="0" w:line="240" w:lineRule="auto"/>
        <w:jc w:val="center"/>
        <w:rPr>
          <w:rFonts w:ascii="Verdana" w:hAnsi="Verdana"/>
          <w:sz w:val="20"/>
          <w:lang w:val="pt-BR"/>
        </w:rPr>
      </w:pPr>
      <w:r w:rsidRPr="00847B73">
        <w:rPr>
          <w:rFonts w:ascii="Verdana" w:hAnsi="Verdana"/>
          <w:sz w:val="20"/>
          <w:lang w:val="pt-BR"/>
        </w:rPr>
        <w:t>Pablo Saavedra Alessandri</w:t>
      </w:r>
    </w:p>
    <w:p w14:paraId="204DBBEB" w14:textId="77777777" w:rsidR="009F491B" w:rsidRPr="00847B73" w:rsidRDefault="009F491B" w:rsidP="009F491B">
      <w:pPr>
        <w:spacing w:after="0" w:line="240" w:lineRule="auto"/>
        <w:jc w:val="center"/>
        <w:rPr>
          <w:rFonts w:ascii="Verdana" w:hAnsi="Verdana"/>
          <w:sz w:val="20"/>
          <w:lang w:val="pt-BR"/>
        </w:rPr>
      </w:pPr>
      <w:r w:rsidRPr="00847B73">
        <w:rPr>
          <w:rFonts w:ascii="Verdana" w:hAnsi="Verdana"/>
          <w:sz w:val="20"/>
          <w:lang w:val="pt-BR"/>
        </w:rPr>
        <w:t>Secretario</w:t>
      </w:r>
    </w:p>
    <w:p w14:paraId="612EDB1E" w14:textId="77777777" w:rsidR="009F491B" w:rsidRPr="00847B73" w:rsidRDefault="009F491B" w:rsidP="009F491B">
      <w:pPr>
        <w:spacing w:after="0" w:line="240" w:lineRule="auto"/>
        <w:rPr>
          <w:rFonts w:ascii="Verdana" w:hAnsi="Verdana"/>
          <w:sz w:val="20"/>
          <w:lang w:val="pt-BR"/>
        </w:rPr>
      </w:pPr>
    </w:p>
    <w:p w14:paraId="5D99094E" w14:textId="77777777" w:rsidR="009F491B" w:rsidRPr="00847B73" w:rsidRDefault="009F491B" w:rsidP="009F491B">
      <w:pPr>
        <w:spacing w:after="0" w:line="240" w:lineRule="auto"/>
        <w:rPr>
          <w:rFonts w:ascii="Verdana" w:hAnsi="Verdana"/>
          <w:sz w:val="20"/>
          <w:lang w:val="pt-BR"/>
        </w:rPr>
      </w:pPr>
    </w:p>
    <w:p w14:paraId="5306D565" w14:textId="77777777" w:rsidR="009F491B" w:rsidRPr="00847B73" w:rsidRDefault="009F491B" w:rsidP="009F491B">
      <w:pPr>
        <w:spacing w:after="0" w:line="240" w:lineRule="auto"/>
        <w:rPr>
          <w:rFonts w:ascii="Verdana" w:hAnsi="Verdana"/>
          <w:sz w:val="20"/>
          <w:lang w:val="pt-BR"/>
        </w:rPr>
      </w:pPr>
    </w:p>
    <w:p w14:paraId="48355849" w14:textId="77777777" w:rsidR="009F491B" w:rsidRPr="00847B73" w:rsidRDefault="009F491B" w:rsidP="009F491B">
      <w:pPr>
        <w:pStyle w:val="Textonotapie"/>
        <w:rPr>
          <w:rFonts w:ascii="Verdana" w:hAnsi="Verdana"/>
          <w:lang w:val="pt-BR"/>
        </w:rPr>
      </w:pPr>
    </w:p>
    <w:p w14:paraId="4188C522" w14:textId="77777777" w:rsidR="009F491B" w:rsidRPr="00847B73" w:rsidRDefault="009F491B" w:rsidP="009F491B">
      <w:pPr>
        <w:spacing w:after="0" w:line="240" w:lineRule="auto"/>
        <w:jc w:val="both"/>
        <w:rPr>
          <w:rFonts w:ascii="Verdana" w:hAnsi="Verdana"/>
          <w:sz w:val="20"/>
          <w:lang w:val="pt-BR"/>
        </w:rPr>
      </w:pPr>
      <w:r w:rsidRPr="00847B73">
        <w:rPr>
          <w:rFonts w:ascii="Verdana" w:hAnsi="Verdana"/>
          <w:sz w:val="20"/>
          <w:lang w:val="pt-BR"/>
        </w:rPr>
        <w:t>Comuníquese y ejecútese,</w:t>
      </w:r>
    </w:p>
    <w:p w14:paraId="36FF704F" w14:textId="77777777" w:rsidR="009F491B" w:rsidRPr="00847B73" w:rsidRDefault="009F491B" w:rsidP="009F491B">
      <w:pPr>
        <w:spacing w:after="0" w:line="240" w:lineRule="auto"/>
        <w:jc w:val="both"/>
        <w:rPr>
          <w:rFonts w:ascii="Verdana" w:hAnsi="Verdana"/>
          <w:sz w:val="20"/>
          <w:lang w:val="pt-BR"/>
        </w:rPr>
      </w:pPr>
    </w:p>
    <w:p w14:paraId="00846111" w14:textId="77777777" w:rsidR="009F491B" w:rsidRPr="00847B73" w:rsidRDefault="009F491B" w:rsidP="009F491B">
      <w:pPr>
        <w:spacing w:after="0" w:line="240" w:lineRule="auto"/>
        <w:jc w:val="both"/>
        <w:rPr>
          <w:rFonts w:ascii="Verdana" w:hAnsi="Verdana"/>
          <w:sz w:val="20"/>
          <w:lang w:val="pt-BR"/>
        </w:rPr>
      </w:pPr>
    </w:p>
    <w:p w14:paraId="718C7EE6" w14:textId="77777777" w:rsidR="009F491B" w:rsidRPr="00847B73" w:rsidRDefault="009F491B" w:rsidP="009F491B">
      <w:pPr>
        <w:spacing w:after="0" w:line="240" w:lineRule="auto"/>
        <w:jc w:val="both"/>
        <w:rPr>
          <w:rFonts w:ascii="Verdana" w:hAnsi="Verdana"/>
          <w:sz w:val="20"/>
          <w:lang w:val="pt-BR"/>
        </w:rPr>
      </w:pPr>
    </w:p>
    <w:p w14:paraId="35ED2076" w14:textId="77777777" w:rsidR="009F491B" w:rsidRPr="00847B73" w:rsidRDefault="009F491B" w:rsidP="009F491B">
      <w:pPr>
        <w:spacing w:after="0" w:line="240" w:lineRule="auto"/>
        <w:jc w:val="both"/>
        <w:rPr>
          <w:rFonts w:ascii="Verdana" w:hAnsi="Verdana"/>
          <w:sz w:val="20"/>
          <w:lang w:val="pt-BR"/>
        </w:rPr>
      </w:pPr>
    </w:p>
    <w:p w14:paraId="65032B40" w14:textId="77777777" w:rsidR="009F491B" w:rsidRPr="00847B73" w:rsidRDefault="009F491B" w:rsidP="009F491B">
      <w:pPr>
        <w:spacing w:after="0" w:line="240" w:lineRule="auto"/>
        <w:ind w:left="4956"/>
        <w:jc w:val="center"/>
        <w:rPr>
          <w:rFonts w:ascii="Verdana" w:hAnsi="Verdana"/>
          <w:sz w:val="20"/>
          <w:lang w:val="pt-BR"/>
        </w:rPr>
      </w:pPr>
      <w:r w:rsidRPr="00847B73">
        <w:rPr>
          <w:rFonts w:ascii="Verdana" w:hAnsi="Verdana"/>
          <w:sz w:val="20"/>
          <w:lang w:val="pt-BR"/>
        </w:rPr>
        <w:t xml:space="preserve">Eduardo Ferrer Mac-Gregor Poisot </w:t>
      </w:r>
    </w:p>
    <w:p w14:paraId="459F3507" w14:textId="77777777" w:rsidR="009F491B" w:rsidRPr="00847B73" w:rsidRDefault="009F491B" w:rsidP="009F491B">
      <w:pPr>
        <w:spacing w:after="0" w:line="240" w:lineRule="auto"/>
        <w:ind w:left="4956"/>
        <w:jc w:val="center"/>
        <w:rPr>
          <w:rFonts w:ascii="Verdana" w:hAnsi="Verdana"/>
          <w:sz w:val="20"/>
          <w:lang w:val="pt-BR"/>
        </w:rPr>
      </w:pPr>
      <w:r w:rsidRPr="00847B73">
        <w:rPr>
          <w:rFonts w:ascii="Verdana" w:hAnsi="Verdana"/>
          <w:sz w:val="20"/>
          <w:lang w:val="pt-BR"/>
        </w:rPr>
        <w:t>Presidente</w:t>
      </w:r>
    </w:p>
    <w:p w14:paraId="07C23446" w14:textId="77777777" w:rsidR="009F491B" w:rsidRPr="00847B73" w:rsidRDefault="009F491B" w:rsidP="009F491B">
      <w:pPr>
        <w:spacing w:after="0" w:line="240" w:lineRule="auto"/>
        <w:jc w:val="both"/>
        <w:rPr>
          <w:rFonts w:ascii="Verdana" w:hAnsi="Verdana"/>
          <w:sz w:val="20"/>
          <w:lang w:val="pt-BR"/>
        </w:rPr>
      </w:pPr>
    </w:p>
    <w:p w14:paraId="405C1608" w14:textId="77777777" w:rsidR="009F491B" w:rsidRPr="00847B73" w:rsidRDefault="009F491B" w:rsidP="009F491B">
      <w:pPr>
        <w:spacing w:after="0" w:line="240" w:lineRule="auto"/>
        <w:jc w:val="both"/>
        <w:rPr>
          <w:rFonts w:ascii="Verdana" w:hAnsi="Verdana"/>
          <w:sz w:val="20"/>
          <w:lang w:val="pt-BR"/>
        </w:rPr>
      </w:pPr>
    </w:p>
    <w:p w14:paraId="27C5F804" w14:textId="77777777" w:rsidR="009F491B" w:rsidRPr="00847B73" w:rsidRDefault="009F491B" w:rsidP="009F491B">
      <w:pPr>
        <w:spacing w:after="0" w:line="240" w:lineRule="auto"/>
        <w:jc w:val="both"/>
        <w:rPr>
          <w:rFonts w:ascii="Verdana" w:hAnsi="Verdana"/>
          <w:sz w:val="20"/>
          <w:lang w:val="pt-BR"/>
        </w:rPr>
      </w:pPr>
    </w:p>
    <w:p w14:paraId="70C87363" w14:textId="77777777" w:rsidR="009F491B" w:rsidRPr="00847B73" w:rsidRDefault="009F491B" w:rsidP="009F491B">
      <w:pPr>
        <w:spacing w:after="0" w:line="240" w:lineRule="auto"/>
        <w:jc w:val="both"/>
        <w:rPr>
          <w:rFonts w:ascii="Verdana" w:hAnsi="Verdana"/>
          <w:sz w:val="20"/>
          <w:lang w:val="es-ES"/>
        </w:rPr>
      </w:pPr>
      <w:r w:rsidRPr="00847B73">
        <w:rPr>
          <w:rFonts w:ascii="Verdana" w:hAnsi="Verdana"/>
          <w:sz w:val="20"/>
          <w:lang w:val="es-ES"/>
        </w:rPr>
        <w:t>Pablo Saavedra Alessandri</w:t>
      </w:r>
    </w:p>
    <w:p w14:paraId="35576D4D" w14:textId="54FF972C" w:rsidR="001027E8" w:rsidRPr="00EF61E3" w:rsidRDefault="009F491B" w:rsidP="009F491B">
      <w:pPr>
        <w:spacing w:after="0" w:line="240" w:lineRule="auto"/>
        <w:rPr>
          <w:rFonts w:ascii="Verdana" w:hAnsi="Verdana"/>
          <w:sz w:val="20"/>
          <w:szCs w:val="20"/>
        </w:rPr>
      </w:pPr>
      <w:r w:rsidRPr="00847B73">
        <w:rPr>
          <w:rFonts w:ascii="Verdana" w:hAnsi="Verdana"/>
          <w:sz w:val="20"/>
          <w:lang w:val="es-ES"/>
        </w:rPr>
        <w:tab/>
      </w:r>
      <w:r w:rsidRPr="00847B73">
        <w:rPr>
          <w:rFonts w:ascii="Verdana" w:hAnsi="Verdana"/>
          <w:sz w:val="20"/>
        </w:rPr>
        <w:t>Secretario</w:t>
      </w:r>
    </w:p>
    <w:sectPr w:rsidR="001027E8" w:rsidRPr="00EF61E3" w:rsidSect="0050112C">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3168" w14:textId="77777777" w:rsidR="00796918" w:rsidRDefault="00796918" w:rsidP="00CE43A6">
      <w:pPr>
        <w:spacing w:after="0" w:line="240" w:lineRule="auto"/>
      </w:pPr>
      <w:r>
        <w:separator/>
      </w:r>
    </w:p>
  </w:endnote>
  <w:endnote w:type="continuationSeparator" w:id="0">
    <w:p w14:paraId="2F1A6937" w14:textId="77777777" w:rsidR="00796918" w:rsidRDefault="00796918" w:rsidP="00C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60372"/>
      <w:docPartObj>
        <w:docPartGallery w:val="Page Numbers (Bottom of Page)"/>
        <w:docPartUnique/>
      </w:docPartObj>
    </w:sdtPr>
    <w:sdtEndPr>
      <w:rPr>
        <w:rFonts w:ascii="Verdana" w:hAnsi="Verdana"/>
        <w:sz w:val="20"/>
        <w:szCs w:val="20"/>
      </w:rPr>
    </w:sdtEndPr>
    <w:sdtContent>
      <w:p w14:paraId="19AE4547" w14:textId="77777777" w:rsidR="00796918" w:rsidRPr="00202488" w:rsidRDefault="00796918">
        <w:pPr>
          <w:pStyle w:val="Piedepgina"/>
          <w:jc w:val="center"/>
          <w:rPr>
            <w:rFonts w:ascii="Verdana" w:hAnsi="Verdana"/>
            <w:sz w:val="20"/>
            <w:szCs w:val="20"/>
          </w:rPr>
        </w:pPr>
        <w:r w:rsidRPr="00202488">
          <w:rPr>
            <w:rFonts w:ascii="Verdana" w:hAnsi="Verdana"/>
            <w:sz w:val="20"/>
            <w:szCs w:val="20"/>
          </w:rPr>
          <w:t>-</w:t>
        </w:r>
        <w:r w:rsidRPr="00202488">
          <w:rPr>
            <w:rFonts w:ascii="Verdana" w:hAnsi="Verdana"/>
            <w:sz w:val="20"/>
            <w:szCs w:val="20"/>
          </w:rPr>
          <w:fldChar w:fldCharType="begin"/>
        </w:r>
        <w:r w:rsidRPr="00202488">
          <w:rPr>
            <w:rFonts w:ascii="Verdana" w:hAnsi="Verdana"/>
            <w:sz w:val="20"/>
            <w:szCs w:val="20"/>
          </w:rPr>
          <w:instrText>PAGE   \* MERGEFORMAT</w:instrText>
        </w:r>
        <w:r w:rsidRPr="00202488">
          <w:rPr>
            <w:rFonts w:ascii="Verdana" w:hAnsi="Verdana"/>
            <w:sz w:val="20"/>
            <w:szCs w:val="20"/>
          </w:rPr>
          <w:fldChar w:fldCharType="separate"/>
        </w:r>
        <w:r w:rsidR="009F491B" w:rsidRPr="009F491B">
          <w:rPr>
            <w:rFonts w:ascii="Verdana" w:hAnsi="Verdana"/>
            <w:noProof/>
            <w:sz w:val="20"/>
            <w:szCs w:val="20"/>
            <w:lang w:val="es-ES"/>
          </w:rPr>
          <w:t>18</w:t>
        </w:r>
        <w:r w:rsidRPr="00202488">
          <w:rPr>
            <w:rFonts w:ascii="Verdana" w:hAnsi="Verdana"/>
            <w:sz w:val="20"/>
            <w:szCs w:val="20"/>
          </w:rPr>
          <w:fldChar w:fldCharType="end"/>
        </w:r>
        <w:r w:rsidRPr="00202488">
          <w:rPr>
            <w:rFonts w:ascii="Verdana" w:hAnsi="Verdana"/>
            <w:sz w:val="20"/>
            <w:szCs w:val="20"/>
          </w:rPr>
          <w:t>-</w:t>
        </w:r>
      </w:p>
    </w:sdtContent>
  </w:sdt>
  <w:p w14:paraId="4DA470CF" w14:textId="77777777" w:rsidR="00796918" w:rsidRDefault="007969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E04C" w14:textId="77777777" w:rsidR="00796918" w:rsidRDefault="00796918" w:rsidP="00CE43A6">
      <w:pPr>
        <w:spacing w:after="0" w:line="240" w:lineRule="auto"/>
      </w:pPr>
      <w:r>
        <w:separator/>
      </w:r>
    </w:p>
  </w:footnote>
  <w:footnote w:type="continuationSeparator" w:id="0">
    <w:p w14:paraId="1ECBA583" w14:textId="77777777" w:rsidR="00796918" w:rsidRDefault="00796918" w:rsidP="00CE43A6">
      <w:pPr>
        <w:spacing w:after="0" w:line="240" w:lineRule="auto"/>
      </w:pPr>
      <w:r>
        <w:continuationSeparator/>
      </w:r>
    </w:p>
  </w:footnote>
  <w:footnote w:id="1">
    <w:p w14:paraId="70B3E40F" w14:textId="2A8EECBF" w:rsidR="00796918" w:rsidRPr="007B2EB4" w:rsidRDefault="00796918" w:rsidP="00DA559A">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DA559A">
        <w:rPr>
          <w:rFonts w:ascii="Verdana" w:hAnsi="Verdana"/>
          <w:i/>
          <w:sz w:val="16"/>
          <w:szCs w:val="16"/>
        </w:rPr>
        <w:t xml:space="preserve">Cfr. Caso Masacres de El Mozote y lugares aledaños Vs. El Salvador. Fondo, Reparaciones y Costas. </w:t>
      </w:r>
      <w:r w:rsidRPr="00DA559A">
        <w:rPr>
          <w:rFonts w:ascii="Verdana" w:hAnsi="Verdana"/>
          <w:sz w:val="16"/>
          <w:szCs w:val="16"/>
        </w:rPr>
        <w:t xml:space="preserve">Sentencia de 25 de octubre de 2012. Serie C No. 252. El texto íntegro de la Sentencia se encuentra disponible en: </w:t>
      </w:r>
      <w:hyperlink r:id="rId1" w:history="1">
        <w:r w:rsidRPr="00DA559A">
          <w:rPr>
            <w:rStyle w:val="Hipervnculo"/>
            <w:rFonts w:ascii="Verdana" w:hAnsi="Verdana"/>
            <w:sz w:val="16"/>
            <w:szCs w:val="16"/>
          </w:rPr>
          <w:t>http://corteidh.or.cr/docs/casos/articulos/seriec_252_esp.pdf</w:t>
        </w:r>
      </w:hyperlink>
      <w:r w:rsidRPr="00DA559A">
        <w:rPr>
          <w:rFonts w:ascii="Verdana" w:hAnsi="Verdana"/>
          <w:sz w:val="16"/>
          <w:szCs w:val="16"/>
        </w:rPr>
        <w:t>. La Sentencia fue notificada el 10 de diciembre de 2012.</w:t>
      </w:r>
    </w:p>
  </w:footnote>
  <w:footnote w:id="2">
    <w:p w14:paraId="40411A3F" w14:textId="77777777" w:rsidR="00796918" w:rsidRPr="007E4289" w:rsidRDefault="00796918" w:rsidP="007B2EB4">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Según los listados de víctimas confeccionados por la Oficina de Tutela Legal del Arzobispado de San Salvador. Conforme al punto resolutivo segundo de la Sentencia, el Estado debe continuar</w:t>
      </w:r>
      <w:r w:rsidRPr="007B2EB4">
        <w:rPr>
          <w:rFonts w:ascii="Verdana" w:hAnsi="Verdana"/>
          <w:sz w:val="16"/>
          <w:szCs w:val="16"/>
        </w:rPr>
        <w:t xml:space="preserve"> con la puesta en funcionamiento de un Registro Único de Víctimas y Familiares de Víctimas de Graves Violaciones de Derechos Humanos durante la Masacre de El Mozote. </w:t>
      </w:r>
      <w:r w:rsidRPr="007B2EB4">
        <w:rPr>
          <w:rFonts w:ascii="Verdana" w:hAnsi="Verdana"/>
          <w:i/>
          <w:sz w:val="16"/>
          <w:szCs w:val="16"/>
        </w:rPr>
        <w:t>Cfr. Caso Masacres de El Mozote y lugares aledaños Vs. El Salvador, supra</w:t>
      </w:r>
      <w:r w:rsidRPr="007E4289">
        <w:rPr>
          <w:rFonts w:ascii="Verdana" w:hAnsi="Verdana"/>
          <w:sz w:val="16"/>
          <w:szCs w:val="16"/>
        </w:rPr>
        <w:t xml:space="preserve"> nota 1, párrs. 97, 105, 109, 112, 116, 121 y punto resolutivo segundo.</w:t>
      </w:r>
    </w:p>
  </w:footnote>
  <w:footnote w:id="3">
    <w:p w14:paraId="1C98B409" w14:textId="77777777" w:rsidR="00796918" w:rsidRPr="007B2EB4" w:rsidRDefault="00796918" w:rsidP="007B2EB4">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 xml:space="preserve">Disponible en: </w:t>
      </w:r>
      <w:hyperlink r:id="rId2" w:history="1">
        <w:r w:rsidRPr="007B2EB4">
          <w:rPr>
            <w:rStyle w:val="Hipervnculo"/>
            <w:rFonts w:ascii="Verdana" w:hAnsi="Verdana"/>
            <w:sz w:val="16"/>
            <w:szCs w:val="16"/>
          </w:rPr>
          <w:t>http://www.corteidh.or.cr/docs/supervisiones/mozote_03_05_16.pdf</w:t>
        </w:r>
      </w:hyperlink>
      <w:r w:rsidRPr="00DA559A">
        <w:rPr>
          <w:rFonts w:ascii="Verdana" w:hAnsi="Verdana"/>
          <w:sz w:val="16"/>
          <w:szCs w:val="16"/>
        </w:rPr>
        <w:t xml:space="preserve">. </w:t>
      </w:r>
    </w:p>
  </w:footnote>
  <w:footnote w:id="4">
    <w:p w14:paraId="293F8C3F" w14:textId="77777777" w:rsidR="00796918" w:rsidRPr="007B2EB4" w:rsidRDefault="00796918" w:rsidP="007B2EB4">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 xml:space="preserve">Disponible en: </w:t>
      </w:r>
      <w:hyperlink r:id="rId3" w:history="1">
        <w:r w:rsidRPr="007B2EB4">
          <w:rPr>
            <w:rStyle w:val="Hipervnculo"/>
            <w:rFonts w:ascii="Verdana" w:hAnsi="Verdana"/>
            <w:sz w:val="16"/>
            <w:szCs w:val="16"/>
          </w:rPr>
          <w:t>http://www.corteidh.or.cr/docs/supervisiones/mozote_31_08_17.pdf</w:t>
        </w:r>
      </w:hyperlink>
      <w:r w:rsidRPr="00DA559A">
        <w:rPr>
          <w:rFonts w:ascii="Verdana" w:hAnsi="Verdana"/>
          <w:sz w:val="16"/>
          <w:szCs w:val="16"/>
        </w:rPr>
        <w:t xml:space="preserve">. </w:t>
      </w:r>
    </w:p>
  </w:footnote>
  <w:footnote w:id="5">
    <w:p w14:paraId="05F4119A" w14:textId="77777777" w:rsidR="00796918" w:rsidRPr="007B2EB4" w:rsidRDefault="00796918" w:rsidP="007E4289">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 xml:space="preserve">Disponible en: </w:t>
      </w:r>
      <w:hyperlink r:id="rId4" w:history="1">
        <w:r w:rsidRPr="007B2EB4">
          <w:rPr>
            <w:rStyle w:val="Hipervnculo"/>
            <w:rFonts w:ascii="Verdana" w:hAnsi="Verdana"/>
            <w:sz w:val="16"/>
            <w:szCs w:val="16"/>
            <w:lang w:val="es-CO"/>
          </w:rPr>
          <w:t>http://www.corteidh.or.cr/docs/supervisiones/mozote_30_05_18.pdf</w:t>
        </w:r>
      </w:hyperlink>
      <w:r w:rsidRPr="00DA559A">
        <w:rPr>
          <w:rFonts w:ascii="Verdana" w:hAnsi="Verdana"/>
          <w:sz w:val="16"/>
          <w:szCs w:val="16"/>
          <w:lang w:val="es-CO"/>
        </w:rPr>
        <w:t xml:space="preserve">. </w:t>
      </w:r>
      <w:r w:rsidRPr="007B2EB4">
        <w:rPr>
          <w:rFonts w:ascii="Verdana" w:hAnsi="Verdana"/>
          <w:sz w:val="16"/>
          <w:szCs w:val="16"/>
        </w:rPr>
        <w:t xml:space="preserve"> </w:t>
      </w:r>
    </w:p>
  </w:footnote>
  <w:footnote w:id="6">
    <w:p w14:paraId="7F53E3B5" w14:textId="77777777" w:rsidR="00796918" w:rsidRPr="007B2EB4" w:rsidRDefault="00796918" w:rsidP="007E4289">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 xml:space="preserve">Disponible en: </w:t>
      </w:r>
      <w:hyperlink r:id="rId5" w:history="1">
        <w:r w:rsidRPr="007B2EB4">
          <w:rPr>
            <w:rStyle w:val="Hipervnculo"/>
            <w:rFonts w:ascii="Verdana" w:hAnsi="Verdana"/>
            <w:sz w:val="16"/>
            <w:szCs w:val="16"/>
          </w:rPr>
          <w:t>http://www.corteidh.or.cr/docs/supervisiones/mozote_28_11_18.pdf</w:t>
        </w:r>
      </w:hyperlink>
      <w:r w:rsidRPr="00DA559A">
        <w:rPr>
          <w:rFonts w:ascii="Verdana" w:hAnsi="Verdana"/>
          <w:sz w:val="16"/>
          <w:szCs w:val="16"/>
        </w:rPr>
        <w:t xml:space="preserve">. </w:t>
      </w:r>
    </w:p>
  </w:footnote>
  <w:footnote w:id="7">
    <w:p w14:paraId="3341F997" w14:textId="01F6BB52" w:rsidR="00796918" w:rsidRPr="00506B11" w:rsidRDefault="00796918" w:rsidP="00506B11">
      <w:pPr>
        <w:pStyle w:val="Textonotapie"/>
        <w:jc w:val="both"/>
        <w:rPr>
          <w:rFonts w:ascii="Verdana" w:hAnsi="Verdana"/>
          <w:sz w:val="16"/>
          <w:szCs w:val="16"/>
        </w:rPr>
      </w:pPr>
      <w:r w:rsidRPr="00506B11">
        <w:rPr>
          <w:rStyle w:val="Refdenotaalpie"/>
          <w:rFonts w:ascii="Verdana" w:hAnsi="Verdana"/>
          <w:sz w:val="16"/>
          <w:szCs w:val="16"/>
        </w:rPr>
        <w:footnoteRef/>
      </w:r>
      <w:r w:rsidRPr="00506B11">
        <w:rPr>
          <w:rFonts w:ascii="Verdana" w:hAnsi="Verdana"/>
          <w:sz w:val="16"/>
          <w:szCs w:val="16"/>
        </w:rPr>
        <w:t xml:space="preserve"> </w:t>
      </w:r>
      <w:r w:rsidRPr="00506B11">
        <w:rPr>
          <w:rFonts w:ascii="Verdana" w:hAnsi="Verdana"/>
          <w:sz w:val="16"/>
          <w:szCs w:val="16"/>
        </w:rPr>
        <w:tab/>
        <w:t>En dicha visita, se realizó, entre otros, una diligencia al referido juzgado, la cual permitió a la delegación de la Corte recibir información de forma directa del Juez Segundo de Primera Instancia de San Francisco Gotera, a cargo del proceso penal en trámite por los delitos cometidos en las masacres de El Mozote y lugares aledaños.</w:t>
      </w:r>
      <w:r w:rsidRPr="00DA559A">
        <w:rPr>
          <w:rFonts w:ascii="Verdana" w:hAnsi="Verdana"/>
          <w:sz w:val="16"/>
          <w:szCs w:val="16"/>
        </w:rPr>
        <w:t xml:space="preserve"> Asimismo, se recibi</w:t>
      </w:r>
      <w:r w:rsidRPr="007B2EB4">
        <w:rPr>
          <w:rFonts w:ascii="Verdana" w:hAnsi="Verdana"/>
          <w:sz w:val="16"/>
          <w:szCs w:val="16"/>
        </w:rPr>
        <w:t xml:space="preserve">ó información </w:t>
      </w:r>
      <w:r w:rsidRPr="007E4289">
        <w:rPr>
          <w:rFonts w:ascii="Verdana" w:hAnsi="Verdana"/>
          <w:sz w:val="16"/>
          <w:szCs w:val="16"/>
        </w:rPr>
        <w:t xml:space="preserve">sobre la creación de una </w:t>
      </w:r>
      <w:r w:rsidRPr="00506B11">
        <w:rPr>
          <w:rFonts w:ascii="Verdana" w:hAnsi="Verdana"/>
          <w:i/>
          <w:sz w:val="16"/>
          <w:szCs w:val="16"/>
        </w:rPr>
        <w:t>Comisión ad-hoc</w:t>
      </w:r>
      <w:r w:rsidRPr="00DA559A">
        <w:rPr>
          <w:rFonts w:ascii="Verdana" w:hAnsi="Verdana"/>
          <w:sz w:val="16"/>
          <w:szCs w:val="16"/>
        </w:rPr>
        <w:t xml:space="preserve"> en la la Asamblea Legislativa de El Salvador </w:t>
      </w:r>
      <w:r w:rsidRPr="007B2EB4">
        <w:rPr>
          <w:rFonts w:ascii="Verdana" w:hAnsi="Verdana"/>
          <w:sz w:val="16"/>
          <w:szCs w:val="16"/>
        </w:rPr>
        <w:t>para la creación de</w:t>
      </w:r>
      <w:r w:rsidRPr="007E4289">
        <w:rPr>
          <w:rFonts w:ascii="Verdana" w:hAnsi="Verdana"/>
          <w:sz w:val="16"/>
          <w:szCs w:val="16"/>
        </w:rPr>
        <w:t xml:space="preserve"> una nueva ley de reconciliaci</w:t>
      </w:r>
      <w:r w:rsidRPr="001236F3">
        <w:rPr>
          <w:rFonts w:ascii="Verdana" w:hAnsi="Verdana"/>
          <w:sz w:val="16"/>
          <w:szCs w:val="16"/>
        </w:rPr>
        <w:t>ón nacional.</w:t>
      </w:r>
    </w:p>
  </w:footnote>
  <w:footnote w:id="8">
    <w:p w14:paraId="5053A1BF" w14:textId="77777777" w:rsidR="00796918" w:rsidRPr="007B2EB4" w:rsidRDefault="00796918" w:rsidP="00DA559A">
      <w:pPr>
        <w:pStyle w:val="Textonotapie"/>
        <w:jc w:val="both"/>
        <w:rPr>
          <w:rFonts w:ascii="Verdana" w:hAnsi="Verdana"/>
          <w:sz w:val="16"/>
          <w:szCs w:val="16"/>
          <w:lang w:val="es-ES"/>
        </w:rPr>
      </w:pPr>
      <w:r w:rsidRPr="00DA559A">
        <w:rPr>
          <w:rStyle w:val="Refdenotaalpie"/>
          <w:rFonts w:ascii="Verdana" w:hAnsi="Verdana"/>
          <w:sz w:val="16"/>
          <w:szCs w:val="16"/>
        </w:rPr>
        <w:footnoteRef/>
      </w:r>
      <w:r w:rsidRPr="00DA559A">
        <w:rPr>
          <w:rFonts w:ascii="Verdana" w:hAnsi="Verdana"/>
          <w:sz w:val="16"/>
          <w:szCs w:val="16"/>
        </w:rPr>
        <w:tab/>
        <w:t>El Centro por la Justicia y el Derecho Internacional (CEJIL) y la Asociación de Derechos Humanos Tutela Legal “Dra. María Julia Hernández”.</w:t>
      </w:r>
    </w:p>
  </w:footnote>
  <w:footnote w:id="9">
    <w:p w14:paraId="3370F421" w14:textId="614CDB94" w:rsidR="00796918" w:rsidRPr="00506B11" w:rsidRDefault="00796918" w:rsidP="00DA559A">
      <w:pPr>
        <w:spacing w:after="0" w:line="240" w:lineRule="auto"/>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Se solicitó al Estado que inform</w:t>
      </w:r>
      <w:r w:rsidRPr="007B2EB4">
        <w:rPr>
          <w:rFonts w:ascii="Verdana" w:hAnsi="Verdana"/>
          <w:sz w:val="16"/>
          <w:szCs w:val="16"/>
        </w:rPr>
        <w:t>ara</w:t>
      </w:r>
      <w:r w:rsidRPr="007E4289">
        <w:rPr>
          <w:rFonts w:ascii="Verdana" w:hAnsi="Verdana"/>
          <w:sz w:val="16"/>
          <w:szCs w:val="16"/>
        </w:rPr>
        <w:t xml:space="preserve"> sobre: i) el contenido del anteproyecto de Ley de Reconciliación Nacional y su compatibilidad con lo ordenado en el punto </w:t>
      </w:r>
      <w:r w:rsidRPr="001236F3">
        <w:rPr>
          <w:rFonts w:ascii="Verdana" w:hAnsi="Verdana"/>
          <w:sz w:val="16"/>
          <w:szCs w:val="16"/>
        </w:rPr>
        <w:t>dispositivo tercero y el párrafo 319 de la Sentencia</w:t>
      </w:r>
      <w:r w:rsidRPr="00FF48FE">
        <w:rPr>
          <w:rFonts w:ascii="Verdana" w:hAnsi="Verdana"/>
          <w:sz w:val="16"/>
          <w:szCs w:val="16"/>
        </w:rPr>
        <w:t>, en cuanto al deber del Estado de abstenerse de recurrir a figuras como la amnistía en beneficio de los autores, disposicio</w:t>
      </w:r>
      <w:r w:rsidRPr="00A607D8">
        <w:rPr>
          <w:rFonts w:ascii="Verdana" w:hAnsi="Verdana"/>
          <w:sz w:val="16"/>
          <w:szCs w:val="16"/>
        </w:rPr>
        <w:t xml:space="preserve">nes análogas, la prescripción, irretroactividad de la ley penal, cosa juzgada, </w:t>
      </w:r>
      <w:r w:rsidRPr="00A607D8">
        <w:rPr>
          <w:rFonts w:ascii="Verdana" w:hAnsi="Verdana"/>
          <w:i/>
          <w:sz w:val="16"/>
          <w:szCs w:val="16"/>
        </w:rPr>
        <w:t>ne bis in idem</w:t>
      </w:r>
      <w:r w:rsidRPr="00732D9B">
        <w:rPr>
          <w:rFonts w:ascii="Verdana" w:hAnsi="Verdana"/>
          <w:sz w:val="16"/>
          <w:szCs w:val="16"/>
        </w:rPr>
        <w:t xml:space="preserve"> o cualquier eximente similar de responsabilidad, para excusarse de la obligación de investigar las graves violaciones ocurridas en el presente caso; ii) el actual</w:t>
      </w:r>
      <w:r w:rsidRPr="00506B11">
        <w:rPr>
          <w:rFonts w:ascii="Verdana" w:hAnsi="Verdana"/>
          <w:sz w:val="16"/>
          <w:szCs w:val="16"/>
        </w:rPr>
        <w:t xml:space="preserve"> estado de avance del trámite legislativo del referido anteproyecto de ley y, explicara, de acuerdo a su normativa interna, el procedimiento que seguiría, y iii) la posición que había asumido el Poder Ejecutivo ante al Poder Legislativo en cuanto al contenido del referido anteproyecto de ley y su posible incompatibilidad con lo ordenado en la Sentencia del presente caso.</w:t>
      </w:r>
    </w:p>
  </w:footnote>
  <w:footnote w:id="10">
    <w:p w14:paraId="0F52645E" w14:textId="77777777" w:rsidR="00796918" w:rsidRPr="00DA559A"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 xml:space="preserve">Disponible en: </w:t>
      </w:r>
      <w:hyperlink r:id="rId6" w:history="1">
        <w:r w:rsidRPr="00DA559A">
          <w:rPr>
            <w:rStyle w:val="Hipervnculo"/>
            <w:rFonts w:ascii="Verdana" w:hAnsi="Verdana"/>
            <w:sz w:val="16"/>
            <w:szCs w:val="16"/>
          </w:rPr>
          <w:t>http://www.corteidh.or.cr/docs/medidas/mozote_se_01.pdf</w:t>
        </w:r>
      </w:hyperlink>
      <w:r w:rsidRPr="00DA559A">
        <w:rPr>
          <w:rFonts w:ascii="Verdana" w:hAnsi="Verdana"/>
          <w:sz w:val="16"/>
          <w:szCs w:val="16"/>
        </w:rPr>
        <w:t xml:space="preserve">. </w:t>
      </w:r>
    </w:p>
  </w:footnote>
  <w:footnote w:id="11">
    <w:p w14:paraId="66E11D79" w14:textId="004CEE33" w:rsidR="00796918" w:rsidRPr="00506B11" w:rsidRDefault="00796918" w:rsidP="00506B11">
      <w:pPr>
        <w:pStyle w:val="Prrafodelista"/>
        <w:tabs>
          <w:tab w:val="left" w:pos="0"/>
        </w:tabs>
        <w:autoSpaceDE w:val="0"/>
        <w:autoSpaceDN w:val="0"/>
        <w:adjustRightInd w:val="0"/>
        <w:spacing w:after="0" w:line="240" w:lineRule="auto"/>
        <w:ind w:left="0" w:right="99"/>
        <w:contextualSpacing w:val="0"/>
        <w:jc w:val="both"/>
        <w:rPr>
          <w:rFonts w:ascii="Verdana" w:hAnsi="Verdana" w:cs="Verdana"/>
          <w:b/>
          <w:sz w:val="16"/>
          <w:szCs w:val="16"/>
          <w:highlight w:val="lightGray"/>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 xml:space="preserve">La Procuraduría para la Defensa de los Derechos Humanos es una institución pública de rango constitucional, </w:t>
      </w:r>
      <w:r w:rsidRPr="007B2EB4">
        <w:rPr>
          <w:rFonts w:ascii="Verdana" w:hAnsi="Verdana"/>
          <w:sz w:val="16"/>
          <w:szCs w:val="16"/>
        </w:rPr>
        <w:t xml:space="preserve">entre cuyas facultades se encuentra “velar por el respeto y garantía de los derechos humanos” en El Salvador. </w:t>
      </w:r>
      <w:r w:rsidRPr="00FF48FE">
        <w:rPr>
          <w:rFonts w:ascii="Verdana" w:hAnsi="Verdana" w:cs="Verdana"/>
          <w:sz w:val="16"/>
          <w:szCs w:val="16"/>
        </w:rPr>
        <w:t xml:space="preserve">En dicho escrito la Procuradora para la Defensa de los Derechos Humanos </w:t>
      </w:r>
      <w:r w:rsidRPr="00A607D8">
        <w:rPr>
          <w:rFonts w:ascii="Verdana" w:hAnsi="Verdana" w:cs="Verdana"/>
          <w:sz w:val="16"/>
          <w:szCs w:val="16"/>
        </w:rPr>
        <w:t xml:space="preserve">enfatizó que el referido proyecto de ley “ha generado preocupación y ha recibido fuertes críticas por incluir disposiciones contrarias a los estándares internacionales en materia de derechos humanos”. </w:t>
      </w:r>
      <w:r w:rsidRPr="00732D9B">
        <w:rPr>
          <w:rFonts w:ascii="Verdana" w:hAnsi="Verdana" w:cs="Verdana"/>
          <w:sz w:val="16"/>
          <w:szCs w:val="16"/>
        </w:rPr>
        <w:t xml:space="preserve">Al respecto, </w:t>
      </w:r>
      <w:r w:rsidRPr="00DA559A">
        <w:rPr>
          <w:rFonts w:ascii="Verdana" w:hAnsi="Verdana"/>
          <w:sz w:val="16"/>
          <w:szCs w:val="16"/>
          <w:lang w:val="es-ES"/>
        </w:rPr>
        <w:t>se refirió a</w:t>
      </w:r>
      <w:r w:rsidR="00457172">
        <w:rPr>
          <w:rFonts w:ascii="Verdana" w:hAnsi="Verdana"/>
          <w:sz w:val="16"/>
          <w:szCs w:val="16"/>
          <w:lang w:val="es-ES"/>
        </w:rPr>
        <w:t>:</w:t>
      </w:r>
      <w:r w:rsidRPr="00DA559A">
        <w:rPr>
          <w:rFonts w:ascii="Verdana" w:hAnsi="Verdana"/>
          <w:sz w:val="16"/>
          <w:szCs w:val="16"/>
          <w:lang w:val="es-ES"/>
        </w:rPr>
        <w:t xml:space="preserve"> “(i) el intento de aprobación ‘exprés’ de una nueva Ley de Amnistía y su posible impacto” por “incluir disposiciones contrarias a los estándares internacionales en materia de der</w:t>
      </w:r>
      <w:r w:rsidRPr="007B2EB4">
        <w:rPr>
          <w:rFonts w:ascii="Verdana" w:hAnsi="Verdana"/>
          <w:sz w:val="16"/>
          <w:szCs w:val="16"/>
          <w:lang w:val="es-ES"/>
        </w:rPr>
        <w:t>echos humanos”, recalcando cu</w:t>
      </w:r>
      <w:r w:rsidRPr="007E4289">
        <w:rPr>
          <w:rFonts w:ascii="Verdana" w:hAnsi="Verdana"/>
          <w:sz w:val="16"/>
          <w:szCs w:val="16"/>
          <w:lang w:val="es-ES"/>
        </w:rPr>
        <w:t xml:space="preserve">áles artículos del proyecto de ley en cuestión “resultan particularmente preocupantes” y en </w:t>
      </w:r>
      <w:r w:rsidRPr="001236F3">
        <w:rPr>
          <w:rFonts w:ascii="Verdana" w:hAnsi="Verdana" w:cs="Verdana"/>
          <w:sz w:val="16"/>
          <w:szCs w:val="16"/>
        </w:rPr>
        <w:t>la “ausencia de consideración de las víctimas en [la] discusión” del proyecto de ley</w:t>
      </w:r>
      <w:r w:rsidRPr="00A607D8">
        <w:rPr>
          <w:rFonts w:ascii="Verdana" w:hAnsi="Verdana"/>
          <w:sz w:val="16"/>
          <w:szCs w:val="16"/>
          <w:lang w:val="es-ES"/>
        </w:rPr>
        <w:t>; “(ii) el control previo de constitucionalidad de proyectos de ley; (iii) la aquiescencia de la Sala de lo Constitucional de la Corte Suprema de Justicia de El Salvador […] en la ejecución de la sentencia que declaró la inconstitucionalidad de la Ley de Amnistía; y (iv) la obstaculización del cumplimiento d</w:t>
      </w:r>
      <w:r w:rsidRPr="00732D9B">
        <w:rPr>
          <w:rFonts w:ascii="Verdana" w:hAnsi="Verdana"/>
          <w:sz w:val="16"/>
          <w:szCs w:val="16"/>
          <w:lang w:val="es-ES"/>
        </w:rPr>
        <w:t xml:space="preserve">e [su] mandato constitucional de ‘velar por el respecto y la garantía de los Derechos Humanos’ (derivado de los Acuerdos de Paz) en el marco de la ejecución de la mencionada sentencia de inconstitucionalidad”. </w:t>
      </w:r>
    </w:p>
  </w:footnote>
  <w:footnote w:id="12">
    <w:p w14:paraId="6534950E" w14:textId="77777777" w:rsidR="00796918" w:rsidRPr="007E4289" w:rsidRDefault="00796918" w:rsidP="00DA559A">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El artículo 27.8 dispone que “[e]n las circunstancias que estime pertinente, la Corte podrá requerir de otras fuentes d</w:t>
      </w:r>
      <w:r w:rsidRPr="007B2EB4">
        <w:rPr>
          <w:rFonts w:ascii="Verdana" w:hAnsi="Verdana"/>
          <w:sz w:val="16"/>
          <w:szCs w:val="16"/>
        </w:rPr>
        <w:t xml:space="preserve">e información datos relevantes sobre el asunto, que permitan apreciar la gravedad y urgencia de la situación y la eficacia de las medidas [provisionales]”. El artículo 69.2 dispone que “[l]a Corte podrá requerir a otras fuentes de información datos relevantes sobre el caso, que permitan apreciar el cumplimiento”. </w:t>
      </w:r>
    </w:p>
  </w:footnote>
  <w:footnote w:id="13">
    <w:p w14:paraId="714B3EE8" w14:textId="77777777" w:rsidR="00796918" w:rsidRPr="007E4289"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bCs/>
          <w:i/>
          <w:color w:val="000000"/>
          <w:sz w:val="16"/>
          <w:szCs w:val="16"/>
        </w:rPr>
        <w:t>Caso Masacres de El Mozote y lugares aledaños Vs. El Salvador,</w:t>
      </w:r>
      <w:r w:rsidRPr="007B2EB4">
        <w:rPr>
          <w:rFonts w:ascii="Verdana" w:hAnsi="Verdana"/>
          <w:color w:val="000000"/>
          <w:sz w:val="16"/>
          <w:szCs w:val="16"/>
        </w:rPr>
        <w:t xml:space="preserve"> </w:t>
      </w:r>
      <w:r w:rsidRPr="007B2EB4">
        <w:rPr>
          <w:rFonts w:ascii="Verdana" w:hAnsi="Verdana"/>
          <w:i/>
          <w:color w:val="000000"/>
          <w:sz w:val="16"/>
          <w:szCs w:val="16"/>
        </w:rPr>
        <w:t xml:space="preserve">supra </w:t>
      </w:r>
      <w:r w:rsidRPr="007E4289">
        <w:rPr>
          <w:rFonts w:ascii="Verdana" w:hAnsi="Verdana"/>
          <w:color w:val="000000"/>
          <w:sz w:val="16"/>
          <w:szCs w:val="16"/>
        </w:rPr>
        <w:t>nota, párr. 284.</w:t>
      </w:r>
    </w:p>
  </w:footnote>
  <w:footnote w:id="14">
    <w:p w14:paraId="6EB93401" w14:textId="77777777" w:rsidR="00796918" w:rsidRPr="007E4289"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bCs/>
          <w:i/>
          <w:color w:val="000000"/>
          <w:sz w:val="16"/>
          <w:szCs w:val="16"/>
        </w:rPr>
        <w:t>Caso Masacres de El Mozote y lugares aledaños Vs. El Salvador,</w:t>
      </w:r>
      <w:r w:rsidRPr="007B2EB4">
        <w:rPr>
          <w:rFonts w:ascii="Verdana" w:hAnsi="Verdana"/>
          <w:color w:val="000000"/>
          <w:sz w:val="16"/>
          <w:szCs w:val="16"/>
        </w:rPr>
        <w:t xml:space="preserve"> </w:t>
      </w:r>
      <w:r w:rsidRPr="007B2EB4">
        <w:rPr>
          <w:rFonts w:ascii="Verdana" w:hAnsi="Verdana"/>
          <w:i/>
          <w:color w:val="000000"/>
          <w:sz w:val="16"/>
          <w:szCs w:val="16"/>
        </w:rPr>
        <w:t xml:space="preserve">supra </w:t>
      </w:r>
      <w:r w:rsidRPr="007E4289">
        <w:rPr>
          <w:rFonts w:ascii="Verdana" w:hAnsi="Verdana"/>
          <w:color w:val="000000"/>
          <w:sz w:val="16"/>
          <w:szCs w:val="16"/>
        </w:rPr>
        <w:t>nota, párr. 284.</w:t>
      </w:r>
    </w:p>
  </w:footnote>
  <w:footnote w:id="15">
    <w:p w14:paraId="520CEF97" w14:textId="77777777" w:rsidR="00796918" w:rsidRPr="007E4289"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bCs/>
          <w:i/>
          <w:color w:val="000000"/>
          <w:sz w:val="16"/>
          <w:szCs w:val="16"/>
        </w:rPr>
        <w:t xml:space="preserve">Caso Masacres </w:t>
      </w:r>
      <w:r w:rsidRPr="007B2EB4">
        <w:rPr>
          <w:rFonts w:ascii="Verdana" w:hAnsi="Verdana"/>
          <w:bCs/>
          <w:i/>
          <w:color w:val="000000"/>
          <w:sz w:val="16"/>
          <w:szCs w:val="16"/>
        </w:rPr>
        <w:t>de El Mozote y lugares aledaños Vs. El Salvador,</w:t>
      </w:r>
      <w:r w:rsidRPr="007B2EB4">
        <w:rPr>
          <w:rFonts w:ascii="Verdana" w:hAnsi="Verdana"/>
          <w:color w:val="000000"/>
          <w:sz w:val="16"/>
          <w:szCs w:val="16"/>
        </w:rPr>
        <w:t xml:space="preserve"> </w:t>
      </w:r>
      <w:r w:rsidRPr="007E4289">
        <w:rPr>
          <w:rFonts w:ascii="Verdana" w:hAnsi="Verdana"/>
          <w:i/>
          <w:color w:val="000000"/>
          <w:sz w:val="16"/>
          <w:szCs w:val="16"/>
        </w:rPr>
        <w:t xml:space="preserve">supra </w:t>
      </w:r>
      <w:r w:rsidRPr="007E4289">
        <w:rPr>
          <w:rFonts w:ascii="Verdana" w:hAnsi="Verdana"/>
          <w:color w:val="000000"/>
          <w:sz w:val="16"/>
          <w:szCs w:val="16"/>
        </w:rPr>
        <w:t>nota, párr. 285.</w:t>
      </w:r>
    </w:p>
  </w:footnote>
  <w:footnote w:id="16">
    <w:p w14:paraId="55505CFB" w14:textId="77777777" w:rsidR="00796918" w:rsidRPr="007E4289"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bCs/>
          <w:i/>
          <w:color w:val="000000"/>
          <w:sz w:val="16"/>
          <w:szCs w:val="16"/>
        </w:rPr>
        <w:t>Caso Masacres de El Mozote y lugares aledaños Vs. El Salvador,</w:t>
      </w:r>
      <w:r w:rsidRPr="00C93061">
        <w:rPr>
          <w:rFonts w:ascii="Verdana" w:hAnsi="Verdana"/>
          <w:color w:val="000000"/>
          <w:sz w:val="16"/>
          <w:szCs w:val="16"/>
        </w:rPr>
        <w:t xml:space="preserve"> </w:t>
      </w:r>
      <w:r w:rsidRPr="007B2EB4">
        <w:rPr>
          <w:rFonts w:ascii="Verdana" w:hAnsi="Verdana"/>
          <w:i/>
          <w:color w:val="000000"/>
          <w:sz w:val="16"/>
          <w:szCs w:val="16"/>
        </w:rPr>
        <w:t xml:space="preserve">supra </w:t>
      </w:r>
      <w:r w:rsidRPr="007B2EB4">
        <w:rPr>
          <w:rFonts w:ascii="Verdana" w:hAnsi="Verdana"/>
          <w:color w:val="000000"/>
          <w:sz w:val="16"/>
          <w:szCs w:val="16"/>
        </w:rPr>
        <w:t>nota, párr. 286.</w:t>
      </w:r>
    </w:p>
  </w:footnote>
  <w:footnote w:id="17">
    <w:p w14:paraId="2D471BB8" w14:textId="77777777" w:rsidR="00796918" w:rsidRPr="00C93061" w:rsidRDefault="00796918" w:rsidP="00DA559A">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Considerandos 11 a 18.</w:t>
      </w:r>
    </w:p>
  </w:footnote>
  <w:footnote w:id="18">
    <w:p w14:paraId="1BFF2F52" w14:textId="77777777" w:rsidR="00796918" w:rsidRPr="00C93061" w:rsidRDefault="00796918" w:rsidP="00C9306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Considerandos 21 a 26.</w:t>
      </w:r>
    </w:p>
  </w:footnote>
  <w:footnote w:id="19">
    <w:p w14:paraId="27C72F96" w14:textId="35D9E7B0" w:rsidR="00796918" w:rsidRPr="00A607D8" w:rsidRDefault="00796918" w:rsidP="00C9306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7E4289">
        <w:rPr>
          <w:rFonts w:ascii="Verdana" w:hAnsi="Verdana"/>
          <w:i/>
          <w:sz w:val="16"/>
          <w:szCs w:val="16"/>
        </w:rPr>
        <w:t>Cfr.</w:t>
      </w:r>
      <w:r w:rsidRPr="007E4289">
        <w:rPr>
          <w:rFonts w:ascii="Verdana" w:hAnsi="Verdana"/>
          <w:sz w:val="16"/>
          <w:szCs w:val="16"/>
        </w:rPr>
        <w:t xml:space="preserve"> Se</w:t>
      </w:r>
      <w:r w:rsidRPr="001236F3">
        <w:rPr>
          <w:rFonts w:ascii="Verdana" w:hAnsi="Verdana"/>
          <w:sz w:val="16"/>
          <w:szCs w:val="16"/>
        </w:rPr>
        <w:t xml:space="preserve">ntencia de la Sala de lo Constitucional de la Corte Suprema de Justicia </w:t>
      </w:r>
      <w:r w:rsidRPr="00FF48FE">
        <w:rPr>
          <w:rFonts w:ascii="Verdana" w:hAnsi="Verdana"/>
          <w:sz w:val="16"/>
          <w:szCs w:val="16"/>
        </w:rPr>
        <w:t>de El Salvador de 13 de julio de 2016, pág. 34 (anexo 2 al informe estatal de 12 de agosto de 2016).</w:t>
      </w:r>
    </w:p>
  </w:footnote>
  <w:footnote w:id="20">
    <w:p w14:paraId="1F795C52" w14:textId="09B956E7" w:rsidR="00796918" w:rsidRPr="00C93061" w:rsidRDefault="00796918" w:rsidP="00C9306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DA559A">
        <w:rPr>
          <w:rFonts w:ascii="Verdana" w:hAnsi="Verdana"/>
          <w:i/>
          <w:sz w:val="16"/>
          <w:szCs w:val="16"/>
        </w:rPr>
        <w:t>Cfr.</w:t>
      </w:r>
      <w:r w:rsidRPr="00C93061">
        <w:rPr>
          <w:rFonts w:ascii="Verdana" w:hAnsi="Verdana"/>
          <w:sz w:val="16"/>
          <w:szCs w:val="16"/>
        </w:rPr>
        <w:t xml:space="preserve"> Sentencia de la Sala de lo Constitucional de 13 de julio de 2016, </w:t>
      </w:r>
      <w:r w:rsidRPr="00C93061">
        <w:rPr>
          <w:rFonts w:ascii="Verdana" w:hAnsi="Verdana"/>
          <w:i/>
          <w:sz w:val="16"/>
          <w:szCs w:val="16"/>
        </w:rPr>
        <w:t>supra</w:t>
      </w:r>
      <w:r w:rsidRPr="00C93061">
        <w:rPr>
          <w:rFonts w:ascii="Verdana" w:hAnsi="Verdana"/>
          <w:sz w:val="16"/>
          <w:szCs w:val="16"/>
        </w:rPr>
        <w:t xml:space="preserve"> nota, pág. 35.</w:t>
      </w:r>
    </w:p>
  </w:footnote>
  <w:footnote w:id="21">
    <w:p w14:paraId="0DD76C91" w14:textId="2647905F" w:rsidR="00796918" w:rsidRPr="00C93061"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DA559A">
        <w:rPr>
          <w:rFonts w:ascii="Verdana" w:hAnsi="Verdana"/>
          <w:i/>
          <w:sz w:val="16"/>
          <w:szCs w:val="16"/>
        </w:rPr>
        <w:t>Cfr.</w:t>
      </w:r>
      <w:r w:rsidRPr="00C93061">
        <w:rPr>
          <w:rFonts w:ascii="Verdana" w:hAnsi="Verdana"/>
          <w:sz w:val="16"/>
          <w:szCs w:val="16"/>
        </w:rPr>
        <w:t xml:space="preserve"> Sentencia de la Sala de lo Constitucional de 13 de julio de 2016, </w:t>
      </w:r>
      <w:r w:rsidRPr="00C93061">
        <w:rPr>
          <w:rFonts w:ascii="Verdana" w:hAnsi="Verdana"/>
          <w:i/>
          <w:sz w:val="16"/>
          <w:szCs w:val="16"/>
        </w:rPr>
        <w:t>supra</w:t>
      </w:r>
      <w:r w:rsidRPr="00C93061">
        <w:rPr>
          <w:rFonts w:ascii="Verdana" w:hAnsi="Verdana"/>
          <w:sz w:val="16"/>
          <w:szCs w:val="16"/>
        </w:rPr>
        <w:t xml:space="preserve"> nota, pág. 40.</w:t>
      </w:r>
    </w:p>
  </w:footnote>
  <w:footnote w:id="22">
    <w:p w14:paraId="63E63B9E" w14:textId="6DB68462" w:rsidR="00796918" w:rsidRPr="00560A8D" w:rsidRDefault="00796918" w:rsidP="00C93061">
      <w:pPr>
        <w:pStyle w:val="Textonotapie"/>
        <w:jc w:val="both"/>
        <w:rPr>
          <w:rFonts w:ascii="Verdana" w:hAnsi="Verdana"/>
          <w:sz w:val="16"/>
          <w:szCs w:val="16"/>
        </w:rPr>
      </w:pPr>
      <w:r w:rsidRPr="00560A8D">
        <w:rPr>
          <w:rStyle w:val="Refdenotaalpie"/>
          <w:rFonts w:ascii="Verdana" w:hAnsi="Verdana"/>
          <w:sz w:val="16"/>
          <w:szCs w:val="16"/>
        </w:rPr>
        <w:footnoteRef/>
      </w:r>
      <w:r w:rsidRPr="00560A8D">
        <w:rPr>
          <w:rFonts w:ascii="Verdana" w:hAnsi="Verdana"/>
          <w:sz w:val="16"/>
          <w:szCs w:val="16"/>
        </w:rPr>
        <w:t xml:space="preserve"> </w:t>
      </w:r>
      <w:r>
        <w:rPr>
          <w:rFonts w:ascii="Verdana" w:hAnsi="Verdana"/>
          <w:sz w:val="16"/>
          <w:szCs w:val="16"/>
        </w:rPr>
        <w:tab/>
      </w:r>
      <w:r w:rsidRPr="00560A8D">
        <w:rPr>
          <w:rFonts w:ascii="Verdana" w:hAnsi="Verdana"/>
          <w:sz w:val="16"/>
          <w:szCs w:val="16"/>
          <w:lang w:val="es-ES"/>
        </w:rPr>
        <w:t>En la audiencia de seguimiento realizada el 19 de julio de 2017, “</w:t>
      </w:r>
      <w:r>
        <w:rPr>
          <w:rFonts w:ascii="Verdana" w:hAnsi="Verdana"/>
          <w:sz w:val="16"/>
          <w:szCs w:val="16"/>
          <w:lang w:val="es-ES"/>
        </w:rPr>
        <w:t xml:space="preserve">se </w:t>
      </w:r>
      <w:r w:rsidRPr="00560A8D">
        <w:rPr>
          <w:rFonts w:ascii="Verdana" w:hAnsi="Verdana"/>
          <w:sz w:val="16"/>
          <w:szCs w:val="16"/>
          <w:lang w:val="es-ES"/>
        </w:rPr>
        <w:t xml:space="preserve">aclaró [que] la Asamblea Legislativa debe promulgar una nueva Ley de Reconciliación Nacional y Asistencia a las Víctimas del Conflicto Armado que permita armonizar los esfuerzos de las instituciones estatales de acuerdo con los estándares constitucionales e internacionales relativos a la justicia transicional, es decir: (i) que se conozca la verdad de lo que sucedió en el pasado y que se regulen los mecanismos para facilitar el acceso a la información a las víctimas del conflicto armado; (ii) regular algunos aspectos relativos a la persecución penal, como la imprescriptibilidad de los delitos, la participación de las víctimas del conflicto armado, así como ciertas modulaciones sancionatorias en orden a la reparación moral y económica que puedan beneficiar a las víctimas, por parte de los autores de los delitos de lesa humanidad y crímenes de guerra; (iii) la ejecución de programas de reparación de las víctimas, lo que supone la correcta identificación de ellas y de sus familias, en tanto se constituyan beneficiarios de los mismos, y (iv) la formulación de garantías de no repetición, como el caso de memoriales cuyo propósito es salvaguardar la memoria histórica de lo acontecido. </w:t>
      </w:r>
      <w:r w:rsidRPr="00506B11">
        <w:rPr>
          <w:rFonts w:ascii="Verdana" w:hAnsi="Verdana"/>
          <w:i/>
          <w:sz w:val="16"/>
          <w:szCs w:val="16"/>
          <w:lang w:val="es-ES"/>
        </w:rPr>
        <w:t xml:space="preserve">Cfr. </w:t>
      </w:r>
      <w:r w:rsidRPr="00560A8D">
        <w:rPr>
          <w:rFonts w:ascii="Verdana" w:hAnsi="Verdana"/>
          <w:sz w:val="16"/>
          <w:szCs w:val="16"/>
          <w:lang w:val="es-ES"/>
        </w:rPr>
        <w:t xml:space="preserve">Resolución emitida por la Sala de lo Constitucional </w:t>
      </w:r>
      <w:r>
        <w:rPr>
          <w:rFonts w:ascii="Verdana" w:hAnsi="Verdana"/>
          <w:sz w:val="16"/>
          <w:szCs w:val="16"/>
          <w:lang w:val="es-ES"/>
        </w:rPr>
        <w:t xml:space="preserve">de la Corte Suprema de Justicia de El Salvador </w:t>
      </w:r>
      <w:r w:rsidRPr="00560A8D">
        <w:rPr>
          <w:rFonts w:ascii="Verdana" w:hAnsi="Verdana"/>
          <w:sz w:val="16"/>
          <w:szCs w:val="16"/>
          <w:lang w:val="es-ES"/>
        </w:rPr>
        <w:t xml:space="preserve">de 18 de mayo de 2018 en el proceso de inconstitucionalidad 44/2013-145/2013 (anexo al informe de la Procuradora para la Defensa de los Derechos Humanos de El Salvador). </w:t>
      </w:r>
    </w:p>
  </w:footnote>
  <w:footnote w:id="23">
    <w:p w14:paraId="1C6CA1B0" w14:textId="039A0BE8" w:rsidR="00796918" w:rsidRPr="00DA559A" w:rsidRDefault="00796918" w:rsidP="00DA559A">
      <w:pPr>
        <w:pStyle w:val="Prrafodelista"/>
        <w:tabs>
          <w:tab w:val="left" w:pos="0"/>
        </w:tabs>
        <w:autoSpaceDE w:val="0"/>
        <w:autoSpaceDN w:val="0"/>
        <w:adjustRightInd w:val="0"/>
        <w:spacing w:after="0" w:line="240" w:lineRule="auto"/>
        <w:ind w:left="0" w:right="96"/>
        <w:contextualSpacing w:val="0"/>
        <w:jc w:val="both"/>
        <w:rPr>
          <w:rFonts w:ascii="Verdana" w:hAnsi="Verdana" w:cs="Arial"/>
          <w:sz w:val="16"/>
          <w:szCs w:val="16"/>
          <w:lang w:val="es-MX"/>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DA559A">
        <w:rPr>
          <w:rFonts w:ascii="Verdana" w:hAnsi="Verdana"/>
          <w:i/>
          <w:sz w:val="16"/>
          <w:szCs w:val="16"/>
        </w:rPr>
        <w:t>Cfr.</w:t>
      </w:r>
      <w:r w:rsidRPr="00DA559A">
        <w:rPr>
          <w:rFonts w:ascii="Verdana" w:hAnsi="Verdana"/>
          <w:sz w:val="16"/>
          <w:szCs w:val="16"/>
        </w:rPr>
        <w:t xml:space="preserve"> Resolución de la Sala de lo Constitucional de la Corte Suprema de Justicia de El Salvador de 13 de julio de 2018, punto resolutivo primero. Disponible en: </w:t>
      </w:r>
      <w:hyperlink r:id="rId7" w:history="1">
        <w:r w:rsidRPr="00DA559A">
          <w:rPr>
            <w:rStyle w:val="Hipervnculo"/>
            <w:rFonts w:ascii="Verdana" w:hAnsi="Verdana"/>
            <w:sz w:val="16"/>
            <w:szCs w:val="16"/>
          </w:rPr>
          <w:t>http://ow.ly/d/7MZW</w:t>
        </w:r>
      </w:hyperlink>
      <w:r w:rsidRPr="00DA559A">
        <w:rPr>
          <w:rFonts w:ascii="Verdana" w:hAnsi="Verdana"/>
          <w:sz w:val="16"/>
          <w:szCs w:val="16"/>
        </w:rPr>
        <w:t xml:space="preserve"> (citada en la nota al pie 68 del escrito de los representantes de febrero de 2019).</w:t>
      </w:r>
    </w:p>
  </w:footnote>
  <w:footnote w:id="24">
    <w:p w14:paraId="5208EC31" w14:textId="31F8682B" w:rsidR="00796918" w:rsidRPr="00C93061" w:rsidRDefault="00796918" w:rsidP="00DA559A">
      <w:pPr>
        <w:pStyle w:val="Textonotapie"/>
        <w:jc w:val="both"/>
        <w:rPr>
          <w:rFonts w:ascii="Verdana" w:hAnsi="Verdana"/>
          <w:sz w:val="16"/>
          <w:szCs w:val="16"/>
          <w:lang w:val="es-ES"/>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lang w:val="es-ES"/>
        </w:rPr>
        <w:tab/>
      </w:r>
      <w:r>
        <w:rPr>
          <w:rFonts w:ascii="Verdana" w:hAnsi="Verdana"/>
          <w:sz w:val="16"/>
          <w:szCs w:val="16"/>
        </w:rPr>
        <w:t>L</w:t>
      </w:r>
      <w:r w:rsidRPr="00C93061">
        <w:rPr>
          <w:rFonts w:ascii="Verdana" w:hAnsi="Verdana"/>
          <w:sz w:val="16"/>
          <w:szCs w:val="16"/>
        </w:rPr>
        <w:t>os representantes expusieron los hechos y argumentos que fundamentaban tal solicitud</w:t>
      </w:r>
      <w:r w:rsidRPr="00C93061">
        <w:rPr>
          <w:rStyle w:val="Refdenotaalpie"/>
          <w:rFonts w:ascii="Verdana" w:hAnsi="Verdana"/>
          <w:sz w:val="16"/>
          <w:szCs w:val="16"/>
        </w:rPr>
        <w:t xml:space="preserve"> </w:t>
      </w:r>
      <w:r w:rsidRPr="00C93061">
        <w:rPr>
          <w:rFonts w:ascii="Verdana" w:hAnsi="Verdana"/>
          <w:sz w:val="16"/>
          <w:szCs w:val="16"/>
        </w:rPr>
        <w:t xml:space="preserve">y lo que alegaron respecto a </w:t>
      </w:r>
      <w:r w:rsidRPr="00C93061">
        <w:rPr>
          <w:rFonts w:ascii="Verdana" w:hAnsi="Verdana" w:cs="Verdana"/>
          <w:sz w:val="16"/>
          <w:szCs w:val="16"/>
        </w:rPr>
        <w:t xml:space="preserve">los requisitos para la adopción de las medidas provisionales. Ello se </w:t>
      </w:r>
      <w:r w:rsidRPr="007B2EB4">
        <w:rPr>
          <w:rFonts w:ascii="Verdana" w:hAnsi="Verdana"/>
          <w:sz w:val="16"/>
          <w:szCs w:val="16"/>
        </w:rPr>
        <w:t>encuentran expuesto en detalle en los Considerandos 12 y 13 de la Resolución del Presidente de la Corte de 28 de mayo de 2019 (</w:t>
      </w:r>
      <w:r w:rsidRPr="007B2EB4">
        <w:rPr>
          <w:rFonts w:ascii="Verdana" w:hAnsi="Verdana" w:cs="Verdana"/>
          <w:i/>
          <w:iCs/>
          <w:sz w:val="16"/>
          <w:szCs w:val="16"/>
        </w:rPr>
        <w:t xml:space="preserve">supra </w:t>
      </w:r>
      <w:r w:rsidRPr="007B2EB4">
        <w:rPr>
          <w:rFonts w:ascii="Verdana" w:hAnsi="Verdana" w:cs="Verdana"/>
          <w:sz w:val="16"/>
          <w:szCs w:val="16"/>
        </w:rPr>
        <w:t xml:space="preserve">Visto </w:t>
      </w:r>
      <w:r>
        <w:rPr>
          <w:rFonts w:ascii="Verdana" w:hAnsi="Verdana" w:cs="Verdana"/>
          <w:sz w:val="16"/>
          <w:szCs w:val="16"/>
        </w:rPr>
        <w:t>12</w:t>
      </w:r>
      <w:r w:rsidRPr="00C93061">
        <w:rPr>
          <w:rFonts w:ascii="Verdana" w:hAnsi="Verdana" w:cs="Verdana"/>
          <w:sz w:val="16"/>
          <w:szCs w:val="16"/>
        </w:rPr>
        <w:t xml:space="preserve"> e </w:t>
      </w:r>
      <w:r w:rsidRPr="00506B11">
        <w:rPr>
          <w:rFonts w:ascii="Verdana" w:hAnsi="Verdana" w:cs="Verdana"/>
          <w:i/>
          <w:sz w:val="16"/>
          <w:szCs w:val="16"/>
        </w:rPr>
        <w:t>infra</w:t>
      </w:r>
      <w:r w:rsidRPr="00C93061">
        <w:rPr>
          <w:rFonts w:ascii="Verdana" w:hAnsi="Verdana" w:cs="Verdana"/>
          <w:sz w:val="16"/>
          <w:szCs w:val="16"/>
        </w:rPr>
        <w:t xml:space="preserve"> Considerando</w:t>
      </w:r>
      <w:r>
        <w:rPr>
          <w:rFonts w:ascii="Verdana" w:hAnsi="Verdana" w:cs="Verdana"/>
          <w:sz w:val="16"/>
          <w:szCs w:val="16"/>
        </w:rPr>
        <w:t>s</w:t>
      </w:r>
      <w:r w:rsidRPr="00C93061">
        <w:rPr>
          <w:rFonts w:ascii="Verdana" w:hAnsi="Verdana" w:cs="Verdana"/>
          <w:sz w:val="16"/>
          <w:szCs w:val="16"/>
        </w:rPr>
        <w:t xml:space="preserve"> </w:t>
      </w:r>
      <w:r>
        <w:rPr>
          <w:rFonts w:ascii="Verdana" w:hAnsi="Verdana" w:cs="Verdana"/>
          <w:sz w:val="16"/>
          <w:szCs w:val="16"/>
        </w:rPr>
        <w:t>16 a 19</w:t>
      </w:r>
      <w:r w:rsidRPr="00C93061">
        <w:rPr>
          <w:rFonts w:ascii="Verdana" w:hAnsi="Verdana" w:cs="Verdana"/>
          <w:sz w:val="16"/>
          <w:szCs w:val="16"/>
        </w:rPr>
        <w:t>).</w:t>
      </w:r>
    </w:p>
  </w:footnote>
  <w:footnote w:id="25">
    <w:p w14:paraId="08960AA5" w14:textId="56F4A87A" w:rsidR="00796918" w:rsidRPr="007B2EB4" w:rsidRDefault="00796918" w:rsidP="00C93061">
      <w:pPr>
        <w:pStyle w:val="Textonotapie"/>
        <w:jc w:val="both"/>
        <w:rPr>
          <w:rFonts w:ascii="Verdana" w:hAnsi="Verdana" w:cs="Verdana"/>
          <w:sz w:val="16"/>
          <w:szCs w:val="16"/>
        </w:rPr>
      </w:pPr>
      <w:r w:rsidRPr="007B2EB4">
        <w:rPr>
          <w:rStyle w:val="Refdenotaalpie"/>
          <w:rFonts w:ascii="Verdana" w:hAnsi="Verdana"/>
          <w:sz w:val="16"/>
          <w:szCs w:val="16"/>
        </w:rPr>
        <w:footnoteRef/>
      </w:r>
      <w:r w:rsidRPr="007B2EB4">
        <w:rPr>
          <w:rFonts w:ascii="Verdana" w:hAnsi="Verdana"/>
          <w:sz w:val="16"/>
          <w:szCs w:val="16"/>
        </w:rPr>
        <w:t xml:space="preserve"> </w:t>
      </w:r>
      <w:r w:rsidRPr="007B2EB4">
        <w:rPr>
          <w:rFonts w:ascii="Verdana" w:hAnsi="Verdana"/>
          <w:sz w:val="16"/>
          <w:szCs w:val="16"/>
        </w:rPr>
        <w:tab/>
        <w:t>El contenido de las observaciones del Estado se encuentra en el Considerando 14 de la Resolución del Presidente de la Corte de 28 de mayo de 2019</w:t>
      </w:r>
      <w:r w:rsidRPr="007E4289">
        <w:rPr>
          <w:rFonts w:ascii="Verdana" w:hAnsi="Verdana" w:cs="Verdana"/>
          <w:sz w:val="16"/>
          <w:szCs w:val="16"/>
        </w:rPr>
        <w:t xml:space="preserve">, y el contenido de las observaciones de la Comisión Interamericana </w:t>
      </w:r>
      <w:r w:rsidRPr="007E4289">
        <w:rPr>
          <w:rFonts w:ascii="Verdana" w:hAnsi="Verdana"/>
          <w:sz w:val="16"/>
          <w:szCs w:val="16"/>
        </w:rPr>
        <w:t>se encuentra en los Considerandos 15 y 16 de dicha Resolución (</w:t>
      </w:r>
      <w:r w:rsidRPr="007E4289">
        <w:rPr>
          <w:rFonts w:ascii="Verdana" w:hAnsi="Verdana" w:cs="Verdana"/>
          <w:i/>
          <w:iCs/>
          <w:sz w:val="16"/>
          <w:szCs w:val="16"/>
        </w:rPr>
        <w:t xml:space="preserve">supra </w:t>
      </w:r>
      <w:r w:rsidRPr="007E4289">
        <w:rPr>
          <w:rFonts w:ascii="Verdana" w:hAnsi="Verdana" w:cs="Verdana"/>
          <w:sz w:val="16"/>
          <w:szCs w:val="16"/>
        </w:rPr>
        <w:t xml:space="preserve">Visto 12 e </w:t>
      </w:r>
      <w:r w:rsidRPr="00506B11">
        <w:rPr>
          <w:rFonts w:ascii="Verdana" w:hAnsi="Verdana" w:cs="Verdana"/>
          <w:i/>
          <w:sz w:val="16"/>
          <w:szCs w:val="16"/>
        </w:rPr>
        <w:t>infra</w:t>
      </w:r>
      <w:r w:rsidRPr="007B2EB4">
        <w:rPr>
          <w:rFonts w:ascii="Verdana" w:hAnsi="Verdana" w:cs="Verdana"/>
          <w:sz w:val="16"/>
          <w:szCs w:val="16"/>
        </w:rPr>
        <w:t xml:space="preserve"> Considerandos 16 a 19). </w:t>
      </w:r>
    </w:p>
  </w:footnote>
  <w:footnote w:id="26">
    <w:p w14:paraId="68854E1E" w14:textId="4074E563" w:rsidR="00796918" w:rsidRDefault="00796918">
      <w:pPr>
        <w:pStyle w:val="Textonotapie"/>
      </w:pPr>
      <w:r w:rsidRPr="00506B11">
        <w:rPr>
          <w:rStyle w:val="Refdenotaalpie"/>
          <w:rFonts w:ascii="Verdana" w:hAnsi="Verdana"/>
          <w:sz w:val="16"/>
          <w:szCs w:val="16"/>
        </w:rPr>
        <w:footnoteRef/>
      </w:r>
      <w:r w:rsidRPr="00506B11">
        <w:rPr>
          <w:rFonts w:ascii="Verdana" w:hAnsi="Verdana"/>
          <w:sz w:val="16"/>
          <w:szCs w:val="16"/>
        </w:rPr>
        <w:t xml:space="preserve"> </w:t>
      </w:r>
      <w:r w:rsidRPr="00506B11">
        <w:rPr>
          <w:rFonts w:ascii="Verdana" w:hAnsi="Verdana"/>
          <w:sz w:val="16"/>
          <w:szCs w:val="16"/>
        </w:rPr>
        <w:tab/>
      </w:r>
      <w:r w:rsidRPr="00506B11">
        <w:rPr>
          <w:rFonts w:ascii="Verdana" w:hAnsi="Verdana"/>
          <w:i/>
          <w:sz w:val="16"/>
          <w:szCs w:val="16"/>
        </w:rPr>
        <w:t>Cfr.</w:t>
      </w:r>
      <w:r>
        <w:rPr>
          <w:rFonts w:ascii="Verdana" w:hAnsi="Verdana"/>
          <w:sz w:val="16"/>
          <w:szCs w:val="16"/>
        </w:rPr>
        <w:t xml:space="preserve"> Considerandos 17 a 40 de la Resolución del Presidente de 28 de mayo de 2019.</w:t>
      </w:r>
    </w:p>
  </w:footnote>
  <w:footnote w:id="27">
    <w:p w14:paraId="68354EE7" w14:textId="26D4EF2C" w:rsidR="00796918" w:rsidRPr="00C93061" w:rsidRDefault="00796918" w:rsidP="00506B1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007E4289" w:rsidRPr="00506B11">
        <w:rPr>
          <w:rFonts w:ascii="Verdana" w:hAnsi="Verdana"/>
          <w:i/>
          <w:sz w:val="16"/>
          <w:szCs w:val="16"/>
        </w:rPr>
        <w:t>Cfr.</w:t>
      </w:r>
      <w:r w:rsidR="007E4289">
        <w:rPr>
          <w:rFonts w:ascii="Verdana" w:hAnsi="Verdana"/>
          <w:sz w:val="16"/>
          <w:szCs w:val="16"/>
        </w:rPr>
        <w:t xml:space="preserve"> </w:t>
      </w:r>
      <w:r w:rsidRPr="00DA559A">
        <w:rPr>
          <w:rFonts w:ascii="Verdana" w:hAnsi="Verdana"/>
          <w:sz w:val="16"/>
          <w:szCs w:val="16"/>
        </w:rPr>
        <w:t>Considerando 45</w:t>
      </w:r>
      <w:r w:rsidR="007E4289">
        <w:rPr>
          <w:rFonts w:ascii="Verdana" w:hAnsi="Verdana"/>
          <w:sz w:val="16"/>
          <w:szCs w:val="16"/>
        </w:rPr>
        <w:t xml:space="preserve"> de la Resolución del Presidente de 28 de mayo de 2019</w:t>
      </w:r>
      <w:r w:rsidRPr="00DA559A">
        <w:rPr>
          <w:rFonts w:ascii="Verdana" w:hAnsi="Verdana"/>
          <w:sz w:val="16"/>
          <w:szCs w:val="16"/>
        </w:rPr>
        <w:t>.</w:t>
      </w:r>
    </w:p>
  </w:footnote>
  <w:footnote w:id="28">
    <w:p w14:paraId="02CF2284" w14:textId="3C6556DE" w:rsidR="001236F3" w:rsidRPr="00C93061" w:rsidRDefault="001236F3" w:rsidP="001236F3">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i/>
          <w:sz w:val="16"/>
          <w:szCs w:val="16"/>
        </w:rPr>
        <w:t>Cfr.</w:t>
      </w:r>
      <w:r w:rsidRPr="00C93061">
        <w:rPr>
          <w:rFonts w:ascii="Verdana" w:hAnsi="Verdana"/>
          <w:sz w:val="16"/>
          <w:szCs w:val="16"/>
        </w:rPr>
        <w:t xml:space="preserve"> Informe suscrito por el Presidente de la Asamblea Legislativa de</w:t>
      </w:r>
      <w:r>
        <w:rPr>
          <w:rFonts w:ascii="Verdana" w:hAnsi="Verdana"/>
          <w:sz w:val="16"/>
          <w:szCs w:val="16"/>
        </w:rPr>
        <w:t xml:space="preserve"> El Salvador de</w:t>
      </w:r>
      <w:r w:rsidRPr="00C93061">
        <w:rPr>
          <w:rFonts w:ascii="Verdana" w:hAnsi="Verdana"/>
          <w:sz w:val="16"/>
          <w:szCs w:val="16"/>
        </w:rPr>
        <w:t xml:space="preserve"> 20 de junio de 2019 (anexo al informe estatal de 15 de julio de 2019)</w:t>
      </w:r>
      <w:r>
        <w:rPr>
          <w:rFonts w:ascii="Verdana" w:hAnsi="Verdana"/>
          <w:sz w:val="16"/>
          <w:szCs w:val="16"/>
        </w:rPr>
        <w:t>.</w:t>
      </w:r>
      <w:r w:rsidRPr="00C93061">
        <w:rPr>
          <w:rFonts w:ascii="Verdana" w:hAnsi="Verdana"/>
          <w:sz w:val="16"/>
          <w:szCs w:val="16"/>
        </w:rPr>
        <w:t xml:space="preserve"> </w:t>
      </w:r>
    </w:p>
  </w:footnote>
  <w:footnote w:id="29">
    <w:p w14:paraId="1EBF5342" w14:textId="4BA7BDB3" w:rsidR="00796918" w:rsidRPr="00C93061" w:rsidRDefault="00796918" w:rsidP="00C9306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001236F3">
        <w:rPr>
          <w:rFonts w:ascii="Verdana" w:hAnsi="Verdana"/>
          <w:sz w:val="16"/>
          <w:szCs w:val="16"/>
        </w:rPr>
        <w:t xml:space="preserve">Los representantes de las víctimas explicaron que </w:t>
      </w:r>
      <w:r w:rsidR="001236F3" w:rsidRPr="00506B11">
        <w:rPr>
          <w:rFonts w:ascii="Verdana" w:hAnsi="Verdana" w:cs="Verdana"/>
          <w:bCs/>
          <w:sz w:val="16"/>
          <w:szCs w:val="16"/>
        </w:rPr>
        <w:t xml:space="preserve">el primer proyecto de ley fue preparado por los diputados que conforman la Comisión encargada de elaborar la normativa de reconciliación nacional y es el que se relaciona con la presente solicitud de medidas provisionales; y el segundo proyecto </w:t>
      </w:r>
      <w:r w:rsidR="001236F3">
        <w:rPr>
          <w:rFonts w:ascii="Verdana" w:hAnsi="Verdana" w:cs="Verdana"/>
          <w:bCs/>
          <w:sz w:val="16"/>
          <w:szCs w:val="16"/>
        </w:rPr>
        <w:t xml:space="preserve">de ley </w:t>
      </w:r>
      <w:r w:rsidR="001236F3" w:rsidRPr="00506B11">
        <w:rPr>
          <w:rFonts w:ascii="Verdana" w:hAnsi="Verdana" w:cs="Verdana"/>
          <w:bCs/>
          <w:sz w:val="16"/>
          <w:szCs w:val="16"/>
        </w:rPr>
        <w:t xml:space="preserve">fue </w:t>
      </w:r>
      <w:r w:rsidR="001236F3" w:rsidRPr="00506B11">
        <w:rPr>
          <w:rFonts w:ascii="Verdana" w:hAnsi="Verdana" w:cs="Verdana"/>
          <w:sz w:val="16"/>
          <w:szCs w:val="16"/>
        </w:rPr>
        <w:t xml:space="preserve">elaborado por “las organizaciones de la sociedad civil que acompañan a las víctimas de graves violaciones de derechos humanos del conflicto armado”. </w:t>
      </w:r>
    </w:p>
  </w:footnote>
  <w:footnote w:id="30">
    <w:p w14:paraId="22616D10" w14:textId="53338D72" w:rsidR="00796918" w:rsidRPr="007B2EB4" w:rsidRDefault="00796918" w:rsidP="00C9306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i/>
          <w:iCs/>
          <w:sz w:val="16"/>
          <w:szCs w:val="16"/>
        </w:rPr>
        <w:t>Cfr</w:t>
      </w:r>
      <w:r w:rsidRPr="00C93061">
        <w:rPr>
          <w:rFonts w:ascii="Verdana" w:hAnsi="Verdana"/>
          <w:sz w:val="16"/>
          <w:szCs w:val="16"/>
        </w:rPr>
        <w:t xml:space="preserve">. Comunicado de prensa de la Corte Suprema de Justicia titulado </w:t>
      </w:r>
      <w:r w:rsidRPr="00C93061">
        <w:rPr>
          <w:rFonts w:ascii="Verdana" w:hAnsi="Verdana"/>
          <w:i/>
          <w:iCs/>
          <w:sz w:val="16"/>
          <w:szCs w:val="16"/>
        </w:rPr>
        <w:t>“Sala amplía plazo por 4 meses para cumplimiento de sentencia de inconstitucionalidad de Ley de Amnistía”</w:t>
      </w:r>
      <w:r w:rsidRPr="00C93061">
        <w:rPr>
          <w:rFonts w:ascii="Verdana" w:hAnsi="Verdana"/>
          <w:sz w:val="16"/>
          <w:szCs w:val="16"/>
        </w:rPr>
        <w:t xml:space="preserve">, de 12 de julio de 2019 (anexo al informe estatal de 15 de julio de 2019). </w:t>
      </w:r>
    </w:p>
  </w:footnote>
  <w:footnote w:id="31">
    <w:p w14:paraId="2F589959" w14:textId="3DB88292" w:rsidR="00A607D8" w:rsidRPr="00506B11" w:rsidRDefault="00A607D8" w:rsidP="00506B11">
      <w:pPr>
        <w:pStyle w:val="Textonotapie"/>
        <w:jc w:val="both"/>
        <w:rPr>
          <w:rFonts w:ascii="Verdana" w:hAnsi="Verdana"/>
          <w:sz w:val="16"/>
          <w:szCs w:val="16"/>
        </w:rPr>
      </w:pPr>
      <w:r w:rsidRPr="00506B11">
        <w:rPr>
          <w:rStyle w:val="Refdenotaalpie"/>
          <w:rFonts w:ascii="Verdana" w:hAnsi="Verdana"/>
          <w:sz w:val="16"/>
          <w:szCs w:val="16"/>
        </w:rPr>
        <w:footnoteRef/>
      </w:r>
      <w:r w:rsidRPr="00506B11">
        <w:rPr>
          <w:rFonts w:ascii="Verdana" w:hAnsi="Verdana"/>
          <w:sz w:val="16"/>
          <w:szCs w:val="16"/>
        </w:rPr>
        <w:t xml:space="preserve"> </w:t>
      </w:r>
      <w:r w:rsidRPr="00506B11">
        <w:rPr>
          <w:rFonts w:ascii="Verdana" w:hAnsi="Verdana"/>
          <w:sz w:val="16"/>
          <w:szCs w:val="16"/>
        </w:rPr>
        <w:tab/>
      </w:r>
      <w:r w:rsidRPr="00A607D8">
        <w:rPr>
          <w:rFonts w:ascii="Verdana" w:hAnsi="Verdana"/>
          <w:sz w:val="16"/>
          <w:szCs w:val="16"/>
        </w:rPr>
        <w:t>Los represen</w:t>
      </w:r>
      <w:r w:rsidRPr="00506B11">
        <w:rPr>
          <w:rFonts w:ascii="Verdana" w:hAnsi="Verdana"/>
          <w:sz w:val="16"/>
          <w:szCs w:val="16"/>
        </w:rPr>
        <w:t xml:space="preserve">tantes explicaron que </w:t>
      </w:r>
      <w:r w:rsidRPr="00506B11">
        <w:rPr>
          <w:rFonts w:ascii="Verdana" w:hAnsi="Verdana" w:cs="Verdana"/>
          <w:sz w:val="16"/>
          <w:szCs w:val="16"/>
        </w:rPr>
        <w:t xml:space="preserve">la Comisión Política de la Asamblea Legislativa solicitó a la Corte Suprema de Justicia de El Salvador una prórroga de tres meses para legislar sobre reconciliación nacional con el fin de “realizar las entrevistas con las asociaciones ya consultadas y otros sectores que manifiesten interés en el tema, para poder emitir la normativa ordenada” por la Sala de lo Constitucional. </w:t>
      </w:r>
      <w:r w:rsidRPr="00A607D8">
        <w:rPr>
          <w:rFonts w:ascii="Verdana" w:hAnsi="Verdana"/>
          <w:i/>
          <w:sz w:val="16"/>
          <w:szCs w:val="16"/>
        </w:rPr>
        <w:t xml:space="preserve">Cfr. </w:t>
      </w:r>
      <w:r w:rsidRPr="00732D9B">
        <w:rPr>
          <w:rFonts w:ascii="Verdana" w:hAnsi="Verdana"/>
          <w:sz w:val="16"/>
          <w:szCs w:val="16"/>
        </w:rPr>
        <w:t>Solicitud de prórroga de la Comisión Política de la Asamblea Legislativa dirigida a la Corte Suprema de Justicia de 3 de julio de 2029 (anexo al escrito de los representantes de 23 de julio de 2019).</w:t>
      </w:r>
      <w:r w:rsidRPr="00A607D8">
        <w:rPr>
          <w:rFonts w:ascii="Verdana" w:hAnsi="Verdana"/>
          <w:sz w:val="16"/>
          <w:szCs w:val="16"/>
        </w:rPr>
        <w:t xml:space="preserve"> </w:t>
      </w:r>
    </w:p>
  </w:footnote>
  <w:footnote w:id="32">
    <w:p w14:paraId="3A6A2952" w14:textId="55DB0B05" w:rsidR="00796918" w:rsidRPr="007E4289" w:rsidRDefault="00796918" w:rsidP="00C93061">
      <w:pPr>
        <w:pStyle w:val="Textonotapie"/>
        <w:jc w:val="both"/>
        <w:rPr>
          <w:rFonts w:ascii="Verdana" w:hAnsi="Verdana"/>
          <w:sz w:val="16"/>
          <w:szCs w:val="16"/>
          <w:lang w:val="es-ES"/>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i/>
          <w:iCs/>
          <w:sz w:val="16"/>
          <w:szCs w:val="16"/>
        </w:rPr>
        <w:t>Cfr.</w:t>
      </w:r>
      <w:r w:rsidRPr="00C93061">
        <w:rPr>
          <w:rFonts w:ascii="Verdana" w:hAnsi="Verdana"/>
          <w:sz w:val="16"/>
          <w:szCs w:val="16"/>
        </w:rPr>
        <w:t xml:space="preserve"> “Informe a Corte Interamericana de Derechos Humanos en el marco de la adopción de medidas urgentes para el cumplimiento de la Sentencia del caso ‘El Mozote y lugares aledaños Vrs. El Salvador’”, elaborado por Jorge Alberto Guzmán Urquilla, Juez </w:t>
      </w:r>
      <w:r w:rsidR="00A02111">
        <w:rPr>
          <w:rFonts w:ascii="Verdana" w:hAnsi="Verdana"/>
          <w:sz w:val="16"/>
          <w:szCs w:val="16"/>
        </w:rPr>
        <w:t>Segundo de Primera Instancia</w:t>
      </w:r>
      <w:r w:rsidRPr="00C93061">
        <w:rPr>
          <w:rFonts w:ascii="Verdana" w:hAnsi="Verdana"/>
          <w:sz w:val="16"/>
          <w:szCs w:val="16"/>
        </w:rPr>
        <w:t xml:space="preserve"> </w:t>
      </w:r>
      <w:r w:rsidRPr="00C93061">
        <w:rPr>
          <w:rFonts w:ascii="Verdana" w:hAnsi="Verdana" w:cs="Verdana"/>
          <w:color w:val="000000" w:themeColor="text1"/>
          <w:sz w:val="16"/>
          <w:szCs w:val="16"/>
        </w:rPr>
        <w:t>de San Francisco Gotera, de 10 de junio de</w:t>
      </w:r>
      <w:r w:rsidRPr="007B2EB4">
        <w:rPr>
          <w:rFonts w:ascii="Verdana" w:hAnsi="Verdana" w:cs="Verdana"/>
          <w:color w:val="000000" w:themeColor="text1"/>
          <w:sz w:val="16"/>
          <w:szCs w:val="16"/>
        </w:rPr>
        <w:t xml:space="preserve"> 2019 (anexo al informe estatal de 14 de junio de 2019). </w:t>
      </w:r>
    </w:p>
  </w:footnote>
  <w:footnote w:id="33">
    <w:p w14:paraId="15BFFFF0" w14:textId="4F42B461" w:rsidR="00796918" w:rsidRPr="002B1772" w:rsidRDefault="00796918" w:rsidP="00C93061">
      <w:pPr>
        <w:pStyle w:val="Textonotapie"/>
        <w:jc w:val="both"/>
        <w:rPr>
          <w:rFonts w:ascii="Verdana" w:hAnsi="Verdana"/>
          <w:sz w:val="16"/>
          <w:szCs w:val="16"/>
          <w:lang w:val="es-ES"/>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t>El referido juez de instrucción indicó que se “limita[ba] a señalar regulaciones del Proyecto de Ley de Justicia Transicional que afectarían directamente la tramitación del proceso penal</w:t>
      </w:r>
      <w:r w:rsidRPr="00C93061">
        <w:rPr>
          <w:rFonts w:ascii="Verdana" w:hAnsi="Verdana"/>
          <w:sz w:val="16"/>
          <w:szCs w:val="16"/>
        </w:rPr>
        <w:t xml:space="preserve"> 238/1990 conocido como Masacre El Mozote y lugares Aledaños, no así aquellas que, aunque traerían igualmente afectación, [pues] pref[ería] no pronunciar[s]e respecto a ellas para evitar que pudieran ser consideradas por las partes como un adelanto de criterio de lo que posteriormente deberá resolverse en el proceso”. </w:t>
      </w:r>
      <w:r w:rsidRPr="007B2EB4">
        <w:rPr>
          <w:rFonts w:ascii="Verdana" w:hAnsi="Verdana"/>
          <w:sz w:val="16"/>
          <w:szCs w:val="16"/>
        </w:rPr>
        <w:t>Entre las observaciones formuladas, se refirió al “principio de</w:t>
      </w:r>
      <w:r w:rsidRPr="007E4289">
        <w:rPr>
          <w:rFonts w:ascii="Verdana" w:hAnsi="Verdana"/>
          <w:b/>
          <w:bCs/>
          <w:sz w:val="16"/>
          <w:szCs w:val="16"/>
        </w:rPr>
        <w:t xml:space="preserve"> </w:t>
      </w:r>
      <w:r w:rsidRPr="007E4289">
        <w:rPr>
          <w:rFonts w:ascii="Verdana" w:hAnsi="Verdana"/>
          <w:sz w:val="16"/>
          <w:szCs w:val="16"/>
        </w:rPr>
        <w:t>individualización” advirtiendo que bajo el artículo 6 del proyecto de ley en cuestión “solo serían sometidos a este proceso los autores materiales de los hechos, no así los autores mediatos o intelectuales, que es la calidad que ostentan en este proceso los dieciocho militares imp</w:t>
      </w:r>
      <w:r w:rsidRPr="001236F3">
        <w:rPr>
          <w:rFonts w:ascii="Verdana" w:hAnsi="Verdana"/>
          <w:sz w:val="16"/>
          <w:szCs w:val="16"/>
        </w:rPr>
        <w:t>utados de los delitos de lesa humanidad y crímenes de guerra cometidos en El Mozote y lugares aledaños, quienes quedarían desvinculados de la imputación que se les ha formulado y por consiguiente, fuera del proceso”.</w:t>
      </w:r>
      <w:r w:rsidRPr="001236F3">
        <w:rPr>
          <w:rFonts w:ascii="Verdana" w:hAnsi="Verdana"/>
          <w:b/>
          <w:bCs/>
          <w:sz w:val="16"/>
          <w:szCs w:val="16"/>
        </w:rPr>
        <w:t xml:space="preserve"> </w:t>
      </w:r>
      <w:r w:rsidRPr="001236F3">
        <w:rPr>
          <w:rFonts w:ascii="Verdana" w:hAnsi="Verdana"/>
          <w:sz w:val="16"/>
          <w:szCs w:val="16"/>
        </w:rPr>
        <w:t xml:space="preserve">También formuló observaciones al artículo 8 del referido proyecto de ley, que es el que establecería el </w:t>
      </w:r>
      <w:r w:rsidR="006F0571">
        <w:rPr>
          <w:rFonts w:ascii="Verdana" w:hAnsi="Verdana"/>
          <w:sz w:val="16"/>
          <w:szCs w:val="16"/>
        </w:rPr>
        <w:t>“</w:t>
      </w:r>
      <w:r w:rsidRPr="001236F3">
        <w:rPr>
          <w:rFonts w:ascii="Verdana" w:hAnsi="Verdana"/>
          <w:sz w:val="16"/>
          <w:szCs w:val="16"/>
        </w:rPr>
        <w:t>derecho penal aplicable</w:t>
      </w:r>
      <w:r w:rsidR="006F0571">
        <w:rPr>
          <w:rFonts w:ascii="Verdana" w:hAnsi="Verdana"/>
          <w:sz w:val="16"/>
          <w:szCs w:val="16"/>
        </w:rPr>
        <w:t>”</w:t>
      </w:r>
      <w:r w:rsidRPr="001236F3">
        <w:rPr>
          <w:rFonts w:ascii="Verdana" w:hAnsi="Verdana"/>
          <w:sz w:val="16"/>
          <w:szCs w:val="16"/>
        </w:rPr>
        <w:t xml:space="preserve">. </w:t>
      </w:r>
      <w:r w:rsidRPr="006F0571">
        <w:rPr>
          <w:rFonts w:ascii="Verdana" w:hAnsi="Verdana"/>
          <w:sz w:val="16"/>
          <w:szCs w:val="16"/>
        </w:rPr>
        <w:t xml:space="preserve">Adicionalmente, </w:t>
      </w:r>
      <w:r w:rsidRPr="006F0571">
        <w:rPr>
          <w:rFonts w:ascii="Verdana" w:hAnsi="Verdana" w:cs="Verdana"/>
          <w:color w:val="000000" w:themeColor="text1"/>
          <w:sz w:val="16"/>
          <w:szCs w:val="16"/>
        </w:rPr>
        <w:t>expuso los argumentos por los cuales considera que el proyecto de ley en cuestión “no cumple con las disposiciones que realizó la Sala de lo Constitucional en su sentencia de 13 de julio de 2016”, ya que “la ‘regulación complementaria’ que la Sala ordenó dictar en su sentencia, no se r</w:t>
      </w:r>
      <w:r w:rsidRPr="00A607D8">
        <w:rPr>
          <w:rFonts w:ascii="Verdana" w:hAnsi="Verdana" w:cs="Verdana"/>
          <w:color w:val="000000" w:themeColor="text1"/>
          <w:sz w:val="16"/>
          <w:szCs w:val="16"/>
        </w:rPr>
        <w:t>efiere a otra normativa penal y procesal penal para la tramitación de procesos penales sobre graves violaciones a derechos humanos que la misma Sala ordenó investigar”.</w:t>
      </w:r>
    </w:p>
  </w:footnote>
  <w:footnote w:id="34">
    <w:p w14:paraId="4AF5C402" w14:textId="72703E55" w:rsidR="00796918" w:rsidRPr="007E4289" w:rsidRDefault="00796918" w:rsidP="00C93061">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cs="Verdana"/>
          <w:sz w:val="16"/>
          <w:szCs w:val="16"/>
        </w:rPr>
        <w:t>Al respecto, indicó que éste se encuentra regulado</w:t>
      </w:r>
      <w:r w:rsidRPr="00C93061">
        <w:rPr>
          <w:rFonts w:ascii="Verdana" w:hAnsi="Verdana" w:cs="Verdana"/>
          <w:color w:val="00B050"/>
          <w:sz w:val="16"/>
          <w:szCs w:val="16"/>
        </w:rPr>
        <w:t xml:space="preserve"> </w:t>
      </w:r>
      <w:r w:rsidRPr="00C93061">
        <w:rPr>
          <w:rFonts w:ascii="Verdana" w:hAnsi="Verdana" w:cs="Verdana"/>
          <w:color w:val="000000" w:themeColor="text1"/>
          <w:sz w:val="16"/>
          <w:szCs w:val="16"/>
        </w:rPr>
        <w:t>en los artículos 133 a 143 de la Constitución Política de El Salvador, y que “tiene diferentes etapas, siendo estas la iniciativa de ley; su aprobación por la Asamblea Legislativa, la sanción, veto u observaciones por el Presidente de</w:t>
      </w:r>
      <w:r w:rsidRPr="007B2EB4">
        <w:rPr>
          <w:rFonts w:ascii="Verdana" w:hAnsi="Verdana" w:cs="Verdana"/>
          <w:color w:val="000000" w:themeColor="text1"/>
          <w:sz w:val="16"/>
          <w:szCs w:val="16"/>
        </w:rPr>
        <w:t xml:space="preserve"> la República y eventualmente </w:t>
      </w:r>
      <w:r w:rsidR="006F0571">
        <w:rPr>
          <w:rFonts w:ascii="Verdana" w:hAnsi="Verdana" w:cs="Verdana"/>
          <w:color w:val="000000" w:themeColor="text1"/>
          <w:sz w:val="16"/>
          <w:szCs w:val="16"/>
        </w:rPr>
        <w:t>un</w:t>
      </w:r>
      <w:r w:rsidR="006F0571" w:rsidRPr="007B2EB4">
        <w:rPr>
          <w:rFonts w:ascii="Verdana" w:hAnsi="Verdana" w:cs="Verdana"/>
          <w:color w:val="000000" w:themeColor="text1"/>
          <w:sz w:val="16"/>
          <w:szCs w:val="16"/>
        </w:rPr>
        <w:t xml:space="preserve"> </w:t>
      </w:r>
      <w:r w:rsidRPr="007B2EB4">
        <w:rPr>
          <w:rFonts w:ascii="Verdana" w:hAnsi="Verdana" w:cs="Verdana"/>
          <w:color w:val="000000" w:themeColor="text1"/>
          <w:sz w:val="16"/>
          <w:szCs w:val="16"/>
        </w:rPr>
        <w:t xml:space="preserve">análisis de constitucionalidad por parte de la Sala de lo Constitucional de la Corte Suprema de Justicia”. </w:t>
      </w:r>
    </w:p>
  </w:footnote>
  <w:footnote w:id="35">
    <w:p w14:paraId="516D4B0E" w14:textId="77777777" w:rsidR="00796918" w:rsidRPr="00C93061" w:rsidRDefault="00796918" w:rsidP="00C93061">
      <w:pPr>
        <w:pStyle w:val="Textonotapie"/>
        <w:jc w:val="both"/>
        <w:rPr>
          <w:rFonts w:ascii="Verdana" w:hAnsi="Verdana"/>
          <w:sz w:val="16"/>
          <w:szCs w:val="16"/>
          <w:lang w:val="es-ES"/>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i/>
          <w:iCs/>
          <w:sz w:val="16"/>
          <w:szCs w:val="16"/>
        </w:rPr>
        <w:t>Cfr</w:t>
      </w:r>
      <w:r w:rsidRPr="00C93061">
        <w:rPr>
          <w:rFonts w:ascii="Verdana" w:hAnsi="Verdana"/>
          <w:sz w:val="16"/>
          <w:szCs w:val="16"/>
        </w:rPr>
        <w:t xml:space="preserve">. Resolución emitida por la Sala de lo Constitucional de la Corte Suprema de Justicia de El Salvador el 14 de junio de 2019 en el marco del proceso de inconstitucionalidad 44-2013/45-2013 (anexo al informe estatal de 14 de junio de 2019). </w:t>
      </w:r>
    </w:p>
  </w:footnote>
  <w:footnote w:id="36">
    <w:p w14:paraId="68E5391E" w14:textId="77777777" w:rsidR="00796918" w:rsidRPr="00C93061" w:rsidRDefault="00796918" w:rsidP="007B2EB4">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DA559A">
        <w:rPr>
          <w:rFonts w:ascii="Verdana" w:hAnsi="Verdana" w:cs="Verdana"/>
          <w:sz w:val="16"/>
          <w:szCs w:val="16"/>
        </w:rPr>
        <w:t>Los artículos</w:t>
      </w:r>
      <w:r w:rsidRPr="00C93061">
        <w:rPr>
          <w:rFonts w:ascii="Verdana" w:hAnsi="Verdana" w:cs="Verdana"/>
          <w:sz w:val="16"/>
          <w:szCs w:val="16"/>
        </w:rPr>
        <w:t xml:space="preserve"> 137 y 138 de la Constitución de El Salvador disponen lo siguiente: </w:t>
      </w:r>
    </w:p>
    <w:p w14:paraId="3CCD165B" w14:textId="3ED174CA" w:rsidR="00796918" w:rsidRPr="001236F3" w:rsidRDefault="00796918" w:rsidP="007E4289">
      <w:pPr>
        <w:pStyle w:val="Textonotapie"/>
        <w:jc w:val="both"/>
        <w:rPr>
          <w:rFonts w:ascii="Verdana" w:hAnsi="Verdana"/>
          <w:color w:val="000000" w:themeColor="text1"/>
          <w:sz w:val="16"/>
          <w:szCs w:val="16"/>
        </w:rPr>
      </w:pPr>
      <w:r w:rsidRPr="00C93061">
        <w:rPr>
          <w:rFonts w:ascii="Verdana" w:hAnsi="Verdana"/>
          <w:color w:val="000000" w:themeColor="text1"/>
          <w:sz w:val="16"/>
          <w:szCs w:val="16"/>
        </w:rPr>
        <w:t>“Art. 137.- Cuando el Presidente de la República vetare un proyecto de ley, lo devolverá a la Asamblea dentro de los ocho días hábiles siguientes al de su recibo, puntualizando las razone</w:t>
      </w:r>
      <w:r w:rsidRPr="007B2EB4">
        <w:rPr>
          <w:rFonts w:ascii="Verdana" w:hAnsi="Verdana"/>
          <w:color w:val="000000" w:themeColor="text1"/>
          <w:sz w:val="16"/>
          <w:szCs w:val="16"/>
        </w:rPr>
        <w:t xml:space="preserve">s en que funda su veto; si dentro del término expresado no lo devolviere se tendrá por sancionado y lo publicará como ley. En caso de veto, la Asamblea reconsiderará el proyecto, y si lo ratificare con los dos tercios de votos, por lo menos, de los </w:t>
      </w:r>
      <w:r w:rsidR="006F0571">
        <w:rPr>
          <w:rFonts w:ascii="Verdana" w:hAnsi="Verdana"/>
          <w:color w:val="000000" w:themeColor="text1"/>
          <w:sz w:val="16"/>
          <w:szCs w:val="16"/>
        </w:rPr>
        <w:t>d</w:t>
      </w:r>
      <w:r w:rsidR="006F0571" w:rsidRPr="007B2EB4">
        <w:rPr>
          <w:rFonts w:ascii="Verdana" w:hAnsi="Verdana"/>
          <w:color w:val="000000" w:themeColor="text1"/>
          <w:sz w:val="16"/>
          <w:szCs w:val="16"/>
        </w:rPr>
        <w:t>iputad</w:t>
      </w:r>
      <w:r w:rsidR="006F0571" w:rsidRPr="007E4289">
        <w:rPr>
          <w:rFonts w:ascii="Verdana" w:hAnsi="Verdana"/>
          <w:color w:val="000000" w:themeColor="text1"/>
          <w:sz w:val="16"/>
          <w:szCs w:val="16"/>
        </w:rPr>
        <w:t xml:space="preserve">os </w:t>
      </w:r>
      <w:r w:rsidRPr="007E4289">
        <w:rPr>
          <w:rFonts w:ascii="Verdana" w:hAnsi="Verdana"/>
          <w:color w:val="000000" w:themeColor="text1"/>
          <w:sz w:val="16"/>
          <w:szCs w:val="16"/>
        </w:rPr>
        <w:t>electos, lo enviará de nuevo al Presidente de la República, y éste deberá sancionarlo y mandarlo a publicar. Si lo devolviere c</w:t>
      </w:r>
      <w:r w:rsidRPr="001236F3">
        <w:rPr>
          <w:rFonts w:ascii="Verdana" w:hAnsi="Verdana"/>
          <w:color w:val="000000" w:themeColor="text1"/>
          <w:sz w:val="16"/>
          <w:szCs w:val="16"/>
        </w:rPr>
        <w:t xml:space="preserve">on observaciones, la Asamblea las considerará y resolverá lo que crea conveniente por la mayoría establecida en el Art. 123, y lo enviará al Presidente de la República, quien deberá sancionarlo y mandarlo a publicar”. </w:t>
      </w:r>
    </w:p>
    <w:p w14:paraId="22DF6E76" w14:textId="77777777" w:rsidR="00796918" w:rsidRPr="00A607D8" w:rsidRDefault="00796918" w:rsidP="001236F3">
      <w:pPr>
        <w:pStyle w:val="Textonotapie"/>
        <w:jc w:val="both"/>
        <w:rPr>
          <w:rFonts w:ascii="Verdana" w:hAnsi="Verdana"/>
          <w:color w:val="000000" w:themeColor="text1"/>
          <w:sz w:val="16"/>
          <w:szCs w:val="16"/>
        </w:rPr>
      </w:pPr>
      <w:r w:rsidRPr="001236F3">
        <w:rPr>
          <w:rFonts w:ascii="Verdana" w:hAnsi="Verdana"/>
          <w:color w:val="000000" w:themeColor="text1"/>
          <w:sz w:val="16"/>
          <w:szCs w:val="16"/>
        </w:rPr>
        <w:t>“Art. 138.- Cuando la devolución de un proyecto de ley se deba a que el Presidente de la República lo considera inconstitucional y el Órgano Legislativo lo ratifica en la forma establecida en el artículo que antecede, deberá el Presidente de la República dirigirse a la Corte Suprema de Justicia dentro del tercer día hábil, para que ésta oyendo las razones de ambos, decida si es o no constitucional, a más tardar dentro de quince días hábiles. Si la Corte decidiere que el proyecto es constitucional, el Presidente de la República estará en la obl</w:t>
      </w:r>
      <w:r w:rsidRPr="00A607D8">
        <w:rPr>
          <w:rFonts w:ascii="Verdana" w:hAnsi="Verdana"/>
          <w:color w:val="000000" w:themeColor="text1"/>
          <w:sz w:val="16"/>
          <w:szCs w:val="16"/>
        </w:rPr>
        <w:t xml:space="preserve">igación de sancionarlo y publicarlo como ley”. </w:t>
      </w:r>
    </w:p>
  </w:footnote>
  <w:footnote w:id="37">
    <w:p w14:paraId="709D70B1" w14:textId="3EF6905B" w:rsidR="00796918" w:rsidRPr="00012F6E" w:rsidRDefault="00796918" w:rsidP="001236F3">
      <w:pPr>
        <w:pStyle w:val="Textonotapie"/>
        <w:jc w:val="both"/>
        <w:rPr>
          <w:rFonts w:ascii="Verdana" w:hAnsi="Verdana"/>
          <w:color w:val="000000" w:themeColor="text1"/>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DA559A">
        <w:rPr>
          <w:rFonts w:ascii="Verdana" w:hAnsi="Verdana"/>
          <w:sz w:val="16"/>
          <w:szCs w:val="16"/>
        </w:rPr>
        <w:tab/>
      </w:r>
      <w:r w:rsidRPr="00C93061">
        <w:rPr>
          <w:rFonts w:ascii="Verdana" w:hAnsi="Verdana" w:cs="Verdana"/>
          <w:sz w:val="16"/>
          <w:szCs w:val="16"/>
        </w:rPr>
        <w:t>Con base en lo anterior, la Sala de lo Constitucional afirmó en dicha resolución que “</w:t>
      </w:r>
      <w:r w:rsidRPr="00C93061">
        <w:rPr>
          <w:rFonts w:ascii="Verdana" w:hAnsi="Verdana"/>
          <w:color w:val="000000" w:themeColor="text1"/>
          <w:sz w:val="16"/>
          <w:szCs w:val="16"/>
        </w:rPr>
        <w:t>[…] en el supuesto que la Asamblea Legislativa apruebe el proyecto de ‘Ley Especial de Justicia Transicional y Restaurativa para la Reconciliación Nacional’, y el Presidente haga uso de sus facultades de veto por razones de inconstitucionalidad (y este sea superado y ratificado por la Asamblea Legislativa), en principio deberá elevar el caso a la Corte Suprema de Justicia, quien lo remitirá a esta sala. La Sala de lo Constitucional ejercerá un control previo de constitucionalidad mediante el proc</w:t>
      </w:r>
      <w:r w:rsidRPr="007B2EB4">
        <w:rPr>
          <w:rFonts w:ascii="Verdana" w:hAnsi="Verdana"/>
          <w:color w:val="000000" w:themeColor="text1"/>
          <w:sz w:val="16"/>
          <w:szCs w:val="16"/>
        </w:rPr>
        <w:t>edimiento de controversia y pronunciará sentencia […]. Si este tribunal estima que el decreto legislativo vetado es inconstitucional, se frustrará el proceso de formación de ley; y, si declara que no existe la inconstitucionalidad alegada por el Presidente</w:t>
      </w:r>
      <w:r w:rsidRPr="007E4289">
        <w:rPr>
          <w:rFonts w:ascii="Verdana" w:hAnsi="Verdana"/>
          <w:color w:val="000000" w:themeColor="text1"/>
          <w:sz w:val="16"/>
          <w:szCs w:val="16"/>
        </w:rPr>
        <w:t xml:space="preserve"> de la República, dicho funcionario quedará obligado a sancionar el decreto y publicarlo como ley”</w:t>
      </w:r>
      <w:r w:rsidRPr="001236F3">
        <w:rPr>
          <w:rFonts w:ascii="Verdana" w:hAnsi="Verdana"/>
          <w:sz w:val="16"/>
          <w:szCs w:val="16"/>
        </w:rPr>
        <w:t xml:space="preserve">. </w:t>
      </w:r>
    </w:p>
  </w:footnote>
  <w:footnote w:id="38">
    <w:p w14:paraId="648818D7" w14:textId="0258DADE" w:rsidR="00FF48FE" w:rsidRPr="00C93061" w:rsidRDefault="00FF48FE" w:rsidP="00FF48FE">
      <w:pPr>
        <w:pStyle w:val="Textonotapie"/>
        <w:jc w:val="both"/>
        <w:rPr>
          <w:rFonts w:ascii="Verdana" w:hAnsi="Verdana"/>
          <w:sz w:val="16"/>
          <w:szCs w:val="16"/>
        </w:rPr>
      </w:pPr>
      <w:r w:rsidRPr="00DA559A">
        <w:rPr>
          <w:rStyle w:val="Refdenotaalpie"/>
          <w:rFonts w:ascii="Verdana" w:hAnsi="Verdana"/>
          <w:sz w:val="16"/>
          <w:szCs w:val="16"/>
        </w:rPr>
        <w:footnoteRef/>
      </w:r>
      <w:r w:rsidRPr="00DA559A">
        <w:rPr>
          <w:rFonts w:ascii="Verdana" w:hAnsi="Verdana"/>
          <w:sz w:val="16"/>
          <w:szCs w:val="16"/>
        </w:rPr>
        <w:t xml:space="preserve"> </w:t>
      </w:r>
      <w:r w:rsidRPr="00C93061">
        <w:rPr>
          <w:rFonts w:ascii="Verdana" w:hAnsi="Verdana"/>
          <w:sz w:val="16"/>
          <w:szCs w:val="16"/>
          <w:lang w:val="es-ES"/>
        </w:rPr>
        <w:tab/>
      </w:r>
      <w:r w:rsidRPr="00C93061">
        <w:rPr>
          <w:rFonts w:ascii="Verdana" w:hAnsi="Verdana"/>
          <w:i/>
          <w:iCs/>
          <w:sz w:val="16"/>
          <w:szCs w:val="16"/>
          <w:lang w:val="es-ES"/>
        </w:rPr>
        <w:t>Cfr.</w:t>
      </w:r>
      <w:r w:rsidRPr="00C93061">
        <w:rPr>
          <w:rFonts w:ascii="Verdana" w:hAnsi="Verdana"/>
          <w:sz w:val="16"/>
          <w:szCs w:val="16"/>
          <w:lang w:val="es-ES"/>
        </w:rPr>
        <w:t xml:space="preserve"> </w:t>
      </w:r>
      <w:r w:rsidRPr="00C93061">
        <w:rPr>
          <w:rFonts w:ascii="Verdana" w:hAnsi="Verdana"/>
          <w:sz w:val="16"/>
          <w:szCs w:val="16"/>
        </w:rPr>
        <w:t xml:space="preserve">Nota de prensa de la Asamblea Legislativa titulada “Reactivan subcomisión para ampliar participación ciudadana en el marco de construir una ley de reconciliación nacional”,  de 10 de junio de 2019, disponible en: </w:t>
      </w:r>
      <w:hyperlink r:id="rId8" w:history="1">
        <w:r w:rsidRPr="00C93061">
          <w:rPr>
            <w:rStyle w:val="Hipervnculo"/>
            <w:rFonts w:ascii="Verdana" w:hAnsi="Verdana"/>
            <w:sz w:val="16"/>
            <w:szCs w:val="16"/>
          </w:rPr>
          <w:t>https://www.asamblea.gob.sv/node/8996</w:t>
        </w:r>
      </w:hyperlink>
      <w:r w:rsidRPr="00DA559A">
        <w:rPr>
          <w:rFonts w:ascii="Verdana" w:hAnsi="Verdana"/>
          <w:sz w:val="16"/>
          <w:szCs w:val="16"/>
        </w:rPr>
        <w:t xml:space="preserve"> (citara en el escrito de observaciones de los representantes de 27 de junio de 2019). </w:t>
      </w:r>
    </w:p>
  </w:footnote>
  <w:footnote w:id="39">
    <w:p w14:paraId="094158A1" w14:textId="3F94E588" w:rsidR="00796918" w:rsidRPr="00C93061" w:rsidRDefault="00796918" w:rsidP="001236F3">
      <w:pPr>
        <w:pStyle w:val="Textonotapie"/>
        <w:jc w:val="both"/>
        <w:rPr>
          <w:rFonts w:ascii="Verdana" w:hAnsi="Verdana"/>
          <w:sz w:val="16"/>
          <w:szCs w:val="16"/>
        </w:rPr>
      </w:pPr>
      <w:r w:rsidRPr="00C93061">
        <w:rPr>
          <w:rStyle w:val="Refdenotaalpie"/>
          <w:rFonts w:ascii="Verdana" w:hAnsi="Verdana"/>
          <w:sz w:val="16"/>
          <w:szCs w:val="16"/>
        </w:rPr>
        <w:footnoteRef/>
      </w:r>
      <w:r w:rsidRPr="00C93061">
        <w:rPr>
          <w:rFonts w:ascii="Verdana" w:hAnsi="Verdana"/>
          <w:sz w:val="16"/>
          <w:szCs w:val="16"/>
        </w:rPr>
        <w:t xml:space="preserve"> </w:t>
      </w:r>
      <w:r w:rsidRPr="00C93061">
        <w:rPr>
          <w:rFonts w:ascii="Verdana" w:hAnsi="Verdana"/>
          <w:sz w:val="16"/>
          <w:szCs w:val="16"/>
        </w:rPr>
        <w:tab/>
        <w:t xml:space="preserve">Explicó que el impacto podría darse “tanto en lo relativo a la continuidad de la investigación como en </w:t>
      </w:r>
      <w:r w:rsidR="00732D9B">
        <w:rPr>
          <w:rFonts w:ascii="Verdana" w:hAnsi="Verdana"/>
          <w:sz w:val="16"/>
          <w:szCs w:val="16"/>
        </w:rPr>
        <w:t xml:space="preserve">lo relativo a </w:t>
      </w:r>
      <w:r w:rsidRPr="00C93061">
        <w:rPr>
          <w:rFonts w:ascii="Verdana" w:hAnsi="Verdana"/>
          <w:sz w:val="16"/>
          <w:szCs w:val="16"/>
        </w:rPr>
        <w:t xml:space="preserve">la </w:t>
      </w:r>
      <w:r w:rsidR="00732D9B">
        <w:rPr>
          <w:rFonts w:ascii="Verdana" w:hAnsi="Verdana"/>
          <w:sz w:val="16"/>
          <w:szCs w:val="16"/>
        </w:rPr>
        <w:t xml:space="preserve">posible </w:t>
      </w:r>
      <w:r w:rsidRPr="00C93061">
        <w:rPr>
          <w:rFonts w:ascii="Verdana" w:hAnsi="Verdana"/>
          <w:sz w:val="16"/>
          <w:szCs w:val="16"/>
        </w:rPr>
        <w:t>pena a imponer, ambos componentes de la orden emitida por la […] Corte”.</w:t>
      </w:r>
    </w:p>
  </w:footnote>
  <w:footnote w:id="40">
    <w:p w14:paraId="2B4BA8C3" w14:textId="1C422171" w:rsidR="00796918" w:rsidRPr="00506B11" w:rsidRDefault="00796918" w:rsidP="00506B11">
      <w:pPr>
        <w:pStyle w:val="Textonotapie"/>
        <w:jc w:val="both"/>
        <w:rPr>
          <w:rFonts w:ascii="Verdana" w:hAnsi="Verdana"/>
          <w:sz w:val="16"/>
          <w:szCs w:val="16"/>
        </w:rPr>
      </w:pPr>
      <w:r w:rsidRPr="00506B11">
        <w:rPr>
          <w:rStyle w:val="Refdenotaalpie"/>
          <w:rFonts w:ascii="Verdana" w:hAnsi="Verdana"/>
          <w:sz w:val="16"/>
          <w:szCs w:val="16"/>
        </w:rPr>
        <w:footnoteRef/>
      </w:r>
      <w:r w:rsidRPr="00506B11">
        <w:rPr>
          <w:rFonts w:ascii="Verdana" w:hAnsi="Verdana"/>
          <w:sz w:val="16"/>
          <w:szCs w:val="16"/>
        </w:rPr>
        <w:t xml:space="preserve"> </w:t>
      </w:r>
      <w:r w:rsidR="00732D9B">
        <w:rPr>
          <w:rFonts w:ascii="Verdana" w:hAnsi="Verdana"/>
          <w:sz w:val="16"/>
          <w:szCs w:val="16"/>
        </w:rPr>
        <w:tab/>
        <w:t>Entre otros aspecto, la Comisión resaltó que el referido juez hizo notar que bajo el proyecto de ley en cuestión “únicamente serían sometidos a proceso los autores materiales y no los mediatos o intelectuales”, con lo cual los dieciocho militares imputados en el proceso penal en curso por las masacres de El Mozote y lugares aledaños, que ostentan dicha calidad, “quedarían desvinculados y fuera del proceso”.</w:t>
      </w:r>
    </w:p>
  </w:footnote>
  <w:footnote w:id="41">
    <w:p w14:paraId="67F0D74B" w14:textId="0C7D8B3B" w:rsidR="00796918" w:rsidRPr="00506B11" w:rsidRDefault="00796918" w:rsidP="00732D9B">
      <w:pPr>
        <w:pStyle w:val="Textonotapie"/>
        <w:jc w:val="both"/>
        <w:rPr>
          <w:rFonts w:ascii="Verdana" w:hAnsi="Verdana"/>
          <w:sz w:val="16"/>
          <w:szCs w:val="16"/>
        </w:rPr>
      </w:pPr>
      <w:r w:rsidRPr="00732D9B">
        <w:rPr>
          <w:rStyle w:val="Refdenotaalpie"/>
          <w:rFonts w:ascii="Verdana" w:hAnsi="Verdana"/>
          <w:sz w:val="16"/>
          <w:szCs w:val="16"/>
        </w:rPr>
        <w:footnoteRef/>
      </w:r>
      <w:r w:rsidRPr="00732D9B">
        <w:rPr>
          <w:rFonts w:ascii="Verdana" w:hAnsi="Verdana"/>
          <w:sz w:val="16"/>
          <w:szCs w:val="16"/>
        </w:rPr>
        <w:t xml:space="preserve"> </w:t>
      </w:r>
      <w:r w:rsidRPr="00732D9B">
        <w:rPr>
          <w:rFonts w:ascii="Verdana" w:hAnsi="Verdana"/>
          <w:sz w:val="16"/>
          <w:szCs w:val="16"/>
        </w:rPr>
        <w:tab/>
      </w:r>
      <w:r w:rsidRPr="00732D9B">
        <w:rPr>
          <w:rFonts w:ascii="Verdana" w:hAnsi="Verdana"/>
          <w:i/>
          <w:sz w:val="16"/>
          <w:szCs w:val="16"/>
        </w:rPr>
        <w:t xml:space="preserve">Cfr. Caso Herrera Ulloa respecto de Costa Rica. Medidas Provisionales. </w:t>
      </w:r>
      <w:r w:rsidRPr="00732D9B">
        <w:rPr>
          <w:rFonts w:ascii="Verdana" w:hAnsi="Verdana"/>
          <w:sz w:val="16"/>
          <w:szCs w:val="16"/>
        </w:rPr>
        <w:t xml:space="preserve">Resolución de la Corte Interamericana de Derechos Humanos de 7 de septiembre de 2001, Considerando </w:t>
      </w:r>
      <w:r w:rsidR="00A02111">
        <w:rPr>
          <w:rFonts w:ascii="Verdana" w:hAnsi="Verdana"/>
          <w:sz w:val="16"/>
          <w:szCs w:val="16"/>
        </w:rPr>
        <w:t>cuarto</w:t>
      </w:r>
      <w:r w:rsidRPr="00732D9B">
        <w:rPr>
          <w:rFonts w:ascii="Verdana" w:hAnsi="Verdana"/>
          <w:sz w:val="16"/>
          <w:szCs w:val="16"/>
        </w:rPr>
        <w:t>, y</w:t>
      </w:r>
      <w:r w:rsidR="00A02111">
        <w:rPr>
          <w:rFonts w:ascii="Verdana" w:hAnsi="Verdana"/>
          <w:sz w:val="16"/>
          <w:szCs w:val="16"/>
        </w:rPr>
        <w:t xml:space="preserve"> </w:t>
      </w:r>
      <w:r w:rsidR="00A02111" w:rsidRPr="00506B11">
        <w:rPr>
          <w:rStyle w:val="Textoennegrita"/>
          <w:rFonts w:ascii="Verdana" w:hAnsi="Verdana"/>
          <w:b w:val="0"/>
          <w:i/>
          <w:color w:val="000000"/>
          <w:sz w:val="16"/>
          <w:szCs w:val="16"/>
          <w:shd w:val="clear" w:color="auto" w:fill="FFFFFF"/>
        </w:rPr>
        <w:t xml:space="preserve">Caso Mack Chang y otros Vs. Guatemala. Medidas Provisionales. </w:t>
      </w:r>
      <w:r w:rsidR="00A02111" w:rsidRPr="00506B11">
        <w:rPr>
          <w:rStyle w:val="Textoennegrita"/>
          <w:rFonts w:ascii="Verdana" w:hAnsi="Verdana"/>
          <w:b w:val="0"/>
          <w:color w:val="000000"/>
          <w:sz w:val="16"/>
          <w:szCs w:val="16"/>
          <w:shd w:val="clear" w:color="auto" w:fill="FFFFFF"/>
        </w:rPr>
        <w:t>Resolución de la Corte Interamericana de Derechos Humanos de 5 de marzo de 2019</w:t>
      </w:r>
      <w:r w:rsidRPr="00506B11">
        <w:rPr>
          <w:rStyle w:val="Textoennegrita"/>
          <w:rFonts w:ascii="Verdana" w:hAnsi="Verdana"/>
          <w:b w:val="0"/>
          <w:bCs w:val="0"/>
          <w:color w:val="000000"/>
          <w:sz w:val="16"/>
          <w:szCs w:val="16"/>
          <w:shd w:val="clear" w:color="auto" w:fill="FFFFFF"/>
        </w:rPr>
        <w:t xml:space="preserve">, Considerando </w:t>
      </w:r>
      <w:r w:rsidR="008102D0">
        <w:rPr>
          <w:rStyle w:val="Textoennegrita"/>
          <w:rFonts w:ascii="Verdana" w:hAnsi="Verdana"/>
          <w:b w:val="0"/>
          <w:bCs w:val="0"/>
          <w:color w:val="000000"/>
          <w:sz w:val="16"/>
          <w:szCs w:val="16"/>
          <w:shd w:val="clear" w:color="auto" w:fill="FFFFFF"/>
        </w:rPr>
        <w:t>cuarto</w:t>
      </w:r>
      <w:r w:rsidRPr="00506B11">
        <w:rPr>
          <w:rStyle w:val="Textoennegrita"/>
          <w:rFonts w:ascii="Verdana" w:hAnsi="Verdana"/>
          <w:b w:val="0"/>
          <w:bCs w:val="0"/>
          <w:color w:val="000000"/>
          <w:sz w:val="16"/>
          <w:szCs w:val="16"/>
          <w:shd w:val="clear" w:color="auto" w:fill="FFFFFF"/>
        </w:rPr>
        <w:t>.</w:t>
      </w:r>
    </w:p>
  </w:footnote>
  <w:footnote w:id="42">
    <w:p w14:paraId="44837D50" w14:textId="57ED9224" w:rsidR="00732D9B" w:rsidRDefault="00732D9B" w:rsidP="00506B11">
      <w:pPr>
        <w:pStyle w:val="Textonotapie"/>
        <w:jc w:val="both"/>
      </w:pPr>
      <w:r w:rsidRPr="00506B11">
        <w:rPr>
          <w:rStyle w:val="Refdenotaalpie"/>
          <w:rFonts w:ascii="Verdana" w:hAnsi="Verdana"/>
          <w:sz w:val="16"/>
          <w:szCs w:val="16"/>
        </w:rPr>
        <w:footnoteRef/>
      </w:r>
      <w:r w:rsidRPr="00506B11">
        <w:rPr>
          <w:rFonts w:ascii="Verdana" w:hAnsi="Verdana"/>
          <w:sz w:val="16"/>
          <w:szCs w:val="16"/>
        </w:rPr>
        <w:t xml:space="preserve"> </w:t>
      </w:r>
      <w:r w:rsidRPr="00506B11">
        <w:rPr>
          <w:rFonts w:ascii="Verdana" w:hAnsi="Verdana"/>
          <w:sz w:val="16"/>
          <w:szCs w:val="16"/>
        </w:rPr>
        <w:tab/>
      </w:r>
      <w:r w:rsidRPr="00732D9B">
        <w:rPr>
          <w:rFonts w:ascii="Verdana" w:hAnsi="Verdana"/>
          <w:i/>
          <w:sz w:val="16"/>
          <w:szCs w:val="16"/>
        </w:rPr>
        <w:t xml:space="preserve">Cfr. </w:t>
      </w:r>
      <w:r w:rsidRPr="00732D9B">
        <w:rPr>
          <w:rFonts w:ascii="Verdana" w:hAnsi="Verdana" w:cs="Times-Roman"/>
          <w:i/>
          <w:sz w:val="16"/>
          <w:szCs w:val="16"/>
          <w:lang w:bidi="en-US"/>
        </w:rPr>
        <w:t>Caso Carpio Nicolle.</w:t>
      </w:r>
      <w:r w:rsidRPr="00732D9B">
        <w:rPr>
          <w:rFonts w:ascii="Verdana" w:hAnsi="Verdana" w:cs="Times-Roman"/>
          <w:sz w:val="16"/>
          <w:szCs w:val="16"/>
          <w:lang w:bidi="en-US"/>
        </w:rPr>
        <w:t xml:space="preserve"> Medidas Provisionales respecto de Guatemala. Resolución de la Corte de 6 de julio de </w:t>
      </w:r>
      <w:r w:rsidR="008102D0">
        <w:rPr>
          <w:rFonts w:ascii="Verdana" w:hAnsi="Verdana" w:cs="Times-Roman"/>
          <w:sz w:val="16"/>
          <w:szCs w:val="16"/>
          <w:lang w:bidi="en-US"/>
        </w:rPr>
        <w:t>2009, Considerando decimocuarto,</w:t>
      </w:r>
      <w:r w:rsidRPr="00732D9B">
        <w:rPr>
          <w:rFonts w:ascii="Verdana" w:hAnsi="Verdana" w:cs="Times-Roman"/>
          <w:sz w:val="16"/>
          <w:szCs w:val="16"/>
          <w:lang w:bidi="en-US"/>
        </w:rPr>
        <w:t xml:space="preserve"> y</w:t>
      </w:r>
      <w:r w:rsidR="008102D0">
        <w:rPr>
          <w:rFonts w:ascii="Verdana" w:hAnsi="Verdana" w:cs="Times-Roman"/>
          <w:sz w:val="16"/>
          <w:szCs w:val="16"/>
          <w:lang w:bidi="en-US"/>
        </w:rPr>
        <w:t xml:space="preserve"> </w:t>
      </w:r>
      <w:r w:rsidR="008102D0" w:rsidRPr="00506B11">
        <w:rPr>
          <w:rStyle w:val="Textoennegrita"/>
          <w:rFonts w:ascii="Verdana" w:hAnsi="Verdana"/>
          <w:b w:val="0"/>
          <w:i/>
          <w:color w:val="000000"/>
          <w:sz w:val="16"/>
          <w:szCs w:val="16"/>
          <w:shd w:val="clear" w:color="auto" w:fill="FFFFFF"/>
        </w:rPr>
        <w:t>Caso Mack Chang y otros Vs. G</w:t>
      </w:r>
      <w:r w:rsidR="008102D0">
        <w:rPr>
          <w:rStyle w:val="Textoennegrita"/>
          <w:rFonts w:ascii="Verdana" w:hAnsi="Verdana"/>
          <w:b w:val="0"/>
          <w:i/>
          <w:color w:val="000000"/>
          <w:sz w:val="16"/>
          <w:szCs w:val="16"/>
          <w:shd w:val="clear" w:color="auto" w:fill="FFFFFF"/>
        </w:rPr>
        <w:t xml:space="preserve">uatemala. Medidas Provisionales, supra </w:t>
      </w:r>
      <w:r w:rsidR="008102D0">
        <w:rPr>
          <w:rStyle w:val="Textoennegrita"/>
          <w:rFonts w:ascii="Verdana" w:hAnsi="Verdana"/>
          <w:b w:val="0"/>
          <w:color w:val="000000"/>
          <w:sz w:val="16"/>
          <w:szCs w:val="16"/>
          <w:shd w:val="clear" w:color="auto" w:fill="FFFFFF"/>
        </w:rPr>
        <w:t>nota 41, Considerando segundo</w:t>
      </w:r>
      <w:r w:rsidRPr="00506B11">
        <w:rPr>
          <w:rStyle w:val="Textoennegrita"/>
          <w:rFonts w:ascii="Verdana" w:hAnsi="Verdana"/>
          <w:b w:val="0"/>
          <w:color w:val="000000"/>
          <w:sz w:val="16"/>
          <w:szCs w:val="16"/>
          <w:shd w:val="clear" w:color="auto" w:fill="FFFFFF"/>
        </w:rPr>
        <w:t>.</w:t>
      </w:r>
    </w:p>
  </w:footnote>
  <w:footnote w:id="43">
    <w:p w14:paraId="1D803FCD" w14:textId="62115B47" w:rsidR="00796918" w:rsidRPr="007E4289" w:rsidRDefault="00796918" w:rsidP="00C93061">
      <w:pPr>
        <w:pStyle w:val="Textonotapie"/>
        <w:jc w:val="both"/>
        <w:rPr>
          <w:rFonts w:ascii="Verdana" w:hAnsi="Verdana"/>
          <w:sz w:val="16"/>
          <w:szCs w:val="16"/>
        </w:rPr>
      </w:pPr>
      <w:r w:rsidRPr="00C93061">
        <w:rPr>
          <w:rStyle w:val="Refdenotaalpie"/>
          <w:rFonts w:ascii="Verdana" w:hAnsi="Verdana"/>
          <w:sz w:val="16"/>
          <w:szCs w:val="16"/>
        </w:rPr>
        <w:footnoteRef/>
      </w:r>
      <w:r w:rsidRPr="00C93061">
        <w:rPr>
          <w:rFonts w:ascii="Verdana" w:hAnsi="Verdana"/>
          <w:sz w:val="16"/>
          <w:szCs w:val="16"/>
        </w:rPr>
        <w:t xml:space="preserve"> </w:t>
      </w:r>
      <w:r w:rsidRPr="00C93061">
        <w:rPr>
          <w:rFonts w:ascii="Verdana" w:hAnsi="Verdana"/>
          <w:sz w:val="16"/>
          <w:szCs w:val="16"/>
        </w:rPr>
        <w:tab/>
      </w:r>
      <w:r w:rsidRPr="00C93061">
        <w:rPr>
          <w:rFonts w:ascii="Verdana" w:hAnsi="Verdana"/>
          <w:i/>
          <w:sz w:val="16"/>
          <w:szCs w:val="16"/>
        </w:rPr>
        <w:t xml:space="preserve">Cfr. </w:t>
      </w:r>
      <w:r w:rsidRPr="00C93061">
        <w:rPr>
          <w:rFonts w:ascii="Verdana" w:hAnsi="Verdana" w:cs="Times-Roman"/>
          <w:i/>
          <w:sz w:val="16"/>
          <w:szCs w:val="16"/>
          <w:lang w:bidi="en-US"/>
        </w:rPr>
        <w:t>Caso Carpio Nicolle.</w:t>
      </w:r>
      <w:r w:rsidRPr="00C93061">
        <w:rPr>
          <w:rFonts w:ascii="Verdana" w:hAnsi="Verdana" w:cs="Times-Roman"/>
          <w:sz w:val="16"/>
          <w:szCs w:val="16"/>
          <w:lang w:bidi="en-US"/>
        </w:rPr>
        <w:t xml:space="preserve"> Medidas Provisionales respecto de Guatemala. Resolución de la Corte de 6 de julio de 2009, Considerando decimocuarto, y </w:t>
      </w:r>
      <w:r w:rsidR="00732D9B">
        <w:rPr>
          <w:rStyle w:val="Textoennegrita"/>
          <w:rFonts w:ascii="Verdana" w:hAnsi="Verdana"/>
          <w:color w:val="000000"/>
          <w:shd w:val="clear" w:color="auto" w:fill="FFFFFF"/>
        </w:rPr>
        <w:t> </w:t>
      </w:r>
      <w:r w:rsidR="00732D9B" w:rsidRPr="00506B11">
        <w:rPr>
          <w:rStyle w:val="Textoennegrita"/>
          <w:rFonts w:ascii="Verdana" w:hAnsi="Verdana"/>
          <w:b w:val="0"/>
          <w:i/>
          <w:color w:val="000000"/>
          <w:sz w:val="16"/>
          <w:szCs w:val="16"/>
          <w:shd w:val="clear" w:color="auto" w:fill="FFFFFF"/>
        </w:rPr>
        <w:t>Caso Mack Chang y otros Vs. G</w:t>
      </w:r>
      <w:r w:rsidR="008102D0">
        <w:rPr>
          <w:rStyle w:val="Textoennegrita"/>
          <w:rFonts w:ascii="Verdana" w:hAnsi="Verdana"/>
          <w:b w:val="0"/>
          <w:i/>
          <w:color w:val="000000"/>
          <w:sz w:val="16"/>
          <w:szCs w:val="16"/>
          <w:shd w:val="clear" w:color="auto" w:fill="FFFFFF"/>
        </w:rPr>
        <w:t xml:space="preserve">uatemala. Medidas Provisionales, supra </w:t>
      </w:r>
      <w:r w:rsidR="008102D0" w:rsidRPr="008102D0">
        <w:rPr>
          <w:rStyle w:val="Textoennegrita"/>
          <w:rFonts w:ascii="Verdana" w:hAnsi="Verdana"/>
          <w:b w:val="0"/>
          <w:color w:val="000000"/>
          <w:sz w:val="16"/>
          <w:szCs w:val="16"/>
          <w:shd w:val="clear" w:color="auto" w:fill="FFFFFF"/>
        </w:rPr>
        <w:t>nota 41,</w:t>
      </w:r>
      <w:r w:rsidR="00732D9B" w:rsidRPr="00506B11">
        <w:rPr>
          <w:rStyle w:val="Textoennegrita"/>
          <w:rFonts w:ascii="Verdana" w:hAnsi="Verdana"/>
          <w:b w:val="0"/>
          <w:i/>
          <w:color w:val="000000"/>
          <w:sz w:val="16"/>
          <w:szCs w:val="16"/>
          <w:shd w:val="clear" w:color="auto" w:fill="FFFFFF"/>
        </w:rPr>
        <w:t xml:space="preserve"> </w:t>
      </w:r>
      <w:r w:rsidRPr="007B2EB4">
        <w:rPr>
          <w:rFonts w:ascii="Verdana" w:hAnsi="Verdana" w:cs="Times-Roman"/>
          <w:sz w:val="16"/>
          <w:szCs w:val="16"/>
          <w:lang w:bidi="en-US"/>
        </w:rPr>
        <w:t xml:space="preserve">Considerando segundo. </w:t>
      </w:r>
    </w:p>
  </w:footnote>
  <w:footnote w:id="44">
    <w:p w14:paraId="5C1C4FFF" w14:textId="3EA7BD8A" w:rsidR="00796918" w:rsidRPr="00506B11" w:rsidRDefault="00796918" w:rsidP="00C93061">
      <w:pPr>
        <w:spacing w:after="0" w:line="240" w:lineRule="auto"/>
        <w:jc w:val="both"/>
        <w:rPr>
          <w:rFonts w:ascii="Verdana" w:hAnsi="Verdana"/>
          <w:caps/>
          <w:sz w:val="16"/>
          <w:szCs w:val="16"/>
          <w:highlight w:val="green"/>
        </w:rPr>
      </w:pPr>
      <w:r w:rsidRPr="00A35820">
        <w:rPr>
          <w:rStyle w:val="Refdenotaalpie"/>
          <w:rFonts w:ascii="Verdana" w:hAnsi="Verdana"/>
          <w:sz w:val="16"/>
          <w:szCs w:val="16"/>
        </w:rPr>
        <w:footnoteRef/>
      </w:r>
      <w:r w:rsidRPr="00A35820">
        <w:rPr>
          <w:rFonts w:ascii="Verdana" w:hAnsi="Verdana"/>
          <w:sz w:val="16"/>
          <w:szCs w:val="16"/>
        </w:rPr>
        <w:t xml:space="preserve"> </w:t>
      </w:r>
      <w:r w:rsidRPr="00A35820">
        <w:rPr>
          <w:rFonts w:ascii="Verdana" w:hAnsi="Verdana"/>
          <w:sz w:val="16"/>
          <w:szCs w:val="16"/>
        </w:rPr>
        <w:tab/>
      </w:r>
      <w:r w:rsidRPr="00506B11">
        <w:rPr>
          <w:rFonts w:ascii="Verdana" w:hAnsi="Verdana"/>
          <w:i/>
          <w:sz w:val="16"/>
          <w:szCs w:val="16"/>
        </w:rPr>
        <w:t xml:space="preserve">Cfr. Caso Raxcacó Reyes y otros. </w:t>
      </w:r>
      <w:r w:rsidRPr="00506B11">
        <w:rPr>
          <w:rFonts w:ascii="Verdana" w:hAnsi="Verdana"/>
          <w:sz w:val="16"/>
          <w:szCs w:val="16"/>
        </w:rPr>
        <w:t>Medidas Provisionales respecto de Guatemala. Resolución de la Corte de 30 de agosto de 2004, Considerando décimo, y</w:t>
      </w:r>
      <w:r w:rsidRPr="008102D0">
        <w:rPr>
          <w:rFonts w:ascii="Verdana" w:hAnsi="Verdana"/>
          <w:sz w:val="16"/>
          <w:szCs w:val="16"/>
        </w:rPr>
        <w:t xml:space="preserve"> </w:t>
      </w:r>
      <w:r w:rsidR="008102D0" w:rsidRPr="008102D0">
        <w:rPr>
          <w:rFonts w:ascii="Verdana" w:hAnsi="Verdana"/>
          <w:i/>
          <w:sz w:val="16"/>
          <w:szCs w:val="16"/>
        </w:rPr>
        <w:t>Asunto Galdámez Álvarez y otros respecto de Honduras. Medidas Provisionales.</w:t>
      </w:r>
      <w:r w:rsidR="008102D0" w:rsidRPr="008102D0">
        <w:rPr>
          <w:rFonts w:ascii="Verdana" w:hAnsi="Verdana"/>
          <w:sz w:val="16"/>
          <w:szCs w:val="16"/>
        </w:rPr>
        <w:t xml:space="preserve"> Resolución de la Corte Interamericana de Derechos Humanos de 23 de noviembre de 2016, Considerando </w:t>
      </w:r>
      <w:r w:rsidR="008102D0">
        <w:rPr>
          <w:rFonts w:ascii="Verdana" w:hAnsi="Verdana"/>
          <w:sz w:val="16"/>
          <w:szCs w:val="16"/>
        </w:rPr>
        <w:t>vigésimo tercero.</w:t>
      </w:r>
    </w:p>
  </w:footnote>
  <w:footnote w:id="45">
    <w:p w14:paraId="02695F70" w14:textId="07B96D7E" w:rsidR="008102D0" w:rsidRPr="00506B11" w:rsidRDefault="00796918" w:rsidP="008102D0">
      <w:pPr>
        <w:spacing w:after="0" w:line="240" w:lineRule="auto"/>
        <w:jc w:val="both"/>
        <w:rPr>
          <w:rFonts w:ascii="Verdana" w:hAnsi="Verdana"/>
          <w:caps/>
          <w:sz w:val="16"/>
          <w:szCs w:val="16"/>
          <w:highlight w:val="green"/>
        </w:rPr>
      </w:pPr>
      <w:r w:rsidRPr="00A35820">
        <w:rPr>
          <w:rStyle w:val="Refdenotaalpie"/>
          <w:rFonts w:ascii="Verdana" w:hAnsi="Verdana"/>
          <w:sz w:val="16"/>
          <w:szCs w:val="16"/>
        </w:rPr>
        <w:footnoteRef/>
      </w:r>
      <w:r w:rsidRPr="00A35820">
        <w:rPr>
          <w:rFonts w:ascii="Verdana" w:hAnsi="Verdana"/>
          <w:sz w:val="16"/>
          <w:szCs w:val="16"/>
        </w:rPr>
        <w:t xml:space="preserve"> </w:t>
      </w:r>
      <w:r w:rsidRPr="00A35820">
        <w:rPr>
          <w:rFonts w:ascii="Verdana" w:hAnsi="Verdana"/>
          <w:sz w:val="16"/>
          <w:szCs w:val="16"/>
        </w:rPr>
        <w:tab/>
      </w:r>
      <w:r w:rsidRPr="00A35820">
        <w:rPr>
          <w:rFonts w:ascii="Verdana" w:hAnsi="Verdana"/>
          <w:i/>
          <w:sz w:val="16"/>
          <w:szCs w:val="16"/>
        </w:rPr>
        <w:t xml:space="preserve">Cfr. </w:t>
      </w:r>
      <w:r w:rsidRPr="00A35820">
        <w:rPr>
          <w:rFonts w:ascii="Verdana" w:hAnsi="Verdana"/>
          <w:i/>
          <w:sz w:val="16"/>
          <w:szCs w:val="16"/>
          <w:lang w:bidi="en-US"/>
        </w:rPr>
        <w:t>Asunto Pueblo Indígena Kankuamo</w:t>
      </w:r>
      <w:r w:rsidRPr="00506B11">
        <w:rPr>
          <w:rFonts w:ascii="Verdana" w:hAnsi="Verdana"/>
          <w:sz w:val="16"/>
          <w:szCs w:val="16"/>
          <w:lang w:bidi="en-US"/>
        </w:rPr>
        <w:t xml:space="preserve">. Medidas Provisionales respecto de Colombia. Resolución de la Corte de 3 de abril de 2009, Considerando séptimo, y </w:t>
      </w:r>
      <w:r w:rsidR="008102D0" w:rsidRPr="008102D0">
        <w:rPr>
          <w:rFonts w:ascii="Verdana" w:hAnsi="Verdana"/>
          <w:i/>
          <w:sz w:val="16"/>
          <w:szCs w:val="16"/>
        </w:rPr>
        <w:t xml:space="preserve">Asunto Galdámez Álvarez y otros respecto de </w:t>
      </w:r>
      <w:r w:rsidR="008102D0">
        <w:rPr>
          <w:rFonts w:ascii="Verdana" w:hAnsi="Verdana"/>
          <w:i/>
          <w:sz w:val="16"/>
          <w:szCs w:val="16"/>
        </w:rPr>
        <w:t xml:space="preserve">Honduras. Medidas Provisionales, supra </w:t>
      </w:r>
      <w:r w:rsidR="008102D0">
        <w:rPr>
          <w:rFonts w:ascii="Verdana" w:hAnsi="Verdana"/>
          <w:sz w:val="16"/>
          <w:szCs w:val="16"/>
        </w:rPr>
        <w:t xml:space="preserve">nota 44, </w:t>
      </w:r>
      <w:r w:rsidR="008102D0" w:rsidRPr="008102D0">
        <w:rPr>
          <w:rFonts w:ascii="Verdana" w:hAnsi="Verdana"/>
          <w:sz w:val="16"/>
          <w:szCs w:val="16"/>
        </w:rPr>
        <w:t xml:space="preserve">Considerando </w:t>
      </w:r>
      <w:r w:rsidR="008102D0">
        <w:rPr>
          <w:rFonts w:ascii="Verdana" w:hAnsi="Verdana"/>
          <w:sz w:val="16"/>
          <w:szCs w:val="16"/>
        </w:rPr>
        <w:t>vigésimo tercero.</w:t>
      </w:r>
    </w:p>
    <w:p w14:paraId="4535D023" w14:textId="441F3385" w:rsidR="00796918" w:rsidRPr="001236F3" w:rsidRDefault="00796918" w:rsidP="00C93061">
      <w:pPr>
        <w:spacing w:after="0" w:line="240" w:lineRule="auto"/>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EA0"/>
    <w:multiLevelType w:val="hybridMultilevel"/>
    <w:tmpl w:val="C456A8F4"/>
    <w:lvl w:ilvl="0" w:tplc="5566B49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5975AF"/>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E57391"/>
    <w:multiLevelType w:val="hybridMultilevel"/>
    <w:tmpl w:val="46F6D398"/>
    <w:lvl w:ilvl="0" w:tplc="0D0E0F66">
      <w:start w:val="1"/>
      <w:numFmt w:val="decimal"/>
      <w:lvlText w:val="%1."/>
      <w:lvlJc w:val="left"/>
      <w:pPr>
        <w:ind w:left="720" w:hanging="360"/>
      </w:pPr>
      <w:rPr>
        <w:rFonts w:ascii="Verdana" w:hAnsi="Verdana"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FFF21A0"/>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1EF7E60"/>
    <w:multiLevelType w:val="hybridMultilevel"/>
    <w:tmpl w:val="E7EE5104"/>
    <w:lvl w:ilvl="0" w:tplc="172A26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944D71"/>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D27152"/>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414D38"/>
    <w:multiLevelType w:val="hybridMultilevel"/>
    <w:tmpl w:val="46DE27E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DA2D9B"/>
    <w:multiLevelType w:val="hybridMultilevel"/>
    <w:tmpl w:val="22BCDA36"/>
    <w:lvl w:ilvl="0" w:tplc="FFCCD182">
      <w:start w:val="1"/>
      <w:numFmt w:val="decimal"/>
      <w:lvlText w:val="%1."/>
      <w:lvlJc w:val="left"/>
      <w:pPr>
        <w:ind w:left="36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31955B8"/>
    <w:multiLevelType w:val="hybridMultilevel"/>
    <w:tmpl w:val="75B8A852"/>
    <w:lvl w:ilvl="0" w:tplc="140A0017">
      <w:start w:val="1"/>
      <w:numFmt w:val="lowerLetter"/>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70B4581"/>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396D7B"/>
    <w:multiLevelType w:val="hybridMultilevel"/>
    <w:tmpl w:val="FF421822"/>
    <w:lvl w:ilvl="0" w:tplc="5770F51E">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C675C9F"/>
    <w:multiLevelType w:val="hybridMultilevel"/>
    <w:tmpl w:val="D0BAEABA"/>
    <w:lvl w:ilvl="0" w:tplc="6A56DE10">
      <w:start w:val="1"/>
      <w:numFmt w:val="lowerRoman"/>
      <w:lvlText w:val="%1)"/>
      <w:lvlJc w:val="left"/>
      <w:pPr>
        <w:ind w:left="1428" w:hanging="72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4ECD4BC6"/>
    <w:multiLevelType w:val="hybridMultilevel"/>
    <w:tmpl w:val="D0BAEABA"/>
    <w:lvl w:ilvl="0" w:tplc="6A56DE10">
      <w:start w:val="1"/>
      <w:numFmt w:val="lowerRoman"/>
      <w:lvlText w:val="%1)"/>
      <w:lvlJc w:val="left"/>
      <w:pPr>
        <w:ind w:left="1428" w:hanging="72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15:restartNumberingAfterBreak="0">
    <w:nsid w:val="5B1C7A63"/>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AE36050"/>
    <w:multiLevelType w:val="hybridMultilevel"/>
    <w:tmpl w:val="F4889BD4"/>
    <w:lvl w:ilvl="0" w:tplc="C38EB18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17326A"/>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BD754B7"/>
    <w:multiLevelType w:val="hybridMultilevel"/>
    <w:tmpl w:val="8BA4777A"/>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8F365A"/>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9712735"/>
    <w:multiLevelType w:val="hybridMultilevel"/>
    <w:tmpl w:val="6F187C08"/>
    <w:lvl w:ilvl="0" w:tplc="5566B49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C121A9D"/>
    <w:multiLevelType w:val="hybridMultilevel"/>
    <w:tmpl w:val="1F08C4D8"/>
    <w:lvl w:ilvl="0" w:tplc="1F5EA9CE">
      <w:start w:val="1"/>
      <w:numFmt w:val="decimal"/>
      <w:lvlText w:val="%1."/>
      <w:lvlJc w:val="left"/>
      <w:pPr>
        <w:ind w:left="360" w:hanging="360"/>
      </w:pPr>
      <w:rPr>
        <w:rFonts w:ascii="Verdana" w:hAnsi="Verdana" w:hint="default"/>
        <w:b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E6D61DF"/>
    <w:multiLevelType w:val="hybridMultilevel"/>
    <w:tmpl w:val="15641662"/>
    <w:lvl w:ilvl="0" w:tplc="BEE84FB2">
      <w:start w:val="1"/>
      <w:numFmt w:val="decimal"/>
      <w:lvlText w:val="%1."/>
      <w:lvlJc w:val="left"/>
      <w:pPr>
        <w:ind w:left="1080" w:hanging="720"/>
      </w:pPr>
      <w:rPr>
        <w:rFonts w:hint="default"/>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8"/>
  </w:num>
  <w:num w:numId="5">
    <w:abstractNumId w:val="13"/>
  </w:num>
  <w:num w:numId="6">
    <w:abstractNumId w:val="9"/>
  </w:num>
  <w:num w:numId="7">
    <w:abstractNumId w:val="3"/>
  </w:num>
  <w:num w:numId="8">
    <w:abstractNumId w:val="5"/>
  </w:num>
  <w:num w:numId="9">
    <w:abstractNumId w:val="16"/>
  </w:num>
  <w:num w:numId="10">
    <w:abstractNumId w:val="12"/>
  </w:num>
  <w:num w:numId="11">
    <w:abstractNumId w:val="11"/>
  </w:num>
  <w:num w:numId="12">
    <w:abstractNumId w:val="1"/>
  </w:num>
  <w:num w:numId="13">
    <w:abstractNumId w:val="6"/>
  </w:num>
  <w:num w:numId="14">
    <w:abstractNumId w:val="14"/>
  </w:num>
  <w:num w:numId="15">
    <w:abstractNumId w:val="4"/>
  </w:num>
  <w:num w:numId="16">
    <w:abstractNumId w:val="21"/>
  </w:num>
  <w:num w:numId="17">
    <w:abstractNumId w:val="15"/>
  </w:num>
  <w:num w:numId="18">
    <w:abstractNumId w:val="19"/>
  </w:num>
  <w:num w:numId="19">
    <w:abstractNumId w:val="0"/>
  </w:num>
  <w:num w:numId="20">
    <w:abstractNumId w:val="17"/>
  </w:num>
  <w:num w:numId="21">
    <w:abstractNumId w:val="18"/>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A6"/>
    <w:rsid w:val="0000040C"/>
    <w:rsid w:val="00003859"/>
    <w:rsid w:val="000068D5"/>
    <w:rsid w:val="00011D33"/>
    <w:rsid w:val="00012F6E"/>
    <w:rsid w:val="000165BD"/>
    <w:rsid w:val="00020990"/>
    <w:rsid w:val="00027599"/>
    <w:rsid w:val="000276EF"/>
    <w:rsid w:val="000307B8"/>
    <w:rsid w:val="00043671"/>
    <w:rsid w:val="000466B1"/>
    <w:rsid w:val="000474FA"/>
    <w:rsid w:val="00047A2F"/>
    <w:rsid w:val="00060225"/>
    <w:rsid w:val="00063386"/>
    <w:rsid w:val="00064EAB"/>
    <w:rsid w:val="000725E7"/>
    <w:rsid w:val="00073256"/>
    <w:rsid w:val="00087550"/>
    <w:rsid w:val="00090A93"/>
    <w:rsid w:val="00091687"/>
    <w:rsid w:val="000917CE"/>
    <w:rsid w:val="000A1727"/>
    <w:rsid w:val="000A36AD"/>
    <w:rsid w:val="000A4009"/>
    <w:rsid w:val="000B2655"/>
    <w:rsid w:val="000B2701"/>
    <w:rsid w:val="000B30E5"/>
    <w:rsid w:val="000C2D1A"/>
    <w:rsid w:val="000C57AF"/>
    <w:rsid w:val="000D07A4"/>
    <w:rsid w:val="000D481E"/>
    <w:rsid w:val="000E0FC8"/>
    <w:rsid w:val="000E3B5E"/>
    <w:rsid w:val="000E6932"/>
    <w:rsid w:val="000F0FDE"/>
    <w:rsid w:val="000F46A6"/>
    <w:rsid w:val="001027E8"/>
    <w:rsid w:val="00105240"/>
    <w:rsid w:val="00106ECB"/>
    <w:rsid w:val="001118C7"/>
    <w:rsid w:val="0011507D"/>
    <w:rsid w:val="00117048"/>
    <w:rsid w:val="00121116"/>
    <w:rsid w:val="00121C1D"/>
    <w:rsid w:val="001236F3"/>
    <w:rsid w:val="001315B7"/>
    <w:rsid w:val="00134197"/>
    <w:rsid w:val="0013484B"/>
    <w:rsid w:val="00137375"/>
    <w:rsid w:val="00137555"/>
    <w:rsid w:val="00143FFF"/>
    <w:rsid w:val="00151A88"/>
    <w:rsid w:val="0015218E"/>
    <w:rsid w:val="00157E4F"/>
    <w:rsid w:val="00162E9D"/>
    <w:rsid w:val="001634CE"/>
    <w:rsid w:val="001662BD"/>
    <w:rsid w:val="0016741D"/>
    <w:rsid w:val="0017087F"/>
    <w:rsid w:val="0017184F"/>
    <w:rsid w:val="00171CDB"/>
    <w:rsid w:val="001749D3"/>
    <w:rsid w:val="0017642D"/>
    <w:rsid w:val="001764DD"/>
    <w:rsid w:val="00184D33"/>
    <w:rsid w:val="00192803"/>
    <w:rsid w:val="001B1BA6"/>
    <w:rsid w:val="001B428C"/>
    <w:rsid w:val="001B605D"/>
    <w:rsid w:val="001D2CAB"/>
    <w:rsid w:val="001E08F7"/>
    <w:rsid w:val="001E6BF9"/>
    <w:rsid w:val="001E7CDF"/>
    <w:rsid w:val="001F158C"/>
    <w:rsid w:val="00202488"/>
    <w:rsid w:val="00221B53"/>
    <w:rsid w:val="0023130F"/>
    <w:rsid w:val="00231D73"/>
    <w:rsid w:val="00234E19"/>
    <w:rsid w:val="00256F89"/>
    <w:rsid w:val="002718F9"/>
    <w:rsid w:val="00276C5E"/>
    <w:rsid w:val="00276C90"/>
    <w:rsid w:val="00281039"/>
    <w:rsid w:val="0028292E"/>
    <w:rsid w:val="002960A0"/>
    <w:rsid w:val="002A2216"/>
    <w:rsid w:val="002A4F24"/>
    <w:rsid w:val="002B1772"/>
    <w:rsid w:val="002C1BC1"/>
    <w:rsid w:val="002C35EC"/>
    <w:rsid w:val="002D1524"/>
    <w:rsid w:val="002D720B"/>
    <w:rsid w:val="002E291D"/>
    <w:rsid w:val="002E4792"/>
    <w:rsid w:val="002E4B2E"/>
    <w:rsid w:val="002F1B57"/>
    <w:rsid w:val="00303B43"/>
    <w:rsid w:val="0030668A"/>
    <w:rsid w:val="00307A1C"/>
    <w:rsid w:val="00314939"/>
    <w:rsid w:val="0032054F"/>
    <w:rsid w:val="00337240"/>
    <w:rsid w:val="0034091B"/>
    <w:rsid w:val="0034122A"/>
    <w:rsid w:val="003574F2"/>
    <w:rsid w:val="00362948"/>
    <w:rsid w:val="003843DE"/>
    <w:rsid w:val="00390202"/>
    <w:rsid w:val="003A0683"/>
    <w:rsid w:val="003A7F33"/>
    <w:rsid w:val="003B1EC6"/>
    <w:rsid w:val="003B4622"/>
    <w:rsid w:val="003B6423"/>
    <w:rsid w:val="003B7B4C"/>
    <w:rsid w:val="003B7E80"/>
    <w:rsid w:val="003C2077"/>
    <w:rsid w:val="003C3BC4"/>
    <w:rsid w:val="003D1230"/>
    <w:rsid w:val="003D673B"/>
    <w:rsid w:val="003E487E"/>
    <w:rsid w:val="00403B3B"/>
    <w:rsid w:val="004073E5"/>
    <w:rsid w:val="00422F7E"/>
    <w:rsid w:val="00434930"/>
    <w:rsid w:val="00456D3F"/>
    <w:rsid w:val="00457172"/>
    <w:rsid w:val="004571EC"/>
    <w:rsid w:val="00462F70"/>
    <w:rsid w:val="0046457E"/>
    <w:rsid w:val="00473873"/>
    <w:rsid w:val="004769E8"/>
    <w:rsid w:val="00484DB9"/>
    <w:rsid w:val="00484EA4"/>
    <w:rsid w:val="00491F8A"/>
    <w:rsid w:val="004A1D1A"/>
    <w:rsid w:val="004A4E86"/>
    <w:rsid w:val="004A798E"/>
    <w:rsid w:val="004A7E66"/>
    <w:rsid w:val="004B1B5D"/>
    <w:rsid w:val="004B6197"/>
    <w:rsid w:val="004C24B0"/>
    <w:rsid w:val="004C5816"/>
    <w:rsid w:val="004D2BB1"/>
    <w:rsid w:val="004D4215"/>
    <w:rsid w:val="004E0DD4"/>
    <w:rsid w:val="004F6674"/>
    <w:rsid w:val="0050112C"/>
    <w:rsid w:val="00503DD1"/>
    <w:rsid w:val="00506B11"/>
    <w:rsid w:val="00513B57"/>
    <w:rsid w:val="005140D1"/>
    <w:rsid w:val="00522275"/>
    <w:rsid w:val="005300EC"/>
    <w:rsid w:val="005349B3"/>
    <w:rsid w:val="005353D5"/>
    <w:rsid w:val="0053657D"/>
    <w:rsid w:val="00546046"/>
    <w:rsid w:val="00552144"/>
    <w:rsid w:val="00554C1F"/>
    <w:rsid w:val="00556011"/>
    <w:rsid w:val="00562AB5"/>
    <w:rsid w:val="0056595A"/>
    <w:rsid w:val="00567615"/>
    <w:rsid w:val="00583A05"/>
    <w:rsid w:val="00585DBA"/>
    <w:rsid w:val="00586203"/>
    <w:rsid w:val="00586E74"/>
    <w:rsid w:val="00590FB4"/>
    <w:rsid w:val="00591963"/>
    <w:rsid w:val="0059423C"/>
    <w:rsid w:val="005A6EB4"/>
    <w:rsid w:val="005B1459"/>
    <w:rsid w:val="005B47C9"/>
    <w:rsid w:val="005B6844"/>
    <w:rsid w:val="005B6D86"/>
    <w:rsid w:val="005C0450"/>
    <w:rsid w:val="005C1CD5"/>
    <w:rsid w:val="005C74F7"/>
    <w:rsid w:val="005D1BB8"/>
    <w:rsid w:val="005D36E3"/>
    <w:rsid w:val="005D5B3C"/>
    <w:rsid w:val="005E630A"/>
    <w:rsid w:val="005E663D"/>
    <w:rsid w:val="005F1CA6"/>
    <w:rsid w:val="005F7CBD"/>
    <w:rsid w:val="0060637B"/>
    <w:rsid w:val="0060722F"/>
    <w:rsid w:val="00611342"/>
    <w:rsid w:val="006203FD"/>
    <w:rsid w:val="006247B5"/>
    <w:rsid w:val="0064124B"/>
    <w:rsid w:val="00644C7F"/>
    <w:rsid w:val="006471EB"/>
    <w:rsid w:val="00652909"/>
    <w:rsid w:val="006556B9"/>
    <w:rsid w:val="00657CF1"/>
    <w:rsid w:val="00657F34"/>
    <w:rsid w:val="006672EC"/>
    <w:rsid w:val="00676DE8"/>
    <w:rsid w:val="00684EC1"/>
    <w:rsid w:val="00687CC8"/>
    <w:rsid w:val="0069020D"/>
    <w:rsid w:val="006903A4"/>
    <w:rsid w:val="006B37B5"/>
    <w:rsid w:val="006B4A73"/>
    <w:rsid w:val="006C4A5D"/>
    <w:rsid w:val="006D5C1C"/>
    <w:rsid w:val="006E1368"/>
    <w:rsid w:val="006E1E17"/>
    <w:rsid w:val="006E5E0E"/>
    <w:rsid w:val="006E68DF"/>
    <w:rsid w:val="006E6CA3"/>
    <w:rsid w:val="006E772C"/>
    <w:rsid w:val="006F0571"/>
    <w:rsid w:val="006F1C7D"/>
    <w:rsid w:val="00703B92"/>
    <w:rsid w:val="00704091"/>
    <w:rsid w:val="007201C3"/>
    <w:rsid w:val="007231DE"/>
    <w:rsid w:val="00725B1E"/>
    <w:rsid w:val="00726255"/>
    <w:rsid w:val="00732D9B"/>
    <w:rsid w:val="0073410A"/>
    <w:rsid w:val="007347D5"/>
    <w:rsid w:val="00740EA4"/>
    <w:rsid w:val="0074597A"/>
    <w:rsid w:val="00753405"/>
    <w:rsid w:val="00757AE9"/>
    <w:rsid w:val="00761C37"/>
    <w:rsid w:val="00764C29"/>
    <w:rsid w:val="00767267"/>
    <w:rsid w:val="00771E8F"/>
    <w:rsid w:val="00781D79"/>
    <w:rsid w:val="007821F4"/>
    <w:rsid w:val="00796918"/>
    <w:rsid w:val="007A08F1"/>
    <w:rsid w:val="007B2EB4"/>
    <w:rsid w:val="007C5137"/>
    <w:rsid w:val="007D09ED"/>
    <w:rsid w:val="007D40D1"/>
    <w:rsid w:val="007D5C19"/>
    <w:rsid w:val="007D7DAA"/>
    <w:rsid w:val="007E4289"/>
    <w:rsid w:val="007E64CD"/>
    <w:rsid w:val="007F7725"/>
    <w:rsid w:val="008002E4"/>
    <w:rsid w:val="00802B40"/>
    <w:rsid w:val="008102D0"/>
    <w:rsid w:val="008174C8"/>
    <w:rsid w:val="00825907"/>
    <w:rsid w:val="008334F8"/>
    <w:rsid w:val="00834908"/>
    <w:rsid w:val="0084365E"/>
    <w:rsid w:val="00844510"/>
    <w:rsid w:val="00847C10"/>
    <w:rsid w:val="00852ED1"/>
    <w:rsid w:val="00861C0E"/>
    <w:rsid w:val="00866CE5"/>
    <w:rsid w:val="00884FC1"/>
    <w:rsid w:val="008943DD"/>
    <w:rsid w:val="00895587"/>
    <w:rsid w:val="008A341F"/>
    <w:rsid w:val="008A7D45"/>
    <w:rsid w:val="008B7E8C"/>
    <w:rsid w:val="008C166D"/>
    <w:rsid w:val="008C7A88"/>
    <w:rsid w:val="008F11AB"/>
    <w:rsid w:val="008F24B2"/>
    <w:rsid w:val="008F409D"/>
    <w:rsid w:val="008F49ED"/>
    <w:rsid w:val="0090778A"/>
    <w:rsid w:val="009100DF"/>
    <w:rsid w:val="009118AA"/>
    <w:rsid w:val="00911D41"/>
    <w:rsid w:val="00913E76"/>
    <w:rsid w:val="00922BF9"/>
    <w:rsid w:val="009351E6"/>
    <w:rsid w:val="00944B2A"/>
    <w:rsid w:val="00946229"/>
    <w:rsid w:val="0095218C"/>
    <w:rsid w:val="00954807"/>
    <w:rsid w:val="009553EB"/>
    <w:rsid w:val="00955481"/>
    <w:rsid w:val="00961400"/>
    <w:rsid w:val="00975940"/>
    <w:rsid w:val="00986596"/>
    <w:rsid w:val="00986A62"/>
    <w:rsid w:val="0099752C"/>
    <w:rsid w:val="009A339E"/>
    <w:rsid w:val="009A7584"/>
    <w:rsid w:val="009B723B"/>
    <w:rsid w:val="009B7B87"/>
    <w:rsid w:val="009C0591"/>
    <w:rsid w:val="009D0DFF"/>
    <w:rsid w:val="009D13F7"/>
    <w:rsid w:val="009D3FAA"/>
    <w:rsid w:val="009D7A98"/>
    <w:rsid w:val="009E343B"/>
    <w:rsid w:val="009E46AF"/>
    <w:rsid w:val="009E724B"/>
    <w:rsid w:val="009E72B5"/>
    <w:rsid w:val="009F3835"/>
    <w:rsid w:val="009F491B"/>
    <w:rsid w:val="009F55B9"/>
    <w:rsid w:val="00A02111"/>
    <w:rsid w:val="00A06BC5"/>
    <w:rsid w:val="00A126B6"/>
    <w:rsid w:val="00A2350B"/>
    <w:rsid w:val="00A2476A"/>
    <w:rsid w:val="00A27126"/>
    <w:rsid w:val="00A35820"/>
    <w:rsid w:val="00A35A4E"/>
    <w:rsid w:val="00A607D8"/>
    <w:rsid w:val="00A61DF2"/>
    <w:rsid w:val="00A63FFE"/>
    <w:rsid w:val="00A72B51"/>
    <w:rsid w:val="00A86659"/>
    <w:rsid w:val="00A86F51"/>
    <w:rsid w:val="00AA2C74"/>
    <w:rsid w:val="00AA4CEA"/>
    <w:rsid w:val="00AB243E"/>
    <w:rsid w:val="00AB6653"/>
    <w:rsid w:val="00AC4FBD"/>
    <w:rsid w:val="00AD71FD"/>
    <w:rsid w:val="00AE5F6E"/>
    <w:rsid w:val="00AE7D4E"/>
    <w:rsid w:val="00AF444A"/>
    <w:rsid w:val="00B0340A"/>
    <w:rsid w:val="00B04B66"/>
    <w:rsid w:val="00B118E6"/>
    <w:rsid w:val="00B12754"/>
    <w:rsid w:val="00B210B4"/>
    <w:rsid w:val="00B33373"/>
    <w:rsid w:val="00B36404"/>
    <w:rsid w:val="00B36758"/>
    <w:rsid w:val="00B415A8"/>
    <w:rsid w:val="00B419B0"/>
    <w:rsid w:val="00B44A00"/>
    <w:rsid w:val="00B4733C"/>
    <w:rsid w:val="00B649ED"/>
    <w:rsid w:val="00B65FEB"/>
    <w:rsid w:val="00B716FC"/>
    <w:rsid w:val="00B72DFC"/>
    <w:rsid w:val="00B731C9"/>
    <w:rsid w:val="00B91CD5"/>
    <w:rsid w:val="00BA1174"/>
    <w:rsid w:val="00BB23AC"/>
    <w:rsid w:val="00BD28DE"/>
    <w:rsid w:val="00BD45D4"/>
    <w:rsid w:val="00BD68C1"/>
    <w:rsid w:val="00BE2356"/>
    <w:rsid w:val="00BE4715"/>
    <w:rsid w:val="00BF2EA6"/>
    <w:rsid w:val="00BF388F"/>
    <w:rsid w:val="00BF5688"/>
    <w:rsid w:val="00BF711D"/>
    <w:rsid w:val="00C06FB1"/>
    <w:rsid w:val="00C1084B"/>
    <w:rsid w:val="00C171D1"/>
    <w:rsid w:val="00C32E4D"/>
    <w:rsid w:val="00C37EA4"/>
    <w:rsid w:val="00C4013E"/>
    <w:rsid w:val="00C434FA"/>
    <w:rsid w:val="00C43FC2"/>
    <w:rsid w:val="00C4613B"/>
    <w:rsid w:val="00C4793B"/>
    <w:rsid w:val="00C558FB"/>
    <w:rsid w:val="00C56C70"/>
    <w:rsid w:val="00C60F4D"/>
    <w:rsid w:val="00C70640"/>
    <w:rsid w:val="00C73342"/>
    <w:rsid w:val="00C8147E"/>
    <w:rsid w:val="00C93061"/>
    <w:rsid w:val="00CA1170"/>
    <w:rsid w:val="00CA4041"/>
    <w:rsid w:val="00CA5549"/>
    <w:rsid w:val="00CA6A66"/>
    <w:rsid w:val="00CB7492"/>
    <w:rsid w:val="00CB74A0"/>
    <w:rsid w:val="00CC2148"/>
    <w:rsid w:val="00CC4B19"/>
    <w:rsid w:val="00CC70C4"/>
    <w:rsid w:val="00CD1EBB"/>
    <w:rsid w:val="00CD7361"/>
    <w:rsid w:val="00CE43A6"/>
    <w:rsid w:val="00CE4CA2"/>
    <w:rsid w:val="00CE6A12"/>
    <w:rsid w:val="00CE7F1E"/>
    <w:rsid w:val="00CF162A"/>
    <w:rsid w:val="00CF1F2B"/>
    <w:rsid w:val="00CF365F"/>
    <w:rsid w:val="00CF62B0"/>
    <w:rsid w:val="00D02501"/>
    <w:rsid w:val="00D05FAE"/>
    <w:rsid w:val="00D0721B"/>
    <w:rsid w:val="00D16912"/>
    <w:rsid w:val="00D17F90"/>
    <w:rsid w:val="00D228E6"/>
    <w:rsid w:val="00D26E11"/>
    <w:rsid w:val="00D305FF"/>
    <w:rsid w:val="00D309C9"/>
    <w:rsid w:val="00D31EE3"/>
    <w:rsid w:val="00D3201A"/>
    <w:rsid w:val="00D320DA"/>
    <w:rsid w:val="00D424EC"/>
    <w:rsid w:val="00D469AB"/>
    <w:rsid w:val="00D46C1F"/>
    <w:rsid w:val="00D633EB"/>
    <w:rsid w:val="00D6370F"/>
    <w:rsid w:val="00D7286C"/>
    <w:rsid w:val="00D73527"/>
    <w:rsid w:val="00D8484B"/>
    <w:rsid w:val="00D86E50"/>
    <w:rsid w:val="00D93322"/>
    <w:rsid w:val="00DA559A"/>
    <w:rsid w:val="00DB1F83"/>
    <w:rsid w:val="00DC4437"/>
    <w:rsid w:val="00DC507E"/>
    <w:rsid w:val="00DC5366"/>
    <w:rsid w:val="00DC7E2D"/>
    <w:rsid w:val="00DE1392"/>
    <w:rsid w:val="00DE2ED3"/>
    <w:rsid w:val="00DF0B56"/>
    <w:rsid w:val="00DF37FE"/>
    <w:rsid w:val="00DF4926"/>
    <w:rsid w:val="00E05C3B"/>
    <w:rsid w:val="00E138EA"/>
    <w:rsid w:val="00E31C4E"/>
    <w:rsid w:val="00E4018B"/>
    <w:rsid w:val="00E4372E"/>
    <w:rsid w:val="00E4777E"/>
    <w:rsid w:val="00E5177C"/>
    <w:rsid w:val="00E538EE"/>
    <w:rsid w:val="00E5423B"/>
    <w:rsid w:val="00E61F22"/>
    <w:rsid w:val="00E652DA"/>
    <w:rsid w:val="00E81E07"/>
    <w:rsid w:val="00E85B51"/>
    <w:rsid w:val="00E8694B"/>
    <w:rsid w:val="00E9171A"/>
    <w:rsid w:val="00E9420D"/>
    <w:rsid w:val="00E96EE9"/>
    <w:rsid w:val="00E97C13"/>
    <w:rsid w:val="00EA32CA"/>
    <w:rsid w:val="00EB3088"/>
    <w:rsid w:val="00EB6C40"/>
    <w:rsid w:val="00EC00B5"/>
    <w:rsid w:val="00EC3C08"/>
    <w:rsid w:val="00EE5452"/>
    <w:rsid w:val="00EF0C24"/>
    <w:rsid w:val="00EF0FE4"/>
    <w:rsid w:val="00EF5AC4"/>
    <w:rsid w:val="00EF61E3"/>
    <w:rsid w:val="00F03123"/>
    <w:rsid w:val="00F152DE"/>
    <w:rsid w:val="00F25A52"/>
    <w:rsid w:val="00F34F42"/>
    <w:rsid w:val="00F35517"/>
    <w:rsid w:val="00F3588C"/>
    <w:rsid w:val="00F5678F"/>
    <w:rsid w:val="00F6067F"/>
    <w:rsid w:val="00F61F75"/>
    <w:rsid w:val="00F66E8D"/>
    <w:rsid w:val="00F66F21"/>
    <w:rsid w:val="00F8071F"/>
    <w:rsid w:val="00F84D35"/>
    <w:rsid w:val="00F8575C"/>
    <w:rsid w:val="00F96834"/>
    <w:rsid w:val="00FA4561"/>
    <w:rsid w:val="00FB03A0"/>
    <w:rsid w:val="00FB0732"/>
    <w:rsid w:val="00FB0B24"/>
    <w:rsid w:val="00FB472A"/>
    <w:rsid w:val="00FB7242"/>
    <w:rsid w:val="00FB7EBE"/>
    <w:rsid w:val="00FC6ECF"/>
    <w:rsid w:val="00FC7B3A"/>
    <w:rsid w:val="00FE16E2"/>
    <w:rsid w:val="00FE44C0"/>
    <w:rsid w:val="00FF0F47"/>
    <w:rsid w:val="00FF48FE"/>
    <w:rsid w:val="00FF5183"/>
    <w:rsid w:val="00FF5F4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534B5EE"/>
  <w15:docId w15:val="{CE3DFCD2-068B-4AD4-ADA1-01C20A04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3A6"/>
    <w:pPr>
      <w:spacing w:after="200" w:line="276" w:lineRule="auto"/>
    </w:pPr>
  </w:style>
  <w:style w:type="paragraph" w:styleId="Ttulo1">
    <w:name w:val="heading 1"/>
    <w:aliases w:val="Título Verdana"/>
    <w:basedOn w:val="Normal"/>
    <w:next w:val="Normal"/>
    <w:link w:val="Ttulo1Car1"/>
    <w:autoRedefine/>
    <w:qFormat/>
    <w:rsid w:val="00CE43A6"/>
    <w:pPr>
      <w:keepNext/>
      <w:shd w:val="clear" w:color="auto" w:fill="FFFFFF"/>
      <w:spacing w:after="0" w:line="240" w:lineRule="auto"/>
      <w:jc w:val="both"/>
      <w:outlineLvl w:val="0"/>
    </w:pPr>
    <w:rPr>
      <w:rFonts w:ascii="Verdana" w:eastAsia="Batang" w:hAnsi="Verdana" w:cs="Times New Roman"/>
      <w:bCs/>
      <w:kern w:val="32"/>
      <w:sz w:val="16"/>
      <w:szCs w:val="1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E43A6"/>
    <w:rPr>
      <w:rFonts w:asciiTheme="majorHAnsi" w:eastAsiaTheme="majorEastAsia" w:hAnsiTheme="majorHAnsi" w:cstheme="majorBidi"/>
      <w:color w:val="2E74B5" w:themeColor="accent1" w:themeShade="BF"/>
      <w:sz w:val="32"/>
      <w:szCs w:val="32"/>
    </w:rPr>
  </w:style>
  <w:style w:type="paragraph" w:styleId="Prrafodelista">
    <w:name w:val="List Paragraph"/>
    <w:aliases w:val="Footnote,Párrafo de lista1,Colorful List - Accent 11,Cuadrícula clara - Énfasis 31,List Paragraph1,List Paragraph2,Lista vistosa - Énfasis 11"/>
    <w:basedOn w:val="Normal"/>
    <w:link w:val="PrrafodelistaCar"/>
    <w:uiPriority w:val="34"/>
    <w:qFormat/>
    <w:rsid w:val="00CE43A6"/>
    <w:pPr>
      <w:ind w:left="720"/>
      <w:contextualSpacing/>
    </w:pPr>
  </w:style>
  <w:style w:type="paragraph" w:styleId="Textonotapie">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TextonotapieCar"/>
    <w:unhideWhenUsed/>
    <w:qFormat/>
    <w:rsid w:val="00CE43A6"/>
    <w:pPr>
      <w:spacing w:after="0" w:line="240" w:lineRule="auto"/>
    </w:pPr>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ootnote Text Cha Car,FA Fußnotentext Car,FA Fuﬂnotentext Car,FA Fu Car Car,Ca Car"/>
    <w:basedOn w:val="Fuentedeprrafopredeter"/>
    <w:link w:val="Textonotapie"/>
    <w:qFormat/>
    <w:rsid w:val="00CE43A6"/>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E43A6"/>
    <w:rPr>
      <w:vertAlign w:val="superscript"/>
    </w:rPr>
  </w:style>
  <w:style w:type="character" w:styleId="Hipervnculo">
    <w:name w:val="Hyperlink"/>
    <w:basedOn w:val="Fuentedeprrafopredeter"/>
    <w:uiPriority w:val="99"/>
    <w:unhideWhenUsed/>
    <w:rsid w:val="00CE43A6"/>
    <w:rPr>
      <w:color w:val="0563C1" w:themeColor="hyperlink"/>
      <w:u w:val="single"/>
    </w:rPr>
  </w:style>
  <w:style w:type="character" w:customStyle="1" w:styleId="PrrafodelistaCar">
    <w:name w:val="Párrafo de lista Car"/>
    <w:aliases w:val="Footnote Car,Párrafo de lista1 Car,Colorful List - Accent 11 Car,Cuadrícula clara - Énfasis 31 Car,List Paragraph1 Car,List Paragraph2 Car,Lista vistosa - Énfasis 11 Car"/>
    <w:link w:val="Prrafodelista"/>
    <w:uiPriority w:val="34"/>
    <w:locked/>
    <w:rsid w:val="00CE43A6"/>
  </w:style>
  <w:style w:type="character" w:styleId="Textoennegrita">
    <w:name w:val="Strong"/>
    <w:basedOn w:val="Fuentedeprrafopredeter"/>
    <w:uiPriority w:val="22"/>
    <w:qFormat/>
    <w:rsid w:val="00CE43A6"/>
    <w:rPr>
      <w:b/>
      <w:bCs/>
    </w:rPr>
  </w:style>
  <w:style w:type="character" w:styleId="Refdecomentario">
    <w:name w:val="annotation reference"/>
    <w:basedOn w:val="Fuentedeprrafopredeter"/>
    <w:uiPriority w:val="99"/>
    <w:semiHidden/>
    <w:unhideWhenUsed/>
    <w:rsid w:val="00CE43A6"/>
    <w:rPr>
      <w:sz w:val="16"/>
      <w:szCs w:val="16"/>
    </w:rPr>
  </w:style>
  <w:style w:type="paragraph" w:styleId="Textocomentario">
    <w:name w:val="annotation text"/>
    <w:basedOn w:val="Normal"/>
    <w:link w:val="TextocomentarioCar"/>
    <w:uiPriority w:val="99"/>
    <w:semiHidden/>
    <w:unhideWhenUsed/>
    <w:rsid w:val="00CE4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3A6"/>
    <w:rPr>
      <w:sz w:val="20"/>
      <w:szCs w:val="20"/>
    </w:rPr>
  </w:style>
  <w:style w:type="paragraph" w:styleId="Asuntodelcomentario">
    <w:name w:val="annotation subject"/>
    <w:basedOn w:val="Textocomentario"/>
    <w:next w:val="Textocomentario"/>
    <w:link w:val="AsuntodelcomentarioCar"/>
    <w:uiPriority w:val="99"/>
    <w:semiHidden/>
    <w:unhideWhenUsed/>
    <w:rsid w:val="00CE43A6"/>
    <w:rPr>
      <w:b/>
      <w:bCs/>
    </w:rPr>
  </w:style>
  <w:style w:type="character" w:customStyle="1" w:styleId="AsuntodelcomentarioCar">
    <w:name w:val="Asunto del comentario Car"/>
    <w:basedOn w:val="TextocomentarioCar"/>
    <w:link w:val="Asuntodelcomentario"/>
    <w:uiPriority w:val="99"/>
    <w:semiHidden/>
    <w:rsid w:val="00CE43A6"/>
    <w:rPr>
      <w:b/>
      <w:bCs/>
      <w:sz w:val="20"/>
      <w:szCs w:val="20"/>
    </w:rPr>
  </w:style>
  <w:style w:type="paragraph" w:styleId="Textodeglobo">
    <w:name w:val="Balloon Text"/>
    <w:basedOn w:val="Normal"/>
    <w:link w:val="TextodegloboCar"/>
    <w:uiPriority w:val="99"/>
    <w:semiHidden/>
    <w:unhideWhenUsed/>
    <w:rsid w:val="00CE4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A6"/>
    <w:rPr>
      <w:rFonts w:ascii="Tahoma" w:hAnsi="Tahoma" w:cs="Tahoma"/>
      <w:sz w:val="16"/>
      <w:szCs w:val="16"/>
    </w:rPr>
  </w:style>
  <w:style w:type="paragraph" w:customStyle="1" w:styleId="Default">
    <w:name w:val="Default"/>
    <w:rsid w:val="00CE43A6"/>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CE4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3A6"/>
  </w:style>
  <w:style w:type="paragraph" w:styleId="Piedepgina">
    <w:name w:val="footer"/>
    <w:basedOn w:val="Normal"/>
    <w:link w:val="PiedepginaCar"/>
    <w:uiPriority w:val="99"/>
    <w:unhideWhenUsed/>
    <w:rsid w:val="00CE4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3A6"/>
  </w:style>
  <w:style w:type="character" w:styleId="Nmerodelnea">
    <w:name w:val="line number"/>
    <w:basedOn w:val="Fuentedeprrafopredeter"/>
    <w:uiPriority w:val="99"/>
    <w:semiHidden/>
    <w:unhideWhenUsed/>
    <w:rsid w:val="00CE43A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E43A6"/>
    <w:pPr>
      <w:spacing w:after="0" w:line="240" w:lineRule="auto"/>
      <w:jc w:val="both"/>
    </w:pPr>
    <w:rPr>
      <w:vertAlign w:val="superscript"/>
    </w:rPr>
  </w:style>
  <w:style w:type="character" w:styleId="Hipervnculovisitado">
    <w:name w:val="FollowedHyperlink"/>
    <w:basedOn w:val="Fuentedeprrafopredeter"/>
    <w:uiPriority w:val="99"/>
    <w:semiHidden/>
    <w:unhideWhenUsed/>
    <w:rsid w:val="00CE43A6"/>
    <w:rPr>
      <w:color w:val="954F72" w:themeColor="followedHyperlink"/>
      <w:u w:val="single"/>
    </w:rPr>
  </w:style>
  <w:style w:type="character" w:customStyle="1" w:styleId="apple-converted-space">
    <w:name w:val="apple-converted-space"/>
    <w:basedOn w:val="Fuentedeprrafopredeter"/>
    <w:rsid w:val="00CE43A6"/>
  </w:style>
  <w:style w:type="character" w:styleId="nfasis">
    <w:name w:val="Emphasis"/>
    <w:basedOn w:val="Fuentedeprrafopredeter"/>
    <w:uiPriority w:val="20"/>
    <w:qFormat/>
    <w:rsid w:val="00CE43A6"/>
    <w:rPr>
      <w:i/>
      <w:iCs/>
    </w:rPr>
  </w:style>
  <w:style w:type="character" w:customStyle="1" w:styleId="Ttulo1Car1">
    <w:name w:val="Título 1 Car1"/>
    <w:aliases w:val="Título Verdana Car"/>
    <w:basedOn w:val="Fuentedeprrafopredeter"/>
    <w:link w:val="Ttulo1"/>
    <w:rsid w:val="00CE43A6"/>
    <w:rPr>
      <w:rFonts w:ascii="Verdana" w:eastAsia="Batang" w:hAnsi="Verdana" w:cs="Times New Roman"/>
      <w:bCs/>
      <w:kern w:val="32"/>
      <w:sz w:val="16"/>
      <w:szCs w:val="16"/>
      <w:shd w:val="clear" w:color="auto" w:fill="FFFFFF"/>
      <w:lang w:val="es-AR"/>
    </w:rPr>
  </w:style>
  <w:style w:type="paragraph" w:styleId="Textonotaalfinal">
    <w:name w:val="endnote text"/>
    <w:basedOn w:val="Normal"/>
    <w:link w:val="TextonotaalfinalCar"/>
    <w:uiPriority w:val="99"/>
    <w:semiHidden/>
    <w:unhideWhenUsed/>
    <w:rsid w:val="00CE43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43A6"/>
    <w:rPr>
      <w:sz w:val="20"/>
      <w:szCs w:val="20"/>
    </w:rPr>
  </w:style>
  <w:style w:type="character" w:styleId="Refdenotaalfinal">
    <w:name w:val="endnote reference"/>
    <w:basedOn w:val="Fuentedeprrafopredeter"/>
    <w:uiPriority w:val="99"/>
    <w:semiHidden/>
    <w:unhideWhenUsed/>
    <w:rsid w:val="00CE43A6"/>
    <w:rPr>
      <w:vertAlign w:val="superscript"/>
    </w:rPr>
  </w:style>
  <w:style w:type="character" w:styleId="nfasisintenso">
    <w:name w:val="Intense Emphasis"/>
    <w:basedOn w:val="Fuentedeprrafopredeter"/>
    <w:uiPriority w:val="21"/>
    <w:qFormat/>
    <w:rsid w:val="00151A88"/>
    <w:rPr>
      <w:i/>
      <w:iCs/>
      <w:color w:val="5B9BD5" w:themeColor="accent1"/>
    </w:rPr>
  </w:style>
  <w:style w:type="character" w:styleId="Textodelmarcadordeposicin">
    <w:name w:val="Placeholder Text"/>
    <w:basedOn w:val="Fuentedeprrafopredeter"/>
    <w:uiPriority w:val="99"/>
    <w:semiHidden/>
    <w:rsid w:val="004B6197"/>
    <w:rPr>
      <w:color w:val="808080"/>
    </w:rPr>
  </w:style>
  <w:style w:type="character" w:customStyle="1" w:styleId="eacep">
    <w:name w:val="eacep"/>
    <w:basedOn w:val="Fuentedeprrafopredeter"/>
    <w:rsid w:val="00E5423B"/>
  </w:style>
  <w:style w:type="paragraph" w:styleId="NormalWeb">
    <w:name w:val="Normal (Web)"/>
    <w:basedOn w:val="Normal"/>
    <w:uiPriority w:val="99"/>
    <w:semiHidden/>
    <w:unhideWhenUsed/>
    <w:rsid w:val="00A61D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5E663D"/>
    <w:pPr>
      <w:spacing w:after="100"/>
    </w:pPr>
  </w:style>
  <w:style w:type="character" w:styleId="Ttulodellibro">
    <w:name w:val="Book Title"/>
    <w:basedOn w:val="Fuentedeprrafopredeter"/>
    <w:uiPriority w:val="33"/>
    <w:qFormat/>
    <w:rsid w:val="004A798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samblea.gob.sv/node/8996" TargetMode="External"/><Relationship Id="rId3" Type="http://schemas.openxmlformats.org/officeDocument/2006/relationships/hyperlink" Target="http://www.corteidh.or.cr/docs/supervisiones/mozote_31_08_17.pdf" TargetMode="External"/><Relationship Id="rId7" Type="http://schemas.openxmlformats.org/officeDocument/2006/relationships/hyperlink" Target="http://ow.ly/d/7MZW" TargetMode="External"/><Relationship Id="rId2" Type="http://schemas.openxmlformats.org/officeDocument/2006/relationships/hyperlink" Target="http://www.corteidh.or.cr/docs/supervisiones/mozote_03_05_16.pdf" TargetMode="External"/><Relationship Id="rId1" Type="http://schemas.openxmlformats.org/officeDocument/2006/relationships/hyperlink" Target="http://corteidh.or.cr/docs/casos/articulos/seriec_252_esp.pdf" TargetMode="External"/><Relationship Id="rId6" Type="http://schemas.openxmlformats.org/officeDocument/2006/relationships/hyperlink" Target="http://www.corteidh.or.cr/docs/medidas/mozote_se_01.pdf" TargetMode="External"/><Relationship Id="rId5" Type="http://schemas.openxmlformats.org/officeDocument/2006/relationships/hyperlink" Target="http://www.corteidh.or.cr/docs/supervisiones/mozote_28_11_18.pdf" TargetMode="External"/><Relationship Id="rId4" Type="http://schemas.openxmlformats.org/officeDocument/2006/relationships/hyperlink" Target="http://www.corteidh.or.cr/docs/supervisiones/mozote_30_05_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D5A4-0B06-4044-9D81-F682D4A7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7736</Words>
  <Characters>42550</Characters>
  <Application>Microsoft Office Word</Application>
  <DocSecurity>4</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2</cp:revision>
  <cp:lastPrinted>2019-09-20T22:33:00Z</cp:lastPrinted>
  <dcterms:created xsi:type="dcterms:W3CDTF">2019-09-24T20:09:00Z</dcterms:created>
  <dcterms:modified xsi:type="dcterms:W3CDTF">2019-09-24T20:09:00Z</dcterms:modified>
</cp:coreProperties>
</file>