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61B07" w14:textId="77777777" w:rsidR="00553C0C" w:rsidRDefault="00553C0C" w:rsidP="000C3A59">
      <w:pPr>
        <w:rPr>
          <w:rFonts w:ascii="Verdana" w:hAnsi="Verdana"/>
        </w:rPr>
      </w:pPr>
    </w:p>
    <w:p w14:paraId="0BD662C9" w14:textId="77777777" w:rsidR="00EF4192" w:rsidRDefault="00EF4192" w:rsidP="000C3A59">
      <w:pPr>
        <w:rPr>
          <w:rFonts w:ascii="Verdana" w:hAnsi="Verdana"/>
        </w:rPr>
      </w:pPr>
    </w:p>
    <w:p w14:paraId="19BB1DF2" w14:textId="77777777" w:rsidR="00EF4192" w:rsidRDefault="00EF4192" w:rsidP="000C3A59">
      <w:pPr>
        <w:rPr>
          <w:rFonts w:ascii="Verdana" w:hAnsi="Verdana"/>
        </w:rPr>
      </w:pPr>
    </w:p>
    <w:p w14:paraId="2393892C" w14:textId="77777777" w:rsidR="00EF4192" w:rsidRDefault="00EF4192" w:rsidP="000C3A59">
      <w:pPr>
        <w:rPr>
          <w:rFonts w:ascii="Verdana" w:hAnsi="Verdana"/>
        </w:rPr>
      </w:pPr>
    </w:p>
    <w:p w14:paraId="6995A01C" w14:textId="77777777" w:rsidR="00EF4192" w:rsidRDefault="00EF4192" w:rsidP="000C3A59">
      <w:pPr>
        <w:rPr>
          <w:rFonts w:ascii="Verdana" w:hAnsi="Verdana"/>
        </w:rPr>
      </w:pPr>
    </w:p>
    <w:p w14:paraId="71BA70BD" w14:textId="77777777" w:rsidR="00EF4192" w:rsidRDefault="00EF4192" w:rsidP="000C3A59">
      <w:pPr>
        <w:rPr>
          <w:rFonts w:ascii="Verdana" w:hAnsi="Verdana"/>
        </w:rPr>
      </w:pPr>
    </w:p>
    <w:p w14:paraId="1F64159F" w14:textId="77777777" w:rsidR="000C3A59" w:rsidRPr="00536466" w:rsidRDefault="000C3A59" w:rsidP="000C3A59">
      <w:pPr>
        <w:widowControl/>
        <w:ind w:right="12"/>
        <w:jc w:val="center"/>
        <w:rPr>
          <w:rFonts w:ascii="Verdana" w:hAnsi="Verdana"/>
          <w:b/>
          <w:smallCaps/>
        </w:rPr>
      </w:pPr>
      <w:r w:rsidRPr="00536466">
        <w:rPr>
          <w:rFonts w:ascii="Verdana" w:hAnsi="Verdana"/>
          <w:b/>
          <w:smallCaps/>
        </w:rPr>
        <w:t>RESOLUCIÓN DE LA</w:t>
      </w:r>
    </w:p>
    <w:p w14:paraId="5D9E3C88" w14:textId="77777777" w:rsidR="000C3A59" w:rsidRDefault="000C3A59" w:rsidP="000C3A59">
      <w:pPr>
        <w:widowControl/>
        <w:ind w:right="14"/>
        <w:jc w:val="center"/>
        <w:rPr>
          <w:rFonts w:ascii="Verdana" w:hAnsi="Verdana"/>
          <w:b/>
          <w:smallCaps/>
        </w:rPr>
      </w:pPr>
      <w:r w:rsidRPr="00536466">
        <w:rPr>
          <w:rFonts w:ascii="Verdana" w:hAnsi="Verdana"/>
          <w:b/>
          <w:smallCaps/>
        </w:rPr>
        <w:t>CORTE INTERAMERICANA DE DERECHOS HUMANOS</w:t>
      </w:r>
    </w:p>
    <w:p w14:paraId="1A851ED0" w14:textId="77777777" w:rsidR="000C3A59" w:rsidRPr="00536466" w:rsidRDefault="000C3A59" w:rsidP="000C3A59">
      <w:pPr>
        <w:widowControl/>
        <w:ind w:right="14"/>
        <w:jc w:val="center"/>
        <w:rPr>
          <w:rFonts w:ascii="Verdana" w:hAnsi="Verdana"/>
          <w:b/>
          <w:smallCaps/>
        </w:rPr>
      </w:pPr>
    </w:p>
    <w:p w14:paraId="7FFBD4D8" w14:textId="7D5B5926" w:rsidR="000C3A59" w:rsidRPr="00A60463" w:rsidRDefault="00E203BD" w:rsidP="000C3A59">
      <w:pPr>
        <w:widowControl/>
        <w:ind w:right="14"/>
        <w:jc w:val="center"/>
        <w:rPr>
          <w:rFonts w:ascii="Verdana" w:hAnsi="Verdana"/>
          <w:b/>
          <w:caps/>
        </w:rPr>
      </w:pPr>
      <w:r>
        <w:rPr>
          <w:rFonts w:ascii="Verdana" w:hAnsi="Verdana"/>
          <w:b/>
          <w:caps/>
        </w:rPr>
        <w:t xml:space="preserve">DE </w:t>
      </w:r>
      <w:r w:rsidR="00C54AB5">
        <w:rPr>
          <w:rFonts w:ascii="Verdana" w:hAnsi="Verdana"/>
          <w:b/>
          <w:caps/>
        </w:rPr>
        <w:t>13</w:t>
      </w:r>
      <w:r w:rsidR="000C3A59" w:rsidRPr="00A60463">
        <w:rPr>
          <w:rFonts w:ascii="Verdana" w:hAnsi="Verdana"/>
          <w:b/>
          <w:caps/>
        </w:rPr>
        <w:t xml:space="preserve"> DE</w:t>
      </w:r>
      <w:r w:rsidR="000C3A59">
        <w:rPr>
          <w:rFonts w:ascii="Verdana" w:hAnsi="Verdana"/>
          <w:b/>
          <w:caps/>
        </w:rPr>
        <w:t xml:space="preserve"> </w:t>
      </w:r>
      <w:r w:rsidR="006F1C5D">
        <w:rPr>
          <w:rFonts w:ascii="Verdana" w:hAnsi="Verdana"/>
          <w:b/>
          <w:caps/>
        </w:rPr>
        <w:t>noviembre</w:t>
      </w:r>
      <w:r w:rsidR="00FC757C" w:rsidRPr="00A60463">
        <w:rPr>
          <w:rFonts w:ascii="Verdana" w:hAnsi="Verdana"/>
          <w:b/>
          <w:caps/>
        </w:rPr>
        <w:t xml:space="preserve"> </w:t>
      </w:r>
      <w:r w:rsidR="000C3A59" w:rsidRPr="00A60463">
        <w:rPr>
          <w:rFonts w:ascii="Verdana" w:hAnsi="Verdana"/>
          <w:b/>
          <w:caps/>
        </w:rPr>
        <w:t>DE 2015</w:t>
      </w:r>
    </w:p>
    <w:p w14:paraId="7B216703" w14:textId="77777777" w:rsidR="000C3A59" w:rsidRDefault="000C3A59" w:rsidP="000C3A59">
      <w:pPr>
        <w:widowControl/>
        <w:ind w:right="14"/>
        <w:rPr>
          <w:rFonts w:ascii="Verdana" w:hAnsi="Verdana"/>
          <w:b/>
          <w:smallCaps/>
        </w:rPr>
      </w:pPr>
    </w:p>
    <w:p w14:paraId="4B79EABB" w14:textId="77777777" w:rsidR="000C3A59" w:rsidRPr="00491685" w:rsidRDefault="000C3A59" w:rsidP="000C3A59">
      <w:pPr>
        <w:widowControl/>
        <w:ind w:right="14"/>
        <w:jc w:val="center"/>
        <w:rPr>
          <w:rFonts w:ascii="Verdana" w:hAnsi="Verdana"/>
          <w:b/>
          <w:i/>
          <w:smallCaps/>
        </w:rPr>
      </w:pPr>
      <w:r w:rsidRPr="00491685">
        <w:rPr>
          <w:rFonts w:ascii="Verdana" w:hAnsi="Verdana"/>
          <w:b/>
          <w:i/>
          <w:smallCaps/>
        </w:rPr>
        <w:t xml:space="preserve">CASO </w:t>
      </w:r>
      <w:r w:rsidR="00491685" w:rsidRPr="00491685">
        <w:rPr>
          <w:rFonts w:ascii="Verdana" w:hAnsi="Verdana"/>
          <w:b/>
          <w:i/>
          <w:smallCaps/>
        </w:rPr>
        <w:t>MOHAMED Vs. ARGENTINA</w:t>
      </w:r>
    </w:p>
    <w:p w14:paraId="1F2EDF87" w14:textId="77777777" w:rsidR="000C3A59" w:rsidRDefault="000C3A59" w:rsidP="000C3A59">
      <w:pPr>
        <w:widowControl/>
        <w:ind w:right="14"/>
        <w:rPr>
          <w:rFonts w:ascii="Verdana" w:hAnsi="Verdana"/>
          <w:b/>
          <w:smallCaps/>
        </w:rPr>
      </w:pPr>
    </w:p>
    <w:p w14:paraId="6441FE7B" w14:textId="77777777" w:rsidR="000C3A59" w:rsidRDefault="000C3A59" w:rsidP="000C3A59">
      <w:pPr>
        <w:widowControl/>
        <w:ind w:right="14"/>
        <w:jc w:val="center"/>
        <w:rPr>
          <w:rFonts w:ascii="Verdana" w:hAnsi="Verdana"/>
          <w:b/>
          <w:smallCaps/>
        </w:rPr>
      </w:pPr>
      <w:r>
        <w:rPr>
          <w:rFonts w:ascii="Verdana" w:hAnsi="Verdana"/>
          <w:b/>
          <w:smallCaps/>
        </w:rPr>
        <w:t>SUPERVISIÓN DE CUMPLIMIENTO DE SENTENCIA</w:t>
      </w:r>
    </w:p>
    <w:p w14:paraId="52CC969D" w14:textId="77777777" w:rsidR="000C3A59" w:rsidRPr="000001C7" w:rsidRDefault="000C3A59" w:rsidP="000C3A59">
      <w:pPr>
        <w:widowControl/>
        <w:ind w:right="12"/>
        <w:jc w:val="both"/>
        <w:rPr>
          <w:rFonts w:ascii="Verdana" w:hAnsi="Verdana"/>
          <w:b/>
          <w:smallCaps/>
        </w:rPr>
      </w:pPr>
    </w:p>
    <w:p w14:paraId="0DBAEE63" w14:textId="77777777" w:rsidR="000C3A59" w:rsidRPr="00B2104A" w:rsidRDefault="000C3A59" w:rsidP="000C3A59">
      <w:pPr>
        <w:widowControl/>
        <w:spacing w:before="120" w:after="120"/>
        <w:ind w:right="12"/>
        <w:jc w:val="both"/>
        <w:rPr>
          <w:rFonts w:ascii="Verdana" w:hAnsi="Verdana"/>
          <w:b/>
          <w:caps/>
        </w:rPr>
      </w:pPr>
      <w:r w:rsidRPr="00B2104A">
        <w:rPr>
          <w:rFonts w:ascii="Verdana" w:hAnsi="Verdana"/>
          <w:b/>
          <w:caps/>
        </w:rPr>
        <w:t>Vistos:</w:t>
      </w:r>
    </w:p>
    <w:p w14:paraId="57580E46" w14:textId="0FB664EB" w:rsidR="003814DC" w:rsidRDefault="009228F3" w:rsidP="007E0A2A">
      <w:pPr>
        <w:widowControl/>
        <w:autoSpaceDE w:val="0"/>
        <w:autoSpaceDN w:val="0"/>
        <w:adjustRightInd w:val="0"/>
        <w:spacing w:before="120" w:after="120"/>
        <w:jc w:val="both"/>
        <w:rPr>
          <w:rFonts w:ascii="Verdana" w:hAnsi="Verdana"/>
        </w:rPr>
      </w:pPr>
      <w:r>
        <w:rPr>
          <w:rFonts w:ascii="Verdana" w:hAnsi="Verdana"/>
        </w:rPr>
        <w:t xml:space="preserve">1. </w:t>
      </w:r>
      <w:r>
        <w:rPr>
          <w:rFonts w:ascii="Verdana" w:hAnsi="Verdana"/>
        </w:rPr>
        <w:tab/>
      </w:r>
      <w:r w:rsidR="000C3A59" w:rsidRPr="00A13983">
        <w:rPr>
          <w:rFonts w:ascii="Verdana" w:hAnsi="Verdana"/>
        </w:rPr>
        <w:t xml:space="preserve">La Sentencia de </w:t>
      </w:r>
      <w:r w:rsidR="00491685" w:rsidRPr="00A13983">
        <w:rPr>
          <w:rFonts w:ascii="Verdana" w:hAnsi="Verdana"/>
        </w:rPr>
        <w:t xml:space="preserve">excepción preliminar, fondo, reparaciones y costas </w:t>
      </w:r>
      <w:r w:rsidR="000C3A59" w:rsidRPr="00A13983">
        <w:rPr>
          <w:rFonts w:ascii="Verdana" w:hAnsi="Verdana"/>
        </w:rPr>
        <w:t>(en adelante “la Sentencia”</w:t>
      </w:r>
      <w:r w:rsidR="00CA13CB" w:rsidRPr="00A13983">
        <w:rPr>
          <w:rFonts w:ascii="Verdana" w:hAnsi="Verdana"/>
        </w:rPr>
        <w:t xml:space="preserve"> o “el Fallo”</w:t>
      </w:r>
      <w:r w:rsidR="000C3A59" w:rsidRPr="00A13983">
        <w:rPr>
          <w:rFonts w:ascii="Verdana" w:hAnsi="Verdana"/>
        </w:rPr>
        <w:t xml:space="preserve">) dictada por la Corte Interamericana de Derechos Humanos (en adelante “la Corte”, “la Corte Interamericana” o “el Tribunal”), el </w:t>
      </w:r>
      <w:r w:rsidR="00491685" w:rsidRPr="00A13983">
        <w:rPr>
          <w:rFonts w:ascii="Verdana" w:hAnsi="Verdana"/>
        </w:rPr>
        <w:t>23</w:t>
      </w:r>
      <w:r w:rsidR="000C3A59" w:rsidRPr="00A13983">
        <w:rPr>
          <w:rFonts w:ascii="Verdana" w:hAnsi="Verdana"/>
        </w:rPr>
        <w:t xml:space="preserve"> de </w:t>
      </w:r>
      <w:r w:rsidR="00491685" w:rsidRPr="00A13983">
        <w:rPr>
          <w:rFonts w:ascii="Verdana" w:hAnsi="Verdana"/>
        </w:rPr>
        <w:t>noviembre de 2012</w:t>
      </w:r>
      <w:r w:rsidR="00CA13CB" w:rsidRPr="00A13983">
        <w:rPr>
          <w:rStyle w:val="FootnoteReference"/>
          <w:rFonts w:ascii="Verdana" w:hAnsi="Verdana"/>
        </w:rPr>
        <w:footnoteReference w:id="1"/>
      </w:r>
      <w:r w:rsidR="000C3A59" w:rsidRPr="00A13983">
        <w:rPr>
          <w:rFonts w:ascii="Verdana" w:hAnsi="Verdana"/>
        </w:rPr>
        <w:t xml:space="preserve">. </w:t>
      </w:r>
      <w:r w:rsidR="00491685" w:rsidRPr="00A13983">
        <w:rPr>
          <w:rFonts w:ascii="Verdana" w:hAnsi="Verdana"/>
        </w:rPr>
        <w:t xml:space="preserve">En ella la Corte declaró la responsabilidad internacional de la República Argentina (en adelante “el Estado” o “Argentina”) por </w:t>
      </w:r>
      <w:r w:rsidR="006A2DAF" w:rsidRPr="00A13983">
        <w:rPr>
          <w:rFonts w:ascii="Verdana" w:hAnsi="Verdana"/>
        </w:rPr>
        <w:t xml:space="preserve">la violación del derecho a recurrir del fallo, consagrado en el artículo 8.2.h de la Convención Americana sobre Derechos Humanos </w:t>
      </w:r>
      <w:r w:rsidR="005536F0" w:rsidRPr="00A13983">
        <w:rPr>
          <w:rFonts w:ascii="Verdana" w:hAnsi="Verdana"/>
        </w:rPr>
        <w:t>(en adelante “la Convención Americana</w:t>
      </w:r>
      <w:r w:rsidR="003814DC" w:rsidRPr="00A13983">
        <w:rPr>
          <w:rFonts w:ascii="Verdana" w:hAnsi="Verdana"/>
        </w:rPr>
        <w:t>”</w:t>
      </w:r>
      <w:r w:rsidR="005536F0" w:rsidRPr="00A13983">
        <w:rPr>
          <w:rFonts w:ascii="Verdana" w:hAnsi="Verdana"/>
        </w:rPr>
        <w:t xml:space="preserve"> o “la Convención”), </w:t>
      </w:r>
      <w:r w:rsidR="006A2DAF" w:rsidRPr="00A13983">
        <w:rPr>
          <w:rFonts w:ascii="Verdana" w:hAnsi="Verdana"/>
        </w:rPr>
        <w:t>en relación con los artículos 1.1 y 2 de la misma, en perjuicio de Oscar Alberto Mohamed</w:t>
      </w:r>
      <w:r w:rsidR="00FF36C1" w:rsidRPr="00A13983">
        <w:rPr>
          <w:rFonts w:ascii="Verdana" w:hAnsi="Verdana"/>
        </w:rPr>
        <w:t xml:space="preserve"> (en adelante “el señor Mohamed”)</w:t>
      </w:r>
      <w:r w:rsidR="00FB1BB5" w:rsidRPr="00A13983">
        <w:rPr>
          <w:rFonts w:ascii="Verdana" w:hAnsi="Verdana"/>
        </w:rPr>
        <w:t xml:space="preserve">. </w:t>
      </w:r>
      <w:r w:rsidR="000E7C3E">
        <w:rPr>
          <w:rFonts w:ascii="Verdana" w:hAnsi="Verdana"/>
        </w:rPr>
        <w:t>Este Tribunal</w:t>
      </w:r>
      <w:r w:rsidR="00FB1BB5" w:rsidRPr="00A13983">
        <w:rPr>
          <w:rFonts w:ascii="Verdana" w:hAnsi="Verdana"/>
        </w:rPr>
        <w:t xml:space="preserve"> determinó que el señor Mohamed no tuvo a disposición un recurso que</w:t>
      </w:r>
      <w:r w:rsidR="00347E50">
        <w:rPr>
          <w:rFonts w:ascii="Verdana" w:hAnsi="Verdana"/>
        </w:rPr>
        <w:t>,</w:t>
      </w:r>
      <w:r w:rsidR="00FB1BB5" w:rsidRPr="00A13983">
        <w:rPr>
          <w:rFonts w:ascii="Verdana" w:hAnsi="Verdana"/>
        </w:rPr>
        <w:t xml:space="preserve"> de acuerdo a los estándares convencionales, permitiera la revisión de la sentencia</w:t>
      </w:r>
      <w:r w:rsidR="0042644B">
        <w:rPr>
          <w:rFonts w:ascii="Verdana" w:hAnsi="Verdana"/>
        </w:rPr>
        <w:t xml:space="preserve"> penal condenatoria</w:t>
      </w:r>
      <w:r w:rsidR="00FB1BB5" w:rsidRPr="00A13983">
        <w:rPr>
          <w:rFonts w:ascii="Verdana" w:hAnsi="Verdana"/>
        </w:rPr>
        <w:t xml:space="preserve"> emitida por la Sala Primera de la Cámara Nacional de Apelaciones en lo Criminal y Correccional el 22 de febrero de 1995</w:t>
      </w:r>
      <w:r w:rsidR="002E4B98">
        <w:rPr>
          <w:rFonts w:ascii="Verdana" w:hAnsi="Verdana"/>
        </w:rPr>
        <w:t>.</w:t>
      </w:r>
      <w:r w:rsidR="00FB1BB5" w:rsidRPr="00A13983">
        <w:rPr>
          <w:rFonts w:ascii="Verdana" w:hAnsi="Verdana"/>
        </w:rPr>
        <w:t xml:space="preserve"> Esta sentencia de segunda instancia </w:t>
      </w:r>
      <w:r w:rsidR="006A2DAF" w:rsidRPr="00A13983">
        <w:rPr>
          <w:rFonts w:ascii="Verdana" w:hAnsi="Verdana"/>
        </w:rPr>
        <w:t xml:space="preserve">revocó el fallo absolutorio que había proferido el juzgado de primera instancia. </w:t>
      </w:r>
      <w:r w:rsidR="00DD3DA7" w:rsidRPr="00A13983">
        <w:rPr>
          <w:rFonts w:ascii="Verdana" w:hAnsi="Verdana"/>
        </w:rPr>
        <w:t xml:space="preserve">La Corte estableció que </w:t>
      </w:r>
      <w:r w:rsidR="00347E50">
        <w:rPr>
          <w:rFonts w:ascii="Verdana" w:hAnsi="Verdana"/>
        </w:rPr>
        <w:t>su</w:t>
      </w:r>
      <w:r w:rsidR="00DD3DA7" w:rsidRPr="00A13983">
        <w:rPr>
          <w:rFonts w:ascii="Verdana" w:hAnsi="Verdana"/>
        </w:rPr>
        <w:t xml:space="preserve"> Sentencia constituye, </w:t>
      </w:r>
      <w:r w:rsidR="00DD3DA7" w:rsidRPr="00A13983">
        <w:rPr>
          <w:rFonts w:ascii="Verdana" w:hAnsi="Verdana"/>
          <w:i/>
        </w:rPr>
        <w:t>per se</w:t>
      </w:r>
      <w:r w:rsidR="00DD3DA7" w:rsidRPr="00A13983">
        <w:rPr>
          <w:rFonts w:ascii="Verdana" w:hAnsi="Verdana"/>
        </w:rPr>
        <w:t>, una forma de reparación</w:t>
      </w:r>
      <w:r w:rsidR="00347E50">
        <w:rPr>
          <w:rFonts w:ascii="Verdana" w:hAnsi="Verdana"/>
        </w:rPr>
        <w:t xml:space="preserve"> y, a</w:t>
      </w:r>
      <w:r w:rsidR="00843553" w:rsidRPr="00A13983">
        <w:rPr>
          <w:rFonts w:ascii="Verdana" w:hAnsi="Verdana"/>
        </w:rPr>
        <w:t xml:space="preserve">demás, </w:t>
      </w:r>
      <w:r w:rsidR="00DD3DA7" w:rsidRPr="00A13983">
        <w:rPr>
          <w:rFonts w:ascii="Verdana" w:hAnsi="Verdana"/>
        </w:rPr>
        <w:t xml:space="preserve">ordenó al </w:t>
      </w:r>
      <w:r w:rsidR="00C7575D" w:rsidRPr="00A13983">
        <w:rPr>
          <w:rFonts w:ascii="Verdana" w:hAnsi="Verdana"/>
        </w:rPr>
        <w:t>E</w:t>
      </w:r>
      <w:r w:rsidR="00DD3DA7" w:rsidRPr="00A13983">
        <w:rPr>
          <w:rFonts w:ascii="Verdana" w:hAnsi="Verdana"/>
        </w:rPr>
        <w:t>stado determinadas medidas de reparación (</w:t>
      </w:r>
      <w:r w:rsidR="00DD3DA7" w:rsidRPr="00A13983">
        <w:rPr>
          <w:rFonts w:ascii="Verdana" w:hAnsi="Verdana"/>
          <w:i/>
        </w:rPr>
        <w:t>infra</w:t>
      </w:r>
      <w:r w:rsidR="00DD3DA7" w:rsidRPr="00A13983">
        <w:rPr>
          <w:rFonts w:ascii="Verdana" w:hAnsi="Verdana"/>
        </w:rPr>
        <w:t xml:space="preserve"> Considerando 1)</w:t>
      </w:r>
      <w:r w:rsidR="003814DC" w:rsidRPr="00A13983">
        <w:rPr>
          <w:rFonts w:ascii="Verdana" w:hAnsi="Verdana"/>
        </w:rPr>
        <w:t>.</w:t>
      </w:r>
    </w:p>
    <w:p w14:paraId="68288A1D" w14:textId="68199745" w:rsidR="00C54B24" w:rsidRDefault="009228F3" w:rsidP="007E0A2A">
      <w:pPr>
        <w:widowControl/>
        <w:autoSpaceDE w:val="0"/>
        <w:autoSpaceDN w:val="0"/>
        <w:adjustRightInd w:val="0"/>
        <w:spacing w:before="120" w:after="120"/>
        <w:jc w:val="both"/>
        <w:rPr>
          <w:rFonts w:ascii="Verdana" w:hAnsi="Verdana"/>
        </w:rPr>
      </w:pPr>
      <w:r>
        <w:rPr>
          <w:rFonts w:ascii="Verdana" w:hAnsi="Verdana"/>
        </w:rPr>
        <w:t xml:space="preserve">2. </w:t>
      </w:r>
      <w:r>
        <w:rPr>
          <w:rFonts w:ascii="Verdana" w:hAnsi="Verdana"/>
        </w:rPr>
        <w:tab/>
      </w:r>
      <w:r w:rsidR="009075A1">
        <w:rPr>
          <w:rFonts w:ascii="Verdana" w:hAnsi="Verdana"/>
        </w:rPr>
        <w:t xml:space="preserve">Los </w:t>
      </w:r>
      <w:r w:rsidR="004513A0">
        <w:rPr>
          <w:rFonts w:ascii="Verdana" w:hAnsi="Verdana"/>
        </w:rPr>
        <w:t>once</w:t>
      </w:r>
      <w:r w:rsidR="00725B31">
        <w:rPr>
          <w:rFonts w:ascii="Verdana" w:hAnsi="Verdana"/>
        </w:rPr>
        <w:t xml:space="preserve"> </w:t>
      </w:r>
      <w:r w:rsidR="009075A1">
        <w:rPr>
          <w:rFonts w:ascii="Verdana" w:hAnsi="Verdana"/>
        </w:rPr>
        <w:t xml:space="preserve">escritos presentados por el Estado entre </w:t>
      </w:r>
      <w:r w:rsidR="001A6473">
        <w:rPr>
          <w:rFonts w:ascii="Verdana" w:hAnsi="Verdana"/>
        </w:rPr>
        <w:t>junio</w:t>
      </w:r>
      <w:r w:rsidR="009075A1">
        <w:rPr>
          <w:rFonts w:ascii="Verdana" w:hAnsi="Verdana"/>
        </w:rPr>
        <w:t xml:space="preserve"> de </w:t>
      </w:r>
      <w:r w:rsidR="001A6473">
        <w:rPr>
          <w:rFonts w:ascii="Verdana" w:hAnsi="Verdana"/>
        </w:rPr>
        <w:t>2013</w:t>
      </w:r>
      <w:r w:rsidR="009075A1">
        <w:rPr>
          <w:rFonts w:ascii="Verdana" w:hAnsi="Verdana"/>
        </w:rPr>
        <w:t xml:space="preserve"> y </w:t>
      </w:r>
      <w:r w:rsidR="004513A0">
        <w:rPr>
          <w:rFonts w:ascii="Verdana" w:hAnsi="Verdana"/>
        </w:rPr>
        <w:t>septiembre</w:t>
      </w:r>
      <w:r w:rsidR="00725B31">
        <w:rPr>
          <w:rFonts w:ascii="Verdana" w:hAnsi="Verdana"/>
        </w:rPr>
        <w:t xml:space="preserve"> </w:t>
      </w:r>
      <w:r w:rsidR="009075A1">
        <w:rPr>
          <w:rFonts w:ascii="Verdana" w:hAnsi="Verdana"/>
        </w:rPr>
        <w:t xml:space="preserve">de </w:t>
      </w:r>
      <w:r w:rsidR="001A6473">
        <w:rPr>
          <w:rFonts w:ascii="Verdana" w:hAnsi="Verdana"/>
        </w:rPr>
        <w:t>2015</w:t>
      </w:r>
      <w:r w:rsidR="009075A1">
        <w:rPr>
          <w:rFonts w:ascii="Verdana" w:hAnsi="Verdana"/>
        </w:rPr>
        <w:t xml:space="preserve"> y sus respectivos anexos, mediante los cuales remitió información en relación con el cumplimiento de la Sentencia</w:t>
      </w:r>
      <w:r w:rsidR="009075A1">
        <w:rPr>
          <w:rStyle w:val="FootnoteReference"/>
          <w:rFonts w:ascii="Verdana" w:hAnsi="Verdana"/>
        </w:rPr>
        <w:footnoteReference w:id="2"/>
      </w:r>
      <w:r w:rsidR="009075A1">
        <w:rPr>
          <w:rFonts w:ascii="Verdana" w:hAnsi="Verdana"/>
        </w:rPr>
        <w:t>.</w:t>
      </w:r>
      <w:r w:rsidR="000F1007">
        <w:rPr>
          <w:rFonts w:ascii="Verdana" w:hAnsi="Verdana"/>
        </w:rPr>
        <w:t xml:space="preserve"> </w:t>
      </w:r>
    </w:p>
    <w:p w14:paraId="76476FF2" w14:textId="60865CB4" w:rsidR="009075A1" w:rsidRDefault="009075A1" w:rsidP="007E0A2A">
      <w:pPr>
        <w:widowControl/>
        <w:autoSpaceDE w:val="0"/>
        <w:autoSpaceDN w:val="0"/>
        <w:adjustRightInd w:val="0"/>
        <w:spacing w:before="120" w:after="120"/>
        <w:jc w:val="both"/>
        <w:rPr>
          <w:rFonts w:ascii="Verdana" w:hAnsi="Verdana"/>
        </w:rPr>
      </w:pPr>
      <w:r>
        <w:rPr>
          <w:rFonts w:ascii="Verdana" w:hAnsi="Verdana"/>
        </w:rPr>
        <w:t>3.</w:t>
      </w:r>
      <w:r>
        <w:rPr>
          <w:rFonts w:ascii="Verdana" w:hAnsi="Verdana"/>
        </w:rPr>
        <w:tab/>
      </w:r>
      <w:r w:rsidRPr="00B13189">
        <w:rPr>
          <w:rFonts w:ascii="Verdana" w:hAnsi="Verdana"/>
        </w:rPr>
        <w:t xml:space="preserve">Los </w:t>
      </w:r>
      <w:r w:rsidR="0039043E" w:rsidRPr="00B13189">
        <w:rPr>
          <w:rFonts w:ascii="Verdana" w:hAnsi="Verdana"/>
        </w:rPr>
        <w:t>tres</w:t>
      </w:r>
      <w:r w:rsidRPr="00B13189">
        <w:rPr>
          <w:rFonts w:ascii="Verdana" w:hAnsi="Verdana"/>
        </w:rPr>
        <w:t xml:space="preserve"> escritos presentados por</w:t>
      </w:r>
      <w:r w:rsidR="00B13189" w:rsidRPr="00B13189">
        <w:rPr>
          <w:rFonts w:ascii="Verdana" w:hAnsi="Verdana"/>
        </w:rPr>
        <w:t xml:space="preserve"> el</w:t>
      </w:r>
      <w:r w:rsidRPr="00B13189">
        <w:rPr>
          <w:rFonts w:ascii="Verdana" w:hAnsi="Verdana"/>
        </w:rPr>
        <w:t xml:space="preserve"> representante</w:t>
      </w:r>
      <w:r w:rsidR="00380881" w:rsidRPr="00B13189">
        <w:rPr>
          <w:rFonts w:ascii="Verdana" w:hAnsi="Verdana"/>
        </w:rPr>
        <w:t xml:space="preserve"> de la víctima</w:t>
      </w:r>
      <w:r w:rsidRPr="00B13189">
        <w:rPr>
          <w:rFonts w:ascii="Verdana" w:hAnsi="Verdana"/>
        </w:rPr>
        <w:t xml:space="preserve"> (en adelante “</w:t>
      </w:r>
      <w:r w:rsidR="00B13189" w:rsidRPr="00B13189">
        <w:rPr>
          <w:rFonts w:ascii="Verdana" w:hAnsi="Verdana"/>
        </w:rPr>
        <w:t xml:space="preserve">el </w:t>
      </w:r>
      <w:r w:rsidRPr="00B13189">
        <w:rPr>
          <w:rFonts w:ascii="Verdana" w:hAnsi="Verdana"/>
        </w:rPr>
        <w:t>representante”)</w:t>
      </w:r>
      <w:r w:rsidR="004624DD" w:rsidRPr="00B13189">
        <w:rPr>
          <w:rStyle w:val="FootnoteReference"/>
          <w:rFonts w:ascii="Verdana" w:hAnsi="Verdana"/>
        </w:rPr>
        <w:footnoteReference w:id="3"/>
      </w:r>
      <w:r w:rsidRPr="00B13189">
        <w:rPr>
          <w:rFonts w:ascii="Verdana" w:hAnsi="Verdana"/>
        </w:rPr>
        <w:t xml:space="preserve"> entre </w:t>
      </w:r>
      <w:r w:rsidR="0039043E" w:rsidRPr="00B13189">
        <w:rPr>
          <w:rFonts w:ascii="Verdana" w:hAnsi="Verdana"/>
        </w:rPr>
        <w:t>abril</w:t>
      </w:r>
      <w:r w:rsidR="00380881" w:rsidRPr="00B13189">
        <w:rPr>
          <w:rFonts w:ascii="Verdana" w:hAnsi="Verdana"/>
        </w:rPr>
        <w:t xml:space="preserve"> de </w:t>
      </w:r>
      <w:r w:rsidR="0039043E" w:rsidRPr="00B13189">
        <w:rPr>
          <w:rFonts w:ascii="Verdana" w:hAnsi="Verdana"/>
        </w:rPr>
        <w:t>2014</w:t>
      </w:r>
      <w:r w:rsidR="00380881" w:rsidRPr="00B13189">
        <w:rPr>
          <w:rFonts w:ascii="Verdana" w:hAnsi="Verdana"/>
        </w:rPr>
        <w:t xml:space="preserve"> y </w:t>
      </w:r>
      <w:r w:rsidR="0039043E" w:rsidRPr="00B13189">
        <w:rPr>
          <w:rFonts w:ascii="Verdana" w:hAnsi="Verdana"/>
        </w:rPr>
        <w:t>abril</w:t>
      </w:r>
      <w:r w:rsidR="00380881" w:rsidRPr="00B13189">
        <w:rPr>
          <w:rFonts w:ascii="Verdana" w:hAnsi="Verdana"/>
        </w:rPr>
        <w:t xml:space="preserve"> de </w:t>
      </w:r>
      <w:r w:rsidR="0039043E" w:rsidRPr="00B13189">
        <w:rPr>
          <w:rFonts w:ascii="Verdana" w:hAnsi="Verdana"/>
        </w:rPr>
        <w:t>2015</w:t>
      </w:r>
      <w:r w:rsidRPr="00B13189">
        <w:rPr>
          <w:rFonts w:ascii="Verdana" w:hAnsi="Verdana"/>
        </w:rPr>
        <w:t>, mediante los cuales remitió información sobre el cumplimiento de la Sentencia, así como sus observaciones a lo informado por el Estado</w:t>
      </w:r>
      <w:r w:rsidRPr="00B13189">
        <w:rPr>
          <w:rStyle w:val="FootnoteReference"/>
          <w:rFonts w:ascii="Verdana" w:hAnsi="Verdana"/>
        </w:rPr>
        <w:footnoteReference w:id="4"/>
      </w:r>
      <w:r w:rsidRPr="00B13189">
        <w:rPr>
          <w:rFonts w:ascii="Verdana" w:hAnsi="Verdana"/>
        </w:rPr>
        <w:t>.</w:t>
      </w:r>
    </w:p>
    <w:p w14:paraId="2D9E88F5" w14:textId="17CB4C6F" w:rsidR="009075A1" w:rsidRDefault="009075A1" w:rsidP="007E0A2A">
      <w:pPr>
        <w:widowControl/>
        <w:autoSpaceDE w:val="0"/>
        <w:autoSpaceDN w:val="0"/>
        <w:adjustRightInd w:val="0"/>
        <w:spacing w:before="120" w:after="120"/>
        <w:jc w:val="both"/>
        <w:rPr>
          <w:rFonts w:ascii="Verdana" w:hAnsi="Verdana"/>
        </w:rPr>
      </w:pPr>
      <w:r>
        <w:rPr>
          <w:rFonts w:ascii="Verdana" w:hAnsi="Verdana"/>
        </w:rPr>
        <w:t>4.</w:t>
      </w:r>
      <w:r>
        <w:rPr>
          <w:rFonts w:ascii="Verdana" w:hAnsi="Verdana"/>
        </w:rPr>
        <w:tab/>
        <w:t xml:space="preserve">Los </w:t>
      </w:r>
      <w:r w:rsidR="00750ECC">
        <w:rPr>
          <w:rFonts w:ascii="Verdana" w:hAnsi="Verdana"/>
        </w:rPr>
        <w:t>seis</w:t>
      </w:r>
      <w:r>
        <w:rPr>
          <w:rFonts w:ascii="Verdana" w:hAnsi="Verdana"/>
        </w:rPr>
        <w:t xml:space="preserve"> escritos de observaciones presentados por la Comisión Interamericana</w:t>
      </w:r>
      <w:r w:rsidR="009E625C">
        <w:rPr>
          <w:rFonts w:ascii="Verdana" w:hAnsi="Verdana"/>
        </w:rPr>
        <w:t xml:space="preserve"> de Derechos Humanos</w:t>
      </w:r>
      <w:r>
        <w:rPr>
          <w:rFonts w:ascii="Verdana" w:hAnsi="Verdana"/>
        </w:rPr>
        <w:t xml:space="preserve"> </w:t>
      </w:r>
      <w:r w:rsidR="009E625C" w:rsidRPr="004624DD">
        <w:rPr>
          <w:rFonts w:ascii="Verdana" w:hAnsi="Verdana"/>
        </w:rPr>
        <w:t xml:space="preserve">(en adelante “la Comisión Interamericana” o “la Comisión”) </w:t>
      </w:r>
      <w:r>
        <w:rPr>
          <w:rFonts w:ascii="Verdana" w:hAnsi="Verdana"/>
        </w:rPr>
        <w:t xml:space="preserve">entre </w:t>
      </w:r>
      <w:r w:rsidR="00D57DB0">
        <w:rPr>
          <w:rFonts w:ascii="Verdana" w:hAnsi="Verdana"/>
        </w:rPr>
        <w:t>abril</w:t>
      </w:r>
      <w:r w:rsidR="00380881">
        <w:rPr>
          <w:rFonts w:ascii="Verdana" w:hAnsi="Verdana"/>
        </w:rPr>
        <w:t xml:space="preserve"> de </w:t>
      </w:r>
      <w:r w:rsidR="00D57DB0">
        <w:rPr>
          <w:rFonts w:ascii="Verdana" w:hAnsi="Verdana"/>
        </w:rPr>
        <w:t>2014</w:t>
      </w:r>
      <w:r w:rsidR="00380881">
        <w:rPr>
          <w:rFonts w:ascii="Verdana" w:hAnsi="Verdana"/>
        </w:rPr>
        <w:t xml:space="preserve"> y </w:t>
      </w:r>
      <w:r w:rsidR="00750ECC">
        <w:rPr>
          <w:rFonts w:ascii="Verdana" w:hAnsi="Verdana"/>
        </w:rPr>
        <w:t>octubre</w:t>
      </w:r>
      <w:r w:rsidR="00380881">
        <w:rPr>
          <w:rFonts w:ascii="Verdana" w:hAnsi="Verdana"/>
        </w:rPr>
        <w:t xml:space="preserve"> de </w:t>
      </w:r>
      <w:r w:rsidR="00D57DB0">
        <w:rPr>
          <w:rFonts w:ascii="Verdana" w:hAnsi="Verdana"/>
        </w:rPr>
        <w:t>2015</w:t>
      </w:r>
      <w:r>
        <w:rPr>
          <w:rStyle w:val="FootnoteReference"/>
          <w:rFonts w:ascii="Verdana" w:hAnsi="Verdana"/>
        </w:rPr>
        <w:footnoteReference w:id="5"/>
      </w:r>
      <w:r>
        <w:rPr>
          <w:rFonts w:ascii="Verdana" w:hAnsi="Verdana"/>
        </w:rPr>
        <w:t>.</w:t>
      </w:r>
      <w:r w:rsidR="00DD636A">
        <w:rPr>
          <w:rFonts w:ascii="Verdana" w:hAnsi="Verdana"/>
        </w:rPr>
        <w:t xml:space="preserve"> </w:t>
      </w:r>
    </w:p>
    <w:p w14:paraId="35F8E42A" w14:textId="22DAF883" w:rsidR="009228F3" w:rsidRDefault="009075A1" w:rsidP="007E0A2A">
      <w:pPr>
        <w:widowControl/>
        <w:tabs>
          <w:tab w:val="left" w:pos="708"/>
          <w:tab w:val="center" w:pos="4419"/>
        </w:tabs>
        <w:autoSpaceDE w:val="0"/>
        <w:autoSpaceDN w:val="0"/>
        <w:adjustRightInd w:val="0"/>
        <w:spacing w:before="120" w:after="120"/>
        <w:jc w:val="both"/>
        <w:rPr>
          <w:rFonts w:ascii="Verdana" w:hAnsi="Verdana"/>
        </w:rPr>
      </w:pPr>
      <w:r>
        <w:rPr>
          <w:rFonts w:ascii="Verdana" w:hAnsi="Verdana"/>
        </w:rPr>
        <w:lastRenderedPageBreak/>
        <w:t>5.</w:t>
      </w:r>
      <w:r>
        <w:rPr>
          <w:rFonts w:ascii="Verdana" w:hAnsi="Verdana"/>
        </w:rPr>
        <w:tab/>
        <w:t>La</w:t>
      </w:r>
      <w:r w:rsidR="004170D4">
        <w:rPr>
          <w:rFonts w:ascii="Verdana" w:hAnsi="Verdana"/>
        </w:rPr>
        <w:t xml:space="preserve"> </w:t>
      </w:r>
      <w:r w:rsidR="00A53F3F">
        <w:rPr>
          <w:rFonts w:ascii="Verdana" w:hAnsi="Verdana"/>
        </w:rPr>
        <w:t xml:space="preserve">Resolución emitida por la Corte </w:t>
      </w:r>
      <w:r w:rsidR="00873530">
        <w:rPr>
          <w:rFonts w:ascii="Verdana" w:hAnsi="Verdana"/>
        </w:rPr>
        <w:t xml:space="preserve">Interamericana </w:t>
      </w:r>
      <w:r w:rsidR="00A53F3F">
        <w:rPr>
          <w:rFonts w:ascii="Verdana" w:hAnsi="Verdana"/>
        </w:rPr>
        <w:t xml:space="preserve">el 26 de enero de 2015 sobre </w:t>
      </w:r>
      <w:r w:rsidR="004624DD">
        <w:rPr>
          <w:rFonts w:ascii="Verdana" w:hAnsi="Verdana"/>
        </w:rPr>
        <w:t xml:space="preserve">el </w:t>
      </w:r>
      <w:r w:rsidR="00A53F3F">
        <w:rPr>
          <w:rFonts w:ascii="Verdana" w:hAnsi="Verdana"/>
        </w:rPr>
        <w:t xml:space="preserve">reintegro realizado por el Estado al Fondo de Asistencia Legal </w:t>
      </w:r>
      <w:r w:rsidR="0042644B">
        <w:rPr>
          <w:rFonts w:ascii="Verdana" w:hAnsi="Verdana"/>
        </w:rPr>
        <w:t xml:space="preserve">de </w:t>
      </w:r>
      <w:r w:rsidR="00A53F3F">
        <w:rPr>
          <w:rFonts w:ascii="Verdana" w:hAnsi="Verdana"/>
        </w:rPr>
        <w:t xml:space="preserve">Víctimas de la Corte </w:t>
      </w:r>
      <w:r w:rsidR="00F607CA">
        <w:rPr>
          <w:rFonts w:ascii="Verdana" w:hAnsi="Verdana"/>
        </w:rPr>
        <w:t xml:space="preserve">(en adelante “Fondo de Asistencia”) </w:t>
      </w:r>
      <w:r w:rsidR="00A53F3F">
        <w:rPr>
          <w:rFonts w:ascii="Verdana" w:hAnsi="Verdana"/>
        </w:rPr>
        <w:t xml:space="preserve">en relación con </w:t>
      </w:r>
      <w:r w:rsidR="009A1417">
        <w:rPr>
          <w:rFonts w:ascii="Verdana" w:hAnsi="Verdana"/>
        </w:rPr>
        <w:t xml:space="preserve">cinco casos contra Argentina, incluyendo </w:t>
      </w:r>
      <w:r w:rsidR="00A53F3F">
        <w:rPr>
          <w:rFonts w:ascii="Verdana" w:hAnsi="Verdana"/>
        </w:rPr>
        <w:t>el presente caso</w:t>
      </w:r>
      <w:r w:rsidR="00A53F3F">
        <w:rPr>
          <w:rStyle w:val="FootnoteReference"/>
          <w:rFonts w:ascii="Verdana" w:hAnsi="Verdana"/>
        </w:rPr>
        <w:footnoteReference w:id="6"/>
      </w:r>
      <w:r w:rsidR="00A53F3F">
        <w:rPr>
          <w:rFonts w:ascii="Verdana" w:hAnsi="Verdana"/>
        </w:rPr>
        <w:t>.</w:t>
      </w:r>
    </w:p>
    <w:p w14:paraId="2855EBD6" w14:textId="77777777" w:rsidR="00DA0F25" w:rsidRDefault="00DA0F25" w:rsidP="009228F3">
      <w:pPr>
        <w:widowControl/>
        <w:autoSpaceDE w:val="0"/>
        <w:autoSpaceDN w:val="0"/>
        <w:adjustRightInd w:val="0"/>
        <w:jc w:val="both"/>
        <w:rPr>
          <w:rFonts w:ascii="Verdana" w:hAnsi="Verdana"/>
          <w:b/>
        </w:rPr>
      </w:pPr>
    </w:p>
    <w:p w14:paraId="2974C037" w14:textId="77777777" w:rsidR="002A70AD" w:rsidRDefault="002A70AD" w:rsidP="009228F3">
      <w:pPr>
        <w:widowControl/>
        <w:autoSpaceDE w:val="0"/>
        <w:autoSpaceDN w:val="0"/>
        <w:adjustRightInd w:val="0"/>
        <w:jc w:val="both"/>
        <w:rPr>
          <w:rFonts w:ascii="Verdana" w:hAnsi="Verdana"/>
          <w:b/>
        </w:rPr>
      </w:pPr>
    </w:p>
    <w:p w14:paraId="03453CA6" w14:textId="77777777" w:rsidR="00DA0F25" w:rsidRPr="00300A86" w:rsidRDefault="00DA0F25" w:rsidP="00DA0F25">
      <w:pPr>
        <w:spacing w:before="120" w:after="120"/>
        <w:jc w:val="both"/>
        <w:rPr>
          <w:rFonts w:ascii="Verdana" w:hAnsi="Verdana"/>
          <w:b/>
          <w:caps/>
        </w:rPr>
      </w:pPr>
      <w:r w:rsidRPr="00300A86">
        <w:rPr>
          <w:rFonts w:ascii="Verdana" w:hAnsi="Verdana"/>
          <w:b/>
          <w:caps/>
        </w:rPr>
        <w:t>Considerando</w:t>
      </w:r>
      <w:r>
        <w:rPr>
          <w:rFonts w:ascii="Verdana" w:hAnsi="Verdana"/>
          <w:b/>
          <w:caps/>
        </w:rPr>
        <w:t xml:space="preserve"> QUE:</w:t>
      </w:r>
    </w:p>
    <w:p w14:paraId="12345FDC" w14:textId="457C8AAA" w:rsidR="00FE71A0" w:rsidRPr="00F91E2C" w:rsidRDefault="00DA0F25" w:rsidP="00FB35EE">
      <w:pPr>
        <w:widowControl/>
        <w:numPr>
          <w:ilvl w:val="0"/>
          <w:numId w:val="2"/>
        </w:numPr>
        <w:spacing w:before="120" w:after="120"/>
        <w:ind w:left="0" w:right="9" w:hanging="11"/>
        <w:jc w:val="both"/>
        <w:rPr>
          <w:rFonts w:ascii="Verdana" w:hAnsi="Verdana"/>
        </w:rPr>
      </w:pPr>
      <w:r w:rsidRPr="00E13E66">
        <w:rPr>
          <w:rFonts w:ascii="Verdana" w:hAnsi="Verdana"/>
        </w:rPr>
        <w:t xml:space="preserve">En el ejercicio de </w:t>
      </w:r>
      <w:r w:rsidRPr="00E13E66">
        <w:rPr>
          <w:rFonts w:ascii="Verdana" w:hAnsi="Verdana"/>
          <w:lang w:val="es-ES"/>
        </w:rPr>
        <w:t xml:space="preserve">su función jurisdiccional de </w:t>
      </w:r>
      <w:r w:rsidRPr="00E13E66">
        <w:rPr>
          <w:rFonts w:ascii="Verdana" w:hAnsi="Verdana"/>
        </w:rPr>
        <w:t>supervisar el cumplimiento de sus decisiones</w:t>
      </w:r>
      <w:r w:rsidRPr="00E13E66">
        <w:rPr>
          <w:rStyle w:val="FootnoteReference"/>
          <w:rFonts w:ascii="Verdana" w:hAnsi="Verdana"/>
        </w:rPr>
        <w:footnoteReference w:id="7"/>
      </w:r>
      <w:r w:rsidRPr="00E13E66">
        <w:rPr>
          <w:rFonts w:ascii="Verdana" w:hAnsi="Verdana"/>
        </w:rPr>
        <w:t xml:space="preserve">, la Corte ha venido supervisando la ejecución de </w:t>
      </w:r>
      <w:r w:rsidR="00D43E12" w:rsidRPr="00E13E66">
        <w:rPr>
          <w:rFonts w:ascii="Verdana" w:hAnsi="Verdana"/>
        </w:rPr>
        <w:t>la Sentencia</w:t>
      </w:r>
      <w:r w:rsidRPr="00E13E66">
        <w:rPr>
          <w:rFonts w:ascii="Verdana" w:hAnsi="Verdana"/>
        </w:rPr>
        <w:t xml:space="preserve"> emitida </w:t>
      </w:r>
      <w:r w:rsidR="005D216A" w:rsidRPr="00E13E66">
        <w:rPr>
          <w:rFonts w:ascii="Verdana" w:hAnsi="Verdana"/>
          <w:lang w:val="es-MX"/>
        </w:rPr>
        <w:t>en el presente caso en el año 201</w:t>
      </w:r>
      <w:r w:rsidR="00FB35EE">
        <w:rPr>
          <w:rFonts w:ascii="Verdana" w:hAnsi="Verdana"/>
          <w:lang w:val="es-MX"/>
        </w:rPr>
        <w:t>2</w:t>
      </w:r>
      <w:r w:rsidRPr="00E13E66">
        <w:rPr>
          <w:rFonts w:ascii="Verdana" w:hAnsi="Verdana"/>
          <w:lang w:val="es-MX"/>
        </w:rPr>
        <w:t xml:space="preserve"> (</w:t>
      </w:r>
      <w:r w:rsidRPr="007B0E9F">
        <w:rPr>
          <w:rFonts w:ascii="Verdana" w:hAnsi="Verdana"/>
          <w:i/>
          <w:lang w:val="es-MX"/>
        </w:rPr>
        <w:t>supra</w:t>
      </w:r>
      <w:r w:rsidRPr="007B0E9F">
        <w:rPr>
          <w:rFonts w:ascii="Verdana" w:hAnsi="Verdana"/>
          <w:lang w:val="es-MX"/>
        </w:rPr>
        <w:t xml:space="preserve"> Visto 1). </w:t>
      </w:r>
      <w:r w:rsidR="005D216A" w:rsidRPr="007B0E9F">
        <w:rPr>
          <w:rFonts w:ascii="Verdana" w:hAnsi="Verdana"/>
          <w:lang w:val="es-MX"/>
        </w:rPr>
        <w:t>En la Sentencia, el Tribunal</w:t>
      </w:r>
      <w:r w:rsidR="00F607CA">
        <w:rPr>
          <w:rFonts w:ascii="Verdana" w:hAnsi="Verdana"/>
          <w:lang w:val="es-MX"/>
        </w:rPr>
        <w:t xml:space="preserve"> </w:t>
      </w:r>
      <w:r w:rsidR="005D216A" w:rsidRPr="007B0E9F">
        <w:rPr>
          <w:rFonts w:ascii="Verdana" w:hAnsi="Verdana"/>
          <w:lang w:val="es-MX"/>
        </w:rPr>
        <w:t xml:space="preserve">dispuso las siguientes medidas de </w:t>
      </w:r>
      <w:r w:rsidR="005D216A" w:rsidRPr="00F91E2C">
        <w:rPr>
          <w:rFonts w:ascii="Verdana" w:hAnsi="Verdana"/>
          <w:lang w:val="es-MX"/>
        </w:rPr>
        <w:t xml:space="preserve">reparación: </w:t>
      </w:r>
      <w:r w:rsidR="00810DE3" w:rsidRPr="00F91E2C">
        <w:rPr>
          <w:rFonts w:ascii="Verdana" w:hAnsi="Verdana"/>
          <w:lang w:val="es-MX"/>
        </w:rPr>
        <w:t>i</w:t>
      </w:r>
      <w:r w:rsidR="001F212A" w:rsidRPr="00F91E2C">
        <w:rPr>
          <w:rFonts w:ascii="Verdana" w:hAnsi="Verdana"/>
          <w:lang w:val="es-MX"/>
        </w:rPr>
        <w:t xml:space="preserve">) </w:t>
      </w:r>
      <w:r w:rsidR="00FB35EE" w:rsidRPr="00F91E2C">
        <w:rPr>
          <w:rFonts w:ascii="Verdana" w:hAnsi="Verdana"/>
          <w:lang w:val="es-MX"/>
        </w:rPr>
        <w:t xml:space="preserve">garantizar al señor Mohamed el derecho a recurrir del fallo condenatorio emitido por la Sala Primera de la Cámara Nacional de Apelaciones en lo Criminal y Correccional el 22 de febrero de 1995; </w:t>
      </w:r>
      <w:r w:rsidR="00FB35EE" w:rsidRPr="00F91E2C">
        <w:rPr>
          <w:rFonts w:ascii="Verdana" w:hAnsi="Verdana"/>
        </w:rPr>
        <w:t>ii</w:t>
      </w:r>
      <w:r w:rsidR="00FB35EE" w:rsidRPr="00F91E2C">
        <w:rPr>
          <w:rFonts w:ascii="Verdana" w:hAnsi="Verdana"/>
          <w:lang w:val="es-MX"/>
        </w:rPr>
        <w:t xml:space="preserve">) adoptar las medidas necesarias para que los efectos jurídicos de dicha sentencia condenatoria, y en especial su registro de antecedentes, queden en suspenso hasta que se emita una decisión de fondo garantizando el derecho del señor Mohamed a recurrir del fallo condenatorio; iii) </w:t>
      </w:r>
      <w:r w:rsidR="007B0E9F" w:rsidRPr="00F91E2C">
        <w:rPr>
          <w:rFonts w:ascii="Verdana" w:hAnsi="Verdana"/>
        </w:rPr>
        <w:t xml:space="preserve">realizar las publicaciones </w:t>
      </w:r>
      <w:r w:rsidR="00AB3588" w:rsidRPr="00F91E2C">
        <w:rPr>
          <w:rFonts w:ascii="Verdana" w:hAnsi="Verdana"/>
        </w:rPr>
        <w:t xml:space="preserve">de la Sentencia </w:t>
      </w:r>
      <w:r w:rsidR="007B0E9F" w:rsidRPr="00F91E2C">
        <w:rPr>
          <w:rFonts w:ascii="Verdana" w:hAnsi="Verdana"/>
        </w:rPr>
        <w:t xml:space="preserve">que se indican en el párrafo </w:t>
      </w:r>
      <w:r w:rsidR="00FB35EE" w:rsidRPr="00F91E2C">
        <w:rPr>
          <w:rFonts w:ascii="Verdana" w:hAnsi="Verdana"/>
        </w:rPr>
        <w:t>155</w:t>
      </w:r>
      <w:r w:rsidR="007B0E9F" w:rsidRPr="00F91E2C">
        <w:rPr>
          <w:rFonts w:ascii="Verdana" w:hAnsi="Verdana"/>
        </w:rPr>
        <w:t xml:space="preserve"> de</w:t>
      </w:r>
      <w:r w:rsidR="00AE4566" w:rsidRPr="00F91E2C">
        <w:rPr>
          <w:rFonts w:ascii="Verdana" w:hAnsi="Verdana"/>
        </w:rPr>
        <w:t xml:space="preserve"> </w:t>
      </w:r>
      <w:r w:rsidR="007B0E9F" w:rsidRPr="00F91E2C">
        <w:rPr>
          <w:rFonts w:ascii="Verdana" w:hAnsi="Verdana"/>
        </w:rPr>
        <w:t>l</w:t>
      </w:r>
      <w:r w:rsidR="00AE4566" w:rsidRPr="00F91E2C">
        <w:rPr>
          <w:rFonts w:ascii="Verdana" w:hAnsi="Verdana"/>
        </w:rPr>
        <w:t xml:space="preserve">a </w:t>
      </w:r>
      <w:r w:rsidR="00AB3588" w:rsidRPr="00F91E2C">
        <w:rPr>
          <w:rFonts w:ascii="Verdana" w:hAnsi="Verdana"/>
        </w:rPr>
        <w:t>misma</w:t>
      </w:r>
      <w:r w:rsidR="00BA5C09" w:rsidRPr="00F91E2C">
        <w:rPr>
          <w:rFonts w:ascii="Verdana" w:hAnsi="Verdana"/>
        </w:rPr>
        <w:t>;</w:t>
      </w:r>
      <w:r w:rsidR="00810DE3" w:rsidRPr="00F91E2C">
        <w:rPr>
          <w:rFonts w:ascii="Verdana" w:hAnsi="Verdana"/>
        </w:rPr>
        <w:t xml:space="preserve"> </w:t>
      </w:r>
      <w:r w:rsidR="00FB35EE" w:rsidRPr="00F91E2C">
        <w:rPr>
          <w:rFonts w:ascii="Verdana" w:hAnsi="Verdana"/>
        </w:rPr>
        <w:t xml:space="preserve">iv) </w:t>
      </w:r>
      <w:r w:rsidR="0042644B" w:rsidRPr="00F91E2C">
        <w:rPr>
          <w:rFonts w:ascii="Verdana" w:hAnsi="Verdana"/>
        </w:rPr>
        <w:t>indemnizaci</w:t>
      </w:r>
      <w:r w:rsidR="0042644B">
        <w:rPr>
          <w:rFonts w:ascii="Verdana" w:hAnsi="Verdana"/>
        </w:rPr>
        <w:t>ón</w:t>
      </w:r>
      <w:r w:rsidR="0042644B" w:rsidRPr="00F91E2C">
        <w:rPr>
          <w:rFonts w:ascii="Verdana" w:hAnsi="Verdana"/>
        </w:rPr>
        <w:t xml:space="preserve"> </w:t>
      </w:r>
      <w:r w:rsidR="002574B5" w:rsidRPr="00F91E2C">
        <w:rPr>
          <w:rFonts w:ascii="Verdana" w:hAnsi="Verdana"/>
        </w:rPr>
        <w:t xml:space="preserve">por concepto de daño material e inmaterial a favor del señor Mohamed; </w:t>
      </w:r>
      <w:r w:rsidR="00810DE3" w:rsidRPr="00F91E2C">
        <w:rPr>
          <w:rFonts w:ascii="Verdana" w:hAnsi="Verdana"/>
        </w:rPr>
        <w:t>v</w:t>
      </w:r>
      <w:r w:rsidR="00BA5C09" w:rsidRPr="00F91E2C">
        <w:rPr>
          <w:rFonts w:ascii="Verdana" w:hAnsi="Verdana"/>
        </w:rPr>
        <w:t>)</w:t>
      </w:r>
      <w:r w:rsidR="007B0E9F" w:rsidRPr="00F91E2C">
        <w:rPr>
          <w:rFonts w:ascii="Verdana" w:hAnsi="Verdana"/>
        </w:rPr>
        <w:t xml:space="preserve"> reintegro de costas y gastos</w:t>
      </w:r>
      <w:r w:rsidR="00AE4566" w:rsidRPr="00F91E2C">
        <w:rPr>
          <w:rFonts w:ascii="Verdana" w:hAnsi="Verdana"/>
        </w:rPr>
        <w:t>, y</w:t>
      </w:r>
      <w:r w:rsidR="007B0E9F" w:rsidRPr="00F91E2C">
        <w:rPr>
          <w:rFonts w:ascii="Verdana" w:hAnsi="Verdana"/>
        </w:rPr>
        <w:t xml:space="preserve"> </w:t>
      </w:r>
      <w:r w:rsidR="00810DE3" w:rsidRPr="00F91E2C">
        <w:rPr>
          <w:rFonts w:ascii="Verdana" w:hAnsi="Verdana"/>
        </w:rPr>
        <w:t>v</w:t>
      </w:r>
      <w:r w:rsidR="002574B5" w:rsidRPr="00F91E2C">
        <w:rPr>
          <w:rFonts w:ascii="Verdana" w:hAnsi="Verdana"/>
        </w:rPr>
        <w:t>i</w:t>
      </w:r>
      <w:r w:rsidR="00BA5C09" w:rsidRPr="00F91E2C">
        <w:rPr>
          <w:rFonts w:ascii="Verdana" w:hAnsi="Verdana"/>
        </w:rPr>
        <w:t>)</w:t>
      </w:r>
      <w:r w:rsidR="007B0E9F" w:rsidRPr="00F91E2C">
        <w:rPr>
          <w:rFonts w:ascii="Verdana" w:hAnsi="Verdana"/>
        </w:rPr>
        <w:t xml:space="preserve"> reintegro al Fondo de Asistencia Legal de Víctimas</w:t>
      </w:r>
      <w:r w:rsidR="009F07BD" w:rsidRPr="00F91E2C">
        <w:rPr>
          <w:rFonts w:ascii="Verdana" w:hAnsi="Verdana"/>
        </w:rPr>
        <w:t xml:space="preserve"> de la Corte</w:t>
      </w:r>
      <w:r w:rsidR="004470F2" w:rsidRPr="00F91E2C">
        <w:rPr>
          <w:rFonts w:ascii="Verdana" w:hAnsi="Verdana"/>
        </w:rPr>
        <w:t xml:space="preserve">. </w:t>
      </w:r>
    </w:p>
    <w:p w14:paraId="7E4E2D33" w14:textId="77777777" w:rsidR="00FE71A0" w:rsidRPr="008F19A9" w:rsidRDefault="00140AC7" w:rsidP="00FE71A0">
      <w:pPr>
        <w:widowControl/>
        <w:numPr>
          <w:ilvl w:val="0"/>
          <w:numId w:val="2"/>
        </w:numPr>
        <w:spacing w:before="120" w:after="120"/>
        <w:ind w:left="0" w:right="9" w:hanging="11"/>
        <w:jc w:val="both"/>
        <w:rPr>
          <w:rFonts w:ascii="Verdana" w:hAnsi="Verdana"/>
        </w:rPr>
      </w:pPr>
      <w:r w:rsidRPr="008F19A9">
        <w:rPr>
          <w:rFonts w:ascii="Verdana" w:hAnsi="Verdana"/>
        </w:rPr>
        <w:t>De</w:t>
      </w:r>
      <w:r w:rsidR="00FE71A0" w:rsidRPr="008F19A9">
        <w:rPr>
          <w:rFonts w:ascii="Verdana" w:hAnsi="Verdana"/>
        </w:rPr>
        <w:t xml:space="preserve"> conformidad con </w:t>
      </w:r>
      <w:r w:rsidR="00FE71A0" w:rsidRPr="00D44BD9">
        <w:rPr>
          <w:rFonts w:ascii="Verdana" w:hAnsi="Verdana"/>
          <w:lang w:val="es-ES"/>
        </w:rPr>
        <w:t>lo establecido en el artículo</w:t>
      </w:r>
      <w:r w:rsidR="00FE71A0" w:rsidRPr="008F19A9">
        <w:rPr>
          <w:rFonts w:ascii="Verdana" w:hAnsi="Verdana"/>
        </w:rPr>
        <w:t xml:space="preserve"> </w:t>
      </w:r>
      <w:r w:rsidR="00FE71A0" w:rsidRPr="008F19A9">
        <w:rPr>
          <w:rFonts w:ascii="Verdana" w:hAnsi="Verdana"/>
          <w:color w:val="000000"/>
          <w:lang w:val="es-CO"/>
        </w:rPr>
        <w:t>68.1 de la Convención Americana, “[l]os Est</w:t>
      </w:r>
      <w:r w:rsidR="00FE71A0" w:rsidRPr="00FE71A0">
        <w:rPr>
          <w:rFonts w:ascii="Verdana" w:hAnsi="Verdana"/>
          <w:color w:val="000000"/>
          <w:lang w:val="es-CO"/>
        </w:rPr>
        <w:t>a</w:t>
      </w:r>
      <w:r w:rsidR="00FE71A0" w:rsidRPr="008F19A9">
        <w:rPr>
          <w:rFonts w:ascii="Verdana" w:hAnsi="Verdana"/>
          <w:color w:val="000000"/>
          <w:lang w:val="es-CO"/>
        </w:rPr>
        <w:t xml:space="preserve">dos Partes en la Convención se comprometen a cumplir la decisión de la </w:t>
      </w:r>
      <w:r w:rsidR="00FE71A0" w:rsidRPr="008F19A9">
        <w:rPr>
          <w:rFonts w:ascii="Verdana" w:hAnsi="Verdana"/>
          <w:color w:val="000000"/>
          <w:lang w:val="es-MX"/>
        </w:rPr>
        <w:t>Corte en todo caso en que sean parte</w:t>
      </w:r>
      <w:r w:rsidR="00FE71A0" w:rsidRPr="008F19A9">
        <w:rPr>
          <w:rFonts w:ascii="Verdana" w:hAnsi="Verdana"/>
          <w:i/>
          <w:color w:val="000000"/>
          <w:lang w:val="es-MX"/>
        </w:rPr>
        <w:t>s”</w:t>
      </w:r>
      <w:r w:rsidR="00FE71A0" w:rsidRPr="008F19A9">
        <w:rPr>
          <w:rFonts w:ascii="Verdana" w:hAnsi="Verdana" w:cs="Verdana"/>
          <w:i/>
          <w:lang w:val="es-MX"/>
        </w:rPr>
        <w:t>.</w:t>
      </w:r>
      <w:r w:rsidR="00FE71A0" w:rsidRPr="008F19A9">
        <w:rPr>
          <w:rFonts w:ascii="Verdana" w:hAnsi="Verdana" w:cs="Verdana"/>
          <w:lang w:val="es-MX"/>
        </w:rPr>
        <w:t xml:space="preserve"> </w:t>
      </w:r>
      <w:r w:rsidR="00FE71A0" w:rsidRPr="008F19A9">
        <w:rPr>
          <w:rFonts w:ascii="Verdana" w:hAnsi="Verdana"/>
          <w:lang w:val="es-MX"/>
        </w:rPr>
        <w:t xml:space="preserve">Esta obligación incluye el deber del Estado de informar a la Corte sobre las medidas </w:t>
      </w:r>
      <w:r w:rsidR="00FE71A0" w:rsidRPr="00D44BD9">
        <w:rPr>
          <w:rFonts w:ascii="Verdana" w:hAnsi="Verdana"/>
          <w:lang w:val="es-MX"/>
        </w:rPr>
        <w:t>ado</w:t>
      </w:r>
      <w:r w:rsidR="00FE71A0" w:rsidRPr="00D44BD9">
        <w:rPr>
          <w:rFonts w:ascii="Verdana" w:hAnsi="Verdana"/>
        </w:rPr>
        <w:t>ptadas para cumplir cada uno de los puntos ordenados por ésta, lo cual es funda</w:t>
      </w:r>
      <w:r w:rsidR="00FE71A0" w:rsidRPr="00D44BD9">
        <w:rPr>
          <w:rFonts w:ascii="Verdana" w:hAnsi="Verdana"/>
          <w:lang w:val="es-MX"/>
        </w:rPr>
        <w:t>mental para evalua</w:t>
      </w:r>
      <w:r w:rsidR="00FE71A0" w:rsidRPr="008F19A9">
        <w:rPr>
          <w:rFonts w:ascii="Verdana" w:hAnsi="Verdana"/>
        </w:rPr>
        <w:t>r el estado de cumplimiento de la Sentencia en su conjunto.</w:t>
      </w:r>
    </w:p>
    <w:p w14:paraId="1828E9CD" w14:textId="2C70FBEB" w:rsidR="00896930" w:rsidRPr="00D71564" w:rsidRDefault="00FE71A0" w:rsidP="00896930">
      <w:pPr>
        <w:widowControl/>
        <w:numPr>
          <w:ilvl w:val="0"/>
          <w:numId w:val="2"/>
        </w:numPr>
        <w:spacing w:before="120" w:after="120"/>
        <w:ind w:left="0" w:right="9" w:hanging="11"/>
        <w:jc w:val="both"/>
        <w:rPr>
          <w:rFonts w:ascii="Verdana" w:hAnsi="Verdana"/>
        </w:rPr>
      </w:pPr>
      <w:r w:rsidRPr="00D71564">
        <w:rPr>
          <w:rFonts w:ascii="Verdana" w:hAnsi="Verdana" w:cs="Verdana"/>
          <w:lang w:val="es-ES"/>
        </w:rPr>
        <w:t>Los Estados Parte en la Convención deben garantizar el cumplimiento de las disposiciones convencionales y sus efectos propios (</w:t>
      </w:r>
      <w:proofErr w:type="spellStart"/>
      <w:r w:rsidRPr="00D71564">
        <w:rPr>
          <w:rFonts w:ascii="Verdana" w:hAnsi="Verdana" w:cs="Verdana-Italic"/>
          <w:i/>
          <w:iCs/>
          <w:lang w:val="es-ES"/>
        </w:rPr>
        <w:t>effet</w:t>
      </w:r>
      <w:proofErr w:type="spellEnd"/>
      <w:r w:rsidRPr="00D71564">
        <w:rPr>
          <w:rFonts w:ascii="Verdana" w:hAnsi="Verdana" w:cs="Verdana-Italic"/>
          <w:i/>
          <w:iCs/>
          <w:lang w:val="es-ES"/>
        </w:rPr>
        <w:t xml:space="preserve"> </w:t>
      </w:r>
      <w:proofErr w:type="spellStart"/>
      <w:r w:rsidRPr="00D71564">
        <w:rPr>
          <w:rFonts w:ascii="Verdana" w:hAnsi="Verdana" w:cs="Verdana-Italic"/>
          <w:i/>
          <w:iCs/>
          <w:lang w:val="es-ES"/>
        </w:rPr>
        <w:t>utile</w:t>
      </w:r>
      <w:proofErr w:type="spellEnd"/>
      <w:r w:rsidRPr="00D71564">
        <w:rPr>
          <w:rFonts w:ascii="Verdana" w:hAnsi="Verdana" w:cs="Verdana"/>
          <w:lang w:val="es-ES"/>
        </w:rPr>
        <w:t>) en el plano de sus respectivos derechos internos. Estas obligaciones deben ser interpretadas y aplicadas de manera que la garantía protegida sea verdaderamente práctica y eficaz, teniendo presente la naturaleza especial de los tratados de derechos humanos</w:t>
      </w:r>
      <w:r w:rsidRPr="00D71564">
        <w:rPr>
          <w:rStyle w:val="FootnoteReference"/>
          <w:rFonts w:ascii="Verdana" w:hAnsi="Verdana" w:cs="Verdana"/>
        </w:rPr>
        <w:footnoteReference w:id="8"/>
      </w:r>
      <w:r w:rsidRPr="00D71564">
        <w:rPr>
          <w:rFonts w:ascii="Verdana" w:hAnsi="Verdana" w:cs="Verdana"/>
          <w:lang w:val="es-ES"/>
        </w:rPr>
        <w:t>.</w:t>
      </w:r>
    </w:p>
    <w:p w14:paraId="749E2314" w14:textId="77777777" w:rsidR="00896930" w:rsidRDefault="00D71564" w:rsidP="00896930">
      <w:pPr>
        <w:widowControl/>
        <w:numPr>
          <w:ilvl w:val="0"/>
          <w:numId w:val="2"/>
        </w:numPr>
        <w:spacing w:before="120" w:after="120"/>
        <w:ind w:left="0" w:right="9" w:hanging="11"/>
        <w:jc w:val="both"/>
        <w:rPr>
          <w:rFonts w:ascii="Verdana" w:hAnsi="Verdana"/>
        </w:rPr>
      </w:pPr>
      <w:r>
        <w:rPr>
          <w:rFonts w:ascii="Verdana" w:hAnsi="Verdana"/>
        </w:rPr>
        <w:t>En la etapa de supervisión de cumplimiento del presente caso la Corte declaró, mediante Resolución de 26 de enero de 2015, que el Estado cumplió con efectuar el reintegro al Fondo de Asistencia Legal de Víctimas (</w:t>
      </w:r>
      <w:r w:rsidRPr="00FE71A0">
        <w:rPr>
          <w:rFonts w:ascii="Verdana" w:hAnsi="Verdana"/>
          <w:i/>
        </w:rPr>
        <w:t>supra</w:t>
      </w:r>
      <w:r>
        <w:rPr>
          <w:rFonts w:ascii="Verdana" w:hAnsi="Verdana"/>
        </w:rPr>
        <w:t xml:space="preserve"> Visto 5). </w:t>
      </w:r>
      <w:r w:rsidR="007B0E9F" w:rsidRPr="00BA1918">
        <w:rPr>
          <w:rFonts w:ascii="Verdana" w:hAnsi="Verdana"/>
        </w:rPr>
        <w:t>Seguidamente, la Corte valorará la información presentada por las partes respecto de las medidas de reparación ordenadas en este caso (</w:t>
      </w:r>
      <w:r w:rsidR="007B0E9F" w:rsidRPr="00BA1918">
        <w:rPr>
          <w:rFonts w:ascii="Verdana" w:hAnsi="Verdana"/>
          <w:i/>
        </w:rPr>
        <w:t>supra</w:t>
      </w:r>
      <w:r w:rsidR="007B0E9F" w:rsidRPr="00BA1918">
        <w:rPr>
          <w:rFonts w:ascii="Verdana" w:hAnsi="Verdana"/>
        </w:rPr>
        <w:t xml:space="preserve"> Considerando 1), y determinará el grado de cumplimiento por parte del Estado</w:t>
      </w:r>
      <w:r w:rsidR="00BA1918" w:rsidRPr="00BA1918">
        <w:rPr>
          <w:rFonts w:ascii="Verdana" w:hAnsi="Verdana"/>
        </w:rPr>
        <w:t xml:space="preserve"> (</w:t>
      </w:r>
      <w:r w:rsidR="00BA1918" w:rsidRPr="00B61294">
        <w:rPr>
          <w:rFonts w:ascii="Verdana" w:hAnsi="Verdana"/>
          <w:i/>
        </w:rPr>
        <w:t>infra</w:t>
      </w:r>
      <w:r w:rsidR="00BA1918" w:rsidRPr="00BA1918">
        <w:rPr>
          <w:rFonts w:ascii="Verdana" w:hAnsi="Verdana"/>
        </w:rPr>
        <w:t xml:space="preserve"> </w:t>
      </w:r>
      <w:r w:rsidR="00BA1918" w:rsidRPr="009B6849">
        <w:rPr>
          <w:rFonts w:ascii="Verdana" w:hAnsi="Verdana"/>
        </w:rPr>
        <w:t xml:space="preserve">Considerandos </w:t>
      </w:r>
      <w:r w:rsidR="009B6849" w:rsidRPr="009B6849">
        <w:rPr>
          <w:rFonts w:ascii="Verdana" w:hAnsi="Verdana"/>
        </w:rPr>
        <w:t>5</w:t>
      </w:r>
      <w:r w:rsidR="00BA1918" w:rsidRPr="009B6849">
        <w:rPr>
          <w:rFonts w:ascii="Verdana" w:hAnsi="Verdana"/>
        </w:rPr>
        <w:t xml:space="preserve"> a </w:t>
      </w:r>
      <w:r w:rsidR="00381964">
        <w:rPr>
          <w:rFonts w:ascii="Verdana" w:hAnsi="Verdana"/>
        </w:rPr>
        <w:t>16</w:t>
      </w:r>
      <w:r w:rsidR="00FF36C1">
        <w:rPr>
          <w:rFonts w:ascii="Verdana" w:hAnsi="Verdana"/>
        </w:rPr>
        <w:t>).</w:t>
      </w:r>
    </w:p>
    <w:p w14:paraId="45BF4B84" w14:textId="77777777" w:rsidR="002A70AD" w:rsidRDefault="002A70AD" w:rsidP="00FF36C1">
      <w:pPr>
        <w:widowControl/>
        <w:spacing w:before="120" w:after="120"/>
        <w:ind w:right="9"/>
        <w:jc w:val="both"/>
        <w:rPr>
          <w:rFonts w:ascii="Verdana" w:hAnsi="Verdana"/>
        </w:rPr>
      </w:pPr>
    </w:p>
    <w:p w14:paraId="3B505C35" w14:textId="77777777" w:rsidR="00FF36C1" w:rsidRPr="00FF56F6" w:rsidRDefault="00FF36C1" w:rsidP="00FF36C1">
      <w:pPr>
        <w:widowControl/>
        <w:autoSpaceDE w:val="0"/>
        <w:autoSpaceDN w:val="0"/>
        <w:adjustRightInd w:val="0"/>
        <w:ind w:left="708"/>
        <w:jc w:val="both"/>
        <w:rPr>
          <w:rFonts w:ascii="Verdana" w:hAnsi="Verdana"/>
          <w:b/>
          <w:i/>
        </w:rPr>
      </w:pPr>
      <w:r w:rsidRPr="00FF56F6">
        <w:rPr>
          <w:rFonts w:ascii="Verdana" w:hAnsi="Verdana"/>
          <w:b/>
          <w:i/>
        </w:rPr>
        <w:lastRenderedPageBreak/>
        <w:t>A. Garantizar al señor Mohamed el derecho a recurrir del fallo condenatorio y que los efectos jurídicos de dicho fallo, y su registro de antecedentes, queden en suspenso hasta que se emita una decisión de fondo garantizando dicho derecho</w:t>
      </w:r>
    </w:p>
    <w:p w14:paraId="14EE397E" w14:textId="77777777" w:rsidR="00FF36C1" w:rsidRPr="008506F3" w:rsidRDefault="00FF36C1" w:rsidP="008506F3">
      <w:pPr>
        <w:widowControl/>
        <w:autoSpaceDE w:val="0"/>
        <w:autoSpaceDN w:val="0"/>
        <w:adjustRightInd w:val="0"/>
        <w:spacing w:before="120" w:after="120"/>
        <w:ind w:left="709"/>
        <w:jc w:val="both"/>
        <w:rPr>
          <w:rFonts w:ascii="Verdana" w:hAnsi="Verdana"/>
          <w:b/>
          <w:i/>
          <w:sz w:val="10"/>
          <w:szCs w:val="10"/>
        </w:rPr>
      </w:pPr>
    </w:p>
    <w:p w14:paraId="12206141" w14:textId="77777777" w:rsidR="00FF36C1" w:rsidRPr="00FF56F6" w:rsidRDefault="00FF36C1" w:rsidP="00FF36C1">
      <w:pPr>
        <w:widowControl/>
        <w:autoSpaceDE w:val="0"/>
        <w:autoSpaceDN w:val="0"/>
        <w:adjustRightInd w:val="0"/>
        <w:ind w:left="708"/>
        <w:jc w:val="both"/>
        <w:rPr>
          <w:rFonts w:ascii="Verdana" w:hAnsi="Verdana"/>
          <w:i/>
        </w:rPr>
      </w:pPr>
      <w:r w:rsidRPr="00FF56F6">
        <w:rPr>
          <w:rFonts w:ascii="Verdana" w:hAnsi="Verdana"/>
          <w:i/>
        </w:rPr>
        <w:t>A.1. Medida ordenada por la Corte</w:t>
      </w:r>
    </w:p>
    <w:p w14:paraId="7F3FC337" w14:textId="16412DC4" w:rsidR="009579FF" w:rsidRDefault="009579FF" w:rsidP="00896930">
      <w:pPr>
        <w:widowControl/>
        <w:numPr>
          <w:ilvl w:val="0"/>
          <w:numId w:val="2"/>
        </w:numPr>
        <w:spacing w:before="120" w:after="120"/>
        <w:ind w:left="0" w:right="9" w:hanging="11"/>
        <w:jc w:val="both"/>
        <w:rPr>
          <w:rFonts w:ascii="Verdana" w:hAnsi="Verdana"/>
        </w:rPr>
      </w:pPr>
      <w:r>
        <w:rPr>
          <w:rFonts w:ascii="Verdana" w:hAnsi="Verdana"/>
        </w:rPr>
        <w:t xml:space="preserve">La Corte recuerda que en los párrafos </w:t>
      </w:r>
      <w:r w:rsidRPr="00FF56F6">
        <w:rPr>
          <w:rFonts w:ascii="Verdana" w:hAnsi="Verdana"/>
        </w:rPr>
        <w:t>90 a 117</w:t>
      </w:r>
      <w:r>
        <w:rPr>
          <w:rFonts w:ascii="Verdana" w:hAnsi="Verdana"/>
        </w:rPr>
        <w:t xml:space="preserve"> de la Sentencia determinó que </w:t>
      </w:r>
      <w:r w:rsidRPr="00FF56F6">
        <w:rPr>
          <w:rFonts w:ascii="Verdana" w:hAnsi="Verdana"/>
        </w:rPr>
        <w:t>el señor Mohamed no tuvo a disposición un recurso que, de acuerdo a los estándares del artículo 8.2.h de la Convención Americana, permitiera la revisión de la sentencia que lo condenó por primera vez en la segunda instancia del proceso penal por el delito de homicidio culposo</w:t>
      </w:r>
      <w:r w:rsidRPr="008254E1">
        <w:rPr>
          <w:rFonts w:ascii="Verdana" w:hAnsi="Verdana"/>
        </w:rPr>
        <w:t xml:space="preserve">. Asimismo, </w:t>
      </w:r>
      <w:r w:rsidR="00F10EB2" w:rsidRPr="008254E1">
        <w:rPr>
          <w:rFonts w:ascii="Verdana" w:hAnsi="Verdana"/>
        </w:rPr>
        <w:t xml:space="preserve">con fundamento en lo considerado en los párrafos 130 a 139 de la Sentencia, </w:t>
      </w:r>
      <w:r w:rsidRPr="008254E1">
        <w:rPr>
          <w:rFonts w:ascii="Verdana" w:hAnsi="Verdana"/>
        </w:rPr>
        <w:t xml:space="preserve">el Tribunal </w:t>
      </w:r>
      <w:r w:rsidR="00F10EB2" w:rsidRPr="008254E1">
        <w:rPr>
          <w:rFonts w:ascii="Verdana" w:hAnsi="Verdana"/>
        </w:rPr>
        <w:t xml:space="preserve">no estimó pertinente </w:t>
      </w:r>
      <w:r w:rsidR="008254E1">
        <w:rPr>
          <w:rFonts w:ascii="Verdana" w:hAnsi="Verdana"/>
        </w:rPr>
        <w:t xml:space="preserve">determinar si hubo una </w:t>
      </w:r>
      <w:r w:rsidR="00F10EB2" w:rsidRPr="008254E1">
        <w:rPr>
          <w:rFonts w:ascii="Verdana" w:hAnsi="Verdana"/>
        </w:rPr>
        <w:t xml:space="preserve">violación al principio de legalidad, </w:t>
      </w:r>
      <w:r w:rsidR="0042644B">
        <w:rPr>
          <w:rFonts w:ascii="Verdana" w:hAnsi="Verdana"/>
        </w:rPr>
        <w:t>consagrado</w:t>
      </w:r>
      <w:r w:rsidR="0042644B" w:rsidRPr="008254E1">
        <w:rPr>
          <w:rFonts w:ascii="Verdana" w:hAnsi="Verdana"/>
        </w:rPr>
        <w:t xml:space="preserve"> </w:t>
      </w:r>
      <w:r w:rsidR="00F10EB2" w:rsidRPr="008254E1">
        <w:rPr>
          <w:rFonts w:ascii="Verdana" w:hAnsi="Verdana"/>
        </w:rPr>
        <w:t xml:space="preserve">en el artículo 9 de la Convención Americana, </w:t>
      </w:r>
      <w:r w:rsidR="00476902">
        <w:rPr>
          <w:rFonts w:ascii="Verdana" w:hAnsi="Verdana"/>
        </w:rPr>
        <w:t xml:space="preserve">en perjuicio del señor Mohamed, </w:t>
      </w:r>
      <w:r w:rsidR="00F10EB2" w:rsidRPr="008254E1">
        <w:rPr>
          <w:rFonts w:ascii="Verdana" w:hAnsi="Verdana"/>
        </w:rPr>
        <w:t xml:space="preserve">puesto que </w:t>
      </w:r>
      <w:r w:rsidR="00772EEF">
        <w:rPr>
          <w:rFonts w:ascii="Verdana" w:hAnsi="Verdana"/>
        </w:rPr>
        <w:t xml:space="preserve">consideró que </w:t>
      </w:r>
      <w:r w:rsidR="00F10EB2" w:rsidRPr="008254E1">
        <w:rPr>
          <w:rFonts w:ascii="Verdana" w:hAnsi="Verdana"/>
        </w:rPr>
        <w:t>correspond</w:t>
      </w:r>
      <w:r w:rsidR="00772EEF">
        <w:rPr>
          <w:rFonts w:ascii="Verdana" w:hAnsi="Verdana"/>
        </w:rPr>
        <w:t>ía</w:t>
      </w:r>
      <w:r w:rsidR="00F10EB2" w:rsidRPr="008254E1">
        <w:rPr>
          <w:rFonts w:ascii="Verdana" w:hAnsi="Verdana"/>
        </w:rPr>
        <w:t xml:space="preserve"> al tribunal superior que cono</w:t>
      </w:r>
      <w:r w:rsidR="00772EEF">
        <w:rPr>
          <w:rFonts w:ascii="Verdana" w:hAnsi="Verdana"/>
        </w:rPr>
        <w:t>ciera</w:t>
      </w:r>
      <w:r w:rsidR="00F10EB2" w:rsidRPr="008254E1">
        <w:rPr>
          <w:rFonts w:ascii="Verdana" w:hAnsi="Verdana"/>
        </w:rPr>
        <w:t xml:space="preserve"> sobre el recurso contra el fallo condenatorio determinar si hubo una vulneración a dicho principio</w:t>
      </w:r>
      <w:r w:rsidR="00BD0EA4">
        <w:rPr>
          <w:rStyle w:val="FootnoteReference"/>
          <w:rFonts w:ascii="Verdana" w:hAnsi="Verdana"/>
        </w:rPr>
        <w:footnoteReference w:id="9"/>
      </w:r>
      <w:r w:rsidR="00F10EB2" w:rsidRPr="008254E1">
        <w:rPr>
          <w:rFonts w:ascii="Verdana" w:hAnsi="Verdana"/>
        </w:rPr>
        <w:t>.</w:t>
      </w:r>
    </w:p>
    <w:p w14:paraId="4C31158F" w14:textId="77777777" w:rsidR="00855228" w:rsidRPr="00FF56F6" w:rsidRDefault="009579FF" w:rsidP="00896930">
      <w:pPr>
        <w:widowControl/>
        <w:numPr>
          <w:ilvl w:val="0"/>
          <w:numId w:val="2"/>
        </w:numPr>
        <w:spacing w:before="120" w:after="120"/>
        <w:ind w:left="0" w:right="9" w:hanging="11"/>
        <w:jc w:val="both"/>
        <w:rPr>
          <w:rFonts w:ascii="Verdana" w:hAnsi="Verdana"/>
        </w:rPr>
      </w:pPr>
      <w:r>
        <w:rPr>
          <w:rFonts w:ascii="Verdana" w:hAnsi="Verdana"/>
        </w:rPr>
        <w:t xml:space="preserve">Con base </w:t>
      </w:r>
      <w:r w:rsidR="00BD0EA4">
        <w:rPr>
          <w:rFonts w:ascii="Verdana" w:hAnsi="Verdana"/>
        </w:rPr>
        <w:t>en la violación declarada</w:t>
      </w:r>
      <w:r>
        <w:rPr>
          <w:rFonts w:ascii="Verdana" w:hAnsi="Verdana"/>
        </w:rPr>
        <w:t>, e</w:t>
      </w:r>
      <w:r w:rsidR="00FF36C1" w:rsidRPr="00FF56F6">
        <w:rPr>
          <w:rFonts w:ascii="Verdana" w:hAnsi="Verdana"/>
        </w:rPr>
        <w:t xml:space="preserve">n </w:t>
      </w:r>
      <w:r w:rsidR="00517B0C" w:rsidRPr="00FF56F6">
        <w:rPr>
          <w:rFonts w:ascii="Verdana" w:hAnsi="Verdana"/>
        </w:rPr>
        <w:t>los</w:t>
      </w:r>
      <w:r w:rsidR="00FF36C1" w:rsidRPr="00FF56F6">
        <w:rPr>
          <w:rFonts w:ascii="Verdana" w:hAnsi="Verdana"/>
        </w:rPr>
        <w:t xml:space="preserve"> punto</w:t>
      </w:r>
      <w:r w:rsidR="00517B0C" w:rsidRPr="00FF56F6">
        <w:rPr>
          <w:rFonts w:ascii="Verdana" w:hAnsi="Verdana"/>
        </w:rPr>
        <w:t>s</w:t>
      </w:r>
      <w:r w:rsidR="00FF36C1" w:rsidRPr="00FF56F6">
        <w:rPr>
          <w:rFonts w:ascii="Verdana" w:hAnsi="Verdana"/>
        </w:rPr>
        <w:t xml:space="preserve"> dispositivo</w:t>
      </w:r>
      <w:r w:rsidR="00517B0C" w:rsidRPr="00FF56F6">
        <w:rPr>
          <w:rFonts w:ascii="Verdana" w:hAnsi="Verdana"/>
        </w:rPr>
        <w:t>s</w:t>
      </w:r>
      <w:r w:rsidR="00FF36C1" w:rsidRPr="00FF56F6">
        <w:rPr>
          <w:rFonts w:ascii="Verdana" w:hAnsi="Verdana"/>
        </w:rPr>
        <w:t xml:space="preserve"> segundo</w:t>
      </w:r>
      <w:r w:rsidR="00517B0C" w:rsidRPr="00FF56F6">
        <w:rPr>
          <w:rFonts w:ascii="Verdana" w:hAnsi="Verdana"/>
        </w:rPr>
        <w:t xml:space="preserve"> y tercero</w:t>
      </w:r>
      <w:r w:rsidR="00FF36C1" w:rsidRPr="00FF56F6">
        <w:rPr>
          <w:rFonts w:ascii="Verdana" w:hAnsi="Verdana"/>
        </w:rPr>
        <w:t xml:space="preserve"> </w:t>
      </w:r>
      <w:r w:rsidR="00517B0C" w:rsidRPr="00FF56F6">
        <w:rPr>
          <w:rFonts w:ascii="Verdana" w:hAnsi="Verdana"/>
        </w:rPr>
        <w:t>y</w:t>
      </w:r>
      <w:r w:rsidR="00FF36C1" w:rsidRPr="00FF56F6">
        <w:rPr>
          <w:rFonts w:ascii="Verdana" w:hAnsi="Verdana"/>
        </w:rPr>
        <w:t xml:space="preserve"> en </w:t>
      </w:r>
      <w:r>
        <w:rPr>
          <w:rFonts w:ascii="Verdana" w:hAnsi="Verdana"/>
        </w:rPr>
        <w:t>el párrafo</w:t>
      </w:r>
      <w:r w:rsidR="00FF36C1" w:rsidRPr="00FF56F6">
        <w:rPr>
          <w:rFonts w:ascii="Verdana" w:hAnsi="Verdana"/>
        </w:rPr>
        <w:t xml:space="preserve"> 152 de la Sentencia, </w:t>
      </w:r>
      <w:r w:rsidR="00855228" w:rsidRPr="00FF56F6">
        <w:rPr>
          <w:rFonts w:ascii="Verdana" w:hAnsi="Verdana"/>
        </w:rPr>
        <w:t>el Tribunal ordenó al Estado que:</w:t>
      </w:r>
    </w:p>
    <w:p w14:paraId="1214DD1A" w14:textId="0B3C467B" w:rsidR="00855228" w:rsidRDefault="00855228" w:rsidP="00855228">
      <w:pPr>
        <w:pStyle w:val="ListParagraph"/>
        <w:widowControl/>
        <w:numPr>
          <w:ilvl w:val="0"/>
          <w:numId w:val="10"/>
        </w:numPr>
        <w:spacing w:before="120" w:after="120"/>
        <w:ind w:left="714" w:right="11" w:hanging="357"/>
        <w:contextualSpacing w:val="0"/>
        <w:jc w:val="both"/>
        <w:rPr>
          <w:rFonts w:ascii="Verdana" w:hAnsi="Verdana"/>
        </w:rPr>
      </w:pPr>
      <w:r w:rsidRPr="00FF56F6">
        <w:rPr>
          <w:rFonts w:ascii="Verdana" w:hAnsi="Verdana"/>
        </w:rPr>
        <w:t>“en el plazo de seis meses” “adopt</w:t>
      </w:r>
      <w:r w:rsidR="00531274">
        <w:rPr>
          <w:rFonts w:ascii="Verdana" w:hAnsi="Verdana"/>
        </w:rPr>
        <w:t>e</w:t>
      </w:r>
      <w:r w:rsidRPr="00FF56F6">
        <w:rPr>
          <w:rFonts w:ascii="Verdana" w:hAnsi="Verdana"/>
        </w:rPr>
        <w:t xml:space="preserve"> las medidas necesarias para garantizar al señor […] Mohamed el derecho a recurrir del fallo condenatorio emitido por la Sala Primera de la Cámara Nacional de Apelaciones en lo Criminal y Correccional el 22 de febrero de 1995, de conformidad con los parámetros convencionales establecidos en el artículo 8.2.h de la Convención” </w:t>
      </w:r>
      <w:r w:rsidRPr="00FF56F6">
        <w:rPr>
          <w:rFonts w:ascii="Verdana" w:hAnsi="Verdana"/>
          <w:i/>
        </w:rPr>
        <w:t>(punto dispositivo segundo)</w:t>
      </w:r>
      <w:r w:rsidRPr="00FF56F6">
        <w:rPr>
          <w:rFonts w:ascii="Verdana" w:hAnsi="Verdana"/>
        </w:rPr>
        <w:t>, y</w:t>
      </w:r>
      <w:r w:rsidR="000E2FEC">
        <w:rPr>
          <w:rFonts w:ascii="Verdana" w:hAnsi="Verdana"/>
        </w:rPr>
        <w:t xml:space="preserve"> que</w:t>
      </w:r>
    </w:p>
    <w:p w14:paraId="654D1850" w14:textId="77777777" w:rsidR="002A70AD" w:rsidRPr="00FF56F6" w:rsidRDefault="002A70AD" w:rsidP="002A70AD">
      <w:pPr>
        <w:pStyle w:val="ListParagraph"/>
        <w:widowControl/>
        <w:spacing w:before="120" w:after="120"/>
        <w:ind w:left="714" w:right="11"/>
        <w:contextualSpacing w:val="0"/>
        <w:jc w:val="both"/>
        <w:rPr>
          <w:rFonts w:ascii="Verdana" w:hAnsi="Verdana"/>
        </w:rPr>
      </w:pPr>
    </w:p>
    <w:p w14:paraId="4572F33B" w14:textId="77777777" w:rsidR="00FF36C1" w:rsidRPr="00FF56F6" w:rsidRDefault="00855228" w:rsidP="00855228">
      <w:pPr>
        <w:pStyle w:val="ListParagraph"/>
        <w:widowControl/>
        <w:numPr>
          <w:ilvl w:val="0"/>
          <w:numId w:val="10"/>
        </w:numPr>
        <w:spacing w:before="120" w:after="120"/>
        <w:ind w:left="714" w:right="11" w:hanging="357"/>
        <w:contextualSpacing w:val="0"/>
        <w:jc w:val="both"/>
        <w:rPr>
          <w:rFonts w:ascii="Verdana" w:hAnsi="Verdana"/>
        </w:rPr>
      </w:pPr>
      <w:r w:rsidRPr="00FF56F6">
        <w:rPr>
          <w:rFonts w:ascii="Verdana" w:hAnsi="Verdana"/>
        </w:rPr>
        <w:t>“adopte las medidas necesarias para que los efectos jurídicos de la referida sentencia condenatoria, y en especial su registro de antecedentes, queden en suspenso hasta que se emita una decisión de fondo una vez garantizado el derecho a recurrir del fallo según lo indicado en el inciso anterior”</w:t>
      </w:r>
      <w:r w:rsidR="001A07E7" w:rsidRPr="001A07E7">
        <w:rPr>
          <w:rFonts w:ascii="Verdana" w:hAnsi="Verdana"/>
          <w:i/>
        </w:rPr>
        <w:t xml:space="preserve"> </w:t>
      </w:r>
      <w:r w:rsidR="001A07E7" w:rsidRPr="00FF56F6">
        <w:rPr>
          <w:rFonts w:ascii="Verdana" w:hAnsi="Verdana"/>
          <w:i/>
        </w:rPr>
        <w:t xml:space="preserve">(punto dispositivo </w:t>
      </w:r>
      <w:r w:rsidR="001A07E7">
        <w:rPr>
          <w:rFonts w:ascii="Verdana" w:hAnsi="Verdana"/>
          <w:i/>
        </w:rPr>
        <w:t>tercero</w:t>
      </w:r>
      <w:r w:rsidR="001A07E7" w:rsidRPr="00FF56F6">
        <w:rPr>
          <w:rFonts w:ascii="Verdana" w:hAnsi="Verdana"/>
          <w:i/>
        </w:rPr>
        <w:t>)</w:t>
      </w:r>
      <w:r w:rsidRPr="00FF56F6">
        <w:rPr>
          <w:rFonts w:ascii="Verdana" w:hAnsi="Verdana"/>
        </w:rPr>
        <w:t>.</w:t>
      </w:r>
    </w:p>
    <w:p w14:paraId="76C9CC3F" w14:textId="77777777" w:rsidR="000E2FEC" w:rsidRDefault="000E2FEC" w:rsidP="00FF36C1">
      <w:pPr>
        <w:widowControl/>
        <w:spacing w:before="120" w:after="120"/>
        <w:ind w:left="708" w:right="9"/>
        <w:jc w:val="both"/>
        <w:rPr>
          <w:rFonts w:ascii="Verdana" w:hAnsi="Verdana"/>
          <w:i/>
          <w:sz w:val="10"/>
          <w:szCs w:val="10"/>
          <w:highlight w:val="yellow"/>
        </w:rPr>
      </w:pPr>
    </w:p>
    <w:p w14:paraId="5DA73515" w14:textId="77777777" w:rsidR="00F91E2C" w:rsidRPr="00FF56F6" w:rsidRDefault="00F91E2C" w:rsidP="00FF36C1">
      <w:pPr>
        <w:widowControl/>
        <w:spacing w:before="120" w:after="120"/>
        <w:ind w:left="708" w:right="9"/>
        <w:jc w:val="both"/>
        <w:rPr>
          <w:rFonts w:ascii="Verdana" w:hAnsi="Verdana"/>
          <w:i/>
          <w:sz w:val="10"/>
          <w:szCs w:val="10"/>
          <w:highlight w:val="yellow"/>
        </w:rPr>
      </w:pPr>
    </w:p>
    <w:p w14:paraId="5A70B7EA" w14:textId="77777777" w:rsidR="00FF36C1" w:rsidRPr="0064019A" w:rsidRDefault="00FF36C1" w:rsidP="00FF36C1">
      <w:pPr>
        <w:widowControl/>
        <w:spacing w:before="120" w:after="120"/>
        <w:ind w:left="708" w:right="9"/>
        <w:jc w:val="both"/>
        <w:rPr>
          <w:rFonts w:ascii="Verdana" w:hAnsi="Verdana"/>
          <w:i/>
        </w:rPr>
      </w:pPr>
      <w:r w:rsidRPr="0064019A">
        <w:rPr>
          <w:rFonts w:ascii="Verdana" w:hAnsi="Verdana"/>
          <w:i/>
        </w:rPr>
        <w:t>A.2. Consideraciones de la Corte</w:t>
      </w:r>
    </w:p>
    <w:p w14:paraId="314C640D" w14:textId="4F6D3111" w:rsidR="00FF36C1" w:rsidRPr="00B45241" w:rsidRDefault="00AA5860" w:rsidP="00896930">
      <w:pPr>
        <w:widowControl/>
        <w:numPr>
          <w:ilvl w:val="0"/>
          <w:numId w:val="2"/>
        </w:numPr>
        <w:spacing w:before="120" w:after="120"/>
        <w:ind w:left="0" w:right="9" w:hanging="11"/>
        <w:jc w:val="both"/>
        <w:rPr>
          <w:rFonts w:ascii="Verdana" w:hAnsi="Verdana"/>
        </w:rPr>
      </w:pPr>
      <w:r w:rsidRPr="00B45241">
        <w:rPr>
          <w:rFonts w:ascii="Verdana" w:hAnsi="Verdana"/>
        </w:rPr>
        <w:t>La Corte hace constar que, a pesar de las acciones que habría iniciado el Estado para el cumplimiento de estas medidas de reparación</w:t>
      </w:r>
      <w:r w:rsidR="00381458">
        <w:rPr>
          <w:rFonts w:ascii="Verdana" w:hAnsi="Verdana"/>
        </w:rPr>
        <w:t xml:space="preserve"> (</w:t>
      </w:r>
      <w:r w:rsidR="00381458" w:rsidRPr="00381458">
        <w:rPr>
          <w:rFonts w:ascii="Verdana" w:hAnsi="Verdana"/>
          <w:i/>
        </w:rPr>
        <w:t xml:space="preserve">infra </w:t>
      </w:r>
      <w:r w:rsidR="00381458">
        <w:rPr>
          <w:rFonts w:ascii="Verdana" w:hAnsi="Verdana"/>
        </w:rPr>
        <w:t>nota al pie 12)</w:t>
      </w:r>
      <w:r w:rsidRPr="00B45241">
        <w:rPr>
          <w:rFonts w:ascii="Verdana" w:hAnsi="Verdana"/>
        </w:rPr>
        <w:t xml:space="preserve">, el </w:t>
      </w:r>
      <w:r w:rsidRPr="00B45241">
        <w:rPr>
          <w:rFonts w:ascii="Verdana" w:hAnsi="Verdana"/>
          <w:i/>
        </w:rPr>
        <w:t>representante de la víctima</w:t>
      </w:r>
      <w:r w:rsidRPr="00B45241">
        <w:rPr>
          <w:rFonts w:ascii="Verdana" w:hAnsi="Verdana"/>
        </w:rPr>
        <w:t xml:space="preserve"> solicitó en sus escritos de abril y agosto de 2014 </w:t>
      </w:r>
      <w:r w:rsidR="00B576F8" w:rsidRPr="00B45241">
        <w:rPr>
          <w:rFonts w:ascii="Verdana" w:hAnsi="Verdana"/>
        </w:rPr>
        <w:t xml:space="preserve">y abril de 2015 </w:t>
      </w:r>
      <w:r w:rsidR="000E2FEC">
        <w:rPr>
          <w:rFonts w:ascii="Verdana" w:hAnsi="Verdana"/>
        </w:rPr>
        <w:t>(</w:t>
      </w:r>
      <w:r w:rsidR="000E2FEC" w:rsidRPr="00D723F4">
        <w:rPr>
          <w:rFonts w:ascii="Verdana" w:hAnsi="Verdana"/>
          <w:i/>
        </w:rPr>
        <w:t>supra</w:t>
      </w:r>
      <w:r w:rsidR="000E2FEC">
        <w:rPr>
          <w:rFonts w:ascii="Verdana" w:hAnsi="Verdana"/>
        </w:rPr>
        <w:t xml:space="preserve"> Visto 3) </w:t>
      </w:r>
      <w:r w:rsidRPr="00B45241">
        <w:rPr>
          <w:rFonts w:ascii="Verdana" w:hAnsi="Verdana"/>
        </w:rPr>
        <w:t xml:space="preserve">que “se exima al Estado argentino de cumplir con los puntos 2 y 3 de la parte resolutiva de la Sentencia”. </w:t>
      </w:r>
      <w:r w:rsidR="00DD5E63" w:rsidRPr="00B45241">
        <w:rPr>
          <w:rFonts w:ascii="Verdana" w:hAnsi="Verdana"/>
        </w:rPr>
        <w:t xml:space="preserve">Al respecto, el representante </w:t>
      </w:r>
      <w:r w:rsidR="009052C2" w:rsidRPr="00B45241">
        <w:rPr>
          <w:rFonts w:ascii="Verdana" w:hAnsi="Verdana"/>
        </w:rPr>
        <w:t xml:space="preserve">sostuvo </w:t>
      </w:r>
      <w:r w:rsidR="00DD5E63" w:rsidRPr="00B45241">
        <w:rPr>
          <w:rFonts w:ascii="Verdana" w:hAnsi="Verdana"/>
        </w:rPr>
        <w:t>que</w:t>
      </w:r>
      <w:r w:rsidR="000E2FEC">
        <w:rPr>
          <w:rFonts w:ascii="Verdana" w:hAnsi="Verdana"/>
        </w:rPr>
        <w:t xml:space="preserve"> el cumplimiento de los referidos puntos de la Sentencia</w:t>
      </w:r>
      <w:r w:rsidR="00DD5E63" w:rsidRPr="00B45241">
        <w:rPr>
          <w:rFonts w:ascii="Verdana" w:hAnsi="Verdana"/>
        </w:rPr>
        <w:t xml:space="preserve"> </w:t>
      </w:r>
      <w:r w:rsidR="00CC5E43" w:rsidRPr="00B45241">
        <w:rPr>
          <w:rFonts w:ascii="Verdana" w:hAnsi="Verdana"/>
        </w:rPr>
        <w:t xml:space="preserve">“redundaría en […] contra [del </w:t>
      </w:r>
      <w:r w:rsidR="00CC5E43" w:rsidRPr="00B45241">
        <w:rPr>
          <w:rFonts w:ascii="Verdana" w:hAnsi="Verdana"/>
        </w:rPr>
        <w:lastRenderedPageBreak/>
        <w:t>señor Mohamed], en lugar de favorecerlo, pues importaría reabrirle una causa penal fenecida […] definitivamente por el transcurso del tiempo”</w:t>
      </w:r>
      <w:r w:rsidR="000E2FEC">
        <w:rPr>
          <w:rFonts w:ascii="Verdana" w:hAnsi="Verdana"/>
        </w:rPr>
        <w:t>,</w:t>
      </w:r>
      <w:r w:rsidR="00B576F8" w:rsidRPr="00B45241">
        <w:rPr>
          <w:rFonts w:ascii="Verdana" w:hAnsi="Verdana"/>
        </w:rPr>
        <w:t xml:space="preserve"> y cuyo antecedente “ya no existe”</w:t>
      </w:r>
      <w:r w:rsidR="00EF6D34">
        <w:rPr>
          <w:rFonts w:ascii="Verdana" w:hAnsi="Verdana"/>
        </w:rPr>
        <w:t xml:space="preserve"> por haber caducado registralmente</w:t>
      </w:r>
      <w:r w:rsidR="005E32E3">
        <w:rPr>
          <w:rFonts w:ascii="Verdana" w:hAnsi="Verdana"/>
        </w:rPr>
        <w:t>, según lo dispuesto en el derecho interno</w:t>
      </w:r>
      <w:r w:rsidR="00EF6D34" w:rsidRPr="00B45241">
        <w:rPr>
          <w:rStyle w:val="FootnoteReference"/>
          <w:rFonts w:ascii="Verdana" w:hAnsi="Verdana"/>
        </w:rPr>
        <w:footnoteReference w:id="10"/>
      </w:r>
      <w:r w:rsidR="005E32E3">
        <w:rPr>
          <w:rFonts w:ascii="Verdana" w:hAnsi="Verdana"/>
        </w:rPr>
        <w:t>;</w:t>
      </w:r>
      <w:r w:rsidR="006366ED" w:rsidRPr="00B45241">
        <w:rPr>
          <w:rFonts w:ascii="Verdana" w:hAnsi="Verdana"/>
        </w:rPr>
        <w:t xml:space="preserve"> así como </w:t>
      </w:r>
      <w:r w:rsidR="000E2FEC">
        <w:rPr>
          <w:rFonts w:ascii="Verdana" w:hAnsi="Verdana"/>
        </w:rPr>
        <w:t>por</w:t>
      </w:r>
      <w:r w:rsidR="005E32E3">
        <w:rPr>
          <w:rFonts w:ascii="Verdana" w:hAnsi="Verdana"/>
        </w:rPr>
        <w:t>que supondría</w:t>
      </w:r>
      <w:r w:rsidR="006366ED" w:rsidRPr="00B45241">
        <w:rPr>
          <w:rFonts w:ascii="Verdana" w:hAnsi="Verdana"/>
        </w:rPr>
        <w:t xml:space="preserve"> </w:t>
      </w:r>
      <w:r w:rsidR="00B06314">
        <w:rPr>
          <w:rFonts w:ascii="Verdana" w:hAnsi="Verdana"/>
        </w:rPr>
        <w:t xml:space="preserve">un </w:t>
      </w:r>
      <w:r w:rsidR="006366ED" w:rsidRPr="00B45241">
        <w:rPr>
          <w:rFonts w:ascii="Verdana" w:hAnsi="Verdana"/>
        </w:rPr>
        <w:t>“esfuerzo innecesario” para el Estado</w:t>
      </w:r>
      <w:r w:rsidR="00B576F8" w:rsidRPr="00B45241">
        <w:rPr>
          <w:rFonts w:ascii="Verdana" w:hAnsi="Verdana"/>
        </w:rPr>
        <w:t>.</w:t>
      </w:r>
    </w:p>
    <w:p w14:paraId="5AA70A9B" w14:textId="06583EDD" w:rsidR="00CC5E43" w:rsidRPr="00381458" w:rsidRDefault="0042644B" w:rsidP="00773CB7">
      <w:pPr>
        <w:widowControl/>
        <w:numPr>
          <w:ilvl w:val="0"/>
          <w:numId w:val="2"/>
        </w:numPr>
        <w:spacing w:before="120" w:after="120"/>
        <w:ind w:left="0" w:right="9" w:hanging="11"/>
        <w:jc w:val="both"/>
        <w:rPr>
          <w:rFonts w:ascii="Verdana" w:hAnsi="Verdana"/>
          <w:b/>
        </w:rPr>
      </w:pPr>
      <w:r>
        <w:rPr>
          <w:rFonts w:ascii="Verdana" w:hAnsi="Verdana"/>
        </w:rPr>
        <w:t>Mediante nota de l</w:t>
      </w:r>
      <w:r w:rsidR="00CC5E43" w:rsidRPr="00381458">
        <w:rPr>
          <w:rFonts w:ascii="Verdana" w:hAnsi="Verdana"/>
        </w:rPr>
        <w:t xml:space="preserve">a Secretaría de la Corte, siguiendo instrucciones de su Presidente, </w:t>
      </w:r>
      <w:r>
        <w:rPr>
          <w:rFonts w:ascii="Verdana" w:hAnsi="Verdana"/>
        </w:rPr>
        <w:t xml:space="preserve">se </w:t>
      </w:r>
      <w:r w:rsidR="00CC5E43" w:rsidRPr="00381458">
        <w:rPr>
          <w:rFonts w:ascii="Verdana" w:hAnsi="Verdana"/>
        </w:rPr>
        <w:t xml:space="preserve">requirió al Estado que “se </w:t>
      </w:r>
      <w:proofErr w:type="spellStart"/>
      <w:proofErr w:type="gramStart"/>
      <w:r w:rsidR="00CC5E43" w:rsidRPr="00381458">
        <w:rPr>
          <w:rFonts w:ascii="Verdana" w:hAnsi="Verdana"/>
        </w:rPr>
        <w:t>refi</w:t>
      </w:r>
      <w:proofErr w:type="spellEnd"/>
      <w:r w:rsidR="00CC5E43" w:rsidRPr="00381458">
        <w:rPr>
          <w:rFonts w:ascii="Verdana" w:hAnsi="Verdana"/>
        </w:rPr>
        <w:t>[</w:t>
      </w:r>
      <w:proofErr w:type="gramEnd"/>
      <w:r w:rsidR="00CC5E43" w:rsidRPr="00381458">
        <w:rPr>
          <w:rFonts w:ascii="Verdana" w:hAnsi="Verdana"/>
        </w:rPr>
        <w:t>riera] a […] la mencionada solicitud del representante”</w:t>
      </w:r>
      <w:r w:rsidR="00CC5E43" w:rsidRPr="00381458">
        <w:rPr>
          <w:rStyle w:val="FootnoteReference"/>
          <w:rFonts w:ascii="Verdana" w:hAnsi="Verdana"/>
        </w:rPr>
        <w:footnoteReference w:id="11"/>
      </w:r>
      <w:r w:rsidR="00CC5E43" w:rsidRPr="00381458">
        <w:rPr>
          <w:rFonts w:ascii="Verdana" w:hAnsi="Verdana"/>
        </w:rPr>
        <w:t xml:space="preserve">. </w:t>
      </w:r>
      <w:r w:rsidR="00CC5E43" w:rsidRPr="00381458">
        <w:rPr>
          <w:rFonts w:ascii="Verdana" w:hAnsi="Verdana"/>
          <w:i/>
        </w:rPr>
        <w:t xml:space="preserve">Argentina </w:t>
      </w:r>
      <w:r w:rsidR="00CC5E43" w:rsidRPr="00381458">
        <w:rPr>
          <w:rFonts w:ascii="Verdana" w:hAnsi="Verdana"/>
        </w:rPr>
        <w:t xml:space="preserve">sostuvo </w:t>
      </w:r>
      <w:r w:rsidR="00773CB7" w:rsidRPr="00381458">
        <w:rPr>
          <w:rFonts w:ascii="Verdana" w:hAnsi="Verdana"/>
        </w:rPr>
        <w:t xml:space="preserve">que “no </w:t>
      </w:r>
      <w:proofErr w:type="gramStart"/>
      <w:r w:rsidR="00773CB7" w:rsidRPr="00381458">
        <w:rPr>
          <w:rFonts w:ascii="Verdana" w:hAnsi="Verdana"/>
        </w:rPr>
        <w:t>ten[</w:t>
      </w:r>
      <w:proofErr w:type="spellStart"/>
      <w:proofErr w:type="gramEnd"/>
      <w:r w:rsidR="00773CB7" w:rsidRPr="00381458">
        <w:rPr>
          <w:rFonts w:ascii="Verdana" w:hAnsi="Verdana"/>
        </w:rPr>
        <w:t>ía</w:t>
      </w:r>
      <w:proofErr w:type="spellEnd"/>
      <w:r w:rsidR="00773CB7" w:rsidRPr="00381458">
        <w:rPr>
          <w:rFonts w:ascii="Verdana" w:hAnsi="Verdana"/>
        </w:rPr>
        <w:t>] objeciones que formular respecto de lo solicitado por [e]l representante de la víctima”, aunque hizo notar que ello</w:t>
      </w:r>
      <w:r w:rsidR="00CC5E43" w:rsidRPr="00381458">
        <w:rPr>
          <w:rFonts w:ascii="Verdana" w:hAnsi="Verdana"/>
        </w:rPr>
        <w:t xml:space="preserve"> se relaciona con “un mandato expreso de [la] Corte</w:t>
      </w:r>
      <w:r w:rsidR="00773CB7" w:rsidRPr="00381458">
        <w:rPr>
          <w:rFonts w:ascii="Verdana" w:hAnsi="Verdana"/>
        </w:rPr>
        <w:t>, por lo que debería ser dicho Tribunal el que eventualmente lo disponga, máxime si se considera que ya se han adoptado medidas tendientes al cumplimiento de [estas] medidas”</w:t>
      </w:r>
      <w:r w:rsidR="00381458" w:rsidRPr="00381458">
        <w:rPr>
          <w:rStyle w:val="FootnoteReference"/>
          <w:rFonts w:ascii="Verdana" w:hAnsi="Verdana"/>
        </w:rPr>
        <w:footnoteReference w:id="12"/>
      </w:r>
      <w:r w:rsidR="00010D25" w:rsidRPr="00381458">
        <w:rPr>
          <w:rFonts w:ascii="Verdana" w:hAnsi="Verdana"/>
        </w:rPr>
        <w:t xml:space="preserve">. </w:t>
      </w:r>
      <w:r w:rsidR="00B576F8" w:rsidRPr="00381458">
        <w:rPr>
          <w:rFonts w:ascii="Verdana" w:hAnsi="Verdana"/>
        </w:rPr>
        <w:t xml:space="preserve">Por su parte, la </w:t>
      </w:r>
      <w:r w:rsidR="00B576F8" w:rsidRPr="00381458">
        <w:rPr>
          <w:rFonts w:ascii="Verdana" w:hAnsi="Verdana"/>
          <w:i/>
        </w:rPr>
        <w:t>Comisión</w:t>
      </w:r>
      <w:r w:rsidR="00D27CA0">
        <w:rPr>
          <w:rFonts w:ascii="Verdana" w:hAnsi="Verdana"/>
          <w:i/>
        </w:rPr>
        <w:t xml:space="preserve"> Interamericana</w:t>
      </w:r>
      <w:r w:rsidR="00B576F8" w:rsidRPr="00381458">
        <w:rPr>
          <w:rFonts w:ascii="Verdana" w:hAnsi="Verdana"/>
          <w:i/>
        </w:rPr>
        <w:t xml:space="preserve"> </w:t>
      </w:r>
      <w:r w:rsidR="00B576F8" w:rsidRPr="00381458">
        <w:rPr>
          <w:rFonts w:ascii="Verdana" w:hAnsi="Verdana"/>
        </w:rPr>
        <w:t>“</w:t>
      </w:r>
      <w:proofErr w:type="spellStart"/>
      <w:r w:rsidR="00B576F8" w:rsidRPr="00381458">
        <w:rPr>
          <w:rFonts w:ascii="Verdana" w:hAnsi="Verdana"/>
        </w:rPr>
        <w:t>consider</w:t>
      </w:r>
      <w:proofErr w:type="spellEnd"/>
      <w:r w:rsidR="00B576F8" w:rsidRPr="00381458">
        <w:rPr>
          <w:rFonts w:ascii="Verdana" w:hAnsi="Verdana"/>
        </w:rPr>
        <w:t>[</w:t>
      </w:r>
      <w:proofErr w:type="spellStart"/>
      <w:r w:rsidR="00B576F8" w:rsidRPr="00381458">
        <w:rPr>
          <w:rFonts w:ascii="Verdana" w:hAnsi="Verdana"/>
        </w:rPr>
        <w:t>ó</w:t>
      </w:r>
      <w:proofErr w:type="spellEnd"/>
      <w:r w:rsidR="00B576F8" w:rsidRPr="00381458">
        <w:rPr>
          <w:rFonts w:ascii="Verdana" w:hAnsi="Verdana"/>
        </w:rPr>
        <w:t xml:space="preserve">] relevante que [la] Corte tome en cuenta cuestiones </w:t>
      </w:r>
      <w:r w:rsidR="00AD5E76" w:rsidRPr="00381458">
        <w:rPr>
          <w:rFonts w:ascii="Verdana" w:hAnsi="Verdana"/>
        </w:rPr>
        <w:t>subyacentes a [estas] medida[s] de reparación”, tales como “la voluntad de la víctima”</w:t>
      </w:r>
      <w:r w:rsidR="00DB2953">
        <w:rPr>
          <w:rFonts w:ascii="Verdana" w:hAnsi="Verdana"/>
        </w:rPr>
        <w:t xml:space="preserve">, </w:t>
      </w:r>
      <w:r w:rsidR="00AD5E76" w:rsidRPr="00381458">
        <w:rPr>
          <w:rFonts w:ascii="Verdana" w:hAnsi="Verdana"/>
        </w:rPr>
        <w:t xml:space="preserve"> la cual “resulta especialmente relevante en casos en los cuales la condena ya ha sido cumplida”, “a fin de pronunciarse sobre la solicitud de los representantes”</w:t>
      </w:r>
      <w:r w:rsidR="00AD5E76" w:rsidRPr="00381458">
        <w:rPr>
          <w:rStyle w:val="FootnoteReference"/>
          <w:rFonts w:ascii="Verdana" w:hAnsi="Verdana"/>
        </w:rPr>
        <w:footnoteReference w:id="13"/>
      </w:r>
      <w:r w:rsidR="00AD5E76" w:rsidRPr="00381458">
        <w:rPr>
          <w:rFonts w:ascii="Verdana" w:hAnsi="Verdana"/>
        </w:rPr>
        <w:t>.</w:t>
      </w:r>
    </w:p>
    <w:p w14:paraId="554ECBE0" w14:textId="02705F68" w:rsidR="00067E68" w:rsidRPr="005D5EFE" w:rsidRDefault="00223C50" w:rsidP="005A6C24">
      <w:pPr>
        <w:widowControl/>
        <w:numPr>
          <w:ilvl w:val="0"/>
          <w:numId w:val="2"/>
        </w:numPr>
        <w:spacing w:before="120" w:after="120"/>
        <w:ind w:left="0" w:right="9" w:hanging="11"/>
        <w:jc w:val="both"/>
        <w:rPr>
          <w:rFonts w:ascii="Verdana" w:hAnsi="Verdana"/>
        </w:rPr>
      </w:pPr>
      <w:r>
        <w:rPr>
          <w:rFonts w:ascii="Verdana" w:hAnsi="Verdana"/>
        </w:rPr>
        <w:t>L</w:t>
      </w:r>
      <w:r w:rsidR="00AD5E76" w:rsidRPr="005D5EFE">
        <w:rPr>
          <w:rFonts w:ascii="Verdana" w:hAnsi="Verdana"/>
        </w:rPr>
        <w:t xml:space="preserve">a Corte </w:t>
      </w:r>
      <w:r>
        <w:rPr>
          <w:rFonts w:ascii="Verdana" w:hAnsi="Verdana"/>
        </w:rPr>
        <w:t>destaca las acciones adoptadas por la Corte Suprema de Justicia de la Nación</w:t>
      </w:r>
      <w:r w:rsidR="0042644B">
        <w:rPr>
          <w:rFonts w:ascii="Verdana" w:hAnsi="Verdana"/>
        </w:rPr>
        <w:t xml:space="preserve"> y la Sala Primera de la Cámara Nacional de Apelaciones en lo Criminal y Correccional</w:t>
      </w:r>
      <w:r>
        <w:rPr>
          <w:rFonts w:ascii="Verdana" w:hAnsi="Verdana"/>
        </w:rPr>
        <w:t xml:space="preserve"> dirigidas al cumplimiento de las referidas reparaciones ordenadas en </w:t>
      </w:r>
      <w:r w:rsidR="00AD5E76" w:rsidRPr="005D5EFE">
        <w:rPr>
          <w:rFonts w:ascii="Verdana" w:hAnsi="Verdana"/>
        </w:rPr>
        <w:t>la Sentencia</w:t>
      </w:r>
      <w:r>
        <w:rPr>
          <w:rFonts w:ascii="Verdana" w:hAnsi="Verdana"/>
        </w:rPr>
        <w:t xml:space="preserve"> (</w:t>
      </w:r>
      <w:r w:rsidRPr="00223C50">
        <w:rPr>
          <w:rFonts w:ascii="Verdana" w:hAnsi="Verdana"/>
          <w:i/>
        </w:rPr>
        <w:t>supra</w:t>
      </w:r>
      <w:r>
        <w:rPr>
          <w:rFonts w:ascii="Verdana" w:hAnsi="Verdana"/>
        </w:rPr>
        <w:t xml:space="preserve"> nota al pie 12)</w:t>
      </w:r>
      <w:r w:rsidR="00173866">
        <w:rPr>
          <w:rFonts w:ascii="Verdana" w:hAnsi="Verdana"/>
        </w:rPr>
        <w:t xml:space="preserve">. </w:t>
      </w:r>
      <w:r w:rsidR="00D85017">
        <w:rPr>
          <w:rFonts w:ascii="Verdana" w:hAnsi="Verdana"/>
        </w:rPr>
        <w:t xml:space="preserve">Sin embargo, aun cuando el representante de la </w:t>
      </w:r>
      <w:r w:rsidR="00D85017">
        <w:rPr>
          <w:rFonts w:ascii="Verdana" w:hAnsi="Verdana"/>
        </w:rPr>
        <w:lastRenderedPageBreak/>
        <w:t>víctima reconoció tal voluntad de cumplimiento, expuso motivos razonables para solicitar que se exima al Estado de tal cumplimiento</w:t>
      </w:r>
      <w:r w:rsidR="008410F2">
        <w:rPr>
          <w:rFonts w:ascii="Verdana" w:hAnsi="Verdana"/>
        </w:rPr>
        <w:t xml:space="preserve"> (</w:t>
      </w:r>
      <w:r w:rsidR="008410F2" w:rsidRPr="008410F2">
        <w:rPr>
          <w:rFonts w:ascii="Verdana" w:hAnsi="Verdana"/>
          <w:i/>
        </w:rPr>
        <w:t>supra</w:t>
      </w:r>
      <w:r w:rsidR="008410F2">
        <w:rPr>
          <w:rFonts w:ascii="Verdana" w:hAnsi="Verdana"/>
        </w:rPr>
        <w:t xml:space="preserve"> Considerando 7)</w:t>
      </w:r>
      <w:r w:rsidR="00D85017">
        <w:rPr>
          <w:rFonts w:ascii="Verdana" w:hAnsi="Verdana"/>
        </w:rPr>
        <w:t>. D</w:t>
      </w:r>
      <w:r w:rsidR="00067E68" w:rsidRPr="005D5EFE">
        <w:rPr>
          <w:rFonts w:ascii="Verdana" w:hAnsi="Verdana"/>
        </w:rPr>
        <w:t xml:space="preserve">ebe </w:t>
      </w:r>
      <w:r w:rsidR="005A6C24" w:rsidRPr="005D5EFE">
        <w:rPr>
          <w:rFonts w:ascii="Verdana" w:hAnsi="Verdana"/>
        </w:rPr>
        <w:t>recordarse</w:t>
      </w:r>
      <w:r w:rsidR="00381964" w:rsidRPr="005D5EFE">
        <w:rPr>
          <w:rFonts w:ascii="Verdana" w:hAnsi="Verdana"/>
        </w:rPr>
        <w:t xml:space="preserve"> que</w:t>
      </w:r>
      <w:r w:rsidR="005A6C24" w:rsidRPr="005D5EFE">
        <w:rPr>
          <w:rFonts w:ascii="Verdana" w:hAnsi="Verdana"/>
        </w:rPr>
        <w:t>, al igual que en otros casos,</w:t>
      </w:r>
      <w:r w:rsidR="00067E68" w:rsidRPr="005D5EFE">
        <w:rPr>
          <w:rFonts w:ascii="Verdana" w:hAnsi="Verdana"/>
        </w:rPr>
        <w:t xml:space="preserve"> las medidas de reparación ordenadas </w:t>
      </w:r>
      <w:r w:rsidR="005A6C24" w:rsidRPr="005D5EFE">
        <w:rPr>
          <w:rFonts w:ascii="Verdana" w:hAnsi="Verdana"/>
        </w:rPr>
        <w:t xml:space="preserve">en éste </w:t>
      </w:r>
      <w:r w:rsidR="00067E68" w:rsidRPr="005D5EFE">
        <w:rPr>
          <w:rFonts w:ascii="Verdana" w:hAnsi="Verdana"/>
        </w:rPr>
        <w:t xml:space="preserve">por la Corte buscaban garantizar al señor Mohamed los derechos conculcados y reparar de manera integral las consecuencias que las infracciones </w:t>
      </w:r>
      <w:r w:rsidR="008410F2">
        <w:rPr>
          <w:rFonts w:ascii="Verdana" w:hAnsi="Verdana"/>
        </w:rPr>
        <w:t xml:space="preserve">le </w:t>
      </w:r>
      <w:r w:rsidR="00067E68" w:rsidRPr="005D5EFE">
        <w:rPr>
          <w:rFonts w:ascii="Verdana" w:hAnsi="Verdana"/>
        </w:rPr>
        <w:t>produjeron</w:t>
      </w:r>
      <w:r w:rsidR="00067E68" w:rsidRPr="005D5EFE">
        <w:rPr>
          <w:rStyle w:val="FootnoteReference"/>
          <w:rFonts w:ascii="Verdana" w:hAnsi="Verdana"/>
        </w:rPr>
        <w:footnoteReference w:id="14"/>
      </w:r>
      <w:r w:rsidR="005A6C24" w:rsidRPr="005D5EFE">
        <w:rPr>
          <w:rFonts w:ascii="Verdana" w:hAnsi="Verdana"/>
        </w:rPr>
        <w:t xml:space="preserve">, </w:t>
      </w:r>
      <w:r w:rsidR="00D85017">
        <w:rPr>
          <w:rFonts w:ascii="Verdana" w:hAnsi="Verdana"/>
        </w:rPr>
        <w:t>sin</w:t>
      </w:r>
      <w:r w:rsidR="005A6C24" w:rsidRPr="005D5EFE">
        <w:rPr>
          <w:rFonts w:ascii="Verdana" w:hAnsi="Verdana"/>
        </w:rPr>
        <w:t xml:space="preserve"> causarle un perjuicio con su cumplimiento. </w:t>
      </w:r>
      <w:r w:rsidR="005E32E3" w:rsidRPr="005D5EFE">
        <w:rPr>
          <w:rFonts w:ascii="Verdana" w:hAnsi="Verdana"/>
        </w:rPr>
        <w:t xml:space="preserve">Tomando en consideración </w:t>
      </w:r>
      <w:r w:rsidR="00447E78" w:rsidRPr="005D5EFE">
        <w:rPr>
          <w:rFonts w:ascii="Verdana" w:hAnsi="Verdana"/>
        </w:rPr>
        <w:t xml:space="preserve">la </w:t>
      </w:r>
      <w:r w:rsidR="000B1588">
        <w:rPr>
          <w:rFonts w:ascii="Verdana" w:hAnsi="Verdana"/>
        </w:rPr>
        <w:t xml:space="preserve">voluntad de la víctima expresada a través de la referida </w:t>
      </w:r>
      <w:r w:rsidR="00D85017">
        <w:rPr>
          <w:rFonts w:ascii="Verdana" w:hAnsi="Verdana"/>
        </w:rPr>
        <w:t xml:space="preserve">solicitud </w:t>
      </w:r>
      <w:r w:rsidR="00447E78" w:rsidRPr="005D5EFE">
        <w:rPr>
          <w:rFonts w:ascii="Verdana" w:hAnsi="Verdana"/>
        </w:rPr>
        <w:t>del</w:t>
      </w:r>
      <w:r w:rsidR="005A6C24" w:rsidRPr="005D5EFE">
        <w:rPr>
          <w:rFonts w:ascii="Verdana" w:hAnsi="Verdana"/>
        </w:rPr>
        <w:t xml:space="preserve"> representante</w:t>
      </w:r>
      <w:r w:rsidR="00447E78" w:rsidRPr="005D5EFE">
        <w:rPr>
          <w:rFonts w:ascii="Verdana" w:hAnsi="Verdana"/>
        </w:rPr>
        <w:t xml:space="preserve"> </w:t>
      </w:r>
      <w:r w:rsidR="005A6C24" w:rsidRPr="005D5EFE">
        <w:rPr>
          <w:rFonts w:ascii="Verdana" w:hAnsi="Verdana"/>
        </w:rPr>
        <w:t>(</w:t>
      </w:r>
      <w:r w:rsidR="005A6C24" w:rsidRPr="005D5EFE">
        <w:rPr>
          <w:rFonts w:ascii="Verdana" w:hAnsi="Verdana"/>
          <w:i/>
        </w:rPr>
        <w:t>supra</w:t>
      </w:r>
      <w:r w:rsidR="005A6C24" w:rsidRPr="005D5EFE">
        <w:rPr>
          <w:rFonts w:ascii="Verdana" w:hAnsi="Verdana"/>
        </w:rPr>
        <w:t xml:space="preserve"> Considerando </w:t>
      </w:r>
      <w:r w:rsidR="008410F2">
        <w:rPr>
          <w:rFonts w:ascii="Verdana" w:hAnsi="Verdana"/>
        </w:rPr>
        <w:t>7</w:t>
      </w:r>
      <w:r w:rsidR="005A6C24" w:rsidRPr="005D5EFE">
        <w:rPr>
          <w:rFonts w:ascii="Verdana" w:hAnsi="Verdana"/>
        </w:rPr>
        <w:t>)</w:t>
      </w:r>
      <w:r w:rsidR="00DB2953">
        <w:rPr>
          <w:rFonts w:ascii="Verdana" w:hAnsi="Verdana"/>
        </w:rPr>
        <w:t>,</w:t>
      </w:r>
      <w:r w:rsidR="00AB055D">
        <w:rPr>
          <w:rFonts w:ascii="Verdana" w:hAnsi="Verdana"/>
        </w:rPr>
        <w:t xml:space="preserve"> así como </w:t>
      </w:r>
      <w:r w:rsidR="00447E78" w:rsidRPr="005D5EFE">
        <w:rPr>
          <w:rFonts w:ascii="Verdana" w:hAnsi="Verdana"/>
        </w:rPr>
        <w:t xml:space="preserve">que </w:t>
      </w:r>
      <w:r w:rsidR="00D85017">
        <w:rPr>
          <w:rFonts w:ascii="Verdana" w:hAnsi="Verdana"/>
        </w:rPr>
        <w:t>el Estado expresó no tener objeciones al respecto</w:t>
      </w:r>
      <w:r w:rsidR="008410F2">
        <w:rPr>
          <w:rFonts w:ascii="Verdana" w:hAnsi="Verdana"/>
        </w:rPr>
        <w:t>,</w:t>
      </w:r>
      <w:r w:rsidR="00D85017">
        <w:rPr>
          <w:rFonts w:ascii="Verdana" w:hAnsi="Verdana"/>
        </w:rPr>
        <w:t xml:space="preserve"> </w:t>
      </w:r>
      <w:r w:rsidR="00AB055D">
        <w:rPr>
          <w:rFonts w:ascii="Verdana" w:hAnsi="Verdana"/>
        </w:rPr>
        <w:t>y lo observado por la Comisión Interamericana</w:t>
      </w:r>
      <w:r w:rsidR="008410F2">
        <w:rPr>
          <w:rFonts w:ascii="Verdana" w:hAnsi="Verdana"/>
        </w:rPr>
        <w:t xml:space="preserve"> </w:t>
      </w:r>
      <w:r w:rsidR="008410F2" w:rsidRPr="005D5EFE">
        <w:rPr>
          <w:rFonts w:ascii="Verdana" w:hAnsi="Verdana"/>
        </w:rPr>
        <w:t>(</w:t>
      </w:r>
      <w:r w:rsidR="008410F2" w:rsidRPr="005D5EFE">
        <w:rPr>
          <w:rFonts w:ascii="Verdana" w:hAnsi="Verdana"/>
          <w:i/>
        </w:rPr>
        <w:t>supra</w:t>
      </w:r>
      <w:r w:rsidR="008410F2" w:rsidRPr="005D5EFE">
        <w:rPr>
          <w:rFonts w:ascii="Verdana" w:hAnsi="Verdana"/>
        </w:rPr>
        <w:t xml:space="preserve"> Considerando </w:t>
      </w:r>
      <w:r w:rsidR="008410F2">
        <w:rPr>
          <w:rFonts w:ascii="Verdana" w:hAnsi="Verdana"/>
        </w:rPr>
        <w:t>8</w:t>
      </w:r>
      <w:r w:rsidR="008410F2" w:rsidRPr="005D5EFE">
        <w:rPr>
          <w:rFonts w:ascii="Verdana" w:hAnsi="Verdana"/>
        </w:rPr>
        <w:t>)</w:t>
      </w:r>
      <w:r w:rsidR="00D85017">
        <w:rPr>
          <w:rFonts w:ascii="Verdana" w:hAnsi="Verdana"/>
        </w:rPr>
        <w:t>,</w:t>
      </w:r>
      <w:r w:rsidR="005A6C24" w:rsidRPr="005D5EFE">
        <w:rPr>
          <w:rFonts w:ascii="Verdana" w:hAnsi="Verdana"/>
        </w:rPr>
        <w:t xml:space="preserve"> el Tribunal </w:t>
      </w:r>
      <w:r w:rsidR="00AB055D">
        <w:rPr>
          <w:rFonts w:ascii="Verdana" w:hAnsi="Verdana"/>
        </w:rPr>
        <w:t>considera que e</w:t>
      </w:r>
      <w:r w:rsidR="005E32E3" w:rsidRPr="005D5EFE">
        <w:rPr>
          <w:rFonts w:ascii="Verdana" w:hAnsi="Verdana"/>
        </w:rPr>
        <w:t xml:space="preserve">l Estado </w:t>
      </w:r>
      <w:r w:rsidR="00547253">
        <w:rPr>
          <w:rFonts w:ascii="Verdana" w:hAnsi="Verdana"/>
        </w:rPr>
        <w:t xml:space="preserve">debe </w:t>
      </w:r>
      <w:r w:rsidR="005A6C24" w:rsidRPr="005D5EFE">
        <w:rPr>
          <w:rFonts w:ascii="Verdana" w:hAnsi="Verdana"/>
        </w:rPr>
        <w:t>absten</w:t>
      </w:r>
      <w:r w:rsidR="00547253">
        <w:rPr>
          <w:rFonts w:ascii="Verdana" w:hAnsi="Verdana"/>
        </w:rPr>
        <w:t>erse</w:t>
      </w:r>
      <w:r w:rsidR="005A6C24" w:rsidRPr="005D5EFE">
        <w:rPr>
          <w:rFonts w:ascii="Verdana" w:hAnsi="Verdana"/>
        </w:rPr>
        <w:t xml:space="preserve"> de continuar ejecutando acciones tendientes al cumplimiento de estas reparaciones y </w:t>
      </w:r>
      <w:r w:rsidR="001A4C43">
        <w:rPr>
          <w:rFonts w:ascii="Verdana" w:hAnsi="Verdana"/>
        </w:rPr>
        <w:t xml:space="preserve">concluye la </w:t>
      </w:r>
      <w:r w:rsidR="005A6C24" w:rsidRPr="005D5EFE">
        <w:rPr>
          <w:rFonts w:ascii="Verdana" w:hAnsi="Verdana"/>
        </w:rPr>
        <w:t xml:space="preserve">supervisión de cumplimiento </w:t>
      </w:r>
      <w:r w:rsidR="001A4C43">
        <w:rPr>
          <w:rFonts w:ascii="Verdana" w:hAnsi="Verdana"/>
        </w:rPr>
        <w:t xml:space="preserve">de </w:t>
      </w:r>
      <w:r w:rsidR="005A6C24" w:rsidRPr="005D5EFE">
        <w:rPr>
          <w:rFonts w:ascii="Verdana" w:hAnsi="Verdana"/>
        </w:rPr>
        <w:t>los puntos dispositivos segundo y tercero de la Sentencia del presente caso</w:t>
      </w:r>
      <w:r w:rsidR="004020FB" w:rsidRPr="005D5EFE">
        <w:rPr>
          <w:rFonts w:ascii="Verdana" w:hAnsi="Verdana"/>
        </w:rPr>
        <w:t>.</w:t>
      </w:r>
    </w:p>
    <w:p w14:paraId="4AF03BF9" w14:textId="77777777" w:rsidR="00067E68" w:rsidRDefault="00067E68" w:rsidP="00F91E2C">
      <w:pPr>
        <w:widowControl/>
        <w:autoSpaceDE w:val="0"/>
        <w:autoSpaceDN w:val="0"/>
        <w:adjustRightInd w:val="0"/>
        <w:spacing w:before="120" w:after="120"/>
        <w:ind w:left="709"/>
        <w:jc w:val="both"/>
        <w:rPr>
          <w:rFonts w:ascii="Verdana" w:hAnsi="Verdana"/>
          <w:b/>
          <w:i/>
        </w:rPr>
      </w:pPr>
    </w:p>
    <w:p w14:paraId="7D399300" w14:textId="27F5F7B4" w:rsidR="00896930" w:rsidRDefault="00FF36C1" w:rsidP="00896930">
      <w:pPr>
        <w:widowControl/>
        <w:autoSpaceDE w:val="0"/>
        <w:autoSpaceDN w:val="0"/>
        <w:adjustRightInd w:val="0"/>
        <w:ind w:firstLine="708"/>
        <w:jc w:val="both"/>
        <w:rPr>
          <w:rFonts w:ascii="Verdana" w:hAnsi="Verdana"/>
          <w:b/>
          <w:i/>
        </w:rPr>
      </w:pPr>
      <w:r>
        <w:rPr>
          <w:rFonts w:ascii="Verdana" w:hAnsi="Verdana"/>
          <w:b/>
          <w:i/>
        </w:rPr>
        <w:t xml:space="preserve">B. </w:t>
      </w:r>
      <w:r w:rsidR="00896930" w:rsidRPr="00B63225">
        <w:rPr>
          <w:rFonts w:ascii="Verdana" w:hAnsi="Verdana"/>
          <w:b/>
          <w:i/>
        </w:rPr>
        <w:t>Realizar las publicaci</w:t>
      </w:r>
      <w:r w:rsidR="00896930">
        <w:rPr>
          <w:rFonts w:ascii="Verdana" w:hAnsi="Verdana"/>
          <w:b/>
          <w:i/>
        </w:rPr>
        <w:t xml:space="preserve">ones </w:t>
      </w:r>
      <w:r w:rsidR="000B1588">
        <w:rPr>
          <w:rFonts w:ascii="Verdana" w:hAnsi="Verdana"/>
          <w:b/>
          <w:i/>
        </w:rPr>
        <w:t xml:space="preserve">de </w:t>
      </w:r>
      <w:r w:rsidR="00896930">
        <w:rPr>
          <w:rFonts w:ascii="Verdana" w:hAnsi="Verdana"/>
          <w:b/>
          <w:i/>
        </w:rPr>
        <w:t>la Sentencia</w:t>
      </w:r>
    </w:p>
    <w:p w14:paraId="24C95526" w14:textId="77777777" w:rsidR="00896930" w:rsidRPr="00877709" w:rsidRDefault="00896930" w:rsidP="00896930">
      <w:pPr>
        <w:widowControl/>
        <w:autoSpaceDE w:val="0"/>
        <w:autoSpaceDN w:val="0"/>
        <w:adjustRightInd w:val="0"/>
        <w:jc w:val="both"/>
        <w:rPr>
          <w:rFonts w:ascii="Verdana" w:hAnsi="Verdana"/>
          <w:b/>
          <w:i/>
          <w:sz w:val="10"/>
          <w:szCs w:val="10"/>
        </w:rPr>
      </w:pPr>
    </w:p>
    <w:p w14:paraId="5AD446E1" w14:textId="77777777" w:rsidR="00896930" w:rsidRDefault="00FF36C1" w:rsidP="00896930">
      <w:pPr>
        <w:widowControl/>
        <w:autoSpaceDE w:val="0"/>
        <w:autoSpaceDN w:val="0"/>
        <w:adjustRightInd w:val="0"/>
        <w:ind w:firstLine="708"/>
        <w:jc w:val="both"/>
        <w:rPr>
          <w:rFonts w:ascii="Verdana" w:hAnsi="Verdana"/>
          <w:i/>
        </w:rPr>
      </w:pPr>
      <w:r>
        <w:rPr>
          <w:rFonts w:ascii="Verdana" w:hAnsi="Verdana"/>
          <w:i/>
        </w:rPr>
        <w:t>B</w:t>
      </w:r>
      <w:r w:rsidR="00896930">
        <w:rPr>
          <w:rFonts w:ascii="Verdana" w:hAnsi="Verdana"/>
          <w:i/>
        </w:rPr>
        <w:t>.1. Medida ordenada por la Corte</w:t>
      </w:r>
    </w:p>
    <w:p w14:paraId="1CB008CC" w14:textId="656F0220" w:rsidR="00CA1877" w:rsidRDefault="00D848EB" w:rsidP="00CA1877">
      <w:pPr>
        <w:widowControl/>
        <w:numPr>
          <w:ilvl w:val="0"/>
          <w:numId w:val="2"/>
        </w:numPr>
        <w:spacing w:before="120" w:after="120"/>
        <w:ind w:left="0" w:right="9" w:hanging="11"/>
        <w:jc w:val="both"/>
        <w:rPr>
          <w:rFonts w:ascii="Verdana" w:hAnsi="Verdana"/>
        </w:rPr>
      </w:pPr>
      <w:r w:rsidRPr="00CA1877">
        <w:rPr>
          <w:rFonts w:ascii="Verdana" w:hAnsi="Verdana"/>
        </w:rPr>
        <w:t xml:space="preserve">En el punto dispositivo </w:t>
      </w:r>
      <w:r w:rsidR="00CA1877" w:rsidRPr="00CA1877">
        <w:rPr>
          <w:rFonts w:ascii="Verdana" w:hAnsi="Verdana"/>
        </w:rPr>
        <w:t xml:space="preserve">cuarto y en el párrafo 155 de la Sentencia, la Corte dispuso que, </w:t>
      </w:r>
      <w:r w:rsidRPr="00CA1877">
        <w:rPr>
          <w:rFonts w:ascii="Verdana" w:hAnsi="Verdana"/>
        </w:rPr>
        <w:t>“</w:t>
      </w:r>
      <w:r w:rsidR="00CA1877" w:rsidRPr="00CA1877">
        <w:rPr>
          <w:rFonts w:ascii="Verdana" w:hAnsi="Verdana"/>
        </w:rPr>
        <w:t xml:space="preserve">el Estado publique, </w:t>
      </w:r>
      <w:r w:rsidRPr="00CA1877">
        <w:rPr>
          <w:rFonts w:ascii="Verdana" w:hAnsi="Verdana"/>
        </w:rPr>
        <w:t xml:space="preserve">en un plazo de seis meses a partir de la notificación </w:t>
      </w:r>
      <w:r w:rsidR="00197F18" w:rsidRPr="00CA1877">
        <w:rPr>
          <w:rFonts w:ascii="Verdana" w:hAnsi="Verdana"/>
        </w:rPr>
        <w:t xml:space="preserve">de la </w:t>
      </w:r>
      <w:r w:rsidRPr="00CA1877">
        <w:rPr>
          <w:rFonts w:ascii="Verdana" w:hAnsi="Verdana"/>
        </w:rPr>
        <w:t>[…] Sentencia</w:t>
      </w:r>
      <w:r w:rsidR="00CA1877">
        <w:rPr>
          <w:rFonts w:ascii="Verdana" w:hAnsi="Verdana"/>
        </w:rPr>
        <w:t>: a) el resumen oficial de la […]</w:t>
      </w:r>
      <w:r w:rsidR="00FF56F6">
        <w:rPr>
          <w:rFonts w:ascii="Verdana" w:hAnsi="Verdana"/>
        </w:rPr>
        <w:t xml:space="preserve"> Sentencia elaborado por la Corte, por una sola vez, en el diario oficial; b) el resumen oficial de la […] Sentencia elaborado por la Corte, por una sola vez, en un diario de amplia circulación nacional, y c) la […] Sentencia en su integridad, disponible por un período de un año, en un </w:t>
      </w:r>
      <w:r w:rsidR="00FF56F6" w:rsidRPr="005018AF">
        <w:rPr>
          <w:rFonts w:ascii="Verdana" w:hAnsi="Verdana"/>
          <w:i/>
        </w:rPr>
        <w:t>sitio web</w:t>
      </w:r>
      <w:r w:rsidR="00FF56F6">
        <w:rPr>
          <w:rFonts w:ascii="Verdana" w:hAnsi="Verdana"/>
        </w:rPr>
        <w:t xml:space="preserve"> oficial”. </w:t>
      </w:r>
    </w:p>
    <w:p w14:paraId="284E3288" w14:textId="77777777" w:rsidR="00EF6571" w:rsidRPr="00EF6571" w:rsidRDefault="00EF6571" w:rsidP="00D06360">
      <w:pPr>
        <w:widowControl/>
        <w:ind w:right="11"/>
        <w:jc w:val="both"/>
        <w:rPr>
          <w:rFonts w:ascii="Verdana" w:hAnsi="Verdana"/>
          <w:sz w:val="10"/>
          <w:szCs w:val="10"/>
        </w:rPr>
      </w:pPr>
    </w:p>
    <w:p w14:paraId="5AF55CA1" w14:textId="77777777" w:rsidR="00CA711F" w:rsidRPr="000B1F7E" w:rsidRDefault="00FF36C1" w:rsidP="00CA711F">
      <w:pPr>
        <w:widowControl/>
        <w:autoSpaceDE w:val="0"/>
        <w:autoSpaceDN w:val="0"/>
        <w:adjustRightInd w:val="0"/>
        <w:ind w:firstLine="708"/>
        <w:jc w:val="both"/>
        <w:rPr>
          <w:rFonts w:ascii="Verdana" w:eastAsiaTheme="minorHAnsi" w:hAnsi="Verdana" w:cs="Arial"/>
          <w:i/>
          <w:lang w:val="es-CR" w:eastAsia="en-US"/>
        </w:rPr>
      </w:pPr>
      <w:r w:rsidRPr="000B1F7E">
        <w:rPr>
          <w:rFonts w:ascii="Verdana" w:eastAsiaTheme="minorHAnsi" w:hAnsi="Verdana" w:cs="Arial"/>
          <w:i/>
          <w:lang w:val="es-CR" w:eastAsia="en-US"/>
        </w:rPr>
        <w:t>B</w:t>
      </w:r>
      <w:r w:rsidR="00B81F5C" w:rsidRPr="000B1F7E">
        <w:rPr>
          <w:rFonts w:ascii="Verdana" w:eastAsiaTheme="minorHAnsi" w:hAnsi="Verdana" w:cs="Arial"/>
          <w:i/>
          <w:lang w:val="es-CR" w:eastAsia="en-US"/>
        </w:rPr>
        <w:t>.2</w:t>
      </w:r>
      <w:r w:rsidR="00CA711F" w:rsidRPr="000B1F7E">
        <w:rPr>
          <w:rFonts w:ascii="Verdana" w:eastAsiaTheme="minorHAnsi" w:hAnsi="Verdana" w:cs="Arial"/>
          <w:i/>
          <w:lang w:val="es-CR" w:eastAsia="en-US"/>
        </w:rPr>
        <w:t>. Consideraciones de la Corte</w:t>
      </w:r>
    </w:p>
    <w:p w14:paraId="20B25B8C" w14:textId="2B200AEC" w:rsidR="00AE248C" w:rsidRPr="00C24073" w:rsidRDefault="009D61F5" w:rsidP="00AE248C">
      <w:pPr>
        <w:widowControl/>
        <w:numPr>
          <w:ilvl w:val="0"/>
          <w:numId w:val="2"/>
        </w:numPr>
        <w:spacing w:before="120" w:after="120"/>
        <w:ind w:left="0" w:right="9" w:hanging="11"/>
        <w:jc w:val="both"/>
        <w:rPr>
          <w:rFonts w:ascii="Verdana" w:hAnsi="Verdana"/>
        </w:rPr>
      </w:pPr>
      <w:r w:rsidRPr="000B1F7E">
        <w:rPr>
          <w:rFonts w:ascii="Verdana" w:eastAsiaTheme="minorHAnsi" w:hAnsi="Verdana" w:cs="Arial"/>
          <w:lang w:val="es-CR" w:eastAsia="en-US"/>
        </w:rPr>
        <w:t xml:space="preserve">Con base en </w:t>
      </w:r>
      <w:r w:rsidR="007C1A42">
        <w:rPr>
          <w:rFonts w:ascii="Verdana" w:eastAsiaTheme="minorHAnsi" w:hAnsi="Verdana" w:cs="Arial"/>
          <w:lang w:val="es-CR" w:eastAsia="en-US"/>
        </w:rPr>
        <w:t>el comprobante aportado</w:t>
      </w:r>
      <w:r w:rsidR="00B50B39">
        <w:rPr>
          <w:rFonts w:ascii="Verdana" w:eastAsiaTheme="minorHAnsi" w:hAnsi="Verdana" w:cs="Arial"/>
          <w:lang w:val="es-CR" w:eastAsia="en-US"/>
        </w:rPr>
        <w:t>, este Tribunal constata que</w:t>
      </w:r>
      <w:r w:rsidR="006D36E5">
        <w:rPr>
          <w:rFonts w:ascii="Verdana" w:eastAsiaTheme="minorHAnsi" w:hAnsi="Verdana" w:cs="Arial"/>
          <w:lang w:val="es-CR" w:eastAsia="en-US"/>
        </w:rPr>
        <w:t>, dentro del plazo otorgado en la Sentencia,</w:t>
      </w:r>
      <w:r w:rsidR="00B50B39">
        <w:rPr>
          <w:rFonts w:ascii="Verdana" w:eastAsiaTheme="minorHAnsi" w:hAnsi="Verdana" w:cs="Arial"/>
          <w:lang w:val="es-CR" w:eastAsia="en-US"/>
        </w:rPr>
        <w:t xml:space="preserve"> </w:t>
      </w:r>
      <w:r w:rsidR="008410F2">
        <w:rPr>
          <w:rFonts w:ascii="Verdana" w:eastAsiaTheme="minorHAnsi" w:hAnsi="Verdana" w:cs="Arial"/>
          <w:lang w:val="es-CR" w:eastAsia="en-US"/>
        </w:rPr>
        <w:t xml:space="preserve">el Estado </w:t>
      </w:r>
      <w:r w:rsidR="00B50B39">
        <w:rPr>
          <w:rFonts w:ascii="Verdana" w:eastAsiaTheme="minorHAnsi" w:hAnsi="Verdana" w:cs="Arial"/>
          <w:lang w:val="es-CR" w:eastAsia="en-US"/>
        </w:rPr>
        <w:t>cumplió con publicar</w:t>
      </w:r>
      <w:r w:rsidR="007C1A42">
        <w:rPr>
          <w:rFonts w:ascii="Verdana" w:eastAsiaTheme="minorHAnsi" w:hAnsi="Verdana" w:cs="Arial"/>
          <w:lang w:val="es-CR" w:eastAsia="en-US"/>
        </w:rPr>
        <w:t xml:space="preserve"> el resumen oficial de la Sentencia en el Boletín Oficial de la República </w:t>
      </w:r>
      <w:r w:rsidR="00D1399C">
        <w:rPr>
          <w:rFonts w:ascii="Verdana" w:eastAsiaTheme="minorHAnsi" w:hAnsi="Verdana" w:cs="Arial"/>
          <w:lang w:val="es-CR" w:eastAsia="en-US"/>
        </w:rPr>
        <w:t>A</w:t>
      </w:r>
      <w:r w:rsidR="007C1A42">
        <w:rPr>
          <w:rFonts w:ascii="Verdana" w:eastAsiaTheme="minorHAnsi" w:hAnsi="Verdana" w:cs="Arial"/>
          <w:lang w:val="es-CR" w:eastAsia="en-US"/>
        </w:rPr>
        <w:t>rgentina</w:t>
      </w:r>
      <w:r w:rsidR="007C1A42">
        <w:rPr>
          <w:rStyle w:val="FootnoteReference"/>
          <w:rFonts w:ascii="Verdana" w:eastAsiaTheme="minorHAnsi" w:hAnsi="Verdana" w:cs="Arial"/>
          <w:lang w:val="es-CR" w:eastAsia="en-US"/>
        </w:rPr>
        <w:footnoteReference w:id="15"/>
      </w:r>
      <w:r w:rsidR="007C1A42">
        <w:rPr>
          <w:rFonts w:ascii="Verdana" w:eastAsiaTheme="minorHAnsi" w:hAnsi="Verdana" w:cs="Arial"/>
          <w:lang w:val="es-CR" w:eastAsia="en-US"/>
        </w:rPr>
        <w:t xml:space="preserve">. </w:t>
      </w:r>
    </w:p>
    <w:p w14:paraId="6C62A498" w14:textId="074FCD24" w:rsidR="00F001C5" w:rsidRDefault="007C1A42" w:rsidP="00CB77C8">
      <w:pPr>
        <w:widowControl/>
        <w:numPr>
          <w:ilvl w:val="0"/>
          <w:numId w:val="2"/>
        </w:numPr>
        <w:spacing w:before="120" w:after="120"/>
        <w:ind w:left="0" w:right="9" w:hanging="11"/>
        <w:jc w:val="both"/>
        <w:rPr>
          <w:rFonts w:ascii="Verdana" w:hAnsi="Verdana"/>
        </w:rPr>
      </w:pPr>
      <w:r>
        <w:rPr>
          <w:rFonts w:ascii="Verdana" w:eastAsiaTheme="minorHAnsi" w:hAnsi="Verdana" w:cs="Arial"/>
          <w:lang w:val="es-CR" w:eastAsia="en-US"/>
        </w:rPr>
        <w:t xml:space="preserve">En cuanto a la publicación del resumen </w:t>
      </w:r>
      <w:r w:rsidR="00FF5387">
        <w:rPr>
          <w:rFonts w:ascii="Verdana" w:eastAsiaTheme="minorHAnsi" w:hAnsi="Verdana" w:cs="Arial"/>
          <w:lang w:val="es-CR" w:eastAsia="en-US"/>
        </w:rPr>
        <w:t xml:space="preserve">oficial de la Sentencia </w:t>
      </w:r>
      <w:r>
        <w:rPr>
          <w:rFonts w:ascii="Verdana" w:eastAsiaTheme="minorHAnsi" w:hAnsi="Verdana" w:cs="Arial"/>
          <w:lang w:val="es-CR" w:eastAsia="en-US"/>
        </w:rPr>
        <w:t xml:space="preserve">en un diario de amplia circulación nacional, </w:t>
      </w:r>
      <w:r w:rsidR="005A237A">
        <w:rPr>
          <w:rFonts w:ascii="Verdana" w:eastAsiaTheme="minorHAnsi" w:hAnsi="Verdana" w:cs="Arial"/>
          <w:lang w:val="es-CR" w:eastAsia="en-US"/>
        </w:rPr>
        <w:t>Argentina</w:t>
      </w:r>
      <w:r w:rsidR="004D182A">
        <w:rPr>
          <w:rFonts w:ascii="Verdana" w:eastAsiaTheme="minorHAnsi" w:hAnsi="Verdana" w:cs="Arial"/>
          <w:lang w:val="es-CR" w:eastAsia="en-US"/>
        </w:rPr>
        <w:t xml:space="preserve"> afirmó que se llevó cabo </w:t>
      </w:r>
      <w:r>
        <w:rPr>
          <w:rFonts w:ascii="Verdana" w:eastAsiaTheme="minorHAnsi" w:hAnsi="Verdana" w:cs="Arial"/>
          <w:lang w:val="es-CR" w:eastAsia="en-US"/>
        </w:rPr>
        <w:t>“</w:t>
      </w:r>
      <w:r w:rsidRPr="00F001C5">
        <w:rPr>
          <w:rFonts w:ascii="Verdana" w:hAnsi="Verdana"/>
        </w:rPr>
        <w:t xml:space="preserve">en un periódico de circulación </w:t>
      </w:r>
      <w:proofErr w:type="gramStart"/>
      <w:r w:rsidRPr="00F001C5">
        <w:rPr>
          <w:rFonts w:ascii="Verdana" w:hAnsi="Verdana"/>
        </w:rPr>
        <w:t>nacional[</w:t>
      </w:r>
      <w:proofErr w:type="gramEnd"/>
      <w:r w:rsidRPr="00F001C5">
        <w:rPr>
          <w:rFonts w:ascii="Verdana" w:hAnsi="Verdana"/>
        </w:rPr>
        <w:t>,] en el diario BAE” y</w:t>
      </w:r>
      <w:r w:rsidRPr="007C1A42">
        <w:rPr>
          <w:rFonts w:ascii="Verdana" w:hAnsi="Verdana"/>
        </w:rPr>
        <w:t xml:space="preserve"> aportó el comprobante </w:t>
      </w:r>
      <w:r w:rsidR="004D182A">
        <w:rPr>
          <w:rFonts w:ascii="Verdana" w:hAnsi="Verdana"/>
        </w:rPr>
        <w:t xml:space="preserve">de </w:t>
      </w:r>
      <w:r w:rsidRPr="007C1A42">
        <w:rPr>
          <w:rFonts w:ascii="Verdana" w:hAnsi="Verdana"/>
        </w:rPr>
        <w:t>la misma</w:t>
      </w:r>
      <w:r w:rsidRPr="007C1A42">
        <w:rPr>
          <w:rStyle w:val="FootnoteReference"/>
          <w:rFonts w:ascii="Verdana" w:hAnsi="Verdana"/>
        </w:rPr>
        <w:footnoteReference w:id="16"/>
      </w:r>
      <w:r w:rsidRPr="007C1A42">
        <w:rPr>
          <w:rFonts w:ascii="Verdana" w:hAnsi="Verdana"/>
        </w:rPr>
        <w:t>. Al respecto, el representante</w:t>
      </w:r>
      <w:r>
        <w:rPr>
          <w:rFonts w:ascii="Verdana" w:hAnsi="Verdana"/>
        </w:rPr>
        <w:t xml:space="preserve"> </w:t>
      </w:r>
      <w:r w:rsidRPr="007C1A42">
        <w:rPr>
          <w:rFonts w:ascii="Verdana" w:hAnsi="Verdana"/>
        </w:rPr>
        <w:t xml:space="preserve">presentó una objeción en el sentido de que la publicación realizada en el diario BAE no es adecuada por ser un diario “desconocido” y </w:t>
      </w:r>
      <w:r w:rsidR="00B50B39">
        <w:rPr>
          <w:rFonts w:ascii="Verdana" w:hAnsi="Verdana"/>
        </w:rPr>
        <w:t>sugirió</w:t>
      </w:r>
      <w:r w:rsidRPr="007C1A42">
        <w:rPr>
          <w:rFonts w:ascii="Verdana" w:hAnsi="Verdana"/>
        </w:rPr>
        <w:t xml:space="preserve"> que la publicación se </w:t>
      </w:r>
      <w:r w:rsidR="005A237A" w:rsidRPr="007C1A42">
        <w:rPr>
          <w:rFonts w:ascii="Verdana" w:hAnsi="Verdana"/>
        </w:rPr>
        <w:t>reali</w:t>
      </w:r>
      <w:r w:rsidR="005A237A">
        <w:rPr>
          <w:rFonts w:ascii="Verdana" w:hAnsi="Verdana"/>
        </w:rPr>
        <w:t>zara</w:t>
      </w:r>
      <w:r w:rsidR="005A237A" w:rsidRPr="007C1A42">
        <w:rPr>
          <w:rFonts w:ascii="Verdana" w:hAnsi="Verdana"/>
        </w:rPr>
        <w:t xml:space="preserve"> </w:t>
      </w:r>
      <w:r w:rsidRPr="007C1A42">
        <w:rPr>
          <w:rFonts w:ascii="Verdana" w:hAnsi="Verdana"/>
        </w:rPr>
        <w:t>en otros diarios “más conocidos y de mayor circulación”</w:t>
      </w:r>
      <w:r w:rsidRPr="000B1F7E">
        <w:rPr>
          <w:rStyle w:val="FootnoteReference"/>
          <w:rFonts w:ascii="Verdana" w:eastAsiaTheme="minorHAnsi" w:hAnsi="Verdana" w:cs="Arial"/>
          <w:lang w:val="es-CR" w:eastAsia="en-US"/>
        </w:rPr>
        <w:footnoteReference w:id="17"/>
      </w:r>
      <w:r>
        <w:rPr>
          <w:rFonts w:ascii="Verdana" w:hAnsi="Verdana"/>
        </w:rPr>
        <w:t xml:space="preserve">. </w:t>
      </w:r>
      <w:r w:rsidR="00895179">
        <w:rPr>
          <w:rFonts w:ascii="Verdana" w:hAnsi="Verdana"/>
        </w:rPr>
        <w:t xml:space="preserve">Sin embargo, </w:t>
      </w:r>
      <w:r w:rsidR="00895179">
        <w:rPr>
          <w:rFonts w:ascii="Verdana" w:eastAsia="Times" w:hAnsi="Verdana"/>
        </w:rPr>
        <w:t xml:space="preserve">al realizar tales afirmaciones no presentó elementos </w:t>
      </w:r>
      <w:r w:rsidR="00895179">
        <w:rPr>
          <w:rFonts w:ascii="Verdana" w:hAnsi="Verdana"/>
        </w:rPr>
        <w:t xml:space="preserve">que permitan </w:t>
      </w:r>
      <w:r w:rsidR="005A237A">
        <w:rPr>
          <w:rFonts w:ascii="Verdana" w:hAnsi="Verdana"/>
        </w:rPr>
        <w:t xml:space="preserve">a la Corte </w:t>
      </w:r>
      <w:r w:rsidR="00895179">
        <w:rPr>
          <w:rFonts w:ascii="Verdana" w:hAnsi="Verdana"/>
        </w:rPr>
        <w:t xml:space="preserve">valorar la referida objeción respecto del alcance del diario BAE. </w:t>
      </w:r>
      <w:r w:rsidR="005A237A">
        <w:rPr>
          <w:rFonts w:ascii="Verdana" w:hAnsi="Verdana"/>
        </w:rPr>
        <w:t>Este Tribunal</w:t>
      </w:r>
      <w:r w:rsidR="004D182A">
        <w:rPr>
          <w:rFonts w:ascii="Verdana" w:hAnsi="Verdana"/>
        </w:rPr>
        <w:t xml:space="preserve"> reitera que al ordenar este tipo de medida dispuso que la publicación se realizara en un diario de “amplia” circulación nacional</w:t>
      </w:r>
      <w:r w:rsidR="00895179">
        <w:rPr>
          <w:rFonts w:ascii="Verdana" w:hAnsi="Verdana"/>
        </w:rPr>
        <w:t>, lo cual no necesariamente implica que deba ser en uno de los diarios de “mayor” circulación nacional, como lo solicita el representante</w:t>
      </w:r>
      <w:r w:rsidR="004D182A">
        <w:rPr>
          <w:rFonts w:ascii="Verdana" w:hAnsi="Verdana"/>
        </w:rPr>
        <w:t xml:space="preserve">. </w:t>
      </w:r>
      <w:r w:rsidR="00895179" w:rsidRPr="00895179">
        <w:rPr>
          <w:rFonts w:ascii="Verdana" w:eastAsia="Times" w:hAnsi="Verdana"/>
        </w:rPr>
        <w:t xml:space="preserve">Después de haber tenido en cuenta dicha observación del </w:t>
      </w:r>
      <w:r w:rsidR="00895179" w:rsidRPr="00895179">
        <w:rPr>
          <w:rFonts w:ascii="Verdana" w:eastAsia="Times" w:hAnsi="Verdana"/>
        </w:rPr>
        <w:lastRenderedPageBreak/>
        <w:t xml:space="preserve">representante, la Corte no encuentra motivos suficientes para considerar que </w:t>
      </w:r>
      <w:r w:rsidR="0042644B">
        <w:rPr>
          <w:rFonts w:ascii="Verdana" w:eastAsia="Times" w:hAnsi="Verdana"/>
        </w:rPr>
        <w:t xml:space="preserve">la referida </w:t>
      </w:r>
      <w:r w:rsidR="00895179" w:rsidRPr="00895179">
        <w:rPr>
          <w:rFonts w:ascii="Verdana" w:eastAsia="Times" w:hAnsi="Verdana"/>
        </w:rPr>
        <w:t>publicación no cumpla con lo dispuesto en la Sentencia.</w:t>
      </w:r>
      <w:r w:rsidR="00895179">
        <w:rPr>
          <w:rFonts w:ascii="Verdana" w:eastAsia="Times" w:hAnsi="Verdana"/>
        </w:rPr>
        <w:t xml:space="preserve"> </w:t>
      </w:r>
    </w:p>
    <w:p w14:paraId="279FFCEA" w14:textId="76E5857F" w:rsidR="005018AF" w:rsidRPr="000B1F7E" w:rsidRDefault="00F001C5" w:rsidP="00CB77C8">
      <w:pPr>
        <w:widowControl/>
        <w:numPr>
          <w:ilvl w:val="0"/>
          <w:numId w:val="2"/>
        </w:numPr>
        <w:spacing w:before="120" w:after="120"/>
        <w:ind w:left="0" w:right="9" w:hanging="11"/>
        <w:jc w:val="both"/>
        <w:rPr>
          <w:rFonts w:ascii="Verdana" w:hAnsi="Verdana"/>
        </w:rPr>
      </w:pPr>
      <w:r>
        <w:rPr>
          <w:rFonts w:ascii="Verdana" w:hAnsi="Verdana"/>
        </w:rPr>
        <w:t>Además</w:t>
      </w:r>
      <w:r w:rsidR="005018AF" w:rsidRPr="000B1F7E">
        <w:rPr>
          <w:rFonts w:ascii="Verdana" w:hAnsi="Verdana"/>
        </w:rPr>
        <w:t xml:space="preserve">, </w:t>
      </w:r>
      <w:r>
        <w:rPr>
          <w:rFonts w:ascii="Verdana" w:hAnsi="Verdana"/>
        </w:rPr>
        <w:t xml:space="preserve">el Tribunal constata que </w:t>
      </w:r>
      <w:r w:rsidR="005A237A">
        <w:rPr>
          <w:rFonts w:ascii="Verdana" w:hAnsi="Verdana"/>
        </w:rPr>
        <w:t>el Estado</w:t>
      </w:r>
      <w:r w:rsidR="005A237A" w:rsidRPr="000B1F7E">
        <w:rPr>
          <w:rFonts w:ascii="Verdana" w:hAnsi="Verdana"/>
        </w:rPr>
        <w:t xml:space="preserve"> </w:t>
      </w:r>
      <w:r w:rsidR="005018AF" w:rsidRPr="000B1F7E">
        <w:rPr>
          <w:rFonts w:ascii="Verdana" w:hAnsi="Verdana"/>
        </w:rPr>
        <w:t xml:space="preserve">cumplió con publicar de manera íntegra la Sentencia en un </w:t>
      </w:r>
      <w:r w:rsidR="005018AF" w:rsidRPr="000B1F7E">
        <w:rPr>
          <w:rFonts w:ascii="Verdana" w:hAnsi="Verdana"/>
          <w:i/>
        </w:rPr>
        <w:t>sitio web</w:t>
      </w:r>
      <w:r w:rsidR="005018AF" w:rsidRPr="000B1F7E">
        <w:rPr>
          <w:rFonts w:ascii="Verdana" w:hAnsi="Verdana"/>
        </w:rPr>
        <w:t xml:space="preserve"> oficial adecuado por el período de un año, efectuando esta publicación en la página de la Corte Suprema de Justicia de la Nación</w:t>
      </w:r>
      <w:r w:rsidR="0084181F" w:rsidRPr="000B1F7E">
        <w:rPr>
          <w:rStyle w:val="FootnoteReference"/>
          <w:rFonts w:ascii="Verdana" w:hAnsi="Verdana"/>
        </w:rPr>
        <w:footnoteReference w:id="18"/>
      </w:r>
      <w:r w:rsidR="005018AF" w:rsidRPr="000B1F7E">
        <w:rPr>
          <w:rFonts w:ascii="Verdana" w:hAnsi="Verdana"/>
        </w:rPr>
        <w:t xml:space="preserve">. </w:t>
      </w:r>
    </w:p>
    <w:p w14:paraId="3FB66683" w14:textId="77777777" w:rsidR="00026315" w:rsidRPr="000B1F7E" w:rsidRDefault="00CA711F" w:rsidP="00611852">
      <w:pPr>
        <w:widowControl/>
        <w:numPr>
          <w:ilvl w:val="0"/>
          <w:numId w:val="2"/>
        </w:numPr>
        <w:spacing w:before="120" w:after="120"/>
        <w:ind w:left="0" w:right="9" w:hanging="11"/>
        <w:jc w:val="both"/>
        <w:rPr>
          <w:rFonts w:ascii="Verdana" w:hAnsi="Verdana"/>
        </w:rPr>
      </w:pPr>
      <w:r w:rsidRPr="000B1F7E">
        <w:rPr>
          <w:rFonts w:ascii="Verdana" w:hAnsi="Verdana"/>
        </w:rPr>
        <w:t>En virtud de lo anterior</w:t>
      </w:r>
      <w:r w:rsidR="00ED4B7F" w:rsidRPr="000B1F7E">
        <w:rPr>
          <w:rFonts w:ascii="Verdana" w:hAnsi="Verdana"/>
        </w:rPr>
        <w:t xml:space="preserve">, la Corte declara que el Estado ha dado cumplimiento total a las medidas de publicación y difusión de la Sentencia ordenadas en el punto dispositivo </w:t>
      </w:r>
      <w:r w:rsidR="005018AF" w:rsidRPr="000B1F7E">
        <w:rPr>
          <w:rFonts w:ascii="Verdana" w:hAnsi="Verdana"/>
        </w:rPr>
        <w:t>cuarto</w:t>
      </w:r>
      <w:r w:rsidR="00ED4B7F" w:rsidRPr="000B1F7E">
        <w:rPr>
          <w:rFonts w:ascii="Verdana" w:hAnsi="Verdana"/>
        </w:rPr>
        <w:t xml:space="preserve"> de la misma.</w:t>
      </w:r>
    </w:p>
    <w:p w14:paraId="538790B2" w14:textId="77777777" w:rsidR="00026315" w:rsidRDefault="00026315" w:rsidP="00026315">
      <w:pPr>
        <w:widowControl/>
        <w:spacing w:before="120" w:after="120"/>
        <w:ind w:right="9"/>
        <w:jc w:val="both"/>
        <w:rPr>
          <w:rFonts w:ascii="Verdana" w:hAnsi="Verdana"/>
        </w:rPr>
      </w:pPr>
    </w:p>
    <w:p w14:paraId="12C6E617" w14:textId="392C3E71" w:rsidR="00026315" w:rsidRDefault="00FF36C1" w:rsidP="00FF56F6">
      <w:pPr>
        <w:widowControl/>
        <w:spacing w:after="120"/>
        <w:ind w:left="708"/>
        <w:jc w:val="both"/>
        <w:rPr>
          <w:rFonts w:ascii="Verdana" w:hAnsi="Verdana"/>
          <w:b/>
          <w:i/>
        </w:rPr>
      </w:pPr>
      <w:r>
        <w:rPr>
          <w:rFonts w:ascii="Verdana" w:hAnsi="Verdana"/>
          <w:b/>
          <w:i/>
        </w:rPr>
        <w:t>C</w:t>
      </w:r>
      <w:r w:rsidR="00026315" w:rsidRPr="009B5004">
        <w:rPr>
          <w:rFonts w:ascii="Verdana" w:hAnsi="Verdana"/>
          <w:b/>
          <w:i/>
        </w:rPr>
        <w:t>. Pagar las cantidades dispuestas en la Sentencia</w:t>
      </w:r>
      <w:r w:rsidR="00FB55A4">
        <w:rPr>
          <w:rFonts w:ascii="Verdana" w:hAnsi="Verdana"/>
          <w:b/>
          <w:i/>
        </w:rPr>
        <w:t xml:space="preserve"> por concepto de indemnizaci</w:t>
      </w:r>
      <w:r w:rsidR="0042644B">
        <w:rPr>
          <w:rFonts w:ascii="Verdana" w:hAnsi="Verdana"/>
          <w:b/>
          <w:i/>
        </w:rPr>
        <w:t>ó</w:t>
      </w:r>
      <w:r w:rsidR="00FB55A4">
        <w:rPr>
          <w:rFonts w:ascii="Verdana" w:hAnsi="Verdana"/>
          <w:b/>
          <w:i/>
        </w:rPr>
        <w:t>n y reintegro de costas y gastos</w:t>
      </w:r>
    </w:p>
    <w:p w14:paraId="7375C9A2" w14:textId="77777777" w:rsidR="00BA1918" w:rsidRPr="00FA43A4" w:rsidRDefault="00BA1918" w:rsidP="00D06360">
      <w:pPr>
        <w:widowControl/>
        <w:ind w:left="357" w:firstLine="346"/>
        <w:jc w:val="both"/>
        <w:rPr>
          <w:rFonts w:ascii="Verdana" w:hAnsi="Verdana"/>
          <w:b/>
          <w:i/>
          <w:sz w:val="10"/>
          <w:szCs w:val="10"/>
        </w:rPr>
      </w:pPr>
    </w:p>
    <w:p w14:paraId="08C53E6C" w14:textId="77777777" w:rsidR="00026315" w:rsidRDefault="00FF36C1" w:rsidP="00026315">
      <w:pPr>
        <w:widowControl/>
        <w:spacing w:after="120"/>
        <w:ind w:left="360" w:firstLine="348"/>
        <w:jc w:val="both"/>
        <w:rPr>
          <w:rFonts w:ascii="Verdana" w:hAnsi="Verdana"/>
          <w:i/>
        </w:rPr>
      </w:pPr>
      <w:r>
        <w:rPr>
          <w:rFonts w:ascii="Verdana" w:hAnsi="Verdana"/>
          <w:i/>
        </w:rPr>
        <w:t>C</w:t>
      </w:r>
      <w:r w:rsidR="00026315">
        <w:rPr>
          <w:rFonts w:ascii="Verdana" w:hAnsi="Verdana"/>
          <w:i/>
        </w:rPr>
        <w:t>.1. Medida</w:t>
      </w:r>
      <w:r w:rsidR="00576A4C">
        <w:rPr>
          <w:rFonts w:ascii="Verdana" w:hAnsi="Verdana"/>
          <w:i/>
        </w:rPr>
        <w:t>s</w:t>
      </w:r>
      <w:r w:rsidR="00026315">
        <w:rPr>
          <w:rFonts w:ascii="Verdana" w:hAnsi="Verdana"/>
          <w:i/>
        </w:rPr>
        <w:t xml:space="preserve"> ordenada</w:t>
      </w:r>
      <w:r w:rsidR="00576A4C">
        <w:rPr>
          <w:rFonts w:ascii="Verdana" w:hAnsi="Verdana"/>
          <w:i/>
        </w:rPr>
        <w:t>s</w:t>
      </w:r>
      <w:r w:rsidR="00026315">
        <w:rPr>
          <w:rFonts w:ascii="Verdana" w:hAnsi="Verdana"/>
          <w:i/>
        </w:rPr>
        <w:t xml:space="preserve"> por la Corte </w:t>
      </w:r>
    </w:p>
    <w:p w14:paraId="11F85E60" w14:textId="77777777" w:rsidR="00FF56F6" w:rsidRDefault="00521FCD" w:rsidP="00176211">
      <w:pPr>
        <w:widowControl/>
        <w:numPr>
          <w:ilvl w:val="0"/>
          <w:numId w:val="2"/>
        </w:numPr>
        <w:spacing w:before="120" w:after="120"/>
        <w:ind w:left="0" w:right="9" w:hanging="11"/>
        <w:jc w:val="both"/>
        <w:rPr>
          <w:rFonts w:ascii="Verdana" w:eastAsia="Arial Unicode MS" w:hAnsi="Verdana" w:cs="Arial Unicode MS"/>
        </w:rPr>
      </w:pPr>
      <w:r w:rsidRPr="007C7906">
        <w:rPr>
          <w:rFonts w:ascii="Verdana" w:eastAsia="Arial Unicode MS" w:hAnsi="Verdana" w:cs="Arial Unicode MS"/>
        </w:rPr>
        <w:t>En</w:t>
      </w:r>
      <w:r w:rsidR="00CD2B51" w:rsidRPr="007C7906">
        <w:rPr>
          <w:rFonts w:ascii="Verdana" w:eastAsia="Arial Unicode MS" w:hAnsi="Verdana" w:cs="Arial Unicode MS"/>
        </w:rPr>
        <w:t xml:space="preserve"> el punto dispositivo </w:t>
      </w:r>
      <w:r w:rsidR="00FF56F6">
        <w:rPr>
          <w:rFonts w:ascii="Verdana" w:eastAsia="Arial Unicode MS" w:hAnsi="Verdana" w:cs="Arial Unicode MS"/>
        </w:rPr>
        <w:t>quinto de la Sentencia, la Corte dispuso que “[e]l Estado debe pagar las cantidades fijadas en los párrafos 171</w:t>
      </w:r>
      <w:r w:rsidR="003D5747">
        <w:rPr>
          <w:rStyle w:val="FootnoteReference"/>
          <w:rFonts w:ascii="Verdana" w:eastAsia="Arial Unicode MS" w:hAnsi="Verdana" w:cs="Arial Unicode MS"/>
        </w:rPr>
        <w:footnoteReference w:id="19"/>
      </w:r>
      <w:r w:rsidR="00FF56F6">
        <w:rPr>
          <w:rFonts w:ascii="Verdana" w:eastAsia="Arial Unicode MS" w:hAnsi="Verdana" w:cs="Arial Unicode MS"/>
        </w:rPr>
        <w:t xml:space="preserve"> y 177</w:t>
      </w:r>
      <w:r w:rsidR="003D5747">
        <w:rPr>
          <w:rStyle w:val="FootnoteReference"/>
          <w:rFonts w:ascii="Verdana" w:eastAsia="Arial Unicode MS" w:hAnsi="Verdana" w:cs="Arial Unicode MS"/>
        </w:rPr>
        <w:footnoteReference w:id="20"/>
      </w:r>
      <w:r w:rsidR="00FF56F6">
        <w:rPr>
          <w:rFonts w:ascii="Verdana" w:eastAsia="Arial Unicode MS" w:hAnsi="Verdana" w:cs="Arial Unicode MS"/>
        </w:rPr>
        <w:t xml:space="preserve"> de la [misma] por concepto de indemnización por daño material e inmaterial, y por el reintegro de costas y gastos”. En los referidos párrafos se dispuso que estos pagos debían ser </w:t>
      </w:r>
      <w:r w:rsidR="003D5747">
        <w:rPr>
          <w:rFonts w:ascii="Verdana" w:eastAsia="Arial Unicode MS" w:hAnsi="Verdana" w:cs="Arial Unicode MS"/>
        </w:rPr>
        <w:t>entregados al señor Mohamed</w:t>
      </w:r>
      <w:r w:rsidR="00FF56F6">
        <w:rPr>
          <w:rFonts w:ascii="Verdana" w:eastAsia="Arial Unicode MS" w:hAnsi="Verdana" w:cs="Arial Unicode MS"/>
        </w:rPr>
        <w:t xml:space="preserve"> “dentro del plazo de un año</w:t>
      </w:r>
      <w:r w:rsidR="003D5747">
        <w:rPr>
          <w:rFonts w:ascii="Verdana" w:eastAsia="Arial Unicode MS" w:hAnsi="Verdana" w:cs="Arial Unicode MS"/>
        </w:rPr>
        <w:t xml:space="preserve"> a partir de la notificación de la […] Sentencia”.</w:t>
      </w:r>
    </w:p>
    <w:p w14:paraId="004931A4" w14:textId="77777777" w:rsidR="008A2037" w:rsidRPr="00EF6571" w:rsidRDefault="008A2037" w:rsidP="00D06360">
      <w:pPr>
        <w:widowControl/>
        <w:ind w:right="11"/>
        <w:jc w:val="both"/>
        <w:rPr>
          <w:rFonts w:ascii="Verdana" w:hAnsi="Verdana"/>
          <w:sz w:val="10"/>
          <w:szCs w:val="10"/>
        </w:rPr>
      </w:pPr>
    </w:p>
    <w:p w14:paraId="13020CDD" w14:textId="77777777" w:rsidR="003C2468" w:rsidRPr="00721D61" w:rsidRDefault="00FF36C1" w:rsidP="003C2468">
      <w:pPr>
        <w:widowControl/>
        <w:autoSpaceDE w:val="0"/>
        <w:autoSpaceDN w:val="0"/>
        <w:adjustRightInd w:val="0"/>
        <w:ind w:firstLine="708"/>
        <w:jc w:val="both"/>
        <w:rPr>
          <w:rFonts w:ascii="Verdana" w:hAnsi="Verdana"/>
          <w:i/>
        </w:rPr>
      </w:pPr>
      <w:r w:rsidRPr="00721D61">
        <w:rPr>
          <w:rFonts w:ascii="Verdana" w:hAnsi="Verdana"/>
          <w:i/>
        </w:rPr>
        <w:t>C</w:t>
      </w:r>
      <w:r w:rsidR="003C2468" w:rsidRPr="00721D61">
        <w:rPr>
          <w:rFonts w:ascii="Verdana" w:hAnsi="Verdana"/>
          <w:i/>
        </w:rPr>
        <w:t>.</w:t>
      </w:r>
      <w:r w:rsidR="00BA1918" w:rsidRPr="00721D61">
        <w:rPr>
          <w:rFonts w:ascii="Verdana" w:hAnsi="Verdana"/>
          <w:i/>
        </w:rPr>
        <w:t>2</w:t>
      </w:r>
      <w:r w:rsidR="003C2468" w:rsidRPr="00721D61">
        <w:rPr>
          <w:rFonts w:ascii="Verdana" w:hAnsi="Verdana"/>
          <w:i/>
        </w:rPr>
        <w:t>. Consideraciones de la Corte</w:t>
      </w:r>
    </w:p>
    <w:p w14:paraId="50B43B2D" w14:textId="30A36D75" w:rsidR="008A3B8A" w:rsidRPr="00871313" w:rsidRDefault="000D76C7" w:rsidP="00871313">
      <w:pPr>
        <w:widowControl/>
        <w:numPr>
          <w:ilvl w:val="0"/>
          <w:numId w:val="2"/>
        </w:numPr>
        <w:spacing w:before="120" w:after="120"/>
        <w:ind w:left="0" w:right="9" w:hanging="11"/>
        <w:jc w:val="both"/>
        <w:rPr>
          <w:rFonts w:ascii="Verdana" w:hAnsi="Verdana"/>
        </w:rPr>
      </w:pPr>
      <w:r w:rsidRPr="00871313">
        <w:rPr>
          <w:rFonts w:ascii="Verdana" w:hAnsi="Verdana"/>
        </w:rPr>
        <w:t xml:space="preserve">Con base en </w:t>
      </w:r>
      <w:r w:rsidR="00545EB6" w:rsidRPr="00871313">
        <w:rPr>
          <w:rFonts w:ascii="Verdana" w:hAnsi="Verdana"/>
        </w:rPr>
        <w:t>la documentación aportada por el Estado</w:t>
      </w:r>
      <w:r w:rsidR="00BA1918" w:rsidRPr="005D179C">
        <w:rPr>
          <w:rStyle w:val="FootnoteReference"/>
          <w:rFonts w:ascii="Verdana" w:hAnsi="Verdana"/>
        </w:rPr>
        <w:footnoteReference w:id="21"/>
      </w:r>
      <w:r w:rsidR="00871313" w:rsidRPr="00871313">
        <w:rPr>
          <w:rFonts w:ascii="Verdana" w:hAnsi="Verdana"/>
        </w:rPr>
        <w:t>,</w:t>
      </w:r>
      <w:r w:rsidR="00750ECC">
        <w:rPr>
          <w:rFonts w:ascii="Verdana" w:hAnsi="Verdana"/>
        </w:rPr>
        <w:t xml:space="preserve"> </w:t>
      </w:r>
      <w:r w:rsidR="00750ECC" w:rsidRPr="003908B2">
        <w:rPr>
          <w:rFonts w:ascii="Verdana" w:hAnsi="Verdana"/>
        </w:rPr>
        <w:t>la cual no fue controvertida</w:t>
      </w:r>
      <w:r w:rsidR="00750ECC" w:rsidRPr="003908B2">
        <w:rPr>
          <w:rStyle w:val="FootnoteReference"/>
          <w:rFonts w:ascii="Verdana" w:hAnsi="Verdana"/>
        </w:rPr>
        <w:footnoteReference w:id="22"/>
      </w:r>
      <w:r w:rsidR="00750ECC" w:rsidRPr="003908B2">
        <w:rPr>
          <w:rFonts w:ascii="Verdana" w:hAnsi="Verdana"/>
        </w:rPr>
        <w:t>,</w:t>
      </w:r>
      <w:r w:rsidR="00871313" w:rsidRPr="00871313">
        <w:rPr>
          <w:rFonts w:ascii="Verdana" w:hAnsi="Verdana"/>
        </w:rPr>
        <w:t xml:space="preserve"> la Corte observa que el</w:t>
      </w:r>
      <w:r w:rsidR="003908B2">
        <w:rPr>
          <w:rFonts w:ascii="Verdana" w:hAnsi="Verdana"/>
        </w:rPr>
        <w:t xml:space="preserve"> 10 de octubre de 2014 </w:t>
      </w:r>
      <w:r w:rsidR="006C523F">
        <w:rPr>
          <w:rFonts w:ascii="Verdana" w:hAnsi="Verdana"/>
        </w:rPr>
        <w:t>fue</w:t>
      </w:r>
      <w:r w:rsidR="006C523F" w:rsidRPr="00871313">
        <w:rPr>
          <w:rFonts w:ascii="Verdana" w:hAnsi="Verdana"/>
        </w:rPr>
        <w:t xml:space="preserve"> </w:t>
      </w:r>
      <w:r w:rsidR="00871313" w:rsidRPr="00871313">
        <w:rPr>
          <w:rFonts w:ascii="Verdana" w:hAnsi="Verdana"/>
        </w:rPr>
        <w:t>deposit</w:t>
      </w:r>
      <w:r w:rsidR="006C523F">
        <w:rPr>
          <w:rFonts w:ascii="Verdana" w:hAnsi="Verdana"/>
        </w:rPr>
        <w:t>ada</w:t>
      </w:r>
      <w:r w:rsidR="00871313" w:rsidRPr="00871313">
        <w:rPr>
          <w:rFonts w:ascii="Verdana" w:hAnsi="Verdana"/>
        </w:rPr>
        <w:t xml:space="preserve"> en la </w:t>
      </w:r>
      <w:r w:rsidR="00871313" w:rsidRPr="00871313">
        <w:rPr>
          <w:rFonts w:ascii="Verdana" w:hAnsi="Verdana"/>
        </w:rPr>
        <w:lastRenderedPageBreak/>
        <w:t>cuenta</w:t>
      </w:r>
      <w:r w:rsidR="006C523F">
        <w:rPr>
          <w:rFonts w:ascii="Verdana" w:hAnsi="Verdana"/>
        </w:rPr>
        <w:t xml:space="preserve"> bancaria</w:t>
      </w:r>
      <w:r w:rsidR="00871313" w:rsidRPr="00871313">
        <w:rPr>
          <w:rFonts w:ascii="Verdana" w:hAnsi="Verdana"/>
        </w:rPr>
        <w:t xml:space="preserve"> del señor Mohamed </w:t>
      </w:r>
      <w:r w:rsidR="004A2818">
        <w:rPr>
          <w:rFonts w:ascii="Verdana" w:hAnsi="Verdana"/>
        </w:rPr>
        <w:t xml:space="preserve">determinada cantidad en </w:t>
      </w:r>
      <w:r w:rsidR="00871313" w:rsidRPr="00871313">
        <w:rPr>
          <w:rFonts w:ascii="Verdana" w:hAnsi="Verdana"/>
        </w:rPr>
        <w:t xml:space="preserve">pesos argentinos. </w:t>
      </w:r>
      <w:r w:rsidR="000971C6">
        <w:rPr>
          <w:rFonts w:ascii="Verdana" w:hAnsi="Verdana"/>
        </w:rPr>
        <w:t>Aun cuando</w:t>
      </w:r>
      <w:r w:rsidR="00871313" w:rsidRPr="00871313">
        <w:rPr>
          <w:rFonts w:ascii="Verdana" w:hAnsi="Verdana"/>
        </w:rPr>
        <w:t xml:space="preserve"> el </w:t>
      </w:r>
      <w:r w:rsidR="006E6211">
        <w:rPr>
          <w:rFonts w:ascii="Verdana" w:hAnsi="Verdana"/>
        </w:rPr>
        <w:t>“</w:t>
      </w:r>
      <w:r w:rsidR="00871313" w:rsidRPr="00871313">
        <w:rPr>
          <w:rFonts w:ascii="Verdana" w:hAnsi="Verdana"/>
        </w:rPr>
        <w:t>comprobante de pago</w:t>
      </w:r>
      <w:r w:rsidR="006E6211">
        <w:rPr>
          <w:rFonts w:ascii="Verdana" w:hAnsi="Verdana"/>
        </w:rPr>
        <w:t>” aportado</w:t>
      </w:r>
      <w:r w:rsidR="00871313" w:rsidRPr="00871313">
        <w:rPr>
          <w:rFonts w:ascii="Verdana" w:hAnsi="Verdana"/>
        </w:rPr>
        <w:t xml:space="preserve"> no contiene un desglose de los montos pagados al señor Mohamed, ni el tipo cambiario entre el peso argentino y el dólar de los Estados Unidos de América utilizado para la conversión de los m</w:t>
      </w:r>
      <w:r w:rsidR="006E6211">
        <w:rPr>
          <w:rFonts w:ascii="Verdana" w:hAnsi="Verdana"/>
        </w:rPr>
        <w:t>ontos ordenados en la Sentencia</w:t>
      </w:r>
      <w:r w:rsidR="000971C6">
        <w:rPr>
          <w:rFonts w:ascii="Verdana" w:hAnsi="Verdana"/>
        </w:rPr>
        <w:t>,</w:t>
      </w:r>
      <w:r w:rsidR="00871313" w:rsidRPr="00871313">
        <w:rPr>
          <w:rFonts w:ascii="Verdana" w:hAnsi="Verdana"/>
        </w:rPr>
        <w:t xml:space="preserve"> </w:t>
      </w:r>
      <w:r w:rsidR="006C523F">
        <w:rPr>
          <w:rFonts w:ascii="Verdana" w:hAnsi="Verdana"/>
        </w:rPr>
        <w:t xml:space="preserve">ni la tasa de interés utilizada para el cálculo de los intereses moratorios, </w:t>
      </w:r>
      <w:r w:rsidR="00871313" w:rsidRPr="00871313">
        <w:rPr>
          <w:rFonts w:ascii="Verdana" w:hAnsi="Verdana"/>
        </w:rPr>
        <w:t xml:space="preserve">de acuerdo con lo </w:t>
      </w:r>
      <w:r w:rsidR="000971C6">
        <w:rPr>
          <w:rFonts w:ascii="Verdana" w:hAnsi="Verdana"/>
        </w:rPr>
        <w:t>indicado</w:t>
      </w:r>
      <w:r w:rsidR="00545EB6" w:rsidRPr="00871313">
        <w:rPr>
          <w:rFonts w:ascii="Verdana" w:hAnsi="Verdana"/>
        </w:rPr>
        <w:t xml:space="preserve"> por el representante</w:t>
      </w:r>
      <w:r w:rsidR="00C2359F" w:rsidRPr="00871313">
        <w:rPr>
          <w:rFonts w:ascii="Verdana" w:hAnsi="Verdana"/>
        </w:rPr>
        <w:t xml:space="preserve"> </w:t>
      </w:r>
      <w:r w:rsidR="00871313">
        <w:rPr>
          <w:rFonts w:ascii="Verdana" w:hAnsi="Verdana"/>
        </w:rPr>
        <w:t xml:space="preserve">de la víctima </w:t>
      </w:r>
      <w:r w:rsidR="00EE057C">
        <w:rPr>
          <w:rFonts w:ascii="Verdana" w:hAnsi="Verdana"/>
        </w:rPr>
        <w:t xml:space="preserve">en su escrito de </w:t>
      </w:r>
      <w:r w:rsidR="00D1554D">
        <w:rPr>
          <w:rFonts w:ascii="Verdana" w:hAnsi="Verdana"/>
        </w:rPr>
        <w:t xml:space="preserve">27 de abril de 2015 </w:t>
      </w:r>
      <w:r w:rsidR="00C2359F" w:rsidRPr="00871313">
        <w:rPr>
          <w:rFonts w:ascii="Verdana" w:hAnsi="Verdana"/>
        </w:rPr>
        <w:t>en el sentido de que el señor Mohamed</w:t>
      </w:r>
      <w:r w:rsidR="008A3B8A" w:rsidRPr="00871313">
        <w:rPr>
          <w:rFonts w:ascii="Verdana" w:hAnsi="Verdana"/>
        </w:rPr>
        <w:t xml:space="preserve"> “[le] ha manifestado [que] el mismo ya ha cobrado –en su totalidad- la indemnización fijada en la Sentencia”</w:t>
      </w:r>
      <w:r w:rsidR="00545EB6" w:rsidRPr="00871313">
        <w:rPr>
          <w:rFonts w:ascii="Verdana" w:hAnsi="Verdana"/>
        </w:rPr>
        <w:t xml:space="preserve">, este Tribunal </w:t>
      </w:r>
      <w:r w:rsidR="000971C6">
        <w:rPr>
          <w:rFonts w:ascii="Verdana" w:hAnsi="Verdana"/>
        </w:rPr>
        <w:t>considera</w:t>
      </w:r>
      <w:r w:rsidR="00545EB6" w:rsidRPr="00871313">
        <w:rPr>
          <w:rFonts w:ascii="Verdana" w:hAnsi="Verdana"/>
        </w:rPr>
        <w:t xml:space="preserve"> que</w:t>
      </w:r>
      <w:r w:rsidR="008A2037" w:rsidRPr="00871313">
        <w:rPr>
          <w:rFonts w:ascii="Verdana" w:hAnsi="Verdana"/>
        </w:rPr>
        <w:t xml:space="preserve"> el Estado </w:t>
      </w:r>
      <w:r w:rsidR="000971C6">
        <w:rPr>
          <w:rFonts w:ascii="Verdana" w:hAnsi="Verdana"/>
        </w:rPr>
        <w:t xml:space="preserve">ha cumplido con </w:t>
      </w:r>
      <w:r w:rsidR="008A2037" w:rsidRPr="00871313">
        <w:rPr>
          <w:rFonts w:ascii="Verdana" w:hAnsi="Verdana"/>
        </w:rPr>
        <w:t>pag</w:t>
      </w:r>
      <w:r w:rsidR="000971C6">
        <w:rPr>
          <w:rFonts w:ascii="Verdana" w:hAnsi="Verdana"/>
        </w:rPr>
        <w:t>ar</w:t>
      </w:r>
      <w:r w:rsidR="008A3B8A" w:rsidRPr="00871313">
        <w:rPr>
          <w:rFonts w:ascii="Verdana" w:hAnsi="Verdana"/>
        </w:rPr>
        <w:t xml:space="preserve"> al señor </w:t>
      </w:r>
      <w:r w:rsidR="005D179C" w:rsidRPr="00871313">
        <w:rPr>
          <w:rFonts w:ascii="Verdana" w:hAnsi="Verdana"/>
        </w:rPr>
        <w:t xml:space="preserve">Oscar Alberto </w:t>
      </w:r>
      <w:r w:rsidR="008A3B8A" w:rsidRPr="00871313">
        <w:rPr>
          <w:rFonts w:ascii="Verdana" w:hAnsi="Verdana"/>
        </w:rPr>
        <w:t>Mohamed las cantidades fijadas a su favor en los párrafos 171 y 177 de la Sentencia</w:t>
      </w:r>
      <w:r w:rsidR="005D179C" w:rsidRPr="00871313">
        <w:rPr>
          <w:rFonts w:ascii="Verdana" w:hAnsi="Verdana"/>
        </w:rPr>
        <w:t>,</w:t>
      </w:r>
      <w:r w:rsidR="008A3B8A" w:rsidRPr="00871313">
        <w:rPr>
          <w:rFonts w:ascii="Verdana" w:hAnsi="Verdana"/>
        </w:rPr>
        <w:t xml:space="preserve"> por concepto de indemnizaci</w:t>
      </w:r>
      <w:r w:rsidR="0042644B">
        <w:rPr>
          <w:rFonts w:ascii="Verdana" w:hAnsi="Verdana"/>
        </w:rPr>
        <w:t>ó</w:t>
      </w:r>
      <w:r w:rsidR="008A3B8A" w:rsidRPr="00871313">
        <w:rPr>
          <w:rFonts w:ascii="Verdana" w:hAnsi="Verdana"/>
        </w:rPr>
        <w:t>n por daño material e inmaterial y reintegro de costas y gastos</w:t>
      </w:r>
      <w:r w:rsidR="00871313" w:rsidRPr="00871313">
        <w:rPr>
          <w:rFonts w:ascii="Verdana" w:hAnsi="Verdana"/>
        </w:rPr>
        <w:t xml:space="preserve">. </w:t>
      </w:r>
    </w:p>
    <w:p w14:paraId="2D4EFABB" w14:textId="06283EE4" w:rsidR="00CF419C" w:rsidRPr="005D179C" w:rsidRDefault="00CF419C" w:rsidP="008A3B8A">
      <w:pPr>
        <w:widowControl/>
        <w:numPr>
          <w:ilvl w:val="0"/>
          <w:numId w:val="2"/>
        </w:numPr>
        <w:spacing w:before="120" w:after="120"/>
        <w:ind w:left="0" w:right="9" w:hanging="11"/>
        <w:jc w:val="both"/>
        <w:rPr>
          <w:rFonts w:ascii="Verdana" w:hAnsi="Verdana"/>
        </w:rPr>
      </w:pPr>
      <w:r w:rsidRPr="005D179C">
        <w:rPr>
          <w:rFonts w:ascii="Verdana" w:eastAsiaTheme="minorHAnsi" w:hAnsi="Verdana" w:cs="Arial"/>
          <w:lang w:val="es-CR" w:eastAsia="en-US"/>
        </w:rPr>
        <w:t xml:space="preserve">Por lo anterior, la Corte </w:t>
      </w:r>
      <w:r w:rsidR="007E1E5D">
        <w:rPr>
          <w:rFonts w:ascii="Verdana" w:eastAsiaTheme="minorHAnsi" w:hAnsi="Verdana" w:cs="Arial"/>
          <w:lang w:val="es-CR" w:eastAsia="en-US"/>
        </w:rPr>
        <w:t xml:space="preserve">considera </w:t>
      </w:r>
      <w:r w:rsidRPr="005D179C">
        <w:rPr>
          <w:rFonts w:ascii="Verdana" w:eastAsiaTheme="minorHAnsi" w:hAnsi="Verdana" w:cs="Arial"/>
          <w:lang w:val="es-CR" w:eastAsia="en-US"/>
        </w:rPr>
        <w:t>que el Estad</w:t>
      </w:r>
      <w:r w:rsidR="004F5630" w:rsidRPr="005D179C">
        <w:rPr>
          <w:rFonts w:ascii="Verdana" w:eastAsiaTheme="minorHAnsi" w:hAnsi="Verdana" w:cs="Arial"/>
          <w:lang w:val="es-CR" w:eastAsia="en-US"/>
        </w:rPr>
        <w:t>o ha dado cumplimiento total a l</w:t>
      </w:r>
      <w:r w:rsidRPr="005D179C">
        <w:rPr>
          <w:rFonts w:ascii="Verdana" w:eastAsiaTheme="minorHAnsi" w:hAnsi="Verdana" w:cs="Arial"/>
          <w:lang w:val="es-CR" w:eastAsia="en-US"/>
        </w:rPr>
        <w:t>a</w:t>
      </w:r>
      <w:r w:rsidR="007E1E5D">
        <w:rPr>
          <w:rFonts w:ascii="Verdana" w:eastAsiaTheme="minorHAnsi" w:hAnsi="Verdana" w:cs="Arial"/>
          <w:lang w:val="es-CR" w:eastAsia="en-US"/>
        </w:rPr>
        <w:t>s</w:t>
      </w:r>
      <w:r w:rsidR="004F5630" w:rsidRPr="005D179C">
        <w:rPr>
          <w:rFonts w:ascii="Verdana" w:eastAsiaTheme="minorHAnsi" w:hAnsi="Verdana" w:cs="Arial"/>
          <w:lang w:val="es-CR" w:eastAsia="en-US"/>
        </w:rPr>
        <w:t xml:space="preserve"> medida</w:t>
      </w:r>
      <w:r w:rsidR="007E1E5D">
        <w:rPr>
          <w:rFonts w:ascii="Verdana" w:eastAsiaTheme="minorHAnsi" w:hAnsi="Verdana" w:cs="Arial"/>
          <w:lang w:val="es-CR" w:eastAsia="en-US"/>
        </w:rPr>
        <w:t>s</w:t>
      </w:r>
      <w:r w:rsidRPr="005D179C">
        <w:rPr>
          <w:rFonts w:ascii="Verdana" w:eastAsiaTheme="minorHAnsi" w:hAnsi="Verdana" w:cs="Arial"/>
          <w:lang w:val="es-CR" w:eastAsia="en-US"/>
        </w:rPr>
        <w:t xml:space="preserve"> de reparación relativa</w:t>
      </w:r>
      <w:r w:rsidR="007E1E5D">
        <w:rPr>
          <w:rFonts w:ascii="Verdana" w:eastAsiaTheme="minorHAnsi" w:hAnsi="Verdana" w:cs="Arial"/>
          <w:lang w:val="es-CR" w:eastAsia="en-US"/>
        </w:rPr>
        <w:t>s</w:t>
      </w:r>
      <w:r w:rsidRPr="005D179C">
        <w:rPr>
          <w:rFonts w:ascii="Verdana" w:eastAsiaTheme="minorHAnsi" w:hAnsi="Verdana" w:cs="Arial"/>
          <w:lang w:val="es-CR" w:eastAsia="en-US"/>
        </w:rPr>
        <w:t xml:space="preserve"> al pago </w:t>
      </w:r>
      <w:r w:rsidR="004F5630" w:rsidRPr="005D179C">
        <w:rPr>
          <w:rFonts w:ascii="Verdana" w:eastAsiaTheme="minorHAnsi" w:hAnsi="Verdana" w:cs="Arial"/>
          <w:lang w:val="es-CR" w:eastAsia="en-US"/>
        </w:rPr>
        <w:t>de la</w:t>
      </w:r>
      <w:r w:rsidR="00FA079E" w:rsidRPr="005D179C">
        <w:rPr>
          <w:rFonts w:ascii="Verdana" w:eastAsia="Arial Unicode MS" w:hAnsi="Verdana" w:cs="Arial Unicode MS"/>
        </w:rPr>
        <w:t xml:space="preserve"> indemnizaci</w:t>
      </w:r>
      <w:r w:rsidR="007E1E5D">
        <w:rPr>
          <w:rFonts w:ascii="Verdana" w:eastAsia="Arial Unicode MS" w:hAnsi="Verdana" w:cs="Arial Unicode MS"/>
        </w:rPr>
        <w:t>ó</w:t>
      </w:r>
      <w:r w:rsidR="00FA079E" w:rsidRPr="005D179C">
        <w:rPr>
          <w:rFonts w:ascii="Verdana" w:eastAsia="Arial Unicode MS" w:hAnsi="Verdana" w:cs="Arial Unicode MS"/>
        </w:rPr>
        <w:t xml:space="preserve">n por daño material e inmaterial, y </w:t>
      </w:r>
      <w:r w:rsidR="007E1E5D">
        <w:rPr>
          <w:rFonts w:ascii="Verdana" w:eastAsia="Arial Unicode MS" w:hAnsi="Verdana" w:cs="Arial Unicode MS"/>
        </w:rPr>
        <w:t xml:space="preserve">el </w:t>
      </w:r>
      <w:r w:rsidR="00FA079E" w:rsidRPr="005D179C">
        <w:rPr>
          <w:rFonts w:ascii="Verdana" w:eastAsia="Arial Unicode MS" w:hAnsi="Verdana" w:cs="Arial Unicode MS"/>
        </w:rPr>
        <w:t xml:space="preserve">reintegro de costas y gastos, ordenadas en el punto dispositivo </w:t>
      </w:r>
      <w:r w:rsidR="004F5630" w:rsidRPr="005D179C">
        <w:rPr>
          <w:rFonts w:ascii="Verdana" w:eastAsia="Arial Unicode MS" w:hAnsi="Verdana" w:cs="Arial Unicode MS"/>
        </w:rPr>
        <w:t>quinto</w:t>
      </w:r>
      <w:r w:rsidR="00FA079E" w:rsidRPr="005D179C">
        <w:rPr>
          <w:rFonts w:ascii="Verdana" w:eastAsia="Arial Unicode MS" w:hAnsi="Verdana" w:cs="Arial Unicode MS"/>
        </w:rPr>
        <w:t xml:space="preserve"> de la Sentencia.</w:t>
      </w:r>
    </w:p>
    <w:p w14:paraId="49F5ABA1" w14:textId="77777777" w:rsidR="00EF6571" w:rsidRDefault="00EF6571" w:rsidP="00F40D4F">
      <w:pPr>
        <w:widowControl/>
        <w:autoSpaceDE w:val="0"/>
        <w:autoSpaceDN w:val="0"/>
        <w:adjustRightInd w:val="0"/>
        <w:spacing w:before="120" w:after="120"/>
        <w:rPr>
          <w:rFonts w:ascii="Verdana" w:hAnsi="Verdana"/>
        </w:rPr>
      </w:pPr>
    </w:p>
    <w:p w14:paraId="7A28644C" w14:textId="70E29734" w:rsidR="007F0C22" w:rsidRPr="007F0C22" w:rsidRDefault="007F0C22" w:rsidP="003730E7">
      <w:pPr>
        <w:widowControl/>
        <w:autoSpaceDE w:val="0"/>
        <w:autoSpaceDN w:val="0"/>
        <w:adjustRightInd w:val="0"/>
        <w:spacing w:before="120" w:after="120"/>
        <w:jc w:val="both"/>
        <w:rPr>
          <w:rFonts w:ascii="Verdana" w:hAnsi="Verdana"/>
          <w:b/>
        </w:rPr>
      </w:pPr>
      <w:r w:rsidRPr="007F0C22">
        <w:rPr>
          <w:rFonts w:ascii="Verdana" w:hAnsi="Verdana"/>
          <w:b/>
        </w:rPr>
        <w:t xml:space="preserve">POR TANTO: </w:t>
      </w:r>
    </w:p>
    <w:p w14:paraId="7A9CB3EA" w14:textId="77777777" w:rsidR="007F0C22" w:rsidRDefault="007F0C22" w:rsidP="003730E7">
      <w:pPr>
        <w:widowControl/>
        <w:autoSpaceDE w:val="0"/>
        <w:autoSpaceDN w:val="0"/>
        <w:adjustRightInd w:val="0"/>
        <w:spacing w:before="120" w:after="120"/>
        <w:jc w:val="both"/>
        <w:rPr>
          <w:rFonts w:ascii="Verdana" w:hAnsi="Verdana"/>
        </w:rPr>
      </w:pPr>
      <w:r w:rsidRPr="007F0C22">
        <w:rPr>
          <w:rFonts w:ascii="Verdana" w:hAnsi="Verdana"/>
          <w:b/>
        </w:rPr>
        <w:t>LA CORTE INTERAMERICANA DE DERECHOS HUMANOS,</w:t>
      </w:r>
      <w:r w:rsidRPr="007F0C22">
        <w:rPr>
          <w:rFonts w:ascii="Verdana" w:hAnsi="Verdana"/>
        </w:rPr>
        <w:t xml:space="preserve"> </w:t>
      </w:r>
    </w:p>
    <w:p w14:paraId="68AEFF08" w14:textId="77777777" w:rsidR="007F0C22" w:rsidRDefault="007F0C22" w:rsidP="003730E7">
      <w:pPr>
        <w:widowControl/>
        <w:autoSpaceDE w:val="0"/>
        <w:autoSpaceDN w:val="0"/>
        <w:adjustRightInd w:val="0"/>
        <w:spacing w:before="120" w:after="120"/>
        <w:jc w:val="both"/>
        <w:rPr>
          <w:rFonts w:ascii="Verdana" w:hAnsi="Verdana"/>
        </w:rPr>
      </w:pPr>
      <w:r w:rsidRPr="007F0C22">
        <w:rPr>
          <w:rFonts w:ascii="Verdana" w:hAnsi="Verdana"/>
        </w:rPr>
        <w:t>en el ejercicio de sus atribuciones de supervisión del cumplimiento de sus decisiones, de conformidad con los artículos 33, 62.1, 62.3, y 68.1 de la Convención Americana sobre Derechos Humanos, 24 y 30 del Estatuto, y 31.2 y 69 de su Reglamento,</w:t>
      </w:r>
    </w:p>
    <w:p w14:paraId="6604A5D9" w14:textId="77777777" w:rsidR="002A70AD" w:rsidRDefault="002A70AD" w:rsidP="003730E7">
      <w:pPr>
        <w:widowControl/>
        <w:autoSpaceDE w:val="0"/>
        <w:autoSpaceDN w:val="0"/>
        <w:adjustRightInd w:val="0"/>
        <w:spacing w:before="120" w:after="120"/>
        <w:jc w:val="both"/>
        <w:rPr>
          <w:rFonts w:ascii="Verdana" w:hAnsi="Verdana"/>
        </w:rPr>
      </w:pPr>
    </w:p>
    <w:p w14:paraId="21389292" w14:textId="77777777" w:rsidR="000B3D22" w:rsidRDefault="000B3D22" w:rsidP="003730E7">
      <w:pPr>
        <w:widowControl/>
        <w:autoSpaceDE w:val="0"/>
        <w:autoSpaceDN w:val="0"/>
        <w:adjustRightInd w:val="0"/>
        <w:spacing w:before="120" w:after="120"/>
        <w:jc w:val="both"/>
        <w:rPr>
          <w:rFonts w:ascii="Verdana" w:hAnsi="Verdana"/>
        </w:rPr>
      </w:pPr>
    </w:p>
    <w:p w14:paraId="2E1051E2" w14:textId="77777777" w:rsidR="007F0C22" w:rsidRDefault="007F0C22" w:rsidP="003730E7">
      <w:pPr>
        <w:widowControl/>
        <w:autoSpaceDE w:val="0"/>
        <w:autoSpaceDN w:val="0"/>
        <w:adjustRightInd w:val="0"/>
        <w:spacing w:before="120" w:after="120"/>
        <w:jc w:val="both"/>
        <w:rPr>
          <w:rFonts w:ascii="Verdana" w:hAnsi="Verdana"/>
          <w:b/>
        </w:rPr>
      </w:pPr>
      <w:r>
        <w:rPr>
          <w:rFonts w:ascii="Verdana" w:hAnsi="Verdana"/>
          <w:b/>
        </w:rPr>
        <w:t>RESUELVE:</w:t>
      </w:r>
    </w:p>
    <w:p w14:paraId="43220A6B" w14:textId="1C6D059F" w:rsidR="001C5228" w:rsidRPr="001C5228" w:rsidRDefault="007662C5" w:rsidP="00197ABC">
      <w:pPr>
        <w:pStyle w:val="ListParagraph"/>
        <w:widowControl/>
        <w:numPr>
          <w:ilvl w:val="0"/>
          <w:numId w:val="9"/>
        </w:numPr>
        <w:autoSpaceDE w:val="0"/>
        <w:autoSpaceDN w:val="0"/>
        <w:adjustRightInd w:val="0"/>
        <w:spacing w:before="120" w:after="120"/>
        <w:ind w:left="0" w:firstLine="0"/>
        <w:contextualSpacing w:val="0"/>
        <w:jc w:val="both"/>
        <w:rPr>
          <w:rFonts w:ascii="Verdana" w:hAnsi="Verdana"/>
        </w:rPr>
      </w:pPr>
      <w:r w:rsidRPr="001C5228">
        <w:rPr>
          <w:rFonts w:ascii="Verdana" w:hAnsi="Verdana"/>
        </w:rPr>
        <w:t xml:space="preserve">Declarar, de conformidad con lo señalado en </w:t>
      </w:r>
      <w:r w:rsidR="006701AC">
        <w:rPr>
          <w:rFonts w:ascii="Verdana" w:hAnsi="Verdana"/>
        </w:rPr>
        <w:t>los Considerandos 7 a 9</w:t>
      </w:r>
      <w:r w:rsidRPr="001C5228">
        <w:rPr>
          <w:rFonts w:ascii="Verdana" w:hAnsi="Verdana"/>
        </w:rPr>
        <w:t xml:space="preserve"> de la presente Resolución, que </w:t>
      </w:r>
      <w:r w:rsidR="001C5228" w:rsidRPr="006701AC">
        <w:rPr>
          <w:rFonts w:ascii="Verdana" w:hAnsi="Verdana"/>
        </w:rPr>
        <w:t>el presente proceso de supervisión de cumplimiento se</w:t>
      </w:r>
      <w:r w:rsidR="006701AC" w:rsidRPr="006701AC">
        <w:rPr>
          <w:rFonts w:ascii="Verdana" w:hAnsi="Verdana"/>
        </w:rPr>
        <w:t xml:space="preserve"> considera cerrado respecto del </w:t>
      </w:r>
      <w:r w:rsidR="001C5228" w:rsidRPr="006701AC">
        <w:rPr>
          <w:rFonts w:ascii="Verdana" w:hAnsi="Verdana"/>
        </w:rPr>
        <w:t>cumplimiento de</w:t>
      </w:r>
      <w:r w:rsidR="001C5228" w:rsidRPr="001C5228">
        <w:rPr>
          <w:rFonts w:ascii="Verdana" w:hAnsi="Verdana"/>
        </w:rPr>
        <w:t xml:space="preserve"> las </w:t>
      </w:r>
      <w:r w:rsidR="00614E63">
        <w:rPr>
          <w:rFonts w:ascii="Verdana" w:hAnsi="Verdana"/>
        </w:rPr>
        <w:t xml:space="preserve">siguientes </w:t>
      </w:r>
      <w:r w:rsidR="001C5228" w:rsidRPr="001C5228">
        <w:rPr>
          <w:rFonts w:ascii="Verdana" w:hAnsi="Verdana"/>
        </w:rPr>
        <w:t>reparaciones:</w:t>
      </w:r>
    </w:p>
    <w:p w14:paraId="0BF67102" w14:textId="6F47457A" w:rsidR="001C5228" w:rsidRPr="0042644B" w:rsidRDefault="00306AA8" w:rsidP="001C5228">
      <w:pPr>
        <w:pStyle w:val="ListParagraph"/>
        <w:widowControl/>
        <w:numPr>
          <w:ilvl w:val="0"/>
          <w:numId w:val="11"/>
        </w:numPr>
        <w:autoSpaceDE w:val="0"/>
        <w:autoSpaceDN w:val="0"/>
        <w:adjustRightInd w:val="0"/>
        <w:spacing w:before="120" w:after="120"/>
        <w:contextualSpacing w:val="0"/>
        <w:jc w:val="both"/>
        <w:rPr>
          <w:rFonts w:ascii="Verdana" w:hAnsi="Verdana"/>
        </w:rPr>
      </w:pPr>
      <w:r w:rsidRPr="0042644B">
        <w:rPr>
          <w:rFonts w:ascii="Verdana" w:hAnsi="Verdana"/>
        </w:rPr>
        <w:t>a</w:t>
      </w:r>
      <w:r w:rsidR="001C5228" w:rsidRPr="0042644B">
        <w:rPr>
          <w:rFonts w:ascii="Verdana" w:hAnsi="Verdana"/>
        </w:rPr>
        <w:t>doptar las medidas necesarias para garantizar al señor Oscar Alberto Mohamed el derecho a recurrir del fallo condenatorio emitido por la Sala Primera de la Cámara Nacional de Apelaciones en lo Criminal y Correccional el 2 de febrero de 1995 (</w:t>
      </w:r>
      <w:r w:rsidR="001C5228" w:rsidRPr="0042644B">
        <w:rPr>
          <w:rFonts w:ascii="Verdana" w:hAnsi="Verdana"/>
          <w:i/>
        </w:rPr>
        <w:t>punto dispositivo segundo</w:t>
      </w:r>
      <w:r w:rsidR="001C5228" w:rsidRPr="0042644B">
        <w:rPr>
          <w:rFonts w:ascii="Verdana" w:hAnsi="Verdana"/>
        </w:rPr>
        <w:t>), y</w:t>
      </w:r>
    </w:p>
    <w:p w14:paraId="085A0DCE" w14:textId="77777777" w:rsidR="001C5228" w:rsidRDefault="001C5228" w:rsidP="001C5228">
      <w:pPr>
        <w:pStyle w:val="ListParagraph"/>
        <w:widowControl/>
        <w:numPr>
          <w:ilvl w:val="0"/>
          <w:numId w:val="11"/>
        </w:numPr>
        <w:autoSpaceDE w:val="0"/>
        <w:autoSpaceDN w:val="0"/>
        <w:adjustRightInd w:val="0"/>
        <w:spacing w:before="120" w:after="120"/>
        <w:contextualSpacing w:val="0"/>
        <w:jc w:val="both"/>
        <w:rPr>
          <w:rFonts w:ascii="Verdana" w:hAnsi="Verdana"/>
        </w:rPr>
      </w:pPr>
      <w:r w:rsidRPr="0042644B">
        <w:rPr>
          <w:rFonts w:ascii="Verdana" w:hAnsi="Verdana"/>
        </w:rPr>
        <w:t xml:space="preserve">adoptar las medidas necesarias para que los efectos jurídicos de la sentencia condenatoria emitida por la Sala Primera de la Cámara Nacional de Apelaciones en lo Criminal y Correccional el 22 de febrero de 1995, y en especial su registro de antecedentes, queden en suspenso hasta que se emita una decisión de fondo garantizando el derecho del señor Oscar Alberto Mohamed a recurrir el fallo condenatorio </w:t>
      </w:r>
      <w:r w:rsidRPr="0042644B">
        <w:rPr>
          <w:rFonts w:ascii="Verdana" w:hAnsi="Verdana"/>
          <w:i/>
        </w:rPr>
        <w:t>(punto dispositivo tercero)</w:t>
      </w:r>
      <w:r w:rsidRPr="0042644B">
        <w:rPr>
          <w:rFonts w:ascii="Verdana" w:hAnsi="Verdana"/>
        </w:rPr>
        <w:t>.</w:t>
      </w:r>
    </w:p>
    <w:p w14:paraId="140B48B6" w14:textId="77777777" w:rsidR="000B3D22" w:rsidRDefault="000B3D22" w:rsidP="000B3D22">
      <w:pPr>
        <w:pStyle w:val="ListParagraph"/>
        <w:widowControl/>
        <w:autoSpaceDE w:val="0"/>
        <w:autoSpaceDN w:val="0"/>
        <w:adjustRightInd w:val="0"/>
        <w:spacing w:before="120" w:after="120"/>
        <w:contextualSpacing w:val="0"/>
        <w:jc w:val="both"/>
        <w:rPr>
          <w:rFonts w:ascii="Verdana" w:hAnsi="Verdana"/>
        </w:rPr>
      </w:pPr>
    </w:p>
    <w:p w14:paraId="0FF12BA3" w14:textId="77777777" w:rsidR="000B3D22" w:rsidRDefault="000B3D22" w:rsidP="000B3D22">
      <w:pPr>
        <w:pStyle w:val="ListParagraph"/>
        <w:widowControl/>
        <w:autoSpaceDE w:val="0"/>
        <w:autoSpaceDN w:val="0"/>
        <w:adjustRightInd w:val="0"/>
        <w:spacing w:before="120" w:after="120"/>
        <w:contextualSpacing w:val="0"/>
        <w:jc w:val="both"/>
        <w:rPr>
          <w:rFonts w:ascii="Verdana" w:hAnsi="Verdana"/>
        </w:rPr>
      </w:pPr>
    </w:p>
    <w:p w14:paraId="3223C490" w14:textId="77777777" w:rsidR="000B3D22" w:rsidRPr="0042644B" w:rsidRDefault="000B3D22" w:rsidP="000B3D22">
      <w:pPr>
        <w:pStyle w:val="ListParagraph"/>
        <w:widowControl/>
        <w:autoSpaceDE w:val="0"/>
        <w:autoSpaceDN w:val="0"/>
        <w:adjustRightInd w:val="0"/>
        <w:spacing w:before="120" w:after="120"/>
        <w:contextualSpacing w:val="0"/>
        <w:jc w:val="both"/>
        <w:rPr>
          <w:rFonts w:ascii="Verdana" w:hAnsi="Verdana"/>
        </w:rPr>
      </w:pPr>
    </w:p>
    <w:p w14:paraId="01D05488" w14:textId="27E42855" w:rsidR="00611852" w:rsidRPr="001C5228" w:rsidRDefault="00197ABC" w:rsidP="00197ABC">
      <w:pPr>
        <w:pStyle w:val="ListParagraph"/>
        <w:widowControl/>
        <w:numPr>
          <w:ilvl w:val="0"/>
          <w:numId w:val="9"/>
        </w:numPr>
        <w:autoSpaceDE w:val="0"/>
        <w:autoSpaceDN w:val="0"/>
        <w:adjustRightInd w:val="0"/>
        <w:spacing w:before="120" w:after="120"/>
        <w:ind w:left="0" w:firstLine="0"/>
        <w:contextualSpacing w:val="0"/>
        <w:jc w:val="both"/>
        <w:rPr>
          <w:rFonts w:ascii="Verdana" w:hAnsi="Verdana"/>
        </w:rPr>
      </w:pPr>
      <w:r w:rsidRPr="001C5228">
        <w:rPr>
          <w:rFonts w:ascii="Verdana" w:hAnsi="Verdana"/>
        </w:rPr>
        <w:lastRenderedPageBreak/>
        <w:t>Declara</w:t>
      </w:r>
      <w:r w:rsidR="00614E63">
        <w:rPr>
          <w:rFonts w:ascii="Verdana" w:hAnsi="Verdana"/>
        </w:rPr>
        <w:t>r</w:t>
      </w:r>
      <w:r w:rsidRPr="001C5228">
        <w:rPr>
          <w:rFonts w:ascii="Verdana" w:hAnsi="Verdana"/>
        </w:rPr>
        <w:t xml:space="preserve">, de conformidad con lo señalado en los Considerandos </w:t>
      </w:r>
      <w:r w:rsidR="0042644B">
        <w:rPr>
          <w:rFonts w:ascii="Verdana" w:hAnsi="Verdana"/>
        </w:rPr>
        <w:t xml:space="preserve">11 a </w:t>
      </w:r>
      <w:r w:rsidR="00DB6B9F">
        <w:rPr>
          <w:rFonts w:ascii="Verdana" w:hAnsi="Verdana"/>
        </w:rPr>
        <w:t>14</w:t>
      </w:r>
      <w:r w:rsidR="0042644B">
        <w:rPr>
          <w:rFonts w:ascii="Verdana" w:hAnsi="Verdana"/>
        </w:rPr>
        <w:t>, 16</w:t>
      </w:r>
      <w:r w:rsidR="00DB6B9F" w:rsidRPr="001C5228">
        <w:rPr>
          <w:rFonts w:ascii="Verdana" w:hAnsi="Verdana"/>
        </w:rPr>
        <w:t xml:space="preserve"> </w:t>
      </w:r>
      <w:r w:rsidRPr="001C5228">
        <w:rPr>
          <w:rFonts w:ascii="Verdana" w:hAnsi="Verdana"/>
        </w:rPr>
        <w:t xml:space="preserve">y </w:t>
      </w:r>
      <w:r w:rsidR="00DB6B9F">
        <w:rPr>
          <w:rFonts w:ascii="Verdana" w:hAnsi="Verdana"/>
        </w:rPr>
        <w:t>17</w:t>
      </w:r>
      <w:r w:rsidR="00DB6B9F" w:rsidRPr="001C5228">
        <w:rPr>
          <w:rFonts w:ascii="Verdana" w:hAnsi="Verdana"/>
        </w:rPr>
        <w:t xml:space="preserve"> </w:t>
      </w:r>
      <w:r w:rsidRPr="001C5228">
        <w:rPr>
          <w:rFonts w:ascii="Verdana" w:hAnsi="Verdana"/>
        </w:rPr>
        <w:t xml:space="preserve">de la presente Resolución, que el Estado </w:t>
      </w:r>
      <w:r w:rsidR="007662C5" w:rsidRPr="001C5228">
        <w:rPr>
          <w:rFonts w:ascii="Verdana" w:hAnsi="Verdana"/>
        </w:rPr>
        <w:t xml:space="preserve">ha dado cumplimiento total a </w:t>
      </w:r>
      <w:r w:rsidR="00614E63">
        <w:rPr>
          <w:rFonts w:ascii="Verdana" w:hAnsi="Verdana"/>
        </w:rPr>
        <w:t>las siguientes reparaciones</w:t>
      </w:r>
      <w:r w:rsidR="007662C5" w:rsidRPr="001C5228">
        <w:rPr>
          <w:rFonts w:ascii="Verdana" w:hAnsi="Verdana"/>
        </w:rPr>
        <w:t>:</w:t>
      </w:r>
    </w:p>
    <w:p w14:paraId="30479DD4" w14:textId="5FE59F3C" w:rsidR="007662C5" w:rsidRPr="000B3D22" w:rsidRDefault="007662C5" w:rsidP="000B3D22">
      <w:pPr>
        <w:pStyle w:val="ListParagraph"/>
        <w:widowControl/>
        <w:numPr>
          <w:ilvl w:val="0"/>
          <w:numId w:val="12"/>
        </w:numPr>
        <w:autoSpaceDE w:val="0"/>
        <w:autoSpaceDN w:val="0"/>
        <w:adjustRightInd w:val="0"/>
        <w:spacing w:before="120" w:after="120"/>
        <w:jc w:val="both"/>
        <w:rPr>
          <w:rFonts w:ascii="Verdana" w:hAnsi="Verdana"/>
        </w:rPr>
      </w:pPr>
      <w:r w:rsidRPr="000B3D22">
        <w:rPr>
          <w:rFonts w:ascii="Verdana" w:hAnsi="Verdana"/>
        </w:rPr>
        <w:t xml:space="preserve">realizar las publicaciones </w:t>
      </w:r>
      <w:r w:rsidR="0042644B" w:rsidRPr="000B3D22">
        <w:rPr>
          <w:rFonts w:ascii="Verdana" w:hAnsi="Verdana"/>
        </w:rPr>
        <w:t xml:space="preserve">de la Sentencia </w:t>
      </w:r>
      <w:r w:rsidR="006F5F1E" w:rsidRPr="000B3D22">
        <w:rPr>
          <w:rFonts w:ascii="Verdana" w:hAnsi="Verdana"/>
        </w:rPr>
        <w:t xml:space="preserve">dispuestas en el párrafo </w:t>
      </w:r>
      <w:r w:rsidR="001C5228" w:rsidRPr="000B3D22">
        <w:rPr>
          <w:rFonts w:ascii="Verdana" w:hAnsi="Verdana"/>
        </w:rPr>
        <w:t>155</w:t>
      </w:r>
      <w:r w:rsidR="006F5F1E" w:rsidRPr="000B3D22">
        <w:rPr>
          <w:rFonts w:ascii="Verdana" w:hAnsi="Verdana"/>
        </w:rPr>
        <w:t xml:space="preserve"> </w:t>
      </w:r>
      <w:r w:rsidR="0042644B" w:rsidRPr="000B3D22">
        <w:rPr>
          <w:rFonts w:ascii="Verdana" w:hAnsi="Verdana"/>
        </w:rPr>
        <w:t>de la misma</w:t>
      </w:r>
      <w:r w:rsidR="006F5F1E" w:rsidRPr="000B3D22">
        <w:rPr>
          <w:rFonts w:ascii="Verdana" w:hAnsi="Verdana"/>
        </w:rPr>
        <w:t xml:space="preserve"> </w:t>
      </w:r>
      <w:r w:rsidR="006F5F1E" w:rsidRPr="000B3D22">
        <w:rPr>
          <w:rFonts w:ascii="Verdana" w:hAnsi="Verdana"/>
          <w:i/>
        </w:rPr>
        <w:t xml:space="preserve">(punto dispositivo </w:t>
      </w:r>
      <w:r w:rsidR="001C5228" w:rsidRPr="000B3D22">
        <w:rPr>
          <w:rFonts w:ascii="Verdana" w:hAnsi="Verdana"/>
          <w:i/>
        </w:rPr>
        <w:t>cuarto</w:t>
      </w:r>
      <w:r w:rsidR="006F5F1E" w:rsidRPr="000B3D22">
        <w:rPr>
          <w:rFonts w:ascii="Verdana" w:hAnsi="Verdana"/>
          <w:i/>
        </w:rPr>
        <w:t>)</w:t>
      </w:r>
      <w:r w:rsidR="006F5F1E" w:rsidRPr="000B3D22">
        <w:rPr>
          <w:rFonts w:ascii="Verdana" w:hAnsi="Verdana"/>
        </w:rPr>
        <w:t>, y</w:t>
      </w:r>
    </w:p>
    <w:p w14:paraId="125B9EBE" w14:textId="77777777" w:rsidR="000B3D22" w:rsidRPr="000B3D22" w:rsidRDefault="000B3D22" w:rsidP="000B3D22">
      <w:pPr>
        <w:pStyle w:val="ListParagraph"/>
        <w:widowControl/>
        <w:autoSpaceDE w:val="0"/>
        <w:autoSpaceDN w:val="0"/>
        <w:adjustRightInd w:val="0"/>
        <w:spacing w:before="120" w:after="120"/>
        <w:ind w:left="1068"/>
        <w:jc w:val="both"/>
        <w:rPr>
          <w:rFonts w:ascii="Verdana" w:hAnsi="Verdana"/>
          <w:lang w:val="es-MX"/>
        </w:rPr>
      </w:pPr>
    </w:p>
    <w:p w14:paraId="467E9F3D" w14:textId="6A4BDB48" w:rsidR="007662C5" w:rsidRPr="0042644B" w:rsidRDefault="007662C5" w:rsidP="009A45D4">
      <w:pPr>
        <w:widowControl/>
        <w:autoSpaceDE w:val="0"/>
        <w:autoSpaceDN w:val="0"/>
        <w:adjustRightInd w:val="0"/>
        <w:spacing w:before="120" w:after="120"/>
        <w:ind w:left="708"/>
        <w:jc w:val="both"/>
        <w:rPr>
          <w:rFonts w:ascii="Verdana" w:hAnsi="Verdana"/>
        </w:rPr>
      </w:pPr>
      <w:r w:rsidRPr="0042644B">
        <w:rPr>
          <w:rFonts w:ascii="Verdana" w:hAnsi="Verdana"/>
          <w:lang w:val="es-MX"/>
        </w:rPr>
        <w:t xml:space="preserve">b) </w:t>
      </w:r>
      <w:r w:rsidRPr="0042644B">
        <w:rPr>
          <w:rFonts w:ascii="Verdana" w:hAnsi="Verdana"/>
        </w:rPr>
        <w:t>pagar</w:t>
      </w:r>
      <w:r w:rsidR="001C5228" w:rsidRPr="0042644B">
        <w:rPr>
          <w:rFonts w:ascii="Verdana" w:hAnsi="Verdana"/>
        </w:rPr>
        <w:t xml:space="preserve"> al señor Oscar Alberto Mohamed</w:t>
      </w:r>
      <w:r w:rsidRPr="0042644B">
        <w:rPr>
          <w:rFonts w:ascii="Verdana" w:hAnsi="Verdana"/>
        </w:rPr>
        <w:t xml:space="preserve"> las cantidades fijadas en los párrafos 1</w:t>
      </w:r>
      <w:r w:rsidR="001C5228" w:rsidRPr="0042644B">
        <w:rPr>
          <w:rFonts w:ascii="Verdana" w:hAnsi="Verdana"/>
        </w:rPr>
        <w:t xml:space="preserve">71 </w:t>
      </w:r>
      <w:r w:rsidRPr="0042644B">
        <w:rPr>
          <w:rFonts w:ascii="Verdana" w:hAnsi="Verdana"/>
        </w:rPr>
        <w:t xml:space="preserve">y </w:t>
      </w:r>
      <w:r w:rsidR="001C5228" w:rsidRPr="0042644B">
        <w:rPr>
          <w:rFonts w:ascii="Verdana" w:hAnsi="Verdana"/>
        </w:rPr>
        <w:t>177</w:t>
      </w:r>
      <w:r w:rsidRPr="0042644B">
        <w:rPr>
          <w:rFonts w:ascii="Verdana" w:hAnsi="Verdana"/>
        </w:rPr>
        <w:t xml:space="preserve"> de la Sentencia por concepto de indemnizaciones por daño material e inmateria</w:t>
      </w:r>
      <w:r w:rsidR="006F5F1E" w:rsidRPr="0042644B">
        <w:rPr>
          <w:rFonts w:ascii="Verdana" w:hAnsi="Verdana"/>
        </w:rPr>
        <w:t>l</w:t>
      </w:r>
      <w:r w:rsidR="001C5228" w:rsidRPr="0042644B">
        <w:rPr>
          <w:rFonts w:ascii="Verdana" w:hAnsi="Verdana"/>
        </w:rPr>
        <w:t xml:space="preserve">, </w:t>
      </w:r>
      <w:r w:rsidR="00DB6B9F" w:rsidRPr="0042644B">
        <w:rPr>
          <w:rFonts w:ascii="Verdana" w:hAnsi="Verdana"/>
        </w:rPr>
        <w:t xml:space="preserve">y </w:t>
      </w:r>
      <w:r w:rsidR="001C5228" w:rsidRPr="0042644B">
        <w:rPr>
          <w:rFonts w:ascii="Verdana" w:hAnsi="Verdana"/>
        </w:rPr>
        <w:t xml:space="preserve">reintegro de costas y gastos </w:t>
      </w:r>
      <w:r w:rsidR="006F5F1E" w:rsidRPr="0042644B">
        <w:rPr>
          <w:rFonts w:ascii="Verdana" w:hAnsi="Verdana"/>
          <w:i/>
        </w:rPr>
        <w:t xml:space="preserve">(punto dispositivo </w:t>
      </w:r>
      <w:r w:rsidR="001C5228" w:rsidRPr="0042644B">
        <w:rPr>
          <w:rFonts w:ascii="Verdana" w:hAnsi="Verdana"/>
          <w:i/>
        </w:rPr>
        <w:t>quinto</w:t>
      </w:r>
      <w:r w:rsidR="006F5F1E" w:rsidRPr="0042644B">
        <w:rPr>
          <w:rFonts w:ascii="Verdana" w:hAnsi="Verdana"/>
          <w:i/>
        </w:rPr>
        <w:t>)</w:t>
      </w:r>
      <w:r w:rsidR="006F5F1E" w:rsidRPr="0042644B">
        <w:rPr>
          <w:rFonts w:ascii="Verdana" w:hAnsi="Verdana"/>
        </w:rPr>
        <w:t xml:space="preserve">. </w:t>
      </w:r>
    </w:p>
    <w:p w14:paraId="2B2DF823" w14:textId="77777777" w:rsidR="00303B1B" w:rsidRPr="00432361" w:rsidRDefault="00303B1B" w:rsidP="00303B1B">
      <w:pPr>
        <w:widowControl/>
        <w:autoSpaceDE w:val="0"/>
        <w:autoSpaceDN w:val="0"/>
        <w:adjustRightInd w:val="0"/>
        <w:spacing w:before="120" w:after="120"/>
        <w:jc w:val="both"/>
        <w:rPr>
          <w:rFonts w:ascii="Verdana" w:hAnsi="Verdana"/>
          <w:sz w:val="18"/>
        </w:rPr>
      </w:pPr>
    </w:p>
    <w:p w14:paraId="02AFD41C" w14:textId="54D96352" w:rsidR="009A45D4" w:rsidRDefault="00FD7BCB" w:rsidP="005D179C">
      <w:pPr>
        <w:pStyle w:val="ListParagraph"/>
        <w:widowControl/>
        <w:numPr>
          <w:ilvl w:val="0"/>
          <w:numId w:val="9"/>
        </w:numPr>
        <w:autoSpaceDE w:val="0"/>
        <w:autoSpaceDN w:val="0"/>
        <w:adjustRightInd w:val="0"/>
        <w:spacing w:before="120" w:after="120"/>
        <w:ind w:left="0" w:hanging="11"/>
        <w:contextualSpacing w:val="0"/>
        <w:jc w:val="both"/>
        <w:rPr>
          <w:rFonts w:ascii="Verdana" w:hAnsi="Verdana"/>
        </w:rPr>
      </w:pPr>
      <w:r w:rsidRPr="009A45D4">
        <w:rPr>
          <w:rFonts w:ascii="Verdana" w:hAnsi="Verdana"/>
        </w:rPr>
        <w:t xml:space="preserve">Dar por concluido el caso </w:t>
      </w:r>
      <w:r w:rsidR="005D179C">
        <w:rPr>
          <w:rFonts w:ascii="Verdana" w:hAnsi="Verdana"/>
        </w:rPr>
        <w:t>Mohamed</w:t>
      </w:r>
      <w:r w:rsidRPr="009A45D4">
        <w:rPr>
          <w:rFonts w:ascii="Verdana" w:hAnsi="Verdana"/>
        </w:rPr>
        <w:t xml:space="preserve">, dado que la República </w:t>
      </w:r>
      <w:r w:rsidR="005D179C">
        <w:rPr>
          <w:rFonts w:ascii="Verdana" w:hAnsi="Verdana"/>
        </w:rPr>
        <w:t>Argentina</w:t>
      </w:r>
      <w:r w:rsidRPr="009A45D4">
        <w:rPr>
          <w:rFonts w:ascii="Verdana" w:hAnsi="Verdana"/>
        </w:rPr>
        <w:t xml:space="preserve"> ha dado cumplimiento a lo dispuesto en la Sentencia emitida por la Corte el 2</w:t>
      </w:r>
      <w:r w:rsidR="005D179C">
        <w:rPr>
          <w:rFonts w:ascii="Verdana" w:hAnsi="Verdana"/>
        </w:rPr>
        <w:t>3</w:t>
      </w:r>
      <w:r w:rsidRPr="009A45D4">
        <w:rPr>
          <w:rFonts w:ascii="Verdana" w:hAnsi="Verdana"/>
        </w:rPr>
        <w:t xml:space="preserve"> de </w:t>
      </w:r>
      <w:r w:rsidR="005D179C">
        <w:rPr>
          <w:rFonts w:ascii="Verdana" w:hAnsi="Verdana"/>
        </w:rPr>
        <w:t xml:space="preserve">noviembre </w:t>
      </w:r>
      <w:r w:rsidRPr="009A45D4">
        <w:rPr>
          <w:rFonts w:ascii="Verdana" w:hAnsi="Verdana"/>
        </w:rPr>
        <w:t>de 201</w:t>
      </w:r>
      <w:r w:rsidR="005D179C">
        <w:rPr>
          <w:rFonts w:ascii="Verdana" w:hAnsi="Verdana"/>
        </w:rPr>
        <w:t>2</w:t>
      </w:r>
      <w:r w:rsidRPr="009A45D4">
        <w:rPr>
          <w:rFonts w:ascii="Verdana" w:hAnsi="Verdana"/>
        </w:rPr>
        <w:t>.</w:t>
      </w:r>
    </w:p>
    <w:p w14:paraId="2E68EDB2" w14:textId="77777777" w:rsidR="009A45D4" w:rsidRDefault="00FD7BCB" w:rsidP="009A45D4">
      <w:pPr>
        <w:pStyle w:val="ListParagraph"/>
        <w:widowControl/>
        <w:numPr>
          <w:ilvl w:val="0"/>
          <w:numId w:val="9"/>
        </w:numPr>
        <w:autoSpaceDE w:val="0"/>
        <w:autoSpaceDN w:val="0"/>
        <w:adjustRightInd w:val="0"/>
        <w:spacing w:before="120" w:after="120"/>
        <w:ind w:left="0" w:hanging="11"/>
        <w:contextualSpacing w:val="0"/>
        <w:jc w:val="both"/>
        <w:rPr>
          <w:rFonts w:ascii="Verdana" w:hAnsi="Verdana"/>
        </w:rPr>
      </w:pPr>
      <w:r w:rsidRPr="009A45D4">
        <w:rPr>
          <w:rFonts w:ascii="Verdana" w:hAnsi="Verdana"/>
        </w:rPr>
        <w:t>Comunicar esta Resolución a la Asamblea General de la Organización de los Estados Americanos por conducto del Informe Anual de la Corte Interamericana de Derechos Humanos del año 201</w:t>
      </w:r>
      <w:r w:rsidR="009A45D4" w:rsidRPr="009A45D4">
        <w:rPr>
          <w:rFonts w:ascii="Verdana" w:hAnsi="Verdana"/>
        </w:rPr>
        <w:t>5</w:t>
      </w:r>
      <w:r w:rsidRPr="009A45D4">
        <w:rPr>
          <w:rFonts w:ascii="Verdana" w:hAnsi="Verdana"/>
        </w:rPr>
        <w:t xml:space="preserve">. </w:t>
      </w:r>
    </w:p>
    <w:p w14:paraId="0A739000" w14:textId="50A9A97B" w:rsidR="009A45D4" w:rsidRDefault="004A6CD9" w:rsidP="009A45D4">
      <w:pPr>
        <w:pStyle w:val="ListParagraph"/>
        <w:widowControl/>
        <w:numPr>
          <w:ilvl w:val="0"/>
          <w:numId w:val="9"/>
        </w:numPr>
        <w:autoSpaceDE w:val="0"/>
        <w:autoSpaceDN w:val="0"/>
        <w:adjustRightInd w:val="0"/>
        <w:spacing w:before="120" w:after="120"/>
        <w:ind w:left="0" w:hanging="11"/>
        <w:contextualSpacing w:val="0"/>
        <w:jc w:val="both"/>
        <w:rPr>
          <w:rFonts w:ascii="Verdana" w:hAnsi="Verdana"/>
        </w:rPr>
      </w:pPr>
      <w:r w:rsidRPr="009A45D4">
        <w:rPr>
          <w:rFonts w:ascii="Verdana" w:hAnsi="Verdana"/>
        </w:rPr>
        <w:t>Disponer q</w:t>
      </w:r>
      <w:r w:rsidR="00FD7BCB" w:rsidRPr="009A45D4">
        <w:rPr>
          <w:rFonts w:ascii="Verdana" w:hAnsi="Verdana"/>
        </w:rPr>
        <w:t xml:space="preserve">ue la Secretaría de la Corte notifique la presente Resolución </w:t>
      </w:r>
      <w:r w:rsidR="009A45D4" w:rsidRPr="009A45D4">
        <w:rPr>
          <w:rFonts w:ascii="Verdana" w:hAnsi="Verdana"/>
        </w:rPr>
        <w:t>al Estado</w:t>
      </w:r>
      <w:r w:rsidR="00050171">
        <w:rPr>
          <w:rFonts w:ascii="Verdana" w:hAnsi="Verdana"/>
        </w:rPr>
        <w:t>, al representante de la víctima</w:t>
      </w:r>
      <w:r w:rsidR="00FD7BCB" w:rsidRPr="009A45D4">
        <w:rPr>
          <w:rFonts w:ascii="Verdana" w:hAnsi="Verdana"/>
        </w:rPr>
        <w:t xml:space="preserve"> y a la Comisión Interamericana de Derechos Humanos.</w:t>
      </w:r>
      <w:r w:rsidR="009A45D4" w:rsidRPr="009A45D4">
        <w:rPr>
          <w:rFonts w:ascii="Verdana" w:hAnsi="Verdana"/>
        </w:rPr>
        <w:t xml:space="preserve"> </w:t>
      </w:r>
    </w:p>
    <w:p w14:paraId="0E67FB50" w14:textId="77777777" w:rsidR="00FD7BCB" w:rsidRDefault="009A45D4" w:rsidP="009A45D4">
      <w:pPr>
        <w:pStyle w:val="ListParagraph"/>
        <w:widowControl/>
        <w:numPr>
          <w:ilvl w:val="0"/>
          <w:numId w:val="9"/>
        </w:numPr>
        <w:autoSpaceDE w:val="0"/>
        <w:autoSpaceDN w:val="0"/>
        <w:adjustRightInd w:val="0"/>
        <w:spacing w:before="120" w:after="120"/>
        <w:ind w:left="0" w:hanging="11"/>
        <w:contextualSpacing w:val="0"/>
        <w:jc w:val="both"/>
        <w:rPr>
          <w:rFonts w:ascii="Verdana" w:hAnsi="Verdana"/>
        </w:rPr>
      </w:pPr>
      <w:r w:rsidRPr="009A45D4">
        <w:rPr>
          <w:rFonts w:ascii="Verdana" w:hAnsi="Verdana"/>
        </w:rPr>
        <w:t>Archivar el expediente del presente caso.</w:t>
      </w:r>
    </w:p>
    <w:p w14:paraId="2E5B7DDF" w14:textId="77777777" w:rsidR="00330B68" w:rsidRDefault="00330B68" w:rsidP="00330B68">
      <w:pPr>
        <w:widowControl/>
        <w:autoSpaceDE w:val="0"/>
        <w:autoSpaceDN w:val="0"/>
        <w:adjustRightInd w:val="0"/>
        <w:spacing w:before="120" w:after="120"/>
        <w:jc w:val="both"/>
        <w:rPr>
          <w:rFonts w:ascii="Verdana" w:hAnsi="Verdana"/>
        </w:rPr>
      </w:pPr>
    </w:p>
    <w:p w14:paraId="4D75F7E3" w14:textId="77777777" w:rsidR="00330B68" w:rsidRDefault="00330B68" w:rsidP="00330B68">
      <w:pPr>
        <w:widowControl/>
        <w:autoSpaceDE w:val="0"/>
        <w:autoSpaceDN w:val="0"/>
        <w:adjustRightInd w:val="0"/>
        <w:spacing w:before="120" w:after="120"/>
        <w:jc w:val="both"/>
        <w:rPr>
          <w:rFonts w:ascii="Verdana" w:hAnsi="Verdana"/>
        </w:rPr>
      </w:pPr>
    </w:p>
    <w:p w14:paraId="41B3AC56" w14:textId="77777777" w:rsidR="00330B68" w:rsidRDefault="00330B68" w:rsidP="00330B68">
      <w:pPr>
        <w:widowControl/>
        <w:autoSpaceDE w:val="0"/>
        <w:autoSpaceDN w:val="0"/>
        <w:adjustRightInd w:val="0"/>
        <w:spacing w:before="120" w:after="120"/>
        <w:jc w:val="both"/>
        <w:rPr>
          <w:rFonts w:ascii="Verdana" w:hAnsi="Verdana"/>
        </w:rPr>
      </w:pPr>
    </w:p>
    <w:p w14:paraId="24E73629" w14:textId="77777777" w:rsidR="00330B68" w:rsidRDefault="00330B68" w:rsidP="00330B68">
      <w:pPr>
        <w:widowControl/>
        <w:autoSpaceDE w:val="0"/>
        <w:autoSpaceDN w:val="0"/>
        <w:adjustRightInd w:val="0"/>
        <w:spacing w:before="120" w:after="120"/>
        <w:jc w:val="both"/>
        <w:rPr>
          <w:rFonts w:ascii="Verdana" w:hAnsi="Verdana"/>
        </w:rPr>
      </w:pPr>
    </w:p>
    <w:p w14:paraId="55159158" w14:textId="77777777" w:rsidR="00330B68" w:rsidRDefault="00330B68" w:rsidP="00330B68">
      <w:pPr>
        <w:widowControl/>
        <w:autoSpaceDE w:val="0"/>
        <w:autoSpaceDN w:val="0"/>
        <w:adjustRightInd w:val="0"/>
        <w:spacing w:before="120" w:after="120"/>
        <w:jc w:val="both"/>
        <w:rPr>
          <w:rFonts w:ascii="Verdana" w:hAnsi="Verdana"/>
        </w:rPr>
      </w:pPr>
    </w:p>
    <w:p w14:paraId="3775BDA1" w14:textId="77777777" w:rsidR="00330B68" w:rsidRDefault="00330B68" w:rsidP="00330B68">
      <w:pPr>
        <w:widowControl/>
        <w:autoSpaceDE w:val="0"/>
        <w:autoSpaceDN w:val="0"/>
        <w:adjustRightInd w:val="0"/>
        <w:spacing w:before="120" w:after="120"/>
        <w:jc w:val="both"/>
        <w:rPr>
          <w:rFonts w:ascii="Verdana" w:hAnsi="Verdana"/>
        </w:rPr>
      </w:pPr>
    </w:p>
    <w:p w14:paraId="3AF8891A" w14:textId="77777777" w:rsidR="00330B68" w:rsidRDefault="00330B68" w:rsidP="00330B68">
      <w:pPr>
        <w:widowControl/>
        <w:autoSpaceDE w:val="0"/>
        <w:autoSpaceDN w:val="0"/>
        <w:adjustRightInd w:val="0"/>
        <w:spacing w:before="120" w:after="120"/>
        <w:jc w:val="both"/>
        <w:rPr>
          <w:rFonts w:ascii="Verdana" w:hAnsi="Verdana"/>
        </w:rPr>
      </w:pPr>
    </w:p>
    <w:p w14:paraId="6BB08C73" w14:textId="77777777" w:rsidR="00330B68" w:rsidRDefault="00330B68" w:rsidP="00330B68">
      <w:pPr>
        <w:widowControl/>
        <w:autoSpaceDE w:val="0"/>
        <w:autoSpaceDN w:val="0"/>
        <w:adjustRightInd w:val="0"/>
        <w:spacing w:before="120" w:after="120"/>
        <w:jc w:val="both"/>
        <w:rPr>
          <w:rFonts w:ascii="Verdana" w:hAnsi="Verdana"/>
        </w:rPr>
      </w:pPr>
    </w:p>
    <w:p w14:paraId="6F090818" w14:textId="77777777" w:rsidR="00330B68" w:rsidRDefault="00330B68" w:rsidP="00330B68">
      <w:pPr>
        <w:widowControl/>
        <w:autoSpaceDE w:val="0"/>
        <w:autoSpaceDN w:val="0"/>
        <w:adjustRightInd w:val="0"/>
        <w:spacing w:before="120" w:after="120"/>
        <w:jc w:val="both"/>
        <w:rPr>
          <w:rFonts w:ascii="Verdana" w:hAnsi="Verdana"/>
        </w:rPr>
      </w:pPr>
    </w:p>
    <w:p w14:paraId="48886559" w14:textId="77777777" w:rsidR="00330B68" w:rsidRDefault="00330B68" w:rsidP="00330B68">
      <w:pPr>
        <w:widowControl/>
        <w:autoSpaceDE w:val="0"/>
        <w:autoSpaceDN w:val="0"/>
        <w:adjustRightInd w:val="0"/>
        <w:spacing w:before="120" w:after="120"/>
        <w:jc w:val="both"/>
        <w:rPr>
          <w:rFonts w:ascii="Verdana" w:hAnsi="Verdana"/>
        </w:rPr>
      </w:pPr>
    </w:p>
    <w:p w14:paraId="33A4DF13" w14:textId="570EAA47" w:rsidR="00330B68" w:rsidRDefault="00330B68">
      <w:pPr>
        <w:widowControl/>
        <w:spacing w:after="200" w:line="276" w:lineRule="auto"/>
        <w:rPr>
          <w:rFonts w:ascii="Verdana" w:hAnsi="Verdana"/>
        </w:rPr>
      </w:pPr>
      <w:r>
        <w:rPr>
          <w:rFonts w:ascii="Verdana" w:hAnsi="Verdana"/>
        </w:rPr>
        <w:br w:type="page"/>
      </w:r>
    </w:p>
    <w:p w14:paraId="0F156970" w14:textId="77777777" w:rsidR="00330B68" w:rsidRDefault="00330B68" w:rsidP="00330B68">
      <w:pPr>
        <w:tabs>
          <w:tab w:val="left" w:pos="567"/>
        </w:tabs>
        <w:rPr>
          <w:rFonts w:ascii="Verdana" w:eastAsia="Times" w:hAnsi="Verdana"/>
          <w:lang w:val="es-ES"/>
        </w:rPr>
      </w:pPr>
    </w:p>
    <w:p w14:paraId="5282BA0F" w14:textId="77777777" w:rsidR="00330B68" w:rsidRDefault="00330B68" w:rsidP="00330B68">
      <w:pPr>
        <w:rPr>
          <w:rFonts w:ascii="Verdana" w:eastAsia="Times" w:hAnsi="Verdana"/>
          <w:lang w:val="es-ES"/>
        </w:rPr>
      </w:pPr>
      <w:bookmarkStart w:id="0" w:name="_GoBack"/>
      <w:bookmarkEnd w:id="0"/>
    </w:p>
    <w:p w14:paraId="3FCCE138" w14:textId="77777777" w:rsidR="00330B68" w:rsidRDefault="00330B68" w:rsidP="00330B68">
      <w:pPr>
        <w:rPr>
          <w:rFonts w:ascii="Verdana" w:eastAsia="Times" w:hAnsi="Verdana"/>
          <w:lang w:val="es-ES"/>
        </w:rPr>
      </w:pPr>
    </w:p>
    <w:p w14:paraId="31E8F0B2" w14:textId="77777777" w:rsidR="00330B68" w:rsidRDefault="00330B68" w:rsidP="00330B68">
      <w:pPr>
        <w:jc w:val="center"/>
        <w:rPr>
          <w:rFonts w:ascii="Verdana" w:eastAsia="Times" w:hAnsi="Verdana"/>
          <w:lang w:val="es-ES"/>
        </w:rPr>
      </w:pPr>
    </w:p>
    <w:p w14:paraId="50669DDA" w14:textId="77777777" w:rsidR="00330B68" w:rsidRDefault="00330B68" w:rsidP="00330B68">
      <w:pPr>
        <w:jc w:val="both"/>
        <w:rPr>
          <w:rFonts w:ascii="Verdana" w:eastAsia="Times" w:hAnsi="Verdana"/>
          <w:lang w:val="es-CR"/>
        </w:rPr>
      </w:pPr>
    </w:p>
    <w:p w14:paraId="0BC28F16" w14:textId="77777777" w:rsidR="00330B68" w:rsidRPr="002C0A2B" w:rsidRDefault="00330B68" w:rsidP="00330B68">
      <w:pPr>
        <w:jc w:val="both"/>
        <w:rPr>
          <w:rFonts w:ascii="Verdana" w:eastAsia="Times" w:hAnsi="Verdana"/>
          <w:lang w:val="es-CR"/>
        </w:rPr>
      </w:pPr>
    </w:p>
    <w:p w14:paraId="41F7FF22" w14:textId="77777777" w:rsidR="00330B68" w:rsidRPr="002C0A2B" w:rsidRDefault="00330B68" w:rsidP="00330B68">
      <w:pPr>
        <w:jc w:val="center"/>
        <w:rPr>
          <w:rFonts w:ascii="Verdana" w:eastAsia="Times" w:hAnsi="Verdana"/>
          <w:lang w:val="es-ES"/>
        </w:rPr>
      </w:pPr>
      <w:r w:rsidRPr="002C0A2B">
        <w:rPr>
          <w:rFonts w:ascii="Verdana" w:eastAsia="Times" w:hAnsi="Verdana"/>
          <w:lang w:val="es-ES"/>
        </w:rPr>
        <w:t>Humberto Antonio Sierra Porto</w:t>
      </w:r>
    </w:p>
    <w:p w14:paraId="62038168" w14:textId="77777777" w:rsidR="00330B68" w:rsidRPr="002C0A2B" w:rsidRDefault="00330B68" w:rsidP="00330B68">
      <w:pPr>
        <w:jc w:val="center"/>
        <w:rPr>
          <w:rFonts w:ascii="Verdana" w:eastAsia="Times" w:hAnsi="Verdana"/>
          <w:lang w:val="es-ES"/>
        </w:rPr>
      </w:pPr>
      <w:r w:rsidRPr="002C0A2B">
        <w:rPr>
          <w:rFonts w:ascii="Verdana" w:eastAsia="Times" w:hAnsi="Verdana"/>
          <w:lang w:val="es-ES"/>
        </w:rPr>
        <w:t xml:space="preserve">Presidente </w:t>
      </w:r>
    </w:p>
    <w:p w14:paraId="3B886C9E" w14:textId="77777777" w:rsidR="00330B68" w:rsidRDefault="00330B68" w:rsidP="00330B68">
      <w:pPr>
        <w:jc w:val="both"/>
        <w:rPr>
          <w:rFonts w:ascii="Verdana" w:eastAsia="Times" w:hAnsi="Verdana"/>
          <w:lang w:val="es-ES"/>
        </w:rPr>
      </w:pPr>
    </w:p>
    <w:p w14:paraId="697DB806" w14:textId="77777777" w:rsidR="00330B68" w:rsidRPr="002C0A2B" w:rsidRDefault="00330B68" w:rsidP="00330B68">
      <w:pPr>
        <w:jc w:val="both"/>
        <w:rPr>
          <w:rFonts w:ascii="Verdana" w:eastAsia="Times" w:hAnsi="Verdana"/>
          <w:lang w:val="es-ES"/>
        </w:rPr>
      </w:pPr>
    </w:p>
    <w:p w14:paraId="1709B94A" w14:textId="77777777" w:rsidR="00330B68" w:rsidRDefault="00330B68" w:rsidP="00330B68">
      <w:pPr>
        <w:jc w:val="both"/>
        <w:rPr>
          <w:rFonts w:ascii="Verdana" w:eastAsia="Times" w:hAnsi="Verdana"/>
          <w:lang w:val="es-ES"/>
        </w:rPr>
      </w:pPr>
    </w:p>
    <w:p w14:paraId="6B161011" w14:textId="77777777" w:rsidR="00330B68" w:rsidRPr="002C0A2B" w:rsidRDefault="00330B68" w:rsidP="00330B68">
      <w:pPr>
        <w:jc w:val="both"/>
        <w:rPr>
          <w:rFonts w:ascii="Verdana" w:eastAsia="Times" w:hAnsi="Verdana"/>
          <w:lang w:val="es-ES"/>
        </w:rPr>
      </w:pPr>
    </w:p>
    <w:p w14:paraId="48734141" w14:textId="77777777" w:rsidR="00330B68" w:rsidRDefault="00330B68" w:rsidP="00330B68">
      <w:pPr>
        <w:jc w:val="both"/>
        <w:rPr>
          <w:rFonts w:ascii="Verdana" w:eastAsia="Times" w:hAnsi="Verdana"/>
          <w:lang w:val="es-ES"/>
        </w:rPr>
      </w:pPr>
      <w:r>
        <w:rPr>
          <w:rFonts w:ascii="Verdana" w:eastAsia="Times" w:hAnsi="Verdana"/>
          <w:lang w:val="es-ES"/>
        </w:rPr>
        <w:t>Roberto F. Caldas</w:t>
      </w:r>
      <w:r>
        <w:rPr>
          <w:rFonts w:ascii="Verdana" w:eastAsia="Times" w:hAnsi="Verdana"/>
          <w:lang w:val="es-ES"/>
        </w:rPr>
        <w:tab/>
      </w:r>
      <w:r>
        <w:rPr>
          <w:rFonts w:ascii="Verdana" w:eastAsia="Times" w:hAnsi="Verdana"/>
          <w:lang w:val="es-ES"/>
        </w:rPr>
        <w:tab/>
      </w:r>
      <w:r>
        <w:rPr>
          <w:rFonts w:ascii="Verdana" w:eastAsia="Times" w:hAnsi="Verdana"/>
          <w:lang w:val="es-ES"/>
        </w:rPr>
        <w:tab/>
      </w:r>
      <w:r>
        <w:rPr>
          <w:rFonts w:ascii="Verdana" w:eastAsia="Times" w:hAnsi="Verdana"/>
          <w:lang w:val="es-ES"/>
        </w:rPr>
        <w:tab/>
      </w:r>
      <w:r>
        <w:rPr>
          <w:rFonts w:ascii="Verdana" w:eastAsia="Times" w:hAnsi="Verdana"/>
          <w:lang w:val="es-ES"/>
        </w:rPr>
        <w:tab/>
      </w:r>
      <w:r>
        <w:rPr>
          <w:rFonts w:ascii="Verdana" w:eastAsia="Times" w:hAnsi="Verdana"/>
          <w:lang w:val="es-ES"/>
        </w:rPr>
        <w:tab/>
      </w:r>
      <w:r w:rsidRPr="002C0A2B">
        <w:rPr>
          <w:rFonts w:ascii="Verdana" w:eastAsia="Times" w:hAnsi="Verdana"/>
          <w:lang w:val="es-ES"/>
        </w:rPr>
        <w:t>Manuel E. Ventura Robles</w:t>
      </w:r>
    </w:p>
    <w:p w14:paraId="089B35CE" w14:textId="77777777" w:rsidR="00330B68" w:rsidRDefault="00330B68" w:rsidP="00330B68">
      <w:pPr>
        <w:jc w:val="both"/>
        <w:rPr>
          <w:rFonts w:ascii="Verdana" w:eastAsia="Times" w:hAnsi="Verdana"/>
          <w:lang w:val="es-ES"/>
        </w:rPr>
      </w:pPr>
    </w:p>
    <w:p w14:paraId="456BD57C" w14:textId="77777777" w:rsidR="00330B68" w:rsidRDefault="00330B68" w:rsidP="00330B68">
      <w:pPr>
        <w:jc w:val="both"/>
        <w:rPr>
          <w:rFonts w:ascii="Verdana" w:eastAsia="Times" w:hAnsi="Verdana"/>
          <w:lang w:val="es-ES"/>
        </w:rPr>
      </w:pPr>
    </w:p>
    <w:p w14:paraId="54E9D1FC" w14:textId="77777777" w:rsidR="00330B68" w:rsidRDefault="00330B68" w:rsidP="00330B68">
      <w:pPr>
        <w:jc w:val="both"/>
        <w:rPr>
          <w:rFonts w:ascii="Verdana" w:eastAsia="Times" w:hAnsi="Verdana"/>
          <w:lang w:val="es-ES"/>
        </w:rPr>
      </w:pPr>
    </w:p>
    <w:p w14:paraId="29298584" w14:textId="77777777" w:rsidR="00330B68" w:rsidRDefault="00330B68" w:rsidP="00330B68">
      <w:pPr>
        <w:jc w:val="both"/>
        <w:rPr>
          <w:rFonts w:ascii="Verdana" w:eastAsia="Times" w:hAnsi="Verdana"/>
          <w:lang w:val="es-ES"/>
        </w:rPr>
      </w:pPr>
    </w:p>
    <w:p w14:paraId="38F3F20B" w14:textId="77777777" w:rsidR="00330B68" w:rsidRDefault="00330B68" w:rsidP="00330B68">
      <w:pPr>
        <w:jc w:val="both"/>
        <w:rPr>
          <w:rFonts w:ascii="Verdana" w:eastAsia="Times" w:hAnsi="Verdana"/>
          <w:lang w:val="es-ES"/>
        </w:rPr>
      </w:pPr>
    </w:p>
    <w:p w14:paraId="019968B7" w14:textId="77777777" w:rsidR="00330B68" w:rsidRDefault="00330B68" w:rsidP="00330B68">
      <w:pPr>
        <w:jc w:val="both"/>
        <w:rPr>
          <w:rFonts w:ascii="Verdana" w:eastAsia="Times" w:hAnsi="Verdana"/>
          <w:lang w:val="es-ES"/>
        </w:rPr>
      </w:pPr>
      <w:r>
        <w:rPr>
          <w:rFonts w:ascii="Verdana" w:eastAsia="Times" w:hAnsi="Verdana"/>
          <w:lang w:val="es-ES"/>
        </w:rPr>
        <w:t>Diego García-</w:t>
      </w:r>
      <w:r w:rsidRPr="002C0A2B">
        <w:rPr>
          <w:rFonts w:ascii="Verdana" w:eastAsia="Times" w:hAnsi="Verdana"/>
          <w:lang w:val="es-ES"/>
        </w:rPr>
        <w:t>Sayán</w:t>
      </w:r>
      <w:r w:rsidRPr="005068C2">
        <w:rPr>
          <w:rFonts w:ascii="Verdana" w:eastAsia="Times" w:hAnsi="Verdana"/>
          <w:lang w:val="es-ES"/>
        </w:rPr>
        <w:t xml:space="preserve"> </w:t>
      </w:r>
      <w:r>
        <w:rPr>
          <w:rFonts w:ascii="Verdana" w:eastAsia="Times" w:hAnsi="Verdana"/>
          <w:lang w:val="es-ES"/>
        </w:rPr>
        <w:tab/>
      </w:r>
      <w:r>
        <w:rPr>
          <w:rFonts w:ascii="Verdana" w:eastAsia="Times" w:hAnsi="Verdana"/>
          <w:lang w:val="es-ES"/>
        </w:rPr>
        <w:tab/>
      </w:r>
      <w:r>
        <w:rPr>
          <w:rFonts w:ascii="Verdana" w:eastAsia="Times" w:hAnsi="Verdana"/>
          <w:lang w:val="es-ES"/>
        </w:rPr>
        <w:tab/>
      </w:r>
      <w:r>
        <w:rPr>
          <w:rFonts w:ascii="Verdana" w:eastAsia="Times" w:hAnsi="Verdana"/>
          <w:lang w:val="es-ES"/>
        </w:rPr>
        <w:tab/>
      </w:r>
      <w:r>
        <w:rPr>
          <w:rFonts w:ascii="Verdana" w:eastAsia="Times" w:hAnsi="Verdana"/>
          <w:lang w:val="es-ES"/>
        </w:rPr>
        <w:tab/>
      </w:r>
      <w:r>
        <w:rPr>
          <w:rFonts w:ascii="Verdana" w:eastAsia="Times" w:hAnsi="Verdana"/>
          <w:lang w:val="es-ES"/>
        </w:rPr>
        <w:tab/>
      </w:r>
      <w:r w:rsidRPr="002C0A2B">
        <w:rPr>
          <w:rFonts w:ascii="Verdana" w:eastAsia="Times" w:hAnsi="Verdana"/>
          <w:lang w:val="es-ES"/>
        </w:rPr>
        <w:t xml:space="preserve">Alberto Pérez </w:t>
      </w:r>
      <w:proofErr w:type="spellStart"/>
      <w:r w:rsidRPr="002C0A2B">
        <w:rPr>
          <w:rFonts w:ascii="Verdana" w:eastAsia="Times" w:hAnsi="Verdana"/>
          <w:lang w:val="es-ES"/>
        </w:rPr>
        <w:t>Pérez</w:t>
      </w:r>
      <w:proofErr w:type="spellEnd"/>
      <w:r w:rsidRPr="00512D32">
        <w:rPr>
          <w:rFonts w:ascii="Verdana" w:eastAsia="Times" w:hAnsi="Verdana"/>
          <w:lang w:val="es-ES"/>
        </w:rPr>
        <w:t xml:space="preserve"> </w:t>
      </w:r>
      <w:r>
        <w:rPr>
          <w:rFonts w:ascii="Verdana" w:eastAsia="Times" w:hAnsi="Verdana"/>
          <w:lang w:val="es-ES"/>
        </w:rPr>
        <w:tab/>
      </w:r>
    </w:p>
    <w:p w14:paraId="7552EA5A" w14:textId="77777777" w:rsidR="00330B68" w:rsidRDefault="00330B68" w:rsidP="00330B68">
      <w:pPr>
        <w:jc w:val="both"/>
        <w:rPr>
          <w:rFonts w:ascii="Verdana" w:eastAsia="Times" w:hAnsi="Verdana"/>
          <w:lang w:val="es-ES"/>
        </w:rPr>
      </w:pPr>
    </w:p>
    <w:p w14:paraId="08F56F8B" w14:textId="77777777" w:rsidR="00330B68" w:rsidRDefault="00330B68" w:rsidP="00330B68">
      <w:pPr>
        <w:jc w:val="both"/>
        <w:rPr>
          <w:rFonts w:ascii="Verdana" w:eastAsia="Times" w:hAnsi="Verdana"/>
          <w:lang w:val="es-ES"/>
        </w:rPr>
      </w:pPr>
    </w:p>
    <w:p w14:paraId="4AC4D547" w14:textId="77777777" w:rsidR="00330B68" w:rsidRDefault="00330B68" w:rsidP="00330B68">
      <w:pPr>
        <w:jc w:val="both"/>
        <w:rPr>
          <w:rFonts w:ascii="Verdana" w:eastAsia="Times" w:hAnsi="Verdana"/>
          <w:lang w:val="es-ES"/>
        </w:rPr>
      </w:pPr>
    </w:p>
    <w:p w14:paraId="7C36DDF4" w14:textId="77777777" w:rsidR="00330B68" w:rsidRDefault="00330B68" w:rsidP="00330B68">
      <w:pPr>
        <w:jc w:val="both"/>
        <w:rPr>
          <w:rFonts w:ascii="Verdana" w:eastAsia="Times" w:hAnsi="Verdana"/>
          <w:lang w:val="es-ES"/>
        </w:rPr>
      </w:pPr>
    </w:p>
    <w:p w14:paraId="5FEDDFB0" w14:textId="77777777" w:rsidR="00330B68" w:rsidRPr="002C0A2B" w:rsidRDefault="00330B68" w:rsidP="00330B68">
      <w:pPr>
        <w:jc w:val="both"/>
        <w:rPr>
          <w:rFonts w:ascii="Verdana" w:eastAsia="Times" w:hAnsi="Verdana"/>
          <w:lang w:val="es-ES"/>
        </w:rPr>
      </w:pPr>
    </w:p>
    <w:p w14:paraId="43AB3B21" w14:textId="15E8C6B0" w:rsidR="00330B68" w:rsidRPr="002C0A2B" w:rsidRDefault="00330B68" w:rsidP="00330B68">
      <w:pPr>
        <w:jc w:val="both"/>
        <w:rPr>
          <w:rFonts w:ascii="Verdana" w:eastAsia="Times" w:hAnsi="Verdana"/>
          <w:lang w:val="es-ES"/>
        </w:rPr>
      </w:pPr>
      <w:r w:rsidRPr="002C0A2B">
        <w:rPr>
          <w:rFonts w:ascii="Verdana" w:eastAsia="Times" w:hAnsi="Verdana"/>
          <w:lang w:val="es-ES"/>
        </w:rPr>
        <w:t xml:space="preserve">Eduardo Vio Grossi            </w:t>
      </w:r>
      <w:r>
        <w:rPr>
          <w:rFonts w:ascii="Verdana" w:eastAsia="Times" w:hAnsi="Verdana"/>
          <w:lang w:val="es-ES"/>
        </w:rPr>
        <w:t xml:space="preserve">                         </w:t>
      </w:r>
      <w:r w:rsidRPr="002C0A2B">
        <w:rPr>
          <w:rFonts w:ascii="Verdana" w:eastAsia="Times" w:hAnsi="Verdana"/>
          <w:lang w:val="es-ES"/>
        </w:rPr>
        <w:t xml:space="preserve">  </w:t>
      </w:r>
      <w:r>
        <w:rPr>
          <w:rFonts w:ascii="Verdana" w:eastAsia="Times" w:hAnsi="Verdana"/>
          <w:lang w:val="es-ES"/>
        </w:rPr>
        <w:t xml:space="preserve">         Eduardo Ferrer Mac-</w:t>
      </w:r>
      <w:proofErr w:type="spellStart"/>
      <w:r>
        <w:rPr>
          <w:rFonts w:ascii="Verdana" w:eastAsia="Times" w:hAnsi="Verdana"/>
          <w:lang w:val="es-ES"/>
        </w:rPr>
        <w:t>Gregor</w:t>
      </w:r>
      <w:proofErr w:type="spellEnd"/>
      <w:r>
        <w:rPr>
          <w:rFonts w:ascii="Verdana" w:eastAsia="Times" w:hAnsi="Verdana"/>
          <w:lang w:val="es-ES"/>
        </w:rPr>
        <w:t xml:space="preserve"> </w:t>
      </w:r>
      <w:proofErr w:type="spellStart"/>
      <w:r w:rsidRPr="002C0A2B">
        <w:rPr>
          <w:rFonts w:ascii="Verdana" w:eastAsia="Times" w:hAnsi="Verdana"/>
          <w:lang w:val="es-ES"/>
        </w:rPr>
        <w:t>Poisot</w:t>
      </w:r>
      <w:proofErr w:type="spellEnd"/>
    </w:p>
    <w:p w14:paraId="1B0832D0" w14:textId="77777777" w:rsidR="00330B68" w:rsidRDefault="00330B68" w:rsidP="00330B68">
      <w:pPr>
        <w:jc w:val="both"/>
        <w:rPr>
          <w:rFonts w:ascii="Verdana" w:eastAsia="Times" w:hAnsi="Verdana"/>
          <w:lang w:val="es-ES"/>
        </w:rPr>
      </w:pPr>
    </w:p>
    <w:p w14:paraId="24921687" w14:textId="77777777" w:rsidR="00330B68" w:rsidRDefault="00330B68" w:rsidP="00330B68">
      <w:pPr>
        <w:jc w:val="both"/>
        <w:rPr>
          <w:rFonts w:ascii="Verdana" w:eastAsia="Times" w:hAnsi="Verdana"/>
          <w:lang w:val="es-ES"/>
        </w:rPr>
      </w:pPr>
    </w:p>
    <w:p w14:paraId="1376FF07" w14:textId="77777777" w:rsidR="00330B68" w:rsidRDefault="00330B68" w:rsidP="00330B68">
      <w:pPr>
        <w:jc w:val="both"/>
        <w:rPr>
          <w:rFonts w:ascii="Verdana" w:eastAsia="Times" w:hAnsi="Verdana"/>
          <w:lang w:val="es-ES"/>
        </w:rPr>
      </w:pPr>
    </w:p>
    <w:p w14:paraId="57227C0B" w14:textId="77777777" w:rsidR="00330B68" w:rsidRDefault="00330B68" w:rsidP="00330B68">
      <w:pPr>
        <w:jc w:val="both"/>
        <w:rPr>
          <w:rFonts w:ascii="Verdana" w:eastAsia="Times" w:hAnsi="Verdana"/>
          <w:lang w:val="es-ES"/>
        </w:rPr>
      </w:pPr>
    </w:p>
    <w:p w14:paraId="60FD9D4B" w14:textId="77777777" w:rsidR="00330B68" w:rsidRDefault="00330B68" w:rsidP="00330B68">
      <w:pPr>
        <w:rPr>
          <w:rFonts w:ascii="Verdana" w:eastAsia="Times" w:hAnsi="Verdana"/>
          <w:lang w:val="es-ES"/>
        </w:rPr>
      </w:pPr>
    </w:p>
    <w:p w14:paraId="7C882447" w14:textId="77777777" w:rsidR="00330B68" w:rsidRDefault="00330B68" w:rsidP="00330B68">
      <w:pPr>
        <w:jc w:val="center"/>
        <w:rPr>
          <w:rFonts w:ascii="Verdana" w:eastAsia="Times" w:hAnsi="Verdana"/>
          <w:lang w:val="es-ES"/>
        </w:rPr>
      </w:pPr>
    </w:p>
    <w:p w14:paraId="0DE4B66D" w14:textId="77777777" w:rsidR="00330B68" w:rsidRPr="002C0A2B" w:rsidRDefault="00330B68" w:rsidP="00330B68">
      <w:pPr>
        <w:jc w:val="center"/>
        <w:rPr>
          <w:rFonts w:ascii="Verdana" w:eastAsia="Times" w:hAnsi="Verdana"/>
          <w:lang w:val="es-ES"/>
        </w:rPr>
      </w:pPr>
      <w:r w:rsidRPr="002C0A2B">
        <w:rPr>
          <w:rFonts w:ascii="Verdana" w:eastAsia="Times" w:hAnsi="Verdana"/>
          <w:lang w:val="es-ES"/>
        </w:rPr>
        <w:t>Pablo Saavedra Alessandri</w:t>
      </w:r>
    </w:p>
    <w:p w14:paraId="1A372607" w14:textId="77777777" w:rsidR="00330B68" w:rsidRPr="002C0A2B" w:rsidRDefault="00330B68" w:rsidP="00330B68">
      <w:pPr>
        <w:jc w:val="center"/>
        <w:rPr>
          <w:rFonts w:ascii="Verdana" w:eastAsia="Times" w:hAnsi="Verdana"/>
          <w:lang w:val="es-ES"/>
        </w:rPr>
      </w:pPr>
      <w:r w:rsidRPr="002C0A2B">
        <w:rPr>
          <w:rFonts w:ascii="Verdana" w:eastAsia="Times" w:hAnsi="Verdana"/>
          <w:lang w:val="es-ES"/>
        </w:rPr>
        <w:t>Secretario</w:t>
      </w:r>
    </w:p>
    <w:p w14:paraId="50BA9762" w14:textId="77777777" w:rsidR="00330B68" w:rsidRPr="002C0A2B" w:rsidRDefault="00330B68" w:rsidP="00330B68">
      <w:pPr>
        <w:rPr>
          <w:rFonts w:ascii="Verdana" w:eastAsia="Times" w:hAnsi="Verdana"/>
          <w:lang w:val="es-ES"/>
        </w:rPr>
      </w:pPr>
    </w:p>
    <w:p w14:paraId="214E7753" w14:textId="77777777" w:rsidR="00330B68" w:rsidRPr="002C0A2B" w:rsidRDefault="00330B68" w:rsidP="00330B68">
      <w:pPr>
        <w:jc w:val="both"/>
        <w:rPr>
          <w:rFonts w:ascii="Verdana" w:eastAsia="Times" w:hAnsi="Verdana"/>
          <w:lang w:val="es-ES"/>
        </w:rPr>
      </w:pPr>
    </w:p>
    <w:p w14:paraId="5A447422" w14:textId="77777777" w:rsidR="00330B68" w:rsidRPr="002C0A2B" w:rsidRDefault="00330B68" w:rsidP="00330B68">
      <w:pPr>
        <w:jc w:val="both"/>
        <w:rPr>
          <w:rFonts w:ascii="Verdana" w:eastAsia="Times" w:hAnsi="Verdana"/>
          <w:lang w:val="es-ES"/>
        </w:rPr>
      </w:pPr>
      <w:r w:rsidRPr="002C0A2B">
        <w:rPr>
          <w:rFonts w:ascii="Verdana" w:eastAsia="Times" w:hAnsi="Verdana"/>
          <w:lang w:val="es-ES"/>
        </w:rPr>
        <w:t>Comuníquese y ejecútese,</w:t>
      </w:r>
    </w:p>
    <w:p w14:paraId="0F28130C" w14:textId="77777777" w:rsidR="00330B68" w:rsidRPr="002C0A2B" w:rsidRDefault="00330B68" w:rsidP="00330B68">
      <w:pPr>
        <w:jc w:val="both"/>
        <w:rPr>
          <w:rFonts w:ascii="Verdana" w:eastAsia="Times" w:hAnsi="Verdana"/>
          <w:lang w:val="es-ES"/>
        </w:rPr>
      </w:pPr>
    </w:p>
    <w:p w14:paraId="0F6F6CE8" w14:textId="77777777" w:rsidR="00330B68" w:rsidRPr="002C0A2B" w:rsidRDefault="00330B68" w:rsidP="00330B68">
      <w:pPr>
        <w:jc w:val="both"/>
        <w:rPr>
          <w:rFonts w:ascii="Verdana" w:eastAsia="Times" w:hAnsi="Verdana"/>
          <w:lang w:val="es-ES"/>
        </w:rPr>
      </w:pPr>
    </w:p>
    <w:p w14:paraId="40B1C6F0" w14:textId="77777777" w:rsidR="00330B68" w:rsidRPr="002C0A2B" w:rsidRDefault="00330B68" w:rsidP="00330B68">
      <w:pPr>
        <w:jc w:val="both"/>
        <w:rPr>
          <w:rFonts w:ascii="Verdana" w:eastAsia="Times" w:hAnsi="Verdana"/>
          <w:lang w:val="es-ES"/>
        </w:rPr>
      </w:pPr>
    </w:p>
    <w:p w14:paraId="7F29CA0A" w14:textId="77777777" w:rsidR="00330B68" w:rsidRPr="002C0A2B" w:rsidRDefault="00330B68" w:rsidP="00330B68">
      <w:pPr>
        <w:jc w:val="both"/>
        <w:rPr>
          <w:rFonts w:ascii="Verdana" w:eastAsia="Times" w:hAnsi="Verdana"/>
          <w:lang w:val="es-CR"/>
        </w:rPr>
      </w:pPr>
    </w:p>
    <w:p w14:paraId="0138CE35" w14:textId="6B00087E" w:rsidR="00330B68" w:rsidRPr="002C0A2B" w:rsidRDefault="00330B68" w:rsidP="00330B68">
      <w:pPr>
        <w:ind w:left="5040"/>
        <w:rPr>
          <w:rFonts w:ascii="Verdana" w:eastAsia="Times" w:hAnsi="Verdana"/>
          <w:lang w:val="es-ES"/>
        </w:rPr>
      </w:pPr>
      <w:r w:rsidRPr="002C0A2B">
        <w:rPr>
          <w:rFonts w:ascii="Verdana" w:eastAsia="Times" w:hAnsi="Verdana"/>
          <w:lang w:val="es-ES"/>
        </w:rPr>
        <w:t xml:space="preserve">     </w:t>
      </w:r>
      <w:r>
        <w:rPr>
          <w:rFonts w:ascii="Verdana" w:eastAsia="Times" w:hAnsi="Verdana"/>
          <w:lang w:val="es-ES"/>
        </w:rPr>
        <w:t xml:space="preserve">  Humberto Antonio Sierra Porto</w:t>
      </w:r>
    </w:p>
    <w:p w14:paraId="7B4B825E" w14:textId="77777777" w:rsidR="00330B68" w:rsidRPr="002C0A2B" w:rsidRDefault="00330B68" w:rsidP="00330B68">
      <w:pPr>
        <w:ind w:left="5760"/>
        <w:rPr>
          <w:rFonts w:ascii="Verdana" w:eastAsia="Times" w:hAnsi="Verdana"/>
          <w:lang w:val="es-ES"/>
        </w:rPr>
      </w:pPr>
      <w:r>
        <w:rPr>
          <w:rFonts w:ascii="Verdana" w:eastAsia="Times" w:hAnsi="Verdana"/>
          <w:lang w:val="es-ES"/>
        </w:rPr>
        <w:t xml:space="preserve">          </w:t>
      </w:r>
      <w:r w:rsidRPr="002C0A2B">
        <w:rPr>
          <w:rFonts w:ascii="Verdana" w:eastAsia="Times" w:hAnsi="Verdana"/>
          <w:lang w:val="es-ES"/>
        </w:rPr>
        <w:t>Presidente</w:t>
      </w:r>
    </w:p>
    <w:p w14:paraId="1AD55C6B" w14:textId="77777777" w:rsidR="00330B68" w:rsidRPr="002C0A2B" w:rsidRDefault="00330B68" w:rsidP="00330B68">
      <w:pPr>
        <w:jc w:val="both"/>
        <w:rPr>
          <w:rFonts w:ascii="Verdana" w:eastAsia="Times" w:hAnsi="Verdana"/>
          <w:lang w:val="es-ES"/>
        </w:rPr>
      </w:pPr>
    </w:p>
    <w:p w14:paraId="06473517" w14:textId="77777777" w:rsidR="00330B68" w:rsidRPr="002C0A2B" w:rsidRDefault="00330B68" w:rsidP="00330B68">
      <w:pPr>
        <w:jc w:val="both"/>
        <w:rPr>
          <w:rFonts w:ascii="Verdana" w:eastAsia="Times" w:hAnsi="Verdana"/>
          <w:lang w:val="es-ES"/>
        </w:rPr>
      </w:pPr>
    </w:p>
    <w:p w14:paraId="74CC5A04" w14:textId="77777777" w:rsidR="00330B68" w:rsidRPr="002C0A2B" w:rsidRDefault="00330B68" w:rsidP="00330B68">
      <w:pPr>
        <w:jc w:val="both"/>
        <w:rPr>
          <w:rFonts w:ascii="Verdana" w:eastAsia="Times" w:hAnsi="Verdana"/>
          <w:lang w:val="es-ES"/>
        </w:rPr>
      </w:pPr>
    </w:p>
    <w:p w14:paraId="5EA6412A" w14:textId="77777777" w:rsidR="00330B68" w:rsidRPr="002C0A2B" w:rsidRDefault="00330B68" w:rsidP="00330B68">
      <w:pPr>
        <w:jc w:val="both"/>
        <w:rPr>
          <w:rFonts w:ascii="Verdana" w:eastAsia="Times" w:hAnsi="Verdana"/>
          <w:lang w:val="es-ES"/>
        </w:rPr>
      </w:pPr>
    </w:p>
    <w:p w14:paraId="2B1ECFE3" w14:textId="77777777" w:rsidR="00330B68" w:rsidRPr="002C0A2B" w:rsidRDefault="00330B68" w:rsidP="00330B68">
      <w:pPr>
        <w:jc w:val="both"/>
        <w:rPr>
          <w:rFonts w:ascii="Verdana" w:eastAsia="Times" w:hAnsi="Verdana"/>
          <w:lang w:val="es-ES"/>
        </w:rPr>
      </w:pPr>
      <w:r w:rsidRPr="002C0A2B">
        <w:rPr>
          <w:rFonts w:ascii="Verdana" w:eastAsia="Times" w:hAnsi="Verdana"/>
          <w:lang w:val="es-ES"/>
        </w:rPr>
        <w:t>Pablo Saavedra Alessandri</w:t>
      </w:r>
    </w:p>
    <w:p w14:paraId="5819F2F5" w14:textId="77777777" w:rsidR="00330B68" w:rsidRPr="005068C2" w:rsidRDefault="00330B68" w:rsidP="00330B68">
      <w:pPr>
        <w:rPr>
          <w:rFonts w:ascii="Verdana" w:eastAsia="Times" w:hAnsi="Verdana"/>
        </w:rPr>
      </w:pPr>
      <w:r w:rsidRPr="002C0A2B">
        <w:rPr>
          <w:rFonts w:ascii="Verdana" w:eastAsia="Times" w:hAnsi="Verdana"/>
          <w:lang w:val="es-ES"/>
        </w:rPr>
        <w:tab/>
      </w:r>
      <w:r w:rsidRPr="002C0A2B">
        <w:rPr>
          <w:rFonts w:ascii="Verdana" w:eastAsia="Times" w:hAnsi="Verdana"/>
        </w:rPr>
        <w:t>Secretario</w:t>
      </w:r>
    </w:p>
    <w:p w14:paraId="768A8362" w14:textId="77777777" w:rsidR="00330B68" w:rsidRPr="005068C2" w:rsidRDefault="00330B68" w:rsidP="00330B68">
      <w:pPr>
        <w:rPr>
          <w:rFonts w:ascii="Verdana" w:eastAsia="Times" w:hAnsi="Verdana"/>
        </w:rPr>
      </w:pPr>
    </w:p>
    <w:p w14:paraId="68A73F7B" w14:textId="77777777" w:rsidR="00330B68" w:rsidRPr="00330B68" w:rsidRDefault="00330B68" w:rsidP="00330B68">
      <w:pPr>
        <w:widowControl/>
        <w:autoSpaceDE w:val="0"/>
        <w:autoSpaceDN w:val="0"/>
        <w:adjustRightInd w:val="0"/>
        <w:spacing w:before="120" w:after="120"/>
        <w:jc w:val="both"/>
        <w:rPr>
          <w:rFonts w:ascii="Verdana" w:hAnsi="Verdana"/>
        </w:rPr>
      </w:pPr>
    </w:p>
    <w:sectPr w:rsidR="00330B68" w:rsidRPr="00330B68" w:rsidSect="00AD7EBC">
      <w:headerReference w:type="even" r:id="rId9"/>
      <w:head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656B3" w14:textId="77777777" w:rsidR="00BE6F2C" w:rsidRDefault="00BE6F2C" w:rsidP="000C3A59">
      <w:r>
        <w:separator/>
      </w:r>
    </w:p>
  </w:endnote>
  <w:endnote w:type="continuationSeparator" w:id="0">
    <w:p w14:paraId="35BFB1C8" w14:textId="77777777" w:rsidR="00BE6F2C" w:rsidRDefault="00BE6F2C" w:rsidP="000C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Italic">
    <w:altName w:val="Verdan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02918" w14:textId="77777777" w:rsidR="00BE6F2C" w:rsidRDefault="00BE6F2C" w:rsidP="000C3A59">
      <w:r>
        <w:separator/>
      </w:r>
    </w:p>
  </w:footnote>
  <w:footnote w:type="continuationSeparator" w:id="0">
    <w:p w14:paraId="24FE3AF4" w14:textId="77777777" w:rsidR="00BE6F2C" w:rsidRDefault="00BE6F2C" w:rsidP="000C3A59">
      <w:r>
        <w:continuationSeparator/>
      </w:r>
    </w:p>
  </w:footnote>
  <w:footnote w:id="1">
    <w:p w14:paraId="674B954B" w14:textId="5225F2B2" w:rsidR="00DD5C8C" w:rsidRPr="009075A1" w:rsidRDefault="00DD5C8C" w:rsidP="00CA13CB">
      <w:pPr>
        <w:pStyle w:val="FootnoteText"/>
        <w:jc w:val="both"/>
        <w:rPr>
          <w:rFonts w:ascii="Verdana" w:hAnsi="Verdana"/>
          <w:sz w:val="16"/>
          <w:szCs w:val="16"/>
        </w:rPr>
      </w:pPr>
      <w:r w:rsidRPr="00031629">
        <w:rPr>
          <w:rStyle w:val="FootnoteReference"/>
          <w:rFonts w:ascii="Verdana" w:hAnsi="Verdana"/>
          <w:sz w:val="16"/>
          <w:szCs w:val="16"/>
        </w:rPr>
        <w:footnoteRef/>
      </w:r>
      <w:r w:rsidRPr="00031629">
        <w:rPr>
          <w:rFonts w:ascii="Verdana" w:hAnsi="Verdana"/>
          <w:sz w:val="16"/>
          <w:szCs w:val="16"/>
        </w:rPr>
        <w:t xml:space="preserve"> </w:t>
      </w:r>
      <w:r w:rsidRPr="00031629">
        <w:rPr>
          <w:rFonts w:ascii="Verdana" w:hAnsi="Verdana"/>
          <w:sz w:val="16"/>
          <w:szCs w:val="16"/>
        </w:rPr>
        <w:tab/>
      </w:r>
      <w:r>
        <w:rPr>
          <w:rFonts w:ascii="Verdana" w:hAnsi="Verdana"/>
          <w:sz w:val="16"/>
          <w:szCs w:val="16"/>
        </w:rPr>
        <w:t xml:space="preserve">La Sentencia fue notificada el 19 de diciembre de 2012. </w:t>
      </w:r>
      <w:r w:rsidRPr="00031629">
        <w:rPr>
          <w:rFonts w:ascii="Verdana" w:hAnsi="Verdana"/>
          <w:i/>
          <w:sz w:val="16"/>
          <w:szCs w:val="16"/>
        </w:rPr>
        <w:t xml:space="preserve">Cfr. </w:t>
      </w:r>
      <w:r>
        <w:rPr>
          <w:rStyle w:val="Strong"/>
          <w:rFonts w:ascii="Verdana" w:hAnsi="Verdana"/>
          <w:b w:val="0"/>
          <w:i/>
          <w:color w:val="000000"/>
          <w:sz w:val="16"/>
          <w:szCs w:val="16"/>
          <w:shd w:val="clear" w:color="auto" w:fill="FFFFFF"/>
        </w:rPr>
        <w:t>Caso Mohamed</w:t>
      </w:r>
      <w:r w:rsidRPr="00031629">
        <w:rPr>
          <w:rStyle w:val="Strong"/>
          <w:rFonts w:ascii="Verdana" w:hAnsi="Verdana"/>
          <w:b w:val="0"/>
          <w:i/>
          <w:color w:val="000000"/>
          <w:sz w:val="16"/>
          <w:szCs w:val="16"/>
          <w:shd w:val="clear" w:color="auto" w:fill="FFFFFF"/>
        </w:rPr>
        <w:t xml:space="preserve"> Vs. </w:t>
      </w:r>
      <w:r>
        <w:rPr>
          <w:rStyle w:val="Strong"/>
          <w:rFonts w:ascii="Verdana" w:hAnsi="Verdana"/>
          <w:b w:val="0"/>
          <w:i/>
          <w:color w:val="000000"/>
          <w:sz w:val="16"/>
          <w:szCs w:val="16"/>
          <w:shd w:val="clear" w:color="auto" w:fill="FFFFFF"/>
        </w:rPr>
        <w:t>Argentina</w:t>
      </w:r>
      <w:r w:rsidRPr="00031629">
        <w:rPr>
          <w:rStyle w:val="Strong"/>
          <w:rFonts w:ascii="Verdana" w:hAnsi="Verdana"/>
          <w:b w:val="0"/>
          <w:i/>
          <w:color w:val="000000"/>
          <w:sz w:val="16"/>
          <w:szCs w:val="16"/>
          <w:shd w:val="clear" w:color="auto" w:fill="FFFFFF"/>
        </w:rPr>
        <w:t>. Excepci</w:t>
      </w:r>
      <w:r>
        <w:rPr>
          <w:rStyle w:val="Strong"/>
          <w:rFonts w:ascii="Verdana" w:hAnsi="Verdana"/>
          <w:b w:val="0"/>
          <w:i/>
          <w:color w:val="000000"/>
          <w:sz w:val="16"/>
          <w:szCs w:val="16"/>
          <w:shd w:val="clear" w:color="auto" w:fill="FFFFFF"/>
        </w:rPr>
        <w:t>ón</w:t>
      </w:r>
      <w:r w:rsidRPr="00031629">
        <w:rPr>
          <w:rStyle w:val="Strong"/>
          <w:rFonts w:ascii="Verdana" w:hAnsi="Verdana"/>
          <w:b w:val="0"/>
          <w:i/>
          <w:color w:val="000000"/>
          <w:sz w:val="16"/>
          <w:szCs w:val="16"/>
          <w:shd w:val="clear" w:color="auto" w:fill="FFFFFF"/>
        </w:rPr>
        <w:t xml:space="preserve"> </w:t>
      </w:r>
      <w:r>
        <w:rPr>
          <w:rStyle w:val="Strong"/>
          <w:rFonts w:ascii="Verdana" w:hAnsi="Verdana"/>
          <w:b w:val="0"/>
          <w:i/>
          <w:color w:val="000000"/>
          <w:sz w:val="16"/>
          <w:szCs w:val="16"/>
          <w:shd w:val="clear" w:color="auto" w:fill="FFFFFF"/>
        </w:rPr>
        <w:t>Preliminar</w:t>
      </w:r>
      <w:r w:rsidRPr="00031629">
        <w:rPr>
          <w:rStyle w:val="Strong"/>
          <w:rFonts w:ascii="Verdana" w:hAnsi="Verdana"/>
          <w:b w:val="0"/>
          <w:i/>
          <w:color w:val="000000"/>
          <w:sz w:val="16"/>
          <w:szCs w:val="16"/>
          <w:shd w:val="clear" w:color="auto" w:fill="FFFFFF"/>
        </w:rPr>
        <w:t>, Fondo, Reparaciones y Costas.</w:t>
      </w:r>
      <w:r>
        <w:rPr>
          <w:rStyle w:val="Strong"/>
          <w:rFonts w:ascii="Verdana" w:hAnsi="Verdana"/>
          <w:b w:val="0"/>
          <w:color w:val="000000"/>
          <w:sz w:val="16"/>
          <w:szCs w:val="16"/>
          <w:shd w:val="clear" w:color="auto" w:fill="FFFFFF"/>
        </w:rPr>
        <w:t xml:space="preserve"> Sentencia de 23</w:t>
      </w:r>
      <w:r w:rsidRPr="00E96334">
        <w:rPr>
          <w:rStyle w:val="Strong"/>
          <w:rFonts w:ascii="Verdana" w:hAnsi="Verdana"/>
          <w:b w:val="0"/>
          <w:color w:val="000000"/>
          <w:sz w:val="16"/>
          <w:szCs w:val="16"/>
          <w:shd w:val="clear" w:color="auto" w:fill="FFFFFF"/>
        </w:rPr>
        <w:t xml:space="preserve"> de </w:t>
      </w:r>
      <w:r>
        <w:rPr>
          <w:rStyle w:val="Strong"/>
          <w:rFonts w:ascii="Verdana" w:hAnsi="Verdana"/>
          <w:b w:val="0"/>
          <w:color w:val="000000"/>
          <w:sz w:val="16"/>
          <w:szCs w:val="16"/>
          <w:shd w:val="clear" w:color="auto" w:fill="FFFFFF"/>
        </w:rPr>
        <w:t>noviembre de 2012</w:t>
      </w:r>
      <w:r w:rsidRPr="00E96334">
        <w:rPr>
          <w:rStyle w:val="Strong"/>
          <w:rFonts w:ascii="Verdana" w:hAnsi="Verdana"/>
          <w:b w:val="0"/>
          <w:color w:val="000000"/>
          <w:sz w:val="16"/>
          <w:szCs w:val="16"/>
          <w:shd w:val="clear" w:color="auto" w:fill="FFFFFF"/>
        </w:rPr>
        <w:t>. Serie C No. 2</w:t>
      </w:r>
      <w:r>
        <w:rPr>
          <w:rStyle w:val="Strong"/>
          <w:rFonts w:ascii="Verdana" w:hAnsi="Verdana"/>
          <w:b w:val="0"/>
          <w:color w:val="000000"/>
          <w:sz w:val="16"/>
          <w:szCs w:val="16"/>
          <w:shd w:val="clear" w:color="auto" w:fill="FFFFFF"/>
        </w:rPr>
        <w:t>55</w:t>
      </w:r>
      <w:r w:rsidRPr="00E96334">
        <w:rPr>
          <w:rStyle w:val="Strong"/>
          <w:rFonts w:ascii="Verdana" w:hAnsi="Verdana"/>
          <w:b w:val="0"/>
          <w:color w:val="000000"/>
          <w:sz w:val="16"/>
          <w:szCs w:val="16"/>
          <w:shd w:val="clear" w:color="auto" w:fill="FFFFFF"/>
        </w:rPr>
        <w:t>.</w:t>
      </w:r>
      <w:r w:rsidRPr="00FF141C">
        <w:rPr>
          <w:rStyle w:val="Strong"/>
          <w:rFonts w:ascii="Verdana" w:hAnsi="Verdana"/>
          <w:color w:val="000000"/>
          <w:sz w:val="16"/>
          <w:szCs w:val="16"/>
          <w:shd w:val="clear" w:color="auto" w:fill="FFFFFF"/>
        </w:rPr>
        <w:t xml:space="preserve"> </w:t>
      </w:r>
      <w:r w:rsidRPr="00FF141C">
        <w:rPr>
          <w:rFonts w:ascii="Verdana" w:hAnsi="Verdana"/>
          <w:sz w:val="16"/>
          <w:szCs w:val="16"/>
        </w:rPr>
        <w:t xml:space="preserve">El texto íntegro se encuentra disponible en: </w:t>
      </w:r>
      <w:hyperlink r:id="rId1" w:history="1">
        <w:r w:rsidRPr="005D7946">
          <w:rPr>
            <w:rStyle w:val="Hyperlink"/>
            <w:rFonts w:ascii="Verdana" w:hAnsi="Verdana"/>
            <w:sz w:val="16"/>
            <w:szCs w:val="16"/>
          </w:rPr>
          <w:t>http://www.corteidh.or.cr/docs/casos/articulos/seriec_255_esp.pdf</w:t>
        </w:r>
      </w:hyperlink>
      <w:r>
        <w:rPr>
          <w:rFonts w:ascii="Verdana" w:hAnsi="Verdana"/>
          <w:sz w:val="16"/>
          <w:szCs w:val="16"/>
        </w:rPr>
        <w:t xml:space="preserve">. </w:t>
      </w:r>
    </w:p>
  </w:footnote>
  <w:footnote w:id="2">
    <w:p w14:paraId="59AB480B" w14:textId="31F619E8" w:rsidR="00DD5C8C" w:rsidRPr="001A6473" w:rsidRDefault="00DD5C8C" w:rsidP="001A07E7">
      <w:pPr>
        <w:pStyle w:val="FootnoteText"/>
        <w:jc w:val="both"/>
        <w:rPr>
          <w:rFonts w:ascii="Verdana" w:hAnsi="Verdana"/>
          <w:color w:val="00B050"/>
          <w:sz w:val="16"/>
          <w:szCs w:val="16"/>
          <w:lang w:val="es-CR"/>
        </w:rPr>
      </w:pPr>
      <w:r w:rsidRPr="001A6473">
        <w:rPr>
          <w:rStyle w:val="FootnoteReference"/>
          <w:rFonts w:ascii="Verdana" w:hAnsi="Verdana"/>
          <w:sz w:val="16"/>
          <w:szCs w:val="16"/>
        </w:rPr>
        <w:footnoteRef/>
      </w:r>
      <w:r w:rsidRPr="001A6473">
        <w:rPr>
          <w:rFonts w:ascii="Verdana" w:hAnsi="Verdana"/>
          <w:sz w:val="16"/>
          <w:szCs w:val="16"/>
        </w:rPr>
        <w:t xml:space="preserve"> </w:t>
      </w:r>
      <w:r w:rsidRPr="001A6473">
        <w:rPr>
          <w:rFonts w:ascii="Verdana" w:hAnsi="Verdana"/>
          <w:sz w:val="16"/>
          <w:szCs w:val="16"/>
        </w:rPr>
        <w:tab/>
        <w:t xml:space="preserve">Escritos de 19 de junio y 3 de octubre de 2013, de 8 y 22 de enero, 11 de marzo, 21 de abril, 19 de mayo y 11 de junio de 2014, </w:t>
      </w:r>
      <w:r>
        <w:rPr>
          <w:rFonts w:ascii="Verdana" w:hAnsi="Verdana"/>
          <w:sz w:val="16"/>
          <w:szCs w:val="16"/>
        </w:rPr>
        <w:t xml:space="preserve">y de </w:t>
      </w:r>
      <w:r w:rsidRPr="001A6473">
        <w:rPr>
          <w:rFonts w:ascii="Verdana" w:hAnsi="Verdana"/>
          <w:sz w:val="16"/>
          <w:szCs w:val="16"/>
        </w:rPr>
        <w:t>26 de marzo</w:t>
      </w:r>
      <w:r w:rsidRPr="000E7C3E">
        <w:rPr>
          <w:rFonts w:ascii="Verdana" w:hAnsi="Verdana"/>
          <w:sz w:val="16"/>
          <w:szCs w:val="16"/>
        </w:rPr>
        <w:t xml:space="preserve">, </w:t>
      </w:r>
      <w:r w:rsidRPr="001A6473">
        <w:rPr>
          <w:rFonts w:ascii="Verdana" w:hAnsi="Verdana"/>
          <w:sz w:val="16"/>
          <w:szCs w:val="16"/>
        </w:rPr>
        <w:t xml:space="preserve">17 de abril </w:t>
      </w:r>
      <w:r>
        <w:rPr>
          <w:rFonts w:ascii="Verdana" w:hAnsi="Verdana"/>
          <w:sz w:val="16"/>
          <w:szCs w:val="16"/>
        </w:rPr>
        <w:t xml:space="preserve">y 21 de septiembre de </w:t>
      </w:r>
      <w:r w:rsidRPr="001A6473">
        <w:rPr>
          <w:rFonts w:ascii="Verdana" w:hAnsi="Verdana"/>
          <w:sz w:val="16"/>
          <w:szCs w:val="16"/>
        </w:rPr>
        <w:t xml:space="preserve">2015. </w:t>
      </w:r>
    </w:p>
  </w:footnote>
  <w:footnote w:id="3">
    <w:p w14:paraId="1AF7BA1F" w14:textId="494C9D04" w:rsidR="00DD5C8C" w:rsidRPr="004624DD" w:rsidRDefault="00DD5C8C" w:rsidP="00B13189">
      <w:pPr>
        <w:pStyle w:val="FootnoteText"/>
        <w:jc w:val="both"/>
        <w:rPr>
          <w:rFonts w:ascii="Verdana" w:hAnsi="Verdana"/>
          <w:sz w:val="16"/>
          <w:szCs w:val="16"/>
        </w:rPr>
      </w:pPr>
      <w:r w:rsidRPr="004624DD">
        <w:rPr>
          <w:rStyle w:val="FootnoteReference"/>
          <w:rFonts w:ascii="Verdana" w:hAnsi="Verdana"/>
          <w:sz w:val="16"/>
          <w:szCs w:val="16"/>
        </w:rPr>
        <w:footnoteRef/>
      </w:r>
      <w:r w:rsidRPr="004624DD">
        <w:rPr>
          <w:rFonts w:ascii="Verdana" w:hAnsi="Verdana"/>
          <w:sz w:val="16"/>
          <w:szCs w:val="16"/>
        </w:rPr>
        <w:t xml:space="preserve"> </w:t>
      </w:r>
      <w:r w:rsidRPr="004624DD">
        <w:rPr>
          <w:rFonts w:ascii="Verdana" w:hAnsi="Verdana"/>
          <w:sz w:val="16"/>
          <w:szCs w:val="16"/>
        </w:rPr>
        <w:tab/>
      </w:r>
      <w:r w:rsidRPr="00B13189">
        <w:rPr>
          <w:rFonts w:ascii="Verdana" w:hAnsi="Verdana"/>
          <w:sz w:val="16"/>
          <w:szCs w:val="16"/>
        </w:rPr>
        <w:t xml:space="preserve">El defensor interamericano Gustavo L. </w:t>
      </w:r>
      <w:proofErr w:type="spellStart"/>
      <w:r w:rsidRPr="00B13189">
        <w:rPr>
          <w:rFonts w:ascii="Verdana" w:hAnsi="Verdana"/>
          <w:sz w:val="16"/>
          <w:szCs w:val="16"/>
        </w:rPr>
        <w:t>Vitale</w:t>
      </w:r>
      <w:proofErr w:type="spellEnd"/>
      <w:r w:rsidRPr="00B13189">
        <w:rPr>
          <w:rFonts w:ascii="Verdana" w:hAnsi="Verdana"/>
          <w:sz w:val="16"/>
          <w:szCs w:val="16"/>
        </w:rPr>
        <w:t xml:space="preserve">. </w:t>
      </w:r>
    </w:p>
  </w:footnote>
  <w:footnote w:id="4">
    <w:p w14:paraId="2CABEEDC" w14:textId="2FB43846" w:rsidR="00DD5C8C" w:rsidRPr="00533C0F" w:rsidRDefault="00DD5C8C" w:rsidP="00533C0F">
      <w:pPr>
        <w:widowControl/>
        <w:autoSpaceDE w:val="0"/>
        <w:autoSpaceDN w:val="0"/>
        <w:adjustRightInd w:val="0"/>
        <w:jc w:val="both"/>
        <w:rPr>
          <w:rFonts w:ascii="Verdana" w:hAnsi="Verdana"/>
        </w:rPr>
      </w:pPr>
      <w:r w:rsidRPr="00533C0F">
        <w:rPr>
          <w:rStyle w:val="FootnoteReference"/>
          <w:rFonts w:ascii="Verdana" w:hAnsi="Verdana"/>
          <w:sz w:val="16"/>
          <w:szCs w:val="16"/>
        </w:rPr>
        <w:footnoteRef/>
      </w:r>
      <w:r w:rsidRPr="00533C0F">
        <w:rPr>
          <w:rFonts w:ascii="Verdana" w:hAnsi="Verdana"/>
          <w:sz w:val="16"/>
          <w:szCs w:val="16"/>
        </w:rPr>
        <w:t xml:space="preserve"> </w:t>
      </w:r>
      <w:r w:rsidRPr="00533C0F">
        <w:rPr>
          <w:rFonts w:ascii="Verdana" w:hAnsi="Verdana"/>
          <w:sz w:val="16"/>
          <w:szCs w:val="16"/>
        </w:rPr>
        <w:tab/>
      </w:r>
      <w:r w:rsidRPr="0039043E">
        <w:rPr>
          <w:rFonts w:ascii="Verdana" w:hAnsi="Verdana"/>
          <w:sz w:val="16"/>
          <w:szCs w:val="16"/>
        </w:rPr>
        <w:t xml:space="preserve">Escritos de 28 de abril y 28 de agosto de 2014, y </w:t>
      </w:r>
      <w:r>
        <w:rPr>
          <w:rFonts w:ascii="Verdana" w:hAnsi="Verdana"/>
          <w:sz w:val="16"/>
          <w:szCs w:val="16"/>
        </w:rPr>
        <w:t xml:space="preserve">de </w:t>
      </w:r>
      <w:r w:rsidRPr="0039043E">
        <w:rPr>
          <w:rFonts w:ascii="Verdana" w:hAnsi="Verdana"/>
          <w:sz w:val="16"/>
          <w:szCs w:val="16"/>
        </w:rPr>
        <w:t>27 de abril de 2015.</w:t>
      </w:r>
    </w:p>
  </w:footnote>
  <w:footnote w:id="5">
    <w:p w14:paraId="5AF73F38" w14:textId="66426EEA" w:rsidR="00DD5C8C" w:rsidRPr="00C03368" w:rsidRDefault="00DD5C8C" w:rsidP="006508E4">
      <w:pPr>
        <w:pStyle w:val="FootnoteText"/>
        <w:jc w:val="both"/>
        <w:rPr>
          <w:rFonts w:ascii="Verdana" w:hAnsi="Verdana"/>
          <w:sz w:val="16"/>
          <w:szCs w:val="16"/>
          <w:lang w:val="es-CR"/>
        </w:rPr>
      </w:pPr>
      <w:r w:rsidRPr="006508E4">
        <w:rPr>
          <w:rStyle w:val="FootnoteReference"/>
          <w:rFonts w:ascii="Verdana" w:hAnsi="Verdana"/>
          <w:sz w:val="16"/>
          <w:szCs w:val="16"/>
        </w:rPr>
        <w:footnoteRef/>
      </w:r>
      <w:r w:rsidRPr="006508E4">
        <w:rPr>
          <w:rFonts w:ascii="Verdana" w:hAnsi="Verdana"/>
          <w:sz w:val="16"/>
          <w:szCs w:val="16"/>
        </w:rPr>
        <w:t xml:space="preserve"> </w:t>
      </w:r>
      <w:r w:rsidRPr="006508E4">
        <w:rPr>
          <w:rFonts w:ascii="Verdana" w:hAnsi="Verdana"/>
          <w:sz w:val="16"/>
          <w:szCs w:val="16"/>
        </w:rPr>
        <w:tab/>
        <w:t xml:space="preserve">Escritos de 15 de abril, 29 de mayo, 13 de junio y 19 de agosto </w:t>
      </w:r>
      <w:r w:rsidRPr="00C03368">
        <w:rPr>
          <w:rFonts w:ascii="Verdana" w:hAnsi="Verdana"/>
          <w:sz w:val="16"/>
          <w:szCs w:val="16"/>
        </w:rPr>
        <w:t>de 2014,</w:t>
      </w:r>
      <w:r w:rsidR="000E7C3E">
        <w:rPr>
          <w:rFonts w:ascii="Verdana" w:hAnsi="Verdana"/>
          <w:sz w:val="16"/>
          <w:szCs w:val="16"/>
        </w:rPr>
        <w:t xml:space="preserve"> y</w:t>
      </w:r>
      <w:r w:rsidR="00750ECC">
        <w:rPr>
          <w:rFonts w:ascii="Verdana" w:hAnsi="Verdana"/>
          <w:sz w:val="16"/>
          <w:szCs w:val="16"/>
        </w:rPr>
        <w:t xml:space="preserve"> </w:t>
      </w:r>
      <w:r w:rsidRPr="00C03368">
        <w:rPr>
          <w:rFonts w:ascii="Verdana" w:hAnsi="Verdana"/>
          <w:sz w:val="16"/>
          <w:szCs w:val="16"/>
        </w:rPr>
        <w:t xml:space="preserve">de 18 de junio </w:t>
      </w:r>
      <w:r w:rsidR="00750ECC" w:rsidRPr="003F76BB">
        <w:rPr>
          <w:rFonts w:ascii="Verdana" w:hAnsi="Verdana"/>
          <w:sz w:val="16"/>
          <w:szCs w:val="16"/>
        </w:rPr>
        <w:t xml:space="preserve">y </w:t>
      </w:r>
      <w:r w:rsidR="003F76BB">
        <w:rPr>
          <w:rFonts w:ascii="Verdana" w:hAnsi="Verdana"/>
          <w:sz w:val="16"/>
          <w:szCs w:val="16"/>
        </w:rPr>
        <w:t>30 de octubre de 2015</w:t>
      </w:r>
      <w:r w:rsidRPr="003F76BB">
        <w:rPr>
          <w:rFonts w:ascii="Verdana" w:hAnsi="Verdana"/>
          <w:sz w:val="16"/>
          <w:szCs w:val="16"/>
        </w:rPr>
        <w:t>.</w:t>
      </w:r>
    </w:p>
  </w:footnote>
  <w:footnote w:id="6">
    <w:p w14:paraId="5A412441" w14:textId="77777777" w:rsidR="00DD5C8C" w:rsidRPr="00C03368" w:rsidRDefault="00DD5C8C" w:rsidP="00A53F3F">
      <w:pPr>
        <w:pStyle w:val="FootnoteText"/>
        <w:jc w:val="both"/>
        <w:rPr>
          <w:rFonts w:ascii="Verdana" w:hAnsi="Verdana"/>
          <w:sz w:val="16"/>
          <w:szCs w:val="16"/>
        </w:rPr>
      </w:pPr>
      <w:r w:rsidRPr="00C03368">
        <w:rPr>
          <w:rStyle w:val="FootnoteReference"/>
          <w:rFonts w:ascii="Verdana" w:hAnsi="Verdana"/>
          <w:sz w:val="16"/>
          <w:szCs w:val="16"/>
        </w:rPr>
        <w:footnoteRef/>
      </w:r>
      <w:r w:rsidRPr="00C03368">
        <w:rPr>
          <w:rFonts w:ascii="Verdana" w:hAnsi="Verdana"/>
          <w:sz w:val="16"/>
          <w:szCs w:val="16"/>
        </w:rPr>
        <w:t xml:space="preserve"> </w:t>
      </w:r>
      <w:r w:rsidRPr="00C03368">
        <w:rPr>
          <w:rFonts w:ascii="Verdana" w:hAnsi="Verdana"/>
          <w:sz w:val="16"/>
          <w:szCs w:val="16"/>
        </w:rPr>
        <w:tab/>
      </w:r>
      <w:r w:rsidRPr="00C03368">
        <w:rPr>
          <w:rFonts w:ascii="Verdana" w:hAnsi="Verdana"/>
          <w:i/>
          <w:sz w:val="16"/>
          <w:szCs w:val="16"/>
        </w:rPr>
        <w:t>Cfr.</w:t>
      </w:r>
      <w:r w:rsidRPr="00C03368">
        <w:rPr>
          <w:rFonts w:ascii="Verdana" w:hAnsi="Verdana"/>
          <w:sz w:val="16"/>
          <w:szCs w:val="16"/>
        </w:rPr>
        <w:t xml:space="preserve"> </w:t>
      </w:r>
      <w:r w:rsidRPr="00C03368">
        <w:rPr>
          <w:rStyle w:val="Strong"/>
          <w:rFonts w:ascii="Verdana" w:hAnsi="Verdana"/>
          <w:b w:val="0"/>
          <w:i/>
          <w:color w:val="000000"/>
          <w:sz w:val="16"/>
          <w:szCs w:val="16"/>
          <w:shd w:val="clear" w:color="auto" w:fill="FFFFFF"/>
        </w:rPr>
        <w:t xml:space="preserve">Casos Torres Millacura y otros, Fornerón e hija, Furlan y familiares, Mohamed y Mendoza y otros Vs. Argentina. Reintegro al Fondo de Asistencia Legal de Víctimas de la Corte. </w:t>
      </w:r>
      <w:r w:rsidRPr="00C03368">
        <w:rPr>
          <w:rStyle w:val="Strong"/>
          <w:rFonts w:ascii="Verdana" w:hAnsi="Verdana"/>
          <w:b w:val="0"/>
          <w:color w:val="000000"/>
          <w:sz w:val="16"/>
          <w:szCs w:val="16"/>
          <w:shd w:val="clear" w:color="auto" w:fill="FFFFFF"/>
        </w:rPr>
        <w:t>Resolución de la Corte Interamericana de Derechos Humanos de 26 de enero de 2015</w:t>
      </w:r>
      <w:r w:rsidRPr="00873530">
        <w:rPr>
          <w:rStyle w:val="Strong"/>
          <w:rFonts w:ascii="Verdana" w:hAnsi="Verdana"/>
          <w:b w:val="0"/>
          <w:color w:val="000000"/>
          <w:sz w:val="16"/>
          <w:szCs w:val="16"/>
          <w:shd w:val="clear" w:color="auto" w:fill="FFFFFF"/>
        </w:rPr>
        <w:t xml:space="preserve">. </w:t>
      </w:r>
      <w:r w:rsidRPr="00C03368">
        <w:rPr>
          <w:rFonts w:ascii="Verdana" w:hAnsi="Verdana"/>
          <w:sz w:val="16"/>
          <w:szCs w:val="16"/>
        </w:rPr>
        <w:t xml:space="preserve">El texto íntegro se encuentra disponible en: </w:t>
      </w:r>
      <w:hyperlink r:id="rId2" w:history="1">
        <w:r w:rsidRPr="00C03368">
          <w:rPr>
            <w:rStyle w:val="Hyperlink"/>
            <w:rFonts w:ascii="Verdana" w:hAnsi="Verdana"/>
            <w:sz w:val="16"/>
            <w:szCs w:val="16"/>
          </w:rPr>
          <w:t>http://www.corteidh.or.cr/docs/asuntos/torres_forneron_furlan_mohamed_fv_2015.pdf</w:t>
        </w:r>
      </w:hyperlink>
      <w:r w:rsidRPr="00C03368">
        <w:rPr>
          <w:rFonts w:ascii="Verdana" w:hAnsi="Verdana"/>
          <w:sz w:val="16"/>
          <w:szCs w:val="16"/>
        </w:rPr>
        <w:t xml:space="preserve">. </w:t>
      </w:r>
    </w:p>
  </w:footnote>
  <w:footnote w:id="7">
    <w:p w14:paraId="1018B472" w14:textId="77777777" w:rsidR="00DD5C8C" w:rsidRPr="00FE71A0" w:rsidRDefault="00DD5C8C" w:rsidP="00FE71A0">
      <w:pPr>
        <w:pStyle w:val="FootnoteText"/>
        <w:jc w:val="both"/>
        <w:rPr>
          <w:rFonts w:ascii="Verdana" w:hAnsi="Verdana"/>
          <w:sz w:val="16"/>
          <w:szCs w:val="16"/>
          <w:lang w:val="es-CR"/>
        </w:rPr>
      </w:pPr>
      <w:r w:rsidRPr="00FE71A0">
        <w:rPr>
          <w:rStyle w:val="FootnoteReference"/>
          <w:rFonts w:ascii="Verdana" w:hAnsi="Verdana"/>
          <w:sz w:val="16"/>
          <w:szCs w:val="16"/>
        </w:rPr>
        <w:footnoteRef/>
      </w:r>
      <w:r w:rsidRPr="00FE71A0">
        <w:rPr>
          <w:rFonts w:ascii="Verdana" w:hAnsi="Verdana"/>
          <w:sz w:val="16"/>
          <w:szCs w:val="16"/>
          <w:lang w:val="es-CR"/>
        </w:rPr>
        <w:t xml:space="preserve"> </w:t>
      </w:r>
      <w:r w:rsidRPr="00FE71A0">
        <w:rPr>
          <w:rFonts w:ascii="Verdana" w:hAnsi="Verdana"/>
          <w:sz w:val="16"/>
          <w:szCs w:val="16"/>
          <w:lang w:val="es-CR"/>
        </w:rPr>
        <w:tab/>
        <w:t xml:space="preserve">Facultad que además </w:t>
      </w:r>
      <w:r w:rsidRPr="00FE71A0">
        <w:rPr>
          <w:rFonts w:ascii="Verdana" w:hAnsi="Verdana"/>
          <w:sz w:val="16"/>
          <w:szCs w:val="16"/>
          <w:lang w:val="es-ES"/>
        </w:rPr>
        <w:t xml:space="preserve">se desprende de lo dispuesto en los artículos 33, 62.1, 62.3 y 65 de la Convención Americana y </w:t>
      </w:r>
      <w:r w:rsidRPr="00FE71A0">
        <w:rPr>
          <w:rFonts w:ascii="Verdana" w:hAnsi="Verdana"/>
          <w:sz w:val="16"/>
          <w:szCs w:val="16"/>
          <w:lang w:val="es-CR"/>
        </w:rPr>
        <w:t>30 de su Estatuto y se encuentra regulada en el artículo 69 de su Reglamento.</w:t>
      </w:r>
    </w:p>
  </w:footnote>
  <w:footnote w:id="8">
    <w:p w14:paraId="1ECF434C" w14:textId="03E506B8" w:rsidR="00DD5C8C" w:rsidRDefault="00DD5C8C" w:rsidP="00FE71A0">
      <w:pPr>
        <w:autoSpaceDE w:val="0"/>
        <w:autoSpaceDN w:val="0"/>
        <w:adjustRightInd w:val="0"/>
        <w:ind w:right="-96"/>
        <w:jc w:val="both"/>
        <w:rPr>
          <w:rFonts w:ascii="Verdana" w:hAnsi="Verdana"/>
          <w:b/>
          <w:color w:val="000000"/>
          <w:sz w:val="16"/>
          <w:szCs w:val="16"/>
          <w:lang w:val="es-AR"/>
        </w:rPr>
      </w:pPr>
      <w:r w:rsidRPr="00FE71A0">
        <w:rPr>
          <w:rStyle w:val="FootnoteReference"/>
          <w:rFonts w:ascii="Verdana" w:hAnsi="Verdana"/>
          <w:sz w:val="16"/>
          <w:szCs w:val="16"/>
        </w:rPr>
        <w:footnoteRef/>
      </w:r>
      <w:r w:rsidRPr="00FE71A0">
        <w:rPr>
          <w:rFonts w:ascii="Verdana" w:hAnsi="Verdana"/>
          <w:sz w:val="16"/>
          <w:szCs w:val="16"/>
          <w:lang w:val="de-DE"/>
        </w:rPr>
        <w:t xml:space="preserve"> </w:t>
      </w:r>
      <w:r w:rsidRPr="00FE71A0">
        <w:rPr>
          <w:rFonts w:ascii="Verdana" w:hAnsi="Verdana"/>
          <w:sz w:val="16"/>
          <w:szCs w:val="16"/>
          <w:lang w:val="de-DE"/>
        </w:rPr>
        <w:tab/>
      </w:r>
      <w:r w:rsidRPr="00FE71A0">
        <w:rPr>
          <w:rFonts w:ascii="Verdana" w:hAnsi="Verdana"/>
          <w:i/>
          <w:noProof/>
          <w:color w:val="000000"/>
          <w:sz w:val="16"/>
          <w:szCs w:val="16"/>
          <w:lang w:val="de-DE"/>
        </w:rPr>
        <w:t xml:space="preserve">Cfr. Caso Ivcher Bronstein Vs. </w:t>
      </w:r>
      <w:r w:rsidRPr="00FE71A0">
        <w:rPr>
          <w:rFonts w:ascii="Verdana" w:hAnsi="Verdana"/>
          <w:i/>
          <w:noProof/>
          <w:color w:val="000000"/>
          <w:sz w:val="16"/>
          <w:szCs w:val="16"/>
          <w:lang w:val="es-ES"/>
        </w:rPr>
        <w:t>Perú. Competencia.</w:t>
      </w:r>
      <w:r w:rsidRPr="00FE71A0">
        <w:rPr>
          <w:rFonts w:ascii="Verdana" w:hAnsi="Verdana"/>
          <w:noProof/>
          <w:color w:val="000000"/>
          <w:sz w:val="16"/>
          <w:szCs w:val="16"/>
          <w:lang w:val="es-ES"/>
        </w:rPr>
        <w:t xml:space="preserve"> Sentencia de de la Corte Interamericana de Derechos Humanos de 24 de septiembre de 1999.</w:t>
      </w:r>
      <w:r w:rsidRPr="00FE71A0">
        <w:rPr>
          <w:rFonts w:ascii="Verdana" w:hAnsi="Verdana"/>
          <w:color w:val="000000"/>
          <w:sz w:val="16"/>
          <w:szCs w:val="16"/>
          <w:lang w:val="es-ES"/>
        </w:rPr>
        <w:t xml:space="preserve"> </w:t>
      </w:r>
      <w:r w:rsidRPr="00FE71A0">
        <w:rPr>
          <w:rFonts w:ascii="Verdana" w:hAnsi="Verdana"/>
          <w:noProof/>
          <w:color w:val="000000"/>
          <w:sz w:val="16"/>
          <w:szCs w:val="16"/>
          <w:lang w:val="es-ES"/>
        </w:rPr>
        <w:t xml:space="preserve">Serie C No. 54, párr. 37, </w:t>
      </w:r>
      <w:r w:rsidRPr="00FE71A0">
        <w:rPr>
          <w:rFonts w:ascii="Verdana" w:hAnsi="Verdana"/>
          <w:bCs/>
          <w:color w:val="000000"/>
          <w:sz w:val="16"/>
          <w:szCs w:val="16"/>
          <w:lang w:bidi="en-US"/>
        </w:rPr>
        <w:t xml:space="preserve">y </w:t>
      </w:r>
      <w:r w:rsidRPr="00FE71A0">
        <w:rPr>
          <w:rStyle w:val="Strong"/>
          <w:rFonts w:ascii="Verdana" w:hAnsi="Verdana"/>
          <w:b w:val="0"/>
          <w:i/>
          <w:color w:val="000000"/>
          <w:sz w:val="16"/>
          <w:szCs w:val="16"/>
          <w:shd w:val="clear" w:color="auto" w:fill="FFFFFF"/>
        </w:rPr>
        <w:t xml:space="preserve">Caso </w:t>
      </w:r>
      <w:r w:rsidR="008D5753">
        <w:rPr>
          <w:rStyle w:val="Strong"/>
          <w:rFonts w:ascii="Verdana" w:hAnsi="Verdana"/>
          <w:b w:val="0"/>
          <w:i/>
          <w:color w:val="000000"/>
          <w:sz w:val="16"/>
          <w:szCs w:val="16"/>
          <w:shd w:val="clear" w:color="auto" w:fill="FFFFFF"/>
        </w:rPr>
        <w:t>Familia Barrios</w:t>
      </w:r>
      <w:r w:rsidRPr="00FE71A0">
        <w:rPr>
          <w:rStyle w:val="Strong"/>
          <w:rFonts w:ascii="Verdana" w:hAnsi="Verdana"/>
          <w:b w:val="0"/>
          <w:i/>
          <w:color w:val="000000"/>
          <w:sz w:val="16"/>
          <w:szCs w:val="16"/>
          <w:shd w:val="clear" w:color="auto" w:fill="FFFFFF"/>
        </w:rPr>
        <w:t xml:space="preserve"> Vs. </w:t>
      </w:r>
      <w:r w:rsidR="008D5753">
        <w:rPr>
          <w:rStyle w:val="Strong"/>
          <w:rFonts w:ascii="Verdana" w:hAnsi="Verdana"/>
          <w:b w:val="0"/>
          <w:i/>
          <w:color w:val="000000"/>
          <w:sz w:val="16"/>
          <w:szCs w:val="16"/>
          <w:shd w:val="clear" w:color="auto" w:fill="FFFFFF"/>
        </w:rPr>
        <w:t>Venezuela</w:t>
      </w:r>
      <w:r w:rsidRPr="00FE71A0">
        <w:rPr>
          <w:rStyle w:val="Strong"/>
          <w:rFonts w:ascii="Verdana" w:hAnsi="Verdana"/>
          <w:b w:val="0"/>
          <w:i/>
          <w:color w:val="000000"/>
          <w:sz w:val="16"/>
          <w:szCs w:val="16"/>
          <w:shd w:val="clear" w:color="auto" w:fill="FFFFFF"/>
        </w:rPr>
        <w:t xml:space="preserve">. Supervisión de Cumplimiento de Sentencia. </w:t>
      </w:r>
      <w:r w:rsidRPr="00FE71A0">
        <w:rPr>
          <w:rStyle w:val="Strong"/>
          <w:rFonts w:ascii="Verdana" w:hAnsi="Verdana"/>
          <w:b w:val="0"/>
          <w:color w:val="000000"/>
          <w:sz w:val="16"/>
          <w:szCs w:val="16"/>
          <w:shd w:val="clear" w:color="auto" w:fill="FFFFFF"/>
        </w:rPr>
        <w:t xml:space="preserve">Resolución de la Corte Interamericana de Derechos Humanos de 2 de </w:t>
      </w:r>
      <w:r w:rsidR="008D5753">
        <w:rPr>
          <w:rStyle w:val="Strong"/>
          <w:rFonts w:ascii="Verdana" w:hAnsi="Verdana"/>
          <w:b w:val="0"/>
          <w:color w:val="000000"/>
          <w:sz w:val="16"/>
          <w:szCs w:val="16"/>
          <w:shd w:val="clear" w:color="auto" w:fill="FFFFFF"/>
        </w:rPr>
        <w:t>septiembre</w:t>
      </w:r>
      <w:r w:rsidR="008D5753" w:rsidRPr="00FE71A0">
        <w:rPr>
          <w:rStyle w:val="Strong"/>
          <w:rFonts w:ascii="Verdana" w:hAnsi="Verdana"/>
          <w:b w:val="0"/>
          <w:color w:val="000000"/>
          <w:sz w:val="16"/>
          <w:szCs w:val="16"/>
          <w:shd w:val="clear" w:color="auto" w:fill="FFFFFF"/>
        </w:rPr>
        <w:t xml:space="preserve"> </w:t>
      </w:r>
      <w:r w:rsidRPr="00FE71A0">
        <w:rPr>
          <w:rStyle w:val="Strong"/>
          <w:rFonts w:ascii="Verdana" w:hAnsi="Verdana"/>
          <w:b w:val="0"/>
          <w:color w:val="000000"/>
          <w:sz w:val="16"/>
          <w:szCs w:val="16"/>
          <w:shd w:val="clear" w:color="auto" w:fill="FFFFFF"/>
        </w:rPr>
        <w:t xml:space="preserve">de 2015, </w:t>
      </w:r>
      <w:r w:rsidRPr="00FE71A0">
        <w:rPr>
          <w:rFonts w:ascii="Verdana" w:hAnsi="Verdana"/>
          <w:bCs/>
          <w:color w:val="000000"/>
          <w:sz w:val="16"/>
          <w:szCs w:val="16"/>
          <w:lang w:val="es-AR"/>
        </w:rPr>
        <w:t>Considerando tercero.</w:t>
      </w:r>
    </w:p>
  </w:footnote>
  <w:footnote w:id="9">
    <w:p w14:paraId="105571D6" w14:textId="10EE2482" w:rsidR="00DD5C8C" w:rsidRPr="00917A43" w:rsidRDefault="00DD5C8C" w:rsidP="00EF6D34">
      <w:pPr>
        <w:pStyle w:val="FootnoteText"/>
        <w:jc w:val="both"/>
        <w:rPr>
          <w:rFonts w:ascii="Verdana" w:hAnsi="Verdana"/>
          <w:sz w:val="16"/>
          <w:szCs w:val="16"/>
        </w:rPr>
      </w:pPr>
      <w:r w:rsidRPr="00381458">
        <w:rPr>
          <w:rStyle w:val="FootnoteReference"/>
          <w:rFonts w:ascii="Verdana" w:hAnsi="Verdana"/>
          <w:sz w:val="16"/>
          <w:szCs w:val="16"/>
        </w:rPr>
        <w:footnoteRef/>
      </w:r>
      <w:r w:rsidRPr="00381458">
        <w:rPr>
          <w:rFonts w:ascii="Verdana" w:hAnsi="Verdana"/>
          <w:sz w:val="16"/>
          <w:szCs w:val="16"/>
        </w:rPr>
        <w:t xml:space="preserve"> </w:t>
      </w:r>
      <w:r w:rsidRPr="00381458">
        <w:rPr>
          <w:rFonts w:ascii="Verdana" w:hAnsi="Verdana"/>
          <w:sz w:val="16"/>
          <w:szCs w:val="16"/>
        </w:rPr>
        <w:tab/>
      </w:r>
      <w:r>
        <w:rPr>
          <w:rFonts w:ascii="Verdana" w:hAnsi="Verdana"/>
          <w:sz w:val="16"/>
          <w:szCs w:val="16"/>
        </w:rPr>
        <w:t>E</w:t>
      </w:r>
      <w:r w:rsidRPr="00381458">
        <w:rPr>
          <w:rFonts w:ascii="Verdana" w:hAnsi="Verdana"/>
          <w:sz w:val="16"/>
          <w:szCs w:val="16"/>
        </w:rPr>
        <w:t xml:space="preserve">n la etapa de fondo del presente caso los representantes de la víctima solicitaron </w:t>
      </w:r>
      <w:r>
        <w:rPr>
          <w:rFonts w:ascii="Verdana" w:hAnsi="Verdana"/>
          <w:sz w:val="16"/>
          <w:szCs w:val="16"/>
        </w:rPr>
        <w:t xml:space="preserve">a la Corte que declarara una violación al principio de legalidad y como reparación </w:t>
      </w:r>
      <w:r w:rsidRPr="00381458">
        <w:rPr>
          <w:rFonts w:ascii="Verdana" w:hAnsi="Verdana"/>
          <w:sz w:val="16"/>
          <w:szCs w:val="16"/>
        </w:rPr>
        <w:t xml:space="preserve">“que se </w:t>
      </w:r>
      <w:proofErr w:type="spellStart"/>
      <w:r w:rsidRPr="00381458">
        <w:rPr>
          <w:rFonts w:ascii="Verdana" w:hAnsi="Verdana"/>
          <w:sz w:val="16"/>
          <w:szCs w:val="16"/>
        </w:rPr>
        <w:t>declar</w:t>
      </w:r>
      <w:proofErr w:type="spellEnd"/>
      <w:r w:rsidR="00794D2E">
        <w:rPr>
          <w:rFonts w:ascii="Verdana" w:hAnsi="Verdana"/>
          <w:sz w:val="16"/>
          <w:szCs w:val="16"/>
        </w:rPr>
        <w:t>[ara]</w:t>
      </w:r>
      <w:r w:rsidRPr="00381458">
        <w:rPr>
          <w:rFonts w:ascii="Verdana" w:hAnsi="Verdana"/>
          <w:sz w:val="16"/>
          <w:szCs w:val="16"/>
        </w:rPr>
        <w:t xml:space="preserve"> la ‘nulidad o invalidez’ de la sentencia de condena de segunda instancia que revocó la sentencia absolutoria dictada en un proceso penal regular, llevado a cabo de la conformidad con la legislación procesal argentina, y afirmaron que ‘de no declarar la nulidad o invalidez de las resoluciones judiciales que rechazaron los recursos extraordinario, de queja y de reposición [sic], la condena impuesta al [señor] Mohamed seguirá existiendo en los registros de antecedentes […] sin brindársele chance alguna de lograr un doble conforme por parte de un tribunal superior’. También indicaron que </w:t>
      </w:r>
      <w:proofErr w:type="spellStart"/>
      <w:proofErr w:type="gramStart"/>
      <w:r w:rsidR="00794D2E" w:rsidRPr="00381458">
        <w:rPr>
          <w:rFonts w:ascii="Verdana" w:hAnsi="Verdana"/>
          <w:sz w:val="16"/>
          <w:szCs w:val="16"/>
        </w:rPr>
        <w:t>deb</w:t>
      </w:r>
      <w:proofErr w:type="spellEnd"/>
      <w:r w:rsidR="00794D2E">
        <w:rPr>
          <w:rFonts w:ascii="Verdana" w:hAnsi="Verdana"/>
          <w:sz w:val="16"/>
          <w:szCs w:val="16"/>
        </w:rPr>
        <w:t>[</w:t>
      </w:r>
      <w:proofErr w:type="spellStart"/>
      <w:proofErr w:type="gramEnd"/>
      <w:r w:rsidR="00794D2E">
        <w:rPr>
          <w:rFonts w:ascii="Verdana" w:hAnsi="Verdana"/>
          <w:sz w:val="16"/>
          <w:szCs w:val="16"/>
        </w:rPr>
        <w:t>ía</w:t>
      </w:r>
      <w:proofErr w:type="spellEnd"/>
      <w:r w:rsidR="00794D2E">
        <w:rPr>
          <w:rFonts w:ascii="Verdana" w:hAnsi="Verdana"/>
          <w:sz w:val="16"/>
          <w:szCs w:val="16"/>
        </w:rPr>
        <w:t>]</w:t>
      </w:r>
      <w:r w:rsidR="00794D2E" w:rsidRPr="00381458">
        <w:rPr>
          <w:rFonts w:ascii="Verdana" w:hAnsi="Verdana"/>
          <w:sz w:val="16"/>
          <w:szCs w:val="16"/>
        </w:rPr>
        <w:t xml:space="preserve"> </w:t>
      </w:r>
      <w:r w:rsidRPr="00381458">
        <w:rPr>
          <w:rFonts w:ascii="Verdana" w:hAnsi="Verdana"/>
          <w:sz w:val="16"/>
          <w:szCs w:val="16"/>
        </w:rPr>
        <w:t xml:space="preserve">otorgarse al señor Mohamed la oportunidad de interponer nuevamente los recursos que le fueron rechazados, con el fin de que se revise su condena y ‘lograr [así] que el Estado argentino se pronuncie sobre la legalidad y la convencionalidad de la condena’”. </w:t>
      </w:r>
      <w:r w:rsidRPr="00381458">
        <w:rPr>
          <w:rFonts w:ascii="Verdana" w:hAnsi="Verdana"/>
          <w:i/>
          <w:sz w:val="16"/>
          <w:szCs w:val="16"/>
        </w:rPr>
        <w:t xml:space="preserve">Cfr. </w:t>
      </w:r>
      <w:r w:rsidRPr="00381458">
        <w:rPr>
          <w:rStyle w:val="Strong"/>
          <w:rFonts w:ascii="Verdana" w:hAnsi="Verdana"/>
          <w:b w:val="0"/>
          <w:i/>
          <w:sz w:val="16"/>
          <w:szCs w:val="16"/>
          <w:shd w:val="clear" w:color="auto" w:fill="FFFFFF"/>
        </w:rPr>
        <w:t xml:space="preserve">Caso Mohamed Vs. </w:t>
      </w:r>
      <w:r>
        <w:rPr>
          <w:rStyle w:val="Strong"/>
          <w:rFonts w:ascii="Verdana" w:hAnsi="Verdana"/>
          <w:b w:val="0"/>
          <w:i/>
          <w:sz w:val="16"/>
          <w:szCs w:val="16"/>
          <w:shd w:val="clear" w:color="auto" w:fill="FFFFFF"/>
        </w:rPr>
        <w:t>Argentina</w:t>
      </w:r>
      <w:r w:rsidRPr="00381458">
        <w:rPr>
          <w:rStyle w:val="Strong"/>
          <w:rFonts w:ascii="Verdana" w:hAnsi="Verdana"/>
          <w:b w:val="0"/>
          <w:i/>
          <w:sz w:val="16"/>
          <w:szCs w:val="16"/>
          <w:shd w:val="clear" w:color="auto" w:fill="FFFFFF"/>
        </w:rPr>
        <w:t>, supra</w:t>
      </w:r>
      <w:r w:rsidR="00794D2E">
        <w:rPr>
          <w:rStyle w:val="Strong"/>
          <w:rFonts w:ascii="Verdana" w:hAnsi="Verdana"/>
          <w:b w:val="0"/>
          <w:sz w:val="16"/>
          <w:szCs w:val="16"/>
          <w:shd w:val="clear" w:color="auto" w:fill="FFFFFF"/>
        </w:rPr>
        <w:t xml:space="preserve"> nota 1</w:t>
      </w:r>
      <w:r w:rsidRPr="00381458">
        <w:rPr>
          <w:rStyle w:val="Strong"/>
          <w:rFonts w:ascii="Verdana" w:hAnsi="Verdana"/>
          <w:b w:val="0"/>
          <w:i/>
          <w:sz w:val="16"/>
          <w:szCs w:val="16"/>
          <w:shd w:val="clear" w:color="auto" w:fill="FFFFFF"/>
        </w:rPr>
        <w:t xml:space="preserve">, </w:t>
      </w:r>
      <w:r w:rsidRPr="00381458">
        <w:rPr>
          <w:rStyle w:val="Strong"/>
          <w:rFonts w:ascii="Verdana" w:hAnsi="Verdana"/>
          <w:b w:val="0"/>
          <w:sz w:val="16"/>
          <w:szCs w:val="16"/>
          <w:shd w:val="clear" w:color="auto" w:fill="FFFFFF"/>
        </w:rPr>
        <w:t>párr. 149.</w:t>
      </w:r>
    </w:p>
  </w:footnote>
  <w:footnote w:id="10">
    <w:p w14:paraId="38FCCD33" w14:textId="5EC9F372" w:rsidR="00DD5C8C" w:rsidRPr="00381458" w:rsidRDefault="00DD5C8C" w:rsidP="00EF6D34">
      <w:pPr>
        <w:pStyle w:val="FootnoteText"/>
        <w:jc w:val="both"/>
        <w:rPr>
          <w:rFonts w:ascii="Verdana" w:hAnsi="Verdana"/>
          <w:sz w:val="16"/>
          <w:szCs w:val="16"/>
        </w:rPr>
      </w:pPr>
      <w:r w:rsidRPr="00381458">
        <w:rPr>
          <w:rStyle w:val="FootnoteReference"/>
          <w:rFonts w:ascii="Verdana" w:hAnsi="Verdana"/>
          <w:sz w:val="16"/>
          <w:szCs w:val="16"/>
        </w:rPr>
        <w:footnoteRef/>
      </w:r>
      <w:r w:rsidRPr="00381458">
        <w:rPr>
          <w:rFonts w:ascii="Verdana" w:hAnsi="Verdana"/>
          <w:sz w:val="16"/>
          <w:szCs w:val="16"/>
        </w:rPr>
        <w:t xml:space="preserve"> </w:t>
      </w:r>
      <w:r w:rsidRPr="00381458">
        <w:rPr>
          <w:rFonts w:ascii="Verdana" w:hAnsi="Verdana"/>
          <w:sz w:val="16"/>
          <w:szCs w:val="16"/>
        </w:rPr>
        <w:tab/>
        <w:t xml:space="preserve">El </w:t>
      </w:r>
      <w:r w:rsidRPr="001C5228">
        <w:rPr>
          <w:rFonts w:ascii="Verdana" w:hAnsi="Verdana"/>
          <w:i/>
          <w:sz w:val="16"/>
          <w:szCs w:val="16"/>
        </w:rPr>
        <w:t xml:space="preserve">representante </w:t>
      </w:r>
      <w:r w:rsidRPr="00381458">
        <w:rPr>
          <w:rFonts w:ascii="Verdana" w:hAnsi="Verdana"/>
          <w:sz w:val="16"/>
          <w:szCs w:val="16"/>
        </w:rPr>
        <w:t xml:space="preserve">explicó que la condena del señor Mohamed no existe en los registros de antecedentes en razón de lo dispuesto en el artículo 51 del Código Penal de Argentina que </w:t>
      </w:r>
      <w:r>
        <w:rPr>
          <w:rFonts w:ascii="Verdana" w:hAnsi="Verdana"/>
          <w:sz w:val="16"/>
          <w:szCs w:val="16"/>
        </w:rPr>
        <w:t>estipula</w:t>
      </w:r>
      <w:r w:rsidRPr="00381458">
        <w:rPr>
          <w:rFonts w:ascii="Verdana" w:hAnsi="Verdana"/>
          <w:sz w:val="16"/>
          <w:szCs w:val="16"/>
        </w:rPr>
        <w:t xml:space="preserve"> la caducidad de los antecedentes condenatorios por el transcurso del tiempo. </w:t>
      </w:r>
      <w:r w:rsidR="000E2FEC" w:rsidRPr="00D723F4">
        <w:rPr>
          <w:rFonts w:ascii="Verdana" w:hAnsi="Verdana"/>
          <w:sz w:val="16"/>
          <w:szCs w:val="16"/>
        </w:rPr>
        <w:t>S</w:t>
      </w:r>
      <w:r>
        <w:rPr>
          <w:rFonts w:ascii="Verdana" w:hAnsi="Verdana"/>
          <w:sz w:val="16"/>
          <w:szCs w:val="16"/>
        </w:rPr>
        <w:t xml:space="preserve">eñaló que </w:t>
      </w:r>
      <w:r w:rsidRPr="00381458">
        <w:rPr>
          <w:rFonts w:ascii="Verdana" w:hAnsi="Verdana"/>
          <w:sz w:val="16"/>
          <w:szCs w:val="16"/>
        </w:rPr>
        <w:t xml:space="preserve">el referido artículo dispone que “‘[e]l registro de las sentencias condenatorias caducará a todos sus efectos: 1. Después de transcurridos diez años desde la Sentencia […] para las condenas condicionales’”. En ese sentido, sostuvo que para el caso del señor Mohamed “el plazo establecido en [dicho] artículo se encuentra por demás cumplido”, y ante la inexistencia de condena “mal podría recurrirse […] o suspenderse la registración”. </w:t>
      </w:r>
    </w:p>
  </w:footnote>
  <w:footnote w:id="11">
    <w:p w14:paraId="5558E8AE" w14:textId="048D3642" w:rsidR="00DD5C8C" w:rsidRPr="00381458" w:rsidRDefault="00DD5C8C">
      <w:pPr>
        <w:pStyle w:val="FootnoteText"/>
      </w:pPr>
      <w:r w:rsidRPr="00381458">
        <w:rPr>
          <w:rStyle w:val="FootnoteReference"/>
          <w:rFonts w:ascii="Verdana" w:hAnsi="Verdana"/>
          <w:sz w:val="16"/>
          <w:szCs w:val="16"/>
        </w:rPr>
        <w:footnoteRef/>
      </w:r>
      <w:r w:rsidRPr="00381458">
        <w:rPr>
          <w:rFonts w:ascii="Verdana" w:hAnsi="Verdana"/>
          <w:sz w:val="16"/>
          <w:szCs w:val="16"/>
        </w:rPr>
        <w:t xml:space="preserve"> </w:t>
      </w:r>
      <w:r w:rsidRPr="00381458">
        <w:rPr>
          <w:rFonts w:ascii="Verdana" w:hAnsi="Verdana"/>
          <w:sz w:val="16"/>
          <w:szCs w:val="16"/>
        </w:rPr>
        <w:tab/>
      </w:r>
      <w:r w:rsidRPr="00381458">
        <w:rPr>
          <w:rFonts w:ascii="Verdana" w:hAnsi="Verdana"/>
          <w:i/>
          <w:sz w:val="16"/>
          <w:szCs w:val="16"/>
        </w:rPr>
        <w:t>Cfr.</w:t>
      </w:r>
      <w:r w:rsidRPr="00381458">
        <w:rPr>
          <w:rFonts w:ascii="Verdana" w:hAnsi="Verdana"/>
          <w:sz w:val="16"/>
          <w:szCs w:val="16"/>
        </w:rPr>
        <w:t xml:space="preserve"> </w:t>
      </w:r>
      <w:r w:rsidR="00FC757C">
        <w:rPr>
          <w:rFonts w:ascii="Verdana" w:hAnsi="Verdana"/>
          <w:sz w:val="16"/>
          <w:szCs w:val="16"/>
        </w:rPr>
        <w:t>N</w:t>
      </w:r>
      <w:r w:rsidRPr="00381458">
        <w:rPr>
          <w:rFonts w:ascii="Verdana" w:hAnsi="Verdana"/>
          <w:sz w:val="16"/>
          <w:szCs w:val="16"/>
        </w:rPr>
        <w:t xml:space="preserve">ota de la Secretaría de la Corte de 23 de septiembre de 2014. </w:t>
      </w:r>
    </w:p>
  </w:footnote>
  <w:footnote w:id="12">
    <w:p w14:paraId="4EE33C2B" w14:textId="1B308416" w:rsidR="00DD5C8C" w:rsidRPr="00381458" w:rsidRDefault="00DD5C8C" w:rsidP="00381458">
      <w:pPr>
        <w:pStyle w:val="FootnoteText"/>
        <w:jc w:val="both"/>
        <w:rPr>
          <w:rFonts w:ascii="Verdana" w:hAnsi="Verdana"/>
          <w:sz w:val="16"/>
          <w:szCs w:val="16"/>
        </w:rPr>
      </w:pPr>
      <w:r w:rsidRPr="00381458">
        <w:rPr>
          <w:rStyle w:val="FootnoteReference"/>
          <w:rFonts w:ascii="Verdana" w:hAnsi="Verdana"/>
          <w:sz w:val="16"/>
          <w:szCs w:val="16"/>
        </w:rPr>
        <w:footnoteRef/>
      </w:r>
      <w:r w:rsidRPr="00381458">
        <w:rPr>
          <w:rFonts w:ascii="Verdana" w:hAnsi="Verdana"/>
          <w:sz w:val="16"/>
          <w:szCs w:val="16"/>
        </w:rPr>
        <w:t xml:space="preserve"> </w:t>
      </w:r>
      <w:r w:rsidRPr="00381458">
        <w:rPr>
          <w:rFonts w:ascii="Verdana" w:hAnsi="Verdana"/>
          <w:sz w:val="16"/>
          <w:szCs w:val="16"/>
        </w:rPr>
        <w:tab/>
        <w:t xml:space="preserve">El </w:t>
      </w:r>
      <w:r w:rsidRPr="001C5228">
        <w:rPr>
          <w:rFonts w:ascii="Verdana" w:hAnsi="Verdana"/>
          <w:i/>
          <w:sz w:val="16"/>
          <w:szCs w:val="16"/>
        </w:rPr>
        <w:t>Estado</w:t>
      </w:r>
      <w:r w:rsidRPr="00381458">
        <w:rPr>
          <w:rFonts w:ascii="Verdana" w:hAnsi="Verdana"/>
          <w:sz w:val="16"/>
          <w:szCs w:val="16"/>
        </w:rPr>
        <w:t xml:space="preserve"> informó en enero de 2014 que “la Secretaría de Derechos Humanos de la Nación […] </w:t>
      </w:r>
      <w:proofErr w:type="spellStart"/>
      <w:r w:rsidRPr="00381458">
        <w:rPr>
          <w:rFonts w:ascii="Verdana" w:hAnsi="Verdana"/>
          <w:sz w:val="16"/>
          <w:szCs w:val="16"/>
        </w:rPr>
        <w:t>remiti</w:t>
      </w:r>
      <w:proofErr w:type="spellEnd"/>
      <w:r w:rsidRPr="00381458">
        <w:rPr>
          <w:rFonts w:ascii="Verdana" w:hAnsi="Verdana"/>
          <w:sz w:val="16"/>
          <w:szCs w:val="16"/>
        </w:rPr>
        <w:t>[</w:t>
      </w:r>
      <w:proofErr w:type="spellStart"/>
      <w:r w:rsidRPr="00381458">
        <w:rPr>
          <w:rFonts w:ascii="Verdana" w:hAnsi="Verdana"/>
          <w:sz w:val="16"/>
          <w:szCs w:val="16"/>
        </w:rPr>
        <w:t>ó</w:t>
      </w:r>
      <w:proofErr w:type="spellEnd"/>
      <w:r w:rsidRPr="00381458">
        <w:rPr>
          <w:rFonts w:ascii="Verdana" w:hAnsi="Verdana"/>
          <w:sz w:val="16"/>
          <w:szCs w:val="16"/>
        </w:rPr>
        <w:t xml:space="preserve">] la Sentencia </w:t>
      </w:r>
      <w:r w:rsidR="00D27CA0" w:rsidRPr="00381458">
        <w:rPr>
          <w:rFonts w:ascii="Verdana" w:hAnsi="Verdana"/>
          <w:sz w:val="16"/>
          <w:szCs w:val="16"/>
        </w:rPr>
        <w:t>[</w:t>
      </w:r>
      <w:r w:rsidR="00D27CA0">
        <w:rPr>
          <w:rFonts w:ascii="Verdana" w:hAnsi="Verdana"/>
          <w:sz w:val="16"/>
          <w:szCs w:val="16"/>
        </w:rPr>
        <w:t>emitida por este Tribunal</w:t>
      </w:r>
      <w:r w:rsidR="00D27CA0" w:rsidRPr="00381458">
        <w:rPr>
          <w:rFonts w:ascii="Verdana" w:hAnsi="Verdana"/>
          <w:sz w:val="16"/>
          <w:szCs w:val="16"/>
        </w:rPr>
        <w:t xml:space="preserve">] </w:t>
      </w:r>
      <w:r w:rsidRPr="00381458">
        <w:rPr>
          <w:rFonts w:ascii="Verdana" w:hAnsi="Verdana"/>
          <w:sz w:val="16"/>
          <w:szCs w:val="16"/>
        </w:rPr>
        <w:t xml:space="preserve">a la Corte Suprema de Justicia de la Nación a fin de que se tome la intervención que por su competencia le corresponde”, y en abril de 2014 remitió copia de una resolución de 27 de marzo de 2012 emitida por dicha corte en la cual “los Ministros […] </w:t>
      </w:r>
      <w:proofErr w:type="spellStart"/>
      <w:r w:rsidRPr="00381458">
        <w:rPr>
          <w:rFonts w:ascii="Verdana" w:hAnsi="Verdana"/>
          <w:sz w:val="16"/>
          <w:szCs w:val="16"/>
        </w:rPr>
        <w:t>decidi</w:t>
      </w:r>
      <w:proofErr w:type="spellEnd"/>
      <w:r w:rsidRPr="00381458">
        <w:rPr>
          <w:rFonts w:ascii="Verdana" w:hAnsi="Verdana"/>
          <w:sz w:val="16"/>
          <w:szCs w:val="16"/>
        </w:rPr>
        <w:t>[</w:t>
      </w:r>
      <w:proofErr w:type="spellStart"/>
      <w:r w:rsidRPr="00381458">
        <w:rPr>
          <w:rFonts w:ascii="Verdana" w:hAnsi="Verdana"/>
          <w:sz w:val="16"/>
          <w:szCs w:val="16"/>
        </w:rPr>
        <w:t>eron</w:t>
      </w:r>
      <w:proofErr w:type="spellEnd"/>
      <w:r w:rsidRPr="00381458">
        <w:rPr>
          <w:rFonts w:ascii="Verdana" w:hAnsi="Verdana"/>
          <w:sz w:val="16"/>
          <w:szCs w:val="16"/>
        </w:rPr>
        <w:t xml:space="preserve">] por mayoría, remitir copia de las […] actuaciones a la Sala I de la Cámara Nacional de Apelaciones en lo Criminal y Correccional, a fin de que adopte las medidas conducentes para dar cumplimiento con lo ordenado por la Corte” en el presente caso. Asimismo, aportó copia de una resolución emitida el 5 de mayo de 2014 por la referida Sala, en la cual resolvió, </w:t>
      </w:r>
      <w:r w:rsidRPr="00381458">
        <w:rPr>
          <w:rFonts w:ascii="Verdana" w:hAnsi="Verdana"/>
          <w:i/>
          <w:sz w:val="16"/>
          <w:szCs w:val="16"/>
        </w:rPr>
        <w:t>inter alia</w:t>
      </w:r>
      <w:r w:rsidRPr="00381458">
        <w:rPr>
          <w:rFonts w:ascii="Verdana" w:hAnsi="Verdana"/>
          <w:sz w:val="16"/>
          <w:szCs w:val="16"/>
        </w:rPr>
        <w:t xml:space="preserve">, “suspender los efectos de la sentencia [condenatoria] emitida por [esa] sala el 22 de febrero de 1995” y “comunicar lo resuelto al Registro Nacional de Reincidencia y Estadística Criminal”. </w:t>
      </w:r>
      <w:r w:rsidRPr="00381458">
        <w:rPr>
          <w:rFonts w:ascii="Verdana" w:hAnsi="Verdana"/>
          <w:b/>
          <w:sz w:val="16"/>
          <w:szCs w:val="16"/>
        </w:rPr>
        <w:t>[F. 317-319]</w:t>
      </w:r>
      <w:r w:rsidRPr="00381458">
        <w:rPr>
          <w:rFonts w:ascii="Verdana" w:hAnsi="Verdana"/>
          <w:sz w:val="16"/>
          <w:szCs w:val="16"/>
        </w:rPr>
        <w:t xml:space="preserve"> Adicionalmente, el Estado aportó una copia de la resolución emitida el 25 de marzo de 2015 por la Corte Suprema de Justicia en la cual resolvió, </w:t>
      </w:r>
      <w:r w:rsidRPr="00381458">
        <w:rPr>
          <w:rFonts w:ascii="Verdana" w:hAnsi="Verdana"/>
          <w:i/>
          <w:sz w:val="16"/>
          <w:szCs w:val="16"/>
        </w:rPr>
        <w:t xml:space="preserve">inter </w:t>
      </w:r>
      <w:proofErr w:type="spellStart"/>
      <w:r w:rsidRPr="00381458">
        <w:rPr>
          <w:rFonts w:ascii="Verdana" w:hAnsi="Verdana"/>
          <w:i/>
          <w:sz w:val="16"/>
          <w:szCs w:val="16"/>
        </w:rPr>
        <w:t>alia</w:t>
      </w:r>
      <w:proofErr w:type="spellEnd"/>
      <w:r w:rsidRPr="00381458">
        <w:rPr>
          <w:rFonts w:ascii="Verdana" w:hAnsi="Verdana"/>
          <w:sz w:val="16"/>
          <w:szCs w:val="16"/>
        </w:rPr>
        <w:t>, “[o]</w:t>
      </w:r>
      <w:proofErr w:type="spellStart"/>
      <w:r w:rsidRPr="00381458">
        <w:rPr>
          <w:rFonts w:ascii="Verdana" w:hAnsi="Verdana"/>
          <w:sz w:val="16"/>
          <w:szCs w:val="16"/>
        </w:rPr>
        <w:t>rdenar</w:t>
      </w:r>
      <w:proofErr w:type="spellEnd"/>
      <w:r w:rsidRPr="00381458">
        <w:rPr>
          <w:rFonts w:ascii="Verdana" w:hAnsi="Verdana"/>
          <w:sz w:val="16"/>
          <w:szCs w:val="16"/>
        </w:rPr>
        <w:t xml:space="preserve"> a la Cámara Nacional de Apelaciones en lo Criminal y Correccional que reconstruya el expediente judicial en el que tramitó la condena en contra de Oscar Alberto Mohamed por homicidio culposo con las constancias que obraren en poder de los tribunales que intervinieron en su tramitación” y, una vez cumplido con ello, “requerir a esa instancia que designe una nueva sala para que proceda a la revisión de la sentencia dictada con fecha 22 de febrero de 1995 por la Sala Primera en la causa nro. 44.065 ‘Mohamed, Oscar Alberto- Homicidio Culposo’, en los términos del artículo 8.2.h de la Convención Americana […] y de la interpretación que sobre esta disposición ha formulado la Corte Interamericana […] en su sentencia ‘Mohamed Vs. Argentina’”. </w:t>
      </w:r>
      <w:r w:rsidR="0042644B">
        <w:rPr>
          <w:rFonts w:ascii="Verdana" w:hAnsi="Verdana"/>
          <w:sz w:val="16"/>
          <w:szCs w:val="16"/>
        </w:rPr>
        <w:t>L</w:t>
      </w:r>
      <w:r w:rsidRPr="00381458">
        <w:rPr>
          <w:rFonts w:ascii="Verdana" w:hAnsi="Verdana"/>
          <w:sz w:val="16"/>
          <w:szCs w:val="16"/>
        </w:rPr>
        <w:t>a Corte Suprema de Justicia hizo notar que “esta decisión se dicta[</w:t>
      </w:r>
      <w:proofErr w:type="spellStart"/>
      <w:r w:rsidRPr="00381458">
        <w:rPr>
          <w:rFonts w:ascii="Verdana" w:hAnsi="Verdana"/>
          <w:sz w:val="16"/>
          <w:szCs w:val="16"/>
        </w:rPr>
        <w:t>ba</w:t>
      </w:r>
      <w:proofErr w:type="spellEnd"/>
      <w:r w:rsidRPr="00381458">
        <w:rPr>
          <w:rFonts w:ascii="Verdana" w:hAnsi="Verdana"/>
          <w:sz w:val="16"/>
          <w:szCs w:val="16"/>
        </w:rPr>
        <w:t>] a fin de asegurar el cumplimiento del […] fallo [de la Corte Interamericana] y ello sin perjuicio de que [ésta] eventualmente pueda resolver respecto de la presentación [….] en la que el defensor interamericano […] durante la etapa de supervisión de cumplimiento […] planteó su interés para que se exima a Argentina de cumplir con los puntos 2 y 3 de la parte resolutiva del pronunciamiento cuya ejecución […] se ordena [en esta decisión] con base en que ya habían transcurrido los plazos de caducidad registral previstos en el artículo 51 del Código Penal”.</w:t>
      </w:r>
    </w:p>
  </w:footnote>
  <w:footnote w:id="13">
    <w:p w14:paraId="7E88191B" w14:textId="658884C7" w:rsidR="00DD5C8C" w:rsidRPr="00E048CC" w:rsidRDefault="00DD5C8C" w:rsidP="00E048CC">
      <w:pPr>
        <w:pStyle w:val="FootnoteText"/>
        <w:jc w:val="both"/>
        <w:rPr>
          <w:rFonts w:ascii="Verdana" w:hAnsi="Verdana"/>
          <w:sz w:val="16"/>
          <w:szCs w:val="16"/>
        </w:rPr>
      </w:pPr>
      <w:r w:rsidRPr="00381458">
        <w:rPr>
          <w:rStyle w:val="FootnoteReference"/>
          <w:rFonts w:ascii="Verdana" w:hAnsi="Verdana"/>
          <w:sz w:val="16"/>
          <w:szCs w:val="16"/>
        </w:rPr>
        <w:footnoteRef/>
      </w:r>
      <w:r w:rsidRPr="00381458">
        <w:rPr>
          <w:rFonts w:ascii="Verdana" w:hAnsi="Verdana"/>
          <w:sz w:val="16"/>
          <w:szCs w:val="16"/>
        </w:rPr>
        <w:t xml:space="preserve"> </w:t>
      </w:r>
      <w:r w:rsidRPr="00381458">
        <w:rPr>
          <w:rFonts w:ascii="Verdana" w:hAnsi="Verdana"/>
          <w:sz w:val="16"/>
          <w:szCs w:val="16"/>
        </w:rPr>
        <w:tab/>
        <w:t xml:space="preserve">La </w:t>
      </w:r>
      <w:r w:rsidRPr="001C5228">
        <w:rPr>
          <w:rFonts w:ascii="Verdana" w:hAnsi="Verdana"/>
          <w:i/>
          <w:sz w:val="16"/>
          <w:szCs w:val="16"/>
        </w:rPr>
        <w:t>Comisión</w:t>
      </w:r>
      <w:r w:rsidRPr="00381458">
        <w:rPr>
          <w:rFonts w:ascii="Verdana" w:hAnsi="Verdana"/>
          <w:sz w:val="16"/>
          <w:szCs w:val="16"/>
        </w:rPr>
        <w:t xml:space="preserve"> “</w:t>
      </w:r>
      <w:proofErr w:type="spellStart"/>
      <w:r w:rsidRPr="00381458">
        <w:rPr>
          <w:rFonts w:ascii="Verdana" w:hAnsi="Verdana"/>
          <w:sz w:val="16"/>
          <w:szCs w:val="16"/>
        </w:rPr>
        <w:t>tom</w:t>
      </w:r>
      <w:proofErr w:type="spellEnd"/>
      <w:r w:rsidRPr="00381458">
        <w:rPr>
          <w:rFonts w:ascii="Verdana" w:hAnsi="Verdana"/>
          <w:sz w:val="16"/>
          <w:szCs w:val="16"/>
        </w:rPr>
        <w:t>[</w:t>
      </w:r>
      <w:proofErr w:type="spellStart"/>
      <w:r w:rsidRPr="00381458">
        <w:rPr>
          <w:rFonts w:ascii="Verdana" w:hAnsi="Verdana"/>
          <w:sz w:val="16"/>
          <w:szCs w:val="16"/>
        </w:rPr>
        <w:t>ó</w:t>
      </w:r>
      <w:proofErr w:type="spellEnd"/>
      <w:r w:rsidRPr="00381458">
        <w:rPr>
          <w:rFonts w:ascii="Verdana" w:hAnsi="Verdana"/>
          <w:sz w:val="16"/>
          <w:szCs w:val="16"/>
        </w:rPr>
        <w:t xml:space="preserve">] nota de la información aportada por </w:t>
      </w:r>
      <w:r w:rsidR="00BE7C18">
        <w:rPr>
          <w:rFonts w:ascii="Verdana" w:hAnsi="Verdana"/>
          <w:sz w:val="16"/>
          <w:szCs w:val="16"/>
        </w:rPr>
        <w:t>[el]</w:t>
      </w:r>
      <w:r w:rsidR="00BE7C18" w:rsidRPr="00381458">
        <w:rPr>
          <w:rFonts w:ascii="Verdana" w:hAnsi="Verdana"/>
          <w:sz w:val="16"/>
          <w:szCs w:val="16"/>
        </w:rPr>
        <w:t xml:space="preserve"> </w:t>
      </w:r>
      <w:proofErr w:type="gramStart"/>
      <w:r w:rsidRPr="00381458">
        <w:rPr>
          <w:rFonts w:ascii="Verdana" w:hAnsi="Verdana"/>
          <w:sz w:val="16"/>
          <w:szCs w:val="16"/>
        </w:rPr>
        <w:t>representante</w:t>
      </w:r>
      <w:r w:rsidR="00BE7C18">
        <w:rPr>
          <w:rFonts w:ascii="Verdana" w:hAnsi="Verdana"/>
          <w:sz w:val="16"/>
          <w:szCs w:val="16"/>
        </w:rPr>
        <w:t>[</w:t>
      </w:r>
      <w:proofErr w:type="gramEnd"/>
      <w:r w:rsidR="00BE7C18">
        <w:rPr>
          <w:rFonts w:ascii="Verdana" w:hAnsi="Verdana"/>
          <w:sz w:val="16"/>
          <w:szCs w:val="16"/>
        </w:rPr>
        <w:t>…]</w:t>
      </w:r>
      <w:r w:rsidRPr="00381458">
        <w:rPr>
          <w:rFonts w:ascii="Verdana" w:hAnsi="Verdana"/>
          <w:sz w:val="16"/>
          <w:szCs w:val="16"/>
        </w:rPr>
        <w:t xml:space="preserve"> así como de las posibles afecciones indicadas”. Al respecto, señaló que “ha analizado varios casos de condenas penales emitidas en violación a garantías al debido proceso, particularmente el derecho a una revisión, que presentaron desafíos similares”, y que “[e]n dichos casos en general, al momento de formular las recomendaciones, la Comisión se ha referido a la realización de un nuevo proceso penal en el cual se cumplan las garantías del debido proceso”. Sin embargo, sostuvo que “en un importante número de casos […] ha condicionado esta recomendación a la voluntad de la víctima”. </w:t>
      </w:r>
    </w:p>
  </w:footnote>
  <w:footnote w:id="14">
    <w:p w14:paraId="463818B2" w14:textId="70A46ACC" w:rsidR="00DD5C8C" w:rsidRPr="007C1A42" w:rsidRDefault="00DD5C8C" w:rsidP="007C1A42">
      <w:pPr>
        <w:pStyle w:val="FootnoteText"/>
        <w:jc w:val="both"/>
        <w:rPr>
          <w:rFonts w:ascii="Verdana" w:hAnsi="Verdana"/>
          <w:sz w:val="16"/>
          <w:szCs w:val="16"/>
        </w:rPr>
      </w:pPr>
      <w:r w:rsidRPr="007C1A42">
        <w:rPr>
          <w:rStyle w:val="FootnoteReference"/>
          <w:rFonts w:ascii="Verdana" w:hAnsi="Verdana"/>
          <w:sz w:val="16"/>
          <w:szCs w:val="16"/>
        </w:rPr>
        <w:footnoteRef/>
      </w:r>
      <w:r w:rsidRPr="007C1A42">
        <w:rPr>
          <w:rFonts w:ascii="Verdana" w:hAnsi="Verdana"/>
          <w:sz w:val="16"/>
          <w:szCs w:val="16"/>
        </w:rPr>
        <w:t xml:space="preserve"> </w:t>
      </w:r>
      <w:r w:rsidRPr="007C1A42">
        <w:rPr>
          <w:rFonts w:ascii="Verdana" w:hAnsi="Verdana"/>
          <w:sz w:val="16"/>
          <w:szCs w:val="16"/>
        </w:rPr>
        <w:tab/>
      </w:r>
      <w:r w:rsidRPr="007C1A42">
        <w:rPr>
          <w:rFonts w:ascii="Verdana" w:hAnsi="Verdana"/>
          <w:i/>
          <w:sz w:val="16"/>
          <w:szCs w:val="16"/>
        </w:rPr>
        <w:t xml:space="preserve">Cfr. </w:t>
      </w:r>
      <w:r w:rsidRPr="007C1A42">
        <w:rPr>
          <w:rStyle w:val="Strong"/>
          <w:rFonts w:ascii="Verdana" w:hAnsi="Verdana"/>
          <w:b w:val="0"/>
          <w:i/>
          <w:sz w:val="16"/>
          <w:szCs w:val="16"/>
          <w:shd w:val="clear" w:color="auto" w:fill="FFFFFF"/>
        </w:rPr>
        <w:t>Caso Mohamed Vs. Argentina, supra</w:t>
      </w:r>
      <w:r w:rsidR="00BE7C18">
        <w:rPr>
          <w:rStyle w:val="Strong"/>
          <w:rFonts w:ascii="Verdana" w:hAnsi="Verdana"/>
          <w:b w:val="0"/>
          <w:sz w:val="16"/>
          <w:szCs w:val="16"/>
          <w:shd w:val="clear" w:color="auto" w:fill="FFFFFF"/>
        </w:rPr>
        <w:t xml:space="preserve"> nota 1</w:t>
      </w:r>
      <w:r w:rsidRPr="007C1A42">
        <w:rPr>
          <w:rStyle w:val="Strong"/>
          <w:rFonts w:ascii="Verdana" w:hAnsi="Verdana"/>
          <w:b w:val="0"/>
          <w:i/>
          <w:sz w:val="16"/>
          <w:szCs w:val="16"/>
          <w:shd w:val="clear" w:color="auto" w:fill="FFFFFF"/>
        </w:rPr>
        <w:t xml:space="preserve">, </w:t>
      </w:r>
      <w:r w:rsidRPr="007C1A42">
        <w:rPr>
          <w:rStyle w:val="Strong"/>
          <w:rFonts w:ascii="Verdana" w:hAnsi="Verdana"/>
          <w:b w:val="0"/>
          <w:sz w:val="16"/>
          <w:szCs w:val="16"/>
          <w:shd w:val="clear" w:color="auto" w:fill="FFFFFF"/>
        </w:rPr>
        <w:t xml:space="preserve">párr. </w:t>
      </w:r>
      <w:r w:rsidRPr="007C1A42">
        <w:rPr>
          <w:rFonts w:ascii="Verdana" w:hAnsi="Verdana"/>
          <w:sz w:val="16"/>
          <w:szCs w:val="16"/>
        </w:rPr>
        <w:t>141.</w:t>
      </w:r>
    </w:p>
  </w:footnote>
  <w:footnote w:id="15">
    <w:p w14:paraId="486CF62D" w14:textId="54AF1604" w:rsidR="007C1A42" w:rsidRPr="007C1A42" w:rsidRDefault="007C1A42" w:rsidP="007C1A42">
      <w:pPr>
        <w:pStyle w:val="FootnoteText"/>
        <w:jc w:val="both"/>
        <w:rPr>
          <w:rFonts w:ascii="Verdana" w:hAnsi="Verdana"/>
          <w:sz w:val="16"/>
          <w:szCs w:val="16"/>
        </w:rPr>
      </w:pPr>
      <w:r w:rsidRPr="007C1A42">
        <w:rPr>
          <w:rStyle w:val="FootnoteReference"/>
          <w:rFonts w:ascii="Verdana" w:hAnsi="Verdana"/>
          <w:sz w:val="16"/>
          <w:szCs w:val="16"/>
        </w:rPr>
        <w:footnoteRef/>
      </w:r>
      <w:r w:rsidRPr="007C1A42">
        <w:rPr>
          <w:rFonts w:ascii="Verdana" w:hAnsi="Verdana"/>
          <w:sz w:val="16"/>
          <w:szCs w:val="16"/>
        </w:rPr>
        <w:t xml:space="preserve"> </w:t>
      </w:r>
      <w:r w:rsidRPr="007C1A42">
        <w:rPr>
          <w:rFonts w:ascii="Verdana" w:hAnsi="Verdana"/>
          <w:sz w:val="16"/>
          <w:szCs w:val="16"/>
        </w:rPr>
        <w:tab/>
      </w:r>
      <w:r w:rsidRPr="007C1A42">
        <w:rPr>
          <w:rFonts w:ascii="Verdana" w:hAnsi="Verdana"/>
          <w:i/>
          <w:sz w:val="16"/>
          <w:szCs w:val="16"/>
        </w:rPr>
        <w:t>Cfr.</w:t>
      </w:r>
      <w:r w:rsidRPr="007C1A42">
        <w:rPr>
          <w:rFonts w:ascii="Verdana" w:hAnsi="Verdana"/>
          <w:sz w:val="16"/>
          <w:szCs w:val="16"/>
        </w:rPr>
        <w:t xml:space="preserve"> Copia del Boletín Oficial N° 32.674 de 5 de julio de 2013, págs. 51 a 53 (anexo al escrito del Estado de 3 de octubre de 2013).</w:t>
      </w:r>
    </w:p>
  </w:footnote>
  <w:footnote w:id="16">
    <w:p w14:paraId="22F73F9C" w14:textId="415AAA06" w:rsidR="007C1A42" w:rsidRPr="007C1A42" w:rsidRDefault="007C1A42" w:rsidP="007C1A42">
      <w:pPr>
        <w:pStyle w:val="FootnoteText"/>
        <w:jc w:val="both"/>
        <w:rPr>
          <w:rFonts w:ascii="Verdana" w:hAnsi="Verdana"/>
          <w:sz w:val="16"/>
          <w:szCs w:val="16"/>
        </w:rPr>
      </w:pPr>
      <w:r w:rsidRPr="007C1A42">
        <w:rPr>
          <w:rStyle w:val="FootnoteReference"/>
          <w:rFonts w:ascii="Verdana" w:hAnsi="Verdana"/>
          <w:sz w:val="16"/>
          <w:szCs w:val="16"/>
        </w:rPr>
        <w:footnoteRef/>
      </w:r>
      <w:r w:rsidRPr="007C1A42">
        <w:rPr>
          <w:rFonts w:ascii="Verdana" w:hAnsi="Verdana"/>
          <w:sz w:val="16"/>
          <w:szCs w:val="16"/>
        </w:rPr>
        <w:t xml:space="preserve"> </w:t>
      </w:r>
      <w:r w:rsidRPr="007C1A42">
        <w:rPr>
          <w:rFonts w:ascii="Verdana" w:hAnsi="Verdana"/>
          <w:sz w:val="16"/>
          <w:szCs w:val="16"/>
        </w:rPr>
        <w:tab/>
        <w:t xml:space="preserve">Cfr. </w:t>
      </w:r>
      <w:r w:rsidR="005A237A">
        <w:rPr>
          <w:rFonts w:ascii="Verdana" w:hAnsi="Verdana"/>
          <w:sz w:val="16"/>
          <w:szCs w:val="16"/>
        </w:rPr>
        <w:t>C</w:t>
      </w:r>
      <w:r w:rsidRPr="007C1A42">
        <w:rPr>
          <w:rFonts w:ascii="Verdana" w:hAnsi="Verdana"/>
          <w:sz w:val="16"/>
          <w:szCs w:val="16"/>
        </w:rPr>
        <w:t>opia del periódico BAE de 14 de agosto de 2013 (anexo al escrito del Estado de 11 de marzo de 2014).</w:t>
      </w:r>
    </w:p>
  </w:footnote>
  <w:footnote w:id="17">
    <w:p w14:paraId="698381FF" w14:textId="0DE1FB24" w:rsidR="007C1A42" w:rsidRPr="00381458" w:rsidRDefault="007C1A42" w:rsidP="007C1A42">
      <w:pPr>
        <w:pStyle w:val="FootnoteText"/>
        <w:jc w:val="both"/>
        <w:rPr>
          <w:rFonts w:ascii="Verdana" w:hAnsi="Verdana"/>
          <w:sz w:val="16"/>
          <w:szCs w:val="16"/>
        </w:rPr>
      </w:pPr>
      <w:r w:rsidRPr="00381458">
        <w:rPr>
          <w:rStyle w:val="FootnoteReference"/>
          <w:rFonts w:ascii="Verdana" w:hAnsi="Verdana"/>
          <w:sz w:val="16"/>
          <w:szCs w:val="16"/>
        </w:rPr>
        <w:footnoteRef/>
      </w:r>
      <w:r w:rsidRPr="00381458">
        <w:rPr>
          <w:rFonts w:ascii="Verdana" w:hAnsi="Verdana"/>
          <w:sz w:val="16"/>
          <w:szCs w:val="16"/>
        </w:rPr>
        <w:t xml:space="preserve"> </w:t>
      </w:r>
      <w:r w:rsidRPr="00381458">
        <w:rPr>
          <w:rFonts w:ascii="Verdana" w:hAnsi="Verdana"/>
          <w:sz w:val="16"/>
          <w:szCs w:val="16"/>
        </w:rPr>
        <w:tab/>
      </w:r>
      <w:r w:rsidRPr="00381458">
        <w:rPr>
          <w:rFonts w:ascii="Verdana" w:eastAsiaTheme="minorHAnsi" w:hAnsi="Verdana" w:cs="Arial"/>
          <w:sz w:val="16"/>
          <w:szCs w:val="16"/>
          <w:lang w:val="es-CR" w:eastAsia="en-US"/>
        </w:rPr>
        <w:t xml:space="preserve">El </w:t>
      </w:r>
      <w:r w:rsidRPr="00381458">
        <w:rPr>
          <w:rFonts w:ascii="Verdana" w:eastAsiaTheme="minorHAnsi" w:hAnsi="Verdana" w:cs="Arial"/>
          <w:i/>
          <w:sz w:val="16"/>
          <w:szCs w:val="16"/>
          <w:lang w:val="es-CR" w:eastAsia="en-US"/>
        </w:rPr>
        <w:t xml:space="preserve">representante </w:t>
      </w:r>
      <w:r w:rsidRPr="00381458">
        <w:rPr>
          <w:rFonts w:ascii="Verdana" w:eastAsiaTheme="minorHAnsi" w:hAnsi="Verdana" w:cs="Arial"/>
          <w:sz w:val="16"/>
          <w:szCs w:val="16"/>
          <w:lang w:val="es-CR" w:eastAsia="en-US"/>
        </w:rPr>
        <w:t>manifestó que el Estado había cumplido parcialmente con esta medida, debido a que “la publicación [realizada] en el [diario] BAE no cumple la idea de la ejecución ordenada en la sentencia, que persigue que el contenido básico de la Sentencia se dé a publicidad en un periódico ‘de amplia circulación nacional’ para que pueda ser conocido por la población” ya que dicho diario es “desconocido para casi la totalidad de los argentinos”. Por ello, sugirió “que se ordene la publicación en el diario ‘Página 12’, ‘Nación’ o ‘Clarín’, que son periódicos más conocidos y de mayor circulación en el país”.</w:t>
      </w:r>
    </w:p>
  </w:footnote>
  <w:footnote w:id="18">
    <w:p w14:paraId="1397D4EF" w14:textId="0C47CC08" w:rsidR="00DD5C8C" w:rsidRPr="0042644B" w:rsidRDefault="00DD5C8C" w:rsidP="0084181F">
      <w:pPr>
        <w:pStyle w:val="FootnoteText"/>
        <w:jc w:val="both"/>
        <w:rPr>
          <w:rFonts w:ascii="Verdana" w:hAnsi="Verdana"/>
          <w:sz w:val="16"/>
          <w:szCs w:val="16"/>
        </w:rPr>
      </w:pPr>
      <w:r w:rsidRPr="00381458">
        <w:rPr>
          <w:rStyle w:val="FootnoteReference"/>
          <w:rFonts w:ascii="Verdana" w:hAnsi="Verdana"/>
          <w:sz w:val="16"/>
          <w:szCs w:val="16"/>
        </w:rPr>
        <w:footnoteRef/>
      </w:r>
      <w:r w:rsidRPr="00381458">
        <w:rPr>
          <w:rFonts w:ascii="Verdana" w:hAnsi="Verdana"/>
          <w:sz w:val="16"/>
          <w:szCs w:val="16"/>
        </w:rPr>
        <w:t xml:space="preserve"> </w:t>
      </w:r>
      <w:r w:rsidRPr="00381458">
        <w:rPr>
          <w:rFonts w:ascii="Verdana" w:hAnsi="Verdana"/>
          <w:sz w:val="16"/>
          <w:szCs w:val="16"/>
        </w:rPr>
        <w:tab/>
        <w:t xml:space="preserve">En sus escritos el Estado no indicó el enlace electrónico en el cual era posible acceder a la publicación de la Sentencia. No obstante, la Corte constata que actualmente a través del siguiente enlace de la página de la Corte Suprema de Justicia de la Nación es posible acceder a la Sentencia emitida en el presente caso: </w:t>
      </w:r>
      <w:hyperlink r:id="rId3" w:history="1">
        <w:r w:rsidRPr="005D7946">
          <w:rPr>
            <w:rStyle w:val="Hyperlink"/>
            <w:rFonts w:ascii="Verdana" w:hAnsi="Verdana"/>
            <w:sz w:val="16"/>
            <w:szCs w:val="16"/>
          </w:rPr>
          <w:t>http://www.csjn.gov.ar/data/cmcidh.pdf</w:t>
        </w:r>
      </w:hyperlink>
      <w:r w:rsidR="005A237A">
        <w:rPr>
          <w:rFonts w:ascii="Verdana" w:hAnsi="Verdana"/>
          <w:color w:val="00B050"/>
          <w:sz w:val="16"/>
          <w:szCs w:val="16"/>
        </w:rPr>
        <w:t xml:space="preserve"> </w:t>
      </w:r>
      <w:r w:rsidR="005A237A" w:rsidRPr="0042644B">
        <w:rPr>
          <w:rFonts w:ascii="Verdana" w:hAnsi="Verdana"/>
          <w:sz w:val="16"/>
          <w:szCs w:val="16"/>
        </w:rPr>
        <w:t>(visitada por última vez el 13 de noviembre de 2015)</w:t>
      </w:r>
      <w:r w:rsidR="0042644B">
        <w:rPr>
          <w:rFonts w:ascii="Verdana" w:hAnsi="Verdana"/>
          <w:sz w:val="16"/>
          <w:szCs w:val="16"/>
        </w:rPr>
        <w:t>.</w:t>
      </w:r>
    </w:p>
  </w:footnote>
  <w:footnote w:id="19">
    <w:p w14:paraId="42D08A19" w14:textId="39B1AC22" w:rsidR="00DD5C8C" w:rsidRPr="00381458" w:rsidRDefault="00DD5C8C" w:rsidP="003D5747">
      <w:pPr>
        <w:pStyle w:val="FootnoteText"/>
        <w:jc w:val="both"/>
        <w:rPr>
          <w:rFonts w:ascii="Verdana" w:hAnsi="Verdana"/>
          <w:sz w:val="16"/>
          <w:szCs w:val="16"/>
        </w:rPr>
      </w:pPr>
      <w:r w:rsidRPr="00381458">
        <w:rPr>
          <w:rStyle w:val="FootnoteReference"/>
          <w:rFonts w:ascii="Verdana" w:hAnsi="Verdana"/>
          <w:sz w:val="16"/>
          <w:szCs w:val="16"/>
        </w:rPr>
        <w:footnoteRef/>
      </w:r>
      <w:r w:rsidRPr="00381458">
        <w:rPr>
          <w:rFonts w:ascii="Verdana" w:hAnsi="Verdana"/>
          <w:sz w:val="16"/>
          <w:szCs w:val="16"/>
        </w:rPr>
        <w:t xml:space="preserve"> </w:t>
      </w:r>
      <w:r w:rsidRPr="00381458">
        <w:rPr>
          <w:rFonts w:ascii="Verdana" w:hAnsi="Verdana"/>
          <w:sz w:val="16"/>
          <w:szCs w:val="16"/>
        </w:rPr>
        <w:tab/>
        <w:t xml:space="preserve">En el párrafo 171 de la Sentencia la Corte “[…] </w:t>
      </w:r>
      <w:proofErr w:type="spellStart"/>
      <w:proofErr w:type="gramStart"/>
      <w:r w:rsidRPr="00381458">
        <w:rPr>
          <w:rFonts w:ascii="Verdana" w:hAnsi="Verdana"/>
          <w:sz w:val="16"/>
          <w:szCs w:val="16"/>
        </w:rPr>
        <w:t>disp</w:t>
      </w:r>
      <w:proofErr w:type="spellEnd"/>
      <w:r w:rsidRPr="00381458">
        <w:rPr>
          <w:rFonts w:ascii="Verdana" w:hAnsi="Verdana"/>
          <w:sz w:val="16"/>
          <w:szCs w:val="16"/>
        </w:rPr>
        <w:t>[</w:t>
      </w:r>
      <w:proofErr w:type="gramEnd"/>
      <w:r w:rsidRPr="00381458">
        <w:rPr>
          <w:rFonts w:ascii="Verdana" w:hAnsi="Verdana"/>
          <w:sz w:val="16"/>
          <w:szCs w:val="16"/>
        </w:rPr>
        <w:t xml:space="preserve">uso] una indemnización a favor del señor Oscar Alberto Mohamed que compensa tanto el […] daño material como el daño inmaterial […], para lo cual </w:t>
      </w:r>
      <w:proofErr w:type="spellStart"/>
      <w:r w:rsidRPr="00381458">
        <w:rPr>
          <w:rFonts w:ascii="Verdana" w:hAnsi="Verdana"/>
          <w:sz w:val="16"/>
          <w:szCs w:val="16"/>
        </w:rPr>
        <w:t>determin</w:t>
      </w:r>
      <w:proofErr w:type="spellEnd"/>
      <w:r w:rsidRPr="00381458">
        <w:rPr>
          <w:rFonts w:ascii="Verdana" w:hAnsi="Verdana"/>
          <w:sz w:val="16"/>
          <w:szCs w:val="16"/>
        </w:rPr>
        <w:t>[</w:t>
      </w:r>
      <w:proofErr w:type="spellStart"/>
      <w:r w:rsidRPr="00381458">
        <w:rPr>
          <w:rFonts w:ascii="Verdana" w:hAnsi="Verdana"/>
          <w:sz w:val="16"/>
          <w:szCs w:val="16"/>
        </w:rPr>
        <w:t>ó</w:t>
      </w:r>
      <w:proofErr w:type="spellEnd"/>
      <w:r w:rsidRPr="00381458">
        <w:rPr>
          <w:rFonts w:ascii="Verdana" w:hAnsi="Verdana"/>
          <w:sz w:val="16"/>
          <w:szCs w:val="16"/>
        </w:rPr>
        <w:t>] en equidad la cantidad de US$ 50.000 (cincuenta mil dólares de los Estados Unidos de América)”.</w:t>
      </w:r>
    </w:p>
  </w:footnote>
  <w:footnote w:id="20">
    <w:p w14:paraId="554EC08A" w14:textId="64DEF80B" w:rsidR="00DD5C8C" w:rsidRPr="00381458" w:rsidRDefault="00DD5C8C" w:rsidP="003D5747">
      <w:pPr>
        <w:pStyle w:val="FootnoteText"/>
        <w:jc w:val="both"/>
      </w:pPr>
      <w:r w:rsidRPr="00381458">
        <w:rPr>
          <w:rStyle w:val="FootnoteReference"/>
          <w:rFonts w:ascii="Verdana" w:hAnsi="Verdana"/>
          <w:sz w:val="16"/>
          <w:szCs w:val="16"/>
        </w:rPr>
        <w:footnoteRef/>
      </w:r>
      <w:r w:rsidRPr="00381458">
        <w:rPr>
          <w:rFonts w:ascii="Verdana" w:hAnsi="Verdana"/>
          <w:sz w:val="16"/>
          <w:szCs w:val="16"/>
        </w:rPr>
        <w:t xml:space="preserve"> </w:t>
      </w:r>
      <w:r w:rsidRPr="00381458">
        <w:rPr>
          <w:rFonts w:ascii="Verdana" w:hAnsi="Verdana"/>
          <w:sz w:val="16"/>
          <w:szCs w:val="16"/>
        </w:rPr>
        <w:tab/>
        <w:t xml:space="preserve">En el párrafo 177 de la Sentencia </w:t>
      </w:r>
      <w:r w:rsidR="005A237A">
        <w:rPr>
          <w:rFonts w:ascii="Verdana" w:hAnsi="Verdana"/>
          <w:sz w:val="16"/>
          <w:szCs w:val="16"/>
        </w:rPr>
        <w:t xml:space="preserve">la Corte </w:t>
      </w:r>
      <w:r w:rsidRPr="00381458">
        <w:rPr>
          <w:rFonts w:ascii="Verdana" w:hAnsi="Verdana"/>
          <w:sz w:val="16"/>
          <w:szCs w:val="16"/>
        </w:rPr>
        <w:t xml:space="preserve">“[…] </w:t>
      </w:r>
      <w:proofErr w:type="spellStart"/>
      <w:r w:rsidRPr="00381458">
        <w:rPr>
          <w:rFonts w:ascii="Verdana" w:hAnsi="Verdana"/>
          <w:sz w:val="16"/>
          <w:szCs w:val="16"/>
        </w:rPr>
        <w:t>determin</w:t>
      </w:r>
      <w:proofErr w:type="spellEnd"/>
      <w:r w:rsidRPr="00381458">
        <w:rPr>
          <w:rFonts w:ascii="Verdana" w:hAnsi="Verdana"/>
          <w:sz w:val="16"/>
          <w:szCs w:val="16"/>
        </w:rPr>
        <w:t>[</w:t>
      </w:r>
      <w:proofErr w:type="spellStart"/>
      <w:r w:rsidRPr="00381458">
        <w:rPr>
          <w:rFonts w:ascii="Verdana" w:hAnsi="Verdana"/>
          <w:sz w:val="16"/>
          <w:szCs w:val="16"/>
        </w:rPr>
        <w:t>ó</w:t>
      </w:r>
      <w:proofErr w:type="spellEnd"/>
      <w:r w:rsidRPr="00381458">
        <w:rPr>
          <w:rFonts w:ascii="Verdana" w:hAnsi="Verdana"/>
          <w:sz w:val="16"/>
          <w:szCs w:val="16"/>
        </w:rPr>
        <w:t xml:space="preserve">], en equidad, que el Estado </w:t>
      </w:r>
      <w:proofErr w:type="spellStart"/>
      <w:proofErr w:type="gramStart"/>
      <w:r w:rsidR="005A237A" w:rsidRPr="00381458">
        <w:rPr>
          <w:rFonts w:ascii="Verdana" w:hAnsi="Verdana"/>
          <w:sz w:val="16"/>
          <w:szCs w:val="16"/>
        </w:rPr>
        <w:t>deb</w:t>
      </w:r>
      <w:proofErr w:type="spellEnd"/>
      <w:r w:rsidR="005A237A">
        <w:rPr>
          <w:rFonts w:ascii="Verdana" w:hAnsi="Verdana"/>
          <w:sz w:val="16"/>
          <w:szCs w:val="16"/>
        </w:rPr>
        <w:t>[</w:t>
      </w:r>
      <w:proofErr w:type="spellStart"/>
      <w:proofErr w:type="gramEnd"/>
      <w:r w:rsidR="005A237A">
        <w:rPr>
          <w:rFonts w:ascii="Verdana" w:hAnsi="Verdana"/>
          <w:sz w:val="16"/>
          <w:szCs w:val="16"/>
        </w:rPr>
        <w:t>ía</w:t>
      </w:r>
      <w:proofErr w:type="spellEnd"/>
      <w:r w:rsidR="005A237A">
        <w:rPr>
          <w:rFonts w:ascii="Verdana" w:hAnsi="Verdana"/>
          <w:sz w:val="16"/>
          <w:szCs w:val="16"/>
        </w:rPr>
        <w:t>]</w:t>
      </w:r>
      <w:r w:rsidR="005A237A" w:rsidRPr="00381458">
        <w:rPr>
          <w:rFonts w:ascii="Verdana" w:hAnsi="Verdana"/>
          <w:sz w:val="16"/>
          <w:szCs w:val="16"/>
        </w:rPr>
        <w:t xml:space="preserve"> </w:t>
      </w:r>
      <w:r w:rsidRPr="00381458">
        <w:rPr>
          <w:rFonts w:ascii="Verdana" w:hAnsi="Verdana"/>
          <w:sz w:val="16"/>
          <w:szCs w:val="16"/>
        </w:rPr>
        <w:t xml:space="preserve">entregar al señor Oscar Alberto Mohamed la cantidad de US$ 3.000 (tres mil dólares de los Estados Unidos de América) por concepto de gastos relacionados con la tramitación del caso ante la Comisión Interamericana”. </w:t>
      </w:r>
    </w:p>
  </w:footnote>
  <w:footnote w:id="21">
    <w:p w14:paraId="493D57B5" w14:textId="49792398" w:rsidR="00DD5C8C" w:rsidRPr="00A432D0" w:rsidRDefault="00DD5C8C" w:rsidP="00BA1918">
      <w:pPr>
        <w:jc w:val="both"/>
        <w:rPr>
          <w:rFonts w:ascii="Verdana" w:hAnsi="Verdana"/>
          <w:sz w:val="16"/>
          <w:szCs w:val="16"/>
        </w:rPr>
      </w:pPr>
      <w:r w:rsidRPr="00381458">
        <w:rPr>
          <w:rStyle w:val="FootnoteReference"/>
          <w:rFonts w:ascii="Verdana" w:hAnsi="Verdana"/>
          <w:sz w:val="16"/>
          <w:szCs w:val="16"/>
        </w:rPr>
        <w:footnoteRef/>
      </w:r>
      <w:r w:rsidRPr="00381458">
        <w:rPr>
          <w:rFonts w:ascii="Verdana" w:hAnsi="Verdana"/>
          <w:sz w:val="16"/>
          <w:szCs w:val="16"/>
        </w:rPr>
        <w:t xml:space="preserve"> </w:t>
      </w:r>
      <w:r w:rsidRPr="00381458">
        <w:rPr>
          <w:rFonts w:ascii="Verdana" w:hAnsi="Verdana"/>
          <w:sz w:val="16"/>
          <w:szCs w:val="16"/>
        </w:rPr>
        <w:tab/>
      </w:r>
      <w:r w:rsidR="006F1C5D" w:rsidRPr="006F1C5D">
        <w:rPr>
          <w:rFonts w:ascii="Verdana" w:hAnsi="Verdana"/>
          <w:sz w:val="16"/>
          <w:szCs w:val="16"/>
        </w:rPr>
        <w:t>Con su escrito de 21 de septiembre de 2015 el Estado aportó el documento “Comprobante de pago” PG 2014 1695 del Ministerio de Economía y Finanzas de Argentina de 10 de octubre</w:t>
      </w:r>
      <w:r w:rsidR="006F1C5D">
        <w:rPr>
          <w:rFonts w:ascii="Verdana" w:hAnsi="Verdana"/>
          <w:sz w:val="16"/>
          <w:szCs w:val="16"/>
        </w:rPr>
        <w:t xml:space="preserve"> de 2014 en el cual consta un pago de 510.127,21 pesos argentinos depositados en la cuenta bancaria del señor Óscar Alberto Mohamed.</w:t>
      </w:r>
      <w:r w:rsidR="006F1C5D" w:rsidRPr="00381458">
        <w:rPr>
          <w:rFonts w:ascii="Verdana" w:hAnsi="Verdana"/>
          <w:sz w:val="16"/>
          <w:szCs w:val="16"/>
        </w:rPr>
        <w:t xml:space="preserve"> </w:t>
      </w:r>
      <w:r w:rsidR="006F1C5D">
        <w:rPr>
          <w:rFonts w:ascii="Verdana" w:hAnsi="Verdana"/>
          <w:sz w:val="16"/>
          <w:szCs w:val="16"/>
        </w:rPr>
        <w:t xml:space="preserve">Asimismo, con anterioridad había aportado copia del </w:t>
      </w:r>
      <w:r w:rsidR="006F1C5D" w:rsidRPr="00381458">
        <w:rPr>
          <w:rFonts w:ascii="Verdana" w:hAnsi="Verdana"/>
          <w:sz w:val="16"/>
          <w:szCs w:val="16"/>
        </w:rPr>
        <w:t>Decreto N°636/2014 del Ministerio de Justicia y Derechos Humanos</w:t>
      </w:r>
      <w:r w:rsidR="006F1C5D">
        <w:rPr>
          <w:rFonts w:ascii="Verdana" w:hAnsi="Verdana"/>
          <w:sz w:val="16"/>
          <w:szCs w:val="16"/>
        </w:rPr>
        <w:t>, publicado e</w:t>
      </w:r>
      <w:r w:rsidRPr="00381458">
        <w:rPr>
          <w:rFonts w:ascii="Verdana" w:hAnsi="Verdana"/>
          <w:sz w:val="16"/>
          <w:szCs w:val="16"/>
        </w:rPr>
        <w:t>l 8 de mayo de 2014 en el Boletín Oficial de la República Argentina</w:t>
      </w:r>
      <w:r w:rsidR="006F1C5D">
        <w:rPr>
          <w:rFonts w:ascii="Verdana" w:hAnsi="Verdana"/>
          <w:sz w:val="16"/>
          <w:szCs w:val="16"/>
        </w:rPr>
        <w:t xml:space="preserve">, </w:t>
      </w:r>
      <w:r w:rsidRPr="00381458">
        <w:rPr>
          <w:rFonts w:ascii="Verdana" w:hAnsi="Verdana"/>
          <w:sz w:val="16"/>
          <w:szCs w:val="16"/>
        </w:rPr>
        <w:t xml:space="preserve">en el cual “la Presidenta de la Nación” dispuso en el artículo 1 “el pago en efectivo de la sentencia dictada por la Corte Interamericana […] en el Caso N°11.618 ‘MOHAMED Vs. ARGENTINA’ por un monto equivalente a dólares estadounidenses sesenta mil quinientos treinta y nueve con cuarenta y dos centavos (US$ 60.539,42) con más los intereses moratorios que correspondan, para el caso de la indemnización por daño material e inmaterial a favor de la víctima del caso y por reintegro de costas y gastos, por el lapso transcurrido desde el vencimiento del plazo dispuesto en la sentencia, 19 de diciembre de 2013, hasta la fecha de su efectiva cancelación, y para el reintegro de la suma erogada durante la tramitación del caso por el Fondo de Asistencia Legal de Víctimas de la Corte Interamericana […], por el lapso transcurrido desde el 19 de marzo de 2013 hasta su efectiva cancelación”. </w:t>
      </w:r>
      <w:r w:rsidRPr="00381458">
        <w:rPr>
          <w:rFonts w:ascii="Verdana" w:hAnsi="Verdana"/>
          <w:i/>
          <w:sz w:val="16"/>
          <w:szCs w:val="16"/>
        </w:rPr>
        <w:t>Cfr.</w:t>
      </w:r>
      <w:r w:rsidRPr="00381458">
        <w:rPr>
          <w:rFonts w:ascii="Verdana" w:hAnsi="Verdana"/>
          <w:sz w:val="16"/>
          <w:szCs w:val="16"/>
        </w:rPr>
        <w:t xml:space="preserve"> Decreto N° N°636/2014 (anexo al escrito del Estado de 19 de mayo de 2014)</w:t>
      </w:r>
      <w:r>
        <w:rPr>
          <w:rFonts w:ascii="Verdana" w:hAnsi="Verdana"/>
          <w:sz w:val="16"/>
          <w:szCs w:val="16"/>
        </w:rPr>
        <w:t xml:space="preserve"> y </w:t>
      </w:r>
      <w:r w:rsidR="009276FD">
        <w:rPr>
          <w:rFonts w:ascii="Verdana" w:hAnsi="Verdana"/>
          <w:sz w:val="16"/>
          <w:szCs w:val="16"/>
        </w:rPr>
        <w:t xml:space="preserve">“Comprobante de pago” </w:t>
      </w:r>
      <w:r w:rsidR="009276FD" w:rsidRPr="006F1C5D">
        <w:rPr>
          <w:rFonts w:ascii="Verdana" w:hAnsi="Verdana"/>
          <w:sz w:val="16"/>
          <w:szCs w:val="16"/>
        </w:rPr>
        <w:t>PG 2014 1695 del Ministerio de Economía y Finanzas de Argentina de 10 de octubre</w:t>
      </w:r>
      <w:r w:rsidR="009276FD">
        <w:rPr>
          <w:rFonts w:ascii="Verdana" w:hAnsi="Verdana"/>
          <w:sz w:val="16"/>
          <w:szCs w:val="16"/>
        </w:rPr>
        <w:t xml:space="preserve"> de 2014 (anexo al escrito del Estado de 21 de septiembre de 2015).</w:t>
      </w:r>
    </w:p>
  </w:footnote>
  <w:footnote w:id="22">
    <w:p w14:paraId="12425EAC" w14:textId="2D98535C" w:rsidR="00750ECC" w:rsidRPr="00750ECC" w:rsidRDefault="00750ECC" w:rsidP="00750ECC">
      <w:pPr>
        <w:pStyle w:val="FootnoteText"/>
        <w:jc w:val="both"/>
        <w:rPr>
          <w:rFonts w:ascii="Verdana" w:hAnsi="Verdana"/>
          <w:sz w:val="16"/>
          <w:szCs w:val="16"/>
        </w:rPr>
      </w:pPr>
      <w:r w:rsidRPr="000B169E">
        <w:rPr>
          <w:rStyle w:val="FootnoteReference"/>
          <w:rFonts w:ascii="Verdana" w:hAnsi="Verdana"/>
          <w:sz w:val="16"/>
          <w:szCs w:val="16"/>
        </w:rPr>
        <w:footnoteRef/>
      </w:r>
      <w:r w:rsidRPr="000B169E">
        <w:rPr>
          <w:rFonts w:ascii="Verdana" w:hAnsi="Verdana"/>
          <w:sz w:val="16"/>
          <w:szCs w:val="16"/>
        </w:rPr>
        <w:t xml:space="preserve"> </w:t>
      </w:r>
      <w:r w:rsidRPr="000B169E">
        <w:rPr>
          <w:rFonts w:ascii="Verdana" w:hAnsi="Verdana"/>
          <w:sz w:val="16"/>
          <w:szCs w:val="16"/>
        </w:rPr>
        <w:tab/>
      </w:r>
      <w:r w:rsidR="008A3082" w:rsidRPr="000B169E">
        <w:rPr>
          <w:rFonts w:ascii="Verdana" w:hAnsi="Verdana"/>
          <w:sz w:val="16"/>
          <w:szCs w:val="16"/>
        </w:rPr>
        <w:t>S</w:t>
      </w:r>
      <w:r w:rsidR="00DE640A" w:rsidRPr="000B169E">
        <w:rPr>
          <w:rFonts w:ascii="Verdana" w:hAnsi="Verdana"/>
          <w:sz w:val="16"/>
          <w:szCs w:val="16"/>
        </w:rPr>
        <w:t xml:space="preserve">iguiendo instrucciones del Presidente del Tribunal, </w:t>
      </w:r>
      <w:r w:rsidR="00306AA8">
        <w:rPr>
          <w:rFonts w:ascii="Verdana" w:hAnsi="Verdana"/>
          <w:sz w:val="16"/>
          <w:szCs w:val="16"/>
        </w:rPr>
        <w:t xml:space="preserve">mediante nota de la Secretaría de 22 de septiembre de 2015, </w:t>
      </w:r>
      <w:r w:rsidR="00DE640A" w:rsidRPr="000B169E">
        <w:rPr>
          <w:rFonts w:ascii="Verdana" w:hAnsi="Verdana"/>
          <w:sz w:val="16"/>
          <w:szCs w:val="16"/>
        </w:rPr>
        <w:t>s</w:t>
      </w:r>
      <w:r w:rsidR="008A3082" w:rsidRPr="000B169E">
        <w:rPr>
          <w:rFonts w:ascii="Verdana" w:hAnsi="Verdana"/>
          <w:sz w:val="16"/>
          <w:szCs w:val="16"/>
        </w:rPr>
        <w:t>e otorgaron plazo</w:t>
      </w:r>
      <w:r w:rsidR="00DE640A" w:rsidRPr="000B169E">
        <w:rPr>
          <w:rFonts w:ascii="Verdana" w:hAnsi="Verdana"/>
          <w:sz w:val="16"/>
          <w:szCs w:val="16"/>
        </w:rPr>
        <w:t>s</w:t>
      </w:r>
      <w:r w:rsidR="008A3082" w:rsidRPr="000B169E">
        <w:rPr>
          <w:rFonts w:ascii="Verdana" w:hAnsi="Verdana"/>
          <w:sz w:val="16"/>
          <w:szCs w:val="16"/>
        </w:rPr>
        <w:t xml:space="preserve"> a los representantes de la víctima y a la Comisión </w:t>
      </w:r>
      <w:r w:rsidR="00620BFF">
        <w:rPr>
          <w:rFonts w:ascii="Verdana" w:hAnsi="Verdana"/>
          <w:sz w:val="16"/>
          <w:szCs w:val="16"/>
        </w:rPr>
        <w:t xml:space="preserve">Interamericana </w:t>
      </w:r>
      <w:r w:rsidR="008A3082" w:rsidRPr="000B169E">
        <w:rPr>
          <w:rFonts w:ascii="Verdana" w:hAnsi="Verdana"/>
          <w:sz w:val="16"/>
          <w:szCs w:val="16"/>
        </w:rPr>
        <w:t>para que presentaran observaciones al referido escrito estatal de 21 de septiembre de 2015</w:t>
      </w:r>
      <w:r w:rsidR="00306AA8">
        <w:rPr>
          <w:rFonts w:ascii="Verdana" w:hAnsi="Verdana"/>
          <w:sz w:val="16"/>
          <w:szCs w:val="16"/>
        </w:rPr>
        <w:t xml:space="preserve"> (</w:t>
      </w:r>
      <w:r w:rsidR="00306AA8" w:rsidRPr="00D723F4">
        <w:rPr>
          <w:rFonts w:ascii="Verdana" w:hAnsi="Verdana"/>
          <w:i/>
          <w:sz w:val="16"/>
          <w:szCs w:val="16"/>
        </w:rPr>
        <w:t>supra</w:t>
      </w:r>
      <w:r w:rsidR="00306AA8">
        <w:rPr>
          <w:rFonts w:ascii="Verdana" w:hAnsi="Verdana"/>
          <w:sz w:val="16"/>
          <w:szCs w:val="16"/>
        </w:rPr>
        <w:t xml:space="preserve"> nota al pie 21)</w:t>
      </w:r>
      <w:r w:rsidR="008A3082" w:rsidRPr="000B169E">
        <w:rPr>
          <w:rFonts w:ascii="Verdana" w:hAnsi="Verdana"/>
          <w:sz w:val="16"/>
          <w:szCs w:val="16"/>
        </w:rPr>
        <w:t xml:space="preserve">. </w:t>
      </w:r>
      <w:r w:rsidRPr="000B169E">
        <w:rPr>
          <w:rFonts w:ascii="Verdana" w:hAnsi="Verdana"/>
          <w:sz w:val="16"/>
          <w:szCs w:val="16"/>
        </w:rPr>
        <w:t xml:space="preserve">Los representantes no presentaron observaciones al respecto. </w:t>
      </w:r>
      <w:r w:rsidR="008A3082" w:rsidRPr="000B169E">
        <w:rPr>
          <w:rFonts w:ascii="Verdana" w:hAnsi="Verdana"/>
          <w:sz w:val="16"/>
          <w:szCs w:val="16"/>
        </w:rPr>
        <w:t>En su escrito de 30 de octubre de 2015</w:t>
      </w:r>
      <w:r w:rsidR="00620BFF">
        <w:rPr>
          <w:rFonts w:ascii="Verdana" w:hAnsi="Verdana"/>
          <w:sz w:val="16"/>
          <w:szCs w:val="16"/>
        </w:rPr>
        <w:t xml:space="preserve"> </w:t>
      </w:r>
      <w:r w:rsidRPr="000B169E">
        <w:rPr>
          <w:rFonts w:ascii="Verdana" w:hAnsi="Verdana"/>
          <w:sz w:val="16"/>
          <w:szCs w:val="16"/>
        </w:rPr>
        <w:t>la Comisión “</w:t>
      </w:r>
      <w:proofErr w:type="spellStart"/>
      <w:r w:rsidRPr="000B169E">
        <w:rPr>
          <w:rFonts w:ascii="Verdana" w:hAnsi="Verdana"/>
          <w:sz w:val="16"/>
          <w:szCs w:val="16"/>
        </w:rPr>
        <w:t>tom</w:t>
      </w:r>
      <w:proofErr w:type="spellEnd"/>
      <w:r w:rsidRPr="000B169E">
        <w:rPr>
          <w:rFonts w:ascii="Verdana" w:hAnsi="Verdana"/>
          <w:sz w:val="16"/>
          <w:szCs w:val="16"/>
        </w:rPr>
        <w:t>[</w:t>
      </w:r>
      <w:proofErr w:type="spellStart"/>
      <w:r w:rsidRPr="000B169E">
        <w:rPr>
          <w:rFonts w:ascii="Verdana" w:hAnsi="Verdana"/>
          <w:sz w:val="16"/>
          <w:szCs w:val="16"/>
        </w:rPr>
        <w:t>ó</w:t>
      </w:r>
      <w:proofErr w:type="spellEnd"/>
      <w:r w:rsidRPr="000B169E">
        <w:rPr>
          <w:rFonts w:ascii="Verdana" w:hAnsi="Verdana"/>
          <w:sz w:val="16"/>
          <w:szCs w:val="16"/>
        </w:rPr>
        <w:t>] nota de los comprobantes de pago”</w:t>
      </w:r>
      <w:r w:rsidR="008A3082" w:rsidRPr="000B169E">
        <w:rPr>
          <w:rFonts w:ascii="Verdana" w:hAnsi="Verdana"/>
          <w:sz w:val="16"/>
          <w:szCs w:val="16"/>
        </w:rPr>
        <w:t xml:space="preserve"> e indicó que quedaba “a la espera de la respuesta de los representantes sobre si los montos recibidos se ajustan a lo establecido por la Corte, en particular sobre los ajustes de cambio de moneda e intereses”</w:t>
      </w:r>
      <w:r w:rsidRPr="000B169E">
        <w:rPr>
          <w:rFonts w:ascii="Verdana" w:hAnsi="Verdana"/>
          <w:sz w:val="16"/>
          <w:szCs w:val="16"/>
        </w:rPr>
        <w:t>.</w:t>
      </w:r>
      <w:r>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8E64" w14:textId="77777777" w:rsidR="00DD5C8C" w:rsidRDefault="00DD5C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74833F" w14:textId="77777777" w:rsidR="00DD5C8C" w:rsidRDefault="00DD5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rPr>
      <w:id w:val="-516845713"/>
      <w:docPartObj>
        <w:docPartGallery w:val="Page Numbers (Top of Page)"/>
        <w:docPartUnique/>
      </w:docPartObj>
    </w:sdtPr>
    <w:sdtEndPr/>
    <w:sdtContent>
      <w:p w14:paraId="0EE2CAEE" w14:textId="096A736B" w:rsidR="00AD7EBC" w:rsidRPr="00AD7EBC" w:rsidRDefault="00AD7EBC">
        <w:pPr>
          <w:pStyle w:val="Header"/>
          <w:jc w:val="center"/>
          <w:rPr>
            <w:rFonts w:ascii="Verdana" w:hAnsi="Verdana"/>
            <w:sz w:val="20"/>
          </w:rPr>
        </w:pPr>
        <w:r w:rsidRPr="00AD7EBC">
          <w:rPr>
            <w:rFonts w:ascii="Verdana" w:hAnsi="Verdana"/>
            <w:sz w:val="20"/>
          </w:rPr>
          <w:t>-</w:t>
        </w:r>
        <w:r w:rsidRPr="00AD7EBC">
          <w:rPr>
            <w:rFonts w:ascii="Verdana" w:hAnsi="Verdana"/>
            <w:sz w:val="20"/>
          </w:rPr>
          <w:fldChar w:fldCharType="begin"/>
        </w:r>
        <w:r w:rsidRPr="00AD7EBC">
          <w:rPr>
            <w:rFonts w:ascii="Verdana" w:hAnsi="Verdana"/>
            <w:sz w:val="20"/>
          </w:rPr>
          <w:instrText>PAGE   \* MERGEFORMAT</w:instrText>
        </w:r>
        <w:r w:rsidRPr="00AD7EBC">
          <w:rPr>
            <w:rFonts w:ascii="Verdana" w:hAnsi="Verdana"/>
            <w:sz w:val="20"/>
          </w:rPr>
          <w:fldChar w:fldCharType="separate"/>
        </w:r>
        <w:r w:rsidR="00FC5060" w:rsidRPr="00FC5060">
          <w:rPr>
            <w:rFonts w:ascii="Verdana" w:hAnsi="Verdana"/>
            <w:noProof/>
            <w:sz w:val="20"/>
            <w:lang w:val="es-ES"/>
          </w:rPr>
          <w:t>2</w:t>
        </w:r>
        <w:r w:rsidRPr="00AD7EBC">
          <w:rPr>
            <w:rFonts w:ascii="Verdana" w:hAnsi="Verdana"/>
            <w:sz w:val="20"/>
          </w:rPr>
          <w:fldChar w:fldCharType="end"/>
        </w:r>
        <w:r w:rsidRPr="00AD7EBC">
          <w:rPr>
            <w:rFonts w:ascii="Verdana" w:hAnsi="Verdana"/>
            <w:sz w:val="20"/>
          </w:rPr>
          <w:t>-</w:t>
        </w:r>
      </w:p>
    </w:sdtContent>
  </w:sdt>
  <w:p w14:paraId="02DB1C28" w14:textId="77777777" w:rsidR="00AD7EBC" w:rsidRDefault="00AD7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67F"/>
    <w:multiLevelType w:val="hybridMultilevel"/>
    <w:tmpl w:val="5516840E"/>
    <w:lvl w:ilvl="0" w:tplc="C6C4D11A">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nsid w:val="08D056DA"/>
    <w:multiLevelType w:val="hybridMultilevel"/>
    <w:tmpl w:val="8B34C6B4"/>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nsid w:val="0B7B1CD3"/>
    <w:multiLevelType w:val="hybridMultilevel"/>
    <w:tmpl w:val="CBFC2F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62A6BC5"/>
    <w:multiLevelType w:val="hybridMultilevel"/>
    <w:tmpl w:val="23668BC0"/>
    <w:lvl w:ilvl="0" w:tplc="CC5EC06C">
      <w:start w:val="1"/>
      <w:numFmt w:val="decimal"/>
      <w:lvlText w:val="%1."/>
      <w:lvlJc w:val="left"/>
      <w:pPr>
        <w:ind w:left="927" w:hanging="360"/>
      </w:pPr>
      <w:rPr>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7CA5FD6"/>
    <w:multiLevelType w:val="hybridMultilevel"/>
    <w:tmpl w:val="E7DC9F3A"/>
    <w:lvl w:ilvl="0" w:tplc="393E702C">
      <w:start w:val="1"/>
      <w:numFmt w:val="lowerLetter"/>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31F166F"/>
    <w:multiLevelType w:val="hybridMultilevel"/>
    <w:tmpl w:val="26AE4732"/>
    <w:lvl w:ilvl="0" w:tplc="CBDC4E0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67A49B0"/>
    <w:multiLevelType w:val="hybridMultilevel"/>
    <w:tmpl w:val="981CE28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9903177"/>
    <w:multiLevelType w:val="hybridMultilevel"/>
    <w:tmpl w:val="1392222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E1C6E91"/>
    <w:multiLevelType w:val="hybridMultilevel"/>
    <w:tmpl w:val="1E261050"/>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E35047E"/>
    <w:multiLevelType w:val="hybridMultilevel"/>
    <w:tmpl w:val="0D04D0C0"/>
    <w:lvl w:ilvl="0" w:tplc="E2CA038E">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29B54ED"/>
    <w:multiLevelType w:val="hybridMultilevel"/>
    <w:tmpl w:val="102CE9C6"/>
    <w:lvl w:ilvl="0" w:tplc="2AE2807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7983635B"/>
    <w:multiLevelType w:val="hybridMultilevel"/>
    <w:tmpl w:val="056A2518"/>
    <w:lvl w:ilvl="0" w:tplc="6DB053AE">
      <w:start w:val="1"/>
      <w:numFmt w:val="decimal"/>
      <w:lvlText w:val="%1."/>
      <w:lvlJc w:val="left"/>
      <w:pPr>
        <w:ind w:left="360" w:hanging="360"/>
      </w:pPr>
      <w:rPr>
        <w:rFonts w:ascii="Verdana" w:hAnsi="Verdana" w:hint="default"/>
        <w:b w:val="0"/>
        <w:i w:val="0"/>
        <w:strike w:val="0"/>
        <w:dstrike w:val="0"/>
        <w:color w:val="auto"/>
        <w:sz w:val="20"/>
        <w:szCs w:val="20"/>
        <w:u w:val="none"/>
        <w:effect w:val="none"/>
      </w:rPr>
    </w:lvl>
    <w:lvl w:ilvl="1" w:tplc="140A0019">
      <w:start w:val="1"/>
      <w:numFmt w:val="lowerLetter"/>
      <w:lvlText w:val="%2."/>
      <w:lvlJc w:val="left"/>
      <w:pPr>
        <w:ind w:left="-7916" w:hanging="360"/>
      </w:pPr>
    </w:lvl>
    <w:lvl w:ilvl="2" w:tplc="140A001B">
      <w:start w:val="1"/>
      <w:numFmt w:val="lowerRoman"/>
      <w:lvlText w:val="%3."/>
      <w:lvlJc w:val="right"/>
      <w:pPr>
        <w:ind w:left="-7196" w:hanging="180"/>
      </w:pPr>
    </w:lvl>
    <w:lvl w:ilvl="3" w:tplc="140A000F">
      <w:start w:val="1"/>
      <w:numFmt w:val="decimal"/>
      <w:lvlText w:val="%4."/>
      <w:lvlJc w:val="left"/>
      <w:pPr>
        <w:ind w:left="-6476" w:hanging="360"/>
      </w:pPr>
    </w:lvl>
    <w:lvl w:ilvl="4" w:tplc="140A0019">
      <w:start w:val="1"/>
      <w:numFmt w:val="lowerLetter"/>
      <w:lvlText w:val="%5."/>
      <w:lvlJc w:val="left"/>
      <w:pPr>
        <w:ind w:left="-5756" w:hanging="360"/>
      </w:pPr>
    </w:lvl>
    <w:lvl w:ilvl="5" w:tplc="140A001B">
      <w:start w:val="1"/>
      <w:numFmt w:val="lowerRoman"/>
      <w:lvlText w:val="%6."/>
      <w:lvlJc w:val="right"/>
      <w:pPr>
        <w:ind w:left="-5036" w:hanging="180"/>
      </w:pPr>
    </w:lvl>
    <w:lvl w:ilvl="6" w:tplc="140A000F">
      <w:start w:val="1"/>
      <w:numFmt w:val="decimal"/>
      <w:lvlText w:val="%7."/>
      <w:lvlJc w:val="left"/>
      <w:pPr>
        <w:ind w:left="-4316" w:hanging="360"/>
      </w:pPr>
    </w:lvl>
    <w:lvl w:ilvl="7" w:tplc="140A0019">
      <w:start w:val="1"/>
      <w:numFmt w:val="lowerLetter"/>
      <w:lvlText w:val="%8."/>
      <w:lvlJc w:val="left"/>
      <w:pPr>
        <w:ind w:left="-3596" w:hanging="360"/>
      </w:pPr>
    </w:lvl>
    <w:lvl w:ilvl="8" w:tplc="140A001B">
      <w:start w:val="1"/>
      <w:numFmt w:val="lowerRoman"/>
      <w:lvlText w:val="%9."/>
      <w:lvlJc w:val="right"/>
      <w:pPr>
        <w:ind w:left="-2876" w:hanging="180"/>
      </w:pPr>
    </w:lvl>
  </w:abstractNum>
  <w:num w:numId="1">
    <w:abstractNumId w:val="6"/>
  </w:num>
  <w:num w:numId="2">
    <w:abstractNumId w:val="3"/>
  </w:num>
  <w:num w:numId="3">
    <w:abstractNumId w:val="5"/>
  </w:num>
  <w:num w:numId="4">
    <w:abstractNumId w:val="9"/>
  </w:num>
  <w:num w:numId="5">
    <w:abstractNumId w:val="4"/>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59"/>
    <w:rsid w:val="00001C9A"/>
    <w:rsid w:val="000066D1"/>
    <w:rsid w:val="00010D25"/>
    <w:rsid w:val="00026315"/>
    <w:rsid w:val="00030D05"/>
    <w:rsid w:val="00031629"/>
    <w:rsid w:val="00037237"/>
    <w:rsid w:val="00046702"/>
    <w:rsid w:val="00050171"/>
    <w:rsid w:val="000503DB"/>
    <w:rsid w:val="00050A1D"/>
    <w:rsid w:val="00053354"/>
    <w:rsid w:val="000665D3"/>
    <w:rsid w:val="00067E68"/>
    <w:rsid w:val="00077C31"/>
    <w:rsid w:val="00077CC7"/>
    <w:rsid w:val="00081B6C"/>
    <w:rsid w:val="000945F0"/>
    <w:rsid w:val="000971C6"/>
    <w:rsid w:val="000B1588"/>
    <w:rsid w:val="000B169E"/>
    <w:rsid w:val="000B1F7E"/>
    <w:rsid w:val="000B3D22"/>
    <w:rsid w:val="000B558C"/>
    <w:rsid w:val="000C0CBF"/>
    <w:rsid w:val="000C2FD4"/>
    <w:rsid w:val="000C3455"/>
    <w:rsid w:val="000C3A59"/>
    <w:rsid w:val="000C6877"/>
    <w:rsid w:val="000D48FB"/>
    <w:rsid w:val="000D76C7"/>
    <w:rsid w:val="000E291A"/>
    <w:rsid w:val="000E2CE6"/>
    <w:rsid w:val="000E2FEC"/>
    <w:rsid w:val="000E6539"/>
    <w:rsid w:val="000E7C3E"/>
    <w:rsid w:val="000F1007"/>
    <w:rsid w:val="000F192F"/>
    <w:rsid w:val="000F55B1"/>
    <w:rsid w:val="00101A74"/>
    <w:rsid w:val="001060AD"/>
    <w:rsid w:val="00110C4C"/>
    <w:rsid w:val="00111A0B"/>
    <w:rsid w:val="00114D6E"/>
    <w:rsid w:val="00117DA0"/>
    <w:rsid w:val="00124E62"/>
    <w:rsid w:val="001270B6"/>
    <w:rsid w:val="00140AC7"/>
    <w:rsid w:val="00143285"/>
    <w:rsid w:val="00144555"/>
    <w:rsid w:val="00150083"/>
    <w:rsid w:val="00165928"/>
    <w:rsid w:val="00173866"/>
    <w:rsid w:val="0017543D"/>
    <w:rsid w:val="00175DDC"/>
    <w:rsid w:val="00176211"/>
    <w:rsid w:val="00197ABC"/>
    <w:rsid w:val="00197C26"/>
    <w:rsid w:val="00197F18"/>
    <w:rsid w:val="001A07E7"/>
    <w:rsid w:val="001A0A89"/>
    <w:rsid w:val="001A1151"/>
    <w:rsid w:val="001A4C43"/>
    <w:rsid w:val="001A6473"/>
    <w:rsid w:val="001B135D"/>
    <w:rsid w:val="001C18C7"/>
    <w:rsid w:val="001C5228"/>
    <w:rsid w:val="001D1C78"/>
    <w:rsid w:val="001D3EE2"/>
    <w:rsid w:val="001F212A"/>
    <w:rsid w:val="00206E0F"/>
    <w:rsid w:val="00215F71"/>
    <w:rsid w:val="00221180"/>
    <w:rsid w:val="00223C50"/>
    <w:rsid w:val="00231E3B"/>
    <w:rsid w:val="002327CB"/>
    <w:rsid w:val="00233BDD"/>
    <w:rsid w:val="00234901"/>
    <w:rsid w:val="002359CC"/>
    <w:rsid w:val="00240C59"/>
    <w:rsid w:val="002451E6"/>
    <w:rsid w:val="002574B5"/>
    <w:rsid w:val="002628C8"/>
    <w:rsid w:val="00262C4F"/>
    <w:rsid w:val="002832F4"/>
    <w:rsid w:val="00292C4E"/>
    <w:rsid w:val="00294D20"/>
    <w:rsid w:val="002A70AD"/>
    <w:rsid w:val="002B37FE"/>
    <w:rsid w:val="002B5EBE"/>
    <w:rsid w:val="002B6DD4"/>
    <w:rsid w:val="002C2779"/>
    <w:rsid w:val="002C279D"/>
    <w:rsid w:val="002D0782"/>
    <w:rsid w:val="002D38D9"/>
    <w:rsid w:val="002D5500"/>
    <w:rsid w:val="002E4B98"/>
    <w:rsid w:val="002F0E83"/>
    <w:rsid w:val="002F1CF3"/>
    <w:rsid w:val="00303B1B"/>
    <w:rsid w:val="00306AA8"/>
    <w:rsid w:val="0031106A"/>
    <w:rsid w:val="00330B68"/>
    <w:rsid w:val="00333367"/>
    <w:rsid w:val="00342174"/>
    <w:rsid w:val="003426CA"/>
    <w:rsid w:val="00347E50"/>
    <w:rsid w:val="0036032B"/>
    <w:rsid w:val="0036124C"/>
    <w:rsid w:val="00371A4E"/>
    <w:rsid w:val="003730E7"/>
    <w:rsid w:val="00380881"/>
    <w:rsid w:val="00380A16"/>
    <w:rsid w:val="00381458"/>
    <w:rsid w:val="003814DC"/>
    <w:rsid w:val="00381964"/>
    <w:rsid w:val="003856ED"/>
    <w:rsid w:val="0039043E"/>
    <w:rsid w:val="003908B2"/>
    <w:rsid w:val="00390E8C"/>
    <w:rsid w:val="003A0FA8"/>
    <w:rsid w:val="003A623D"/>
    <w:rsid w:val="003B042D"/>
    <w:rsid w:val="003B255D"/>
    <w:rsid w:val="003C2468"/>
    <w:rsid w:val="003C4127"/>
    <w:rsid w:val="003D42E3"/>
    <w:rsid w:val="003D5747"/>
    <w:rsid w:val="003E5FDC"/>
    <w:rsid w:val="003F0924"/>
    <w:rsid w:val="003F6D82"/>
    <w:rsid w:val="003F7079"/>
    <w:rsid w:val="003F76BB"/>
    <w:rsid w:val="004003C6"/>
    <w:rsid w:val="004020FB"/>
    <w:rsid w:val="00407462"/>
    <w:rsid w:val="00411AE2"/>
    <w:rsid w:val="00412264"/>
    <w:rsid w:val="00416A2A"/>
    <w:rsid w:val="004170D4"/>
    <w:rsid w:val="00420118"/>
    <w:rsid w:val="00420C82"/>
    <w:rsid w:val="0042644B"/>
    <w:rsid w:val="00432361"/>
    <w:rsid w:val="0043326F"/>
    <w:rsid w:val="004412CB"/>
    <w:rsid w:val="0044597B"/>
    <w:rsid w:val="0044640F"/>
    <w:rsid w:val="004470F2"/>
    <w:rsid w:val="00447E78"/>
    <w:rsid w:val="004513A0"/>
    <w:rsid w:val="004579DA"/>
    <w:rsid w:val="0046081B"/>
    <w:rsid w:val="004624DD"/>
    <w:rsid w:val="00465C9D"/>
    <w:rsid w:val="0046613C"/>
    <w:rsid w:val="00476902"/>
    <w:rsid w:val="00481E77"/>
    <w:rsid w:val="0049029F"/>
    <w:rsid w:val="00490C8C"/>
    <w:rsid w:val="00491685"/>
    <w:rsid w:val="00493AED"/>
    <w:rsid w:val="004940E8"/>
    <w:rsid w:val="004A2818"/>
    <w:rsid w:val="004A6CD9"/>
    <w:rsid w:val="004B3CDC"/>
    <w:rsid w:val="004C1696"/>
    <w:rsid w:val="004C1D91"/>
    <w:rsid w:val="004C25D0"/>
    <w:rsid w:val="004C2D80"/>
    <w:rsid w:val="004D182A"/>
    <w:rsid w:val="004F53FE"/>
    <w:rsid w:val="004F5630"/>
    <w:rsid w:val="005018AF"/>
    <w:rsid w:val="00514E3B"/>
    <w:rsid w:val="00517B0C"/>
    <w:rsid w:val="00521FCD"/>
    <w:rsid w:val="005251C0"/>
    <w:rsid w:val="00531274"/>
    <w:rsid w:val="00533C0F"/>
    <w:rsid w:val="00545EB6"/>
    <w:rsid w:val="00547253"/>
    <w:rsid w:val="0055126E"/>
    <w:rsid w:val="005536F0"/>
    <w:rsid w:val="00553C0C"/>
    <w:rsid w:val="00556899"/>
    <w:rsid w:val="00561771"/>
    <w:rsid w:val="00565969"/>
    <w:rsid w:val="0057243F"/>
    <w:rsid w:val="00576A4C"/>
    <w:rsid w:val="00597C28"/>
    <w:rsid w:val="005A237A"/>
    <w:rsid w:val="005A6C24"/>
    <w:rsid w:val="005B1678"/>
    <w:rsid w:val="005B1CA2"/>
    <w:rsid w:val="005B5CBE"/>
    <w:rsid w:val="005C0601"/>
    <w:rsid w:val="005C3D49"/>
    <w:rsid w:val="005D179C"/>
    <w:rsid w:val="005D216A"/>
    <w:rsid w:val="005D5EFE"/>
    <w:rsid w:val="005D75A8"/>
    <w:rsid w:val="005E1893"/>
    <w:rsid w:val="005E32E3"/>
    <w:rsid w:val="005E7D7F"/>
    <w:rsid w:val="005F073B"/>
    <w:rsid w:val="005F4179"/>
    <w:rsid w:val="005F4D50"/>
    <w:rsid w:val="006031D7"/>
    <w:rsid w:val="00603947"/>
    <w:rsid w:val="00610E9B"/>
    <w:rsid w:val="00611852"/>
    <w:rsid w:val="00614D16"/>
    <w:rsid w:val="00614E63"/>
    <w:rsid w:val="006173E1"/>
    <w:rsid w:val="00620BFF"/>
    <w:rsid w:val="0063207F"/>
    <w:rsid w:val="006366ED"/>
    <w:rsid w:val="0064019A"/>
    <w:rsid w:val="006508E4"/>
    <w:rsid w:val="006528E8"/>
    <w:rsid w:val="00653DCB"/>
    <w:rsid w:val="006569F8"/>
    <w:rsid w:val="00661360"/>
    <w:rsid w:val="006701AC"/>
    <w:rsid w:val="00670614"/>
    <w:rsid w:val="0067262F"/>
    <w:rsid w:val="00677697"/>
    <w:rsid w:val="006840BF"/>
    <w:rsid w:val="0068640A"/>
    <w:rsid w:val="006946A7"/>
    <w:rsid w:val="00697EAE"/>
    <w:rsid w:val="006A1D21"/>
    <w:rsid w:val="006A2DAF"/>
    <w:rsid w:val="006B3341"/>
    <w:rsid w:val="006C147D"/>
    <w:rsid w:val="006C523F"/>
    <w:rsid w:val="006D36E5"/>
    <w:rsid w:val="006D3D23"/>
    <w:rsid w:val="006E6211"/>
    <w:rsid w:val="006F1618"/>
    <w:rsid w:val="006F1C5D"/>
    <w:rsid w:val="006F5F1E"/>
    <w:rsid w:val="0070022E"/>
    <w:rsid w:val="00705076"/>
    <w:rsid w:val="007075CD"/>
    <w:rsid w:val="00721C51"/>
    <w:rsid w:val="00721D61"/>
    <w:rsid w:val="00721F2E"/>
    <w:rsid w:val="00725B31"/>
    <w:rsid w:val="00750ECC"/>
    <w:rsid w:val="007551B8"/>
    <w:rsid w:val="007552CA"/>
    <w:rsid w:val="00762C54"/>
    <w:rsid w:val="00764298"/>
    <w:rsid w:val="007652F9"/>
    <w:rsid w:val="007662C5"/>
    <w:rsid w:val="00767891"/>
    <w:rsid w:val="00770287"/>
    <w:rsid w:val="00772EEF"/>
    <w:rsid w:val="00773CB7"/>
    <w:rsid w:val="00794D2E"/>
    <w:rsid w:val="00794D58"/>
    <w:rsid w:val="007B07A5"/>
    <w:rsid w:val="007B0E9F"/>
    <w:rsid w:val="007B18D0"/>
    <w:rsid w:val="007C1A42"/>
    <w:rsid w:val="007C2F62"/>
    <w:rsid w:val="007C4165"/>
    <w:rsid w:val="007C7906"/>
    <w:rsid w:val="007E0A2A"/>
    <w:rsid w:val="007E155D"/>
    <w:rsid w:val="007E1E5D"/>
    <w:rsid w:val="007E2C69"/>
    <w:rsid w:val="007E65C6"/>
    <w:rsid w:val="007E709A"/>
    <w:rsid w:val="007F0C22"/>
    <w:rsid w:val="007F7702"/>
    <w:rsid w:val="00810DE3"/>
    <w:rsid w:val="008156A9"/>
    <w:rsid w:val="008201C3"/>
    <w:rsid w:val="00821E40"/>
    <w:rsid w:val="00822E60"/>
    <w:rsid w:val="008254E1"/>
    <w:rsid w:val="0082643A"/>
    <w:rsid w:val="00834D2A"/>
    <w:rsid w:val="00840436"/>
    <w:rsid w:val="008410F2"/>
    <w:rsid w:val="0084181F"/>
    <w:rsid w:val="00843553"/>
    <w:rsid w:val="008506F3"/>
    <w:rsid w:val="00855228"/>
    <w:rsid w:val="0086774D"/>
    <w:rsid w:val="00871313"/>
    <w:rsid w:val="00873530"/>
    <w:rsid w:val="00877709"/>
    <w:rsid w:val="008949BE"/>
    <w:rsid w:val="00895179"/>
    <w:rsid w:val="00896930"/>
    <w:rsid w:val="008A2037"/>
    <w:rsid w:val="008A3082"/>
    <w:rsid w:val="008A3B8A"/>
    <w:rsid w:val="008A6384"/>
    <w:rsid w:val="008B0710"/>
    <w:rsid w:val="008B283F"/>
    <w:rsid w:val="008B556E"/>
    <w:rsid w:val="008D111A"/>
    <w:rsid w:val="008D418A"/>
    <w:rsid w:val="008D5753"/>
    <w:rsid w:val="008E4BDA"/>
    <w:rsid w:val="008F1832"/>
    <w:rsid w:val="008F19A9"/>
    <w:rsid w:val="008F3006"/>
    <w:rsid w:val="008F3932"/>
    <w:rsid w:val="008F4CD8"/>
    <w:rsid w:val="00903828"/>
    <w:rsid w:val="009052C2"/>
    <w:rsid w:val="009075A1"/>
    <w:rsid w:val="00910B34"/>
    <w:rsid w:val="00917A43"/>
    <w:rsid w:val="009228F3"/>
    <w:rsid w:val="009276FD"/>
    <w:rsid w:val="009524B1"/>
    <w:rsid w:val="009579FF"/>
    <w:rsid w:val="00966ABA"/>
    <w:rsid w:val="0096702D"/>
    <w:rsid w:val="0097022F"/>
    <w:rsid w:val="009706BA"/>
    <w:rsid w:val="00973C76"/>
    <w:rsid w:val="009A1417"/>
    <w:rsid w:val="009A45D4"/>
    <w:rsid w:val="009B3521"/>
    <w:rsid w:val="009B5004"/>
    <w:rsid w:val="009B6849"/>
    <w:rsid w:val="009B7184"/>
    <w:rsid w:val="009C2D4C"/>
    <w:rsid w:val="009D3ABE"/>
    <w:rsid w:val="009D4562"/>
    <w:rsid w:val="009D4CEB"/>
    <w:rsid w:val="009D61F5"/>
    <w:rsid w:val="009E3C79"/>
    <w:rsid w:val="009E574E"/>
    <w:rsid w:val="009E625C"/>
    <w:rsid w:val="009E63FC"/>
    <w:rsid w:val="009F07BD"/>
    <w:rsid w:val="009F1DD5"/>
    <w:rsid w:val="009F46D4"/>
    <w:rsid w:val="009F47B1"/>
    <w:rsid w:val="00A004C9"/>
    <w:rsid w:val="00A05CE5"/>
    <w:rsid w:val="00A07649"/>
    <w:rsid w:val="00A1396C"/>
    <w:rsid w:val="00A13983"/>
    <w:rsid w:val="00A17F76"/>
    <w:rsid w:val="00A31F30"/>
    <w:rsid w:val="00A34E89"/>
    <w:rsid w:val="00A432D0"/>
    <w:rsid w:val="00A46068"/>
    <w:rsid w:val="00A46F2B"/>
    <w:rsid w:val="00A53F3F"/>
    <w:rsid w:val="00A61286"/>
    <w:rsid w:val="00A70F21"/>
    <w:rsid w:val="00A822EE"/>
    <w:rsid w:val="00A82F09"/>
    <w:rsid w:val="00A90081"/>
    <w:rsid w:val="00AA02BF"/>
    <w:rsid w:val="00AA44BD"/>
    <w:rsid w:val="00AA5860"/>
    <w:rsid w:val="00AA7BFA"/>
    <w:rsid w:val="00AB055D"/>
    <w:rsid w:val="00AB3588"/>
    <w:rsid w:val="00AC20E6"/>
    <w:rsid w:val="00AD28F8"/>
    <w:rsid w:val="00AD5E76"/>
    <w:rsid w:val="00AD7EBC"/>
    <w:rsid w:val="00AE248C"/>
    <w:rsid w:val="00AE401A"/>
    <w:rsid w:val="00AE4566"/>
    <w:rsid w:val="00AF1DE4"/>
    <w:rsid w:val="00AF1FC1"/>
    <w:rsid w:val="00AF215D"/>
    <w:rsid w:val="00AF6300"/>
    <w:rsid w:val="00B044C4"/>
    <w:rsid w:val="00B06314"/>
    <w:rsid w:val="00B13189"/>
    <w:rsid w:val="00B268FF"/>
    <w:rsid w:val="00B343A2"/>
    <w:rsid w:val="00B44AC9"/>
    <w:rsid w:val="00B45241"/>
    <w:rsid w:val="00B45681"/>
    <w:rsid w:val="00B458C1"/>
    <w:rsid w:val="00B471A8"/>
    <w:rsid w:val="00B50B39"/>
    <w:rsid w:val="00B576F8"/>
    <w:rsid w:val="00B60B16"/>
    <w:rsid w:val="00B61294"/>
    <w:rsid w:val="00B628A1"/>
    <w:rsid w:val="00B63225"/>
    <w:rsid w:val="00B65AAE"/>
    <w:rsid w:val="00B81F5C"/>
    <w:rsid w:val="00B824B0"/>
    <w:rsid w:val="00B92164"/>
    <w:rsid w:val="00B958DD"/>
    <w:rsid w:val="00BA1918"/>
    <w:rsid w:val="00BA5C09"/>
    <w:rsid w:val="00BB076F"/>
    <w:rsid w:val="00BB58CD"/>
    <w:rsid w:val="00BC2D2F"/>
    <w:rsid w:val="00BD0EA4"/>
    <w:rsid w:val="00BD7BE5"/>
    <w:rsid w:val="00BE6A31"/>
    <w:rsid w:val="00BE6F2C"/>
    <w:rsid w:val="00BE7A2A"/>
    <w:rsid w:val="00BE7C18"/>
    <w:rsid w:val="00C01FF4"/>
    <w:rsid w:val="00C03368"/>
    <w:rsid w:val="00C2359F"/>
    <w:rsid w:val="00C24073"/>
    <w:rsid w:val="00C3096C"/>
    <w:rsid w:val="00C31A8C"/>
    <w:rsid w:val="00C337C7"/>
    <w:rsid w:val="00C364E6"/>
    <w:rsid w:val="00C41ADC"/>
    <w:rsid w:val="00C5252D"/>
    <w:rsid w:val="00C54AB5"/>
    <w:rsid w:val="00C54B24"/>
    <w:rsid w:val="00C54CED"/>
    <w:rsid w:val="00C7575D"/>
    <w:rsid w:val="00C858FE"/>
    <w:rsid w:val="00C920AB"/>
    <w:rsid w:val="00C96E39"/>
    <w:rsid w:val="00CA13CB"/>
    <w:rsid w:val="00CA1877"/>
    <w:rsid w:val="00CA5229"/>
    <w:rsid w:val="00CA6271"/>
    <w:rsid w:val="00CA711F"/>
    <w:rsid w:val="00CB56BA"/>
    <w:rsid w:val="00CB5BD6"/>
    <w:rsid w:val="00CB77C8"/>
    <w:rsid w:val="00CC22B2"/>
    <w:rsid w:val="00CC4916"/>
    <w:rsid w:val="00CC5E43"/>
    <w:rsid w:val="00CC734A"/>
    <w:rsid w:val="00CD2B51"/>
    <w:rsid w:val="00CD771B"/>
    <w:rsid w:val="00CF0231"/>
    <w:rsid w:val="00CF419C"/>
    <w:rsid w:val="00D04047"/>
    <w:rsid w:val="00D06360"/>
    <w:rsid w:val="00D12161"/>
    <w:rsid w:val="00D1399C"/>
    <w:rsid w:val="00D1554D"/>
    <w:rsid w:val="00D27CA0"/>
    <w:rsid w:val="00D30FD3"/>
    <w:rsid w:val="00D37218"/>
    <w:rsid w:val="00D43E12"/>
    <w:rsid w:val="00D44BD9"/>
    <w:rsid w:val="00D512D8"/>
    <w:rsid w:val="00D5479E"/>
    <w:rsid w:val="00D55F19"/>
    <w:rsid w:val="00D57DB0"/>
    <w:rsid w:val="00D61E34"/>
    <w:rsid w:val="00D71564"/>
    <w:rsid w:val="00D723F4"/>
    <w:rsid w:val="00D77AC3"/>
    <w:rsid w:val="00D8179C"/>
    <w:rsid w:val="00D8426F"/>
    <w:rsid w:val="00D848EB"/>
    <w:rsid w:val="00D85017"/>
    <w:rsid w:val="00D8639D"/>
    <w:rsid w:val="00D919FE"/>
    <w:rsid w:val="00D91AB0"/>
    <w:rsid w:val="00DA0F25"/>
    <w:rsid w:val="00DB2953"/>
    <w:rsid w:val="00DB6B9F"/>
    <w:rsid w:val="00DD043A"/>
    <w:rsid w:val="00DD2867"/>
    <w:rsid w:val="00DD3DA7"/>
    <w:rsid w:val="00DD407F"/>
    <w:rsid w:val="00DD5C8C"/>
    <w:rsid w:val="00DD5E63"/>
    <w:rsid w:val="00DD636A"/>
    <w:rsid w:val="00DE369A"/>
    <w:rsid w:val="00DE3AC5"/>
    <w:rsid w:val="00DE42D6"/>
    <w:rsid w:val="00DE640A"/>
    <w:rsid w:val="00DF1AFF"/>
    <w:rsid w:val="00DF34F4"/>
    <w:rsid w:val="00E048CC"/>
    <w:rsid w:val="00E10397"/>
    <w:rsid w:val="00E13E66"/>
    <w:rsid w:val="00E13FEE"/>
    <w:rsid w:val="00E1621F"/>
    <w:rsid w:val="00E203BD"/>
    <w:rsid w:val="00E21CE9"/>
    <w:rsid w:val="00E24478"/>
    <w:rsid w:val="00E2610B"/>
    <w:rsid w:val="00E305B2"/>
    <w:rsid w:val="00E37B02"/>
    <w:rsid w:val="00E4178A"/>
    <w:rsid w:val="00E42868"/>
    <w:rsid w:val="00E470F2"/>
    <w:rsid w:val="00E676B0"/>
    <w:rsid w:val="00E71D43"/>
    <w:rsid w:val="00E73A9F"/>
    <w:rsid w:val="00E77E88"/>
    <w:rsid w:val="00E815EF"/>
    <w:rsid w:val="00E92F2A"/>
    <w:rsid w:val="00E94A30"/>
    <w:rsid w:val="00E96334"/>
    <w:rsid w:val="00EB3A45"/>
    <w:rsid w:val="00EB3C9B"/>
    <w:rsid w:val="00EC366E"/>
    <w:rsid w:val="00ED4B7F"/>
    <w:rsid w:val="00ED5364"/>
    <w:rsid w:val="00EE057C"/>
    <w:rsid w:val="00EF3A02"/>
    <w:rsid w:val="00EF4192"/>
    <w:rsid w:val="00EF6571"/>
    <w:rsid w:val="00EF6D34"/>
    <w:rsid w:val="00F0006D"/>
    <w:rsid w:val="00F001C5"/>
    <w:rsid w:val="00F015EE"/>
    <w:rsid w:val="00F02753"/>
    <w:rsid w:val="00F04201"/>
    <w:rsid w:val="00F076B6"/>
    <w:rsid w:val="00F10522"/>
    <w:rsid w:val="00F10EB2"/>
    <w:rsid w:val="00F374A8"/>
    <w:rsid w:val="00F4007F"/>
    <w:rsid w:val="00F40D4F"/>
    <w:rsid w:val="00F51558"/>
    <w:rsid w:val="00F60306"/>
    <w:rsid w:val="00F607CA"/>
    <w:rsid w:val="00F61748"/>
    <w:rsid w:val="00F666DB"/>
    <w:rsid w:val="00F67ED2"/>
    <w:rsid w:val="00F74860"/>
    <w:rsid w:val="00F8595F"/>
    <w:rsid w:val="00F910BF"/>
    <w:rsid w:val="00F91E2C"/>
    <w:rsid w:val="00F97F89"/>
    <w:rsid w:val="00FA0497"/>
    <w:rsid w:val="00FA079E"/>
    <w:rsid w:val="00FA43A4"/>
    <w:rsid w:val="00FA5116"/>
    <w:rsid w:val="00FA7395"/>
    <w:rsid w:val="00FB1BB5"/>
    <w:rsid w:val="00FB2D4F"/>
    <w:rsid w:val="00FB35EE"/>
    <w:rsid w:val="00FB4B66"/>
    <w:rsid w:val="00FB55A4"/>
    <w:rsid w:val="00FC0F12"/>
    <w:rsid w:val="00FC5060"/>
    <w:rsid w:val="00FC56B6"/>
    <w:rsid w:val="00FC5F0F"/>
    <w:rsid w:val="00FC7088"/>
    <w:rsid w:val="00FC757C"/>
    <w:rsid w:val="00FD1BFE"/>
    <w:rsid w:val="00FD7BCB"/>
    <w:rsid w:val="00FE71A0"/>
    <w:rsid w:val="00FF141C"/>
    <w:rsid w:val="00FF36C1"/>
    <w:rsid w:val="00FF51C1"/>
    <w:rsid w:val="00FF5387"/>
    <w:rsid w:val="00FF56F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59"/>
    <w:pPr>
      <w:widowControl w:val="0"/>
      <w:spacing w:after="0" w:line="240" w:lineRule="auto"/>
    </w:pPr>
    <w:rPr>
      <w:rFonts w:ascii="Times New Roman" w:eastAsia="Times New Roman" w:hAnsi="Times New Roman"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3A59"/>
    <w:pPr>
      <w:tabs>
        <w:tab w:val="center" w:pos="4320"/>
        <w:tab w:val="right" w:pos="8640"/>
      </w:tabs>
    </w:pPr>
    <w:rPr>
      <w:rFonts w:ascii="Garamond" w:hAnsi="Garamond"/>
      <w:sz w:val="24"/>
    </w:rPr>
  </w:style>
  <w:style w:type="character" w:customStyle="1" w:styleId="HeaderChar">
    <w:name w:val="Header Char"/>
    <w:basedOn w:val="DefaultParagraphFont"/>
    <w:link w:val="Header"/>
    <w:uiPriority w:val="99"/>
    <w:rsid w:val="000C3A59"/>
    <w:rPr>
      <w:rFonts w:ascii="Garamond" w:eastAsia="Times New Roman" w:hAnsi="Garamond" w:cs="Times New Roman"/>
      <w:sz w:val="24"/>
      <w:szCs w:val="20"/>
      <w:lang w:val="es-ES_tradnl" w:eastAsia="es-ES"/>
    </w:rPr>
  </w:style>
  <w:style w:type="paragraph" w:styleId="BodyText3">
    <w:name w:val="Body Text 3"/>
    <w:basedOn w:val="Normal"/>
    <w:link w:val="BodyText3Char"/>
    <w:rsid w:val="000C3A59"/>
    <w:pPr>
      <w:tabs>
        <w:tab w:val="left" w:pos="680"/>
      </w:tabs>
      <w:jc w:val="both"/>
    </w:pPr>
    <w:rPr>
      <w:rFonts w:ascii="Garamond" w:hAnsi="Garamond"/>
      <w:b/>
      <w:sz w:val="24"/>
    </w:rPr>
  </w:style>
  <w:style w:type="character" w:customStyle="1" w:styleId="BodyText3Char">
    <w:name w:val="Body Text 3 Char"/>
    <w:basedOn w:val="DefaultParagraphFont"/>
    <w:link w:val="BodyText3"/>
    <w:rsid w:val="000C3A59"/>
    <w:rPr>
      <w:rFonts w:ascii="Garamond" w:eastAsia="Times New Roman" w:hAnsi="Garamond" w:cs="Times New Roman"/>
      <w:b/>
      <w:sz w:val="24"/>
      <w:szCs w:val="20"/>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0C3A59"/>
    <w:rPr>
      <w:sz w:val="20"/>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0C3A59"/>
    <w:rPr>
      <w:rFonts w:ascii="Times" w:hAnsi="Tim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0C3A59"/>
    <w:rPr>
      <w:rFonts w:ascii="Times" w:eastAsia="Times New Roman" w:hAnsi="Times" w:cs="Times New Roman"/>
      <w:sz w:val="20"/>
      <w:szCs w:val="20"/>
      <w:lang w:val="es-ES_tradnl" w:eastAsia="es-ES"/>
    </w:rPr>
  </w:style>
  <w:style w:type="paragraph" w:styleId="Footer">
    <w:name w:val="footer"/>
    <w:basedOn w:val="Normal"/>
    <w:link w:val="FooterChar"/>
    <w:uiPriority w:val="99"/>
    <w:rsid w:val="000C3A59"/>
    <w:pPr>
      <w:tabs>
        <w:tab w:val="center" w:pos="4320"/>
        <w:tab w:val="right" w:pos="8640"/>
      </w:tabs>
    </w:pPr>
  </w:style>
  <w:style w:type="character" w:customStyle="1" w:styleId="FooterChar">
    <w:name w:val="Footer Char"/>
    <w:basedOn w:val="DefaultParagraphFont"/>
    <w:link w:val="Footer"/>
    <w:uiPriority w:val="99"/>
    <w:rsid w:val="000C3A59"/>
    <w:rPr>
      <w:rFonts w:ascii="Times New Roman" w:eastAsia="Times New Roman" w:hAnsi="Times New Roman" w:cs="Times New Roman"/>
      <w:sz w:val="20"/>
      <w:szCs w:val="20"/>
      <w:lang w:val="es-ES_tradnl" w:eastAsia="es-ES"/>
    </w:rPr>
  </w:style>
  <w:style w:type="character" w:styleId="PageNumber">
    <w:name w:val="page number"/>
    <w:basedOn w:val="DefaultParagraphFont"/>
    <w:rsid w:val="000C3A59"/>
  </w:style>
  <w:style w:type="character" w:styleId="CommentReference">
    <w:name w:val="annotation reference"/>
    <w:rsid w:val="000C3A59"/>
    <w:rPr>
      <w:sz w:val="18"/>
      <w:szCs w:val="18"/>
    </w:rPr>
  </w:style>
  <w:style w:type="character" w:styleId="Hyperlink">
    <w:name w:val="Hyperlink"/>
    <w:rsid w:val="000C3A59"/>
    <w:rPr>
      <w:color w:val="0000FF"/>
      <w:u w:val="single"/>
    </w:rPr>
  </w:style>
  <w:style w:type="character" w:styleId="Strong">
    <w:name w:val="Strong"/>
    <w:uiPriority w:val="22"/>
    <w:qFormat/>
    <w:rsid w:val="000C3A59"/>
    <w:rPr>
      <w:b/>
      <w:bCs/>
    </w:rPr>
  </w:style>
  <w:style w:type="character" w:styleId="LineNumber">
    <w:name w:val="line number"/>
    <w:basedOn w:val="DefaultParagraphFont"/>
    <w:uiPriority w:val="99"/>
    <w:semiHidden/>
    <w:unhideWhenUsed/>
    <w:rsid w:val="000C3A59"/>
  </w:style>
  <w:style w:type="character" w:customStyle="1" w:styleId="ColorfulList-Accent1Char">
    <w:name w:val="Colorful List - Accent 1 Char"/>
    <w:aliases w:val="Footnote Char,Párrafo de lista1 Char"/>
    <w:link w:val="ColorfulList-Accent1"/>
    <w:uiPriority w:val="34"/>
    <w:rsid w:val="007B0E9F"/>
  </w:style>
  <w:style w:type="table" w:styleId="ColorfulList-Accent1">
    <w:name w:val="Colorful List Accent 1"/>
    <w:basedOn w:val="TableNormal"/>
    <w:link w:val="ColorfulList-Accent1Char"/>
    <w:uiPriority w:val="34"/>
    <w:rsid w:val="007B0E9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CA13CB"/>
    <w:rPr>
      <w:rFonts w:ascii="Tahoma" w:hAnsi="Tahoma" w:cs="Tahoma"/>
      <w:sz w:val="16"/>
      <w:szCs w:val="16"/>
    </w:rPr>
  </w:style>
  <w:style w:type="character" w:customStyle="1" w:styleId="BalloonTextChar">
    <w:name w:val="Balloon Text Char"/>
    <w:basedOn w:val="DefaultParagraphFont"/>
    <w:link w:val="BalloonText"/>
    <w:uiPriority w:val="99"/>
    <w:semiHidden/>
    <w:rsid w:val="00CA13CB"/>
    <w:rPr>
      <w:rFonts w:ascii="Tahoma" w:eastAsia="Times New Roman" w:hAnsi="Tahoma" w:cs="Tahoma"/>
      <w:sz w:val="16"/>
      <w:szCs w:val="16"/>
      <w:lang w:val="es-ES_tradnl" w:eastAsia="es-ES"/>
    </w:rPr>
  </w:style>
  <w:style w:type="paragraph" w:styleId="CommentText">
    <w:name w:val="annotation text"/>
    <w:basedOn w:val="Normal"/>
    <w:link w:val="CommentTextChar"/>
    <w:uiPriority w:val="99"/>
    <w:semiHidden/>
    <w:unhideWhenUsed/>
    <w:rsid w:val="00CC734A"/>
  </w:style>
  <w:style w:type="character" w:customStyle="1" w:styleId="CommentTextChar">
    <w:name w:val="Comment Text Char"/>
    <w:basedOn w:val="DefaultParagraphFont"/>
    <w:link w:val="CommentText"/>
    <w:uiPriority w:val="99"/>
    <w:semiHidden/>
    <w:rsid w:val="00CC734A"/>
    <w:rPr>
      <w:rFonts w:ascii="Times New Roman" w:eastAsia="Times New Roman" w:hAnsi="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CC734A"/>
    <w:rPr>
      <w:b/>
      <w:bCs/>
    </w:rPr>
  </w:style>
  <w:style w:type="character" w:customStyle="1" w:styleId="CommentSubjectChar">
    <w:name w:val="Comment Subject Char"/>
    <w:basedOn w:val="CommentTextChar"/>
    <w:link w:val="CommentSubject"/>
    <w:uiPriority w:val="99"/>
    <w:semiHidden/>
    <w:rsid w:val="00CC734A"/>
    <w:rPr>
      <w:rFonts w:ascii="Times New Roman" w:eastAsia="Times New Roman" w:hAnsi="Times New Roman" w:cs="Times New Roman"/>
      <w:b/>
      <w:bCs/>
      <w:sz w:val="20"/>
      <w:szCs w:val="20"/>
      <w:lang w:val="es-ES_tradnl" w:eastAsia="es-ES"/>
    </w:rPr>
  </w:style>
  <w:style w:type="paragraph" w:styleId="ListParagraph">
    <w:name w:val="List Paragraph"/>
    <w:basedOn w:val="Normal"/>
    <w:uiPriority w:val="34"/>
    <w:qFormat/>
    <w:rsid w:val="005536F0"/>
    <w:pPr>
      <w:ind w:left="720"/>
      <w:contextualSpacing/>
    </w:pPr>
  </w:style>
  <w:style w:type="character" w:styleId="FollowedHyperlink">
    <w:name w:val="FollowedHyperlink"/>
    <w:basedOn w:val="DefaultParagraphFont"/>
    <w:uiPriority w:val="99"/>
    <w:semiHidden/>
    <w:unhideWhenUsed/>
    <w:rsid w:val="00347E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59"/>
    <w:pPr>
      <w:widowControl w:val="0"/>
      <w:spacing w:after="0" w:line="240" w:lineRule="auto"/>
    </w:pPr>
    <w:rPr>
      <w:rFonts w:ascii="Times New Roman" w:eastAsia="Times New Roman" w:hAnsi="Times New Roman"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3A59"/>
    <w:pPr>
      <w:tabs>
        <w:tab w:val="center" w:pos="4320"/>
        <w:tab w:val="right" w:pos="8640"/>
      </w:tabs>
    </w:pPr>
    <w:rPr>
      <w:rFonts w:ascii="Garamond" w:hAnsi="Garamond"/>
      <w:sz w:val="24"/>
    </w:rPr>
  </w:style>
  <w:style w:type="character" w:customStyle="1" w:styleId="HeaderChar">
    <w:name w:val="Header Char"/>
    <w:basedOn w:val="DefaultParagraphFont"/>
    <w:link w:val="Header"/>
    <w:uiPriority w:val="99"/>
    <w:rsid w:val="000C3A59"/>
    <w:rPr>
      <w:rFonts w:ascii="Garamond" w:eastAsia="Times New Roman" w:hAnsi="Garamond" w:cs="Times New Roman"/>
      <w:sz w:val="24"/>
      <w:szCs w:val="20"/>
      <w:lang w:val="es-ES_tradnl" w:eastAsia="es-ES"/>
    </w:rPr>
  </w:style>
  <w:style w:type="paragraph" w:styleId="BodyText3">
    <w:name w:val="Body Text 3"/>
    <w:basedOn w:val="Normal"/>
    <w:link w:val="BodyText3Char"/>
    <w:rsid w:val="000C3A59"/>
    <w:pPr>
      <w:tabs>
        <w:tab w:val="left" w:pos="680"/>
      </w:tabs>
      <w:jc w:val="both"/>
    </w:pPr>
    <w:rPr>
      <w:rFonts w:ascii="Garamond" w:hAnsi="Garamond"/>
      <w:b/>
      <w:sz w:val="24"/>
    </w:rPr>
  </w:style>
  <w:style w:type="character" w:customStyle="1" w:styleId="BodyText3Char">
    <w:name w:val="Body Text 3 Char"/>
    <w:basedOn w:val="DefaultParagraphFont"/>
    <w:link w:val="BodyText3"/>
    <w:rsid w:val="000C3A59"/>
    <w:rPr>
      <w:rFonts w:ascii="Garamond" w:eastAsia="Times New Roman" w:hAnsi="Garamond" w:cs="Times New Roman"/>
      <w:b/>
      <w:sz w:val="24"/>
      <w:szCs w:val="20"/>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0C3A59"/>
    <w:rPr>
      <w:sz w:val="20"/>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0C3A59"/>
    <w:rPr>
      <w:rFonts w:ascii="Times" w:hAnsi="Tim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0C3A59"/>
    <w:rPr>
      <w:rFonts w:ascii="Times" w:eastAsia="Times New Roman" w:hAnsi="Times" w:cs="Times New Roman"/>
      <w:sz w:val="20"/>
      <w:szCs w:val="20"/>
      <w:lang w:val="es-ES_tradnl" w:eastAsia="es-ES"/>
    </w:rPr>
  </w:style>
  <w:style w:type="paragraph" w:styleId="Footer">
    <w:name w:val="footer"/>
    <w:basedOn w:val="Normal"/>
    <w:link w:val="FooterChar"/>
    <w:uiPriority w:val="99"/>
    <w:rsid w:val="000C3A59"/>
    <w:pPr>
      <w:tabs>
        <w:tab w:val="center" w:pos="4320"/>
        <w:tab w:val="right" w:pos="8640"/>
      </w:tabs>
    </w:pPr>
  </w:style>
  <w:style w:type="character" w:customStyle="1" w:styleId="FooterChar">
    <w:name w:val="Footer Char"/>
    <w:basedOn w:val="DefaultParagraphFont"/>
    <w:link w:val="Footer"/>
    <w:uiPriority w:val="99"/>
    <w:rsid w:val="000C3A59"/>
    <w:rPr>
      <w:rFonts w:ascii="Times New Roman" w:eastAsia="Times New Roman" w:hAnsi="Times New Roman" w:cs="Times New Roman"/>
      <w:sz w:val="20"/>
      <w:szCs w:val="20"/>
      <w:lang w:val="es-ES_tradnl" w:eastAsia="es-ES"/>
    </w:rPr>
  </w:style>
  <w:style w:type="character" w:styleId="PageNumber">
    <w:name w:val="page number"/>
    <w:basedOn w:val="DefaultParagraphFont"/>
    <w:rsid w:val="000C3A59"/>
  </w:style>
  <w:style w:type="character" w:styleId="CommentReference">
    <w:name w:val="annotation reference"/>
    <w:rsid w:val="000C3A59"/>
    <w:rPr>
      <w:sz w:val="18"/>
      <w:szCs w:val="18"/>
    </w:rPr>
  </w:style>
  <w:style w:type="character" w:styleId="Hyperlink">
    <w:name w:val="Hyperlink"/>
    <w:rsid w:val="000C3A59"/>
    <w:rPr>
      <w:color w:val="0000FF"/>
      <w:u w:val="single"/>
    </w:rPr>
  </w:style>
  <w:style w:type="character" w:styleId="Strong">
    <w:name w:val="Strong"/>
    <w:uiPriority w:val="22"/>
    <w:qFormat/>
    <w:rsid w:val="000C3A59"/>
    <w:rPr>
      <w:b/>
      <w:bCs/>
    </w:rPr>
  </w:style>
  <w:style w:type="character" w:styleId="LineNumber">
    <w:name w:val="line number"/>
    <w:basedOn w:val="DefaultParagraphFont"/>
    <w:uiPriority w:val="99"/>
    <w:semiHidden/>
    <w:unhideWhenUsed/>
    <w:rsid w:val="000C3A59"/>
  </w:style>
  <w:style w:type="character" w:customStyle="1" w:styleId="ColorfulList-Accent1Char">
    <w:name w:val="Colorful List - Accent 1 Char"/>
    <w:aliases w:val="Footnote Char,Párrafo de lista1 Char"/>
    <w:link w:val="ColorfulList-Accent1"/>
    <w:uiPriority w:val="34"/>
    <w:rsid w:val="007B0E9F"/>
  </w:style>
  <w:style w:type="table" w:styleId="ColorfulList-Accent1">
    <w:name w:val="Colorful List Accent 1"/>
    <w:basedOn w:val="TableNormal"/>
    <w:link w:val="ColorfulList-Accent1Char"/>
    <w:uiPriority w:val="34"/>
    <w:rsid w:val="007B0E9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CA13CB"/>
    <w:rPr>
      <w:rFonts w:ascii="Tahoma" w:hAnsi="Tahoma" w:cs="Tahoma"/>
      <w:sz w:val="16"/>
      <w:szCs w:val="16"/>
    </w:rPr>
  </w:style>
  <w:style w:type="character" w:customStyle="1" w:styleId="BalloonTextChar">
    <w:name w:val="Balloon Text Char"/>
    <w:basedOn w:val="DefaultParagraphFont"/>
    <w:link w:val="BalloonText"/>
    <w:uiPriority w:val="99"/>
    <w:semiHidden/>
    <w:rsid w:val="00CA13CB"/>
    <w:rPr>
      <w:rFonts w:ascii="Tahoma" w:eastAsia="Times New Roman" w:hAnsi="Tahoma" w:cs="Tahoma"/>
      <w:sz w:val="16"/>
      <w:szCs w:val="16"/>
      <w:lang w:val="es-ES_tradnl" w:eastAsia="es-ES"/>
    </w:rPr>
  </w:style>
  <w:style w:type="paragraph" w:styleId="CommentText">
    <w:name w:val="annotation text"/>
    <w:basedOn w:val="Normal"/>
    <w:link w:val="CommentTextChar"/>
    <w:uiPriority w:val="99"/>
    <w:semiHidden/>
    <w:unhideWhenUsed/>
    <w:rsid w:val="00CC734A"/>
  </w:style>
  <w:style w:type="character" w:customStyle="1" w:styleId="CommentTextChar">
    <w:name w:val="Comment Text Char"/>
    <w:basedOn w:val="DefaultParagraphFont"/>
    <w:link w:val="CommentText"/>
    <w:uiPriority w:val="99"/>
    <w:semiHidden/>
    <w:rsid w:val="00CC734A"/>
    <w:rPr>
      <w:rFonts w:ascii="Times New Roman" w:eastAsia="Times New Roman" w:hAnsi="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CC734A"/>
    <w:rPr>
      <w:b/>
      <w:bCs/>
    </w:rPr>
  </w:style>
  <w:style w:type="character" w:customStyle="1" w:styleId="CommentSubjectChar">
    <w:name w:val="Comment Subject Char"/>
    <w:basedOn w:val="CommentTextChar"/>
    <w:link w:val="CommentSubject"/>
    <w:uiPriority w:val="99"/>
    <w:semiHidden/>
    <w:rsid w:val="00CC734A"/>
    <w:rPr>
      <w:rFonts w:ascii="Times New Roman" w:eastAsia="Times New Roman" w:hAnsi="Times New Roman" w:cs="Times New Roman"/>
      <w:b/>
      <w:bCs/>
      <w:sz w:val="20"/>
      <w:szCs w:val="20"/>
      <w:lang w:val="es-ES_tradnl" w:eastAsia="es-ES"/>
    </w:rPr>
  </w:style>
  <w:style w:type="paragraph" w:styleId="ListParagraph">
    <w:name w:val="List Paragraph"/>
    <w:basedOn w:val="Normal"/>
    <w:uiPriority w:val="34"/>
    <w:qFormat/>
    <w:rsid w:val="005536F0"/>
    <w:pPr>
      <w:ind w:left="720"/>
      <w:contextualSpacing/>
    </w:pPr>
  </w:style>
  <w:style w:type="character" w:styleId="FollowedHyperlink">
    <w:name w:val="FollowedHyperlink"/>
    <w:basedOn w:val="DefaultParagraphFont"/>
    <w:uiPriority w:val="99"/>
    <w:semiHidden/>
    <w:unhideWhenUsed/>
    <w:rsid w:val="00347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8850">
      <w:bodyDiv w:val="1"/>
      <w:marLeft w:val="0"/>
      <w:marRight w:val="0"/>
      <w:marTop w:val="0"/>
      <w:marBottom w:val="0"/>
      <w:divBdr>
        <w:top w:val="none" w:sz="0" w:space="0" w:color="auto"/>
        <w:left w:val="none" w:sz="0" w:space="0" w:color="auto"/>
        <w:bottom w:val="none" w:sz="0" w:space="0" w:color="auto"/>
        <w:right w:val="none" w:sz="0" w:space="0" w:color="auto"/>
      </w:divBdr>
    </w:div>
    <w:div w:id="12309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sjn.gov.ar/data/cmcidh.pdf" TargetMode="External"/><Relationship Id="rId2" Type="http://schemas.openxmlformats.org/officeDocument/2006/relationships/hyperlink" Target="http://www.corteidh.or.cr/docs/asuntos/torres_forneron_furlan_mohamed_fv_2015.pdf" TargetMode="External"/><Relationship Id="rId1" Type="http://schemas.openxmlformats.org/officeDocument/2006/relationships/hyperlink" Target="http://www.corteidh.or.cr/docs/casos/articulos/seriec_255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5B069-AD73-4836-88C0-678D5EF2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2546</Words>
  <Characters>14516</Characters>
  <Application>Microsoft Office Word</Application>
  <DocSecurity>0</DocSecurity>
  <Lines>120</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Daniela Rodriguez</cp:lastModifiedBy>
  <cp:revision>3</cp:revision>
  <cp:lastPrinted>2015-11-03T15:15:00Z</cp:lastPrinted>
  <dcterms:created xsi:type="dcterms:W3CDTF">2015-12-04T19:08:00Z</dcterms:created>
  <dcterms:modified xsi:type="dcterms:W3CDTF">2015-12-04T19:20:00Z</dcterms:modified>
</cp:coreProperties>
</file>