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A38EF" w14:textId="06BF0D44" w:rsidR="005937E0" w:rsidRPr="00353B3F" w:rsidRDefault="005937E0" w:rsidP="004B4C69">
      <w:pPr>
        <w:rPr>
          <w:rFonts w:ascii="Verdana" w:hAnsi="Verdana"/>
          <w:b/>
          <w:sz w:val="20"/>
          <w:lang w:val="en-US"/>
        </w:rPr>
      </w:pPr>
    </w:p>
    <w:p w14:paraId="6A6C9C5A" w14:textId="77777777" w:rsidR="00D837AB" w:rsidRPr="00353B3F" w:rsidRDefault="00D837AB" w:rsidP="00434643">
      <w:pPr>
        <w:jc w:val="center"/>
        <w:rPr>
          <w:rFonts w:ascii="Verdana" w:hAnsi="Verdana"/>
          <w:b/>
          <w:sz w:val="20"/>
          <w:lang w:val="en-US"/>
        </w:rPr>
      </w:pPr>
    </w:p>
    <w:p w14:paraId="422BF87D" w14:textId="77777777" w:rsidR="00F95938" w:rsidRDefault="00F95938" w:rsidP="00434643">
      <w:pPr>
        <w:jc w:val="center"/>
        <w:rPr>
          <w:rFonts w:ascii="Verdana" w:hAnsi="Verdana"/>
          <w:b/>
          <w:sz w:val="20"/>
          <w:lang w:val="en-US"/>
        </w:rPr>
      </w:pPr>
    </w:p>
    <w:p w14:paraId="572ED4CA" w14:textId="77777777" w:rsidR="009C0433" w:rsidRDefault="009C0433" w:rsidP="00434643">
      <w:pPr>
        <w:jc w:val="center"/>
        <w:rPr>
          <w:rFonts w:ascii="Verdana" w:hAnsi="Verdana"/>
          <w:b/>
          <w:sz w:val="20"/>
          <w:lang w:val="en-US"/>
        </w:rPr>
      </w:pPr>
    </w:p>
    <w:p w14:paraId="3AA63AFA" w14:textId="77777777" w:rsidR="009C0433" w:rsidRPr="00353B3F" w:rsidRDefault="009C0433" w:rsidP="00434643">
      <w:pPr>
        <w:jc w:val="center"/>
        <w:rPr>
          <w:rFonts w:ascii="Verdana" w:hAnsi="Verdana"/>
          <w:b/>
          <w:sz w:val="20"/>
          <w:lang w:val="en-US"/>
        </w:rPr>
      </w:pPr>
    </w:p>
    <w:p w14:paraId="2BE8ACE0" w14:textId="77777777" w:rsidR="00F95938" w:rsidRPr="00353B3F" w:rsidRDefault="00F95938" w:rsidP="00434643">
      <w:pPr>
        <w:jc w:val="center"/>
        <w:rPr>
          <w:rFonts w:ascii="Verdana" w:hAnsi="Verdana"/>
          <w:b/>
          <w:sz w:val="20"/>
          <w:lang w:val="en-US"/>
        </w:rPr>
      </w:pPr>
    </w:p>
    <w:p w14:paraId="183CE292" w14:textId="77777777" w:rsidR="00F95938" w:rsidRPr="00353B3F" w:rsidRDefault="00F95938" w:rsidP="00434643">
      <w:pPr>
        <w:jc w:val="center"/>
        <w:rPr>
          <w:rFonts w:ascii="Verdana" w:hAnsi="Verdana"/>
          <w:b/>
          <w:sz w:val="20"/>
          <w:lang w:val="en-US"/>
        </w:rPr>
      </w:pPr>
    </w:p>
    <w:p w14:paraId="72CCC2AB" w14:textId="49827107" w:rsidR="00434643" w:rsidRPr="00353B3F" w:rsidRDefault="00484EB4" w:rsidP="00434643">
      <w:pPr>
        <w:jc w:val="center"/>
        <w:rPr>
          <w:rFonts w:ascii="Verdana" w:hAnsi="Verdana"/>
          <w:b/>
          <w:sz w:val="20"/>
          <w:lang w:val="en-US"/>
        </w:rPr>
      </w:pPr>
      <w:r w:rsidRPr="00353B3F">
        <w:rPr>
          <w:rFonts w:ascii="Verdana" w:hAnsi="Verdana"/>
          <w:b/>
          <w:sz w:val="20"/>
          <w:lang w:val="en-US"/>
        </w:rPr>
        <w:t>ORDER OF THE</w:t>
      </w:r>
    </w:p>
    <w:p w14:paraId="34550CD6" w14:textId="34DDAA79" w:rsidR="00434643" w:rsidRPr="00353B3F" w:rsidRDefault="00484EB4" w:rsidP="00434643">
      <w:pPr>
        <w:jc w:val="center"/>
        <w:rPr>
          <w:rFonts w:ascii="Verdana" w:hAnsi="Verdana"/>
          <w:b/>
          <w:sz w:val="20"/>
          <w:lang w:val="en-US"/>
        </w:rPr>
      </w:pPr>
      <w:r w:rsidRPr="00353B3F">
        <w:rPr>
          <w:rFonts w:ascii="Verdana" w:hAnsi="Verdana"/>
          <w:b/>
          <w:sz w:val="20"/>
          <w:lang w:val="en-US"/>
        </w:rPr>
        <w:t>THE INTER-AMERICAN COURT OF HUMAN RIGHTS</w:t>
      </w:r>
      <w:r w:rsidR="0004519B" w:rsidRPr="00353B3F">
        <w:rPr>
          <w:rStyle w:val="FootnoteReference"/>
          <w:rFonts w:ascii="Verdana" w:hAnsi="Verdana"/>
          <w:sz w:val="20"/>
          <w:lang w:val="en-US"/>
        </w:rPr>
        <w:footnoteReference w:customMarkFollows="1" w:id="1"/>
        <w:t>*</w:t>
      </w:r>
    </w:p>
    <w:p w14:paraId="3DDA4B2E" w14:textId="77777777" w:rsidR="00434643" w:rsidRPr="00353B3F" w:rsidRDefault="00434643" w:rsidP="00434643">
      <w:pPr>
        <w:jc w:val="center"/>
        <w:rPr>
          <w:rFonts w:ascii="Verdana" w:hAnsi="Verdana"/>
          <w:b/>
          <w:sz w:val="20"/>
          <w:lang w:val="en-US"/>
        </w:rPr>
      </w:pPr>
    </w:p>
    <w:p w14:paraId="7A82EA97" w14:textId="140AB6CB" w:rsidR="00434643" w:rsidRPr="00353B3F" w:rsidRDefault="00484EB4" w:rsidP="00434643">
      <w:pPr>
        <w:jc w:val="center"/>
        <w:rPr>
          <w:rFonts w:ascii="Verdana" w:hAnsi="Verdana"/>
          <w:b/>
          <w:sz w:val="20"/>
          <w:lang w:val="en-US"/>
        </w:rPr>
      </w:pPr>
      <w:r w:rsidRPr="00353B3F">
        <w:rPr>
          <w:rFonts w:ascii="Verdana" w:hAnsi="Verdana"/>
          <w:b/>
          <w:sz w:val="20"/>
          <w:lang w:val="en-US"/>
        </w:rPr>
        <w:t>NOVEMBER 21,</w:t>
      </w:r>
      <w:r w:rsidR="00434643" w:rsidRPr="00353B3F">
        <w:rPr>
          <w:rFonts w:ascii="Verdana" w:hAnsi="Verdana"/>
          <w:b/>
          <w:sz w:val="20"/>
          <w:lang w:val="en-US"/>
        </w:rPr>
        <w:t xml:space="preserve"> </w:t>
      </w:r>
      <w:r w:rsidR="00F95938" w:rsidRPr="00353B3F">
        <w:rPr>
          <w:rFonts w:ascii="Verdana" w:hAnsi="Verdana"/>
          <w:b/>
          <w:sz w:val="20"/>
          <w:lang w:val="en-US"/>
        </w:rPr>
        <w:t>201</w:t>
      </w:r>
      <w:r w:rsidR="00D44B46" w:rsidRPr="00353B3F">
        <w:rPr>
          <w:rFonts w:ascii="Verdana" w:hAnsi="Verdana"/>
          <w:b/>
          <w:sz w:val="20"/>
          <w:lang w:val="en-US"/>
        </w:rPr>
        <w:t>8</w:t>
      </w:r>
    </w:p>
    <w:p w14:paraId="0B6E9C9E" w14:textId="77777777" w:rsidR="00434643" w:rsidRPr="00353B3F" w:rsidRDefault="00434643" w:rsidP="00434643">
      <w:pPr>
        <w:jc w:val="center"/>
        <w:rPr>
          <w:rFonts w:ascii="Verdana" w:hAnsi="Verdana"/>
          <w:b/>
          <w:sz w:val="20"/>
          <w:lang w:val="en-US"/>
        </w:rPr>
      </w:pPr>
    </w:p>
    <w:p w14:paraId="2D7B1352" w14:textId="4585B55F" w:rsidR="00434643" w:rsidRPr="00353B3F" w:rsidRDefault="00434643" w:rsidP="00434643">
      <w:pPr>
        <w:jc w:val="center"/>
        <w:rPr>
          <w:rFonts w:ascii="Verdana" w:hAnsi="Verdana"/>
          <w:b/>
          <w:i/>
          <w:sz w:val="20"/>
          <w:lang w:val="en-US"/>
        </w:rPr>
      </w:pPr>
      <w:r w:rsidRPr="00353B3F">
        <w:rPr>
          <w:rFonts w:ascii="Verdana" w:hAnsi="Verdana"/>
          <w:b/>
          <w:i/>
          <w:sz w:val="20"/>
          <w:lang w:val="en-US"/>
        </w:rPr>
        <w:t>CAS</w:t>
      </w:r>
      <w:r w:rsidR="00484EB4" w:rsidRPr="00353B3F">
        <w:rPr>
          <w:rFonts w:ascii="Verdana" w:hAnsi="Verdana"/>
          <w:b/>
          <w:i/>
          <w:sz w:val="20"/>
          <w:lang w:val="en-US"/>
        </w:rPr>
        <w:t>E OF THE</w:t>
      </w:r>
      <w:r w:rsidRPr="00353B3F">
        <w:rPr>
          <w:rFonts w:ascii="Verdana" w:hAnsi="Verdana"/>
          <w:b/>
          <w:i/>
          <w:sz w:val="20"/>
          <w:lang w:val="en-US"/>
        </w:rPr>
        <w:t xml:space="preserve"> </w:t>
      </w:r>
      <w:r w:rsidR="00F95938" w:rsidRPr="00353B3F">
        <w:rPr>
          <w:rFonts w:ascii="Verdana" w:hAnsi="Verdana"/>
          <w:b/>
          <w:i/>
          <w:sz w:val="20"/>
          <w:lang w:val="en-US"/>
        </w:rPr>
        <w:t>MOIWANA</w:t>
      </w:r>
      <w:r w:rsidR="00484EB4" w:rsidRPr="00353B3F">
        <w:rPr>
          <w:rFonts w:ascii="Verdana" w:hAnsi="Verdana"/>
          <w:b/>
          <w:i/>
          <w:sz w:val="20"/>
          <w:lang w:val="en-US"/>
        </w:rPr>
        <w:t xml:space="preserve"> COMMUNITY</w:t>
      </w:r>
      <w:r w:rsidR="00F95938" w:rsidRPr="00353B3F">
        <w:rPr>
          <w:rFonts w:ascii="Verdana" w:hAnsi="Verdana"/>
          <w:b/>
          <w:i/>
          <w:sz w:val="20"/>
          <w:lang w:val="en-US"/>
        </w:rPr>
        <w:t xml:space="preserve"> V. SURINAM</w:t>
      </w:r>
      <w:r w:rsidR="00484EB4" w:rsidRPr="00353B3F">
        <w:rPr>
          <w:rFonts w:ascii="Verdana" w:hAnsi="Verdana"/>
          <w:b/>
          <w:i/>
          <w:sz w:val="20"/>
          <w:lang w:val="en-US"/>
        </w:rPr>
        <w:t>E</w:t>
      </w:r>
    </w:p>
    <w:p w14:paraId="65A0F3EC" w14:textId="77777777" w:rsidR="00434643" w:rsidRPr="00353B3F" w:rsidRDefault="00434643" w:rsidP="00434643">
      <w:pPr>
        <w:jc w:val="center"/>
        <w:rPr>
          <w:rFonts w:ascii="Verdana" w:hAnsi="Verdana"/>
          <w:b/>
          <w:sz w:val="20"/>
          <w:lang w:val="en-US"/>
        </w:rPr>
      </w:pPr>
    </w:p>
    <w:p w14:paraId="6ABA9B58" w14:textId="6DD02059" w:rsidR="00434643" w:rsidRPr="00353B3F" w:rsidRDefault="00484EB4" w:rsidP="00F95938">
      <w:pPr>
        <w:jc w:val="center"/>
        <w:rPr>
          <w:rFonts w:ascii="Verdana" w:eastAsiaTheme="minorHAnsi" w:hAnsi="Verdana"/>
          <w:sz w:val="20"/>
          <w:lang w:val="en-US" w:eastAsia="es-CR"/>
        </w:rPr>
      </w:pPr>
      <w:r w:rsidRPr="00353B3F">
        <w:rPr>
          <w:rFonts w:ascii="Verdana" w:hAnsi="Verdana"/>
          <w:b/>
          <w:sz w:val="20"/>
          <w:lang w:val="en-US"/>
        </w:rPr>
        <w:t>MONITORING COMPLIANCE W</w:t>
      </w:r>
      <w:r w:rsidR="00794648">
        <w:rPr>
          <w:rFonts w:ascii="Verdana" w:hAnsi="Verdana"/>
          <w:b/>
          <w:sz w:val="20"/>
          <w:lang w:val="en-US"/>
        </w:rPr>
        <w:t>I</w:t>
      </w:r>
      <w:bookmarkStart w:id="0" w:name="_GoBack"/>
      <w:bookmarkEnd w:id="0"/>
      <w:r w:rsidRPr="00353B3F">
        <w:rPr>
          <w:rFonts w:ascii="Verdana" w:hAnsi="Verdana"/>
          <w:b/>
          <w:sz w:val="20"/>
          <w:lang w:val="en-US"/>
        </w:rPr>
        <w:t>TH JUDGMENT</w:t>
      </w:r>
    </w:p>
    <w:p w14:paraId="13E66D6B" w14:textId="77777777" w:rsidR="005173AF" w:rsidRPr="00353B3F" w:rsidRDefault="005173AF" w:rsidP="005173AF">
      <w:pPr>
        <w:jc w:val="both"/>
        <w:rPr>
          <w:rFonts w:ascii="Verdana" w:hAnsi="Verdana"/>
          <w:b/>
          <w:sz w:val="20"/>
          <w:lang w:val="en-US"/>
        </w:rPr>
      </w:pPr>
    </w:p>
    <w:p w14:paraId="308000AD" w14:textId="77777777" w:rsidR="00B00DF6" w:rsidRPr="00353B3F" w:rsidRDefault="00B00DF6" w:rsidP="005173AF">
      <w:pPr>
        <w:jc w:val="both"/>
        <w:rPr>
          <w:rFonts w:ascii="Verdana" w:hAnsi="Verdana"/>
          <w:b/>
          <w:sz w:val="20"/>
          <w:lang w:val="en-US"/>
        </w:rPr>
      </w:pPr>
    </w:p>
    <w:p w14:paraId="6329E95D" w14:textId="77777777" w:rsidR="00484EB4" w:rsidRPr="00353B3F" w:rsidRDefault="00484EB4" w:rsidP="005173AF">
      <w:pPr>
        <w:jc w:val="both"/>
        <w:rPr>
          <w:rFonts w:ascii="Verdana" w:hAnsi="Verdana"/>
          <w:b/>
          <w:sz w:val="20"/>
          <w:lang w:val="en-US"/>
        </w:rPr>
      </w:pPr>
    </w:p>
    <w:p w14:paraId="0A004B4F" w14:textId="6907969D" w:rsidR="005173AF" w:rsidRPr="00353B3F" w:rsidRDefault="00484EB4" w:rsidP="005173AF">
      <w:pPr>
        <w:jc w:val="both"/>
        <w:rPr>
          <w:rFonts w:ascii="Verdana" w:hAnsi="Verdana"/>
          <w:b/>
          <w:sz w:val="20"/>
          <w:lang w:val="en-US"/>
        </w:rPr>
      </w:pPr>
      <w:r w:rsidRPr="00353B3F">
        <w:rPr>
          <w:rFonts w:ascii="Verdana" w:hAnsi="Verdana"/>
          <w:b/>
          <w:sz w:val="20"/>
          <w:lang w:val="en-US"/>
        </w:rPr>
        <w:t>HAVING SEEN</w:t>
      </w:r>
      <w:r w:rsidR="005173AF" w:rsidRPr="00353B3F">
        <w:rPr>
          <w:rFonts w:ascii="Verdana" w:hAnsi="Verdana"/>
          <w:b/>
          <w:sz w:val="20"/>
          <w:lang w:val="en-US"/>
        </w:rPr>
        <w:t>:</w:t>
      </w:r>
    </w:p>
    <w:p w14:paraId="4855DA55" w14:textId="77777777" w:rsidR="005173AF" w:rsidRPr="00353B3F" w:rsidRDefault="005173AF">
      <w:pPr>
        <w:rPr>
          <w:rFonts w:ascii="Verdana" w:hAnsi="Verdana"/>
          <w:sz w:val="20"/>
          <w:lang w:val="en-US"/>
        </w:rPr>
      </w:pPr>
    </w:p>
    <w:p w14:paraId="20A5D768" w14:textId="1A108A42" w:rsidR="005173AF" w:rsidRPr="00353B3F" w:rsidRDefault="00484EB4" w:rsidP="00B72E74">
      <w:pPr>
        <w:numPr>
          <w:ilvl w:val="0"/>
          <w:numId w:val="1"/>
        </w:numPr>
        <w:ind w:left="0" w:firstLine="0"/>
        <w:jc w:val="both"/>
        <w:rPr>
          <w:rFonts w:ascii="Verdana" w:hAnsi="Verdana"/>
          <w:sz w:val="20"/>
          <w:lang w:val="en-US"/>
        </w:rPr>
      </w:pPr>
      <w:bookmarkStart w:id="1" w:name="_Ref437273668"/>
      <w:bookmarkStart w:id="2" w:name="_Ref532199390"/>
      <w:r w:rsidRPr="00353B3F">
        <w:rPr>
          <w:rFonts w:ascii="Verdana" w:hAnsi="Verdana"/>
          <w:sz w:val="20"/>
          <w:lang w:val="en-US"/>
        </w:rPr>
        <w:t xml:space="preserve">The judgment on preliminary objections, merits, reparations and costs </w:t>
      </w:r>
      <w:r w:rsidR="005173AF" w:rsidRPr="00353B3F">
        <w:rPr>
          <w:rFonts w:ascii="Verdana" w:hAnsi="Verdana"/>
          <w:sz w:val="20"/>
          <w:lang w:val="en-US"/>
        </w:rPr>
        <w:t>(</w:t>
      </w:r>
      <w:r w:rsidRPr="00353B3F">
        <w:rPr>
          <w:rFonts w:ascii="Verdana" w:hAnsi="Verdana"/>
          <w:sz w:val="20"/>
          <w:lang w:val="en-US"/>
        </w:rPr>
        <w:t>hereinafter</w:t>
      </w:r>
      <w:r w:rsidR="005173AF" w:rsidRPr="00353B3F">
        <w:rPr>
          <w:rFonts w:ascii="Verdana" w:hAnsi="Verdana"/>
          <w:sz w:val="20"/>
          <w:lang w:val="en-US"/>
        </w:rPr>
        <w:t xml:space="preserve"> “</w:t>
      </w:r>
      <w:r w:rsidRPr="00353B3F">
        <w:rPr>
          <w:rFonts w:ascii="Verdana" w:hAnsi="Verdana"/>
          <w:sz w:val="20"/>
          <w:lang w:val="en-US"/>
        </w:rPr>
        <w:t>the judgment</w:t>
      </w:r>
      <w:r w:rsidR="005173AF" w:rsidRPr="00353B3F">
        <w:rPr>
          <w:rFonts w:ascii="Verdana" w:hAnsi="Verdana"/>
          <w:sz w:val="20"/>
          <w:lang w:val="en-US"/>
        </w:rPr>
        <w:t xml:space="preserve">”) </w:t>
      </w:r>
      <w:r w:rsidRPr="00353B3F">
        <w:rPr>
          <w:rFonts w:ascii="Verdana" w:hAnsi="Verdana"/>
          <w:sz w:val="20"/>
          <w:lang w:val="en-US"/>
        </w:rPr>
        <w:t>delivered by</w:t>
      </w:r>
      <w:r w:rsidR="005173AF" w:rsidRPr="00353B3F">
        <w:rPr>
          <w:rFonts w:ascii="Verdana" w:hAnsi="Verdana"/>
          <w:sz w:val="20"/>
          <w:lang w:val="en-US"/>
        </w:rPr>
        <w:t xml:space="preserve"> </w:t>
      </w:r>
      <w:r w:rsidRPr="00353B3F">
        <w:rPr>
          <w:rFonts w:ascii="Verdana" w:hAnsi="Verdana"/>
          <w:sz w:val="20"/>
          <w:lang w:val="en-US"/>
        </w:rPr>
        <w:t>the Inter-American Court of Human Rights</w:t>
      </w:r>
      <w:r w:rsidR="005173AF" w:rsidRPr="00353B3F">
        <w:rPr>
          <w:rFonts w:ascii="Verdana" w:hAnsi="Verdana"/>
          <w:sz w:val="20"/>
          <w:lang w:val="en-US"/>
        </w:rPr>
        <w:t xml:space="preserve"> (</w:t>
      </w:r>
      <w:r w:rsidRPr="00353B3F">
        <w:rPr>
          <w:rFonts w:ascii="Verdana" w:hAnsi="Verdana"/>
          <w:sz w:val="20"/>
          <w:lang w:val="en-US"/>
        </w:rPr>
        <w:t>hereinafter</w:t>
      </w:r>
      <w:r w:rsidR="005173AF" w:rsidRPr="00353B3F">
        <w:rPr>
          <w:rFonts w:ascii="Verdana" w:hAnsi="Verdana"/>
          <w:sz w:val="20"/>
          <w:lang w:val="en-US"/>
        </w:rPr>
        <w:t xml:space="preserve"> “</w:t>
      </w:r>
      <w:r w:rsidRPr="00353B3F">
        <w:rPr>
          <w:rFonts w:ascii="Verdana" w:hAnsi="Verdana"/>
          <w:sz w:val="20"/>
          <w:lang w:val="en-US"/>
        </w:rPr>
        <w:t>the Court</w:t>
      </w:r>
      <w:r w:rsidR="005173AF" w:rsidRPr="00353B3F">
        <w:rPr>
          <w:rFonts w:ascii="Verdana" w:hAnsi="Verdana"/>
          <w:sz w:val="20"/>
          <w:lang w:val="en-US"/>
        </w:rPr>
        <w:t>”</w:t>
      </w:r>
      <w:r w:rsidRPr="00353B3F">
        <w:rPr>
          <w:rFonts w:ascii="Verdana" w:hAnsi="Verdana"/>
          <w:sz w:val="20"/>
          <w:lang w:val="en-US"/>
        </w:rPr>
        <w:t xml:space="preserve"> or</w:t>
      </w:r>
      <w:r w:rsidR="005173AF" w:rsidRPr="00353B3F">
        <w:rPr>
          <w:rFonts w:ascii="Verdana" w:hAnsi="Verdana"/>
          <w:sz w:val="20"/>
          <w:lang w:val="en-US"/>
        </w:rPr>
        <w:t xml:space="preserve"> “</w:t>
      </w:r>
      <w:r w:rsidRPr="00353B3F">
        <w:rPr>
          <w:rFonts w:ascii="Verdana" w:hAnsi="Verdana"/>
          <w:sz w:val="20"/>
          <w:lang w:val="en-US"/>
        </w:rPr>
        <w:t>the Inter-American Court</w:t>
      </w:r>
      <w:r w:rsidR="005173AF" w:rsidRPr="00353B3F">
        <w:rPr>
          <w:rFonts w:ascii="Verdana" w:hAnsi="Verdana"/>
          <w:sz w:val="20"/>
          <w:lang w:val="en-US"/>
        </w:rPr>
        <w:t xml:space="preserve">”) </w:t>
      </w:r>
      <w:r w:rsidRPr="00353B3F">
        <w:rPr>
          <w:rFonts w:ascii="Verdana" w:hAnsi="Verdana"/>
          <w:sz w:val="20"/>
          <w:lang w:val="en-US"/>
        </w:rPr>
        <w:t xml:space="preserve">on June 15, </w:t>
      </w:r>
      <w:r w:rsidR="00F95938" w:rsidRPr="00353B3F">
        <w:rPr>
          <w:rFonts w:ascii="Verdana" w:hAnsi="Verdana"/>
          <w:sz w:val="20"/>
          <w:lang w:val="en-US"/>
        </w:rPr>
        <w:t>2005</w:t>
      </w:r>
      <w:r w:rsidRPr="00353B3F">
        <w:rPr>
          <w:rFonts w:ascii="Verdana" w:hAnsi="Verdana"/>
          <w:sz w:val="20"/>
          <w:lang w:val="en-US"/>
        </w:rPr>
        <w:t>.</w:t>
      </w:r>
      <w:r w:rsidR="005173AF" w:rsidRPr="00353B3F">
        <w:rPr>
          <w:rStyle w:val="FootnoteReference"/>
          <w:rFonts w:ascii="Verdana" w:hAnsi="Verdana"/>
          <w:sz w:val="20"/>
          <w:lang w:val="en-US"/>
        </w:rPr>
        <w:footnoteReference w:id="2"/>
      </w:r>
      <w:r w:rsidRPr="00353B3F">
        <w:rPr>
          <w:rFonts w:ascii="Verdana" w:hAnsi="Verdana"/>
          <w:sz w:val="20"/>
          <w:lang w:val="en-US"/>
        </w:rPr>
        <w:t xml:space="preserve"> In this case, the Court declared the international responsibility of the Republic of Suriname</w:t>
      </w:r>
      <w:r w:rsidR="005173AF" w:rsidRPr="00353B3F">
        <w:rPr>
          <w:rFonts w:ascii="Verdana" w:hAnsi="Verdana"/>
          <w:sz w:val="20"/>
          <w:lang w:val="en-US"/>
        </w:rPr>
        <w:t xml:space="preserve"> </w:t>
      </w:r>
      <w:r w:rsidR="0067247F" w:rsidRPr="00353B3F">
        <w:rPr>
          <w:rFonts w:ascii="Verdana" w:hAnsi="Verdana"/>
          <w:sz w:val="20"/>
          <w:lang w:val="en-US"/>
        </w:rPr>
        <w:t>(</w:t>
      </w:r>
      <w:r w:rsidRPr="00353B3F">
        <w:rPr>
          <w:rFonts w:ascii="Verdana" w:hAnsi="Verdana"/>
          <w:sz w:val="20"/>
          <w:lang w:val="en-US"/>
        </w:rPr>
        <w:t>hereinafter</w:t>
      </w:r>
      <w:r w:rsidR="0067247F" w:rsidRPr="00353B3F">
        <w:rPr>
          <w:rFonts w:ascii="Verdana" w:hAnsi="Verdana"/>
          <w:sz w:val="20"/>
          <w:lang w:val="en-US"/>
        </w:rPr>
        <w:t xml:space="preserve"> “</w:t>
      </w:r>
      <w:r w:rsidRPr="00353B3F">
        <w:rPr>
          <w:rFonts w:ascii="Verdana" w:hAnsi="Verdana"/>
          <w:sz w:val="20"/>
          <w:lang w:val="en-US"/>
        </w:rPr>
        <w:t>the State</w:t>
      </w:r>
      <w:r w:rsidR="0067247F" w:rsidRPr="00353B3F">
        <w:rPr>
          <w:rFonts w:ascii="Verdana" w:hAnsi="Verdana"/>
          <w:sz w:val="20"/>
          <w:lang w:val="en-US"/>
        </w:rPr>
        <w:t>” o</w:t>
      </w:r>
      <w:r w:rsidRPr="00353B3F">
        <w:rPr>
          <w:rFonts w:ascii="Verdana" w:hAnsi="Verdana"/>
          <w:sz w:val="20"/>
          <w:lang w:val="en-US"/>
        </w:rPr>
        <w:t>r</w:t>
      </w:r>
      <w:r w:rsidR="0067247F" w:rsidRPr="00353B3F">
        <w:rPr>
          <w:rFonts w:ascii="Verdana" w:hAnsi="Verdana"/>
          <w:sz w:val="20"/>
          <w:lang w:val="en-US"/>
        </w:rPr>
        <w:t xml:space="preserve"> “Surinam</w:t>
      </w:r>
      <w:r w:rsidRPr="00353B3F">
        <w:rPr>
          <w:rFonts w:ascii="Verdana" w:hAnsi="Verdana"/>
          <w:sz w:val="20"/>
          <w:lang w:val="en-US"/>
        </w:rPr>
        <w:t>e</w:t>
      </w:r>
      <w:r w:rsidR="0067247F" w:rsidRPr="00353B3F">
        <w:rPr>
          <w:rFonts w:ascii="Verdana" w:hAnsi="Verdana"/>
          <w:sz w:val="20"/>
          <w:lang w:val="en-US"/>
        </w:rPr>
        <w:t>”)</w:t>
      </w:r>
      <w:r w:rsidR="004543E3" w:rsidRPr="00353B3F">
        <w:rPr>
          <w:rFonts w:ascii="Verdana" w:hAnsi="Verdana"/>
          <w:sz w:val="20"/>
          <w:lang w:val="en-US"/>
        </w:rPr>
        <w:t xml:space="preserve"> </w:t>
      </w:r>
      <w:r w:rsidRPr="00353B3F">
        <w:rPr>
          <w:rFonts w:ascii="Verdana" w:hAnsi="Verdana"/>
          <w:sz w:val="20"/>
          <w:lang w:val="en-US"/>
        </w:rPr>
        <w:t xml:space="preserve">for the acts perpetrated against the inhabitants of the village of </w:t>
      </w:r>
      <w:proofErr w:type="spellStart"/>
      <w:r w:rsidR="0067247F" w:rsidRPr="00353B3F">
        <w:rPr>
          <w:rFonts w:ascii="Verdana" w:hAnsi="Verdana"/>
          <w:sz w:val="20"/>
          <w:lang w:val="en-US"/>
        </w:rPr>
        <w:t>Moiwana</w:t>
      </w:r>
      <w:proofErr w:type="spellEnd"/>
      <w:r w:rsidR="001A0C14" w:rsidRPr="00353B3F">
        <w:rPr>
          <w:rFonts w:ascii="Verdana" w:hAnsi="Verdana"/>
          <w:sz w:val="20"/>
          <w:lang w:val="en-US"/>
        </w:rPr>
        <w:t xml:space="preserve">, </w:t>
      </w:r>
      <w:r w:rsidR="003429D4" w:rsidRPr="00353B3F">
        <w:rPr>
          <w:rFonts w:ascii="Verdana" w:hAnsi="Verdana"/>
          <w:sz w:val="20"/>
          <w:lang w:val="en-US"/>
        </w:rPr>
        <w:t>members of the</w:t>
      </w:r>
      <w:r w:rsidR="001A0C14" w:rsidRPr="00353B3F">
        <w:rPr>
          <w:rFonts w:ascii="Verdana" w:hAnsi="Verdana"/>
          <w:sz w:val="20"/>
          <w:lang w:val="en-US"/>
        </w:rPr>
        <w:t xml:space="preserve"> </w:t>
      </w:r>
      <w:proofErr w:type="spellStart"/>
      <w:r w:rsidR="001A0C14" w:rsidRPr="00353B3F">
        <w:rPr>
          <w:rFonts w:ascii="Verdana" w:hAnsi="Verdana"/>
          <w:sz w:val="20"/>
          <w:lang w:val="en-US"/>
        </w:rPr>
        <w:t>N’djuka</w:t>
      </w:r>
      <w:proofErr w:type="spellEnd"/>
      <w:r w:rsidR="00B72E74" w:rsidRPr="00353B3F">
        <w:rPr>
          <w:rFonts w:ascii="Verdana" w:hAnsi="Verdana"/>
          <w:sz w:val="20"/>
          <w:lang w:val="en-US"/>
        </w:rPr>
        <w:t xml:space="preserve"> people</w:t>
      </w:r>
      <w:r w:rsidR="005173AF" w:rsidRPr="00353B3F">
        <w:rPr>
          <w:rFonts w:ascii="Verdana" w:hAnsi="Verdana"/>
          <w:sz w:val="20"/>
          <w:lang w:val="en-US"/>
        </w:rPr>
        <w:t xml:space="preserve">. </w:t>
      </w:r>
      <w:r w:rsidR="00B72E74" w:rsidRPr="00353B3F">
        <w:rPr>
          <w:rFonts w:ascii="Verdana" w:hAnsi="Verdana"/>
          <w:sz w:val="20"/>
          <w:lang w:val="en-US"/>
        </w:rPr>
        <w:t>On November 29,</w:t>
      </w:r>
      <w:r w:rsidR="00841CCA" w:rsidRPr="00353B3F">
        <w:rPr>
          <w:rFonts w:ascii="Verdana" w:hAnsi="Verdana"/>
          <w:sz w:val="20"/>
          <w:lang w:val="en-US"/>
        </w:rPr>
        <w:t xml:space="preserve"> 1986</w:t>
      </w:r>
      <w:r w:rsidR="00B72E74" w:rsidRPr="00353B3F">
        <w:rPr>
          <w:rFonts w:ascii="Verdana" w:hAnsi="Verdana"/>
          <w:sz w:val="20"/>
          <w:lang w:val="en-US"/>
        </w:rPr>
        <w:t>,</w:t>
      </w:r>
      <w:r w:rsidR="00841CCA" w:rsidRPr="00353B3F">
        <w:rPr>
          <w:rFonts w:ascii="Verdana" w:hAnsi="Verdana"/>
          <w:sz w:val="20"/>
          <w:lang w:val="en-US"/>
        </w:rPr>
        <w:t xml:space="preserve"> </w:t>
      </w:r>
      <w:r w:rsidRPr="00353B3F">
        <w:rPr>
          <w:rFonts w:ascii="Verdana" w:hAnsi="Verdana"/>
          <w:sz w:val="20"/>
          <w:lang w:val="en-US"/>
        </w:rPr>
        <w:t>the State</w:t>
      </w:r>
      <w:r w:rsidR="00841CCA" w:rsidRPr="00353B3F">
        <w:rPr>
          <w:rFonts w:ascii="Verdana" w:hAnsi="Verdana"/>
          <w:sz w:val="20"/>
          <w:lang w:val="en-US"/>
        </w:rPr>
        <w:t xml:space="preserve"> </w:t>
      </w:r>
      <w:r w:rsidR="00B72E74" w:rsidRPr="00353B3F">
        <w:rPr>
          <w:rFonts w:ascii="Verdana" w:hAnsi="Verdana"/>
          <w:sz w:val="20"/>
          <w:lang w:val="en-US"/>
        </w:rPr>
        <w:t>carried out a military operation in this village which resulted in the death of 39 members of the community, including women</w:t>
      </w:r>
      <w:r w:rsidR="0075620E" w:rsidRPr="00353B3F">
        <w:rPr>
          <w:rFonts w:ascii="Verdana" w:hAnsi="Verdana"/>
          <w:sz w:val="20"/>
          <w:lang w:val="en-US"/>
        </w:rPr>
        <w:t>, children</w:t>
      </w:r>
      <w:r w:rsidR="00B72E74" w:rsidRPr="00353B3F">
        <w:rPr>
          <w:rFonts w:ascii="Verdana" w:hAnsi="Verdana"/>
          <w:sz w:val="20"/>
          <w:lang w:val="en-US"/>
        </w:rPr>
        <w:t xml:space="preserve"> and the elderly, as well as injuries to other </w:t>
      </w:r>
      <w:r w:rsidR="002B4F7B" w:rsidRPr="00353B3F">
        <w:rPr>
          <w:rFonts w:ascii="Verdana" w:hAnsi="Verdana"/>
          <w:sz w:val="20"/>
          <w:lang w:val="en-US"/>
        </w:rPr>
        <w:t xml:space="preserve">community </w:t>
      </w:r>
      <w:r w:rsidR="00B72E74" w:rsidRPr="00353B3F">
        <w:rPr>
          <w:rFonts w:ascii="Verdana" w:hAnsi="Verdana"/>
          <w:sz w:val="20"/>
          <w:lang w:val="en-US"/>
        </w:rPr>
        <w:t xml:space="preserve">members. Furthermore, during the operation, community property was </w:t>
      </w:r>
      <w:r w:rsidR="002B4F7B" w:rsidRPr="00353B3F">
        <w:rPr>
          <w:rFonts w:ascii="Verdana" w:hAnsi="Verdana"/>
          <w:sz w:val="20"/>
          <w:lang w:val="en-US"/>
        </w:rPr>
        <w:t xml:space="preserve">set </w:t>
      </w:r>
      <w:r w:rsidR="0075620E" w:rsidRPr="00353B3F">
        <w:rPr>
          <w:rFonts w:ascii="Verdana" w:hAnsi="Verdana"/>
          <w:sz w:val="20"/>
          <w:lang w:val="en-US"/>
        </w:rPr>
        <w:t xml:space="preserve">on </w:t>
      </w:r>
      <w:r w:rsidR="002B4F7B" w:rsidRPr="00353B3F">
        <w:rPr>
          <w:rFonts w:ascii="Verdana" w:hAnsi="Verdana"/>
          <w:sz w:val="20"/>
          <w:lang w:val="en-US"/>
        </w:rPr>
        <w:t>fire and destroyed,</w:t>
      </w:r>
      <w:r w:rsidR="00B72E74" w:rsidRPr="00353B3F">
        <w:rPr>
          <w:rFonts w:ascii="Verdana" w:hAnsi="Verdana"/>
          <w:sz w:val="20"/>
          <w:lang w:val="en-US"/>
        </w:rPr>
        <w:t xml:space="preserve"> and the survivors were forced to flee. Since then, they have lived in poverty, away from the village and their traditional lands</w:t>
      </w:r>
      <w:r w:rsidR="002B4F7B" w:rsidRPr="00353B3F">
        <w:rPr>
          <w:rFonts w:ascii="Verdana" w:hAnsi="Verdana"/>
          <w:sz w:val="20"/>
          <w:lang w:val="en-US"/>
        </w:rPr>
        <w:t>; also,</w:t>
      </w:r>
      <w:r w:rsidR="00B72E74" w:rsidRPr="00353B3F">
        <w:rPr>
          <w:rFonts w:ascii="Verdana" w:hAnsi="Verdana"/>
          <w:sz w:val="20"/>
          <w:lang w:val="en-US"/>
        </w:rPr>
        <w:t xml:space="preserve"> the practice of the</w:t>
      </w:r>
      <w:r w:rsidR="002B4F7B" w:rsidRPr="00353B3F">
        <w:rPr>
          <w:rFonts w:ascii="Verdana" w:hAnsi="Verdana"/>
          <w:sz w:val="20"/>
          <w:lang w:val="en-US"/>
        </w:rPr>
        <w:t>ir</w:t>
      </w:r>
      <w:r w:rsidR="00B72E74" w:rsidRPr="00353B3F">
        <w:rPr>
          <w:rFonts w:ascii="Verdana" w:hAnsi="Verdana"/>
          <w:sz w:val="20"/>
          <w:lang w:val="en-US"/>
        </w:rPr>
        <w:t xml:space="preserve"> traditional means of subsistence has been severely affected. In addition, at the time of the judgment, the members of the community had not recovered the remains of their family members who died in the attack. Lastly, the events were not investigated. Consequently, the Court determined that the State was responsible for violating the right to personal integrity, to freedom of movement and residence, to property, and to judicial guarantees and judicial protection established in </w:t>
      </w:r>
      <w:r w:rsidRPr="00353B3F">
        <w:rPr>
          <w:rFonts w:ascii="Verdana" w:hAnsi="Verdana"/>
          <w:sz w:val="20"/>
          <w:lang w:val="en-US"/>
        </w:rPr>
        <w:t>the American Convention on Human Rights</w:t>
      </w:r>
      <w:r w:rsidR="004E1A95" w:rsidRPr="00353B3F">
        <w:rPr>
          <w:rStyle w:val="FootnoteReference"/>
          <w:rFonts w:ascii="Verdana" w:hAnsi="Verdana"/>
          <w:sz w:val="20"/>
          <w:lang w:val="en-US"/>
        </w:rPr>
        <w:footnoteReference w:id="3"/>
      </w:r>
      <w:r w:rsidR="00B72E74" w:rsidRPr="00353B3F">
        <w:rPr>
          <w:rFonts w:ascii="Verdana" w:hAnsi="Verdana"/>
          <w:sz w:val="20"/>
          <w:lang w:val="en-US"/>
        </w:rPr>
        <w:t xml:space="preserve"> “of the members of the </w:t>
      </w:r>
      <w:proofErr w:type="spellStart"/>
      <w:r w:rsidR="00B72E74" w:rsidRPr="00353B3F">
        <w:rPr>
          <w:rFonts w:ascii="Verdana" w:hAnsi="Verdana"/>
          <w:sz w:val="20"/>
          <w:lang w:val="en-US"/>
        </w:rPr>
        <w:t>Moiwana</w:t>
      </w:r>
      <w:proofErr w:type="spellEnd"/>
      <w:r w:rsidR="00B72E74" w:rsidRPr="00353B3F">
        <w:rPr>
          <w:rFonts w:ascii="Verdana" w:hAnsi="Verdana"/>
          <w:sz w:val="20"/>
          <w:lang w:val="en-US"/>
        </w:rPr>
        <w:t xml:space="preserve"> community.” </w:t>
      </w:r>
      <w:r w:rsidR="00B00DF6" w:rsidRPr="00353B3F">
        <w:rPr>
          <w:rFonts w:ascii="Verdana" w:hAnsi="Verdana"/>
          <w:sz w:val="20"/>
          <w:lang w:val="en-US"/>
        </w:rPr>
        <w:t>The</w:t>
      </w:r>
      <w:r w:rsidR="00B72E74" w:rsidRPr="00353B3F">
        <w:rPr>
          <w:rFonts w:ascii="Verdana" w:hAnsi="Verdana"/>
          <w:sz w:val="20"/>
          <w:lang w:val="en-US"/>
        </w:rPr>
        <w:t xml:space="preserve"> Court established</w:t>
      </w:r>
      <w:r w:rsidR="00B00DF6" w:rsidRPr="00353B3F">
        <w:rPr>
          <w:rFonts w:ascii="Verdana" w:hAnsi="Verdana"/>
          <w:sz w:val="20"/>
          <w:lang w:val="en-US"/>
        </w:rPr>
        <w:t xml:space="preserve"> that its judgment constituted</w:t>
      </w:r>
      <w:r w:rsidR="0075620E" w:rsidRPr="00353B3F">
        <w:rPr>
          <w:rFonts w:ascii="Verdana" w:hAnsi="Verdana"/>
          <w:sz w:val="20"/>
          <w:lang w:val="en-US"/>
        </w:rPr>
        <w:t xml:space="preserve">, </w:t>
      </w:r>
      <w:r w:rsidR="0075620E" w:rsidRPr="00353B3F">
        <w:rPr>
          <w:rFonts w:ascii="Verdana" w:hAnsi="Verdana"/>
          <w:i/>
          <w:sz w:val="20"/>
          <w:lang w:val="en-US"/>
        </w:rPr>
        <w:t>per se</w:t>
      </w:r>
      <w:r w:rsidR="0075620E" w:rsidRPr="00353B3F">
        <w:rPr>
          <w:rFonts w:ascii="Verdana" w:hAnsi="Verdana"/>
          <w:sz w:val="20"/>
          <w:lang w:val="en-US"/>
        </w:rPr>
        <w:t xml:space="preserve">, </w:t>
      </w:r>
      <w:r w:rsidR="00B00DF6" w:rsidRPr="00353B3F">
        <w:rPr>
          <w:rFonts w:ascii="Verdana" w:hAnsi="Verdana"/>
          <w:sz w:val="20"/>
          <w:lang w:val="en-US"/>
        </w:rPr>
        <w:t>a form of reparation and</w:t>
      </w:r>
      <w:r w:rsidR="0075620E" w:rsidRPr="00353B3F">
        <w:rPr>
          <w:rFonts w:ascii="Verdana" w:hAnsi="Verdana"/>
          <w:sz w:val="20"/>
          <w:lang w:val="en-US"/>
        </w:rPr>
        <w:t xml:space="preserve"> </w:t>
      </w:r>
      <w:r w:rsidR="00B00DF6" w:rsidRPr="00353B3F">
        <w:rPr>
          <w:rFonts w:ascii="Verdana" w:hAnsi="Verdana"/>
          <w:sz w:val="20"/>
          <w:lang w:val="en-US"/>
        </w:rPr>
        <w:t xml:space="preserve">ordered the State to adopt additional measures of reparation </w:t>
      </w:r>
      <w:bookmarkEnd w:id="1"/>
      <w:r w:rsidR="00E809CD" w:rsidRPr="00353B3F">
        <w:rPr>
          <w:rFonts w:ascii="Verdana" w:hAnsi="Verdana"/>
          <w:sz w:val="20"/>
          <w:lang w:val="en-US"/>
        </w:rPr>
        <w:t>(</w:t>
      </w:r>
      <w:r w:rsidR="00E809CD" w:rsidRPr="00353B3F">
        <w:rPr>
          <w:rFonts w:ascii="Verdana" w:hAnsi="Verdana"/>
          <w:i/>
          <w:sz w:val="20"/>
          <w:lang w:val="en-US"/>
        </w:rPr>
        <w:t xml:space="preserve">infra </w:t>
      </w:r>
      <w:proofErr w:type="spellStart"/>
      <w:r w:rsidR="00B00DF6" w:rsidRPr="00353B3F">
        <w:rPr>
          <w:rFonts w:ascii="Verdana" w:hAnsi="Verdana"/>
          <w:i/>
          <w:sz w:val="20"/>
          <w:lang w:val="en-US"/>
        </w:rPr>
        <w:t>c</w:t>
      </w:r>
      <w:r w:rsidR="00E809CD" w:rsidRPr="00353B3F">
        <w:rPr>
          <w:rFonts w:ascii="Verdana" w:hAnsi="Verdana"/>
          <w:i/>
          <w:sz w:val="20"/>
          <w:lang w:val="en-US"/>
        </w:rPr>
        <w:t>onsiderand</w:t>
      </w:r>
      <w:r w:rsidR="00B00DF6" w:rsidRPr="00353B3F">
        <w:rPr>
          <w:rFonts w:ascii="Verdana" w:hAnsi="Verdana"/>
          <w:i/>
          <w:sz w:val="20"/>
          <w:lang w:val="en-US"/>
        </w:rPr>
        <w:t>um</w:t>
      </w:r>
      <w:proofErr w:type="spellEnd"/>
      <w:r w:rsidR="00E809CD" w:rsidRPr="00353B3F">
        <w:rPr>
          <w:rFonts w:ascii="Verdana" w:hAnsi="Verdana"/>
          <w:sz w:val="20"/>
          <w:lang w:val="en-US"/>
        </w:rPr>
        <w:t xml:space="preserve"> </w:t>
      </w:r>
      <w:r w:rsidR="0004230B" w:rsidRPr="00353B3F">
        <w:rPr>
          <w:rFonts w:ascii="Verdana" w:hAnsi="Verdana"/>
          <w:sz w:val="20"/>
          <w:lang w:val="en-US"/>
        </w:rPr>
        <w:fldChar w:fldCharType="begin"/>
      </w:r>
      <w:r w:rsidR="0004230B" w:rsidRPr="00353B3F">
        <w:rPr>
          <w:rFonts w:ascii="Verdana" w:hAnsi="Verdana"/>
          <w:sz w:val="20"/>
          <w:lang w:val="en-US"/>
        </w:rPr>
        <w:instrText xml:space="preserve"> REF _Ref531947535 \r \h </w:instrText>
      </w:r>
      <w:r w:rsidR="00E47A56" w:rsidRPr="00353B3F">
        <w:rPr>
          <w:rFonts w:ascii="Verdana" w:hAnsi="Verdana"/>
          <w:sz w:val="20"/>
          <w:lang w:val="en-US"/>
        </w:rPr>
        <w:instrText xml:space="preserve"> \* MERGEFORMAT </w:instrText>
      </w:r>
      <w:r w:rsidR="0004230B" w:rsidRPr="00353B3F">
        <w:rPr>
          <w:rFonts w:ascii="Verdana" w:hAnsi="Verdana"/>
          <w:sz w:val="20"/>
          <w:lang w:val="en-US"/>
        </w:rPr>
      </w:r>
      <w:r w:rsidR="0004230B" w:rsidRPr="00353B3F">
        <w:rPr>
          <w:rFonts w:ascii="Verdana" w:hAnsi="Verdana"/>
          <w:sz w:val="20"/>
          <w:lang w:val="en-US"/>
        </w:rPr>
        <w:fldChar w:fldCharType="separate"/>
      </w:r>
      <w:r w:rsidR="00BD655E">
        <w:rPr>
          <w:rFonts w:ascii="Verdana" w:hAnsi="Verdana"/>
          <w:sz w:val="20"/>
          <w:lang w:val="en-US"/>
        </w:rPr>
        <w:t>1</w:t>
      </w:r>
      <w:r w:rsidR="0004230B" w:rsidRPr="00353B3F">
        <w:rPr>
          <w:rFonts w:ascii="Verdana" w:hAnsi="Verdana"/>
          <w:sz w:val="20"/>
          <w:lang w:val="en-US"/>
        </w:rPr>
        <w:fldChar w:fldCharType="end"/>
      </w:r>
      <w:r w:rsidR="00E809CD" w:rsidRPr="00353B3F">
        <w:rPr>
          <w:rFonts w:ascii="Verdana" w:hAnsi="Verdana"/>
          <w:sz w:val="20"/>
          <w:lang w:val="en-US"/>
        </w:rPr>
        <w:t>).</w:t>
      </w:r>
      <w:bookmarkEnd w:id="2"/>
    </w:p>
    <w:p w14:paraId="1545732C" w14:textId="77777777" w:rsidR="005173AF" w:rsidRPr="00353B3F" w:rsidRDefault="005173AF" w:rsidP="005173AF">
      <w:pPr>
        <w:jc w:val="both"/>
        <w:rPr>
          <w:rFonts w:ascii="Verdana" w:hAnsi="Verdana"/>
          <w:sz w:val="20"/>
          <w:lang w:val="en-US"/>
        </w:rPr>
      </w:pPr>
    </w:p>
    <w:p w14:paraId="24600FEA" w14:textId="62B0ECDE" w:rsidR="005173AF" w:rsidRPr="00353B3F" w:rsidRDefault="00B00DF6" w:rsidP="005173AF">
      <w:pPr>
        <w:numPr>
          <w:ilvl w:val="0"/>
          <w:numId w:val="1"/>
        </w:numPr>
        <w:ind w:left="0" w:firstLine="0"/>
        <w:jc w:val="both"/>
        <w:rPr>
          <w:rFonts w:ascii="Verdana" w:eastAsia="Times New Roman" w:hAnsi="Verdana"/>
          <w:sz w:val="20"/>
          <w:lang w:val="en-US"/>
        </w:rPr>
      </w:pPr>
      <w:bookmarkStart w:id="3" w:name="_Ref532199506"/>
      <w:r w:rsidRPr="00353B3F">
        <w:rPr>
          <w:rFonts w:ascii="Verdana" w:eastAsia="Times New Roman" w:hAnsi="Verdana"/>
          <w:sz w:val="20"/>
          <w:lang w:val="en-US"/>
        </w:rPr>
        <w:lastRenderedPageBreak/>
        <w:t>The interpretation judgment delivered by the Court on</w:t>
      </w:r>
      <w:r w:rsidR="00841CCA" w:rsidRPr="00353B3F">
        <w:rPr>
          <w:rFonts w:ascii="Verdana" w:eastAsia="Times New Roman" w:hAnsi="Verdana"/>
          <w:sz w:val="20"/>
          <w:lang w:val="en-US"/>
        </w:rPr>
        <w:t xml:space="preserve"> </w:t>
      </w:r>
      <w:r w:rsidRPr="00353B3F">
        <w:rPr>
          <w:rFonts w:ascii="Verdana" w:eastAsia="Times New Roman" w:hAnsi="Verdana"/>
          <w:sz w:val="20"/>
          <w:lang w:val="en-US"/>
        </w:rPr>
        <w:t>February 8,</w:t>
      </w:r>
      <w:r w:rsidR="00841CCA" w:rsidRPr="00353B3F">
        <w:rPr>
          <w:rFonts w:ascii="Verdana" w:eastAsia="Times New Roman" w:hAnsi="Verdana"/>
          <w:sz w:val="20"/>
          <w:lang w:val="en-US"/>
        </w:rPr>
        <w:t xml:space="preserve"> 20</w:t>
      </w:r>
      <w:r w:rsidR="00BF34BC" w:rsidRPr="00353B3F">
        <w:rPr>
          <w:rFonts w:ascii="Verdana" w:eastAsia="Times New Roman" w:hAnsi="Verdana"/>
          <w:sz w:val="20"/>
          <w:lang w:val="en-US"/>
        </w:rPr>
        <w:t>0</w:t>
      </w:r>
      <w:r w:rsidR="00841CCA" w:rsidRPr="00353B3F">
        <w:rPr>
          <w:rFonts w:ascii="Verdana" w:eastAsia="Times New Roman" w:hAnsi="Verdana"/>
          <w:sz w:val="20"/>
          <w:lang w:val="en-US"/>
        </w:rPr>
        <w:t>6</w:t>
      </w:r>
      <w:r w:rsidRPr="00353B3F">
        <w:rPr>
          <w:rFonts w:ascii="Verdana" w:eastAsia="Times New Roman" w:hAnsi="Verdana"/>
          <w:sz w:val="20"/>
          <w:lang w:val="en-US"/>
        </w:rPr>
        <w:t>.</w:t>
      </w:r>
      <w:r w:rsidR="005173AF" w:rsidRPr="00353B3F">
        <w:rPr>
          <w:rStyle w:val="FootnoteReference"/>
          <w:rFonts w:ascii="Verdana" w:eastAsia="Times New Roman" w:hAnsi="Verdana"/>
          <w:sz w:val="20"/>
          <w:lang w:val="en-US"/>
        </w:rPr>
        <w:footnoteReference w:id="4"/>
      </w:r>
      <w:bookmarkEnd w:id="3"/>
      <w:r w:rsidR="005173AF" w:rsidRPr="00353B3F">
        <w:rPr>
          <w:rFonts w:ascii="Verdana" w:eastAsia="Times New Roman" w:hAnsi="Verdana"/>
          <w:sz w:val="20"/>
          <w:lang w:val="en-US"/>
        </w:rPr>
        <w:t xml:space="preserve"> </w:t>
      </w:r>
    </w:p>
    <w:p w14:paraId="144F4EF0" w14:textId="77777777" w:rsidR="005173AF" w:rsidRPr="00353B3F" w:rsidRDefault="005173AF" w:rsidP="005173AF">
      <w:pPr>
        <w:pStyle w:val="ListParagraph"/>
        <w:rPr>
          <w:rFonts w:ascii="Verdana" w:eastAsia="Times New Roman" w:hAnsi="Verdana"/>
          <w:sz w:val="20"/>
          <w:lang w:val="en-US"/>
        </w:rPr>
      </w:pPr>
    </w:p>
    <w:p w14:paraId="4194193D" w14:textId="7CE6DAFA" w:rsidR="005173AF" w:rsidRPr="00353B3F" w:rsidRDefault="00B00DF6" w:rsidP="005173AF">
      <w:pPr>
        <w:numPr>
          <w:ilvl w:val="0"/>
          <w:numId w:val="1"/>
        </w:numPr>
        <w:ind w:left="0" w:firstLine="0"/>
        <w:jc w:val="both"/>
        <w:rPr>
          <w:rFonts w:ascii="Verdana" w:hAnsi="Verdana"/>
          <w:sz w:val="20"/>
          <w:lang w:val="en-US"/>
        </w:rPr>
      </w:pPr>
      <w:bookmarkStart w:id="4" w:name="_Ref437587895"/>
      <w:r w:rsidRPr="00353B3F">
        <w:rPr>
          <w:rFonts w:ascii="Verdana" w:hAnsi="Verdana"/>
          <w:bCs/>
          <w:sz w:val="20"/>
          <w:lang w:val="en-US"/>
        </w:rPr>
        <w:t>The three orders on monitoring compliance with</w:t>
      </w:r>
      <w:r w:rsidR="00B24FB7">
        <w:rPr>
          <w:rFonts w:ascii="Verdana" w:hAnsi="Verdana"/>
          <w:bCs/>
          <w:sz w:val="20"/>
          <w:lang w:val="en-US"/>
        </w:rPr>
        <w:t xml:space="preserve"> the</w:t>
      </w:r>
      <w:r w:rsidRPr="00353B3F">
        <w:rPr>
          <w:rFonts w:ascii="Verdana" w:hAnsi="Verdana"/>
          <w:bCs/>
          <w:sz w:val="20"/>
          <w:lang w:val="en-US"/>
        </w:rPr>
        <w:t xml:space="preserve"> judgment</w:t>
      </w:r>
      <w:r w:rsidR="005173AF" w:rsidRPr="00353B3F">
        <w:rPr>
          <w:rFonts w:ascii="Verdana" w:hAnsi="Verdana"/>
          <w:bCs/>
          <w:sz w:val="20"/>
          <w:lang w:val="en-US"/>
        </w:rPr>
        <w:t xml:space="preserve"> </w:t>
      </w:r>
      <w:r w:rsidRPr="00353B3F">
        <w:rPr>
          <w:rFonts w:ascii="Verdana" w:hAnsi="Verdana"/>
          <w:bCs/>
          <w:sz w:val="20"/>
          <w:lang w:val="en-US"/>
        </w:rPr>
        <w:t xml:space="preserve">issued by the Court between November 2007 and November </w:t>
      </w:r>
      <w:r w:rsidR="001A18C4" w:rsidRPr="00353B3F">
        <w:rPr>
          <w:rFonts w:ascii="Verdana" w:hAnsi="Verdana"/>
          <w:bCs/>
          <w:sz w:val="20"/>
          <w:lang w:val="en-US"/>
        </w:rPr>
        <w:t>2010</w:t>
      </w:r>
      <w:r w:rsidRPr="00353B3F">
        <w:rPr>
          <w:rFonts w:ascii="Verdana" w:hAnsi="Verdana"/>
          <w:bCs/>
          <w:sz w:val="20"/>
          <w:lang w:val="en-US"/>
        </w:rPr>
        <w:t>.</w:t>
      </w:r>
      <w:r w:rsidR="005173AF" w:rsidRPr="00353B3F">
        <w:rPr>
          <w:rStyle w:val="FootnoteReference"/>
          <w:rFonts w:ascii="Verdana" w:hAnsi="Verdana"/>
          <w:bCs/>
          <w:sz w:val="20"/>
          <w:lang w:val="en-US"/>
        </w:rPr>
        <w:footnoteReference w:id="5"/>
      </w:r>
      <w:bookmarkEnd w:id="4"/>
    </w:p>
    <w:p w14:paraId="69992102" w14:textId="77777777" w:rsidR="005173AF" w:rsidRPr="00353B3F" w:rsidRDefault="005173AF" w:rsidP="005173AF">
      <w:pPr>
        <w:jc w:val="both"/>
        <w:rPr>
          <w:rFonts w:ascii="Verdana" w:hAnsi="Verdana"/>
          <w:sz w:val="20"/>
          <w:lang w:val="en-US"/>
        </w:rPr>
      </w:pPr>
    </w:p>
    <w:p w14:paraId="3294407D" w14:textId="4A5161A6" w:rsidR="005173AF" w:rsidRPr="00353B3F" w:rsidRDefault="00B00DF6" w:rsidP="004C0F69">
      <w:pPr>
        <w:numPr>
          <w:ilvl w:val="0"/>
          <w:numId w:val="1"/>
        </w:numPr>
        <w:ind w:left="0" w:firstLine="0"/>
        <w:jc w:val="both"/>
        <w:rPr>
          <w:rFonts w:ascii="Verdana" w:eastAsiaTheme="minorHAnsi" w:hAnsi="Verdana"/>
          <w:sz w:val="20"/>
          <w:lang w:val="en-US" w:eastAsia="es-CR"/>
        </w:rPr>
      </w:pPr>
      <w:r w:rsidRPr="00353B3F">
        <w:rPr>
          <w:rFonts w:ascii="Verdana" w:hAnsi="Verdana"/>
          <w:sz w:val="20"/>
          <w:lang w:val="en-US"/>
        </w:rPr>
        <w:t xml:space="preserve">The private hearing on </w:t>
      </w:r>
      <w:r w:rsidRPr="00353B3F">
        <w:rPr>
          <w:rFonts w:ascii="Verdana" w:hAnsi="Verdana"/>
          <w:bCs/>
          <w:sz w:val="20"/>
          <w:lang w:val="en-US"/>
        </w:rPr>
        <w:t>monitoring compliance with</w:t>
      </w:r>
      <w:r w:rsidR="005173AF" w:rsidRPr="00353B3F">
        <w:rPr>
          <w:rFonts w:ascii="Verdana" w:hAnsi="Verdana"/>
          <w:sz w:val="20"/>
          <w:lang w:val="en-US"/>
        </w:rPr>
        <w:t xml:space="preserve"> </w:t>
      </w:r>
      <w:r w:rsidR="00484EB4" w:rsidRPr="00353B3F">
        <w:rPr>
          <w:rFonts w:ascii="Verdana" w:hAnsi="Verdana"/>
          <w:sz w:val="20"/>
          <w:lang w:val="en-US"/>
        </w:rPr>
        <w:t>the judgment</w:t>
      </w:r>
      <w:r w:rsidR="005173AF" w:rsidRPr="00353B3F">
        <w:rPr>
          <w:rFonts w:ascii="Verdana" w:hAnsi="Verdana"/>
          <w:sz w:val="20"/>
          <w:lang w:val="en-US"/>
        </w:rPr>
        <w:t xml:space="preserve"> </w:t>
      </w:r>
      <w:r w:rsidRPr="00353B3F">
        <w:rPr>
          <w:rFonts w:ascii="Verdana" w:hAnsi="Verdana"/>
          <w:sz w:val="20"/>
          <w:lang w:val="en-US"/>
        </w:rPr>
        <w:t>held on June</w:t>
      </w:r>
      <w:r w:rsidR="00814D70" w:rsidRPr="00353B3F">
        <w:rPr>
          <w:rFonts w:ascii="Verdana" w:hAnsi="Verdana"/>
          <w:sz w:val="20"/>
          <w:lang w:val="en-US"/>
        </w:rPr>
        <w:t xml:space="preserve"> 22</w:t>
      </w:r>
      <w:r w:rsidRPr="00353B3F">
        <w:rPr>
          <w:rFonts w:ascii="Verdana" w:hAnsi="Verdana"/>
          <w:sz w:val="20"/>
          <w:lang w:val="en-US"/>
        </w:rPr>
        <w:t>,</w:t>
      </w:r>
      <w:r w:rsidR="00814D70" w:rsidRPr="00353B3F">
        <w:rPr>
          <w:rFonts w:ascii="Verdana" w:hAnsi="Verdana"/>
          <w:sz w:val="20"/>
          <w:lang w:val="en-US"/>
        </w:rPr>
        <w:t xml:space="preserve"> 2012</w:t>
      </w:r>
      <w:r w:rsidRPr="00353B3F">
        <w:rPr>
          <w:rFonts w:ascii="Verdana" w:hAnsi="Verdana"/>
          <w:sz w:val="20"/>
          <w:lang w:val="en-US"/>
        </w:rPr>
        <w:t>.</w:t>
      </w:r>
      <w:r w:rsidR="00962F34" w:rsidRPr="00353B3F">
        <w:rPr>
          <w:rStyle w:val="FootnoteReference"/>
          <w:rFonts w:ascii="Verdana" w:hAnsi="Verdana"/>
          <w:sz w:val="20"/>
          <w:lang w:val="en-US"/>
        </w:rPr>
        <w:footnoteReference w:id="6"/>
      </w:r>
      <w:r w:rsidR="00962F34" w:rsidRPr="00353B3F">
        <w:rPr>
          <w:rFonts w:ascii="Verdana" w:eastAsiaTheme="minorHAnsi" w:hAnsi="Verdana"/>
          <w:sz w:val="20"/>
          <w:lang w:val="en-US" w:eastAsia="es-CR"/>
        </w:rPr>
        <w:t xml:space="preserve"> </w:t>
      </w:r>
    </w:p>
    <w:p w14:paraId="7C7AD16D" w14:textId="77777777" w:rsidR="00A50F0D" w:rsidRPr="00353B3F" w:rsidRDefault="00A50F0D" w:rsidP="00A50F0D">
      <w:pPr>
        <w:pStyle w:val="ListParagraph"/>
        <w:rPr>
          <w:rFonts w:ascii="Verdana" w:eastAsiaTheme="minorHAnsi" w:hAnsi="Verdana"/>
          <w:sz w:val="20"/>
          <w:lang w:val="en-US" w:eastAsia="es-CR"/>
        </w:rPr>
      </w:pPr>
    </w:p>
    <w:p w14:paraId="3B265780" w14:textId="215CE253" w:rsidR="005071A8" w:rsidRPr="00353B3F" w:rsidRDefault="00B00DF6" w:rsidP="00B00DF6">
      <w:pPr>
        <w:numPr>
          <w:ilvl w:val="0"/>
          <w:numId w:val="1"/>
        </w:numPr>
        <w:ind w:left="0" w:firstLine="0"/>
        <w:jc w:val="both"/>
        <w:rPr>
          <w:rFonts w:ascii="Verdana" w:eastAsiaTheme="minorHAnsi" w:hAnsi="Verdana"/>
          <w:sz w:val="20"/>
          <w:lang w:val="en-US" w:eastAsia="es-CR"/>
        </w:rPr>
      </w:pPr>
      <w:r w:rsidRPr="00353B3F">
        <w:rPr>
          <w:rFonts w:ascii="Verdana" w:eastAsiaTheme="minorHAnsi" w:hAnsi="Verdana"/>
          <w:sz w:val="20"/>
          <w:lang w:val="en-US" w:eastAsia="es-CR"/>
        </w:rPr>
        <w:t>The note from the</w:t>
      </w:r>
      <w:r w:rsidR="00A50F0D" w:rsidRPr="00353B3F">
        <w:rPr>
          <w:rFonts w:ascii="Verdana" w:eastAsiaTheme="minorHAnsi" w:hAnsi="Verdana"/>
          <w:sz w:val="20"/>
          <w:lang w:val="en-US" w:eastAsia="es-CR"/>
        </w:rPr>
        <w:t xml:space="preserve"> </w:t>
      </w:r>
      <w:r w:rsidRPr="00353B3F">
        <w:rPr>
          <w:rFonts w:ascii="Verdana" w:eastAsiaTheme="minorHAnsi" w:hAnsi="Verdana"/>
          <w:sz w:val="20"/>
          <w:lang w:val="en-US" w:eastAsia="es-CR"/>
        </w:rPr>
        <w:t>Court’s Secretariat</w:t>
      </w:r>
      <w:r w:rsidR="00A50F0D" w:rsidRPr="00353B3F">
        <w:rPr>
          <w:rFonts w:ascii="Verdana" w:eastAsiaTheme="minorHAnsi" w:hAnsi="Verdana"/>
          <w:sz w:val="20"/>
          <w:lang w:val="en-US" w:eastAsia="es-CR"/>
        </w:rPr>
        <w:t xml:space="preserve"> </w:t>
      </w:r>
      <w:r w:rsidRPr="00353B3F">
        <w:rPr>
          <w:rFonts w:ascii="Verdana" w:eastAsiaTheme="minorHAnsi" w:hAnsi="Verdana"/>
          <w:sz w:val="20"/>
          <w:lang w:val="en-US" w:eastAsia="es-CR"/>
        </w:rPr>
        <w:t>of October</w:t>
      </w:r>
      <w:r w:rsidR="00A50F0D" w:rsidRPr="00353B3F">
        <w:rPr>
          <w:rFonts w:ascii="Verdana" w:eastAsiaTheme="minorHAnsi" w:hAnsi="Verdana"/>
          <w:sz w:val="20"/>
          <w:lang w:val="en-US" w:eastAsia="es-CR"/>
        </w:rPr>
        <w:t xml:space="preserve"> </w:t>
      </w:r>
      <w:r w:rsidR="00221C6D" w:rsidRPr="00353B3F">
        <w:rPr>
          <w:rFonts w:ascii="Verdana" w:eastAsiaTheme="minorHAnsi" w:hAnsi="Verdana"/>
          <w:sz w:val="20"/>
          <w:lang w:val="en-US" w:eastAsia="es-CR"/>
        </w:rPr>
        <w:t>19</w:t>
      </w:r>
      <w:r w:rsidRPr="00353B3F">
        <w:rPr>
          <w:rFonts w:ascii="Verdana" w:eastAsiaTheme="minorHAnsi" w:hAnsi="Verdana"/>
          <w:sz w:val="20"/>
          <w:lang w:val="en-US" w:eastAsia="es-CR"/>
        </w:rPr>
        <w:t xml:space="preserve">, </w:t>
      </w:r>
      <w:r w:rsidR="00BF584A" w:rsidRPr="00353B3F">
        <w:rPr>
          <w:rFonts w:ascii="Verdana" w:eastAsiaTheme="minorHAnsi" w:hAnsi="Verdana"/>
          <w:sz w:val="20"/>
          <w:lang w:val="en-US" w:eastAsia="es-CR"/>
        </w:rPr>
        <w:t>2012</w:t>
      </w:r>
      <w:r w:rsidR="00A50F0D" w:rsidRPr="00353B3F">
        <w:rPr>
          <w:rFonts w:ascii="Verdana" w:eastAsiaTheme="minorHAnsi" w:hAnsi="Verdana"/>
          <w:sz w:val="20"/>
          <w:lang w:val="en-US" w:eastAsia="es-CR"/>
        </w:rPr>
        <w:t xml:space="preserve">, </w:t>
      </w:r>
      <w:r w:rsidRPr="00353B3F">
        <w:rPr>
          <w:rFonts w:ascii="Verdana" w:eastAsiaTheme="minorHAnsi" w:hAnsi="Verdana"/>
          <w:sz w:val="20"/>
          <w:lang w:val="en-US" w:eastAsia="es-CR"/>
        </w:rPr>
        <w:t xml:space="preserve">in which, on the instructions of the President of the Court, the State was asked to forward information on the meeting it had held with members of the </w:t>
      </w:r>
      <w:proofErr w:type="spellStart"/>
      <w:r w:rsidRPr="00353B3F">
        <w:rPr>
          <w:rFonts w:ascii="Verdana" w:eastAsiaTheme="minorHAnsi" w:hAnsi="Verdana"/>
          <w:sz w:val="20"/>
          <w:lang w:val="en-US" w:eastAsia="es-CR"/>
        </w:rPr>
        <w:t>Moiwana</w:t>
      </w:r>
      <w:proofErr w:type="spellEnd"/>
      <w:r w:rsidRPr="00353B3F">
        <w:rPr>
          <w:rFonts w:ascii="Verdana" w:eastAsiaTheme="minorHAnsi" w:hAnsi="Verdana"/>
          <w:sz w:val="20"/>
          <w:lang w:val="en-US" w:eastAsia="es-CR"/>
        </w:rPr>
        <w:t xml:space="preserve"> </w:t>
      </w:r>
      <w:r w:rsidR="00D837AB" w:rsidRPr="00353B3F">
        <w:rPr>
          <w:rFonts w:ascii="Verdana" w:eastAsiaTheme="minorHAnsi" w:hAnsi="Verdana"/>
          <w:sz w:val="20"/>
          <w:lang w:val="en-US" w:eastAsia="es-CR"/>
        </w:rPr>
        <w:t>c</w:t>
      </w:r>
      <w:r w:rsidRPr="00353B3F">
        <w:rPr>
          <w:rFonts w:ascii="Verdana" w:eastAsiaTheme="minorHAnsi" w:hAnsi="Verdana"/>
          <w:sz w:val="20"/>
          <w:lang w:val="en-US" w:eastAsia="es-CR"/>
        </w:rPr>
        <w:t>ommunity following the hearing, and also to present a work plan and a timetable of the actions to be taken to comply with the measures of reparation pending compliance.</w:t>
      </w:r>
    </w:p>
    <w:p w14:paraId="264328AA" w14:textId="77777777" w:rsidR="005071A8" w:rsidRPr="00353B3F" w:rsidRDefault="005071A8" w:rsidP="00C245E4">
      <w:pPr>
        <w:pStyle w:val="ListParagraph"/>
        <w:rPr>
          <w:rFonts w:ascii="Verdana" w:eastAsiaTheme="minorHAnsi" w:hAnsi="Verdana"/>
          <w:sz w:val="20"/>
          <w:lang w:val="en-US" w:eastAsia="es-CR"/>
        </w:rPr>
      </w:pPr>
    </w:p>
    <w:p w14:paraId="0EC13085" w14:textId="5B7C24DA" w:rsidR="00A50F0D" w:rsidRPr="00353B3F" w:rsidRDefault="00B00DF6" w:rsidP="004C0F69">
      <w:pPr>
        <w:numPr>
          <w:ilvl w:val="0"/>
          <w:numId w:val="1"/>
        </w:numPr>
        <w:ind w:left="0" w:firstLine="0"/>
        <w:jc w:val="both"/>
        <w:rPr>
          <w:rFonts w:ascii="Verdana" w:eastAsiaTheme="minorHAnsi" w:hAnsi="Verdana"/>
          <w:sz w:val="20"/>
          <w:lang w:val="en-US" w:eastAsia="es-CR"/>
        </w:rPr>
      </w:pPr>
      <w:r w:rsidRPr="00353B3F">
        <w:rPr>
          <w:rFonts w:ascii="Verdana" w:eastAsiaTheme="minorHAnsi" w:hAnsi="Verdana"/>
          <w:sz w:val="20"/>
          <w:lang w:val="en-US" w:eastAsia="es-CR"/>
        </w:rPr>
        <w:t>The five notes from the Secretariat</w:t>
      </w:r>
      <w:r w:rsidR="005071A8" w:rsidRPr="00353B3F">
        <w:rPr>
          <w:rFonts w:ascii="Verdana" w:eastAsiaTheme="minorHAnsi" w:hAnsi="Verdana"/>
          <w:sz w:val="20"/>
          <w:lang w:val="en-US" w:eastAsia="es-CR"/>
        </w:rPr>
        <w:t xml:space="preserve">, </w:t>
      </w:r>
      <w:r w:rsidRPr="00353B3F">
        <w:rPr>
          <w:rFonts w:ascii="Verdana" w:eastAsiaTheme="minorHAnsi" w:hAnsi="Verdana"/>
          <w:sz w:val="20"/>
          <w:lang w:val="en-US" w:eastAsia="es-CR"/>
        </w:rPr>
        <w:t xml:space="preserve">sent between November 2012 and February 2015, reminding the State that it should present the report </w:t>
      </w:r>
      <w:r w:rsidR="00D837AB" w:rsidRPr="00353B3F">
        <w:rPr>
          <w:rFonts w:ascii="Verdana" w:eastAsiaTheme="minorHAnsi" w:hAnsi="Verdana"/>
          <w:sz w:val="20"/>
          <w:lang w:val="en-US" w:eastAsia="es-CR"/>
        </w:rPr>
        <w:t xml:space="preserve">that had been requested </w:t>
      </w:r>
      <w:r w:rsidRPr="00353B3F">
        <w:rPr>
          <w:rFonts w:ascii="Verdana" w:eastAsiaTheme="minorHAnsi" w:hAnsi="Verdana"/>
          <w:sz w:val="20"/>
          <w:lang w:val="en-US" w:eastAsia="es-CR"/>
        </w:rPr>
        <w:t xml:space="preserve">on October 19, </w:t>
      </w:r>
      <w:r w:rsidR="001F2CB2" w:rsidRPr="00353B3F">
        <w:rPr>
          <w:rFonts w:ascii="Verdana" w:eastAsiaTheme="minorHAnsi" w:hAnsi="Verdana"/>
          <w:sz w:val="20"/>
          <w:lang w:val="en-US" w:eastAsia="es-CR"/>
        </w:rPr>
        <w:t>2012</w:t>
      </w:r>
      <w:r w:rsidR="00BF584A" w:rsidRPr="00353B3F">
        <w:rPr>
          <w:rFonts w:ascii="Verdana" w:eastAsiaTheme="minorHAnsi" w:hAnsi="Verdana"/>
          <w:sz w:val="20"/>
          <w:lang w:val="en-US" w:eastAsia="es-CR"/>
        </w:rPr>
        <w:t>.</w:t>
      </w:r>
      <w:r w:rsidR="00A50F0D" w:rsidRPr="00353B3F">
        <w:rPr>
          <w:rFonts w:ascii="Verdana" w:eastAsiaTheme="minorHAnsi" w:hAnsi="Verdana"/>
          <w:sz w:val="20"/>
          <w:lang w:val="en-US" w:eastAsia="es-CR"/>
        </w:rPr>
        <w:t xml:space="preserve"> </w:t>
      </w:r>
    </w:p>
    <w:p w14:paraId="246F23C7" w14:textId="596C1422" w:rsidR="00FB773D" w:rsidRPr="00353B3F" w:rsidRDefault="00C245E4" w:rsidP="00C245E4">
      <w:pPr>
        <w:pStyle w:val="ListParagraph"/>
        <w:tabs>
          <w:tab w:val="left" w:pos="7936"/>
        </w:tabs>
        <w:jc w:val="both"/>
        <w:rPr>
          <w:rFonts w:ascii="Verdana" w:eastAsiaTheme="minorHAnsi" w:hAnsi="Verdana"/>
          <w:sz w:val="20"/>
          <w:lang w:val="en-US" w:eastAsia="es-CR"/>
        </w:rPr>
      </w:pPr>
      <w:r w:rsidRPr="00353B3F">
        <w:rPr>
          <w:rFonts w:ascii="Verdana" w:eastAsiaTheme="minorHAnsi" w:hAnsi="Verdana"/>
          <w:sz w:val="20"/>
          <w:lang w:val="en-US" w:eastAsia="es-CR"/>
        </w:rPr>
        <w:tab/>
      </w:r>
    </w:p>
    <w:p w14:paraId="56BC4B61" w14:textId="271BCF27" w:rsidR="00FB773D" w:rsidRPr="00353B3F" w:rsidRDefault="00B00DF6" w:rsidP="004C0F69">
      <w:pPr>
        <w:numPr>
          <w:ilvl w:val="0"/>
          <w:numId w:val="1"/>
        </w:numPr>
        <w:ind w:left="0" w:firstLine="0"/>
        <w:jc w:val="both"/>
        <w:rPr>
          <w:rFonts w:ascii="Verdana" w:eastAsiaTheme="minorHAnsi" w:hAnsi="Verdana"/>
          <w:sz w:val="20"/>
          <w:lang w:val="en-US" w:eastAsia="es-CR"/>
        </w:rPr>
      </w:pPr>
      <w:r w:rsidRPr="00353B3F">
        <w:rPr>
          <w:rFonts w:ascii="Verdana" w:eastAsiaTheme="minorHAnsi" w:hAnsi="Verdana"/>
          <w:sz w:val="20"/>
          <w:lang w:val="en-US" w:eastAsia="es-CR"/>
        </w:rPr>
        <w:t xml:space="preserve">The report presented by </w:t>
      </w:r>
      <w:r w:rsidR="00484EB4" w:rsidRPr="00353B3F">
        <w:rPr>
          <w:rFonts w:ascii="Verdana" w:eastAsiaTheme="minorHAnsi" w:hAnsi="Verdana"/>
          <w:sz w:val="20"/>
          <w:lang w:val="en-US" w:eastAsia="es-CR"/>
        </w:rPr>
        <w:t>the State</w:t>
      </w:r>
      <w:r w:rsidR="00FB773D" w:rsidRPr="00353B3F">
        <w:rPr>
          <w:rFonts w:ascii="Verdana" w:eastAsiaTheme="minorHAnsi" w:hAnsi="Verdana"/>
          <w:sz w:val="20"/>
          <w:lang w:val="en-US" w:eastAsia="es-CR"/>
        </w:rPr>
        <w:t xml:space="preserve"> </w:t>
      </w:r>
      <w:r w:rsidRPr="00353B3F">
        <w:rPr>
          <w:rFonts w:ascii="Verdana" w:eastAsiaTheme="minorHAnsi" w:hAnsi="Verdana"/>
          <w:sz w:val="20"/>
          <w:lang w:val="en-US" w:eastAsia="es-CR"/>
        </w:rPr>
        <w:t>on April 27,</w:t>
      </w:r>
      <w:r w:rsidR="00FB773D" w:rsidRPr="00353B3F">
        <w:rPr>
          <w:rFonts w:ascii="Verdana" w:eastAsiaTheme="minorHAnsi" w:hAnsi="Verdana"/>
          <w:sz w:val="20"/>
          <w:lang w:val="en-US" w:eastAsia="es-CR"/>
        </w:rPr>
        <w:t xml:space="preserve"> 2015.</w:t>
      </w:r>
    </w:p>
    <w:p w14:paraId="10A4AA06" w14:textId="7056EE5D" w:rsidR="00FB773D" w:rsidRPr="00353B3F" w:rsidRDefault="005937E0" w:rsidP="005937E0">
      <w:pPr>
        <w:pStyle w:val="ListParagraph"/>
        <w:tabs>
          <w:tab w:val="left" w:pos="3220"/>
        </w:tabs>
        <w:jc w:val="both"/>
        <w:rPr>
          <w:rFonts w:ascii="Verdana" w:eastAsiaTheme="minorHAnsi" w:hAnsi="Verdana"/>
          <w:sz w:val="20"/>
          <w:lang w:val="en-US" w:eastAsia="es-CR"/>
        </w:rPr>
      </w:pPr>
      <w:r w:rsidRPr="00353B3F">
        <w:rPr>
          <w:rFonts w:ascii="Verdana" w:eastAsiaTheme="minorHAnsi" w:hAnsi="Verdana"/>
          <w:sz w:val="20"/>
          <w:lang w:val="en-US" w:eastAsia="es-CR"/>
        </w:rPr>
        <w:tab/>
      </w:r>
    </w:p>
    <w:p w14:paraId="181B5D3B" w14:textId="54C3419E" w:rsidR="00FB773D" w:rsidRPr="00353B3F" w:rsidRDefault="00B00DF6" w:rsidP="004C0F69">
      <w:pPr>
        <w:numPr>
          <w:ilvl w:val="0"/>
          <w:numId w:val="1"/>
        </w:numPr>
        <w:ind w:left="0" w:firstLine="0"/>
        <w:jc w:val="both"/>
        <w:rPr>
          <w:rFonts w:ascii="Verdana" w:eastAsiaTheme="minorHAnsi" w:hAnsi="Verdana"/>
          <w:sz w:val="20"/>
          <w:lang w:val="en-US" w:eastAsia="es-CR"/>
        </w:rPr>
      </w:pPr>
      <w:r w:rsidRPr="00353B3F">
        <w:rPr>
          <w:rFonts w:ascii="Verdana" w:eastAsiaTheme="minorHAnsi" w:hAnsi="Verdana"/>
          <w:sz w:val="20"/>
          <w:lang w:val="en-US" w:eastAsia="es-CR"/>
        </w:rPr>
        <w:t>The brief with observations submitted by the representatives of the victims</w:t>
      </w:r>
      <w:r w:rsidR="004C0F69" w:rsidRPr="00353B3F">
        <w:rPr>
          <w:rStyle w:val="FootnoteReference"/>
          <w:rFonts w:ascii="Verdana" w:eastAsiaTheme="minorHAnsi" w:hAnsi="Verdana"/>
          <w:sz w:val="20"/>
          <w:lang w:val="en-US" w:eastAsia="es-CR"/>
        </w:rPr>
        <w:footnoteReference w:id="7"/>
      </w:r>
      <w:r w:rsidR="00FB773D" w:rsidRPr="00353B3F">
        <w:rPr>
          <w:rFonts w:ascii="Verdana" w:eastAsiaTheme="minorHAnsi" w:hAnsi="Verdana"/>
          <w:sz w:val="20"/>
          <w:lang w:val="en-US" w:eastAsia="es-CR"/>
        </w:rPr>
        <w:t xml:space="preserve"> </w:t>
      </w:r>
      <w:r w:rsidR="00992368" w:rsidRPr="00353B3F">
        <w:rPr>
          <w:rFonts w:ascii="Verdana" w:eastAsiaTheme="minorHAnsi" w:hAnsi="Verdana"/>
          <w:sz w:val="20"/>
          <w:lang w:val="en-US" w:eastAsia="es-CR"/>
        </w:rPr>
        <w:t>(</w:t>
      </w:r>
      <w:r w:rsidR="00484EB4" w:rsidRPr="00353B3F">
        <w:rPr>
          <w:rFonts w:ascii="Verdana" w:eastAsiaTheme="minorHAnsi" w:hAnsi="Verdana"/>
          <w:sz w:val="20"/>
          <w:lang w:val="en-US" w:eastAsia="es-CR"/>
        </w:rPr>
        <w:t>hereinafter</w:t>
      </w:r>
      <w:r w:rsidR="00992368" w:rsidRPr="00353B3F">
        <w:rPr>
          <w:rFonts w:ascii="Verdana" w:eastAsiaTheme="minorHAnsi" w:hAnsi="Verdana"/>
          <w:sz w:val="20"/>
          <w:lang w:val="en-US" w:eastAsia="es-CR"/>
        </w:rPr>
        <w:t xml:space="preserve"> “</w:t>
      </w:r>
      <w:r w:rsidRPr="00353B3F">
        <w:rPr>
          <w:rFonts w:ascii="Verdana" w:eastAsiaTheme="minorHAnsi" w:hAnsi="Verdana"/>
          <w:sz w:val="20"/>
          <w:lang w:val="en-US" w:eastAsia="es-CR"/>
        </w:rPr>
        <w:t>the representatives</w:t>
      </w:r>
      <w:r w:rsidR="00992368" w:rsidRPr="00353B3F">
        <w:rPr>
          <w:rFonts w:ascii="Verdana" w:eastAsiaTheme="minorHAnsi" w:hAnsi="Verdana"/>
          <w:sz w:val="20"/>
          <w:lang w:val="en-US" w:eastAsia="es-CR"/>
        </w:rPr>
        <w:t xml:space="preserve">”) </w:t>
      </w:r>
      <w:r w:rsidRPr="00353B3F">
        <w:rPr>
          <w:rFonts w:ascii="Verdana" w:eastAsiaTheme="minorHAnsi" w:hAnsi="Verdana"/>
          <w:sz w:val="20"/>
          <w:lang w:val="en-US" w:eastAsia="es-CR"/>
        </w:rPr>
        <w:t>on July 20,</w:t>
      </w:r>
      <w:r w:rsidR="004C0F69" w:rsidRPr="00353B3F">
        <w:rPr>
          <w:rFonts w:ascii="Verdana" w:eastAsiaTheme="minorHAnsi" w:hAnsi="Verdana"/>
          <w:sz w:val="20"/>
          <w:lang w:val="en-US" w:eastAsia="es-CR"/>
        </w:rPr>
        <w:t xml:space="preserve"> 2015</w:t>
      </w:r>
      <w:r w:rsidR="00FB773D" w:rsidRPr="00353B3F">
        <w:rPr>
          <w:rFonts w:ascii="Verdana" w:eastAsiaTheme="minorHAnsi" w:hAnsi="Verdana"/>
          <w:sz w:val="20"/>
          <w:lang w:val="en-US" w:eastAsia="es-CR"/>
        </w:rPr>
        <w:t>.</w:t>
      </w:r>
      <w:r w:rsidR="004C0F69" w:rsidRPr="00353B3F">
        <w:rPr>
          <w:rFonts w:ascii="Verdana" w:eastAsiaTheme="minorHAnsi" w:hAnsi="Verdana"/>
          <w:sz w:val="20"/>
          <w:lang w:val="en-US" w:eastAsia="es-CR"/>
        </w:rPr>
        <w:t xml:space="preserve"> </w:t>
      </w:r>
    </w:p>
    <w:p w14:paraId="6CD46AFC" w14:textId="77777777" w:rsidR="00FB773D" w:rsidRPr="00353B3F" w:rsidRDefault="00FB773D" w:rsidP="004C0F69">
      <w:pPr>
        <w:pStyle w:val="ListParagraph"/>
        <w:jc w:val="both"/>
        <w:rPr>
          <w:rFonts w:ascii="Verdana" w:eastAsiaTheme="minorHAnsi" w:hAnsi="Verdana"/>
          <w:sz w:val="20"/>
          <w:lang w:val="en-US" w:eastAsia="es-CR"/>
        </w:rPr>
      </w:pPr>
    </w:p>
    <w:p w14:paraId="2C193B7C" w14:textId="4F270DFD" w:rsidR="00FB773D" w:rsidRPr="00353B3F" w:rsidRDefault="00B00DF6" w:rsidP="004C0F69">
      <w:pPr>
        <w:numPr>
          <w:ilvl w:val="0"/>
          <w:numId w:val="1"/>
        </w:numPr>
        <w:ind w:left="0" w:firstLine="0"/>
        <w:jc w:val="both"/>
        <w:rPr>
          <w:rFonts w:ascii="Verdana" w:eastAsiaTheme="minorHAnsi" w:hAnsi="Verdana"/>
          <w:sz w:val="20"/>
          <w:lang w:val="en-US" w:eastAsia="es-CR"/>
        </w:rPr>
      </w:pPr>
      <w:r w:rsidRPr="00353B3F">
        <w:rPr>
          <w:rFonts w:ascii="Verdana" w:eastAsiaTheme="minorHAnsi" w:hAnsi="Verdana"/>
          <w:sz w:val="20"/>
          <w:lang w:val="en-US" w:eastAsia="es-CR"/>
        </w:rPr>
        <w:t xml:space="preserve">The brief with observations submitted by the </w:t>
      </w:r>
      <w:r w:rsidR="00484EB4" w:rsidRPr="00353B3F">
        <w:rPr>
          <w:rFonts w:ascii="Verdana" w:eastAsiaTheme="minorHAnsi" w:hAnsi="Verdana"/>
          <w:sz w:val="20"/>
          <w:lang w:val="en-US" w:eastAsia="es-CR"/>
        </w:rPr>
        <w:t>Inter-American Commission on Human Rights</w:t>
      </w:r>
      <w:r w:rsidR="00FB773D" w:rsidRPr="00353B3F">
        <w:rPr>
          <w:rFonts w:ascii="Verdana" w:eastAsiaTheme="minorHAnsi" w:hAnsi="Verdana"/>
          <w:sz w:val="20"/>
          <w:lang w:val="en-US" w:eastAsia="es-CR"/>
        </w:rPr>
        <w:t xml:space="preserve"> (</w:t>
      </w:r>
      <w:r w:rsidR="00484EB4" w:rsidRPr="00353B3F">
        <w:rPr>
          <w:rFonts w:ascii="Verdana" w:eastAsiaTheme="minorHAnsi" w:hAnsi="Verdana"/>
          <w:sz w:val="20"/>
          <w:lang w:val="en-US" w:eastAsia="es-CR"/>
        </w:rPr>
        <w:t>hereinafter</w:t>
      </w:r>
      <w:r w:rsidR="00FB773D" w:rsidRPr="00353B3F">
        <w:rPr>
          <w:rFonts w:ascii="Verdana" w:eastAsiaTheme="minorHAnsi" w:hAnsi="Verdana"/>
          <w:sz w:val="20"/>
          <w:lang w:val="en-US" w:eastAsia="es-CR"/>
        </w:rPr>
        <w:t xml:space="preserve"> “</w:t>
      </w:r>
      <w:r w:rsidR="00484EB4" w:rsidRPr="00353B3F">
        <w:rPr>
          <w:rFonts w:ascii="Verdana" w:eastAsiaTheme="minorHAnsi" w:hAnsi="Verdana"/>
          <w:sz w:val="20"/>
          <w:lang w:val="en-US" w:eastAsia="es-CR"/>
        </w:rPr>
        <w:t>the Inter-American Commission</w:t>
      </w:r>
      <w:r w:rsidR="00FB773D" w:rsidRPr="00353B3F">
        <w:rPr>
          <w:rFonts w:ascii="Verdana" w:eastAsiaTheme="minorHAnsi" w:hAnsi="Verdana"/>
          <w:sz w:val="20"/>
          <w:lang w:val="en-US" w:eastAsia="es-CR"/>
        </w:rPr>
        <w:t>” o</w:t>
      </w:r>
      <w:r w:rsidRPr="00353B3F">
        <w:rPr>
          <w:rFonts w:ascii="Verdana" w:eastAsiaTheme="minorHAnsi" w:hAnsi="Verdana"/>
          <w:sz w:val="20"/>
          <w:lang w:val="en-US" w:eastAsia="es-CR"/>
        </w:rPr>
        <w:t>r</w:t>
      </w:r>
      <w:r w:rsidR="00FB773D" w:rsidRPr="00353B3F">
        <w:rPr>
          <w:rFonts w:ascii="Verdana" w:eastAsiaTheme="minorHAnsi" w:hAnsi="Verdana"/>
          <w:sz w:val="20"/>
          <w:lang w:val="en-US" w:eastAsia="es-CR"/>
        </w:rPr>
        <w:t xml:space="preserve"> “</w:t>
      </w:r>
      <w:r w:rsidR="00484EB4" w:rsidRPr="00353B3F">
        <w:rPr>
          <w:rFonts w:ascii="Verdana" w:eastAsiaTheme="minorHAnsi" w:hAnsi="Verdana"/>
          <w:sz w:val="20"/>
          <w:lang w:val="en-US" w:eastAsia="es-CR"/>
        </w:rPr>
        <w:t>the Commission</w:t>
      </w:r>
      <w:r w:rsidR="00FB773D" w:rsidRPr="00353B3F">
        <w:rPr>
          <w:rFonts w:ascii="Verdana" w:eastAsiaTheme="minorHAnsi" w:hAnsi="Verdana"/>
          <w:sz w:val="20"/>
          <w:lang w:val="en-US" w:eastAsia="es-CR"/>
        </w:rPr>
        <w:t xml:space="preserve">”) </w:t>
      </w:r>
      <w:r w:rsidRPr="00353B3F">
        <w:rPr>
          <w:rFonts w:ascii="Verdana" w:eastAsiaTheme="minorHAnsi" w:hAnsi="Verdana"/>
          <w:sz w:val="20"/>
          <w:lang w:val="en-US" w:eastAsia="es-CR"/>
        </w:rPr>
        <w:t>on June 18,</w:t>
      </w:r>
      <w:r w:rsidR="00FB773D" w:rsidRPr="00353B3F">
        <w:rPr>
          <w:rFonts w:ascii="Verdana" w:eastAsiaTheme="minorHAnsi" w:hAnsi="Verdana"/>
          <w:sz w:val="20"/>
          <w:lang w:val="en-US" w:eastAsia="es-CR"/>
        </w:rPr>
        <w:t xml:space="preserve"> 2015. </w:t>
      </w:r>
    </w:p>
    <w:p w14:paraId="5F0BDA4A" w14:textId="77777777" w:rsidR="005173AF" w:rsidRPr="00353B3F" w:rsidRDefault="005173AF" w:rsidP="004C0F69">
      <w:pPr>
        <w:jc w:val="both"/>
        <w:rPr>
          <w:rFonts w:ascii="Verdana" w:hAnsi="Verdana"/>
          <w:sz w:val="20"/>
          <w:lang w:val="en-US"/>
        </w:rPr>
      </w:pPr>
    </w:p>
    <w:p w14:paraId="071F805B" w14:textId="627D15A1" w:rsidR="005173AF" w:rsidRPr="004B4C69" w:rsidRDefault="00B00DF6" w:rsidP="004B4C69">
      <w:pPr>
        <w:numPr>
          <w:ilvl w:val="0"/>
          <w:numId w:val="1"/>
        </w:numPr>
        <w:ind w:left="0" w:firstLine="0"/>
        <w:jc w:val="both"/>
        <w:rPr>
          <w:rFonts w:ascii="Verdana" w:hAnsi="Verdana"/>
          <w:sz w:val="20"/>
          <w:lang w:val="en-US"/>
        </w:rPr>
      </w:pPr>
      <w:bookmarkStart w:id="5" w:name="_Ref532201361"/>
      <w:r w:rsidRPr="00353B3F">
        <w:rPr>
          <w:rFonts w:ascii="Verdana" w:hAnsi="Verdana" w:cs="Arial"/>
          <w:sz w:val="20"/>
          <w:lang w:val="en-US"/>
        </w:rPr>
        <w:t>The note from the Court’s Secretariat</w:t>
      </w:r>
      <w:r w:rsidR="005173AF" w:rsidRPr="00353B3F">
        <w:rPr>
          <w:rFonts w:ascii="Verdana" w:hAnsi="Verdana" w:cs="Arial"/>
          <w:sz w:val="20"/>
          <w:lang w:val="en-US"/>
        </w:rPr>
        <w:t xml:space="preserve"> </w:t>
      </w:r>
      <w:r w:rsidRPr="00353B3F">
        <w:rPr>
          <w:rFonts w:ascii="Verdana" w:hAnsi="Verdana" w:cs="Arial"/>
          <w:sz w:val="20"/>
          <w:lang w:val="en-US"/>
        </w:rPr>
        <w:t>of December 15, 2016, in which, on the instructions of the President of the Court, the State was required to present a report on compliance with the reparations, and the Secretariat</w:t>
      </w:r>
      <w:r w:rsidR="00D837AB" w:rsidRPr="00353B3F">
        <w:rPr>
          <w:rFonts w:ascii="Verdana" w:hAnsi="Verdana" w:cs="Arial"/>
          <w:sz w:val="20"/>
          <w:lang w:val="en-US"/>
        </w:rPr>
        <w:t>’s notes</w:t>
      </w:r>
      <w:r w:rsidRPr="00353B3F">
        <w:rPr>
          <w:rFonts w:ascii="Verdana" w:hAnsi="Verdana" w:cs="Arial"/>
          <w:sz w:val="20"/>
          <w:lang w:val="en-US"/>
        </w:rPr>
        <w:t xml:space="preserve"> of August 9 and October 4, 2017, in which, on the instructions of the President of the Court, the State was reminded that the time limit for presenting the said report had expired on March 3, 2017, and was asked once again to present it.</w:t>
      </w:r>
      <w:bookmarkEnd w:id="5"/>
    </w:p>
    <w:p w14:paraId="1EF41227" w14:textId="77777777" w:rsidR="005937E0" w:rsidRDefault="005937E0" w:rsidP="005173AF">
      <w:pPr>
        <w:pStyle w:val="ListParagraph"/>
        <w:rPr>
          <w:rFonts w:ascii="Verdana" w:eastAsiaTheme="minorHAnsi" w:hAnsi="Verdana"/>
          <w:sz w:val="20"/>
          <w:lang w:val="en-US" w:eastAsia="es-CR"/>
        </w:rPr>
      </w:pPr>
    </w:p>
    <w:p w14:paraId="3F6BB4E6" w14:textId="77777777" w:rsidR="00B24FB7" w:rsidRDefault="00B24FB7" w:rsidP="005173AF">
      <w:pPr>
        <w:pStyle w:val="ListParagraph"/>
        <w:rPr>
          <w:rFonts w:ascii="Verdana" w:eastAsiaTheme="minorHAnsi" w:hAnsi="Verdana"/>
          <w:sz w:val="20"/>
          <w:lang w:val="en-US" w:eastAsia="es-CR"/>
        </w:rPr>
      </w:pPr>
    </w:p>
    <w:p w14:paraId="2207B865" w14:textId="77777777" w:rsidR="00B24FB7" w:rsidRPr="00353B3F" w:rsidRDefault="00B24FB7" w:rsidP="005173AF">
      <w:pPr>
        <w:pStyle w:val="ListParagraph"/>
        <w:rPr>
          <w:rFonts w:ascii="Verdana" w:eastAsiaTheme="minorHAnsi" w:hAnsi="Verdana"/>
          <w:sz w:val="20"/>
          <w:lang w:val="en-US" w:eastAsia="es-CR"/>
        </w:rPr>
      </w:pPr>
    </w:p>
    <w:p w14:paraId="5E8BDF4D" w14:textId="608F2BA4" w:rsidR="00174292" w:rsidRPr="00353B3F" w:rsidRDefault="00174292" w:rsidP="00174292">
      <w:pPr>
        <w:jc w:val="both"/>
        <w:rPr>
          <w:rFonts w:ascii="Verdana" w:hAnsi="Verdana"/>
          <w:b/>
          <w:sz w:val="20"/>
          <w:lang w:val="en-US"/>
        </w:rPr>
      </w:pPr>
      <w:r w:rsidRPr="00353B3F">
        <w:rPr>
          <w:rFonts w:ascii="Verdana" w:hAnsi="Verdana"/>
          <w:b/>
          <w:sz w:val="20"/>
          <w:lang w:val="en-US"/>
        </w:rPr>
        <w:lastRenderedPageBreak/>
        <w:t>CONSIDER</w:t>
      </w:r>
      <w:r w:rsidR="00B00DF6" w:rsidRPr="00353B3F">
        <w:rPr>
          <w:rFonts w:ascii="Verdana" w:hAnsi="Verdana"/>
          <w:b/>
          <w:sz w:val="20"/>
          <w:lang w:val="en-US"/>
        </w:rPr>
        <w:t>ING THAT</w:t>
      </w:r>
      <w:r w:rsidRPr="00353B3F">
        <w:rPr>
          <w:rFonts w:ascii="Verdana" w:hAnsi="Verdana"/>
          <w:b/>
          <w:sz w:val="20"/>
          <w:lang w:val="en-US"/>
        </w:rPr>
        <w:t xml:space="preserve">: </w:t>
      </w:r>
    </w:p>
    <w:p w14:paraId="37026850" w14:textId="77777777" w:rsidR="00174292" w:rsidRPr="00353B3F" w:rsidRDefault="00174292">
      <w:pPr>
        <w:rPr>
          <w:rFonts w:ascii="Verdana" w:hAnsi="Verdana"/>
          <w:sz w:val="20"/>
          <w:lang w:val="en-US"/>
        </w:rPr>
      </w:pPr>
    </w:p>
    <w:p w14:paraId="726888A5" w14:textId="1D39B031" w:rsidR="00174292" w:rsidRPr="00353B3F" w:rsidRDefault="00DC49A3" w:rsidP="00174292">
      <w:pPr>
        <w:numPr>
          <w:ilvl w:val="0"/>
          <w:numId w:val="5"/>
        </w:numPr>
        <w:ind w:left="0" w:firstLine="0"/>
        <w:jc w:val="both"/>
        <w:rPr>
          <w:rFonts w:ascii="Verdana" w:hAnsi="Verdana"/>
          <w:sz w:val="20"/>
          <w:lang w:val="en-US" w:eastAsia="es-CR"/>
        </w:rPr>
      </w:pPr>
      <w:bookmarkStart w:id="6" w:name="_Ref531947535"/>
      <w:r w:rsidRPr="00353B3F">
        <w:rPr>
          <w:rFonts w:ascii="Verdana" w:hAnsi="Verdana" w:cs="Verdana"/>
          <w:bCs/>
          <w:sz w:val="20"/>
          <w:lang w:val="en-US"/>
        </w:rPr>
        <w:t>In the exercise of its jurisdictional function of monitoring compliance with its decisions,</w:t>
      </w:r>
      <w:r w:rsidR="00174292" w:rsidRPr="00353B3F">
        <w:rPr>
          <w:rStyle w:val="FootnoteReference"/>
          <w:rFonts w:ascii="Verdana" w:hAnsi="Verdana" w:cs="Verdana"/>
          <w:bCs/>
          <w:sz w:val="20"/>
          <w:lang w:val="en-US"/>
        </w:rPr>
        <w:footnoteReference w:id="8"/>
      </w:r>
      <w:r w:rsidRPr="00353B3F">
        <w:rPr>
          <w:rFonts w:ascii="Verdana" w:hAnsi="Verdana" w:cs="Verdana"/>
          <w:bCs/>
          <w:sz w:val="20"/>
          <w:lang w:val="en-US"/>
        </w:rPr>
        <w:t xml:space="preserve"> the Court has been monitoring execution of </w:t>
      </w:r>
      <w:r w:rsidR="00484EB4" w:rsidRPr="00353B3F">
        <w:rPr>
          <w:rFonts w:ascii="Verdana" w:hAnsi="Verdana" w:cs="Verdana"/>
          <w:bCs/>
          <w:sz w:val="20"/>
          <w:lang w:val="en-US"/>
        </w:rPr>
        <w:t>the judgment</w:t>
      </w:r>
      <w:r w:rsidR="00174292" w:rsidRPr="00353B3F">
        <w:rPr>
          <w:rFonts w:ascii="Verdana" w:hAnsi="Verdana" w:cs="Verdana"/>
          <w:bCs/>
          <w:sz w:val="20"/>
          <w:lang w:val="en-US"/>
        </w:rPr>
        <w:t xml:space="preserve"> </w:t>
      </w:r>
      <w:r w:rsidRPr="00353B3F">
        <w:rPr>
          <w:rFonts w:ascii="Verdana" w:hAnsi="Verdana" w:cs="Verdana"/>
          <w:bCs/>
          <w:sz w:val="20"/>
          <w:lang w:val="en-US"/>
        </w:rPr>
        <w:t>handed down in this case more than twelve years ago</w:t>
      </w:r>
      <w:r w:rsidR="00174292" w:rsidRPr="00353B3F">
        <w:rPr>
          <w:rFonts w:ascii="Verdana" w:hAnsi="Verdana" w:cs="Verdana"/>
          <w:bCs/>
          <w:sz w:val="20"/>
          <w:lang w:val="en-US"/>
        </w:rPr>
        <w:t xml:space="preserve"> (</w:t>
      </w:r>
      <w:r w:rsidR="00174292" w:rsidRPr="00353B3F">
        <w:rPr>
          <w:rFonts w:ascii="Verdana" w:hAnsi="Verdana" w:cs="Verdana"/>
          <w:bCs/>
          <w:i/>
          <w:sz w:val="20"/>
          <w:lang w:val="en-US"/>
        </w:rPr>
        <w:t xml:space="preserve">supra </w:t>
      </w:r>
      <w:r w:rsidR="00BA5116" w:rsidRPr="00353B3F">
        <w:rPr>
          <w:rFonts w:ascii="Verdana" w:hAnsi="Verdana" w:cs="Verdana"/>
          <w:bCs/>
          <w:sz w:val="20"/>
          <w:lang w:val="en-US"/>
        </w:rPr>
        <w:t>having seen paragraph</w:t>
      </w:r>
      <w:r w:rsidR="004C0F69" w:rsidRPr="00353B3F">
        <w:rPr>
          <w:rFonts w:ascii="Verdana" w:hAnsi="Verdana" w:cs="Verdana"/>
          <w:bCs/>
          <w:sz w:val="20"/>
          <w:lang w:val="en-US"/>
        </w:rPr>
        <w:t xml:space="preserve"> </w:t>
      </w:r>
      <w:r w:rsidR="007A2C30" w:rsidRPr="00353B3F">
        <w:rPr>
          <w:rFonts w:ascii="Verdana" w:hAnsi="Verdana" w:cs="Verdana"/>
          <w:bCs/>
          <w:sz w:val="20"/>
          <w:lang w:val="en-US"/>
        </w:rPr>
        <w:fldChar w:fldCharType="begin"/>
      </w:r>
      <w:r w:rsidR="007A2C30" w:rsidRPr="00353B3F">
        <w:rPr>
          <w:rFonts w:ascii="Verdana" w:hAnsi="Verdana" w:cs="Verdana"/>
          <w:bCs/>
          <w:sz w:val="20"/>
          <w:lang w:val="en-US"/>
        </w:rPr>
        <w:instrText xml:space="preserve"> REF _Ref532199390 \r \h </w:instrText>
      </w:r>
      <w:r w:rsidR="00BA5116" w:rsidRPr="00353B3F">
        <w:rPr>
          <w:rFonts w:ascii="Verdana" w:hAnsi="Verdana" w:cs="Verdana"/>
          <w:bCs/>
          <w:sz w:val="20"/>
          <w:lang w:val="en-US"/>
        </w:rPr>
        <w:instrText xml:space="preserve"> \* MERGEFORMAT </w:instrText>
      </w:r>
      <w:r w:rsidR="007A2C30" w:rsidRPr="00353B3F">
        <w:rPr>
          <w:rFonts w:ascii="Verdana" w:hAnsi="Verdana" w:cs="Verdana"/>
          <w:bCs/>
          <w:sz w:val="20"/>
          <w:lang w:val="en-US"/>
        </w:rPr>
      </w:r>
      <w:r w:rsidR="007A2C30" w:rsidRPr="00353B3F">
        <w:rPr>
          <w:rFonts w:ascii="Verdana" w:hAnsi="Verdana" w:cs="Verdana"/>
          <w:bCs/>
          <w:sz w:val="20"/>
          <w:lang w:val="en-US"/>
        </w:rPr>
        <w:fldChar w:fldCharType="separate"/>
      </w:r>
      <w:r w:rsidR="00BD655E">
        <w:rPr>
          <w:rFonts w:ascii="Verdana" w:hAnsi="Verdana" w:cs="Verdana"/>
          <w:bCs/>
          <w:sz w:val="20"/>
          <w:lang w:val="en-US"/>
        </w:rPr>
        <w:t>1</w:t>
      </w:r>
      <w:r w:rsidR="007A2C30" w:rsidRPr="00353B3F">
        <w:rPr>
          <w:rFonts w:ascii="Verdana" w:hAnsi="Verdana" w:cs="Verdana"/>
          <w:bCs/>
          <w:sz w:val="20"/>
          <w:lang w:val="en-US"/>
        </w:rPr>
        <w:fldChar w:fldCharType="end"/>
      </w:r>
      <w:r w:rsidR="00174292" w:rsidRPr="00353B3F">
        <w:rPr>
          <w:rFonts w:ascii="Verdana" w:hAnsi="Verdana" w:cs="Verdana"/>
          <w:bCs/>
          <w:sz w:val="20"/>
          <w:lang w:val="en-US"/>
        </w:rPr>
        <w:t>).</w:t>
      </w:r>
      <w:r w:rsidR="00663414" w:rsidRPr="00353B3F">
        <w:rPr>
          <w:rFonts w:ascii="Verdana" w:hAnsi="Verdana" w:cs="Verdana"/>
          <w:bCs/>
          <w:sz w:val="20"/>
          <w:lang w:val="en-US"/>
        </w:rPr>
        <w:t xml:space="preserve"> </w:t>
      </w:r>
      <w:r w:rsidRPr="00353B3F">
        <w:rPr>
          <w:rFonts w:ascii="Verdana" w:hAnsi="Verdana" w:cs="Verdana"/>
          <w:bCs/>
          <w:sz w:val="20"/>
          <w:lang w:val="en-US"/>
        </w:rPr>
        <w:t>The Court  issue</w:t>
      </w:r>
      <w:r w:rsidR="00E47A56" w:rsidRPr="00353B3F">
        <w:rPr>
          <w:rFonts w:ascii="Verdana" w:hAnsi="Verdana" w:cs="Verdana"/>
          <w:bCs/>
          <w:sz w:val="20"/>
          <w:lang w:val="en-US"/>
        </w:rPr>
        <w:t>d</w:t>
      </w:r>
      <w:r w:rsidRPr="00353B3F">
        <w:rPr>
          <w:rFonts w:ascii="Verdana" w:hAnsi="Verdana" w:cs="Verdana"/>
          <w:bCs/>
          <w:sz w:val="20"/>
          <w:lang w:val="en-US"/>
        </w:rPr>
        <w:t xml:space="preserve"> three orders on monitoring compliance between </w:t>
      </w:r>
      <w:r w:rsidR="004C0F69" w:rsidRPr="00353B3F">
        <w:rPr>
          <w:rFonts w:ascii="Verdana" w:hAnsi="Verdana" w:cs="Verdana"/>
          <w:bCs/>
          <w:sz w:val="20"/>
          <w:lang w:val="en-US"/>
        </w:rPr>
        <w:t xml:space="preserve">2007 </w:t>
      </w:r>
      <w:r w:rsidRPr="00353B3F">
        <w:rPr>
          <w:rFonts w:ascii="Verdana" w:hAnsi="Verdana" w:cs="Verdana"/>
          <w:bCs/>
          <w:sz w:val="20"/>
          <w:lang w:val="en-US"/>
        </w:rPr>
        <w:t>and</w:t>
      </w:r>
      <w:r w:rsidR="00D849F1" w:rsidRPr="00353B3F">
        <w:rPr>
          <w:rFonts w:ascii="Verdana" w:hAnsi="Verdana" w:cs="Verdana"/>
          <w:bCs/>
          <w:sz w:val="20"/>
          <w:lang w:val="en-US"/>
        </w:rPr>
        <w:t xml:space="preserve"> </w:t>
      </w:r>
      <w:r w:rsidR="004C0F69" w:rsidRPr="00353B3F">
        <w:rPr>
          <w:rFonts w:ascii="Verdana" w:hAnsi="Verdana" w:cs="Verdana"/>
          <w:bCs/>
          <w:sz w:val="20"/>
          <w:lang w:val="en-US"/>
        </w:rPr>
        <w:t>2010</w:t>
      </w:r>
      <w:r w:rsidR="00174292" w:rsidRPr="00353B3F">
        <w:rPr>
          <w:rFonts w:ascii="Verdana" w:hAnsi="Verdana" w:cs="Verdana"/>
          <w:bCs/>
          <w:sz w:val="20"/>
          <w:lang w:val="en-US"/>
        </w:rPr>
        <w:t xml:space="preserve"> (</w:t>
      </w:r>
      <w:r w:rsidR="00174292" w:rsidRPr="00353B3F">
        <w:rPr>
          <w:rFonts w:ascii="Verdana" w:hAnsi="Verdana" w:cs="Verdana"/>
          <w:bCs/>
          <w:i/>
          <w:sz w:val="20"/>
          <w:lang w:val="en-US"/>
        </w:rPr>
        <w:t xml:space="preserve">supra </w:t>
      </w:r>
      <w:r w:rsidR="00BA5116" w:rsidRPr="00353B3F">
        <w:rPr>
          <w:rFonts w:ascii="Verdana" w:hAnsi="Verdana" w:cs="Verdana"/>
          <w:bCs/>
          <w:sz w:val="20"/>
          <w:lang w:val="en-US"/>
        </w:rPr>
        <w:t xml:space="preserve">having seen paragraph </w:t>
      </w:r>
      <w:r w:rsidR="005937E0" w:rsidRPr="00353B3F">
        <w:rPr>
          <w:rFonts w:ascii="Verdana" w:hAnsi="Verdana" w:cs="Verdana"/>
          <w:bCs/>
          <w:sz w:val="20"/>
          <w:lang w:val="en-US"/>
        </w:rPr>
        <w:fldChar w:fldCharType="begin"/>
      </w:r>
      <w:r w:rsidR="005937E0" w:rsidRPr="00353B3F">
        <w:rPr>
          <w:rFonts w:ascii="Verdana" w:hAnsi="Verdana" w:cs="Verdana"/>
          <w:bCs/>
          <w:sz w:val="20"/>
          <w:lang w:val="en-US"/>
        </w:rPr>
        <w:instrText xml:space="preserve"> REF _Ref437587895 \r \h </w:instrText>
      </w:r>
      <w:r w:rsidR="00BA5116" w:rsidRPr="00353B3F">
        <w:rPr>
          <w:rFonts w:ascii="Verdana" w:hAnsi="Verdana" w:cs="Verdana"/>
          <w:bCs/>
          <w:sz w:val="20"/>
          <w:lang w:val="en-US"/>
        </w:rPr>
        <w:instrText xml:space="preserve"> \* MERGEFORMAT </w:instrText>
      </w:r>
      <w:r w:rsidR="005937E0" w:rsidRPr="00353B3F">
        <w:rPr>
          <w:rFonts w:ascii="Verdana" w:hAnsi="Verdana" w:cs="Verdana"/>
          <w:bCs/>
          <w:sz w:val="20"/>
          <w:lang w:val="en-US"/>
        </w:rPr>
      </w:r>
      <w:r w:rsidR="005937E0" w:rsidRPr="00353B3F">
        <w:rPr>
          <w:rFonts w:ascii="Verdana" w:hAnsi="Verdana" w:cs="Verdana"/>
          <w:bCs/>
          <w:sz w:val="20"/>
          <w:lang w:val="en-US"/>
        </w:rPr>
        <w:fldChar w:fldCharType="separate"/>
      </w:r>
      <w:r w:rsidR="00BD655E">
        <w:rPr>
          <w:rFonts w:ascii="Verdana" w:hAnsi="Verdana" w:cs="Verdana"/>
          <w:bCs/>
          <w:sz w:val="20"/>
          <w:lang w:val="en-US"/>
        </w:rPr>
        <w:t>3</w:t>
      </w:r>
      <w:r w:rsidR="005937E0" w:rsidRPr="00353B3F">
        <w:rPr>
          <w:rFonts w:ascii="Verdana" w:hAnsi="Verdana" w:cs="Verdana"/>
          <w:bCs/>
          <w:sz w:val="20"/>
          <w:lang w:val="en-US"/>
        </w:rPr>
        <w:fldChar w:fldCharType="end"/>
      </w:r>
      <w:r w:rsidR="004C0F69" w:rsidRPr="00353B3F">
        <w:rPr>
          <w:rFonts w:ascii="Verdana" w:hAnsi="Verdana" w:cs="Verdana"/>
          <w:bCs/>
          <w:sz w:val="20"/>
          <w:lang w:val="en-US"/>
        </w:rPr>
        <w:t>)</w:t>
      </w:r>
      <w:r w:rsidR="00F24B21" w:rsidRPr="00353B3F">
        <w:rPr>
          <w:rFonts w:ascii="Verdana" w:hAnsi="Verdana" w:cs="Verdana"/>
          <w:bCs/>
          <w:sz w:val="20"/>
          <w:lang w:val="en-US"/>
        </w:rPr>
        <w:t xml:space="preserve">, </w:t>
      </w:r>
      <w:r w:rsidRPr="00353B3F">
        <w:rPr>
          <w:rFonts w:ascii="Verdana" w:hAnsi="Verdana" w:cs="Verdana"/>
          <w:bCs/>
          <w:sz w:val="20"/>
          <w:lang w:val="en-US"/>
        </w:rPr>
        <w:t>in which it declared that the State had complied fully with four measures of reparations,</w:t>
      </w:r>
      <w:r w:rsidR="00174292" w:rsidRPr="00353B3F">
        <w:rPr>
          <w:rStyle w:val="FootnoteReference"/>
          <w:rFonts w:ascii="Verdana" w:hAnsi="Verdana" w:cs="Verdana"/>
          <w:bCs/>
          <w:sz w:val="20"/>
          <w:lang w:val="en-US"/>
        </w:rPr>
        <w:footnoteReference w:id="9"/>
      </w:r>
      <w:r w:rsidRPr="00353B3F">
        <w:rPr>
          <w:rFonts w:ascii="Verdana" w:hAnsi="Verdana" w:cs="Verdana"/>
          <w:bCs/>
          <w:sz w:val="20"/>
          <w:lang w:val="en-US"/>
        </w:rPr>
        <w:t xml:space="preserve"> </w:t>
      </w:r>
      <w:r w:rsidR="00E47A56" w:rsidRPr="00353B3F">
        <w:rPr>
          <w:rFonts w:ascii="Verdana" w:hAnsi="Verdana" w:cs="Verdana"/>
          <w:bCs/>
          <w:sz w:val="20"/>
          <w:lang w:val="en-US"/>
        </w:rPr>
        <w:t xml:space="preserve">and </w:t>
      </w:r>
      <w:r w:rsidRPr="00353B3F">
        <w:rPr>
          <w:rFonts w:ascii="Verdana" w:hAnsi="Verdana" w:cs="Verdana"/>
          <w:bCs/>
          <w:sz w:val="20"/>
          <w:lang w:val="en-US"/>
        </w:rPr>
        <w:t>partially with one reparation,</w:t>
      </w:r>
      <w:r w:rsidR="00944E11" w:rsidRPr="00353B3F">
        <w:rPr>
          <w:rStyle w:val="FootnoteReference"/>
          <w:rFonts w:ascii="Verdana" w:hAnsi="Verdana" w:cs="Verdana"/>
          <w:bCs/>
          <w:sz w:val="20"/>
          <w:lang w:val="en-US"/>
        </w:rPr>
        <w:footnoteReference w:id="10"/>
      </w:r>
      <w:r w:rsidRPr="00353B3F">
        <w:rPr>
          <w:rFonts w:ascii="Verdana" w:hAnsi="Verdana" w:cs="Verdana"/>
          <w:bCs/>
          <w:sz w:val="20"/>
          <w:lang w:val="en-US"/>
        </w:rPr>
        <w:t xml:space="preserve"> and that five measures of reparation remained pending</w:t>
      </w:r>
      <w:r w:rsidR="00174292" w:rsidRPr="00353B3F">
        <w:rPr>
          <w:rFonts w:ascii="Verdana" w:hAnsi="Verdana" w:cs="Verdana"/>
          <w:bCs/>
          <w:sz w:val="20"/>
          <w:lang w:val="en-US"/>
        </w:rPr>
        <w:t xml:space="preserve"> </w:t>
      </w:r>
      <w:r w:rsidR="00BE2BE4" w:rsidRPr="00353B3F">
        <w:rPr>
          <w:rFonts w:ascii="Verdana" w:hAnsi="Verdana"/>
          <w:sz w:val="20"/>
          <w:lang w:val="en-US"/>
        </w:rPr>
        <w:t>(</w:t>
      </w:r>
      <w:r w:rsidR="00BE2BE4" w:rsidRPr="00353B3F">
        <w:rPr>
          <w:rFonts w:ascii="Verdana" w:hAnsi="Verdana"/>
          <w:i/>
          <w:sz w:val="20"/>
          <w:lang w:val="en-US"/>
        </w:rPr>
        <w:t>infra</w:t>
      </w:r>
      <w:r w:rsidR="00BE2BE4" w:rsidRPr="00353B3F">
        <w:rPr>
          <w:rFonts w:ascii="Verdana" w:hAnsi="Verdana"/>
          <w:sz w:val="20"/>
          <w:lang w:val="en-US"/>
        </w:rPr>
        <w:t xml:space="preserve"> </w:t>
      </w:r>
      <w:proofErr w:type="spellStart"/>
      <w:r w:rsidRPr="00353B3F">
        <w:rPr>
          <w:rFonts w:ascii="Verdana" w:hAnsi="Verdana"/>
          <w:i/>
          <w:sz w:val="20"/>
          <w:lang w:val="en-US"/>
        </w:rPr>
        <w:t>c</w:t>
      </w:r>
      <w:r w:rsidR="00BE2BE4" w:rsidRPr="00353B3F">
        <w:rPr>
          <w:rFonts w:ascii="Verdana" w:hAnsi="Verdana"/>
          <w:i/>
          <w:sz w:val="20"/>
          <w:lang w:val="en-US"/>
        </w:rPr>
        <w:t>onsiderand</w:t>
      </w:r>
      <w:r w:rsidRPr="00353B3F">
        <w:rPr>
          <w:rFonts w:ascii="Verdana" w:hAnsi="Verdana"/>
          <w:i/>
          <w:sz w:val="20"/>
          <w:lang w:val="en-US"/>
        </w:rPr>
        <w:t>a</w:t>
      </w:r>
      <w:proofErr w:type="spellEnd"/>
      <w:r w:rsidR="00BE2BE4" w:rsidRPr="00353B3F">
        <w:rPr>
          <w:rFonts w:ascii="Verdana" w:hAnsi="Verdana"/>
          <w:sz w:val="20"/>
          <w:lang w:val="en-US"/>
        </w:rPr>
        <w:t xml:space="preserve"> </w:t>
      </w:r>
      <w:r w:rsidR="009235B8" w:rsidRPr="00353B3F">
        <w:rPr>
          <w:rFonts w:ascii="Verdana" w:hAnsi="Verdana"/>
          <w:sz w:val="20"/>
          <w:lang w:val="en-US"/>
        </w:rPr>
        <w:fldChar w:fldCharType="begin"/>
      </w:r>
      <w:r w:rsidR="009235B8" w:rsidRPr="00353B3F">
        <w:rPr>
          <w:rFonts w:ascii="Verdana" w:hAnsi="Verdana"/>
          <w:sz w:val="20"/>
          <w:lang w:val="en-US"/>
        </w:rPr>
        <w:instrText xml:space="preserve"> REF _Ref532204711 \r \h </w:instrText>
      </w:r>
      <w:r w:rsidR="00E47A56" w:rsidRPr="00353B3F">
        <w:rPr>
          <w:rFonts w:ascii="Verdana" w:hAnsi="Verdana"/>
          <w:sz w:val="20"/>
          <w:lang w:val="en-US"/>
        </w:rPr>
        <w:instrText xml:space="preserve"> \* MERGEFORMAT </w:instrText>
      </w:r>
      <w:r w:rsidR="009235B8" w:rsidRPr="00353B3F">
        <w:rPr>
          <w:rFonts w:ascii="Verdana" w:hAnsi="Verdana"/>
          <w:sz w:val="20"/>
          <w:lang w:val="en-US"/>
        </w:rPr>
      </w:r>
      <w:r w:rsidR="009235B8" w:rsidRPr="00353B3F">
        <w:rPr>
          <w:rFonts w:ascii="Verdana" w:hAnsi="Verdana"/>
          <w:sz w:val="20"/>
          <w:lang w:val="en-US"/>
        </w:rPr>
        <w:fldChar w:fldCharType="separate"/>
      </w:r>
      <w:r w:rsidR="00BD655E">
        <w:rPr>
          <w:rFonts w:ascii="Verdana" w:hAnsi="Verdana"/>
          <w:sz w:val="20"/>
          <w:lang w:val="en-US"/>
        </w:rPr>
        <w:t>5</w:t>
      </w:r>
      <w:r w:rsidR="009235B8" w:rsidRPr="00353B3F">
        <w:rPr>
          <w:rFonts w:ascii="Verdana" w:hAnsi="Verdana"/>
          <w:sz w:val="20"/>
          <w:lang w:val="en-US"/>
        </w:rPr>
        <w:fldChar w:fldCharType="end"/>
      </w:r>
      <w:r w:rsidR="009235B8" w:rsidRPr="00353B3F">
        <w:rPr>
          <w:rFonts w:ascii="Verdana" w:hAnsi="Verdana"/>
          <w:sz w:val="20"/>
          <w:lang w:val="en-US"/>
        </w:rPr>
        <w:t xml:space="preserve">, </w:t>
      </w:r>
      <w:r w:rsidR="009235B8" w:rsidRPr="00353B3F">
        <w:rPr>
          <w:rFonts w:ascii="Verdana" w:hAnsi="Verdana"/>
          <w:sz w:val="20"/>
          <w:lang w:val="en-US"/>
        </w:rPr>
        <w:fldChar w:fldCharType="begin"/>
      </w:r>
      <w:r w:rsidR="009235B8" w:rsidRPr="00353B3F">
        <w:rPr>
          <w:rFonts w:ascii="Verdana" w:hAnsi="Verdana"/>
          <w:sz w:val="20"/>
          <w:lang w:val="en-US"/>
        </w:rPr>
        <w:instrText xml:space="preserve"> REF _Ref532305228 \r \h </w:instrText>
      </w:r>
      <w:r w:rsidR="00E47A56" w:rsidRPr="00353B3F">
        <w:rPr>
          <w:rFonts w:ascii="Verdana" w:hAnsi="Verdana"/>
          <w:sz w:val="20"/>
          <w:lang w:val="en-US"/>
        </w:rPr>
        <w:instrText xml:space="preserve"> \* MERGEFORMAT </w:instrText>
      </w:r>
      <w:r w:rsidR="009235B8" w:rsidRPr="00353B3F">
        <w:rPr>
          <w:rFonts w:ascii="Verdana" w:hAnsi="Verdana"/>
          <w:sz w:val="20"/>
          <w:lang w:val="en-US"/>
        </w:rPr>
      </w:r>
      <w:r w:rsidR="009235B8" w:rsidRPr="00353B3F">
        <w:rPr>
          <w:rFonts w:ascii="Verdana" w:hAnsi="Verdana"/>
          <w:sz w:val="20"/>
          <w:lang w:val="en-US"/>
        </w:rPr>
        <w:fldChar w:fldCharType="separate"/>
      </w:r>
      <w:r w:rsidR="00BD655E">
        <w:rPr>
          <w:rFonts w:ascii="Verdana" w:hAnsi="Verdana"/>
          <w:sz w:val="20"/>
          <w:lang w:val="en-US"/>
        </w:rPr>
        <w:t>21</w:t>
      </w:r>
      <w:r w:rsidR="009235B8" w:rsidRPr="00353B3F">
        <w:rPr>
          <w:rFonts w:ascii="Verdana" w:hAnsi="Verdana"/>
          <w:sz w:val="20"/>
          <w:lang w:val="en-US"/>
        </w:rPr>
        <w:fldChar w:fldCharType="end"/>
      </w:r>
      <w:r w:rsidR="009235B8" w:rsidRPr="00353B3F">
        <w:rPr>
          <w:rFonts w:ascii="Verdana" w:hAnsi="Verdana"/>
          <w:sz w:val="20"/>
          <w:lang w:val="en-US"/>
        </w:rPr>
        <w:t xml:space="preserve">, </w:t>
      </w:r>
      <w:r w:rsidR="009235B8" w:rsidRPr="00353B3F">
        <w:rPr>
          <w:rFonts w:ascii="Verdana" w:hAnsi="Verdana"/>
          <w:sz w:val="20"/>
          <w:lang w:val="en-US"/>
        </w:rPr>
        <w:fldChar w:fldCharType="begin"/>
      </w:r>
      <w:r w:rsidR="009235B8" w:rsidRPr="00353B3F">
        <w:rPr>
          <w:rFonts w:ascii="Verdana" w:hAnsi="Verdana"/>
          <w:sz w:val="20"/>
          <w:lang w:val="en-US"/>
        </w:rPr>
        <w:instrText xml:space="preserve"> REF _Ref532305231 \r \h </w:instrText>
      </w:r>
      <w:r w:rsidR="00E47A56" w:rsidRPr="00353B3F">
        <w:rPr>
          <w:rFonts w:ascii="Verdana" w:hAnsi="Verdana"/>
          <w:sz w:val="20"/>
          <w:lang w:val="en-US"/>
        </w:rPr>
        <w:instrText xml:space="preserve"> \* MERGEFORMAT </w:instrText>
      </w:r>
      <w:r w:rsidR="009235B8" w:rsidRPr="00353B3F">
        <w:rPr>
          <w:rFonts w:ascii="Verdana" w:hAnsi="Verdana"/>
          <w:sz w:val="20"/>
          <w:lang w:val="en-US"/>
        </w:rPr>
      </w:r>
      <w:r w:rsidR="009235B8" w:rsidRPr="00353B3F">
        <w:rPr>
          <w:rFonts w:ascii="Verdana" w:hAnsi="Verdana"/>
          <w:sz w:val="20"/>
          <w:lang w:val="en-US"/>
        </w:rPr>
        <w:fldChar w:fldCharType="separate"/>
      </w:r>
      <w:r w:rsidR="00BD655E">
        <w:rPr>
          <w:rFonts w:ascii="Verdana" w:hAnsi="Verdana"/>
          <w:sz w:val="20"/>
          <w:lang w:val="en-US"/>
        </w:rPr>
        <w:t>26</w:t>
      </w:r>
      <w:r w:rsidR="009235B8" w:rsidRPr="00353B3F">
        <w:rPr>
          <w:rFonts w:ascii="Verdana" w:hAnsi="Verdana"/>
          <w:sz w:val="20"/>
          <w:lang w:val="en-US"/>
        </w:rPr>
        <w:fldChar w:fldCharType="end"/>
      </w:r>
      <w:r w:rsidR="009235B8" w:rsidRPr="00353B3F">
        <w:rPr>
          <w:rFonts w:ascii="Verdana" w:hAnsi="Verdana"/>
          <w:sz w:val="20"/>
          <w:lang w:val="en-US"/>
        </w:rPr>
        <w:t xml:space="preserve">, </w:t>
      </w:r>
      <w:r w:rsidR="009235B8" w:rsidRPr="00353B3F">
        <w:rPr>
          <w:rFonts w:ascii="Verdana" w:hAnsi="Verdana"/>
          <w:sz w:val="20"/>
          <w:lang w:val="en-US"/>
        </w:rPr>
        <w:fldChar w:fldCharType="begin"/>
      </w:r>
      <w:r w:rsidR="009235B8" w:rsidRPr="00353B3F">
        <w:rPr>
          <w:rFonts w:ascii="Verdana" w:hAnsi="Verdana"/>
          <w:sz w:val="20"/>
          <w:lang w:val="en-US"/>
        </w:rPr>
        <w:instrText xml:space="preserve"> REF _Ref532305234 \r \h </w:instrText>
      </w:r>
      <w:r w:rsidR="00E47A56" w:rsidRPr="00353B3F">
        <w:rPr>
          <w:rFonts w:ascii="Verdana" w:hAnsi="Verdana"/>
          <w:sz w:val="20"/>
          <w:lang w:val="en-US"/>
        </w:rPr>
        <w:instrText xml:space="preserve"> \* MERGEFORMAT </w:instrText>
      </w:r>
      <w:r w:rsidR="009235B8" w:rsidRPr="00353B3F">
        <w:rPr>
          <w:rFonts w:ascii="Verdana" w:hAnsi="Verdana"/>
          <w:sz w:val="20"/>
          <w:lang w:val="en-US"/>
        </w:rPr>
      </w:r>
      <w:r w:rsidR="009235B8" w:rsidRPr="00353B3F">
        <w:rPr>
          <w:rFonts w:ascii="Verdana" w:hAnsi="Verdana"/>
          <w:sz w:val="20"/>
          <w:lang w:val="en-US"/>
        </w:rPr>
        <w:fldChar w:fldCharType="separate"/>
      </w:r>
      <w:r w:rsidR="00BD655E">
        <w:rPr>
          <w:rFonts w:ascii="Verdana" w:hAnsi="Verdana"/>
          <w:sz w:val="20"/>
          <w:lang w:val="en-US"/>
        </w:rPr>
        <w:t>33</w:t>
      </w:r>
      <w:r w:rsidR="009235B8" w:rsidRPr="00353B3F">
        <w:rPr>
          <w:rFonts w:ascii="Verdana" w:hAnsi="Verdana"/>
          <w:sz w:val="20"/>
          <w:lang w:val="en-US"/>
        </w:rPr>
        <w:fldChar w:fldCharType="end"/>
      </w:r>
      <w:r w:rsidR="009235B8" w:rsidRPr="00353B3F">
        <w:rPr>
          <w:rFonts w:ascii="Verdana" w:hAnsi="Verdana"/>
          <w:sz w:val="20"/>
          <w:lang w:val="en-US"/>
        </w:rPr>
        <w:t xml:space="preserve"> </w:t>
      </w:r>
      <w:r w:rsidRPr="00353B3F">
        <w:rPr>
          <w:rFonts w:ascii="Verdana" w:hAnsi="Verdana"/>
          <w:sz w:val="20"/>
          <w:lang w:val="en-US"/>
        </w:rPr>
        <w:t>and</w:t>
      </w:r>
      <w:r w:rsidR="009235B8" w:rsidRPr="00353B3F">
        <w:rPr>
          <w:rFonts w:ascii="Verdana" w:hAnsi="Verdana"/>
          <w:sz w:val="20"/>
          <w:lang w:val="en-US"/>
        </w:rPr>
        <w:t xml:space="preserve"> </w:t>
      </w:r>
      <w:r w:rsidR="009235B8" w:rsidRPr="00353B3F">
        <w:rPr>
          <w:rFonts w:ascii="Verdana" w:hAnsi="Verdana"/>
          <w:sz w:val="20"/>
          <w:lang w:val="en-US"/>
        </w:rPr>
        <w:fldChar w:fldCharType="begin"/>
      </w:r>
      <w:r w:rsidR="009235B8" w:rsidRPr="00353B3F">
        <w:rPr>
          <w:rFonts w:ascii="Verdana" w:hAnsi="Verdana"/>
          <w:sz w:val="20"/>
          <w:lang w:val="en-US"/>
        </w:rPr>
        <w:instrText xml:space="preserve"> REF _Ref532305239 \r \h </w:instrText>
      </w:r>
      <w:r w:rsidR="00E47A56" w:rsidRPr="00353B3F">
        <w:rPr>
          <w:rFonts w:ascii="Verdana" w:hAnsi="Verdana"/>
          <w:sz w:val="20"/>
          <w:lang w:val="en-US"/>
        </w:rPr>
        <w:instrText xml:space="preserve"> \* MERGEFORMAT </w:instrText>
      </w:r>
      <w:r w:rsidR="009235B8" w:rsidRPr="00353B3F">
        <w:rPr>
          <w:rFonts w:ascii="Verdana" w:hAnsi="Verdana"/>
          <w:sz w:val="20"/>
          <w:lang w:val="en-US"/>
        </w:rPr>
      </w:r>
      <w:r w:rsidR="009235B8" w:rsidRPr="00353B3F">
        <w:rPr>
          <w:rFonts w:ascii="Verdana" w:hAnsi="Verdana"/>
          <w:sz w:val="20"/>
          <w:lang w:val="en-US"/>
        </w:rPr>
        <w:fldChar w:fldCharType="separate"/>
      </w:r>
      <w:r w:rsidR="00BD655E">
        <w:rPr>
          <w:rFonts w:ascii="Verdana" w:hAnsi="Verdana"/>
          <w:sz w:val="20"/>
          <w:lang w:val="en-US"/>
        </w:rPr>
        <w:t>38</w:t>
      </w:r>
      <w:r w:rsidR="009235B8" w:rsidRPr="00353B3F">
        <w:rPr>
          <w:rFonts w:ascii="Verdana" w:hAnsi="Verdana"/>
          <w:sz w:val="20"/>
          <w:lang w:val="en-US"/>
        </w:rPr>
        <w:fldChar w:fldCharType="end"/>
      </w:r>
      <w:r w:rsidR="00BE2BE4" w:rsidRPr="00353B3F">
        <w:rPr>
          <w:rFonts w:ascii="Verdana" w:hAnsi="Verdana"/>
          <w:sz w:val="20"/>
          <w:lang w:val="en-US"/>
        </w:rPr>
        <w:t>)</w:t>
      </w:r>
      <w:r w:rsidR="00174292" w:rsidRPr="00353B3F">
        <w:rPr>
          <w:rFonts w:ascii="Verdana" w:hAnsi="Verdana"/>
          <w:sz w:val="20"/>
          <w:lang w:val="en-US"/>
        </w:rPr>
        <w:t>.</w:t>
      </w:r>
      <w:bookmarkEnd w:id="6"/>
    </w:p>
    <w:p w14:paraId="2F4F1C00" w14:textId="77777777" w:rsidR="00174292" w:rsidRPr="00353B3F" w:rsidRDefault="00174292" w:rsidP="00174292">
      <w:pPr>
        <w:jc w:val="both"/>
        <w:rPr>
          <w:rFonts w:ascii="Verdana" w:hAnsi="Verdana"/>
          <w:sz w:val="20"/>
          <w:lang w:val="en-US" w:eastAsia="es-CR"/>
        </w:rPr>
      </w:pPr>
    </w:p>
    <w:p w14:paraId="08F201CC" w14:textId="20A59E47" w:rsidR="00174292" w:rsidRPr="00353B3F" w:rsidRDefault="00DC49A3" w:rsidP="00DC49A3">
      <w:pPr>
        <w:numPr>
          <w:ilvl w:val="0"/>
          <w:numId w:val="5"/>
        </w:numPr>
        <w:ind w:left="0" w:firstLine="0"/>
        <w:jc w:val="both"/>
        <w:rPr>
          <w:rFonts w:ascii="Verdana" w:hAnsi="Verdana"/>
          <w:sz w:val="20"/>
          <w:lang w:val="en-US"/>
        </w:rPr>
      </w:pPr>
      <w:bookmarkStart w:id="7" w:name="_Ref437274109"/>
      <w:r w:rsidRPr="00353B3F">
        <w:rPr>
          <w:rFonts w:ascii="Verdana" w:hAnsi="Verdana"/>
          <w:sz w:val="20"/>
          <w:lang w:val="en-US"/>
        </w:rPr>
        <w:t xml:space="preserve">As established in Article 68(1) </w:t>
      </w:r>
      <w:r w:rsidRPr="00353B3F">
        <w:rPr>
          <w:rFonts w:ascii="Verdana" w:hAnsi="Verdana"/>
          <w:color w:val="000000"/>
          <w:sz w:val="20"/>
          <w:lang w:val="en-US"/>
        </w:rPr>
        <w:t xml:space="preserve">of the </w:t>
      </w:r>
      <w:r w:rsidR="00484EB4" w:rsidRPr="00353B3F">
        <w:rPr>
          <w:rFonts w:ascii="Verdana" w:hAnsi="Verdana"/>
          <w:color w:val="000000"/>
          <w:sz w:val="20"/>
          <w:lang w:val="en-US"/>
        </w:rPr>
        <w:t>American Convention</w:t>
      </w:r>
      <w:r w:rsidR="00174292" w:rsidRPr="00353B3F">
        <w:rPr>
          <w:rFonts w:ascii="Verdana" w:hAnsi="Verdana"/>
          <w:color w:val="000000"/>
          <w:sz w:val="20"/>
          <w:lang w:val="en-US"/>
        </w:rPr>
        <w:t>, “[</w:t>
      </w:r>
      <w:r w:rsidRPr="00353B3F">
        <w:rPr>
          <w:rFonts w:ascii="Verdana" w:hAnsi="Verdana"/>
          <w:color w:val="000000"/>
          <w:sz w:val="20"/>
          <w:lang w:val="en-US"/>
        </w:rPr>
        <w:t>t</w:t>
      </w:r>
      <w:r w:rsidR="00174292" w:rsidRPr="00353B3F">
        <w:rPr>
          <w:rFonts w:ascii="Verdana" w:hAnsi="Verdana"/>
          <w:color w:val="000000"/>
          <w:sz w:val="20"/>
          <w:lang w:val="en-US"/>
        </w:rPr>
        <w:t>]</w:t>
      </w:r>
      <w:r w:rsidRPr="00353B3F">
        <w:rPr>
          <w:rFonts w:ascii="Verdana" w:hAnsi="Verdana"/>
          <w:spacing w:val="-3"/>
          <w:sz w:val="20"/>
          <w:lang w:val="en-US"/>
        </w:rPr>
        <w:t>he States Parties to the Convention undertake to comply with the judgment of the Court in any case to which they are parties</w:t>
      </w:r>
      <w:r w:rsidRPr="00353B3F">
        <w:rPr>
          <w:rFonts w:ascii="Verdana" w:hAnsi="Verdana"/>
          <w:color w:val="000000"/>
          <w:sz w:val="20"/>
          <w:lang w:val="en-US"/>
        </w:rPr>
        <w:t>.</w:t>
      </w:r>
      <w:r w:rsidR="00174292" w:rsidRPr="00353B3F">
        <w:rPr>
          <w:rFonts w:ascii="Verdana" w:hAnsi="Verdana"/>
          <w:color w:val="000000"/>
          <w:sz w:val="20"/>
          <w:lang w:val="en-US"/>
        </w:rPr>
        <w:t>”</w:t>
      </w:r>
      <w:r w:rsidRPr="00353B3F">
        <w:rPr>
          <w:rFonts w:ascii="Verdana" w:hAnsi="Verdana" w:cs="Verdana"/>
          <w:sz w:val="20"/>
          <w:lang w:val="en-US"/>
        </w:rPr>
        <w:t xml:space="preserve"> This obligation includes the State’s duty to inform the Court of the measures taken to comply with each aspect ordered, which is essential to enable the Court to evaluate the status of compliance with the judgment as a whole.</w:t>
      </w:r>
      <w:r w:rsidR="00174292" w:rsidRPr="00353B3F">
        <w:rPr>
          <w:rStyle w:val="FootnoteReference"/>
          <w:rFonts w:ascii="Verdana" w:hAnsi="Verdana"/>
          <w:sz w:val="20"/>
          <w:lang w:val="en-US"/>
        </w:rPr>
        <w:footnoteReference w:id="11"/>
      </w:r>
      <w:r w:rsidRPr="00353B3F">
        <w:rPr>
          <w:rFonts w:ascii="Verdana" w:hAnsi="Verdana"/>
          <w:sz w:val="20"/>
          <w:lang w:val="en-US"/>
        </w:rPr>
        <w:t xml:space="preserve"> The States Parties to </w:t>
      </w:r>
      <w:bookmarkEnd w:id="7"/>
      <w:r w:rsidR="00484EB4" w:rsidRPr="00353B3F">
        <w:rPr>
          <w:rFonts w:ascii="Verdana" w:eastAsia="Times New Roman" w:hAnsi="Verdana"/>
          <w:color w:val="000000"/>
          <w:sz w:val="20"/>
          <w:lang w:val="en-US"/>
        </w:rPr>
        <w:t>the Convention</w:t>
      </w:r>
      <w:r w:rsidR="00174292" w:rsidRPr="00353B3F">
        <w:rPr>
          <w:rFonts w:ascii="Verdana" w:eastAsia="Times New Roman" w:hAnsi="Verdana"/>
          <w:color w:val="000000"/>
          <w:sz w:val="20"/>
          <w:lang w:val="en-US"/>
        </w:rPr>
        <w:t xml:space="preserve"> </w:t>
      </w:r>
      <w:r w:rsidRPr="00353B3F">
        <w:rPr>
          <w:rFonts w:ascii="Verdana" w:eastAsia="Times New Roman" w:hAnsi="Verdana"/>
          <w:color w:val="000000"/>
          <w:sz w:val="20"/>
          <w:lang w:val="en-US"/>
        </w:rPr>
        <w:t xml:space="preserve">must </w:t>
      </w:r>
      <w:r w:rsidR="00E47A56" w:rsidRPr="00353B3F">
        <w:rPr>
          <w:rFonts w:ascii="Verdana" w:eastAsia="Times New Roman" w:hAnsi="Verdana"/>
          <w:color w:val="000000"/>
          <w:sz w:val="20"/>
          <w:lang w:val="en-US"/>
        </w:rPr>
        <w:t>guarante</w:t>
      </w:r>
      <w:r w:rsidRPr="00353B3F">
        <w:rPr>
          <w:rFonts w:ascii="Verdana" w:eastAsia="Times New Roman" w:hAnsi="Verdana"/>
          <w:color w:val="000000"/>
          <w:sz w:val="20"/>
          <w:lang w:val="en-US"/>
        </w:rPr>
        <w:t xml:space="preserve">e compliance with the provisions of the Convention and their practical effects </w:t>
      </w:r>
      <w:r w:rsidR="00F24B21" w:rsidRPr="00353B3F">
        <w:rPr>
          <w:rFonts w:ascii="Verdana" w:eastAsia="Times New Roman" w:hAnsi="Verdana"/>
          <w:color w:val="000000"/>
          <w:sz w:val="20"/>
          <w:lang w:val="en-US"/>
        </w:rPr>
        <w:t>(</w:t>
      </w:r>
      <w:proofErr w:type="spellStart"/>
      <w:r w:rsidR="00F24B21" w:rsidRPr="00353B3F">
        <w:rPr>
          <w:rFonts w:ascii="Verdana" w:eastAsia="Times New Roman" w:hAnsi="Verdana"/>
          <w:i/>
          <w:color w:val="000000"/>
          <w:sz w:val="20"/>
          <w:lang w:val="en-US"/>
        </w:rPr>
        <w:t>effet</w:t>
      </w:r>
      <w:proofErr w:type="spellEnd"/>
      <w:r w:rsidR="00F24B21" w:rsidRPr="00353B3F">
        <w:rPr>
          <w:rFonts w:ascii="Verdana" w:eastAsia="Times New Roman" w:hAnsi="Verdana"/>
          <w:i/>
          <w:color w:val="000000"/>
          <w:sz w:val="20"/>
          <w:lang w:val="en-US"/>
        </w:rPr>
        <w:t xml:space="preserve"> utile</w:t>
      </w:r>
      <w:r w:rsidR="00F24B21" w:rsidRPr="00353B3F">
        <w:rPr>
          <w:rFonts w:ascii="Verdana" w:eastAsia="Times New Roman" w:hAnsi="Verdana"/>
          <w:color w:val="000000"/>
          <w:sz w:val="20"/>
          <w:lang w:val="en-US"/>
        </w:rPr>
        <w:t xml:space="preserve">) </w:t>
      </w:r>
      <w:r w:rsidRPr="00353B3F">
        <w:rPr>
          <w:rFonts w:ascii="Verdana" w:eastAsia="Times New Roman" w:hAnsi="Verdana"/>
          <w:color w:val="000000"/>
          <w:sz w:val="20"/>
          <w:lang w:val="en-US"/>
        </w:rPr>
        <w:t>within their respective domestic laws. Th</w:t>
      </w:r>
      <w:r w:rsidR="00E47A56" w:rsidRPr="00353B3F">
        <w:rPr>
          <w:rFonts w:ascii="Verdana" w:eastAsia="Times New Roman" w:hAnsi="Verdana"/>
          <w:color w:val="000000"/>
          <w:sz w:val="20"/>
          <w:lang w:val="en-US"/>
        </w:rPr>
        <w:t>is</w:t>
      </w:r>
      <w:r w:rsidRPr="00353B3F">
        <w:rPr>
          <w:rFonts w:ascii="Verdana" w:eastAsia="Times New Roman" w:hAnsi="Verdana"/>
          <w:color w:val="000000"/>
          <w:sz w:val="20"/>
          <w:lang w:val="en-US"/>
        </w:rPr>
        <w:t xml:space="preserve"> obligation must be interpreted and applied so that the </w:t>
      </w:r>
      <w:r w:rsidR="00E47A56" w:rsidRPr="00353B3F">
        <w:rPr>
          <w:rFonts w:ascii="Verdana" w:eastAsia="Times New Roman" w:hAnsi="Verdana"/>
          <w:color w:val="000000"/>
          <w:sz w:val="20"/>
          <w:lang w:val="en-US"/>
        </w:rPr>
        <w:t>guarantee</w:t>
      </w:r>
      <w:r w:rsidRPr="00353B3F">
        <w:rPr>
          <w:rFonts w:ascii="Verdana" w:eastAsia="Times New Roman" w:hAnsi="Verdana"/>
          <w:color w:val="000000"/>
          <w:sz w:val="20"/>
          <w:lang w:val="en-US"/>
        </w:rPr>
        <w:t xml:space="preserve"> is truly practical and effective, bearing in mind the special nature of human rights treaties.</w:t>
      </w:r>
      <w:r w:rsidR="00174292" w:rsidRPr="00353B3F">
        <w:rPr>
          <w:rStyle w:val="FootnoteReference"/>
          <w:rFonts w:ascii="Verdana" w:hAnsi="Verdana"/>
          <w:sz w:val="20"/>
          <w:lang w:val="en-US"/>
        </w:rPr>
        <w:footnoteReference w:id="12"/>
      </w:r>
    </w:p>
    <w:p w14:paraId="28E12397" w14:textId="77777777" w:rsidR="005455A0" w:rsidRPr="00353B3F" w:rsidRDefault="005455A0" w:rsidP="005455A0">
      <w:pPr>
        <w:pStyle w:val="ListParagraph"/>
        <w:rPr>
          <w:rFonts w:ascii="Verdana" w:hAnsi="Verdana"/>
          <w:sz w:val="20"/>
          <w:lang w:val="en-US"/>
        </w:rPr>
      </w:pPr>
    </w:p>
    <w:p w14:paraId="56D01908" w14:textId="398D41A4" w:rsidR="005455A0" w:rsidRPr="00353B3F" w:rsidRDefault="00DC49A3" w:rsidP="00C245E4">
      <w:pPr>
        <w:numPr>
          <w:ilvl w:val="0"/>
          <w:numId w:val="5"/>
        </w:numPr>
        <w:ind w:left="0" w:firstLine="0"/>
        <w:jc w:val="both"/>
        <w:rPr>
          <w:rFonts w:ascii="Verdana" w:hAnsi="Verdana"/>
          <w:sz w:val="20"/>
          <w:lang w:val="en-US"/>
        </w:rPr>
      </w:pPr>
      <w:r w:rsidRPr="00353B3F">
        <w:rPr>
          <w:rFonts w:ascii="Verdana" w:eastAsia="Times New Roman" w:hAnsi="Verdana"/>
          <w:color w:val="000000"/>
          <w:sz w:val="20"/>
          <w:lang w:val="en-US"/>
        </w:rPr>
        <w:t xml:space="preserve">The States Parties to the </w:t>
      </w:r>
      <w:r w:rsidR="00484EB4" w:rsidRPr="00353B3F">
        <w:rPr>
          <w:rFonts w:ascii="Verdana" w:eastAsia="Times New Roman" w:hAnsi="Verdana"/>
          <w:color w:val="000000"/>
          <w:sz w:val="20"/>
          <w:lang w:val="en-US"/>
        </w:rPr>
        <w:t>American Convention</w:t>
      </w:r>
      <w:r w:rsidR="005455A0" w:rsidRPr="00353B3F">
        <w:rPr>
          <w:rFonts w:ascii="Verdana" w:eastAsia="Times New Roman" w:hAnsi="Verdana"/>
          <w:color w:val="000000"/>
          <w:sz w:val="20"/>
          <w:lang w:val="en-US"/>
        </w:rPr>
        <w:t xml:space="preserve"> </w:t>
      </w:r>
      <w:r w:rsidRPr="00353B3F">
        <w:rPr>
          <w:rFonts w:ascii="Verdana" w:eastAsia="Times New Roman" w:hAnsi="Verdana"/>
          <w:color w:val="000000"/>
          <w:sz w:val="20"/>
          <w:lang w:val="en-US"/>
        </w:rPr>
        <w:t>have the treaty-based obligation to implement, at both the international</w:t>
      </w:r>
      <w:r w:rsidR="00E47A56" w:rsidRPr="00353B3F">
        <w:rPr>
          <w:rFonts w:ascii="Verdana" w:eastAsia="Times New Roman" w:hAnsi="Verdana"/>
          <w:color w:val="000000"/>
          <w:sz w:val="20"/>
          <w:lang w:val="en-US"/>
        </w:rPr>
        <w:t xml:space="preserve"> and the</w:t>
      </w:r>
      <w:r w:rsidRPr="00353B3F">
        <w:rPr>
          <w:rFonts w:ascii="Verdana" w:eastAsia="Times New Roman" w:hAnsi="Verdana"/>
          <w:color w:val="000000"/>
          <w:sz w:val="20"/>
          <w:lang w:val="en-US"/>
        </w:rPr>
        <w:t xml:space="preserve"> domestic level</w:t>
      </w:r>
      <w:r w:rsidR="00E47A56" w:rsidRPr="00353B3F">
        <w:rPr>
          <w:rFonts w:ascii="Verdana" w:eastAsia="Times New Roman" w:hAnsi="Verdana"/>
          <w:color w:val="000000"/>
          <w:sz w:val="20"/>
          <w:lang w:val="en-US"/>
        </w:rPr>
        <w:t xml:space="preserve">, as well as </w:t>
      </w:r>
      <w:r w:rsidRPr="00353B3F">
        <w:rPr>
          <w:rFonts w:ascii="Verdana" w:eastAsia="Times New Roman" w:hAnsi="Verdana"/>
          <w:color w:val="000000"/>
          <w:sz w:val="20"/>
          <w:lang w:val="en-US"/>
        </w:rPr>
        <w:t>promptly and fully, the decisions taken by the Court in the judgments that concern them</w:t>
      </w:r>
      <w:r w:rsidR="00E47A56" w:rsidRPr="00353B3F">
        <w:rPr>
          <w:rFonts w:ascii="Verdana" w:eastAsia="Times New Roman" w:hAnsi="Verdana"/>
          <w:color w:val="000000"/>
          <w:sz w:val="20"/>
          <w:lang w:val="en-US"/>
        </w:rPr>
        <w:t>. This</w:t>
      </w:r>
      <w:r w:rsidRPr="00353B3F">
        <w:rPr>
          <w:rFonts w:ascii="Verdana" w:eastAsia="Times New Roman" w:hAnsi="Verdana"/>
          <w:color w:val="000000"/>
          <w:sz w:val="20"/>
          <w:lang w:val="en-US"/>
        </w:rPr>
        <w:t xml:space="preserve"> obligation, as indicated by international customary law and as the Court has recalled, is binding on all the powers and organs of the State</w:t>
      </w:r>
      <w:r w:rsidR="005455A0" w:rsidRPr="00353B3F">
        <w:rPr>
          <w:rStyle w:val="FootnoteReference"/>
          <w:rFonts w:ascii="Verdana" w:hAnsi="Verdana" w:cs="Verdana"/>
          <w:sz w:val="20"/>
          <w:lang w:val="en-US"/>
        </w:rPr>
        <w:footnoteReference w:id="13"/>
      </w:r>
      <w:r w:rsidR="005455A0" w:rsidRPr="00353B3F">
        <w:rPr>
          <w:rFonts w:ascii="Verdana" w:eastAsia="Times New Roman" w:hAnsi="Verdana"/>
          <w:color w:val="000000"/>
          <w:sz w:val="20"/>
          <w:lang w:val="en-US"/>
        </w:rPr>
        <w:t xml:space="preserve"> </w:t>
      </w:r>
      <w:r w:rsidRPr="00353B3F">
        <w:rPr>
          <w:rFonts w:ascii="Verdana" w:eastAsia="Times New Roman" w:hAnsi="Verdana"/>
          <w:color w:val="000000"/>
          <w:sz w:val="20"/>
          <w:lang w:val="en-US"/>
        </w:rPr>
        <w:t xml:space="preserve">and, if </w:t>
      </w:r>
      <w:r w:rsidR="00E47A56" w:rsidRPr="00353B3F">
        <w:rPr>
          <w:rFonts w:ascii="Verdana" w:eastAsia="Times New Roman" w:hAnsi="Verdana"/>
          <w:color w:val="000000"/>
          <w:sz w:val="20"/>
          <w:lang w:val="en-US"/>
        </w:rPr>
        <w:t>it</w:t>
      </w:r>
      <w:r w:rsidRPr="00353B3F">
        <w:rPr>
          <w:rFonts w:ascii="Verdana" w:eastAsia="Times New Roman" w:hAnsi="Verdana"/>
          <w:color w:val="000000"/>
          <w:sz w:val="20"/>
          <w:lang w:val="en-US"/>
        </w:rPr>
        <w:t xml:space="preserve"> is not observed, the State commits an internationally wrongful act</w:t>
      </w:r>
      <w:r w:rsidR="005455A0" w:rsidRPr="00353B3F">
        <w:rPr>
          <w:rFonts w:ascii="Verdana" w:eastAsia="Times New Roman" w:hAnsi="Verdana"/>
          <w:color w:val="000000"/>
          <w:sz w:val="20"/>
          <w:lang w:val="en-US"/>
        </w:rPr>
        <w:t xml:space="preserve">. </w:t>
      </w:r>
      <w:r w:rsidR="003309EA" w:rsidRPr="00353B3F">
        <w:rPr>
          <w:rFonts w:ascii="Verdana" w:eastAsia="Times New Roman" w:hAnsi="Verdana"/>
          <w:color w:val="000000"/>
          <w:sz w:val="20"/>
          <w:lang w:val="en-US"/>
        </w:rPr>
        <w:t xml:space="preserve">In this regard, it should be added that, again according to international customary law and as affirmed by the Court, when a wrongful act occurs that can be attributed to a State, that State incurs international </w:t>
      </w:r>
      <w:r w:rsidR="002B4F7B" w:rsidRPr="00353B3F">
        <w:rPr>
          <w:rFonts w:ascii="Verdana" w:eastAsia="Times New Roman" w:hAnsi="Verdana"/>
          <w:color w:val="000000"/>
          <w:sz w:val="20"/>
          <w:lang w:val="en-US"/>
        </w:rPr>
        <w:t>responsibility</w:t>
      </w:r>
      <w:r w:rsidR="003309EA" w:rsidRPr="00353B3F">
        <w:rPr>
          <w:rFonts w:ascii="Verdana" w:eastAsia="Times New Roman" w:hAnsi="Verdana"/>
          <w:color w:val="000000"/>
          <w:sz w:val="20"/>
          <w:lang w:val="en-US"/>
        </w:rPr>
        <w:t xml:space="preserve"> for the violation of an international norm, thus generating a new legal relationship that consists in the obligation to make reparation.</w:t>
      </w:r>
      <w:r w:rsidR="005455A0" w:rsidRPr="00353B3F">
        <w:rPr>
          <w:rStyle w:val="FootnoteReference"/>
          <w:rFonts w:ascii="Verdana" w:hAnsi="Verdana"/>
          <w:sz w:val="20"/>
          <w:lang w:val="en-US"/>
        </w:rPr>
        <w:footnoteReference w:id="14"/>
      </w:r>
      <w:r w:rsidR="005455A0" w:rsidRPr="00353B3F">
        <w:rPr>
          <w:rFonts w:ascii="Verdana" w:eastAsia="Times New Roman" w:hAnsi="Verdana"/>
          <w:color w:val="000000"/>
          <w:sz w:val="20"/>
          <w:lang w:val="en-US"/>
        </w:rPr>
        <w:t xml:space="preserve"> </w:t>
      </w:r>
      <w:r w:rsidR="003309EA" w:rsidRPr="00353B3F">
        <w:rPr>
          <w:rFonts w:ascii="Verdana" w:eastAsia="Times New Roman" w:hAnsi="Verdana"/>
          <w:color w:val="000000"/>
          <w:sz w:val="20"/>
          <w:lang w:val="en-US"/>
        </w:rPr>
        <w:t xml:space="preserve">As the Court has </w:t>
      </w:r>
      <w:r w:rsidR="003309EA" w:rsidRPr="00353B3F">
        <w:rPr>
          <w:rFonts w:ascii="Verdana" w:eastAsia="Times New Roman" w:hAnsi="Verdana"/>
          <w:color w:val="000000"/>
          <w:sz w:val="20"/>
          <w:lang w:val="en-US"/>
        </w:rPr>
        <w:lastRenderedPageBreak/>
        <w:t>indicated,</w:t>
      </w:r>
      <w:r w:rsidR="005455A0" w:rsidRPr="00353B3F">
        <w:rPr>
          <w:rStyle w:val="FootnoteReference"/>
          <w:rFonts w:ascii="Verdana" w:hAnsi="Verdana"/>
          <w:sz w:val="20"/>
          <w:lang w:val="en-US"/>
        </w:rPr>
        <w:footnoteReference w:id="15"/>
      </w:r>
      <w:r w:rsidR="005455A0" w:rsidRPr="00353B3F">
        <w:rPr>
          <w:rFonts w:ascii="Verdana" w:hAnsi="Verdana"/>
          <w:sz w:val="20"/>
          <w:lang w:val="en-US"/>
        </w:rPr>
        <w:t xml:space="preserve"> </w:t>
      </w:r>
      <w:r w:rsidR="003309EA" w:rsidRPr="00353B3F">
        <w:rPr>
          <w:rFonts w:ascii="Verdana" w:hAnsi="Verdana"/>
          <w:sz w:val="20"/>
          <w:lang w:val="en-US"/>
        </w:rPr>
        <w:t>Article</w:t>
      </w:r>
      <w:r w:rsidR="005455A0" w:rsidRPr="00353B3F">
        <w:rPr>
          <w:rFonts w:ascii="Verdana" w:hAnsi="Verdana"/>
          <w:sz w:val="20"/>
          <w:lang w:val="en-US"/>
        </w:rPr>
        <w:t xml:space="preserve"> 63</w:t>
      </w:r>
      <w:r w:rsidR="003309EA" w:rsidRPr="00353B3F">
        <w:rPr>
          <w:rFonts w:ascii="Verdana" w:hAnsi="Verdana"/>
          <w:sz w:val="20"/>
          <w:lang w:val="en-US"/>
        </w:rPr>
        <w:t>(1)</w:t>
      </w:r>
      <w:r w:rsidRPr="00353B3F">
        <w:rPr>
          <w:rFonts w:ascii="Verdana" w:hAnsi="Verdana"/>
          <w:sz w:val="20"/>
          <w:lang w:val="en-US"/>
        </w:rPr>
        <w:t xml:space="preserve"> of the </w:t>
      </w:r>
      <w:r w:rsidR="00484EB4" w:rsidRPr="00353B3F">
        <w:rPr>
          <w:rFonts w:ascii="Verdana" w:hAnsi="Verdana"/>
          <w:sz w:val="20"/>
          <w:lang w:val="en-US"/>
        </w:rPr>
        <w:t>Convention</w:t>
      </w:r>
      <w:r w:rsidR="005455A0" w:rsidRPr="00353B3F">
        <w:rPr>
          <w:rFonts w:ascii="Verdana" w:hAnsi="Verdana"/>
          <w:sz w:val="20"/>
          <w:lang w:val="en-US"/>
        </w:rPr>
        <w:t xml:space="preserve"> reproduce</w:t>
      </w:r>
      <w:r w:rsidR="003309EA" w:rsidRPr="00353B3F">
        <w:rPr>
          <w:rFonts w:ascii="Verdana" w:hAnsi="Verdana"/>
          <w:sz w:val="20"/>
          <w:lang w:val="en-US"/>
        </w:rPr>
        <w:t>s the text of a customary rule that constitutes one of the fundamental principles of the law on the international responsibility of States.</w:t>
      </w:r>
      <w:r w:rsidR="005455A0" w:rsidRPr="00353B3F">
        <w:rPr>
          <w:rStyle w:val="FootnoteReference"/>
          <w:rFonts w:ascii="Verdana" w:hAnsi="Verdana"/>
          <w:sz w:val="20"/>
          <w:lang w:val="en-US"/>
        </w:rPr>
        <w:footnoteReference w:id="16"/>
      </w:r>
      <w:r w:rsidR="003309EA" w:rsidRPr="00353B3F">
        <w:rPr>
          <w:rFonts w:ascii="Verdana" w:hAnsi="Verdana"/>
          <w:sz w:val="20"/>
          <w:lang w:val="en-US"/>
        </w:rPr>
        <w:t xml:space="preserve"> The failure to execute the reparations in the domestic sphere </w:t>
      </w:r>
      <w:r w:rsidR="00667B80" w:rsidRPr="00353B3F">
        <w:rPr>
          <w:rFonts w:ascii="Verdana" w:hAnsi="Verdana"/>
          <w:sz w:val="20"/>
          <w:lang w:val="en-US"/>
        </w:rPr>
        <w:t>signifies</w:t>
      </w:r>
      <w:r w:rsidR="003309EA" w:rsidRPr="00353B3F">
        <w:rPr>
          <w:rFonts w:ascii="Verdana" w:hAnsi="Verdana"/>
          <w:sz w:val="20"/>
          <w:lang w:val="en-US"/>
        </w:rPr>
        <w:t xml:space="preserve"> denial of the right </w:t>
      </w:r>
      <w:r w:rsidR="00667B80" w:rsidRPr="00353B3F">
        <w:rPr>
          <w:rFonts w:ascii="Verdana" w:hAnsi="Verdana"/>
          <w:sz w:val="20"/>
          <w:lang w:val="en-US"/>
        </w:rPr>
        <w:t>of</w:t>
      </w:r>
      <w:r w:rsidR="003309EA" w:rsidRPr="00353B3F">
        <w:rPr>
          <w:rFonts w:ascii="Verdana" w:hAnsi="Verdana"/>
          <w:sz w:val="20"/>
          <w:lang w:val="en-US"/>
        </w:rPr>
        <w:t xml:space="preserve"> access to international justice.</w:t>
      </w:r>
      <w:r w:rsidR="005455A0" w:rsidRPr="00353B3F">
        <w:rPr>
          <w:rStyle w:val="FootnoteReference"/>
          <w:rFonts w:ascii="Verdana" w:hAnsi="Verdana"/>
          <w:sz w:val="20"/>
          <w:lang w:val="en-US"/>
        </w:rPr>
        <w:footnoteReference w:id="17"/>
      </w:r>
    </w:p>
    <w:p w14:paraId="473BA1C3" w14:textId="77777777" w:rsidR="00173750" w:rsidRPr="00353B3F" w:rsidRDefault="00173750" w:rsidP="00173750">
      <w:pPr>
        <w:pStyle w:val="ListParagraph"/>
        <w:rPr>
          <w:rFonts w:ascii="Verdana" w:hAnsi="Verdana"/>
          <w:sz w:val="20"/>
          <w:lang w:val="en-US"/>
        </w:rPr>
      </w:pPr>
    </w:p>
    <w:p w14:paraId="5734211F" w14:textId="075C8AF0" w:rsidR="005455A0" w:rsidRPr="00353B3F" w:rsidRDefault="00BA5116" w:rsidP="00BA5116">
      <w:pPr>
        <w:numPr>
          <w:ilvl w:val="0"/>
          <w:numId w:val="5"/>
        </w:numPr>
        <w:ind w:left="0" w:firstLine="0"/>
        <w:jc w:val="both"/>
        <w:rPr>
          <w:rFonts w:ascii="Verdana" w:hAnsi="Verdana"/>
          <w:sz w:val="20"/>
          <w:lang w:val="en-US"/>
        </w:rPr>
      </w:pPr>
      <w:r w:rsidRPr="00353B3F">
        <w:rPr>
          <w:rFonts w:ascii="Verdana" w:hAnsi="Verdana"/>
          <w:sz w:val="20"/>
          <w:lang w:val="en-US"/>
        </w:rPr>
        <w:t xml:space="preserve">Following the Court’s order of 2010 </w:t>
      </w:r>
      <w:r w:rsidR="005455A0" w:rsidRPr="00353B3F">
        <w:rPr>
          <w:rFonts w:ascii="Verdana" w:hAnsi="Verdana"/>
          <w:sz w:val="20"/>
          <w:lang w:val="en-US"/>
        </w:rPr>
        <w:t>(</w:t>
      </w:r>
      <w:r w:rsidR="005455A0" w:rsidRPr="00353B3F">
        <w:rPr>
          <w:rFonts w:ascii="Verdana" w:hAnsi="Verdana"/>
          <w:i/>
          <w:sz w:val="20"/>
          <w:lang w:val="en-US"/>
        </w:rPr>
        <w:t xml:space="preserve">supra </w:t>
      </w:r>
      <w:proofErr w:type="spellStart"/>
      <w:r w:rsidRPr="00353B3F">
        <w:rPr>
          <w:rFonts w:ascii="Verdana" w:hAnsi="Verdana"/>
          <w:i/>
          <w:sz w:val="20"/>
          <w:lang w:val="en-US"/>
        </w:rPr>
        <w:t>c</w:t>
      </w:r>
      <w:r w:rsidR="005455A0" w:rsidRPr="00353B3F">
        <w:rPr>
          <w:rFonts w:ascii="Verdana" w:hAnsi="Verdana"/>
          <w:i/>
          <w:sz w:val="20"/>
          <w:lang w:val="en-US"/>
        </w:rPr>
        <w:t>onsiderand</w:t>
      </w:r>
      <w:r w:rsidRPr="00353B3F">
        <w:rPr>
          <w:rFonts w:ascii="Verdana" w:hAnsi="Verdana"/>
          <w:i/>
          <w:sz w:val="20"/>
          <w:lang w:val="en-US"/>
        </w:rPr>
        <w:t>um</w:t>
      </w:r>
      <w:proofErr w:type="spellEnd"/>
      <w:r w:rsidR="005455A0" w:rsidRPr="00353B3F">
        <w:rPr>
          <w:rFonts w:ascii="Verdana" w:hAnsi="Verdana"/>
          <w:sz w:val="20"/>
          <w:lang w:val="en-US"/>
        </w:rPr>
        <w:t xml:space="preserve"> </w:t>
      </w:r>
      <w:r w:rsidR="009F6AE3" w:rsidRPr="00353B3F">
        <w:rPr>
          <w:rFonts w:ascii="Verdana" w:hAnsi="Verdana"/>
          <w:sz w:val="20"/>
          <w:lang w:val="en-US"/>
        </w:rPr>
        <w:fldChar w:fldCharType="begin"/>
      </w:r>
      <w:r w:rsidR="009F6AE3" w:rsidRPr="00353B3F">
        <w:rPr>
          <w:rFonts w:ascii="Verdana" w:hAnsi="Verdana"/>
          <w:sz w:val="20"/>
          <w:lang w:val="en-US"/>
        </w:rPr>
        <w:instrText xml:space="preserve"> REF _Ref531947535 \r \h </w:instrText>
      </w:r>
      <w:r w:rsidR="00E47A56" w:rsidRPr="00353B3F">
        <w:rPr>
          <w:rFonts w:ascii="Verdana" w:hAnsi="Verdana"/>
          <w:sz w:val="20"/>
          <w:lang w:val="en-US"/>
        </w:rPr>
        <w:instrText xml:space="preserve"> \* MERGEFORMAT </w:instrText>
      </w:r>
      <w:r w:rsidR="009F6AE3" w:rsidRPr="00353B3F">
        <w:rPr>
          <w:rFonts w:ascii="Verdana" w:hAnsi="Verdana"/>
          <w:sz w:val="20"/>
          <w:lang w:val="en-US"/>
        </w:rPr>
      </w:r>
      <w:r w:rsidR="009F6AE3" w:rsidRPr="00353B3F">
        <w:rPr>
          <w:rFonts w:ascii="Verdana" w:hAnsi="Verdana"/>
          <w:sz w:val="20"/>
          <w:lang w:val="en-US"/>
        </w:rPr>
        <w:fldChar w:fldCharType="separate"/>
      </w:r>
      <w:r w:rsidR="00BD655E">
        <w:rPr>
          <w:rFonts w:ascii="Verdana" w:hAnsi="Verdana"/>
          <w:sz w:val="20"/>
          <w:lang w:val="en-US"/>
        </w:rPr>
        <w:t>1</w:t>
      </w:r>
      <w:r w:rsidR="009F6AE3" w:rsidRPr="00353B3F">
        <w:rPr>
          <w:rFonts w:ascii="Verdana" w:hAnsi="Verdana"/>
          <w:sz w:val="20"/>
          <w:lang w:val="en-US"/>
        </w:rPr>
        <w:fldChar w:fldCharType="end"/>
      </w:r>
      <w:r w:rsidR="005455A0" w:rsidRPr="00353B3F">
        <w:rPr>
          <w:rFonts w:ascii="Verdana" w:hAnsi="Verdana"/>
          <w:sz w:val="20"/>
          <w:lang w:val="en-US"/>
        </w:rPr>
        <w:t xml:space="preserve">), </w:t>
      </w:r>
      <w:r w:rsidR="00484EB4" w:rsidRPr="00353B3F">
        <w:rPr>
          <w:rFonts w:ascii="Verdana" w:hAnsi="Verdana"/>
          <w:sz w:val="20"/>
          <w:lang w:val="en-US"/>
        </w:rPr>
        <w:t>the State</w:t>
      </w:r>
      <w:r w:rsidR="005455A0" w:rsidRPr="00353B3F">
        <w:rPr>
          <w:rFonts w:ascii="Verdana" w:hAnsi="Verdana"/>
          <w:sz w:val="20"/>
          <w:lang w:val="en-US"/>
        </w:rPr>
        <w:t xml:space="preserve"> ha</w:t>
      </w:r>
      <w:r w:rsidRPr="00353B3F">
        <w:rPr>
          <w:rFonts w:ascii="Verdana" w:hAnsi="Verdana"/>
          <w:sz w:val="20"/>
          <w:lang w:val="en-US"/>
        </w:rPr>
        <w:t>s presented information on two occasions, the most recent of these in April 2015.</w:t>
      </w:r>
      <w:r w:rsidR="005455A0" w:rsidRPr="00353B3F">
        <w:rPr>
          <w:rFonts w:ascii="Verdana" w:hAnsi="Verdana"/>
          <w:sz w:val="20"/>
          <w:lang w:val="en-US"/>
        </w:rPr>
        <w:t xml:space="preserve"> Surinam</w:t>
      </w:r>
      <w:r w:rsidRPr="00353B3F">
        <w:rPr>
          <w:rFonts w:ascii="Verdana" w:hAnsi="Verdana"/>
          <w:sz w:val="20"/>
          <w:lang w:val="en-US"/>
        </w:rPr>
        <w:t>e did not present the report requested by the President of the Court in December 2016</w:t>
      </w:r>
      <w:r w:rsidR="005455A0" w:rsidRPr="00353B3F">
        <w:rPr>
          <w:rFonts w:ascii="Verdana" w:hAnsi="Verdana"/>
          <w:sz w:val="20"/>
          <w:lang w:val="en-US"/>
        </w:rPr>
        <w:t xml:space="preserve"> (</w:t>
      </w:r>
      <w:r w:rsidR="005455A0" w:rsidRPr="00353B3F">
        <w:rPr>
          <w:rFonts w:ascii="Verdana" w:hAnsi="Verdana"/>
          <w:i/>
          <w:sz w:val="20"/>
          <w:lang w:val="en-US"/>
        </w:rPr>
        <w:t>supra</w:t>
      </w:r>
      <w:r w:rsidR="005455A0" w:rsidRPr="00353B3F">
        <w:rPr>
          <w:rFonts w:ascii="Verdana" w:hAnsi="Verdana"/>
          <w:sz w:val="20"/>
          <w:lang w:val="en-US"/>
        </w:rPr>
        <w:t xml:space="preserve"> </w:t>
      </w:r>
      <w:r w:rsidRPr="00353B3F">
        <w:rPr>
          <w:rFonts w:ascii="Verdana" w:hAnsi="Verdana"/>
          <w:sz w:val="20"/>
          <w:lang w:val="en-US"/>
        </w:rPr>
        <w:t>having seen paragraph 10</w:t>
      </w:r>
      <w:r w:rsidR="005455A0" w:rsidRPr="00353B3F">
        <w:rPr>
          <w:rFonts w:ascii="Verdana" w:hAnsi="Verdana"/>
          <w:sz w:val="20"/>
          <w:lang w:val="en-US"/>
        </w:rPr>
        <w:t xml:space="preserve">). </w:t>
      </w:r>
      <w:r w:rsidRPr="00353B3F">
        <w:rPr>
          <w:rFonts w:ascii="Verdana" w:hAnsi="Verdana"/>
          <w:sz w:val="20"/>
          <w:lang w:val="en-US"/>
        </w:rPr>
        <w:t xml:space="preserve">The Court will assess the degree of compliance with the reparations based on the information provided by the parties and will structure its considerations </w:t>
      </w:r>
      <w:r w:rsidR="00667B80" w:rsidRPr="00353B3F">
        <w:rPr>
          <w:rFonts w:ascii="Verdana" w:hAnsi="Verdana"/>
          <w:sz w:val="20"/>
          <w:lang w:val="en-US"/>
        </w:rPr>
        <w:t>as follows</w:t>
      </w:r>
      <w:r w:rsidRPr="00353B3F">
        <w:rPr>
          <w:rFonts w:ascii="Verdana" w:hAnsi="Verdana"/>
          <w:sz w:val="20"/>
          <w:lang w:val="en-US"/>
        </w:rPr>
        <w:t>:</w:t>
      </w:r>
    </w:p>
    <w:p w14:paraId="2B45241A" w14:textId="77777777" w:rsidR="009E4FDC" w:rsidRPr="00353B3F" w:rsidRDefault="009E4FDC" w:rsidP="009E4FDC">
      <w:pPr>
        <w:rPr>
          <w:rFonts w:ascii="Verdana" w:hAnsi="Verdana"/>
          <w:sz w:val="20"/>
          <w:lang w:val="en-US"/>
        </w:rPr>
      </w:pPr>
    </w:p>
    <w:p w14:paraId="4376EBBC" w14:textId="65E3EAFB" w:rsidR="00377CEB" w:rsidRPr="00DE4F07" w:rsidRDefault="009E4FDC" w:rsidP="00DE4F07">
      <w:pPr>
        <w:pStyle w:val="TOC1"/>
        <w:tabs>
          <w:tab w:val="left" w:pos="660"/>
          <w:tab w:val="left" w:pos="7938"/>
          <w:tab w:val="right" w:leader="dot" w:pos="8080"/>
        </w:tabs>
        <w:spacing w:after="0"/>
        <w:ind w:left="567" w:right="900"/>
        <w:rPr>
          <w:rFonts w:ascii="Verdana" w:eastAsiaTheme="minorEastAsia" w:hAnsi="Verdana" w:cstheme="minorBidi"/>
          <w:i/>
          <w:noProof/>
          <w:sz w:val="16"/>
          <w:szCs w:val="16"/>
          <w:lang w:eastAsia="es-CR"/>
        </w:rPr>
      </w:pPr>
      <w:r w:rsidRPr="00377CEB">
        <w:rPr>
          <w:rFonts w:ascii="Verdana" w:hAnsi="Verdana"/>
          <w:sz w:val="16"/>
          <w:szCs w:val="16"/>
          <w:lang w:val="en-US"/>
        </w:rPr>
        <w:fldChar w:fldCharType="begin"/>
      </w:r>
      <w:r w:rsidRPr="00377CEB">
        <w:rPr>
          <w:rFonts w:ascii="Verdana" w:hAnsi="Verdana"/>
          <w:sz w:val="16"/>
          <w:szCs w:val="16"/>
          <w:lang w:val="en-US"/>
        </w:rPr>
        <w:instrText xml:space="preserve"> TOC \o "1-3" \h \z \u </w:instrText>
      </w:r>
      <w:r w:rsidRPr="00377CEB">
        <w:rPr>
          <w:rFonts w:ascii="Verdana" w:hAnsi="Verdana"/>
          <w:sz w:val="16"/>
          <w:szCs w:val="16"/>
          <w:lang w:val="en-US"/>
        </w:rPr>
        <w:fldChar w:fldCharType="separate"/>
      </w:r>
      <w:hyperlink w:anchor="_Toc533153545" w:history="1">
        <w:r w:rsidR="00377CEB" w:rsidRPr="00DE4F07">
          <w:rPr>
            <w:rStyle w:val="Hyperlink"/>
            <w:rFonts w:ascii="Verdana" w:hAnsi="Verdana"/>
            <w:i/>
            <w:noProof/>
            <w:sz w:val="16"/>
            <w:szCs w:val="16"/>
            <w:lang w:val="en-US"/>
          </w:rPr>
          <w:t>A.Obligation to investigate, prosecute and, as appropriate, punish</w:t>
        </w:r>
        <w:r w:rsidR="00377CEB" w:rsidRPr="00DE4F07">
          <w:rPr>
            <w:rFonts w:ascii="Verdana" w:hAnsi="Verdana"/>
            <w:i/>
            <w:noProof/>
            <w:webHidden/>
            <w:sz w:val="16"/>
            <w:szCs w:val="16"/>
          </w:rPr>
          <w:tab/>
        </w:r>
        <w:r w:rsidR="00377CEB" w:rsidRPr="00DE4F07">
          <w:rPr>
            <w:rFonts w:ascii="Verdana" w:hAnsi="Verdana"/>
            <w:i/>
            <w:noProof/>
            <w:webHidden/>
            <w:sz w:val="16"/>
            <w:szCs w:val="16"/>
          </w:rPr>
          <w:fldChar w:fldCharType="begin"/>
        </w:r>
        <w:r w:rsidR="00377CEB" w:rsidRPr="00DE4F07">
          <w:rPr>
            <w:rFonts w:ascii="Verdana" w:hAnsi="Verdana"/>
            <w:i/>
            <w:noProof/>
            <w:webHidden/>
            <w:sz w:val="16"/>
            <w:szCs w:val="16"/>
          </w:rPr>
          <w:instrText xml:space="preserve"> PAGEREF _Toc533153545 \h </w:instrText>
        </w:r>
        <w:r w:rsidR="00377CEB" w:rsidRPr="00DE4F07">
          <w:rPr>
            <w:rFonts w:ascii="Verdana" w:hAnsi="Verdana"/>
            <w:i/>
            <w:noProof/>
            <w:webHidden/>
            <w:sz w:val="16"/>
            <w:szCs w:val="16"/>
          </w:rPr>
        </w:r>
        <w:r w:rsidR="00377CEB" w:rsidRPr="00DE4F07">
          <w:rPr>
            <w:rFonts w:ascii="Verdana" w:hAnsi="Verdana"/>
            <w:i/>
            <w:noProof/>
            <w:webHidden/>
            <w:sz w:val="16"/>
            <w:szCs w:val="16"/>
          </w:rPr>
          <w:fldChar w:fldCharType="separate"/>
        </w:r>
        <w:r w:rsidR="00BD655E">
          <w:rPr>
            <w:rFonts w:ascii="Verdana" w:hAnsi="Verdana"/>
            <w:i/>
            <w:noProof/>
            <w:webHidden/>
            <w:sz w:val="16"/>
            <w:szCs w:val="16"/>
          </w:rPr>
          <w:t>- 4 -</w:t>
        </w:r>
        <w:r w:rsidR="00377CEB" w:rsidRPr="00DE4F07">
          <w:rPr>
            <w:rFonts w:ascii="Verdana" w:hAnsi="Verdana"/>
            <w:i/>
            <w:noProof/>
            <w:webHidden/>
            <w:sz w:val="16"/>
            <w:szCs w:val="16"/>
          </w:rPr>
          <w:fldChar w:fldCharType="end"/>
        </w:r>
      </w:hyperlink>
    </w:p>
    <w:p w14:paraId="443E728C" w14:textId="73BA95B8" w:rsidR="00377CEB" w:rsidRPr="00DE4F07" w:rsidRDefault="00BD655E" w:rsidP="00DE4F07">
      <w:pPr>
        <w:pStyle w:val="TOC1"/>
        <w:tabs>
          <w:tab w:val="left" w:pos="660"/>
          <w:tab w:val="left" w:pos="7938"/>
          <w:tab w:val="right" w:leader="dot" w:pos="8080"/>
        </w:tabs>
        <w:spacing w:after="0"/>
        <w:ind w:left="567" w:right="900"/>
        <w:rPr>
          <w:rFonts w:ascii="Verdana" w:eastAsiaTheme="minorEastAsia" w:hAnsi="Verdana" w:cstheme="minorBidi"/>
          <w:i/>
          <w:noProof/>
          <w:sz w:val="16"/>
          <w:szCs w:val="16"/>
          <w:lang w:eastAsia="es-CR"/>
        </w:rPr>
      </w:pPr>
      <w:hyperlink w:anchor="_Toc533153546" w:history="1">
        <w:r w:rsidR="00377CEB" w:rsidRPr="00DE4F07">
          <w:rPr>
            <w:rStyle w:val="Hyperlink"/>
            <w:rFonts w:ascii="Verdana" w:hAnsi="Verdana"/>
            <w:i/>
            <w:noProof/>
            <w:sz w:val="16"/>
            <w:szCs w:val="16"/>
            <w:lang w:val="en-US"/>
          </w:rPr>
          <w:t>B.Recover the remains of the members of the Moiwana community</w:t>
        </w:r>
        <w:r w:rsidR="00377CEB" w:rsidRPr="00DE4F07">
          <w:rPr>
            <w:rFonts w:ascii="Verdana" w:hAnsi="Verdana"/>
            <w:i/>
            <w:noProof/>
            <w:webHidden/>
            <w:sz w:val="16"/>
            <w:szCs w:val="16"/>
          </w:rPr>
          <w:tab/>
        </w:r>
        <w:r w:rsidR="00377CEB" w:rsidRPr="00DE4F07">
          <w:rPr>
            <w:rFonts w:ascii="Verdana" w:hAnsi="Verdana"/>
            <w:i/>
            <w:noProof/>
            <w:webHidden/>
            <w:sz w:val="16"/>
            <w:szCs w:val="16"/>
          </w:rPr>
          <w:fldChar w:fldCharType="begin"/>
        </w:r>
        <w:r w:rsidR="00377CEB" w:rsidRPr="00DE4F07">
          <w:rPr>
            <w:rFonts w:ascii="Verdana" w:hAnsi="Verdana"/>
            <w:i/>
            <w:noProof/>
            <w:webHidden/>
            <w:sz w:val="16"/>
            <w:szCs w:val="16"/>
          </w:rPr>
          <w:instrText xml:space="preserve"> PAGEREF _Toc533153546 \h </w:instrText>
        </w:r>
        <w:r w:rsidR="00377CEB" w:rsidRPr="00DE4F07">
          <w:rPr>
            <w:rFonts w:ascii="Verdana" w:hAnsi="Verdana"/>
            <w:i/>
            <w:noProof/>
            <w:webHidden/>
            <w:sz w:val="16"/>
            <w:szCs w:val="16"/>
          </w:rPr>
        </w:r>
        <w:r w:rsidR="00377CEB" w:rsidRPr="00DE4F07">
          <w:rPr>
            <w:rFonts w:ascii="Verdana" w:hAnsi="Verdana"/>
            <w:i/>
            <w:noProof/>
            <w:webHidden/>
            <w:sz w:val="16"/>
            <w:szCs w:val="16"/>
          </w:rPr>
          <w:fldChar w:fldCharType="separate"/>
        </w:r>
        <w:r>
          <w:rPr>
            <w:rFonts w:ascii="Verdana" w:hAnsi="Verdana"/>
            <w:i/>
            <w:noProof/>
            <w:webHidden/>
            <w:sz w:val="16"/>
            <w:szCs w:val="16"/>
          </w:rPr>
          <w:t>- 10 -</w:t>
        </w:r>
        <w:r w:rsidR="00377CEB" w:rsidRPr="00DE4F07">
          <w:rPr>
            <w:rFonts w:ascii="Verdana" w:hAnsi="Verdana"/>
            <w:i/>
            <w:noProof/>
            <w:webHidden/>
            <w:sz w:val="16"/>
            <w:szCs w:val="16"/>
          </w:rPr>
          <w:fldChar w:fldCharType="end"/>
        </w:r>
      </w:hyperlink>
    </w:p>
    <w:p w14:paraId="2ABD4A3D" w14:textId="580E9B52" w:rsidR="00377CEB" w:rsidRPr="00DE4F07" w:rsidRDefault="00BD655E" w:rsidP="00DE4F07">
      <w:pPr>
        <w:pStyle w:val="TOC1"/>
        <w:tabs>
          <w:tab w:val="left" w:pos="660"/>
          <w:tab w:val="left" w:pos="7938"/>
          <w:tab w:val="right" w:leader="dot" w:pos="8080"/>
        </w:tabs>
        <w:spacing w:after="0"/>
        <w:ind w:left="567" w:right="900"/>
        <w:rPr>
          <w:rFonts w:ascii="Verdana" w:eastAsiaTheme="minorEastAsia" w:hAnsi="Verdana" w:cstheme="minorBidi"/>
          <w:i/>
          <w:noProof/>
          <w:sz w:val="16"/>
          <w:szCs w:val="16"/>
          <w:lang w:eastAsia="es-CR"/>
        </w:rPr>
      </w:pPr>
      <w:hyperlink w:anchor="_Toc533153547" w:history="1">
        <w:r w:rsidR="00377CEB" w:rsidRPr="00DE4F07">
          <w:rPr>
            <w:rStyle w:val="Hyperlink"/>
            <w:rFonts w:ascii="Verdana" w:hAnsi="Verdana"/>
            <w:i/>
            <w:noProof/>
            <w:sz w:val="16"/>
            <w:szCs w:val="16"/>
            <w:lang w:val="en-US"/>
          </w:rPr>
          <w:t>C.Adopt the measures required to ensure the property rights of the members of the Moiwana community</w:t>
        </w:r>
        <w:r w:rsidR="00377CEB" w:rsidRPr="00DE4F07">
          <w:rPr>
            <w:rFonts w:ascii="Verdana" w:hAnsi="Verdana"/>
            <w:i/>
            <w:noProof/>
            <w:webHidden/>
            <w:sz w:val="16"/>
            <w:szCs w:val="16"/>
          </w:rPr>
          <w:tab/>
        </w:r>
        <w:r w:rsidR="00377CEB" w:rsidRPr="00DE4F07">
          <w:rPr>
            <w:rFonts w:ascii="Verdana" w:hAnsi="Verdana"/>
            <w:i/>
            <w:noProof/>
            <w:webHidden/>
            <w:sz w:val="16"/>
            <w:szCs w:val="16"/>
          </w:rPr>
          <w:fldChar w:fldCharType="begin"/>
        </w:r>
        <w:r w:rsidR="00377CEB" w:rsidRPr="00DE4F07">
          <w:rPr>
            <w:rFonts w:ascii="Verdana" w:hAnsi="Verdana"/>
            <w:i/>
            <w:noProof/>
            <w:webHidden/>
            <w:sz w:val="16"/>
            <w:szCs w:val="16"/>
          </w:rPr>
          <w:instrText xml:space="preserve"> PAGEREF _Toc533153547 \h </w:instrText>
        </w:r>
        <w:r w:rsidR="00377CEB" w:rsidRPr="00DE4F07">
          <w:rPr>
            <w:rFonts w:ascii="Verdana" w:hAnsi="Verdana"/>
            <w:i/>
            <w:noProof/>
            <w:webHidden/>
            <w:sz w:val="16"/>
            <w:szCs w:val="16"/>
          </w:rPr>
        </w:r>
        <w:r w:rsidR="00377CEB" w:rsidRPr="00DE4F07">
          <w:rPr>
            <w:rFonts w:ascii="Verdana" w:hAnsi="Verdana"/>
            <w:i/>
            <w:noProof/>
            <w:webHidden/>
            <w:sz w:val="16"/>
            <w:szCs w:val="16"/>
          </w:rPr>
          <w:fldChar w:fldCharType="separate"/>
        </w:r>
        <w:r>
          <w:rPr>
            <w:rFonts w:ascii="Verdana" w:hAnsi="Verdana"/>
            <w:i/>
            <w:noProof/>
            <w:webHidden/>
            <w:sz w:val="16"/>
            <w:szCs w:val="16"/>
          </w:rPr>
          <w:t>- 12 -</w:t>
        </w:r>
        <w:r w:rsidR="00377CEB" w:rsidRPr="00DE4F07">
          <w:rPr>
            <w:rFonts w:ascii="Verdana" w:hAnsi="Verdana"/>
            <w:i/>
            <w:noProof/>
            <w:webHidden/>
            <w:sz w:val="16"/>
            <w:szCs w:val="16"/>
          </w:rPr>
          <w:fldChar w:fldCharType="end"/>
        </w:r>
      </w:hyperlink>
    </w:p>
    <w:p w14:paraId="3AD5D6C9" w14:textId="43696CC9" w:rsidR="00377CEB" w:rsidRPr="00DE4F07" w:rsidRDefault="00BD655E" w:rsidP="00DE4F07">
      <w:pPr>
        <w:pStyle w:val="TOC1"/>
        <w:tabs>
          <w:tab w:val="left" w:pos="660"/>
          <w:tab w:val="left" w:pos="7938"/>
          <w:tab w:val="right" w:leader="dot" w:pos="8080"/>
        </w:tabs>
        <w:spacing w:after="0"/>
        <w:ind w:left="567" w:right="900"/>
        <w:rPr>
          <w:rFonts w:ascii="Verdana" w:eastAsiaTheme="minorEastAsia" w:hAnsi="Verdana" w:cstheme="minorBidi"/>
          <w:i/>
          <w:noProof/>
          <w:sz w:val="16"/>
          <w:szCs w:val="16"/>
          <w:lang w:eastAsia="es-CR"/>
        </w:rPr>
      </w:pPr>
      <w:hyperlink w:anchor="_Toc533153548" w:history="1">
        <w:r w:rsidR="00377CEB" w:rsidRPr="00DE4F07">
          <w:rPr>
            <w:rStyle w:val="Hyperlink"/>
            <w:rFonts w:ascii="Verdana" w:hAnsi="Verdana"/>
            <w:i/>
            <w:noProof/>
            <w:sz w:val="16"/>
            <w:szCs w:val="16"/>
            <w:lang w:val="en-US"/>
          </w:rPr>
          <w:t>D.Guarantee the safety of the community members who decide to return to the Moiwana community</w:t>
        </w:r>
        <w:r w:rsidR="00377CEB" w:rsidRPr="00DE4F07">
          <w:rPr>
            <w:rFonts w:ascii="Verdana" w:hAnsi="Verdana"/>
            <w:i/>
            <w:noProof/>
            <w:webHidden/>
            <w:sz w:val="16"/>
            <w:szCs w:val="16"/>
          </w:rPr>
          <w:tab/>
        </w:r>
        <w:r w:rsidR="00377CEB" w:rsidRPr="00DE4F07">
          <w:rPr>
            <w:rFonts w:ascii="Verdana" w:hAnsi="Verdana"/>
            <w:i/>
            <w:noProof/>
            <w:webHidden/>
            <w:sz w:val="16"/>
            <w:szCs w:val="16"/>
          </w:rPr>
          <w:fldChar w:fldCharType="begin"/>
        </w:r>
        <w:r w:rsidR="00377CEB" w:rsidRPr="00DE4F07">
          <w:rPr>
            <w:rFonts w:ascii="Verdana" w:hAnsi="Verdana"/>
            <w:i/>
            <w:noProof/>
            <w:webHidden/>
            <w:sz w:val="16"/>
            <w:szCs w:val="16"/>
          </w:rPr>
          <w:instrText xml:space="preserve"> PAGEREF _Toc533153548 \h </w:instrText>
        </w:r>
        <w:r w:rsidR="00377CEB" w:rsidRPr="00DE4F07">
          <w:rPr>
            <w:rFonts w:ascii="Verdana" w:hAnsi="Verdana"/>
            <w:i/>
            <w:noProof/>
            <w:webHidden/>
            <w:sz w:val="16"/>
            <w:szCs w:val="16"/>
          </w:rPr>
        </w:r>
        <w:r w:rsidR="00377CEB" w:rsidRPr="00DE4F07">
          <w:rPr>
            <w:rFonts w:ascii="Verdana" w:hAnsi="Verdana"/>
            <w:i/>
            <w:noProof/>
            <w:webHidden/>
            <w:sz w:val="16"/>
            <w:szCs w:val="16"/>
          </w:rPr>
          <w:fldChar w:fldCharType="separate"/>
        </w:r>
        <w:r>
          <w:rPr>
            <w:rFonts w:ascii="Verdana" w:hAnsi="Verdana"/>
            <w:i/>
            <w:noProof/>
            <w:webHidden/>
            <w:sz w:val="16"/>
            <w:szCs w:val="16"/>
          </w:rPr>
          <w:t>- 15 -</w:t>
        </w:r>
        <w:r w:rsidR="00377CEB" w:rsidRPr="00DE4F07">
          <w:rPr>
            <w:rFonts w:ascii="Verdana" w:hAnsi="Verdana"/>
            <w:i/>
            <w:noProof/>
            <w:webHidden/>
            <w:sz w:val="16"/>
            <w:szCs w:val="16"/>
          </w:rPr>
          <w:fldChar w:fldCharType="end"/>
        </w:r>
      </w:hyperlink>
    </w:p>
    <w:p w14:paraId="389DA194" w14:textId="3E7F263F" w:rsidR="00377CEB" w:rsidRPr="00DE4F07" w:rsidRDefault="00BD655E" w:rsidP="00DE4F07">
      <w:pPr>
        <w:pStyle w:val="TOC1"/>
        <w:tabs>
          <w:tab w:val="left" w:pos="660"/>
          <w:tab w:val="left" w:pos="7938"/>
          <w:tab w:val="right" w:leader="dot" w:pos="8080"/>
        </w:tabs>
        <w:spacing w:after="0"/>
        <w:ind w:left="567" w:right="900"/>
        <w:rPr>
          <w:rFonts w:ascii="Verdana" w:eastAsiaTheme="minorEastAsia" w:hAnsi="Verdana" w:cstheme="minorBidi"/>
          <w:i/>
          <w:noProof/>
          <w:sz w:val="16"/>
          <w:szCs w:val="16"/>
          <w:lang w:eastAsia="es-CR"/>
        </w:rPr>
      </w:pPr>
      <w:hyperlink w:anchor="_Toc533153549" w:history="1">
        <w:r w:rsidR="00377CEB" w:rsidRPr="00DE4F07">
          <w:rPr>
            <w:rStyle w:val="Hyperlink"/>
            <w:rFonts w:ascii="Verdana" w:hAnsi="Verdana"/>
            <w:i/>
            <w:noProof/>
            <w:sz w:val="16"/>
            <w:szCs w:val="16"/>
            <w:lang w:val="en-US"/>
          </w:rPr>
          <w:t>E.Establish a community development fund</w:t>
        </w:r>
        <w:r w:rsidR="00377CEB" w:rsidRPr="00DE4F07">
          <w:rPr>
            <w:rFonts w:ascii="Verdana" w:hAnsi="Verdana"/>
            <w:i/>
            <w:noProof/>
            <w:webHidden/>
            <w:sz w:val="16"/>
            <w:szCs w:val="16"/>
          </w:rPr>
          <w:tab/>
        </w:r>
        <w:r w:rsidR="00377CEB" w:rsidRPr="00DE4F07">
          <w:rPr>
            <w:rFonts w:ascii="Verdana" w:hAnsi="Verdana"/>
            <w:i/>
            <w:noProof/>
            <w:webHidden/>
            <w:sz w:val="16"/>
            <w:szCs w:val="16"/>
          </w:rPr>
          <w:fldChar w:fldCharType="begin"/>
        </w:r>
        <w:r w:rsidR="00377CEB" w:rsidRPr="00DE4F07">
          <w:rPr>
            <w:rFonts w:ascii="Verdana" w:hAnsi="Verdana"/>
            <w:i/>
            <w:noProof/>
            <w:webHidden/>
            <w:sz w:val="16"/>
            <w:szCs w:val="16"/>
          </w:rPr>
          <w:instrText xml:space="preserve"> PAGEREF _Toc533153549 \h </w:instrText>
        </w:r>
        <w:r w:rsidR="00377CEB" w:rsidRPr="00DE4F07">
          <w:rPr>
            <w:rFonts w:ascii="Verdana" w:hAnsi="Verdana"/>
            <w:i/>
            <w:noProof/>
            <w:webHidden/>
            <w:sz w:val="16"/>
            <w:szCs w:val="16"/>
          </w:rPr>
        </w:r>
        <w:r w:rsidR="00377CEB" w:rsidRPr="00DE4F07">
          <w:rPr>
            <w:rFonts w:ascii="Verdana" w:hAnsi="Verdana"/>
            <w:i/>
            <w:noProof/>
            <w:webHidden/>
            <w:sz w:val="16"/>
            <w:szCs w:val="16"/>
          </w:rPr>
          <w:fldChar w:fldCharType="separate"/>
        </w:r>
        <w:r>
          <w:rPr>
            <w:rFonts w:ascii="Verdana" w:hAnsi="Verdana"/>
            <w:i/>
            <w:noProof/>
            <w:webHidden/>
            <w:sz w:val="16"/>
            <w:szCs w:val="16"/>
          </w:rPr>
          <w:t>- 16 -</w:t>
        </w:r>
        <w:r w:rsidR="00377CEB" w:rsidRPr="00DE4F07">
          <w:rPr>
            <w:rFonts w:ascii="Verdana" w:hAnsi="Verdana"/>
            <w:i/>
            <w:noProof/>
            <w:webHidden/>
            <w:sz w:val="16"/>
            <w:szCs w:val="16"/>
          </w:rPr>
          <w:fldChar w:fldCharType="end"/>
        </w:r>
      </w:hyperlink>
    </w:p>
    <w:p w14:paraId="124C8C53" w14:textId="2EEB26D0" w:rsidR="00377CEB" w:rsidRPr="00DE4F07" w:rsidRDefault="00BD655E" w:rsidP="00DE4F07">
      <w:pPr>
        <w:pStyle w:val="TOC1"/>
        <w:tabs>
          <w:tab w:val="left" w:pos="660"/>
          <w:tab w:val="left" w:pos="7938"/>
          <w:tab w:val="right" w:leader="dot" w:pos="8080"/>
        </w:tabs>
        <w:spacing w:after="0"/>
        <w:ind w:left="567" w:right="900"/>
        <w:rPr>
          <w:rFonts w:ascii="Verdana" w:eastAsiaTheme="minorEastAsia" w:hAnsi="Verdana" w:cstheme="minorBidi"/>
          <w:i/>
          <w:noProof/>
          <w:sz w:val="16"/>
          <w:szCs w:val="16"/>
          <w:lang w:eastAsia="es-CR"/>
        </w:rPr>
      </w:pPr>
      <w:hyperlink w:anchor="_Toc533153550" w:history="1">
        <w:r w:rsidR="00377CEB" w:rsidRPr="00DE4F07">
          <w:rPr>
            <w:rStyle w:val="Hyperlink"/>
            <w:rFonts w:ascii="Verdana" w:hAnsi="Verdana"/>
            <w:i/>
            <w:noProof/>
            <w:sz w:val="16"/>
            <w:szCs w:val="16"/>
            <w:lang w:val="en-US"/>
          </w:rPr>
          <w:t>F.Pending report and possible monitoring visit</w:t>
        </w:r>
        <w:r w:rsidR="00377CEB" w:rsidRPr="00DE4F07">
          <w:rPr>
            <w:rFonts w:ascii="Verdana" w:hAnsi="Verdana"/>
            <w:i/>
            <w:noProof/>
            <w:webHidden/>
            <w:sz w:val="16"/>
            <w:szCs w:val="16"/>
          </w:rPr>
          <w:tab/>
        </w:r>
        <w:r w:rsidR="00377CEB" w:rsidRPr="00DE4F07">
          <w:rPr>
            <w:rFonts w:ascii="Verdana" w:hAnsi="Verdana"/>
            <w:i/>
            <w:noProof/>
            <w:webHidden/>
            <w:sz w:val="16"/>
            <w:szCs w:val="16"/>
          </w:rPr>
          <w:fldChar w:fldCharType="begin"/>
        </w:r>
        <w:r w:rsidR="00377CEB" w:rsidRPr="00DE4F07">
          <w:rPr>
            <w:rFonts w:ascii="Verdana" w:hAnsi="Verdana"/>
            <w:i/>
            <w:noProof/>
            <w:webHidden/>
            <w:sz w:val="16"/>
            <w:szCs w:val="16"/>
          </w:rPr>
          <w:instrText xml:space="preserve"> PAGEREF _Toc533153550 \h </w:instrText>
        </w:r>
        <w:r w:rsidR="00377CEB" w:rsidRPr="00DE4F07">
          <w:rPr>
            <w:rFonts w:ascii="Verdana" w:hAnsi="Verdana"/>
            <w:i/>
            <w:noProof/>
            <w:webHidden/>
            <w:sz w:val="16"/>
            <w:szCs w:val="16"/>
          </w:rPr>
        </w:r>
        <w:r w:rsidR="00377CEB" w:rsidRPr="00DE4F07">
          <w:rPr>
            <w:rFonts w:ascii="Verdana" w:hAnsi="Verdana"/>
            <w:i/>
            <w:noProof/>
            <w:webHidden/>
            <w:sz w:val="16"/>
            <w:szCs w:val="16"/>
          </w:rPr>
          <w:fldChar w:fldCharType="separate"/>
        </w:r>
        <w:r>
          <w:rPr>
            <w:rFonts w:ascii="Verdana" w:hAnsi="Verdana"/>
            <w:i/>
            <w:noProof/>
            <w:webHidden/>
            <w:sz w:val="16"/>
            <w:szCs w:val="16"/>
          </w:rPr>
          <w:t>- 18 -</w:t>
        </w:r>
        <w:r w:rsidR="00377CEB" w:rsidRPr="00DE4F07">
          <w:rPr>
            <w:rFonts w:ascii="Verdana" w:hAnsi="Verdana"/>
            <w:i/>
            <w:noProof/>
            <w:webHidden/>
            <w:sz w:val="16"/>
            <w:szCs w:val="16"/>
          </w:rPr>
          <w:fldChar w:fldCharType="end"/>
        </w:r>
      </w:hyperlink>
    </w:p>
    <w:p w14:paraId="4348894B" w14:textId="77777777" w:rsidR="009E4FDC" w:rsidRPr="00353B3F" w:rsidRDefault="009E4FDC" w:rsidP="00DE4F07">
      <w:pPr>
        <w:tabs>
          <w:tab w:val="left" w:pos="7938"/>
          <w:tab w:val="right" w:leader="dot" w:pos="8080"/>
        </w:tabs>
        <w:ind w:left="567" w:right="900"/>
        <w:rPr>
          <w:rFonts w:ascii="Verdana" w:hAnsi="Verdana"/>
          <w:sz w:val="20"/>
          <w:lang w:val="en-US"/>
        </w:rPr>
      </w:pPr>
      <w:r w:rsidRPr="00377CEB">
        <w:rPr>
          <w:rFonts w:ascii="Verdana" w:hAnsi="Verdana"/>
          <w:sz w:val="16"/>
          <w:szCs w:val="16"/>
          <w:lang w:val="en-US"/>
        </w:rPr>
        <w:fldChar w:fldCharType="end"/>
      </w:r>
    </w:p>
    <w:p w14:paraId="50C7D68A" w14:textId="77777777" w:rsidR="009E4FDC" w:rsidRPr="00353B3F" w:rsidRDefault="009E4FDC" w:rsidP="009E4FDC">
      <w:pPr>
        <w:jc w:val="both"/>
        <w:rPr>
          <w:rFonts w:ascii="Verdana" w:hAnsi="Verdana"/>
          <w:sz w:val="20"/>
          <w:lang w:val="en-US"/>
        </w:rPr>
      </w:pPr>
    </w:p>
    <w:p w14:paraId="1D7E533D" w14:textId="36CE6169" w:rsidR="0020114D" w:rsidRPr="00353B3F" w:rsidRDefault="00BA5116" w:rsidP="0020114D">
      <w:pPr>
        <w:pStyle w:val="Heading1"/>
        <w:numPr>
          <w:ilvl w:val="0"/>
          <w:numId w:val="12"/>
        </w:numPr>
        <w:spacing w:before="0"/>
        <w:jc w:val="both"/>
        <w:rPr>
          <w:rFonts w:ascii="Verdana" w:hAnsi="Verdana"/>
          <w:color w:val="auto"/>
          <w:sz w:val="20"/>
          <w:szCs w:val="20"/>
          <w:lang w:val="en-US"/>
        </w:rPr>
      </w:pPr>
      <w:bookmarkStart w:id="8" w:name="_Toc533153545"/>
      <w:r w:rsidRPr="00353B3F">
        <w:rPr>
          <w:rFonts w:ascii="Verdana" w:hAnsi="Verdana"/>
          <w:color w:val="auto"/>
          <w:sz w:val="20"/>
          <w:szCs w:val="20"/>
          <w:lang w:val="en-US"/>
        </w:rPr>
        <w:t>Obligation to investigate, prosecute and, as appropriate, punish</w:t>
      </w:r>
      <w:bookmarkEnd w:id="8"/>
      <w:r w:rsidR="0020114D" w:rsidRPr="00353B3F">
        <w:rPr>
          <w:rFonts w:ascii="Verdana" w:hAnsi="Verdana"/>
          <w:color w:val="auto"/>
          <w:sz w:val="20"/>
          <w:szCs w:val="20"/>
          <w:lang w:val="en-US"/>
        </w:rPr>
        <w:t xml:space="preserve"> </w:t>
      </w:r>
    </w:p>
    <w:p w14:paraId="124BFC3E" w14:textId="77777777" w:rsidR="0020114D" w:rsidRPr="00353B3F" w:rsidRDefault="0020114D" w:rsidP="0020114D">
      <w:pPr>
        <w:rPr>
          <w:rFonts w:ascii="Verdana" w:hAnsi="Verdana"/>
          <w:i/>
          <w:sz w:val="20"/>
          <w:lang w:val="en-US"/>
        </w:rPr>
      </w:pPr>
    </w:p>
    <w:p w14:paraId="08188907" w14:textId="02105F35" w:rsidR="0020114D" w:rsidRPr="00353B3F" w:rsidRDefault="0020114D" w:rsidP="00C245E4">
      <w:pPr>
        <w:ind w:left="708"/>
        <w:jc w:val="both"/>
        <w:rPr>
          <w:rFonts w:ascii="Verdana" w:hAnsi="Verdana"/>
          <w:i/>
          <w:sz w:val="20"/>
          <w:lang w:val="en-US"/>
        </w:rPr>
      </w:pPr>
      <w:r w:rsidRPr="00353B3F">
        <w:rPr>
          <w:rFonts w:ascii="Verdana" w:hAnsi="Verdana"/>
          <w:i/>
          <w:sz w:val="20"/>
          <w:lang w:val="en-US"/>
        </w:rPr>
        <w:t xml:space="preserve">A.1. </w:t>
      </w:r>
      <w:r w:rsidR="004932E8" w:rsidRPr="00353B3F">
        <w:rPr>
          <w:rFonts w:ascii="Verdana" w:hAnsi="Verdana"/>
          <w:i/>
          <w:sz w:val="20"/>
          <w:lang w:val="en-US"/>
        </w:rPr>
        <w:t>Measure ordered by the Court and monitored in</w:t>
      </w:r>
      <w:r w:rsidR="00EC5ABD" w:rsidRPr="00353B3F">
        <w:rPr>
          <w:rFonts w:ascii="Verdana" w:hAnsi="Verdana"/>
          <w:i/>
          <w:sz w:val="20"/>
          <w:lang w:val="en-US"/>
        </w:rPr>
        <w:t xml:space="preserve"> previous orders</w:t>
      </w:r>
    </w:p>
    <w:p w14:paraId="304D955B" w14:textId="77777777" w:rsidR="002A5301" w:rsidRPr="00353B3F" w:rsidRDefault="002A5301" w:rsidP="0020114D">
      <w:pPr>
        <w:rPr>
          <w:rFonts w:ascii="Verdana" w:hAnsi="Verdana"/>
          <w:i/>
          <w:sz w:val="20"/>
          <w:lang w:val="en-US"/>
        </w:rPr>
      </w:pPr>
    </w:p>
    <w:p w14:paraId="2B67864C" w14:textId="5C12487C" w:rsidR="00ED1244" w:rsidRPr="00353B3F" w:rsidRDefault="00EC5ABD" w:rsidP="008E67C7">
      <w:pPr>
        <w:pStyle w:val="ListParagraph"/>
        <w:numPr>
          <w:ilvl w:val="0"/>
          <w:numId w:val="5"/>
        </w:numPr>
        <w:ind w:left="0" w:firstLine="0"/>
        <w:jc w:val="both"/>
        <w:rPr>
          <w:rFonts w:ascii="Verdana" w:hAnsi="Verdana"/>
          <w:sz w:val="20"/>
          <w:lang w:val="en-US"/>
        </w:rPr>
      </w:pPr>
      <w:bookmarkStart w:id="9" w:name="_Ref532204711"/>
      <w:r w:rsidRPr="00353B3F">
        <w:rPr>
          <w:rFonts w:ascii="Verdana" w:hAnsi="Verdana"/>
          <w:sz w:val="20"/>
          <w:lang w:val="en-US"/>
        </w:rPr>
        <w:t>In the first operative paragraph and in paragraph</w:t>
      </w:r>
      <w:r w:rsidR="003451C9" w:rsidRPr="00353B3F">
        <w:rPr>
          <w:rFonts w:ascii="Verdana" w:hAnsi="Verdana"/>
          <w:sz w:val="20"/>
          <w:lang w:val="en-US"/>
        </w:rPr>
        <w:t xml:space="preserve">s 202 </w:t>
      </w:r>
      <w:r w:rsidRPr="00353B3F">
        <w:rPr>
          <w:rFonts w:ascii="Verdana" w:hAnsi="Verdana"/>
          <w:sz w:val="20"/>
          <w:lang w:val="en-US"/>
        </w:rPr>
        <w:t>to</w:t>
      </w:r>
      <w:r w:rsidR="003451C9" w:rsidRPr="00353B3F">
        <w:rPr>
          <w:rFonts w:ascii="Verdana" w:hAnsi="Verdana"/>
          <w:sz w:val="20"/>
          <w:lang w:val="en-US"/>
        </w:rPr>
        <w:t xml:space="preserve"> 207</w:t>
      </w:r>
      <w:r w:rsidR="00DC49A3" w:rsidRPr="00353B3F">
        <w:rPr>
          <w:rFonts w:ascii="Verdana" w:hAnsi="Verdana"/>
          <w:sz w:val="20"/>
          <w:lang w:val="en-US"/>
        </w:rPr>
        <w:t xml:space="preserve"> of the </w:t>
      </w:r>
      <w:r w:rsidR="00484EB4" w:rsidRPr="00353B3F">
        <w:rPr>
          <w:rFonts w:ascii="Verdana" w:hAnsi="Verdana"/>
          <w:sz w:val="20"/>
          <w:lang w:val="en-US"/>
        </w:rPr>
        <w:t>judgment</w:t>
      </w:r>
      <w:r w:rsidR="003451C9" w:rsidRPr="00353B3F">
        <w:rPr>
          <w:rFonts w:ascii="Verdana" w:hAnsi="Verdana"/>
          <w:sz w:val="20"/>
          <w:lang w:val="en-US"/>
        </w:rPr>
        <w:t xml:space="preserve">, </w:t>
      </w:r>
      <w:r w:rsidRPr="00353B3F">
        <w:rPr>
          <w:rFonts w:ascii="Verdana" w:hAnsi="Verdana"/>
          <w:sz w:val="20"/>
          <w:lang w:val="en-US"/>
        </w:rPr>
        <w:t>the Court established the obligation of the State “to implement the measures ordered with respect to its obligation to investigate the facts of the case, as well as to identify, prosecute and punish</w:t>
      </w:r>
      <w:r w:rsidR="008E67C7" w:rsidRPr="00353B3F">
        <w:rPr>
          <w:rFonts w:ascii="Verdana" w:hAnsi="Verdana"/>
          <w:sz w:val="20"/>
          <w:lang w:val="en-US"/>
        </w:rPr>
        <w:t xml:space="preserve"> the responsible parties.” The Court indicated that</w:t>
      </w:r>
      <w:r w:rsidR="008D096F" w:rsidRPr="00353B3F">
        <w:rPr>
          <w:rFonts w:ascii="Verdana" w:hAnsi="Verdana"/>
          <w:sz w:val="20"/>
          <w:lang w:val="en-US"/>
        </w:rPr>
        <w:t xml:space="preserve"> “</w:t>
      </w:r>
      <w:r w:rsidR="008E67C7" w:rsidRPr="00353B3F">
        <w:rPr>
          <w:rFonts w:ascii="Verdana" w:hAnsi="Verdana"/>
          <w:sz w:val="20"/>
          <w:lang w:val="en-US"/>
        </w:rPr>
        <w:t xml:space="preserve">in response to </w:t>
      </w:r>
      <w:r w:rsidR="00484EB4" w:rsidRPr="00353B3F">
        <w:rPr>
          <w:rFonts w:ascii="Verdana" w:hAnsi="Verdana"/>
          <w:sz w:val="20"/>
          <w:lang w:val="en-US"/>
        </w:rPr>
        <w:t>the</w:t>
      </w:r>
      <w:r w:rsidR="008E67C7" w:rsidRPr="00353B3F">
        <w:rPr>
          <w:rFonts w:ascii="Verdana" w:hAnsi="Verdana"/>
          <w:sz w:val="20"/>
          <w:lang w:val="en-US"/>
        </w:rPr>
        <w:t xml:space="preserve"> extrajudicial killings that occurred on November 29, 1986, </w:t>
      </w:r>
      <w:r w:rsidR="00667B80" w:rsidRPr="00353B3F">
        <w:rPr>
          <w:rFonts w:ascii="Verdana" w:hAnsi="Verdana"/>
          <w:sz w:val="20"/>
          <w:lang w:val="en-US"/>
        </w:rPr>
        <w:t>th</w:t>
      </w:r>
      <w:r w:rsidR="008E67C7" w:rsidRPr="00353B3F">
        <w:rPr>
          <w:rFonts w:ascii="Verdana" w:hAnsi="Verdana"/>
          <w:sz w:val="20"/>
          <w:lang w:val="en-US"/>
        </w:rPr>
        <w:t>e</w:t>
      </w:r>
      <w:r w:rsidR="00484EB4" w:rsidRPr="00353B3F">
        <w:rPr>
          <w:rFonts w:ascii="Verdana" w:hAnsi="Verdana"/>
          <w:sz w:val="20"/>
          <w:lang w:val="en-US"/>
        </w:rPr>
        <w:t xml:space="preserve"> State</w:t>
      </w:r>
      <w:r w:rsidR="008D096F" w:rsidRPr="00353B3F">
        <w:rPr>
          <w:rFonts w:ascii="Verdana" w:hAnsi="Verdana"/>
          <w:sz w:val="20"/>
          <w:lang w:val="en-US"/>
        </w:rPr>
        <w:t xml:space="preserve"> </w:t>
      </w:r>
      <w:r w:rsidR="008E67C7" w:rsidRPr="00353B3F">
        <w:rPr>
          <w:rFonts w:ascii="Verdana" w:hAnsi="Verdana"/>
          <w:sz w:val="20"/>
          <w:lang w:val="en-US"/>
        </w:rPr>
        <w:t>must immediately carry out an effective and prompt investigation and judicial proceeding leading to the clarification of the facts, punishment of the responsible parties, and appropriate compensation for the victims.”</w:t>
      </w:r>
      <w:bookmarkEnd w:id="9"/>
    </w:p>
    <w:p w14:paraId="3D97DAF7" w14:textId="77777777" w:rsidR="00ED1244" w:rsidRPr="00353B3F" w:rsidRDefault="00ED1244" w:rsidP="00ED1244">
      <w:pPr>
        <w:pStyle w:val="ListParagraph"/>
        <w:ind w:left="0"/>
        <w:jc w:val="both"/>
        <w:rPr>
          <w:rFonts w:ascii="Verdana" w:hAnsi="Verdana"/>
          <w:sz w:val="20"/>
          <w:lang w:val="en-US"/>
        </w:rPr>
      </w:pPr>
    </w:p>
    <w:p w14:paraId="5BA44D55" w14:textId="086A59E5" w:rsidR="008E67C7" w:rsidRPr="00353B3F" w:rsidRDefault="008E67C7" w:rsidP="003451C9">
      <w:pPr>
        <w:pStyle w:val="ListParagraph"/>
        <w:numPr>
          <w:ilvl w:val="0"/>
          <w:numId w:val="5"/>
        </w:numPr>
        <w:ind w:left="0" w:firstLine="0"/>
        <w:jc w:val="both"/>
        <w:rPr>
          <w:rFonts w:ascii="Verdana" w:hAnsi="Verdana"/>
          <w:sz w:val="20"/>
          <w:lang w:val="en-US"/>
        </w:rPr>
      </w:pPr>
      <w:bookmarkStart w:id="10" w:name="_Ref532219877"/>
      <w:r w:rsidRPr="00353B3F">
        <w:rPr>
          <w:rFonts w:ascii="Verdana" w:hAnsi="Verdana"/>
          <w:sz w:val="20"/>
          <w:lang w:val="en-US"/>
        </w:rPr>
        <w:t xml:space="preserve">In addition, </w:t>
      </w:r>
      <w:r w:rsidR="00667B80" w:rsidRPr="00353B3F">
        <w:rPr>
          <w:rFonts w:ascii="Verdana" w:hAnsi="Verdana"/>
          <w:sz w:val="20"/>
          <w:lang w:val="en-US"/>
        </w:rPr>
        <w:t>the Court</w:t>
      </w:r>
      <w:r w:rsidRPr="00353B3F">
        <w:rPr>
          <w:rFonts w:ascii="Verdana" w:hAnsi="Verdana"/>
          <w:sz w:val="20"/>
          <w:lang w:val="en-US"/>
        </w:rPr>
        <w:t xml:space="preserve"> determined that, “[i]n fulfillment of its obligation to investigate and punish the responsible parties, Suriname must: (a) remove all obstacles </w:t>
      </w:r>
      <w:r w:rsidRPr="00353B3F">
        <w:rPr>
          <w:rFonts w:ascii="Verdana" w:hAnsi="Verdana"/>
          <w:i/>
          <w:sz w:val="20"/>
          <w:lang w:val="en-US"/>
        </w:rPr>
        <w:t xml:space="preserve">de facto </w:t>
      </w:r>
      <w:r w:rsidRPr="00353B3F">
        <w:rPr>
          <w:rFonts w:ascii="Verdana" w:hAnsi="Verdana"/>
          <w:sz w:val="20"/>
          <w:lang w:val="en-US"/>
        </w:rPr>
        <w:t xml:space="preserve">and </w:t>
      </w:r>
      <w:r w:rsidRPr="00353B3F">
        <w:rPr>
          <w:rFonts w:ascii="Verdana" w:hAnsi="Verdana"/>
          <w:i/>
          <w:sz w:val="20"/>
          <w:lang w:val="en-US"/>
        </w:rPr>
        <w:t xml:space="preserve">de jure </w:t>
      </w:r>
      <w:r w:rsidRPr="00353B3F">
        <w:rPr>
          <w:rFonts w:ascii="Verdana" w:hAnsi="Verdana"/>
          <w:sz w:val="20"/>
          <w:lang w:val="en-US"/>
        </w:rPr>
        <w:t>that perpetuate impunity</w:t>
      </w:r>
      <w:r w:rsidR="00667B80" w:rsidRPr="00353B3F">
        <w:rPr>
          <w:rFonts w:ascii="Verdana" w:hAnsi="Verdana"/>
          <w:sz w:val="20"/>
          <w:lang w:val="en-US"/>
        </w:rPr>
        <w:t>;</w:t>
      </w:r>
      <w:r w:rsidRPr="00353B3F">
        <w:rPr>
          <w:rFonts w:ascii="Verdana" w:hAnsi="Verdana"/>
          <w:sz w:val="20"/>
          <w:lang w:val="en-US"/>
        </w:rPr>
        <w:t xml:space="preserve"> (b) use all means at its disposal to expedite the investigation and judicial proceedings</w:t>
      </w:r>
      <w:r w:rsidR="00667B80" w:rsidRPr="00353B3F">
        <w:rPr>
          <w:rFonts w:ascii="Verdana" w:hAnsi="Verdana"/>
          <w:sz w:val="20"/>
          <w:lang w:val="en-US"/>
        </w:rPr>
        <w:t>;</w:t>
      </w:r>
      <w:r w:rsidRPr="00353B3F">
        <w:rPr>
          <w:rFonts w:ascii="Verdana" w:hAnsi="Verdana"/>
          <w:sz w:val="20"/>
          <w:lang w:val="en-US"/>
        </w:rPr>
        <w:t xml:space="preserve"> (c) punish, according to the appropriate domestic laws, any public officials, as well as private individuals, who are found responsible for having obstructed the criminal investigation into the attack on the </w:t>
      </w:r>
      <w:proofErr w:type="spellStart"/>
      <w:r w:rsidRPr="00353B3F">
        <w:rPr>
          <w:rFonts w:ascii="Verdana" w:hAnsi="Verdana"/>
          <w:sz w:val="20"/>
          <w:lang w:val="en-US"/>
        </w:rPr>
        <w:t>Moiwana</w:t>
      </w:r>
      <w:proofErr w:type="spellEnd"/>
      <w:r w:rsidRPr="00353B3F">
        <w:rPr>
          <w:rFonts w:ascii="Verdana" w:hAnsi="Verdana"/>
          <w:sz w:val="20"/>
          <w:lang w:val="en-US"/>
        </w:rPr>
        <w:t xml:space="preserve"> village, and (d) provide adequate safety guarantees to the victims, other witnesses, judicial </w:t>
      </w:r>
      <w:r w:rsidR="00286935" w:rsidRPr="00353B3F">
        <w:rPr>
          <w:rFonts w:ascii="Verdana" w:hAnsi="Verdana"/>
          <w:sz w:val="20"/>
          <w:lang w:val="en-US"/>
        </w:rPr>
        <w:t>agents</w:t>
      </w:r>
      <w:r w:rsidRPr="00353B3F">
        <w:rPr>
          <w:rFonts w:ascii="Verdana" w:hAnsi="Verdana"/>
          <w:sz w:val="20"/>
          <w:lang w:val="en-US"/>
        </w:rPr>
        <w:t>, prosecutors, and other relevant law enforcement officials.</w:t>
      </w:r>
      <w:r w:rsidR="00286935" w:rsidRPr="00353B3F">
        <w:rPr>
          <w:rFonts w:ascii="Verdana" w:hAnsi="Verdana"/>
          <w:sz w:val="20"/>
          <w:lang w:val="en-US"/>
        </w:rPr>
        <w:t>”</w:t>
      </w:r>
    </w:p>
    <w:bookmarkEnd w:id="10"/>
    <w:p w14:paraId="003A513A" w14:textId="77777777" w:rsidR="00256AED" w:rsidRPr="00353B3F" w:rsidRDefault="00256AED" w:rsidP="00ED1244">
      <w:pPr>
        <w:pStyle w:val="ListParagraph"/>
        <w:ind w:left="0"/>
        <w:jc w:val="both"/>
        <w:rPr>
          <w:rFonts w:ascii="Verdana" w:hAnsi="Verdana"/>
          <w:sz w:val="20"/>
          <w:lang w:val="en-US"/>
        </w:rPr>
      </w:pPr>
    </w:p>
    <w:p w14:paraId="584AC03D" w14:textId="074E70AF" w:rsidR="00256AED" w:rsidRPr="00067E2A" w:rsidRDefault="00286935" w:rsidP="003451C9">
      <w:pPr>
        <w:pStyle w:val="ListParagraph"/>
        <w:numPr>
          <w:ilvl w:val="0"/>
          <w:numId w:val="5"/>
        </w:numPr>
        <w:ind w:left="0" w:firstLine="0"/>
        <w:jc w:val="both"/>
        <w:rPr>
          <w:rFonts w:ascii="Verdana" w:hAnsi="Verdana"/>
          <w:sz w:val="20"/>
        </w:rPr>
      </w:pPr>
      <w:bookmarkStart w:id="11" w:name="_Ref532217839"/>
      <w:r w:rsidRPr="00353B3F">
        <w:rPr>
          <w:rFonts w:ascii="Verdana" w:hAnsi="Verdana"/>
          <w:sz w:val="20"/>
          <w:lang w:val="en-US"/>
        </w:rPr>
        <w:lastRenderedPageBreak/>
        <w:t xml:space="preserve">In the order of November </w:t>
      </w:r>
      <w:r w:rsidR="00256AED" w:rsidRPr="00353B3F">
        <w:rPr>
          <w:rFonts w:ascii="Verdana" w:hAnsi="Verdana"/>
          <w:sz w:val="20"/>
          <w:lang w:val="en-US"/>
        </w:rPr>
        <w:t xml:space="preserve">2010, </w:t>
      </w:r>
      <w:r w:rsidRPr="00353B3F">
        <w:rPr>
          <w:rFonts w:ascii="Verdana" w:hAnsi="Verdana"/>
          <w:sz w:val="20"/>
          <w:lang w:val="en-US"/>
        </w:rPr>
        <w:t xml:space="preserve">the Court assessed the information presented by </w:t>
      </w:r>
      <w:r w:rsidR="00484EB4" w:rsidRPr="00353B3F">
        <w:rPr>
          <w:rFonts w:ascii="Verdana" w:hAnsi="Verdana"/>
          <w:sz w:val="20"/>
          <w:lang w:val="en-US"/>
        </w:rPr>
        <w:t>the State</w:t>
      </w:r>
      <w:r w:rsidRPr="00353B3F">
        <w:rPr>
          <w:rFonts w:ascii="Verdana" w:hAnsi="Verdana"/>
          <w:sz w:val="20"/>
          <w:lang w:val="en-US"/>
        </w:rPr>
        <w:t>,</w:t>
      </w:r>
      <w:r w:rsidR="007D74C3" w:rsidRPr="00353B3F">
        <w:rPr>
          <w:rStyle w:val="FootnoteReference"/>
          <w:rFonts w:ascii="Verdana" w:hAnsi="Verdana"/>
          <w:sz w:val="20"/>
          <w:lang w:val="en-US"/>
        </w:rPr>
        <w:footnoteReference w:id="18"/>
      </w:r>
      <w:r w:rsidRPr="00353B3F">
        <w:rPr>
          <w:rFonts w:ascii="Verdana" w:hAnsi="Verdana"/>
          <w:sz w:val="20"/>
          <w:lang w:val="en-US"/>
        </w:rPr>
        <w:t xml:space="preserve"> and reminded the State that it must </w:t>
      </w:r>
      <w:r w:rsidR="00256AED" w:rsidRPr="00353B3F">
        <w:rPr>
          <w:rFonts w:ascii="Verdana" w:hAnsi="Verdana"/>
          <w:sz w:val="20"/>
          <w:lang w:val="en-US"/>
        </w:rPr>
        <w:t>“</w:t>
      </w:r>
      <w:r w:rsidR="00CF67A4">
        <w:rPr>
          <w:rFonts w:ascii="Verdana" w:hAnsi="Verdana"/>
          <w:sz w:val="20"/>
          <w:lang w:val="en-US"/>
        </w:rPr>
        <w:t>undertake two separate lines of investigation: one relating to the events of November 1986 and another relating to the obstruction of justice</w:t>
      </w:r>
      <w:r w:rsidR="00FD6198" w:rsidRPr="00353B3F">
        <w:rPr>
          <w:rFonts w:ascii="Verdana" w:hAnsi="Verdana"/>
          <w:sz w:val="20"/>
          <w:lang w:val="en-US"/>
        </w:rPr>
        <w:t>.</w:t>
      </w:r>
      <w:r w:rsidR="008F4EAF" w:rsidRPr="00353B3F">
        <w:rPr>
          <w:rFonts w:ascii="Verdana" w:hAnsi="Verdana"/>
          <w:sz w:val="20"/>
          <w:lang w:val="en-US"/>
        </w:rPr>
        <w:t>”</w:t>
      </w:r>
      <w:r w:rsidR="00256AED" w:rsidRPr="00353B3F">
        <w:rPr>
          <w:rFonts w:ascii="Verdana" w:hAnsi="Verdana"/>
          <w:sz w:val="20"/>
          <w:lang w:val="en-US"/>
        </w:rPr>
        <w:t xml:space="preserve"> </w:t>
      </w:r>
      <w:r w:rsidRPr="00CF67A4">
        <w:rPr>
          <w:rFonts w:ascii="Verdana" w:hAnsi="Verdana"/>
          <w:sz w:val="20"/>
          <w:lang w:val="en-US"/>
        </w:rPr>
        <w:t>The Court affirmed that it</w:t>
      </w:r>
      <w:r w:rsidR="008F4EAF" w:rsidRPr="00CF67A4">
        <w:rPr>
          <w:rFonts w:ascii="Verdana" w:hAnsi="Verdana"/>
          <w:sz w:val="20"/>
          <w:lang w:val="en-US"/>
        </w:rPr>
        <w:t xml:space="preserve"> “</w:t>
      </w:r>
      <w:r w:rsidR="00CF67A4" w:rsidRPr="00CF67A4">
        <w:rPr>
          <w:rFonts w:ascii="Verdana" w:hAnsi="Verdana"/>
          <w:sz w:val="20"/>
          <w:lang w:val="en-US"/>
        </w:rPr>
        <w:t>is lamentable that twenty-four years after the attack, and five years after service of the Judgment, the State has not been able to provide the Tribunal with any details on advances in either one of these investigations</w:t>
      </w:r>
      <w:r w:rsidR="008F4EAF" w:rsidRPr="00CF67A4">
        <w:rPr>
          <w:rFonts w:ascii="Verdana" w:hAnsi="Verdana"/>
          <w:sz w:val="20"/>
          <w:lang w:val="en-US"/>
        </w:rPr>
        <w:t>”</w:t>
      </w:r>
      <w:r w:rsidR="00256AED" w:rsidRPr="00CF67A4">
        <w:rPr>
          <w:rFonts w:ascii="Verdana" w:hAnsi="Verdana"/>
          <w:sz w:val="20"/>
          <w:lang w:val="en-US"/>
        </w:rPr>
        <w:t xml:space="preserve">. </w:t>
      </w:r>
      <w:r w:rsidRPr="00CF67A4">
        <w:rPr>
          <w:rFonts w:ascii="Verdana" w:hAnsi="Verdana"/>
          <w:sz w:val="20"/>
          <w:lang w:val="en-US"/>
        </w:rPr>
        <w:t xml:space="preserve">It also noted that </w:t>
      </w:r>
      <w:r w:rsidR="008F4EAF" w:rsidRPr="00CF67A4">
        <w:rPr>
          <w:rFonts w:ascii="Verdana" w:hAnsi="Verdana"/>
          <w:sz w:val="20"/>
          <w:lang w:val="en-US"/>
        </w:rPr>
        <w:t>“</w:t>
      </w:r>
      <w:r w:rsidR="00484EB4" w:rsidRPr="00CF67A4">
        <w:rPr>
          <w:rFonts w:ascii="Verdana" w:hAnsi="Verdana"/>
          <w:sz w:val="20"/>
          <w:lang w:val="en-US"/>
        </w:rPr>
        <w:t>the State</w:t>
      </w:r>
      <w:r w:rsidR="00CF67A4" w:rsidRPr="00CF67A4">
        <w:rPr>
          <w:rFonts w:ascii="Verdana" w:hAnsi="Verdana"/>
          <w:sz w:val="20"/>
          <w:lang w:val="en-US"/>
        </w:rPr>
        <w:t xml:space="preserve"> has not provided any information on the progress or the findings of the </w:t>
      </w:r>
      <w:r w:rsidR="0046467B">
        <w:rPr>
          <w:rFonts w:ascii="Verdana" w:hAnsi="Verdana"/>
          <w:sz w:val="20"/>
          <w:lang w:val="en-US"/>
        </w:rPr>
        <w:t>‘</w:t>
      </w:r>
      <w:r w:rsidR="00CF67A4" w:rsidRPr="00CF67A4">
        <w:rPr>
          <w:rFonts w:ascii="Verdana" w:hAnsi="Verdana"/>
          <w:sz w:val="20"/>
          <w:lang w:val="en-US"/>
        </w:rPr>
        <w:t>Coordination Team</w:t>
      </w:r>
      <w:r w:rsidR="0046467B">
        <w:rPr>
          <w:rFonts w:ascii="Verdana" w:hAnsi="Verdana"/>
          <w:sz w:val="20"/>
          <w:lang w:val="en-US"/>
        </w:rPr>
        <w:t>’</w:t>
      </w:r>
      <w:r w:rsidR="00CF67A4">
        <w:rPr>
          <w:rFonts w:ascii="Verdana" w:hAnsi="Verdana"/>
          <w:sz w:val="20"/>
          <w:lang w:val="en-US"/>
        </w:rPr>
        <w:t xml:space="preserve"> established five years ago for the investigation of the massacre at </w:t>
      </w:r>
      <w:proofErr w:type="spellStart"/>
      <w:r w:rsidR="00CF67A4">
        <w:rPr>
          <w:rFonts w:ascii="Verdana" w:hAnsi="Verdana"/>
          <w:sz w:val="20"/>
          <w:lang w:val="en-US"/>
        </w:rPr>
        <w:t>Moiwana</w:t>
      </w:r>
      <w:proofErr w:type="spellEnd"/>
      <w:r w:rsidR="00CF67A4">
        <w:rPr>
          <w:rFonts w:ascii="Verdana" w:hAnsi="Verdana"/>
          <w:sz w:val="20"/>
          <w:lang w:val="en-US"/>
        </w:rPr>
        <w:t xml:space="preserve"> Village.</w:t>
      </w:r>
      <w:r w:rsidR="00256AED" w:rsidRPr="00CF67A4">
        <w:rPr>
          <w:rFonts w:ascii="Verdana" w:hAnsi="Verdana"/>
          <w:sz w:val="20"/>
          <w:lang w:val="en-US"/>
        </w:rPr>
        <w:t xml:space="preserve">” </w:t>
      </w:r>
      <w:r w:rsidRPr="00CF67A4">
        <w:rPr>
          <w:rFonts w:ascii="Verdana" w:hAnsi="Verdana"/>
          <w:sz w:val="20"/>
          <w:lang w:val="en-US"/>
        </w:rPr>
        <w:t>Regarding the inves</w:t>
      </w:r>
      <w:r w:rsidR="001659F2" w:rsidRPr="00CF67A4">
        <w:rPr>
          <w:rFonts w:ascii="Verdana" w:hAnsi="Verdana"/>
          <w:sz w:val="20"/>
          <w:lang w:val="en-US"/>
        </w:rPr>
        <w:t>t</w:t>
      </w:r>
      <w:r w:rsidRPr="00CF67A4">
        <w:rPr>
          <w:rFonts w:ascii="Verdana" w:hAnsi="Verdana"/>
          <w:sz w:val="20"/>
          <w:lang w:val="en-US"/>
        </w:rPr>
        <w:t xml:space="preserve">igation of the events of November 1986, the Court considered that the State should </w:t>
      </w:r>
      <w:r w:rsidR="00256AED" w:rsidRPr="00CF67A4">
        <w:rPr>
          <w:rFonts w:ascii="Verdana" w:hAnsi="Verdana"/>
          <w:sz w:val="20"/>
          <w:lang w:val="en-US"/>
        </w:rPr>
        <w:t>“consult</w:t>
      </w:r>
      <w:r w:rsidR="00CF67A4">
        <w:rPr>
          <w:rFonts w:ascii="Verdana" w:hAnsi="Verdana"/>
          <w:sz w:val="20"/>
          <w:lang w:val="en-US"/>
        </w:rPr>
        <w:t xml:space="preserve"> with</w:t>
      </w:r>
      <w:r w:rsidR="00256AED" w:rsidRPr="00CF67A4">
        <w:rPr>
          <w:rFonts w:ascii="Verdana" w:hAnsi="Verdana"/>
          <w:sz w:val="20"/>
          <w:lang w:val="en-US"/>
        </w:rPr>
        <w:t xml:space="preserve"> </w:t>
      </w:r>
      <w:r w:rsidR="00B00DF6" w:rsidRPr="00CF67A4">
        <w:rPr>
          <w:rFonts w:ascii="Verdana" w:hAnsi="Verdana"/>
          <w:sz w:val="20"/>
          <w:lang w:val="en-US"/>
        </w:rPr>
        <w:t>the representatives</w:t>
      </w:r>
      <w:r w:rsidR="00256AED" w:rsidRPr="00CF67A4">
        <w:rPr>
          <w:rFonts w:ascii="Verdana" w:hAnsi="Verdana"/>
          <w:sz w:val="20"/>
          <w:lang w:val="en-US"/>
        </w:rPr>
        <w:t xml:space="preserve"> </w:t>
      </w:r>
      <w:r w:rsidR="00CF67A4">
        <w:rPr>
          <w:rFonts w:ascii="Verdana" w:hAnsi="Verdana"/>
          <w:sz w:val="20"/>
          <w:lang w:val="en-US"/>
        </w:rPr>
        <w:t>in order to learn what measures they consider indispensable so that victims will come forward to testify, and it must report its findings and achievements to the Tribunal.”</w:t>
      </w:r>
      <w:r w:rsidR="00FB44FF" w:rsidRPr="00CF67A4">
        <w:rPr>
          <w:rFonts w:ascii="Verdana" w:hAnsi="Verdana"/>
          <w:sz w:val="20"/>
          <w:lang w:val="en-US"/>
        </w:rPr>
        <w:t xml:space="preserve"> </w:t>
      </w:r>
      <w:r w:rsidRPr="00067E2A">
        <w:rPr>
          <w:rFonts w:ascii="Verdana" w:hAnsi="Verdana"/>
          <w:sz w:val="20"/>
          <w:lang w:val="en-US"/>
        </w:rPr>
        <w:t xml:space="preserve">In addition, the Court reiterated that </w:t>
      </w:r>
      <w:r w:rsidR="007440BA" w:rsidRPr="00067E2A">
        <w:rPr>
          <w:rFonts w:ascii="Verdana" w:hAnsi="Verdana"/>
          <w:sz w:val="20"/>
          <w:lang w:val="en-US"/>
        </w:rPr>
        <w:t>“</w:t>
      </w:r>
      <w:r w:rsidR="00067E2A" w:rsidRPr="00067E2A">
        <w:rPr>
          <w:rFonts w:ascii="Verdana" w:hAnsi="Verdana"/>
          <w:sz w:val="20"/>
          <w:lang w:val="en-US"/>
        </w:rPr>
        <w:t>investigations cannot depend upon the initiative of victims and their family members or upon their submission of evidence</w:t>
      </w:r>
      <w:r w:rsidR="00C41334" w:rsidRPr="00067E2A">
        <w:rPr>
          <w:rFonts w:ascii="Verdana" w:hAnsi="Verdana"/>
          <w:sz w:val="20"/>
          <w:lang w:val="en-US"/>
        </w:rPr>
        <w:t xml:space="preserve">” </w:t>
      </w:r>
      <w:r w:rsidRPr="00067E2A">
        <w:rPr>
          <w:rFonts w:ascii="Verdana" w:hAnsi="Verdana"/>
          <w:sz w:val="20"/>
          <w:lang w:val="en-US"/>
        </w:rPr>
        <w:t>and underscored</w:t>
      </w:r>
      <w:r w:rsidR="00622231" w:rsidRPr="00067E2A">
        <w:rPr>
          <w:rFonts w:ascii="Verdana" w:hAnsi="Verdana"/>
          <w:sz w:val="20"/>
          <w:lang w:val="en-US"/>
        </w:rPr>
        <w:t xml:space="preserve"> </w:t>
      </w:r>
      <w:r w:rsidR="00C41334" w:rsidRPr="00067E2A">
        <w:rPr>
          <w:rFonts w:ascii="Verdana" w:hAnsi="Verdana"/>
          <w:sz w:val="20"/>
          <w:lang w:val="en-US"/>
        </w:rPr>
        <w:t>“</w:t>
      </w:r>
      <w:r w:rsidR="00067E2A" w:rsidRPr="00067E2A">
        <w:rPr>
          <w:rFonts w:ascii="Verdana" w:hAnsi="Verdana"/>
          <w:sz w:val="20"/>
          <w:lang w:val="en-US"/>
        </w:rPr>
        <w:t xml:space="preserve">the importance </w:t>
      </w:r>
      <w:r w:rsidR="00067E2A">
        <w:rPr>
          <w:rFonts w:ascii="Verdana" w:hAnsi="Verdana"/>
          <w:sz w:val="20"/>
          <w:lang w:val="en-US"/>
        </w:rPr>
        <w:t>of this obligation for the integral reparation of the victims and their family members</w:t>
      </w:r>
      <w:r w:rsidR="00A54ACF" w:rsidRPr="00067E2A">
        <w:rPr>
          <w:rFonts w:ascii="Verdana" w:hAnsi="Verdana"/>
          <w:sz w:val="20"/>
          <w:lang w:val="en-US"/>
        </w:rPr>
        <w:t>.</w:t>
      </w:r>
      <w:r w:rsidR="00C41334" w:rsidRPr="00067E2A">
        <w:rPr>
          <w:rFonts w:ascii="Verdana" w:hAnsi="Verdana"/>
          <w:sz w:val="20"/>
          <w:lang w:val="en-US"/>
        </w:rPr>
        <w:t xml:space="preserve">” </w:t>
      </w:r>
      <w:r w:rsidRPr="00067E2A">
        <w:rPr>
          <w:rFonts w:ascii="Verdana" w:hAnsi="Verdana"/>
          <w:sz w:val="20"/>
          <w:lang w:val="en-US"/>
        </w:rPr>
        <w:t xml:space="preserve">It also found that </w:t>
      </w:r>
      <w:r w:rsidR="00FB44FF" w:rsidRPr="00067E2A">
        <w:rPr>
          <w:rFonts w:ascii="Verdana" w:hAnsi="Verdana"/>
          <w:sz w:val="20"/>
          <w:lang w:val="en-US"/>
        </w:rPr>
        <w:t>“</w:t>
      </w:r>
      <w:r w:rsidR="00067E2A" w:rsidRPr="00067E2A">
        <w:rPr>
          <w:rFonts w:ascii="Verdana" w:hAnsi="Verdana"/>
          <w:sz w:val="20"/>
          <w:lang w:val="en-US"/>
        </w:rPr>
        <w:t>the State’s efforts to date have been insufficient to instill confidence in witnesses as to their safety</w:t>
      </w:r>
      <w:r w:rsidR="00FB44FF" w:rsidRPr="00067E2A">
        <w:rPr>
          <w:rFonts w:ascii="Verdana" w:hAnsi="Verdana"/>
          <w:sz w:val="20"/>
          <w:lang w:val="en-US"/>
        </w:rPr>
        <w:t>…</w:t>
      </w:r>
      <w:r w:rsidRPr="00067E2A">
        <w:rPr>
          <w:rFonts w:ascii="Verdana" w:hAnsi="Verdana"/>
          <w:sz w:val="20"/>
          <w:lang w:val="en-US"/>
        </w:rPr>
        <w:t>.</w:t>
      </w:r>
      <w:r w:rsidR="00FB44FF" w:rsidRPr="00067E2A">
        <w:rPr>
          <w:rFonts w:ascii="Verdana" w:hAnsi="Verdana"/>
          <w:sz w:val="20"/>
          <w:lang w:val="en-US"/>
        </w:rPr>
        <w:t xml:space="preserve">” </w:t>
      </w:r>
      <w:r w:rsidRPr="00067E2A">
        <w:rPr>
          <w:rFonts w:ascii="Verdana" w:hAnsi="Verdana"/>
          <w:sz w:val="20"/>
          <w:lang w:val="en-US"/>
        </w:rPr>
        <w:t xml:space="preserve">In this regard, it indicated that the State must </w:t>
      </w:r>
      <w:r w:rsidR="00C41334" w:rsidRPr="00067E2A">
        <w:rPr>
          <w:rFonts w:ascii="Verdana" w:hAnsi="Verdana"/>
          <w:sz w:val="20"/>
          <w:lang w:val="en-US"/>
        </w:rPr>
        <w:t>“</w:t>
      </w:r>
      <w:r w:rsidR="00067E2A" w:rsidRPr="00067E2A">
        <w:rPr>
          <w:rFonts w:ascii="Verdana" w:hAnsi="Verdana"/>
          <w:sz w:val="20"/>
          <w:lang w:val="en-US"/>
        </w:rPr>
        <w:t>reactivate the judicial investigations into the events of November 29, 1986, and ensure that these are not suspended</w:t>
      </w:r>
      <w:r w:rsidR="00067E2A">
        <w:rPr>
          <w:rFonts w:ascii="Verdana" w:hAnsi="Verdana"/>
          <w:sz w:val="20"/>
          <w:lang w:val="en-US"/>
        </w:rPr>
        <w:t xml:space="preserve"> because investigations in other cases are ongoing</w:t>
      </w:r>
      <w:r w:rsidRPr="00067E2A">
        <w:rPr>
          <w:rFonts w:ascii="Verdana" w:hAnsi="Verdana"/>
          <w:sz w:val="20"/>
          <w:lang w:val="en-US"/>
        </w:rPr>
        <w:t>.</w:t>
      </w:r>
      <w:r w:rsidR="00A929D1" w:rsidRPr="00067E2A">
        <w:rPr>
          <w:rFonts w:ascii="Verdana" w:hAnsi="Verdana"/>
          <w:sz w:val="20"/>
          <w:lang w:val="en-US"/>
        </w:rPr>
        <w:t>”</w:t>
      </w:r>
      <w:r w:rsidRPr="00067E2A">
        <w:rPr>
          <w:rFonts w:ascii="Verdana" w:hAnsi="Verdana"/>
          <w:sz w:val="20"/>
          <w:lang w:val="en-US"/>
        </w:rPr>
        <w:t xml:space="preserve"> </w:t>
      </w:r>
      <w:proofErr w:type="spellStart"/>
      <w:r w:rsidRPr="00067E2A">
        <w:rPr>
          <w:rFonts w:ascii="Verdana" w:hAnsi="Verdana"/>
          <w:sz w:val="20"/>
        </w:rPr>
        <w:t>Lastly</w:t>
      </w:r>
      <w:proofErr w:type="spellEnd"/>
      <w:r w:rsidRPr="00067E2A">
        <w:rPr>
          <w:rFonts w:ascii="Verdana" w:hAnsi="Verdana"/>
          <w:sz w:val="20"/>
        </w:rPr>
        <w:t xml:space="preserve">, </w:t>
      </w:r>
      <w:proofErr w:type="spellStart"/>
      <w:r w:rsidRPr="00067E2A">
        <w:rPr>
          <w:rFonts w:ascii="Verdana" w:hAnsi="Verdana"/>
          <w:sz w:val="20"/>
        </w:rPr>
        <w:t>the</w:t>
      </w:r>
      <w:proofErr w:type="spellEnd"/>
      <w:r w:rsidRPr="00067E2A">
        <w:rPr>
          <w:rFonts w:ascii="Verdana" w:hAnsi="Verdana"/>
          <w:sz w:val="20"/>
        </w:rPr>
        <w:t xml:space="preserve"> </w:t>
      </w:r>
      <w:proofErr w:type="spellStart"/>
      <w:r w:rsidRPr="00067E2A">
        <w:rPr>
          <w:rFonts w:ascii="Verdana" w:hAnsi="Verdana"/>
          <w:sz w:val="20"/>
        </w:rPr>
        <w:t>Court</w:t>
      </w:r>
      <w:proofErr w:type="spellEnd"/>
      <w:r w:rsidRPr="00067E2A">
        <w:rPr>
          <w:rFonts w:ascii="Verdana" w:hAnsi="Verdana"/>
          <w:sz w:val="20"/>
        </w:rPr>
        <w:t xml:space="preserve"> </w:t>
      </w:r>
      <w:proofErr w:type="spellStart"/>
      <w:r w:rsidRPr="00067E2A">
        <w:rPr>
          <w:rFonts w:ascii="Verdana" w:hAnsi="Verdana"/>
          <w:sz w:val="20"/>
        </w:rPr>
        <w:t>requested</w:t>
      </w:r>
      <w:proofErr w:type="spellEnd"/>
      <w:r w:rsidRPr="00067E2A">
        <w:rPr>
          <w:rFonts w:ascii="Verdana" w:hAnsi="Verdana"/>
          <w:sz w:val="20"/>
        </w:rPr>
        <w:t xml:space="preserve"> </w:t>
      </w:r>
      <w:proofErr w:type="spellStart"/>
      <w:r w:rsidRPr="00067E2A">
        <w:rPr>
          <w:rFonts w:ascii="Verdana" w:hAnsi="Verdana"/>
          <w:sz w:val="20"/>
        </w:rPr>
        <w:t>specific</w:t>
      </w:r>
      <w:proofErr w:type="spellEnd"/>
      <w:r w:rsidRPr="00067E2A">
        <w:rPr>
          <w:rFonts w:ascii="Verdana" w:hAnsi="Verdana"/>
          <w:sz w:val="20"/>
        </w:rPr>
        <w:t xml:space="preserve"> </w:t>
      </w:r>
      <w:proofErr w:type="spellStart"/>
      <w:r w:rsidRPr="00067E2A">
        <w:rPr>
          <w:rFonts w:ascii="Verdana" w:hAnsi="Verdana"/>
          <w:sz w:val="20"/>
        </w:rPr>
        <w:t>information</w:t>
      </w:r>
      <w:proofErr w:type="spellEnd"/>
      <w:r w:rsidR="00A929D1" w:rsidRPr="00067E2A">
        <w:rPr>
          <w:rFonts w:ascii="Verdana" w:hAnsi="Verdana"/>
          <w:sz w:val="20"/>
        </w:rPr>
        <w:t xml:space="preserve"> </w:t>
      </w:r>
      <w:r w:rsidR="00517627" w:rsidRPr="00067E2A">
        <w:rPr>
          <w:rFonts w:ascii="Verdana" w:hAnsi="Verdana"/>
          <w:sz w:val="20"/>
        </w:rPr>
        <w:t>(</w:t>
      </w:r>
      <w:r w:rsidR="00517627" w:rsidRPr="00067E2A">
        <w:rPr>
          <w:rFonts w:ascii="Verdana" w:hAnsi="Verdana"/>
          <w:i/>
          <w:sz w:val="20"/>
        </w:rPr>
        <w:t>infra</w:t>
      </w:r>
      <w:r w:rsidR="00517627" w:rsidRPr="00067E2A">
        <w:rPr>
          <w:rFonts w:ascii="Verdana" w:hAnsi="Verdana"/>
          <w:sz w:val="20"/>
        </w:rPr>
        <w:t xml:space="preserve"> </w:t>
      </w:r>
      <w:proofErr w:type="spellStart"/>
      <w:r w:rsidRPr="00067E2A">
        <w:rPr>
          <w:rFonts w:ascii="Verdana" w:hAnsi="Verdana"/>
          <w:i/>
          <w:sz w:val="20"/>
        </w:rPr>
        <w:t>c</w:t>
      </w:r>
      <w:r w:rsidR="00517627" w:rsidRPr="00067E2A">
        <w:rPr>
          <w:rFonts w:ascii="Verdana" w:hAnsi="Verdana"/>
          <w:i/>
          <w:sz w:val="20"/>
        </w:rPr>
        <w:t>onsiderand</w:t>
      </w:r>
      <w:r w:rsidRPr="00067E2A">
        <w:rPr>
          <w:rFonts w:ascii="Verdana" w:hAnsi="Verdana"/>
          <w:i/>
          <w:sz w:val="20"/>
        </w:rPr>
        <w:t>um</w:t>
      </w:r>
      <w:proofErr w:type="spellEnd"/>
      <w:r w:rsidR="00517627" w:rsidRPr="00067E2A">
        <w:rPr>
          <w:rFonts w:ascii="Verdana" w:hAnsi="Verdana"/>
          <w:sz w:val="20"/>
        </w:rPr>
        <w:t xml:space="preserve"> </w:t>
      </w:r>
      <w:r w:rsidR="009235B8" w:rsidRPr="00353B3F">
        <w:rPr>
          <w:rFonts w:ascii="Verdana" w:hAnsi="Verdana"/>
          <w:sz w:val="20"/>
          <w:lang w:val="en-US"/>
        </w:rPr>
        <w:fldChar w:fldCharType="begin"/>
      </w:r>
      <w:r w:rsidR="009235B8" w:rsidRPr="00067E2A">
        <w:rPr>
          <w:rFonts w:ascii="Verdana" w:hAnsi="Verdana"/>
          <w:sz w:val="20"/>
        </w:rPr>
        <w:instrText xml:space="preserve"> REF _Ref532305425 \r \h </w:instrText>
      </w:r>
      <w:r w:rsidR="00E47A56" w:rsidRPr="00067E2A">
        <w:rPr>
          <w:rFonts w:ascii="Verdana" w:hAnsi="Verdana"/>
          <w:sz w:val="20"/>
        </w:rPr>
        <w:instrText xml:space="preserve"> \* MERGEFORMAT </w:instrText>
      </w:r>
      <w:r w:rsidR="009235B8" w:rsidRPr="00353B3F">
        <w:rPr>
          <w:rFonts w:ascii="Verdana" w:hAnsi="Verdana"/>
          <w:sz w:val="20"/>
          <w:lang w:val="en-US"/>
        </w:rPr>
      </w:r>
      <w:r w:rsidR="009235B8" w:rsidRPr="00353B3F">
        <w:rPr>
          <w:rFonts w:ascii="Verdana" w:hAnsi="Verdana"/>
          <w:sz w:val="20"/>
          <w:lang w:val="en-US"/>
        </w:rPr>
        <w:fldChar w:fldCharType="separate"/>
      </w:r>
      <w:r w:rsidR="00BD655E">
        <w:rPr>
          <w:rFonts w:ascii="Verdana" w:hAnsi="Verdana"/>
          <w:sz w:val="20"/>
        </w:rPr>
        <w:t>8</w:t>
      </w:r>
      <w:r w:rsidR="009235B8" w:rsidRPr="00353B3F">
        <w:rPr>
          <w:rFonts w:ascii="Verdana" w:hAnsi="Verdana"/>
          <w:sz w:val="20"/>
          <w:lang w:val="en-US"/>
        </w:rPr>
        <w:fldChar w:fldCharType="end"/>
      </w:r>
      <w:r w:rsidR="00517627" w:rsidRPr="00067E2A">
        <w:rPr>
          <w:rFonts w:ascii="Verdana" w:hAnsi="Verdana"/>
          <w:sz w:val="20"/>
        </w:rPr>
        <w:t>)</w:t>
      </w:r>
      <w:r w:rsidR="007D74C3" w:rsidRPr="00067E2A">
        <w:rPr>
          <w:rFonts w:ascii="Verdana" w:hAnsi="Verdana"/>
          <w:sz w:val="20"/>
        </w:rPr>
        <w:t>.</w:t>
      </w:r>
      <w:bookmarkEnd w:id="11"/>
      <w:r w:rsidR="007D74C3" w:rsidRPr="00067E2A">
        <w:rPr>
          <w:rFonts w:ascii="Verdana" w:hAnsi="Verdana"/>
          <w:sz w:val="20"/>
        </w:rPr>
        <w:t xml:space="preserve"> </w:t>
      </w:r>
    </w:p>
    <w:p w14:paraId="46BDB768" w14:textId="77777777" w:rsidR="002A5301" w:rsidRPr="00067E2A" w:rsidRDefault="002A5301" w:rsidP="0020114D">
      <w:pPr>
        <w:rPr>
          <w:rFonts w:ascii="Verdana" w:hAnsi="Verdana"/>
          <w:i/>
          <w:sz w:val="20"/>
        </w:rPr>
      </w:pPr>
    </w:p>
    <w:p w14:paraId="7731F170" w14:textId="25358831" w:rsidR="0020114D" w:rsidRPr="00353B3F" w:rsidRDefault="0020114D" w:rsidP="00C245E4">
      <w:pPr>
        <w:ind w:firstLine="708"/>
        <w:rPr>
          <w:rFonts w:ascii="Verdana" w:hAnsi="Verdana"/>
          <w:i/>
          <w:sz w:val="20"/>
          <w:lang w:val="en-US"/>
        </w:rPr>
      </w:pPr>
      <w:r w:rsidRPr="00353B3F">
        <w:rPr>
          <w:rFonts w:ascii="Verdana" w:hAnsi="Verdana"/>
          <w:i/>
          <w:sz w:val="20"/>
          <w:lang w:val="en-US"/>
        </w:rPr>
        <w:t xml:space="preserve">A.2. </w:t>
      </w:r>
      <w:r w:rsidR="00286935" w:rsidRPr="00353B3F">
        <w:rPr>
          <w:rFonts w:ascii="Verdana" w:hAnsi="Verdana"/>
          <w:i/>
          <w:sz w:val="20"/>
          <w:lang w:val="en-US"/>
        </w:rPr>
        <w:t>Considerations of the Court</w:t>
      </w:r>
      <w:r w:rsidRPr="00353B3F">
        <w:rPr>
          <w:rFonts w:ascii="Verdana" w:hAnsi="Verdana"/>
          <w:i/>
          <w:sz w:val="20"/>
          <w:lang w:val="en-US"/>
        </w:rPr>
        <w:t xml:space="preserve"> </w:t>
      </w:r>
    </w:p>
    <w:p w14:paraId="52083BAA" w14:textId="77777777" w:rsidR="004E1A03" w:rsidRPr="00353B3F" w:rsidRDefault="004E1A03" w:rsidP="005937E0">
      <w:pPr>
        <w:jc w:val="center"/>
        <w:rPr>
          <w:rFonts w:ascii="Verdana" w:hAnsi="Verdana"/>
          <w:i/>
          <w:sz w:val="20"/>
          <w:lang w:val="en-US"/>
        </w:rPr>
      </w:pPr>
    </w:p>
    <w:p w14:paraId="16F5A3AF" w14:textId="17D4B7C6" w:rsidR="00C01E77" w:rsidRPr="00882AB5" w:rsidRDefault="00286935" w:rsidP="002D3C89">
      <w:pPr>
        <w:pStyle w:val="ListParagraph"/>
        <w:numPr>
          <w:ilvl w:val="0"/>
          <w:numId w:val="5"/>
        </w:numPr>
        <w:ind w:left="0" w:firstLine="0"/>
        <w:jc w:val="both"/>
        <w:rPr>
          <w:rFonts w:ascii="Verdana" w:hAnsi="Verdana"/>
          <w:sz w:val="20"/>
          <w:lang w:val="en-US"/>
        </w:rPr>
      </w:pPr>
      <w:bookmarkStart w:id="12" w:name="_Ref532305425"/>
      <w:r w:rsidRPr="00353B3F">
        <w:rPr>
          <w:rFonts w:ascii="Verdana" w:hAnsi="Verdana"/>
          <w:sz w:val="20"/>
          <w:lang w:val="en-US"/>
        </w:rPr>
        <w:t xml:space="preserve">The Court recalls that, in </w:t>
      </w:r>
      <w:r w:rsidR="00484EB4" w:rsidRPr="00353B3F">
        <w:rPr>
          <w:rFonts w:ascii="Verdana" w:hAnsi="Verdana"/>
          <w:sz w:val="20"/>
          <w:lang w:val="en-US"/>
        </w:rPr>
        <w:t>the judgment</w:t>
      </w:r>
      <w:r w:rsidR="00EA507C" w:rsidRPr="00353B3F">
        <w:rPr>
          <w:rFonts w:ascii="Verdana" w:hAnsi="Verdana"/>
          <w:sz w:val="20"/>
          <w:lang w:val="en-US"/>
        </w:rPr>
        <w:t xml:space="preserve"> </w:t>
      </w:r>
      <w:r w:rsidRPr="00353B3F">
        <w:rPr>
          <w:rFonts w:ascii="Verdana" w:hAnsi="Verdana"/>
          <w:sz w:val="20"/>
          <w:lang w:val="en-US"/>
        </w:rPr>
        <w:t>delivered in</w:t>
      </w:r>
      <w:r w:rsidR="00EA507C" w:rsidRPr="00353B3F">
        <w:rPr>
          <w:rFonts w:ascii="Verdana" w:hAnsi="Verdana"/>
          <w:sz w:val="20"/>
          <w:lang w:val="en-US"/>
        </w:rPr>
        <w:t xml:space="preserve"> </w:t>
      </w:r>
      <w:r w:rsidRPr="00353B3F">
        <w:rPr>
          <w:rFonts w:ascii="Verdana" w:hAnsi="Verdana"/>
          <w:sz w:val="20"/>
          <w:lang w:val="en-US"/>
        </w:rPr>
        <w:t>June</w:t>
      </w:r>
      <w:r w:rsidR="00EA507C" w:rsidRPr="00353B3F">
        <w:rPr>
          <w:rFonts w:ascii="Verdana" w:hAnsi="Verdana"/>
          <w:sz w:val="20"/>
          <w:lang w:val="en-US"/>
        </w:rPr>
        <w:t xml:space="preserve"> 2005, </w:t>
      </w:r>
      <w:r w:rsidRPr="00353B3F">
        <w:rPr>
          <w:rFonts w:ascii="Verdana" w:hAnsi="Verdana"/>
          <w:sz w:val="20"/>
          <w:lang w:val="en-US"/>
        </w:rPr>
        <w:t xml:space="preserve">it had emphasized </w:t>
      </w:r>
      <w:r w:rsidR="00EA507C" w:rsidRPr="00353B3F">
        <w:rPr>
          <w:rFonts w:ascii="Verdana" w:hAnsi="Verdana"/>
          <w:sz w:val="20"/>
          <w:lang w:val="en-US"/>
        </w:rPr>
        <w:t>“</w:t>
      </w:r>
      <w:r w:rsidRPr="00353B3F">
        <w:rPr>
          <w:rFonts w:ascii="Verdana" w:eastAsiaTheme="minorHAnsi" w:hAnsi="Verdana" w:cs="TTE1091E40t00"/>
          <w:sz w:val="20"/>
          <w:lang w:val="en-US"/>
        </w:rPr>
        <w:t>that by carrying out or tolerating actions leading to extrajudicial killings, by not investigating such actions adequately, and by not punishing those responsible, the State breaches its duty to ensure the rights recognized in the Convention and prevents society as a</w:t>
      </w:r>
      <w:r w:rsidR="00A54ACF" w:rsidRPr="00353B3F">
        <w:rPr>
          <w:rFonts w:ascii="Verdana" w:eastAsiaTheme="minorHAnsi" w:hAnsi="Verdana" w:cs="TTE1091E40t00"/>
          <w:sz w:val="20"/>
          <w:lang w:val="en-US"/>
        </w:rPr>
        <w:t xml:space="preserve"> whole</w:t>
      </w:r>
      <w:r w:rsidRPr="00353B3F">
        <w:rPr>
          <w:rFonts w:ascii="Verdana" w:eastAsiaTheme="minorHAnsi" w:hAnsi="Verdana" w:cs="TTE1091E40t00"/>
          <w:sz w:val="20"/>
          <w:lang w:val="en-US"/>
        </w:rPr>
        <w:t xml:space="preserve"> from learning the truth regarding those facts</w:t>
      </w:r>
      <w:r w:rsidR="002D3C89" w:rsidRPr="00353B3F">
        <w:rPr>
          <w:rFonts w:ascii="Verdana" w:hAnsi="Verdana"/>
          <w:sz w:val="20"/>
          <w:lang w:val="en-US"/>
        </w:rPr>
        <w:t>.</w:t>
      </w:r>
      <w:r w:rsidR="00EA507C" w:rsidRPr="00353B3F">
        <w:rPr>
          <w:rFonts w:ascii="Verdana" w:hAnsi="Verdana"/>
          <w:sz w:val="20"/>
          <w:lang w:val="en-US"/>
        </w:rPr>
        <w:t>”</w:t>
      </w:r>
      <w:r w:rsidR="00EA507C" w:rsidRPr="00353B3F">
        <w:rPr>
          <w:rStyle w:val="FootnoteReference"/>
          <w:rFonts w:ascii="Verdana" w:hAnsi="Verdana"/>
          <w:sz w:val="20"/>
          <w:lang w:val="en-US"/>
        </w:rPr>
        <w:footnoteReference w:id="19"/>
      </w:r>
      <w:r w:rsidR="00EA507C" w:rsidRPr="00353B3F">
        <w:rPr>
          <w:rFonts w:ascii="Verdana" w:hAnsi="Verdana"/>
          <w:sz w:val="20"/>
          <w:lang w:val="en-US"/>
        </w:rPr>
        <w:t xml:space="preserve"> </w:t>
      </w:r>
      <w:r w:rsidR="00EA507C" w:rsidRPr="00882AB5">
        <w:rPr>
          <w:rFonts w:ascii="Verdana" w:hAnsi="Verdana"/>
          <w:sz w:val="20"/>
          <w:lang w:val="en-US"/>
        </w:rPr>
        <w:t>A</w:t>
      </w:r>
      <w:r w:rsidR="002D3C89" w:rsidRPr="00882AB5">
        <w:rPr>
          <w:rFonts w:ascii="Verdana" w:hAnsi="Verdana"/>
          <w:sz w:val="20"/>
          <w:lang w:val="en-US"/>
        </w:rPr>
        <w:t>lso, in the order issued on</w:t>
      </w:r>
      <w:r w:rsidR="00EA507C" w:rsidRPr="00882AB5">
        <w:rPr>
          <w:rFonts w:ascii="Verdana" w:hAnsi="Verdana"/>
          <w:sz w:val="20"/>
          <w:lang w:val="en-US"/>
        </w:rPr>
        <w:t xml:space="preserve"> </w:t>
      </w:r>
      <w:r w:rsidR="002D3C89" w:rsidRPr="00882AB5">
        <w:rPr>
          <w:rFonts w:ascii="Verdana" w:hAnsi="Verdana"/>
          <w:sz w:val="20"/>
          <w:lang w:val="en-US"/>
        </w:rPr>
        <w:t>November 22,</w:t>
      </w:r>
      <w:r w:rsidR="00EA507C" w:rsidRPr="00882AB5">
        <w:rPr>
          <w:rFonts w:ascii="Verdana" w:hAnsi="Verdana"/>
          <w:sz w:val="20"/>
          <w:lang w:val="en-US"/>
        </w:rPr>
        <w:t xml:space="preserve"> 2010, </w:t>
      </w:r>
      <w:r w:rsidR="002D3C89" w:rsidRPr="00882AB5">
        <w:rPr>
          <w:rFonts w:ascii="Verdana" w:hAnsi="Verdana"/>
          <w:sz w:val="20"/>
          <w:lang w:val="en-US"/>
        </w:rPr>
        <w:t>it asked the State to present information on</w:t>
      </w:r>
      <w:r w:rsidR="00EA507C" w:rsidRPr="00882AB5">
        <w:rPr>
          <w:rFonts w:ascii="Verdana" w:hAnsi="Verdana"/>
          <w:sz w:val="20"/>
          <w:lang w:val="en-US"/>
        </w:rPr>
        <w:t>: “</w:t>
      </w:r>
      <w:r w:rsidR="002D3C89" w:rsidRPr="00882AB5">
        <w:rPr>
          <w:rFonts w:ascii="Verdana" w:hAnsi="Verdana"/>
          <w:sz w:val="20"/>
          <w:lang w:val="en-US"/>
        </w:rPr>
        <w:t>(</w:t>
      </w:r>
      <w:r w:rsidR="00EA507C" w:rsidRPr="00882AB5">
        <w:rPr>
          <w:rFonts w:ascii="Verdana" w:hAnsi="Verdana"/>
          <w:sz w:val="20"/>
          <w:lang w:val="en-US"/>
        </w:rPr>
        <w:t xml:space="preserve">a) </w:t>
      </w:r>
      <w:r w:rsidR="00882AB5" w:rsidRPr="00882AB5">
        <w:rPr>
          <w:rFonts w:ascii="Verdana" w:hAnsi="Verdana"/>
          <w:sz w:val="20"/>
          <w:lang w:val="en-US"/>
        </w:rPr>
        <w:t>the activities of the “Coordination Team” established in 2005</w:t>
      </w:r>
      <w:r w:rsidR="00EA507C" w:rsidRPr="00882AB5">
        <w:rPr>
          <w:rFonts w:ascii="Verdana" w:hAnsi="Verdana"/>
          <w:sz w:val="20"/>
          <w:lang w:val="en-US"/>
        </w:rPr>
        <w:t xml:space="preserve">; </w:t>
      </w:r>
      <w:r w:rsidR="002D3C89" w:rsidRPr="00882AB5">
        <w:rPr>
          <w:rFonts w:ascii="Verdana" w:hAnsi="Verdana"/>
          <w:sz w:val="20"/>
          <w:lang w:val="en-US"/>
        </w:rPr>
        <w:t>(</w:t>
      </w:r>
      <w:r w:rsidR="00EA507C" w:rsidRPr="00882AB5">
        <w:rPr>
          <w:rFonts w:ascii="Verdana" w:hAnsi="Verdana"/>
          <w:sz w:val="20"/>
          <w:lang w:val="en-US"/>
        </w:rPr>
        <w:t xml:space="preserve">b) </w:t>
      </w:r>
      <w:r w:rsidR="00882AB5" w:rsidRPr="00882AB5">
        <w:rPr>
          <w:rFonts w:ascii="Verdana" w:hAnsi="Verdana"/>
          <w:sz w:val="20"/>
          <w:lang w:val="en-US"/>
        </w:rPr>
        <w:t>investigations into those persons that have allegedly acknowledged their responsibility for the attack; and</w:t>
      </w:r>
      <w:r w:rsidR="00EA507C" w:rsidRPr="00882AB5">
        <w:rPr>
          <w:rFonts w:ascii="Verdana" w:hAnsi="Verdana"/>
          <w:sz w:val="20"/>
          <w:lang w:val="en-US"/>
        </w:rPr>
        <w:t xml:space="preserve"> </w:t>
      </w:r>
      <w:r w:rsidR="002D3C89" w:rsidRPr="00882AB5">
        <w:rPr>
          <w:rFonts w:ascii="Verdana" w:hAnsi="Verdana"/>
          <w:sz w:val="20"/>
          <w:lang w:val="en-US"/>
        </w:rPr>
        <w:t>(</w:t>
      </w:r>
      <w:r w:rsidR="00EA507C" w:rsidRPr="00882AB5">
        <w:rPr>
          <w:rFonts w:ascii="Verdana" w:hAnsi="Verdana"/>
          <w:sz w:val="20"/>
          <w:lang w:val="en-US"/>
        </w:rPr>
        <w:t xml:space="preserve">c) </w:t>
      </w:r>
      <w:r w:rsidR="00882AB5" w:rsidRPr="00882AB5">
        <w:rPr>
          <w:rFonts w:ascii="Verdana" w:hAnsi="Verdana"/>
          <w:sz w:val="20"/>
          <w:lang w:val="en-US"/>
        </w:rPr>
        <w:t>the measures it has taken in order to ensure that the Amnesty Law referred to by the representatives will not be applied in this case</w:t>
      </w:r>
      <w:r w:rsidR="00A54ACF" w:rsidRPr="00882AB5">
        <w:rPr>
          <w:rFonts w:ascii="Verdana" w:hAnsi="Verdana"/>
          <w:sz w:val="20"/>
          <w:lang w:val="en-US"/>
        </w:rPr>
        <w:t>,</w:t>
      </w:r>
      <w:r w:rsidR="00EA507C" w:rsidRPr="00882AB5">
        <w:rPr>
          <w:rFonts w:ascii="Verdana" w:hAnsi="Verdana"/>
          <w:sz w:val="20"/>
          <w:lang w:val="en-US"/>
        </w:rPr>
        <w:t xml:space="preserve">” </w:t>
      </w:r>
      <w:r w:rsidR="002D3C89" w:rsidRPr="00882AB5">
        <w:rPr>
          <w:rFonts w:ascii="Verdana" w:hAnsi="Verdana"/>
          <w:sz w:val="20"/>
          <w:lang w:val="en-US"/>
        </w:rPr>
        <w:t>a</w:t>
      </w:r>
      <w:r w:rsidR="00A54ACF" w:rsidRPr="00882AB5">
        <w:rPr>
          <w:rFonts w:ascii="Verdana" w:hAnsi="Verdana"/>
          <w:sz w:val="20"/>
          <w:lang w:val="en-US"/>
        </w:rPr>
        <w:t>s well as</w:t>
      </w:r>
      <w:r w:rsidR="002D3C89" w:rsidRPr="00882AB5">
        <w:rPr>
          <w:rFonts w:ascii="Verdana" w:hAnsi="Verdana"/>
          <w:sz w:val="20"/>
          <w:lang w:val="en-US"/>
        </w:rPr>
        <w:t xml:space="preserve"> information on the measures taken to continue the investigation into obstruction of justice </w:t>
      </w:r>
      <w:r w:rsidR="00EA507C" w:rsidRPr="00882AB5">
        <w:rPr>
          <w:rFonts w:ascii="Verdana" w:hAnsi="Verdana"/>
          <w:sz w:val="20"/>
          <w:lang w:val="en-US"/>
        </w:rPr>
        <w:t>(</w:t>
      </w:r>
      <w:r w:rsidR="00EA507C" w:rsidRPr="00882AB5">
        <w:rPr>
          <w:rFonts w:ascii="Verdana" w:hAnsi="Verdana"/>
          <w:i/>
          <w:sz w:val="20"/>
          <w:lang w:val="en-US"/>
        </w:rPr>
        <w:t>supra</w:t>
      </w:r>
      <w:r w:rsidR="00EA507C" w:rsidRPr="00882AB5">
        <w:rPr>
          <w:rFonts w:ascii="Verdana" w:hAnsi="Verdana"/>
          <w:sz w:val="20"/>
          <w:lang w:val="en-US"/>
        </w:rPr>
        <w:t xml:space="preserve"> </w:t>
      </w:r>
      <w:proofErr w:type="spellStart"/>
      <w:r w:rsidR="002D3C89" w:rsidRPr="00882AB5">
        <w:rPr>
          <w:rFonts w:ascii="Verdana" w:hAnsi="Verdana"/>
          <w:i/>
          <w:sz w:val="20"/>
          <w:lang w:val="en-US"/>
        </w:rPr>
        <w:t>considerandum</w:t>
      </w:r>
      <w:proofErr w:type="spellEnd"/>
      <w:r w:rsidR="002D3C89" w:rsidRPr="00882AB5">
        <w:rPr>
          <w:rFonts w:ascii="Verdana" w:hAnsi="Verdana"/>
          <w:i/>
          <w:sz w:val="20"/>
          <w:lang w:val="en-US"/>
        </w:rPr>
        <w:t xml:space="preserve"> </w:t>
      </w:r>
      <w:r w:rsidR="0098325D" w:rsidRPr="00353B3F">
        <w:rPr>
          <w:rFonts w:ascii="Verdana" w:hAnsi="Verdana"/>
          <w:sz w:val="20"/>
          <w:lang w:val="en-US"/>
        </w:rPr>
        <w:fldChar w:fldCharType="begin"/>
      </w:r>
      <w:r w:rsidR="0098325D" w:rsidRPr="00882AB5">
        <w:rPr>
          <w:rFonts w:ascii="Verdana" w:hAnsi="Verdana"/>
          <w:sz w:val="20"/>
          <w:lang w:val="en-US"/>
        </w:rPr>
        <w:instrText xml:space="preserve"> REF _Ref532204711 \r \h </w:instrText>
      </w:r>
      <w:r w:rsidR="00E47A56" w:rsidRPr="00882AB5">
        <w:rPr>
          <w:rFonts w:ascii="Verdana" w:hAnsi="Verdana"/>
          <w:sz w:val="20"/>
          <w:lang w:val="en-US"/>
        </w:rPr>
        <w:instrText xml:space="preserve"> \* MERGEFORMAT </w:instrText>
      </w:r>
      <w:r w:rsidR="0098325D" w:rsidRPr="00353B3F">
        <w:rPr>
          <w:rFonts w:ascii="Verdana" w:hAnsi="Verdana"/>
          <w:sz w:val="20"/>
          <w:lang w:val="en-US"/>
        </w:rPr>
      </w:r>
      <w:r w:rsidR="0098325D" w:rsidRPr="00353B3F">
        <w:rPr>
          <w:rFonts w:ascii="Verdana" w:hAnsi="Verdana"/>
          <w:sz w:val="20"/>
          <w:lang w:val="en-US"/>
        </w:rPr>
        <w:fldChar w:fldCharType="separate"/>
      </w:r>
      <w:r w:rsidR="00BD655E">
        <w:rPr>
          <w:rFonts w:ascii="Verdana" w:hAnsi="Verdana"/>
          <w:sz w:val="20"/>
          <w:lang w:val="en-US"/>
        </w:rPr>
        <w:t>5</w:t>
      </w:r>
      <w:r w:rsidR="0098325D" w:rsidRPr="00353B3F">
        <w:rPr>
          <w:rFonts w:ascii="Verdana" w:hAnsi="Verdana"/>
          <w:sz w:val="20"/>
          <w:lang w:val="en-US"/>
        </w:rPr>
        <w:fldChar w:fldCharType="end"/>
      </w:r>
      <w:r w:rsidR="00EA507C" w:rsidRPr="00882AB5">
        <w:rPr>
          <w:rFonts w:ascii="Verdana" w:hAnsi="Verdana"/>
          <w:sz w:val="20"/>
          <w:lang w:val="en-US"/>
        </w:rPr>
        <w:t>).</w:t>
      </w:r>
      <w:bookmarkEnd w:id="12"/>
      <w:r w:rsidR="00EA507C" w:rsidRPr="00882AB5">
        <w:rPr>
          <w:rFonts w:ascii="Verdana" w:hAnsi="Verdana"/>
          <w:sz w:val="20"/>
          <w:lang w:val="en-US"/>
        </w:rPr>
        <w:t xml:space="preserve"> </w:t>
      </w:r>
    </w:p>
    <w:p w14:paraId="759706E4" w14:textId="77777777" w:rsidR="00EA507C" w:rsidRPr="00882AB5" w:rsidRDefault="00EA507C" w:rsidP="00C245E4">
      <w:pPr>
        <w:rPr>
          <w:rFonts w:ascii="Verdana" w:hAnsi="Verdana"/>
          <w:sz w:val="20"/>
          <w:lang w:val="en-US"/>
        </w:rPr>
      </w:pPr>
    </w:p>
    <w:p w14:paraId="3DF04733" w14:textId="757CAE4D" w:rsidR="00EA507C" w:rsidRPr="00353B3F" w:rsidRDefault="003A3D27" w:rsidP="00EA507C">
      <w:pPr>
        <w:pStyle w:val="ListParagraph"/>
        <w:numPr>
          <w:ilvl w:val="0"/>
          <w:numId w:val="5"/>
        </w:numPr>
        <w:ind w:left="0" w:firstLine="0"/>
        <w:jc w:val="both"/>
        <w:rPr>
          <w:rFonts w:ascii="Verdana" w:hAnsi="Verdana"/>
          <w:sz w:val="20"/>
          <w:lang w:val="en-US"/>
        </w:rPr>
      </w:pPr>
      <w:bookmarkStart w:id="13" w:name="_Ref532216949"/>
      <w:r w:rsidRPr="00353B3F">
        <w:rPr>
          <w:rFonts w:ascii="Verdana" w:hAnsi="Verdana"/>
          <w:sz w:val="20"/>
          <w:lang w:val="en-US"/>
        </w:rPr>
        <w:t>With r</w:t>
      </w:r>
      <w:r w:rsidR="00722FE9" w:rsidRPr="00353B3F">
        <w:rPr>
          <w:rFonts w:ascii="Verdana" w:hAnsi="Verdana"/>
          <w:sz w:val="20"/>
          <w:lang w:val="en-US"/>
        </w:rPr>
        <w:t>egard</w:t>
      </w:r>
      <w:r w:rsidRPr="00353B3F">
        <w:rPr>
          <w:rFonts w:ascii="Verdana" w:hAnsi="Verdana"/>
          <w:sz w:val="20"/>
          <w:lang w:val="en-US"/>
        </w:rPr>
        <w:t xml:space="preserve"> to</w:t>
      </w:r>
      <w:r w:rsidR="00722FE9" w:rsidRPr="00353B3F">
        <w:rPr>
          <w:rFonts w:ascii="Verdana" w:hAnsi="Verdana"/>
          <w:sz w:val="20"/>
          <w:lang w:val="en-US"/>
        </w:rPr>
        <w:t xml:space="preserve"> the effects of the Amnesty </w:t>
      </w:r>
      <w:r w:rsidR="00D44D65" w:rsidRPr="00353B3F">
        <w:rPr>
          <w:rFonts w:ascii="Verdana" w:hAnsi="Verdana"/>
          <w:sz w:val="20"/>
          <w:lang w:val="en-US"/>
        </w:rPr>
        <w:t>Act</w:t>
      </w:r>
      <w:r w:rsidR="00722FE9" w:rsidRPr="00353B3F">
        <w:rPr>
          <w:rFonts w:ascii="Verdana" w:hAnsi="Verdana"/>
          <w:sz w:val="20"/>
          <w:lang w:val="en-US"/>
        </w:rPr>
        <w:t xml:space="preserve">, </w:t>
      </w:r>
      <w:r w:rsidR="00A54ACF" w:rsidRPr="00353B3F">
        <w:rPr>
          <w:rFonts w:ascii="Verdana" w:hAnsi="Verdana"/>
          <w:sz w:val="20"/>
          <w:lang w:val="en-US"/>
        </w:rPr>
        <w:t xml:space="preserve">it is noted </w:t>
      </w:r>
      <w:r w:rsidRPr="00353B3F">
        <w:rPr>
          <w:rFonts w:ascii="Verdana" w:hAnsi="Verdana"/>
          <w:sz w:val="20"/>
          <w:lang w:val="en-US"/>
        </w:rPr>
        <w:t>from</w:t>
      </w:r>
      <w:r w:rsidR="00722FE9" w:rsidRPr="00353B3F">
        <w:rPr>
          <w:rFonts w:ascii="Verdana" w:hAnsi="Verdana"/>
          <w:sz w:val="20"/>
          <w:lang w:val="en-US"/>
        </w:rPr>
        <w:t xml:space="preserve"> information provided by the parties </w:t>
      </w:r>
      <w:r w:rsidRPr="00353B3F">
        <w:rPr>
          <w:rFonts w:ascii="Verdana" w:hAnsi="Verdana"/>
          <w:sz w:val="20"/>
          <w:lang w:val="en-US"/>
        </w:rPr>
        <w:t xml:space="preserve">that </w:t>
      </w:r>
      <w:r w:rsidR="00722FE9" w:rsidRPr="00353B3F">
        <w:rPr>
          <w:rFonts w:ascii="Verdana" w:hAnsi="Verdana"/>
          <w:sz w:val="20"/>
          <w:lang w:val="en-US"/>
        </w:rPr>
        <w:t>a law was enacted</w:t>
      </w:r>
      <w:r w:rsidRPr="00353B3F">
        <w:rPr>
          <w:rFonts w:ascii="Verdana" w:hAnsi="Verdana"/>
          <w:sz w:val="20"/>
          <w:lang w:val="en-US"/>
        </w:rPr>
        <w:t xml:space="preserve"> on April 5, 2012,</w:t>
      </w:r>
      <w:r w:rsidR="00722FE9" w:rsidRPr="00353B3F">
        <w:rPr>
          <w:rFonts w:ascii="Verdana" w:hAnsi="Verdana"/>
          <w:sz w:val="20"/>
          <w:lang w:val="en-US"/>
        </w:rPr>
        <w:t xml:space="preserve"> amend</w:t>
      </w:r>
      <w:r w:rsidRPr="00353B3F">
        <w:rPr>
          <w:rFonts w:ascii="Verdana" w:hAnsi="Verdana"/>
          <w:sz w:val="20"/>
          <w:lang w:val="en-US"/>
        </w:rPr>
        <w:t>ing</w:t>
      </w:r>
      <w:r w:rsidR="00722FE9" w:rsidRPr="00353B3F">
        <w:rPr>
          <w:rFonts w:ascii="Verdana" w:hAnsi="Verdana"/>
          <w:sz w:val="20"/>
          <w:lang w:val="en-US"/>
        </w:rPr>
        <w:t xml:space="preserve"> the </w:t>
      </w:r>
      <w:r w:rsidR="00722FE9" w:rsidRPr="00353B3F">
        <w:rPr>
          <w:rFonts w:ascii="Verdana" w:hAnsi="Verdana"/>
          <w:sz w:val="20"/>
          <w:lang w:val="en-US"/>
        </w:rPr>
        <w:lastRenderedPageBreak/>
        <w:t xml:space="preserve">Amnesty </w:t>
      </w:r>
      <w:r w:rsidR="00D44D65" w:rsidRPr="00353B3F">
        <w:rPr>
          <w:rFonts w:ascii="Verdana" w:hAnsi="Verdana"/>
          <w:sz w:val="20"/>
          <w:lang w:val="en-US"/>
        </w:rPr>
        <w:t>Act</w:t>
      </w:r>
      <w:r w:rsidR="00B577E0" w:rsidRPr="00353B3F">
        <w:rPr>
          <w:rStyle w:val="FootnoteReference"/>
          <w:rFonts w:ascii="Verdana" w:hAnsi="Verdana"/>
          <w:sz w:val="20"/>
          <w:lang w:val="en-US"/>
        </w:rPr>
        <w:footnoteReference w:id="20"/>
      </w:r>
      <w:r w:rsidR="003402D9" w:rsidRPr="00353B3F">
        <w:rPr>
          <w:rFonts w:ascii="Verdana" w:hAnsi="Verdana"/>
          <w:sz w:val="20"/>
          <w:lang w:val="en-US"/>
        </w:rPr>
        <w:t xml:space="preserve"> </w:t>
      </w:r>
      <w:r w:rsidR="00722FE9" w:rsidRPr="00353B3F">
        <w:rPr>
          <w:rFonts w:ascii="Verdana" w:hAnsi="Verdana"/>
          <w:sz w:val="20"/>
          <w:lang w:val="en-US"/>
        </w:rPr>
        <w:t xml:space="preserve">promulgated on August 19, </w:t>
      </w:r>
      <w:r w:rsidR="003402D9" w:rsidRPr="00353B3F">
        <w:rPr>
          <w:rFonts w:ascii="Verdana" w:hAnsi="Verdana"/>
          <w:sz w:val="20"/>
          <w:lang w:val="en-US"/>
        </w:rPr>
        <w:t>1992</w:t>
      </w:r>
      <w:r w:rsidR="00722FE9" w:rsidRPr="00353B3F">
        <w:rPr>
          <w:rFonts w:ascii="Verdana" w:hAnsi="Verdana"/>
          <w:sz w:val="20"/>
          <w:lang w:val="en-US"/>
        </w:rPr>
        <w:t>.</w:t>
      </w:r>
      <w:r w:rsidR="003402D9" w:rsidRPr="00353B3F">
        <w:rPr>
          <w:rStyle w:val="FootnoteReference"/>
          <w:rFonts w:ascii="Verdana" w:hAnsi="Verdana"/>
          <w:sz w:val="20"/>
          <w:lang w:val="en-US"/>
        </w:rPr>
        <w:footnoteReference w:id="21"/>
      </w:r>
      <w:r w:rsidR="003402D9" w:rsidRPr="00353B3F">
        <w:rPr>
          <w:rFonts w:ascii="Verdana" w:hAnsi="Verdana"/>
          <w:sz w:val="20"/>
          <w:lang w:val="en-US"/>
        </w:rPr>
        <w:t xml:space="preserve"> </w:t>
      </w:r>
      <w:r w:rsidR="00722FE9" w:rsidRPr="00353B3F">
        <w:rPr>
          <w:rFonts w:ascii="Verdana" w:hAnsi="Verdana"/>
          <w:sz w:val="20"/>
          <w:lang w:val="en-US"/>
        </w:rPr>
        <w:t>The amendment expanded the list of conducts that are protected by the amnesty</w:t>
      </w:r>
      <w:r w:rsidR="005B58D1" w:rsidRPr="00353B3F">
        <w:rPr>
          <w:rStyle w:val="FootnoteReference"/>
          <w:rFonts w:ascii="Verdana" w:hAnsi="Verdana"/>
          <w:sz w:val="20"/>
          <w:lang w:val="en-US"/>
        </w:rPr>
        <w:footnoteReference w:id="22"/>
      </w:r>
      <w:r w:rsidR="00722FE9" w:rsidRPr="00353B3F">
        <w:rPr>
          <w:rFonts w:ascii="Verdana" w:hAnsi="Verdana"/>
          <w:sz w:val="20"/>
          <w:lang w:val="en-US"/>
        </w:rPr>
        <w:t xml:space="preserve"> and required the creation of a Truth and Reconciliation Commission to investigate and establish the truth about the human rights violations committed between </w:t>
      </w:r>
      <w:r w:rsidR="005B58D1" w:rsidRPr="00353B3F">
        <w:rPr>
          <w:rFonts w:ascii="Verdana" w:hAnsi="Verdana"/>
          <w:sz w:val="20"/>
          <w:lang w:val="en-US"/>
        </w:rPr>
        <w:t xml:space="preserve">1980 </w:t>
      </w:r>
      <w:r w:rsidR="00722FE9" w:rsidRPr="00353B3F">
        <w:rPr>
          <w:rFonts w:ascii="Verdana" w:hAnsi="Verdana"/>
          <w:sz w:val="20"/>
          <w:lang w:val="en-US"/>
        </w:rPr>
        <w:t>and</w:t>
      </w:r>
      <w:r w:rsidR="005B58D1" w:rsidRPr="00353B3F">
        <w:rPr>
          <w:rFonts w:ascii="Verdana" w:hAnsi="Verdana"/>
          <w:sz w:val="20"/>
          <w:lang w:val="en-US"/>
        </w:rPr>
        <w:t xml:space="preserve"> 1985. </w:t>
      </w:r>
      <w:r w:rsidR="00722FE9" w:rsidRPr="00353B3F">
        <w:rPr>
          <w:rFonts w:ascii="Verdana" w:hAnsi="Verdana"/>
          <w:sz w:val="20"/>
          <w:lang w:val="en-US"/>
        </w:rPr>
        <w:t xml:space="preserve">Despite this, the text of the said law was accompanied by an annex entitled </w:t>
      </w:r>
      <w:r w:rsidR="005B58D1" w:rsidRPr="00353B3F">
        <w:rPr>
          <w:rFonts w:ascii="Verdana" w:hAnsi="Verdana"/>
          <w:sz w:val="20"/>
          <w:lang w:val="en-US"/>
        </w:rPr>
        <w:t>“</w:t>
      </w:r>
      <w:r w:rsidR="00D44D65" w:rsidRPr="00353B3F">
        <w:rPr>
          <w:rFonts w:ascii="Verdana" w:hAnsi="Verdana"/>
          <w:sz w:val="20"/>
          <w:lang w:val="en-US"/>
        </w:rPr>
        <w:t xml:space="preserve">Explanatory </w:t>
      </w:r>
      <w:r w:rsidR="005B58D1" w:rsidRPr="00353B3F">
        <w:rPr>
          <w:rFonts w:ascii="Verdana" w:hAnsi="Verdana"/>
          <w:sz w:val="20"/>
          <w:lang w:val="en-US"/>
        </w:rPr>
        <w:t>Memor</w:t>
      </w:r>
      <w:r w:rsidR="00D44D65" w:rsidRPr="00353B3F">
        <w:rPr>
          <w:rFonts w:ascii="Verdana" w:hAnsi="Verdana"/>
          <w:sz w:val="20"/>
          <w:lang w:val="en-US"/>
        </w:rPr>
        <w:t>a</w:t>
      </w:r>
      <w:r w:rsidR="005B58D1" w:rsidRPr="00353B3F">
        <w:rPr>
          <w:rFonts w:ascii="Verdana" w:hAnsi="Verdana"/>
          <w:sz w:val="20"/>
          <w:lang w:val="en-US"/>
        </w:rPr>
        <w:t xml:space="preserve">ndum”, </w:t>
      </w:r>
      <w:r w:rsidR="00722FE9" w:rsidRPr="00353B3F">
        <w:rPr>
          <w:rFonts w:ascii="Verdana" w:hAnsi="Verdana"/>
          <w:sz w:val="20"/>
          <w:lang w:val="en-US"/>
        </w:rPr>
        <w:t>which expressly indicates that</w:t>
      </w:r>
      <w:r w:rsidR="005B58D1" w:rsidRPr="00353B3F">
        <w:rPr>
          <w:rFonts w:ascii="Verdana" w:hAnsi="Verdana"/>
          <w:sz w:val="20"/>
          <w:lang w:val="en-US"/>
        </w:rPr>
        <w:t xml:space="preserve"> “</w:t>
      </w:r>
      <w:r w:rsidR="00D44D65" w:rsidRPr="00353B3F">
        <w:rPr>
          <w:rFonts w:ascii="Verdana" w:hAnsi="Verdana"/>
          <w:sz w:val="20"/>
          <w:lang w:val="en-US"/>
        </w:rPr>
        <w:t xml:space="preserve">the </w:t>
      </w:r>
      <w:proofErr w:type="spellStart"/>
      <w:r w:rsidR="00D44D65" w:rsidRPr="00353B3F">
        <w:rPr>
          <w:rFonts w:ascii="Verdana" w:hAnsi="Verdana"/>
          <w:sz w:val="20"/>
          <w:lang w:val="en-US"/>
        </w:rPr>
        <w:t>Moiwana</w:t>
      </w:r>
      <w:proofErr w:type="spellEnd"/>
      <w:r w:rsidR="00D44D65" w:rsidRPr="00353B3F">
        <w:rPr>
          <w:rFonts w:ascii="Verdana" w:hAnsi="Verdana"/>
          <w:sz w:val="20"/>
          <w:lang w:val="en-US"/>
        </w:rPr>
        <w:t xml:space="preserve"> Judgment of the Inter-American Court of Human Rights does not fall within the scope of the Amnesty Law, and therefore must be implemented unabridged.</w:t>
      </w:r>
      <w:r w:rsidR="005B58D1" w:rsidRPr="00353B3F">
        <w:rPr>
          <w:rFonts w:ascii="Verdana" w:hAnsi="Verdana"/>
          <w:sz w:val="20"/>
          <w:lang w:val="en-US"/>
        </w:rPr>
        <w:t xml:space="preserve">” </w:t>
      </w:r>
      <w:r w:rsidR="00B00DF6" w:rsidRPr="00353B3F">
        <w:rPr>
          <w:rFonts w:ascii="Verdana" w:hAnsi="Verdana"/>
          <w:sz w:val="20"/>
          <w:lang w:val="en-US"/>
        </w:rPr>
        <w:t>The representatives</w:t>
      </w:r>
      <w:r w:rsidR="00722FE9" w:rsidRPr="00353B3F">
        <w:rPr>
          <w:rFonts w:ascii="Verdana" w:hAnsi="Verdana"/>
          <w:sz w:val="20"/>
          <w:lang w:val="en-US"/>
        </w:rPr>
        <w:t xml:space="preserve"> pointed out that the legal effects of this </w:t>
      </w:r>
      <w:r w:rsidR="00C01E77" w:rsidRPr="00353B3F">
        <w:rPr>
          <w:rFonts w:ascii="Verdana" w:hAnsi="Verdana"/>
          <w:sz w:val="20"/>
          <w:lang w:val="en-US"/>
        </w:rPr>
        <w:t>“</w:t>
      </w:r>
      <w:r w:rsidR="00D44D65" w:rsidRPr="00353B3F">
        <w:rPr>
          <w:rFonts w:ascii="Verdana" w:hAnsi="Verdana"/>
          <w:sz w:val="20"/>
          <w:lang w:val="en-US"/>
        </w:rPr>
        <w:t>Explanatory Memorandum</w:t>
      </w:r>
      <w:r w:rsidR="00C245E4" w:rsidRPr="00353B3F">
        <w:rPr>
          <w:rFonts w:ascii="Verdana" w:hAnsi="Verdana"/>
          <w:sz w:val="20"/>
          <w:lang w:val="en-US"/>
        </w:rPr>
        <w:t>”</w:t>
      </w:r>
      <w:r w:rsidR="00722FE9" w:rsidRPr="00353B3F">
        <w:rPr>
          <w:rFonts w:ascii="Verdana" w:hAnsi="Verdana"/>
          <w:sz w:val="20"/>
          <w:lang w:val="en-US"/>
        </w:rPr>
        <w:t xml:space="preserve"> were unclear</w:t>
      </w:r>
      <w:r w:rsidR="00E34351" w:rsidRPr="00353B3F">
        <w:rPr>
          <w:rFonts w:ascii="Verdana" w:hAnsi="Verdana"/>
          <w:sz w:val="20"/>
          <w:lang w:val="en-US"/>
        </w:rPr>
        <w:t xml:space="preserve"> </w:t>
      </w:r>
      <w:r w:rsidR="00722FE9" w:rsidRPr="00353B3F">
        <w:rPr>
          <w:rFonts w:ascii="Verdana" w:hAnsi="Verdana"/>
          <w:sz w:val="20"/>
          <w:lang w:val="en-US"/>
        </w:rPr>
        <w:t xml:space="preserve">and that in view of the total absence of an investigation by the </w:t>
      </w:r>
      <w:r w:rsidR="00484EB4" w:rsidRPr="00353B3F">
        <w:rPr>
          <w:rFonts w:ascii="Verdana" w:hAnsi="Verdana"/>
          <w:sz w:val="20"/>
          <w:lang w:val="en-US"/>
        </w:rPr>
        <w:t>State</w:t>
      </w:r>
      <w:r w:rsidR="00E34351" w:rsidRPr="00353B3F">
        <w:rPr>
          <w:rFonts w:ascii="Verdana" w:hAnsi="Verdana"/>
          <w:sz w:val="20"/>
          <w:lang w:val="en-US"/>
        </w:rPr>
        <w:t xml:space="preserve"> (</w:t>
      </w:r>
      <w:r w:rsidR="00E34351" w:rsidRPr="00353B3F">
        <w:rPr>
          <w:rFonts w:ascii="Verdana" w:hAnsi="Verdana"/>
          <w:i/>
          <w:sz w:val="20"/>
          <w:lang w:val="en-US"/>
        </w:rPr>
        <w:t>infra</w:t>
      </w:r>
      <w:r w:rsidR="00E34351" w:rsidRPr="00353B3F">
        <w:rPr>
          <w:rFonts w:ascii="Verdana" w:hAnsi="Verdana"/>
          <w:sz w:val="20"/>
          <w:lang w:val="en-US"/>
        </w:rPr>
        <w:t xml:space="preserve"> </w:t>
      </w:r>
      <w:proofErr w:type="spellStart"/>
      <w:r w:rsidR="002D3C89" w:rsidRPr="00353B3F">
        <w:rPr>
          <w:rFonts w:ascii="Verdana" w:hAnsi="Verdana"/>
          <w:i/>
          <w:sz w:val="20"/>
          <w:lang w:val="en-US"/>
        </w:rPr>
        <w:t>considerandum</w:t>
      </w:r>
      <w:proofErr w:type="spellEnd"/>
      <w:r w:rsidR="00722FE9" w:rsidRPr="00353B3F">
        <w:rPr>
          <w:rFonts w:ascii="Verdana" w:hAnsi="Verdana"/>
          <w:i/>
          <w:sz w:val="20"/>
          <w:lang w:val="en-US"/>
        </w:rPr>
        <w:t xml:space="preserve"> </w:t>
      </w:r>
      <w:r w:rsidR="009235B8" w:rsidRPr="00353B3F">
        <w:rPr>
          <w:rFonts w:ascii="Verdana" w:hAnsi="Verdana"/>
          <w:sz w:val="20"/>
          <w:lang w:val="en-US"/>
        </w:rPr>
        <w:fldChar w:fldCharType="begin"/>
      </w:r>
      <w:r w:rsidR="009235B8" w:rsidRPr="00353B3F">
        <w:rPr>
          <w:rFonts w:ascii="Verdana" w:hAnsi="Verdana"/>
          <w:sz w:val="20"/>
          <w:lang w:val="en-US"/>
        </w:rPr>
        <w:instrText xml:space="preserve"> REF _Ref532217777 \r \h </w:instrText>
      </w:r>
      <w:r w:rsidR="00E47A56" w:rsidRPr="00353B3F">
        <w:rPr>
          <w:rFonts w:ascii="Verdana" w:hAnsi="Verdana"/>
          <w:sz w:val="20"/>
          <w:lang w:val="en-US"/>
        </w:rPr>
        <w:instrText xml:space="preserve"> \* MERGEFORMAT </w:instrText>
      </w:r>
      <w:r w:rsidR="009235B8" w:rsidRPr="00353B3F">
        <w:rPr>
          <w:rFonts w:ascii="Verdana" w:hAnsi="Verdana"/>
          <w:sz w:val="20"/>
          <w:lang w:val="en-US"/>
        </w:rPr>
      </w:r>
      <w:r w:rsidR="009235B8" w:rsidRPr="00353B3F">
        <w:rPr>
          <w:rFonts w:ascii="Verdana" w:hAnsi="Verdana"/>
          <w:sz w:val="20"/>
          <w:lang w:val="en-US"/>
        </w:rPr>
        <w:fldChar w:fldCharType="separate"/>
      </w:r>
      <w:r w:rsidR="00BD655E">
        <w:rPr>
          <w:rFonts w:ascii="Verdana" w:hAnsi="Verdana"/>
          <w:sz w:val="20"/>
          <w:lang w:val="en-US"/>
        </w:rPr>
        <w:t>13</w:t>
      </w:r>
      <w:r w:rsidR="009235B8" w:rsidRPr="00353B3F">
        <w:rPr>
          <w:rFonts w:ascii="Verdana" w:hAnsi="Verdana"/>
          <w:sz w:val="20"/>
          <w:lang w:val="en-US"/>
        </w:rPr>
        <w:fldChar w:fldCharType="end"/>
      </w:r>
      <w:r w:rsidR="00E34351" w:rsidRPr="00353B3F">
        <w:rPr>
          <w:rFonts w:ascii="Verdana" w:hAnsi="Verdana"/>
          <w:sz w:val="20"/>
          <w:lang w:val="en-US"/>
        </w:rPr>
        <w:t xml:space="preserve">), </w:t>
      </w:r>
      <w:r w:rsidR="00722FE9" w:rsidRPr="00353B3F">
        <w:rPr>
          <w:rFonts w:ascii="Verdana" w:hAnsi="Verdana"/>
          <w:sz w:val="20"/>
          <w:lang w:val="en-US"/>
        </w:rPr>
        <w:t xml:space="preserve">it was not possible to know </w:t>
      </w:r>
      <w:r w:rsidR="00D44D65" w:rsidRPr="00353B3F">
        <w:rPr>
          <w:rFonts w:ascii="Verdana" w:hAnsi="Verdana"/>
          <w:sz w:val="20"/>
          <w:lang w:val="en-US"/>
        </w:rPr>
        <w:t>its</w:t>
      </w:r>
      <w:r w:rsidR="00722FE9" w:rsidRPr="00353B3F">
        <w:rPr>
          <w:rFonts w:ascii="Verdana" w:hAnsi="Verdana"/>
          <w:sz w:val="20"/>
          <w:lang w:val="en-US"/>
        </w:rPr>
        <w:t xml:space="preserve"> potential effects.</w:t>
      </w:r>
      <w:bookmarkEnd w:id="13"/>
    </w:p>
    <w:p w14:paraId="45E8386F" w14:textId="77777777" w:rsidR="00E34351" w:rsidRPr="00353B3F" w:rsidRDefault="00E34351" w:rsidP="00E34351">
      <w:pPr>
        <w:pStyle w:val="ListParagraph"/>
        <w:ind w:left="0"/>
        <w:jc w:val="both"/>
        <w:rPr>
          <w:rFonts w:ascii="Verdana" w:hAnsi="Verdana"/>
          <w:sz w:val="20"/>
          <w:lang w:val="en-US"/>
        </w:rPr>
      </w:pPr>
    </w:p>
    <w:p w14:paraId="78C9CA0B" w14:textId="6EFE563E" w:rsidR="00E34351" w:rsidRPr="00353B3F" w:rsidRDefault="00D44D65" w:rsidP="005947DB">
      <w:pPr>
        <w:pStyle w:val="ListParagraph"/>
        <w:numPr>
          <w:ilvl w:val="0"/>
          <w:numId w:val="5"/>
        </w:numPr>
        <w:ind w:left="0" w:firstLine="0"/>
        <w:jc w:val="both"/>
        <w:rPr>
          <w:rFonts w:ascii="Verdana" w:hAnsi="Verdana"/>
          <w:sz w:val="20"/>
          <w:lang w:val="en-US"/>
        </w:rPr>
      </w:pPr>
      <w:r w:rsidRPr="00353B3F">
        <w:rPr>
          <w:rFonts w:ascii="Verdana" w:hAnsi="Verdana"/>
          <w:sz w:val="20"/>
          <w:lang w:val="en-US"/>
        </w:rPr>
        <w:t>Additionally, in their 2015 brief,</w:t>
      </w:r>
      <w:r w:rsidR="00E34351" w:rsidRPr="00353B3F">
        <w:rPr>
          <w:rFonts w:ascii="Verdana" w:hAnsi="Verdana"/>
          <w:sz w:val="20"/>
          <w:lang w:val="en-US"/>
        </w:rPr>
        <w:t xml:space="preserve"> </w:t>
      </w:r>
      <w:r w:rsidR="00B00DF6" w:rsidRPr="00353B3F">
        <w:rPr>
          <w:rFonts w:ascii="Verdana" w:hAnsi="Verdana"/>
          <w:sz w:val="20"/>
          <w:lang w:val="en-US"/>
        </w:rPr>
        <w:t>the representatives</w:t>
      </w:r>
      <w:r w:rsidR="00C01F8C" w:rsidRPr="00353B3F">
        <w:rPr>
          <w:rFonts w:ascii="Verdana" w:hAnsi="Verdana"/>
          <w:sz w:val="20"/>
          <w:lang w:val="en-US"/>
        </w:rPr>
        <w:t xml:space="preserve"> </w:t>
      </w:r>
      <w:r w:rsidRPr="00353B3F">
        <w:rPr>
          <w:rFonts w:ascii="Verdana" w:hAnsi="Verdana"/>
          <w:sz w:val="20"/>
          <w:lang w:val="en-US"/>
        </w:rPr>
        <w:t xml:space="preserve">provided, as evidence, a report that Suriname had presented to the Human Rights Committee in 2014 which revealed that </w:t>
      </w:r>
      <w:r w:rsidR="005947DB" w:rsidRPr="00353B3F">
        <w:rPr>
          <w:rFonts w:ascii="Verdana" w:hAnsi="Verdana"/>
          <w:sz w:val="20"/>
          <w:lang w:val="en-US"/>
        </w:rPr>
        <w:t>the Constitutional Court had been called on to determine whether the adoption of the amendment entailed a violation of the</w:t>
      </w:r>
      <w:r w:rsidR="003A3D27" w:rsidRPr="00353B3F">
        <w:rPr>
          <w:rFonts w:ascii="Verdana" w:hAnsi="Verdana"/>
          <w:sz w:val="20"/>
          <w:lang w:val="en-US"/>
        </w:rPr>
        <w:t xml:space="preserve"> Surinamese</w:t>
      </w:r>
      <w:r w:rsidR="005947DB" w:rsidRPr="00353B3F">
        <w:rPr>
          <w:rFonts w:ascii="Verdana" w:hAnsi="Verdana"/>
          <w:sz w:val="20"/>
          <w:lang w:val="en-US"/>
        </w:rPr>
        <w:t xml:space="preserve"> Constitution.</w:t>
      </w:r>
      <w:r w:rsidR="00FD716D" w:rsidRPr="00353B3F">
        <w:rPr>
          <w:rStyle w:val="FootnoteReference"/>
          <w:rFonts w:ascii="Verdana" w:hAnsi="Verdana"/>
          <w:sz w:val="20"/>
          <w:lang w:val="en-US"/>
        </w:rPr>
        <w:footnoteReference w:id="23"/>
      </w:r>
      <w:r w:rsidR="00FD716D" w:rsidRPr="00353B3F">
        <w:rPr>
          <w:rFonts w:ascii="Verdana" w:hAnsi="Verdana"/>
          <w:sz w:val="20"/>
          <w:lang w:val="en-US"/>
        </w:rPr>
        <w:t xml:space="preserve"> </w:t>
      </w:r>
      <w:r w:rsidR="005947DB" w:rsidRPr="00353B3F">
        <w:rPr>
          <w:rFonts w:ascii="Verdana" w:hAnsi="Verdana"/>
          <w:sz w:val="20"/>
          <w:lang w:val="en-US"/>
        </w:rPr>
        <w:t>Furthermore, according to a</w:t>
      </w:r>
      <w:r w:rsidR="003A3D27" w:rsidRPr="00353B3F">
        <w:rPr>
          <w:rFonts w:ascii="Verdana" w:hAnsi="Verdana"/>
          <w:sz w:val="20"/>
          <w:lang w:val="en-US"/>
        </w:rPr>
        <w:t xml:space="preserve">n </w:t>
      </w:r>
      <w:r w:rsidR="005947DB" w:rsidRPr="00353B3F">
        <w:rPr>
          <w:rFonts w:ascii="Verdana" w:hAnsi="Verdana"/>
          <w:sz w:val="20"/>
          <w:lang w:val="en-US"/>
        </w:rPr>
        <w:t>Amnesty International</w:t>
      </w:r>
      <w:r w:rsidR="003A3D27" w:rsidRPr="00353B3F">
        <w:rPr>
          <w:rFonts w:ascii="Verdana" w:hAnsi="Verdana"/>
          <w:sz w:val="20"/>
          <w:lang w:val="en-US"/>
        </w:rPr>
        <w:t xml:space="preserve"> report</w:t>
      </w:r>
      <w:r w:rsidR="005947DB" w:rsidRPr="00353B3F">
        <w:rPr>
          <w:rFonts w:ascii="Verdana" w:hAnsi="Verdana"/>
          <w:sz w:val="20"/>
          <w:lang w:val="en-US"/>
        </w:rPr>
        <w:t xml:space="preserve"> attached to </w:t>
      </w:r>
      <w:r w:rsidR="00DC49A3" w:rsidRPr="00353B3F">
        <w:rPr>
          <w:rFonts w:ascii="Verdana" w:hAnsi="Verdana"/>
          <w:sz w:val="20"/>
          <w:lang w:val="en-US"/>
        </w:rPr>
        <w:t xml:space="preserve">the </w:t>
      </w:r>
      <w:r w:rsidR="00B00DF6" w:rsidRPr="00353B3F">
        <w:rPr>
          <w:rFonts w:ascii="Verdana" w:hAnsi="Verdana"/>
          <w:sz w:val="20"/>
          <w:lang w:val="en-US"/>
        </w:rPr>
        <w:t>representatives</w:t>
      </w:r>
      <w:r w:rsidR="005947DB" w:rsidRPr="00353B3F">
        <w:rPr>
          <w:rFonts w:ascii="Verdana" w:hAnsi="Verdana"/>
          <w:sz w:val="20"/>
          <w:lang w:val="en-US"/>
        </w:rPr>
        <w:t>’ brief</w:t>
      </w:r>
      <w:r w:rsidR="00A237F5" w:rsidRPr="00353B3F">
        <w:rPr>
          <w:rFonts w:ascii="Verdana" w:hAnsi="Verdana"/>
          <w:sz w:val="20"/>
          <w:lang w:val="en-US"/>
        </w:rPr>
        <w:t>,</w:t>
      </w:r>
      <w:r w:rsidR="00C01F8C" w:rsidRPr="00353B3F">
        <w:rPr>
          <w:rFonts w:ascii="Verdana" w:hAnsi="Verdana"/>
          <w:sz w:val="20"/>
          <w:lang w:val="en-US"/>
        </w:rPr>
        <w:t xml:space="preserve"> </w:t>
      </w:r>
      <w:r w:rsidR="005947DB" w:rsidRPr="00353B3F">
        <w:rPr>
          <w:rFonts w:ascii="Verdana" w:hAnsi="Verdana"/>
          <w:sz w:val="20"/>
          <w:lang w:val="en-US"/>
        </w:rPr>
        <w:t>this legal remedy could not be decided until the Constitutional Court of Suriname had been installed.</w:t>
      </w:r>
      <w:r w:rsidR="00FD716D" w:rsidRPr="00353B3F">
        <w:rPr>
          <w:rStyle w:val="FootnoteReference"/>
          <w:rFonts w:ascii="Verdana" w:hAnsi="Verdana"/>
          <w:sz w:val="20"/>
          <w:lang w:val="en-US"/>
        </w:rPr>
        <w:footnoteReference w:id="24"/>
      </w:r>
      <w:r w:rsidR="00DC49A3" w:rsidRPr="00353B3F">
        <w:rPr>
          <w:rFonts w:ascii="Verdana" w:hAnsi="Verdana"/>
          <w:sz w:val="20"/>
          <w:lang w:val="en-US"/>
        </w:rPr>
        <w:t xml:space="preserve"> </w:t>
      </w:r>
      <w:r w:rsidR="005947DB" w:rsidRPr="00353B3F">
        <w:rPr>
          <w:rFonts w:ascii="Verdana" w:hAnsi="Verdana"/>
          <w:sz w:val="20"/>
          <w:lang w:val="en-US"/>
        </w:rPr>
        <w:t>It is unclear from</w:t>
      </w:r>
      <w:r w:rsidR="00DC49A3" w:rsidRPr="00353B3F">
        <w:rPr>
          <w:rFonts w:ascii="Verdana" w:hAnsi="Verdana"/>
          <w:sz w:val="20"/>
          <w:lang w:val="en-US"/>
        </w:rPr>
        <w:t xml:space="preserve"> the </w:t>
      </w:r>
      <w:r w:rsidR="00A237F5" w:rsidRPr="00353B3F">
        <w:rPr>
          <w:rFonts w:ascii="Verdana" w:hAnsi="Verdana"/>
          <w:sz w:val="20"/>
          <w:lang w:val="en-US"/>
        </w:rPr>
        <w:t>informa</w:t>
      </w:r>
      <w:r w:rsidR="00B521E4" w:rsidRPr="00353B3F">
        <w:rPr>
          <w:rFonts w:ascii="Verdana" w:hAnsi="Verdana"/>
          <w:sz w:val="20"/>
          <w:lang w:val="en-US"/>
        </w:rPr>
        <w:t>tio</w:t>
      </w:r>
      <w:r w:rsidR="00A237F5" w:rsidRPr="00353B3F">
        <w:rPr>
          <w:rFonts w:ascii="Verdana" w:hAnsi="Verdana"/>
          <w:sz w:val="20"/>
          <w:lang w:val="en-US"/>
        </w:rPr>
        <w:t xml:space="preserve">n </w:t>
      </w:r>
      <w:r w:rsidR="005947DB" w:rsidRPr="00353B3F">
        <w:rPr>
          <w:rFonts w:ascii="Verdana" w:hAnsi="Verdana"/>
          <w:sz w:val="20"/>
          <w:lang w:val="en-US"/>
        </w:rPr>
        <w:t>available whether the said amnesty law is in force following the filing of this</w:t>
      </w:r>
      <w:r w:rsidR="003A3D27" w:rsidRPr="00353B3F">
        <w:rPr>
          <w:rFonts w:ascii="Verdana" w:hAnsi="Verdana"/>
          <w:sz w:val="20"/>
          <w:lang w:val="en-US"/>
        </w:rPr>
        <w:t xml:space="preserve"> appeal.</w:t>
      </w:r>
      <w:r w:rsidR="00B521E4" w:rsidRPr="00353B3F">
        <w:rPr>
          <w:rFonts w:ascii="Verdana" w:hAnsi="Verdana"/>
          <w:sz w:val="20"/>
          <w:lang w:val="en-US"/>
        </w:rPr>
        <w:t xml:space="preserve"> The parties have not sent any </w:t>
      </w:r>
      <w:r w:rsidR="003A3D27" w:rsidRPr="00353B3F">
        <w:rPr>
          <w:rFonts w:ascii="Verdana" w:hAnsi="Verdana"/>
          <w:sz w:val="20"/>
          <w:lang w:val="en-US"/>
        </w:rPr>
        <w:t xml:space="preserve">relevant </w:t>
      </w:r>
      <w:r w:rsidR="00B521E4" w:rsidRPr="00353B3F">
        <w:rPr>
          <w:rFonts w:ascii="Verdana" w:hAnsi="Verdana"/>
          <w:sz w:val="20"/>
          <w:lang w:val="en-US"/>
        </w:rPr>
        <w:t>updated information since 2015</w:t>
      </w:r>
      <w:r w:rsidR="00C01F8C" w:rsidRPr="00353B3F">
        <w:rPr>
          <w:rFonts w:ascii="Verdana" w:hAnsi="Verdana"/>
          <w:sz w:val="20"/>
          <w:lang w:val="en-US"/>
        </w:rPr>
        <w:t>.</w:t>
      </w:r>
      <w:r w:rsidR="00A237F5" w:rsidRPr="00353B3F">
        <w:rPr>
          <w:rFonts w:ascii="Verdana" w:hAnsi="Verdana"/>
          <w:sz w:val="20"/>
          <w:lang w:val="en-US"/>
        </w:rPr>
        <w:t xml:space="preserve"> </w:t>
      </w:r>
    </w:p>
    <w:p w14:paraId="78DA00DE" w14:textId="77777777" w:rsidR="00712605" w:rsidRPr="00353B3F" w:rsidRDefault="00712605" w:rsidP="00712605">
      <w:pPr>
        <w:jc w:val="both"/>
        <w:rPr>
          <w:rFonts w:ascii="Verdana" w:hAnsi="Verdana"/>
          <w:sz w:val="20"/>
          <w:lang w:val="en-US"/>
        </w:rPr>
      </w:pPr>
    </w:p>
    <w:p w14:paraId="11E9A464" w14:textId="0F5A2674" w:rsidR="005D1F9E" w:rsidRPr="00353B3F" w:rsidRDefault="00B521E4" w:rsidP="003A3D27">
      <w:pPr>
        <w:pStyle w:val="ListParagraph"/>
        <w:numPr>
          <w:ilvl w:val="0"/>
          <w:numId w:val="5"/>
        </w:numPr>
        <w:autoSpaceDE w:val="0"/>
        <w:autoSpaceDN w:val="0"/>
        <w:adjustRightInd w:val="0"/>
        <w:ind w:left="0" w:firstLine="0"/>
        <w:jc w:val="both"/>
        <w:rPr>
          <w:rFonts w:ascii="Verdana" w:eastAsiaTheme="minorHAnsi" w:hAnsi="Verdana" w:cs="TTE1091E40t00"/>
          <w:sz w:val="20"/>
          <w:lang w:val="en-US"/>
        </w:rPr>
      </w:pPr>
      <w:r w:rsidRPr="00353B3F">
        <w:rPr>
          <w:rFonts w:ascii="Verdana" w:hAnsi="Verdana"/>
          <w:sz w:val="20"/>
          <w:lang w:val="en-US"/>
        </w:rPr>
        <w:t>In this regard, the Court reiterates</w:t>
      </w:r>
      <w:r w:rsidR="003A3D27" w:rsidRPr="00353B3F">
        <w:rPr>
          <w:rFonts w:ascii="Verdana" w:hAnsi="Verdana"/>
          <w:sz w:val="20"/>
          <w:lang w:val="en-US"/>
        </w:rPr>
        <w:t xml:space="preserve"> that</w:t>
      </w:r>
      <w:r w:rsidR="00B25688" w:rsidRPr="00353B3F">
        <w:rPr>
          <w:rFonts w:ascii="Verdana" w:hAnsi="Verdana"/>
          <w:sz w:val="20"/>
          <w:lang w:val="en-US"/>
        </w:rPr>
        <w:t xml:space="preserve"> “</w:t>
      </w:r>
      <w:r w:rsidR="003A3D27" w:rsidRPr="00353B3F">
        <w:rPr>
          <w:rFonts w:ascii="Verdana" w:eastAsiaTheme="minorHAnsi" w:hAnsi="Verdana" w:cs="TTE1091E40t00"/>
          <w:sz w:val="20"/>
          <w:lang w:val="en-US"/>
        </w:rPr>
        <w:t xml:space="preserve">amnesty laws, statutes of limitation and related provisions that </w:t>
      </w:r>
      <w:r w:rsidR="00B25688" w:rsidRPr="00353B3F">
        <w:rPr>
          <w:rFonts w:ascii="Verdana" w:eastAsiaTheme="minorHAnsi" w:hAnsi="Verdana" w:cs="TTE1091E40t00"/>
          <w:sz w:val="20"/>
          <w:lang w:val="en-US"/>
        </w:rPr>
        <w:t xml:space="preserve">attempt to </w:t>
      </w:r>
      <w:r w:rsidR="003A3D27" w:rsidRPr="00353B3F">
        <w:rPr>
          <w:rFonts w:ascii="Verdana" w:eastAsiaTheme="minorHAnsi" w:hAnsi="Verdana" w:cs="TTE1091E40t00"/>
          <w:sz w:val="20"/>
          <w:lang w:val="en-US"/>
        </w:rPr>
        <w:t>hinder the investigation and punishment of serious human rights violations – such as those of the present case, summary, extra-legal or arbitrary executions – are inadmissible, as s</w:t>
      </w:r>
      <w:r w:rsidR="00B25688" w:rsidRPr="00353B3F">
        <w:rPr>
          <w:rFonts w:ascii="Verdana" w:eastAsiaTheme="minorHAnsi" w:hAnsi="Verdana" w:cs="TTE1091E40t00"/>
          <w:sz w:val="20"/>
          <w:lang w:val="en-US"/>
        </w:rPr>
        <w:t>uch</w:t>
      </w:r>
      <w:r w:rsidR="003A3D27" w:rsidRPr="00353B3F">
        <w:rPr>
          <w:rFonts w:ascii="Verdana" w:eastAsiaTheme="minorHAnsi" w:hAnsi="Verdana" w:cs="TTE1091E40t00"/>
          <w:sz w:val="20"/>
          <w:lang w:val="en-US"/>
        </w:rPr>
        <w:t xml:space="preserve"> violations contravene non-derogable rights recognized in international human rights law</w:t>
      </w:r>
      <w:r w:rsidR="00B25688" w:rsidRPr="00353B3F">
        <w:rPr>
          <w:rFonts w:ascii="Verdana" w:eastAsiaTheme="minorHAnsi" w:hAnsi="Verdana" w:cs="TTE1091E40t00"/>
          <w:sz w:val="20"/>
          <w:lang w:val="en-US"/>
        </w:rPr>
        <w:t xml:space="preserve">.” </w:t>
      </w:r>
      <w:r w:rsidRPr="00353B3F">
        <w:rPr>
          <w:rFonts w:ascii="Verdana" w:hAnsi="Verdana"/>
          <w:sz w:val="20"/>
          <w:lang w:val="en-US"/>
        </w:rPr>
        <w:t xml:space="preserve">Thus, although the Explanatory Memorandum attached to the 2012 amendment to the law </w:t>
      </w:r>
      <w:r w:rsidR="00E34351" w:rsidRPr="00353B3F">
        <w:rPr>
          <w:rFonts w:ascii="Verdana" w:hAnsi="Verdana"/>
          <w:sz w:val="20"/>
          <w:lang w:val="en-US"/>
        </w:rPr>
        <w:t>(</w:t>
      </w:r>
      <w:r w:rsidR="00E34351" w:rsidRPr="00353B3F">
        <w:rPr>
          <w:rFonts w:ascii="Verdana" w:hAnsi="Verdana"/>
          <w:i/>
          <w:sz w:val="20"/>
          <w:lang w:val="en-US"/>
        </w:rPr>
        <w:t>supra</w:t>
      </w:r>
      <w:r w:rsidR="00E34351" w:rsidRPr="00353B3F">
        <w:rPr>
          <w:rFonts w:ascii="Verdana" w:hAnsi="Verdana"/>
          <w:sz w:val="20"/>
          <w:lang w:val="en-US"/>
        </w:rPr>
        <w:t xml:space="preserve"> </w:t>
      </w:r>
      <w:proofErr w:type="spellStart"/>
      <w:r w:rsidR="002D3C89" w:rsidRPr="00353B3F">
        <w:rPr>
          <w:rFonts w:ascii="Verdana" w:hAnsi="Verdana"/>
          <w:i/>
          <w:sz w:val="20"/>
          <w:lang w:val="en-US"/>
        </w:rPr>
        <w:t>considerandum</w:t>
      </w:r>
      <w:proofErr w:type="spellEnd"/>
      <w:r w:rsidRPr="00353B3F">
        <w:rPr>
          <w:rFonts w:ascii="Verdana" w:hAnsi="Verdana"/>
          <w:i/>
          <w:sz w:val="20"/>
          <w:lang w:val="en-US"/>
        </w:rPr>
        <w:t xml:space="preserve"> </w:t>
      </w:r>
      <w:r w:rsidR="00DC5A2A" w:rsidRPr="00353B3F">
        <w:rPr>
          <w:rFonts w:ascii="Verdana" w:hAnsi="Verdana"/>
          <w:sz w:val="20"/>
          <w:lang w:val="en-US"/>
        </w:rPr>
        <w:fldChar w:fldCharType="begin"/>
      </w:r>
      <w:r w:rsidR="00DC5A2A" w:rsidRPr="00353B3F">
        <w:rPr>
          <w:rFonts w:ascii="Verdana" w:hAnsi="Verdana"/>
          <w:sz w:val="20"/>
          <w:lang w:val="en-US"/>
        </w:rPr>
        <w:instrText xml:space="preserve"> REF _Ref532216949 \r \h </w:instrText>
      </w:r>
      <w:r w:rsidR="00E47A56" w:rsidRPr="00353B3F">
        <w:rPr>
          <w:rFonts w:ascii="Verdana" w:hAnsi="Verdana"/>
          <w:sz w:val="20"/>
          <w:lang w:val="en-US"/>
        </w:rPr>
        <w:instrText xml:space="preserve"> \* MERGEFORMAT </w:instrText>
      </w:r>
      <w:r w:rsidR="00DC5A2A" w:rsidRPr="00353B3F">
        <w:rPr>
          <w:rFonts w:ascii="Verdana" w:hAnsi="Verdana"/>
          <w:sz w:val="20"/>
          <w:lang w:val="en-US"/>
        </w:rPr>
      </w:r>
      <w:r w:rsidR="00DC5A2A" w:rsidRPr="00353B3F">
        <w:rPr>
          <w:rFonts w:ascii="Verdana" w:hAnsi="Verdana"/>
          <w:sz w:val="20"/>
          <w:lang w:val="en-US"/>
        </w:rPr>
        <w:fldChar w:fldCharType="separate"/>
      </w:r>
      <w:r w:rsidR="00BD655E">
        <w:rPr>
          <w:rFonts w:ascii="Verdana" w:hAnsi="Verdana"/>
          <w:sz w:val="20"/>
          <w:lang w:val="en-US"/>
        </w:rPr>
        <w:t>9</w:t>
      </w:r>
      <w:r w:rsidR="00DC5A2A" w:rsidRPr="00353B3F">
        <w:rPr>
          <w:rFonts w:ascii="Verdana" w:hAnsi="Verdana"/>
          <w:sz w:val="20"/>
          <w:lang w:val="en-US"/>
        </w:rPr>
        <w:fldChar w:fldCharType="end"/>
      </w:r>
      <w:r w:rsidR="00E34351" w:rsidRPr="00353B3F">
        <w:rPr>
          <w:rFonts w:ascii="Verdana" w:hAnsi="Verdana"/>
          <w:sz w:val="20"/>
          <w:lang w:val="en-US"/>
        </w:rPr>
        <w:t>) expl</w:t>
      </w:r>
      <w:r w:rsidRPr="00353B3F">
        <w:rPr>
          <w:rFonts w:ascii="Verdana" w:hAnsi="Verdana"/>
          <w:sz w:val="20"/>
          <w:lang w:val="en-US"/>
        </w:rPr>
        <w:t xml:space="preserve">icitly excludes the application of amnesties to the facts of this case, the Court notes </w:t>
      </w:r>
      <w:r w:rsidR="00DB66BB" w:rsidRPr="00353B3F">
        <w:rPr>
          <w:rFonts w:ascii="Verdana" w:hAnsi="Verdana"/>
          <w:sz w:val="20"/>
          <w:lang w:val="en-US"/>
        </w:rPr>
        <w:t>that there is a</w:t>
      </w:r>
      <w:r w:rsidRPr="00353B3F">
        <w:rPr>
          <w:rFonts w:ascii="Verdana" w:hAnsi="Verdana"/>
          <w:sz w:val="20"/>
          <w:lang w:val="en-US"/>
        </w:rPr>
        <w:t xml:space="preserve"> lack of information as regards the legal</w:t>
      </w:r>
      <w:r w:rsidR="002B4F7B" w:rsidRPr="00353B3F">
        <w:rPr>
          <w:rFonts w:ascii="Verdana" w:hAnsi="Verdana"/>
          <w:sz w:val="20"/>
          <w:lang w:val="en-US"/>
        </w:rPr>
        <w:t xml:space="preserve"> force</w:t>
      </w:r>
      <w:r w:rsidRPr="00353B3F">
        <w:rPr>
          <w:rFonts w:ascii="Verdana" w:hAnsi="Verdana"/>
          <w:sz w:val="20"/>
          <w:lang w:val="en-US"/>
        </w:rPr>
        <w:t xml:space="preserve"> of this part of the document. Th</w:t>
      </w:r>
      <w:r w:rsidR="00DB66BB" w:rsidRPr="00353B3F">
        <w:rPr>
          <w:rFonts w:ascii="Verdana" w:hAnsi="Verdana"/>
          <w:sz w:val="20"/>
          <w:lang w:val="en-US"/>
        </w:rPr>
        <w:t>e</w:t>
      </w:r>
      <w:r w:rsidRPr="00353B3F">
        <w:rPr>
          <w:rFonts w:ascii="Verdana" w:hAnsi="Verdana"/>
          <w:sz w:val="20"/>
          <w:lang w:val="en-US"/>
        </w:rPr>
        <w:t xml:space="preserve"> absence of</w:t>
      </w:r>
      <w:r w:rsidR="00DB66BB" w:rsidRPr="00353B3F">
        <w:rPr>
          <w:rFonts w:ascii="Verdana" w:hAnsi="Verdana"/>
          <w:sz w:val="20"/>
          <w:lang w:val="en-US"/>
        </w:rPr>
        <w:t xml:space="preserve"> this</w:t>
      </w:r>
      <w:r w:rsidRPr="00353B3F">
        <w:rPr>
          <w:rFonts w:ascii="Verdana" w:hAnsi="Verdana"/>
          <w:sz w:val="20"/>
          <w:lang w:val="en-US"/>
        </w:rPr>
        <w:t xml:space="preserve"> information, added to the </w:t>
      </w:r>
      <w:r w:rsidR="00DB66BB" w:rsidRPr="00353B3F">
        <w:rPr>
          <w:rFonts w:ascii="Verdana" w:hAnsi="Verdana"/>
          <w:sz w:val="20"/>
          <w:lang w:val="en-US"/>
        </w:rPr>
        <w:t>failure to</w:t>
      </w:r>
      <w:r w:rsidRPr="00353B3F">
        <w:rPr>
          <w:rFonts w:ascii="Verdana" w:hAnsi="Verdana"/>
          <w:sz w:val="20"/>
          <w:lang w:val="en-US"/>
        </w:rPr>
        <w:t xml:space="preserve"> investigat</w:t>
      </w:r>
      <w:r w:rsidR="00DB66BB" w:rsidRPr="00353B3F">
        <w:rPr>
          <w:rFonts w:ascii="Verdana" w:hAnsi="Verdana"/>
          <w:sz w:val="20"/>
          <w:lang w:val="en-US"/>
        </w:rPr>
        <w:t>e</w:t>
      </w:r>
      <w:r w:rsidRPr="00353B3F">
        <w:rPr>
          <w:rFonts w:ascii="Verdana" w:hAnsi="Verdana"/>
          <w:sz w:val="20"/>
          <w:lang w:val="en-US"/>
        </w:rPr>
        <w:t xml:space="preserve"> the facts of th</w:t>
      </w:r>
      <w:r w:rsidR="00B25688" w:rsidRPr="00353B3F">
        <w:rPr>
          <w:rFonts w:ascii="Verdana" w:hAnsi="Verdana"/>
          <w:sz w:val="20"/>
          <w:lang w:val="en-US"/>
        </w:rPr>
        <w:t>e</w:t>
      </w:r>
      <w:r w:rsidRPr="00353B3F">
        <w:rPr>
          <w:rFonts w:ascii="Verdana" w:hAnsi="Verdana"/>
          <w:sz w:val="20"/>
          <w:lang w:val="en-US"/>
        </w:rPr>
        <w:t xml:space="preserve"> case and the lack of clarity </w:t>
      </w:r>
      <w:r w:rsidR="00DB66BB" w:rsidRPr="00353B3F">
        <w:rPr>
          <w:rFonts w:ascii="Verdana" w:hAnsi="Verdana"/>
          <w:sz w:val="20"/>
          <w:lang w:val="en-US"/>
        </w:rPr>
        <w:t>as to</w:t>
      </w:r>
      <w:r w:rsidRPr="00353B3F">
        <w:rPr>
          <w:rFonts w:ascii="Verdana" w:hAnsi="Verdana"/>
          <w:sz w:val="20"/>
          <w:lang w:val="en-US"/>
        </w:rPr>
        <w:t xml:space="preserve"> whether any decision has </w:t>
      </w:r>
      <w:r w:rsidRPr="00353B3F">
        <w:rPr>
          <w:rFonts w:ascii="Verdana" w:hAnsi="Verdana"/>
          <w:sz w:val="20"/>
          <w:lang w:val="en-US"/>
        </w:rPr>
        <w:lastRenderedPageBreak/>
        <w:t xml:space="preserve">been taken concerning the judicial control of this law </w:t>
      </w:r>
      <w:r w:rsidR="00E34351" w:rsidRPr="00353B3F">
        <w:rPr>
          <w:rFonts w:ascii="Verdana" w:hAnsi="Verdana"/>
          <w:sz w:val="20"/>
          <w:lang w:val="en-US"/>
        </w:rPr>
        <w:t>(</w:t>
      </w:r>
      <w:r w:rsidR="00E34351" w:rsidRPr="00353B3F">
        <w:rPr>
          <w:rFonts w:ascii="Verdana" w:hAnsi="Verdana"/>
          <w:i/>
          <w:sz w:val="20"/>
          <w:lang w:val="en-US"/>
        </w:rPr>
        <w:t xml:space="preserve">infra </w:t>
      </w:r>
      <w:proofErr w:type="spellStart"/>
      <w:r w:rsidRPr="00353B3F">
        <w:rPr>
          <w:rFonts w:ascii="Verdana" w:hAnsi="Verdana"/>
          <w:i/>
          <w:sz w:val="20"/>
          <w:lang w:val="en-US"/>
        </w:rPr>
        <w:t>c</w:t>
      </w:r>
      <w:r w:rsidR="00E34351" w:rsidRPr="00353B3F">
        <w:rPr>
          <w:rFonts w:ascii="Verdana" w:hAnsi="Verdana"/>
          <w:i/>
          <w:sz w:val="20"/>
          <w:lang w:val="en-US"/>
        </w:rPr>
        <w:t>onsiderand</w:t>
      </w:r>
      <w:r w:rsidRPr="00353B3F">
        <w:rPr>
          <w:rFonts w:ascii="Verdana" w:hAnsi="Verdana"/>
          <w:i/>
          <w:sz w:val="20"/>
          <w:lang w:val="en-US"/>
        </w:rPr>
        <w:t>a</w:t>
      </w:r>
      <w:proofErr w:type="spellEnd"/>
      <w:r w:rsidR="00E34351" w:rsidRPr="00353B3F">
        <w:rPr>
          <w:rFonts w:ascii="Verdana" w:hAnsi="Verdana"/>
          <w:sz w:val="20"/>
          <w:lang w:val="en-US"/>
        </w:rPr>
        <w:t xml:space="preserve"> </w:t>
      </w:r>
      <w:r w:rsidR="0079169D" w:rsidRPr="00353B3F">
        <w:rPr>
          <w:rFonts w:ascii="Verdana" w:hAnsi="Verdana"/>
          <w:sz w:val="20"/>
          <w:lang w:val="en-US"/>
        </w:rPr>
        <w:fldChar w:fldCharType="begin"/>
      </w:r>
      <w:r w:rsidR="0079169D" w:rsidRPr="00353B3F">
        <w:rPr>
          <w:rFonts w:ascii="Verdana" w:hAnsi="Verdana"/>
          <w:sz w:val="20"/>
          <w:lang w:val="en-US"/>
        </w:rPr>
        <w:instrText xml:space="preserve"> REF _Ref532217777 \r \h </w:instrText>
      </w:r>
      <w:r w:rsidR="00E47A56" w:rsidRPr="00353B3F">
        <w:rPr>
          <w:rFonts w:ascii="Verdana" w:hAnsi="Verdana"/>
          <w:sz w:val="20"/>
          <w:lang w:val="en-US"/>
        </w:rPr>
        <w:instrText xml:space="preserve"> \* MERGEFORMAT </w:instrText>
      </w:r>
      <w:r w:rsidR="0079169D" w:rsidRPr="00353B3F">
        <w:rPr>
          <w:rFonts w:ascii="Verdana" w:hAnsi="Verdana"/>
          <w:sz w:val="20"/>
          <w:lang w:val="en-US"/>
        </w:rPr>
      </w:r>
      <w:r w:rsidR="0079169D" w:rsidRPr="00353B3F">
        <w:rPr>
          <w:rFonts w:ascii="Verdana" w:hAnsi="Verdana"/>
          <w:sz w:val="20"/>
          <w:lang w:val="en-US"/>
        </w:rPr>
        <w:fldChar w:fldCharType="separate"/>
      </w:r>
      <w:r w:rsidR="00BD655E">
        <w:rPr>
          <w:rFonts w:ascii="Verdana" w:hAnsi="Verdana"/>
          <w:sz w:val="20"/>
          <w:lang w:val="en-US"/>
        </w:rPr>
        <w:t>13</w:t>
      </w:r>
      <w:r w:rsidR="0079169D" w:rsidRPr="00353B3F">
        <w:rPr>
          <w:rFonts w:ascii="Verdana" w:hAnsi="Verdana"/>
          <w:sz w:val="20"/>
          <w:lang w:val="en-US"/>
        </w:rPr>
        <w:fldChar w:fldCharType="end"/>
      </w:r>
      <w:r w:rsidR="00E34351" w:rsidRPr="00353B3F">
        <w:rPr>
          <w:rFonts w:ascii="Verdana" w:hAnsi="Verdana"/>
          <w:sz w:val="20"/>
          <w:lang w:val="en-US"/>
        </w:rPr>
        <w:t xml:space="preserve"> </w:t>
      </w:r>
      <w:r w:rsidRPr="00353B3F">
        <w:rPr>
          <w:rFonts w:ascii="Verdana" w:hAnsi="Verdana"/>
          <w:sz w:val="20"/>
          <w:lang w:val="en-US"/>
        </w:rPr>
        <w:t>to</w:t>
      </w:r>
      <w:r w:rsidR="00E34351" w:rsidRPr="00353B3F">
        <w:rPr>
          <w:rFonts w:ascii="Verdana" w:hAnsi="Verdana"/>
          <w:sz w:val="20"/>
          <w:lang w:val="en-US"/>
        </w:rPr>
        <w:t xml:space="preserve"> </w:t>
      </w:r>
      <w:r w:rsidR="0079169D" w:rsidRPr="00353B3F">
        <w:rPr>
          <w:rFonts w:ascii="Verdana" w:hAnsi="Verdana"/>
          <w:sz w:val="20"/>
          <w:lang w:val="en-US"/>
        </w:rPr>
        <w:fldChar w:fldCharType="begin"/>
      </w:r>
      <w:r w:rsidR="0079169D" w:rsidRPr="00353B3F">
        <w:rPr>
          <w:rFonts w:ascii="Verdana" w:hAnsi="Verdana"/>
          <w:sz w:val="20"/>
          <w:lang w:val="en-US"/>
        </w:rPr>
        <w:instrText xml:space="preserve"> REF _Ref532306453 \r \h </w:instrText>
      </w:r>
      <w:r w:rsidR="00E47A56" w:rsidRPr="00353B3F">
        <w:rPr>
          <w:rFonts w:ascii="Verdana" w:hAnsi="Verdana"/>
          <w:sz w:val="20"/>
          <w:lang w:val="en-US"/>
        </w:rPr>
        <w:instrText xml:space="preserve"> \* MERGEFORMAT </w:instrText>
      </w:r>
      <w:r w:rsidR="0079169D" w:rsidRPr="00353B3F">
        <w:rPr>
          <w:rFonts w:ascii="Verdana" w:hAnsi="Verdana"/>
          <w:sz w:val="20"/>
          <w:lang w:val="en-US"/>
        </w:rPr>
      </w:r>
      <w:r w:rsidR="0079169D" w:rsidRPr="00353B3F">
        <w:rPr>
          <w:rFonts w:ascii="Verdana" w:hAnsi="Verdana"/>
          <w:sz w:val="20"/>
          <w:lang w:val="en-US"/>
        </w:rPr>
        <w:fldChar w:fldCharType="separate"/>
      </w:r>
      <w:r w:rsidR="00BD655E">
        <w:rPr>
          <w:rFonts w:ascii="Verdana" w:hAnsi="Verdana"/>
          <w:sz w:val="20"/>
          <w:lang w:val="en-US"/>
        </w:rPr>
        <w:t>20</w:t>
      </w:r>
      <w:r w:rsidR="0079169D" w:rsidRPr="00353B3F">
        <w:rPr>
          <w:rFonts w:ascii="Verdana" w:hAnsi="Verdana"/>
          <w:sz w:val="20"/>
          <w:lang w:val="en-US"/>
        </w:rPr>
        <w:fldChar w:fldCharType="end"/>
      </w:r>
      <w:r w:rsidR="00E34351" w:rsidRPr="00353B3F">
        <w:rPr>
          <w:rFonts w:ascii="Verdana" w:hAnsi="Verdana"/>
          <w:sz w:val="20"/>
          <w:lang w:val="en-US"/>
        </w:rPr>
        <w:t xml:space="preserve">), </w:t>
      </w:r>
      <w:r w:rsidR="00B25688" w:rsidRPr="00353B3F">
        <w:rPr>
          <w:rFonts w:ascii="Verdana" w:hAnsi="Verdana"/>
          <w:sz w:val="20"/>
          <w:lang w:val="en-US"/>
        </w:rPr>
        <w:t>preclude</w:t>
      </w:r>
      <w:r w:rsidRPr="00353B3F">
        <w:rPr>
          <w:rFonts w:ascii="Verdana" w:hAnsi="Verdana"/>
          <w:sz w:val="20"/>
          <w:lang w:val="en-US"/>
        </w:rPr>
        <w:t xml:space="preserve"> this Court </w:t>
      </w:r>
      <w:r w:rsidR="00B25688" w:rsidRPr="00353B3F">
        <w:rPr>
          <w:rFonts w:ascii="Verdana" w:hAnsi="Verdana"/>
          <w:sz w:val="20"/>
          <w:lang w:val="en-US"/>
        </w:rPr>
        <w:t>from</w:t>
      </w:r>
      <w:r w:rsidRPr="00353B3F">
        <w:rPr>
          <w:rFonts w:ascii="Verdana" w:hAnsi="Verdana"/>
          <w:sz w:val="20"/>
          <w:lang w:val="en-US"/>
        </w:rPr>
        <w:t xml:space="preserve"> determin</w:t>
      </w:r>
      <w:r w:rsidR="00B25688" w:rsidRPr="00353B3F">
        <w:rPr>
          <w:rFonts w:ascii="Verdana" w:hAnsi="Verdana"/>
          <w:sz w:val="20"/>
          <w:lang w:val="en-US"/>
        </w:rPr>
        <w:t>ing</w:t>
      </w:r>
      <w:r w:rsidRPr="00353B3F">
        <w:rPr>
          <w:rFonts w:ascii="Verdana" w:hAnsi="Verdana"/>
          <w:sz w:val="20"/>
          <w:lang w:val="en-US"/>
        </w:rPr>
        <w:t xml:space="preserve"> whether or not the said Amnesty Act constitutes an obstacle to the investigation of this case. Consequently, the State is requested to present updated information clarifying that the facts of this case </w:t>
      </w:r>
      <w:r w:rsidR="00DB66BB" w:rsidRPr="00353B3F">
        <w:rPr>
          <w:rFonts w:ascii="Verdana" w:hAnsi="Verdana"/>
          <w:sz w:val="20"/>
          <w:lang w:val="en-US"/>
        </w:rPr>
        <w:t>cannot</w:t>
      </w:r>
      <w:r w:rsidRPr="00353B3F">
        <w:rPr>
          <w:rFonts w:ascii="Verdana" w:hAnsi="Verdana"/>
          <w:sz w:val="20"/>
          <w:lang w:val="en-US"/>
        </w:rPr>
        <w:t xml:space="preserve"> be subject to the amnesties established in the 1989 Amnesty Act,</w:t>
      </w:r>
      <w:r w:rsidR="005D1F9E" w:rsidRPr="00353B3F">
        <w:rPr>
          <w:rFonts w:ascii="Verdana" w:hAnsi="Verdana"/>
          <w:sz w:val="20"/>
          <w:lang w:val="en-US"/>
        </w:rPr>
        <w:t xml:space="preserve"> as amended in 2012.</w:t>
      </w:r>
    </w:p>
    <w:p w14:paraId="45C0886C" w14:textId="77777777" w:rsidR="005E015A" w:rsidRPr="00353B3F" w:rsidRDefault="005E015A" w:rsidP="005E015A">
      <w:pPr>
        <w:pStyle w:val="ListParagraph"/>
        <w:ind w:left="0"/>
        <w:jc w:val="both"/>
        <w:rPr>
          <w:rFonts w:ascii="Verdana" w:hAnsi="Verdana"/>
          <w:sz w:val="20"/>
          <w:lang w:val="en-US"/>
        </w:rPr>
      </w:pPr>
    </w:p>
    <w:p w14:paraId="1B451EEF" w14:textId="608CDA80" w:rsidR="005E015A" w:rsidRPr="00353B3F" w:rsidRDefault="004C2608" w:rsidP="00D475A0">
      <w:pPr>
        <w:pStyle w:val="ListParagraph"/>
        <w:numPr>
          <w:ilvl w:val="0"/>
          <w:numId w:val="5"/>
        </w:numPr>
        <w:ind w:left="0" w:firstLine="0"/>
        <w:jc w:val="both"/>
        <w:rPr>
          <w:rFonts w:ascii="Verdana" w:hAnsi="Verdana"/>
          <w:sz w:val="20"/>
          <w:lang w:val="en-US"/>
        </w:rPr>
      </w:pPr>
      <w:r w:rsidRPr="00353B3F">
        <w:rPr>
          <w:rFonts w:ascii="Verdana" w:hAnsi="Verdana"/>
          <w:sz w:val="20"/>
          <w:lang w:val="en-US"/>
        </w:rPr>
        <w:t>Regarding</w:t>
      </w:r>
      <w:r w:rsidR="00D475A0" w:rsidRPr="00353B3F">
        <w:rPr>
          <w:rFonts w:ascii="Verdana" w:hAnsi="Verdana"/>
          <w:sz w:val="20"/>
          <w:lang w:val="en-US"/>
        </w:rPr>
        <w:t xml:space="preserve"> the </w:t>
      </w:r>
      <w:r w:rsidR="00D73B43" w:rsidRPr="00353B3F">
        <w:rPr>
          <w:rFonts w:ascii="Verdana" w:hAnsi="Verdana"/>
          <w:sz w:val="20"/>
          <w:lang w:val="en-US"/>
        </w:rPr>
        <w:t>said</w:t>
      </w:r>
      <w:r w:rsidR="00D475A0" w:rsidRPr="00353B3F">
        <w:rPr>
          <w:rFonts w:ascii="Verdana" w:hAnsi="Verdana"/>
          <w:sz w:val="20"/>
          <w:lang w:val="en-US"/>
        </w:rPr>
        <w:t xml:space="preserve"> judicial control of the Amnesty Act, the Court recalls that all the authorities of a State Party to the American Convention, including the judges and organs involved in the administration of justice, have the obligation to exercise “convention</w:t>
      </w:r>
      <w:r w:rsidR="00D73B43" w:rsidRPr="00353B3F">
        <w:rPr>
          <w:rFonts w:ascii="Verdana" w:hAnsi="Verdana"/>
          <w:sz w:val="20"/>
          <w:lang w:val="en-US"/>
        </w:rPr>
        <w:t>ality control”</w:t>
      </w:r>
      <w:r w:rsidRPr="00353B3F">
        <w:rPr>
          <w:rFonts w:ascii="Verdana" w:hAnsi="Verdana"/>
          <w:sz w:val="20"/>
          <w:lang w:val="en-US"/>
        </w:rPr>
        <w:t xml:space="preserve"> – ev</w:t>
      </w:r>
      <w:r w:rsidR="00D73B43" w:rsidRPr="00353B3F">
        <w:rPr>
          <w:rFonts w:ascii="Verdana" w:hAnsi="Verdana"/>
          <w:sz w:val="20"/>
          <w:lang w:val="en-US"/>
        </w:rPr>
        <w:t>idently within the framework of their respective competencies and the corresponding procedural regulations</w:t>
      </w:r>
      <w:r w:rsidRPr="00353B3F">
        <w:rPr>
          <w:rFonts w:ascii="Verdana" w:hAnsi="Verdana"/>
          <w:sz w:val="20"/>
          <w:lang w:val="en-US"/>
        </w:rPr>
        <w:t xml:space="preserve"> – to</w:t>
      </w:r>
      <w:r w:rsidR="00D73B43" w:rsidRPr="00353B3F">
        <w:rPr>
          <w:rFonts w:ascii="Verdana" w:hAnsi="Verdana"/>
          <w:sz w:val="20"/>
          <w:lang w:val="en-US"/>
        </w:rPr>
        <w:t xml:space="preserve"> ensure that the interpretation and application of domestic law is consistent with the State’s international human rights obligations.</w:t>
      </w:r>
      <w:r w:rsidR="005E015A" w:rsidRPr="00353B3F">
        <w:rPr>
          <w:rFonts w:ascii="Verdana" w:hAnsi="Verdana"/>
          <w:sz w:val="20"/>
          <w:vertAlign w:val="superscript"/>
          <w:lang w:val="en-US"/>
        </w:rPr>
        <w:footnoteReference w:id="25"/>
      </w:r>
      <w:r w:rsidR="005E015A" w:rsidRPr="00353B3F">
        <w:rPr>
          <w:rFonts w:ascii="Verdana" w:eastAsia="Batang" w:hAnsi="Verdana" w:cs="Times"/>
          <w:sz w:val="20"/>
          <w:lang w:val="en-US"/>
        </w:rPr>
        <w:t xml:space="preserve"> </w:t>
      </w:r>
      <w:r w:rsidR="00D73B43" w:rsidRPr="00353B3F">
        <w:rPr>
          <w:rFonts w:ascii="Verdana" w:eastAsia="Batang" w:hAnsi="Verdana" w:cs="Times"/>
          <w:sz w:val="20"/>
          <w:lang w:val="en-US"/>
        </w:rPr>
        <w:t>Th</w:t>
      </w:r>
      <w:r w:rsidRPr="00353B3F">
        <w:rPr>
          <w:rFonts w:ascii="Verdana" w:eastAsia="Batang" w:hAnsi="Verdana" w:cs="Times"/>
          <w:sz w:val="20"/>
          <w:lang w:val="en-US"/>
        </w:rPr>
        <w:t>e</w:t>
      </w:r>
      <w:r w:rsidR="00D73B43" w:rsidRPr="00353B3F">
        <w:rPr>
          <w:rFonts w:ascii="Verdana" w:eastAsia="Batang" w:hAnsi="Verdana" w:cs="Times"/>
          <w:sz w:val="20"/>
          <w:lang w:val="en-US"/>
        </w:rPr>
        <w:t xml:space="preserve"> Court has also indicated that, regarding the execution of any specific judgment </w:t>
      </w:r>
      <w:r w:rsidR="00DC49A3" w:rsidRPr="00353B3F">
        <w:rPr>
          <w:rFonts w:ascii="Verdana" w:hAnsi="Verdana"/>
          <w:sz w:val="20"/>
          <w:lang w:val="en-US"/>
        </w:rPr>
        <w:t xml:space="preserve">of the </w:t>
      </w:r>
      <w:r w:rsidR="00484EB4" w:rsidRPr="00353B3F">
        <w:rPr>
          <w:rFonts w:ascii="Verdana" w:hAnsi="Verdana"/>
          <w:sz w:val="20"/>
          <w:lang w:val="en-US"/>
        </w:rPr>
        <w:t>Inter-American Court</w:t>
      </w:r>
      <w:r w:rsidR="005E015A" w:rsidRPr="00353B3F">
        <w:rPr>
          <w:rFonts w:ascii="Verdana" w:hAnsi="Verdana"/>
          <w:sz w:val="20"/>
          <w:lang w:val="en-US"/>
        </w:rPr>
        <w:t>, “</w:t>
      </w:r>
      <w:r w:rsidR="00D73B43" w:rsidRPr="00353B3F">
        <w:rPr>
          <w:rFonts w:ascii="Verdana" w:hAnsi="Verdana"/>
          <w:sz w:val="20"/>
          <w:lang w:val="en-US"/>
        </w:rPr>
        <w:t xml:space="preserve">the judicial organ has the function of ensuring that </w:t>
      </w:r>
      <w:r w:rsidR="00484EB4" w:rsidRPr="00353B3F">
        <w:rPr>
          <w:rFonts w:ascii="Verdana" w:hAnsi="Verdana"/>
          <w:sz w:val="20"/>
          <w:lang w:val="en-US"/>
        </w:rPr>
        <w:t>the American Convention</w:t>
      </w:r>
      <w:r w:rsidR="005E015A" w:rsidRPr="00353B3F">
        <w:rPr>
          <w:rFonts w:ascii="Verdana" w:hAnsi="Verdana"/>
          <w:sz w:val="20"/>
          <w:lang w:val="en-US"/>
        </w:rPr>
        <w:t xml:space="preserve"> </w:t>
      </w:r>
      <w:r w:rsidR="00D73B43" w:rsidRPr="00353B3F">
        <w:rPr>
          <w:rFonts w:ascii="Verdana" w:hAnsi="Verdana"/>
          <w:sz w:val="20"/>
          <w:lang w:val="en-US"/>
        </w:rPr>
        <w:t xml:space="preserve">and the rulings of this Court prevail over domestic law, </w:t>
      </w:r>
      <w:r w:rsidRPr="00353B3F">
        <w:rPr>
          <w:rFonts w:ascii="Verdana" w:hAnsi="Verdana"/>
          <w:sz w:val="20"/>
          <w:lang w:val="en-US"/>
        </w:rPr>
        <w:t xml:space="preserve">as well as </w:t>
      </w:r>
      <w:r w:rsidR="00D73B43" w:rsidRPr="00353B3F">
        <w:rPr>
          <w:rFonts w:ascii="Verdana" w:hAnsi="Verdana"/>
          <w:sz w:val="20"/>
          <w:lang w:val="en-US"/>
        </w:rPr>
        <w:t>interpretations and practices that obstruct compliance with the decisions take in any particular case.</w:t>
      </w:r>
      <w:r w:rsidR="005E015A" w:rsidRPr="00353B3F">
        <w:rPr>
          <w:rFonts w:ascii="Verdana" w:hAnsi="Verdana"/>
          <w:sz w:val="20"/>
          <w:lang w:val="en-US"/>
        </w:rPr>
        <w:t>”</w:t>
      </w:r>
      <w:r w:rsidR="005E015A" w:rsidRPr="00353B3F">
        <w:rPr>
          <w:rStyle w:val="FootnoteReference"/>
          <w:rFonts w:ascii="Verdana" w:hAnsi="Verdana"/>
          <w:sz w:val="20"/>
          <w:lang w:val="en-US"/>
        </w:rPr>
        <w:footnoteReference w:id="26"/>
      </w:r>
      <w:r w:rsidR="005E015A" w:rsidRPr="00353B3F">
        <w:rPr>
          <w:rFonts w:ascii="Verdana" w:hAnsi="Verdana"/>
          <w:sz w:val="20"/>
          <w:lang w:val="en-US"/>
        </w:rPr>
        <w:t xml:space="preserve"> </w:t>
      </w:r>
    </w:p>
    <w:p w14:paraId="7941C4FD" w14:textId="77777777" w:rsidR="00EA507C" w:rsidRPr="00353B3F" w:rsidRDefault="00E34351" w:rsidP="00E34351">
      <w:pPr>
        <w:pStyle w:val="ListParagraph"/>
        <w:tabs>
          <w:tab w:val="left" w:pos="1923"/>
        </w:tabs>
        <w:ind w:left="0"/>
        <w:jc w:val="both"/>
        <w:rPr>
          <w:rFonts w:ascii="Verdana" w:hAnsi="Verdana"/>
          <w:sz w:val="20"/>
          <w:lang w:val="en-US"/>
        </w:rPr>
      </w:pPr>
      <w:r w:rsidRPr="00353B3F">
        <w:rPr>
          <w:rFonts w:ascii="Verdana" w:hAnsi="Verdana"/>
          <w:sz w:val="20"/>
          <w:lang w:val="en-US"/>
        </w:rPr>
        <w:tab/>
      </w:r>
    </w:p>
    <w:p w14:paraId="6B2F21EE" w14:textId="189647D5" w:rsidR="00DA6DCB" w:rsidRPr="00353B3F" w:rsidRDefault="00D73B43" w:rsidP="00715100">
      <w:pPr>
        <w:pStyle w:val="ListParagraph"/>
        <w:numPr>
          <w:ilvl w:val="0"/>
          <w:numId w:val="5"/>
        </w:numPr>
        <w:ind w:left="0" w:firstLine="0"/>
        <w:jc w:val="both"/>
        <w:rPr>
          <w:rFonts w:ascii="Verdana" w:hAnsi="Verdana"/>
          <w:sz w:val="20"/>
          <w:lang w:val="en-US"/>
        </w:rPr>
      </w:pPr>
      <w:bookmarkStart w:id="14" w:name="_Ref532217777"/>
      <w:r w:rsidRPr="00353B3F">
        <w:rPr>
          <w:rFonts w:ascii="Verdana" w:hAnsi="Verdana"/>
          <w:sz w:val="20"/>
          <w:lang w:val="en-US"/>
        </w:rPr>
        <w:t xml:space="preserve">With regard to the investigation into the facts of this case, during the hearing held in 2012, the State acknowledged that, up until that date, no actions had been taken in relation to the investigation of the facts of the case. On that occasion, the State indicated that the lack of progress in the investigation arose from the fact that the victims had not come forward, even though they had been called to testify. To the contrary, the State noted that the victims were waiting for the </w:t>
      </w:r>
      <w:r w:rsidR="00F47024">
        <w:rPr>
          <w:rFonts w:ascii="Verdana" w:hAnsi="Verdana"/>
          <w:sz w:val="20"/>
          <w:lang w:val="en-US"/>
        </w:rPr>
        <w:t>Public Prosecution Department</w:t>
      </w:r>
      <w:r w:rsidRPr="00353B3F">
        <w:rPr>
          <w:rFonts w:ascii="Verdana" w:hAnsi="Verdana"/>
          <w:sz w:val="20"/>
          <w:lang w:val="en-US"/>
        </w:rPr>
        <w:t xml:space="preserve"> to come to them to take their declarations. </w:t>
      </w:r>
      <w:r w:rsidRPr="00D27BCC">
        <w:rPr>
          <w:rFonts w:ascii="Verdana" w:hAnsi="Verdana"/>
          <w:sz w:val="20"/>
          <w:lang w:val="en-US"/>
        </w:rPr>
        <w:t>In its 2015 report, the State merely indicated that</w:t>
      </w:r>
      <w:r w:rsidR="00792062" w:rsidRPr="00D27BCC">
        <w:rPr>
          <w:rFonts w:ascii="Verdana" w:hAnsi="Verdana"/>
          <w:sz w:val="20"/>
          <w:lang w:val="en-US"/>
        </w:rPr>
        <w:t xml:space="preserve"> </w:t>
      </w:r>
      <w:r w:rsidR="00D27BCC" w:rsidRPr="00D27BCC">
        <w:rPr>
          <w:rFonts w:ascii="Verdana" w:hAnsi="Verdana"/>
          <w:sz w:val="20"/>
          <w:lang w:val="en-US"/>
        </w:rPr>
        <w:t xml:space="preserve">the </w:t>
      </w:r>
      <w:r w:rsidR="004E1A03" w:rsidRPr="00D27BCC">
        <w:rPr>
          <w:rFonts w:ascii="Verdana" w:hAnsi="Verdana"/>
          <w:sz w:val="20"/>
          <w:lang w:val="en-US"/>
        </w:rPr>
        <w:t>“</w:t>
      </w:r>
      <w:r w:rsidR="00D27BCC" w:rsidRPr="00D27BCC">
        <w:rPr>
          <w:rFonts w:ascii="Verdana" w:hAnsi="Verdana"/>
          <w:sz w:val="20"/>
          <w:lang w:val="en-US"/>
        </w:rPr>
        <w:t xml:space="preserve">Public Prosecutions Department published a call </w:t>
      </w:r>
      <w:r w:rsidR="00D27BCC">
        <w:rPr>
          <w:rFonts w:ascii="Verdana" w:hAnsi="Verdana"/>
          <w:sz w:val="20"/>
          <w:lang w:val="en-US"/>
        </w:rPr>
        <w:t>for witnesses to come forward, which unfortunately did not happen</w:t>
      </w:r>
      <w:r w:rsidR="007A6B38" w:rsidRPr="00D27BCC">
        <w:rPr>
          <w:rFonts w:ascii="Verdana" w:hAnsi="Verdana"/>
          <w:sz w:val="20"/>
          <w:lang w:val="en-US"/>
        </w:rPr>
        <w:t>”</w:t>
      </w:r>
      <w:r w:rsidR="00D27BCC">
        <w:rPr>
          <w:rFonts w:ascii="Verdana" w:hAnsi="Verdana"/>
          <w:sz w:val="20"/>
          <w:lang w:val="en-US"/>
        </w:rPr>
        <w:t>.</w:t>
      </w:r>
      <w:r w:rsidR="006D66A8" w:rsidRPr="00D27BCC">
        <w:rPr>
          <w:rFonts w:ascii="Verdana" w:hAnsi="Verdana"/>
          <w:sz w:val="20"/>
          <w:lang w:val="en-US"/>
        </w:rPr>
        <w:t xml:space="preserve"> </w:t>
      </w:r>
      <w:r w:rsidRPr="00353B3F">
        <w:rPr>
          <w:rFonts w:ascii="Verdana" w:hAnsi="Verdana"/>
          <w:sz w:val="20"/>
          <w:lang w:val="en-US"/>
        </w:rPr>
        <w:t xml:space="preserve">The State also indicated that Mr. </w:t>
      </w:r>
      <w:proofErr w:type="spellStart"/>
      <w:r w:rsidR="006D66A8" w:rsidRPr="00353B3F">
        <w:rPr>
          <w:rFonts w:ascii="Verdana" w:hAnsi="Verdana"/>
          <w:sz w:val="20"/>
          <w:lang w:val="en-US"/>
        </w:rPr>
        <w:t>Ajintoena</w:t>
      </w:r>
      <w:proofErr w:type="spellEnd"/>
      <w:r w:rsidR="006D66A8" w:rsidRPr="00353B3F">
        <w:rPr>
          <w:rFonts w:ascii="Verdana" w:hAnsi="Verdana"/>
          <w:sz w:val="20"/>
          <w:lang w:val="en-US"/>
        </w:rPr>
        <w:t xml:space="preserve">, </w:t>
      </w:r>
      <w:r w:rsidRPr="00353B3F">
        <w:rPr>
          <w:rFonts w:ascii="Verdana" w:hAnsi="Verdana"/>
          <w:sz w:val="20"/>
          <w:lang w:val="en-US"/>
        </w:rPr>
        <w:t>who they identified as a representative of the victims/surviving families, had stated that the witnesses were waiting f</w:t>
      </w:r>
      <w:r w:rsidR="00715100" w:rsidRPr="00353B3F">
        <w:rPr>
          <w:rFonts w:ascii="Verdana" w:hAnsi="Verdana"/>
          <w:sz w:val="20"/>
          <w:lang w:val="en-US"/>
        </w:rPr>
        <w:t>or</w:t>
      </w:r>
      <w:r w:rsidRPr="00353B3F">
        <w:rPr>
          <w:rFonts w:ascii="Verdana" w:hAnsi="Verdana"/>
          <w:sz w:val="20"/>
          <w:lang w:val="en-US"/>
        </w:rPr>
        <w:t xml:space="preserve"> the State to </w:t>
      </w:r>
      <w:r w:rsidR="00CF30C4" w:rsidRPr="00353B3F">
        <w:rPr>
          <w:rFonts w:ascii="Verdana" w:hAnsi="Verdana"/>
          <w:sz w:val="20"/>
          <w:lang w:val="en-US"/>
        </w:rPr>
        <w:t>summon</w:t>
      </w:r>
      <w:r w:rsidRPr="00353B3F">
        <w:rPr>
          <w:rFonts w:ascii="Verdana" w:hAnsi="Verdana"/>
          <w:sz w:val="20"/>
          <w:lang w:val="en-US"/>
        </w:rPr>
        <w:t xml:space="preserve"> them.</w:t>
      </w:r>
      <w:r w:rsidR="00715100" w:rsidRPr="00353B3F">
        <w:rPr>
          <w:rFonts w:ascii="Verdana" w:hAnsi="Verdana"/>
          <w:sz w:val="20"/>
          <w:lang w:val="en-US"/>
        </w:rPr>
        <w:t xml:space="preserve"> The State indicated that, at the meeting held on August 10, 2012, the Prosecutor had indicated that no one can be forced to be a witness. In the case of the individuals </w:t>
      </w:r>
      <w:r w:rsidR="004C2608" w:rsidRPr="00353B3F">
        <w:rPr>
          <w:rFonts w:ascii="Verdana" w:hAnsi="Verdana"/>
          <w:sz w:val="20"/>
          <w:lang w:val="en-US"/>
        </w:rPr>
        <w:t>living in</w:t>
      </w:r>
      <w:r w:rsidR="00715100" w:rsidRPr="00353B3F">
        <w:rPr>
          <w:rFonts w:ascii="Verdana" w:hAnsi="Verdana"/>
          <w:sz w:val="20"/>
          <w:lang w:val="en-US"/>
        </w:rPr>
        <w:t xml:space="preserve"> French Guiana, the </w:t>
      </w:r>
      <w:r w:rsidR="00F47024">
        <w:rPr>
          <w:rFonts w:ascii="Verdana" w:hAnsi="Verdana"/>
          <w:sz w:val="20"/>
          <w:lang w:val="en-US"/>
        </w:rPr>
        <w:t>Public Prosecutor</w:t>
      </w:r>
      <w:r w:rsidR="00715100" w:rsidRPr="00353B3F">
        <w:rPr>
          <w:rFonts w:ascii="Verdana" w:hAnsi="Verdana"/>
          <w:sz w:val="20"/>
          <w:lang w:val="en-US"/>
        </w:rPr>
        <w:t xml:space="preserve"> indicated that the State is unable to approach them to question them, because they </w:t>
      </w:r>
      <w:r w:rsidR="004C2608" w:rsidRPr="00353B3F">
        <w:rPr>
          <w:rFonts w:ascii="Verdana" w:hAnsi="Verdana"/>
          <w:sz w:val="20"/>
          <w:lang w:val="en-US"/>
        </w:rPr>
        <w:t>reside</w:t>
      </w:r>
      <w:r w:rsidR="00715100" w:rsidRPr="00353B3F">
        <w:rPr>
          <w:rFonts w:ascii="Verdana" w:hAnsi="Verdana"/>
          <w:sz w:val="20"/>
          <w:lang w:val="en-US"/>
        </w:rPr>
        <w:t xml:space="preserve"> in the territory of another nation. </w:t>
      </w:r>
      <w:r w:rsidR="00715100" w:rsidRPr="00D27BCC">
        <w:rPr>
          <w:rFonts w:ascii="Verdana" w:hAnsi="Verdana"/>
          <w:sz w:val="20"/>
          <w:lang w:val="en-US"/>
        </w:rPr>
        <w:t xml:space="preserve">Mr. </w:t>
      </w:r>
      <w:proofErr w:type="spellStart"/>
      <w:r w:rsidR="006D66A8" w:rsidRPr="00D27BCC">
        <w:rPr>
          <w:rFonts w:ascii="Verdana" w:hAnsi="Verdana"/>
          <w:sz w:val="20"/>
          <w:lang w:val="en-US"/>
        </w:rPr>
        <w:t>Ajintoena</w:t>
      </w:r>
      <w:proofErr w:type="spellEnd"/>
      <w:r w:rsidR="006D66A8" w:rsidRPr="00D27BCC">
        <w:rPr>
          <w:rFonts w:ascii="Verdana" w:hAnsi="Verdana"/>
          <w:sz w:val="20"/>
          <w:lang w:val="en-US"/>
        </w:rPr>
        <w:t xml:space="preserve"> indic</w:t>
      </w:r>
      <w:r w:rsidR="00715100" w:rsidRPr="00D27BCC">
        <w:rPr>
          <w:rFonts w:ascii="Verdana" w:hAnsi="Verdana"/>
          <w:sz w:val="20"/>
          <w:lang w:val="en-US"/>
        </w:rPr>
        <w:t xml:space="preserve">ated </w:t>
      </w:r>
      <w:r w:rsidR="00DC5A2A" w:rsidRPr="00D27BCC">
        <w:rPr>
          <w:rFonts w:ascii="Verdana" w:hAnsi="Verdana"/>
          <w:sz w:val="20"/>
          <w:lang w:val="en-US"/>
        </w:rPr>
        <w:t>“</w:t>
      </w:r>
      <w:r w:rsidR="00D27BCC" w:rsidRPr="00D27BCC">
        <w:rPr>
          <w:rFonts w:ascii="Verdana" w:hAnsi="Verdana"/>
          <w:sz w:val="20"/>
          <w:lang w:val="en-US"/>
        </w:rPr>
        <w:t xml:space="preserve">to be willing to act as a witness, and would further pass on names of </w:t>
      </w:r>
      <w:r w:rsidR="00D27BCC">
        <w:rPr>
          <w:rFonts w:ascii="Verdana" w:hAnsi="Verdana"/>
          <w:sz w:val="20"/>
          <w:lang w:val="en-US"/>
        </w:rPr>
        <w:t>other persons who will witness to the State</w:t>
      </w:r>
      <w:r w:rsidR="006D66A8" w:rsidRPr="00D27BCC">
        <w:rPr>
          <w:rFonts w:ascii="Verdana" w:hAnsi="Verdana"/>
          <w:sz w:val="20"/>
          <w:lang w:val="en-US"/>
        </w:rPr>
        <w:t xml:space="preserve">”. </w:t>
      </w:r>
      <w:r w:rsidR="00715100" w:rsidRPr="00353B3F">
        <w:rPr>
          <w:rFonts w:ascii="Verdana" w:hAnsi="Verdana"/>
          <w:sz w:val="20"/>
          <w:lang w:val="en-US"/>
        </w:rPr>
        <w:t>Lastly, the State referred to the co</w:t>
      </w:r>
      <w:r w:rsidR="00CF30C4" w:rsidRPr="00353B3F">
        <w:rPr>
          <w:rFonts w:ascii="Verdana" w:hAnsi="Verdana"/>
          <w:sz w:val="20"/>
          <w:lang w:val="en-US"/>
        </w:rPr>
        <w:t>mmunication</w:t>
      </w:r>
      <w:r w:rsidR="00715100" w:rsidRPr="00353B3F">
        <w:rPr>
          <w:rFonts w:ascii="Verdana" w:hAnsi="Verdana"/>
          <w:sz w:val="20"/>
          <w:lang w:val="en-US"/>
        </w:rPr>
        <w:t xml:space="preserve"> between </w:t>
      </w:r>
      <w:r w:rsidR="00484EB4" w:rsidRPr="00353B3F">
        <w:rPr>
          <w:rFonts w:ascii="Verdana" w:hAnsi="Verdana"/>
          <w:sz w:val="20"/>
          <w:lang w:val="en-US"/>
        </w:rPr>
        <w:t>the State</w:t>
      </w:r>
      <w:r w:rsidR="006D66A8" w:rsidRPr="00353B3F">
        <w:rPr>
          <w:rFonts w:ascii="Verdana" w:hAnsi="Verdana"/>
          <w:sz w:val="20"/>
          <w:lang w:val="en-US"/>
        </w:rPr>
        <w:t xml:space="preserve"> </w:t>
      </w:r>
      <w:r w:rsidR="00715100" w:rsidRPr="00353B3F">
        <w:rPr>
          <w:rFonts w:ascii="Verdana" w:hAnsi="Verdana"/>
          <w:sz w:val="20"/>
          <w:lang w:val="en-US"/>
        </w:rPr>
        <w:t>and Mr.</w:t>
      </w:r>
      <w:r w:rsidR="006D66A8" w:rsidRPr="00353B3F">
        <w:rPr>
          <w:rFonts w:ascii="Verdana" w:hAnsi="Verdana"/>
          <w:sz w:val="20"/>
          <w:lang w:val="en-US"/>
        </w:rPr>
        <w:t xml:space="preserve"> </w:t>
      </w:r>
      <w:proofErr w:type="spellStart"/>
      <w:r w:rsidR="006D66A8" w:rsidRPr="00353B3F">
        <w:rPr>
          <w:rFonts w:ascii="Verdana" w:hAnsi="Verdana"/>
          <w:sz w:val="20"/>
          <w:lang w:val="en-US"/>
        </w:rPr>
        <w:t>Ajintoena</w:t>
      </w:r>
      <w:proofErr w:type="spellEnd"/>
      <w:r w:rsidR="004C2608" w:rsidRPr="00353B3F">
        <w:rPr>
          <w:rFonts w:ascii="Verdana" w:hAnsi="Verdana"/>
          <w:sz w:val="20"/>
          <w:lang w:val="en-US"/>
        </w:rPr>
        <w:t>,</w:t>
      </w:r>
      <w:r w:rsidR="006D66A8" w:rsidRPr="00353B3F">
        <w:rPr>
          <w:rFonts w:ascii="Verdana" w:hAnsi="Verdana"/>
          <w:sz w:val="20"/>
          <w:lang w:val="en-US"/>
        </w:rPr>
        <w:t xml:space="preserve"> </w:t>
      </w:r>
      <w:r w:rsidR="00715100" w:rsidRPr="00353B3F">
        <w:rPr>
          <w:rFonts w:ascii="Verdana" w:hAnsi="Verdana"/>
          <w:sz w:val="20"/>
          <w:lang w:val="en-US"/>
        </w:rPr>
        <w:t>as a representative of the victims, and advised that</w:t>
      </w:r>
      <w:r w:rsidR="006D66A8" w:rsidRPr="00353B3F">
        <w:rPr>
          <w:rFonts w:ascii="Verdana" w:hAnsi="Verdana"/>
          <w:sz w:val="20"/>
          <w:lang w:val="en-US"/>
        </w:rPr>
        <w:t xml:space="preserve"> “</w:t>
      </w:r>
      <w:r w:rsidR="00CF30C4" w:rsidRPr="00353B3F">
        <w:rPr>
          <w:rFonts w:ascii="Verdana" w:hAnsi="Verdana"/>
          <w:sz w:val="20"/>
          <w:lang w:val="en-US"/>
        </w:rPr>
        <w:t>it was not as good as before</w:t>
      </w:r>
      <w:r w:rsidR="006D66A8" w:rsidRPr="00353B3F">
        <w:rPr>
          <w:rFonts w:ascii="Verdana" w:hAnsi="Verdana"/>
          <w:sz w:val="20"/>
          <w:lang w:val="en-US"/>
        </w:rPr>
        <w:t xml:space="preserve">” </w:t>
      </w:r>
      <w:r w:rsidR="00715100" w:rsidRPr="00353B3F">
        <w:rPr>
          <w:rFonts w:ascii="Verdana" w:hAnsi="Verdana"/>
          <w:sz w:val="20"/>
          <w:lang w:val="en-US"/>
        </w:rPr>
        <w:t xml:space="preserve">because </w:t>
      </w:r>
      <w:r w:rsidR="006D66A8" w:rsidRPr="00353B3F">
        <w:rPr>
          <w:rFonts w:ascii="Verdana" w:hAnsi="Verdana"/>
          <w:sz w:val="20"/>
          <w:lang w:val="en-US"/>
        </w:rPr>
        <w:t>“</w:t>
      </w:r>
      <w:r w:rsidR="004C2608" w:rsidRPr="00353B3F">
        <w:rPr>
          <w:rFonts w:ascii="Verdana" w:hAnsi="Verdana"/>
          <w:sz w:val="20"/>
          <w:lang w:val="en-US"/>
        </w:rPr>
        <w:t>Mr.</w:t>
      </w:r>
      <w:r w:rsidR="006D66A8" w:rsidRPr="00353B3F">
        <w:rPr>
          <w:rFonts w:ascii="Verdana" w:hAnsi="Verdana"/>
          <w:sz w:val="20"/>
          <w:lang w:val="en-US"/>
        </w:rPr>
        <w:t xml:space="preserve"> </w:t>
      </w:r>
      <w:proofErr w:type="spellStart"/>
      <w:r w:rsidR="006D66A8" w:rsidRPr="00353B3F">
        <w:rPr>
          <w:rFonts w:ascii="Verdana" w:hAnsi="Verdana"/>
          <w:sz w:val="20"/>
          <w:lang w:val="en-US"/>
        </w:rPr>
        <w:t>Ajintoena</w:t>
      </w:r>
      <w:proofErr w:type="spellEnd"/>
      <w:r w:rsidR="006D66A8" w:rsidRPr="00353B3F">
        <w:rPr>
          <w:rFonts w:ascii="Verdana" w:hAnsi="Verdana"/>
          <w:sz w:val="20"/>
          <w:lang w:val="en-US"/>
        </w:rPr>
        <w:t xml:space="preserve"> </w:t>
      </w:r>
      <w:r w:rsidR="00D27BCC">
        <w:rPr>
          <w:rFonts w:ascii="Verdana" w:hAnsi="Verdana"/>
          <w:sz w:val="20"/>
          <w:lang w:val="en-US"/>
        </w:rPr>
        <w:t>is difficult to reach</w:t>
      </w:r>
      <w:r w:rsidR="006D66A8" w:rsidRPr="00353B3F">
        <w:rPr>
          <w:rFonts w:ascii="Verdana" w:hAnsi="Verdana"/>
          <w:sz w:val="20"/>
          <w:lang w:val="en-US"/>
        </w:rPr>
        <w:t xml:space="preserve">”. </w:t>
      </w:r>
      <w:bookmarkEnd w:id="14"/>
    </w:p>
    <w:p w14:paraId="0A35A9C4" w14:textId="77777777" w:rsidR="00792062" w:rsidRPr="00353B3F" w:rsidRDefault="00792062" w:rsidP="00792062">
      <w:pPr>
        <w:pStyle w:val="ListParagraph"/>
        <w:ind w:left="0"/>
        <w:jc w:val="both"/>
        <w:rPr>
          <w:rFonts w:ascii="Verdana" w:hAnsi="Verdana"/>
          <w:sz w:val="20"/>
          <w:lang w:val="en-US"/>
        </w:rPr>
      </w:pPr>
    </w:p>
    <w:p w14:paraId="47BE72E2" w14:textId="577E5758" w:rsidR="004E1A03" w:rsidRPr="00543BCB" w:rsidRDefault="00484EB4" w:rsidP="00611F86">
      <w:pPr>
        <w:pStyle w:val="ListParagraph"/>
        <w:numPr>
          <w:ilvl w:val="0"/>
          <w:numId w:val="5"/>
        </w:numPr>
        <w:ind w:left="0" w:firstLine="0"/>
        <w:jc w:val="both"/>
        <w:rPr>
          <w:rFonts w:ascii="Verdana" w:hAnsi="Verdana"/>
          <w:sz w:val="20"/>
          <w:lang w:val="en-US"/>
        </w:rPr>
      </w:pPr>
      <w:r w:rsidRPr="00D27BCC">
        <w:rPr>
          <w:rFonts w:ascii="Verdana" w:hAnsi="Verdana"/>
          <w:sz w:val="20"/>
          <w:lang w:val="en-US"/>
        </w:rPr>
        <w:t>The Commission</w:t>
      </w:r>
      <w:r w:rsidR="007E241D" w:rsidRPr="00D27BCC">
        <w:rPr>
          <w:rFonts w:ascii="Verdana" w:hAnsi="Verdana"/>
          <w:sz w:val="20"/>
          <w:lang w:val="en-US"/>
        </w:rPr>
        <w:t xml:space="preserve"> observ</w:t>
      </w:r>
      <w:r w:rsidR="00CF30C4" w:rsidRPr="00D27BCC">
        <w:rPr>
          <w:rFonts w:ascii="Verdana" w:hAnsi="Verdana"/>
          <w:sz w:val="20"/>
          <w:lang w:val="en-US"/>
        </w:rPr>
        <w:t>ed that</w:t>
      </w:r>
      <w:r w:rsidR="007E241D" w:rsidRPr="00D27BCC">
        <w:rPr>
          <w:rFonts w:ascii="Verdana" w:hAnsi="Verdana"/>
          <w:sz w:val="20"/>
          <w:lang w:val="en-US"/>
        </w:rPr>
        <w:t xml:space="preserve"> </w:t>
      </w:r>
      <w:r w:rsidRPr="00D27BCC">
        <w:rPr>
          <w:rFonts w:ascii="Verdana" w:hAnsi="Verdana"/>
          <w:sz w:val="20"/>
          <w:lang w:val="en-US"/>
        </w:rPr>
        <w:t>the State</w:t>
      </w:r>
      <w:r w:rsidR="00CF30C4" w:rsidRPr="00D27BCC">
        <w:rPr>
          <w:rFonts w:ascii="Verdana" w:hAnsi="Verdana"/>
          <w:sz w:val="20"/>
          <w:lang w:val="en-US"/>
        </w:rPr>
        <w:t xml:space="preserve"> had</w:t>
      </w:r>
      <w:r w:rsidR="007E241D" w:rsidRPr="00D27BCC">
        <w:rPr>
          <w:rFonts w:ascii="Verdana" w:hAnsi="Verdana"/>
          <w:sz w:val="20"/>
          <w:lang w:val="en-US"/>
        </w:rPr>
        <w:t xml:space="preserve"> “no</w:t>
      </w:r>
      <w:r w:rsidR="00CF30C4" w:rsidRPr="00D27BCC">
        <w:rPr>
          <w:rFonts w:ascii="Verdana" w:hAnsi="Verdana"/>
          <w:sz w:val="20"/>
          <w:lang w:val="en-US"/>
        </w:rPr>
        <w:t>t</w:t>
      </w:r>
      <w:r w:rsidR="007E241D" w:rsidRPr="00D27BCC">
        <w:rPr>
          <w:rFonts w:ascii="Verdana" w:hAnsi="Verdana"/>
          <w:sz w:val="20"/>
          <w:lang w:val="en-US"/>
        </w:rPr>
        <w:t xml:space="preserve"> </w:t>
      </w:r>
      <w:r w:rsidR="00D27BCC" w:rsidRPr="00D27BCC">
        <w:rPr>
          <w:rFonts w:ascii="Verdana" w:hAnsi="Verdana"/>
          <w:sz w:val="20"/>
          <w:lang w:val="en-US"/>
        </w:rPr>
        <w:t>present[</w:t>
      </w:r>
      <w:proofErr w:type="spellStart"/>
      <w:r w:rsidR="00D27BCC" w:rsidRPr="00D27BCC">
        <w:rPr>
          <w:rFonts w:ascii="Verdana" w:hAnsi="Verdana"/>
          <w:sz w:val="20"/>
          <w:lang w:val="en-US"/>
        </w:rPr>
        <w:t>ed</w:t>
      </w:r>
      <w:proofErr w:type="spellEnd"/>
      <w:r w:rsidR="00D27BCC" w:rsidRPr="00D27BCC">
        <w:rPr>
          <w:rFonts w:ascii="Verdana" w:hAnsi="Verdana"/>
          <w:sz w:val="20"/>
          <w:lang w:val="en-US"/>
        </w:rPr>
        <w:t>] updated information regarding the existence and status of an investigation</w:t>
      </w:r>
      <w:r w:rsidR="007E241D" w:rsidRPr="00D27BCC">
        <w:rPr>
          <w:rFonts w:ascii="Verdana" w:hAnsi="Verdana"/>
          <w:sz w:val="20"/>
          <w:lang w:val="en-US"/>
        </w:rPr>
        <w:t xml:space="preserve">” </w:t>
      </w:r>
      <w:r w:rsidR="00CF30C4" w:rsidRPr="00D27BCC">
        <w:rPr>
          <w:rFonts w:ascii="Verdana" w:hAnsi="Verdana"/>
          <w:sz w:val="20"/>
          <w:lang w:val="en-US"/>
        </w:rPr>
        <w:t>and recalled that</w:t>
      </w:r>
      <w:r w:rsidR="007E241D" w:rsidRPr="00D27BCC">
        <w:rPr>
          <w:rFonts w:ascii="Verdana" w:hAnsi="Verdana"/>
          <w:sz w:val="20"/>
          <w:lang w:val="en-US"/>
        </w:rPr>
        <w:t xml:space="preserve"> “</w:t>
      </w:r>
      <w:r w:rsidRPr="00D27BCC">
        <w:rPr>
          <w:rFonts w:ascii="Verdana" w:hAnsi="Verdana"/>
          <w:sz w:val="20"/>
          <w:lang w:val="en-US"/>
        </w:rPr>
        <w:t>the State</w:t>
      </w:r>
      <w:r w:rsidR="00D27BCC">
        <w:rPr>
          <w:rFonts w:ascii="Verdana" w:hAnsi="Verdana"/>
          <w:sz w:val="20"/>
          <w:lang w:val="en-US"/>
        </w:rPr>
        <w:t xml:space="preserve"> has the obligation to act </w:t>
      </w:r>
      <w:r w:rsidR="00D27BCC">
        <w:rPr>
          <w:rFonts w:ascii="Verdana" w:hAnsi="Verdana"/>
          <w:i/>
          <w:sz w:val="20"/>
          <w:lang w:val="en-US"/>
        </w:rPr>
        <w:t xml:space="preserve">ex officio </w:t>
      </w:r>
      <w:r w:rsidR="00D27BCC">
        <w:rPr>
          <w:rFonts w:ascii="Verdana" w:hAnsi="Verdana"/>
          <w:sz w:val="20"/>
          <w:lang w:val="en-US"/>
        </w:rPr>
        <w:t xml:space="preserve">in human rights violations cases. </w:t>
      </w:r>
      <w:r w:rsidR="00D27BCC" w:rsidRPr="00D27BCC">
        <w:rPr>
          <w:rFonts w:ascii="Verdana" w:hAnsi="Verdana"/>
          <w:sz w:val="20"/>
          <w:lang w:val="en-US"/>
        </w:rPr>
        <w:t xml:space="preserve">Therefore, it cannot justify its omission to carry on a diligence investigation on the </w:t>
      </w:r>
      <w:r w:rsidR="00D27BCC" w:rsidRPr="00D27BCC">
        <w:rPr>
          <w:rFonts w:ascii="Verdana" w:hAnsi="Verdana"/>
          <w:sz w:val="20"/>
          <w:lang w:val="en-US"/>
        </w:rPr>
        <w:lastRenderedPageBreak/>
        <w:t xml:space="preserve">alleged lack </w:t>
      </w:r>
      <w:r w:rsidR="00D27BCC">
        <w:rPr>
          <w:rFonts w:ascii="Verdana" w:hAnsi="Verdana"/>
          <w:sz w:val="20"/>
          <w:lang w:val="en-US"/>
        </w:rPr>
        <w:t>of contact with the representatives of the victims</w:t>
      </w:r>
      <w:r w:rsidR="007E241D" w:rsidRPr="00D27BCC">
        <w:rPr>
          <w:rFonts w:ascii="Verdana" w:hAnsi="Verdana"/>
          <w:sz w:val="20"/>
          <w:lang w:val="en-US"/>
        </w:rPr>
        <w:t xml:space="preserve">”. </w:t>
      </w:r>
      <w:r w:rsidR="00CF30C4" w:rsidRPr="00626795">
        <w:rPr>
          <w:rFonts w:ascii="Verdana" w:hAnsi="Verdana"/>
          <w:sz w:val="20"/>
          <w:lang w:val="en-US"/>
        </w:rPr>
        <w:t>Meanwhile</w:t>
      </w:r>
      <w:r w:rsidR="00687FB3" w:rsidRPr="00626795">
        <w:rPr>
          <w:rFonts w:ascii="Verdana" w:hAnsi="Verdana"/>
          <w:sz w:val="20"/>
          <w:lang w:val="en-US"/>
        </w:rPr>
        <w:t xml:space="preserve">, </w:t>
      </w:r>
      <w:r w:rsidR="00B00DF6" w:rsidRPr="00626795">
        <w:rPr>
          <w:rFonts w:ascii="Verdana" w:hAnsi="Verdana"/>
          <w:sz w:val="20"/>
          <w:lang w:val="en-US"/>
        </w:rPr>
        <w:t>the representatives</w:t>
      </w:r>
      <w:r w:rsidR="00687FB3" w:rsidRPr="00626795">
        <w:rPr>
          <w:rFonts w:ascii="Verdana" w:hAnsi="Verdana"/>
          <w:sz w:val="20"/>
          <w:lang w:val="en-US"/>
        </w:rPr>
        <w:t xml:space="preserve"> </w:t>
      </w:r>
      <w:r w:rsidR="00CF30C4" w:rsidRPr="00626795">
        <w:rPr>
          <w:rFonts w:ascii="Verdana" w:hAnsi="Verdana"/>
          <w:sz w:val="20"/>
          <w:lang w:val="en-US"/>
        </w:rPr>
        <w:t>noted that</w:t>
      </w:r>
      <w:r w:rsidR="00687FB3" w:rsidRPr="00626795">
        <w:rPr>
          <w:rFonts w:ascii="Verdana" w:hAnsi="Verdana"/>
          <w:sz w:val="20"/>
          <w:lang w:val="en-US"/>
        </w:rPr>
        <w:t xml:space="preserve"> </w:t>
      </w:r>
      <w:r w:rsidRPr="00626795">
        <w:rPr>
          <w:rFonts w:ascii="Verdana" w:hAnsi="Verdana"/>
          <w:sz w:val="20"/>
          <w:lang w:val="en-US"/>
        </w:rPr>
        <w:t>the State</w:t>
      </w:r>
      <w:r w:rsidR="00687FB3" w:rsidRPr="00626795">
        <w:rPr>
          <w:rFonts w:ascii="Verdana" w:hAnsi="Verdana"/>
          <w:sz w:val="20"/>
          <w:lang w:val="en-US"/>
        </w:rPr>
        <w:t xml:space="preserve"> “</w:t>
      </w:r>
      <w:r w:rsidR="00626795" w:rsidRPr="00626795">
        <w:rPr>
          <w:rFonts w:ascii="Verdana" w:hAnsi="Verdana"/>
          <w:sz w:val="20"/>
          <w:lang w:val="en-US"/>
        </w:rPr>
        <w:t>co</w:t>
      </w:r>
      <w:r w:rsidR="00626795">
        <w:rPr>
          <w:rFonts w:ascii="Verdana" w:hAnsi="Verdana"/>
          <w:sz w:val="20"/>
          <w:lang w:val="en-US"/>
        </w:rPr>
        <w:t>ntinues to unashamedly blame the victims for its prolonged and unjustifiable lack of action on this respect”</w:t>
      </w:r>
      <w:r w:rsidR="00687FB3" w:rsidRPr="00626795">
        <w:rPr>
          <w:rFonts w:ascii="Verdana" w:hAnsi="Verdana"/>
          <w:sz w:val="20"/>
          <w:lang w:val="en-US"/>
        </w:rPr>
        <w:t xml:space="preserve"> </w:t>
      </w:r>
      <w:r w:rsidR="00CF30C4" w:rsidRPr="00626795">
        <w:rPr>
          <w:rFonts w:ascii="Verdana" w:hAnsi="Verdana"/>
          <w:sz w:val="20"/>
          <w:lang w:val="en-US"/>
        </w:rPr>
        <w:t xml:space="preserve">to comply with this measure. </w:t>
      </w:r>
      <w:r w:rsidR="00CF30C4" w:rsidRPr="005D2977">
        <w:rPr>
          <w:rFonts w:ascii="Verdana" w:hAnsi="Verdana"/>
          <w:sz w:val="20"/>
          <w:lang w:val="en-US"/>
        </w:rPr>
        <w:t xml:space="preserve">They also indicated that </w:t>
      </w:r>
      <w:r w:rsidRPr="005D2977">
        <w:rPr>
          <w:rFonts w:ascii="Verdana" w:hAnsi="Verdana"/>
          <w:sz w:val="20"/>
          <w:lang w:val="en-US"/>
        </w:rPr>
        <w:t>the State</w:t>
      </w:r>
      <w:r w:rsidR="00626795" w:rsidRPr="005D2977">
        <w:rPr>
          <w:rFonts w:ascii="Verdana" w:hAnsi="Verdana"/>
          <w:sz w:val="20"/>
          <w:lang w:val="en-US"/>
        </w:rPr>
        <w:t xml:space="preserve"> “has done nothing to reassure potential</w:t>
      </w:r>
      <w:r w:rsidR="005D2977" w:rsidRPr="005D2977">
        <w:rPr>
          <w:rFonts w:ascii="Verdana" w:hAnsi="Verdana"/>
          <w:sz w:val="20"/>
          <w:lang w:val="en-US"/>
        </w:rPr>
        <w:t xml:space="preserve"> witnesses of their safety should they come forward, despite repeated calls </w:t>
      </w:r>
      <w:r w:rsidR="005D2977">
        <w:rPr>
          <w:rFonts w:ascii="Verdana" w:hAnsi="Verdana"/>
          <w:sz w:val="20"/>
          <w:lang w:val="en-US"/>
        </w:rPr>
        <w:t>to this effect from the victims”</w:t>
      </w:r>
      <w:r w:rsidR="002D32E1" w:rsidRPr="005D2977">
        <w:rPr>
          <w:rFonts w:ascii="Verdana" w:hAnsi="Verdana"/>
          <w:sz w:val="20"/>
          <w:lang w:val="en-US"/>
        </w:rPr>
        <w:t xml:space="preserve">. </w:t>
      </w:r>
      <w:r w:rsidR="00B00DF6" w:rsidRPr="005D2977">
        <w:rPr>
          <w:rFonts w:ascii="Verdana" w:hAnsi="Verdana"/>
          <w:sz w:val="20"/>
          <w:lang w:val="en-US"/>
        </w:rPr>
        <w:t>The representatives</w:t>
      </w:r>
      <w:r w:rsidR="004E1C83" w:rsidRPr="005D2977">
        <w:rPr>
          <w:rFonts w:ascii="Verdana" w:hAnsi="Verdana"/>
          <w:sz w:val="20"/>
          <w:lang w:val="en-US"/>
        </w:rPr>
        <w:t xml:space="preserve"> consider</w:t>
      </w:r>
      <w:r w:rsidR="00CF30C4" w:rsidRPr="005D2977">
        <w:rPr>
          <w:rFonts w:ascii="Verdana" w:hAnsi="Verdana"/>
          <w:sz w:val="20"/>
          <w:lang w:val="en-US"/>
        </w:rPr>
        <w:t>ed that</w:t>
      </w:r>
      <w:r w:rsidR="002D32E1" w:rsidRPr="005D2977">
        <w:rPr>
          <w:rFonts w:ascii="Verdana" w:hAnsi="Verdana"/>
          <w:sz w:val="20"/>
          <w:lang w:val="en-US"/>
        </w:rPr>
        <w:t xml:space="preserve"> </w:t>
      </w:r>
      <w:r w:rsidRPr="005D2977">
        <w:rPr>
          <w:rFonts w:ascii="Verdana" w:hAnsi="Verdana"/>
          <w:sz w:val="20"/>
          <w:lang w:val="en-US"/>
        </w:rPr>
        <w:t>the State</w:t>
      </w:r>
      <w:r w:rsidR="002D32E1" w:rsidRPr="005D2977">
        <w:rPr>
          <w:rFonts w:ascii="Verdana" w:hAnsi="Verdana"/>
          <w:sz w:val="20"/>
          <w:lang w:val="en-US"/>
        </w:rPr>
        <w:t xml:space="preserve"> “</w:t>
      </w:r>
      <w:r w:rsidR="005D2977" w:rsidRPr="005D2977">
        <w:rPr>
          <w:rFonts w:ascii="Verdana" w:hAnsi="Verdana"/>
          <w:sz w:val="20"/>
          <w:lang w:val="en-US"/>
        </w:rPr>
        <w:t>ignore</w:t>
      </w:r>
      <w:r w:rsidR="00F47024">
        <w:rPr>
          <w:rFonts w:ascii="Verdana" w:hAnsi="Verdana"/>
          <w:sz w:val="20"/>
          <w:lang w:val="en-US"/>
        </w:rPr>
        <w:t>[s</w:t>
      </w:r>
      <w:r w:rsidR="00F47024">
        <w:rPr>
          <w:rFonts w:ascii="Verdana" w:hAnsi="Verdana"/>
          <w:sz w:val="22"/>
          <w:lang w:val="en-US"/>
        </w:rPr>
        <w:t>]</w:t>
      </w:r>
      <w:r w:rsidR="005D2977" w:rsidRPr="005D2977">
        <w:rPr>
          <w:rFonts w:ascii="Verdana" w:hAnsi="Verdana"/>
          <w:sz w:val="20"/>
          <w:lang w:val="en-US"/>
        </w:rPr>
        <w:t xml:space="preserve"> the fact that there is considerable and reliable non-testimonial evidence available” and that “the manner in which the criminal trial of the suspects </w:t>
      </w:r>
      <w:r w:rsidR="005D2977">
        <w:rPr>
          <w:rFonts w:ascii="Verdana" w:hAnsi="Verdana"/>
          <w:sz w:val="20"/>
          <w:lang w:val="en-US"/>
        </w:rPr>
        <w:t xml:space="preserve">in the ‘December Murders’ has been </w:t>
      </w:r>
      <w:r w:rsidR="005D2977">
        <w:rPr>
          <w:rFonts w:ascii="Verdana" w:hAnsi="Verdana"/>
          <w:i/>
          <w:sz w:val="20"/>
          <w:lang w:val="en-US"/>
        </w:rPr>
        <w:t xml:space="preserve">de facto </w:t>
      </w:r>
      <w:r w:rsidR="005D2977">
        <w:rPr>
          <w:rFonts w:ascii="Verdana" w:hAnsi="Verdana"/>
          <w:sz w:val="20"/>
          <w:lang w:val="en-US"/>
        </w:rPr>
        <w:t xml:space="preserve">suspended, renders the likelihood of a meaningful investigation of the </w:t>
      </w:r>
      <w:proofErr w:type="spellStart"/>
      <w:r w:rsidR="005D2977">
        <w:rPr>
          <w:rFonts w:ascii="Verdana" w:hAnsi="Verdana"/>
          <w:sz w:val="20"/>
          <w:lang w:val="en-US"/>
        </w:rPr>
        <w:t>Moiwana</w:t>
      </w:r>
      <w:proofErr w:type="spellEnd"/>
      <w:r w:rsidR="005D2977">
        <w:rPr>
          <w:rFonts w:ascii="Verdana" w:hAnsi="Verdana"/>
          <w:sz w:val="20"/>
          <w:lang w:val="en-US"/>
        </w:rPr>
        <w:t xml:space="preserve"> massacre</w:t>
      </w:r>
      <w:r w:rsidR="00543BCB">
        <w:rPr>
          <w:rFonts w:ascii="Verdana" w:hAnsi="Verdana"/>
          <w:sz w:val="20"/>
          <w:lang w:val="en-US"/>
        </w:rPr>
        <w:t>…”. Lastly, they concluded that “the State is simply unwilling to comply with the Court’s order”.</w:t>
      </w:r>
      <w:r w:rsidR="0061138F" w:rsidRPr="00543BCB">
        <w:rPr>
          <w:rFonts w:ascii="Verdana" w:hAnsi="Verdana"/>
          <w:sz w:val="20"/>
          <w:lang w:val="en-US"/>
        </w:rPr>
        <w:t xml:space="preserve"> </w:t>
      </w:r>
    </w:p>
    <w:p w14:paraId="704A2828" w14:textId="77777777" w:rsidR="003678C8" w:rsidRPr="00543BCB" w:rsidRDefault="003678C8" w:rsidP="003678C8">
      <w:pPr>
        <w:pStyle w:val="ListParagraph"/>
        <w:ind w:left="0"/>
        <w:jc w:val="both"/>
        <w:rPr>
          <w:rFonts w:ascii="Verdana" w:hAnsi="Verdana"/>
          <w:sz w:val="20"/>
          <w:lang w:val="en-US"/>
        </w:rPr>
      </w:pPr>
    </w:p>
    <w:p w14:paraId="67F3817D" w14:textId="456E20E0" w:rsidR="00861F49" w:rsidRPr="00353B3F" w:rsidRDefault="003C06C7" w:rsidP="003C06C7">
      <w:pPr>
        <w:pStyle w:val="ListParagraph"/>
        <w:numPr>
          <w:ilvl w:val="0"/>
          <w:numId w:val="5"/>
        </w:numPr>
        <w:ind w:left="0" w:firstLine="0"/>
        <w:jc w:val="both"/>
        <w:rPr>
          <w:rFonts w:ascii="Verdana" w:hAnsi="Verdana"/>
          <w:sz w:val="20"/>
          <w:lang w:val="en-US"/>
        </w:rPr>
      </w:pPr>
      <w:r w:rsidRPr="00353B3F">
        <w:rPr>
          <w:rFonts w:ascii="Verdana" w:hAnsi="Verdana"/>
          <w:sz w:val="20"/>
          <w:lang w:val="en-US"/>
        </w:rPr>
        <w:t>The Court notes that</w:t>
      </w:r>
      <w:r w:rsidR="00130802" w:rsidRPr="00353B3F">
        <w:rPr>
          <w:rFonts w:ascii="Verdana" w:hAnsi="Verdana"/>
          <w:sz w:val="20"/>
          <w:lang w:val="en-US"/>
        </w:rPr>
        <w:t>, in previous orders,</w:t>
      </w:r>
      <w:r w:rsidRPr="00353B3F">
        <w:rPr>
          <w:rFonts w:ascii="Verdana" w:hAnsi="Verdana"/>
          <w:sz w:val="20"/>
          <w:lang w:val="en-US"/>
        </w:rPr>
        <w:t xml:space="preserve"> it has already analyzed the information presented by the State after 2012. Once again, the State sent information on the difficulty of obtaining the victims’ testimony</w:t>
      </w:r>
      <w:r w:rsidR="00B501B6" w:rsidRPr="00353B3F">
        <w:rPr>
          <w:rFonts w:ascii="Verdana" w:hAnsi="Verdana"/>
          <w:sz w:val="20"/>
          <w:lang w:val="en-US"/>
        </w:rPr>
        <w:t xml:space="preserve"> (</w:t>
      </w:r>
      <w:r w:rsidR="00B501B6" w:rsidRPr="00353B3F">
        <w:rPr>
          <w:rFonts w:ascii="Verdana" w:hAnsi="Verdana"/>
          <w:i/>
          <w:sz w:val="20"/>
          <w:lang w:val="en-US"/>
        </w:rPr>
        <w:t>supra</w:t>
      </w:r>
      <w:r w:rsidR="00B501B6" w:rsidRPr="00353B3F">
        <w:rPr>
          <w:rFonts w:ascii="Verdana" w:hAnsi="Verdana"/>
          <w:sz w:val="20"/>
          <w:lang w:val="en-US"/>
        </w:rPr>
        <w:t xml:space="preserve"> </w:t>
      </w:r>
      <w:proofErr w:type="spellStart"/>
      <w:r w:rsidR="002D3C89" w:rsidRPr="00353B3F">
        <w:rPr>
          <w:rFonts w:ascii="Verdana" w:hAnsi="Verdana"/>
          <w:i/>
          <w:sz w:val="20"/>
          <w:lang w:val="en-US"/>
        </w:rPr>
        <w:t>considerandum</w:t>
      </w:r>
      <w:proofErr w:type="spellEnd"/>
      <w:r w:rsidRPr="00353B3F">
        <w:rPr>
          <w:rFonts w:ascii="Verdana" w:hAnsi="Verdana"/>
          <w:i/>
          <w:sz w:val="20"/>
          <w:lang w:val="en-US"/>
        </w:rPr>
        <w:t xml:space="preserve"> </w:t>
      </w:r>
      <w:r w:rsidR="00CF4D5D" w:rsidRPr="00353B3F">
        <w:rPr>
          <w:rFonts w:ascii="Verdana" w:hAnsi="Verdana"/>
          <w:sz w:val="20"/>
          <w:lang w:val="en-US"/>
        </w:rPr>
        <w:fldChar w:fldCharType="begin"/>
      </w:r>
      <w:r w:rsidR="00CF4D5D" w:rsidRPr="00353B3F">
        <w:rPr>
          <w:rFonts w:ascii="Verdana" w:hAnsi="Verdana"/>
          <w:sz w:val="20"/>
          <w:lang w:val="en-US"/>
        </w:rPr>
        <w:instrText xml:space="preserve"> REF _Ref532217777 \r \h </w:instrText>
      </w:r>
      <w:r w:rsidR="00E47A56" w:rsidRPr="00353B3F">
        <w:rPr>
          <w:rFonts w:ascii="Verdana" w:hAnsi="Verdana"/>
          <w:sz w:val="20"/>
          <w:lang w:val="en-US"/>
        </w:rPr>
        <w:instrText xml:space="preserve"> \* MERGEFORMAT </w:instrText>
      </w:r>
      <w:r w:rsidR="00CF4D5D" w:rsidRPr="00353B3F">
        <w:rPr>
          <w:rFonts w:ascii="Verdana" w:hAnsi="Verdana"/>
          <w:sz w:val="20"/>
          <w:lang w:val="en-US"/>
        </w:rPr>
      </w:r>
      <w:r w:rsidR="00CF4D5D" w:rsidRPr="00353B3F">
        <w:rPr>
          <w:rFonts w:ascii="Verdana" w:hAnsi="Verdana"/>
          <w:sz w:val="20"/>
          <w:lang w:val="en-US"/>
        </w:rPr>
        <w:fldChar w:fldCharType="separate"/>
      </w:r>
      <w:r w:rsidR="00BD655E">
        <w:rPr>
          <w:rFonts w:ascii="Verdana" w:hAnsi="Verdana"/>
          <w:sz w:val="20"/>
          <w:lang w:val="en-US"/>
        </w:rPr>
        <w:t>13</w:t>
      </w:r>
      <w:r w:rsidR="00CF4D5D" w:rsidRPr="00353B3F">
        <w:rPr>
          <w:rFonts w:ascii="Verdana" w:hAnsi="Verdana"/>
          <w:sz w:val="20"/>
          <w:lang w:val="en-US"/>
        </w:rPr>
        <w:fldChar w:fldCharType="end"/>
      </w:r>
      <w:r w:rsidR="00B501B6" w:rsidRPr="00353B3F">
        <w:rPr>
          <w:rFonts w:ascii="Verdana" w:hAnsi="Verdana"/>
          <w:sz w:val="20"/>
          <w:lang w:val="en-US"/>
        </w:rPr>
        <w:t xml:space="preserve">), </w:t>
      </w:r>
      <w:r w:rsidRPr="00353B3F">
        <w:rPr>
          <w:rFonts w:ascii="Verdana" w:hAnsi="Verdana"/>
          <w:sz w:val="20"/>
          <w:lang w:val="en-US"/>
        </w:rPr>
        <w:t>and failed to present information on any measures taken to grant</w:t>
      </w:r>
      <w:r w:rsidR="00130802" w:rsidRPr="00353B3F">
        <w:rPr>
          <w:rFonts w:ascii="Verdana" w:hAnsi="Verdana"/>
          <w:sz w:val="20"/>
          <w:lang w:val="en-US"/>
        </w:rPr>
        <w:t xml:space="preserve"> safety</w:t>
      </w:r>
      <w:r w:rsidRPr="00353B3F">
        <w:rPr>
          <w:rFonts w:ascii="Verdana" w:hAnsi="Verdana"/>
          <w:sz w:val="20"/>
          <w:lang w:val="en-US"/>
        </w:rPr>
        <w:t xml:space="preserve"> guarantees</w:t>
      </w:r>
      <w:r w:rsidR="00130802" w:rsidRPr="00353B3F">
        <w:rPr>
          <w:rFonts w:ascii="Verdana" w:hAnsi="Verdana"/>
          <w:sz w:val="20"/>
          <w:lang w:val="en-US"/>
        </w:rPr>
        <w:t xml:space="preserve"> and inspire confidence</w:t>
      </w:r>
      <w:r w:rsidRPr="00353B3F">
        <w:rPr>
          <w:rFonts w:ascii="Verdana" w:hAnsi="Verdana"/>
          <w:sz w:val="20"/>
          <w:lang w:val="en-US"/>
        </w:rPr>
        <w:t xml:space="preserve"> </w:t>
      </w:r>
      <w:r w:rsidR="00130802" w:rsidRPr="00353B3F">
        <w:rPr>
          <w:rFonts w:ascii="Verdana" w:hAnsi="Verdana"/>
          <w:sz w:val="20"/>
          <w:lang w:val="en-US"/>
        </w:rPr>
        <w:t>in</w:t>
      </w:r>
      <w:r w:rsidRPr="00353B3F">
        <w:rPr>
          <w:rFonts w:ascii="Verdana" w:hAnsi="Verdana"/>
          <w:sz w:val="20"/>
          <w:lang w:val="en-US"/>
        </w:rPr>
        <w:t xml:space="preserve"> the said victims to encourage them to come forward </w:t>
      </w:r>
      <w:r w:rsidR="00B501B6" w:rsidRPr="00353B3F">
        <w:rPr>
          <w:rFonts w:ascii="Verdana" w:hAnsi="Verdana"/>
          <w:sz w:val="20"/>
          <w:lang w:val="en-US"/>
        </w:rPr>
        <w:t>(</w:t>
      </w:r>
      <w:r w:rsidR="00B501B6" w:rsidRPr="00353B3F">
        <w:rPr>
          <w:rFonts w:ascii="Verdana" w:hAnsi="Verdana"/>
          <w:i/>
          <w:sz w:val="20"/>
          <w:lang w:val="en-US"/>
        </w:rPr>
        <w:t>supra</w:t>
      </w:r>
      <w:r w:rsidR="00B501B6" w:rsidRPr="00353B3F">
        <w:rPr>
          <w:rFonts w:ascii="Verdana" w:hAnsi="Verdana"/>
          <w:sz w:val="20"/>
          <w:lang w:val="en-US"/>
        </w:rPr>
        <w:t xml:space="preserve"> </w:t>
      </w:r>
      <w:proofErr w:type="spellStart"/>
      <w:r w:rsidR="002D3C89" w:rsidRPr="00353B3F">
        <w:rPr>
          <w:rFonts w:ascii="Verdana" w:hAnsi="Verdana"/>
          <w:i/>
          <w:sz w:val="20"/>
          <w:lang w:val="en-US"/>
        </w:rPr>
        <w:t>considerandum</w:t>
      </w:r>
      <w:proofErr w:type="spellEnd"/>
      <w:r w:rsidRPr="00353B3F">
        <w:rPr>
          <w:rFonts w:ascii="Verdana" w:hAnsi="Verdana"/>
          <w:i/>
          <w:sz w:val="20"/>
          <w:lang w:val="en-US"/>
        </w:rPr>
        <w:t xml:space="preserve"> </w:t>
      </w:r>
      <w:r w:rsidR="00CF4D5D" w:rsidRPr="00353B3F">
        <w:rPr>
          <w:rFonts w:ascii="Verdana" w:hAnsi="Verdana"/>
          <w:sz w:val="20"/>
          <w:lang w:val="en-US"/>
        </w:rPr>
        <w:fldChar w:fldCharType="begin"/>
      </w:r>
      <w:r w:rsidR="00CF4D5D" w:rsidRPr="00353B3F">
        <w:rPr>
          <w:rFonts w:ascii="Verdana" w:hAnsi="Verdana"/>
          <w:sz w:val="20"/>
          <w:lang w:val="en-US"/>
        </w:rPr>
        <w:instrText xml:space="preserve"> REF _Ref532217839 \r \h </w:instrText>
      </w:r>
      <w:r w:rsidR="00E47A56" w:rsidRPr="00353B3F">
        <w:rPr>
          <w:rFonts w:ascii="Verdana" w:hAnsi="Verdana"/>
          <w:sz w:val="20"/>
          <w:lang w:val="en-US"/>
        </w:rPr>
        <w:instrText xml:space="preserve"> \* MERGEFORMAT </w:instrText>
      </w:r>
      <w:r w:rsidR="00CF4D5D" w:rsidRPr="00353B3F">
        <w:rPr>
          <w:rFonts w:ascii="Verdana" w:hAnsi="Verdana"/>
          <w:sz w:val="20"/>
          <w:lang w:val="en-US"/>
        </w:rPr>
      </w:r>
      <w:r w:rsidR="00CF4D5D" w:rsidRPr="00353B3F">
        <w:rPr>
          <w:rFonts w:ascii="Verdana" w:hAnsi="Verdana"/>
          <w:sz w:val="20"/>
          <w:lang w:val="en-US"/>
        </w:rPr>
        <w:fldChar w:fldCharType="separate"/>
      </w:r>
      <w:r w:rsidR="00BD655E">
        <w:rPr>
          <w:rFonts w:ascii="Verdana" w:hAnsi="Verdana"/>
          <w:sz w:val="20"/>
          <w:lang w:val="en-US"/>
        </w:rPr>
        <w:t>7</w:t>
      </w:r>
      <w:r w:rsidR="00CF4D5D" w:rsidRPr="00353B3F">
        <w:rPr>
          <w:rFonts w:ascii="Verdana" w:hAnsi="Verdana"/>
          <w:sz w:val="20"/>
          <w:lang w:val="en-US"/>
        </w:rPr>
        <w:fldChar w:fldCharType="end"/>
      </w:r>
      <w:r w:rsidR="00B501B6" w:rsidRPr="00353B3F">
        <w:rPr>
          <w:rFonts w:ascii="Verdana" w:hAnsi="Verdana"/>
          <w:sz w:val="20"/>
          <w:lang w:val="en-US"/>
        </w:rPr>
        <w:t>).</w:t>
      </w:r>
      <w:r w:rsidR="00FB44FF" w:rsidRPr="00353B3F">
        <w:rPr>
          <w:rFonts w:ascii="Verdana" w:hAnsi="Verdana"/>
          <w:sz w:val="20"/>
          <w:lang w:val="en-US"/>
        </w:rPr>
        <w:t xml:space="preserve"> </w:t>
      </w:r>
      <w:r w:rsidRPr="00543BCB">
        <w:rPr>
          <w:rFonts w:ascii="Verdana" w:hAnsi="Verdana"/>
          <w:sz w:val="20"/>
          <w:lang w:val="en-US"/>
        </w:rPr>
        <w:t xml:space="preserve">In this regard, the Court repeats the indications it gave in its 2010 order, that </w:t>
      </w:r>
      <w:r w:rsidR="00484EB4" w:rsidRPr="00543BCB">
        <w:rPr>
          <w:rFonts w:ascii="Verdana" w:hAnsi="Verdana"/>
          <w:sz w:val="20"/>
          <w:lang w:val="en-US"/>
        </w:rPr>
        <w:t>the State</w:t>
      </w:r>
      <w:r w:rsidR="00FB44FF" w:rsidRPr="00543BCB">
        <w:rPr>
          <w:rFonts w:ascii="Verdana" w:hAnsi="Verdana"/>
          <w:sz w:val="20"/>
          <w:lang w:val="en-US"/>
        </w:rPr>
        <w:t xml:space="preserve"> “</w:t>
      </w:r>
      <w:r w:rsidR="00543BCB" w:rsidRPr="00543BCB">
        <w:rPr>
          <w:rFonts w:ascii="Verdana" w:hAnsi="Verdana"/>
          <w:sz w:val="20"/>
          <w:lang w:val="en-US"/>
        </w:rPr>
        <w:t xml:space="preserve">must protect these </w:t>
      </w:r>
      <w:r w:rsidR="00543BCB">
        <w:rPr>
          <w:rFonts w:ascii="Verdana" w:hAnsi="Verdana"/>
          <w:sz w:val="20"/>
          <w:lang w:val="en-US"/>
        </w:rPr>
        <w:t xml:space="preserve">parties from harassment and threats designed to obstruct proceedings and to prevent the identification of those responsible for the attacks”. </w:t>
      </w:r>
      <w:r w:rsidRPr="00353B3F">
        <w:rPr>
          <w:rFonts w:ascii="Verdana" w:hAnsi="Verdana"/>
          <w:sz w:val="20"/>
          <w:lang w:val="en-US"/>
        </w:rPr>
        <w:t xml:space="preserve">Furthermore, it failed to advise whether it was taking any action, </w:t>
      </w:r>
      <w:r w:rsidRPr="00353B3F">
        <w:rPr>
          <w:rFonts w:ascii="Verdana" w:hAnsi="Verdana"/>
          <w:i/>
          <w:sz w:val="20"/>
          <w:lang w:val="en-US"/>
        </w:rPr>
        <w:t>ex officio</w:t>
      </w:r>
      <w:r w:rsidRPr="00353B3F">
        <w:rPr>
          <w:rFonts w:ascii="Verdana" w:hAnsi="Verdana"/>
          <w:sz w:val="20"/>
          <w:lang w:val="en-US"/>
        </w:rPr>
        <w:t>, other than obtaining the victims’ declarations.</w:t>
      </w:r>
    </w:p>
    <w:p w14:paraId="03BB751A" w14:textId="77777777" w:rsidR="00506B25" w:rsidRPr="00353B3F" w:rsidRDefault="00506B25" w:rsidP="00506B25">
      <w:pPr>
        <w:pStyle w:val="ListParagraph"/>
        <w:rPr>
          <w:rFonts w:ascii="Verdana" w:hAnsi="Verdana"/>
          <w:sz w:val="20"/>
          <w:lang w:val="en-US"/>
        </w:rPr>
      </w:pPr>
    </w:p>
    <w:p w14:paraId="772E6D42" w14:textId="2A3CD920" w:rsidR="005B7A94" w:rsidRPr="00353B3F" w:rsidRDefault="003C06C7" w:rsidP="003C06C7">
      <w:pPr>
        <w:pStyle w:val="ListParagraph"/>
        <w:numPr>
          <w:ilvl w:val="0"/>
          <w:numId w:val="5"/>
        </w:numPr>
        <w:ind w:left="0" w:firstLine="0"/>
        <w:jc w:val="both"/>
        <w:rPr>
          <w:rFonts w:ascii="Verdana" w:hAnsi="Verdana"/>
          <w:sz w:val="20"/>
          <w:lang w:val="en-US"/>
        </w:rPr>
      </w:pPr>
      <w:r w:rsidRPr="00353B3F">
        <w:rPr>
          <w:rFonts w:ascii="Verdana" w:hAnsi="Verdana"/>
          <w:sz w:val="20"/>
          <w:lang w:val="en-US"/>
        </w:rPr>
        <w:t xml:space="preserve">The Court points out that, more than 30 years after the attack on the village of </w:t>
      </w:r>
      <w:proofErr w:type="spellStart"/>
      <w:r w:rsidRPr="00353B3F">
        <w:rPr>
          <w:rFonts w:ascii="Verdana" w:hAnsi="Verdana"/>
          <w:sz w:val="20"/>
          <w:lang w:val="en-US"/>
        </w:rPr>
        <w:t>Moiwana</w:t>
      </w:r>
      <w:proofErr w:type="spellEnd"/>
      <w:r w:rsidRPr="00353B3F">
        <w:rPr>
          <w:rFonts w:ascii="Verdana" w:hAnsi="Verdana"/>
          <w:sz w:val="20"/>
          <w:lang w:val="en-US"/>
        </w:rPr>
        <w:t xml:space="preserve"> and more than 12 years after its judgment </w:t>
      </w:r>
      <w:r w:rsidR="00130802" w:rsidRPr="00353B3F">
        <w:rPr>
          <w:rFonts w:ascii="Verdana" w:hAnsi="Verdana"/>
          <w:sz w:val="20"/>
          <w:lang w:val="en-US"/>
        </w:rPr>
        <w:t>was</w:t>
      </w:r>
      <w:r w:rsidRPr="00353B3F">
        <w:rPr>
          <w:rFonts w:ascii="Verdana" w:hAnsi="Verdana"/>
          <w:sz w:val="20"/>
          <w:lang w:val="en-US"/>
        </w:rPr>
        <w:t xml:space="preserve"> handed down, the information provided by the State</w:t>
      </w:r>
      <w:r w:rsidR="00130802" w:rsidRPr="00353B3F">
        <w:rPr>
          <w:rFonts w:ascii="Verdana" w:hAnsi="Verdana"/>
          <w:sz w:val="20"/>
          <w:lang w:val="en-US"/>
        </w:rPr>
        <w:t xml:space="preserve"> had</w:t>
      </w:r>
      <w:r w:rsidRPr="00353B3F">
        <w:rPr>
          <w:rFonts w:ascii="Verdana" w:hAnsi="Verdana"/>
          <w:sz w:val="20"/>
          <w:lang w:val="en-US"/>
        </w:rPr>
        <w:t xml:space="preserve"> failed to reveal any strategy aimed at investigating the events that took place in 1986 with due diligence. The State has the obligation to act </w:t>
      </w:r>
      <w:r w:rsidRPr="00353B3F">
        <w:rPr>
          <w:rFonts w:ascii="Verdana" w:hAnsi="Verdana"/>
          <w:i/>
          <w:sz w:val="20"/>
          <w:lang w:val="en-US"/>
        </w:rPr>
        <w:t xml:space="preserve">ex officio </w:t>
      </w:r>
      <w:r w:rsidRPr="00353B3F">
        <w:rPr>
          <w:rFonts w:ascii="Verdana" w:hAnsi="Verdana"/>
          <w:sz w:val="20"/>
          <w:lang w:val="en-US"/>
        </w:rPr>
        <w:t>in those situations in which gross human rights violations are committed.</w:t>
      </w:r>
      <w:r w:rsidR="008A3F8A" w:rsidRPr="00353B3F">
        <w:rPr>
          <w:rStyle w:val="FootnoteReference"/>
          <w:rFonts w:ascii="Verdana" w:hAnsi="Verdana"/>
          <w:sz w:val="20"/>
          <w:lang w:val="en-US"/>
        </w:rPr>
        <w:footnoteReference w:id="27"/>
      </w:r>
      <w:r w:rsidR="00506B25" w:rsidRPr="00353B3F">
        <w:rPr>
          <w:rFonts w:ascii="Verdana" w:hAnsi="Verdana"/>
          <w:sz w:val="20"/>
          <w:lang w:val="en-US"/>
        </w:rPr>
        <w:t xml:space="preserve"> </w:t>
      </w:r>
      <w:r w:rsidRPr="00353B3F">
        <w:rPr>
          <w:rFonts w:ascii="Verdana" w:hAnsi="Verdana"/>
          <w:sz w:val="20"/>
          <w:lang w:val="en-US"/>
        </w:rPr>
        <w:t>The Court</w:t>
      </w:r>
      <w:r w:rsidR="005E207E" w:rsidRPr="00353B3F">
        <w:rPr>
          <w:rFonts w:ascii="Verdana" w:hAnsi="Verdana"/>
          <w:sz w:val="20"/>
          <w:lang w:val="en-US"/>
        </w:rPr>
        <w:t xml:space="preserve"> finds it necessary to recall that the duty to investigate is an obligation of means and not of results, that must be undertaken by the State as an inherent legal obligation and not as a mere formality predestined to be ineffective,</w:t>
      </w:r>
      <w:r w:rsidR="003E791A" w:rsidRPr="00353B3F">
        <w:rPr>
          <w:rFonts w:ascii="Verdana" w:hAnsi="Verdana"/>
          <w:sz w:val="20"/>
          <w:lang w:val="en-US"/>
        </w:rPr>
        <w:t xml:space="preserve"> or as a measure taken by private interests</w:t>
      </w:r>
      <w:r w:rsidR="00506B25" w:rsidRPr="00353B3F">
        <w:rPr>
          <w:rStyle w:val="FootnoteReference"/>
          <w:rFonts w:ascii="Verdana" w:hAnsi="Verdana"/>
          <w:sz w:val="20"/>
          <w:lang w:val="en-US"/>
        </w:rPr>
        <w:footnoteReference w:id="28"/>
      </w:r>
      <w:r w:rsidR="00506B25" w:rsidRPr="00353B3F">
        <w:rPr>
          <w:rFonts w:ascii="Verdana" w:hAnsi="Verdana"/>
          <w:sz w:val="20"/>
          <w:lang w:val="en-US"/>
        </w:rPr>
        <w:t xml:space="preserve"> </w:t>
      </w:r>
      <w:r w:rsidR="003E791A" w:rsidRPr="00353B3F">
        <w:rPr>
          <w:rFonts w:ascii="Verdana" w:hAnsi="Verdana"/>
          <w:sz w:val="20"/>
          <w:lang w:val="en-US"/>
        </w:rPr>
        <w:t>that</w:t>
      </w:r>
      <w:r w:rsidR="005E207E" w:rsidRPr="00353B3F">
        <w:rPr>
          <w:rFonts w:ascii="Verdana" w:hAnsi="Verdana"/>
          <w:sz w:val="20"/>
          <w:lang w:val="en-US"/>
        </w:rPr>
        <w:t xml:space="preserve"> depend</w:t>
      </w:r>
      <w:r w:rsidR="003E791A" w:rsidRPr="00353B3F">
        <w:rPr>
          <w:rFonts w:ascii="Verdana" w:hAnsi="Verdana"/>
          <w:sz w:val="20"/>
          <w:lang w:val="en-US"/>
        </w:rPr>
        <w:t>s</w:t>
      </w:r>
      <w:r w:rsidR="005E207E" w:rsidRPr="00353B3F">
        <w:rPr>
          <w:rFonts w:ascii="Verdana" w:hAnsi="Verdana"/>
          <w:sz w:val="20"/>
          <w:lang w:val="en-US"/>
        </w:rPr>
        <w:t xml:space="preserve"> on the procedural initiative of </w:t>
      </w:r>
      <w:r w:rsidR="00130802" w:rsidRPr="00353B3F">
        <w:rPr>
          <w:rFonts w:ascii="Verdana" w:hAnsi="Verdana"/>
          <w:sz w:val="20"/>
          <w:lang w:val="en-US"/>
        </w:rPr>
        <w:t xml:space="preserve">the </w:t>
      </w:r>
      <w:r w:rsidR="005E207E" w:rsidRPr="00353B3F">
        <w:rPr>
          <w:rFonts w:ascii="Verdana" w:hAnsi="Verdana"/>
          <w:sz w:val="20"/>
          <w:lang w:val="en-US"/>
        </w:rPr>
        <w:t>victims or their family members or upon their submission of evidence.</w:t>
      </w:r>
      <w:r w:rsidR="00A17758" w:rsidRPr="00353B3F">
        <w:rPr>
          <w:rStyle w:val="FootnoteReference"/>
          <w:rFonts w:ascii="Verdana" w:hAnsi="Verdana"/>
          <w:sz w:val="20"/>
          <w:lang w:val="en-US"/>
        </w:rPr>
        <w:footnoteReference w:id="29"/>
      </w:r>
      <w:r w:rsidR="00A17758" w:rsidRPr="00353B3F">
        <w:rPr>
          <w:rFonts w:ascii="Verdana" w:hAnsi="Verdana"/>
          <w:sz w:val="20"/>
          <w:lang w:val="en-US"/>
        </w:rPr>
        <w:t xml:space="preserve"> </w:t>
      </w:r>
      <w:r w:rsidR="003E791A" w:rsidRPr="00353B3F">
        <w:rPr>
          <w:rFonts w:ascii="Verdana" w:hAnsi="Verdana"/>
          <w:sz w:val="20"/>
          <w:lang w:val="en-US"/>
        </w:rPr>
        <w:t>Moreover</w:t>
      </w:r>
      <w:r w:rsidR="00A17758" w:rsidRPr="00353B3F">
        <w:rPr>
          <w:rFonts w:ascii="Verdana" w:hAnsi="Verdana"/>
          <w:sz w:val="20"/>
          <w:lang w:val="en-US"/>
        </w:rPr>
        <w:t xml:space="preserve">, </w:t>
      </w:r>
      <w:r w:rsidR="00484EB4" w:rsidRPr="00353B3F">
        <w:rPr>
          <w:rFonts w:ascii="Verdana" w:hAnsi="Verdana"/>
          <w:sz w:val="20"/>
          <w:lang w:val="en-US"/>
        </w:rPr>
        <w:t>the State</w:t>
      </w:r>
      <w:r w:rsidR="00A17758" w:rsidRPr="00353B3F">
        <w:rPr>
          <w:rFonts w:ascii="Verdana" w:hAnsi="Verdana"/>
          <w:sz w:val="20"/>
          <w:lang w:val="en-US"/>
        </w:rPr>
        <w:t xml:space="preserve"> </w:t>
      </w:r>
      <w:r w:rsidR="003E791A" w:rsidRPr="00353B3F">
        <w:rPr>
          <w:rFonts w:ascii="Verdana" w:hAnsi="Verdana"/>
          <w:sz w:val="20"/>
          <w:lang w:val="en-US"/>
        </w:rPr>
        <w:t xml:space="preserve">must ensure that the victims have </w:t>
      </w:r>
      <w:r w:rsidR="00A17758" w:rsidRPr="00353B3F">
        <w:rPr>
          <w:rFonts w:ascii="Verdana" w:hAnsi="Verdana"/>
          <w:sz w:val="20"/>
          <w:lang w:val="en-US"/>
        </w:rPr>
        <w:t>“</w:t>
      </w:r>
      <w:r w:rsidR="003E791A" w:rsidRPr="00353B3F">
        <w:rPr>
          <w:rFonts w:ascii="Verdana" w:hAnsi="Verdana"/>
          <w:sz w:val="20"/>
          <w:lang w:val="en-US"/>
        </w:rPr>
        <w:t>full access and capacity to act” at all stages</w:t>
      </w:r>
      <w:r w:rsidR="00DC49A3" w:rsidRPr="00353B3F">
        <w:rPr>
          <w:rFonts w:ascii="Verdana" w:hAnsi="Verdana"/>
          <w:sz w:val="20"/>
          <w:lang w:val="en-US"/>
        </w:rPr>
        <w:t xml:space="preserve"> of the </w:t>
      </w:r>
      <w:r w:rsidR="00A17758" w:rsidRPr="00353B3F">
        <w:rPr>
          <w:rFonts w:ascii="Verdana" w:hAnsi="Verdana"/>
          <w:sz w:val="20"/>
          <w:lang w:val="en-US"/>
        </w:rPr>
        <w:t>investiga</w:t>
      </w:r>
      <w:r w:rsidR="003E791A" w:rsidRPr="00353B3F">
        <w:rPr>
          <w:rFonts w:ascii="Verdana" w:hAnsi="Verdana"/>
          <w:sz w:val="20"/>
          <w:lang w:val="en-US"/>
        </w:rPr>
        <w:t>tion and trial.</w:t>
      </w:r>
      <w:r w:rsidR="00A17758" w:rsidRPr="00353B3F">
        <w:rPr>
          <w:rStyle w:val="FootnoteReference"/>
          <w:rFonts w:ascii="Verdana" w:hAnsi="Verdana"/>
          <w:sz w:val="20"/>
          <w:lang w:val="en-US"/>
        </w:rPr>
        <w:footnoteReference w:id="30"/>
      </w:r>
    </w:p>
    <w:p w14:paraId="0157CB6F" w14:textId="07A5D141" w:rsidR="005B7A94" w:rsidRPr="00353B3F" w:rsidRDefault="00A237F5" w:rsidP="00A237F5">
      <w:pPr>
        <w:tabs>
          <w:tab w:val="left" w:pos="6874"/>
        </w:tabs>
        <w:jc w:val="both"/>
        <w:rPr>
          <w:rFonts w:ascii="Verdana" w:hAnsi="Verdana"/>
          <w:sz w:val="20"/>
          <w:lang w:val="en-US"/>
        </w:rPr>
      </w:pPr>
      <w:r w:rsidRPr="00353B3F">
        <w:rPr>
          <w:rFonts w:ascii="Verdana" w:hAnsi="Verdana"/>
          <w:sz w:val="20"/>
          <w:lang w:val="en-US"/>
        </w:rPr>
        <w:lastRenderedPageBreak/>
        <w:tab/>
      </w:r>
    </w:p>
    <w:p w14:paraId="49880E02" w14:textId="56CA663D" w:rsidR="00506B25" w:rsidRPr="00353B3F" w:rsidRDefault="003E791A" w:rsidP="003E791A">
      <w:pPr>
        <w:pStyle w:val="ListParagraph"/>
        <w:numPr>
          <w:ilvl w:val="0"/>
          <w:numId w:val="5"/>
        </w:numPr>
        <w:ind w:left="0" w:firstLine="0"/>
        <w:jc w:val="both"/>
        <w:rPr>
          <w:rFonts w:ascii="Verdana" w:hAnsi="Verdana"/>
          <w:sz w:val="20"/>
          <w:lang w:val="en-US"/>
        </w:rPr>
      </w:pPr>
      <w:r w:rsidRPr="00353B3F">
        <w:rPr>
          <w:rFonts w:ascii="Verdana" w:hAnsi="Verdana"/>
          <w:sz w:val="20"/>
          <w:lang w:val="en-US"/>
        </w:rPr>
        <w:t>The investigation must be serious, impartial and effective and be aimed at determining the truth, and the pursuit, capture, prosecution and eventual punishment of the perpetrators of the facts.</w:t>
      </w:r>
      <w:r w:rsidR="00A17758" w:rsidRPr="00353B3F">
        <w:rPr>
          <w:rStyle w:val="FootnoteReference"/>
          <w:rFonts w:ascii="Verdana" w:hAnsi="Verdana"/>
          <w:sz w:val="20"/>
          <w:lang w:val="en-US"/>
        </w:rPr>
        <w:footnoteReference w:id="31"/>
      </w:r>
      <w:r w:rsidRPr="00353B3F">
        <w:rPr>
          <w:rFonts w:ascii="Verdana" w:hAnsi="Verdana"/>
          <w:sz w:val="20"/>
          <w:lang w:val="en-US"/>
        </w:rPr>
        <w:t xml:space="preserve"> In addition, th</w:t>
      </w:r>
      <w:r w:rsidR="0069767E" w:rsidRPr="00353B3F">
        <w:rPr>
          <w:rFonts w:ascii="Verdana" w:hAnsi="Verdana"/>
          <w:sz w:val="20"/>
          <w:lang w:val="en-US"/>
        </w:rPr>
        <w:t>e</w:t>
      </w:r>
      <w:r w:rsidRPr="00353B3F">
        <w:rPr>
          <w:rFonts w:ascii="Verdana" w:hAnsi="Verdana"/>
          <w:sz w:val="20"/>
          <w:lang w:val="en-US"/>
        </w:rPr>
        <w:t xml:space="preserve"> Court has indicated that the body that investigates an alleged human rights violation must use all available means to execute, within a reasonable time, all those act</w:t>
      </w:r>
      <w:r w:rsidR="0069767E" w:rsidRPr="00353B3F">
        <w:rPr>
          <w:rFonts w:ascii="Verdana" w:hAnsi="Verdana"/>
          <w:sz w:val="20"/>
          <w:lang w:val="en-US"/>
        </w:rPr>
        <w:t>ion</w:t>
      </w:r>
      <w:r w:rsidRPr="00353B3F">
        <w:rPr>
          <w:rFonts w:ascii="Verdana" w:hAnsi="Verdana"/>
          <w:sz w:val="20"/>
          <w:lang w:val="en-US"/>
        </w:rPr>
        <w:t>s and inquiries that are necessary to try and obtain the result sought.</w:t>
      </w:r>
      <w:r w:rsidR="00A17758" w:rsidRPr="00353B3F">
        <w:rPr>
          <w:rStyle w:val="FootnoteReference"/>
          <w:rFonts w:ascii="Verdana" w:hAnsi="Verdana"/>
          <w:sz w:val="20"/>
          <w:lang w:val="en-US"/>
        </w:rPr>
        <w:footnoteReference w:id="32"/>
      </w:r>
      <w:r w:rsidR="00A17758" w:rsidRPr="00353B3F">
        <w:rPr>
          <w:rFonts w:ascii="Verdana" w:hAnsi="Verdana"/>
          <w:sz w:val="20"/>
          <w:lang w:val="en-US"/>
        </w:rPr>
        <w:t xml:space="preserve"> </w:t>
      </w:r>
      <w:r w:rsidRPr="00353B3F">
        <w:rPr>
          <w:rFonts w:ascii="Verdana" w:hAnsi="Verdana"/>
          <w:sz w:val="20"/>
          <w:lang w:val="en-US"/>
        </w:rPr>
        <w:t xml:space="preserve">This obligation to investigate with due diligence is particularly strong and important given the severity of the crimes committed and the nature of the </w:t>
      </w:r>
      <w:r w:rsidR="0069767E" w:rsidRPr="00353B3F">
        <w:rPr>
          <w:rFonts w:ascii="Verdana" w:hAnsi="Verdana"/>
          <w:sz w:val="20"/>
          <w:lang w:val="en-US"/>
        </w:rPr>
        <w:t>r</w:t>
      </w:r>
      <w:r w:rsidRPr="00353B3F">
        <w:rPr>
          <w:rFonts w:ascii="Verdana" w:hAnsi="Verdana"/>
          <w:sz w:val="20"/>
          <w:lang w:val="en-US"/>
        </w:rPr>
        <w:t>ights violated</w:t>
      </w:r>
      <w:r w:rsidR="00A17758" w:rsidRPr="00353B3F">
        <w:rPr>
          <w:rFonts w:ascii="Verdana" w:hAnsi="Verdana"/>
          <w:sz w:val="20"/>
          <w:lang w:val="en-US"/>
        </w:rPr>
        <w:t>.</w:t>
      </w:r>
      <w:r w:rsidRPr="00353B3F">
        <w:rPr>
          <w:rFonts w:ascii="Verdana" w:hAnsi="Verdana"/>
          <w:sz w:val="20"/>
          <w:lang w:val="en-US"/>
        </w:rPr>
        <w:t xml:space="preserve"> The Court recalls that </w:t>
      </w:r>
      <w:r w:rsidR="00641022" w:rsidRPr="00353B3F">
        <w:rPr>
          <w:rFonts w:ascii="Verdana" w:hAnsi="Verdana"/>
          <w:sz w:val="20"/>
          <w:lang w:val="en-US"/>
        </w:rPr>
        <w:t>a</w:t>
      </w:r>
      <w:r w:rsidRPr="00353B3F">
        <w:rPr>
          <w:rFonts w:ascii="Verdana" w:hAnsi="Verdana"/>
          <w:sz w:val="20"/>
          <w:lang w:val="en-US"/>
        </w:rPr>
        <w:t xml:space="preserve"> lack of diligence</w:t>
      </w:r>
      <w:r w:rsidR="00641022" w:rsidRPr="00353B3F">
        <w:rPr>
          <w:rFonts w:ascii="Verdana" w:hAnsi="Verdana"/>
          <w:sz w:val="20"/>
          <w:lang w:val="en-US"/>
        </w:rPr>
        <w:t xml:space="preserve"> means that, with the passage of time, the possibility of obtaining and presenting pertinent evidence that leads to clarifying the facts and determining the corresponding responsibilities  is unduly affected, and thus the State contributes to impunity. This Court has defined this situation as the absence of </w:t>
      </w:r>
      <w:r w:rsidR="002B4F7B" w:rsidRPr="00353B3F">
        <w:rPr>
          <w:rFonts w:ascii="Verdana" w:hAnsi="Verdana"/>
          <w:sz w:val="20"/>
          <w:lang w:val="en-US"/>
        </w:rPr>
        <w:t>investigation</w:t>
      </w:r>
      <w:r w:rsidR="00641022" w:rsidRPr="00353B3F">
        <w:rPr>
          <w:rFonts w:ascii="Verdana" w:hAnsi="Verdana"/>
          <w:sz w:val="20"/>
          <w:lang w:val="en-US"/>
        </w:rPr>
        <w:t xml:space="preserve">, pursuit, capture, prosecution and </w:t>
      </w:r>
      <w:r w:rsidR="0069767E" w:rsidRPr="00353B3F">
        <w:rPr>
          <w:rFonts w:ascii="Verdana" w:hAnsi="Verdana"/>
          <w:sz w:val="20"/>
          <w:lang w:val="en-US"/>
        </w:rPr>
        <w:t>conviction</w:t>
      </w:r>
      <w:r w:rsidR="00641022" w:rsidRPr="00353B3F">
        <w:rPr>
          <w:rFonts w:ascii="Verdana" w:hAnsi="Verdana"/>
          <w:sz w:val="20"/>
          <w:lang w:val="en-US"/>
        </w:rPr>
        <w:t xml:space="preserve"> of those </w:t>
      </w:r>
      <w:r w:rsidR="002B4F7B" w:rsidRPr="00353B3F">
        <w:rPr>
          <w:rFonts w:ascii="Verdana" w:hAnsi="Verdana"/>
          <w:sz w:val="20"/>
          <w:lang w:val="en-US"/>
        </w:rPr>
        <w:t>responsible</w:t>
      </w:r>
      <w:r w:rsidR="00641022" w:rsidRPr="00353B3F">
        <w:rPr>
          <w:rFonts w:ascii="Verdana" w:hAnsi="Verdana"/>
          <w:sz w:val="20"/>
          <w:lang w:val="en-US"/>
        </w:rPr>
        <w:t xml:space="preserve"> for violating the rights protected by </w:t>
      </w:r>
      <w:r w:rsidR="00484EB4" w:rsidRPr="00353B3F">
        <w:rPr>
          <w:rFonts w:ascii="Verdana" w:hAnsi="Verdana"/>
          <w:sz w:val="20"/>
          <w:lang w:val="en-US"/>
        </w:rPr>
        <w:t>the American Convention</w:t>
      </w:r>
      <w:r w:rsidR="00641022" w:rsidRPr="00353B3F">
        <w:rPr>
          <w:rFonts w:ascii="Verdana" w:hAnsi="Verdana"/>
          <w:sz w:val="20"/>
          <w:lang w:val="en-US"/>
        </w:rPr>
        <w:t>.</w:t>
      </w:r>
      <w:r w:rsidR="00A17758" w:rsidRPr="00353B3F">
        <w:rPr>
          <w:rStyle w:val="FootnoteReference"/>
          <w:rFonts w:ascii="Verdana" w:hAnsi="Verdana"/>
          <w:sz w:val="20"/>
          <w:lang w:val="en-US"/>
        </w:rPr>
        <w:footnoteReference w:id="33"/>
      </w:r>
    </w:p>
    <w:p w14:paraId="038E38F9" w14:textId="77777777" w:rsidR="00B577E0" w:rsidRPr="00353B3F" w:rsidRDefault="00B577E0" w:rsidP="00B577E0">
      <w:pPr>
        <w:pStyle w:val="ListParagraph"/>
        <w:ind w:left="0"/>
        <w:jc w:val="both"/>
        <w:rPr>
          <w:rFonts w:ascii="Verdana" w:hAnsi="Verdana"/>
          <w:sz w:val="20"/>
          <w:lang w:val="en-US"/>
        </w:rPr>
      </w:pPr>
    </w:p>
    <w:p w14:paraId="7B1AEAA2" w14:textId="63C4F8D9" w:rsidR="00641022" w:rsidRPr="00353B3F" w:rsidRDefault="00641022" w:rsidP="00611F86">
      <w:pPr>
        <w:pStyle w:val="ListParagraph"/>
        <w:numPr>
          <w:ilvl w:val="0"/>
          <w:numId w:val="5"/>
        </w:numPr>
        <w:ind w:left="0" w:firstLine="0"/>
        <w:jc w:val="both"/>
        <w:rPr>
          <w:rFonts w:ascii="Verdana" w:hAnsi="Verdana"/>
          <w:sz w:val="20"/>
          <w:lang w:val="en-US"/>
        </w:rPr>
      </w:pPr>
      <w:r w:rsidRPr="00353B3F">
        <w:rPr>
          <w:rFonts w:ascii="Verdana" w:hAnsi="Verdana"/>
          <w:sz w:val="20"/>
          <w:lang w:val="en-US"/>
        </w:rPr>
        <w:t xml:space="preserve">In the judgment, the Court also determined that such “long-standing impunity, fostered by </w:t>
      </w:r>
      <w:r w:rsidR="00BA31A9" w:rsidRPr="00353B3F">
        <w:rPr>
          <w:rFonts w:ascii="Verdana" w:hAnsi="Verdana"/>
          <w:sz w:val="20"/>
          <w:lang w:val="en-US"/>
        </w:rPr>
        <w:t>the</w:t>
      </w:r>
      <w:r w:rsidRPr="00353B3F">
        <w:rPr>
          <w:rFonts w:ascii="Verdana" w:hAnsi="Verdana"/>
          <w:sz w:val="20"/>
          <w:lang w:val="en-US"/>
        </w:rPr>
        <w:t xml:space="preserve"> State</w:t>
      </w:r>
      <w:r w:rsidR="00BA31A9" w:rsidRPr="00353B3F">
        <w:rPr>
          <w:rFonts w:ascii="Verdana" w:hAnsi="Verdana"/>
          <w:sz w:val="20"/>
          <w:lang w:val="en-US"/>
        </w:rPr>
        <w:t>’s</w:t>
      </w:r>
      <w:r w:rsidRPr="00353B3F">
        <w:rPr>
          <w:rFonts w:ascii="Verdana" w:hAnsi="Verdana"/>
          <w:sz w:val="20"/>
          <w:lang w:val="en-US"/>
        </w:rPr>
        <w:t xml:space="preserve"> efforts to obstruct justice […], humiliates and infuriates the community members, as it fills them with dread that offended spirits will seek revenge upon them […]. In addition, due to the absence of a criminal investigation by the State, community members</w:t>
      </w:r>
      <w:r w:rsidR="00BA31A9" w:rsidRPr="00353B3F">
        <w:rPr>
          <w:rFonts w:ascii="Verdana" w:hAnsi="Verdana"/>
          <w:sz w:val="20"/>
          <w:lang w:val="en-US"/>
        </w:rPr>
        <w:t xml:space="preserve"> are fearful that they could once again confront hostilities if they were to return to their traditional lands</w:t>
      </w:r>
      <w:r w:rsidR="0069767E" w:rsidRPr="00353B3F">
        <w:rPr>
          <w:rFonts w:ascii="Verdana" w:hAnsi="Verdana"/>
          <w:sz w:val="20"/>
          <w:lang w:val="en-US"/>
        </w:rPr>
        <w:t>.</w:t>
      </w:r>
      <w:r w:rsidR="00BA31A9" w:rsidRPr="00353B3F">
        <w:rPr>
          <w:rFonts w:ascii="Verdana" w:hAnsi="Verdana"/>
          <w:sz w:val="20"/>
          <w:lang w:val="en-US"/>
        </w:rPr>
        <w:t xml:space="preserve">” </w:t>
      </w:r>
    </w:p>
    <w:p w14:paraId="7B344CF7" w14:textId="77777777" w:rsidR="002F61B9" w:rsidRPr="00353B3F" w:rsidRDefault="002F61B9" w:rsidP="002F61B9">
      <w:pPr>
        <w:pStyle w:val="ListParagraph"/>
        <w:ind w:left="0"/>
        <w:jc w:val="both"/>
        <w:rPr>
          <w:rFonts w:ascii="Verdana" w:hAnsi="Verdana"/>
          <w:sz w:val="20"/>
          <w:lang w:val="en-US"/>
        </w:rPr>
      </w:pPr>
    </w:p>
    <w:p w14:paraId="2079A8B4" w14:textId="13701739" w:rsidR="002F61B9" w:rsidRPr="00353B3F" w:rsidRDefault="0069767E" w:rsidP="00BA31A9">
      <w:pPr>
        <w:pStyle w:val="ListParagraph"/>
        <w:numPr>
          <w:ilvl w:val="0"/>
          <w:numId w:val="5"/>
        </w:numPr>
        <w:ind w:left="0" w:right="198" w:firstLine="0"/>
        <w:jc w:val="both"/>
        <w:rPr>
          <w:rFonts w:ascii="Verdana" w:hAnsi="Verdana"/>
          <w:sz w:val="20"/>
          <w:lang w:val="en-US"/>
        </w:rPr>
      </w:pPr>
      <w:r w:rsidRPr="00353B3F">
        <w:rPr>
          <w:rFonts w:ascii="Verdana" w:hAnsi="Verdana"/>
          <w:sz w:val="20"/>
          <w:lang w:val="en-US"/>
        </w:rPr>
        <w:t>In this regard</w:t>
      </w:r>
      <w:r w:rsidR="00BA31A9" w:rsidRPr="00353B3F">
        <w:rPr>
          <w:rFonts w:ascii="Verdana" w:hAnsi="Verdana"/>
          <w:sz w:val="20"/>
          <w:lang w:val="en-US"/>
        </w:rPr>
        <w:t>, the Court reiterates its 2010 order in which it determined that</w:t>
      </w:r>
      <w:r w:rsidR="0020295A" w:rsidRPr="00353B3F">
        <w:rPr>
          <w:rFonts w:ascii="Verdana" w:hAnsi="Verdana"/>
          <w:sz w:val="20"/>
          <w:lang w:val="en-US"/>
        </w:rPr>
        <w:t xml:space="preserve"> “investigations cannot depend on the initiative of the victims and their family members or on their presentation of evidence”</w:t>
      </w:r>
      <w:r w:rsidR="00B501B6" w:rsidRPr="00353B3F">
        <w:rPr>
          <w:rStyle w:val="FootnoteReference"/>
          <w:rFonts w:ascii="Verdana" w:hAnsi="Verdana"/>
          <w:sz w:val="20"/>
          <w:lang w:val="en-US"/>
        </w:rPr>
        <w:footnoteReference w:id="34"/>
      </w:r>
      <w:r w:rsidR="004F38C4">
        <w:rPr>
          <w:rFonts w:ascii="Verdana" w:hAnsi="Verdana"/>
          <w:sz w:val="20"/>
          <w:lang w:val="en-US"/>
        </w:rPr>
        <w:t>.</w:t>
      </w:r>
      <w:r w:rsidR="00BA31A9" w:rsidRPr="00353B3F">
        <w:rPr>
          <w:rFonts w:ascii="Verdana" w:hAnsi="Verdana"/>
          <w:sz w:val="20"/>
          <w:lang w:val="en-US"/>
        </w:rPr>
        <w:t xml:space="preserve"> Moreover, as revealed in this order, the </w:t>
      </w:r>
      <w:r w:rsidRPr="00353B3F">
        <w:rPr>
          <w:rFonts w:ascii="Verdana" w:hAnsi="Verdana"/>
          <w:sz w:val="20"/>
          <w:lang w:val="en-US"/>
        </w:rPr>
        <w:t xml:space="preserve">State has persisted in its </w:t>
      </w:r>
      <w:r w:rsidR="00BA31A9" w:rsidRPr="00353B3F">
        <w:rPr>
          <w:rFonts w:ascii="Verdana" w:hAnsi="Verdana"/>
          <w:sz w:val="20"/>
          <w:lang w:val="en-US"/>
        </w:rPr>
        <w:t xml:space="preserve">failure to present information on options to continue the investigation into the events that occurred against the members of the </w:t>
      </w:r>
      <w:proofErr w:type="spellStart"/>
      <w:r w:rsidR="00BA31A9" w:rsidRPr="00353B3F">
        <w:rPr>
          <w:rFonts w:ascii="Verdana" w:hAnsi="Verdana"/>
          <w:sz w:val="20"/>
          <w:lang w:val="en-US"/>
        </w:rPr>
        <w:t>Moiwana</w:t>
      </w:r>
      <w:proofErr w:type="spellEnd"/>
      <w:r w:rsidR="00BA31A9" w:rsidRPr="00353B3F">
        <w:rPr>
          <w:rFonts w:ascii="Verdana" w:hAnsi="Verdana"/>
          <w:sz w:val="20"/>
          <w:lang w:val="en-US"/>
        </w:rPr>
        <w:t xml:space="preserve"> community in 1986</w:t>
      </w:r>
      <w:r w:rsidR="00B501B6" w:rsidRPr="00353B3F">
        <w:rPr>
          <w:rFonts w:ascii="Verdana" w:hAnsi="Verdana"/>
          <w:sz w:val="20"/>
          <w:lang w:val="en-US"/>
        </w:rPr>
        <w:t xml:space="preserve">. </w:t>
      </w:r>
      <w:r w:rsidR="0020295A" w:rsidRPr="00353B3F">
        <w:rPr>
          <w:rFonts w:ascii="Verdana" w:hAnsi="Verdana"/>
          <w:sz w:val="20"/>
          <w:lang w:val="en-US"/>
        </w:rPr>
        <w:t xml:space="preserve">The Court also reiterates that, in its order of November 2010 it expressly established that </w:t>
      </w:r>
      <w:r w:rsidR="00B501B6" w:rsidRPr="00353B3F">
        <w:rPr>
          <w:rFonts w:ascii="Verdana" w:hAnsi="Verdana"/>
          <w:sz w:val="20"/>
          <w:lang w:val="en-US"/>
        </w:rPr>
        <w:t>“</w:t>
      </w:r>
      <w:r w:rsidR="004F38C4">
        <w:rPr>
          <w:rFonts w:ascii="Verdana" w:hAnsi="Verdana"/>
          <w:sz w:val="20"/>
          <w:lang w:val="en-US"/>
        </w:rPr>
        <w:t>the investigations into the obstruction of justice committed by State authorities do not require witness statements in order to proceed</w:t>
      </w:r>
      <w:r w:rsidR="0020295A" w:rsidRPr="00353B3F">
        <w:rPr>
          <w:rFonts w:ascii="Verdana" w:hAnsi="Verdana"/>
          <w:sz w:val="20"/>
          <w:lang w:val="en-US"/>
        </w:rPr>
        <w:t>,</w:t>
      </w:r>
      <w:r w:rsidR="00B501B6" w:rsidRPr="00353B3F">
        <w:rPr>
          <w:rFonts w:ascii="Verdana" w:hAnsi="Verdana"/>
          <w:sz w:val="20"/>
          <w:lang w:val="en-US"/>
        </w:rPr>
        <w:t>”</w:t>
      </w:r>
      <w:r w:rsidR="00B501B6" w:rsidRPr="00353B3F">
        <w:rPr>
          <w:rStyle w:val="FootnoteReference"/>
          <w:rFonts w:ascii="Verdana" w:hAnsi="Verdana"/>
          <w:sz w:val="20"/>
          <w:lang w:val="en-US"/>
        </w:rPr>
        <w:footnoteReference w:id="35"/>
      </w:r>
      <w:r w:rsidR="0020295A" w:rsidRPr="00353B3F">
        <w:rPr>
          <w:rFonts w:ascii="Verdana" w:hAnsi="Verdana"/>
          <w:sz w:val="20"/>
          <w:lang w:val="en-US"/>
        </w:rPr>
        <w:t xml:space="preserve"> because, in </w:t>
      </w:r>
      <w:r w:rsidR="00484EB4" w:rsidRPr="00353B3F">
        <w:rPr>
          <w:rFonts w:ascii="Verdana" w:hAnsi="Verdana"/>
          <w:sz w:val="20"/>
          <w:lang w:val="en-US"/>
        </w:rPr>
        <w:t>the judgment</w:t>
      </w:r>
      <w:r w:rsidR="0020295A" w:rsidRPr="00353B3F">
        <w:rPr>
          <w:rFonts w:ascii="Verdana" w:hAnsi="Verdana"/>
          <w:sz w:val="20"/>
          <w:lang w:val="en-US"/>
        </w:rPr>
        <w:t>, the Court had already indicated that</w:t>
      </w:r>
      <w:r w:rsidR="00B501B6" w:rsidRPr="00353B3F">
        <w:rPr>
          <w:rFonts w:ascii="Verdana" w:hAnsi="Verdana"/>
          <w:sz w:val="20"/>
          <w:lang w:val="en-US"/>
        </w:rPr>
        <w:t xml:space="preserve"> “</w:t>
      </w:r>
      <w:r w:rsidR="0020295A" w:rsidRPr="00353B3F">
        <w:rPr>
          <w:rFonts w:ascii="Verdana" w:hAnsi="Verdana"/>
          <w:sz w:val="20"/>
          <w:lang w:val="en-US"/>
        </w:rPr>
        <w:t xml:space="preserve">there is </w:t>
      </w:r>
      <w:r w:rsidR="0020295A" w:rsidRPr="00353B3F">
        <w:rPr>
          <w:rFonts w:ascii="Verdana" w:hAnsi="Verdana"/>
          <w:sz w:val="20"/>
          <w:lang w:val="en-US"/>
        </w:rPr>
        <w:lastRenderedPageBreak/>
        <w:t>abundant evidence in the record that attests to the involvement of Suriname’s military regime in the overt obstruction of justice in the instant case</w:t>
      </w:r>
      <w:r w:rsidR="00B501B6" w:rsidRPr="00353B3F">
        <w:rPr>
          <w:rFonts w:ascii="Verdana" w:hAnsi="Verdana"/>
          <w:sz w:val="20"/>
          <w:lang w:val="en-US"/>
        </w:rPr>
        <w:t>”</w:t>
      </w:r>
      <w:r w:rsidR="00554CCB" w:rsidRPr="00353B3F">
        <w:rPr>
          <w:rStyle w:val="FootnoteReference"/>
          <w:rFonts w:ascii="Verdana" w:hAnsi="Verdana"/>
          <w:sz w:val="20"/>
          <w:lang w:val="en-US"/>
        </w:rPr>
        <w:footnoteReference w:id="36"/>
      </w:r>
      <w:r w:rsidR="00B501B6" w:rsidRPr="00353B3F">
        <w:rPr>
          <w:rFonts w:ascii="Verdana" w:hAnsi="Verdana"/>
          <w:sz w:val="20"/>
          <w:lang w:val="en-US"/>
        </w:rPr>
        <w:t xml:space="preserve">. </w:t>
      </w:r>
    </w:p>
    <w:p w14:paraId="7649CD71" w14:textId="77777777" w:rsidR="00595B97" w:rsidRPr="00353B3F" w:rsidRDefault="00595B97" w:rsidP="00C51012">
      <w:pPr>
        <w:pStyle w:val="ListParagraph"/>
        <w:ind w:left="0"/>
        <w:jc w:val="both"/>
        <w:rPr>
          <w:rFonts w:ascii="Verdana" w:hAnsi="Verdana"/>
          <w:sz w:val="20"/>
          <w:lang w:val="en-US"/>
        </w:rPr>
      </w:pPr>
    </w:p>
    <w:p w14:paraId="085B4FE8" w14:textId="3B25EDD5" w:rsidR="00330210" w:rsidRPr="00353B3F" w:rsidRDefault="0020295A" w:rsidP="0020295A">
      <w:pPr>
        <w:pStyle w:val="ListParagraph"/>
        <w:numPr>
          <w:ilvl w:val="0"/>
          <w:numId w:val="5"/>
        </w:numPr>
        <w:ind w:left="0" w:firstLine="0"/>
        <w:jc w:val="both"/>
        <w:rPr>
          <w:rFonts w:ascii="Verdana" w:hAnsi="Verdana"/>
          <w:sz w:val="20"/>
          <w:lang w:val="en-US"/>
        </w:rPr>
      </w:pPr>
      <w:bookmarkStart w:id="15" w:name="_Ref532306453"/>
      <w:r w:rsidRPr="00353B3F">
        <w:rPr>
          <w:rFonts w:ascii="Verdana" w:hAnsi="Verdana"/>
          <w:sz w:val="20"/>
          <w:lang w:val="en-US"/>
        </w:rPr>
        <w:t xml:space="preserve">Consequently, it is noted that impunity subsists in this case owing to the ineffectiveness and the unjustified delays in the investigations and criminal proceedings. </w:t>
      </w:r>
      <w:r w:rsidRPr="004F38C4">
        <w:rPr>
          <w:rFonts w:ascii="Verdana" w:hAnsi="Verdana"/>
          <w:sz w:val="20"/>
          <w:lang w:val="en-US"/>
        </w:rPr>
        <w:t>Based on this and on the foregoing considerations, the Court concludes that the measure of reparation</w:t>
      </w:r>
      <w:r w:rsidR="00851E4C" w:rsidRPr="004F38C4">
        <w:rPr>
          <w:rFonts w:ascii="Verdana" w:hAnsi="Verdana"/>
          <w:sz w:val="20"/>
          <w:lang w:val="en-US"/>
        </w:rPr>
        <w:t xml:space="preserve"> is pending that refers to</w:t>
      </w:r>
      <w:r w:rsidRPr="004F38C4">
        <w:rPr>
          <w:rFonts w:ascii="Verdana" w:hAnsi="Verdana"/>
          <w:sz w:val="20"/>
          <w:lang w:val="en-US"/>
        </w:rPr>
        <w:t xml:space="preserve"> </w:t>
      </w:r>
      <w:r w:rsidR="00330210" w:rsidRPr="004F38C4">
        <w:rPr>
          <w:rFonts w:ascii="Verdana" w:hAnsi="Verdana"/>
          <w:sz w:val="20"/>
          <w:lang w:val="en-US"/>
        </w:rPr>
        <w:t xml:space="preserve"> “</w:t>
      </w:r>
      <w:r w:rsidR="00D10D2E" w:rsidRPr="004F38C4">
        <w:rPr>
          <w:rFonts w:ascii="Verdana" w:hAnsi="Verdana"/>
          <w:sz w:val="20"/>
          <w:lang w:val="en-US"/>
        </w:rPr>
        <w:t>immediately</w:t>
      </w:r>
      <w:r w:rsidR="004F38C4" w:rsidRPr="004F38C4">
        <w:rPr>
          <w:rFonts w:ascii="Verdana" w:hAnsi="Verdana"/>
          <w:sz w:val="20"/>
          <w:lang w:val="en-US"/>
        </w:rPr>
        <w:t xml:space="preserve"> </w:t>
      </w:r>
      <w:r w:rsidR="00D10D2E">
        <w:rPr>
          <w:rFonts w:ascii="Verdana" w:hAnsi="Verdana"/>
          <w:sz w:val="20"/>
          <w:lang w:val="en-US"/>
        </w:rPr>
        <w:t>carry o</w:t>
      </w:r>
      <w:r w:rsidR="004F38C4" w:rsidRPr="004F38C4">
        <w:rPr>
          <w:rFonts w:ascii="Verdana" w:hAnsi="Verdana"/>
          <w:sz w:val="20"/>
          <w:lang w:val="en-US"/>
        </w:rPr>
        <w:t>ut an effective, swift investigation and judicial process, leading to the clarification of the facts</w:t>
      </w:r>
      <w:r w:rsidR="004F38C4">
        <w:rPr>
          <w:rFonts w:ascii="Verdana" w:hAnsi="Verdana"/>
          <w:sz w:val="20"/>
          <w:lang w:val="en-US"/>
        </w:rPr>
        <w:t>, punishment of the responsible parties and appropriate compensation of the victims</w:t>
      </w:r>
      <w:r w:rsidR="00D10D2E">
        <w:rPr>
          <w:rFonts w:ascii="Verdana" w:hAnsi="Verdana"/>
          <w:sz w:val="20"/>
          <w:lang w:val="en-US"/>
        </w:rPr>
        <w:t>”.</w:t>
      </w:r>
      <w:r w:rsidR="00330210" w:rsidRPr="004F38C4">
        <w:rPr>
          <w:rFonts w:ascii="Verdana" w:hAnsi="Verdana"/>
          <w:sz w:val="20"/>
          <w:lang w:val="en-US"/>
        </w:rPr>
        <w:t xml:space="preserve"> </w:t>
      </w:r>
      <w:r w:rsidR="00851E4C" w:rsidRPr="00353B3F">
        <w:rPr>
          <w:rFonts w:ascii="Verdana" w:hAnsi="Verdana"/>
          <w:sz w:val="20"/>
          <w:lang w:val="en-US"/>
        </w:rPr>
        <w:t xml:space="preserve">Accordingly, once again, it requires the State to present updated information on any actions it is taking to advance the investigations and the criminal proceedings against those responsible for the attack that took place in November 1986, and against those responsible for obstructing the criminal investigation into these facts, in keeping with </w:t>
      </w:r>
      <w:r w:rsidR="00EC5ABD" w:rsidRPr="00353B3F">
        <w:rPr>
          <w:rFonts w:ascii="Verdana" w:hAnsi="Verdana"/>
          <w:sz w:val="20"/>
          <w:lang w:val="en-US"/>
        </w:rPr>
        <w:t>paragraph</w:t>
      </w:r>
      <w:r w:rsidR="006B2768" w:rsidRPr="00353B3F">
        <w:rPr>
          <w:rFonts w:ascii="Verdana" w:hAnsi="Verdana"/>
          <w:sz w:val="20"/>
          <w:lang w:val="en-US"/>
        </w:rPr>
        <w:t xml:space="preserve"> 207</w:t>
      </w:r>
      <w:r w:rsidR="00DC49A3" w:rsidRPr="00353B3F">
        <w:rPr>
          <w:rFonts w:ascii="Verdana" w:hAnsi="Verdana"/>
          <w:sz w:val="20"/>
          <w:lang w:val="en-US"/>
        </w:rPr>
        <w:t xml:space="preserve"> of the </w:t>
      </w:r>
      <w:r w:rsidR="00484EB4" w:rsidRPr="00353B3F">
        <w:rPr>
          <w:rFonts w:ascii="Verdana" w:hAnsi="Verdana"/>
          <w:sz w:val="20"/>
          <w:lang w:val="en-US"/>
        </w:rPr>
        <w:t>judgment</w:t>
      </w:r>
      <w:r w:rsidR="006B2768" w:rsidRPr="00353B3F">
        <w:rPr>
          <w:rFonts w:ascii="Verdana" w:hAnsi="Verdana"/>
          <w:sz w:val="20"/>
          <w:lang w:val="en-US"/>
        </w:rPr>
        <w:t xml:space="preserve"> (</w:t>
      </w:r>
      <w:r w:rsidR="006B2768" w:rsidRPr="00353B3F">
        <w:rPr>
          <w:rFonts w:ascii="Verdana" w:hAnsi="Verdana"/>
          <w:i/>
          <w:sz w:val="20"/>
          <w:lang w:val="en-US"/>
        </w:rPr>
        <w:t xml:space="preserve">supra </w:t>
      </w:r>
      <w:proofErr w:type="spellStart"/>
      <w:r w:rsidR="002D3C89" w:rsidRPr="00353B3F">
        <w:rPr>
          <w:rFonts w:ascii="Verdana" w:hAnsi="Verdana"/>
          <w:i/>
          <w:sz w:val="20"/>
          <w:lang w:val="en-US"/>
        </w:rPr>
        <w:t>considerandum</w:t>
      </w:r>
      <w:proofErr w:type="spellEnd"/>
      <w:r w:rsidR="00851E4C" w:rsidRPr="00353B3F">
        <w:rPr>
          <w:rFonts w:ascii="Verdana" w:hAnsi="Verdana"/>
          <w:i/>
          <w:sz w:val="20"/>
          <w:lang w:val="en-US"/>
        </w:rPr>
        <w:t xml:space="preserve"> </w:t>
      </w:r>
      <w:r w:rsidR="00554CCB" w:rsidRPr="00353B3F">
        <w:rPr>
          <w:rFonts w:ascii="Verdana" w:hAnsi="Verdana"/>
          <w:sz w:val="20"/>
          <w:lang w:val="en-US"/>
        </w:rPr>
        <w:fldChar w:fldCharType="begin"/>
      </w:r>
      <w:r w:rsidR="00554CCB" w:rsidRPr="00353B3F">
        <w:rPr>
          <w:rFonts w:ascii="Verdana" w:hAnsi="Verdana"/>
          <w:sz w:val="20"/>
          <w:lang w:val="en-US"/>
        </w:rPr>
        <w:instrText xml:space="preserve"> REF _Ref532219877 \r \h </w:instrText>
      </w:r>
      <w:r w:rsidR="00E47A56" w:rsidRPr="00353B3F">
        <w:rPr>
          <w:rFonts w:ascii="Verdana" w:hAnsi="Verdana"/>
          <w:sz w:val="20"/>
          <w:lang w:val="en-US"/>
        </w:rPr>
        <w:instrText xml:space="preserve"> \* MERGEFORMAT </w:instrText>
      </w:r>
      <w:r w:rsidR="00554CCB" w:rsidRPr="00353B3F">
        <w:rPr>
          <w:rFonts w:ascii="Verdana" w:hAnsi="Verdana"/>
          <w:sz w:val="20"/>
          <w:lang w:val="en-US"/>
        </w:rPr>
      </w:r>
      <w:r w:rsidR="00554CCB" w:rsidRPr="00353B3F">
        <w:rPr>
          <w:rFonts w:ascii="Verdana" w:hAnsi="Verdana"/>
          <w:sz w:val="20"/>
          <w:lang w:val="en-US"/>
        </w:rPr>
        <w:fldChar w:fldCharType="separate"/>
      </w:r>
      <w:r w:rsidR="00BD655E">
        <w:rPr>
          <w:rFonts w:ascii="Verdana" w:hAnsi="Verdana"/>
          <w:sz w:val="20"/>
          <w:lang w:val="en-US"/>
        </w:rPr>
        <w:t>6</w:t>
      </w:r>
      <w:r w:rsidR="00554CCB" w:rsidRPr="00353B3F">
        <w:rPr>
          <w:rFonts w:ascii="Verdana" w:hAnsi="Verdana"/>
          <w:sz w:val="20"/>
          <w:lang w:val="en-US"/>
        </w:rPr>
        <w:fldChar w:fldCharType="end"/>
      </w:r>
      <w:r w:rsidR="006B2768" w:rsidRPr="00353B3F">
        <w:rPr>
          <w:rFonts w:ascii="Verdana" w:hAnsi="Verdana"/>
          <w:sz w:val="20"/>
          <w:lang w:val="en-US"/>
        </w:rPr>
        <w:t>).</w:t>
      </w:r>
      <w:bookmarkEnd w:id="15"/>
      <w:r w:rsidR="006B2768" w:rsidRPr="00353B3F">
        <w:rPr>
          <w:rFonts w:ascii="Verdana" w:hAnsi="Verdana"/>
          <w:sz w:val="20"/>
          <w:lang w:val="en-US"/>
        </w:rPr>
        <w:t xml:space="preserve">  </w:t>
      </w:r>
    </w:p>
    <w:p w14:paraId="32152178" w14:textId="77777777" w:rsidR="0020114D" w:rsidRPr="00353B3F" w:rsidRDefault="0020114D" w:rsidP="0020114D">
      <w:pPr>
        <w:rPr>
          <w:rFonts w:ascii="Verdana" w:hAnsi="Verdana"/>
          <w:sz w:val="20"/>
          <w:lang w:val="en-US"/>
        </w:rPr>
      </w:pPr>
    </w:p>
    <w:p w14:paraId="6FB1B62F" w14:textId="53F3CF18" w:rsidR="0020114D" w:rsidRPr="00353B3F" w:rsidRDefault="00BA5116" w:rsidP="0020114D">
      <w:pPr>
        <w:pStyle w:val="Heading1"/>
        <w:numPr>
          <w:ilvl w:val="0"/>
          <w:numId w:val="12"/>
        </w:numPr>
        <w:spacing w:before="0"/>
        <w:jc w:val="both"/>
        <w:rPr>
          <w:rFonts w:ascii="Verdana" w:hAnsi="Verdana"/>
          <w:color w:val="auto"/>
          <w:sz w:val="20"/>
          <w:szCs w:val="20"/>
          <w:lang w:val="en-US"/>
        </w:rPr>
      </w:pPr>
      <w:bookmarkStart w:id="16" w:name="_Toc533153546"/>
      <w:r w:rsidRPr="00353B3F">
        <w:rPr>
          <w:rFonts w:ascii="Verdana" w:hAnsi="Verdana"/>
          <w:color w:val="auto"/>
          <w:sz w:val="20"/>
          <w:szCs w:val="20"/>
          <w:lang w:val="en-US"/>
        </w:rPr>
        <w:t>Recover the remains of the members</w:t>
      </w:r>
      <w:r w:rsidR="00DC49A3" w:rsidRPr="00353B3F">
        <w:rPr>
          <w:rFonts w:ascii="Verdana" w:hAnsi="Verdana"/>
          <w:color w:val="auto"/>
          <w:sz w:val="20"/>
          <w:szCs w:val="20"/>
          <w:lang w:val="en-US"/>
        </w:rPr>
        <w:t xml:space="preserve"> of the </w:t>
      </w:r>
      <w:proofErr w:type="spellStart"/>
      <w:r w:rsidRPr="00353B3F">
        <w:rPr>
          <w:rFonts w:ascii="Verdana" w:hAnsi="Verdana"/>
          <w:color w:val="auto"/>
          <w:sz w:val="20"/>
          <w:szCs w:val="20"/>
          <w:lang w:val="en-US"/>
        </w:rPr>
        <w:t>Moiwana</w:t>
      </w:r>
      <w:proofErr w:type="spellEnd"/>
      <w:r w:rsidRPr="00353B3F">
        <w:rPr>
          <w:rFonts w:ascii="Verdana" w:hAnsi="Verdana"/>
          <w:color w:val="auto"/>
          <w:sz w:val="20"/>
          <w:szCs w:val="20"/>
          <w:lang w:val="en-US"/>
        </w:rPr>
        <w:t xml:space="preserve"> community</w:t>
      </w:r>
      <w:bookmarkEnd w:id="16"/>
    </w:p>
    <w:p w14:paraId="0FA70EC1" w14:textId="77777777" w:rsidR="0020114D" w:rsidRPr="00353B3F" w:rsidRDefault="0020114D" w:rsidP="0020114D">
      <w:pPr>
        <w:rPr>
          <w:rFonts w:ascii="Verdana" w:hAnsi="Verdana"/>
          <w:sz w:val="20"/>
          <w:lang w:val="en-US"/>
        </w:rPr>
      </w:pPr>
    </w:p>
    <w:p w14:paraId="16EDC853" w14:textId="19AD2F36" w:rsidR="0020114D" w:rsidRPr="00353B3F" w:rsidRDefault="0020114D" w:rsidP="00C245E4">
      <w:pPr>
        <w:ind w:left="708"/>
        <w:jc w:val="both"/>
        <w:rPr>
          <w:rFonts w:ascii="Verdana" w:hAnsi="Verdana"/>
          <w:i/>
          <w:sz w:val="20"/>
          <w:lang w:val="en-US"/>
        </w:rPr>
      </w:pPr>
      <w:r w:rsidRPr="00353B3F">
        <w:rPr>
          <w:rFonts w:ascii="Verdana" w:hAnsi="Verdana"/>
          <w:i/>
          <w:sz w:val="20"/>
          <w:lang w:val="en-US"/>
        </w:rPr>
        <w:t xml:space="preserve">B.1. </w:t>
      </w:r>
      <w:r w:rsidR="004932E8" w:rsidRPr="00353B3F">
        <w:rPr>
          <w:rFonts w:ascii="Verdana" w:hAnsi="Verdana"/>
          <w:i/>
          <w:sz w:val="20"/>
          <w:lang w:val="en-US"/>
        </w:rPr>
        <w:t>Measure ordered by the Court and monitored in</w:t>
      </w:r>
      <w:r w:rsidR="00EC5ABD" w:rsidRPr="00353B3F">
        <w:rPr>
          <w:rFonts w:ascii="Verdana" w:hAnsi="Verdana"/>
          <w:i/>
          <w:sz w:val="20"/>
          <w:lang w:val="en-US"/>
        </w:rPr>
        <w:t xml:space="preserve"> previous orders</w:t>
      </w:r>
    </w:p>
    <w:p w14:paraId="3B2AD332" w14:textId="77777777" w:rsidR="003451C9" w:rsidRPr="00353B3F" w:rsidRDefault="003451C9" w:rsidP="0020114D">
      <w:pPr>
        <w:rPr>
          <w:rFonts w:ascii="Verdana" w:hAnsi="Verdana"/>
          <w:sz w:val="20"/>
          <w:lang w:val="en-US"/>
        </w:rPr>
      </w:pPr>
    </w:p>
    <w:p w14:paraId="226E9E90" w14:textId="0C72CC15" w:rsidR="00576B8A" w:rsidRPr="00353B3F" w:rsidRDefault="00851E4C" w:rsidP="00576B8A">
      <w:pPr>
        <w:pStyle w:val="ListParagraph"/>
        <w:numPr>
          <w:ilvl w:val="0"/>
          <w:numId w:val="5"/>
        </w:numPr>
        <w:ind w:left="0" w:firstLine="0"/>
        <w:jc w:val="both"/>
        <w:rPr>
          <w:rFonts w:ascii="Verdana" w:hAnsi="Verdana"/>
          <w:sz w:val="20"/>
          <w:lang w:val="en-US"/>
        </w:rPr>
      </w:pPr>
      <w:bookmarkStart w:id="17" w:name="_Ref532305228"/>
      <w:r w:rsidRPr="00353B3F">
        <w:rPr>
          <w:rFonts w:ascii="Verdana" w:hAnsi="Verdana"/>
          <w:sz w:val="20"/>
          <w:lang w:val="en-US"/>
        </w:rPr>
        <w:t>In the second</w:t>
      </w:r>
      <w:r w:rsidR="003451C9" w:rsidRPr="00353B3F">
        <w:rPr>
          <w:rFonts w:ascii="Verdana" w:hAnsi="Verdana"/>
          <w:sz w:val="20"/>
          <w:lang w:val="en-US"/>
        </w:rPr>
        <w:t xml:space="preserve"> </w:t>
      </w:r>
      <w:r w:rsidR="00EC5ABD" w:rsidRPr="00353B3F">
        <w:rPr>
          <w:rFonts w:ascii="Verdana" w:hAnsi="Verdana"/>
          <w:sz w:val="20"/>
          <w:lang w:val="en-US"/>
        </w:rPr>
        <w:t>operative paragraph</w:t>
      </w:r>
      <w:r w:rsidR="003451C9" w:rsidRPr="00353B3F">
        <w:rPr>
          <w:rFonts w:ascii="Verdana" w:hAnsi="Verdana"/>
          <w:sz w:val="20"/>
          <w:lang w:val="en-US"/>
        </w:rPr>
        <w:t xml:space="preserve"> </w:t>
      </w:r>
      <w:r w:rsidRPr="00353B3F">
        <w:rPr>
          <w:rFonts w:ascii="Verdana" w:hAnsi="Verdana"/>
          <w:sz w:val="20"/>
          <w:lang w:val="en-US"/>
        </w:rPr>
        <w:t>and in</w:t>
      </w:r>
      <w:r w:rsidR="003451C9" w:rsidRPr="00353B3F">
        <w:rPr>
          <w:rFonts w:ascii="Verdana" w:hAnsi="Verdana"/>
          <w:sz w:val="20"/>
          <w:lang w:val="en-US"/>
        </w:rPr>
        <w:t xml:space="preserve"> </w:t>
      </w:r>
      <w:r w:rsidR="00EC5ABD" w:rsidRPr="00353B3F">
        <w:rPr>
          <w:rFonts w:ascii="Verdana" w:hAnsi="Verdana"/>
          <w:sz w:val="20"/>
          <w:lang w:val="en-US"/>
        </w:rPr>
        <w:t>paragraph</w:t>
      </w:r>
      <w:r w:rsidR="003451C9" w:rsidRPr="00353B3F">
        <w:rPr>
          <w:rFonts w:ascii="Verdana" w:hAnsi="Verdana"/>
          <w:sz w:val="20"/>
          <w:lang w:val="en-US"/>
        </w:rPr>
        <w:t xml:space="preserve"> 208</w:t>
      </w:r>
      <w:r w:rsidR="00DC49A3" w:rsidRPr="00353B3F">
        <w:rPr>
          <w:rFonts w:ascii="Verdana" w:hAnsi="Verdana"/>
          <w:sz w:val="20"/>
          <w:lang w:val="en-US"/>
        </w:rPr>
        <w:t xml:space="preserve"> of the </w:t>
      </w:r>
      <w:r w:rsidR="00484EB4" w:rsidRPr="00353B3F">
        <w:rPr>
          <w:rFonts w:ascii="Verdana" w:hAnsi="Verdana"/>
          <w:sz w:val="20"/>
          <w:lang w:val="en-US"/>
        </w:rPr>
        <w:t>judgment</w:t>
      </w:r>
      <w:r w:rsidR="005D7379" w:rsidRPr="00353B3F">
        <w:rPr>
          <w:rFonts w:ascii="Verdana" w:hAnsi="Verdana"/>
          <w:sz w:val="20"/>
          <w:lang w:val="en-US"/>
        </w:rPr>
        <w:t xml:space="preserve">, </w:t>
      </w:r>
      <w:r w:rsidRPr="00353B3F">
        <w:rPr>
          <w:rFonts w:ascii="Verdana" w:hAnsi="Verdana"/>
          <w:sz w:val="20"/>
          <w:lang w:val="en-US"/>
        </w:rPr>
        <w:t xml:space="preserve">the Court ordered the State to </w:t>
      </w:r>
      <w:r w:rsidR="005D7379" w:rsidRPr="00353B3F">
        <w:rPr>
          <w:rFonts w:ascii="Verdana" w:hAnsi="Verdana"/>
          <w:sz w:val="20"/>
          <w:lang w:val="en-US"/>
        </w:rPr>
        <w:t>“</w:t>
      </w:r>
      <w:r w:rsidRPr="00353B3F">
        <w:rPr>
          <w:rFonts w:ascii="Verdana" w:hAnsi="Verdana"/>
          <w:sz w:val="20"/>
          <w:lang w:val="en-US"/>
        </w:rPr>
        <w:t>[r]</w:t>
      </w:r>
      <w:proofErr w:type="spellStart"/>
      <w:r w:rsidR="00BA5116" w:rsidRPr="00353B3F">
        <w:rPr>
          <w:rFonts w:ascii="Verdana" w:hAnsi="Verdana"/>
          <w:sz w:val="20"/>
          <w:lang w:val="en-US"/>
        </w:rPr>
        <w:t>ecover</w:t>
      </w:r>
      <w:proofErr w:type="spellEnd"/>
      <w:r w:rsidR="00BA5116" w:rsidRPr="00353B3F">
        <w:rPr>
          <w:rFonts w:ascii="Verdana" w:hAnsi="Verdana"/>
          <w:sz w:val="20"/>
          <w:lang w:val="en-US"/>
        </w:rPr>
        <w:t xml:space="preserve"> the remains of the members</w:t>
      </w:r>
      <w:r w:rsidR="00DC49A3" w:rsidRPr="00353B3F">
        <w:rPr>
          <w:rFonts w:ascii="Verdana" w:hAnsi="Verdana"/>
          <w:sz w:val="20"/>
          <w:lang w:val="en-US"/>
        </w:rPr>
        <w:t xml:space="preserve"> of the </w:t>
      </w:r>
      <w:proofErr w:type="spellStart"/>
      <w:r w:rsidR="00BA5116" w:rsidRPr="00353B3F">
        <w:rPr>
          <w:rFonts w:ascii="Verdana" w:hAnsi="Verdana"/>
          <w:sz w:val="20"/>
          <w:lang w:val="en-US"/>
        </w:rPr>
        <w:t>Moiwana</w:t>
      </w:r>
      <w:proofErr w:type="spellEnd"/>
      <w:r w:rsidR="00BA5116" w:rsidRPr="00353B3F">
        <w:rPr>
          <w:rFonts w:ascii="Verdana" w:hAnsi="Verdana"/>
          <w:sz w:val="20"/>
          <w:lang w:val="en-US"/>
        </w:rPr>
        <w:t xml:space="preserve"> community</w:t>
      </w:r>
      <w:r w:rsidR="003451C9" w:rsidRPr="00353B3F">
        <w:rPr>
          <w:rFonts w:ascii="Verdana" w:hAnsi="Verdana"/>
          <w:sz w:val="20"/>
          <w:lang w:val="en-US"/>
        </w:rPr>
        <w:t xml:space="preserve"> </w:t>
      </w:r>
      <w:r w:rsidR="00576B8A" w:rsidRPr="00353B3F">
        <w:rPr>
          <w:rFonts w:ascii="Verdana" w:eastAsiaTheme="minorHAnsi" w:hAnsi="Verdana" w:cs="TTE1091E40t00"/>
          <w:sz w:val="20"/>
          <w:lang w:val="en-US"/>
        </w:rPr>
        <w:t xml:space="preserve">killed during the events of November 29, 1986, and deliver them to the surviving members of the </w:t>
      </w:r>
      <w:proofErr w:type="spellStart"/>
      <w:r w:rsidR="00576B8A" w:rsidRPr="00353B3F">
        <w:rPr>
          <w:rFonts w:ascii="Verdana" w:eastAsiaTheme="minorHAnsi" w:hAnsi="Verdana" w:cs="TTE1091E40t00"/>
          <w:sz w:val="20"/>
          <w:lang w:val="en-US"/>
        </w:rPr>
        <w:t>Moiwana</w:t>
      </w:r>
      <w:proofErr w:type="spellEnd"/>
      <w:r w:rsidR="00576B8A" w:rsidRPr="00353B3F">
        <w:rPr>
          <w:rFonts w:ascii="Verdana" w:eastAsiaTheme="minorHAnsi" w:hAnsi="Verdana" w:cs="TTE1091E40t00"/>
          <w:sz w:val="20"/>
          <w:lang w:val="en-US"/>
        </w:rPr>
        <w:t xml:space="preserve"> community</w:t>
      </w:r>
      <w:r w:rsidR="00576B8A" w:rsidRPr="00353B3F">
        <w:rPr>
          <w:rFonts w:ascii="Verdana" w:hAnsi="Verdana"/>
          <w:sz w:val="20"/>
          <w:lang w:val="en-US"/>
        </w:rPr>
        <w:t>.</w:t>
      </w:r>
      <w:r w:rsidR="009102F9" w:rsidRPr="00353B3F">
        <w:rPr>
          <w:rFonts w:ascii="Verdana" w:hAnsi="Verdana"/>
          <w:sz w:val="20"/>
          <w:lang w:val="en-US"/>
        </w:rPr>
        <w:t xml:space="preserve">” </w:t>
      </w:r>
      <w:r w:rsidR="00576B8A" w:rsidRPr="00353B3F">
        <w:rPr>
          <w:rFonts w:ascii="Verdana" w:hAnsi="Verdana"/>
          <w:sz w:val="20"/>
          <w:lang w:val="en-US"/>
        </w:rPr>
        <w:t>Moreover, p</w:t>
      </w:r>
      <w:r w:rsidR="00EC5ABD" w:rsidRPr="00353B3F">
        <w:rPr>
          <w:rFonts w:ascii="Verdana" w:hAnsi="Verdana"/>
          <w:sz w:val="20"/>
          <w:lang w:val="en-US"/>
        </w:rPr>
        <w:t>aragraph</w:t>
      </w:r>
      <w:r w:rsidR="005937E0" w:rsidRPr="00353B3F">
        <w:rPr>
          <w:rFonts w:ascii="Verdana" w:hAnsi="Verdana"/>
          <w:sz w:val="20"/>
          <w:lang w:val="en-US"/>
        </w:rPr>
        <w:t xml:space="preserve"> 208 </w:t>
      </w:r>
      <w:r w:rsidR="00576B8A" w:rsidRPr="00353B3F">
        <w:rPr>
          <w:rFonts w:ascii="Verdana" w:hAnsi="Verdana"/>
          <w:sz w:val="20"/>
          <w:lang w:val="en-US"/>
        </w:rPr>
        <w:t>established that Suriname “</w:t>
      </w:r>
      <w:r w:rsidR="00576B8A" w:rsidRPr="00353B3F">
        <w:rPr>
          <w:rFonts w:ascii="Verdana" w:eastAsiaTheme="minorHAnsi" w:hAnsi="Verdana" w:cs="TTE1091E40t00"/>
          <w:sz w:val="20"/>
          <w:lang w:val="en-US"/>
        </w:rPr>
        <w:t xml:space="preserve">must employ all technical and scientific means possible – taking into account the relevant standards in the field, such as those set out in the United Nations Manual on the Effective Prevention and Investigation of Extra-Legal, Arbitrary and Summary Executions – to recover promptly the remains of the </w:t>
      </w:r>
      <w:proofErr w:type="spellStart"/>
      <w:r w:rsidR="00576B8A" w:rsidRPr="00353B3F">
        <w:rPr>
          <w:rFonts w:ascii="Verdana" w:eastAsiaTheme="minorHAnsi" w:hAnsi="Verdana" w:cs="TTE1091E40t00"/>
          <w:sz w:val="20"/>
          <w:lang w:val="en-US"/>
        </w:rPr>
        <w:t>Moiwana</w:t>
      </w:r>
      <w:proofErr w:type="spellEnd"/>
      <w:r w:rsidR="00576B8A" w:rsidRPr="00353B3F">
        <w:rPr>
          <w:rFonts w:ascii="Verdana" w:eastAsiaTheme="minorHAnsi" w:hAnsi="Verdana" w:cs="TTE1091E40t00"/>
          <w:sz w:val="20"/>
          <w:lang w:val="en-US"/>
        </w:rPr>
        <w:t xml:space="preserve"> community members killed during the 1986 attack. If such remains are found by the State, it shall deliver them as soon as possible thereafter to the surviving community members so that the deceased may be honored according to the rituals of </w:t>
      </w:r>
      <w:r w:rsidR="001F0452" w:rsidRPr="00353B3F">
        <w:rPr>
          <w:rFonts w:ascii="Verdana" w:eastAsiaTheme="minorHAnsi" w:hAnsi="Verdana" w:cs="TTE1091E40t00"/>
          <w:sz w:val="20"/>
          <w:lang w:val="en-US"/>
        </w:rPr>
        <w:t xml:space="preserve">the </w:t>
      </w:r>
      <w:proofErr w:type="spellStart"/>
      <w:r w:rsidR="00576B8A" w:rsidRPr="00353B3F">
        <w:rPr>
          <w:rFonts w:ascii="Verdana" w:eastAsiaTheme="minorHAnsi" w:hAnsi="Verdana" w:cs="TTE1091E40t00"/>
          <w:sz w:val="20"/>
          <w:lang w:val="en-US"/>
        </w:rPr>
        <w:t>N’djuka</w:t>
      </w:r>
      <w:proofErr w:type="spellEnd"/>
      <w:r w:rsidR="00576B8A" w:rsidRPr="00353B3F">
        <w:rPr>
          <w:rFonts w:ascii="Verdana" w:eastAsiaTheme="minorHAnsi" w:hAnsi="Verdana" w:cs="TTE1091E40t00"/>
          <w:sz w:val="20"/>
          <w:lang w:val="en-US"/>
        </w:rPr>
        <w:t xml:space="preserve"> culture. Moreover, the State shall conclude, within a reasonable time, the analysis of the human remains found at the grave site in 1993, […] and communicate the results of said analysis to the representatives of the victims.”</w:t>
      </w:r>
    </w:p>
    <w:p w14:paraId="4A0FDCEC" w14:textId="77777777" w:rsidR="00576B8A" w:rsidRPr="00353B3F" w:rsidRDefault="00576B8A" w:rsidP="00576B8A">
      <w:pPr>
        <w:pStyle w:val="ListParagraph"/>
        <w:ind w:left="0"/>
        <w:jc w:val="both"/>
        <w:rPr>
          <w:rFonts w:ascii="Verdana" w:hAnsi="Verdana"/>
          <w:sz w:val="20"/>
          <w:lang w:val="en-US"/>
        </w:rPr>
      </w:pPr>
    </w:p>
    <w:bookmarkEnd w:id="17"/>
    <w:p w14:paraId="1BE7A260" w14:textId="72AA0396" w:rsidR="00611F86" w:rsidRPr="004F38C4" w:rsidRDefault="00576B8A" w:rsidP="00611F86">
      <w:pPr>
        <w:pStyle w:val="ListParagraph"/>
        <w:numPr>
          <w:ilvl w:val="0"/>
          <w:numId w:val="5"/>
        </w:numPr>
        <w:ind w:left="0" w:firstLine="0"/>
        <w:jc w:val="both"/>
        <w:rPr>
          <w:rFonts w:ascii="Verdana" w:hAnsi="Verdana"/>
          <w:sz w:val="20"/>
          <w:lang w:val="en-US"/>
        </w:rPr>
      </w:pPr>
      <w:r w:rsidRPr="00353B3F">
        <w:rPr>
          <w:rFonts w:ascii="Verdana" w:hAnsi="Verdana"/>
          <w:sz w:val="20"/>
          <w:lang w:val="en-US"/>
        </w:rPr>
        <w:t xml:space="preserve">In its 2010 order, the Court </w:t>
      </w:r>
      <w:r w:rsidR="00270E1F">
        <w:rPr>
          <w:rFonts w:ascii="Verdana" w:hAnsi="Verdana"/>
          <w:sz w:val="20"/>
          <w:lang w:val="en-US"/>
        </w:rPr>
        <w:t>positively assessed</w:t>
      </w:r>
      <w:r w:rsidRPr="00353B3F">
        <w:rPr>
          <w:rFonts w:ascii="Verdana" w:hAnsi="Verdana"/>
          <w:sz w:val="20"/>
          <w:lang w:val="en-US"/>
        </w:rPr>
        <w:t xml:space="preserve"> the </w:t>
      </w:r>
      <w:r w:rsidR="002B4F7B" w:rsidRPr="00353B3F">
        <w:rPr>
          <w:rFonts w:ascii="Verdana" w:hAnsi="Verdana"/>
          <w:sz w:val="20"/>
          <w:lang w:val="en-US"/>
        </w:rPr>
        <w:t>information presented</w:t>
      </w:r>
      <w:r w:rsidRPr="00353B3F">
        <w:rPr>
          <w:rFonts w:ascii="Verdana" w:hAnsi="Verdana"/>
          <w:sz w:val="20"/>
          <w:lang w:val="en-US"/>
        </w:rPr>
        <w:t xml:space="preserve"> by the</w:t>
      </w:r>
      <w:r w:rsidR="00484EB4" w:rsidRPr="00353B3F">
        <w:rPr>
          <w:rFonts w:ascii="Verdana" w:hAnsi="Verdana"/>
          <w:sz w:val="20"/>
          <w:lang w:val="en-US"/>
        </w:rPr>
        <w:t xml:space="preserve"> State</w:t>
      </w:r>
      <w:r w:rsidRPr="00353B3F">
        <w:rPr>
          <w:rFonts w:ascii="Verdana" w:hAnsi="Verdana"/>
          <w:sz w:val="20"/>
          <w:lang w:val="en-US"/>
        </w:rPr>
        <w:t>,</w:t>
      </w:r>
      <w:r w:rsidR="000A6CED" w:rsidRPr="00353B3F">
        <w:rPr>
          <w:rStyle w:val="FootnoteReference"/>
          <w:rFonts w:ascii="Verdana" w:hAnsi="Verdana"/>
          <w:sz w:val="20"/>
          <w:lang w:val="en-US"/>
        </w:rPr>
        <w:footnoteReference w:id="37"/>
      </w:r>
      <w:r w:rsidRPr="00353B3F">
        <w:rPr>
          <w:rFonts w:ascii="Verdana" w:hAnsi="Verdana"/>
          <w:sz w:val="20"/>
          <w:lang w:val="en-US"/>
        </w:rPr>
        <w:t xml:space="preserve"> but considered that “the information </w:t>
      </w:r>
      <w:r w:rsidR="00D27BCC">
        <w:rPr>
          <w:rFonts w:ascii="Verdana" w:hAnsi="Verdana"/>
          <w:sz w:val="20"/>
          <w:lang w:val="en-US"/>
        </w:rPr>
        <w:t xml:space="preserve">provided by the parties is insufficient for the purpose of evaluating the State’s compliance with this obligation. </w:t>
      </w:r>
      <w:r w:rsidR="00D27BCC" w:rsidRPr="00D27BCC">
        <w:rPr>
          <w:rFonts w:ascii="Verdana" w:hAnsi="Verdana"/>
          <w:sz w:val="20"/>
          <w:lang w:val="en-US"/>
        </w:rPr>
        <w:t>The documents submitted by the State, which date back to 1993, provide a description of the remains of various</w:t>
      </w:r>
      <w:r w:rsidR="00D27BCC">
        <w:rPr>
          <w:rFonts w:ascii="Verdana" w:hAnsi="Verdana"/>
          <w:sz w:val="20"/>
          <w:lang w:val="en-US"/>
        </w:rPr>
        <w:t xml:space="preserve"> persons, but do not indicate whether those remains are the same ones that were discovered at a gravesite in 1993, nor do they state how the remains have been identified as belonging to victims of the 1986 attack on </w:t>
      </w:r>
      <w:proofErr w:type="spellStart"/>
      <w:r w:rsidR="00D27BCC">
        <w:rPr>
          <w:rFonts w:ascii="Verdana" w:hAnsi="Verdana"/>
          <w:sz w:val="20"/>
          <w:lang w:val="en-US"/>
        </w:rPr>
        <w:t>Moiwana</w:t>
      </w:r>
      <w:proofErr w:type="spellEnd"/>
      <w:r w:rsidR="00D27BCC">
        <w:rPr>
          <w:rFonts w:ascii="Verdana" w:hAnsi="Verdana"/>
          <w:sz w:val="20"/>
          <w:lang w:val="en-US"/>
        </w:rPr>
        <w:t xml:space="preserve"> Village. </w:t>
      </w:r>
      <w:r w:rsidR="00D27BCC" w:rsidRPr="004F38C4">
        <w:rPr>
          <w:rFonts w:ascii="Verdana" w:hAnsi="Verdana"/>
          <w:sz w:val="20"/>
          <w:lang w:val="en-US"/>
        </w:rPr>
        <w:t xml:space="preserve">Similarly, it is not clear from the parties’ submissions whether the State has properly identified the remains located in 2008 </w:t>
      </w:r>
      <w:r w:rsidR="004F38C4" w:rsidRPr="004F38C4">
        <w:rPr>
          <w:rFonts w:ascii="Verdana" w:hAnsi="Verdana"/>
          <w:sz w:val="20"/>
          <w:lang w:val="en-US"/>
        </w:rPr>
        <w:t xml:space="preserve">and, if so, whether it has </w:t>
      </w:r>
      <w:r w:rsidR="004F38C4">
        <w:rPr>
          <w:rFonts w:ascii="Verdana" w:hAnsi="Verdana"/>
          <w:sz w:val="20"/>
          <w:lang w:val="en-US"/>
        </w:rPr>
        <w:t xml:space="preserve">delivered </w:t>
      </w:r>
      <w:r w:rsidR="004F38C4">
        <w:rPr>
          <w:rFonts w:ascii="Verdana" w:hAnsi="Verdana"/>
          <w:sz w:val="20"/>
          <w:lang w:val="en-US"/>
        </w:rPr>
        <w:lastRenderedPageBreak/>
        <w:t xml:space="preserve">those remains to the surviving members of the </w:t>
      </w:r>
      <w:proofErr w:type="spellStart"/>
      <w:r w:rsidR="004F38C4">
        <w:rPr>
          <w:rFonts w:ascii="Verdana" w:hAnsi="Verdana"/>
          <w:sz w:val="20"/>
          <w:lang w:val="en-US"/>
        </w:rPr>
        <w:t>Moiwana</w:t>
      </w:r>
      <w:proofErr w:type="spellEnd"/>
      <w:r w:rsidR="004F38C4">
        <w:rPr>
          <w:rFonts w:ascii="Verdana" w:hAnsi="Verdana"/>
          <w:sz w:val="20"/>
          <w:lang w:val="en-US"/>
        </w:rPr>
        <w:t xml:space="preserve"> Community. </w:t>
      </w:r>
      <w:r w:rsidR="004F38C4" w:rsidRPr="004F38C4">
        <w:rPr>
          <w:rFonts w:ascii="Verdana" w:hAnsi="Verdana"/>
          <w:sz w:val="20"/>
          <w:lang w:val="en-US"/>
        </w:rPr>
        <w:t xml:space="preserve">The Tribunal highlights the importance of this obligation, given the </w:t>
      </w:r>
      <w:proofErr w:type="spellStart"/>
      <w:r w:rsidR="004F38C4" w:rsidRPr="004F38C4">
        <w:rPr>
          <w:rFonts w:ascii="Verdana" w:hAnsi="Verdana"/>
          <w:sz w:val="20"/>
          <w:lang w:val="en-US"/>
        </w:rPr>
        <w:t>Mooiwana</w:t>
      </w:r>
      <w:proofErr w:type="spellEnd"/>
      <w:r w:rsidR="004F38C4" w:rsidRPr="004F38C4">
        <w:rPr>
          <w:rFonts w:ascii="Verdana" w:hAnsi="Verdana"/>
          <w:sz w:val="20"/>
          <w:lang w:val="en-US"/>
        </w:rPr>
        <w:t xml:space="preserve"> Community’s beliefs regarding the proper burial of the deceased, and requests that the parties provide detailed information on whether the remains found in 1993 and in 2008 have been properly identified as belonging </w:t>
      </w:r>
      <w:r w:rsidR="004F38C4">
        <w:rPr>
          <w:rFonts w:ascii="Verdana" w:hAnsi="Verdana"/>
          <w:sz w:val="20"/>
          <w:lang w:val="en-US"/>
        </w:rPr>
        <w:t xml:space="preserve">to the victims in this case. </w:t>
      </w:r>
      <w:r w:rsidR="004F38C4" w:rsidRPr="004F38C4">
        <w:rPr>
          <w:rFonts w:ascii="Verdana" w:hAnsi="Verdana"/>
          <w:sz w:val="20"/>
          <w:lang w:val="en-US"/>
        </w:rPr>
        <w:t xml:space="preserve">The Court reminds the State that its obligation does not merely consist in finding remains, but also in conducting tests or analyses to show that the remains </w:t>
      </w:r>
      <w:r w:rsidR="004F38C4">
        <w:rPr>
          <w:rFonts w:ascii="Verdana" w:hAnsi="Verdana"/>
          <w:sz w:val="20"/>
          <w:lang w:val="en-US"/>
        </w:rPr>
        <w:t xml:space="preserve">recovered belong to victims in the present case. </w:t>
      </w:r>
      <w:r w:rsidR="004F38C4" w:rsidRPr="004F38C4">
        <w:rPr>
          <w:rFonts w:ascii="Verdana" w:hAnsi="Verdana"/>
          <w:sz w:val="20"/>
          <w:lang w:val="en-US"/>
        </w:rPr>
        <w:t>Thus, the State must also submit information regarding the ‘technical and scientific means’ it has used in order to identify the remains found, taking into account</w:t>
      </w:r>
      <w:r w:rsidR="004F38C4">
        <w:rPr>
          <w:rFonts w:ascii="Verdana" w:hAnsi="Verdana"/>
          <w:sz w:val="20"/>
          <w:lang w:val="en-US"/>
        </w:rPr>
        <w:t xml:space="preserve"> forensic standards, as ordered in the Judgment”. </w:t>
      </w:r>
      <w:r w:rsidR="00074A8F" w:rsidRPr="004F38C4">
        <w:rPr>
          <w:rFonts w:ascii="Verdana" w:hAnsi="Verdana"/>
          <w:sz w:val="20"/>
          <w:lang w:val="en-US"/>
        </w:rPr>
        <w:t xml:space="preserve"> </w:t>
      </w:r>
    </w:p>
    <w:p w14:paraId="204D0C3A" w14:textId="77777777" w:rsidR="003451C9" w:rsidRPr="004F38C4" w:rsidRDefault="003451C9" w:rsidP="0020114D">
      <w:pPr>
        <w:rPr>
          <w:rFonts w:ascii="Verdana" w:hAnsi="Verdana"/>
          <w:sz w:val="20"/>
          <w:lang w:val="en-US"/>
        </w:rPr>
      </w:pPr>
    </w:p>
    <w:p w14:paraId="46DACE42" w14:textId="2328B1A9" w:rsidR="0020114D" w:rsidRPr="00353B3F" w:rsidRDefault="0020114D" w:rsidP="009E4FDC">
      <w:pPr>
        <w:ind w:firstLine="708"/>
        <w:rPr>
          <w:rFonts w:ascii="Verdana" w:hAnsi="Verdana"/>
          <w:i/>
          <w:sz w:val="20"/>
          <w:lang w:val="en-US"/>
        </w:rPr>
      </w:pPr>
      <w:r w:rsidRPr="00353B3F">
        <w:rPr>
          <w:rFonts w:ascii="Verdana" w:hAnsi="Verdana"/>
          <w:i/>
          <w:sz w:val="20"/>
          <w:lang w:val="en-US"/>
        </w:rPr>
        <w:t xml:space="preserve">B.2. </w:t>
      </w:r>
      <w:r w:rsidR="00286935" w:rsidRPr="00353B3F">
        <w:rPr>
          <w:rFonts w:ascii="Verdana" w:hAnsi="Verdana"/>
          <w:i/>
          <w:sz w:val="20"/>
          <w:lang w:val="en-US"/>
        </w:rPr>
        <w:t>Considerations of the Court</w:t>
      </w:r>
      <w:r w:rsidRPr="00353B3F">
        <w:rPr>
          <w:rFonts w:ascii="Verdana" w:hAnsi="Verdana"/>
          <w:i/>
          <w:sz w:val="20"/>
          <w:lang w:val="en-US"/>
        </w:rPr>
        <w:t xml:space="preserve"> </w:t>
      </w:r>
    </w:p>
    <w:p w14:paraId="532794DD" w14:textId="77777777" w:rsidR="0020114D" w:rsidRPr="00353B3F" w:rsidRDefault="0020114D" w:rsidP="005937E0">
      <w:pPr>
        <w:jc w:val="center"/>
        <w:rPr>
          <w:rFonts w:ascii="Verdana" w:hAnsi="Verdana"/>
          <w:sz w:val="20"/>
          <w:lang w:val="en-US"/>
        </w:rPr>
      </w:pPr>
    </w:p>
    <w:p w14:paraId="3086C8CA" w14:textId="171AA4E5" w:rsidR="006D66A8" w:rsidRPr="00DB19E8" w:rsidRDefault="00576B8A" w:rsidP="00DB19E8">
      <w:pPr>
        <w:pStyle w:val="ListParagraph"/>
        <w:numPr>
          <w:ilvl w:val="0"/>
          <w:numId w:val="5"/>
        </w:numPr>
        <w:autoSpaceDE w:val="0"/>
        <w:autoSpaceDN w:val="0"/>
        <w:adjustRightInd w:val="0"/>
        <w:ind w:left="0" w:firstLine="0"/>
        <w:jc w:val="both"/>
        <w:rPr>
          <w:rFonts w:ascii="Verdana" w:hAnsi="Verdana"/>
          <w:sz w:val="20"/>
          <w:lang w:val="en-US"/>
        </w:rPr>
      </w:pPr>
      <w:r w:rsidRPr="00DB19E8">
        <w:rPr>
          <w:rFonts w:ascii="Verdana" w:hAnsi="Verdana"/>
          <w:sz w:val="20"/>
          <w:lang w:val="en-US"/>
        </w:rPr>
        <w:t xml:space="preserve">Based on the information provided since 2012, the State has merely indicated that </w:t>
      </w:r>
      <w:r w:rsidR="006D66A8" w:rsidRPr="00DB19E8">
        <w:rPr>
          <w:rFonts w:ascii="Verdana" w:hAnsi="Verdana"/>
          <w:sz w:val="20"/>
          <w:lang w:val="en-US"/>
        </w:rPr>
        <w:t>“</w:t>
      </w:r>
      <w:r w:rsidR="00367A46" w:rsidRPr="00DB19E8">
        <w:rPr>
          <w:rFonts w:ascii="Verdana" w:hAnsi="Verdana"/>
          <w:sz w:val="20"/>
          <w:lang w:val="en-US"/>
        </w:rPr>
        <w:t>[</w:t>
      </w:r>
      <w:proofErr w:type="spellStart"/>
      <w:r w:rsidRPr="00DB19E8">
        <w:rPr>
          <w:rFonts w:ascii="Verdana" w:hAnsi="Verdana"/>
          <w:sz w:val="20"/>
          <w:lang w:val="en-US"/>
        </w:rPr>
        <w:t>i</w:t>
      </w:r>
      <w:proofErr w:type="spellEnd"/>
      <w:r w:rsidR="00367A46" w:rsidRPr="00DB19E8">
        <w:rPr>
          <w:rFonts w:ascii="Verdana" w:hAnsi="Verdana"/>
          <w:sz w:val="20"/>
          <w:lang w:val="en-US"/>
        </w:rPr>
        <w:t>]</w:t>
      </w:r>
      <w:r w:rsidR="006D66A8" w:rsidRPr="00DB19E8">
        <w:rPr>
          <w:rFonts w:ascii="Verdana" w:hAnsi="Verdana"/>
          <w:sz w:val="20"/>
          <w:lang w:val="en-US"/>
        </w:rPr>
        <w:t>n 1993</w:t>
      </w:r>
      <w:r w:rsidR="00543BCB" w:rsidRPr="00DB19E8">
        <w:rPr>
          <w:rFonts w:ascii="Verdana" w:hAnsi="Verdana"/>
          <w:sz w:val="20"/>
          <w:lang w:val="en-US"/>
        </w:rPr>
        <w:t xml:space="preserve"> the mortal remains of the victims were collected and brought to the mortuary of </w:t>
      </w:r>
      <w:proofErr w:type="gramStart"/>
      <w:r w:rsidR="00543BCB" w:rsidRPr="00DB19E8">
        <w:rPr>
          <w:rFonts w:ascii="Verdana" w:hAnsi="Verdana"/>
          <w:sz w:val="20"/>
          <w:lang w:val="en-US"/>
        </w:rPr>
        <w:t>the[</w:t>
      </w:r>
      <w:proofErr w:type="gramEnd"/>
      <w:r w:rsidR="00543BCB" w:rsidRPr="00DB19E8">
        <w:rPr>
          <w:rFonts w:ascii="Verdana" w:hAnsi="Verdana"/>
          <w:sz w:val="20"/>
          <w:lang w:val="en-US"/>
        </w:rPr>
        <w:t xml:space="preserve">…] </w:t>
      </w:r>
      <w:proofErr w:type="spellStart"/>
      <w:r w:rsidR="00543BCB" w:rsidRPr="00DB19E8">
        <w:rPr>
          <w:rFonts w:ascii="Verdana" w:hAnsi="Verdana"/>
          <w:sz w:val="20"/>
        </w:rPr>
        <w:t>Landshospitaal</w:t>
      </w:r>
      <w:proofErr w:type="spellEnd"/>
      <w:r w:rsidR="00543BCB" w:rsidRPr="00DB19E8">
        <w:rPr>
          <w:rFonts w:ascii="Verdana" w:hAnsi="Verdana"/>
          <w:sz w:val="20"/>
        </w:rPr>
        <w:t xml:space="preserve"> (</w:t>
      </w:r>
      <w:proofErr w:type="spellStart"/>
      <w:r w:rsidR="00543BCB" w:rsidRPr="00DB19E8">
        <w:rPr>
          <w:rFonts w:ascii="Verdana" w:hAnsi="Verdana"/>
          <w:sz w:val="20"/>
        </w:rPr>
        <w:t>State</w:t>
      </w:r>
      <w:proofErr w:type="spellEnd"/>
      <w:r w:rsidR="00543BCB" w:rsidRPr="00DB19E8">
        <w:rPr>
          <w:rFonts w:ascii="Verdana" w:hAnsi="Verdana"/>
          <w:sz w:val="20"/>
        </w:rPr>
        <w:t xml:space="preserve"> Hospital) </w:t>
      </w:r>
      <w:proofErr w:type="spellStart"/>
      <w:r w:rsidR="00543BCB" w:rsidRPr="00DB19E8">
        <w:rPr>
          <w:rFonts w:ascii="Verdana" w:hAnsi="Verdana"/>
          <w:sz w:val="20"/>
        </w:rPr>
        <w:t>for</w:t>
      </w:r>
      <w:proofErr w:type="spellEnd"/>
      <w:r w:rsidR="00543BCB" w:rsidRPr="00DB19E8">
        <w:rPr>
          <w:rFonts w:ascii="Verdana" w:hAnsi="Verdana"/>
          <w:sz w:val="20"/>
        </w:rPr>
        <w:t xml:space="preserve"> a </w:t>
      </w:r>
      <w:proofErr w:type="spellStart"/>
      <w:r w:rsidR="00543BCB" w:rsidRPr="00DB19E8">
        <w:rPr>
          <w:rFonts w:ascii="Verdana" w:hAnsi="Verdana"/>
          <w:sz w:val="20"/>
        </w:rPr>
        <w:t>pathological</w:t>
      </w:r>
      <w:proofErr w:type="spellEnd"/>
      <w:r w:rsidR="00543BCB" w:rsidRPr="00DB19E8">
        <w:rPr>
          <w:rFonts w:ascii="Verdana" w:hAnsi="Verdana"/>
          <w:sz w:val="20"/>
        </w:rPr>
        <w:t xml:space="preserve"> </w:t>
      </w:r>
      <w:proofErr w:type="spellStart"/>
      <w:r w:rsidR="00543BCB" w:rsidRPr="00DB19E8">
        <w:rPr>
          <w:rFonts w:ascii="Verdana" w:hAnsi="Verdana"/>
          <w:sz w:val="20"/>
        </w:rPr>
        <w:t>examination</w:t>
      </w:r>
      <w:proofErr w:type="spellEnd"/>
      <w:r w:rsidR="00543BCB" w:rsidRPr="00DB19E8">
        <w:rPr>
          <w:rFonts w:ascii="Verdana" w:hAnsi="Verdana"/>
          <w:sz w:val="20"/>
        </w:rPr>
        <w:t xml:space="preserve">. </w:t>
      </w:r>
      <w:r w:rsidR="00543BCB" w:rsidRPr="00DB19E8">
        <w:rPr>
          <w:rFonts w:ascii="Verdana" w:hAnsi="Verdana"/>
          <w:sz w:val="20"/>
          <w:lang w:val="en-US"/>
        </w:rPr>
        <w:t xml:space="preserve">After this examination they were buried in a public cemetery in Paramaribo. With the assistance of the funeral </w:t>
      </w:r>
      <w:proofErr w:type="spellStart"/>
      <w:r w:rsidR="00543BCB" w:rsidRPr="00DB19E8">
        <w:rPr>
          <w:rFonts w:ascii="Verdana" w:hAnsi="Verdana"/>
          <w:sz w:val="20"/>
          <w:lang w:val="en-US"/>
        </w:rPr>
        <w:t>parlour</w:t>
      </w:r>
      <w:proofErr w:type="spellEnd"/>
      <w:r w:rsidR="00543BCB" w:rsidRPr="00DB19E8">
        <w:rPr>
          <w:rFonts w:ascii="Verdana" w:hAnsi="Verdana"/>
          <w:sz w:val="20"/>
          <w:lang w:val="en-US"/>
        </w:rPr>
        <w:t xml:space="preserve"> </w:t>
      </w:r>
      <w:proofErr w:type="spellStart"/>
      <w:r w:rsidR="00543BCB" w:rsidRPr="00DB19E8">
        <w:rPr>
          <w:rFonts w:ascii="Verdana" w:hAnsi="Verdana"/>
          <w:sz w:val="20"/>
          <w:lang w:val="en-US"/>
        </w:rPr>
        <w:t>Hamdard</w:t>
      </w:r>
      <w:proofErr w:type="spellEnd"/>
      <w:r w:rsidR="00543BCB" w:rsidRPr="00DB19E8">
        <w:rPr>
          <w:rFonts w:ascii="Verdana" w:hAnsi="Verdana"/>
          <w:sz w:val="20"/>
          <w:lang w:val="en-US"/>
        </w:rPr>
        <w:t xml:space="preserve"> and the police the </w:t>
      </w:r>
      <w:proofErr w:type="gramStart"/>
      <w:r w:rsidR="00543BCB" w:rsidRPr="00DB19E8">
        <w:rPr>
          <w:rFonts w:ascii="Verdana" w:hAnsi="Verdana"/>
          <w:sz w:val="20"/>
          <w:lang w:val="en-US"/>
        </w:rPr>
        <w:t>correct  location</w:t>
      </w:r>
      <w:proofErr w:type="gramEnd"/>
      <w:r w:rsidR="00543BCB" w:rsidRPr="00DB19E8">
        <w:rPr>
          <w:rFonts w:ascii="Verdana" w:hAnsi="Verdana"/>
          <w:sz w:val="20"/>
          <w:lang w:val="en-US"/>
        </w:rPr>
        <w:t xml:space="preserve"> was determined in the cemetery where the mortal remains were buried. In December 2008 the Prosecutor General gave permission to the surviving relatives to visit the site. </w:t>
      </w:r>
      <w:r w:rsidR="00DB19E8" w:rsidRPr="00DB19E8">
        <w:rPr>
          <w:rFonts w:ascii="Verdana" w:hAnsi="Verdana"/>
          <w:sz w:val="20"/>
          <w:lang w:val="en-US"/>
        </w:rPr>
        <w:t xml:space="preserve">Together with the representatives of the surviving relatives and the Secretary of the Committee a group visited in 2009 the cemetery and performed rituals at the designated site by the surviving relatives/the survivors after which they (the surviving relatives) would report to the traditional authorities headed by the Paramount Chief. </w:t>
      </w:r>
      <w:r w:rsidR="00DB19E8" w:rsidRPr="00DB19E8">
        <w:rPr>
          <w:rFonts w:ascii="Verdana" w:eastAsiaTheme="minorHAnsi" w:hAnsi="Verdana"/>
          <w:color w:val="171819"/>
          <w:sz w:val="20"/>
          <w:lang w:val="en-US"/>
        </w:rPr>
        <w:t xml:space="preserve">In the meeting of 10 August 2012 the representatives of the victims and or surviving relatives indicated that they indeed visited the designated site and that they performed rituals, but that they are not certain whether the remains are indeed of their family members. Earlier the surviving relatives had already expressed their dissatisfaction about the fact that they do not precisely know whether the mortal remains are indeed buried in the location designated. </w:t>
      </w:r>
      <w:r w:rsidR="00DB19E8" w:rsidRPr="00DB19E8">
        <w:rPr>
          <w:rFonts w:ascii="Verdana" w:eastAsiaTheme="minorHAnsi" w:hAnsi="Verdana" w:cs="Arial"/>
          <w:color w:val="171819"/>
          <w:sz w:val="20"/>
          <w:lang w:val="en-US"/>
        </w:rPr>
        <w:t xml:space="preserve">In </w:t>
      </w:r>
      <w:r w:rsidR="00DB19E8" w:rsidRPr="00DB19E8">
        <w:rPr>
          <w:rFonts w:ascii="Verdana" w:eastAsiaTheme="minorHAnsi" w:hAnsi="Verdana"/>
          <w:color w:val="171819"/>
          <w:sz w:val="20"/>
          <w:lang w:val="en-US"/>
        </w:rPr>
        <w:t xml:space="preserve">response to this the late Paramount Chief of the </w:t>
      </w:r>
      <w:proofErr w:type="spellStart"/>
      <w:r w:rsidR="00DB19E8" w:rsidRPr="00DB19E8">
        <w:rPr>
          <w:rFonts w:ascii="Verdana" w:eastAsiaTheme="minorHAnsi" w:hAnsi="Verdana"/>
          <w:color w:val="171819"/>
          <w:sz w:val="20"/>
          <w:lang w:val="en-US"/>
        </w:rPr>
        <w:t>Auka</w:t>
      </w:r>
      <w:proofErr w:type="spellEnd"/>
      <w:r w:rsidR="00DB19E8" w:rsidRPr="00DB19E8">
        <w:rPr>
          <w:rFonts w:ascii="Verdana" w:eastAsiaTheme="minorHAnsi" w:hAnsi="Verdana"/>
          <w:color w:val="171819"/>
          <w:sz w:val="20"/>
          <w:lang w:val="en-US"/>
        </w:rPr>
        <w:t xml:space="preserve"> stated in a discussion with the State that the mortal remains buried in the city should not be exhumed again, because what has been buried must remain buried. The representatives then said that the Paramount Chief only spoke about the remains that are buried at </w:t>
      </w:r>
      <w:proofErr w:type="spellStart"/>
      <w:r w:rsidR="00DB19E8" w:rsidRPr="00DB19E8">
        <w:rPr>
          <w:rFonts w:ascii="Verdana" w:eastAsiaTheme="minorHAnsi" w:hAnsi="Verdana"/>
          <w:color w:val="171819"/>
          <w:sz w:val="20"/>
          <w:lang w:val="en-US"/>
        </w:rPr>
        <w:t>Moiwana</w:t>
      </w:r>
      <w:proofErr w:type="spellEnd"/>
      <w:r w:rsidR="00DB19E8" w:rsidRPr="00DB19E8">
        <w:rPr>
          <w:rFonts w:ascii="Verdana" w:eastAsiaTheme="minorHAnsi" w:hAnsi="Verdana"/>
          <w:color w:val="171819"/>
          <w:sz w:val="20"/>
          <w:lang w:val="en-US"/>
        </w:rPr>
        <w:t>”.</w:t>
      </w:r>
      <w:r w:rsidR="00543BCB" w:rsidRPr="00DB19E8">
        <w:rPr>
          <w:rFonts w:ascii="Verdana" w:hAnsi="Verdana"/>
          <w:sz w:val="20"/>
          <w:lang w:val="en-US"/>
        </w:rPr>
        <w:t xml:space="preserve"> </w:t>
      </w:r>
      <w:r w:rsidR="00484EB4" w:rsidRPr="00DB19E8">
        <w:rPr>
          <w:rFonts w:ascii="Verdana" w:hAnsi="Verdana"/>
          <w:sz w:val="20"/>
          <w:lang w:val="en-US"/>
        </w:rPr>
        <w:t>The State</w:t>
      </w:r>
      <w:r w:rsidR="00C02EF8" w:rsidRPr="00DB19E8">
        <w:rPr>
          <w:rFonts w:ascii="Verdana" w:hAnsi="Verdana"/>
          <w:sz w:val="20"/>
          <w:lang w:val="en-US"/>
        </w:rPr>
        <w:t xml:space="preserve"> </w:t>
      </w:r>
      <w:r w:rsidRPr="00DB19E8">
        <w:rPr>
          <w:rFonts w:ascii="Verdana" w:hAnsi="Verdana"/>
          <w:sz w:val="20"/>
          <w:lang w:val="en-US"/>
        </w:rPr>
        <w:t>failed to submit any evidence to support these assertions</w:t>
      </w:r>
      <w:r w:rsidR="00C02EF8" w:rsidRPr="00DB19E8">
        <w:rPr>
          <w:rFonts w:ascii="Verdana" w:hAnsi="Verdana"/>
          <w:sz w:val="20"/>
          <w:lang w:val="en-US"/>
        </w:rPr>
        <w:t>.</w:t>
      </w:r>
      <w:r w:rsidR="006C1748" w:rsidRPr="00DB19E8">
        <w:rPr>
          <w:rFonts w:ascii="Verdana" w:hAnsi="Verdana"/>
          <w:sz w:val="20"/>
          <w:lang w:val="en-US"/>
        </w:rPr>
        <w:t xml:space="preserve"> </w:t>
      </w:r>
    </w:p>
    <w:p w14:paraId="3DD1B371" w14:textId="77777777" w:rsidR="007E241D" w:rsidRPr="00353B3F" w:rsidRDefault="00881009" w:rsidP="00881009">
      <w:pPr>
        <w:pStyle w:val="ListParagraph"/>
        <w:tabs>
          <w:tab w:val="left" w:pos="6594"/>
        </w:tabs>
        <w:ind w:left="0"/>
        <w:jc w:val="both"/>
        <w:rPr>
          <w:rFonts w:ascii="Verdana" w:hAnsi="Verdana"/>
          <w:sz w:val="20"/>
          <w:lang w:val="en-US"/>
        </w:rPr>
      </w:pPr>
      <w:r w:rsidRPr="00353B3F">
        <w:rPr>
          <w:rFonts w:ascii="Verdana" w:hAnsi="Verdana"/>
          <w:sz w:val="20"/>
          <w:lang w:val="en-US"/>
        </w:rPr>
        <w:tab/>
      </w:r>
    </w:p>
    <w:p w14:paraId="30DDC986" w14:textId="782DF9A8" w:rsidR="007E241D" w:rsidRPr="00DB19E8" w:rsidRDefault="00484EB4" w:rsidP="00316E39">
      <w:pPr>
        <w:pStyle w:val="ListParagraph"/>
        <w:numPr>
          <w:ilvl w:val="0"/>
          <w:numId w:val="5"/>
        </w:numPr>
        <w:ind w:left="0" w:firstLine="0"/>
        <w:jc w:val="both"/>
        <w:rPr>
          <w:rFonts w:ascii="Verdana" w:hAnsi="Verdana"/>
          <w:sz w:val="20"/>
          <w:lang w:val="en-US"/>
        </w:rPr>
      </w:pPr>
      <w:r w:rsidRPr="00DB19E8">
        <w:rPr>
          <w:rFonts w:ascii="Verdana" w:hAnsi="Verdana"/>
          <w:sz w:val="20"/>
          <w:lang w:val="en-US"/>
        </w:rPr>
        <w:t>The Commission</w:t>
      </w:r>
      <w:r w:rsidR="007E241D" w:rsidRPr="00DB19E8">
        <w:rPr>
          <w:rFonts w:ascii="Verdana" w:hAnsi="Verdana"/>
          <w:sz w:val="20"/>
          <w:lang w:val="en-US"/>
        </w:rPr>
        <w:t xml:space="preserve"> not</w:t>
      </w:r>
      <w:r w:rsidR="00576B8A" w:rsidRPr="00DB19E8">
        <w:rPr>
          <w:rFonts w:ascii="Verdana" w:hAnsi="Verdana"/>
          <w:sz w:val="20"/>
          <w:lang w:val="en-US"/>
        </w:rPr>
        <w:t>ed that</w:t>
      </w:r>
      <w:r w:rsidR="007E241D" w:rsidRPr="00DB19E8">
        <w:rPr>
          <w:rFonts w:ascii="Verdana" w:hAnsi="Verdana"/>
          <w:sz w:val="20"/>
          <w:lang w:val="en-US"/>
        </w:rPr>
        <w:t xml:space="preserve"> “</w:t>
      </w:r>
      <w:r w:rsidRPr="00DB19E8">
        <w:rPr>
          <w:rFonts w:ascii="Verdana" w:hAnsi="Verdana"/>
          <w:sz w:val="20"/>
          <w:lang w:val="en-US"/>
        </w:rPr>
        <w:t>the State</w:t>
      </w:r>
      <w:r w:rsidR="00DB19E8" w:rsidRPr="00DB19E8">
        <w:rPr>
          <w:rFonts w:ascii="Verdana" w:hAnsi="Verdana"/>
          <w:sz w:val="20"/>
          <w:lang w:val="en-US"/>
        </w:rPr>
        <w:t xml:space="preserve"> did not present updated information regarding any measures taken in this aspect” </w:t>
      </w:r>
      <w:r w:rsidR="00576B8A" w:rsidRPr="00DB19E8">
        <w:rPr>
          <w:rFonts w:ascii="Verdana" w:hAnsi="Verdana"/>
          <w:sz w:val="20"/>
          <w:lang w:val="en-US"/>
        </w:rPr>
        <w:t xml:space="preserve">and indicated its wish </w:t>
      </w:r>
      <w:r w:rsidR="007E241D" w:rsidRPr="00DB19E8">
        <w:rPr>
          <w:rFonts w:ascii="Verdana" w:hAnsi="Verdana"/>
          <w:sz w:val="20"/>
          <w:lang w:val="en-US"/>
        </w:rPr>
        <w:t>“</w:t>
      </w:r>
      <w:r w:rsidR="00576B8A" w:rsidRPr="00DB19E8">
        <w:rPr>
          <w:rFonts w:ascii="Verdana" w:hAnsi="Verdana"/>
          <w:sz w:val="20"/>
          <w:lang w:val="en-US"/>
        </w:rPr>
        <w:t>to</w:t>
      </w:r>
      <w:r w:rsidR="00DB19E8" w:rsidRPr="00DB19E8">
        <w:rPr>
          <w:rFonts w:ascii="Verdana" w:hAnsi="Verdana"/>
          <w:sz w:val="20"/>
          <w:lang w:val="en-US"/>
        </w:rPr>
        <w:t xml:space="preserve"> underscore th</w:t>
      </w:r>
      <w:r w:rsidR="00DB19E8">
        <w:rPr>
          <w:rFonts w:ascii="Verdana" w:hAnsi="Verdana"/>
          <w:sz w:val="20"/>
          <w:lang w:val="en-US"/>
        </w:rPr>
        <w:t xml:space="preserve">e importance of this obligation, especially in light of the </w:t>
      </w:r>
      <w:proofErr w:type="spellStart"/>
      <w:r w:rsidR="00DB19E8">
        <w:rPr>
          <w:rFonts w:ascii="Verdana" w:hAnsi="Verdana"/>
          <w:sz w:val="20"/>
          <w:lang w:val="en-US"/>
        </w:rPr>
        <w:t>Moiwana</w:t>
      </w:r>
      <w:proofErr w:type="spellEnd"/>
      <w:r w:rsidR="00DB19E8">
        <w:rPr>
          <w:rFonts w:ascii="Verdana" w:hAnsi="Verdana"/>
          <w:sz w:val="20"/>
          <w:lang w:val="en-US"/>
        </w:rPr>
        <w:t xml:space="preserve"> community’s deeply held religious and cultural traditions and its reverence for proper burials for the dead</w:t>
      </w:r>
      <w:r w:rsidR="00B82C04" w:rsidRPr="00DB19E8">
        <w:rPr>
          <w:rFonts w:ascii="Verdana" w:hAnsi="Verdana"/>
          <w:sz w:val="20"/>
          <w:lang w:val="en-US"/>
        </w:rPr>
        <w:t xml:space="preserve">”. </w:t>
      </w:r>
      <w:r w:rsidR="00576B8A" w:rsidRPr="00DB19E8">
        <w:rPr>
          <w:rFonts w:ascii="Verdana" w:hAnsi="Verdana"/>
          <w:sz w:val="20"/>
          <w:lang w:val="en-US"/>
        </w:rPr>
        <w:t>Meanwhile, th</w:t>
      </w:r>
      <w:r w:rsidR="00B00DF6" w:rsidRPr="00DB19E8">
        <w:rPr>
          <w:rFonts w:ascii="Verdana" w:hAnsi="Verdana"/>
          <w:sz w:val="20"/>
          <w:lang w:val="en-US"/>
        </w:rPr>
        <w:t>e representatives</w:t>
      </w:r>
      <w:r w:rsidR="00576B8A" w:rsidRPr="00DB19E8">
        <w:rPr>
          <w:rFonts w:ascii="Verdana" w:hAnsi="Verdana"/>
          <w:sz w:val="20"/>
          <w:lang w:val="en-US"/>
        </w:rPr>
        <w:t xml:space="preserve"> </w:t>
      </w:r>
      <w:r w:rsidR="007A5F27" w:rsidRPr="00DB19E8">
        <w:rPr>
          <w:rFonts w:ascii="Verdana" w:hAnsi="Verdana"/>
          <w:sz w:val="20"/>
          <w:lang w:val="en-US"/>
        </w:rPr>
        <w:t>observed</w:t>
      </w:r>
      <w:r w:rsidR="00576B8A" w:rsidRPr="00DB19E8">
        <w:rPr>
          <w:rFonts w:ascii="Verdana" w:hAnsi="Verdana"/>
          <w:sz w:val="20"/>
          <w:lang w:val="en-US"/>
        </w:rPr>
        <w:t xml:space="preserve"> that </w:t>
      </w:r>
      <w:r w:rsidRPr="00DB19E8">
        <w:rPr>
          <w:rFonts w:ascii="Verdana" w:hAnsi="Verdana"/>
          <w:sz w:val="20"/>
          <w:lang w:val="en-US"/>
        </w:rPr>
        <w:t>the State</w:t>
      </w:r>
      <w:r w:rsidR="0061138F" w:rsidRPr="00DB19E8">
        <w:rPr>
          <w:rFonts w:ascii="Verdana" w:hAnsi="Verdana"/>
          <w:sz w:val="20"/>
          <w:lang w:val="en-US"/>
        </w:rPr>
        <w:t xml:space="preserve"> “</w:t>
      </w:r>
      <w:r w:rsidR="00DB19E8" w:rsidRPr="00DB19E8">
        <w:rPr>
          <w:rFonts w:ascii="Verdana" w:hAnsi="Verdana"/>
          <w:sz w:val="20"/>
          <w:lang w:val="en-US"/>
        </w:rPr>
        <w:t xml:space="preserve">has done nothing to locate and return the remains of </w:t>
      </w:r>
      <w:r w:rsidR="00DB19E8">
        <w:rPr>
          <w:rFonts w:ascii="Verdana" w:hAnsi="Verdana"/>
          <w:sz w:val="20"/>
          <w:lang w:val="en-US"/>
        </w:rPr>
        <w:t>the victims’ deceased kin” and “</w:t>
      </w:r>
      <w:proofErr w:type="gramStart"/>
      <w:r w:rsidR="00DB19E8">
        <w:rPr>
          <w:rFonts w:ascii="Verdana" w:hAnsi="Verdana"/>
          <w:sz w:val="20"/>
          <w:lang w:val="en-US"/>
        </w:rPr>
        <w:t>concur[</w:t>
      </w:r>
      <w:proofErr w:type="gramEnd"/>
      <w:r w:rsidR="00DB19E8">
        <w:rPr>
          <w:rFonts w:ascii="Verdana" w:hAnsi="Verdana"/>
          <w:sz w:val="20"/>
          <w:lang w:val="en-US"/>
        </w:rPr>
        <w:t>red] with the observations of the Inter-American Commission on Human Rights […] on this point</w:t>
      </w:r>
      <w:r w:rsidR="0061138F" w:rsidRPr="00DB19E8">
        <w:rPr>
          <w:rFonts w:ascii="Verdana" w:hAnsi="Verdana"/>
          <w:sz w:val="20"/>
          <w:lang w:val="en-US"/>
        </w:rPr>
        <w:t xml:space="preserve">”. </w:t>
      </w:r>
    </w:p>
    <w:p w14:paraId="4788DA7E" w14:textId="77777777" w:rsidR="00AD57D2" w:rsidRPr="00DB19E8" w:rsidRDefault="00AD57D2" w:rsidP="00AD57D2">
      <w:pPr>
        <w:pStyle w:val="ListParagraph"/>
        <w:rPr>
          <w:rFonts w:ascii="Verdana" w:hAnsi="Verdana"/>
          <w:sz w:val="20"/>
          <w:lang w:val="en-US"/>
        </w:rPr>
      </w:pPr>
    </w:p>
    <w:p w14:paraId="010CBCE1" w14:textId="441E538C" w:rsidR="008B36D6" w:rsidRPr="00353B3F" w:rsidRDefault="00576B8A" w:rsidP="008B36D6">
      <w:pPr>
        <w:pStyle w:val="ListParagraph"/>
        <w:numPr>
          <w:ilvl w:val="0"/>
          <w:numId w:val="5"/>
        </w:numPr>
        <w:ind w:left="0" w:firstLine="0"/>
        <w:jc w:val="both"/>
        <w:rPr>
          <w:rFonts w:ascii="Verdana" w:hAnsi="Verdana"/>
          <w:sz w:val="20"/>
          <w:lang w:val="en-US"/>
        </w:rPr>
      </w:pPr>
      <w:r w:rsidRPr="00353B3F">
        <w:rPr>
          <w:rFonts w:ascii="Verdana" w:hAnsi="Verdana"/>
          <w:sz w:val="20"/>
          <w:lang w:val="en-US"/>
        </w:rPr>
        <w:t>Th</w:t>
      </w:r>
      <w:r w:rsidR="008B36D6" w:rsidRPr="00353B3F">
        <w:rPr>
          <w:rFonts w:ascii="Verdana" w:hAnsi="Verdana"/>
          <w:sz w:val="20"/>
          <w:lang w:val="en-US"/>
        </w:rPr>
        <w:t>e</w:t>
      </w:r>
      <w:r w:rsidRPr="00353B3F">
        <w:rPr>
          <w:rFonts w:ascii="Verdana" w:hAnsi="Verdana"/>
          <w:sz w:val="20"/>
          <w:lang w:val="en-US"/>
        </w:rPr>
        <w:t xml:space="preserve"> Court notes that the State has not provided precise information on the steps it is taking to locate and return the remains of the victims’</w:t>
      </w:r>
      <w:r w:rsidR="008B36D6" w:rsidRPr="00353B3F">
        <w:rPr>
          <w:rFonts w:ascii="Verdana" w:hAnsi="Verdana"/>
          <w:sz w:val="20"/>
          <w:lang w:val="en-US"/>
        </w:rPr>
        <w:t xml:space="preserve"> next of kin; it has merely advised that the victims in this case have expressed their dissatisfaction, without describing any actions designed to re</w:t>
      </w:r>
      <w:r w:rsidR="007A5F27" w:rsidRPr="00353B3F">
        <w:rPr>
          <w:rFonts w:ascii="Verdana" w:hAnsi="Verdana"/>
          <w:sz w:val="20"/>
          <w:lang w:val="en-US"/>
        </w:rPr>
        <w:t>med</w:t>
      </w:r>
      <w:r w:rsidR="008B36D6" w:rsidRPr="00353B3F">
        <w:rPr>
          <w:rFonts w:ascii="Verdana" w:hAnsi="Verdana"/>
          <w:sz w:val="20"/>
          <w:lang w:val="en-US"/>
        </w:rPr>
        <w:t>y or improve the situation. The Court recalls that, as established in the judgment, “[t]</w:t>
      </w:r>
      <w:r w:rsidR="008B36D6" w:rsidRPr="00353B3F">
        <w:rPr>
          <w:rFonts w:ascii="Verdana" w:eastAsiaTheme="minorHAnsi" w:hAnsi="Verdana" w:cs="TTE1091E40t00"/>
          <w:sz w:val="20"/>
          <w:lang w:val="en-US"/>
        </w:rPr>
        <w:t xml:space="preserve">he </w:t>
      </w:r>
      <w:proofErr w:type="spellStart"/>
      <w:r w:rsidR="008B36D6" w:rsidRPr="00353B3F">
        <w:rPr>
          <w:rFonts w:ascii="Verdana" w:eastAsiaTheme="minorHAnsi" w:hAnsi="Verdana" w:cs="TTE1091E40t00"/>
          <w:sz w:val="20"/>
          <w:lang w:val="en-US"/>
        </w:rPr>
        <w:t>N’djuka</w:t>
      </w:r>
      <w:proofErr w:type="spellEnd"/>
      <w:r w:rsidR="008B36D6" w:rsidRPr="00353B3F">
        <w:rPr>
          <w:rFonts w:ascii="Verdana" w:eastAsiaTheme="minorHAnsi" w:hAnsi="Verdana" w:cs="TTE1091E40t00"/>
          <w:sz w:val="20"/>
          <w:lang w:val="en-US"/>
        </w:rPr>
        <w:t xml:space="preserve"> people have specific and complex rituals that must be precisely followed upon the death of a community member. Furthermore, it is extremely important to have possession of the physical remains of the deceased, as the corpse must be treated in a particular manner during the </w:t>
      </w:r>
      <w:proofErr w:type="spellStart"/>
      <w:r w:rsidR="008B36D6" w:rsidRPr="00353B3F">
        <w:rPr>
          <w:rFonts w:ascii="Verdana" w:eastAsiaTheme="minorHAnsi" w:hAnsi="Verdana" w:cs="TTE1091E40t00"/>
          <w:sz w:val="20"/>
          <w:lang w:val="en-US"/>
        </w:rPr>
        <w:t>N’djuka</w:t>
      </w:r>
      <w:proofErr w:type="spellEnd"/>
      <w:r w:rsidR="008B36D6" w:rsidRPr="00353B3F">
        <w:rPr>
          <w:rFonts w:ascii="Verdana" w:eastAsiaTheme="minorHAnsi" w:hAnsi="Verdana" w:cs="TTE1091E40t00"/>
          <w:sz w:val="20"/>
          <w:lang w:val="en-US"/>
        </w:rPr>
        <w:t xml:space="preserve"> funeral ceremonies and must be placed in the burial ground of the </w:t>
      </w:r>
      <w:r w:rsidR="008B36D6" w:rsidRPr="00353B3F">
        <w:rPr>
          <w:rFonts w:ascii="Verdana" w:eastAsiaTheme="minorHAnsi" w:hAnsi="Verdana" w:cs="TTE1091E40t00"/>
          <w:sz w:val="20"/>
          <w:lang w:val="en-US"/>
        </w:rPr>
        <w:lastRenderedPageBreak/>
        <w:t>appropriate family group.”</w:t>
      </w:r>
      <w:r w:rsidR="004B60AA" w:rsidRPr="00353B3F">
        <w:rPr>
          <w:rStyle w:val="FootnoteReference"/>
          <w:rFonts w:ascii="Verdana" w:hAnsi="Verdana"/>
          <w:sz w:val="20"/>
          <w:lang w:val="en-US"/>
        </w:rPr>
        <w:footnoteReference w:id="38"/>
      </w:r>
      <w:r w:rsidR="008B36D6" w:rsidRPr="00353B3F">
        <w:rPr>
          <w:rFonts w:ascii="Verdana" w:hAnsi="Verdana"/>
          <w:sz w:val="20"/>
          <w:lang w:val="en-US"/>
        </w:rPr>
        <w:t xml:space="preserve"> </w:t>
      </w:r>
      <w:r w:rsidR="008B36D6" w:rsidRPr="00DB19E8">
        <w:rPr>
          <w:rFonts w:ascii="Verdana" w:hAnsi="Verdana"/>
          <w:sz w:val="20"/>
          <w:lang w:val="en-US"/>
        </w:rPr>
        <w:t xml:space="preserve">In addition, in the order of November 2010, the Court reminded the State that </w:t>
      </w:r>
      <w:r w:rsidR="00E17821" w:rsidRPr="00DB19E8">
        <w:rPr>
          <w:rFonts w:ascii="Verdana" w:hAnsi="Verdana"/>
          <w:sz w:val="20"/>
          <w:lang w:val="en-US"/>
        </w:rPr>
        <w:t>“</w:t>
      </w:r>
      <w:r w:rsidR="00DB19E8" w:rsidRPr="00DB19E8">
        <w:rPr>
          <w:rFonts w:ascii="Verdana" w:hAnsi="Verdana"/>
          <w:sz w:val="20"/>
          <w:lang w:val="en-US"/>
        </w:rPr>
        <w:t>its obligation does not merely consist in finding remains, but a</w:t>
      </w:r>
      <w:r w:rsidR="00DB19E8">
        <w:rPr>
          <w:rFonts w:ascii="Verdana" w:hAnsi="Verdana"/>
          <w:sz w:val="20"/>
          <w:lang w:val="en-US"/>
        </w:rPr>
        <w:t>lso in conducting tests or analyses to show that the remains recovered belong to victims in the present case</w:t>
      </w:r>
      <w:r w:rsidR="00E17821" w:rsidRPr="00DB19E8">
        <w:rPr>
          <w:rFonts w:ascii="Verdana" w:hAnsi="Verdana"/>
          <w:sz w:val="20"/>
          <w:lang w:val="en-US"/>
        </w:rPr>
        <w:t>”</w:t>
      </w:r>
      <w:r w:rsidR="007D74C3" w:rsidRPr="00353B3F">
        <w:rPr>
          <w:rStyle w:val="FootnoteReference"/>
          <w:rFonts w:ascii="Verdana" w:hAnsi="Verdana"/>
          <w:sz w:val="20"/>
          <w:lang w:val="en-US"/>
        </w:rPr>
        <w:footnoteReference w:id="39"/>
      </w:r>
      <w:r w:rsidR="00DB19E8">
        <w:rPr>
          <w:rFonts w:ascii="Verdana" w:hAnsi="Verdana"/>
          <w:sz w:val="20"/>
          <w:lang w:val="en-US"/>
        </w:rPr>
        <w:t>.</w:t>
      </w:r>
      <w:r w:rsidR="008B36D6" w:rsidRPr="00DB19E8">
        <w:rPr>
          <w:rFonts w:ascii="Verdana" w:hAnsi="Verdana"/>
          <w:sz w:val="20"/>
          <w:lang w:val="en-US"/>
        </w:rPr>
        <w:t xml:space="preserve"> </w:t>
      </w:r>
      <w:r w:rsidR="008B36D6" w:rsidRPr="00353B3F">
        <w:rPr>
          <w:rFonts w:ascii="Verdana" w:hAnsi="Verdana"/>
          <w:sz w:val="20"/>
          <w:lang w:val="en-US"/>
        </w:rPr>
        <w:t>Consequently, this Court agrees with</w:t>
      </w:r>
      <w:r w:rsidR="004B60AA" w:rsidRPr="00353B3F">
        <w:rPr>
          <w:rFonts w:ascii="Verdana" w:hAnsi="Verdana"/>
          <w:sz w:val="20"/>
          <w:lang w:val="en-US"/>
        </w:rPr>
        <w:t xml:space="preserve"> </w:t>
      </w:r>
      <w:r w:rsidR="00484EB4" w:rsidRPr="00353B3F">
        <w:rPr>
          <w:rFonts w:ascii="Verdana" w:hAnsi="Verdana"/>
          <w:sz w:val="20"/>
          <w:lang w:val="en-US"/>
        </w:rPr>
        <w:t>the Commission</w:t>
      </w:r>
      <w:r w:rsidR="004B60AA" w:rsidRPr="00353B3F">
        <w:rPr>
          <w:rFonts w:ascii="Verdana" w:hAnsi="Verdana"/>
          <w:sz w:val="20"/>
          <w:lang w:val="en-US"/>
        </w:rPr>
        <w:t xml:space="preserve"> </w:t>
      </w:r>
      <w:r w:rsidR="008B36D6" w:rsidRPr="00353B3F">
        <w:rPr>
          <w:rFonts w:ascii="Verdana" w:hAnsi="Verdana"/>
          <w:sz w:val="20"/>
          <w:lang w:val="en-US"/>
        </w:rPr>
        <w:t xml:space="preserve">that failure to comply with this measure is particularly serious bearing in mind its relevance for the members of the </w:t>
      </w:r>
      <w:proofErr w:type="spellStart"/>
      <w:r w:rsidR="008B36D6" w:rsidRPr="00353B3F">
        <w:rPr>
          <w:rFonts w:ascii="Verdana" w:hAnsi="Verdana"/>
          <w:sz w:val="20"/>
          <w:lang w:val="en-US"/>
        </w:rPr>
        <w:t>Moiwana</w:t>
      </w:r>
      <w:proofErr w:type="spellEnd"/>
      <w:r w:rsidR="008B36D6" w:rsidRPr="00353B3F">
        <w:rPr>
          <w:rFonts w:ascii="Verdana" w:hAnsi="Verdana"/>
          <w:sz w:val="20"/>
          <w:lang w:val="en-US"/>
        </w:rPr>
        <w:t xml:space="preserve"> community. Thus, the fact that more than 30 years have passed since the events occurred without the State having tak</w:t>
      </w:r>
      <w:r w:rsidR="002B4F7B" w:rsidRPr="00353B3F">
        <w:rPr>
          <w:rFonts w:ascii="Verdana" w:hAnsi="Verdana"/>
          <w:sz w:val="20"/>
          <w:lang w:val="en-US"/>
        </w:rPr>
        <w:t>en</w:t>
      </w:r>
      <w:r w:rsidR="008B36D6" w:rsidRPr="00353B3F">
        <w:rPr>
          <w:rFonts w:ascii="Verdana" w:hAnsi="Verdana"/>
          <w:sz w:val="20"/>
          <w:lang w:val="en-US"/>
        </w:rPr>
        <w:t xml:space="preserve"> the steps required to comply with this measure constitutes </w:t>
      </w:r>
      <w:r w:rsidR="004932E8" w:rsidRPr="00353B3F">
        <w:rPr>
          <w:rFonts w:ascii="Verdana" w:hAnsi="Verdana"/>
          <w:sz w:val="20"/>
          <w:lang w:val="en-US"/>
        </w:rPr>
        <w:t>gross non-compliance by the State of Suriname. Lastly, the Court notes that the State failed to provide information on the aspects requested in the 2010 order, namely: (i) whether the remains found in 1993 and in 2008 had been properly identified as belonging to the victims in this case, and (ii) the scientific and technological me</w:t>
      </w:r>
      <w:r w:rsidR="007A5F27" w:rsidRPr="00353B3F">
        <w:rPr>
          <w:rFonts w:ascii="Verdana" w:hAnsi="Verdana"/>
          <w:sz w:val="20"/>
          <w:lang w:val="en-US"/>
        </w:rPr>
        <w:t>thod</w:t>
      </w:r>
      <w:r w:rsidR="004932E8" w:rsidRPr="00353B3F">
        <w:rPr>
          <w:rFonts w:ascii="Verdana" w:hAnsi="Verdana"/>
          <w:sz w:val="20"/>
          <w:lang w:val="en-US"/>
        </w:rPr>
        <w:t>s used to identify the remains that have been found, taking into account forensic standards. Consequently, the Court requires the State, as soon as possible, to present specific, detailed and updated information on this measure of reparation.</w:t>
      </w:r>
    </w:p>
    <w:p w14:paraId="0581C9D2" w14:textId="77777777" w:rsidR="006D66A8" w:rsidRPr="00353B3F" w:rsidRDefault="006D66A8" w:rsidP="0020114D">
      <w:pPr>
        <w:rPr>
          <w:rFonts w:ascii="Verdana" w:hAnsi="Verdana"/>
          <w:sz w:val="20"/>
          <w:lang w:val="en-US"/>
        </w:rPr>
      </w:pPr>
    </w:p>
    <w:p w14:paraId="5F284179" w14:textId="046DD429" w:rsidR="0020114D" w:rsidRPr="00353B3F" w:rsidRDefault="00EC5ABD" w:rsidP="0020114D">
      <w:pPr>
        <w:pStyle w:val="Heading1"/>
        <w:numPr>
          <w:ilvl w:val="0"/>
          <w:numId w:val="12"/>
        </w:numPr>
        <w:spacing w:before="0"/>
        <w:jc w:val="both"/>
        <w:rPr>
          <w:rFonts w:ascii="Verdana" w:hAnsi="Verdana"/>
          <w:color w:val="auto"/>
          <w:sz w:val="20"/>
          <w:szCs w:val="20"/>
          <w:lang w:val="en-US"/>
        </w:rPr>
      </w:pPr>
      <w:bookmarkStart w:id="18" w:name="_Toc533153547"/>
      <w:r w:rsidRPr="00353B3F">
        <w:rPr>
          <w:rFonts w:ascii="Verdana" w:hAnsi="Verdana"/>
          <w:color w:val="auto"/>
          <w:sz w:val="20"/>
          <w:szCs w:val="20"/>
          <w:lang w:val="en-US"/>
        </w:rPr>
        <w:t xml:space="preserve">Adopt the </w:t>
      </w:r>
      <w:r w:rsidR="004932E8" w:rsidRPr="00353B3F">
        <w:rPr>
          <w:rFonts w:ascii="Verdana" w:hAnsi="Verdana"/>
          <w:color w:val="auto"/>
          <w:sz w:val="20"/>
          <w:szCs w:val="20"/>
          <w:lang w:val="en-US"/>
        </w:rPr>
        <w:t>measures</w:t>
      </w:r>
      <w:r w:rsidRPr="00353B3F">
        <w:rPr>
          <w:rFonts w:ascii="Verdana" w:hAnsi="Verdana"/>
          <w:color w:val="auto"/>
          <w:sz w:val="20"/>
          <w:szCs w:val="20"/>
          <w:lang w:val="en-US"/>
        </w:rPr>
        <w:t xml:space="preserve"> required to ensure the property rights of</w:t>
      </w:r>
      <w:r w:rsidR="0020114D" w:rsidRPr="00353B3F">
        <w:rPr>
          <w:rFonts w:ascii="Verdana" w:hAnsi="Verdana"/>
          <w:color w:val="auto"/>
          <w:sz w:val="20"/>
          <w:szCs w:val="20"/>
          <w:lang w:val="en-US"/>
        </w:rPr>
        <w:t xml:space="preserve"> </w:t>
      </w:r>
      <w:r w:rsidR="00BA5116" w:rsidRPr="00353B3F">
        <w:rPr>
          <w:rFonts w:ascii="Verdana" w:hAnsi="Verdana"/>
          <w:color w:val="auto"/>
          <w:sz w:val="20"/>
          <w:szCs w:val="20"/>
          <w:lang w:val="en-US"/>
        </w:rPr>
        <w:t>the members</w:t>
      </w:r>
      <w:r w:rsidR="00DC49A3" w:rsidRPr="00353B3F">
        <w:rPr>
          <w:rFonts w:ascii="Verdana" w:hAnsi="Verdana"/>
          <w:color w:val="auto"/>
          <w:sz w:val="20"/>
          <w:szCs w:val="20"/>
          <w:lang w:val="en-US"/>
        </w:rPr>
        <w:t xml:space="preserve"> of the </w:t>
      </w:r>
      <w:proofErr w:type="spellStart"/>
      <w:r w:rsidR="00BA5116" w:rsidRPr="00353B3F">
        <w:rPr>
          <w:rFonts w:ascii="Verdana" w:hAnsi="Verdana"/>
          <w:color w:val="auto"/>
          <w:sz w:val="20"/>
          <w:szCs w:val="20"/>
          <w:lang w:val="en-US"/>
        </w:rPr>
        <w:t>Moiwana</w:t>
      </w:r>
      <w:proofErr w:type="spellEnd"/>
      <w:r w:rsidR="00BA5116" w:rsidRPr="00353B3F">
        <w:rPr>
          <w:rFonts w:ascii="Verdana" w:hAnsi="Verdana"/>
          <w:color w:val="auto"/>
          <w:sz w:val="20"/>
          <w:szCs w:val="20"/>
          <w:lang w:val="en-US"/>
        </w:rPr>
        <w:t xml:space="preserve"> community</w:t>
      </w:r>
      <w:bookmarkEnd w:id="18"/>
      <w:r w:rsidR="0020114D" w:rsidRPr="00353B3F">
        <w:rPr>
          <w:rFonts w:ascii="Verdana" w:hAnsi="Verdana"/>
          <w:color w:val="auto"/>
          <w:sz w:val="20"/>
          <w:szCs w:val="20"/>
          <w:lang w:val="en-US"/>
        </w:rPr>
        <w:t xml:space="preserve"> </w:t>
      </w:r>
    </w:p>
    <w:p w14:paraId="2664A40A" w14:textId="77777777" w:rsidR="0020114D" w:rsidRPr="00353B3F" w:rsidRDefault="0020114D" w:rsidP="0020114D">
      <w:pPr>
        <w:rPr>
          <w:rFonts w:ascii="Verdana" w:hAnsi="Verdana"/>
          <w:sz w:val="20"/>
          <w:lang w:val="en-US"/>
        </w:rPr>
      </w:pPr>
    </w:p>
    <w:p w14:paraId="7DF5C861" w14:textId="28121D77" w:rsidR="0020114D" w:rsidRPr="00353B3F" w:rsidRDefault="0020114D" w:rsidP="00C245E4">
      <w:pPr>
        <w:ind w:left="708"/>
        <w:jc w:val="both"/>
        <w:rPr>
          <w:rFonts w:ascii="Verdana" w:hAnsi="Verdana"/>
          <w:i/>
          <w:sz w:val="20"/>
          <w:lang w:val="en-US"/>
        </w:rPr>
      </w:pPr>
      <w:r w:rsidRPr="00353B3F">
        <w:rPr>
          <w:rFonts w:ascii="Verdana" w:hAnsi="Verdana"/>
          <w:i/>
          <w:sz w:val="20"/>
          <w:lang w:val="en-US"/>
        </w:rPr>
        <w:t xml:space="preserve">C.1. </w:t>
      </w:r>
      <w:r w:rsidR="004932E8" w:rsidRPr="00353B3F">
        <w:rPr>
          <w:rFonts w:ascii="Verdana" w:hAnsi="Verdana"/>
          <w:i/>
          <w:sz w:val="20"/>
          <w:lang w:val="en-US"/>
        </w:rPr>
        <w:t>Measure ordered by the Court and monitored in</w:t>
      </w:r>
      <w:r w:rsidR="00EC5ABD" w:rsidRPr="00353B3F">
        <w:rPr>
          <w:rFonts w:ascii="Verdana" w:hAnsi="Verdana"/>
          <w:i/>
          <w:sz w:val="20"/>
          <w:lang w:val="en-US"/>
        </w:rPr>
        <w:t xml:space="preserve"> previous orders</w:t>
      </w:r>
    </w:p>
    <w:p w14:paraId="59152CA5" w14:textId="77777777" w:rsidR="009102F9" w:rsidRPr="00353B3F" w:rsidRDefault="009102F9" w:rsidP="0020114D">
      <w:pPr>
        <w:rPr>
          <w:rFonts w:ascii="Verdana" w:hAnsi="Verdana"/>
          <w:i/>
          <w:sz w:val="20"/>
          <w:lang w:val="en-US"/>
        </w:rPr>
      </w:pPr>
    </w:p>
    <w:p w14:paraId="73B03276" w14:textId="42F84DA1" w:rsidR="001B4049" w:rsidRPr="00353B3F" w:rsidRDefault="004932E8" w:rsidP="008D24EF">
      <w:pPr>
        <w:pStyle w:val="ListParagraph"/>
        <w:numPr>
          <w:ilvl w:val="0"/>
          <w:numId w:val="5"/>
        </w:numPr>
        <w:ind w:left="0" w:firstLine="0"/>
        <w:jc w:val="both"/>
        <w:rPr>
          <w:rFonts w:ascii="Verdana" w:hAnsi="Verdana"/>
          <w:sz w:val="20"/>
          <w:lang w:val="en-US"/>
        </w:rPr>
      </w:pPr>
      <w:bookmarkStart w:id="19" w:name="_Ref532305231"/>
      <w:r w:rsidRPr="00353B3F">
        <w:rPr>
          <w:rFonts w:ascii="Verdana" w:hAnsi="Verdana"/>
          <w:sz w:val="20"/>
          <w:lang w:val="en-US"/>
        </w:rPr>
        <w:t>In the third</w:t>
      </w:r>
      <w:r w:rsidR="009102F9" w:rsidRPr="00353B3F">
        <w:rPr>
          <w:rFonts w:ascii="Verdana" w:hAnsi="Verdana"/>
          <w:sz w:val="20"/>
          <w:lang w:val="en-US"/>
        </w:rPr>
        <w:t xml:space="preserve"> </w:t>
      </w:r>
      <w:r w:rsidR="00EC5ABD" w:rsidRPr="00353B3F">
        <w:rPr>
          <w:rFonts w:ascii="Verdana" w:hAnsi="Verdana"/>
          <w:sz w:val="20"/>
          <w:lang w:val="en-US"/>
        </w:rPr>
        <w:t>operative paragraph</w:t>
      </w:r>
      <w:r w:rsidR="009102F9" w:rsidRPr="00353B3F">
        <w:rPr>
          <w:rFonts w:ascii="Verdana" w:hAnsi="Verdana"/>
          <w:sz w:val="20"/>
          <w:lang w:val="en-US"/>
        </w:rPr>
        <w:t xml:space="preserve"> </w:t>
      </w:r>
      <w:r w:rsidRPr="00353B3F">
        <w:rPr>
          <w:rFonts w:ascii="Verdana" w:hAnsi="Verdana"/>
          <w:sz w:val="20"/>
          <w:lang w:val="en-US"/>
        </w:rPr>
        <w:t>and in</w:t>
      </w:r>
      <w:r w:rsidR="009E4FDC" w:rsidRPr="00353B3F">
        <w:rPr>
          <w:rFonts w:ascii="Verdana" w:hAnsi="Verdana"/>
          <w:sz w:val="20"/>
          <w:lang w:val="en-US"/>
        </w:rPr>
        <w:t xml:space="preserve"> </w:t>
      </w:r>
      <w:r w:rsidR="00EC5ABD" w:rsidRPr="00353B3F">
        <w:rPr>
          <w:rFonts w:ascii="Verdana" w:hAnsi="Verdana"/>
          <w:sz w:val="20"/>
          <w:lang w:val="en-US"/>
        </w:rPr>
        <w:t>paragraph</w:t>
      </w:r>
      <w:r w:rsidR="009E4FDC" w:rsidRPr="00353B3F">
        <w:rPr>
          <w:rFonts w:ascii="Verdana" w:hAnsi="Verdana"/>
          <w:sz w:val="20"/>
          <w:lang w:val="en-US"/>
        </w:rPr>
        <w:t xml:space="preserve">s 209 </w:t>
      </w:r>
      <w:r w:rsidRPr="00353B3F">
        <w:rPr>
          <w:rFonts w:ascii="Verdana" w:hAnsi="Verdana"/>
          <w:sz w:val="20"/>
          <w:lang w:val="en-US"/>
        </w:rPr>
        <w:t>to</w:t>
      </w:r>
      <w:r w:rsidR="009E4FDC" w:rsidRPr="00353B3F">
        <w:rPr>
          <w:rFonts w:ascii="Verdana" w:hAnsi="Verdana"/>
          <w:sz w:val="20"/>
          <w:lang w:val="en-US"/>
        </w:rPr>
        <w:t xml:space="preserve"> 2</w:t>
      </w:r>
      <w:r w:rsidR="009102F9" w:rsidRPr="00353B3F">
        <w:rPr>
          <w:rFonts w:ascii="Verdana" w:hAnsi="Verdana"/>
          <w:sz w:val="20"/>
          <w:lang w:val="en-US"/>
        </w:rPr>
        <w:t>11</w:t>
      </w:r>
      <w:r w:rsidR="00DC49A3" w:rsidRPr="00353B3F">
        <w:rPr>
          <w:rFonts w:ascii="Verdana" w:hAnsi="Verdana"/>
          <w:sz w:val="20"/>
          <w:lang w:val="en-US"/>
        </w:rPr>
        <w:t xml:space="preserve"> of the </w:t>
      </w:r>
      <w:r w:rsidR="00484EB4" w:rsidRPr="00353B3F">
        <w:rPr>
          <w:rFonts w:ascii="Verdana" w:hAnsi="Verdana"/>
          <w:sz w:val="20"/>
          <w:lang w:val="en-US"/>
        </w:rPr>
        <w:t>judgment</w:t>
      </w:r>
      <w:r w:rsidR="009102F9" w:rsidRPr="00353B3F">
        <w:rPr>
          <w:rFonts w:ascii="Verdana" w:hAnsi="Verdana"/>
          <w:sz w:val="20"/>
          <w:lang w:val="en-US"/>
        </w:rPr>
        <w:t xml:space="preserve">, </w:t>
      </w:r>
      <w:r w:rsidRPr="00353B3F">
        <w:rPr>
          <w:rFonts w:ascii="Verdana" w:hAnsi="Verdana"/>
          <w:sz w:val="20"/>
          <w:lang w:val="en-US"/>
        </w:rPr>
        <w:t>the Court established that the State must “</w:t>
      </w:r>
      <w:r w:rsidRPr="00353B3F">
        <w:rPr>
          <w:rFonts w:ascii="Verdana" w:eastAsiaTheme="minorHAnsi" w:hAnsi="Verdana" w:cs="TTE1091E40t00"/>
          <w:sz w:val="20"/>
          <w:lang w:val="en-US"/>
        </w:rPr>
        <w:t xml:space="preserve">adopt such legislative, administrative, and other measures as are necessary to ensure the property rights of the members of the </w:t>
      </w:r>
      <w:proofErr w:type="spellStart"/>
      <w:r w:rsidRPr="00353B3F">
        <w:rPr>
          <w:rFonts w:ascii="Verdana" w:eastAsiaTheme="minorHAnsi" w:hAnsi="Verdana" w:cs="TTE1091E40t00"/>
          <w:sz w:val="20"/>
          <w:lang w:val="en-US"/>
        </w:rPr>
        <w:t>Moiwana</w:t>
      </w:r>
      <w:proofErr w:type="spellEnd"/>
      <w:r w:rsidRPr="00353B3F">
        <w:rPr>
          <w:rFonts w:ascii="Verdana" w:eastAsiaTheme="minorHAnsi" w:hAnsi="Verdana" w:cs="TTE1091E40t00"/>
          <w:sz w:val="20"/>
          <w:lang w:val="en-US"/>
        </w:rPr>
        <w:t xml:space="preserve"> community in relation to the traditional territories from which they were expelled, and provide for the members’ use and enjoyment of those territories. These measures shall include the creation of an effective mechanism for the delimitation, demarcation and titling of </w:t>
      </w:r>
      <w:r w:rsidR="007A5F27" w:rsidRPr="00353B3F">
        <w:rPr>
          <w:rFonts w:ascii="Verdana" w:eastAsiaTheme="minorHAnsi" w:hAnsi="Verdana" w:cs="TTE1091E40t00"/>
          <w:sz w:val="20"/>
          <w:lang w:val="en-US"/>
        </w:rPr>
        <w:t xml:space="preserve">the </w:t>
      </w:r>
      <w:r w:rsidRPr="00353B3F">
        <w:rPr>
          <w:rFonts w:ascii="Verdana" w:eastAsiaTheme="minorHAnsi" w:hAnsi="Verdana" w:cs="TTE1091E40t00"/>
          <w:sz w:val="20"/>
          <w:lang w:val="en-US"/>
        </w:rPr>
        <w:t>said traditional territories.”</w:t>
      </w:r>
      <w:r w:rsidRPr="00353B3F">
        <w:rPr>
          <w:rFonts w:ascii="Verdana" w:hAnsi="Verdana"/>
          <w:sz w:val="20"/>
          <w:lang w:val="en-US"/>
        </w:rPr>
        <w:t xml:space="preserve"> I</w:t>
      </w:r>
      <w:r w:rsidR="0074620D" w:rsidRPr="00353B3F">
        <w:rPr>
          <w:rFonts w:ascii="Verdana" w:hAnsi="Verdana"/>
          <w:sz w:val="20"/>
          <w:lang w:val="en-US"/>
        </w:rPr>
        <w:t xml:space="preserve">n </w:t>
      </w:r>
      <w:r w:rsidR="00EC5ABD" w:rsidRPr="00353B3F">
        <w:rPr>
          <w:rFonts w:ascii="Verdana" w:hAnsi="Verdana"/>
          <w:sz w:val="20"/>
          <w:lang w:val="en-US"/>
        </w:rPr>
        <w:t>paragraph</w:t>
      </w:r>
      <w:r w:rsidR="0074620D" w:rsidRPr="00353B3F">
        <w:rPr>
          <w:rFonts w:ascii="Verdana" w:hAnsi="Verdana"/>
          <w:sz w:val="20"/>
          <w:lang w:val="en-US"/>
        </w:rPr>
        <w:t xml:space="preserve"> 210</w:t>
      </w:r>
      <w:r w:rsidR="00DC49A3" w:rsidRPr="00353B3F">
        <w:rPr>
          <w:rFonts w:ascii="Verdana" w:hAnsi="Verdana"/>
          <w:sz w:val="20"/>
          <w:lang w:val="en-US"/>
        </w:rPr>
        <w:t xml:space="preserve"> of the </w:t>
      </w:r>
      <w:r w:rsidR="00484EB4" w:rsidRPr="00353B3F">
        <w:rPr>
          <w:rFonts w:ascii="Verdana" w:hAnsi="Verdana"/>
          <w:sz w:val="20"/>
          <w:lang w:val="en-US"/>
        </w:rPr>
        <w:t>judgment</w:t>
      </w:r>
      <w:r w:rsidR="0074620D" w:rsidRPr="00353B3F">
        <w:rPr>
          <w:rFonts w:ascii="Verdana" w:hAnsi="Verdana"/>
          <w:sz w:val="20"/>
          <w:lang w:val="en-US"/>
        </w:rPr>
        <w:t xml:space="preserve">, </w:t>
      </w:r>
      <w:r w:rsidRPr="00353B3F">
        <w:rPr>
          <w:rFonts w:ascii="Verdana" w:hAnsi="Verdana"/>
          <w:sz w:val="20"/>
          <w:lang w:val="en-US"/>
        </w:rPr>
        <w:t>the Court ordered the State to “</w:t>
      </w:r>
      <w:r w:rsidRPr="00353B3F">
        <w:rPr>
          <w:rFonts w:ascii="Verdana" w:eastAsiaTheme="minorHAnsi" w:hAnsi="Verdana" w:cs="TTE1091E40t00"/>
          <w:sz w:val="20"/>
          <w:lang w:val="en-US"/>
        </w:rPr>
        <w:t xml:space="preserve">take these measures with the participation and informed consent of the victims as expressed through their representatives, the members of the other </w:t>
      </w:r>
      <w:proofErr w:type="spellStart"/>
      <w:r w:rsidRPr="00353B3F">
        <w:rPr>
          <w:rFonts w:ascii="Verdana" w:eastAsiaTheme="minorHAnsi" w:hAnsi="Verdana" w:cs="TTE1091E40t00"/>
          <w:sz w:val="20"/>
          <w:lang w:val="en-US"/>
        </w:rPr>
        <w:t>Cottica</w:t>
      </w:r>
      <w:proofErr w:type="spellEnd"/>
      <w:r w:rsidRPr="00353B3F">
        <w:rPr>
          <w:rFonts w:ascii="Verdana" w:eastAsiaTheme="minorHAnsi" w:hAnsi="Verdana" w:cs="TTE1091E40t00"/>
          <w:sz w:val="20"/>
          <w:lang w:val="en-US"/>
        </w:rPr>
        <w:t xml:space="preserve"> </w:t>
      </w:r>
      <w:proofErr w:type="spellStart"/>
      <w:r w:rsidRPr="00353B3F">
        <w:rPr>
          <w:rFonts w:ascii="Verdana" w:eastAsiaTheme="minorHAnsi" w:hAnsi="Verdana" w:cs="TTE1091E40t00"/>
          <w:sz w:val="20"/>
          <w:lang w:val="en-US"/>
        </w:rPr>
        <w:t>N’djuka</w:t>
      </w:r>
      <w:proofErr w:type="spellEnd"/>
      <w:r w:rsidRPr="00353B3F">
        <w:rPr>
          <w:rFonts w:ascii="Verdana" w:eastAsiaTheme="minorHAnsi" w:hAnsi="Verdana" w:cs="TTE1091E40t00"/>
          <w:sz w:val="20"/>
          <w:lang w:val="en-US"/>
        </w:rPr>
        <w:t xml:space="preserve"> villages and the neighboring indigenous communities, including the community of </w:t>
      </w:r>
      <w:proofErr w:type="spellStart"/>
      <w:r w:rsidRPr="00353B3F">
        <w:rPr>
          <w:rFonts w:ascii="Verdana" w:eastAsiaTheme="minorHAnsi" w:hAnsi="Verdana" w:cs="TTE1091E40t00"/>
          <w:sz w:val="20"/>
          <w:lang w:val="en-US"/>
        </w:rPr>
        <w:t>Alfonsdorp</w:t>
      </w:r>
      <w:proofErr w:type="spellEnd"/>
      <w:r w:rsidRPr="00353B3F">
        <w:rPr>
          <w:rFonts w:ascii="Verdana" w:eastAsiaTheme="minorHAnsi" w:hAnsi="Verdana" w:cs="TTE1091E40t00"/>
          <w:sz w:val="20"/>
          <w:lang w:val="en-US"/>
        </w:rPr>
        <w:t>.”</w:t>
      </w:r>
      <w:r w:rsidRPr="00353B3F">
        <w:rPr>
          <w:rFonts w:ascii="Verdana" w:hAnsi="Verdana"/>
          <w:sz w:val="20"/>
          <w:lang w:val="en-US"/>
        </w:rPr>
        <w:t xml:space="preserve"> I</w:t>
      </w:r>
      <w:r w:rsidR="0074620D" w:rsidRPr="00353B3F">
        <w:rPr>
          <w:rFonts w:ascii="Verdana" w:hAnsi="Verdana"/>
          <w:sz w:val="20"/>
          <w:lang w:val="en-US"/>
        </w:rPr>
        <w:t xml:space="preserve">n </w:t>
      </w:r>
      <w:r w:rsidR="00EC5ABD" w:rsidRPr="00353B3F">
        <w:rPr>
          <w:rFonts w:ascii="Verdana" w:hAnsi="Verdana"/>
          <w:sz w:val="20"/>
          <w:lang w:val="en-US"/>
        </w:rPr>
        <w:t>paragraph</w:t>
      </w:r>
      <w:r w:rsidR="0074620D" w:rsidRPr="00353B3F">
        <w:rPr>
          <w:rFonts w:ascii="Verdana" w:hAnsi="Verdana"/>
          <w:sz w:val="20"/>
          <w:lang w:val="en-US"/>
        </w:rPr>
        <w:t xml:space="preserve"> 211, </w:t>
      </w:r>
      <w:r w:rsidRPr="00353B3F">
        <w:rPr>
          <w:rFonts w:ascii="Verdana" w:hAnsi="Verdana"/>
          <w:sz w:val="20"/>
          <w:lang w:val="en-US"/>
        </w:rPr>
        <w:t xml:space="preserve">the Court indicated that </w:t>
      </w:r>
      <w:r w:rsidR="008D24EF" w:rsidRPr="00353B3F">
        <w:rPr>
          <w:rFonts w:ascii="Verdana" w:hAnsi="Verdana"/>
          <w:sz w:val="20"/>
          <w:lang w:val="en-US"/>
        </w:rPr>
        <w:t>“</w:t>
      </w:r>
      <w:r w:rsidRPr="00353B3F">
        <w:rPr>
          <w:rFonts w:ascii="Verdana" w:eastAsiaTheme="minorHAnsi" w:hAnsi="Verdana" w:cs="TTE1091E40t00"/>
          <w:sz w:val="20"/>
          <w:lang w:val="en-US"/>
        </w:rPr>
        <w:t>[u]</w:t>
      </w:r>
      <w:proofErr w:type="spellStart"/>
      <w:r w:rsidRPr="00353B3F">
        <w:rPr>
          <w:rFonts w:ascii="Verdana" w:eastAsiaTheme="minorHAnsi" w:hAnsi="Verdana" w:cs="TTE1091E40t00"/>
          <w:sz w:val="20"/>
          <w:lang w:val="en-US"/>
        </w:rPr>
        <w:t>ntil</w:t>
      </w:r>
      <w:proofErr w:type="spellEnd"/>
      <w:r w:rsidRPr="00353B3F">
        <w:rPr>
          <w:rFonts w:ascii="Verdana" w:eastAsiaTheme="minorHAnsi" w:hAnsi="Verdana" w:cs="TTE1091E40t00"/>
          <w:sz w:val="20"/>
          <w:lang w:val="en-US"/>
        </w:rPr>
        <w:t xml:space="preserve"> the </w:t>
      </w:r>
      <w:proofErr w:type="spellStart"/>
      <w:r w:rsidRPr="00353B3F">
        <w:rPr>
          <w:rFonts w:ascii="Verdana" w:eastAsiaTheme="minorHAnsi" w:hAnsi="Verdana" w:cs="TTE1091E40t00"/>
          <w:sz w:val="20"/>
          <w:lang w:val="en-US"/>
        </w:rPr>
        <w:t>Moiwana</w:t>
      </w:r>
      <w:proofErr w:type="spellEnd"/>
      <w:r w:rsidRPr="00353B3F">
        <w:rPr>
          <w:rFonts w:ascii="Verdana" w:eastAsiaTheme="minorHAnsi" w:hAnsi="Verdana" w:cs="TTE1091E40t00"/>
          <w:sz w:val="20"/>
          <w:lang w:val="en-US"/>
        </w:rPr>
        <w:t xml:space="preserve"> community members’ right to property with respect to their traditional territories is secured, Suriname shall refrain from actions – either of State agents or third parties acting with State acquiescence or tolerance – that would affect the existence, value, use or enjoyment of the property located in the geographical area where the </w:t>
      </w:r>
      <w:proofErr w:type="spellStart"/>
      <w:r w:rsidRPr="00353B3F">
        <w:rPr>
          <w:rFonts w:ascii="Verdana" w:eastAsiaTheme="minorHAnsi" w:hAnsi="Verdana" w:cs="TTE1091E40t00"/>
          <w:sz w:val="20"/>
          <w:lang w:val="en-US"/>
        </w:rPr>
        <w:t>Moiwana</w:t>
      </w:r>
      <w:proofErr w:type="spellEnd"/>
      <w:r w:rsidRPr="00353B3F">
        <w:rPr>
          <w:rFonts w:ascii="Verdana" w:eastAsiaTheme="minorHAnsi" w:hAnsi="Verdana" w:cs="TTE1091E40t00"/>
          <w:sz w:val="20"/>
          <w:lang w:val="en-US"/>
        </w:rPr>
        <w:t xml:space="preserve"> community members traditionally lived until</w:t>
      </w:r>
      <w:r w:rsidR="008D24EF" w:rsidRPr="00353B3F">
        <w:rPr>
          <w:rFonts w:ascii="Verdana" w:eastAsiaTheme="minorHAnsi" w:hAnsi="Verdana" w:cs="TTE1091E40t00"/>
          <w:sz w:val="20"/>
          <w:lang w:val="en-US"/>
        </w:rPr>
        <w:t xml:space="preserve"> </w:t>
      </w:r>
      <w:r w:rsidRPr="00353B3F">
        <w:rPr>
          <w:rFonts w:ascii="Verdana" w:eastAsiaTheme="minorHAnsi" w:hAnsi="Verdana" w:cs="TTE1091E40t00"/>
          <w:sz w:val="20"/>
          <w:lang w:val="en-US"/>
        </w:rPr>
        <w:t xml:space="preserve">the events of </w:t>
      </w:r>
      <w:r w:rsidR="008D24EF" w:rsidRPr="00353B3F">
        <w:rPr>
          <w:rFonts w:ascii="Verdana" w:eastAsiaTheme="minorHAnsi" w:hAnsi="Verdana" w:cs="TTE1091E40t00"/>
          <w:sz w:val="20"/>
          <w:lang w:val="en-US"/>
        </w:rPr>
        <w:t xml:space="preserve">  </w:t>
      </w:r>
      <w:r w:rsidRPr="00353B3F">
        <w:rPr>
          <w:rFonts w:ascii="Verdana" w:eastAsiaTheme="minorHAnsi" w:hAnsi="Verdana" w:cs="TTE1091E40t00"/>
          <w:sz w:val="20"/>
          <w:lang w:val="en-US"/>
        </w:rPr>
        <w:t>November 29, 1986.</w:t>
      </w:r>
      <w:bookmarkEnd w:id="19"/>
      <w:r w:rsidR="008D24EF" w:rsidRPr="00353B3F">
        <w:rPr>
          <w:rFonts w:ascii="Verdana" w:eastAsiaTheme="minorHAnsi" w:hAnsi="Verdana" w:cs="TTE1091E40t00"/>
          <w:sz w:val="20"/>
          <w:lang w:val="en-US"/>
        </w:rPr>
        <w:t>”</w:t>
      </w:r>
    </w:p>
    <w:p w14:paraId="5129F6E7" w14:textId="77777777" w:rsidR="008D24EF" w:rsidRPr="00353B3F" w:rsidRDefault="008D24EF" w:rsidP="008D24EF">
      <w:pPr>
        <w:autoSpaceDE w:val="0"/>
        <w:autoSpaceDN w:val="0"/>
        <w:adjustRightInd w:val="0"/>
        <w:jc w:val="both"/>
        <w:rPr>
          <w:rFonts w:ascii="Verdana" w:eastAsiaTheme="minorHAnsi" w:hAnsi="Verdana" w:cs="TTE1091E40t00"/>
          <w:sz w:val="20"/>
          <w:lang w:val="en-US"/>
        </w:rPr>
      </w:pPr>
    </w:p>
    <w:p w14:paraId="498CD7B8" w14:textId="77E7F7A9" w:rsidR="0074620D" w:rsidRPr="00DE4F07" w:rsidRDefault="008D24EF" w:rsidP="00881009">
      <w:pPr>
        <w:pStyle w:val="ListParagraph"/>
        <w:numPr>
          <w:ilvl w:val="0"/>
          <w:numId w:val="5"/>
        </w:numPr>
        <w:ind w:left="0" w:firstLine="0"/>
        <w:jc w:val="both"/>
        <w:rPr>
          <w:rFonts w:ascii="Verdana" w:hAnsi="Verdana"/>
          <w:sz w:val="20"/>
          <w:lang w:val="en-US"/>
        </w:rPr>
      </w:pPr>
      <w:bookmarkStart w:id="20" w:name="_Ref532291227"/>
      <w:r w:rsidRPr="00DE4F07">
        <w:rPr>
          <w:rFonts w:ascii="Verdana" w:hAnsi="Verdana"/>
          <w:sz w:val="20"/>
          <w:lang w:val="en-US"/>
        </w:rPr>
        <w:t xml:space="preserve">In its 2010 order, the Court </w:t>
      </w:r>
      <w:r w:rsidR="0025762E" w:rsidRPr="00DE4F07">
        <w:rPr>
          <w:rFonts w:ascii="Verdana" w:hAnsi="Verdana"/>
          <w:sz w:val="20"/>
          <w:lang w:val="en-US"/>
        </w:rPr>
        <w:t>“</w:t>
      </w:r>
      <w:r w:rsidR="00B54C49" w:rsidRPr="00DE4F07">
        <w:rPr>
          <w:rFonts w:ascii="Verdana" w:hAnsi="Verdana"/>
          <w:sz w:val="20"/>
          <w:lang w:val="en-US"/>
        </w:rPr>
        <w:t xml:space="preserve">value[d] the steps taken in order to achieve compliance with this order, such as possible consultations with international expert; </w:t>
      </w:r>
      <w:r w:rsidRPr="00DE4F07">
        <w:rPr>
          <w:rFonts w:ascii="Verdana" w:hAnsi="Verdana"/>
          <w:sz w:val="20"/>
          <w:lang w:val="en-US"/>
        </w:rPr>
        <w:t xml:space="preserve">nevertheless, it </w:t>
      </w:r>
      <w:r w:rsidR="0025762E" w:rsidRPr="00DE4F07">
        <w:rPr>
          <w:rFonts w:ascii="Verdana" w:hAnsi="Verdana"/>
          <w:sz w:val="20"/>
          <w:lang w:val="en-US"/>
        </w:rPr>
        <w:t>reiter</w:t>
      </w:r>
      <w:r w:rsidRPr="00DE4F07">
        <w:rPr>
          <w:rFonts w:ascii="Verdana" w:hAnsi="Verdana"/>
          <w:sz w:val="20"/>
          <w:lang w:val="en-US"/>
        </w:rPr>
        <w:t>ated</w:t>
      </w:r>
      <w:r w:rsidR="0025762E" w:rsidRPr="00DE4F07">
        <w:rPr>
          <w:rFonts w:ascii="Verdana" w:hAnsi="Verdana"/>
          <w:sz w:val="20"/>
          <w:lang w:val="en-US"/>
        </w:rPr>
        <w:t xml:space="preserve"> </w:t>
      </w:r>
      <w:r w:rsidR="00B54C49" w:rsidRPr="00DE4F07">
        <w:rPr>
          <w:rFonts w:ascii="Verdana" w:hAnsi="Verdana"/>
          <w:sz w:val="20"/>
          <w:lang w:val="en-US"/>
        </w:rPr>
        <w:t xml:space="preserve">“that pursuant to Article 68(1) of the Convention, the State must fully and promptly comply with the Judgement regardless of its efforts to comply with other decisions or to implement changes at a national level”. </w:t>
      </w:r>
      <w:r w:rsidRPr="00DE4F07">
        <w:rPr>
          <w:rFonts w:ascii="Verdana" w:hAnsi="Verdana"/>
          <w:sz w:val="20"/>
          <w:lang w:val="en-US"/>
        </w:rPr>
        <w:t xml:space="preserve">Consequently, the Court considered that </w:t>
      </w:r>
      <w:r w:rsidR="001B4049" w:rsidRPr="00DE4F07">
        <w:rPr>
          <w:rFonts w:ascii="Verdana" w:hAnsi="Verdana"/>
          <w:sz w:val="20"/>
          <w:lang w:val="en-US"/>
        </w:rPr>
        <w:t>“</w:t>
      </w:r>
      <w:r w:rsidRPr="00DE4F07">
        <w:rPr>
          <w:rFonts w:ascii="Verdana" w:hAnsi="Verdana"/>
          <w:sz w:val="20"/>
          <w:lang w:val="en-US"/>
        </w:rPr>
        <w:t>the State</w:t>
      </w:r>
      <w:r w:rsidR="001B4049" w:rsidRPr="00DE4F07">
        <w:rPr>
          <w:rFonts w:ascii="Verdana" w:hAnsi="Verdana"/>
          <w:sz w:val="20"/>
          <w:lang w:val="en-US"/>
        </w:rPr>
        <w:t xml:space="preserve"> </w:t>
      </w:r>
      <w:r w:rsidR="00B54C49" w:rsidRPr="00DE4F07">
        <w:rPr>
          <w:rFonts w:ascii="Verdana" w:hAnsi="Verdana"/>
          <w:sz w:val="20"/>
          <w:lang w:val="en-US"/>
        </w:rPr>
        <w:t xml:space="preserve">has not complied with this obligation and must therefore submit updated and detailed information on the steps it is taking to ensure the </w:t>
      </w:r>
      <w:proofErr w:type="spellStart"/>
      <w:r w:rsidR="00B54C49" w:rsidRPr="00DE4F07">
        <w:rPr>
          <w:rFonts w:ascii="Verdana" w:hAnsi="Verdana"/>
          <w:sz w:val="20"/>
          <w:lang w:val="en-US"/>
        </w:rPr>
        <w:t>Moiwana</w:t>
      </w:r>
      <w:proofErr w:type="spellEnd"/>
      <w:r w:rsidR="00B54C49" w:rsidRPr="00DE4F07">
        <w:rPr>
          <w:rFonts w:ascii="Verdana" w:hAnsi="Verdana"/>
          <w:sz w:val="20"/>
          <w:lang w:val="en-US"/>
        </w:rPr>
        <w:t xml:space="preserve"> Community’s property rights in accordance with the Judgment and the Court’s jurisprudence on collective land rights […]. In particular, the Court requests the </w:t>
      </w:r>
      <w:r w:rsidR="00B54C49" w:rsidRPr="00DE4F07">
        <w:rPr>
          <w:rFonts w:ascii="Verdana" w:hAnsi="Verdana"/>
          <w:sz w:val="20"/>
          <w:lang w:val="en-US"/>
        </w:rPr>
        <w:lastRenderedPageBreak/>
        <w:t xml:space="preserve">State to submit information on: a) the steps it is taking in order to enact the legislation necessary to ensure collective land rights in a way that takes indigenous, maroon, and tribal </w:t>
      </w:r>
      <w:r w:rsidR="000D23B8" w:rsidRPr="00DE4F07">
        <w:rPr>
          <w:rFonts w:ascii="Verdana" w:hAnsi="Verdana"/>
          <w:sz w:val="20"/>
          <w:lang w:val="en-US"/>
        </w:rPr>
        <w:t xml:space="preserve">peoples' cultures, usages, customs, and beliefs into account, including legislation regarding the juridical personality of those peoples; b) the specific measures it is taking in order to delimit, demarcate, and title the lands of the </w:t>
      </w:r>
      <w:proofErr w:type="spellStart"/>
      <w:r w:rsidR="000D23B8" w:rsidRPr="00DE4F07">
        <w:rPr>
          <w:rFonts w:ascii="Verdana" w:hAnsi="Verdana"/>
          <w:sz w:val="20"/>
          <w:lang w:val="en-US"/>
        </w:rPr>
        <w:t>Moiwana</w:t>
      </w:r>
      <w:proofErr w:type="spellEnd"/>
      <w:r w:rsidR="000D23B8" w:rsidRPr="00DE4F07">
        <w:rPr>
          <w:rFonts w:ascii="Verdana" w:hAnsi="Verdana"/>
          <w:sz w:val="20"/>
          <w:lang w:val="en-US"/>
        </w:rPr>
        <w:t xml:space="preserve"> Community; and c) the specific actions it is taking in order to obtain the participation and informed consent of the victims as expressed through their representatives, the members of the other </w:t>
      </w:r>
      <w:proofErr w:type="spellStart"/>
      <w:r w:rsidR="000D23B8" w:rsidRPr="00DE4F07">
        <w:rPr>
          <w:rFonts w:ascii="Verdana" w:hAnsi="Verdana"/>
          <w:sz w:val="20"/>
          <w:lang w:val="en-US"/>
        </w:rPr>
        <w:t>Cottica</w:t>
      </w:r>
      <w:proofErr w:type="spellEnd"/>
      <w:r w:rsidR="000D23B8" w:rsidRPr="00DE4F07">
        <w:rPr>
          <w:rFonts w:ascii="Verdana" w:hAnsi="Verdana"/>
          <w:sz w:val="20"/>
          <w:lang w:val="en-US"/>
        </w:rPr>
        <w:t xml:space="preserve"> </w:t>
      </w:r>
      <w:proofErr w:type="spellStart"/>
      <w:r w:rsidR="000D23B8" w:rsidRPr="00DE4F07">
        <w:rPr>
          <w:rFonts w:ascii="Verdana" w:hAnsi="Verdana"/>
          <w:sz w:val="20"/>
          <w:lang w:val="en-US"/>
        </w:rPr>
        <w:t>N’djuka</w:t>
      </w:r>
      <w:proofErr w:type="spellEnd"/>
      <w:r w:rsidR="000D23B8" w:rsidRPr="00DE4F07">
        <w:rPr>
          <w:rFonts w:ascii="Verdana" w:hAnsi="Verdana"/>
          <w:sz w:val="20"/>
          <w:lang w:val="en-US"/>
        </w:rPr>
        <w:t xml:space="preserve"> villages, and the neighboring indigenous communities, including the community of </w:t>
      </w:r>
      <w:proofErr w:type="spellStart"/>
      <w:r w:rsidR="000D23B8" w:rsidRPr="00DE4F07">
        <w:rPr>
          <w:rFonts w:ascii="Verdana" w:hAnsi="Verdana"/>
          <w:sz w:val="20"/>
          <w:lang w:val="en-US"/>
        </w:rPr>
        <w:t>Alfonsdorp</w:t>
      </w:r>
      <w:proofErr w:type="spellEnd"/>
      <w:r w:rsidR="000D23B8" w:rsidRPr="00DE4F07">
        <w:rPr>
          <w:rFonts w:ascii="Verdana" w:hAnsi="Verdana"/>
          <w:sz w:val="20"/>
          <w:lang w:val="en-US"/>
        </w:rPr>
        <w:t xml:space="preserve">. Additionally, the State must indicate to the Court whether it has taken any action that would affect the existence, value, use, or enjoyment of the geographical area where the </w:t>
      </w:r>
      <w:proofErr w:type="spellStart"/>
      <w:r w:rsidR="000D23B8" w:rsidRPr="00DE4F07">
        <w:rPr>
          <w:rFonts w:ascii="Verdana" w:hAnsi="Verdana"/>
          <w:sz w:val="20"/>
          <w:lang w:val="en-US"/>
        </w:rPr>
        <w:t>Moiwana</w:t>
      </w:r>
      <w:proofErr w:type="spellEnd"/>
      <w:r w:rsidR="000D23B8" w:rsidRPr="00DE4F07">
        <w:rPr>
          <w:rFonts w:ascii="Verdana" w:hAnsi="Verdana"/>
          <w:sz w:val="20"/>
          <w:lang w:val="en-US"/>
        </w:rPr>
        <w:t xml:space="preserve"> Community traditionally lived until November 1986. Furthermore, the State must inform the Court on the status of the reports of the National Commission and the ACT and indicate whether it intends to follow their </w:t>
      </w:r>
      <w:proofErr w:type="gramStart"/>
      <w:r w:rsidR="000D23B8" w:rsidRPr="00DE4F07">
        <w:rPr>
          <w:rFonts w:ascii="Verdana" w:hAnsi="Verdana"/>
          <w:sz w:val="20"/>
          <w:lang w:val="en-US"/>
        </w:rPr>
        <w:t>recommendations</w:t>
      </w:r>
      <w:r w:rsidR="0025762E" w:rsidRPr="00DE4F07">
        <w:rPr>
          <w:rFonts w:ascii="Verdana" w:hAnsi="Verdana"/>
          <w:sz w:val="20"/>
          <w:lang w:val="en-US"/>
        </w:rPr>
        <w:t>[</w:t>
      </w:r>
      <w:proofErr w:type="gramEnd"/>
      <w:r w:rsidR="0025762E" w:rsidRPr="00DE4F07">
        <w:rPr>
          <w:rStyle w:val="FootnoteReference"/>
          <w:rFonts w:ascii="Verdana" w:hAnsi="Verdana"/>
          <w:sz w:val="20"/>
          <w:lang w:val="en-US"/>
        </w:rPr>
        <w:footnoteReference w:id="40"/>
      </w:r>
      <w:r w:rsidR="0025762E" w:rsidRPr="00DE4F07">
        <w:rPr>
          <w:rFonts w:ascii="Verdana" w:hAnsi="Verdana"/>
          <w:sz w:val="20"/>
          <w:lang w:val="en-US"/>
        </w:rPr>
        <w:t>]</w:t>
      </w:r>
      <w:r w:rsidR="001B4049" w:rsidRPr="00DE4F07">
        <w:rPr>
          <w:rFonts w:ascii="Verdana" w:hAnsi="Verdana"/>
          <w:sz w:val="20"/>
          <w:lang w:val="en-US"/>
        </w:rPr>
        <w:t>.</w:t>
      </w:r>
      <w:r w:rsidR="000D23B8" w:rsidRPr="00DE4F07">
        <w:rPr>
          <w:rFonts w:ascii="Verdana" w:hAnsi="Verdana"/>
          <w:sz w:val="20"/>
          <w:lang w:val="en-US"/>
        </w:rPr>
        <w:t>If so, the State must ensure that its implementation of those recommendations adheres to the orders contained in Judgment, and it must report on the measures it is undertaking to that end. The State must also submit a detailed schedule for compliance with this obligation</w:t>
      </w:r>
      <w:bookmarkEnd w:id="20"/>
      <w:r w:rsidR="000D23B8" w:rsidRPr="00DE4F07">
        <w:rPr>
          <w:rFonts w:ascii="Verdana" w:hAnsi="Verdana"/>
          <w:sz w:val="20"/>
          <w:lang w:val="en-US"/>
        </w:rPr>
        <w:t>”.</w:t>
      </w:r>
    </w:p>
    <w:p w14:paraId="3B3C9B9D" w14:textId="77777777" w:rsidR="009102F9" w:rsidRPr="000D23B8" w:rsidRDefault="009102F9" w:rsidP="0020114D">
      <w:pPr>
        <w:rPr>
          <w:rFonts w:ascii="Verdana" w:hAnsi="Verdana"/>
          <w:i/>
          <w:sz w:val="20"/>
          <w:lang w:val="en-US"/>
        </w:rPr>
      </w:pPr>
    </w:p>
    <w:p w14:paraId="1F2AB3D9" w14:textId="53FDA71A" w:rsidR="0020114D" w:rsidRPr="00353B3F" w:rsidRDefault="0020114D" w:rsidP="009E4FDC">
      <w:pPr>
        <w:ind w:firstLine="708"/>
        <w:rPr>
          <w:rFonts w:ascii="Verdana" w:hAnsi="Verdana"/>
          <w:i/>
          <w:sz w:val="20"/>
          <w:lang w:val="en-US"/>
        </w:rPr>
      </w:pPr>
      <w:r w:rsidRPr="00353B3F">
        <w:rPr>
          <w:rFonts w:ascii="Verdana" w:hAnsi="Verdana"/>
          <w:i/>
          <w:sz w:val="20"/>
          <w:lang w:val="en-US"/>
        </w:rPr>
        <w:t xml:space="preserve">C.2. </w:t>
      </w:r>
      <w:r w:rsidR="00286935" w:rsidRPr="00353B3F">
        <w:rPr>
          <w:rFonts w:ascii="Verdana" w:hAnsi="Verdana"/>
          <w:i/>
          <w:sz w:val="20"/>
          <w:lang w:val="en-US"/>
        </w:rPr>
        <w:t>Considerations of the Court</w:t>
      </w:r>
      <w:r w:rsidRPr="00353B3F">
        <w:rPr>
          <w:rFonts w:ascii="Verdana" w:hAnsi="Verdana"/>
          <w:i/>
          <w:sz w:val="20"/>
          <w:lang w:val="en-US"/>
        </w:rPr>
        <w:t xml:space="preserve"> </w:t>
      </w:r>
    </w:p>
    <w:p w14:paraId="44424F31" w14:textId="77777777" w:rsidR="0020114D" w:rsidRPr="00353B3F" w:rsidRDefault="0020114D" w:rsidP="0020114D">
      <w:pPr>
        <w:rPr>
          <w:rFonts w:ascii="Verdana" w:hAnsi="Verdana"/>
          <w:sz w:val="20"/>
          <w:lang w:val="en-US"/>
        </w:rPr>
      </w:pPr>
    </w:p>
    <w:p w14:paraId="3EE4EFF4" w14:textId="076B566B" w:rsidR="0027241A" w:rsidRPr="00353B3F" w:rsidRDefault="008D24EF" w:rsidP="008D24EF">
      <w:pPr>
        <w:pStyle w:val="ListParagraph"/>
        <w:numPr>
          <w:ilvl w:val="0"/>
          <w:numId w:val="5"/>
        </w:numPr>
        <w:ind w:left="0" w:firstLine="0"/>
        <w:jc w:val="both"/>
        <w:rPr>
          <w:rFonts w:ascii="Verdana" w:hAnsi="Verdana"/>
          <w:sz w:val="20"/>
          <w:lang w:val="en-US"/>
        </w:rPr>
      </w:pPr>
      <w:r w:rsidRPr="00353B3F">
        <w:rPr>
          <w:rFonts w:ascii="Verdana" w:hAnsi="Verdana"/>
          <w:sz w:val="20"/>
          <w:lang w:val="en-US"/>
        </w:rPr>
        <w:t xml:space="preserve">During the 2012 hearing, the State advised that an opportunity for dialogue had been created between State authorities and representatives </w:t>
      </w:r>
      <w:r w:rsidR="00DC49A3" w:rsidRPr="00353B3F">
        <w:rPr>
          <w:rFonts w:ascii="Verdana" w:hAnsi="Verdana"/>
          <w:sz w:val="20"/>
          <w:lang w:val="en-US"/>
        </w:rPr>
        <w:t xml:space="preserve">of the </w:t>
      </w:r>
      <w:proofErr w:type="spellStart"/>
      <w:r w:rsidR="00BA5116" w:rsidRPr="00353B3F">
        <w:rPr>
          <w:rFonts w:ascii="Verdana" w:hAnsi="Verdana"/>
          <w:sz w:val="20"/>
          <w:lang w:val="en-US"/>
        </w:rPr>
        <w:t>Moiwana</w:t>
      </w:r>
      <w:proofErr w:type="spellEnd"/>
      <w:r w:rsidR="00BA5116" w:rsidRPr="00353B3F">
        <w:rPr>
          <w:rFonts w:ascii="Verdana" w:hAnsi="Verdana"/>
          <w:sz w:val="20"/>
          <w:lang w:val="en-US"/>
        </w:rPr>
        <w:t xml:space="preserve"> community</w:t>
      </w:r>
      <w:r w:rsidRPr="00353B3F">
        <w:rPr>
          <w:rFonts w:ascii="Verdana" w:hAnsi="Verdana"/>
          <w:sz w:val="20"/>
          <w:lang w:val="en-US"/>
        </w:rPr>
        <w:t xml:space="preserve"> in order to decide how to comply with this measure of reparation</w:t>
      </w:r>
      <w:r w:rsidR="0028498D" w:rsidRPr="00353B3F">
        <w:rPr>
          <w:rFonts w:ascii="Verdana" w:hAnsi="Verdana"/>
          <w:sz w:val="20"/>
          <w:lang w:val="en-US"/>
        </w:rPr>
        <w:t>.</w:t>
      </w:r>
      <w:r w:rsidRPr="00353B3F">
        <w:rPr>
          <w:rFonts w:ascii="Verdana" w:hAnsi="Verdana"/>
          <w:sz w:val="20"/>
          <w:lang w:val="en-US"/>
        </w:rPr>
        <w:t xml:space="preserve"> However, it indicated that the meeting had ended “abruptly” because</w:t>
      </w:r>
      <w:r w:rsidR="0028498D" w:rsidRPr="00353B3F">
        <w:rPr>
          <w:rFonts w:ascii="Verdana" w:hAnsi="Verdana"/>
          <w:sz w:val="20"/>
          <w:lang w:val="en-US"/>
        </w:rPr>
        <w:t xml:space="preserve"> </w:t>
      </w:r>
      <w:r w:rsidR="00B00DF6" w:rsidRPr="00353B3F">
        <w:rPr>
          <w:rFonts w:ascii="Verdana" w:hAnsi="Verdana"/>
          <w:sz w:val="20"/>
          <w:lang w:val="en-US"/>
        </w:rPr>
        <w:t>the representatives</w:t>
      </w:r>
      <w:r w:rsidR="00DC49A3" w:rsidRPr="00353B3F">
        <w:rPr>
          <w:rFonts w:ascii="Verdana" w:hAnsi="Verdana"/>
          <w:sz w:val="20"/>
          <w:lang w:val="en-US"/>
        </w:rPr>
        <w:t xml:space="preserve"> of the </w:t>
      </w:r>
      <w:proofErr w:type="spellStart"/>
      <w:r w:rsidR="00BA5116" w:rsidRPr="00353B3F">
        <w:rPr>
          <w:rFonts w:ascii="Verdana" w:hAnsi="Verdana"/>
          <w:sz w:val="20"/>
          <w:lang w:val="en-US"/>
        </w:rPr>
        <w:t>Moiwana</w:t>
      </w:r>
      <w:proofErr w:type="spellEnd"/>
      <w:r w:rsidR="00BA5116" w:rsidRPr="00353B3F">
        <w:rPr>
          <w:rFonts w:ascii="Verdana" w:hAnsi="Verdana"/>
          <w:sz w:val="20"/>
          <w:lang w:val="en-US"/>
        </w:rPr>
        <w:t xml:space="preserve"> community</w:t>
      </w:r>
      <w:r w:rsidR="0028498D" w:rsidRPr="00353B3F">
        <w:rPr>
          <w:rFonts w:ascii="Verdana" w:hAnsi="Verdana"/>
          <w:sz w:val="20"/>
          <w:lang w:val="en-US"/>
        </w:rPr>
        <w:t xml:space="preserve"> </w:t>
      </w:r>
      <w:r w:rsidRPr="00353B3F">
        <w:rPr>
          <w:rFonts w:ascii="Verdana" w:hAnsi="Verdana"/>
          <w:sz w:val="20"/>
          <w:lang w:val="en-US"/>
        </w:rPr>
        <w:t xml:space="preserve">demanded ownership of everything that lay under the lands that were claimed. In this regard, the State asserted that it should be understood that anything that lay </w:t>
      </w:r>
      <w:r w:rsidR="007A5F27" w:rsidRPr="00353B3F">
        <w:rPr>
          <w:rFonts w:ascii="Verdana" w:hAnsi="Verdana"/>
          <w:sz w:val="20"/>
          <w:lang w:val="en-US"/>
        </w:rPr>
        <w:t>under</w:t>
      </w:r>
      <w:r w:rsidRPr="00353B3F">
        <w:rPr>
          <w:rFonts w:ascii="Verdana" w:hAnsi="Verdana"/>
          <w:sz w:val="20"/>
          <w:lang w:val="en-US"/>
        </w:rPr>
        <w:t xml:space="preserve"> the lands that corresponded to the community was owned by the State. </w:t>
      </w:r>
      <w:r w:rsidRPr="00B32064">
        <w:rPr>
          <w:rFonts w:ascii="Verdana" w:hAnsi="Verdana"/>
          <w:sz w:val="20"/>
          <w:lang w:val="en-US"/>
        </w:rPr>
        <w:t>Subsequently, in its April 2015 report, the State indicated that</w:t>
      </w:r>
      <w:r w:rsidR="00DA7F2E" w:rsidRPr="00B32064">
        <w:rPr>
          <w:rFonts w:ascii="Verdana" w:hAnsi="Verdana"/>
          <w:sz w:val="20"/>
          <w:lang w:val="en-US"/>
        </w:rPr>
        <w:t xml:space="preserve"> “</w:t>
      </w:r>
      <w:r w:rsidR="00B32064" w:rsidRPr="00B32064">
        <w:rPr>
          <w:rFonts w:ascii="Verdana" w:hAnsi="Verdana"/>
          <w:sz w:val="20"/>
          <w:lang w:val="en-US"/>
        </w:rPr>
        <w:t xml:space="preserve">there are disputes </w:t>
      </w:r>
      <w:r w:rsidR="00B32064">
        <w:rPr>
          <w:rFonts w:ascii="Verdana" w:hAnsi="Verdana"/>
          <w:sz w:val="20"/>
          <w:lang w:val="en-US"/>
        </w:rPr>
        <w:t xml:space="preserve">between the indigenous and </w:t>
      </w:r>
      <w:proofErr w:type="spellStart"/>
      <w:r w:rsidR="00B32064">
        <w:rPr>
          <w:rFonts w:ascii="Verdana" w:hAnsi="Verdana"/>
          <w:sz w:val="20"/>
          <w:lang w:val="en-US"/>
        </w:rPr>
        <w:t>marroon</w:t>
      </w:r>
      <w:proofErr w:type="spellEnd"/>
      <w:r w:rsidR="00B32064">
        <w:rPr>
          <w:rFonts w:ascii="Verdana" w:hAnsi="Verdana"/>
          <w:sz w:val="20"/>
          <w:lang w:val="en-US"/>
        </w:rPr>
        <w:t xml:space="preserve"> </w:t>
      </w:r>
      <w:proofErr w:type="spellStart"/>
      <w:r w:rsidR="00B32064">
        <w:rPr>
          <w:rFonts w:ascii="Verdana" w:hAnsi="Verdana"/>
          <w:sz w:val="20"/>
          <w:lang w:val="en-US"/>
        </w:rPr>
        <w:t>peoplein</w:t>
      </w:r>
      <w:proofErr w:type="spellEnd"/>
      <w:r w:rsidR="00B32064">
        <w:rPr>
          <w:rFonts w:ascii="Verdana" w:hAnsi="Verdana"/>
          <w:sz w:val="20"/>
          <w:lang w:val="en-US"/>
        </w:rPr>
        <w:t xml:space="preserve"> respect of the </w:t>
      </w:r>
      <w:proofErr w:type="spellStart"/>
      <w:r w:rsidR="00B32064">
        <w:rPr>
          <w:rFonts w:ascii="Verdana" w:hAnsi="Verdana"/>
          <w:sz w:val="20"/>
          <w:lang w:val="en-US"/>
        </w:rPr>
        <w:t>Moiwana</w:t>
      </w:r>
      <w:proofErr w:type="spellEnd"/>
      <w:r w:rsidR="00B32064">
        <w:rPr>
          <w:rFonts w:ascii="Verdana" w:hAnsi="Verdana"/>
          <w:sz w:val="20"/>
          <w:lang w:val="en-US"/>
        </w:rPr>
        <w:t xml:space="preserve"> area. </w:t>
      </w:r>
      <w:r w:rsidR="00B32064" w:rsidRPr="00B32064">
        <w:rPr>
          <w:rFonts w:ascii="Verdana" w:hAnsi="Verdana"/>
          <w:sz w:val="20"/>
          <w:lang w:val="en-US"/>
        </w:rPr>
        <w:t>Despite this, the State of Suriname is convinced of</w:t>
      </w:r>
      <w:r w:rsidR="00B32064">
        <w:rPr>
          <w:rFonts w:ascii="Verdana" w:hAnsi="Verdana"/>
          <w:sz w:val="20"/>
          <w:lang w:val="en-US"/>
        </w:rPr>
        <w:t xml:space="preserve"> [finding]</w:t>
      </w:r>
      <w:r w:rsidR="00B32064" w:rsidRPr="00B32064">
        <w:rPr>
          <w:rFonts w:ascii="Verdana" w:hAnsi="Verdana"/>
          <w:sz w:val="20"/>
          <w:lang w:val="en-US"/>
        </w:rPr>
        <w:t xml:space="preserve"> a solution of this issue </w:t>
      </w:r>
      <w:r w:rsidR="00B32064">
        <w:rPr>
          <w:rFonts w:ascii="Verdana" w:hAnsi="Verdana"/>
          <w:sz w:val="20"/>
          <w:lang w:val="en-US"/>
        </w:rPr>
        <w:t xml:space="preserve">of legal recognition of the rights of the </w:t>
      </w:r>
      <w:proofErr w:type="spellStart"/>
      <w:r w:rsidR="00B32064">
        <w:rPr>
          <w:rFonts w:ascii="Verdana" w:hAnsi="Verdana"/>
          <w:sz w:val="20"/>
          <w:lang w:val="en-US"/>
        </w:rPr>
        <w:t>Moiwana</w:t>
      </w:r>
      <w:proofErr w:type="spellEnd"/>
      <w:r w:rsidR="00B32064">
        <w:rPr>
          <w:rFonts w:ascii="Verdana" w:hAnsi="Verdana"/>
          <w:sz w:val="20"/>
          <w:lang w:val="en-US"/>
        </w:rPr>
        <w:t xml:space="preserve"> community [which is why] this issue is at the top of the list of priorities of the State of Suriname”. </w:t>
      </w:r>
      <w:r w:rsidRPr="00B32064">
        <w:rPr>
          <w:rFonts w:ascii="Verdana" w:hAnsi="Verdana"/>
          <w:sz w:val="20"/>
          <w:lang w:val="en-US"/>
        </w:rPr>
        <w:t>Lastly, it indicated that it was</w:t>
      </w:r>
      <w:r w:rsidR="00DA7F2E" w:rsidRPr="00B32064">
        <w:rPr>
          <w:rFonts w:ascii="Verdana" w:hAnsi="Verdana"/>
          <w:sz w:val="20"/>
          <w:lang w:val="en-US"/>
        </w:rPr>
        <w:t xml:space="preserve"> “</w:t>
      </w:r>
      <w:proofErr w:type="spellStart"/>
      <w:proofErr w:type="gramStart"/>
      <w:r w:rsidR="00B32064" w:rsidRPr="00B32064">
        <w:rPr>
          <w:rFonts w:ascii="Verdana" w:hAnsi="Verdana"/>
          <w:sz w:val="20"/>
          <w:lang w:val="en-US"/>
        </w:rPr>
        <w:t>appl</w:t>
      </w:r>
      <w:proofErr w:type="spellEnd"/>
      <w:r w:rsidR="00B32064" w:rsidRPr="00B32064">
        <w:rPr>
          <w:rFonts w:ascii="Verdana" w:hAnsi="Verdana"/>
          <w:sz w:val="20"/>
          <w:lang w:val="en-US"/>
        </w:rPr>
        <w:t>[</w:t>
      </w:r>
      <w:proofErr w:type="spellStart"/>
      <w:proofErr w:type="gramEnd"/>
      <w:r w:rsidR="00B32064" w:rsidRPr="00B32064">
        <w:rPr>
          <w:rFonts w:ascii="Verdana" w:hAnsi="Verdana"/>
          <w:sz w:val="20"/>
          <w:lang w:val="en-US"/>
        </w:rPr>
        <w:t>ying</w:t>
      </w:r>
      <w:proofErr w:type="spellEnd"/>
      <w:r w:rsidR="00B32064" w:rsidRPr="00B32064">
        <w:rPr>
          <w:rFonts w:ascii="Verdana" w:hAnsi="Verdana"/>
          <w:sz w:val="20"/>
          <w:lang w:val="en-US"/>
        </w:rPr>
        <w:t xml:space="preserve">] an integral approach </w:t>
      </w:r>
      <w:r w:rsidR="00B32064">
        <w:rPr>
          <w:rFonts w:ascii="Verdana" w:hAnsi="Verdana"/>
          <w:sz w:val="20"/>
          <w:lang w:val="en-US"/>
        </w:rPr>
        <w:t xml:space="preserve">to finding a solution to this problem. </w:t>
      </w:r>
      <w:r w:rsidR="00B32064" w:rsidRPr="00B32064">
        <w:rPr>
          <w:rFonts w:ascii="Verdana" w:hAnsi="Verdana"/>
          <w:sz w:val="20"/>
          <w:lang w:val="en-US"/>
        </w:rPr>
        <w:t xml:space="preserve">This integral approach is adopted in consultation with the Indigenous </w:t>
      </w:r>
      <w:r w:rsidR="00B32064">
        <w:rPr>
          <w:rFonts w:ascii="Verdana" w:hAnsi="Verdana"/>
          <w:sz w:val="20"/>
          <w:lang w:val="en-US"/>
        </w:rPr>
        <w:t xml:space="preserve">and maroon communities. </w:t>
      </w:r>
      <w:r w:rsidR="00B32064" w:rsidRPr="00B32064">
        <w:rPr>
          <w:rFonts w:ascii="Verdana" w:hAnsi="Verdana"/>
          <w:sz w:val="20"/>
          <w:lang w:val="en-US"/>
        </w:rPr>
        <w:t xml:space="preserve">This </w:t>
      </w:r>
      <w:proofErr w:type="spellStart"/>
      <w:r w:rsidR="00B32064" w:rsidRPr="00B32064">
        <w:rPr>
          <w:rFonts w:ascii="Verdana" w:hAnsi="Verdana"/>
          <w:sz w:val="20"/>
          <w:lang w:val="en-US"/>
        </w:rPr>
        <w:t>approac</w:t>
      </w:r>
      <w:proofErr w:type="spellEnd"/>
      <w:r w:rsidR="00B32064" w:rsidRPr="00B32064">
        <w:rPr>
          <w:rFonts w:ascii="Verdana" w:hAnsi="Verdana"/>
          <w:sz w:val="20"/>
          <w:lang w:val="en-US"/>
        </w:rPr>
        <w:t xml:space="preserve">[h] is also applicable to the </w:t>
      </w:r>
      <w:proofErr w:type="spellStart"/>
      <w:r w:rsidR="00B32064" w:rsidRPr="00B32064">
        <w:rPr>
          <w:rFonts w:ascii="Verdana" w:hAnsi="Verdana"/>
          <w:sz w:val="20"/>
          <w:lang w:val="en-US"/>
        </w:rPr>
        <w:t>Moiwana</w:t>
      </w:r>
      <w:proofErr w:type="spellEnd"/>
      <w:r w:rsidR="00B32064" w:rsidRPr="00B32064">
        <w:rPr>
          <w:rFonts w:ascii="Verdana" w:hAnsi="Verdana"/>
          <w:sz w:val="20"/>
          <w:lang w:val="en-US"/>
        </w:rPr>
        <w:t xml:space="preserve"> community as part of the </w:t>
      </w:r>
      <w:proofErr w:type="spellStart"/>
      <w:r w:rsidR="00B32064">
        <w:rPr>
          <w:rFonts w:ascii="Verdana" w:hAnsi="Verdana"/>
          <w:sz w:val="20"/>
          <w:lang w:val="en-US"/>
        </w:rPr>
        <w:t>ndjuka</w:t>
      </w:r>
      <w:proofErr w:type="spellEnd"/>
      <w:r w:rsidR="00B32064">
        <w:rPr>
          <w:rFonts w:ascii="Verdana" w:hAnsi="Verdana"/>
          <w:sz w:val="20"/>
          <w:lang w:val="en-US"/>
        </w:rPr>
        <w:t xml:space="preserve"> tribe</w:t>
      </w:r>
      <w:r w:rsidR="008B3D08" w:rsidRPr="00170388">
        <w:rPr>
          <w:rFonts w:ascii="Verdana" w:hAnsi="Verdana"/>
          <w:sz w:val="20"/>
          <w:lang w:val="en-US"/>
        </w:rPr>
        <w:t xml:space="preserve">”. </w:t>
      </w:r>
      <w:r w:rsidR="00484EB4" w:rsidRPr="00353B3F">
        <w:rPr>
          <w:rFonts w:ascii="Verdana" w:hAnsi="Verdana"/>
          <w:sz w:val="20"/>
          <w:lang w:val="en-US"/>
        </w:rPr>
        <w:t>The State</w:t>
      </w:r>
      <w:r w:rsidR="00514FC9" w:rsidRPr="00353B3F">
        <w:rPr>
          <w:rFonts w:ascii="Verdana" w:hAnsi="Verdana"/>
          <w:sz w:val="20"/>
          <w:lang w:val="en-US"/>
        </w:rPr>
        <w:t xml:space="preserve"> </w:t>
      </w:r>
      <w:r w:rsidRPr="00353B3F">
        <w:rPr>
          <w:rFonts w:ascii="Verdana" w:hAnsi="Verdana"/>
          <w:sz w:val="20"/>
          <w:lang w:val="en-US"/>
        </w:rPr>
        <w:t xml:space="preserve">did not </w:t>
      </w:r>
      <w:r w:rsidR="000B435E" w:rsidRPr="00353B3F">
        <w:rPr>
          <w:rFonts w:ascii="Verdana" w:hAnsi="Verdana"/>
          <w:sz w:val="20"/>
          <w:lang w:val="en-US"/>
        </w:rPr>
        <w:t>provide further information on</w:t>
      </w:r>
      <w:r w:rsidRPr="00353B3F">
        <w:rPr>
          <w:rFonts w:ascii="Verdana" w:hAnsi="Verdana"/>
          <w:sz w:val="20"/>
          <w:lang w:val="en-US"/>
        </w:rPr>
        <w:t xml:space="preserve"> the “comprehensive approach” or present any evidence in this regard.</w:t>
      </w:r>
    </w:p>
    <w:p w14:paraId="6FD645B8" w14:textId="77777777" w:rsidR="0027241A" w:rsidRPr="00353B3F" w:rsidRDefault="0027241A" w:rsidP="009945C1">
      <w:pPr>
        <w:pStyle w:val="ListParagraph"/>
        <w:ind w:left="0"/>
        <w:jc w:val="both"/>
        <w:rPr>
          <w:rFonts w:ascii="Verdana" w:hAnsi="Verdana"/>
          <w:sz w:val="20"/>
          <w:lang w:val="en-US"/>
        </w:rPr>
      </w:pPr>
    </w:p>
    <w:p w14:paraId="0A3D9B22" w14:textId="47F84D92" w:rsidR="0027241A" w:rsidRPr="00170388" w:rsidRDefault="000B435E" w:rsidP="009945C1">
      <w:pPr>
        <w:pStyle w:val="ListParagraph"/>
        <w:numPr>
          <w:ilvl w:val="0"/>
          <w:numId w:val="5"/>
        </w:numPr>
        <w:ind w:left="0" w:firstLine="0"/>
        <w:jc w:val="both"/>
        <w:rPr>
          <w:rFonts w:ascii="Verdana" w:hAnsi="Verdana"/>
          <w:sz w:val="20"/>
          <w:lang w:val="en-US"/>
        </w:rPr>
      </w:pPr>
      <w:r w:rsidRPr="00170388">
        <w:rPr>
          <w:rFonts w:ascii="Verdana" w:hAnsi="Verdana"/>
          <w:sz w:val="20"/>
          <w:lang w:val="en-US"/>
        </w:rPr>
        <w:t>Meanwhile, t</w:t>
      </w:r>
      <w:r w:rsidR="00484EB4" w:rsidRPr="00170388">
        <w:rPr>
          <w:rFonts w:ascii="Verdana" w:hAnsi="Verdana"/>
          <w:sz w:val="20"/>
          <w:lang w:val="en-US"/>
        </w:rPr>
        <w:t>he Commission</w:t>
      </w:r>
      <w:r w:rsidRPr="00170388">
        <w:rPr>
          <w:rFonts w:ascii="Verdana" w:hAnsi="Verdana"/>
          <w:sz w:val="20"/>
          <w:lang w:val="en-US"/>
        </w:rPr>
        <w:t xml:space="preserve"> noted that</w:t>
      </w:r>
      <w:r w:rsidR="00B82C04" w:rsidRPr="00170388">
        <w:rPr>
          <w:rFonts w:ascii="Verdana" w:hAnsi="Verdana"/>
          <w:sz w:val="20"/>
          <w:lang w:val="en-US"/>
        </w:rPr>
        <w:t xml:space="preserve"> “</w:t>
      </w:r>
      <w:r w:rsidR="00484EB4" w:rsidRPr="00170388">
        <w:rPr>
          <w:rFonts w:ascii="Verdana" w:hAnsi="Verdana"/>
          <w:sz w:val="20"/>
          <w:lang w:val="en-US"/>
        </w:rPr>
        <w:t>the State</w:t>
      </w:r>
      <w:r w:rsidR="00B82C04" w:rsidRPr="00170388">
        <w:rPr>
          <w:rFonts w:ascii="Verdana" w:hAnsi="Verdana"/>
          <w:sz w:val="20"/>
          <w:lang w:val="en-US"/>
        </w:rPr>
        <w:t xml:space="preserve"> </w:t>
      </w:r>
      <w:r w:rsidR="00170388" w:rsidRPr="00170388">
        <w:rPr>
          <w:rFonts w:ascii="Verdana" w:hAnsi="Verdana"/>
          <w:sz w:val="20"/>
          <w:lang w:val="en-US"/>
        </w:rPr>
        <w:t xml:space="preserve">has not adopted any measure to ensure the right to </w:t>
      </w:r>
      <w:r w:rsidR="00170388">
        <w:rPr>
          <w:rFonts w:ascii="Verdana" w:hAnsi="Verdana"/>
          <w:sz w:val="20"/>
          <w:lang w:val="en-US"/>
        </w:rPr>
        <w:t xml:space="preserve">collective property of the Community. </w:t>
      </w:r>
      <w:r w:rsidR="00170388" w:rsidRPr="00170388">
        <w:rPr>
          <w:rFonts w:ascii="Verdana" w:hAnsi="Verdana"/>
          <w:sz w:val="20"/>
          <w:lang w:val="en-US"/>
        </w:rPr>
        <w:t>Furthermore, the State continues to reiterate its position to not recognize the rights to indigenous and tribal rights to collective property</w:t>
      </w:r>
      <w:r w:rsidR="00170388">
        <w:rPr>
          <w:rFonts w:ascii="Verdana" w:hAnsi="Verdana"/>
          <w:sz w:val="20"/>
          <w:lang w:val="en-US"/>
        </w:rPr>
        <w:t xml:space="preserve"> based on arguments already dismissed by the Court </w:t>
      </w:r>
      <w:r w:rsidR="00B82C04" w:rsidRPr="00170388">
        <w:rPr>
          <w:rFonts w:ascii="Verdana" w:hAnsi="Verdana"/>
          <w:sz w:val="20"/>
          <w:lang w:val="en-US"/>
        </w:rPr>
        <w:t>[</w:t>
      </w:r>
      <w:r w:rsidRPr="00170388">
        <w:rPr>
          <w:rFonts w:ascii="Verdana" w:hAnsi="Verdana"/>
          <w:sz w:val="20"/>
          <w:lang w:val="en-US"/>
        </w:rPr>
        <w:t>i</w:t>
      </w:r>
      <w:r w:rsidR="00B82C04" w:rsidRPr="00170388">
        <w:rPr>
          <w:rFonts w:ascii="Verdana" w:hAnsi="Verdana"/>
          <w:sz w:val="20"/>
          <w:lang w:val="en-US"/>
        </w:rPr>
        <w:t xml:space="preserve">n </w:t>
      </w:r>
      <w:r w:rsidR="00484EB4" w:rsidRPr="00170388">
        <w:rPr>
          <w:rFonts w:ascii="Verdana" w:hAnsi="Verdana"/>
          <w:sz w:val="20"/>
          <w:lang w:val="en-US"/>
        </w:rPr>
        <w:t>the judgment</w:t>
      </w:r>
      <w:r w:rsidR="00B82C04" w:rsidRPr="00170388">
        <w:rPr>
          <w:rFonts w:ascii="Verdana" w:hAnsi="Verdana"/>
          <w:sz w:val="20"/>
          <w:lang w:val="en-US"/>
        </w:rPr>
        <w:t>]”</w:t>
      </w:r>
      <w:r w:rsidR="00170388" w:rsidRPr="00170388">
        <w:rPr>
          <w:rFonts w:ascii="Verdana" w:hAnsi="Verdana"/>
          <w:sz w:val="20"/>
          <w:lang w:val="en-US"/>
        </w:rPr>
        <w:t>.</w:t>
      </w:r>
      <w:r w:rsidRPr="00170388">
        <w:rPr>
          <w:rFonts w:ascii="Verdana" w:hAnsi="Verdana"/>
          <w:sz w:val="20"/>
          <w:lang w:val="en-US"/>
        </w:rPr>
        <w:t xml:space="preserve"> It</w:t>
      </w:r>
      <w:r w:rsidR="00B82C04" w:rsidRPr="00170388">
        <w:rPr>
          <w:rFonts w:ascii="Verdana" w:hAnsi="Verdana"/>
          <w:sz w:val="20"/>
          <w:lang w:val="en-US"/>
        </w:rPr>
        <w:t xml:space="preserve"> </w:t>
      </w:r>
      <w:r w:rsidRPr="00170388">
        <w:rPr>
          <w:rFonts w:ascii="Verdana" w:hAnsi="Verdana"/>
          <w:sz w:val="20"/>
          <w:lang w:val="en-US"/>
        </w:rPr>
        <w:t xml:space="preserve">therefore asked the Court </w:t>
      </w:r>
      <w:r w:rsidR="00170388" w:rsidRPr="00170388">
        <w:rPr>
          <w:rFonts w:ascii="Verdana" w:hAnsi="Verdana"/>
          <w:sz w:val="20"/>
          <w:lang w:val="en-US"/>
        </w:rPr>
        <w:t xml:space="preserve">to require </w:t>
      </w:r>
      <w:r w:rsidR="00B82C04" w:rsidRPr="00170388">
        <w:rPr>
          <w:rFonts w:ascii="Verdana" w:hAnsi="Verdana"/>
          <w:sz w:val="20"/>
          <w:lang w:val="en-US"/>
        </w:rPr>
        <w:t>“</w:t>
      </w:r>
      <w:r w:rsidR="00170388" w:rsidRPr="00170388">
        <w:rPr>
          <w:rFonts w:ascii="Verdana" w:hAnsi="Verdana"/>
          <w:sz w:val="20"/>
          <w:lang w:val="en-US"/>
        </w:rPr>
        <w:t>the State to provide specific information regarding the measures to be carried out</w:t>
      </w:r>
      <w:r w:rsidR="00170388">
        <w:rPr>
          <w:rFonts w:ascii="Verdana" w:hAnsi="Verdana"/>
          <w:sz w:val="20"/>
          <w:lang w:val="en-US"/>
        </w:rPr>
        <w:t>, with due consultation with the representatives, along with a timeline for such activities”.</w:t>
      </w:r>
      <w:r w:rsidR="00B82C04" w:rsidRPr="00170388">
        <w:rPr>
          <w:rFonts w:ascii="Verdana" w:hAnsi="Verdana"/>
          <w:sz w:val="20"/>
          <w:lang w:val="en-US"/>
        </w:rPr>
        <w:t xml:space="preserve"> </w:t>
      </w:r>
      <w:r w:rsidR="0003637E" w:rsidRPr="00170388">
        <w:rPr>
          <w:rFonts w:ascii="Verdana" w:hAnsi="Verdana"/>
          <w:b/>
          <w:sz w:val="20"/>
          <w:lang w:val="en-US"/>
        </w:rPr>
        <w:t xml:space="preserve"> </w:t>
      </w:r>
    </w:p>
    <w:p w14:paraId="7875216B" w14:textId="77777777" w:rsidR="0027241A" w:rsidRPr="00170388" w:rsidRDefault="0027241A" w:rsidP="009945C1">
      <w:pPr>
        <w:pStyle w:val="ListParagraph"/>
        <w:rPr>
          <w:rFonts w:ascii="Verdana" w:hAnsi="Verdana"/>
          <w:sz w:val="20"/>
          <w:lang w:val="en-US"/>
        </w:rPr>
      </w:pPr>
    </w:p>
    <w:p w14:paraId="408FFD4F" w14:textId="00D3360F" w:rsidR="0020114D" w:rsidRPr="00353B3F" w:rsidRDefault="000B435E" w:rsidP="0069554E">
      <w:pPr>
        <w:pStyle w:val="ListParagraph"/>
        <w:numPr>
          <w:ilvl w:val="0"/>
          <w:numId w:val="5"/>
        </w:numPr>
        <w:ind w:left="0" w:firstLine="0"/>
        <w:jc w:val="both"/>
        <w:rPr>
          <w:rFonts w:ascii="Verdana" w:hAnsi="Verdana"/>
          <w:sz w:val="20"/>
          <w:lang w:val="en-US"/>
        </w:rPr>
      </w:pPr>
      <w:r w:rsidRPr="0085454C">
        <w:rPr>
          <w:rFonts w:ascii="Verdana" w:hAnsi="Verdana"/>
          <w:sz w:val="20"/>
          <w:lang w:val="en-US"/>
        </w:rPr>
        <w:lastRenderedPageBreak/>
        <w:t>In their 2015 observations, t</w:t>
      </w:r>
      <w:r w:rsidR="00B00DF6" w:rsidRPr="0085454C">
        <w:rPr>
          <w:rFonts w:ascii="Verdana" w:hAnsi="Verdana"/>
          <w:sz w:val="20"/>
          <w:lang w:val="en-US"/>
        </w:rPr>
        <w:t>he representatives</w:t>
      </w:r>
      <w:r w:rsidRPr="0085454C">
        <w:rPr>
          <w:rFonts w:ascii="Verdana" w:hAnsi="Verdana"/>
          <w:sz w:val="20"/>
          <w:lang w:val="en-US"/>
        </w:rPr>
        <w:t xml:space="preserve"> indicated that </w:t>
      </w:r>
      <w:r w:rsidR="00484EB4" w:rsidRPr="0085454C">
        <w:rPr>
          <w:rFonts w:ascii="Verdana" w:hAnsi="Verdana"/>
          <w:sz w:val="20"/>
          <w:lang w:val="en-US"/>
        </w:rPr>
        <w:t>the State</w:t>
      </w:r>
      <w:r w:rsidR="0003637E" w:rsidRPr="0085454C">
        <w:rPr>
          <w:rFonts w:ascii="Verdana" w:hAnsi="Verdana"/>
          <w:sz w:val="20"/>
          <w:lang w:val="en-US"/>
        </w:rPr>
        <w:t xml:space="preserve"> “</w:t>
      </w:r>
      <w:r w:rsidR="0085454C" w:rsidRPr="0085454C">
        <w:rPr>
          <w:rFonts w:ascii="Verdana" w:hAnsi="Verdana"/>
          <w:sz w:val="20"/>
          <w:lang w:val="en-US"/>
        </w:rPr>
        <w:t xml:space="preserve">ha[d] yet to present evidence that there is [in] fact such an integral approach, what it may entail and whether </w:t>
      </w:r>
      <w:r w:rsidR="0085454C">
        <w:rPr>
          <w:rFonts w:ascii="Verdana" w:hAnsi="Verdana"/>
          <w:sz w:val="20"/>
          <w:lang w:val="en-US"/>
        </w:rPr>
        <w:t xml:space="preserve">any progress is being made that could count toward compliance with the Court’s order”. </w:t>
      </w:r>
      <w:r w:rsidRPr="00353B3F">
        <w:rPr>
          <w:rFonts w:ascii="Verdana" w:hAnsi="Verdana"/>
          <w:sz w:val="20"/>
          <w:lang w:val="en-US"/>
        </w:rPr>
        <w:t xml:space="preserve">The </w:t>
      </w:r>
      <w:r w:rsidR="00B00DF6" w:rsidRPr="00353B3F">
        <w:rPr>
          <w:rFonts w:ascii="Verdana" w:hAnsi="Verdana"/>
          <w:sz w:val="20"/>
          <w:lang w:val="en-US"/>
        </w:rPr>
        <w:t>representatives</w:t>
      </w:r>
      <w:r w:rsidR="008D5F8A" w:rsidRPr="00353B3F">
        <w:rPr>
          <w:rFonts w:ascii="Verdana" w:hAnsi="Verdana"/>
          <w:sz w:val="20"/>
          <w:lang w:val="en-US"/>
        </w:rPr>
        <w:t xml:space="preserve"> </w:t>
      </w:r>
      <w:r w:rsidRPr="00353B3F">
        <w:rPr>
          <w:rFonts w:ascii="Verdana" w:hAnsi="Verdana"/>
          <w:sz w:val="20"/>
          <w:lang w:val="en-US"/>
        </w:rPr>
        <w:t>also indicated that in its 2014 report to the Human Rights Committee, the State had reaffirmed its “obligation to ensure that national regulations and policies do not attribute any form of favorable treatment to specific segments of the population resulting in discriminating the remainder,” and also stated in this report that “</w:t>
      </w:r>
      <w:r w:rsidR="0069554E" w:rsidRPr="00353B3F">
        <w:rPr>
          <w:rFonts w:ascii="Verdana" w:hAnsi="Verdana"/>
          <w:sz w:val="20"/>
          <w:lang w:val="en-US"/>
        </w:rPr>
        <w:t>[t]</w:t>
      </w:r>
      <w:r w:rsidRPr="00353B3F">
        <w:rPr>
          <w:rFonts w:ascii="Verdana" w:hAnsi="Verdana"/>
          <w:sz w:val="20"/>
          <w:lang w:val="en-US"/>
        </w:rPr>
        <w:t>he State ha[d] committed itself to a social-economic development contract with the Surinamese population, by strategically exploitation of the countries natural resources. [… A] large segment of the Surinamese population fears that its legitimate development interests are marginalized at the expense of the interests of the tribal communities.”</w:t>
      </w:r>
      <w:r w:rsidR="00F52538" w:rsidRPr="00353B3F">
        <w:rPr>
          <w:rStyle w:val="FootnoteReference"/>
          <w:rFonts w:ascii="Verdana" w:hAnsi="Verdana"/>
          <w:sz w:val="20"/>
          <w:lang w:val="en-US"/>
        </w:rPr>
        <w:footnoteReference w:id="41"/>
      </w:r>
      <w:r w:rsidR="007D7EF0" w:rsidRPr="00353B3F">
        <w:rPr>
          <w:rFonts w:ascii="Verdana" w:hAnsi="Verdana"/>
          <w:sz w:val="20"/>
          <w:lang w:val="en-US"/>
        </w:rPr>
        <w:t xml:space="preserve"> </w:t>
      </w:r>
      <w:r w:rsidR="0069554E" w:rsidRPr="0085454C">
        <w:rPr>
          <w:rFonts w:ascii="Verdana" w:hAnsi="Verdana"/>
          <w:sz w:val="20"/>
          <w:lang w:val="en-US"/>
        </w:rPr>
        <w:t>Lastly</w:t>
      </w:r>
      <w:r w:rsidR="007D7EF0" w:rsidRPr="0085454C">
        <w:rPr>
          <w:rFonts w:ascii="Verdana" w:hAnsi="Verdana"/>
          <w:sz w:val="20"/>
          <w:lang w:val="en-US"/>
        </w:rPr>
        <w:t xml:space="preserve">, </w:t>
      </w:r>
      <w:r w:rsidR="00B00DF6" w:rsidRPr="0085454C">
        <w:rPr>
          <w:rFonts w:ascii="Verdana" w:hAnsi="Verdana"/>
          <w:sz w:val="20"/>
          <w:lang w:val="en-US"/>
        </w:rPr>
        <w:t>the representatives</w:t>
      </w:r>
      <w:r w:rsidR="007D7EF0" w:rsidRPr="0085454C">
        <w:rPr>
          <w:rFonts w:ascii="Verdana" w:hAnsi="Verdana"/>
          <w:sz w:val="20"/>
          <w:lang w:val="en-US"/>
        </w:rPr>
        <w:t xml:space="preserve"> </w:t>
      </w:r>
      <w:r w:rsidR="0069554E" w:rsidRPr="0085454C">
        <w:rPr>
          <w:rFonts w:ascii="Verdana" w:hAnsi="Verdana"/>
          <w:sz w:val="20"/>
          <w:lang w:val="en-US"/>
        </w:rPr>
        <w:t>stated that</w:t>
      </w:r>
      <w:r w:rsidR="007D7EF0" w:rsidRPr="0085454C">
        <w:rPr>
          <w:rFonts w:ascii="Verdana" w:hAnsi="Verdana"/>
          <w:sz w:val="20"/>
          <w:lang w:val="en-US"/>
        </w:rPr>
        <w:t xml:space="preserve"> “</w:t>
      </w:r>
      <w:r w:rsidR="00484EB4" w:rsidRPr="0085454C">
        <w:rPr>
          <w:rFonts w:ascii="Verdana" w:hAnsi="Verdana"/>
          <w:sz w:val="20"/>
          <w:lang w:val="en-US"/>
        </w:rPr>
        <w:t>the State</w:t>
      </w:r>
      <w:r w:rsidR="007D7EF0" w:rsidRPr="0085454C">
        <w:rPr>
          <w:rFonts w:ascii="Verdana" w:hAnsi="Verdana"/>
          <w:sz w:val="20"/>
          <w:lang w:val="en-US"/>
        </w:rPr>
        <w:t xml:space="preserve"> </w:t>
      </w:r>
      <w:r w:rsidR="0085454C" w:rsidRPr="0085454C">
        <w:rPr>
          <w:rFonts w:ascii="Verdana" w:hAnsi="Verdana"/>
          <w:sz w:val="20"/>
          <w:lang w:val="en-US"/>
        </w:rPr>
        <w:t xml:space="preserve">has not been and is not now engaged in any process of drafting legislation on this or any related issue” to “ensure the property rights </w:t>
      </w:r>
      <w:r w:rsidR="0085454C">
        <w:rPr>
          <w:rFonts w:ascii="Verdana" w:hAnsi="Verdana"/>
          <w:sz w:val="20"/>
          <w:lang w:val="en-US"/>
        </w:rPr>
        <w:t xml:space="preserve">in relation to traditional territories of the members of the </w:t>
      </w:r>
      <w:proofErr w:type="spellStart"/>
      <w:r w:rsidR="0085454C">
        <w:rPr>
          <w:rFonts w:ascii="Verdana" w:hAnsi="Verdana"/>
          <w:sz w:val="20"/>
          <w:lang w:val="en-US"/>
        </w:rPr>
        <w:t>Moiwana</w:t>
      </w:r>
      <w:proofErr w:type="spellEnd"/>
      <w:r w:rsidR="0085454C">
        <w:rPr>
          <w:rFonts w:ascii="Verdana" w:hAnsi="Verdana"/>
          <w:sz w:val="20"/>
          <w:lang w:val="en-US"/>
        </w:rPr>
        <w:t xml:space="preserve"> Community”</w:t>
      </w:r>
      <w:r w:rsidR="007D7EF0" w:rsidRPr="00353B3F">
        <w:rPr>
          <w:rStyle w:val="FootnoteReference"/>
          <w:rFonts w:ascii="Verdana" w:hAnsi="Verdana"/>
          <w:sz w:val="20"/>
          <w:lang w:val="en-US"/>
        </w:rPr>
        <w:footnoteReference w:id="42"/>
      </w:r>
      <w:r w:rsidR="0069554E" w:rsidRPr="0085454C">
        <w:rPr>
          <w:rFonts w:ascii="Verdana" w:hAnsi="Verdana"/>
          <w:sz w:val="20"/>
          <w:lang w:val="en-US"/>
        </w:rPr>
        <w:t xml:space="preserve">; moreover, neither has it </w:t>
      </w:r>
      <w:r w:rsidR="00412E82" w:rsidRPr="0085454C">
        <w:rPr>
          <w:rFonts w:ascii="Verdana" w:hAnsi="Verdana"/>
          <w:sz w:val="20"/>
          <w:lang w:val="en-US"/>
        </w:rPr>
        <w:t>“</w:t>
      </w:r>
      <w:r w:rsidR="0085454C">
        <w:rPr>
          <w:rFonts w:ascii="Verdana" w:hAnsi="Verdana"/>
          <w:sz w:val="20"/>
          <w:lang w:val="en-US"/>
        </w:rPr>
        <w:t>held any structured consultation with any of the affected parties to ascertain their views or proactively attempted to resolve any conflicts that may exist</w:t>
      </w:r>
      <w:r w:rsidR="00412E82" w:rsidRPr="0085454C">
        <w:rPr>
          <w:rFonts w:ascii="Verdana" w:hAnsi="Verdana"/>
          <w:sz w:val="20"/>
          <w:lang w:val="en-US"/>
        </w:rPr>
        <w:t>”</w:t>
      </w:r>
      <w:r w:rsidR="0085454C">
        <w:rPr>
          <w:rFonts w:ascii="Verdana" w:hAnsi="Verdana"/>
          <w:sz w:val="20"/>
          <w:lang w:val="en-US"/>
        </w:rPr>
        <w:t xml:space="preserve">. </w:t>
      </w:r>
      <w:r w:rsidR="008D5F8A" w:rsidRPr="0085454C">
        <w:rPr>
          <w:rFonts w:ascii="Verdana" w:hAnsi="Verdana"/>
          <w:sz w:val="20"/>
          <w:lang w:val="en-US"/>
        </w:rPr>
        <w:t xml:space="preserve"> </w:t>
      </w:r>
      <w:r w:rsidR="0069554E" w:rsidRPr="00353B3F">
        <w:rPr>
          <w:rFonts w:ascii="Verdana" w:hAnsi="Verdana"/>
          <w:sz w:val="20"/>
          <w:lang w:val="en-US"/>
        </w:rPr>
        <w:t xml:space="preserve">With regard to the State’s assertion regarding its claim to ownership of anything found under the lands that correspond to the </w:t>
      </w:r>
      <w:proofErr w:type="spellStart"/>
      <w:r w:rsidR="00BA5116" w:rsidRPr="00353B3F">
        <w:rPr>
          <w:rFonts w:ascii="Verdana" w:hAnsi="Verdana"/>
          <w:sz w:val="20"/>
          <w:lang w:val="en-US"/>
        </w:rPr>
        <w:t>Moiwana</w:t>
      </w:r>
      <w:proofErr w:type="spellEnd"/>
      <w:r w:rsidR="00BA5116" w:rsidRPr="00353B3F">
        <w:rPr>
          <w:rFonts w:ascii="Verdana" w:hAnsi="Verdana"/>
          <w:sz w:val="20"/>
          <w:lang w:val="en-US"/>
        </w:rPr>
        <w:t xml:space="preserve"> community</w:t>
      </w:r>
      <w:r w:rsidR="00EE582A" w:rsidRPr="00353B3F">
        <w:rPr>
          <w:rFonts w:ascii="Verdana" w:hAnsi="Verdana"/>
          <w:sz w:val="20"/>
          <w:lang w:val="en-US"/>
        </w:rPr>
        <w:t xml:space="preserve">, </w:t>
      </w:r>
      <w:r w:rsidR="00B00DF6" w:rsidRPr="00353B3F">
        <w:rPr>
          <w:rFonts w:ascii="Verdana" w:hAnsi="Verdana"/>
          <w:sz w:val="20"/>
          <w:lang w:val="en-US"/>
        </w:rPr>
        <w:t>the representatives</w:t>
      </w:r>
      <w:r w:rsidR="00EE582A" w:rsidRPr="00353B3F">
        <w:rPr>
          <w:rFonts w:ascii="Verdana" w:hAnsi="Verdana"/>
          <w:sz w:val="20"/>
          <w:lang w:val="en-US"/>
        </w:rPr>
        <w:t xml:space="preserve"> indica</w:t>
      </w:r>
      <w:r w:rsidR="0069554E" w:rsidRPr="00353B3F">
        <w:rPr>
          <w:rFonts w:ascii="Verdana" w:hAnsi="Verdana"/>
          <w:sz w:val="20"/>
          <w:lang w:val="en-US"/>
        </w:rPr>
        <w:t>ted during the hearing held in 2012 that this claim should be resolved in a dialogue between the State and the community.</w:t>
      </w:r>
    </w:p>
    <w:p w14:paraId="6EF587DA" w14:textId="77777777" w:rsidR="00660591" w:rsidRPr="00353B3F" w:rsidRDefault="009945C1" w:rsidP="009945C1">
      <w:pPr>
        <w:tabs>
          <w:tab w:val="left" w:pos="7065"/>
        </w:tabs>
        <w:rPr>
          <w:rFonts w:ascii="Verdana" w:hAnsi="Verdana"/>
          <w:sz w:val="20"/>
          <w:lang w:val="en-US"/>
        </w:rPr>
      </w:pPr>
      <w:r w:rsidRPr="00353B3F">
        <w:rPr>
          <w:rFonts w:ascii="Verdana" w:hAnsi="Verdana"/>
          <w:sz w:val="20"/>
          <w:lang w:val="en-US"/>
        </w:rPr>
        <w:tab/>
      </w:r>
    </w:p>
    <w:p w14:paraId="5C69B353" w14:textId="037756EA" w:rsidR="00EE582A" w:rsidRPr="00353B3F" w:rsidRDefault="0069554E" w:rsidP="0069554E">
      <w:pPr>
        <w:pStyle w:val="ListParagraph"/>
        <w:numPr>
          <w:ilvl w:val="0"/>
          <w:numId w:val="5"/>
        </w:numPr>
        <w:ind w:left="0" w:firstLine="0"/>
        <w:jc w:val="both"/>
        <w:rPr>
          <w:rFonts w:ascii="Verdana" w:hAnsi="Verdana"/>
          <w:sz w:val="20"/>
          <w:lang w:val="en-US"/>
        </w:rPr>
      </w:pPr>
      <w:r w:rsidRPr="00353B3F">
        <w:rPr>
          <w:rFonts w:ascii="Verdana" w:hAnsi="Verdana"/>
          <w:sz w:val="20"/>
          <w:lang w:val="en-US"/>
        </w:rPr>
        <w:t xml:space="preserve">The Court notes that, since </w:t>
      </w:r>
      <w:r w:rsidR="00EE582A" w:rsidRPr="00353B3F">
        <w:rPr>
          <w:rFonts w:ascii="Verdana" w:hAnsi="Verdana"/>
          <w:sz w:val="20"/>
          <w:lang w:val="en-US"/>
        </w:rPr>
        <w:t xml:space="preserve">2010, </w:t>
      </w:r>
      <w:r w:rsidR="00484EB4" w:rsidRPr="00353B3F">
        <w:rPr>
          <w:rFonts w:ascii="Verdana" w:hAnsi="Verdana"/>
          <w:sz w:val="20"/>
          <w:lang w:val="en-US"/>
        </w:rPr>
        <w:t>the State</w:t>
      </w:r>
      <w:r w:rsidR="00660591" w:rsidRPr="00353B3F">
        <w:rPr>
          <w:rFonts w:ascii="Verdana" w:hAnsi="Verdana"/>
          <w:sz w:val="20"/>
          <w:lang w:val="en-US"/>
        </w:rPr>
        <w:t xml:space="preserve"> </w:t>
      </w:r>
      <w:r w:rsidRPr="00353B3F">
        <w:rPr>
          <w:rFonts w:ascii="Verdana" w:hAnsi="Verdana"/>
          <w:sz w:val="20"/>
          <w:lang w:val="en-US"/>
        </w:rPr>
        <w:t xml:space="preserve">has merely indicated that it </w:t>
      </w:r>
      <w:r w:rsidR="002B4F7B" w:rsidRPr="00353B3F">
        <w:rPr>
          <w:rFonts w:ascii="Verdana" w:hAnsi="Verdana"/>
          <w:sz w:val="20"/>
          <w:lang w:val="en-US"/>
        </w:rPr>
        <w:t>considered</w:t>
      </w:r>
      <w:r w:rsidRPr="00353B3F">
        <w:rPr>
          <w:rFonts w:ascii="Verdana" w:hAnsi="Verdana"/>
          <w:sz w:val="20"/>
          <w:lang w:val="en-US"/>
        </w:rPr>
        <w:t xml:space="preserve"> this measure a priority, without describing the actions taken to comply with it. The Court recalls that, in the judgment, it established that </w:t>
      </w:r>
      <w:r w:rsidR="00FE56D5" w:rsidRPr="00353B3F">
        <w:rPr>
          <w:rFonts w:ascii="Verdana" w:hAnsi="Verdana"/>
          <w:sz w:val="20"/>
          <w:lang w:val="en-US"/>
        </w:rPr>
        <w:t>“</w:t>
      </w:r>
      <w:r w:rsidRPr="00353B3F">
        <w:rPr>
          <w:rFonts w:ascii="Verdana" w:eastAsiaTheme="minorHAnsi" w:hAnsi="Verdana" w:cs="TTE1091E40t00"/>
          <w:sz w:val="20"/>
          <w:lang w:val="en-US"/>
        </w:rPr>
        <w:t xml:space="preserve">the </w:t>
      </w:r>
      <w:proofErr w:type="spellStart"/>
      <w:r w:rsidRPr="00353B3F">
        <w:rPr>
          <w:rFonts w:ascii="Verdana" w:eastAsiaTheme="minorHAnsi" w:hAnsi="Verdana" w:cs="TTE1091E40t00"/>
          <w:sz w:val="20"/>
          <w:lang w:val="en-US"/>
        </w:rPr>
        <w:t>Moiwana</w:t>
      </w:r>
      <w:proofErr w:type="spellEnd"/>
      <w:r w:rsidRPr="00353B3F">
        <w:rPr>
          <w:rFonts w:ascii="Verdana" w:eastAsiaTheme="minorHAnsi" w:hAnsi="Verdana" w:cs="TTE1091E40t00"/>
          <w:sz w:val="20"/>
          <w:lang w:val="en-US"/>
        </w:rPr>
        <w:t xml:space="preserve"> community members, a </w:t>
      </w:r>
      <w:proofErr w:type="spellStart"/>
      <w:r w:rsidRPr="00353B3F">
        <w:rPr>
          <w:rFonts w:ascii="Verdana" w:eastAsiaTheme="minorHAnsi" w:hAnsi="Verdana" w:cs="TTE1091E40t00"/>
          <w:sz w:val="20"/>
          <w:lang w:val="en-US"/>
        </w:rPr>
        <w:t>N’djuka</w:t>
      </w:r>
      <w:proofErr w:type="spellEnd"/>
      <w:r w:rsidRPr="00353B3F">
        <w:rPr>
          <w:rFonts w:ascii="Verdana" w:eastAsiaTheme="minorHAnsi" w:hAnsi="Verdana" w:cs="TTE1091E40t00"/>
          <w:sz w:val="20"/>
          <w:lang w:val="en-US"/>
        </w:rPr>
        <w:t xml:space="preserve"> tribal people, possess an </w:t>
      </w:r>
      <w:r w:rsidR="00FE56D5" w:rsidRPr="00353B3F">
        <w:rPr>
          <w:rFonts w:ascii="Verdana" w:eastAsiaTheme="minorHAnsi" w:hAnsi="Verdana" w:cs="TTE1091E40t00"/>
          <w:sz w:val="20"/>
          <w:lang w:val="en-US"/>
        </w:rPr>
        <w:t>‘</w:t>
      </w:r>
      <w:r w:rsidRPr="00353B3F">
        <w:rPr>
          <w:rFonts w:ascii="Verdana" w:eastAsiaTheme="minorHAnsi" w:hAnsi="Verdana" w:cs="TTE1091E40t00"/>
          <w:sz w:val="20"/>
          <w:lang w:val="en-US"/>
        </w:rPr>
        <w:t>all-encompassing relationship</w:t>
      </w:r>
      <w:r w:rsidR="00FE56D5" w:rsidRPr="00353B3F">
        <w:rPr>
          <w:rFonts w:ascii="Verdana" w:eastAsiaTheme="minorHAnsi" w:hAnsi="Verdana" w:cs="TTE1091E40t00"/>
          <w:sz w:val="20"/>
          <w:lang w:val="en-US"/>
        </w:rPr>
        <w:t>’</w:t>
      </w:r>
      <w:r w:rsidRPr="00353B3F">
        <w:rPr>
          <w:rFonts w:ascii="Verdana" w:eastAsiaTheme="minorHAnsi" w:hAnsi="Verdana" w:cs="TTE1091E40t00"/>
          <w:sz w:val="20"/>
          <w:lang w:val="en-US"/>
        </w:rPr>
        <w:t xml:space="preserve"> to their traditional lands, and their concept of ownership regarding that territory is not centered on the individual, but rather on the community as a whole</w:t>
      </w:r>
      <w:r w:rsidRPr="00353B3F">
        <w:rPr>
          <w:rFonts w:ascii="Verdana" w:hAnsi="Verdana"/>
          <w:sz w:val="20"/>
          <w:lang w:val="en-US"/>
        </w:rPr>
        <w:t>. […</w:t>
      </w:r>
      <w:r w:rsidR="00FE56D5" w:rsidRPr="00353B3F">
        <w:rPr>
          <w:rFonts w:ascii="Verdana" w:hAnsi="Verdana"/>
          <w:sz w:val="20"/>
          <w:lang w:val="en-US"/>
        </w:rPr>
        <w:t>T]</w:t>
      </w:r>
      <w:r w:rsidR="00FE56D5" w:rsidRPr="00353B3F">
        <w:rPr>
          <w:rFonts w:ascii="Verdana" w:eastAsiaTheme="minorHAnsi" w:hAnsi="Verdana" w:cs="TTE1091E40t00"/>
          <w:sz w:val="20"/>
          <w:lang w:val="en-US"/>
        </w:rPr>
        <w:t xml:space="preserve">heir traditional occupancy of </w:t>
      </w:r>
      <w:proofErr w:type="spellStart"/>
      <w:r w:rsidR="00FE56D5" w:rsidRPr="00353B3F">
        <w:rPr>
          <w:rFonts w:ascii="Verdana" w:eastAsiaTheme="minorHAnsi" w:hAnsi="Verdana" w:cs="TTE1091E40t00"/>
          <w:sz w:val="20"/>
          <w:lang w:val="en-US"/>
        </w:rPr>
        <w:t>Moiwana</w:t>
      </w:r>
      <w:proofErr w:type="spellEnd"/>
      <w:r w:rsidR="00FE56D5" w:rsidRPr="00353B3F">
        <w:rPr>
          <w:rFonts w:ascii="Verdana" w:eastAsiaTheme="minorHAnsi" w:hAnsi="Verdana" w:cs="TTE1091E40t00"/>
          <w:sz w:val="20"/>
          <w:lang w:val="en-US"/>
        </w:rPr>
        <w:t xml:space="preserve"> village and its surrounding lands – which has been recognized and respected by neighboring </w:t>
      </w:r>
      <w:proofErr w:type="spellStart"/>
      <w:r w:rsidR="00FE56D5" w:rsidRPr="00353B3F">
        <w:rPr>
          <w:rFonts w:ascii="Verdana" w:eastAsiaTheme="minorHAnsi" w:hAnsi="Verdana" w:cs="TTE1091E40t00"/>
          <w:sz w:val="20"/>
          <w:lang w:val="en-US"/>
        </w:rPr>
        <w:t>N’djuka</w:t>
      </w:r>
      <w:proofErr w:type="spellEnd"/>
      <w:r w:rsidR="00FE56D5" w:rsidRPr="00353B3F">
        <w:rPr>
          <w:rFonts w:ascii="Verdana" w:eastAsiaTheme="minorHAnsi" w:hAnsi="Verdana" w:cs="TTE1091E40t00"/>
          <w:sz w:val="20"/>
          <w:lang w:val="en-US"/>
        </w:rPr>
        <w:t xml:space="preserve"> clans and indigenous communities over the years […] – should suffice to obtain State  recognition of their ownership.” Despite this, and the actions ordered by the Court, the State has not taken any steps to comply with this measure even though more than 12 years have passed since the judgment was handed down</w:t>
      </w:r>
      <w:r w:rsidR="004C7527" w:rsidRPr="00353B3F">
        <w:rPr>
          <w:rFonts w:ascii="Verdana" w:hAnsi="Verdana"/>
          <w:sz w:val="20"/>
          <w:lang w:val="en-US"/>
        </w:rPr>
        <w:t xml:space="preserve">. </w:t>
      </w:r>
    </w:p>
    <w:p w14:paraId="5E115E2D" w14:textId="77777777" w:rsidR="004C7527" w:rsidRPr="00353B3F" w:rsidRDefault="004C7527" w:rsidP="00EE582A">
      <w:pPr>
        <w:pStyle w:val="ListParagraph"/>
        <w:jc w:val="center"/>
        <w:rPr>
          <w:rFonts w:ascii="Verdana" w:hAnsi="Verdana"/>
          <w:sz w:val="20"/>
          <w:lang w:val="en-US"/>
        </w:rPr>
      </w:pPr>
    </w:p>
    <w:p w14:paraId="5B56DB2F" w14:textId="72447ED9" w:rsidR="004C7527" w:rsidRPr="00353B3F" w:rsidRDefault="00FE56D5" w:rsidP="0028498D">
      <w:pPr>
        <w:pStyle w:val="ListParagraph"/>
        <w:numPr>
          <w:ilvl w:val="0"/>
          <w:numId w:val="5"/>
        </w:numPr>
        <w:ind w:left="0" w:firstLine="0"/>
        <w:jc w:val="both"/>
        <w:rPr>
          <w:rFonts w:ascii="Verdana" w:hAnsi="Verdana"/>
          <w:sz w:val="20"/>
          <w:lang w:val="en-US"/>
        </w:rPr>
      </w:pPr>
      <w:r w:rsidRPr="00353B3F">
        <w:rPr>
          <w:rFonts w:ascii="Verdana" w:hAnsi="Verdana"/>
          <w:sz w:val="20"/>
          <w:lang w:val="en-US"/>
        </w:rPr>
        <w:t xml:space="preserve">On this basis, the Court finds it pertinent to ask the State to present clear, detailed and precise information on the actions it is taking to comply with this measure; in particular with regard to the request made in the 2010 order </w:t>
      </w:r>
      <w:r w:rsidR="0082474C" w:rsidRPr="00353B3F">
        <w:rPr>
          <w:rFonts w:ascii="Verdana" w:hAnsi="Verdana"/>
          <w:sz w:val="20"/>
          <w:lang w:val="en-US"/>
        </w:rPr>
        <w:t>(</w:t>
      </w:r>
      <w:r w:rsidR="0082474C" w:rsidRPr="00353B3F">
        <w:rPr>
          <w:rFonts w:ascii="Verdana" w:hAnsi="Verdana"/>
          <w:i/>
          <w:sz w:val="20"/>
          <w:lang w:val="en-US"/>
        </w:rPr>
        <w:t>supra</w:t>
      </w:r>
      <w:r w:rsidR="0082474C" w:rsidRPr="00353B3F">
        <w:rPr>
          <w:rFonts w:ascii="Verdana" w:hAnsi="Verdana"/>
          <w:sz w:val="20"/>
          <w:lang w:val="en-US"/>
        </w:rPr>
        <w:t xml:space="preserve"> </w:t>
      </w:r>
      <w:proofErr w:type="spellStart"/>
      <w:r w:rsidR="002D3C89" w:rsidRPr="00353B3F">
        <w:rPr>
          <w:rFonts w:ascii="Verdana" w:hAnsi="Verdana"/>
          <w:i/>
          <w:sz w:val="20"/>
          <w:lang w:val="en-US"/>
        </w:rPr>
        <w:t>considerandum</w:t>
      </w:r>
      <w:proofErr w:type="spellEnd"/>
      <w:r w:rsidRPr="00353B3F">
        <w:rPr>
          <w:rFonts w:ascii="Verdana" w:hAnsi="Verdana"/>
          <w:i/>
          <w:sz w:val="20"/>
          <w:lang w:val="en-US"/>
        </w:rPr>
        <w:t xml:space="preserve"> </w:t>
      </w:r>
      <w:r w:rsidR="00955A45" w:rsidRPr="00353B3F">
        <w:rPr>
          <w:rFonts w:ascii="Verdana" w:hAnsi="Verdana"/>
          <w:sz w:val="20"/>
          <w:lang w:val="en-US"/>
        </w:rPr>
        <w:fldChar w:fldCharType="begin"/>
      </w:r>
      <w:r w:rsidR="00955A45" w:rsidRPr="00353B3F">
        <w:rPr>
          <w:rFonts w:ascii="Verdana" w:hAnsi="Verdana"/>
          <w:sz w:val="20"/>
          <w:lang w:val="en-US"/>
        </w:rPr>
        <w:instrText xml:space="preserve"> REF _Ref532291227 \r \h </w:instrText>
      </w:r>
      <w:r w:rsidR="00E47A56" w:rsidRPr="00353B3F">
        <w:rPr>
          <w:rFonts w:ascii="Verdana" w:hAnsi="Verdana"/>
          <w:sz w:val="20"/>
          <w:lang w:val="en-US"/>
        </w:rPr>
        <w:instrText xml:space="preserve"> \* MERGEFORMAT </w:instrText>
      </w:r>
      <w:r w:rsidR="00955A45" w:rsidRPr="00353B3F">
        <w:rPr>
          <w:rFonts w:ascii="Verdana" w:hAnsi="Verdana"/>
          <w:sz w:val="20"/>
          <w:lang w:val="en-US"/>
        </w:rPr>
      </w:r>
      <w:r w:rsidR="00955A45" w:rsidRPr="00353B3F">
        <w:rPr>
          <w:rFonts w:ascii="Verdana" w:hAnsi="Verdana"/>
          <w:sz w:val="20"/>
          <w:lang w:val="en-US"/>
        </w:rPr>
        <w:fldChar w:fldCharType="separate"/>
      </w:r>
      <w:r w:rsidR="00BD655E">
        <w:rPr>
          <w:rFonts w:ascii="Verdana" w:hAnsi="Verdana"/>
          <w:sz w:val="20"/>
          <w:lang w:val="en-US"/>
        </w:rPr>
        <w:t>27</w:t>
      </w:r>
      <w:r w:rsidR="00955A45" w:rsidRPr="00353B3F">
        <w:rPr>
          <w:rFonts w:ascii="Verdana" w:hAnsi="Verdana"/>
          <w:sz w:val="20"/>
          <w:lang w:val="en-US"/>
        </w:rPr>
        <w:fldChar w:fldCharType="end"/>
      </w:r>
      <w:r w:rsidR="0082474C" w:rsidRPr="00353B3F">
        <w:rPr>
          <w:rFonts w:ascii="Verdana" w:hAnsi="Verdana"/>
          <w:sz w:val="20"/>
          <w:lang w:val="en-US"/>
        </w:rPr>
        <w:t>)</w:t>
      </w:r>
      <w:r w:rsidR="00202DDA" w:rsidRPr="00353B3F">
        <w:rPr>
          <w:rFonts w:ascii="Verdana" w:hAnsi="Verdana"/>
          <w:sz w:val="20"/>
          <w:lang w:val="en-US"/>
        </w:rPr>
        <w:t>, a</w:t>
      </w:r>
      <w:r w:rsidRPr="00353B3F">
        <w:rPr>
          <w:rFonts w:ascii="Verdana" w:hAnsi="Verdana"/>
          <w:sz w:val="20"/>
          <w:lang w:val="en-US"/>
        </w:rPr>
        <w:t>nd also to present a timetable showing how long it will take to execute such actions.</w:t>
      </w:r>
    </w:p>
    <w:p w14:paraId="2E237710" w14:textId="77777777" w:rsidR="00660591" w:rsidRDefault="00660591" w:rsidP="0020114D">
      <w:pPr>
        <w:rPr>
          <w:rFonts w:ascii="Verdana" w:hAnsi="Verdana"/>
          <w:sz w:val="20"/>
          <w:lang w:val="en-US"/>
        </w:rPr>
      </w:pPr>
    </w:p>
    <w:p w14:paraId="6BCFB84E" w14:textId="77777777" w:rsidR="00DE4F07" w:rsidRPr="00353B3F" w:rsidRDefault="00DE4F07" w:rsidP="0020114D">
      <w:pPr>
        <w:rPr>
          <w:rFonts w:ascii="Verdana" w:hAnsi="Verdana"/>
          <w:sz w:val="20"/>
          <w:lang w:val="en-US"/>
        </w:rPr>
      </w:pPr>
    </w:p>
    <w:p w14:paraId="219B6440" w14:textId="4EA5F103" w:rsidR="0020114D" w:rsidRPr="00353B3F" w:rsidRDefault="00EC5ABD" w:rsidP="0020114D">
      <w:pPr>
        <w:pStyle w:val="Heading1"/>
        <w:numPr>
          <w:ilvl w:val="0"/>
          <w:numId w:val="12"/>
        </w:numPr>
        <w:spacing w:before="0"/>
        <w:jc w:val="both"/>
        <w:rPr>
          <w:rFonts w:ascii="Verdana" w:hAnsi="Verdana"/>
          <w:color w:val="auto"/>
          <w:sz w:val="20"/>
          <w:szCs w:val="20"/>
          <w:lang w:val="en-US"/>
        </w:rPr>
      </w:pPr>
      <w:bookmarkStart w:id="21" w:name="_Toc533153548"/>
      <w:r w:rsidRPr="00353B3F">
        <w:rPr>
          <w:rFonts w:ascii="Verdana" w:hAnsi="Verdana"/>
          <w:color w:val="auto"/>
          <w:sz w:val="20"/>
          <w:szCs w:val="20"/>
          <w:lang w:val="en-US"/>
        </w:rPr>
        <w:lastRenderedPageBreak/>
        <w:t>Guarantee the safety of</w:t>
      </w:r>
      <w:r w:rsidR="0020114D" w:rsidRPr="00353B3F">
        <w:rPr>
          <w:rFonts w:ascii="Verdana" w:hAnsi="Verdana"/>
          <w:color w:val="auto"/>
          <w:sz w:val="20"/>
          <w:szCs w:val="20"/>
          <w:lang w:val="en-US"/>
        </w:rPr>
        <w:t xml:space="preserve"> </w:t>
      </w:r>
      <w:r w:rsidRPr="00353B3F">
        <w:rPr>
          <w:rFonts w:ascii="Verdana" w:hAnsi="Verdana"/>
          <w:color w:val="auto"/>
          <w:sz w:val="20"/>
          <w:szCs w:val="20"/>
          <w:lang w:val="en-US"/>
        </w:rPr>
        <w:t>the community members who decide to return to the</w:t>
      </w:r>
      <w:r w:rsidR="0020114D" w:rsidRPr="00353B3F">
        <w:rPr>
          <w:rFonts w:ascii="Verdana" w:hAnsi="Verdana"/>
          <w:color w:val="auto"/>
          <w:sz w:val="20"/>
          <w:szCs w:val="20"/>
          <w:lang w:val="en-US"/>
        </w:rPr>
        <w:t xml:space="preserve"> </w:t>
      </w:r>
      <w:proofErr w:type="spellStart"/>
      <w:r w:rsidR="00BA5116" w:rsidRPr="00353B3F">
        <w:rPr>
          <w:rFonts w:ascii="Verdana" w:hAnsi="Verdana"/>
          <w:color w:val="auto"/>
          <w:sz w:val="20"/>
          <w:szCs w:val="20"/>
          <w:lang w:val="en-US"/>
        </w:rPr>
        <w:t>Moiwana</w:t>
      </w:r>
      <w:proofErr w:type="spellEnd"/>
      <w:r w:rsidR="00BA5116" w:rsidRPr="00353B3F">
        <w:rPr>
          <w:rFonts w:ascii="Verdana" w:hAnsi="Verdana"/>
          <w:color w:val="auto"/>
          <w:sz w:val="20"/>
          <w:szCs w:val="20"/>
          <w:lang w:val="en-US"/>
        </w:rPr>
        <w:t xml:space="preserve"> community</w:t>
      </w:r>
      <w:bookmarkEnd w:id="21"/>
      <w:r w:rsidR="0020114D" w:rsidRPr="00353B3F">
        <w:rPr>
          <w:rFonts w:ascii="Verdana" w:hAnsi="Verdana"/>
          <w:color w:val="auto"/>
          <w:sz w:val="20"/>
          <w:szCs w:val="20"/>
          <w:lang w:val="en-US"/>
        </w:rPr>
        <w:t xml:space="preserve"> </w:t>
      </w:r>
    </w:p>
    <w:p w14:paraId="6161B102" w14:textId="77777777" w:rsidR="0020114D" w:rsidRPr="00353B3F" w:rsidRDefault="0020114D" w:rsidP="0020114D">
      <w:pPr>
        <w:rPr>
          <w:rFonts w:ascii="Verdana" w:hAnsi="Verdana"/>
          <w:i/>
          <w:sz w:val="20"/>
          <w:lang w:val="en-US"/>
        </w:rPr>
      </w:pPr>
    </w:p>
    <w:p w14:paraId="7BD077AF" w14:textId="786423A7" w:rsidR="00C02EF8" w:rsidRPr="00353B3F" w:rsidRDefault="0020114D" w:rsidP="005937E0">
      <w:pPr>
        <w:ind w:left="360"/>
        <w:rPr>
          <w:rFonts w:ascii="Verdana" w:hAnsi="Verdana"/>
          <w:i/>
          <w:sz w:val="20"/>
          <w:lang w:val="en-US"/>
        </w:rPr>
      </w:pPr>
      <w:r w:rsidRPr="00353B3F">
        <w:rPr>
          <w:rFonts w:ascii="Verdana" w:hAnsi="Verdana"/>
          <w:i/>
          <w:sz w:val="20"/>
          <w:lang w:val="en-US"/>
        </w:rPr>
        <w:t xml:space="preserve">D.1. </w:t>
      </w:r>
      <w:r w:rsidR="004932E8" w:rsidRPr="00353B3F">
        <w:rPr>
          <w:rFonts w:ascii="Verdana" w:hAnsi="Verdana"/>
          <w:i/>
          <w:sz w:val="20"/>
          <w:lang w:val="en-US"/>
        </w:rPr>
        <w:t>Measure ordered by the Court and monitored in</w:t>
      </w:r>
      <w:r w:rsidR="00EC5ABD" w:rsidRPr="00353B3F">
        <w:rPr>
          <w:rFonts w:ascii="Verdana" w:hAnsi="Verdana"/>
          <w:i/>
          <w:sz w:val="20"/>
          <w:lang w:val="en-US"/>
        </w:rPr>
        <w:t xml:space="preserve"> previous orders</w:t>
      </w:r>
    </w:p>
    <w:p w14:paraId="078C6C3D" w14:textId="77777777" w:rsidR="00C02EF8" w:rsidRPr="00353B3F" w:rsidRDefault="00C02EF8" w:rsidP="0020114D">
      <w:pPr>
        <w:rPr>
          <w:rFonts w:ascii="Verdana" w:hAnsi="Verdana"/>
          <w:i/>
          <w:sz w:val="20"/>
          <w:lang w:val="en-US"/>
        </w:rPr>
      </w:pPr>
    </w:p>
    <w:p w14:paraId="7DA2F83B" w14:textId="12294BDB" w:rsidR="00FD42C7" w:rsidRPr="00353B3F" w:rsidRDefault="00FE56D5" w:rsidP="00FD42C7">
      <w:pPr>
        <w:pStyle w:val="ListParagraph"/>
        <w:numPr>
          <w:ilvl w:val="0"/>
          <w:numId w:val="5"/>
        </w:numPr>
        <w:ind w:left="0" w:firstLine="0"/>
        <w:jc w:val="both"/>
        <w:rPr>
          <w:rFonts w:ascii="Verdana" w:hAnsi="Verdana"/>
          <w:sz w:val="20"/>
          <w:lang w:val="en-US"/>
        </w:rPr>
      </w:pPr>
      <w:bookmarkStart w:id="22" w:name="_Ref532305234"/>
      <w:r w:rsidRPr="00353B3F">
        <w:rPr>
          <w:rFonts w:ascii="Verdana" w:hAnsi="Verdana"/>
          <w:sz w:val="20"/>
          <w:lang w:val="en-US"/>
        </w:rPr>
        <w:t>In the fourth</w:t>
      </w:r>
      <w:r w:rsidR="005E121F" w:rsidRPr="00353B3F">
        <w:rPr>
          <w:rFonts w:ascii="Verdana" w:hAnsi="Verdana"/>
          <w:sz w:val="20"/>
          <w:lang w:val="en-US"/>
        </w:rPr>
        <w:t xml:space="preserve"> </w:t>
      </w:r>
      <w:r w:rsidR="00EC5ABD" w:rsidRPr="00353B3F">
        <w:rPr>
          <w:rFonts w:ascii="Verdana" w:hAnsi="Verdana"/>
          <w:sz w:val="20"/>
          <w:lang w:val="en-US"/>
        </w:rPr>
        <w:t>operative paragraph</w:t>
      </w:r>
      <w:r w:rsidR="005E121F" w:rsidRPr="00353B3F">
        <w:rPr>
          <w:rFonts w:ascii="Verdana" w:hAnsi="Verdana"/>
          <w:sz w:val="20"/>
          <w:lang w:val="en-US"/>
        </w:rPr>
        <w:t xml:space="preserve"> </w:t>
      </w:r>
      <w:r w:rsidRPr="00353B3F">
        <w:rPr>
          <w:rFonts w:ascii="Verdana" w:hAnsi="Verdana"/>
          <w:sz w:val="20"/>
          <w:lang w:val="en-US"/>
        </w:rPr>
        <w:t>and in</w:t>
      </w:r>
      <w:r w:rsidR="005E121F" w:rsidRPr="00353B3F">
        <w:rPr>
          <w:rFonts w:ascii="Verdana" w:hAnsi="Verdana"/>
          <w:sz w:val="20"/>
          <w:lang w:val="en-US"/>
        </w:rPr>
        <w:t xml:space="preserve"> </w:t>
      </w:r>
      <w:r w:rsidR="00EC5ABD" w:rsidRPr="00353B3F">
        <w:rPr>
          <w:rFonts w:ascii="Verdana" w:hAnsi="Verdana"/>
          <w:sz w:val="20"/>
          <w:lang w:val="en-US"/>
        </w:rPr>
        <w:t>paragraph</w:t>
      </w:r>
      <w:r w:rsidR="005E121F" w:rsidRPr="00353B3F">
        <w:rPr>
          <w:rFonts w:ascii="Verdana" w:hAnsi="Verdana"/>
          <w:sz w:val="20"/>
          <w:lang w:val="en-US"/>
        </w:rPr>
        <w:t xml:space="preserve"> 212</w:t>
      </w:r>
      <w:r w:rsidR="00DC49A3" w:rsidRPr="00353B3F">
        <w:rPr>
          <w:rFonts w:ascii="Verdana" w:hAnsi="Verdana"/>
          <w:sz w:val="20"/>
          <w:lang w:val="en-US"/>
        </w:rPr>
        <w:t xml:space="preserve"> of the </w:t>
      </w:r>
      <w:r w:rsidR="00484EB4" w:rsidRPr="00353B3F">
        <w:rPr>
          <w:rFonts w:ascii="Verdana" w:hAnsi="Verdana"/>
          <w:sz w:val="20"/>
          <w:lang w:val="en-US"/>
        </w:rPr>
        <w:t>judgment</w:t>
      </w:r>
      <w:r w:rsidR="005E121F" w:rsidRPr="00353B3F">
        <w:rPr>
          <w:rFonts w:ascii="Verdana" w:hAnsi="Verdana"/>
          <w:sz w:val="20"/>
          <w:lang w:val="en-US"/>
        </w:rPr>
        <w:t xml:space="preserve">, </w:t>
      </w:r>
      <w:r w:rsidRPr="00353B3F">
        <w:rPr>
          <w:rFonts w:ascii="Verdana" w:hAnsi="Verdana"/>
          <w:sz w:val="20"/>
          <w:lang w:val="en-US"/>
        </w:rPr>
        <w:t xml:space="preserve">the Court imposed on the State the obligation to </w:t>
      </w:r>
      <w:r w:rsidR="00E932C4" w:rsidRPr="00353B3F">
        <w:rPr>
          <w:rFonts w:ascii="Verdana" w:hAnsi="Verdana"/>
          <w:sz w:val="20"/>
          <w:lang w:val="en-US"/>
        </w:rPr>
        <w:t>“</w:t>
      </w:r>
      <w:r w:rsidRPr="00353B3F">
        <w:rPr>
          <w:rFonts w:ascii="Verdana" w:hAnsi="Verdana"/>
          <w:sz w:val="20"/>
          <w:lang w:val="en-US"/>
        </w:rPr>
        <w:t>g</w:t>
      </w:r>
      <w:r w:rsidR="00EC5ABD" w:rsidRPr="00353B3F">
        <w:rPr>
          <w:rFonts w:ascii="Verdana" w:hAnsi="Verdana"/>
          <w:sz w:val="20"/>
          <w:lang w:val="en-US"/>
        </w:rPr>
        <w:t>uarantee the safety of</w:t>
      </w:r>
      <w:r w:rsidR="005E121F" w:rsidRPr="00353B3F">
        <w:rPr>
          <w:rFonts w:ascii="Verdana" w:hAnsi="Verdana"/>
          <w:sz w:val="20"/>
          <w:lang w:val="en-US"/>
        </w:rPr>
        <w:t xml:space="preserve"> </w:t>
      </w:r>
      <w:r w:rsidR="00BA5116" w:rsidRPr="00353B3F">
        <w:rPr>
          <w:rFonts w:ascii="Verdana" w:hAnsi="Verdana"/>
          <w:sz w:val="20"/>
          <w:lang w:val="en-US"/>
        </w:rPr>
        <w:t>th</w:t>
      </w:r>
      <w:r w:rsidRPr="00353B3F">
        <w:rPr>
          <w:rFonts w:ascii="Verdana" w:hAnsi="Verdana"/>
          <w:sz w:val="20"/>
          <w:lang w:val="en-US"/>
        </w:rPr>
        <w:t>ose</w:t>
      </w:r>
      <w:r w:rsidR="00BA5116" w:rsidRPr="00353B3F">
        <w:rPr>
          <w:rFonts w:ascii="Verdana" w:hAnsi="Verdana"/>
          <w:sz w:val="20"/>
          <w:lang w:val="en-US"/>
        </w:rPr>
        <w:t xml:space="preserve"> members</w:t>
      </w:r>
      <w:r w:rsidR="00DC49A3" w:rsidRPr="00353B3F">
        <w:rPr>
          <w:rFonts w:ascii="Verdana" w:hAnsi="Verdana"/>
          <w:sz w:val="20"/>
          <w:lang w:val="en-US"/>
        </w:rPr>
        <w:t xml:space="preserve"> of the </w:t>
      </w:r>
      <w:r w:rsidR="00BA5116" w:rsidRPr="00353B3F">
        <w:rPr>
          <w:rFonts w:ascii="Verdana" w:hAnsi="Verdana"/>
          <w:sz w:val="20"/>
          <w:lang w:val="en-US"/>
        </w:rPr>
        <w:t>community</w:t>
      </w:r>
      <w:r w:rsidR="005E121F" w:rsidRPr="00353B3F">
        <w:rPr>
          <w:rFonts w:ascii="Verdana" w:hAnsi="Verdana"/>
          <w:sz w:val="20"/>
          <w:lang w:val="en-US"/>
        </w:rPr>
        <w:t xml:space="preserve"> </w:t>
      </w:r>
      <w:r w:rsidRPr="00353B3F">
        <w:rPr>
          <w:rFonts w:ascii="Verdana" w:hAnsi="Verdana"/>
          <w:sz w:val="20"/>
          <w:lang w:val="en-US"/>
        </w:rPr>
        <w:t>who decide to return to the village of</w:t>
      </w:r>
      <w:r w:rsidR="005E121F" w:rsidRPr="00353B3F">
        <w:rPr>
          <w:rFonts w:ascii="Verdana" w:hAnsi="Verdana"/>
          <w:sz w:val="20"/>
          <w:lang w:val="en-US"/>
        </w:rPr>
        <w:t xml:space="preserve"> </w:t>
      </w:r>
      <w:proofErr w:type="spellStart"/>
      <w:r w:rsidR="005E121F" w:rsidRPr="00353B3F">
        <w:rPr>
          <w:rFonts w:ascii="Verdana" w:hAnsi="Verdana"/>
          <w:sz w:val="20"/>
          <w:lang w:val="en-US"/>
        </w:rPr>
        <w:t>Moiwana</w:t>
      </w:r>
      <w:proofErr w:type="spellEnd"/>
      <w:r w:rsidRPr="00353B3F">
        <w:rPr>
          <w:rFonts w:ascii="Verdana" w:hAnsi="Verdana"/>
          <w:sz w:val="20"/>
          <w:lang w:val="en-US"/>
        </w:rPr>
        <w:t>.</w:t>
      </w:r>
      <w:r w:rsidR="005E121F" w:rsidRPr="00353B3F">
        <w:rPr>
          <w:rFonts w:ascii="Verdana" w:hAnsi="Verdana"/>
          <w:sz w:val="20"/>
          <w:lang w:val="en-US"/>
        </w:rPr>
        <w:t xml:space="preserve">” </w:t>
      </w:r>
      <w:r w:rsidR="00EC5ABD" w:rsidRPr="00353B3F">
        <w:rPr>
          <w:rFonts w:ascii="Verdana" w:hAnsi="Verdana"/>
          <w:sz w:val="20"/>
          <w:lang w:val="en-US"/>
        </w:rPr>
        <w:t>Paragraph</w:t>
      </w:r>
      <w:r w:rsidR="009C54AB" w:rsidRPr="00353B3F">
        <w:rPr>
          <w:rFonts w:ascii="Verdana" w:hAnsi="Verdana"/>
          <w:sz w:val="20"/>
          <w:lang w:val="en-US"/>
        </w:rPr>
        <w:t xml:space="preserve"> 212 </w:t>
      </w:r>
      <w:r w:rsidRPr="00353B3F">
        <w:rPr>
          <w:rFonts w:ascii="Verdana" w:hAnsi="Verdana"/>
          <w:sz w:val="20"/>
          <w:lang w:val="en-US"/>
        </w:rPr>
        <w:t>stipulates that</w:t>
      </w:r>
      <w:r w:rsidR="009C54AB" w:rsidRPr="00353B3F">
        <w:rPr>
          <w:rFonts w:ascii="Verdana" w:hAnsi="Verdana"/>
          <w:sz w:val="20"/>
          <w:lang w:val="en-US"/>
        </w:rPr>
        <w:t xml:space="preserve"> “[</w:t>
      </w:r>
      <w:r w:rsidR="00FD42C7" w:rsidRPr="00353B3F">
        <w:rPr>
          <w:rFonts w:ascii="Verdana" w:hAnsi="Verdana"/>
          <w:sz w:val="20"/>
          <w:lang w:val="en-US"/>
        </w:rPr>
        <w:t>t</w:t>
      </w:r>
      <w:r w:rsidR="009C54AB" w:rsidRPr="00353B3F">
        <w:rPr>
          <w:rFonts w:ascii="Verdana" w:hAnsi="Verdana"/>
          <w:sz w:val="20"/>
          <w:lang w:val="en-US"/>
        </w:rPr>
        <w:t>]</w:t>
      </w:r>
      <w:r w:rsidR="00FD42C7" w:rsidRPr="00353B3F">
        <w:rPr>
          <w:rFonts w:ascii="Verdana" w:hAnsi="Verdana"/>
          <w:sz w:val="20"/>
          <w:lang w:val="en-US"/>
        </w:rPr>
        <w:t xml:space="preserve">he Court is aware that </w:t>
      </w:r>
      <w:r w:rsidR="00FD42C7" w:rsidRPr="00353B3F">
        <w:rPr>
          <w:rFonts w:ascii="Verdana" w:eastAsiaTheme="minorHAnsi" w:hAnsi="Verdana" w:cs="TTE1091E40t00"/>
          <w:sz w:val="20"/>
          <w:lang w:val="en-US"/>
        </w:rPr>
        <w:t xml:space="preserve">the </w:t>
      </w:r>
      <w:proofErr w:type="spellStart"/>
      <w:r w:rsidR="00FD42C7" w:rsidRPr="00353B3F">
        <w:rPr>
          <w:rFonts w:ascii="Verdana" w:eastAsiaTheme="minorHAnsi" w:hAnsi="Verdana" w:cs="TTE1091E40t00"/>
          <w:sz w:val="20"/>
          <w:lang w:val="en-US"/>
        </w:rPr>
        <w:t>Moiwana</w:t>
      </w:r>
      <w:proofErr w:type="spellEnd"/>
      <w:r w:rsidR="00FD42C7" w:rsidRPr="00353B3F">
        <w:rPr>
          <w:rFonts w:ascii="Verdana" w:eastAsiaTheme="minorHAnsi" w:hAnsi="Verdana" w:cs="TTE1091E40t00"/>
          <w:sz w:val="20"/>
          <w:lang w:val="en-US"/>
        </w:rPr>
        <w:t xml:space="preserve"> community members do not wish to return to their traditional lands until: (1) the territory is purified according to cultural rituals, and (2) they no longer fear that further hostilities will be directed toward their community. Neither of these elements is possible without an effective investigation and judicial process, leading to the clarification of the facts and punishment of the responsible parties. As these processes are carried out and reach a conclusion, only the community members themselves can decide when exactly it would be appropriate to return to </w:t>
      </w:r>
      <w:r w:rsidR="00793F9B" w:rsidRPr="00353B3F">
        <w:rPr>
          <w:rFonts w:ascii="Verdana" w:eastAsiaTheme="minorHAnsi" w:hAnsi="Verdana" w:cs="TTE1091E40t00"/>
          <w:sz w:val="20"/>
          <w:lang w:val="en-US"/>
        </w:rPr>
        <w:t xml:space="preserve">the village of </w:t>
      </w:r>
      <w:proofErr w:type="spellStart"/>
      <w:r w:rsidR="00FD42C7" w:rsidRPr="00353B3F">
        <w:rPr>
          <w:rFonts w:ascii="Verdana" w:eastAsiaTheme="minorHAnsi" w:hAnsi="Verdana" w:cs="TTE1091E40t00"/>
          <w:sz w:val="20"/>
          <w:lang w:val="en-US"/>
        </w:rPr>
        <w:t>Moiwana</w:t>
      </w:r>
      <w:proofErr w:type="spellEnd"/>
      <w:r w:rsidR="00FD42C7" w:rsidRPr="00353B3F">
        <w:rPr>
          <w:rFonts w:ascii="Verdana" w:eastAsiaTheme="minorHAnsi" w:hAnsi="Verdana" w:cs="TTE1091E40t00"/>
          <w:sz w:val="20"/>
          <w:lang w:val="en-US"/>
        </w:rPr>
        <w:t xml:space="preserve">. When community members are satisfied that the necessary conditions have been reached to permit their return, the State </w:t>
      </w:r>
      <w:r w:rsidR="00793F9B" w:rsidRPr="00353B3F">
        <w:rPr>
          <w:rFonts w:ascii="Verdana" w:eastAsiaTheme="minorHAnsi" w:hAnsi="Verdana" w:cs="TTE1091E40t00"/>
          <w:sz w:val="20"/>
          <w:lang w:val="en-US"/>
        </w:rPr>
        <w:t>must</w:t>
      </w:r>
      <w:r w:rsidR="00FD42C7" w:rsidRPr="00353B3F">
        <w:rPr>
          <w:rFonts w:ascii="Verdana" w:eastAsiaTheme="minorHAnsi" w:hAnsi="Verdana" w:cs="TTE1091E40t00"/>
          <w:sz w:val="20"/>
          <w:lang w:val="en-US"/>
        </w:rPr>
        <w:t xml:space="preserve"> guarantee their safety. To that effect, upon the community members’ return to </w:t>
      </w:r>
      <w:r w:rsidR="00793F9B" w:rsidRPr="00353B3F">
        <w:rPr>
          <w:rFonts w:ascii="Verdana" w:eastAsiaTheme="minorHAnsi" w:hAnsi="Verdana" w:cs="TTE1091E40t00"/>
          <w:sz w:val="20"/>
          <w:lang w:val="en-US"/>
        </w:rPr>
        <w:t xml:space="preserve">the village of </w:t>
      </w:r>
      <w:proofErr w:type="spellStart"/>
      <w:r w:rsidR="00FD42C7" w:rsidRPr="00353B3F">
        <w:rPr>
          <w:rFonts w:ascii="Verdana" w:eastAsiaTheme="minorHAnsi" w:hAnsi="Verdana" w:cs="TTE1091E40t00"/>
          <w:sz w:val="20"/>
          <w:lang w:val="en-US"/>
        </w:rPr>
        <w:t>Moiwana</w:t>
      </w:r>
      <w:proofErr w:type="spellEnd"/>
      <w:r w:rsidR="00FD42C7" w:rsidRPr="00353B3F">
        <w:rPr>
          <w:rFonts w:ascii="Verdana" w:eastAsiaTheme="minorHAnsi" w:hAnsi="Verdana" w:cs="TTE1091E40t00"/>
          <w:sz w:val="20"/>
          <w:lang w:val="en-US"/>
        </w:rPr>
        <w:t xml:space="preserve">, the State shall send representatives to the village every month during the first year in order to consult with the </w:t>
      </w:r>
      <w:proofErr w:type="spellStart"/>
      <w:r w:rsidR="00FD42C7" w:rsidRPr="00353B3F">
        <w:rPr>
          <w:rFonts w:ascii="Verdana" w:eastAsiaTheme="minorHAnsi" w:hAnsi="Verdana" w:cs="TTE1091E40t00"/>
          <w:sz w:val="20"/>
          <w:lang w:val="en-US"/>
        </w:rPr>
        <w:t>Moiwana</w:t>
      </w:r>
      <w:proofErr w:type="spellEnd"/>
      <w:r w:rsidR="00FD42C7" w:rsidRPr="00353B3F">
        <w:rPr>
          <w:rFonts w:ascii="Verdana" w:eastAsiaTheme="minorHAnsi" w:hAnsi="Verdana" w:cs="TTE1091E40t00"/>
          <w:sz w:val="20"/>
          <w:lang w:val="en-US"/>
        </w:rPr>
        <w:t xml:space="preserve"> residents. If the community members express concern regarding their safety during those monthly meetings, the State must take appropriate measures to guarantee their security, which shall be designed in strict consultation with </w:t>
      </w:r>
      <w:r w:rsidR="00793F9B" w:rsidRPr="00353B3F">
        <w:rPr>
          <w:rFonts w:ascii="Verdana" w:eastAsiaTheme="minorHAnsi" w:hAnsi="Verdana" w:cs="TTE1091E40t00"/>
          <w:sz w:val="20"/>
          <w:lang w:val="en-US"/>
        </w:rPr>
        <w:t xml:space="preserve">the </w:t>
      </w:r>
      <w:r w:rsidR="00FD42C7" w:rsidRPr="00353B3F">
        <w:rPr>
          <w:rFonts w:ascii="Verdana" w:eastAsiaTheme="minorHAnsi" w:hAnsi="Verdana" w:cs="TTE1091E40t00"/>
          <w:sz w:val="20"/>
          <w:lang w:val="en-US"/>
        </w:rPr>
        <w:t>said community</w:t>
      </w:r>
      <w:r w:rsidR="00FD42C7" w:rsidRPr="00353B3F">
        <w:rPr>
          <w:rFonts w:ascii="Verdana" w:hAnsi="Verdana"/>
          <w:sz w:val="20"/>
          <w:lang w:val="en-US"/>
        </w:rPr>
        <w:t>.”</w:t>
      </w:r>
    </w:p>
    <w:bookmarkEnd w:id="22"/>
    <w:p w14:paraId="5D73E074" w14:textId="77777777" w:rsidR="009C54AB" w:rsidRPr="00353B3F" w:rsidRDefault="009C54AB" w:rsidP="00451748">
      <w:pPr>
        <w:pStyle w:val="ListParagraph"/>
        <w:ind w:left="0"/>
        <w:jc w:val="both"/>
        <w:rPr>
          <w:rFonts w:ascii="Verdana" w:hAnsi="Verdana"/>
          <w:sz w:val="20"/>
          <w:lang w:val="en-US"/>
        </w:rPr>
      </w:pPr>
    </w:p>
    <w:p w14:paraId="4176AE43" w14:textId="002C5F8A" w:rsidR="009C54AB" w:rsidRPr="00E23450" w:rsidRDefault="00FD42C7" w:rsidP="00451748">
      <w:pPr>
        <w:pStyle w:val="ListParagraph"/>
        <w:numPr>
          <w:ilvl w:val="0"/>
          <w:numId w:val="5"/>
        </w:numPr>
        <w:ind w:left="0" w:firstLine="0"/>
        <w:jc w:val="both"/>
        <w:rPr>
          <w:rFonts w:ascii="Verdana" w:hAnsi="Verdana"/>
          <w:sz w:val="20"/>
          <w:lang w:val="en-US"/>
        </w:rPr>
      </w:pPr>
      <w:bookmarkStart w:id="23" w:name="_Ref532292559"/>
      <w:r w:rsidRPr="00E23450">
        <w:rPr>
          <w:rFonts w:ascii="Verdana" w:hAnsi="Verdana"/>
          <w:sz w:val="20"/>
          <w:lang w:val="en-US"/>
        </w:rPr>
        <w:t xml:space="preserve">In the 2010 order, the Court </w:t>
      </w:r>
      <w:r w:rsidR="009C54AB" w:rsidRPr="00E23450">
        <w:rPr>
          <w:rFonts w:ascii="Verdana" w:hAnsi="Verdana"/>
          <w:sz w:val="20"/>
          <w:lang w:val="en-US"/>
        </w:rPr>
        <w:t>“</w:t>
      </w:r>
      <w:r w:rsidR="00E23450" w:rsidRPr="00E23450">
        <w:rPr>
          <w:rFonts w:ascii="Verdana" w:hAnsi="Verdana"/>
          <w:sz w:val="20"/>
          <w:lang w:val="en-US"/>
        </w:rPr>
        <w:t xml:space="preserve">acknowledges the relationship that exists between the different orders of the Judgment and, in particular, the connection between the State’s failure to investigate […] and its lack of compliance with the obligation to guarantee the victims a safe return to </w:t>
      </w:r>
      <w:proofErr w:type="spellStart"/>
      <w:r w:rsidR="00E23450" w:rsidRPr="00E23450">
        <w:rPr>
          <w:rFonts w:ascii="Verdana" w:hAnsi="Verdana"/>
          <w:sz w:val="20"/>
          <w:lang w:val="en-US"/>
        </w:rPr>
        <w:t>Moiwana</w:t>
      </w:r>
      <w:proofErr w:type="spellEnd"/>
      <w:r w:rsidR="00E23450" w:rsidRPr="00E23450">
        <w:rPr>
          <w:rFonts w:ascii="Verdana" w:hAnsi="Verdana"/>
          <w:sz w:val="20"/>
          <w:lang w:val="en-US"/>
        </w:rPr>
        <w:t xml:space="preserve"> Village. The Court finds […</w:t>
      </w:r>
      <w:proofErr w:type="gramStart"/>
      <w:r w:rsidR="00E23450" w:rsidRPr="00E23450">
        <w:rPr>
          <w:rFonts w:ascii="Verdana" w:hAnsi="Verdana"/>
          <w:sz w:val="20"/>
          <w:lang w:val="en-US"/>
        </w:rPr>
        <w:t>]that</w:t>
      </w:r>
      <w:proofErr w:type="gramEnd"/>
      <w:r w:rsidR="00E23450" w:rsidRPr="00E23450">
        <w:rPr>
          <w:rFonts w:ascii="Verdana" w:hAnsi="Verdana"/>
          <w:sz w:val="20"/>
          <w:lang w:val="en-US"/>
        </w:rPr>
        <w:t xml:space="preserve"> it is not clear whether the construction or renovation of police stations in the vicinity of </w:t>
      </w:r>
      <w:proofErr w:type="spellStart"/>
      <w:r w:rsidR="00E23450" w:rsidRPr="00E23450">
        <w:rPr>
          <w:rFonts w:ascii="Verdana" w:hAnsi="Verdana"/>
          <w:sz w:val="20"/>
          <w:lang w:val="en-US"/>
        </w:rPr>
        <w:t>Moiwana</w:t>
      </w:r>
      <w:proofErr w:type="spellEnd"/>
      <w:r w:rsidR="00E23450" w:rsidRPr="00E23450">
        <w:rPr>
          <w:rFonts w:ascii="Verdana" w:hAnsi="Verdana"/>
          <w:sz w:val="20"/>
          <w:lang w:val="en-US"/>
        </w:rPr>
        <w:t xml:space="preserve">, as informed by the State, constitute effective measures toward compliance with this obligation. The State has not indicated whether it has adopted or plans to adopt other measures in order to guarantee the Community members of </w:t>
      </w:r>
      <w:proofErr w:type="spellStart"/>
      <w:r w:rsidR="00E23450" w:rsidRPr="00E23450">
        <w:rPr>
          <w:rFonts w:ascii="Verdana" w:hAnsi="Verdana"/>
          <w:sz w:val="20"/>
          <w:lang w:val="en-US"/>
        </w:rPr>
        <w:t>Moiwana</w:t>
      </w:r>
      <w:proofErr w:type="spellEnd"/>
      <w:r w:rsidR="00E23450" w:rsidRPr="00E23450">
        <w:rPr>
          <w:rFonts w:ascii="Verdana" w:hAnsi="Verdana"/>
          <w:sz w:val="20"/>
          <w:lang w:val="en-US"/>
        </w:rPr>
        <w:t xml:space="preserve"> Village a safe return. Therefore, the Court finds it necessary to require additional information from the parties on the number of members of the </w:t>
      </w:r>
      <w:proofErr w:type="spellStart"/>
      <w:r w:rsidR="00E23450" w:rsidRPr="00E23450">
        <w:rPr>
          <w:rFonts w:ascii="Verdana" w:hAnsi="Verdana"/>
          <w:sz w:val="20"/>
          <w:lang w:val="en-US"/>
        </w:rPr>
        <w:t>Moiwana</w:t>
      </w:r>
      <w:proofErr w:type="spellEnd"/>
      <w:r w:rsidR="00E23450" w:rsidRPr="00E23450">
        <w:rPr>
          <w:rFonts w:ascii="Verdana" w:hAnsi="Verdana"/>
          <w:sz w:val="20"/>
          <w:lang w:val="en-US"/>
        </w:rPr>
        <w:t xml:space="preserve"> Community that wish to return to </w:t>
      </w:r>
      <w:proofErr w:type="spellStart"/>
      <w:r w:rsidR="00E23450" w:rsidRPr="00E23450">
        <w:rPr>
          <w:rFonts w:ascii="Verdana" w:hAnsi="Verdana"/>
          <w:sz w:val="20"/>
          <w:lang w:val="en-US"/>
        </w:rPr>
        <w:t>Moiwana</w:t>
      </w:r>
      <w:proofErr w:type="spellEnd"/>
      <w:r w:rsidR="00E23450" w:rsidRPr="00E23450">
        <w:rPr>
          <w:rFonts w:ascii="Verdana" w:hAnsi="Verdana"/>
          <w:sz w:val="20"/>
          <w:lang w:val="en-US"/>
        </w:rPr>
        <w:t xml:space="preserve"> Village and on the measures, other than the renovation of police departments, that the State is implementing in order to ensure their safety. The Court stresses that the security of the members of the </w:t>
      </w:r>
      <w:proofErr w:type="spellStart"/>
      <w:r w:rsidR="00E23450" w:rsidRPr="00E23450">
        <w:rPr>
          <w:rFonts w:ascii="Verdana" w:hAnsi="Verdana"/>
          <w:sz w:val="20"/>
          <w:lang w:val="en-US"/>
        </w:rPr>
        <w:t>Moiwana</w:t>
      </w:r>
      <w:proofErr w:type="spellEnd"/>
      <w:r w:rsidR="00E23450" w:rsidRPr="00E23450">
        <w:rPr>
          <w:rFonts w:ascii="Verdana" w:hAnsi="Verdana"/>
          <w:sz w:val="20"/>
          <w:lang w:val="en-US"/>
        </w:rPr>
        <w:t xml:space="preserve"> Community depends, in large part, on the State’s commitment to carrying out serious investigations that bring the facts of the case to light and lead to the sanction of all those responsible”.</w:t>
      </w:r>
      <w:bookmarkEnd w:id="23"/>
      <w:r w:rsidR="00A962DB" w:rsidRPr="00E23450">
        <w:rPr>
          <w:rFonts w:ascii="Verdana" w:hAnsi="Verdana"/>
          <w:sz w:val="20"/>
          <w:lang w:val="en-US"/>
        </w:rPr>
        <w:t xml:space="preserve"> </w:t>
      </w:r>
    </w:p>
    <w:p w14:paraId="42784F7E" w14:textId="77777777" w:rsidR="00FD42C7" w:rsidRPr="00E23450" w:rsidRDefault="00FD42C7" w:rsidP="005937E0">
      <w:pPr>
        <w:ind w:firstLine="708"/>
        <w:rPr>
          <w:rFonts w:ascii="Verdana" w:hAnsi="Verdana"/>
          <w:i/>
          <w:sz w:val="20"/>
          <w:lang w:val="en-US"/>
        </w:rPr>
      </w:pPr>
    </w:p>
    <w:p w14:paraId="2F7F4145" w14:textId="71C8E14E" w:rsidR="0020114D" w:rsidRPr="00353B3F" w:rsidRDefault="0020114D" w:rsidP="005937E0">
      <w:pPr>
        <w:ind w:firstLine="708"/>
        <w:rPr>
          <w:rFonts w:ascii="Verdana" w:hAnsi="Verdana"/>
          <w:i/>
          <w:sz w:val="20"/>
          <w:lang w:val="en-US"/>
        </w:rPr>
      </w:pPr>
      <w:r w:rsidRPr="00353B3F">
        <w:rPr>
          <w:rFonts w:ascii="Verdana" w:hAnsi="Verdana"/>
          <w:i/>
          <w:sz w:val="20"/>
          <w:lang w:val="en-US"/>
        </w:rPr>
        <w:t xml:space="preserve">D.2. </w:t>
      </w:r>
      <w:r w:rsidR="00286935" w:rsidRPr="00353B3F">
        <w:rPr>
          <w:rFonts w:ascii="Verdana" w:hAnsi="Verdana"/>
          <w:i/>
          <w:sz w:val="20"/>
          <w:lang w:val="en-US"/>
        </w:rPr>
        <w:t>Considerations of the Court</w:t>
      </w:r>
      <w:r w:rsidRPr="00353B3F">
        <w:rPr>
          <w:rFonts w:ascii="Verdana" w:hAnsi="Verdana"/>
          <w:i/>
          <w:sz w:val="20"/>
          <w:lang w:val="en-US"/>
        </w:rPr>
        <w:t xml:space="preserve"> </w:t>
      </w:r>
    </w:p>
    <w:p w14:paraId="3FF7D0FB" w14:textId="77777777" w:rsidR="004B4E2B" w:rsidRPr="00353B3F" w:rsidRDefault="004B4E2B" w:rsidP="0020114D">
      <w:pPr>
        <w:rPr>
          <w:rFonts w:ascii="Verdana" w:hAnsi="Verdana"/>
          <w:i/>
          <w:sz w:val="20"/>
          <w:lang w:val="en-US"/>
        </w:rPr>
      </w:pPr>
    </w:p>
    <w:p w14:paraId="2118F528" w14:textId="3235192F" w:rsidR="00D362CA" w:rsidRPr="0077458F" w:rsidRDefault="0082474C" w:rsidP="0077458F">
      <w:pPr>
        <w:pStyle w:val="ListParagraph"/>
        <w:numPr>
          <w:ilvl w:val="0"/>
          <w:numId w:val="5"/>
        </w:numPr>
        <w:autoSpaceDE w:val="0"/>
        <w:autoSpaceDN w:val="0"/>
        <w:adjustRightInd w:val="0"/>
        <w:ind w:left="0" w:firstLine="0"/>
        <w:jc w:val="both"/>
        <w:rPr>
          <w:rFonts w:ascii="Verdana" w:eastAsiaTheme="minorHAnsi" w:hAnsi="Verdana"/>
          <w:color w:val="171819"/>
          <w:sz w:val="20"/>
          <w:lang w:val="en-US"/>
        </w:rPr>
      </w:pPr>
      <w:r w:rsidRPr="0077458F">
        <w:rPr>
          <w:rFonts w:ascii="Verdana" w:hAnsi="Verdana"/>
          <w:sz w:val="20"/>
          <w:lang w:val="en-US"/>
        </w:rPr>
        <w:t>Dur</w:t>
      </w:r>
      <w:r w:rsidR="004C2683" w:rsidRPr="0077458F">
        <w:rPr>
          <w:rFonts w:ascii="Verdana" w:hAnsi="Verdana"/>
          <w:sz w:val="20"/>
          <w:lang w:val="en-US"/>
        </w:rPr>
        <w:t>ing</w:t>
      </w:r>
      <w:r w:rsidRPr="0077458F">
        <w:rPr>
          <w:rFonts w:ascii="Verdana" w:hAnsi="Verdana"/>
          <w:sz w:val="20"/>
          <w:lang w:val="en-US"/>
        </w:rPr>
        <w:t xml:space="preserve"> </w:t>
      </w:r>
      <w:r w:rsidR="004C2683" w:rsidRPr="0077458F">
        <w:rPr>
          <w:rFonts w:ascii="Verdana" w:hAnsi="Verdana"/>
          <w:sz w:val="20"/>
          <w:lang w:val="en-US"/>
        </w:rPr>
        <w:t xml:space="preserve">the 2012 hearing, </w:t>
      </w:r>
      <w:r w:rsidR="00484EB4" w:rsidRPr="0077458F">
        <w:rPr>
          <w:rFonts w:ascii="Verdana" w:hAnsi="Verdana"/>
          <w:sz w:val="20"/>
          <w:lang w:val="en-US"/>
        </w:rPr>
        <w:t>the State</w:t>
      </w:r>
      <w:r w:rsidRPr="0077458F">
        <w:rPr>
          <w:rFonts w:ascii="Verdana" w:hAnsi="Verdana"/>
          <w:sz w:val="20"/>
          <w:lang w:val="en-US"/>
        </w:rPr>
        <w:t xml:space="preserve"> present</w:t>
      </w:r>
      <w:r w:rsidR="004C2683" w:rsidRPr="0077458F">
        <w:rPr>
          <w:rFonts w:ascii="Verdana" w:hAnsi="Verdana"/>
          <w:sz w:val="20"/>
          <w:lang w:val="en-US"/>
        </w:rPr>
        <w:t>ed a copy of a note signed by the Suriname</w:t>
      </w:r>
      <w:r w:rsidR="00793F9B" w:rsidRPr="0077458F">
        <w:rPr>
          <w:rFonts w:ascii="Verdana" w:hAnsi="Verdana"/>
          <w:sz w:val="20"/>
          <w:lang w:val="en-US"/>
        </w:rPr>
        <w:t>se</w:t>
      </w:r>
      <w:r w:rsidR="004C2683" w:rsidRPr="0077458F">
        <w:rPr>
          <w:rFonts w:ascii="Verdana" w:hAnsi="Verdana"/>
          <w:sz w:val="20"/>
          <w:lang w:val="en-US"/>
        </w:rPr>
        <w:t xml:space="preserve"> </w:t>
      </w:r>
      <w:r w:rsidR="00793F9B" w:rsidRPr="0077458F">
        <w:rPr>
          <w:rFonts w:ascii="Verdana" w:hAnsi="Verdana"/>
          <w:sz w:val="20"/>
          <w:lang w:val="en-US"/>
        </w:rPr>
        <w:t>H</w:t>
      </w:r>
      <w:r w:rsidR="004C2683" w:rsidRPr="0077458F">
        <w:rPr>
          <w:rFonts w:ascii="Verdana" w:hAnsi="Verdana"/>
          <w:sz w:val="20"/>
          <w:lang w:val="en-US"/>
        </w:rPr>
        <w:t xml:space="preserve">ead of </w:t>
      </w:r>
      <w:r w:rsidR="00793F9B" w:rsidRPr="0077458F">
        <w:rPr>
          <w:rFonts w:ascii="Verdana" w:hAnsi="Verdana"/>
          <w:sz w:val="20"/>
          <w:lang w:val="en-US"/>
        </w:rPr>
        <w:t>P</w:t>
      </w:r>
      <w:r w:rsidR="004C2683" w:rsidRPr="0077458F">
        <w:rPr>
          <w:rFonts w:ascii="Verdana" w:hAnsi="Verdana"/>
          <w:sz w:val="20"/>
          <w:lang w:val="en-US"/>
        </w:rPr>
        <w:t>olice and addressed to the Minist</w:t>
      </w:r>
      <w:r w:rsidR="00793F9B" w:rsidRPr="0077458F">
        <w:rPr>
          <w:rFonts w:ascii="Verdana" w:hAnsi="Verdana"/>
          <w:sz w:val="20"/>
          <w:lang w:val="en-US"/>
        </w:rPr>
        <w:t>ry</w:t>
      </w:r>
      <w:r w:rsidR="004C2683" w:rsidRPr="0077458F">
        <w:rPr>
          <w:rFonts w:ascii="Verdana" w:hAnsi="Verdana"/>
          <w:sz w:val="20"/>
          <w:lang w:val="en-US"/>
        </w:rPr>
        <w:t xml:space="preserve"> of Justice and Police of Suriname in which </w:t>
      </w:r>
      <w:r w:rsidR="00793F9B" w:rsidRPr="0077458F">
        <w:rPr>
          <w:rFonts w:ascii="Verdana" w:hAnsi="Verdana"/>
          <w:sz w:val="20"/>
          <w:lang w:val="en-US"/>
        </w:rPr>
        <w:t>he</w:t>
      </w:r>
      <w:r w:rsidR="004C2683" w:rsidRPr="0077458F">
        <w:rPr>
          <w:rFonts w:ascii="Verdana" w:hAnsi="Verdana"/>
          <w:sz w:val="20"/>
          <w:lang w:val="en-US"/>
        </w:rPr>
        <w:t xml:space="preserve"> indicated that, based on oral information provided to the police of the district of </w:t>
      </w:r>
      <w:proofErr w:type="spellStart"/>
      <w:r w:rsidR="004C2683" w:rsidRPr="0077458F">
        <w:rPr>
          <w:rFonts w:ascii="Verdana" w:hAnsi="Verdana"/>
          <w:sz w:val="20"/>
          <w:lang w:val="en-US"/>
        </w:rPr>
        <w:t>Marowijne</w:t>
      </w:r>
      <w:proofErr w:type="spellEnd"/>
      <w:r w:rsidR="004C2683" w:rsidRPr="0077458F">
        <w:rPr>
          <w:rFonts w:ascii="Verdana" w:hAnsi="Verdana"/>
          <w:sz w:val="20"/>
          <w:lang w:val="en-US"/>
        </w:rPr>
        <w:t>, the local police had not received any reports of possible illegal acts in the area.</w:t>
      </w:r>
      <w:r w:rsidRPr="0077458F">
        <w:rPr>
          <w:rStyle w:val="FootnoteReference"/>
          <w:rFonts w:ascii="Verdana" w:hAnsi="Verdana"/>
          <w:sz w:val="20"/>
          <w:lang w:val="en-US"/>
        </w:rPr>
        <w:footnoteReference w:id="43"/>
      </w:r>
      <w:r w:rsidRPr="0077458F">
        <w:rPr>
          <w:rFonts w:ascii="Verdana" w:hAnsi="Verdana"/>
          <w:sz w:val="20"/>
          <w:lang w:val="en-US"/>
        </w:rPr>
        <w:t xml:space="preserve"> </w:t>
      </w:r>
      <w:r w:rsidR="004C2683" w:rsidRPr="0077458F">
        <w:rPr>
          <w:rFonts w:ascii="Verdana" w:hAnsi="Verdana"/>
          <w:sz w:val="20"/>
          <w:lang w:val="en-US"/>
        </w:rPr>
        <w:t xml:space="preserve">In its report of April 2015, the State indicated that </w:t>
      </w:r>
      <w:r w:rsidR="0077458F" w:rsidRPr="0077458F">
        <w:rPr>
          <w:rFonts w:ascii="Verdana" w:hAnsi="Verdana"/>
          <w:sz w:val="20"/>
          <w:lang w:val="en-US"/>
        </w:rPr>
        <w:t xml:space="preserve">“[i]n the most adjacent settlements, including Mung and Albina, police stations have already been constructed. </w:t>
      </w:r>
      <w:r w:rsidR="0077458F" w:rsidRPr="0077458F">
        <w:rPr>
          <w:rFonts w:ascii="Verdana" w:eastAsiaTheme="minorHAnsi" w:hAnsi="Verdana"/>
          <w:color w:val="171819"/>
          <w:sz w:val="20"/>
          <w:lang w:val="en-US"/>
        </w:rPr>
        <w:t xml:space="preserve">The station in Mungo was renovated and currently new </w:t>
      </w:r>
      <w:r w:rsidR="0077458F" w:rsidRPr="0077458F">
        <w:rPr>
          <w:rFonts w:ascii="Verdana" w:eastAsiaTheme="minorHAnsi" w:hAnsi="Verdana"/>
          <w:color w:val="171819"/>
          <w:sz w:val="20"/>
          <w:lang w:val="en-US"/>
        </w:rPr>
        <w:lastRenderedPageBreak/>
        <w:t xml:space="preserve">accommodation is being built for the officers. Since 2005 </w:t>
      </w:r>
      <w:proofErr w:type="spellStart"/>
      <w:r w:rsidR="0077458F" w:rsidRPr="0077458F">
        <w:rPr>
          <w:rFonts w:ascii="Verdana" w:eastAsiaTheme="minorHAnsi" w:hAnsi="Verdana"/>
          <w:color w:val="171819"/>
          <w:sz w:val="20"/>
          <w:lang w:val="en-US"/>
        </w:rPr>
        <w:t>neighbour</w:t>
      </w:r>
      <w:proofErr w:type="spellEnd"/>
      <w:r w:rsidR="0077458F" w:rsidRPr="0077458F">
        <w:rPr>
          <w:rFonts w:ascii="Verdana" w:eastAsiaTheme="minorHAnsi" w:hAnsi="Verdana"/>
          <w:color w:val="171819"/>
          <w:sz w:val="20"/>
          <w:lang w:val="en-US"/>
        </w:rPr>
        <w:t xml:space="preserve"> police was appointed for all </w:t>
      </w:r>
      <w:proofErr w:type="spellStart"/>
      <w:r w:rsidR="0077458F" w:rsidRPr="0077458F">
        <w:rPr>
          <w:rFonts w:ascii="Verdana" w:eastAsiaTheme="minorHAnsi" w:hAnsi="Verdana"/>
          <w:color w:val="171819"/>
          <w:sz w:val="20"/>
          <w:lang w:val="en-US"/>
        </w:rPr>
        <w:t>neighbourhoods</w:t>
      </w:r>
      <w:proofErr w:type="spellEnd"/>
      <w:r w:rsidR="0077458F" w:rsidRPr="0077458F">
        <w:rPr>
          <w:rFonts w:ascii="Verdana" w:eastAsiaTheme="minorHAnsi" w:hAnsi="Verdana"/>
          <w:color w:val="171819"/>
          <w:sz w:val="20"/>
          <w:lang w:val="en-US"/>
        </w:rPr>
        <w:t xml:space="preserve">. These officers have the task of maintaining order and safety within specific </w:t>
      </w:r>
      <w:proofErr w:type="spellStart"/>
      <w:r w:rsidR="0077458F" w:rsidRPr="0077458F">
        <w:rPr>
          <w:rFonts w:ascii="Verdana" w:eastAsiaTheme="minorHAnsi" w:hAnsi="Verdana"/>
          <w:color w:val="171819"/>
          <w:sz w:val="20"/>
          <w:lang w:val="en-US"/>
        </w:rPr>
        <w:t>neighbourhoods</w:t>
      </w:r>
      <w:proofErr w:type="spellEnd"/>
      <w:r w:rsidR="0077458F" w:rsidRPr="0077458F">
        <w:rPr>
          <w:rFonts w:ascii="Verdana" w:eastAsiaTheme="minorHAnsi" w:hAnsi="Verdana"/>
          <w:color w:val="3A3C3D"/>
          <w:sz w:val="20"/>
          <w:lang w:val="en-US"/>
        </w:rPr>
        <w:t xml:space="preserve">. </w:t>
      </w:r>
      <w:r w:rsidR="0077458F" w:rsidRPr="0077458F">
        <w:rPr>
          <w:rFonts w:ascii="Verdana" w:eastAsiaTheme="minorHAnsi" w:hAnsi="Verdana"/>
          <w:color w:val="171819"/>
          <w:sz w:val="20"/>
          <w:lang w:val="en-US"/>
        </w:rPr>
        <w:t xml:space="preserve">When people are ready to return to </w:t>
      </w:r>
      <w:proofErr w:type="spellStart"/>
      <w:r w:rsidR="0077458F" w:rsidRPr="0077458F">
        <w:rPr>
          <w:rFonts w:ascii="Verdana" w:eastAsiaTheme="minorHAnsi" w:hAnsi="Verdana"/>
          <w:color w:val="171819"/>
          <w:sz w:val="20"/>
          <w:lang w:val="en-US"/>
        </w:rPr>
        <w:t>Moiwana</w:t>
      </w:r>
      <w:proofErr w:type="spellEnd"/>
      <w:r w:rsidR="0077458F" w:rsidRPr="0077458F">
        <w:rPr>
          <w:rFonts w:ascii="Verdana" w:eastAsiaTheme="minorHAnsi" w:hAnsi="Verdana"/>
          <w:color w:val="3A3C3D"/>
          <w:sz w:val="20"/>
          <w:lang w:val="en-US"/>
        </w:rPr>
        <w:t xml:space="preserve">, </w:t>
      </w:r>
      <w:r w:rsidR="0077458F" w:rsidRPr="0077458F">
        <w:rPr>
          <w:rFonts w:ascii="Verdana" w:eastAsiaTheme="minorHAnsi" w:hAnsi="Verdana"/>
          <w:color w:val="171819"/>
          <w:sz w:val="20"/>
          <w:lang w:val="en-US"/>
        </w:rPr>
        <w:t xml:space="preserve">a </w:t>
      </w:r>
      <w:proofErr w:type="spellStart"/>
      <w:r w:rsidR="0077458F" w:rsidRPr="0077458F">
        <w:rPr>
          <w:rFonts w:ascii="Verdana" w:eastAsiaTheme="minorHAnsi" w:hAnsi="Verdana"/>
          <w:color w:val="171819"/>
          <w:sz w:val="20"/>
          <w:lang w:val="en-US"/>
        </w:rPr>
        <w:t>neighbour</w:t>
      </w:r>
      <w:proofErr w:type="spellEnd"/>
      <w:r w:rsidR="0077458F" w:rsidRPr="0077458F">
        <w:rPr>
          <w:rFonts w:ascii="Verdana" w:eastAsiaTheme="minorHAnsi" w:hAnsi="Verdana"/>
          <w:color w:val="171819"/>
          <w:sz w:val="20"/>
          <w:lang w:val="en-US"/>
        </w:rPr>
        <w:t xml:space="preserve"> police will also be installed for this village. At the meeting of 10 August 2012 the representative of the </w:t>
      </w:r>
      <w:proofErr w:type="spellStart"/>
      <w:r w:rsidR="0077458F" w:rsidRPr="0077458F">
        <w:rPr>
          <w:rFonts w:ascii="Verdana" w:eastAsiaTheme="minorHAnsi" w:hAnsi="Verdana"/>
          <w:color w:val="171819"/>
          <w:sz w:val="20"/>
          <w:lang w:val="en-US"/>
        </w:rPr>
        <w:t>Moiwana</w:t>
      </w:r>
      <w:proofErr w:type="spellEnd"/>
      <w:r w:rsidR="0077458F" w:rsidRPr="0077458F">
        <w:rPr>
          <w:rFonts w:ascii="Verdana" w:eastAsiaTheme="minorHAnsi" w:hAnsi="Verdana"/>
          <w:color w:val="171819"/>
          <w:sz w:val="20"/>
          <w:lang w:val="en-US"/>
        </w:rPr>
        <w:t xml:space="preserve"> community indicated that they almost have no need for this anymore, as they do not find the area to be unsafe”.</w:t>
      </w:r>
      <w:r w:rsidR="00B82C04" w:rsidRPr="0077458F">
        <w:rPr>
          <w:rFonts w:ascii="Verdana" w:hAnsi="Verdana"/>
          <w:b/>
          <w:sz w:val="20"/>
          <w:lang w:val="en-US"/>
        </w:rPr>
        <w:t xml:space="preserve"> </w:t>
      </w:r>
      <w:r w:rsidR="00484EB4" w:rsidRPr="0077458F">
        <w:rPr>
          <w:rFonts w:ascii="Verdana" w:hAnsi="Verdana"/>
          <w:sz w:val="20"/>
          <w:lang w:val="en-US"/>
        </w:rPr>
        <w:t>The State</w:t>
      </w:r>
      <w:r w:rsidR="00A962DB" w:rsidRPr="0077458F">
        <w:rPr>
          <w:rFonts w:ascii="Verdana" w:hAnsi="Verdana"/>
          <w:sz w:val="20"/>
          <w:lang w:val="en-US"/>
        </w:rPr>
        <w:t xml:space="preserve"> </w:t>
      </w:r>
      <w:r w:rsidR="004C2683" w:rsidRPr="0077458F">
        <w:rPr>
          <w:rFonts w:ascii="Verdana" w:hAnsi="Verdana"/>
          <w:sz w:val="20"/>
          <w:lang w:val="en-US"/>
        </w:rPr>
        <w:t xml:space="preserve">presented no evidence to support this assertion. </w:t>
      </w:r>
    </w:p>
    <w:p w14:paraId="5581B1BB" w14:textId="77777777" w:rsidR="009C54AB" w:rsidRPr="00353B3F" w:rsidRDefault="009C54AB" w:rsidP="00451748">
      <w:pPr>
        <w:pStyle w:val="ListParagraph"/>
        <w:tabs>
          <w:tab w:val="left" w:pos="90"/>
        </w:tabs>
        <w:ind w:left="0"/>
        <w:jc w:val="both"/>
        <w:rPr>
          <w:rFonts w:ascii="Verdana" w:hAnsi="Verdana"/>
          <w:sz w:val="20"/>
          <w:lang w:val="en-US"/>
        </w:rPr>
      </w:pPr>
    </w:p>
    <w:p w14:paraId="6B8C4798" w14:textId="177F0043" w:rsidR="004B4E2B" w:rsidRPr="0077458F" w:rsidRDefault="00484EB4" w:rsidP="00451748">
      <w:pPr>
        <w:pStyle w:val="ListParagraph"/>
        <w:numPr>
          <w:ilvl w:val="0"/>
          <w:numId w:val="5"/>
        </w:numPr>
        <w:tabs>
          <w:tab w:val="left" w:pos="0"/>
        </w:tabs>
        <w:ind w:left="0" w:firstLine="0"/>
        <w:jc w:val="both"/>
        <w:rPr>
          <w:rFonts w:ascii="Verdana" w:hAnsi="Verdana"/>
          <w:sz w:val="20"/>
          <w:lang w:val="en-US"/>
        </w:rPr>
      </w:pPr>
      <w:r w:rsidRPr="00353B3F">
        <w:rPr>
          <w:rFonts w:ascii="Verdana" w:hAnsi="Verdana"/>
          <w:sz w:val="20"/>
          <w:lang w:val="en-US"/>
        </w:rPr>
        <w:t>The Commission</w:t>
      </w:r>
      <w:r w:rsidR="00B82C04" w:rsidRPr="00353B3F">
        <w:rPr>
          <w:rFonts w:ascii="Verdana" w:hAnsi="Verdana"/>
          <w:sz w:val="20"/>
          <w:lang w:val="en-US"/>
        </w:rPr>
        <w:t xml:space="preserve"> </w:t>
      </w:r>
      <w:r w:rsidR="004C2683" w:rsidRPr="00353B3F">
        <w:rPr>
          <w:rFonts w:ascii="Verdana" w:hAnsi="Verdana"/>
          <w:sz w:val="20"/>
          <w:lang w:val="en-US"/>
        </w:rPr>
        <w:t xml:space="preserve">did not submit any observations on this point because it considered </w:t>
      </w:r>
      <w:r w:rsidR="00B82C04" w:rsidRPr="00353B3F">
        <w:rPr>
          <w:rFonts w:ascii="Verdana" w:hAnsi="Verdana"/>
          <w:sz w:val="20"/>
          <w:lang w:val="en-US"/>
        </w:rPr>
        <w:t>“</w:t>
      </w:r>
      <w:r w:rsidR="0077458F">
        <w:rPr>
          <w:rFonts w:ascii="Verdana" w:hAnsi="Verdana"/>
          <w:sz w:val="20"/>
          <w:lang w:val="en-US"/>
        </w:rPr>
        <w:t>the need to receive the representatives’ observations”.</w:t>
      </w:r>
      <w:r w:rsidR="00B82C04" w:rsidRPr="00353B3F">
        <w:rPr>
          <w:rFonts w:ascii="Verdana" w:hAnsi="Verdana"/>
          <w:sz w:val="20"/>
          <w:lang w:val="en-US"/>
        </w:rPr>
        <w:t xml:space="preserve"> </w:t>
      </w:r>
      <w:r w:rsidR="00B00DF6" w:rsidRPr="0077458F">
        <w:rPr>
          <w:rFonts w:ascii="Verdana" w:hAnsi="Verdana"/>
          <w:sz w:val="20"/>
          <w:lang w:val="en-US"/>
        </w:rPr>
        <w:t>The representatives</w:t>
      </w:r>
      <w:r w:rsidR="0061138F" w:rsidRPr="0077458F">
        <w:rPr>
          <w:rFonts w:ascii="Verdana" w:hAnsi="Verdana"/>
          <w:sz w:val="20"/>
          <w:lang w:val="en-US"/>
        </w:rPr>
        <w:t xml:space="preserve"> </w:t>
      </w:r>
      <w:r w:rsidR="004C2683" w:rsidRPr="0077458F">
        <w:rPr>
          <w:rFonts w:ascii="Verdana" w:hAnsi="Verdana"/>
          <w:sz w:val="20"/>
          <w:lang w:val="en-US"/>
        </w:rPr>
        <w:t>noted that</w:t>
      </w:r>
      <w:r w:rsidR="0061138F" w:rsidRPr="0077458F">
        <w:rPr>
          <w:rFonts w:ascii="Verdana" w:hAnsi="Verdana"/>
          <w:sz w:val="20"/>
          <w:lang w:val="en-US"/>
        </w:rPr>
        <w:t xml:space="preserve"> “</w:t>
      </w:r>
      <w:r w:rsidR="0077458F" w:rsidRPr="0077458F">
        <w:rPr>
          <w:rFonts w:ascii="Verdana" w:hAnsi="Verdana"/>
          <w:sz w:val="20"/>
          <w:lang w:val="en-US"/>
        </w:rPr>
        <w:t xml:space="preserve">[t]he potential establishment of a </w:t>
      </w:r>
      <w:proofErr w:type="spellStart"/>
      <w:r w:rsidR="0077458F" w:rsidRPr="0077458F">
        <w:rPr>
          <w:rFonts w:ascii="Verdana" w:hAnsi="Verdana"/>
          <w:sz w:val="20"/>
          <w:lang w:val="en-US"/>
        </w:rPr>
        <w:t>pólice</w:t>
      </w:r>
      <w:proofErr w:type="spellEnd"/>
      <w:r w:rsidR="0077458F" w:rsidRPr="0077458F">
        <w:rPr>
          <w:rFonts w:ascii="Verdana" w:hAnsi="Verdana"/>
          <w:sz w:val="20"/>
          <w:lang w:val="en-US"/>
        </w:rPr>
        <w:t xml:space="preserve"> station does little to mitigate these facts</w:t>
      </w:r>
      <w:r w:rsidR="0061138F" w:rsidRPr="0077458F">
        <w:rPr>
          <w:rFonts w:ascii="Verdana" w:hAnsi="Verdana"/>
          <w:sz w:val="20"/>
          <w:lang w:val="en-US"/>
        </w:rPr>
        <w:t xml:space="preserve">” </w:t>
      </w:r>
      <w:r w:rsidR="0077458F" w:rsidRPr="0077458F">
        <w:rPr>
          <w:rFonts w:ascii="Verdana" w:hAnsi="Verdana"/>
          <w:sz w:val="20"/>
          <w:lang w:val="en-US"/>
        </w:rPr>
        <w:t>and</w:t>
      </w:r>
      <w:r w:rsidR="004C2683" w:rsidRPr="0077458F">
        <w:rPr>
          <w:rFonts w:ascii="Verdana" w:hAnsi="Verdana"/>
          <w:sz w:val="20"/>
          <w:lang w:val="en-US"/>
        </w:rPr>
        <w:t xml:space="preserve"> that</w:t>
      </w:r>
      <w:r w:rsidR="0061138F" w:rsidRPr="0077458F">
        <w:rPr>
          <w:rFonts w:ascii="Verdana" w:hAnsi="Verdana"/>
          <w:sz w:val="20"/>
          <w:lang w:val="en-US"/>
        </w:rPr>
        <w:t xml:space="preserve"> “</w:t>
      </w:r>
      <w:r w:rsidR="0077458F" w:rsidRPr="0077458F">
        <w:rPr>
          <w:rFonts w:ascii="Verdana" w:hAnsi="Verdana"/>
          <w:sz w:val="20"/>
          <w:lang w:val="en-US"/>
        </w:rPr>
        <w:t>[m]</w:t>
      </w:r>
      <w:proofErr w:type="spellStart"/>
      <w:r w:rsidR="0077458F" w:rsidRPr="0077458F">
        <w:rPr>
          <w:rFonts w:ascii="Verdana" w:hAnsi="Verdana"/>
          <w:sz w:val="20"/>
          <w:lang w:val="en-US"/>
        </w:rPr>
        <w:t>ost</w:t>
      </w:r>
      <w:proofErr w:type="spellEnd"/>
      <w:r w:rsidR="0077458F" w:rsidRPr="0077458F">
        <w:rPr>
          <w:rFonts w:ascii="Verdana" w:hAnsi="Verdana"/>
          <w:sz w:val="20"/>
          <w:lang w:val="en-US"/>
        </w:rPr>
        <w:t xml:space="preserve"> [of the victims] have explained that they have either no interest in permanently returning to Suriname from French Guiana, […] or would be afraid to do so given </w:t>
      </w:r>
      <w:r w:rsidR="0077458F">
        <w:rPr>
          <w:rFonts w:ascii="Verdana" w:hAnsi="Verdana"/>
          <w:sz w:val="20"/>
          <w:lang w:val="en-US"/>
        </w:rPr>
        <w:t>that the self-acknowledged intellectual authors and some of the perpetrators of the massacre remain at large and/or even hold positions of power in the government</w:t>
      </w:r>
      <w:r w:rsidR="0061138F" w:rsidRPr="0077458F">
        <w:rPr>
          <w:rFonts w:ascii="Verdana" w:hAnsi="Verdana"/>
          <w:sz w:val="20"/>
          <w:lang w:val="en-US"/>
        </w:rPr>
        <w:t xml:space="preserve">”. </w:t>
      </w:r>
    </w:p>
    <w:p w14:paraId="7FA38B4D" w14:textId="77777777" w:rsidR="007E44CF" w:rsidRPr="0077458F" w:rsidRDefault="007E44CF" w:rsidP="009C54AB">
      <w:pPr>
        <w:pStyle w:val="ListParagraph"/>
        <w:tabs>
          <w:tab w:val="left" w:pos="90"/>
        </w:tabs>
        <w:ind w:left="0"/>
        <w:jc w:val="both"/>
        <w:rPr>
          <w:rFonts w:ascii="Verdana" w:hAnsi="Verdana"/>
          <w:sz w:val="20"/>
          <w:lang w:val="en-US"/>
        </w:rPr>
      </w:pPr>
    </w:p>
    <w:p w14:paraId="65E6CE68" w14:textId="7BFB9668" w:rsidR="005937E0" w:rsidRPr="004B4C69" w:rsidRDefault="004C2683" w:rsidP="0020114D">
      <w:pPr>
        <w:pStyle w:val="ListParagraph"/>
        <w:numPr>
          <w:ilvl w:val="0"/>
          <w:numId w:val="5"/>
        </w:numPr>
        <w:tabs>
          <w:tab w:val="left" w:pos="90"/>
        </w:tabs>
        <w:ind w:left="0" w:firstLine="0"/>
        <w:jc w:val="both"/>
        <w:rPr>
          <w:rFonts w:ascii="Verdana" w:hAnsi="Verdana"/>
          <w:sz w:val="20"/>
          <w:lang w:val="en-US"/>
        </w:rPr>
      </w:pPr>
      <w:r w:rsidRPr="0077458F">
        <w:rPr>
          <w:rFonts w:ascii="Verdana" w:hAnsi="Verdana"/>
          <w:sz w:val="20"/>
          <w:lang w:val="en-US"/>
        </w:rPr>
        <w:t xml:space="preserve">The Court reiterates, as it did in its 2010 order </w:t>
      </w:r>
      <w:r w:rsidR="00A962DB" w:rsidRPr="0077458F">
        <w:rPr>
          <w:rFonts w:ascii="Verdana" w:hAnsi="Verdana"/>
          <w:sz w:val="20"/>
          <w:lang w:val="en-US"/>
        </w:rPr>
        <w:t>(</w:t>
      </w:r>
      <w:r w:rsidR="00A962DB" w:rsidRPr="0077458F">
        <w:rPr>
          <w:rFonts w:ascii="Verdana" w:hAnsi="Verdana"/>
          <w:i/>
          <w:sz w:val="20"/>
          <w:lang w:val="en-US"/>
        </w:rPr>
        <w:t xml:space="preserve">supra </w:t>
      </w:r>
      <w:proofErr w:type="spellStart"/>
      <w:r w:rsidR="002D3C89" w:rsidRPr="0077458F">
        <w:rPr>
          <w:rFonts w:ascii="Verdana" w:hAnsi="Verdana"/>
          <w:i/>
          <w:sz w:val="20"/>
          <w:lang w:val="en-US"/>
        </w:rPr>
        <w:t>considerandum</w:t>
      </w:r>
      <w:proofErr w:type="spellEnd"/>
      <w:r w:rsidRPr="0077458F">
        <w:rPr>
          <w:rFonts w:ascii="Verdana" w:hAnsi="Verdana"/>
          <w:i/>
          <w:sz w:val="20"/>
          <w:lang w:val="en-US"/>
        </w:rPr>
        <w:t xml:space="preserve"> </w:t>
      </w:r>
      <w:r w:rsidR="001E6DA1" w:rsidRPr="00353B3F">
        <w:rPr>
          <w:rFonts w:ascii="Verdana" w:hAnsi="Verdana"/>
          <w:sz w:val="20"/>
          <w:lang w:val="en-US"/>
        </w:rPr>
        <w:fldChar w:fldCharType="begin"/>
      </w:r>
      <w:r w:rsidR="001E6DA1" w:rsidRPr="0077458F">
        <w:rPr>
          <w:rFonts w:ascii="Verdana" w:hAnsi="Verdana"/>
          <w:sz w:val="20"/>
          <w:lang w:val="en-US"/>
        </w:rPr>
        <w:instrText xml:space="preserve"> REF _Ref532292559 \r \h </w:instrText>
      </w:r>
      <w:r w:rsidR="00E47A56" w:rsidRPr="0077458F">
        <w:rPr>
          <w:rFonts w:ascii="Verdana" w:hAnsi="Verdana"/>
          <w:sz w:val="20"/>
          <w:lang w:val="en-US"/>
        </w:rPr>
        <w:instrText xml:space="preserve"> \* MERGEFORMAT </w:instrText>
      </w:r>
      <w:r w:rsidR="001E6DA1" w:rsidRPr="00353B3F">
        <w:rPr>
          <w:rFonts w:ascii="Verdana" w:hAnsi="Verdana"/>
          <w:sz w:val="20"/>
          <w:lang w:val="en-US"/>
        </w:rPr>
      </w:r>
      <w:r w:rsidR="001E6DA1" w:rsidRPr="00353B3F">
        <w:rPr>
          <w:rFonts w:ascii="Verdana" w:hAnsi="Verdana"/>
          <w:sz w:val="20"/>
          <w:lang w:val="en-US"/>
        </w:rPr>
        <w:fldChar w:fldCharType="separate"/>
      </w:r>
      <w:r w:rsidR="00BD655E">
        <w:rPr>
          <w:rFonts w:ascii="Verdana" w:hAnsi="Verdana"/>
          <w:sz w:val="20"/>
          <w:lang w:val="en-US"/>
        </w:rPr>
        <w:t>34</w:t>
      </w:r>
      <w:r w:rsidR="001E6DA1" w:rsidRPr="00353B3F">
        <w:rPr>
          <w:rFonts w:ascii="Verdana" w:hAnsi="Verdana"/>
          <w:sz w:val="20"/>
          <w:lang w:val="en-US"/>
        </w:rPr>
        <w:fldChar w:fldCharType="end"/>
      </w:r>
      <w:r w:rsidR="00A962DB" w:rsidRPr="0077458F">
        <w:rPr>
          <w:rFonts w:ascii="Verdana" w:hAnsi="Verdana"/>
          <w:sz w:val="20"/>
          <w:lang w:val="en-US"/>
        </w:rPr>
        <w:t xml:space="preserve">), </w:t>
      </w:r>
      <w:r w:rsidRPr="0077458F">
        <w:rPr>
          <w:rFonts w:ascii="Verdana" w:hAnsi="Verdana"/>
          <w:sz w:val="20"/>
          <w:lang w:val="en-US"/>
        </w:rPr>
        <w:t>that this measure is in</w:t>
      </w:r>
      <w:r w:rsidR="00863870" w:rsidRPr="0077458F">
        <w:rPr>
          <w:rFonts w:ascii="Verdana" w:hAnsi="Verdana"/>
          <w:sz w:val="20"/>
          <w:lang w:val="en-US"/>
        </w:rPr>
        <w:t xml:space="preserve">extricably linked to the State’s obligation to carry out </w:t>
      </w:r>
      <w:r w:rsidR="00A962DB" w:rsidRPr="0077458F">
        <w:rPr>
          <w:rFonts w:ascii="Verdana" w:hAnsi="Verdana"/>
          <w:sz w:val="20"/>
          <w:lang w:val="en-US"/>
        </w:rPr>
        <w:t>“</w:t>
      </w:r>
      <w:r w:rsidR="0077458F" w:rsidRPr="0077458F">
        <w:rPr>
          <w:rFonts w:ascii="Verdana" w:hAnsi="Verdana"/>
          <w:sz w:val="20"/>
          <w:lang w:val="en-US"/>
        </w:rPr>
        <w:t xml:space="preserve">serious investigations that bring the facts of the case to </w:t>
      </w:r>
      <w:r w:rsidR="0077458F">
        <w:rPr>
          <w:rFonts w:ascii="Verdana" w:hAnsi="Verdana"/>
          <w:sz w:val="20"/>
          <w:lang w:val="en-US"/>
        </w:rPr>
        <w:t>light and lead to the sanction of all those responsible</w:t>
      </w:r>
      <w:r w:rsidR="00A962DB" w:rsidRPr="0077458F">
        <w:rPr>
          <w:rFonts w:ascii="Verdana" w:hAnsi="Verdana"/>
          <w:sz w:val="20"/>
          <w:lang w:val="en-US"/>
        </w:rPr>
        <w:t>”</w:t>
      </w:r>
      <w:r w:rsidR="0077458F">
        <w:rPr>
          <w:rFonts w:ascii="Verdana" w:hAnsi="Verdana"/>
          <w:sz w:val="20"/>
          <w:lang w:val="en-US"/>
        </w:rPr>
        <w:t>.</w:t>
      </w:r>
      <w:r w:rsidR="00863870" w:rsidRPr="0077458F">
        <w:rPr>
          <w:rFonts w:ascii="Verdana" w:hAnsi="Verdana"/>
          <w:sz w:val="20"/>
          <w:lang w:val="en-US"/>
        </w:rPr>
        <w:t xml:space="preserve"> </w:t>
      </w:r>
      <w:r w:rsidR="00863870" w:rsidRPr="00353B3F">
        <w:rPr>
          <w:rFonts w:ascii="Verdana" w:hAnsi="Verdana"/>
          <w:sz w:val="20"/>
          <w:lang w:val="en-US"/>
        </w:rPr>
        <w:t xml:space="preserve">In this regard, as decided in </w:t>
      </w:r>
      <w:r w:rsidR="00484EB4" w:rsidRPr="00353B3F">
        <w:rPr>
          <w:rFonts w:ascii="Verdana" w:hAnsi="Verdana"/>
          <w:sz w:val="20"/>
          <w:lang w:val="en-US"/>
        </w:rPr>
        <w:t>the judgment</w:t>
      </w:r>
      <w:r w:rsidR="0074620D" w:rsidRPr="00353B3F">
        <w:rPr>
          <w:rFonts w:ascii="Verdana" w:hAnsi="Verdana"/>
          <w:sz w:val="20"/>
          <w:lang w:val="en-US"/>
        </w:rPr>
        <w:t>, “</w:t>
      </w:r>
      <w:r w:rsidR="00863870" w:rsidRPr="00353B3F">
        <w:rPr>
          <w:rFonts w:ascii="Verdana" w:eastAsiaTheme="minorHAnsi" w:hAnsi="Verdana" w:cs="TTE1091E40t00"/>
          <w:sz w:val="20"/>
          <w:lang w:val="en-US"/>
        </w:rPr>
        <w:t xml:space="preserve">only the community members themselves can decide when exactly it would be appropriate to return to </w:t>
      </w:r>
      <w:proofErr w:type="spellStart"/>
      <w:r w:rsidR="00863870" w:rsidRPr="00353B3F">
        <w:rPr>
          <w:rFonts w:ascii="Verdana" w:eastAsiaTheme="minorHAnsi" w:hAnsi="Verdana" w:cs="TTE1091E40t00"/>
          <w:sz w:val="20"/>
          <w:lang w:val="en-US"/>
        </w:rPr>
        <w:t>Moiwana</w:t>
      </w:r>
      <w:proofErr w:type="spellEnd"/>
      <w:r w:rsidR="00863870" w:rsidRPr="00353B3F">
        <w:rPr>
          <w:rFonts w:ascii="Verdana" w:eastAsiaTheme="minorHAnsi" w:hAnsi="Verdana" w:cs="TTE1091E40t00"/>
          <w:sz w:val="20"/>
          <w:lang w:val="en-US"/>
        </w:rPr>
        <w:t xml:space="preserve"> village</w:t>
      </w:r>
      <w:r w:rsidR="00863870" w:rsidRPr="00353B3F">
        <w:rPr>
          <w:rFonts w:ascii="Verdana" w:hAnsi="Verdana"/>
          <w:sz w:val="20"/>
          <w:lang w:val="en-US"/>
        </w:rPr>
        <w:t>.”</w:t>
      </w:r>
      <w:r w:rsidR="0074620D" w:rsidRPr="00353B3F">
        <w:rPr>
          <w:rFonts w:ascii="Verdana" w:hAnsi="Verdana"/>
          <w:sz w:val="20"/>
          <w:lang w:val="en-US"/>
        </w:rPr>
        <w:t xml:space="preserve"> </w:t>
      </w:r>
      <w:r w:rsidR="00863870" w:rsidRPr="00353B3F">
        <w:rPr>
          <w:rFonts w:ascii="Verdana" w:hAnsi="Verdana"/>
          <w:sz w:val="20"/>
          <w:lang w:val="en-US"/>
        </w:rPr>
        <w:t xml:space="preserve">This means that, of necessity, the State must consult them about the safety measures they consider necessary in order to take the decision to return to their village and, once these measures are implemented, the State must again consult them regarding the appropriate moment for those members who so decide to be able to return to their village protected by the safety guarantees provided by the State. Taking into consideration the information provided by the parties, this Court finds that it has insufficient information to assess compliance with this measure. Consequently, it considers it pertinent to ask the State for information concerning any other actions it is taking, in addition to the establishment of police posts in the area, to guarantee the safety of the members who decide to return to the village of </w:t>
      </w:r>
      <w:proofErr w:type="spellStart"/>
      <w:r w:rsidR="00863870" w:rsidRPr="00353B3F">
        <w:rPr>
          <w:rFonts w:ascii="Verdana" w:hAnsi="Verdana"/>
          <w:sz w:val="20"/>
          <w:lang w:val="en-US"/>
        </w:rPr>
        <w:t>Moiwana</w:t>
      </w:r>
      <w:proofErr w:type="spellEnd"/>
      <w:r w:rsidR="00863870" w:rsidRPr="00353B3F">
        <w:rPr>
          <w:rFonts w:ascii="Verdana" w:hAnsi="Verdana"/>
          <w:sz w:val="20"/>
          <w:lang w:val="en-US"/>
        </w:rPr>
        <w:t xml:space="preserve">. In addition, the State is required to provide information with regard to the </w:t>
      </w:r>
      <w:r w:rsidR="009936EC" w:rsidRPr="00353B3F">
        <w:rPr>
          <w:rFonts w:ascii="Verdana" w:hAnsi="Verdana"/>
          <w:sz w:val="20"/>
          <w:lang w:val="en-US"/>
        </w:rPr>
        <w:t xml:space="preserve">observations made by the representatives concerning the measures taken to ensure a safe environment for </w:t>
      </w:r>
      <w:r w:rsidR="00BA5116" w:rsidRPr="00353B3F">
        <w:rPr>
          <w:rFonts w:ascii="Verdana" w:hAnsi="Verdana"/>
          <w:sz w:val="20"/>
          <w:lang w:val="en-US"/>
        </w:rPr>
        <w:t>the members</w:t>
      </w:r>
      <w:r w:rsidR="00DC49A3" w:rsidRPr="00353B3F">
        <w:rPr>
          <w:rFonts w:ascii="Verdana" w:hAnsi="Verdana"/>
          <w:sz w:val="20"/>
          <w:lang w:val="en-US"/>
        </w:rPr>
        <w:t xml:space="preserve"> of the </w:t>
      </w:r>
      <w:proofErr w:type="spellStart"/>
      <w:r w:rsidR="00BA5116" w:rsidRPr="00353B3F">
        <w:rPr>
          <w:rFonts w:ascii="Verdana" w:hAnsi="Verdana"/>
          <w:sz w:val="20"/>
          <w:lang w:val="en-US"/>
        </w:rPr>
        <w:t>Moiwana</w:t>
      </w:r>
      <w:proofErr w:type="spellEnd"/>
      <w:r w:rsidR="00BA5116" w:rsidRPr="00353B3F">
        <w:rPr>
          <w:rFonts w:ascii="Verdana" w:hAnsi="Verdana"/>
          <w:sz w:val="20"/>
          <w:lang w:val="en-US"/>
        </w:rPr>
        <w:t xml:space="preserve"> community</w:t>
      </w:r>
      <w:r w:rsidR="00B05FBE" w:rsidRPr="00353B3F">
        <w:rPr>
          <w:rFonts w:ascii="Verdana" w:hAnsi="Verdana"/>
          <w:sz w:val="20"/>
          <w:lang w:val="en-US"/>
        </w:rPr>
        <w:t>.</w:t>
      </w:r>
    </w:p>
    <w:p w14:paraId="628966A9" w14:textId="77777777" w:rsidR="005937E0" w:rsidRPr="00353B3F" w:rsidRDefault="005937E0" w:rsidP="0020114D">
      <w:pPr>
        <w:rPr>
          <w:rFonts w:ascii="Verdana" w:hAnsi="Verdana"/>
          <w:sz w:val="20"/>
          <w:lang w:val="en-US"/>
        </w:rPr>
      </w:pPr>
    </w:p>
    <w:p w14:paraId="24789452" w14:textId="21149C09" w:rsidR="0020114D" w:rsidRPr="00353B3F" w:rsidRDefault="00EC5ABD" w:rsidP="0020114D">
      <w:pPr>
        <w:pStyle w:val="Heading1"/>
        <w:numPr>
          <w:ilvl w:val="0"/>
          <w:numId w:val="12"/>
        </w:numPr>
        <w:spacing w:before="0"/>
        <w:jc w:val="both"/>
        <w:rPr>
          <w:rFonts w:ascii="Verdana" w:hAnsi="Verdana"/>
          <w:color w:val="auto"/>
          <w:sz w:val="20"/>
          <w:szCs w:val="20"/>
          <w:lang w:val="en-US"/>
        </w:rPr>
      </w:pPr>
      <w:bookmarkStart w:id="24" w:name="_Toc533153549"/>
      <w:r w:rsidRPr="00353B3F">
        <w:rPr>
          <w:rFonts w:ascii="Verdana" w:hAnsi="Verdana"/>
          <w:color w:val="auto"/>
          <w:sz w:val="20"/>
          <w:szCs w:val="20"/>
          <w:lang w:val="en-US"/>
        </w:rPr>
        <w:t>Establish a community development fund</w:t>
      </w:r>
      <w:bookmarkEnd w:id="24"/>
      <w:r w:rsidR="0020114D" w:rsidRPr="00353B3F">
        <w:rPr>
          <w:rFonts w:ascii="Verdana" w:hAnsi="Verdana"/>
          <w:color w:val="auto"/>
          <w:sz w:val="20"/>
          <w:szCs w:val="20"/>
          <w:lang w:val="en-US"/>
        </w:rPr>
        <w:t xml:space="preserve"> </w:t>
      </w:r>
    </w:p>
    <w:p w14:paraId="40DECAB5" w14:textId="77777777" w:rsidR="0020114D" w:rsidRPr="00353B3F" w:rsidRDefault="0020114D" w:rsidP="005937E0">
      <w:pPr>
        <w:jc w:val="center"/>
        <w:rPr>
          <w:rFonts w:ascii="Verdana" w:hAnsi="Verdana"/>
          <w:i/>
          <w:sz w:val="20"/>
          <w:lang w:val="en-US"/>
        </w:rPr>
      </w:pPr>
    </w:p>
    <w:p w14:paraId="3E134F15" w14:textId="2CEBD61C" w:rsidR="0020114D" w:rsidRPr="00353B3F" w:rsidRDefault="0020114D" w:rsidP="005937E0">
      <w:pPr>
        <w:ind w:left="360"/>
        <w:jc w:val="both"/>
        <w:rPr>
          <w:rFonts w:ascii="Verdana" w:hAnsi="Verdana"/>
          <w:i/>
          <w:sz w:val="20"/>
          <w:lang w:val="en-US"/>
        </w:rPr>
      </w:pPr>
      <w:r w:rsidRPr="00353B3F">
        <w:rPr>
          <w:rFonts w:ascii="Verdana" w:hAnsi="Verdana"/>
          <w:i/>
          <w:sz w:val="20"/>
          <w:lang w:val="en-US"/>
        </w:rPr>
        <w:t xml:space="preserve">E.1. </w:t>
      </w:r>
      <w:r w:rsidR="004932E8" w:rsidRPr="00353B3F">
        <w:rPr>
          <w:rFonts w:ascii="Verdana" w:hAnsi="Verdana"/>
          <w:i/>
          <w:sz w:val="20"/>
          <w:lang w:val="en-US"/>
        </w:rPr>
        <w:t>Measure ordered by the Court and monitored in</w:t>
      </w:r>
      <w:r w:rsidR="00EC5ABD" w:rsidRPr="00353B3F">
        <w:rPr>
          <w:rFonts w:ascii="Verdana" w:hAnsi="Verdana"/>
          <w:i/>
          <w:sz w:val="20"/>
          <w:lang w:val="en-US"/>
        </w:rPr>
        <w:t xml:space="preserve"> previous orders</w:t>
      </w:r>
      <w:r w:rsidR="0005401F" w:rsidRPr="00353B3F">
        <w:rPr>
          <w:rFonts w:ascii="Verdana" w:hAnsi="Verdana"/>
          <w:i/>
          <w:sz w:val="20"/>
          <w:lang w:val="en-US"/>
        </w:rPr>
        <w:t xml:space="preserve"> </w:t>
      </w:r>
    </w:p>
    <w:p w14:paraId="05CD9D7E" w14:textId="77777777" w:rsidR="005E121F" w:rsidRPr="00353B3F" w:rsidRDefault="005E121F" w:rsidP="0020114D">
      <w:pPr>
        <w:jc w:val="both"/>
        <w:rPr>
          <w:rFonts w:ascii="Verdana" w:hAnsi="Verdana"/>
          <w:i/>
          <w:sz w:val="20"/>
          <w:lang w:val="en-US"/>
        </w:rPr>
      </w:pPr>
    </w:p>
    <w:p w14:paraId="337344ED" w14:textId="2498A849" w:rsidR="009936EC" w:rsidRPr="00353B3F" w:rsidRDefault="009936EC" w:rsidP="001B7293">
      <w:pPr>
        <w:pStyle w:val="ListParagraph"/>
        <w:numPr>
          <w:ilvl w:val="0"/>
          <w:numId w:val="5"/>
        </w:numPr>
        <w:ind w:left="0" w:firstLine="0"/>
        <w:jc w:val="both"/>
        <w:rPr>
          <w:rFonts w:ascii="Verdana" w:hAnsi="Verdana"/>
          <w:sz w:val="20"/>
          <w:lang w:val="en-US"/>
        </w:rPr>
      </w:pPr>
      <w:bookmarkStart w:id="25" w:name="_Ref532305239"/>
      <w:r w:rsidRPr="00353B3F">
        <w:rPr>
          <w:rFonts w:ascii="Verdana" w:hAnsi="Verdana"/>
          <w:sz w:val="20"/>
          <w:lang w:val="en-US"/>
        </w:rPr>
        <w:t>In the</w:t>
      </w:r>
      <w:r w:rsidR="005E121F" w:rsidRPr="00353B3F">
        <w:rPr>
          <w:rFonts w:ascii="Verdana" w:hAnsi="Verdana"/>
          <w:sz w:val="20"/>
          <w:lang w:val="en-US"/>
        </w:rPr>
        <w:t xml:space="preserve"> </w:t>
      </w:r>
      <w:r w:rsidR="00BA5116" w:rsidRPr="00353B3F">
        <w:rPr>
          <w:rFonts w:ascii="Verdana" w:hAnsi="Verdana"/>
          <w:sz w:val="20"/>
          <w:lang w:val="en-US"/>
        </w:rPr>
        <w:t>fifth operative paragraph</w:t>
      </w:r>
      <w:r w:rsidR="00E932C4" w:rsidRPr="00353B3F">
        <w:rPr>
          <w:rFonts w:ascii="Verdana" w:hAnsi="Verdana"/>
          <w:sz w:val="20"/>
          <w:lang w:val="en-US"/>
        </w:rPr>
        <w:t xml:space="preserve"> </w:t>
      </w:r>
      <w:r w:rsidRPr="00353B3F">
        <w:rPr>
          <w:rFonts w:ascii="Verdana" w:hAnsi="Verdana"/>
          <w:sz w:val="20"/>
          <w:lang w:val="en-US"/>
        </w:rPr>
        <w:t xml:space="preserve">and in </w:t>
      </w:r>
      <w:r w:rsidR="00EC5ABD" w:rsidRPr="00353B3F">
        <w:rPr>
          <w:rFonts w:ascii="Verdana" w:hAnsi="Verdana"/>
          <w:sz w:val="20"/>
          <w:lang w:val="en-US"/>
        </w:rPr>
        <w:t>paragraph</w:t>
      </w:r>
      <w:r w:rsidR="00E932C4" w:rsidRPr="00353B3F">
        <w:rPr>
          <w:rFonts w:ascii="Verdana" w:hAnsi="Verdana"/>
          <w:sz w:val="20"/>
          <w:lang w:val="en-US"/>
        </w:rPr>
        <w:t>s 213</w:t>
      </w:r>
      <w:r w:rsidRPr="00353B3F">
        <w:rPr>
          <w:rFonts w:ascii="Verdana" w:hAnsi="Verdana"/>
          <w:sz w:val="20"/>
          <w:lang w:val="en-US"/>
        </w:rPr>
        <w:t xml:space="preserve"> to</w:t>
      </w:r>
      <w:r w:rsidR="00E932C4" w:rsidRPr="00353B3F">
        <w:rPr>
          <w:rFonts w:ascii="Verdana" w:hAnsi="Verdana"/>
          <w:sz w:val="20"/>
          <w:lang w:val="en-US"/>
        </w:rPr>
        <w:t xml:space="preserve"> 215</w:t>
      </w:r>
      <w:r w:rsidR="00DC49A3" w:rsidRPr="00353B3F">
        <w:rPr>
          <w:rFonts w:ascii="Verdana" w:hAnsi="Verdana"/>
          <w:sz w:val="20"/>
          <w:lang w:val="en-US"/>
        </w:rPr>
        <w:t xml:space="preserve"> of the </w:t>
      </w:r>
      <w:r w:rsidR="00484EB4" w:rsidRPr="00353B3F">
        <w:rPr>
          <w:rFonts w:ascii="Verdana" w:hAnsi="Verdana"/>
          <w:sz w:val="20"/>
          <w:lang w:val="en-US"/>
        </w:rPr>
        <w:t>judgment</w:t>
      </w:r>
      <w:r w:rsidR="00E932C4" w:rsidRPr="00353B3F">
        <w:rPr>
          <w:rFonts w:ascii="Verdana" w:hAnsi="Verdana"/>
          <w:sz w:val="20"/>
          <w:lang w:val="en-US"/>
        </w:rPr>
        <w:t xml:space="preserve">, </w:t>
      </w:r>
      <w:r w:rsidRPr="00353B3F">
        <w:rPr>
          <w:rFonts w:ascii="Verdana" w:hAnsi="Verdana"/>
          <w:sz w:val="20"/>
          <w:lang w:val="en-US"/>
        </w:rPr>
        <w:t>the Court ordered the State to “</w:t>
      </w:r>
      <w:r w:rsidRPr="00353B3F">
        <w:rPr>
          <w:rFonts w:ascii="Verdana" w:eastAsiaTheme="minorHAnsi" w:hAnsi="Verdana" w:cs="TTE1091E40t00"/>
          <w:sz w:val="20"/>
          <w:lang w:val="en-US"/>
        </w:rPr>
        <w:t xml:space="preserve">establish a development fund of US$1,200,000 (one million two hundred thousand United States dollars), </w:t>
      </w:r>
      <w:r w:rsidR="001B7293" w:rsidRPr="00353B3F">
        <w:rPr>
          <w:rFonts w:ascii="Verdana" w:eastAsiaTheme="minorHAnsi" w:hAnsi="Verdana" w:cs="TTE1091E40t00"/>
          <w:sz w:val="20"/>
          <w:lang w:val="en-US"/>
        </w:rPr>
        <w:t>to finance</w:t>
      </w:r>
      <w:r w:rsidRPr="00353B3F">
        <w:rPr>
          <w:rFonts w:ascii="Verdana" w:eastAsiaTheme="minorHAnsi" w:hAnsi="Verdana" w:cs="TTE1091E40t00"/>
          <w:sz w:val="20"/>
          <w:lang w:val="en-US"/>
        </w:rPr>
        <w:t xml:space="preserve"> health, housing and educational programs for the </w:t>
      </w:r>
      <w:proofErr w:type="spellStart"/>
      <w:r w:rsidRPr="00353B3F">
        <w:rPr>
          <w:rFonts w:ascii="Verdana" w:eastAsiaTheme="minorHAnsi" w:hAnsi="Verdana" w:cs="TTE1091E40t00"/>
          <w:sz w:val="20"/>
          <w:lang w:val="en-US"/>
        </w:rPr>
        <w:t>Moiwana</w:t>
      </w:r>
      <w:proofErr w:type="spellEnd"/>
      <w:r w:rsidRPr="00353B3F">
        <w:rPr>
          <w:rFonts w:ascii="Verdana" w:eastAsiaTheme="minorHAnsi" w:hAnsi="Verdana" w:cs="TTE1091E40t00"/>
          <w:sz w:val="20"/>
          <w:lang w:val="en-US"/>
        </w:rPr>
        <w:t xml:space="preserve"> community members. The specific aspects of </w:t>
      </w:r>
      <w:r w:rsidR="001B7293" w:rsidRPr="00353B3F">
        <w:rPr>
          <w:rFonts w:ascii="Verdana" w:eastAsiaTheme="minorHAnsi" w:hAnsi="Verdana" w:cs="TTE1091E40t00"/>
          <w:sz w:val="20"/>
          <w:lang w:val="en-US"/>
        </w:rPr>
        <w:t>these</w:t>
      </w:r>
      <w:r w:rsidRPr="00353B3F">
        <w:rPr>
          <w:rFonts w:ascii="Verdana" w:eastAsiaTheme="minorHAnsi" w:hAnsi="Verdana" w:cs="TTE1091E40t00"/>
          <w:sz w:val="20"/>
          <w:lang w:val="en-US"/>
        </w:rPr>
        <w:t xml:space="preserve"> programs </w:t>
      </w:r>
      <w:r w:rsidR="001B7293" w:rsidRPr="00353B3F">
        <w:rPr>
          <w:rFonts w:ascii="Verdana" w:eastAsiaTheme="minorHAnsi" w:hAnsi="Verdana" w:cs="TTE1091E40t00"/>
          <w:sz w:val="20"/>
          <w:lang w:val="en-US"/>
        </w:rPr>
        <w:t>will</w:t>
      </w:r>
      <w:r w:rsidRPr="00353B3F">
        <w:rPr>
          <w:rFonts w:ascii="Verdana" w:eastAsiaTheme="minorHAnsi" w:hAnsi="Verdana" w:cs="TTE1091E40t00"/>
          <w:sz w:val="20"/>
          <w:lang w:val="en-US"/>
        </w:rPr>
        <w:t xml:space="preserve"> be determined by an implementation committee</w:t>
      </w:r>
      <w:r w:rsidR="001B7293" w:rsidRPr="00353B3F">
        <w:rPr>
          <w:rFonts w:ascii="Verdana" w:eastAsiaTheme="minorHAnsi" w:hAnsi="Verdana" w:cs="TTE1091E40t00"/>
          <w:sz w:val="20"/>
          <w:lang w:val="en-US"/>
        </w:rPr>
        <w:t xml:space="preserve"> […]</w:t>
      </w:r>
      <w:r w:rsidRPr="00353B3F">
        <w:rPr>
          <w:rFonts w:ascii="Verdana" w:eastAsiaTheme="minorHAnsi" w:hAnsi="Verdana" w:cs="TTE1091E40t00"/>
          <w:sz w:val="20"/>
          <w:lang w:val="en-US"/>
        </w:rPr>
        <w:t>.</w:t>
      </w:r>
      <w:r w:rsidR="001B7293" w:rsidRPr="00353B3F">
        <w:rPr>
          <w:rFonts w:ascii="Verdana" w:eastAsiaTheme="minorHAnsi" w:hAnsi="Verdana" w:cs="TTE1091E40t00"/>
          <w:sz w:val="20"/>
          <w:lang w:val="en-US"/>
        </w:rPr>
        <w:t xml:space="preserve"> [This] committee […] will be in charge of determining how the developmental fund is implemented and will be composed of three members[: …] a representative designated by the victims and another chosen by the State; the third member to be selected by mutual agreement between the representatives of the victims and the State.”</w:t>
      </w:r>
    </w:p>
    <w:bookmarkEnd w:id="25"/>
    <w:p w14:paraId="239C73B5" w14:textId="77777777" w:rsidR="009C54AB" w:rsidRPr="00353B3F" w:rsidRDefault="009C54AB" w:rsidP="00451748">
      <w:pPr>
        <w:pStyle w:val="ListParagraph"/>
        <w:ind w:left="0"/>
        <w:jc w:val="both"/>
        <w:rPr>
          <w:rFonts w:ascii="Verdana" w:hAnsi="Verdana"/>
          <w:sz w:val="20"/>
          <w:lang w:val="en-US"/>
        </w:rPr>
      </w:pPr>
    </w:p>
    <w:p w14:paraId="440FBF2B" w14:textId="4435E6BC" w:rsidR="00A36836" w:rsidRPr="00626795" w:rsidRDefault="001B7293" w:rsidP="005937E0">
      <w:pPr>
        <w:pStyle w:val="ListParagraph"/>
        <w:numPr>
          <w:ilvl w:val="0"/>
          <w:numId w:val="5"/>
        </w:numPr>
        <w:ind w:left="0" w:firstLine="0"/>
        <w:jc w:val="both"/>
        <w:rPr>
          <w:rFonts w:ascii="Verdana" w:hAnsi="Verdana"/>
          <w:sz w:val="20"/>
          <w:lang w:val="en-US"/>
        </w:rPr>
      </w:pPr>
      <w:r w:rsidRPr="00353B3F">
        <w:rPr>
          <w:rFonts w:ascii="Verdana" w:hAnsi="Verdana"/>
          <w:sz w:val="20"/>
          <w:lang w:val="en-US"/>
        </w:rPr>
        <w:lastRenderedPageBreak/>
        <w:t xml:space="preserve">In its 2010 order, the Court assessed the information presented by </w:t>
      </w:r>
      <w:r w:rsidR="00484EB4" w:rsidRPr="00353B3F">
        <w:rPr>
          <w:rFonts w:ascii="Verdana" w:hAnsi="Verdana"/>
          <w:sz w:val="20"/>
          <w:lang w:val="en-US"/>
        </w:rPr>
        <w:t>the State</w:t>
      </w:r>
      <w:r w:rsidR="008D3EAA" w:rsidRPr="00353B3F">
        <w:rPr>
          <w:rStyle w:val="FootnoteReference"/>
          <w:rFonts w:ascii="Verdana" w:hAnsi="Verdana"/>
          <w:sz w:val="20"/>
          <w:lang w:val="en-US"/>
        </w:rPr>
        <w:footnoteReference w:id="44"/>
      </w:r>
      <w:r w:rsidR="001E1231" w:rsidRPr="00353B3F">
        <w:rPr>
          <w:rFonts w:ascii="Verdana" w:hAnsi="Verdana"/>
          <w:sz w:val="20"/>
          <w:lang w:val="en-US"/>
        </w:rPr>
        <w:t xml:space="preserve"> </w:t>
      </w:r>
      <w:r w:rsidRPr="00353B3F">
        <w:rPr>
          <w:rFonts w:ascii="Verdana" w:hAnsi="Verdana"/>
          <w:sz w:val="20"/>
          <w:lang w:val="en-US"/>
        </w:rPr>
        <w:t>and noted that</w:t>
      </w:r>
      <w:r w:rsidR="001E1231" w:rsidRPr="00353B3F">
        <w:rPr>
          <w:rFonts w:ascii="Verdana" w:hAnsi="Verdana"/>
          <w:sz w:val="20"/>
          <w:lang w:val="en-US"/>
        </w:rPr>
        <w:t xml:space="preserve"> “</w:t>
      </w:r>
      <w:r w:rsidR="00484EB4" w:rsidRPr="00353B3F">
        <w:rPr>
          <w:rFonts w:ascii="Verdana" w:hAnsi="Verdana"/>
          <w:sz w:val="20"/>
          <w:lang w:val="en-US"/>
        </w:rPr>
        <w:t>the State</w:t>
      </w:r>
      <w:r w:rsidR="00772A27">
        <w:rPr>
          <w:rFonts w:ascii="Verdana" w:hAnsi="Verdana"/>
          <w:sz w:val="20"/>
          <w:lang w:val="en-US"/>
        </w:rPr>
        <w:t xml:space="preserve"> has transferred at least some of the monies ordered </w:t>
      </w:r>
      <w:r w:rsidR="000743D8">
        <w:rPr>
          <w:rFonts w:ascii="Verdana" w:hAnsi="Verdana"/>
          <w:sz w:val="20"/>
          <w:lang w:val="en-US"/>
        </w:rPr>
        <w:t>in the Judgement to the development fund</w:t>
      </w:r>
      <w:r w:rsidR="001E1231" w:rsidRPr="00353B3F">
        <w:rPr>
          <w:rFonts w:ascii="Verdana" w:hAnsi="Verdana"/>
          <w:sz w:val="20"/>
          <w:lang w:val="en-US"/>
        </w:rPr>
        <w:t>”,</w:t>
      </w:r>
      <w:r w:rsidRPr="00353B3F">
        <w:rPr>
          <w:rFonts w:ascii="Verdana" w:hAnsi="Verdana"/>
          <w:sz w:val="20"/>
          <w:lang w:val="en-US"/>
        </w:rPr>
        <w:t xml:space="preserve"> and therefore found “that</w:t>
      </w:r>
      <w:r w:rsidR="000743D8">
        <w:rPr>
          <w:rFonts w:ascii="Verdana" w:hAnsi="Verdana"/>
          <w:sz w:val="20"/>
          <w:lang w:val="en-US"/>
        </w:rPr>
        <w:t xml:space="preserve"> this obligation has been partially complied with</w:t>
      </w:r>
      <w:r w:rsidR="001E1231" w:rsidRPr="00353B3F">
        <w:rPr>
          <w:rFonts w:ascii="Verdana" w:hAnsi="Verdana"/>
          <w:sz w:val="20"/>
          <w:lang w:val="en-US"/>
        </w:rPr>
        <w:t xml:space="preserve">”. </w:t>
      </w:r>
      <w:r w:rsidRPr="000743D8">
        <w:rPr>
          <w:rFonts w:ascii="Verdana" w:hAnsi="Verdana"/>
          <w:sz w:val="20"/>
          <w:lang w:val="en-US"/>
        </w:rPr>
        <w:t xml:space="preserve">Despite this, </w:t>
      </w:r>
      <w:r w:rsidR="000743D8" w:rsidRPr="000743D8">
        <w:rPr>
          <w:rFonts w:ascii="Verdana" w:hAnsi="Verdana"/>
          <w:sz w:val="20"/>
          <w:lang w:val="en-US"/>
        </w:rPr>
        <w:t>the Court underlined that “the J</w:t>
      </w:r>
      <w:r w:rsidRPr="000743D8">
        <w:rPr>
          <w:rFonts w:ascii="Verdana" w:hAnsi="Verdana"/>
          <w:sz w:val="20"/>
          <w:lang w:val="en-US"/>
        </w:rPr>
        <w:t xml:space="preserve">udgment </w:t>
      </w:r>
      <w:r w:rsidR="000743D8" w:rsidRPr="000743D8">
        <w:rPr>
          <w:rFonts w:ascii="Verdana" w:hAnsi="Verdana"/>
          <w:sz w:val="20"/>
          <w:lang w:val="en-US"/>
        </w:rPr>
        <w:t>set a five-year deadline, running as of the date on which the latter was served, for the implementati</w:t>
      </w:r>
      <w:r w:rsidR="000743D8">
        <w:rPr>
          <w:rFonts w:ascii="Verdana" w:hAnsi="Verdana"/>
          <w:sz w:val="20"/>
          <w:lang w:val="en-US"/>
        </w:rPr>
        <w:t xml:space="preserve">on of the health, housing, and educational </w:t>
      </w:r>
      <w:proofErr w:type="spellStart"/>
      <w:r w:rsidR="000743D8">
        <w:rPr>
          <w:rFonts w:ascii="Verdana" w:hAnsi="Verdana"/>
          <w:sz w:val="20"/>
          <w:lang w:val="en-US"/>
        </w:rPr>
        <w:t>programas</w:t>
      </w:r>
      <w:proofErr w:type="spellEnd"/>
      <w:r w:rsidR="000743D8">
        <w:rPr>
          <w:rFonts w:ascii="Verdana" w:hAnsi="Verdana"/>
          <w:sz w:val="20"/>
          <w:lang w:val="en-US"/>
        </w:rPr>
        <w:t xml:space="preserve"> established through that fund</w:t>
      </w:r>
      <w:r w:rsidR="001E1231" w:rsidRPr="000743D8">
        <w:rPr>
          <w:rFonts w:ascii="Verdana" w:hAnsi="Verdana"/>
          <w:sz w:val="20"/>
          <w:lang w:val="en-US"/>
        </w:rPr>
        <w:t>”</w:t>
      </w:r>
      <w:r w:rsidR="000743D8">
        <w:rPr>
          <w:rFonts w:ascii="Verdana" w:hAnsi="Verdana"/>
          <w:sz w:val="20"/>
          <w:lang w:val="en-US"/>
        </w:rPr>
        <w:t>.</w:t>
      </w:r>
      <w:r w:rsidRPr="000743D8">
        <w:rPr>
          <w:rFonts w:ascii="Verdana" w:hAnsi="Verdana"/>
          <w:sz w:val="20"/>
          <w:lang w:val="en-US"/>
        </w:rPr>
        <w:t xml:space="preserve"> It therefore considered that </w:t>
      </w:r>
      <w:r w:rsidR="001E1231" w:rsidRPr="000743D8">
        <w:rPr>
          <w:rFonts w:ascii="Verdana" w:hAnsi="Verdana"/>
          <w:sz w:val="20"/>
          <w:lang w:val="en-US"/>
        </w:rPr>
        <w:t>“</w:t>
      </w:r>
      <w:r w:rsidR="00484EB4" w:rsidRPr="000743D8">
        <w:rPr>
          <w:rFonts w:ascii="Verdana" w:hAnsi="Verdana"/>
          <w:sz w:val="20"/>
          <w:lang w:val="en-US"/>
        </w:rPr>
        <w:t>the State</w:t>
      </w:r>
      <w:r w:rsidR="001E1231" w:rsidRPr="000743D8">
        <w:rPr>
          <w:rFonts w:ascii="Verdana" w:hAnsi="Verdana"/>
          <w:sz w:val="20"/>
          <w:lang w:val="en-US"/>
        </w:rPr>
        <w:t xml:space="preserve"> </w:t>
      </w:r>
      <w:r w:rsidR="000743D8" w:rsidRPr="000743D8">
        <w:rPr>
          <w:rFonts w:ascii="Verdana" w:hAnsi="Verdana"/>
          <w:sz w:val="20"/>
          <w:lang w:val="en-US"/>
        </w:rPr>
        <w:t xml:space="preserve">must transfer the full amount ordered </w:t>
      </w:r>
      <w:r w:rsidR="000743D8">
        <w:rPr>
          <w:rFonts w:ascii="Verdana" w:hAnsi="Verdana"/>
          <w:sz w:val="20"/>
          <w:lang w:val="en-US"/>
        </w:rPr>
        <w:t xml:space="preserve">in the Judgement to the development fund as soon as possible. </w:t>
      </w:r>
      <w:r w:rsidR="000743D8" w:rsidRPr="000743D8">
        <w:rPr>
          <w:rFonts w:ascii="Verdana" w:hAnsi="Verdana"/>
          <w:sz w:val="20"/>
          <w:lang w:val="en-US"/>
        </w:rPr>
        <w:t xml:space="preserve">It must also provide the Court detailed information on the amounts that </w:t>
      </w:r>
      <w:r w:rsidR="000743D8">
        <w:rPr>
          <w:rFonts w:ascii="Verdana" w:hAnsi="Verdana"/>
          <w:sz w:val="20"/>
          <w:lang w:val="en-US"/>
        </w:rPr>
        <w:t xml:space="preserve">have already been transferred to it, the amounts still pending, a schedule containing the dates on which these transfers are to be executed, and whether the </w:t>
      </w:r>
      <w:proofErr w:type="spellStart"/>
      <w:r w:rsidR="000743D8">
        <w:rPr>
          <w:rFonts w:ascii="Verdana" w:hAnsi="Verdana"/>
          <w:sz w:val="20"/>
          <w:lang w:val="en-US"/>
        </w:rPr>
        <w:t>Moiwana</w:t>
      </w:r>
      <w:proofErr w:type="spellEnd"/>
      <w:r w:rsidR="000743D8">
        <w:rPr>
          <w:rFonts w:ascii="Verdana" w:hAnsi="Verdana"/>
          <w:sz w:val="20"/>
          <w:lang w:val="en-US"/>
        </w:rPr>
        <w:t xml:space="preserve"> Community has received the interest that has accrued on the amounts awarded. </w:t>
      </w:r>
      <w:r w:rsidR="000743D8" w:rsidRPr="000743D8">
        <w:rPr>
          <w:rFonts w:ascii="Verdana" w:hAnsi="Verdana"/>
          <w:sz w:val="20"/>
          <w:lang w:val="en-US"/>
        </w:rPr>
        <w:t>It must also provide supporting documentation with respect to the amounts it has already transferred</w:t>
      </w:r>
      <w:r w:rsidR="000743D8">
        <w:rPr>
          <w:rFonts w:ascii="Verdana" w:hAnsi="Verdana"/>
          <w:sz w:val="20"/>
          <w:lang w:val="en-US"/>
        </w:rPr>
        <w:t xml:space="preserve"> to the development fund</w:t>
      </w:r>
      <w:r w:rsidR="00497CB7" w:rsidRPr="000743D8">
        <w:rPr>
          <w:rFonts w:ascii="Verdana" w:hAnsi="Verdana"/>
          <w:sz w:val="20"/>
          <w:lang w:val="en-US"/>
        </w:rPr>
        <w:t xml:space="preserve">”. </w:t>
      </w:r>
      <w:r w:rsidRPr="000743D8">
        <w:rPr>
          <w:rFonts w:ascii="Verdana" w:hAnsi="Verdana"/>
          <w:sz w:val="20"/>
          <w:lang w:val="en-US"/>
        </w:rPr>
        <w:t xml:space="preserve">In addition, the Court asked the State to </w:t>
      </w:r>
      <w:r w:rsidR="00532E17" w:rsidRPr="000743D8">
        <w:rPr>
          <w:rFonts w:ascii="Verdana" w:hAnsi="Verdana"/>
          <w:sz w:val="20"/>
          <w:lang w:val="en-US"/>
        </w:rPr>
        <w:t xml:space="preserve">provide information </w:t>
      </w:r>
      <w:r w:rsidR="00F369C4" w:rsidRPr="000743D8">
        <w:rPr>
          <w:rFonts w:ascii="Verdana" w:hAnsi="Verdana"/>
          <w:sz w:val="20"/>
          <w:lang w:val="en-US"/>
        </w:rPr>
        <w:t>“</w:t>
      </w:r>
      <w:r w:rsidR="000743D8" w:rsidRPr="000743D8">
        <w:rPr>
          <w:rFonts w:ascii="Verdana" w:hAnsi="Verdana"/>
          <w:sz w:val="20"/>
          <w:lang w:val="en-US"/>
        </w:rPr>
        <w:t xml:space="preserve">as to the implementation committee’s role in the development of the Amazon Conservation Team’s draft report and in the decision </w:t>
      </w:r>
      <w:r w:rsidR="000743D8">
        <w:rPr>
          <w:rFonts w:ascii="Verdana" w:hAnsi="Verdana"/>
          <w:sz w:val="20"/>
          <w:lang w:val="en-US"/>
        </w:rPr>
        <w:t xml:space="preserve">to build five houses as part of the State’s fulfillment of this obligation. </w:t>
      </w:r>
      <w:r w:rsidR="000743D8" w:rsidRPr="000743D8">
        <w:rPr>
          <w:rFonts w:ascii="Verdana" w:hAnsi="Verdana"/>
          <w:sz w:val="20"/>
          <w:lang w:val="en-US"/>
        </w:rPr>
        <w:t xml:space="preserve">Furthermore, the parties must inform the Court as to whether </w:t>
      </w:r>
      <w:r w:rsidR="000743D8">
        <w:rPr>
          <w:rFonts w:ascii="Verdana" w:hAnsi="Verdana"/>
          <w:sz w:val="20"/>
          <w:lang w:val="en-US"/>
        </w:rPr>
        <w:t xml:space="preserve">those five houses are in fact in </w:t>
      </w:r>
      <w:proofErr w:type="spellStart"/>
      <w:r w:rsidR="000743D8">
        <w:rPr>
          <w:rFonts w:ascii="Verdana" w:hAnsi="Verdana"/>
          <w:sz w:val="20"/>
          <w:lang w:val="en-US"/>
        </w:rPr>
        <w:t>Moiwana</w:t>
      </w:r>
      <w:proofErr w:type="spellEnd"/>
      <w:r w:rsidR="000743D8">
        <w:rPr>
          <w:rFonts w:ascii="Verdana" w:hAnsi="Verdana"/>
          <w:sz w:val="20"/>
          <w:lang w:val="en-US"/>
        </w:rPr>
        <w:t xml:space="preserve"> territory. </w:t>
      </w:r>
      <w:r w:rsidR="000743D8" w:rsidRPr="00C25467">
        <w:rPr>
          <w:rFonts w:ascii="Verdana" w:hAnsi="Verdana"/>
          <w:sz w:val="20"/>
          <w:lang w:val="en-US"/>
        </w:rPr>
        <w:t xml:space="preserve">Given that it has yet to delimit and demarcate </w:t>
      </w:r>
      <w:proofErr w:type="spellStart"/>
      <w:r w:rsidR="000743D8" w:rsidRPr="00C25467">
        <w:rPr>
          <w:rFonts w:ascii="Verdana" w:hAnsi="Verdana"/>
          <w:sz w:val="20"/>
          <w:lang w:val="en-US"/>
        </w:rPr>
        <w:t>Moiwana</w:t>
      </w:r>
      <w:proofErr w:type="spellEnd"/>
      <w:r w:rsidR="000743D8" w:rsidRPr="00C25467">
        <w:rPr>
          <w:rFonts w:ascii="Verdana" w:hAnsi="Verdana"/>
          <w:sz w:val="20"/>
          <w:lang w:val="en-US"/>
        </w:rPr>
        <w:t xml:space="preserve"> lands […], the State must also </w:t>
      </w:r>
      <w:r w:rsidR="00C25467" w:rsidRPr="00C25467">
        <w:rPr>
          <w:rFonts w:ascii="Verdana" w:hAnsi="Verdana"/>
          <w:sz w:val="20"/>
          <w:lang w:val="en-US"/>
        </w:rPr>
        <w:t xml:space="preserve">provide the Court with information as to how it chose the site for the five houses already built and for the </w:t>
      </w:r>
      <w:r w:rsidR="00C25467">
        <w:rPr>
          <w:rFonts w:ascii="Verdana" w:hAnsi="Verdana"/>
          <w:sz w:val="20"/>
          <w:lang w:val="en-US"/>
        </w:rPr>
        <w:t xml:space="preserve">other houses it has planned, if applicable. </w:t>
      </w:r>
      <w:r w:rsidR="00C25467" w:rsidRPr="00C25467">
        <w:rPr>
          <w:rFonts w:ascii="Verdana" w:hAnsi="Verdana"/>
          <w:sz w:val="20"/>
          <w:lang w:val="en-US"/>
        </w:rPr>
        <w:t xml:space="preserve">Moreover, the State must indicate whether it intends to follow the recommendations </w:t>
      </w:r>
      <w:r w:rsidR="00C25467">
        <w:rPr>
          <w:rFonts w:ascii="Verdana" w:hAnsi="Verdana"/>
          <w:sz w:val="20"/>
          <w:lang w:val="en-US"/>
        </w:rPr>
        <w:t xml:space="preserve">of the </w:t>
      </w:r>
      <w:proofErr w:type="gramStart"/>
      <w:r w:rsidR="00C25467">
        <w:rPr>
          <w:rFonts w:ascii="Verdana" w:hAnsi="Verdana"/>
          <w:sz w:val="20"/>
          <w:lang w:val="en-US"/>
        </w:rPr>
        <w:t>ACT ’</w:t>
      </w:r>
      <w:proofErr w:type="gramEnd"/>
      <w:r w:rsidR="00C25467">
        <w:rPr>
          <w:rFonts w:ascii="Verdana" w:hAnsi="Verdana"/>
          <w:sz w:val="20"/>
          <w:lang w:val="en-US"/>
        </w:rPr>
        <w:t xml:space="preserve"> s draft report relating to this obligation. </w:t>
      </w:r>
      <w:r w:rsidR="00C25467" w:rsidRPr="00C25467">
        <w:rPr>
          <w:rFonts w:ascii="Verdana" w:hAnsi="Verdana"/>
          <w:sz w:val="20"/>
          <w:lang w:val="en-US"/>
        </w:rPr>
        <w:t>If so, it must ensure that its implementation of those recommendations</w:t>
      </w:r>
      <w:r w:rsidR="00C25467">
        <w:rPr>
          <w:rFonts w:ascii="Verdana" w:hAnsi="Verdana"/>
          <w:sz w:val="20"/>
          <w:lang w:val="en-US"/>
        </w:rPr>
        <w:t xml:space="preserve"> adheres to the Judgement. </w:t>
      </w:r>
      <w:r w:rsidR="00C25467" w:rsidRPr="00C25467">
        <w:rPr>
          <w:rFonts w:ascii="Verdana" w:hAnsi="Verdana"/>
          <w:sz w:val="20"/>
          <w:lang w:val="en-US"/>
        </w:rPr>
        <w:t xml:space="preserve">The State must also submit a detailed Schedule containing projected dates for the </w:t>
      </w:r>
      <w:r w:rsidR="00C25467">
        <w:rPr>
          <w:rFonts w:ascii="Verdana" w:hAnsi="Verdana"/>
          <w:sz w:val="20"/>
          <w:lang w:val="en-US"/>
        </w:rPr>
        <w:t>measures it will undertake in compliance with this obligation ., which includes the Court’s orders relating to health and education.</w:t>
      </w:r>
      <w:r w:rsidR="00503CDA">
        <w:rPr>
          <w:rFonts w:ascii="Verdana" w:hAnsi="Verdana"/>
          <w:sz w:val="20"/>
          <w:lang w:val="en-US"/>
        </w:rPr>
        <w:t xml:space="preserve"> </w:t>
      </w:r>
      <w:r w:rsidR="00503CDA" w:rsidRPr="00E04989">
        <w:rPr>
          <w:rFonts w:ascii="Verdana" w:hAnsi="Verdana"/>
          <w:sz w:val="20"/>
          <w:lang w:val="en-US"/>
        </w:rPr>
        <w:t xml:space="preserve">With respect to the transfer of administrative and financial </w:t>
      </w:r>
      <w:proofErr w:type="spellStart"/>
      <w:r w:rsidR="00503CDA" w:rsidRPr="00E04989">
        <w:rPr>
          <w:rFonts w:ascii="Verdana" w:hAnsi="Verdana"/>
          <w:sz w:val="20"/>
          <w:lang w:val="en-US"/>
        </w:rPr>
        <w:t>responsability</w:t>
      </w:r>
      <w:proofErr w:type="spellEnd"/>
      <w:r w:rsidR="00503CDA" w:rsidRPr="00E04989">
        <w:rPr>
          <w:rFonts w:ascii="Verdana" w:hAnsi="Verdana"/>
          <w:sz w:val="20"/>
          <w:lang w:val="en-US"/>
        </w:rPr>
        <w:t xml:space="preserve"> </w:t>
      </w:r>
      <w:r w:rsidR="00E04989" w:rsidRPr="00E04989">
        <w:rPr>
          <w:rFonts w:ascii="Verdana" w:hAnsi="Verdana"/>
          <w:sz w:val="20"/>
          <w:lang w:val="en-US"/>
        </w:rPr>
        <w:t>to Community leaders, the Court reminds the State ‘that the right to have their juridical personality recognized by the State is one of the special measures owed to indigenous and tribal groups in order to ensure that they are able to use and enjoy their territory in accordance with the</w:t>
      </w:r>
      <w:r w:rsidR="00E04989">
        <w:rPr>
          <w:rFonts w:ascii="Verdana" w:hAnsi="Verdana"/>
          <w:sz w:val="20"/>
          <w:lang w:val="en-US"/>
        </w:rPr>
        <w:t xml:space="preserve">ir own traditions. </w:t>
      </w:r>
      <w:r w:rsidR="00E04989" w:rsidRPr="00E04989">
        <w:rPr>
          <w:rFonts w:ascii="Verdana" w:hAnsi="Verdana"/>
          <w:sz w:val="20"/>
          <w:lang w:val="en-US"/>
        </w:rPr>
        <w:t>This is a natural consequence of the recognition of the right of members of indigenous and tribal groups to enjoy certain rights in a communal manner’.</w:t>
      </w:r>
      <w:r w:rsidR="00E04989">
        <w:rPr>
          <w:rFonts w:ascii="Verdana" w:hAnsi="Verdana"/>
          <w:sz w:val="20"/>
          <w:lang w:val="en-US"/>
        </w:rPr>
        <w:t xml:space="preserve"> </w:t>
      </w:r>
      <w:r w:rsidR="00E04989" w:rsidRPr="00E04989">
        <w:rPr>
          <w:rFonts w:ascii="Verdana" w:hAnsi="Verdana"/>
          <w:sz w:val="20"/>
          <w:lang w:val="en-US"/>
        </w:rPr>
        <w:t>Finally, the Court reiterates that timely compliance with requests for information is an obligation under Article 68(1) of the Convention</w:t>
      </w:r>
      <w:r w:rsidR="00E04989">
        <w:rPr>
          <w:rFonts w:ascii="Verdana" w:hAnsi="Verdana"/>
          <w:sz w:val="20"/>
          <w:lang w:val="en-US"/>
        </w:rPr>
        <w:t>…</w:t>
      </w:r>
      <w:proofErr w:type="gramStart"/>
      <w:r w:rsidR="00E04989">
        <w:rPr>
          <w:rFonts w:ascii="Verdana" w:hAnsi="Verdana"/>
          <w:sz w:val="20"/>
          <w:lang w:val="en-US"/>
        </w:rPr>
        <w:t>”.</w:t>
      </w:r>
      <w:proofErr w:type="gramEnd"/>
      <w:r w:rsidR="008D3EAA" w:rsidRPr="00626795">
        <w:rPr>
          <w:rFonts w:ascii="Verdana" w:hAnsi="Verdana"/>
          <w:sz w:val="20"/>
          <w:lang w:val="en-US"/>
        </w:rPr>
        <w:t xml:space="preserve"> </w:t>
      </w:r>
    </w:p>
    <w:p w14:paraId="2B25BB59" w14:textId="77777777" w:rsidR="005E121F" w:rsidRPr="00626795" w:rsidRDefault="005E121F" w:rsidP="0020114D">
      <w:pPr>
        <w:jc w:val="both"/>
        <w:rPr>
          <w:rFonts w:ascii="Verdana" w:hAnsi="Verdana"/>
          <w:i/>
          <w:sz w:val="20"/>
          <w:lang w:val="en-US"/>
        </w:rPr>
      </w:pPr>
    </w:p>
    <w:p w14:paraId="6191204B" w14:textId="2E8B70FB" w:rsidR="0020114D" w:rsidRPr="00353B3F" w:rsidRDefault="0020114D" w:rsidP="005937E0">
      <w:pPr>
        <w:ind w:firstLine="708"/>
        <w:jc w:val="both"/>
        <w:rPr>
          <w:rFonts w:ascii="Verdana" w:hAnsi="Verdana"/>
          <w:i/>
          <w:sz w:val="20"/>
          <w:lang w:val="en-US"/>
        </w:rPr>
      </w:pPr>
      <w:r w:rsidRPr="00353B3F">
        <w:rPr>
          <w:rFonts w:ascii="Verdana" w:hAnsi="Verdana"/>
          <w:i/>
          <w:sz w:val="20"/>
          <w:lang w:val="en-US"/>
        </w:rPr>
        <w:t xml:space="preserve">E.2. </w:t>
      </w:r>
      <w:r w:rsidR="00286935" w:rsidRPr="00353B3F">
        <w:rPr>
          <w:rFonts w:ascii="Verdana" w:hAnsi="Verdana"/>
          <w:i/>
          <w:sz w:val="20"/>
          <w:lang w:val="en-US"/>
        </w:rPr>
        <w:t>Considerations of the Court</w:t>
      </w:r>
      <w:r w:rsidRPr="00353B3F">
        <w:rPr>
          <w:rFonts w:ascii="Verdana" w:hAnsi="Verdana"/>
          <w:i/>
          <w:sz w:val="20"/>
          <w:lang w:val="en-US"/>
        </w:rPr>
        <w:t xml:space="preserve"> </w:t>
      </w:r>
    </w:p>
    <w:p w14:paraId="1790CAB8" w14:textId="77777777" w:rsidR="008B3D08" w:rsidRPr="00353B3F" w:rsidRDefault="008B3D08" w:rsidP="0020114D">
      <w:pPr>
        <w:jc w:val="both"/>
        <w:rPr>
          <w:rFonts w:ascii="Verdana" w:hAnsi="Verdana"/>
          <w:i/>
          <w:sz w:val="20"/>
          <w:lang w:val="en-US"/>
        </w:rPr>
      </w:pPr>
    </w:p>
    <w:p w14:paraId="28BDB6C8" w14:textId="0D28A697" w:rsidR="00D362CA" w:rsidRPr="00353B3F" w:rsidRDefault="00484EB4" w:rsidP="00296B69">
      <w:pPr>
        <w:pStyle w:val="ListParagraph"/>
        <w:numPr>
          <w:ilvl w:val="0"/>
          <w:numId w:val="5"/>
        </w:numPr>
        <w:ind w:left="0" w:firstLine="0"/>
        <w:jc w:val="both"/>
        <w:rPr>
          <w:rFonts w:ascii="Verdana" w:hAnsi="Verdana"/>
          <w:sz w:val="20"/>
          <w:lang w:val="en-US"/>
        </w:rPr>
      </w:pPr>
      <w:r w:rsidRPr="00626795">
        <w:rPr>
          <w:rFonts w:ascii="Verdana" w:hAnsi="Verdana"/>
          <w:sz w:val="20"/>
          <w:lang w:val="en-US"/>
        </w:rPr>
        <w:t>The State</w:t>
      </w:r>
      <w:r w:rsidR="008B3D08" w:rsidRPr="00626795">
        <w:rPr>
          <w:rFonts w:ascii="Verdana" w:hAnsi="Verdana"/>
          <w:sz w:val="20"/>
          <w:lang w:val="en-US"/>
        </w:rPr>
        <w:t xml:space="preserve"> </w:t>
      </w:r>
      <w:r w:rsidR="00532E17" w:rsidRPr="00626795">
        <w:rPr>
          <w:rFonts w:ascii="Verdana" w:hAnsi="Verdana"/>
          <w:sz w:val="20"/>
          <w:lang w:val="en-US"/>
        </w:rPr>
        <w:t xml:space="preserve">advised, both during the 2012 hearing and in its 2015 report, that   </w:t>
      </w:r>
      <w:r w:rsidR="008B3D08" w:rsidRPr="00626795">
        <w:rPr>
          <w:rFonts w:ascii="Verdana" w:hAnsi="Verdana"/>
          <w:sz w:val="20"/>
          <w:lang w:val="en-US"/>
        </w:rPr>
        <w:t>“</w:t>
      </w:r>
      <w:r w:rsidR="006F2D0F" w:rsidRPr="00626795">
        <w:rPr>
          <w:rFonts w:ascii="Verdana" w:hAnsi="Verdana"/>
          <w:sz w:val="20"/>
          <w:lang w:val="en-US"/>
        </w:rPr>
        <w:t>[o]n 04 April</w:t>
      </w:r>
      <w:r w:rsidR="008B3D08" w:rsidRPr="00626795">
        <w:rPr>
          <w:rFonts w:ascii="Verdana" w:hAnsi="Verdana"/>
          <w:sz w:val="20"/>
          <w:lang w:val="en-US"/>
        </w:rPr>
        <w:t xml:space="preserve"> 2006</w:t>
      </w:r>
      <w:r w:rsidR="006F2D0F" w:rsidRPr="00626795">
        <w:rPr>
          <w:rFonts w:ascii="Verdana" w:hAnsi="Verdana"/>
          <w:sz w:val="20"/>
          <w:lang w:val="en-US"/>
        </w:rPr>
        <w:t xml:space="preserve"> the development fund of USD 1,200,000 was established for the </w:t>
      </w:r>
      <w:proofErr w:type="spellStart"/>
      <w:r w:rsidR="006F2D0F" w:rsidRPr="00626795">
        <w:rPr>
          <w:rFonts w:ascii="Verdana" w:hAnsi="Verdana"/>
          <w:sz w:val="20"/>
          <w:lang w:val="en-US"/>
        </w:rPr>
        <w:t>Moiwana</w:t>
      </w:r>
      <w:proofErr w:type="spellEnd"/>
      <w:r w:rsidR="006F2D0F" w:rsidRPr="00626795">
        <w:rPr>
          <w:rFonts w:ascii="Verdana" w:hAnsi="Verdana"/>
          <w:sz w:val="20"/>
          <w:lang w:val="en-US"/>
        </w:rPr>
        <w:t xml:space="preserve"> community. </w:t>
      </w:r>
      <w:r w:rsidR="006F2D0F" w:rsidRPr="006F2D0F">
        <w:rPr>
          <w:rFonts w:ascii="Verdana" w:hAnsi="Verdana"/>
          <w:sz w:val="20"/>
          <w:lang w:val="en-US"/>
        </w:rPr>
        <w:t xml:space="preserve">The objective of the establishment of this fund was the management </w:t>
      </w:r>
      <w:r w:rsidR="006F2D0F">
        <w:rPr>
          <w:rFonts w:ascii="Verdana" w:hAnsi="Verdana"/>
          <w:sz w:val="20"/>
          <w:lang w:val="en-US"/>
        </w:rPr>
        <w:t xml:space="preserve">and implementation of aforementioned amount that had to be spent on health care, housing and education for the </w:t>
      </w:r>
      <w:proofErr w:type="spellStart"/>
      <w:r w:rsidR="006F2D0F">
        <w:rPr>
          <w:rFonts w:ascii="Verdana" w:hAnsi="Verdana"/>
          <w:sz w:val="20"/>
          <w:lang w:val="en-US"/>
        </w:rPr>
        <w:t>Moiwana</w:t>
      </w:r>
      <w:proofErr w:type="spellEnd"/>
      <w:r w:rsidR="006F2D0F">
        <w:rPr>
          <w:rFonts w:ascii="Verdana" w:hAnsi="Verdana"/>
          <w:sz w:val="20"/>
          <w:lang w:val="en-US"/>
        </w:rPr>
        <w:t xml:space="preserve"> community. </w:t>
      </w:r>
      <w:r w:rsidR="006F2D0F" w:rsidRPr="006F2D0F">
        <w:rPr>
          <w:rFonts w:ascii="Verdana" w:hAnsi="Verdana"/>
          <w:sz w:val="20"/>
          <w:lang w:val="en-US"/>
        </w:rPr>
        <w:t>The spending would take place over a period of five years.</w:t>
      </w:r>
      <w:r w:rsidR="006F2D0F">
        <w:rPr>
          <w:rFonts w:ascii="Verdana" w:hAnsi="Verdana"/>
          <w:sz w:val="20"/>
          <w:lang w:val="en-US"/>
        </w:rPr>
        <w:t xml:space="preserve"> </w:t>
      </w:r>
      <w:r w:rsidR="006F2D0F" w:rsidRPr="006F2D0F">
        <w:rPr>
          <w:rFonts w:ascii="Verdana" w:hAnsi="Verdana"/>
          <w:sz w:val="20"/>
          <w:lang w:val="en-US"/>
        </w:rPr>
        <w:t>In accordance with a memorandum of the financial management department of the M</w:t>
      </w:r>
      <w:r w:rsidR="006F2D0F">
        <w:rPr>
          <w:rFonts w:ascii="Verdana" w:hAnsi="Verdana"/>
          <w:sz w:val="20"/>
          <w:lang w:val="en-US"/>
        </w:rPr>
        <w:t xml:space="preserve">inistry of Justice and Police all tranches </w:t>
      </w:r>
      <w:r w:rsidR="006F2D0F">
        <w:rPr>
          <w:rFonts w:ascii="Verdana" w:hAnsi="Verdana"/>
          <w:sz w:val="20"/>
          <w:lang w:val="en-US"/>
        </w:rPr>
        <w:lastRenderedPageBreak/>
        <w:t>have been deposited</w:t>
      </w:r>
      <w:r w:rsidR="008B3D08" w:rsidRPr="006F2D0F">
        <w:rPr>
          <w:rFonts w:ascii="Verdana" w:hAnsi="Verdana"/>
          <w:sz w:val="20"/>
          <w:lang w:val="en-US"/>
        </w:rPr>
        <w:t>”</w:t>
      </w:r>
      <w:r w:rsidR="008B3D08" w:rsidRPr="00353B3F">
        <w:rPr>
          <w:rStyle w:val="FootnoteReference"/>
          <w:rFonts w:ascii="Verdana" w:hAnsi="Verdana"/>
          <w:sz w:val="20"/>
          <w:lang w:val="en-US"/>
        </w:rPr>
        <w:footnoteReference w:id="45"/>
      </w:r>
      <w:r w:rsidR="006F2D0F" w:rsidRPr="006F2D0F">
        <w:rPr>
          <w:rFonts w:ascii="Verdana" w:hAnsi="Verdana"/>
          <w:sz w:val="20"/>
          <w:lang w:val="en-US"/>
        </w:rPr>
        <w:t>.</w:t>
      </w:r>
      <w:r w:rsidR="008B3D08" w:rsidRPr="006F2D0F">
        <w:rPr>
          <w:rFonts w:ascii="Verdana" w:hAnsi="Verdana"/>
          <w:sz w:val="20"/>
          <w:lang w:val="en-US"/>
        </w:rPr>
        <w:t xml:space="preserve"> </w:t>
      </w:r>
      <w:r w:rsidR="0082474C" w:rsidRPr="00353B3F">
        <w:rPr>
          <w:rFonts w:ascii="Verdana" w:hAnsi="Verdana"/>
          <w:sz w:val="20"/>
          <w:lang w:val="en-US"/>
        </w:rPr>
        <w:t>Dur</w:t>
      </w:r>
      <w:r w:rsidR="00532E17" w:rsidRPr="00353B3F">
        <w:rPr>
          <w:rFonts w:ascii="Verdana" w:hAnsi="Verdana"/>
          <w:sz w:val="20"/>
          <w:lang w:val="en-US"/>
        </w:rPr>
        <w:t xml:space="preserve">ing the monitoring hearing, the State indicated that the said amounts had been invested in the construction of twenty houses on land that did not correspond to </w:t>
      </w:r>
      <w:proofErr w:type="spellStart"/>
      <w:r w:rsidR="00532E17" w:rsidRPr="00353B3F">
        <w:rPr>
          <w:rFonts w:ascii="Verdana" w:hAnsi="Verdana"/>
          <w:sz w:val="20"/>
          <w:lang w:val="en-US"/>
        </w:rPr>
        <w:t>Moiwana</w:t>
      </w:r>
      <w:proofErr w:type="spellEnd"/>
      <w:r w:rsidR="00532E17" w:rsidRPr="00353B3F">
        <w:rPr>
          <w:rFonts w:ascii="Verdana" w:hAnsi="Verdana"/>
          <w:sz w:val="20"/>
          <w:lang w:val="en-US"/>
        </w:rPr>
        <w:t xml:space="preserve"> and that, at the present time, only two of them were inhabited.</w:t>
      </w:r>
      <w:r w:rsidR="0082474C" w:rsidRPr="00353B3F">
        <w:rPr>
          <w:rStyle w:val="FootnoteReference"/>
          <w:rFonts w:ascii="Verdana" w:hAnsi="Verdana"/>
          <w:sz w:val="20"/>
          <w:lang w:val="en-US"/>
        </w:rPr>
        <w:footnoteReference w:id="46"/>
      </w:r>
    </w:p>
    <w:p w14:paraId="1119EA81" w14:textId="77777777" w:rsidR="00D362CA" w:rsidRPr="00353B3F" w:rsidRDefault="00D362CA" w:rsidP="00296B69">
      <w:pPr>
        <w:pStyle w:val="ListParagraph"/>
        <w:ind w:left="0"/>
        <w:jc w:val="both"/>
        <w:rPr>
          <w:rFonts w:ascii="Verdana" w:hAnsi="Verdana"/>
          <w:sz w:val="20"/>
          <w:lang w:val="en-US"/>
        </w:rPr>
      </w:pPr>
    </w:p>
    <w:p w14:paraId="77768C62" w14:textId="7F4448BC" w:rsidR="00532E17" w:rsidRPr="00772A27" w:rsidRDefault="00484EB4" w:rsidP="00772A27">
      <w:pPr>
        <w:pStyle w:val="ListParagraph"/>
        <w:numPr>
          <w:ilvl w:val="0"/>
          <w:numId w:val="5"/>
        </w:numPr>
        <w:ind w:left="0" w:firstLine="0"/>
        <w:jc w:val="both"/>
        <w:rPr>
          <w:rFonts w:ascii="Verdana" w:hAnsi="Verdana"/>
          <w:sz w:val="20"/>
          <w:lang w:val="en-US"/>
        </w:rPr>
      </w:pPr>
      <w:r w:rsidRPr="00353B3F">
        <w:rPr>
          <w:rFonts w:ascii="Verdana" w:hAnsi="Verdana"/>
          <w:sz w:val="20"/>
          <w:lang w:val="en-US"/>
        </w:rPr>
        <w:t>The Commission</w:t>
      </w:r>
      <w:r w:rsidR="00B82C04" w:rsidRPr="00353B3F">
        <w:rPr>
          <w:rFonts w:ascii="Verdana" w:hAnsi="Verdana"/>
          <w:sz w:val="20"/>
          <w:lang w:val="en-US"/>
        </w:rPr>
        <w:t xml:space="preserve"> </w:t>
      </w:r>
      <w:r w:rsidR="00532E17" w:rsidRPr="00353B3F">
        <w:rPr>
          <w:rFonts w:ascii="Verdana" w:hAnsi="Verdana"/>
          <w:sz w:val="20"/>
          <w:lang w:val="en-US"/>
        </w:rPr>
        <w:t xml:space="preserve">did not present observations on this measure of reparation. </w:t>
      </w:r>
      <w:r w:rsidR="00B00DF6" w:rsidRPr="008462FE">
        <w:rPr>
          <w:rFonts w:ascii="Verdana" w:hAnsi="Verdana"/>
          <w:sz w:val="20"/>
          <w:lang w:val="en-US"/>
        </w:rPr>
        <w:t>The representatives</w:t>
      </w:r>
      <w:r w:rsidR="00412E82" w:rsidRPr="008462FE">
        <w:rPr>
          <w:rFonts w:ascii="Verdana" w:hAnsi="Verdana"/>
          <w:sz w:val="20"/>
          <w:lang w:val="en-US"/>
        </w:rPr>
        <w:t xml:space="preserve"> </w:t>
      </w:r>
      <w:r w:rsidR="00532E17" w:rsidRPr="008462FE">
        <w:rPr>
          <w:rFonts w:ascii="Verdana" w:hAnsi="Verdana"/>
          <w:sz w:val="20"/>
          <w:lang w:val="en-US"/>
        </w:rPr>
        <w:t>observed that</w:t>
      </w:r>
      <w:r w:rsidR="00412E82" w:rsidRPr="008462FE">
        <w:rPr>
          <w:rFonts w:ascii="Verdana" w:hAnsi="Verdana"/>
          <w:sz w:val="20"/>
          <w:lang w:val="en-US"/>
        </w:rPr>
        <w:t xml:space="preserve"> “</w:t>
      </w:r>
      <w:r w:rsidRPr="008462FE">
        <w:rPr>
          <w:rFonts w:ascii="Verdana" w:hAnsi="Verdana"/>
          <w:sz w:val="20"/>
          <w:lang w:val="en-US"/>
        </w:rPr>
        <w:t>the State</w:t>
      </w:r>
      <w:r w:rsidR="008462FE" w:rsidRPr="008462FE">
        <w:rPr>
          <w:rFonts w:ascii="Verdana" w:hAnsi="Verdana"/>
          <w:sz w:val="20"/>
          <w:lang w:val="en-US"/>
        </w:rPr>
        <w:t xml:space="preserve"> has indeed transferred the funds to the D</w:t>
      </w:r>
      <w:r w:rsidR="008462FE">
        <w:rPr>
          <w:rFonts w:ascii="Verdana" w:hAnsi="Verdana"/>
          <w:sz w:val="20"/>
          <w:lang w:val="en-US"/>
        </w:rPr>
        <w:t xml:space="preserve">evelopment Fund […]. </w:t>
      </w:r>
      <w:r w:rsidR="008462FE" w:rsidRPr="008462FE">
        <w:rPr>
          <w:rFonts w:ascii="Verdana" w:hAnsi="Verdana"/>
          <w:sz w:val="20"/>
          <w:lang w:val="en-US"/>
        </w:rPr>
        <w:t xml:space="preserve">However, this order has not been fully complied with as it would be </w:t>
      </w:r>
      <w:proofErr w:type="spellStart"/>
      <w:r w:rsidR="008462FE" w:rsidRPr="008462FE">
        <w:rPr>
          <w:rFonts w:ascii="Verdana" w:hAnsi="Verdana"/>
          <w:sz w:val="20"/>
          <w:lang w:val="en-US"/>
        </w:rPr>
        <w:t>imposible</w:t>
      </w:r>
      <w:proofErr w:type="spellEnd"/>
      <w:r w:rsidR="008462FE" w:rsidRPr="008462FE">
        <w:rPr>
          <w:rFonts w:ascii="Verdana" w:hAnsi="Verdana"/>
          <w:sz w:val="20"/>
          <w:lang w:val="en-US"/>
        </w:rPr>
        <w:t xml:space="preserve"> </w:t>
      </w:r>
      <w:r w:rsidR="008462FE">
        <w:rPr>
          <w:rFonts w:ascii="Verdana" w:hAnsi="Verdana"/>
          <w:sz w:val="20"/>
          <w:lang w:val="en-US"/>
        </w:rPr>
        <w:t xml:space="preserve">for these funds to have been spent within the five year-long period </w:t>
      </w:r>
      <w:r w:rsidR="00772A27">
        <w:rPr>
          <w:rFonts w:ascii="Verdana" w:hAnsi="Verdana"/>
          <w:sz w:val="20"/>
          <w:lang w:val="en-US"/>
        </w:rPr>
        <w:t>ordered by the Court and in light of the fact that the State has failed to comply with the order to recognize and regularize the community’s tenure rights</w:t>
      </w:r>
      <w:r w:rsidR="00412E82" w:rsidRPr="00772A27">
        <w:rPr>
          <w:rFonts w:ascii="Verdana" w:hAnsi="Verdana"/>
          <w:sz w:val="20"/>
          <w:lang w:val="en-US"/>
        </w:rPr>
        <w:t xml:space="preserve">”. </w:t>
      </w:r>
      <w:r w:rsidR="00532E17" w:rsidRPr="00772A27">
        <w:rPr>
          <w:rFonts w:ascii="Verdana" w:hAnsi="Verdana"/>
          <w:sz w:val="20"/>
          <w:lang w:val="en-US"/>
        </w:rPr>
        <w:t xml:space="preserve">Lastly, they considered it necessary that </w:t>
      </w:r>
      <w:r w:rsidRPr="00772A27">
        <w:rPr>
          <w:rFonts w:ascii="Verdana" w:hAnsi="Verdana"/>
          <w:sz w:val="20"/>
          <w:lang w:val="en-US"/>
        </w:rPr>
        <w:t>the State</w:t>
      </w:r>
      <w:r w:rsidR="00412E82" w:rsidRPr="00772A27">
        <w:rPr>
          <w:rFonts w:ascii="Verdana" w:hAnsi="Verdana"/>
          <w:sz w:val="20"/>
          <w:lang w:val="en-US"/>
        </w:rPr>
        <w:t xml:space="preserve"> “</w:t>
      </w:r>
      <w:r w:rsidR="00772A27" w:rsidRPr="00772A27">
        <w:rPr>
          <w:rFonts w:ascii="Verdana" w:hAnsi="Verdana"/>
          <w:sz w:val="20"/>
          <w:lang w:val="en-US"/>
        </w:rPr>
        <w:t xml:space="preserve">submit detailed narrative and financial reports documenting exactly how the funds have been used </w:t>
      </w:r>
      <w:r w:rsidR="00772A27">
        <w:rPr>
          <w:rFonts w:ascii="Verdana" w:hAnsi="Verdana"/>
          <w:sz w:val="20"/>
          <w:lang w:val="en-US"/>
        </w:rPr>
        <w:t>to date</w:t>
      </w:r>
      <w:r w:rsidR="00412E82" w:rsidRPr="00772A27">
        <w:rPr>
          <w:rFonts w:ascii="Verdana" w:hAnsi="Verdana"/>
          <w:sz w:val="20"/>
          <w:lang w:val="en-US"/>
        </w:rPr>
        <w:t xml:space="preserve">”. </w:t>
      </w:r>
      <w:r w:rsidR="00532E17" w:rsidRPr="00772A27">
        <w:rPr>
          <w:rFonts w:ascii="Verdana" w:hAnsi="Verdana"/>
          <w:sz w:val="20"/>
          <w:lang w:val="en-US"/>
        </w:rPr>
        <w:t xml:space="preserve">Regarding the construction of the houses, </w:t>
      </w:r>
      <w:r w:rsidR="00B00DF6" w:rsidRPr="00772A27">
        <w:rPr>
          <w:rFonts w:ascii="Verdana" w:hAnsi="Verdana"/>
          <w:sz w:val="20"/>
          <w:lang w:val="en-US"/>
        </w:rPr>
        <w:t>the representatives</w:t>
      </w:r>
      <w:r w:rsidR="00173750" w:rsidRPr="00772A27">
        <w:rPr>
          <w:rFonts w:ascii="Verdana" w:hAnsi="Verdana"/>
          <w:sz w:val="20"/>
          <w:lang w:val="en-US"/>
        </w:rPr>
        <w:t xml:space="preserve"> </w:t>
      </w:r>
      <w:r w:rsidR="00532E17" w:rsidRPr="00772A27">
        <w:rPr>
          <w:rFonts w:ascii="Verdana" w:hAnsi="Verdana"/>
          <w:sz w:val="20"/>
          <w:lang w:val="en-US"/>
        </w:rPr>
        <w:t>pointed out that</w:t>
      </w:r>
      <w:r w:rsidR="00622B04" w:rsidRPr="00772A27">
        <w:rPr>
          <w:rFonts w:ascii="Verdana" w:hAnsi="Verdana"/>
          <w:sz w:val="20"/>
          <w:lang w:val="en-US"/>
        </w:rPr>
        <w:t xml:space="preserve"> the fact that</w:t>
      </w:r>
      <w:r w:rsidR="00532E17" w:rsidRPr="00772A27">
        <w:rPr>
          <w:rFonts w:ascii="Verdana" w:hAnsi="Verdana"/>
          <w:sz w:val="20"/>
          <w:lang w:val="en-US"/>
        </w:rPr>
        <w:t xml:space="preserve"> they </w:t>
      </w:r>
      <w:r w:rsidR="00622B04" w:rsidRPr="00772A27">
        <w:rPr>
          <w:rFonts w:ascii="Verdana" w:hAnsi="Verdana"/>
          <w:sz w:val="20"/>
          <w:lang w:val="en-US"/>
        </w:rPr>
        <w:t>had been</w:t>
      </w:r>
      <w:r w:rsidR="00532E17" w:rsidRPr="00772A27">
        <w:rPr>
          <w:rFonts w:ascii="Verdana" w:hAnsi="Verdana"/>
          <w:sz w:val="20"/>
          <w:lang w:val="en-US"/>
        </w:rPr>
        <w:t xml:space="preserve"> buil</w:t>
      </w:r>
      <w:r w:rsidR="00622B04" w:rsidRPr="00772A27">
        <w:rPr>
          <w:rFonts w:ascii="Verdana" w:hAnsi="Verdana"/>
          <w:sz w:val="20"/>
          <w:lang w:val="en-US"/>
        </w:rPr>
        <w:t>t</w:t>
      </w:r>
      <w:r w:rsidR="00532E17" w:rsidRPr="00772A27">
        <w:rPr>
          <w:rFonts w:ascii="Verdana" w:hAnsi="Verdana"/>
          <w:sz w:val="20"/>
          <w:lang w:val="en-US"/>
        </w:rPr>
        <w:t xml:space="preserve"> outside the </w:t>
      </w:r>
      <w:proofErr w:type="spellStart"/>
      <w:r w:rsidR="00532E17" w:rsidRPr="00772A27">
        <w:rPr>
          <w:rFonts w:ascii="Verdana" w:hAnsi="Verdana"/>
          <w:sz w:val="20"/>
          <w:lang w:val="en-US"/>
        </w:rPr>
        <w:t>Moiwana</w:t>
      </w:r>
      <w:proofErr w:type="spellEnd"/>
      <w:r w:rsidR="00532E17" w:rsidRPr="00772A27">
        <w:rPr>
          <w:rFonts w:ascii="Verdana" w:hAnsi="Verdana"/>
          <w:sz w:val="20"/>
          <w:lang w:val="en-US"/>
        </w:rPr>
        <w:t xml:space="preserve"> settlement, without consulting about </w:t>
      </w:r>
      <w:r w:rsidR="00622B04" w:rsidRPr="00772A27">
        <w:rPr>
          <w:rFonts w:ascii="Verdana" w:hAnsi="Verdana"/>
          <w:sz w:val="20"/>
          <w:lang w:val="en-US"/>
        </w:rPr>
        <w:t>where they</w:t>
      </w:r>
      <w:r w:rsidR="00532E17" w:rsidRPr="00772A27">
        <w:rPr>
          <w:rFonts w:ascii="Verdana" w:hAnsi="Verdana"/>
          <w:sz w:val="20"/>
          <w:lang w:val="en-US"/>
        </w:rPr>
        <w:t xml:space="preserve"> would be buil</w:t>
      </w:r>
      <w:r w:rsidR="00622B04" w:rsidRPr="00772A27">
        <w:rPr>
          <w:rFonts w:ascii="Verdana" w:hAnsi="Verdana"/>
          <w:sz w:val="20"/>
          <w:lang w:val="en-US"/>
        </w:rPr>
        <w:t>t</w:t>
      </w:r>
      <w:r w:rsidR="00532E17" w:rsidRPr="00772A27">
        <w:rPr>
          <w:rFonts w:ascii="Verdana" w:hAnsi="Verdana"/>
          <w:sz w:val="20"/>
          <w:lang w:val="en-US"/>
        </w:rPr>
        <w:t xml:space="preserve"> and without consulting the neighboring communities, ha</w:t>
      </w:r>
      <w:r w:rsidR="00622B04" w:rsidRPr="00772A27">
        <w:rPr>
          <w:rFonts w:ascii="Verdana" w:hAnsi="Verdana"/>
          <w:sz w:val="20"/>
          <w:lang w:val="en-US"/>
        </w:rPr>
        <w:t>d</w:t>
      </w:r>
      <w:r w:rsidR="00532E17" w:rsidRPr="00772A27">
        <w:rPr>
          <w:rFonts w:ascii="Verdana" w:hAnsi="Verdana"/>
          <w:sz w:val="20"/>
          <w:lang w:val="en-US"/>
        </w:rPr>
        <w:t xml:space="preserve"> resulted in the investment being ineffective and, consequently, that the</w:t>
      </w:r>
      <w:r w:rsidR="00622B04" w:rsidRPr="00772A27">
        <w:rPr>
          <w:rFonts w:ascii="Verdana" w:hAnsi="Verdana"/>
          <w:sz w:val="20"/>
          <w:lang w:val="en-US"/>
        </w:rPr>
        <w:t>se</w:t>
      </w:r>
      <w:r w:rsidR="00532E17" w:rsidRPr="00772A27">
        <w:rPr>
          <w:rFonts w:ascii="Verdana" w:hAnsi="Verdana"/>
          <w:sz w:val="20"/>
          <w:lang w:val="en-US"/>
        </w:rPr>
        <w:t xml:space="preserve"> houses are empty. They stressed that this fund should also have been used for </w:t>
      </w:r>
      <w:r w:rsidR="00873095" w:rsidRPr="00772A27">
        <w:rPr>
          <w:rFonts w:ascii="Verdana" w:hAnsi="Verdana"/>
          <w:sz w:val="20"/>
          <w:lang w:val="en-US"/>
        </w:rPr>
        <w:t>the community’s health and education policies.</w:t>
      </w:r>
    </w:p>
    <w:p w14:paraId="5D800C56" w14:textId="77777777" w:rsidR="00410E08" w:rsidRPr="00353B3F" w:rsidRDefault="00410E08" w:rsidP="00410E08">
      <w:pPr>
        <w:pStyle w:val="ListParagraph"/>
        <w:ind w:left="0"/>
        <w:jc w:val="both"/>
        <w:rPr>
          <w:rFonts w:ascii="Verdana" w:hAnsi="Verdana"/>
          <w:sz w:val="20"/>
          <w:lang w:val="en-US"/>
        </w:rPr>
      </w:pPr>
    </w:p>
    <w:p w14:paraId="2B6171DD" w14:textId="0C47A305" w:rsidR="00173750" w:rsidRPr="00353B3F" w:rsidRDefault="00873095" w:rsidP="00873095">
      <w:pPr>
        <w:pStyle w:val="ListParagraph"/>
        <w:numPr>
          <w:ilvl w:val="0"/>
          <w:numId w:val="5"/>
        </w:numPr>
        <w:ind w:left="0" w:firstLine="0"/>
        <w:jc w:val="both"/>
        <w:rPr>
          <w:rFonts w:ascii="Verdana" w:hAnsi="Verdana"/>
          <w:sz w:val="20"/>
          <w:lang w:val="en-US"/>
        </w:rPr>
      </w:pPr>
      <w:r w:rsidRPr="00353B3F">
        <w:rPr>
          <w:rFonts w:ascii="Verdana" w:hAnsi="Verdana"/>
          <w:sz w:val="20"/>
          <w:lang w:val="en-US"/>
        </w:rPr>
        <w:t>Based on the above, the Court assesses positively that, according to information provided by the State, it has paid the full amount owed to the community development fund; an aspect acknowledged by the representatives. However, as the representatives pointed out, the Court finds that there is a lack of clarity as to the way in which these funds were invested, particularly taking into account the construction of the twenty houses mentioned above, of which only two are inhabited owing to the failure to consult the members of the community</w:t>
      </w:r>
      <w:r w:rsidR="00622B04" w:rsidRPr="00353B3F">
        <w:rPr>
          <w:rFonts w:ascii="Verdana" w:hAnsi="Verdana"/>
          <w:sz w:val="20"/>
          <w:lang w:val="en-US"/>
        </w:rPr>
        <w:t>;</w:t>
      </w:r>
      <w:r w:rsidRPr="00353B3F">
        <w:rPr>
          <w:rFonts w:ascii="Verdana" w:hAnsi="Verdana"/>
          <w:sz w:val="20"/>
          <w:lang w:val="en-US"/>
        </w:rPr>
        <w:t xml:space="preserve"> also regarding the lack of precise information on the other investments made, or to be made, from the said fund.</w:t>
      </w:r>
    </w:p>
    <w:p w14:paraId="7D5E923A" w14:textId="77777777" w:rsidR="00873095" w:rsidRPr="00353B3F" w:rsidRDefault="00873095" w:rsidP="00873095">
      <w:pPr>
        <w:pStyle w:val="ListParagraph"/>
        <w:ind w:left="0"/>
        <w:jc w:val="both"/>
        <w:rPr>
          <w:rFonts w:ascii="Verdana" w:hAnsi="Verdana"/>
          <w:sz w:val="20"/>
          <w:lang w:val="en-US"/>
        </w:rPr>
      </w:pPr>
    </w:p>
    <w:p w14:paraId="691AB64B" w14:textId="18C79A27" w:rsidR="00873095" w:rsidRPr="00353B3F" w:rsidRDefault="00873095" w:rsidP="0082474C">
      <w:pPr>
        <w:pStyle w:val="ListParagraph"/>
        <w:numPr>
          <w:ilvl w:val="0"/>
          <w:numId w:val="5"/>
        </w:numPr>
        <w:ind w:left="0" w:firstLine="0"/>
        <w:jc w:val="both"/>
        <w:rPr>
          <w:rFonts w:ascii="Verdana" w:hAnsi="Verdana"/>
          <w:sz w:val="20"/>
          <w:lang w:val="en-US"/>
        </w:rPr>
      </w:pPr>
      <w:r w:rsidRPr="00353B3F">
        <w:rPr>
          <w:rFonts w:ascii="Verdana" w:hAnsi="Verdana"/>
          <w:sz w:val="20"/>
          <w:lang w:val="en-US"/>
        </w:rPr>
        <w:t xml:space="preserve">Consequently, the Court </w:t>
      </w:r>
      <w:r w:rsidR="005C2E8D" w:rsidRPr="00353B3F">
        <w:rPr>
          <w:rFonts w:ascii="Verdana" w:hAnsi="Verdana"/>
          <w:sz w:val="20"/>
          <w:lang w:val="en-US"/>
        </w:rPr>
        <w:t>considers</w:t>
      </w:r>
      <w:r w:rsidRPr="00353B3F">
        <w:rPr>
          <w:rFonts w:ascii="Verdana" w:hAnsi="Verdana"/>
          <w:sz w:val="20"/>
          <w:lang w:val="en-US"/>
        </w:rPr>
        <w:t xml:space="preserve"> that it still has insufficient information to assess compliance with this measure</w:t>
      </w:r>
      <w:r w:rsidR="00622B04" w:rsidRPr="00353B3F">
        <w:rPr>
          <w:rFonts w:ascii="Verdana" w:hAnsi="Verdana"/>
          <w:sz w:val="20"/>
          <w:lang w:val="en-US"/>
        </w:rPr>
        <w:t>, in order to declare that this reparation has been fulfilled,</w:t>
      </w:r>
      <w:r w:rsidR="005C2E8D" w:rsidRPr="00353B3F">
        <w:rPr>
          <w:rFonts w:ascii="Verdana" w:hAnsi="Verdana"/>
          <w:sz w:val="20"/>
          <w:lang w:val="en-US"/>
        </w:rPr>
        <w:t xml:space="preserve"> because the State has not indicated the programs in which this fund has invested, or the composition of the fund’s implementation committee, which had to be set up by mutual agreement with the representatives. Accordingly, the Court finds it necessary that the State provide clear, precise and detailed information concerning the investment of the development fund indicating, specifically: (i) how much money was invested in medical care, housing and education; (ii) how the fund was invested, describing the projects carried out and</w:t>
      </w:r>
      <w:r w:rsidR="00622B04" w:rsidRPr="00353B3F">
        <w:rPr>
          <w:rFonts w:ascii="Verdana" w:hAnsi="Verdana"/>
          <w:sz w:val="20"/>
          <w:lang w:val="en-US"/>
        </w:rPr>
        <w:t xml:space="preserve"> the</w:t>
      </w:r>
      <w:r w:rsidR="005C2E8D" w:rsidRPr="00353B3F">
        <w:rPr>
          <w:rFonts w:ascii="Verdana" w:hAnsi="Verdana"/>
          <w:sz w:val="20"/>
          <w:lang w:val="en-US"/>
        </w:rPr>
        <w:t xml:space="preserve"> </w:t>
      </w:r>
      <w:r w:rsidR="00622B04" w:rsidRPr="00353B3F">
        <w:rPr>
          <w:rFonts w:ascii="Verdana" w:hAnsi="Verdana"/>
          <w:sz w:val="20"/>
          <w:lang w:val="en-US"/>
        </w:rPr>
        <w:t>continuing nature of the fund</w:t>
      </w:r>
      <w:r w:rsidR="005C2E8D" w:rsidRPr="00353B3F">
        <w:rPr>
          <w:rFonts w:ascii="Verdana" w:hAnsi="Verdana"/>
          <w:sz w:val="20"/>
          <w:lang w:val="en-US"/>
        </w:rPr>
        <w:t>, and (iii) how the fund’s implementation committee is composed and how the representatives were taken into account in this regard.</w:t>
      </w:r>
    </w:p>
    <w:p w14:paraId="1A41A84B" w14:textId="77777777" w:rsidR="00173750" w:rsidRPr="00353B3F" w:rsidRDefault="00173750" w:rsidP="00173750">
      <w:pPr>
        <w:pStyle w:val="ListParagraph"/>
        <w:rPr>
          <w:rFonts w:ascii="Verdana" w:hAnsi="Verdana"/>
          <w:sz w:val="20"/>
          <w:lang w:val="en-US"/>
        </w:rPr>
      </w:pPr>
    </w:p>
    <w:p w14:paraId="3CED34B7" w14:textId="596C9CF6" w:rsidR="005455A0" w:rsidRPr="00353B3F" w:rsidRDefault="00EC5ABD" w:rsidP="005455A0">
      <w:pPr>
        <w:pStyle w:val="Heading1"/>
        <w:numPr>
          <w:ilvl w:val="0"/>
          <w:numId w:val="12"/>
        </w:numPr>
        <w:spacing w:before="0"/>
        <w:jc w:val="both"/>
        <w:rPr>
          <w:rFonts w:ascii="Verdana" w:hAnsi="Verdana"/>
          <w:color w:val="auto"/>
          <w:sz w:val="20"/>
          <w:szCs w:val="20"/>
          <w:lang w:val="en-US"/>
        </w:rPr>
      </w:pPr>
      <w:bookmarkStart w:id="26" w:name="_Toc533153550"/>
      <w:r w:rsidRPr="00353B3F">
        <w:rPr>
          <w:rFonts w:ascii="Verdana" w:hAnsi="Verdana"/>
          <w:color w:val="auto"/>
          <w:sz w:val="20"/>
          <w:szCs w:val="20"/>
          <w:lang w:val="en-US"/>
        </w:rPr>
        <w:t>Pending report and possible monitoring visit</w:t>
      </w:r>
      <w:bookmarkEnd w:id="26"/>
      <w:r w:rsidR="005455A0" w:rsidRPr="00353B3F">
        <w:rPr>
          <w:rFonts w:ascii="Verdana" w:hAnsi="Verdana"/>
          <w:color w:val="auto"/>
          <w:sz w:val="20"/>
          <w:szCs w:val="20"/>
          <w:lang w:val="en-US"/>
        </w:rPr>
        <w:t xml:space="preserve"> </w:t>
      </w:r>
    </w:p>
    <w:p w14:paraId="72655C77" w14:textId="77777777" w:rsidR="00173750" w:rsidRPr="00353B3F" w:rsidRDefault="00173750" w:rsidP="00173750">
      <w:pPr>
        <w:pStyle w:val="ListParagraph"/>
        <w:rPr>
          <w:rFonts w:ascii="Verdana" w:hAnsi="Verdana"/>
          <w:sz w:val="20"/>
          <w:lang w:val="en-US"/>
        </w:rPr>
      </w:pPr>
    </w:p>
    <w:p w14:paraId="53EBAB96" w14:textId="242D4228" w:rsidR="00F44BBC" w:rsidRPr="00353B3F" w:rsidRDefault="00BD6E06" w:rsidP="00803BA1">
      <w:pPr>
        <w:pStyle w:val="ListParagraph"/>
        <w:numPr>
          <w:ilvl w:val="0"/>
          <w:numId w:val="5"/>
        </w:numPr>
        <w:ind w:left="0" w:firstLine="0"/>
        <w:jc w:val="both"/>
        <w:rPr>
          <w:rFonts w:ascii="Verdana" w:hAnsi="Verdana"/>
          <w:b/>
          <w:sz w:val="20"/>
          <w:lang w:val="en-US"/>
        </w:rPr>
      </w:pPr>
      <w:r w:rsidRPr="00353B3F">
        <w:rPr>
          <w:rFonts w:ascii="Verdana" w:hAnsi="Verdana"/>
          <w:sz w:val="20"/>
          <w:lang w:val="en-US"/>
        </w:rPr>
        <w:t>On March 4,</w:t>
      </w:r>
      <w:r w:rsidR="00F44BBC" w:rsidRPr="00353B3F">
        <w:rPr>
          <w:rFonts w:ascii="Verdana" w:hAnsi="Verdana"/>
          <w:sz w:val="20"/>
          <w:lang w:val="en-US"/>
        </w:rPr>
        <w:t xml:space="preserve"> 2017</w:t>
      </w:r>
      <w:r w:rsidRPr="00353B3F">
        <w:rPr>
          <w:rFonts w:ascii="Verdana" w:hAnsi="Verdana"/>
          <w:sz w:val="20"/>
          <w:lang w:val="en-US"/>
        </w:rPr>
        <w:t>, t</w:t>
      </w:r>
      <w:r w:rsidR="00270E1F">
        <w:rPr>
          <w:rFonts w:ascii="Verdana" w:hAnsi="Verdana"/>
          <w:sz w:val="20"/>
          <w:lang w:val="en-US"/>
        </w:rPr>
        <w:t>he time limit</w:t>
      </w:r>
      <w:r w:rsidRPr="00353B3F">
        <w:rPr>
          <w:rFonts w:ascii="Verdana" w:hAnsi="Verdana"/>
          <w:sz w:val="20"/>
          <w:lang w:val="en-US"/>
        </w:rPr>
        <w:t xml:space="preserve"> granted by the President of the Court to the State to present a report on compliance with all the pending measures of reparation</w:t>
      </w:r>
      <w:r w:rsidR="00803BA1" w:rsidRPr="00353B3F">
        <w:rPr>
          <w:rFonts w:ascii="Verdana" w:hAnsi="Verdana"/>
          <w:sz w:val="20"/>
          <w:lang w:val="en-US"/>
        </w:rPr>
        <w:t xml:space="preserve"> expired</w:t>
      </w:r>
      <w:r w:rsidRPr="00353B3F">
        <w:rPr>
          <w:rFonts w:ascii="Verdana" w:hAnsi="Verdana"/>
          <w:sz w:val="20"/>
          <w:lang w:val="en-US"/>
        </w:rPr>
        <w:t xml:space="preserve">. The State was reminded of this in two notes from the </w:t>
      </w:r>
      <w:r w:rsidR="00B00DF6" w:rsidRPr="00353B3F">
        <w:rPr>
          <w:rFonts w:ascii="Verdana" w:hAnsi="Verdana"/>
          <w:sz w:val="20"/>
          <w:lang w:val="en-US"/>
        </w:rPr>
        <w:t>Secretariat</w:t>
      </w:r>
      <w:r w:rsidR="00F44BBC" w:rsidRPr="00353B3F">
        <w:rPr>
          <w:rFonts w:ascii="Verdana" w:hAnsi="Verdana"/>
          <w:sz w:val="20"/>
          <w:lang w:val="en-US"/>
        </w:rPr>
        <w:t xml:space="preserve"> (</w:t>
      </w:r>
      <w:r w:rsidR="00F44BBC" w:rsidRPr="00353B3F">
        <w:rPr>
          <w:rFonts w:ascii="Verdana" w:hAnsi="Verdana"/>
          <w:i/>
          <w:sz w:val="20"/>
          <w:lang w:val="en-US"/>
        </w:rPr>
        <w:t>supra</w:t>
      </w:r>
      <w:r w:rsidR="00F44BBC" w:rsidRPr="00353B3F">
        <w:rPr>
          <w:rFonts w:ascii="Verdana" w:hAnsi="Verdana"/>
          <w:sz w:val="20"/>
          <w:lang w:val="en-US"/>
        </w:rPr>
        <w:t xml:space="preserve"> </w:t>
      </w:r>
      <w:r w:rsidR="00BA5116" w:rsidRPr="00353B3F">
        <w:rPr>
          <w:rFonts w:ascii="Verdana" w:hAnsi="Verdana"/>
          <w:sz w:val="20"/>
          <w:lang w:val="en-US"/>
        </w:rPr>
        <w:t>having seen paragraph</w:t>
      </w:r>
      <w:r w:rsidR="00F44BBC" w:rsidRPr="00353B3F">
        <w:rPr>
          <w:rFonts w:ascii="Verdana" w:hAnsi="Verdana"/>
          <w:sz w:val="20"/>
          <w:lang w:val="en-US"/>
        </w:rPr>
        <w:t xml:space="preserve"> </w:t>
      </w:r>
      <w:r w:rsidR="00951BA4" w:rsidRPr="00353B3F">
        <w:rPr>
          <w:rFonts w:ascii="Verdana" w:hAnsi="Verdana"/>
          <w:sz w:val="20"/>
          <w:lang w:val="en-US"/>
        </w:rPr>
        <w:fldChar w:fldCharType="begin"/>
      </w:r>
      <w:r w:rsidR="00951BA4" w:rsidRPr="00353B3F">
        <w:rPr>
          <w:rFonts w:ascii="Verdana" w:hAnsi="Verdana"/>
          <w:sz w:val="20"/>
          <w:lang w:val="en-US"/>
        </w:rPr>
        <w:instrText xml:space="preserve"> REF _Ref532201361 \r \h </w:instrText>
      </w:r>
      <w:r w:rsidR="00E47A56" w:rsidRPr="00353B3F">
        <w:rPr>
          <w:rFonts w:ascii="Verdana" w:hAnsi="Verdana"/>
          <w:sz w:val="20"/>
          <w:lang w:val="en-US"/>
        </w:rPr>
        <w:instrText xml:space="preserve"> \* MERGEFORMAT </w:instrText>
      </w:r>
      <w:r w:rsidR="00951BA4" w:rsidRPr="00353B3F">
        <w:rPr>
          <w:rFonts w:ascii="Verdana" w:hAnsi="Verdana"/>
          <w:sz w:val="20"/>
          <w:lang w:val="en-US"/>
        </w:rPr>
      </w:r>
      <w:r w:rsidR="00951BA4" w:rsidRPr="00353B3F">
        <w:rPr>
          <w:rFonts w:ascii="Verdana" w:hAnsi="Verdana"/>
          <w:sz w:val="20"/>
          <w:lang w:val="en-US"/>
        </w:rPr>
        <w:fldChar w:fldCharType="separate"/>
      </w:r>
      <w:r w:rsidR="00BD655E">
        <w:rPr>
          <w:rFonts w:ascii="Verdana" w:hAnsi="Verdana"/>
          <w:sz w:val="20"/>
          <w:lang w:val="en-US"/>
        </w:rPr>
        <w:t>10</w:t>
      </w:r>
      <w:r w:rsidR="00951BA4" w:rsidRPr="00353B3F">
        <w:rPr>
          <w:rFonts w:ascii="Verdana" w:hAnsi="Verdana"/>
          <w:sz w:val="20"/>
          <w:lang w:val="en-US"/>
        </w:rPr>
        <w:fldChar w:fldCharType="end"/>
      </w:r>
      <w:r w:rsidR="00F44BBC" w:rsidRPr="00353B3F">
        <w:rPr>
          <w:rFonts w:ascii="Verdana" w:hAnsi="Verdana"/>
          <w:sz w:val="20"/>
          <w:lang w:val="en-US"/>
        </w:rPr>
        <w:t>)</w:t>
      </w:r>
      <w:r w:rsidR="00DC4217" w:rsidRPr="00353B3F">
        <w:rPr>
          <w:rFonts w:ascii="Verdana" w:hAnsi="Verdana"/>
          <w:sz w:val="20"/>
          <w:lang w:val="en-US"/>
        </w:rPr>
        <w:t>,</w:t>
      </w:r>
      <w:r w:rsidR="00F44BBC" w:rsidRPr="00353B3F">
        <w:rPr>
          <w:rFonts w:ascii="Verdana" w:hAnsi="Verdana"/>
          <w:sz w:val="20"/>
          <w:lang w:val="en-US"/>
        </w:rPr>
        <w:t xml:space="preserve"> </w:t>
      </w:r>
      <w:r w:rsidRPr="00353B3F">
        <w:rPr>
          <w:rFonts w:ascii="Verdana" w:hAnsi="Verdana"/>
          <w:sz w:val="20"/>
          <w:lang w:val="en-US"/>
        </w:rPr>
        <w:t xml:space="preserve">but the report has not been presented. Consequently, </w:t>
      </w:r>
      <w:r w:rsidRPr="00353B3F">
        <w:rPr>
          <w:rFonts w:ascii="Verdana" w:hAnsi="Verdana"/>
          <w:sz w:val="20"/>
          <w:lang w:val="en-US"/>
        </w:rPr>
        <w:lastRenderedPageBreak/>
        <w:t xml:space="preserve">within the time limit established in </w:t>
      </w:r>
      <w:r w:rsidR="00EC5ABD" w:rsidRPr="00353B3F">
        <w:rPr>
          <w:rFonts w:ascii="Verdana" w:hAnsi="Verdana"/>
          <w:sz w:val="20"/>
          <w:lang w:val="en-US"/>
        </w:rPr>
        <w:t>operative paragraph</w:t>
      </w:r>
      <w:r w:rsidR="00F44BBC" w:rsidRPr="00353B3F">
        <w:rPr>
          <w:rFonts w:ascii="Verdana" w:hAnsi="Verdana"/>
          <w:sz w:val="20"/>
          <w:lang w:val="en-US"/>
        </w:rPr>
        <w:t xml:space="preserve"> </w:t>
      </w:r>
      <w:r w:rsidR="00951BA4" w:rsidRPr="00353B3F">
        <w:rPr>
          <w:rFonts w:ascii="Verdana" w:hAnsi="Verdana"/>
          <w:sz w:val="20"/>
          <w:lang w:val="en-US"/>
        </w:rPr>
        <w:fldChar w:fldCharType="begin"/>
      </w:r>
      <w:r w:rsidR="00951BA4" w:rsidRPr="00353B3F">
        <w:rPr>
          <w:rFonts w:ascii="Verdana" w:hAnsi="Verdana"/>
          <w:sz w:val="20"/>
          <w:lang w:val="en-US"/>
        </w:rPr>
        <w:instrText xml:space="preserve"> REF _Ref532304687 \r \h </w:instrText>
      </w:r>
      <w:r w:rsidR="00E47A56" w:rsidRPr="00353B3F">
        <w:rPr>
          <w:rFonts w:ascii="Verdana" w:hAnsi="Verdana"/>
          <w:sz w:val="20"/>
          <w:lang w:val="en-US"/>
        </w:rPr>
        <w:instrText xml:space="preserve"> \* MERGEFORMAT </w:instrText>
      </w:r>
      <w:r w:rsidR="00951BA4" w:rsidRPr="00353B3F">
        <w:rPr>
          <w:rFonts w:ascii="Verdana" w:hAnsi="Verdana"/>
          <w:sz w:val="20"/>
          <w:lang w:val="en-US"/>
        </w:rPr>
      </w:r>
      <w:r w:rsidR="00951BA4" w:rsidRPr="00353B3F">
        <w:rPr>
          <w:rFonts w:ascii="Verdana" w:hAnsi="Verdana"/>
          <w:sz w:val="20"/>
          <w:lang w:val="en-US"/>
        </w:rPr>
        <w:fldChar w:fldCharType="separate"/>
      </w:r>
      <w:r w:rsidR="00BD655E">
        <w:rPr>
          <w:rFonts w:ascii="Verdana" w:hAnsi="Verdana"/>
          <w:sz w:val="20"/>
          <w:lang w:val="en-US"/>
        </w:rPr>
        <w:t>5</w:t>
      </w:r>
      <w:r w:rsidR="00951BA4" w:rsidRPr="00353B3F">
        <w:rPr>
          <w:rFonts w:ascii="Verdana" w:hAnsi="Verdana"/>
          <w:sz w:val="20"/>
          <w:lang w:val="en-US"/>
        </w:rPr>
        <w:fldChar w:fldCharType="end"/>
      </w:r>
      <w:r w:rsidR="00F44BBC" w:rsidRPr="00353B3F">
        <w:rPr>
          <w:rFonts w:ascii="Verdana" w:hAnsi="Verdana"/>
          <w:sz w:val="20"/>
          <w:lang w:val="en-US"/>
        </w:rPr>
        <w:t xml:space="preserve"> </w:t>
      </w:r>
      <w:r w:rsidRPr="00353B3F">
        <w:rPr>
          <w:rFonts w:ascii="Verdana" w:hAnsi="Verdana"/>
          <w:sz w:val="20"/>
          <w:lang w:val="en-US"/>
        </w:rPr>
        <w:t xml:space="preserve">of this order, the State is again requested to present a report on </w:t>
      </w:r>
      <w:r w:rsidR="00803BA1" w:rsidRPr="00353B3F">
        <w:rPr>
          <w:rFonts w:ascii="Verdana" w:hAnsi="Verdana"/>
          <w:sz w:val="20"/>
          <w:lang w:val="en-US"/>
        </w:rPr>
        <w:t>execution of</w:t>
      </w:r>
      <w:r w:rsidRPr="00353B3F">
        <w:rPr>
          <w:rFonts w:ascii="Verdana" w:hAnsi="Verdana"/>
          <w:sz w:val="20"/>
          <w:lang w:val="en-US"/>
        </w:rPr>
        <w:t xml:space="preserve"> </w:t>
      </w:r>
      <w:r w:rsidR="00DC49A3" w:rsidRPr="00353B3F">
        <w:rPr>
          <w:rFonts w:ascii="Verdana" w:hAnsi="Verdana"/>
          <w:sz w:val="20"/>
          <w:lang w:val="en-US"/>
        </w:rPr>
        <w:t xml:space="preserve">the </w:t>
      </w:r>
      <w:r w:rsidR="00484EB4" w:rsidRPr="00353B3F">
        <w:rPr>
          <w:rFonts w:ascii="Verdana" w:hAnsi="Verdana"/>
          <w:sz w:val="20"/>
          <w:lang w:val="en-US"/>
        </w:rPr>
        <w:t>judgment</w:t>
      </w:r>
      <w:r w:rsidR="00DC4217" w:rsidRPr="00353B3F">
        <w:rPr>
          <w:rFonts w:ascii="Verdana" w:hAnsi="Verdana"/>
          <w:sz w:val="20"/>
          <w:lang w:val="en-US"/>
        </w:rPr>
        <w:t>,</w:t>
      </w:r>
      <w:r w:rsidR="00F44BBC" w:rsidRPr="00353B3F">
        <w:rPr>
          <w:rFonts w:ascii="Verdana" w:hAnsi="Verdana"/>
          <w:sz w:val="20"/>
          <w:lang w:val="en-US"/>
        </w:rPr>
        <w:t xml:space="preserve"> </w:t>
      </w:r>
      <w:r w:rsidRPr="00353B3F">
        <w:rPr>
          <w:rFonts w:ascii="Verdana" w:hAnsi="Verdana"/>
          <w:sz w:val="20"/>
          <w:lang w:val="en-US"/>
        </w:rPr>
        <w:t xml:space="preserve">in which it provides updated information on compliance with the pending measures of reparation. </w:t>
      </w:r>
    </w:p>
    <w:p w14:paraId="13226912" w14:textId="5DB6C89B" w:rsidR="00F44BBC" w:rsidRPr="00353B3F" w:rsidRDefault="00F44BBC" w:rsidP="00F44BBC">
      <w:pPr>
        <w:pStyle w:val="ListParagraph"/>
        <w:ind w:left="0"/>
        <w:jc w:val="both"/>
        <w:rPr>
          <w:rFonts w:ascii="Verdana" w:hAnsi="Verdana"/>
          <w:b/>
          <w:sz w:val="20"/>
          <w:lang w:val="en-US"/>
        </w:rPr>
      </w:pPr>
    </w:p>
    <w:p w14:paraId="7CC33096" w14:textId="2C59695D" w:rsidR="00F44BBC" w:rsidRPr="00353B3F" w:rsidRDefault="00BD6E06" w:rsidP="00BD6E06">
      <w:pPr>
        <w:pStyle w:val="ListParagraph"/>
        <w:numPr>
          <w:ilvl w:val="0"/>
          <w:numId w:val="5"/>
        </w:numPr>
        <w:ind w:left="0" w:firstLine="0"/>
        <w:jc w:val="both"/>
        <w:rPr>
          <w:rFonts w:ascii="Verdana" w:hAnsi="Verdana"/>
          <w:sz w:val="20"/>
          <w:lang w:val="en-US"/>
        </w:rPr>
      </w:pPr>
      <w:r w:rsidRPr="00353B3F">
        <w:rPr>
          <w:rFonts w:ascii="Verdana" w:hAnsi="Verdana"/>
          <w:sz w:val="20"/>
          <w:lang w:val="en-US"/>
        </w:rPr>
        <w:t xml:space="preserve">In addition, taking into account that </w:t>
      </w:r>
      <w:r w:rsidR="00803BA1" w:rsidRPr="00353B3F">
        <w:rPr>
          <w:rFonts w:ascii="Verdana" w:hAnsi="Verdana"/>
          <w:sz w:val="20"/>
          <w:lang w:val="en-US"/>
        </w:rPr>
        <w:t>it</w:t>
      </w:r>
      <w:r w:rsidRPr="00353B3F">
        <w:rPr>
          <w:rFonts w:ascii="Verdana" w:hAnsi="Verdana"/>
          <w:sz w:val="20"/>
          <w:lang w:val="en-US"/>
        </w:rPr>
        <w:t xml:space="preserve"> </w:t>
      </w:r>
      <w:r w:rsidR="00803BA1" w:rsidRPr="00353B3F">
        <w:rPr>
          <w:rFonts w:ascii="Verdana" w:hAnsi="Verdana"/>
          <w:sz w:val="20"/>
          <w:lang w:val="en-US"/>
        </w:rPr>
        <w:t xml:space="preserve">would </w:t>
      </w:r>
      <w:r w:rsidRPr="00353B3F">
        <w:rPr>
          <w:rFonts w:ascii="Verdana" w:hAnsi="Verdana"/>
          <w:sz w:val="20"/>
          <w:lang w:val="en-US"/>
        </w:rPr>
        <w:t xml:space="preserve">appear </w:t>
      </w:r>
      <w:r w:rsidR="00803BA1" w:rsidRPr="00353B3F">
        <w:rPr>
          <w:rFonts w:ascii="Verdana" w:hAnsi="Verdana"/>
          <w:sz w:val="20"/>
          <w:lang w:val="en-US"/>
        </w:rPr>
        <w:t>that</w:t>
      </w:r>
      <w:r w:rsidRPr="00353B3F">
        <w:rPr>
          <w:rFonts w:ascii="Verdana" w:hAnsi="Verdana"/>
          <w:sz w:val="20"/>
          <w:lang w:val="en-US"/>
        </w:rPr>
        <w:t xml:space="preserve"> no substantial progress</w:t>
      </w:r>
      <w:r w:rsidR="00803BA1" w:rsidRPr="00353B3F">
        <w:rPr>
          <w:rFonts w:ascii="Verdana" w:hAnsi="Verdana"/>
          <w:sz w:val="20"/>
          <w:lang w:val="en-US"/>
        </w:rPr>
        <w:t xml:space="preserve"> has been made</w:t>
      </w:r>
      <w:r w:rsidRPr="00353B3F">
        <w:rPr>
          <w:rFonts w:ascii="Verdana" w:hAnsi="Verdana"/>
          <w:sz w:val="20"/>
          <w:lang w:val="en-US"/>
        </w:rPr>
        <w:t xml:space="preserve"> in fulfillment of the said measures, as well as the benefits that a visit to monitor compliance could have, the Court finds it necessary to establish that, pursuant to Article 69 of its Rules of Procedure, if </w:t>
      </w:r>
      <w:r w:rsidR="00803BA1" w:rsidRPr="00353B3F">
        <w:rPr>
          <w:rFonts w:ascii="Verdana" w:hAnsi="Verdana"/>
          <w:sz w:val="20"/>
          <w:lang w:val="en-US"/>
        </w:rPr>
        <w:t>appropriate</w:t>
      </w:r>
      <w:r w:rsidRPr="00353B3F">
        <w:rPr>
          <w:rFonts w:ascii="Verdana" w:hAnsi="Verdana"/>
          <w:sz w:val="20"/>
          <w:lang w:val="en-US"/>
        </w:rPr>
        <w:t xml:space="preserve">, the President of the Court may delegate one or more judges of the Court or Secretariat officials to make a visit to Suriname to obtain </w:t>
      </w:r>
      <w:r w:rsidR="00E87E96" w:rsidRPr="00353B3F">
        <w:rPr>
          <w:rFonts w:ascii="Verdana" w:hAnsi="Verdana"/>
          <w:sz w:val="20"/>
          <w:lang w:val="en-US"/>
        </w:rPr>
        <w:t>relevant and precise information directly from the parties in order to monitor compliance with the judgment</w:t>
      </w:r>
      <w:r w:rsidR="00803BA1" w:rsidRPr="00353B3F">
        <w:rPr>
          <w:rFonts w:ascii="Verdana" w:hAnsi="Verdana"/>
          <w:sz w:val="20"/>
          <w:lang w:val="en-US"/>
        </w:rPr>
        <w:t>. Such a visit would be</w:t>
      </w:r>
      <w:r w:rsidR="00E87E96" w:rsidRPr="00353B3F">
        <w:rPr>
          <w:rFonts w:ascii="Verdana" w:hAnsi="Verdana"/>
          <w:sz w:val="20"/>
          <w:lang w:val="en-US"/>
        </w:rPr>
        <w:t xml:space="preserve"> </w:t>
      </w:r>
      <w:r w:rsidR="00803BA1" w:rsidRPr="00353B3F">
        <w:rPr>
          <w:rFonts w:ascii="Verdana" w:hAnsi="Verdana"/>
          <w:sz w:val="20"/>
          <w:lang w:val="en-US"/>
        </w:rPr>
        <w:t xml:space="preserve">made </w:t>
      </w:r>
      <w:r w:rsidR="00E87E96" w:rsidRPr="00353B3F">
        <w:rPr>
          <w:rFonts w:ascii="Verdana" w:hAnsi="Verdana"/>
          <w:sz w:val="20"/>
          <w:lang w:val="en-US"/>
        </w:rPr>
        <w:t xml:space="preserve">with the consent </w:t>
      </w:r>
      <w:r w:rsidR="00803BA1" w:rsidRPr="00353B3F">
        <w:rPr>
          <w:rFonts w:ascii="Verdana" w:hAnsi="Verdana"/>
          <w:sz w:val="20"/>
          <w:lang w:val="en-US"/>
        </w:rPr>
        <w:t xml:space="preserve">of, </w:t>
      </w:r>
      <w:r w:rsidR="00E87E96" w:rsidRPr="00353B3F">
        <w:rPr>
          <w:rFonts w:ascii="Verdana" w:hAnsi="Verdana"/>
          <w:sz w:val="20"/>
          <w:lang w:val="en-US"/>
        </w:rPr>
        <w:t>and in coordination with</w:t>
      </w:r>
      <w:r w:rsidR="00803BA1" w:rsidRPr="00353B3F">
        <w:rPr>
          <w:rFonts w:ascii="Verdana" w:hAnsi="Verdana"/>
          <w:sz w:val="20"/>
          <w:lang w:val="en-US"/>
        </w:rPr>
        <w:t>,</w:t>
      </w:r>
      <w:r w:rsidR="00E87E96" w:rsidRPr="00353B3F">
        <w:rPr>
          <w:rFonts w:ascii="Verdana" w:hAnsi="Verdana"/>
          <w:sz w:val="20"/>
          <w:lang w:val="en-US"/>
        </w:rPr>
        <w:t xml:space="preserve"> the State of Suriname. </w:t>
      </w:r>
      <w:r w:rsidR="00803BA1" w:rsidRPr="00353B3F">
        <w:rPr>
          <w:rFonts w:ascii="Verdana" w:hAnsi="Verdana"/>
          <w:sz w:val="20"/>
          <w:lang w:val="en-US"/>
        </w:rPr>
        <w:t>Similarly</w:t>
      </w:r>
      <w:r w:rsidR="00E87E96" w:rsidRPr="00353B3F">
        <w:rPr>
          <w:rFonts w:ascii="Verdana" w:hAnsi="Verdana"/>
          <w:sz w:val="20"/>
          <w:lang w:val="en-US"/>
        </w:rPr>
        <w:t xml:space="preserve">, in an order of September 26, 2018, the Court </w:t>
      </w:r>
      <w:r w:rsidR="00803BA1" w:rsidRPr="00353B3F">
        <w:rPr>
          <w:rFonts w:ascii="Verdana" w:hAnsi="Verdana"/>
          <w:sz w:val="20"/>
          <w:lang w:val="en-US"/>
        </w:rPr>
        <w:t xml:space="preserve">has </w:t>
      </w:r>
      <w:r w:rsidR="00E87E96" w:rsidRPr="00353B3F">
        <w:rPr>
          <w:rFonts w:ascii="Verdana" w:hAnsi="Verdana"/>
          <w:sz w:val="20"/>
          <w:lang w:val="en-US"/>
        </w:rPr>
        <w:t xml:space="preserve">also envisaged a visit in relation to the </w:t>
      </w:r>
      <w:r w:rsidR="00E87E96" w:rsidRPr="00353B3F">
        <w:rPr>
          <w:rFonts w:ascii="Verdana" w:hAnsi="Verdana"/>
          <w:i/>
          <w:sz w:val="20"/>
          <w:lang w:val="en-US"/>
        </w:rPr>
        <w:t>C</w:t>
      </w:r>
      <w:r w:rsidR="001C2D03" w:rsidRPr="00353B3F">
        <w:rPr>
          <w:rFonts w:ascii="Verdana" w:hAnsi="Verdana"/>
          <w:i/>
          <w:sz w:val="20"/>
          <w:lang w:val="en-US"/>
        </w:rPr>
        <w:t>as</w:t>
      </w:r>
      <w:r w:rsidR="00E87E96" w:rsidRPr="00353B3F">
        <w:rPr>
          <w:rFonts w:ascii="Verdana" w:hAnsi="Verdana"/>
          <w:i/>
          <w:sz w:val="20"/>
          <w:lang w:val="en-US"/>
        </w:rPr>
        <w:t xml:space="preserve">e of the </w:t>
      </w:r>
      <w:r w:rsidR="001C2D03" w:rsidRPr="00353B3F">
        <w:rPr>
          <w:rFonts w:ascii="Verdana" w:hAnsi="Verdana"/>
          <w:i/>
          <w:sz w:val="20"/>
          <w:lang w:val="en-US"/>
        </w:rPr>
        <w:t>Saramaka</w:t>
      </w:r>
      <w:r w:rsidR="00E87E96" w:rsidRPr="00353B3F">
        <w:rPr>
          <w:rFonts w:ascii="Verdana" w:hAnsi="Verdana"/>
          <w:i/>
          <w:sz w:val="20"/>
          <w:lang w:val="en-US"/>
        </w:rPr>
        <w:t xml:space="preserve"> </w:t>
      </w:r>
      <w:r w:rsidR="00EC4B42" w:rsidRPr="00353B3F">
        <w:rPr>
          <w:rFonts w:ascii="Verdana" w:hAnsi="Verdana"/>
          <w:i/>
          <w:sz w:val="20"/>
          <w:lang w:val="en-US"/>
        </w:rPr>
        <w:t>P</w:t>
      </w:r>
      <w:r w:rsidR="00E87E96" w:rsidRPr="00353B3F">
        <w:rPr>
          <w:rFonts w:ascii="Verdana" w:hAnsi="Verdana"/>
          <w:i/>
          <w:sz w:val="20"/>
          <w:lang w:val="en-US"/>
        </w:rPr>
        <w:t>eople.</w:t>
      </w:r>
      <w:r w:rsidR="001C2D03" w:rsidRPr="00353B3F">
        <w:rPr>
          <w:rStyle w:val="FootnoteReference"/>
          <w:rFonts w:ascii="Verdana" w:hAnsi="Verdana"/>
          <w:sz w:val="20"/>
          <w:lang w:val="en-US"/>
        </w:rPr>
        <w:footnoteReference w:id="47"/>
      </w:r>
    </w:p>
    <w:p w14:paraId="19DB0B65" w14:textId="77777777" w:rsidR="001C2D03" w:rsidRPr="00353B3F" w:rsidRDefault="001C2D03" w:rsidP="001C2D03">
      <w:pPr>
        <w:pStyle w:val="ListParagraph"/>
        <w:ind w:left="0"/>
        <w:jc w:val="both"/>
        <w:rPr>
          <w:rFonts w:ascii="Verdana" w:hAnsi="Verdana"/>
          <w:sz w:val="20"/>
          <w:lang w:val="en-US"/>
        </w:rPr>
      </w:pPr>
    </w:p>
    <w:p w14:paraId="672BF87B" w14:textId="71F5DE34" w:rsidR="00173750" w:rsidRPr="00353B3F" w:rsidRDefault="00E87E96" w:rsidP="00E87E96">
      <w:pPr>
        <w:pStyle w:val="ListParagraph"/>
        <w:numPr>
          <w:ilvl w:val="0"/>
          <w:numId w:val="5"/>
        </w:numPr>
        <w:ind w:left="0" w:firstLine="0"/>
        <w:jc w:val="both"/>
        <w:rPr>
          <w:rFonts w:ascii="Verdana" w:hAnsi="Verdana"/>
          <w:b/>
          <w:sz w:val="20"/>
          <w:lang w:val="en-US"/>
        </w:rPr>
      </w:pPr>
      <w:r w:rsidRPr="00353B3F">
        <w:rPr>
          <w:rFonts w:ascii="Verdana" w:hAnsi="Verdana"/>
          <w:sz w:val="20"/>
          <w:lang w:val="en-US"/>
        </w:rPr>
        <w:t>The Court also establishes, based on Article 69 of its Rules of Procedure, that the Court’s Secretary should commence procedures to coordinate with Suriname a visit to that country</w:t>
      </w:r>
      <w:r w:rsidR="00EC4B42" w:rsidRPr="00353B3F">
        <w:rPr>
          <w:rFonts w:ascii="Verdana" w:hAnsi="Verdana"/>
          <w:sz w:val="20"/>
          <w:lang w:val="en-US"/>
        </w:rPr>
        <w:t>,</w:t>
      </w:r>
      <w:r w:rsidRPr="00353B3F">
        <w:rPr>
          <w:rFonts w:ascii="Verdana" w:hAnsi="Verdana"/>
          <w:sz w:val="20"/>
          <w:lang w:val="en-US"/>
        </w:rPr>
        <w:t xml:space="preserve"> with its consent</w:t>
      </w:r>
      <w:r w:rsidR="00EC4B42" w:rsidRPr="00353B3F">
        <w:rPr>
          <w:rFonts w:ascii="Verdana" w:hAnsi="Verdana"/>
          <w:sz w:val="20"/>
          <w:lang w:val="en-US"/>
        </w:rPr>
        <w:t>,</w:t>
      </w:r>
      <w:r w:rsidRPr="00353B3F">
        <w:rPr>
          <w:rFonts w:ascii="Verdana" w:hAnsi="Verdana"/>
          <w:sz w:val="20"/>
          <w:lang w:val="en-US"/>
        </w:rPr>
        <w:t xml:space="preserve"> to obtain relevant and precise information </w:t>
      </w:r>
      <w:r w:rsidR="00EC4B42" w:rsidRPr="00353B3F">
        <w:rPr>
          <w:rFonts w:ascii="Verdana" w:hAnsi="Verdana"/>
          <w:sz w:val="20"/>
          <w:lang w:val="en-US"/>
        </w:rPr>
        <w:t>in order</w:t>
      </w:r>
      <w:r w:rsidRPr="00353B3F">
        <w:rPr>
          <w:rFonts w:ascii="Verdana" w:hAnsi="Verdana"/>
          <w:sz w:val="20"/>
          <w:lang w:val="en-US"/>
        </w:rPr>
        <w:t xml:space="preserve"> to monitor compliance with the pending measures of reparation in this case and, on the same occasion, </w:t>
      </w:r>
      <w:r w:rsidR="00EC4B42" w:rsidRPr="00353B3F">
        <w:rPr>
          <w:rFonts w:ascii="Verdana" w:hAnsi="Verdana"/>
          <w:sz w:val="20"/>
          <w:lang w:val="en-US"/>
        </w:rPr>
        <w:t>make</w:t>
      </w:r>
      <w:r w:rsidRPr="00353B3F">
        <w:rPr>
          <w:rFonts w:ascii="Verdana" w:hAnsi="Verdana"/>
          <w:sz w:val="20"/>
          <w:lang w:val="en-US"/>
        </w:rPr>
        <w:t xml:space="preserve"> a visit in relation to the </w:t>
      </w:r>
      <w:r w:rsidRPr="00353B3F">
        <w:rPr>
          <w:rFonts w:ascii="Verdana" w:hAnsi="Verdana"/>
          <w:i/>
          <w:sz w:val="20"/>
          <w:lang w:val="en-US"/>
        </w:rPr>
        <w:t xml:space="preserve">Case of the Saramaka </w:t>
      </w:r>
      <w:r w:rsidR="00EC4B42" w:rsidRPr="00353B3F">
        <w:rPr>
          <w:rFonts w:ascii="Verdana" w:hAnsi="Verdana"/>
          <w:i/>
          <w:sz w:val="20"/>
          <w:lang w:val="en-US"/>
        </w:rPr>
        <w:t>P</w:t>
      </w:r>
      <w:r w:rsidRPr="00353B3F">
        <w:rPr>
          <w:rFonts w:ascii="Verdana" w:hAnsi="Verdana"/>
          <w:i/>
          <w:sz w:val="20"/>
          <w:lang w:val="en-US"/>
        </w:rPr>
        <w:t>eople</w:t>
      </w:r>
      <w:r w:rsidR="000372F1" w:rsidRPr="00353B3F">
        <w:rPr>
          <w:rFonts w:ascii="Verdana" w:hAnsi="Verdana"/>
          <w:i/>
          <w:sz w:val="20"/>
          <w:lang w:val="en-US"/>
        </w:rPr>
        <w:t xml:space="preserve"> (supra </w:t>
      </w:r>
      <w:r w:rsidR="002D3C89" w:rsidRPr="00353B3F">
        <w:rPr>
          <w:rFonts w:ascii="Verdana" w:hAnsi="Verdana"/>
          <w:i/>
          <w:sz w:val="20"/>
          <w:lang w:val="en-US"/>
        </w:rPr>
        <w:t>considerandum</w:t>
      </w:r>
      <w:r w:rsidRPr="00353B3F">
        <w:rPr>
          <w:rFonts w:ascii="Verdana" w:hAnsi="Verdana"/>
          <w:i/>
          <w:sz w:val="20"/>
          <w:lang w:val="en-US"/>
        </w:rPr>
        <w:t xml:space="preserve"> </w:t>
      </w:r>
      <w:r w:rsidR="000372F1" w:rsidRPr="00353B3F">
        <w:rPr>
          <w:rFonts w:ascii="Verdana" w:hAnsi="Verdana"/>
          <w:sz w:val="20"/>
          <w:lang w:val="en-US"/>
        </w:rPr>
        <w:t>45)</w:t>
      </w:r>
      <w:r w:rsidR="00F44BBC" w:rsidRPr="00353B3F">
        <w:rPr>
          <w:rFonts w:ascii="Verdana" w:hAnsi="Verdana"/>
          <w:sz w:val="20"/>
          <w:lang w:val="en-US"/>
        </w:rPr>
        <w:t xml:space="preserve">. </w:t>
      </w:r>
      <w:r w:rsidRPr="00353B3F">
        <w:rPr>
          <w:rFonts w:ascii="Verdana" w:hAnsi="Verdana"/>
          <w:sz w:val="20"/>
          <w:lang w:val="en-US"/>
        </w:rPr>
        <w:t>If th</w:t>
      </w:r>
      <w:r w:rsidR="00EC4B42" w:rsidRPr="00353B3F">
        <w:rPr>
          <w:rFonts w:ascii="Verdana" w:hAnsi="Verdana"/>
          <w:sz w:val="20"/>
          <w:lang w:val="en-US"/>
        </w:rPr>
        <w:t>is</w:t>
      </w:r>
      <w:r w:rsidRPr="00353B3F">
        <w:rPr>
          <w:rFonts w:ascii="Verdana" w:hAnsi="Verdana"/>
          <w:sz w:val="20"/>
          <w:lang w:val="en-US"/>
        </w:rPr>
        <w:t xml:space="preserve"> visit </w:t>
      </w:r>
      <w:r w:rsidR="00EC4B42" w:rsidRPr="00353B3F">
        <w:rPr>
          <w:rFonts w:ascii="Verdana" w:hAnsi="Verdana"/>
          <w:sz w:val="20"/>
          <w:lang w:val="en-US"/>
        </w:rPr>
        <w:t>takes place</w:t>
      </w:r>
      <w:r w:rsidRPr="00353B3F">
        <w:rPr>
          <w:rFonts w:ascii="Verdana" w:hAnsi="Verdana"/>
          <w:sz w:val="20"/>
          <w:lang w:val="en-US"/>
        </w:rPr>
        <w:t xml:space="preserve">, the President </w:t>
      </w:r>
      <w:r w:rsidR="00EC4B42" w:rsidRPr="00353B3F">
        <w:rPr>
          <w:rFonts w:ascii="Verdana" w:hAnsi="Verdana"/>
          <w:sz w:val="20"/>
          <w:lang w:val="en-US"/>
        </w:rPr>
        <w:t xml:space="preserve">himself </w:t>
      </w:r>
      <w:r w:rsidRPr="00353B3F">
        <w:rPr>
          <w:rFonts w:ascii="Verdana" w:hAnsi="Verdana"/>
          <w:sz w:val="20"/>
          <w:lang w:val="en-US"/>
        </w:rPr>
        <w:t xml:space="preserve">could </w:t>
      </w:r>
      <w:r w:rsidR="00EC4B42" w:rsidRPr="00353B3F">
        <w:rPr>
          <w:rFonts w:ascii="Verdana" w:hAnsi="Verdana"/>
          <w:sz w:val="20"/>
          <w:lang w:val="en-US"/>
        </w:rPr>
        <w:t>carry out</w:t>
      </w:r>
      <w:r w:rsidRPr="00353B3F">
        <w:rPr>
          <w:rFonts w:ascii="Verdana" w:hAnsi="Verdana"/>
          <w:sz w:val="20"/>
          <w:lang w:val="en-US"/>
        </w:rPr>
        <w:t xml:space="preserve"> this procedure </w:t>
      </w:r>
      <w:r w:rsidR="00EC4B42" w:rsidRPr="00353B3F">
        <w:rPr>
          <w:rFonts w:ascii="Verdana" w:hAnsi="Verdana"/>
          <w:sz w:val="20"/>
          <w:lang w:val="en-US"/>
        </w:rPr>
        <w:t>on</w:t>
      </w:r>
      <w:r w:rsidR="00F44BBC" w:rsidRPr="00353B3F">
        <w:rPr>
          <w:rFonts w:ascii="Verdana" w:hAnsi="Verdana"/>
          <w:sz w:val="20"/>
          <w:lang w:val="en-US"/>
        </w:rPr>
        <w:t xml:space="preserve"> </w:t>
      </w:r>
      <w:r w:rsidR="00B00DF6" w:rsidRPr="00353B3F">
        <w:rPr>
          <w:rFonts w:ascii="Verdana" w:hAnsi="Verdana"/>
          <w:sz w:val="20"/>
          <w:lang w:val="en-US"/>
        </w:rPr>
        <w:t>monitoring compliance with judgment</w:t>
      </w:r>
      <w:r w:rsidR="00F44BBC" w:rsidRPr="00353B3F">
        <w:rPr>
          <w:rFonts w:ascii="Verdana" w:hAnsi="Verdana"/>
          <w:sz w:val="20"/>
          <w:lang w:val="en-US"/>
        </w:rPr>
        <w:t>s o</w:t>
      </w:r>
      <w:r w:rsidRPr="00353B3F">
        <w:rPr>
          <w:rFonts w:ascii="Verdana" w:hAnsi="Verdana"/>
          <w:sz w:val="20"/>
          <w:lang w:val="en-US"/>
        </w:rPr>
        <w:t>r delegate the task to one or more judges of the Court or Secretariat officials</w:t>
      </w:r>
      <w:r w:rsidR="00F44BBC" w:rsidRPr="00353B3F">
        <w:rPr>
          <w:rFonts w:ascii="Verdana" w:hAnsi="Verdana"/>
          <w:sz w:val="20"/>
          <w:lang w:val="en-US"/>
        </w:rPr>
        <w:t xml:space="preserve">. </w:t>
      </w:r>
      <w:r w:rsidR="00EC4B42" w:rsidRPr="00353B3F">
        <w:rPr>
          <w:rFonts w:ascii="Verdana" w:hAnsi="Verdana"/>
          <w:sz w:val="20"/>
          <w:lang w:val="en-US"/>
        </w:rPr>
        <w:t>The</w:t>
      </w:r>
      <w:r w:rsidRPr="00353B3F">
        <w:rPr>
          <w:rFonts w:ascii="Verdana" w:hAnsi="Verdana"/>
          <w:sz w:val="20"/>
          <w:lang w:val="en-US"/>
        </w:rPr>
        <w:t xml:space="preserve"> President will take the corresponding decision</w:t>
      </w:r>
      <w:r w:rsidR="00EC4B42" w:rsidRPr="00353B3F">
        <w:rPr>
          <w:rFonts w:ascii="Verdana" w:hAnsi="Verdana"/>
          <w:sz w:val="20"/>
          <w:lang w:val="en-US"/>
        </w:rPr>
        <w:t>s</w:t>
      </w:r>
      <w:r w:rsidRPr="00353B3F">
        <w:rPr>
          <w:rFonts w:ascii="Verdana" w:hAnsi="Verdana"/>
          <w:sz w:val="20"/>
          <w:lang w:val="en-US"/>
        </w:rPr>
        <w:t xml:space="preserve"> based on the provisions of the Court’s Rules of Procedure. </w:t>
      </w:r>
    </w:p>
    <w:p w14:paraId="1CE8689E" w14:textId="77777777" w:rsidR="006F7CF7" w:rsidRPr="00353B3F" w:rsidRDefault="006F7CF7" w:rsidP="007C6C3E">
      <w:pPr>
        <w:rPr>
          <w:rFonts w:ascii="Verdana" w:hAnsi="Verdana"/>
          <w:sz w:val="20"/>
          <w:lang w:val="en-US" w:eastAsia="es-CR"/>
        </w:rPr>
      </w:pPr>
    </w:p>
    <w:p w14:paraId="2686B081" w14:textId="77777777" w:rsidR="00EC4B42" w:rsidRPr="00353B3F" w:rsidRDefault="00EC4B42" w:rsidP="00052A96">
      <w:pPr>
        <w:jc w:val="both"/>
        <w:rPr>
          <w:rFonts w:ascii="Verdana" w:hAnsi="Verdana"/>
          <w:b/>
          <w:sz w:val="20"/>
          <w:lang w:val="en-US"/>
        </w:rPr>
      </w:pPr>
    </w:p>
    <w:p w14:paraId="1B023863" w14:textId="005A62A3" w:rsidR="00052A96" w:rsidRPr="00353B3F" w:rsidRDefault="00E87E96" w:rsidP="00052A96">
      <w:pPr>
        <w:jc w:val="both"/>
        <w:rPr>
          <w:rFonts w:ascii="Verdana" w:hAnsi="Verdana"/>
          <w:b/>
          <w:sz w:val="20"/>
          <w:lang w:val="en-US"/>
        </w:rPr>
      </w:pPr>
      <w:r w:rsidRPr="00353B3F">
        <w:rPr>
          <w:rFonts w:ascii="Verdana" w:hAnsi="Verdana"/>
          <w:b/>
          <w:sz w:val="20"/>
          <w:lang w:val="en-US"/>
        </w:rPr>
        <w:t>THEREFORE</w:t>
      </w:r>
      <w:r w:rsidR="00951BA4" w:rsidRPr="00353B3F">
        <w:rPr>
          <w:rFonts w:ascii="Verdana" w:hAnsi="Verdana"/>
          <w:b/>
          <w:sz w:val="20"/>
          <w:lang w:val="en-US"/>
        </w:rPr>
        <w:t>:</w:t>
      </w:r>
    </w:p>
    <w:p w14:paraId="3F39F047" w14:textId="77777777" w:rsidR="00052A96" w:rsidRPr="00353B3F" w:rsidRDefault="00052A96" w:rsidP="00052A96">
      <w:pPr>
        <w:jc w:val="both"/>
        <w:rPr>
          <w:rFonts w:ascii="Verdana" w:hAnsi="Verdana"/>
          <w:b/>
          <w:sz w:val="20"/>
          <w:lang w:val="en-US"/>
        </w:rPr>
      </w:pPr>
    </w:p>
    <w:p w14:paraId="2CC3A41E" w14:textId="419FE53A" w:rsidR="00052A96" w:rsidRPr="00353B3F" w:rsidRDefault="00484EB4" w:rsidP="00052A96">
      <w:pPr>
        <w:jc w:val="both"/>
        <w:rPr>
          <w:rFonts w:ascii="Verdana" w:hAnsi="Verdana"/>
          <w:b/>
          <w:sz w:val="20"/>
          <w:lang w:val="en-US"/>
        </w:rPr>
      </w:pPr>
      <w:r w:rsidRPr="00353B3F">
        <w:rPr>
          <w:rFonts w:ascii="Verdana" w:hAnsi="Verdana"/>
          <w:b/>
          <w:sz w:val="20"/>
          <w:lang w:val="en-US"/>
        </w:rPr>
        <w:t>THE INTER-AMERICAN COURT OF HUMAN RIGHTS</w:t>
      </w:r>
      <w:r w:rsidR="00052A96" w:rsidRPr="00353B3F">
        <w:rPr>
          <w:rFonts w:ascii="Verdana" w:hAnsi="Verdana"/>
          <w:b/>
          <w:sz w:val="20"/>
          <w:lang w:val="en-US"/>
        </w:rPr>
        <w:t>,</w:t>
      </w:r>
    </w:p>
    <w:p w14:paraId="687BE1F2" w14:textId="77777777" w:rsidR="00052A96" w:rsidRPr="00353B3F" w:rsidRDefault="00052A96" w:rsidP="00052A96">
      <w:pPr>
        <w:jc w:val="both"/>
        <w:rPr>
          <w:rFonts w:ascii="Verdana" w:hAnsi="Verdana"/>
          <w:sz w:val="20"/>
          <w:lang w:val="en-US"/>
        </w:rPr>
      </w:pPr>
    </w:p>
    <w:p w14:paraId="7397F2F4" w14:textId="37189C1A" w:rsidR="00052A96" w:rsidRPr="00353B3F" w:rsidRDefault="00EC4B42" w:rsidP="00052A96">
      <w:pPr>
        <w:jc w:val="both"/>
        <w:rPr>
          <w:rFonts w:ascii="Verdana" w:hAnsi="Verdana"/>
          <w:sz w:val="20"/>
          <w:lang w:val="en-US"/>
        </w:rPr>
      </w:pPr>
      <w:r w:rsidRPr="00353B3F">
        <w:rPr>
          <w:rFonts w:ascii="Verdana" w:hAnsi="Verdana"/>
          <w:sz w:val="20"/>
          <w:lang w:val="en-US"/>
        </w:rPr>
        <w:t>i</w:t>
      </w:r>
      <w:r w:rsidR="00E87E96" w:rsidRPr="00353B3F">
        <w:rPr>
          <w:rFonts w:ascii="Verdana" w:hAnsi="Verdana"/>
          <w:sz w:val="20"/>
          <w:lang w:val="en-US"/>
        </w:rPr>
        <w:t xml:space="preserve">n exercise of its authority to monitor compliance with its decisions in accordance with Articles </w:t>
      </w:r>
      <w:r w:rsidR="00663414" w:rsidRPr="00353B3F">
        <w:rPr>
          <w:rFonts w:ascii="Verdana" w:hAnsi="Verdana"/>
          <w:sz w:val="20"/>
          <w:lang w:val="en-US"/>
        </w:rPr>
        <w:t>33, 62</w:t>
      </w:r>
      <w:r w:rsidR="00E87E96" w:rsidRPr="00353B3F">
        <w:rPr>
          <w:rFonts w:ascii="Verdana" w:hAnsi="Verdana"/>
          <w:sz w:val="20"/>
          <w:lang w:val="en-US"/>
        </w:rPr>
        <w:t>(1)</w:t>
      </w:r>
      <w:r w:rsidR="00663414" w:rsidRPr="00353B3F">
        <w:rPr>
          <w:rFonts w:ascii="Verdana" w:hAnsi="Verdana"/>
          <w:sz w:val="20"/>
          <w:lang w:val="en-US"/>
        </w:rPr>
        <w:t>, 62</w:t>
      </w:r>
      <w:r w:rsidR="00E87E96" w:rsidRPr="00353B3F">
        <w:rPr>
          <w:rFonts w:ascii="Verdana" w:hAnsi="Verdana"/>
          <w:sz w:val="20"/>
          <w:lang w:val="en-US"/>
        </w:rPr>
        <w:t>(30</w:t>
      </w:r>
      <w:r w:rsidR="00663414" w:rsidRPr="00353B3F">
        <w:rPr>
          <w:rFonts w:ascii="Verdana" w:hAnsi="Verdana"/>
          <w:sz w:val="20"/>
          <w:lang w:val="en-US"/>
        </w:rPr>
        <w:t xml:space="preserve">, 65, 67 </w:t>
      </w:r>
      <w:r w:rsidR="00E87E96" w:rsidRPr="00353B3F">
        <w:rPr>
          <w:rFonts w:ascii="Verdana" w:hAnsi="Verdana"/>
          <w:sz w:val="20"/>
          <w:lang w:val="en-US"/>
        </w:rPr>
        <w:t>and</w:t>
      </w:r>
      <w:r w:rsidR="00663414" w:rsidRPr="00353B3F">
        <w:rPr>
          <w:rFonts w:ascii="Verdana" w:hAnsi="Verdana"/>
          <w:sz w:val="20"/>
          <w:lang w:val="en-US"/>
        </w:rPr>
        <w:t xml:space="preserve"> 68</w:t>
      </w:r>
      <w:r w:rsidR="00E87E96" w:rsidRPr="00353B3F">
        <w:rPr>
          <w:rFonts w:ascii="Verdana" w:hAnsi="Verdana"/>
          <w:sz w:val="20"/>
          <w:lang w:val="en-US"/>
        </w:rPr>
        <w:t>(10</w:t>
      </w:r>
      <w:r w:rsidR="00DC49A3" w:rsidRPr="00353B3F">
        <w:rPr>
          <w:rFonts w:ascii="Verdana" w:hAnsi="Verdana"/>
          <w:sz w:val="20"/>
          <w:lang w:val="en-US"/>
        </w:rPr>
        <w:t xml:space="preserve"> of the </w:t>
      </w:r>
      <w:r w:rsidR="00484EB4" w:rsidRPr="00353B3F">
        <w:rPr>
          <w:rFonts w:ascii="Verdana" w:hAnsi="Verdana"/>
          <w:sz w:val="20"/>
          <w:lang w:val="en-US"/>
        </w:rPr>
        <w:t>American Convention on Human Rights</w:t>
      </w:r>
      <w:r w:rsidR="00663414" w:rsidRPr="00353B3F">
        <w:rPr>
          <w:rFonts w:ascii="Verdana" w:hAnsi="Verdana"/>
          <w:sz w:val="20"/>
          <w:lang w:val="en-US"/>
        </w:rPr>
        <w:t xml:space="preserve">, 24, 25 </w:t>
      </w:r>
      <w:r w:rsidR="00E87E96" w:rsidRPr="00353B3F">
        <w:rPr>
          <w:rFonts w:ascii="Verdana" w:hAnsi="Verdana"/>
          <w:sz w:val="20"/>
          <w:lang w:val="en-US"/>
        </w:rPr>
        <w:t>and</w:t>
      </w:r>
      <w:r w:rsidR="00663414" w:rsidRPr="00353B3F">
        <w:rPr>
          <w:rFonts w:ascii="Verdana" w:hAnsi="Verdana"/>
          <w:sz w:val="20"/>
          <w:lang w:val="en-US"/>
        </w:rPr>
        <w:t xml:space="preserve"> 30 </w:t>
      </w:r>
      <w:r w:rsidR="00E87E96" w:rsidRPr="00353B3F">
        <w:rPr>
          <w:rFonts w:ascii="Verdana" w:hAnsi="Verdana"/>
          <w:sz w:val="20"/>
          <w:lang w:val="en-US"/>
        </w:rPr>
        <w:t>of its Statute, and</w:t>
      </w:r>
      <w:r w:rsidR="00663414" w:rsidRPr="00353B3F">
        <w:rPr>
          <w:rFonts w:ascii="Verdana" w:hAnsi="Verdana"/>
          <w:sz w:val="20"/>
          <w:lang w:val="en-US"/>
        </w:rPr>
        <w:t xml:space="preserve"> 31</w:t>
      </w:r>
      <w:r w:rsidR="00E87E96" w:rsidRPr="00353B3F">
        <w:rPr>
          <w:rFonts w:ascii="Verdana" w:hAnsi="Verdana"/>
          <w:sz w:val="20"/>
          <w:lang w:val="en-US"/>
        </w:rPr>
        <w:t>(2)</w:t>
      </w:r>
      <w:r w:rsidR="00663414" w:rsidRPr="00353B3F">
        <w:rPr>
          <w:rFonts w:ascii="Verdana" w:hAnsi="Verdana"/>
          <w:sz w:val="20"/>
          <w:lang w:val="en-US"/>
        </w:rPr>
        <w:t xml:space="preserve"> </w:t>
      </w:r>
      <w:r w:rsidR="00E87E96" w:rsidRPr="00353B3F">
        <w:rPr>
          <w:rFonts w:ascii="Verdana" w:hAnsi="Verdana"/>
          <w:sz w:val="20"/>
          <w:lang w:val="en-US"/>
        </w:rPr>
        <w:t>and</w:t>
      </w:r>
      <w:r w:rsidR="00663414" w:rsidRPr="00353B3F">
        <w:rPr>
          <w:rFonts w:ascii="Verdana" w:hAnsi="Verdana"/>
          <w:sz w:val="20"/>
          <w:lang w:val="en-US"/>
        </w:rPr>
        <w:t xml:space="preserve"> 69 </w:t>
      </w:r>
      <w:r w:rsidR="00E87E96" w:rsidRPr="00353B3F">
        <w:rPr>
          <w:rFonts w:ascii="Verdana" w:hAnsi="Verdana"/>
          <w:sz w:val="20"/>
          <w:lang w:val="en-US"/>
        </w:rPr>
        <w:t>of its Rules of Procedure</w:t>
      </w:r>
      <w:r w:rsidR="00663414" w:rsidRPr="00353B3F">
        <w:rPr>
          <w:rFonts w:ascii="Verdana" w:hAnsi="Verdana"/>
          <w:sz w:val="20"/>
          <w:lang w:val="en-US"/>
        </w:rPr>
        <w:t>,</w:t>
      </w:r>
    </w:p>
    <w:p w14:paraId="27506604" w14:textId="77777777" w:rsidR="00052A96" w:rsidRDefault="00052A96" w:rsidP="00052A96">
      <w:pPr>
        <w:jc w:val="both"/>
        <w:rPr>
          <w:rFonts w:ascii="Verdana" w:hAnsi="Verdana"/>
          <w:sz w:val="20"/>
          <w:lang w:val="en-US"/>
        </w:rPr>
      </w:pPr>
    </w:p>
    <w:p w14:paraId="43B353EB" w14:textId="77777777" w:rsidR="00111B3E" w:rsidRPr="00353B3F" w:rsidRDefault="00111B3E" w:rsidP="00052A96">
      <w:pPr>
        <w:jc w:val="both"/>
        <w:rPr>
          <w:rFonts w:ascii="Verdana" w:hAnsi="Verdana"/>
          <w:sz w:val="20"/>
          <w:lang w:val="en-US"/>
        </w:rPr>
      </w:pPr>
    </w:p>
    <w:p w14:paraId="5266662B" w14:textId="142B0E63" w:rsidR="00052A96" w:rsidRPr="00353B3F" w:rsidRDefault="00E87E96" w:rsidP="00052A96">
      <w:pPr>
        <w:jc w:val="both"/>
        <w:rPr>
          <w:rFonts w:ascii="Verdana" w:hAnsi="Verdana"/>
          <w:b/>
          <w:sz w:val="20"/>
          <w:lang w:val="en-US"/>
        </w:rPr>
      </w:pPr>
      <w:r w:rsidRPr="00353B3F">
        <w:rPr>
          <w:rFonts w:ascii="Verdana" w:hAnsi="Verdana"/>
          <w:b/>
          <w:sz w:val="20"/>
          <w:lang w:val="en-US"/>
        </w:rPr>
        <w:t>DECID</w:t>
      </w:r>
      <w:r w:rsidR="009949D0" w:rsidRPr="00353B3F">
        <w:rPr>
          <w:rFonts w:ascii="Verdana" w:hAnsi="Verdana"/>
          <w:b/>
          <w:sz w:val="20"/>
          <w:lang w:val="en-US"/>
        </w:rPr>
        <w:t>E</w:t>
      </w:r>
      <w:r w:rsidRPr="00353B3F">
        <w:rPr>
          <w:rFonts w:ascii="Verdana" w:hAnsi="Verdana"/>
          <w:b/>
          <w:sz w:val="20"/>
          <w:lang w:val="en-US"/>
        </w:rPr>
        <w:t>S</w:t>
      </w:r>
      <w:r w:rsidR="00052A96" w:rsidRPr="00353B3F">
        <w:rPr>
          <w:rFonts w:ascii="Verdana" w:hAnsi="Verdana"/>
          <w:b/>
          <w:sz w:val="20"/>
          <w:lang w:val="en-US"/>
        </w:rPr>
        <w:t>:</w:t>
      </w:r>
    </w:p>
    <w:p w14:paraId="3D6A5ABC" w14:textId="77777777" w:rsidR="00052A96" w:rsidRPr="00353B3F" w:rsidRDefault="00052A96" w:rsidP="00052A96">
      <w:pPr>
        <w:jc w:val="both"/>
        <w:rPr>
          <w:rFonts w:ascii="Verdana" w:hAnsi="Verdana"/>
          <w:b/>
          <w:sz w:val="20"/>
          <w:lang w:val="en-US"/>
        </w:rPr>
      </w:pPr>
    </w:p>
    <w:p w14:paraId="3427B357" w14:textId="3699D727" w:rsidR="00663414" w:rsidRPr="00353B3F" w:rsidRDefault="00697997" w:rsidP="00663414">
      <w:pPr>
        <w:numPr>
          <w:ilvl w:val="0"/>
          <w:numId w:val="7"/>
        </w:numPr>
        <w:ind w:left="0" w:hanging="11"/>
        <w:jc w:val="both"/>
        <w:rPr>
          <w:rFonts w:ascii="Verdana" w:hAnsi="Verdana"/>
          <w:sz w:val="20"/>
          <w:lang w:val="en-US"/>
        </w:rPr>
      </w:pPr>
      <w:r w:rsidRPr="00353B3F">
        <w:rPr>
          <w:rFonts w:ascii="Verdana" w:hAnsi="Verdana"/>
          <w:sz w:val="20"/>
          <w:lang w:val="en-US"/>
        </w:rPr>
        <w:t xml:space="preserve">To keep the procedure of monitoring compliance open with regard to the following measures of reparation: </w:t>
      </w:r>
    </w:p>
    <w:p w14:paraId="7217F0A9" w14:textId="77777777" w:rsidR="00052A96" w:rsidRPr="00353B3F" w:rsidRDefault="00052A96" w:rsidP="00052A96">
      <w:pPr>
        <w:jc w:val="both"/>
        <w:rPr>
          <w:rFonts w:ascii="Verdana" w:hAnsi="Verdana"/>
          <w:sz w:val="20"/>
          <w:lang w:val="en-US"/>
        </w:rPr>
      </w:pPr>
    </w:p>
    <w:p w14:paraId="1B787E5B" w14:textId="1C987269" w:rsidR="00DF1E7C" w:rsidRPr="00353B3F" w:rsidRDefault="006C4589" w:rsidP="00DF1E7C">
      <w:pPr>
        <w:pStyle w:val="ListParagraph"/>
        <w:numPr>
          <w:ilvl w:val="0"/>
          <w:numId w:val="8"/>
        </w:numPr>
        <w:jc w:val="both"/>
        <w:rPr>
          <w:rFonts w:ascii="Verdana" w:hAnsi="Verdana"/>
          <w:sz w:val="20"/>
          <w:lang w:val="en-US"/>
        </w:rPr>
      </w:pPr>
      <w:r w:rsidRPr="00353B3F">
        <w:rPr>
          <w:rFonts w:ascii="Verdana" w:hAnsi="Verdana"/>
          <w:sz w:val="20"/>
          <w:lang w:val="en-US"/>
        </w:rPr>
        <w:t>I</w:t>
      </w:r>
      <w:r w:rsidR="00DF1E7C" w:rsidRPr="00353B3F">
        <w:rPr>
          <w:rFonts w:ascii="Verdana" w:hAnsi="Verdana"/>
          <w:sz w:val="20"/>
          <w:lang w:val="en-US"/>
        </w:rPr>
        <w:t>mplement</w:t>
      </w:r>
      <w:r w:rsidRPr="00353B3F">
        <w:rPr>
          <w:rFonts w:ascii="Verdana" w:hAnsi="Verdana"/>
          <w:sz w:val="20"/>
          <w:lang w:val="en-US"/>
        </w:rPr>
        <w:t xml:space="preserve"> the necessary </w:t>
      </w:r>
      <w:r w:rsidR="002B4F7B" w:rsidRPr="00353B3F">
        <w:rPr>
          <w:rFonts w:ascii="Verdana" w:hAnsi="Verdana"/>
          <w:sz w:val="20"/>
          <w:lang w:val="en-US"/>
        </w:rPr>
        <w:t>measures</w:t>
      </w:r>
      <w:r w:rsidRPr="00353B3F">
        <w:rPr>
          <w:rFonts w:ascii="Verdana" w:hAnsi="Verdana"/>
          <w:sz w:val="20"/>
          <w:lang w:val="en-US"/>
        </w:rPr>
        <w:t xml:space="preserve"> to investigate the facts of the case, as well as identify, prosecute and punish those responsible </w:t>
      </w:r>
      <w:r w:rsidR="00DF1E7C" w:rsidRPr="00353B3F">
        <w:rPr>
          <w:rFonts w:ascii="Verdana" w:hAnsi="Verdana"/>
          <w:sz w:val="20"/>
          <w:lang w:val="en-US"/>
        </w:rPr>
        <w:t>(</w:t>
      </w:r>
      <w:r w:rsidR="00697997" w:rsidRPr="00353B3F">
        <w:rPr>
          <w:rFonts w:ascii="Verdana" w:hAnsi="Verdana"/>
          <w:i/>
          <w:sz w:val="20"/>
          <w:lang w:val="en-US"/>
        </w:rPr>
        <w:t>first o</w:t>
      </w:r>
      <w:r w:rsidR="00EC5ABD" w:rsidRPr="00353B3F">
        <w:rPr>
          <w:rFonts w:ascii="Verdana" w:hAnsi="Verdana"/>
          <w:i/>
          <w:sz w:val="20"/>
          <w:lang w:val="en-US"/>
        </w:rPr>
        <w:t>perative paragraph</w:t>
      </w:r>
      <w:r w:rsidR="00DF1E7C" w:rsidRPr="00353B3F">
        <w:rPr>
          <w:rFonts w:ascii="Verdana" w:hAnsi="Verdana"/>
          <w:i/>
          <w:sz w:val="20"/>
          <w:lang w:val="en-US"/>
        </w:rPr>
        <w:t xml:space="preserve"> </w:t>
      </w:r>
      <w:r w:rsidR="00DC49A3" w:rsidRPr="00353B3F">
        <w:rPr>
          <w:rFonts w:ascii="Verdana" w:hAnsi="Verdana"/>
          <w:i/>
          <w:sz w:val="20"/>
          <w:lang w:val="en-US"/>
        </w:rPr>
        <w:t xml:space="preserve">of the </w:t>
      </w:r>
      <w:r w:rsidR="00484EB4" w:rsidRPr="00353B3F">
        <w:rPr>
          <w:rFonts w:ascii="Verdana" w:hAnsi="Verdana"/>
          <w:i/>
          <w:sz w:val="20"/>
          <w:lang w:val="en-US"/>
        </w:rPr>
        <w:t>judgment</w:t>
      </w:r>
      <w:r w:rsidR="00DF1E7C" w:rsidRPr="00353B3F">
        <w:rPr>
          <w:rFonts w:ascii="Verdana" w:hAnsi="Verdana"/>
          <w:sz w:val="20"/>
          <w:lang w:val="en-US"/>
        </w:rPr>
        <w:t xml:space="preserve">); </w:t>
      </w:r>
    </w:p>
    <w:p w14:paraId="78941F61" w14:textId="602D17B3" w:rsidR="00DF1E7C" w:rsidRPr="00353B3F" w:rsidRDefault="00BA5116" w:rsidP="00DF1E7C">
      <w:pPr>
        <w:pStyle w:val="ListParagraph"/>
        <w:numPr>
          <w:ilvl w:val="0"/>
          <w:numId w:val="8"/>
        </w:numPr>
        <w:jc w:val="both"/>
        <w:rPr>
          <w:rFonts w:ascii="Verdana" w:hAnsi="Verdana"/>
          <w:sz w:val="20"/>
          <w:lang w:val="en-US"/>
        </w:rPr>
      </w:pPr>
      <w:r w:rsidRPr="00353B3F">
        <w:rPr>
          <w:rFonts w:ascii="Verdana" w:hAnsi="Verdana"/>
          <w:sz w:val="20"/>
          <w:lang w:val="en-US"/>
        </w:rPr>
        <w:t>Recover the remains of the members</w:t>
      </w:r>
      <w:r w:rsidR="00DC49A3" w:rsidRPr="00353B3F">
        <w:rPr>
          <w:rFonts w:ascii="Verdana" w:hAnsi="Verdana"/>
          <w:sz w:val="20"/>
          <w:lang w:val="en-US"/>
        </w:rPr>
        <w:t xml:space="preserve"> of the </w:t>
      </w:r>
      <w:proofErr w:type="spellStart"/>
      <w:r w:rsidRPr="00353B3F">
        <w:rPr>
          <w:rFonts w:ascii="Verdana" w:hAnsi="Verdana"/>
          <w:sz w:val="20"/>
          <w:lang w:val="en-US"/>
        </w:rPr>
        <w:t>Moiwana</w:t>
      </w:r>
      <w:proofErr w:type="spellEnd"/>
      <w:r w:rsidRPr="00353B3F">
        <w:rPr>
          <w:rFonts w:ascii="Verdana" w:hAnsi="Verdana"/>
          <w:sz w:val="20"/>
          <w:lang w:val="en-US"/>
        </w:rPr>
        <w:t xml:space="preserve"> community</w:t>
      </w:r>
      <w:r w:rsidR="00DF1E7C" w:rsidRPr="00353B3F">
        <w:rPr>
          <w:rFonts w:ascii="Verdana" w:hAnsi="Verdana"/>
          <w:sz w:val="20"/>
          <w:lang w:val="en-US"/>
        </w:rPr>
        <w:t xml:space="preserve"> </w:t>
      </w:r>
      <w:r w:rsidR="006C4589" w:rsidRPr="00353B3F">
        <w:rPr>
          <w:rFonts w:ascii="Verdana" w:hAnsi="Verdana"/>
          <w:sz w:val="20"/>
          <w:lang w:val="en-US"/>
        </w:rPr>
        <w:t>killed during the events of November 29,</w:t>
      </w:r>
      <w:r w:rsidR="00DF1E7C" w:rsidRPr="00353B3F">
        <w:rPr>
          <w:rFonts w:ascii="Verdana" w:hAnsi="Verdana"/>
          <w:sz w:val="20"/>
          <w:lang w:val="en-US"/>
        </w:rPr>
        <w:t xml:space="preserve"> 1986</w:t>
      </w:r>
      <w:r w:rsidR="006C4589" w:rsidRPr="00353B3F">
        <w:rPr>
          <w:rFonts w:ascii="Verdana" w:hAnsi="Verdana"/>
          <w:sz w:val="20"/>
          <w:lang w:val="en-US"/>
        </w:rPr>
        <w:t xml:space="preserve">, as soon as possible, and deliver them to the surviving </w:t>
      </w:r>
      <w:r w:rsidRPr="00353B3F">
        <w:rPr>
          <w:rFonts w:ascii="Verdana" w:hAnsi="Verdana"/>
          <w:sz w:val="20"/>
          <w:lang w:val="en-US"/>
        </w:rPr>
        <w:t>members</w:t>
      </w:r>
      <w:r w:rsidR="00DC49A3" w:rsidRPr="00353B3F">
        <w:rPr>
          <w:rFonts w:ascii="Verdana" w:hAnsi="Verdana"/>
          <w:sz w:val="20"/>
          <w:lang w:val="en-US"/>
        </w:rPr>
        <w:t xml:space="preserve"> of the </w:t>
      </w:r>
      <w:proofErr w:type="spellStart"/>
      <w:r w:rsidRPr="00353B3F">
        <w:rPr>
          <w:rFonts w:ascii="Verdana" w:hAnsi="Verdana"/>
          <w:sz w:val="20"/>
          <w:lang w:val="en-US"/>
        </w:rPr>
        <w:t>Moiwana</w:t>
      </w:r>
      <w:proofErr w:type="spellEnd"/>
      <w:r w:rsidRPr="00353B3F">
        <w:rPr>
          <w:rFonts w:ascii="Verdana" w:hAnsi="Verdana"/>
          <w:sz w:val="20"/>
          <w:lang w:val="en-US"/>
        </w:rPr>
        <w:t xml:space="preserve"> community</w:t>
      </w:r>
      <w:r w:rsidR="00951BA4" w:rsidRPr="00353B3F">
        <w:rPr>
          <w:rFonts w:ascii="Verdana" w:hAnsi="Verdana"/>
          <w:sz w:val="20"/>
          <w:lang w:val="en-US"/>
        </w:rPr>
        <w:t xml:space="preserve"> </w:t>
      </w:r>
      <w:r w:rsidR="00DF1E7C" w:rsidRPr="00353B3F">
        <w:rPr>
          <w:rFonts w:ascii="Verdana" w:hAnsi="Verdana"/>
          <w:sz w:val="20"/>
          <w:lang w:val="en-US"/>
        </w:rPr>
        <w:t>(</w:t>
      </w:r>
      <w:r w:rsidR="00697997" w:rsidRPr="00353B3F">
        <w:rPr>
          <w:rFonts w:ascii="Verdana" w:hAnsi="Verdana"/>
          <w:i/>
          <w:sz w:val="20"/>
          <w:lang w:val="en-US"/>
        </w:rPr>
        <w:t>second o</w:t>
      </w:r>
      <w:r w:rsidR="00EC5ABD" w:rsidRPr="00353B3F">
        <w:rPr>
          <w:rFonts w:ascii="Verdana" w:hAnsi="Verdana"/>
          <w:i/>
          <w:sz w:val="20"/>
          <w:lang w:val="en-US"/>
        </w:rPr>
        <w:t>perative paragraph</w:t>
      </w:r>
      <w:r w:rsidR="00DF1E7C" w:rsidRPr="00353B3F">
        <w:rPr>
          <w:rFonts w:ascii="Verdana" w:hAnsi="Verdana"/>
          <w:i/>
          <w:sz w:val="20"/>
          <w:lang w:val="en-US"/>
        </w:rPr>
        <w:t xml:space="preserve"> </w:t>
      </w:r>
      <w:r w:rsidR="00DC49A3" w:rsidRPr="00353B3F">
        <w:rPr>
          <w:rFonts w:ascii="Verdana" w:hAnsi="Verdana"/>
          <w:i/>
          <w:sz w:val="20"/>
          <w:lang w:val="en-US"/>
        </w:rPr>
        <w:t xml:space="preserve">of the </w:t>
      </w:r>
      <w:r w:rsidR="00484EB4" w:rsidRPr="00353B3F">
        <w:rPr>
          <w:rFonts w:ascii="Verdana" w:hAnsi="Verdana"/>
          <w:i/>
          <w:sz w:val="20"/>
          <w:lang w:val="en-US"/>
        </w:rPr>
        <w:t>judgment</w:t>
      </w:r>
      <w:r w:rsidR="00DF1E7C" w:rsidRPr="00353B3F">
        <w:rPr>
          <w:rFonts w:ascii="Verdana" w:hAnsi="Verdana"/>
          <w:sz w:val="20"/>
          <w:lang w:val="en-US"/>
        </w:rPr>
        <w:t xml:space="preserve">); </w:t>
      </w:r>
    </w:p>
    <w:p w14:paraId="6584C086" w14:textId="6272E1EC" w:rsidR="00DF1E7C" w:rsidRPr="00353B3F" w:rsidRDefault="006C4589" w:rsidP="00DF1E7C">
      <w:pPr>
        <w:pStyle w:val="ListParagraph"/>
        <w:numPr>
          <w:ilvl w:val="0"/>
          <w:numId w:val="8"/>
        </w:numPr>
        <w:jc w:val="both"/>
        <w:rPr>
          <w:rFonts w:ascii="Verdana" w:hAnsi="Verdana"/>
          <w:sz w:val="20"/>
          <w:lang w:val="en-US"/>
        </w:rPr>
      </w:pPr>
      <w:r w:rsidRPr="00353B3F">
        <w:rPr>
          <w:rFonts w:ascii="Verdana" w:hAnsi="Verdana"/>
          <w:sz w:val="20"/>
          <w:lang w:val="en-US"/>
        </w:rPr>
        <w:t>A</w:t>
      </w:r>
      <w:r w:rsidR="00DF1E7C" w:rsidRPr="00353B3F">
        <w:rPr>
          <w:rFonts w:ascii="Verdana" w:hAnsi="Verdana"/>
          <w:sz w:val="20"/>
          <w:lang w:val="en-US"/>
        </w:rPr>
        <w:t>dopt</w:t>
      </w:r>
      <w:r w:rsidRPr="00353B3F">
        <w:rPr>
          <w:rFonts w:ascii="Verdana" w:hAnsi="Verdana"/>
          <w:sz w:val="20"/>
          <w:lang w:val="en-US"/>
        </w:rPr>
        <w:t xml:space="preserve"> such legislative, administrative and other measures as are necessary to ensure the property rights of </w:t>
      </w:r>
      <w:r w:rsidR="00BA5116" w:rsidRPr="00353B3F">
        <w:rPr>
          <w:rFonts w:ascii="Verdana" w:hAnsi="Verdana"/>
          <w:sz w:val="20"/>
          <w:lang w:val="en-US"/>
        </w:rPr>
        <w:t>the members</w:t>
      </w:r>
      <w:r w:rsidR="00DC49A3" w:rsidRPr="00353B3F">
        <w:rPr>
          <w:rFonts w:ascii="Verdana" w:hAnsi="Verdana"/>
          <w:sz w:val="20"/>
          <w:lang w:val="en-US"/>
        </w:rPr>
        <w:t xml:space="preserve"> of the </w:t>
      </w:r>
      <w:proofErr w:type="spellStart"/>
      <w:r w:rsidR="00BA5116" w:rsidRPr="00353B3F">
        <w:rPr>
          <w:rFonts w:ascii="Verdana" w:hAnsi="Verdana"/>
          <w:sz w:val="20"/>
          <w:lang w:val="en-US"/>
        </w:rPr>
        <w:t>Moiwana</w:t>
      </w:r>
      <w:proofErr w:type="spellEnd"/>
      <w:r w:rsidR="00BA5116" w:rsidRPr="00353B3F">
        <w:rPr>
          <w:rFonts w:ascii="Verdana" w:hAnsi="Verdana"/>
          <w:sz w:val="20"/>
          <w:lang w:val="en-US"/>
        </w:rPr>
        <w:t xml:space="preserve"> community</w:t>
      </w:r>
      <w:r w:rsidR="00951BA4" w:rsidRPr="00353B3F">
        <w:rPr>
          <w:rFonts w:ascii="Verdana" w:hAnsi="Verdana"/>
          <w:sz w:val="20"/>
          <w:lang w:val="en-US"/>
        </w:rPr>
        <w:t xml:space="preserve"> </w:t>
      </w:r>
      <w:r w:rsidRPr="00353B3F">
        <w:rPr>
          <w:rFonts w:ascii="Verdana" w:hAnsi="Verdana"/>
          <w:sz w:val="20"/>
          <w:lang w:val="en-US"/>
        </w:rPr>
        <w:t xml:space="preserve">in </w:t>
      </w:r>
      <w:r w:rsidRPr="00353B3F">
        <w:rPr>
          <w:rFonts w:ascii="Verdana" w:hAnsi="Verdana"/>
          <w:sz w:val="20"/>
          <w:lang w:val="en-US"/>
        </w:rPr>
        <w:lastRenderedPageBreak/>
        <w:t xml:space="preserve">relation to the traditional territories from which they were expelled, and ensure their use and enjoyment of those territories. These measures shall include the creation of an effective mechanism for the delimitation, demarcation and titling of the said traditional territories </w:t>
      </w:r>
      <w:r w:rsidR="00DF1E7C" w:rsidRPr="00353B3F">
        <w:rPr>
          <w:rFonts w:ascii="Verdana" w:hAnsi="Verdana"/>
          <w:sz w:val="20"/>
          <w:lang w:val="en-US"/>
        </w:rPr>
        <w:t>(</w:t>
      </w:r>
      <w:r w:rsidR="00697997" w:rsidRPr="00353B3F">
        <w:rPr>
          <w:rFonts w:ascii="Verdana" w:hAnsi="Verdana"/>
          <w:i/>
          <w:sz w:val="20"/>
          <w:lang w:val="en-US"/>
        </w:rPr>
        <w:t>third o</w:t>
      </w:r>
      <w:r w:rsidR="00EC5ABD" w:rsidRPr="00353B3F">
        <w:rPr>
          <w:rFonts w:ascii="Verdana" w:hAnsi="Verdana"/>
          <w:i/>
          <w:sz w:val="20"/>
          <w:lang w:val="en-US"/>
        </w:rPr>
        <w:t>perative paragraph</w:t>
      </w:r>
      <w:r w:rsidR="00DF1E7C" w:rsidRPr="00353B3F">
        <w:rPr>
          <w:rFonts w:ascii="Verdana" w:hAnsi="Verdana"/>
          <w:i/>
          <w:sz w:val="20"/>
          <w:lang w:val="en-US"/>
        </w:rPr>
        <w:t xml:space="preserve"> </w:t>
      </w:r>
      <w:r w:rsidR="00DC49A3" w:rsidRPr="00353B3F">
        <w:rPr>
          <w:rFonts w:ascii="Verdana" w:hAnsi="Verdana"/>
          <w:i/>
          <w:sz w:val="20"/>
          <w:lang w:val="en-US"/>
        </w:rPr>
        <w:t xml:space="preserve">of the </w:t>
      </w:r>
      <w:r w:rsidR="00484EB4" w:rsidRPr="00353B3F">
        <w:rPr>
          <w:rFonts w:ascii="Verdana" w:hAnsi="Verdana"/>
          <w:i/>
          <w:sz w:val="20"/>
          <w:lang w:val="en-US"/>
        </w:rPr>
        <w:t>judgment</w:t>
      </w:r>
      <w:r w:rsidR="00DF1E7C" w:rsidRPr="00353B3F">
        <w:rPr>
          <w:rFonts w:ascii="Verdana" w:hAnsi="Verdana"/>
          <w:i/>
          <w:sz w:val="20"/>
          <w:lang w:val="en-US"/>
        </w:rPr>
        <w:t>)</w:t>
      </w:r>
      <w:r w:rsidR="00DF1E7C" w:rsidRPr="00353B3F">
        <w:rPr>
          <w:rFonts w:ascii="Verdana" w:hAnsi="Verdana"/>
          <w:sz w:val="20"/>
          <w:lang w:val="en-US"/>
        </w:rPr>
        <w:t xml:space="preserve">; </w:t>
      </w:r>
    </w:p>
    <w:p w14:paraId="30DAD149" w14:textId="063B8560" w:rsidR="00DF1E7C" w:rsidRPr="00353B3F" w:rsidRDefault="00EC5ABD" w:rsidP="00DF1E7C">
      <w:pPr>
        <w:pStyle w:val="ListParagraph"/>
        <w:numPr>
          <w:ilvl w:val="0"/>
          <w:numId w:val="8"/>
        </w:numPr>
        <w:jc w:val="both"/>
        <w:rPr>
          <w:rFonts w:ascii="Verdana" w:hAnsi="Verdana"/>
          <w:sz w:val="20"/>
          <w:lang w:val="en-US"/>
        </w:rPr>
      </w:pPr>
      <w:r w:rsidRPr="00353B3F">
        <w:rPr>
          <w:rFonts w:ascii="Verdana" w:hAnsi="Verdana"/>
          <w:sz w:val="20"/>
          <w:lang w:val="en-US"/>
        </w:rPr>
        <w:t>Guarantee the safety of</w:t>
      </w:r>
      <w:r w:rsidR="00DF1E7C" w:rsidRPr="00353B3F">
        <w:rPr>
          <w:rFonts w:ascii="Verdana" w:hAnsi="Verdana"/>
          <w:sz w:val="20"/>
          <w:lang w:val="en-US"/>
        </w:rPr>
        <w:t xml:space="preserve"> </w:t>
      </w:r>
      <w:r w:rsidR="00BA5116" w:rsidRPr="00353B3F">
        <w:rPr>
          <w:rFonts w:ascii="Verdana" w:hAnsi="Verdana"/>
          <w:sz w:val="20"/>
          <w:lang w:val="en-US"/>
        </w:rPr>
        <w:t>the members</w:t>
      </w:r>
      <w:r w:rsidR="00DC49A3" w:rsidRPr="00353B3F">
        <w:rPr>
          <w:rFonts w:ascii="Verdana" w:hAnsi="Verdana"/>
          <w:sz w:val="20"/>
          <w:lang w:val="en-US"/>
        </w:rPr>
        <w:t xml:space="preserve"> of the </w:t>
      </w:r>
      <w:proofErr w:type="spellStart"/>
      <w:r w:rsidR="00BA5116" w:rsidRPr="00353B3F">
        <w:rPr>
          <w:rFonts w:ascii="Verdana" w:hAnsi="Verdana"/>
          <w:sz w:val="20"/>
          <w:lang w:val="en-US"/>
        </w:rPr>
        <w:t>Moiwana</w:t>
      </w:r>
      <w:proofErr w:type="spellEnd"/>
      <w:r w:rsidR="00BA5116" w:rsidRPr="00353B3F">
        <w:rPr>
          <w:rFonts w:ascii="Verdana" w:hAnsi="Verdana"/>
          <w:sz w:val="20"/>
          <w:lang w:val="en-US"/>
        </w:rPr>
        <w:t xml:space="preserve"> community</w:t>
      </w:r>
      <w:r w:rsidR="00951BA4" w:rsidRPr="00353B3F">
        <w:rPr>
          <w:rFonts w:ascii="Verdana" w:hAnsi="Verdana"/>
          <w:sz w:val="20"/>
          <w:lang w:val="en-US"/>
        </w:rPr>
        <w:t xml:space="preserve"> </w:t>
      </w:r>
      <w:r w:rsidR="00EC4B42" w:rsidRPr="00353B3F">
        <w:rPr>
          <w:rFonts w:ascii="Verdana" w:hAnsi="Verdana"/>
          <w:sz w:val="20"/>
          <w:lang w:val="en-US"/>
        </w:rPr>
        <w:t>who</w:t>
      </w:r>
      <w:r w:rsidR="00DF1E7C" w:rsidRPr="00353B3F">
        <w:rPr>
          <w:rFonts w:ascii="Verdana" w:hAnsi="Verdana"/>
          <w:sz w:val="20"/>
          <w:lang w:val="en-US"/>
        </w:rPr>
        <w:t xml:space="preserve"> decid</w:t>
      </w:r>
      <w:r w:rsidR="006C4589" w:rsidRPr="00353B3F">
        <w:rPr>
          <w:rFonts w:ascii="Verdana" w:hAnsi="Verdana"/>
          <w:sz w:val="20"/>
          <w:lang w:val="en-US"/>
        </w:rPr>
        <w:t>e</w:t>
      </w:r>
      <w:r w:rsidR="00DF1E7C" w:rsidRPr="00353B3F">
        <w:rPr>
          <w:rFonts w:ascii="Verdana" w:hAnsi="Verdana"/>
          <w:sz w:val="20"/>
          <w:lang w:val="en-US"/>
        </w:rPr>
        <w:t xml:space="preserve"> </w:t>
      </w:r>
      <w:r w:rsidR="006C4589" w:rsidRPr="00353B3F">
        <w:rPr>
          <w:rFonts w:ascii="Verdana" w:hAnsi="Verdana"/>
          <w:sz w:val="20"/>
          <w:lang w:val="en-US"/>
        </w:rPr>
        <w:t>to return to the village of</w:t>
      </w:r>
      <w:r w:rsidR="00951BA4" w:rsidRPr="00353B3F">
        <w:rPr>
          <w:rFonts w:ascii="Verdana" w:hAnsi="Verdana"/>
          <w:sz w:val="20"/>
          <w:lang w:val="en-US"/>
        </w:rPr>
        <w:t xml:space="preserve"> </w:t>
      </w:r>
      <w:proofErr w:type="spellStart"/>
      <w:r w:rsidR="00DF1E7C" w:rsidRPr="00353B3F">
        <w:rPr>
          <w:rFonts w:ascii="Verdana" w:hAnsi="Verdana"/>
          <w:sz w:val="20"/>
          <w:lang w:val="en-US"/>
        </w:rPr>
        <w:t>Moiwana</w:t>
      </w:r>
      <w:proofErr w:type="spellEnd"/>
      <w:r w:rsidR="00DF1E7C" w:rsidRPr="00353B3F">
        <w:rPr>
          <w:rFonts w:ascii="Verdana" w:hAnsi="Verdana"/>
          <w:sz w:val="20"/>
          <w:lang w:val="en-US"/>
        </w:rPr>
        <w:t xml:space="preserve"> (</w:t>
      </w:r>
      <w:r w:rsidR="00697997" w:rsidRPr="00353B3F">
        <w:rPr>
          <w:rFonts w:ascii="Verdana" w:hAnsi="Verdana"/>
          <w:i/>
          <w:sz w:val="20"/>
          <w:lang w:val="en-US"/>
        </w:rPr>
        <w:t>fourth o</w:t>
      </w:r>
      <w:r w:rsidRPr="00353B3F">
        <w:rPr>
          <w:rFonts w:ascii="Verdana" w:hAnsi="Verdana"/>
          <w:i/>
          <w:sz w:val="20"/>
          <w:lang w:val="en-US"/>
        </w:rPr>
        <w:t>perative paragraph</w:t>
      </w:r>
      <w:r w:rsidR="00DF1E7C" w:rsidRPr="00353B3F">
        <w:rPr>
          <w:rFonts w:ascii="Verdana" w:hAnsi="Verdana"/>
          <w:i/>
          <w:sz w:val="20"/>
          <w:lang w:val="en-US"/>
        </w:rPr>
        <w:t xml:space="preserve"> </w:t>
      </w:r>
      <w:r w:rsidR="00DC49A3" w:rsidRPr="00353B3F">
        <w:rPr>
          <w:rFonts w:ascii="Verdana" w:hAnsi="Verdana"/>
          <w:i/>
          <w:sz w:val="20"/>
          <w:lang w:val="en-US"/>
        </w:rPr>
        <w:t xml:space="preserve">of the </w:t>
      </w:r>
      <w:r w:rsidR="00484EB4" w:rsidRPr="00353B3F">
        <w:rPr>
          <w:rFonts w:ascii="Verdana" w:hAnsi="Verdana"/>
          <w:i/>
          <w:sz w:val="20"/>
          <w:lang w:val="en-US"/>
        </w:rPr>
        <w:t>judgment</w:t>
      </w:r>
      <w:r w:rsidR="00DF1E7C" w:rsidRPr="00353B3F">
        <w:rPr>
          <w:rFonts w:ascii="Verdana" w:hAnsi="Verdana"/>
          <w:i/>
          <w:sz w:val="20"/>
          <w:lang w:val="en-US"/>
        </w:rPr>
        <w:t>)</w:t>
      </w:r>
      <w:r w:rsidR="00697997" w:rsidRPr="00353B3F">
        <w:rPr>
          <w:rFonts w:ascii="Verdana" w:hAnsi="Verdana"/>
          <w:sz w:val="20"/>
          <w:lang w:val="en-US"/>
        </w:rPr>
        <w:t>, and</w:t>
      </w:r>
      <w:r w:rsidR="00DF1E7C" w:rsidRPr="00353B3F">
        <w:rPr>
          <w:rFonts w:ascii="Verdana" w:hAnsi="Verdana"/>
          <w:sz w:val="20"/>
          <w:lang w:val="en-US"/>
        </w:rPr>
        <w:t xml:space="preserve"> </w:t>
      </w:r>
    </w:p>
    <w:p w14:paraId="559BB9FB" w14:textId="4969892B" w:rsidR="00DF1E7C" w:rsidRPr="00353B3F" w:rsidRDefault="006C4589" w:rsidP="00DF1E7C">
      <w:pPr>
        <w:pStyle w:val="ListParagraph"/>
        <w:numPr>
          <w:ilvl w:val="0"/>
          <w:numId w:val="8"/>
        </w:numPr>
        <w:jc w:val="both"/>
        <w:rPr>
          <w:rFonts w:ascii="Verdana" w:hAnsi="Verdana"/>
          <w:sz w:val="20"/>
          <w:lang w:val="en-US"/>
        </w:rPr>
      </w:pPr>
      <w:r w:rsidRPr="00353B3F">
        <w:rPr>
          <w:rFonts w:ascii="Verdana" w:hAnsi="Verdana"/>
          <w:sz w:val="20"/>
          <w:lang w:val="en-US"/>
        </w:rPr>
        <w:t>Establish</w:t>
      </w:r>
      <w:r w:rsidR="009235B8" w:rsidRPr="00353B3F">
        <w:rPr>
          <w:rFonts w:ascii="Verdana" w:hAnsi="Verdana"/>
          <w:sz w:val="20"/>
          <w:lang w:val="en-US"/>
        </w:rPr>
        <w:t xml:space="preserve"> </w:t>
      </w:r>
      <w:r w:rsidR="00EC5ABD" w:rsidRPr="00353B3F">
        <w:rPr>
          <w:rFonts w:ascii="Verdana" w:hAnsi="Verdana"/>
          <w:sz w:val="20"/>
          <w:lang w:val="en-US"/>
        </w:rPr>
        <w:t>a community development fund</w:t>
      </w:r>
      <w:r w:rsidR="00DF1E7C" w:rsidRPr="00353B3F">
        <w:rPr>
          <w:rFonts w:ascii="Verdana" w:hAnsi="Verdana"/>
          <w:sz w:val="20"/>
          <w:lang w:val="en-US"/>
        </w:rPr>
        <w:t xml:space="preserve"> (</w:t>
      </w:r>
      <w:r w:rsidR="00BA5116" w:rsidRPr="00353B3F">
        <w:rPr>
          <w:rFonts w:ascii="Verdana" w:hAnsi="Verdana"/>
          <w:i/>
          <w:sz w:val="20"/>
          <w:lang w:val="en-US"/>
        </w:rPr>
        <w:t>fifth operative paragraph</w:t>
      </w:r>
      <w:r w:rsidR="00DC49A3" w:rsidRPr="00353B3F">
        <w:rPr>
          <w:rFonts w:ascii="Verdana" w:hAnsi="Verdana"/>
          <w:i/>
          <w:sz w:val="20"/>
          <w:lang w:val="en-US"/>
        </w:rPr>
        <w:t xml:space="preserve"> of the </w:t>
      </w:r>
      <w:r w:rsidR="00484EB4" w:rsidRPr="00353B3F">
        <w:rPr>
          <w:rFonts w:ascii="Verdana" w:hAnsi="Verdana"/>
          <w:i/>
          <w:sz w:val="20"/>
          <w:lang w:val="en-US"/>
        </w:rPr>
        <w:t>judgment</w:t>
      </w:r>
      <w:r w:rsidR="00DF1E7C" w:rsidRPr="00353B3F">
        <w:rPr>
          <w:rFonts w:ascii="Verdana" w:hAnsi="Verdana"/>
          <w:sz w:val="20"/>
          <w:lang w:val="en-US"/>
        </w:rPr>
        <w:t>).</w:t>
      </w:r>
    </w:p>
    <w:p w14:paraId="523AB191" w14:textId="77777777" w:rsidR="00052A96" w:rsidRPr="00353B3F" w:rsidRDefault="00052A96" w:rsidP="00052A96">
      <w:pPr>
        <w:jc w:val="both"/>
        <w:rPr>
          <w:rFonts w:ascii="Verdana" w:hAnsi="Verdana"/>
          <w:sz w:val="20"/>
          <w:lang w:val="en-US"/>
        </w:rPr>
      </w:pPr>
    </w:p>
    <w:p w14:paraId="30BAEA48" w14:textId="0B0A8EE5" w:rsidR="00663414" w:rsidRPr="00353B3F" w:rsidRDefault="006C4589" w:rsidP="00663414">
      <w:pPr>
        <w:numPr>
          <w:ilvl w:val="0"/>
          <w:numId w:val="7"/>
        </w:numPr>
        <w:ind w:left="0" w:hanging="11"/>
        <w:jc w:val="both"/>
        <w:rPr>
          <w:rFonts w:ascii="Verdana" w:hAnsi="Verdana"/>
          <w:sz w:val="20"/>
          <w:lang w:val="en-US"/>
        </w:rPr>
      </w:pPr>
      <w:r w:rsidRPr="00353B3F">
        <w:rPr>
          <w:rFonts w:ascii="Verdana" w:hAnsi="Verdana"/>
          <w:sz w:val="20"/>
          <w:lang w:val="en-US"/>
        </w:rPr>
        <w:t>To require</w:t>
      </w:r>
      <w:r w:rsidR="002B4F7B" w:rsidRPr="00353B3F">
        <w:rPr>
          <w:rFonts w:ascii="Verdana" w:hAnsi="Verdana"/>
          <w:sz w:val="20"/>
          <w:lang w:val="en-US"/>
        </w:rPr>
        <w:t xml:space="preserve"> </w:t>
      </w:r>
      <w:r w:rsidR="00484EB4" w:rsidRPr="00353B3F">
        <w:rPr>
          <w:rFonts w:ascii="Verdana" w:hAnsi="Verdana"/>
          <w:sz w:val="20"/>
          <w:lang w:val="en-US"/>
        </w:rPr>
        <w:t>the State</w:t>
      </w:r>
      <w:r w:rsidR="000D2392" w:rsidRPr="00353B3F">
        <w:rPr>
          <w:rFonts w:ascii="Verdana" w:hAnsi="Verdana"/>
          <w:sz w:val="20"/>
          <w:lang w:val="en-US"/>
        </w:rPr>
        <w:t xml:space="preserve"> </w:t>
      </w:r>
      <w:r w:rsidRPr="00353B3F">
        <w:rPr>
          <w:rFonts w:ascii="Verdana" w:hAnsi="Verdana"/>
          <w:sz w:val="20"/>
          <w:lang w:val="en-US"/>
        </w:rPr>
        <w:t>of</w:t>
      </w:r>
      <w:r w:rsidR="000D2392" w:rsidRPr="00353B3F">
        <w:rPr>
          <w:rFonts w:ascii="Verdana" w:hAnsi="Verdana"/>
          <w:sz w:val="20"/>
          <w:lang w:val="en-US"/>
        </w:rPr>
        <w:t xml:space="preserve"> Surinam</w:t>
      </w:r>
      <w:r w:rsidRPr="00353B3F">
        <w:rPr>
          <w:rFonts w:ascii="Verdana" w:hAnsi="Verdana"/>
          <w:sz w:val="20"/>
          <w:lang w:val="en-US"/>
        </w:rPr>
        <w:t>e to adopt, definitively and as soon as possible, the necessary measures to comply effectively and promptly with the reparations ordered in</w:t>
      </w:r>
      <w:r w:rsidR="00663414" w:rsidRPr="00353B3F">
        <w:rPr>
          <w:rFonts w:ascii="Verdana" w:hAnsi="Verdana"/>
          <w:sz w:val="20"/>
          <w:lang w:val="en-US"/>
        </w:rPr>
        <w:t xml:space="preserve"> </w:t>
      </w:r>
      <w:r w:rsidR="00484EB4" w:rsidRPr="00353B3F">
        <w:rPr>
          <w:rFonts w:ascii="Verdana" w:hAnsi="Verdana"/>
          <w:sz w:val="20"/>
          <w:lang w:val="en-US"/>
        </w:rPr>
        <w:t>the judgment</w:t>
      </w:r>
      <w:r w:rsidR="00663414" w:rsidRPr="00353B3F">
        <w:rPr>
          <w:rFonts w:ascii="Verdana" w:hAnsi="Verdana"/>
          <w:sz w:val="20"/>
          <w:lang w:val="en-US"/>
        </w:rPr>
        <w:t xml:space="preserve">, </w:t>
      </w:r>
      <w:r w:rsidRPr="00353B3F">
        <w:rPr>
          <w:rFonts w:ascii="Verdana" w:hAnsi="Verdana"/>
          <w:sz w:val="20"/>
          <w:lang w:val="en-US"/>
        </w:rPr>
        <w:t xml:space="preserve">in keeping with the considerations in this order, and with the provisions of Article </w:t>
      </w:r>
      <w:r w:rsidR="00663414" w:rsidRPr="00353B3F">
        <w:rPr>
          <w:rFonts w:ascii="Verdana" w:hAnsi="Verdana"/>
          <w:sz w:val="20"/>
          <w:lang w:val="en-US"/>
        </w:rPr>
        <w:t>68</w:t>
      </w:r>
      <w:r w:rsidRPr="00353B3F">
        <w:rPr>
          <w:rFonts w:ascii="Verdana" w:hAnsi="Verdana"/>
          <w:sz w:val="20"/>
          <w:lang w:val="en-US"/>
        </w:rPr>
        <w:t>(1)</w:t>
      </w:r>
      <w:r w:rsidR="00DC49A3" w:rsidRPr="00353B3F">
        <w:rPr>
          <w:rFonts w:ascii="Verdana" w:hAnsi="Verdana"/>
          <w:sz w:val="20"/>
          <w:lang w:val="en-US"/>
        </w:rPr>
        <w:t xml:space="preserve"> of the </w:t>
      </w:r>
      <w:r w:rsidR="00484EB4" w:rsidRPr="00353B3F">
        <w:rPr>
          <w:rFonts w:ascii="Verdana" w:hAnsi="Verdana"/>
          <w:sz w:val="20"/>
          <w:lang w:val="en-US"/>
        </w:rPr>
        <w:t>American Convention on Human Rights</w:t>
      </w:r>
      <w:r w:rsidR="00663414" w:rsidRPr="00353B3F">
        <w:rPr>
          <w:rFonts w:ascii="Verdana" w:hAnsi="Verdana"/>
          <w:sz w:val="20"/>
          <w:lang w:val="en-US"/>
        </w:rPr>
        <w:t>.</w:t>
      </w:r>
    </w:p>
    <w:p w14:paraId="0DBAA77F" w14:textId="77777777" w:rsidR="006530AB" w:rsidRPr="00353B3F" w:rsidRDefault="006530AB" w:rsidP="006530AB">
      <w:pPr>
        <w:jc w:val="both"/>
        <w:rPr>
          <w:rFonts w:ascii="Verdana" w:hAnsi="Verdana"/>
          <w:sz w:val="20"/>
          <w:lang w:val="en-US"/>
        </w:rPr>
      </w:pPr>
    </w:p>
    <w:p w14:paraId="3A52DCA8" w14:textId="3BE77196" w:rsidR="005455A0" w:rsidRPr="00353B3F" w:rsidRDefault="006C4589" w:rsidP="00DF1B41">
      <w:pPr>
        <w:numPr>
          <w:ilvl w:val="0"/>
          <w:numId w:val="7"/>
        </w:numPr>
        <w:ind w:left="0" w:hanging="11"/>
        <w:jc w:val="both"/>
        <w:rPr>
          <w:rFonts w:ascii="Verdana" w:hAnsi="Verdana"/>
          <w:sz w:val="20"/>
          <w:lang w:val="en-US"/>
        </w:rPr>
      </w:pPr>
      <w:r w:rsidRPr="00353B3F">
        <w:rPr>
          <w:rFonts w:ascii="Verdana" w:hAnsi="Verdana"/>
          <w:sz w:val="20"/>
          <w:lang w:val="en-US"/>
        </w:rPr>
        <w:t xml:space="preserve">To </w:t>
      </w:r>
      <w:r w:rsidR="00EC4B42" w:rsidRPr="00353B3F">
        <w:rPr>
          <w:rFonts w:ascii="Verdana" w:hAnsi="Verdana"/>
          <w:sz w:val="20"/>
          <w:lang w:val="en-US"/>
        </w:rPr>
        <w:t>establish</w:t>
      </w:r>
      <w:r w:rsidRPr="00353B3F">
        <w:rPr>
          <w:rFonts w:ascii="Verdana" w:hAnsi="Verdana"/>
          <w:sz w:val="20"/>
          <w:lang w:val="en-US"/>
        </w:rPr>
        <w:t xml:space="preserve"> that, pursuant to Article 39 of the Court’s Rules of Procedure, </w:t>
      </w:r>
      <w:r w:rsidR="00DF1B41" w:rsidRPr="00353B3F">
        <w:rPr>
          <w:rFonts w:ascii="Verdana" w:hAnsi="Verdana"/>
          <w:sz w:val="20"/>
          <w:lang w:val="en-US"/>
        </w:rPr>
        <w:t xml:space="preserve">following the consent of, and in coordination with, the State of Suriname, the President of the Court may visit Suriname in order to obtain relevant information directly from the parties in order to monitor compliance with the judgment, or may delegate this task to one or more judges of the Court or Secretariat officials. </w:t>
      </w:r>
      <w:r w:rsidR="00EC4B42" w:rsidRPr="00353B3F">
        <w:rPr>
          <w:rFonts w:ascii="Verdana" w:hAnsi="Verdana"/>
          <w:sz w:val="20"/>
          <w:lang w:val="en-US"/>
        </w:rPr>
        <w:t>Similarly</w:t>
      </w:r>
      <w:r w:rsidR="00DF1B41" w:rsidRPr="00353B3F">
        <w:rPr>
          <w:rFonts w:ascii="Verdana" w:hAnsi="Verdana"/>
          <w:sz w:val="20"/>
          <w:lang w:val="en-US"/>
        </w:rPr>
        <w:t xml:space="preserve">, in an order of September 26, 2018, the Court also envisaged a visit in relation to the </w:t>
      </w:r>
      <w:r w:rsidR="00DF1B41" w:rsidRPr="00353B3F">
        <w:rPr>
          <w:rFonts w:ascii="Verdana" w:hAnsi="Verdana"/>
          <w:i/>
          <w:sz w:val="20"/>
          <w:lang w:val="en-US"/>
        </w:rPr>
        <w:t>Case of the Saramaka People</w:t>
      </w:r>
      <w:r w:rsidR="000372F1" w:rsidRPr="00353B3F">
        <w:rPr>
          <w:rFonts w:ascii="Verdana" w:hAnsi="Verdana"/>
          <w:i/>
          <w:sz w:val="20"/>
          <w:lang w:val="en-US"/>
        </w:rPr>
        <w:t>.</w:t>
      </w:r>
    </w:p>
    <w:p w14:paraId="17E7F50C" w14:textId="77777777" w:rsidR="005455A0" w:rsidRPr="00353B3F" w:rsidRDefault="005455A0" w:rsidP="005455A0">
      <w:pPr>
        <w:ind w:left="720"/>
        <w:jc w:val="both"/>
        <w:rPr>
          <w:rFonts w:ascii="Verdana" w:hAnsi="Verdana"/>
          <w:sz w:val="20"/>
          <w:lang w:val="en-US"/>
        </w:rPr>
      </w:pPr>
    </w:p>
    <w:p w14:paraId="52BCFAAF" w14:textId="14299782" w:rsidR="00DF1B41" w:rsidRPr="00353B3F" w:rsidRDefault="00DF1B41" w:rsidP="005455A0">
      <w:pPr>
        <w:numPr>
          <w:ilvl w:val="0"/>
          <w:numId w:val="7"/>
        </w:numPr>
        <w:ind w:left="0" w:hanging="11"/>
        <w:jc w:val="both"/>
        <w:rPr>
          <w:rFonts w:ascii="Verdana" w:hAnsi="Verdana"/>
          <w:sz w:val="20"/>
          <w:lang w:val="en-US"/>
        </w:rPr>
      </w:pPr>
      <w:r w:rsidRPr="00353B3F">
        <w:rPr>
          <w:rFonts w:ascii="Verdana" w:hAnsi="Verdana"/>
          <w:sz w:val="20"/>
          <w:lang w:val="en-US"/>
        </w:rPr>
        <w:t xml:space="preserve">To </w:t>
      </w:r>
      <w:r w:rsidR="00EC4B42" w:rsidRPr="00353B3F">
        <w:rPr>
          <w:rFonts w:ascii="Verdana" w:hAnsi="Verdana"/>
          <w:sz w:val="20"/>
          <w:lang w:val="en-US"/>
        </w:rPr>
        <w:t>establish that</w:t>
      </w:r>
      <w:r w:rsidRPr="00353B3F">
        <w:rPr>
          <w:rFonts w:ascii="Verdana" w:hAnsi="Verdana"/>
          <w:sz w:val="20"/>
          <w:lang w:val="en-US"/>
        </w:rPr>
        <w:t xml:space="preserve">, pursuant to Article 39 of the Court’s Rules of Procedure, </w:t>
      </w:r>
      <w:r w:rsidR="00EC4B42" w:rsidRPr="00353B3F">
        <w:rPr>
          <w:rFonts w:ascii="Verdana" w:hAnsi="Verdana"/>
          <w:sz w:val="20"/>
          <w:lang w:val="en-US"/>
        </w:rPr>
        <w:t>the Secretariat should</w:t>
      </w:r>
      <w:r w:rsidRPr="00353B3F">
        <w:rPr>
          <w:rFonts w:ascii="Verdana" w:hAnsi="Verdana"/>
          <w:sz w:val="20"/>
          <w:lang w:val="en-US"/>
        </w:rPr>
        <w:t xml:space="preserve"> commence procedures to coordinate with Suriname the possibility of </w:t>
      </w:r>
      <w:r w:rsidR="003817CF" w:rsidRPr="00353B3F">
        <w:rPr>
          <w:rFonts w:ascii="Verdana" w:hAnsi="Verdana"/>
          <w:sz w:val="20"/>
          <w:lang w:val="en-US"/>
        </w:rPr>
        <w:t xml:space="preserve">making </w:t>
      </w:r>
      <w:r w:rsidRPr="00353B3F">
        <w:rPr>
          <w:rFonts w:ascii="Verdana" w:hAnsi="Verdana"/>
          <w:sz w:val="20"/>
          <w:lang w:val="en-US"/>
        </w:rPr>
        <w:t>a visit to that country to obtain precise and relevant information</w:t>
      </w:r>
      <w:r w:rsidR="003817CF" w:rsidRPr="00353B3F">
        <w:rPr>
          <w:rFonts w:ascii="Verdana" w:hAnsi="Verdana"/>
          <w:sz w:val="20"/>
          <w:lang w:val="en-US"/>
        </w:rPr>
        <w:t xml:space="preserve"> in order</w:t>
      </w:r>
      <w:r w:rsidRPr="00353B3F">
        <w:rPr>
          <w:rFonts w:ascii="Verdana" w:hAnsi="Verdana"/>
          <w:sz w:val="20"/>
          <w:lang w:val="en-US"/>
        </w:rPr>
        <w:t xml:space="preserve"> to monitor compliance with the pending measures of reparation in this case </w:t>
      </w:r>
      <w:r w:rsidR="003817CF" w:rsidRPr="00353B3F">
        <w:rPr>
          <w:rFonts w:ascii="Verdana" w:hAnsi="Verdana"/>
          <w:sz w:val="20"/>
          <w:lang w:val="en-US"/>
        </w:rPr>
        <w:t>and, on the same occasion,</w:t>
      </w:r>
      <w:r w:rsidRPr="00353B3F">
        <w:rPr>
          <w:rFonts w:ascii="Verdana" w:hAnsi="Verdana"/>
          <w:sz w:val="20"/>
          <w:lang w:val="en-US"/>
        </w:rPr>
        <w:t xml:space="preserve"> to </w:t>
      </w:r>
      <w:r w:rsidR="003817CF" w:rsidRPr="00353B3F">
        <w:rPr>
          <w:rFonts w:ascii="Verdana" w:hAnsi="Verdana"/>
          <w:sz w:val="20"/>
          <w:lang w:val="en-US"/>
        </w:rPr>
        <w:t>carry out</w:t>
      </w:r>
      <w:r w:rsidRPr="00353B3F">
        <w:rPr>
          <w:rFonts w:ascii="Verdana" w:hAnsi="Verdana"/>
          <w:sz w:val="20"/>
          <w:lang w:val="en-US"/>
        </w:rPr>
        <w:t xml:space="preserve"> a visit </w:t>
      </w:r>
      <w:r w:rsidR="003817CF" w:rsidRPr="00353B3F">
        <w:rPr>
          <w:rFonts w:ascii="Verdana" w:hAnsi="Verdana"/>
          <w:sz w:val="20"/>
          <w:lang w:val="en-US"/>
        </w:rPr>
        <w:t>in relation</w:t>
      </w:r>
      <w:r w:rsidRPr="00353B3F">
        <w:rPr>
          <w:rFonts w:ascii="Verdana" w:hAnsi="Verdana"/>
          <w:sz w:val="20"/>
          <w:lang w:val="en-US"/>
        </w:rPr>
        <w:t xml:space="preserve"> to the </w:t>
      </w:r>
      <w:r w:rsidRPr="00353B3F">
        <w:rPr>
          <w:rFonts w:ascii="Verdana" w:hAnsi="Verdana"/>
          <w:i/>
          <w:sz w:val="20"/>
          <w:lang w:val="en-US"/>
        </w:rPr>
        <w:t>Case of the Saramaka People</w:t>
      </w:r>
      <w:r w:rsidRPr="00353B3F">
        <w:rPr>
          <w:rFonts w:ascii="Verdana" w:hAnsi="Verdana"/>
          <w:sz w:val="20"/>
          <w:lang w:val="en-US"/>
        </w:rPr>
        <w:t>.</w:t>
      </w:r>
    </w:p>
    <w:p w14:paraId="1A704044" w14:textId="77777777" w:rsidR="00663414" w:rsidRPr="00353B3F" w:rsidRDefault="00663414" w:rsidP="00DF1B41">
      <w:pPr>
        <w:rPr>
          <w:rFonts w:ascii="Verdana" w:hAnsi="Verdana"/>
          <w:sz w:val="20"/>
          <w:lang w:val="en-US"/>
        </w:rPr>
      </w:pPr>
    </w:p>
    <w:p w14:paraId="5F5E2048" w14:textId="25555768" w:rsidR="00663414" w:rsidRPr="00353B3F" w:rsidRDefault="00DF1B41" w:rsidP="00663414">
      <w:pPr>
        <w:numPr>
          <w:ilvl w:val="0"/>
          <w:numId w:val="7"/>
        </w:numPr>
        <w:ind w:left="0" w:hanging="11"/>
        <w:jc w:val="both"/>
        <w:rPr>
          <w:rFonts w:ascii="Verdana" w:hAnsi="Verdana"/>
          <w:sz w:val="20"/>
          <w:lang w:val="en-US"/>
        </w:rPr>
      </w:pPr>
      <w:bookmarkStart w:id="27" w:name="_Ref532304687"/>
      <w:r w:rsidRPr="00353B3F">
        <w:rPr>
          <w:rFonts w:ascii="Verdana" w:hAnsi="Verdana"/>
          <w:sz w:val="20"/>
          <w:lang w:val="en-US"/>
        </w:rPr>
        <w:t>To require</w:t>
      </w:r>
      <w:r w:rsidR="00663414" w:rsidRPr="00353B3F">
        <w:rPr>
          <w:rFonts w:ascii="Verdana" w:hAnsi="Verdana"/>
          <w:sz w:val="20"/>
          <w:lang w:val="en-US"/>
        </w:rPr>
        <w:t xml:space="preserve"> </w:t>
      </w:r>
      <w:r w:rsidR="00484EB4" w:rsidRPr="00353B3F">
        <w:rPr>
          <w:rFonts w:ascii="Verdana" w:hAnsi="Verdana"/>
          <w:sz w:val="20"/>
          <w:lang w:val="en-US"/>
        </w:rPr>
        <w:t>the State</w:t>
      </w:r>
      <w:r w:rsidR="00663414" w:rsidRPr="00353B3F">
        <w:rPr>
          <w:rFonts w:ascii="Verdana" w:hAnsi="Verdana"/>
          <w:sz w:val="20"/>
          <w:lang w:val="en-US"/>
        </w:rPr>
        <w:t xml:space="preserve"> </w:t>
      </w:r>
      <w:r w:rsidRPr="00353B3F">
        <w:rPr>
          <w:rFonts w:ascii="Verdana" w:hAnsi="Verdana"/>
          <w:sz w:val="20"/>
          <w:lang w:val="en-US"/>
        </w:rPr>
        <w:t>to submit to</w:t>
      </w:r>
      <w:r w:rsidR="00663414" w:rsidRPr="00353B3F">
        <w:rPr>
          <w:rFonts w:ascii="Verdana" w:hAnsi="Verdana"/>
          <w:sz w:val="20"/>
          <w:lang w:val="en-US"/>
        </w:rPr>
        <w:t xml:space="preserve"> </w:t>
      </w:r>
      <w:r w:rsidR="00484EB4" w:rsidRPr="00353B3F">
        <w:rPr>
          <w:rFonts w:ascii="Verdana" w:hAnsi="Verdana"/>
          <w:sz w:val="20"/>
          <w:lang w:val="en-US"/>
        </w:rPr>
        <w:t>the Inter-American Court of Human Rights</w:t>
      </w:r>
      <w:r w:rsidR="00663414" w:rsidRPr="00353B3F">
        <w:rPr>
          <w:rFonts w:ascii="Verdana" w:hAnsi="Verdana"/>
          <w:sz w:val="20"/>
          <w:lang w:val="en-US"/>
        </w:rPr>
        <w:t>,</w:t>
      </w:r>
      <w:r w:rsidRPr="00353B3F">
        <w:rPr>
          <w:rFonts w:ascii="Verdana" w:hAnsi="Verdana"/>
          <w:sz w:val="20"/>
          <w:lang w:val="en-US"/>
        </w:rPr>
        <w:t xml:space="preserve"> by March 4, 2019, at the latest, a report indicating the measures taken to comply with the reparations ordered by this Court, in keeping with the considerations in this order</w:t>
      </w:r>
      <w:r w:rsidR="00663414" w:rsidRPr="00353B3F">
        <w:rPr>
          <w:rFonts w:ascii="Verdana" w:hAnsi="Verdana"/>
          <w:sz w:val="20"/>
          <w:lang w:val="en-US"/>
        </w:rPr>
        <w:t>.</w:t>
      </w:r>
      <w:bookmarkEnd w:id="27"/>
    </w:p>
    <w:p w14:paraId="3909511C" w14:textId="77777777" w:rsidR="00663414" w:rsidRPr="00353B3F" w:rsidRDefault="00663414" w:rsidP="00663414">
      <w:pPr>
        <w:pStyle w:val="ListParagraph"/>
        <w:rPr>
          <w:rFonts w:ascii="Verdana" w:hAnsi="Verdana"/>
          <w:sz w:val="20"/>
          <w:lang w:val="en-US"/>
        </w:rPr>
      </w:pPr>
    </w:p>
    <w:p w14:paraId="357968AD" w14:textId="72B1A350" w:rsidR="00663414" w:rsidRPr="00353B3F" w:rsidRDefault="00DF1B41" w:rsidP="00663414">
      <w:pPr>
        <w:numPr>
          <w:ilvl w:val="0"/>
          <w:numId w:val="7"/>
        </w:numPr>
        <w:ind w:left="0" w:hanging="11"/>
        <w:jc w:val="both"/>
        <w:rPr>
          <w:rFonts w:ascii="Verdana" w:hAnsi="Verdana"/>
          <w:sz w:val="20"/>
          <w:lang w:val="en-US"/>
        </w:rPr>
      </w:pPr>
      <w:r w:rsidRPr="00353B3F">
        <w:rPr>
          <w:rFonts w:ascii="Verdana" w:hAnsi="Verdana"/>
          <w:sz w:val="20"/>
          <w:lang w:val="en-US"/>
        </w:rPr>
        <w:t>To require</w:t>
      </w:r>
      <w:r w:rsidR="00663414" w:rsidRPr="00353B3F">
        <w:rPr>
          <w:rFonts w:ascii="Verdana" w:hAnsi="Verdana"/>
          <w:sz w:val="20"/>
          <w:lang w:val="en-US"/>
        </w:rPr>
        <w:t xml:space="preserve"> </w:t>
      </w:r>
      <w:r w:rsidR="00B00DF6" w:rsidRPr="00353B3F">
        <w:rPr>
          <w:rFonts w:ascii="Verdana" w:hAnsi="Verdana"/>
          <w:sz w:val="20"/>
          <w:lang w:val="en-US"/>
        </w:rPr>
        <w:t>the representatives of the victims</w:t>
      </w:r>
      <w:r w:rsidR="00663414" w:rsidRPr="00353B3F">
        <w:rPr>
          <w:rFonts w:ascii="Verdana" w:hAnsi="Verdana"/>
          <w:sz w:val="20"/>
          <w:lang w:val="en-US"/>
        </w:rPr>
        <w:t xml:space="preserve"> </w:t>
      </w:r>
      <w:r w:rsidRPr="00353B3F">
        <w:rPr>
          <w:rFonts w:ascii="Verdana" w:hAnsi="Verdana"/>
          <w:sz w:val="20"/>
          <w:lang w:val="en-US"/>
        </w:rPr>
        <w:t>and</w:t>
      </w:r>
      <w:r w:rsidR="00663414" w:rsidRPr="00353B3F">
        <w:rPr>
          <w:rFonts w:ascii="Verdana" w:hAnsi="Verdana"/>
          <w:sz w:val="20"/>
          <w:lang w:val="en-US"/>
        </w:rPr>
        <w:t xml:space="preserve"> </w:t>
      </w:r>
      <w:r w:rsidR="00484EB4" w:rsidRPr="00353B3F">
        <w:rPr>
          <w:rFonts w:ascii="Verdana" w:hAnsi="Verdana"/>
          <w:sz w:val="20"/>
          <w:lang w:val="en-US"/>
        </w:rPr>
        <w:t>the Inter-American Commission on Human Rights</w:t>
      </w:r>
      <w:r w:rsidR="00663414" w:rsidRPr="00353B3F">
        <w:rPr>
          <w:rFonts w:ascii="Verdana" w:hAnsi="Verdana"/>
          <w:sz w:val="20"/>
          <w:lang w:val="en-US"/>
        </w:rPr>
        <w:t xml:space="preserve"> </w:t>
      </w:r>
      <w:r w:rsidRPr="00353B3F">
        <w:rPr>
          <w:rFonts w:ascii="Verdana" w:hAnsi="Verdana"/>
          <w:sz w:val="20"/>
          <w:lang w:val="en-US"/>
        </w:rPr>
        <w:t xml:space="preserve">to </w:t>
      </w:r>
      <w:r w:rsidR="00663414" w:rsidRPr="00353B3F">
        <w:rPr>
          <w:rFonts w:ascii="Verdana" w:hAnsi="Verdana"/>
          <w:sz w:val="20"/>
          <w:lang w:val="en-US"/>
        </w:rPr>
        <w:t>present observa</w:t>
      </w:r>
      <w:r w:rsidRPr="00353B3F">
        <w:rPr>
          <w:rFonts w:ascii="Verdana" w:hAnsi="Verdana"/>
          <w:sz w:val="20"/>
          <w:lang w:val="en-US"/>
        </w:rPr>
        <w:t xml:space="preserve">tions on the State’s report mentioned in the preceding </w:t>
      </w:r>
      <w:r w:rsidR="00EC5ABD" w:rsidRPr="00353B3F">
        <w:rPr>
          <w:rFonts w:ascii="Verdana" w:hAnsi="Verdana"/>
          <w:sz w:val="20"/>
          <w:lang w:val="en-US"/>
        </w:rPr>
        <w:t>operative paragraph</w:t>
      </w:r>
      <w:r w:rsidRPr="00353B3F">
        <w:rPr>
          <w:rFonts w:ascii="Verdana" w:hAnsi="Verdana"/>
          <w:sz w:val="20"/>
          <w:lang w:val="en-US"/>
        </w:rPr>
        <w:t>, within four and six weeks of receiving the report, respectively</w:t>
      </w:r>
      <w:r w:rsidR="00663414" w:rsidRPr="00353B3F">
        <w:rPr>
          <w:rFonts w:ascii="Verdana" w:hAnsi="Verdana"/>
          <w:sz w:val="20"/>
          <w:lang w:val="en-US"/>
        </w:rPr>
        <w:t xml:space="preserve">. </w:t>
      </w:r>
    </w:p>
    <w:p w14:paraId="0DB195F5" w14:textId="77777777" w:rsidR="00663414" w:rsidRPr="00353B3F" w:rsidRDefault="00663414" w:rsidP="00663414">
      <w:pPr>
        <w:jc w:val="both"/>
        <w:rPr>
          <w:rFonts w:ascii="Verdana" w:hAnsi="Verdana"/>
          <w:sz w:val="20"/>
          <w:lang w:val="en-US"/>
        </w:rPr>
      </w:pPr>
    </w:p>
    <w:p w14:paraId="70D29B10" w14:textId="0507A54B" w:rsidR="00663414" w:rsidRPr="00353B3F" w:rsidRDefault="00DF1B41" w:rsidP="00663414">
      <w:pPr>
        <w:numPr>
          <w:ilvl w:val="0"/>
          <w:numId w:val="7"/>
        </w:numPr>
        <w:ind w:left="0" w:hanging="11"/>
        <w:jc w:val="both"/>
        <w:rPr>
          <w:rFonts w:ascii="Verdana" w:hAnsi="Verdana"/>
          <w:sz w:val="20"/>
          <w:lang w:val="en-US"/>
        </w:rPr>
      </w:pPr>
      <w:r w:rsidRPr="00353B3F">
        <w:rPr>
          <w:rFonts w:ascii="Verdana" w:hAnsi="Verdana"/>
          <w:sz w:val="20"/>
          <w:lang w:val="en-US"/>
        </w:rPr>
        <w:t>To r</w:t>
      </w:r>
      <w:r w:rsidR="0000209B" w:rsidRPr="00353B3F">
        <w:rPr>
          <w:rFonts w:ascii="Verdana" w:hAnsi="Verdana"/>
          <w:sz w:val="20"/>
          <w:lang w:val="en-US"/>
        </w:rPr>
        <w:t xml:space="preserve">equire the </w:t>
      </w:r>
      <w:r w:rsidR="00B00DF6" w:rsidRPr="00353B3F">
        <w:rPr>
          <w:rFonts w:ascii="Verdana" w:hAnsi="Verdana"/>
          <w:sz w:val="20"/>
          <w:lang w:val="en-US"/>
        </w:rPr>
        <w:t>Secretariat</w:t>
      </w:r>
      <w:r w:rsidR="00DC49A3" w:rsidRPr="00353B3F">
        <w:rPr>
          <w:rFonts w:ascii="Verdana" w:hAnsi="Verdana"/>
          <w:sz w:val="20"/>
          <w:lang w:val="en-US"/>
        </w:rPr>
        <w:t xml:space="preserve"> of the </w:t>
      </w:r>
      <w:r w:rsidR="00663414" w:rsidRPr="00353B3F">
        <w:rPr>
          <w:rFonts w:ascii="Verdana" w:hAnsi="Verdana"/>
          <w:sz w:val="20"/>
          <w:lang w:val="en-US"/>
        </w:rPr>
        <w:t>C</w:t>
      </w:r>
      <w:r w:rsidR="0000209B" w:rsidRPr="00353B3F">
        <w:rPr>
          <w:rFonts w:ascii="Verdana" w:hAnsi="Verdana"/>
          <w:sz w:val="20"/>
          <w:lang w:val="en-US"/>
        </w:rPr>
        <w:t xml:space="preserve">ourt to notify this order to the State, </w:t>
      </w:r>
      <w:r w:rsidR="00B00DF6" w:rsidRPr="00353B3F">
        <w:rPr>
          <w:rFonts w:ascii="Verdana" w:hAnsi="Verdana"/>
          <w:sz w:val="20"/>
          <w:lang w:val="en-US"/>
        </w:rPr>
        <w:t xml:space="preserve">the </w:t>
      </w:r>
      <w:r w:rsidR="003817CF" w:rsidRPr="00353B3F">
        <w:rPr>
          <w:rFonts w:ascii="Verdana" w:hAnsi="Verdana"/>
          <w:sz w:val="20"/>
          <w:lang w:val="en-US"/>
        </w:rPr>
        <w:t xml:space="preserve">victims’ </w:t>
      </w:r>
      <w:r w:rsidR="00B00DF6" w:rsidRPr="00353B3F">
        <w:rPr>
          <w:rFonts w:ascii="Verdana" w:hAnsi="Verdana"/>
          <w:sz w:val="20"/>
          <w:lang w:val="en-US"/>
        </w:rPr>
        <w:t xml:space="preserve">representatives </w:t>
      </w:r>
      <w:r w:rsidR="0000209B" w:rsidRPr="00353B3F">
        <w:rPr>
          <w:rFonts w:ascii="Verdana" w:hAnsi="Verdana"/>
          <w:sz w:val="20"/>
          <w:lang w:val="en-US"/>
        </w:rPr>
        <w:t>and</w:t>
      </w:r>
      <w:r w:rsidR="00663414" w:rsidRPr="00353B3F">
        <w:rPr>
          <w:rFonts w:ascii="Verdana" w:hAnsi="Verdana"/>
          <w:sz w:val="20"/>
          <w:lang w:val="en-US"/>
        </w:rPr>
        <w:t xml:space="preserve"> </w:t>
      </w:r>
      <w:r w:rsidR="00484EB4" w:rsidRPr="00353B3F">
        <w:rPr>
          <w:rFonts w:ascii="Verdana" w:hAnsi="Verdana"/>
          <w:sz w:val="20"/>
          <w:lang w:val="en-US"/>
        </w:rPr>
        <w:t>the Inter-American Commission on Human Rights</w:t>
      </w:r>
      <w:r w:rsidR="00663414" w:rsidRPr="00353B3F">
        <w:rPr>
          <w:rFonts w:ascii="Verdana" w:hAnsi="Verdana"/>
          <w:sz w:val="20"/>
          <w:lang w:val="en-US"/>
        </w:rPr>
        <w:t xml:space="preserve">. </w:t>
      </w:r>
    </w:p>
    <w:p w14:paraId="5A93A474" w14:textId="583F2A83" w:rsidR="006F7CF7" w:rsidRPr="00111B3E" w:rsidRDefault="006F7CF7" w:rsidP="006F7CF7">
      <w:pPr>
        <w:jc w:val="both"/>
        <w:rPr>
          <w:rFonts w:ascii="Verdana" w:hAnsi="Verdana"/>
          <w:sz w:val="20"/>
          <w:lang w:val="en-US" w:eastAsia="es-CR"/>
        </w:rPr>
      </w:pPr>
    </w:p>
    <w:p w14:paraId="0A4ECA52" w14:textId="0BB46064" w:rsidR="00493A2D" w:rsidRPr="00111B3E" w:rsidRDefault="00493A2D" w:rsidP="006F7CF7">
      <w:pPr>
        <w:jc w:val="both"/>
        <w:rPr>
          <w:rFonts w:ascii="Verdana" w:hAnsi="Verdana"/>
          <w:sz w:val="20"/>
          <w:lang w:val="en-US" w:eastAsia="es-CR"/>
        </w:rPr>
      </w:pPr>
    </w:p>
    <w:p w14:paraId="21E2A370" w14:textId="0EA4C1A1" w:rsidR="00493A2D" w:rsidRPr="00111B3E" w:rsidRDefault="00493A2D" w:rsidP="006F7CF7">
      <w:pPr>
        <w:jc w:val="both"/>
        <w:rPr>
          <w:rFonts w:ascii="Verdana" w:hAnsi="Verdana"/>
          <w:sz w:val="20"/>
          <w:lang w:val="en-US" w:eastAsia="es-CR"/>
        </w:rPr>
      </w:pPr>
    </w:p>
    <w:p w14:paraId="61A4EAF8" w14:textId="0ED70FC0" w:rsidR="00493A2D" w:rsidRDefault="00493A2D" w:rsidP="006F7CF7">
      <w:pPr>
        <w:jc w:val="both"/>
        <w:rPr>
          <w:rFonts w:ascii="Verdana" w:hAnsi="Verdana"/>
          <w:sz w:val="20"/>
          <w:lang w:val="en-US" w:eastAsia="es-CR"/>
        </w:rPr>
      </w:pPr>
    </w:p>
    <w:p w14:paraId="56204FD2" w14:textId="77777777" w:rsidR="00C55E4A" w:rsidRDefault="00C55E4A" w:rsidP="006F7CF7">
      <w:pPr>
        <w:jc w:val="both"/>
        <w:rPr>
          <w:rFonts w:ascii="Verdana" w:hAnsi="Verdana"/>
          <w:sz w:val="20"/>
          <w:lang w:val="en-US" w:eastAsia="es-CR"/>
        </w:rPr>
      </w:pPr>
    </w:p>
    <w:p w14:paraId="30A31936" w14:textId="77777777" w:rsidR="00C55E4A" w:rsidRDefault="00C55E4A" w:rsidP="006F7CF7">
      <w:pPr>
        <w:jc w:val="both"/>
        <w:rPr>
          <w:rFonts w:ascii="Verdana" w:hAnsi="Verdana"/>
          <w:sz w:val="20"/>
          <w:lang w:val="en-US" w:eastAsia="es-CR"/>
        </w:rPr>
      </w:pPr>
    </w:p>
    <w:p w14:paraId="4AF2CB7B" w14:textId="77777777" w:rsidR="00C55E4A" w:rsidRPr="00C55E4A" w:rsidRDefault="00C55E4A" w:rsidP="00C55E4A">
      <w:pPr>
        <w:tabs>
          <w:tab w:val="left" w:pos="567"/>
        </w:tabs>
        <w:jc w:val="both"/>
        <w:rPr>
          <w:rFonts w:ascii="Verdana" w:hAnsi="Verdana"/>
          <w:sz w:val="20"/>
          <w:lang w:val="en-US"/>
        </w:rPr>
      </w:pPr>
      <w:proofErr w:type="gramStart"/>
      <w:r w:rsidRPr="00C55E4A">
        <w:rPr>
          <w:rFonts w:ascii="Verdana" w:hAnsi="Verdana"/>
          <w:sz w:val="20"/>
          <w:lang w:val="en-US"/>
        </w:rPr>
        <w:t xml:space="preserve">I/A Court H.R. </w:t>
      </w:r>
      <w:r w:rsidRPr="00C55E4A">
        <w:rPr>
          <w:rFonts w:ascii="Verdana" w:hAnsi="Verdana"/>
          <w:i/>
          <w:sz w:val="20"/>
          <w:lang w:val="en-US"/>
        </w:rPr>
        <w:t xml:space="preserve">Case of the </w:t>
      </w:r>
      <w:proofErr w:type="spellStart"/>
      <w:r w:rsidRPr="00C55E4A">
        <w:rPr>
          <w:rFonts w:ascii="Verdana" w:hAnsi="Verdana"/>
          <w:i/>
          <w:sz w:val="20"/>
          <w:lang w:val="en-US"/>
        </w:rPr>
        <w:t>Moiwana</w:t>
      </w:r>
      <w:proofErr w:type="spellEnd"/>
      <w:r w:rsidRPr="00C55E4A">
        <w:rPr>
          <w:rFonts w:ascii="Verdana" w:hAnsi="Verdana"/>
          <w:i/>
          <w:sz w:val="20"/>
          <w:lang w:val="en-US"/>
        </w:rPr>
        <w:t xml:space="preserve"> Community v. Suriname.</w:t>
      </w:r>
      <w:proofErr w:type="gramEnd"/>
      <w:r w:rsidRPr="00C55E4A">
        <w:rPr>
          <w:rFonts w:ascii="Verdana" w:hAnsi="Verdana"/>
          <w:i/>
          <w:sz w:val="20"/>
          <w:lang w:val="en-US"/>
        </w:rPr>
        <w:t xml:space="preserve">  </w:t>
      </w:r>
      <w:proofErr w:type="gramStart"/>
      <w:r w:rsidRPr="00C55E4A">
        <w:rPr>
          <w:rFonts w:ascii="Verdana" w:hAnsi="Verdana"/>
          <w:i/>
          <w:sz w:val="20"/>
          <w:lang w:val="en-US"/>
        </w:rPr>
        <w:t>Monitoring Compliance with Judgment</w:t>
      </w:r>
      <w:r w:rsidRPr="00C55E4A">
        <w:rPr>
          <w:rFonts w:ascii="Verdana" w:hAnsi="Verdana"/>
          <w:sz w:val="20"/>
          <w:lang w:val="en-US"/>
        </w:rPr>
        <w:t>.</w:t>
      </w:r>
      <w:proofErr w:type="gramEnd"/>
      <w:r w:rsidRPr="00C55E4A">
        <w:rPr>
          <w:rFonts w:ascii="Verdana" w:hAnsi="Verdana"/>
          <w:sz w:val="20"/>
          <w:lang w:val="en-US"/>
        </w:rPr>
        <w:t xml:space="preserve">  Order of the Inter-American Court of Human Rights of November 21</w:t>
      </w:r>
      <w:r w:rsidRPr="00C55E4A">
        <w:rPr>
          <w:rFonts w:ascii="Verdana" w:hAnsi="Verdana"/>
          <w:sz w:val="20"/>
          <w:vertAlign w:val="superscript"/>
          <w:lang w:val="en-US"/>
        </w:rPr>
        <w:t>st</w:t>
      </w:r>
      <w:r w:rsidRPr="00C55E4A">
        <w:rPr>
          <w:rFonts w:ascii="Verdana" w:hAnsi="Verdana"/>
          <w:sz w:val="20"/>
          <w:lang w:val="en-US"/>
        </w:rPr>
        <w:t>, 2018.</w:t>
      </w:r>
    </w:p>
    <w:p w14:paraId="5F7513A9" w14:textId="77777777" w:rsidR="00C55E4A" w:rsidRPr="00C55E4A" w:rsidRDefault="00C55E4A" w:rsidP="00C55E4A">
      <w:pPr>
        <w:tabs>
          <w:tab w:val="left" w:pos="567"/>
        </w:tabs>
        <w:jc w:val="both"/>
        <w:rPr>
          <w:rFonts w:ascii="Verdana" w:hAnsi="Verdana"/>
          <w:sz w:val="20"/>
          <w:lang w:val="en-US"/>
        </w:rPr>
      </w:pPr>
    </w:p>
    <w:p w14:paraId="29801C67" w14:textId="77777777" w:rsidR="00C55E4A" w:rsidRPr="00C55E4A" w:rsidRDefault="00C55E4A" w:rsidP="00C55E4A">
      <w:pPr>
        <w:tabs>
          <w:tab w:val="left" w:pos="567"/>
        </w:tabs>
        <w:jc w:val="both"/>
        <w:rPr>
          <w:rFonts w:ascii="Verdana" w:hAnsi="Verdana"/>
          <w:sz w:val="20"/>
          <w:lang w:val="en-US"/>
        </w:rPr>
      </w:pPr>
    </w:p>
    <w:p w14:paraId="32CE6560" w14:textId="77777777" w:rsidR="00C55E4A" w:rsidRPr="00C55E4A" w:rsidRDefault="00C55E4A" w:rsidP="00C55E4A">
      <w:pPr>
        <w:tabs>
          <w:tab w:val="left" w:pos="567"/>
        </w:tabs>
        <w:jc w:val="both"/>
        <w:rPr>
          <w:rFonts w:ascii="Verdana" w:hAnsi="Verdana"/>
          <w:sz w:val="20"/>
          <w:lang w:val="en-US"/>
        </w:rPr>
      </w:pPr>
    </w:p>
    <w:p w14:paraId="3313D211" w14:textId="77777777" w:rsidR="00C55E4A" w:rsidRPr="00C55E4A" w:rsidRDefault="00C55E4A" w:rsidP="00C55E4A">
      <w:pPr>
        <w:jc w:val="both"/>
        <w:rPr>
          <w:rFonts w:ascii="Verdana" w:hAnsi="Verdana"/>
          <w:sz w:val="20"/>
          <w:lang w:val="en-US"/>
        </w:rPr>
      </w:pPr>
    </w:p>
    <w:p w14:paraId="0DF0AECA" w14:textId="0A4EBE38" w:rsidR="00C55E4A" w:rsidRDefault="00C55E4A" w:rsidP="00C55E4A">
      <w:pPr>
        <w:rPr>
          <w:rFonts w:ascii="Verdana" w:hAnsi="Verdana"/>
          <w:sz w:val="20"/>
          <w:lang w:val="en-US"/>
        </w:rPr>
      </w:pPr>
    </w:p>
    <w:p w14:paraId="656E3440" w14:textId="77777777" w:rsidR="00C55E4A" w:rsidRDefault="00C55E4A" w:rsidP="00C55E4A">
      <w:pPr>
        <w:rPr>
          <w:rFonts w:ascii="Verdana" w:hAnsi="Verdana"/>
          <w:sz w:val="20"/>
          <w:lang w:val="en-US"/>
        </w:rPr>
      </w:pPr>
    </w:p>
    <w:p w14:paraId="1A6EA6E0" w14:textId="5FCA66D9" w:rsidR="00C55E4A" w:rsidRPr="00C55E4A" w:rsidRDefault="00C55E4A" w:rsidP="00C55E4A">
      <w:pPr>
        <w:rPr>
          <w:rFonts w:ascii="Verdana" w:hAnsi="Verdana"/>
          <w:sz w:val="20"/>
          <w:lang w:val="en-US"/>
        </w:rPr>
      </w:pPr>
    </w:p>
    <w:p w14:paraId="2204AAE8" w14:textId="77777777" w:rsidR="00C55E4A" w:rsidRPr="00C55E4A" w:rsidRDefault="00C55E4A" w:rsidP="00C55E4A">
      <w:pPr>
        <w:jc w:val="center"/>
        <w:rPr>
          <w:rFonts w:ascii="Verdana" w:hAnsi="Verdana"/>
          <w:sz w:val="20"/>
          <w:lang w:val="en-US"/>
        </w:rPr>
      </w:pPr>
      <w:r w:rsidRPr="00C55E4A">
        <w:rPr>
          <w:rFonts w:ascii="Verdana" w:hAnsi="Verdana"/>
          <w:sz w:val="20"/>
          <w:lang w:val="en-US"/>
        </w:rPr>
        <w:t>Eduardo Ferrer Mac-Gregor Poisot</w:t>
      </w:r>
      <w:r w:rsidRPr="00C55E4A">
        <w:rPr>
          <w:rFonts w:ascii="Verdana" w:hAnsi="Verdana"/>
          <w:sz w:val="20"/>
          <w:lang w:val="en-US"/>
        </w:rPr>
        <w:tab/>
      </w:r>
    </w:p>
    <w:p w14:paraId="281D3D5B" w14:textId="6CF9FC67" w:rsidR="00C55E4A" w:rsidRPr="00C55E4A" w:rsidRDefault="00C55E4A" w:rsidP="00C55E4A">
      <w:pPr>
        <w:jc w:val="center"/>
        <w:rPr>
          <w:rFonts w:ascii="Verdana" w:hAnsi="Verdana"/>
          <w:sz w:val="20"/>
          <w:lang w:val="en-US"/>
        </w:rPr>
      </w:pPr>
      <w:r w:rsidRPr="00C55E4A">
        <w:rPr>
          <w:rFonts w:ascii="Verdana" w:hAnsi="Verdana"/>
          <w:sz w:val="20"/>
          <w:lang w:val="en-US"/>
        </w:rPr>
        <w:t xml:space="preserve">President </w:t>
      </w:r>
    </w:p>
    <w:p w14:paraId="0DDD711E" w14:textId="1BDA3853" w:rsidR="00C55E4A" w:rsidRPr="00C55E4A" w:rsidRDefault="00C55E4A" w:rsidP="00C55E4A">
      <w:pPr>
        <w:jc w:val="both"/>
        <w:rPr>
          <w:rFonts w:ascii="Verdana" w:hAnsi="Verdana"/>
          <w:sz w:val="20"/>
          <w:lang w:val="en-US"/>
        </w:rPr>
      </w:pPr>
    </w:p>
    <w:p w14:paraId="0349539C" w14:textId="08A703F0" w:rsidR="00C55E4A" w:rsidRPr="00444EAE" w:rsidRDefault="00FD6437" w:rsidP="00C55E4A">
      <w:pPr>
        <w:jc w:val="both"/>
        <w:rPr>
          <w:rFonts w:ascii="Verdana" w:hAnsi="Verdana"/>
          <w:sz w:val="20"/>
          <w:lang w:val="en-US"/>
        </w:rPr>
      </w:pPr>
      <w:r w:rsidRPr="00444EAE">
        <w:rPr>
          <w:rFonts w:ascii="Verdana" w:hAnsi="Verdana"/>
          <w:sz w:val="20"/>
          <w:lang w:val="en-US"/>
        </w:rPr>
        <w:t xml:space="preserve">            </w:t>
      </w:r>
    </w:p>
    <w:p w14:paraId="40448DEC" w14:textId="2E25556F" w:rsidR="00C55E4A" w:rsidRPr="004651A1" w:rsidRDefault="00C55E4A" w:rsidP="00C55E4A">
      <w:pPr>
        <w:jc w:val="both"/>
        <w:rPr>
          <w:rFonts w:ascii="Verdana" w:hAnsi="Verdana"/>
          <w:sz w:val="20"/>
          <w:lang w:val="es-ES"/>
        </w:rPr>
      </w:pPr>
      <w:r w:rsidRPr="004651A1">
        <w:rPr>
          <w:rFonts w:ascii="Verdana" w:hAnsi="Verdana"/>
          <w:sz w:val="20"/>
          <w:lang w:val="es-ES"/>
        </w:rPr>
        <w:t>Eduardo Vio Grossi</w:t>
      </w:r>
      <w:r w:rsidRPr="004651A1">
        <w:rPr>
          <w:rFonts w:ascii="Verdana" w:hAnsi="Verdana"/>
          <w:sz w:val="20"/>
          <w:lang w:val="es-ES"/>
        </w:rPr>
        <w:tab/>
      </w:r>
      <w:r w:rsidRPr="004651A1">
        <w:rPr>
          <w:rFonts w:ascii="Verdana" w:hAnsi="Verdana"/>
          <w:sz w:val="20"/>
          <w:lang w:val="es-ES"/>
        </w:rPr>
        <w:tab/>
      </w:r>
      <w:r w:rsidRPr="004651A1">
        <w:rPr>
          <w:rFonts w:ascii="Verdana" w:hAnsi="Verdana"/>
          <w:sz w:val="20"/>
          <w:lang w:val="es-ES"/>
        </w:rPr>
        <w:tab/>
      </w:r>
      <w:r w:rsidRPr="004651A1">
        <w:rPr>
          <w:rFonts w:ascii="Verdana" w:hAnsi="Verdana"/>
          <w:sz w:val="20"/>
          <w:lang w:val="es-ES"/>
        </w:rPr>
        <w:tab/>
      </w:r>
      <w:r w:rsidRPr="004651A1">
        <w:rPr>
          <w:rFonts w:ascii="Verdana" w:hAnsi="Verdana"/>
          <w:sz w:val="20"/>
          <w:lang w:val="es-ES"/>
        </w:rPr>
        <w:tab/>
      </w:r>
      <w:r w:rsidRPr="004651A1">
        <w:rPr>
          <w:rFonts w:ascii="Verdana" w:hAnsi="Verdana"/>
          <w:sz w:val="20"/>
          <w:lang w:val="es-ES"/>
        </w:rPr>
        <w:tab/>
        <w:t>Elizabeth Odio Benito</w:t>
      </w:r>
    </w:p>
    <w:p w14:paraId="6A6F05CE" w14:textId="77777777" w:rsidR="00FD6437" w:rsidRDefault="00FD6437" w:rsidP="00C55E4A">
      <w:pPr>
        <w:jc w:val="both"/>
        <w:rPr>
          <w:rFonts w:ascii="Verdana" w:hAnsi="Verdana"/>
          <w:sz w:val="20"/>
          <w:lang w:val="es-ES"/>
        </w:rPr>
      </w:pPr>
    </w:p>
    <w:p w14:paraId="403E985C" w14:textId="77777777" w:rsidR="00FD6437" w:rsidRDefault="00FD6437" w:rsidP="00C55E4A">
      <w:pPr>
        <w:jc w:val="both"/>
        <w:rPr>
          <w:rFonts w:ascii="Verdana" w:hAnsi="Verdana"/>
          <w:sz w:val="20"/>
          <w:lang w:val="es-ES"/>
        </w:rPr>
      </w:pPr>
    </w:p>
    <w:p w14:paraId="3C67EA2C" w14:textId="77777777" w:rsidR="00FD6437" w:rsidRDefault="00FD6437" w:rsidP="00C55E4A">
      <w:pPr>
        <w:jc w:val="both"/>
        <w:rPr>
          <w:rFonts w:ascii="Verdana" w:hAnsi="Verdana"/>
          <w:sz w:val="20"/>
          <w:lang w:val="es-ES"/>
        </w:rPr>
      </w:pPr>
    </w:p>
    <w:p w14:paraId="798F7146" w14:textId="5B9B1CA7" w:rsidR="00FD6437" w:rsidRDefault="00FD6437" w:rsidP="00C55E4A">
      <w:pPr>
        <w:jc w:val="both"/>
        <w:rPr>
          <w:rFonts w:ascii="Verdana" w:hAnsi="Verdana"/>
          <w:sz w:val="20"/>
          <w:lang w:val="es-ES"/>
        </w:rPr>
      </w:pPr>
    </w:p>
    <w:p w14:paraId="21057A77" w14:textId="458C1979" w:rsidR="00C55E4A" w:rsidRPr="004651A1" w:rsidRDefault="00FD6437" w:rsidP="00C55E4A">
      <w:pPr>
        <w:jc w:val="both"/>
        <w:rPr>
          <w:rFonts w:ascii="Verdana" w:hAnsi="Verdana"/>
          <w:sz w:val="20"/>
          <w:lang w:val="es-ES"/>
        </w:rPr>
      </w:pPr>
      <w:r>
        <w:rPr>
          <w:rFonts w:ascii="Verdana" w:hAnsi="Verdana"/>
          <w:sz w:val="20"/>
          <w:lang w:val="es-ES"/>
        </w:rPr>
        <w:t xml:space="preserve">                                                                         </w:t>
      </w:r>
    </w:p>
    <w:p w14:paraId="6A37F800" w14:textId="77777777" w:rsidR="00C55E4A" w:rsidRPr="004651A1" w:rsidRDefault="00C55E4A" w:rsidP="00C55E4A">
      <w:pPr>
        <w:jc w:val="both"/>
        <w:rPr>
          <w:rFonts w:ascii="Verdana" w:hAnsi="Verdana"/>
          <w:sz w:val="20"/>
          <w:lang w:val="es-ES"/>
        </w:rPr>
      </w:pPr>
      <w:r w:rsidRPr="004651A1">
        <w:rPr>
          <w:rFonts w:ascii="Verdana" w:hAnsi="Verdana"/>
          <w:sz w:val="20"/>
          <w:lang w:val="es-ES"/>
        </w:rPr>
        <w:t xml:space="preserve">Eugenio Raúl </w:t>
      </w:r>
      <w:proofErr w:type="spellStart"/>
      <w:r w:rsidRPr="004651A1">
        <w:rPr>
          <w:rFonts w:ascii="Verdana" w:hAnsi="Verdana"/>
          <w:sz w:val="20"/>
          <w:lang w:val="es-ES"/>
        </w:rPr>
        <w:t>Zaffaroni</w:t>
      </w:r>
      <w:proofErr w:type="spellEnd"/>
      <w:r w:rsidRPr="004651A1">
        <w:rPr>
          <w:rFonts w:ascii="Verdana" w:hAnsi="Verdana"/>
          <w:sz w:val="20"/>
          <w:lang w:val="es-ES"/>
        </w:rPr>
        <w:tab/>
      </w:r>
      <w:r w:rsidRPr="004651A1">
        <w:rPr>
          <w:rFonts w:ascii="Verdana" w:hAnsi="Verdana"/>
          <w:sz w:val="20"/>
          <w:lang w:val="es-ES"/>
        </w:rPr>
        <w:tab/>
      </w:r>
      <w:r w:rsidRPr="004651A1">
        <w:rPr>
          <w:rFonts w:ascii="Verdana" w:hAnsi="Verdana"/>
          <w:sz w:val="20"/>
          <w:lang w:val="es-ES"/>
        </w:rPr>
        <w:tab/>
      </w:r>
      <w:r w:rsidRPr="004651A1">
        <w:rPr>
          <w:rFonts w:ascii="Verdana" w:hAnsi="Verdana"/>
          <w:sz w:val="20"/>
          <w:lang w:val="es-ES"/>
        </w:rPr>
        <w:tab/>
      </w:r>
      <w:r w:rsidRPr="004651A1">
        <w:rPr>
          <w:rFonts w:ascii="Verdana" w:hAnsi="Verdana"/>
          <w:sz w:val="20"/>
          <w:lang w:val="es-ES"/>
        </w:rPr>
        <w:tab/>
        <w:t>L. Patricio Pazmiño Freire</w:t>
      </w:r>
    </w:p>
    <w:p w14:paraId="003210DD" w14:textId="77777777" w:rsidR="00C55E4A" w:rsidRPr="004651A1" w:rsidRDefault="00C55E4A" w:rsidP="00C55E4A">
      <w:pPr>
        <w:jc w:val="both"/>
        <w:rPr>
          <w:rFonts w:ascii="Verdana" w:hAnsi="Verdana"/>
          <w:sz w:val="20"/>
          <w:lang w:val="es-ES"/>
        </w:rPr>
      </w:pPr>
    </w:p>
    <w:p w14:paraId="1BBDA13D" w14:textId="77777777" w:rsidR="00C55E4A" w:rsidRDefault="00C55E4A" w:rsidP="00C55E4A">
      <w:pPr>
        <w:jc w:val="both"/>
        <w:rPr>
          <w:rFonts w:ascii="Verdana" w:hAnsi="Verdana"/>
          <w:sz w:val="20"/>
          <w:lang w:val="es-ES"/>
        </w:rPr>
      </w:pPr>
    </w:p>
    <w:p w14:paraId="4E12D695" w14:textId="77777777" w:rsidR="00FD6437" w:rsidRDefault="00FD6437" w:rsidP="00C55E4A">
      <w:pPr>
        <w:jc w:val="both"/>
        <w:rPr>
          <w:rFonts w:ascii="Verdana" w:hAnsi="Verdana"/>
          <w:sz w:val="20"/>
          <w:lang w:val="es-ES"/>
        </w:rPr>
      </w:pPr>
    </w:p>
    <w:p w14:paraId="43BEDE1B" w14:textId="77777777" w:rsidR="00FD6437" w:rsidRDefault="00FD6437" w:rsidP="00C55E4A">
      <w:pPr>
        <w:jc w:val="both"/>
        <w:rPr>
          <w:rFonts w:ascii="Verdana" w:hAnsi="Verdana"/>
          <w:sz w:val="20"/>
          <w:lang w:val="es-ES"/>
        </w:rPr>
      </w:pPr>
    </w:p>
    <w:p w14:paraId="54DF686B" w14:textId="491719FA" w:rsidR="00C55E4A" w:rsidRDefault="00C55E4A" w:rsidP="00C55E4A">
      <w:pPr>
        <w:jc w:val="center"/>
        <w:rPr>
          <w:rFonts w:ascii="Verdana" w:hAnsi="Verdana"/>
          <w:sz w:val="20"/>
          <w:lang w:val="es-ES"/>
        </w:rPr>
      </w:pPr>
    </w:p>
    <w:p w14:paraId="19B5AF22" w14:textId="77777777" w:rsidR="00C55E4A" w:rsidRPr="002C0A2B" w:rsidRDefault="00C55E4A" w:rsidP="00C55E4A">
      <w:pPr>
        <w:jc w:val="center"/>
        <w:rPr>
          <w:rFonts w:ascii="Verdana" w:hAnsi="Verdana"/>
          <w:sz w:val="20"/>
          <w:lang w:val="es-ES"/>
        </w:rPr>
      </w:pPr>
      <w:r w:rsidRPr="002C0A2B">
        <w:rPr>
          <w:rFonts w:ascii="Verdana" w:hAnsi="Verdana"/>
          <w:sz w:val="20"/>
          <w:lang w:val="es-ES"/>
        </w:rPr>
        <w:t>Pablo Saavedra Alessandri</w:t>
      </w:r>
    </w:p>
    <w:p w14:paraId="6A0C7228" w14:textId="2CBFF808" w:rsidR="00C55E4A" w:rsidRPr="004651A1" w:rsidRDefault="00C55E4A" w:rsidP="00C55E4A">
      <w:pPr>
        <w:jc w:val="center"/>
        <w:rPr>
          <w:rFonts w:ascii="Verdana" w:hAnsi="Verdana"/>
          <w:sz w:val="20"/>
          <w:lang w:val="es-ES"/>
        </w:rPr>
      </w:pPr>
      <w:r w:rsidRPr="004651A1">
        <w:rPr>
          <w:rFonts w:ascii="Verdana" w:hAnsi="Verdana"/>
          <w:sz w:val="20"/>
          <w:lang w:val="es-ES"/>
        </w:rPr>
        <w:t>Registrar</w:t>
      </w:r>
    </w:p>
    <w:p w14:paraId="7E258A20" w14:textId="77777777" w:rsidR="00C55E4A" w:rsidRPr="004651A1" w:rsidRDefault="00C55E4A" w:rsidP="00C55E4A">
      <w:pPr>
        <w:jc w:val="both"/>
        <w:rPr>
          <w:rFonts w:ascii="Verdana" w:hAnsi="Verdana"/>
          <w:sz w:val="20"/>
          <w:lang w:val="es-ES"/>
        </w:rPr>
      </w:pPr>
    </w:p>
    <w:p w14:paraId="0130F2DA" w14:textId="72A0FA64" w:rsidR="00C55E4A" w:rsidRPr="00444EAE" w:rsidRDefault="00C55E4A" w:rsidP="00C55E4A">
      <w:pPr>
        <w:jc w:val="both"/>
        <w:rPr>
          <w:rFonts w:ascii="Verdana" w:hAnsi="Verdana"/>
          <w:sz w:val="20"/>
        </w:rPr>
      </w:pPr>
      <w:r w:rsidRPr="00444EAE">
        <w:rPr>
          <w:rFonts w:ascii="Verdana" w:hAnsi="Verdana"/>
          <w:sz w:val="20"/>
        </w:rPr>
        <w:t xml:space="preserve">So </w:t>
      </w:r>
      <w:proofErr w:type="spellStart"/>
      <w:r w:rsidRPr="00444EAE">
        <w:rPr>
          <w:rFonts w:ascii="Verdana" w:hAnsi="Verdana"/>
          <w:sz w:val="20"/>
        </w:rPr>
        <w:t>ordered</w:t>
      </w:r>
      <w:proofErr w:type="spellEnd"/>
      <w:r w:rsidRPr="00444EAE">
        <w:rPr>
          <w:rFonts w:ascii="Verdana" w:hAnsi="Verdana"/>
          <w:sz w:val="20"/>
        </w:rPr>
        <w:t>,</w:t>
      </w:r>
    </w:p>
    <w:p w14:paraId="4DE14706" w14:textId="77777777" w:rsidR="00C55E4A" w:rsidRPr="00444EAE" w:rsidRDefault="00C55E4A" w:rsidP="00C55E4A">
      <w:pPr>
        <w:jc w:val="both"/>
        <w:rPr>
          <w:rFonts w:ascii="Verdana" w:hAnsi="Verdana"/>
          <w:sz w:val="20"/>
        </w:rPr>
      </w:pPr>
    </w:p>
    <w:p w14:paraId="0B46EEB7" w14:textId="77777777" w:rsidR="00C55E4A" w:rsidRPr="00444EAE" w:rsidRDefault="00C55E4A" w:rsidP="00C55E4A">
      <w:pPr>
        <w:jc w:val="both"/>
        <w:rPr>
          <w:rFonts w:ascii="Verdana" w:hAnsi="Verdana"/>
          <w:sz w:val="20"/>
        </w:rPr>
      </w:pPr>
    </w:p>
    <w:p w14:paraId="3B409E46" w14:textId="20B722D5" w:rsidR="00C55E4A" w:rsidRPr="00444EAE" w:rsidRDefault="00C55E4A" w:rsidP="00C55E4A">
      <w:pPr>
        <w:jc w:val="both"/>
        <w:rPr>
          <w:rFonts w:ascii="Verdana" w:hAnsi="Verdana"/>
          <w:sz w:val="20"/>
        </w:rPr>
      </w:pPr>
    </w:p>
    <w:p w14:paraId="3904BB52" w14:textId="77777777" w:rsidR="00C55E4A" w:rsidRPr="00C55E4A" w:rsidRDefault="00C55E4A" w:rsidP="00C55E4A">
      <w:pPr>
        <w:jc w:val="center"/>
        <w:rPr>
          <w:rFonts w:ascii="Verdana" w:hAnsi="Verdana"/>
          <w:sz w:val="20"/>
          <w:lang w:val="en-US"/>
        </w:rPr>
      </w:pPr>
      <w:r w:rsidRPr="00444EAE">
        <w:rPr>
          <w:rFonts w:ascii="Verdana" w:hAnsi="Verdana"/>
          <w:sz w:val="20"/>
        </w:rPr>
        <w:t xml:space="preserve">      </w:t>
      </w:r>
      <w:r w:rsidRPr="00444EAE">
        <w:rPr>
          <w:rFonts w:ascii="Verdana" w:hAnsi="Verdana"/>
          <w:sz w:val="20"/>
        </w:rPr>
        <w:tab/>
      </w:r>
      <w:r w:rsidRPr="00444EAE">
        <w:rPr>
          <w:rFonts w:ascii="Verdana" w:hAnsi="Verdana"/>
          <w:sz w:val="20"/>
        </w:rPr>
        <w:tab/>
      </w:r>
      <w:r w:rsidRPr="00444EAE">
        <w:rPr>
          <w:rFonts w:ascii="Verdana" w:hAnsi="Verdana"/>
          <w:sz w:val="20"/>
        </w:rPr>
        <w:tab/>
      </w:r>
      <w:r w:rsidRPr="00444EAE">
        <w:rPr>
          <w:rFonts w:ascii="Verdana" w:hAnsi="Verdana"/>
          <w:sz w:val="20"/>
        </w:rPr>
        <w:tab/>
      </w:r>
      <w:r w:rsidRPr="00444EAE">
        <w:rPr>
          <w:rFonts w:ascii="Verdana" w:hAnsi="Verdana"/>
          <w:sz w:val="20"/>
        </w:rPr>
        <w:tab/>
      </w:r>
      <w:r w:rsidRPr="00444EAE">
        <w:rPr>
          <w:rFonts w:ascii="Verdana" w:hAnsi="Verdana"/>
          <w:sz w:val="20"/>
        </w:rPr>
        <w:tab/>
      </w:r>
      <w:r w:rsidRPr="00444EAE">
        <w:rPr>
          <w:rFonts w:ascii="Verdana" w:hAnsi="Verdana"/>
          <w:sz w:val="20"/>
        </w:rPr>
        <w:tab/>
        <w:t xml:space="preserve"> </w:t>
      </w:r>
      <w:r w:rsidRPr="00C55E4A">
        <w:rPr>
          <w:rFonts w:ascii="Verdana" w:hAnsi="Verdana"/>
          <w:sz w:val="20"/>
          <w:lang w:val="en-US"/>
        </w:rPr>
        <w:t>Eduardo Ferrer Mac-</w:t>
      </w:r>
      <w:proofErr w:type="spellStart"/>
      <w:r w:rsidRPr="00C55E4A">
        <w:rPr>
          <w:rFonts w:ascii="Verdana" w:hAnsi="Verdana"/>
          <w:sz w:val="20"/>
          <w:lang w:val="en-US"/>
        </w:rPr>
        <w:t>Gregor</w:t>
      </w:r>
      <w:proofErr w:type="spellEnd"/>
      <w:r w:rsidRPr="00C55E4A">
        <w:rPr>
          <w:rFonts w:ascii="Verdana" w:hAnsi="Verdana"/>
          <w:sz w:val="20"/>
          <w:lang w:val="en-US"/>
        </w:rPr>
        <w:t xml:space="preserve"> </w:t>
      </w:r>
      <w:proofErr w:type="spellStart"/>
      <w:r w:rsidRPr="00C55E4A">
        <w:rPr>
          <w:rFonts w:ascii="Verdana" w:hAnsi="Verdana"/>
          <w:sz w:val="20"/>
          <w:lang w:val="en-US"/>
        </w:rPr>
        <w:t>Poisot</w:t>
      </w:r>
      <w:proofErr w:type="spellEnd"/>
    </w:p>
    <w:p w14:paraId="0593151B" w14:textId="77777777" w:rsidR="00C55E4A" w:rsidRPr="00C55E4A" w:rsidRDefault="00C55E4A" w:rsidP="00C55E4A">
      <w:pPr>
        <w:ind w:left="5040"/>
        <w:rPr>
          <w:rFonts w:ascii="Verdana" w:hAnsi="Verdana"/>
          <w:sz w:val="20"/>
          <w:lang w:val="en-US"/>
        </w:rPr>
      </w:pPr>
      <w:r w:rsidRPr="00C55E4A">
        <w:rPr>
          <w:rFonts w:ascii="Verdana" w:hAnsi="Verdana"/>
          <w:sz w:val="20"/>
          <w:lang w:val="en-US"/>
        </w:rPr>
        <w:t xml:space="preserve">        </w:t>
      </w:r>
      <w:r w:rsidRPr="00C55E4A">
        <w:rPr>
          <w:rFonts w:ascii="Verdana" w:hAnsi="Verdana"/>
          <w:sz w:val="20"/>
          <w:lang w:val="en-US"/>
        </w:rPr>
        <w:tab/>
      </w:r>
      <w:r w:rsidRPr="00C55E4A">
        <w:rPr>
          <w:rFonts w:ascii="Verdana" w:hAnsi="Verdana"/>
          <w:sz w:val="20"/>
          <w:lang w:val="en-US"/>
        </w:rPr>
        <w:tab/>
        <w:t xml:space="preserve">   President </w:t>
      </w:r>
    </w:p>
    <w:p w14:paraId="769D57E4" w14:textId="77777777" w:rsidR="00C55E4A" w:rsidRPr="00C55E4A" w:rsidRDefault="00C55E4A" w:rsidP="00C55E4A">
      <w:pPr>
        <w:jc w:val="both"/>
        <w:rPr>
          <w:rFonts w:ascii="Verdana" w:hAnsi="Verdana"/>
          <w:sz w:val="20"/>
          <w:lang w:val="en-US"/>
        </w:rPr>
      </w:pPr>
    </w:p>
    <w:p w14:paraId="0D41B0AE" w14:textId="77777777" w:rsidR="00C55E4A" w:rsidRPr="00C55E4A" w:rsidRDefault="00C55E4A" w:rsidP="00C55E4A">
      <w:pPr>
        <w:jc w:val="both"/>
        <w:rPr>
          <w:rFonts w:ascii="Verdana" w:hAnsi="Verdana"/>
          <w:sz w:val="20"/>
          <w:lang w:val="en-US"/>
        </w:rPr>
      </w:pPr>
    </w:p>
    <w:p w14:paraId="2C23B770" w14:textId="77777777" w:rsidR="00C55E4A" w:rsidRPr="00C55E4A" w:rsidRDefault="00C55E4A" w:rsidP="00C55E4A">
      <w:pPr>
        <w:jc w:val="both"/>
        <w:rPr>
          <w:rFonts w:ascii="Verdana" w:hAnsi="Verdana"/>
          <w:sz w:val="20"/>
          <w:lang w:val="en-US"/>
        </w:rPr>
      </w:pPr>
    </w:p>
    <w:p w14:paraId="71410E50" w14:textId="77777777" w:rsidR="00C55E4A" w:rsidRPr="00C55E4A" w:rsidRDefault="00C55E4A" w:rsidP="00C55E4A">
      <w:pPr>
        <w:jc w:val="both"/>
        <w:rPr>
          <w:rFonts w:ascii="Verdana" w:hAnsi="Verdana"/>
          <w:sz w:val="20"/>
          <w:lang w:val="en-US"/>
        </w:rPr>
      </w:pPr>
    </w:p>
    <w:p w14:paraId="67CF0FF7" w14:textId="5994B8F8" w:rsidR="00C55E4A" w:rsidRPr="00C55E4A" w:rsidRDefault="00C55E4A" w:rsidP="00C55E4A">
      <w:pPr>
        <w:jc w:val="both"/>
        <w:rPr>
          <w:rFonts w:ascii="Verdana" w:hAnsi="Verdana"/>
          <w:sz w:val="20"/>
          <w:lang w:val="en-US"/>
        </w:rPr>
      </w:pPr>
    </w:p>
    <w:p w14:paraId="0DA46F25" w14:textId="77777777" w:rsidR="00C55E4A" w:rsidRPr="002C0A2B" w:rsidRDefault="00C55E4A" w:rsidP="00C55E4A">
      <w:pPr>
        <w:jc w:val="both"/>
        <w:rPr>
          <w:rFonts w:ascii="Verdana" w:hAnsi="Verdana"/>
          <w:sz w:val="20"/>
          <w:lang w:val="es-ES"/>
        </w:rPr>
      </w:pPr>
      <w:r w:rsidRPr="002C0A2B">
        <w:rPr>
          <w:rFonts w:ascii="Verdana" w:hAnsi="Verdana"/>
          <w:sz w:val="20"/>
          <w:lang w:val="es-ES"/>
        </w:rPr>
        <w:t>Pablo Saavedra Alessandri</w:t>
      </w:r>
    </w:p>
    <w:p w14:paraId="78488DF1" w14:textId="77777777" w:rsidR="00C55E4A" w:rsidRPr="00BC36E2" w:rsidRDefault="00C55E4A" w:rsidP="00C55E4A">
      <w:pPr>
        <w:rPr>
          <w:rFonts w:ascii="Verdana" w:hAnsi="Verdana"/>
          <w:sz w:val="20"/>
        </w:rPr>
      </w:pPr>
      <w:r w:rsidRPr="002C0A2B">
        <w:rPr>
          <w:rFonts w:ascii="Verdana" w:hAnsi="Verdana"/>
          <w:sz w:val="20"/>
          <w:lang w:val="es-ES"/>
        </w:rPr>
        <w:tab/>
      </w:r>
      <w:r>
        <w:rPr>
          <w:rFonts w:ascii="Verdana" w:hAnsi="Verdana"/>
          <w:sz w:val="20"/>
          <w:lang w:val="es-ES"/>
        </w:rPr>
        <w:t>Registrar</w:t>
      </w:r>
    </w:p>
    <w:p w14:paraId="127A5CE6" w14:textId="77777777" w:rsidR="00C55E4A" w:rsidRDefault="00C55E4A" w:rsidP="00C55E4A"/>
    <w:p w14:paraId="7C0AF1FF" w14:textId="77777777" w:rsidR="00C55E4A" w:rsidRPr="00111B3E" w:rsidRDefault="00C55E4A" w:rsidP="006F7CF7">
      <w:pPr>
        <w:jc w:val="both"/>
        <w:rPr>
          <w:rFonts w:ascii="Verdana" w:hAnsi="Verdana"/>
          <w:sz w:val="20"/>
          <w:lang w:val="en-US" w:eastAsia="es-CR"/>
        </w:rPr>
      </w:pPr>
    </w:p>
    <w:p w14:paraId="6B84028D" w14:textId="4262D834" w:rsidR="00493A2D" w:rsidRPr="00111B3E" w:rsidRDefault="00493A2D" w:rsidP="006F7CF7">
      <w:pPr>
        <w:jc w:val="both"/>
        <w:rPr>
          <w:rFonts w:ascii="Verdana" w:hAnsi="Verdana"/>
          <w:sz w:val="20"/>
          <w:lang w:val="en-US" w:eastAsia="es-CR"/>
        </w:rPr>
      </w:pPr>
    </w:p>
    <w:p w14:paraId="650D1BD4" w14:textId="4A142ED4" w:rsidR="00493A2D" w:rsidRPr="00111B3E" w:rsidRDefault="00493A2D" w:rsidP="006F7CF7">
      <w:pPr>
        <w:jc w:val="both"/>
        <w:rPr>
          <w:rFonts w:ascii="Verdana" w:hAnsi="Verdana"/>
          <w:sz w:val="20"/>
          <w:lang w:val="en-US" w:eastAsia="es-CR"/>
        </w:rPr>
      </w:pPr>
    </w:p>
    <w:sectPr w:rsidR="00493A2D" w:rsidRPr="00111B3E" w:rsidSect="005937E0">
      <w:headerReference w:type="even" r:id="rId9"/>
      <w:headerReference w:type="default" r:id="rId10"/>
      <w:footerReference w:type="default" r:id="rId11"/>
      <w:pgSz w:w="12240" w:h="15840"/>
      <w:pgMar w:top="1417" w:right="1701" w:bottom="1417"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B76B0" w14:textId="77777777" w:rsidR="00DB19E8" w:rsidRDefault="00DB19E8" w:rsidP="005173AF">
      <w:r>
        <w:separator/>
      </w:r>
    </w:p>
  </w:endnote>
  <w:endnote w:type="continuationSeparator" w:id="0">
    <w:p w14:paraId="7B313C01" w14:textId="77777777" w:rsidR="00DB19E8" w:rsidRDefault="00DB19E8" w:rsidP="0051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TE1091E40t00">
    <w:altName w:val="Calibri"/>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3C7B5" w14:textId="3041B8AD" w:rsidR="00DB19E8" w:rsidRDefault="00DB19E8">
    <w:pPr>
      <w:pStyle w:val="Footer"/>
      <w:jc w:val="center"/>
    </w:pPr>
  </w:p>
  <w:p w14:paraId="00C15F7F" w14:textId="77777777" w:rsidR="00DB19E8" w:rsidRDefault="00DB19E8" w:rsidP="00EB7CA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B586A" w14:textId="77777777" w:rsidR="00DB19E8" w:rsidRDefault="00DB19E8" w:rsidP="005173AF">
      <w:r>
        <w:separator/>
      </w:r>
    </w:p>
  </w:footnote>
  <w:footnote w:type="continuationSeparator" w:id="0">
    <w:p w14:paraId="53DA17E7" w14:textId="77777777" w:rsidR="00DB19E8" w:rsidRDefault="00DB19E8" w:rsidP="005173AF">
      <w:r>
        <w:continuationSeparator/>
      </w:r>
    </w:p>
  </w:footnote>
  <w:footnote w:id="1">
    <w:p w14:paraId="1574D5A9" w14:textId="1960B792" w:rsidR="00DB19E8" w:rsidRPr="00353B3F" w:rsidRDefault="00DB19E8" w:rsidP="004B4C69">
      <w:pPr>
        <w:pStyle w:val="FootnoteText"/>
        <w:spacing w:after="60"/>
        <w:jc w:val="both"/>
        <w:rPr>
          <w:rFonts w:ascii="Verdana" w:hAnsi="Verdana"/>
          <w:sz w:val="16"/>
          <w:szCs w:val="16"/>
          <w:lang w:val="en-US"/>
        </w:rPr>
      </w:pPr>
      <w:r w:rsidRPr="00353B3F">
        <w:rPr>
          <w:rStyle w:val="FootnoteReference"/>
          <w:rFonts w:ascii="Verdana" w:hAnsi="Verdana"/>
          <w:sz w:val="16"/>
          <w:szCs w:val="16"/>
          <w:lang w:val="en-US"/>
        </w:rPr>
        <w:t>*</w:t>
      </w:r>
      <w:r w:rsidRPr="00353B3F">
        <w:rPr>
          <w:rFonts w:ascii="Verdana" w:hAnsi="Verdana"/>
          <w:sz w:val="16"/>
          <w:szCs w:val="16"/>
          <w:lang w:val="en-US"/>
        </w:rPr>
        <w:t xml:space="preserve"> </w:t>
      </w:r>
      <w:r w:rsidRPr="00353B3F">
        <w:rPr>
          <w:rFonts w:ascii="Verdana" w:hAnsi="Verdana"/>
          <w:sz w:val="16"/>
          <w:szCs w:val="16"/>
          <w:lang w:val="en-US"/>
        </w:rPr>
        <w:tab/>
        <w:t>Judge Humberto A. Sierra Porto did not take part in the deliberation and signature of this order for reasons beyond his control.</w:t>
      </w:r>
    </w:p>
  </w:footnote>
  <w:footnote w:id="2">
    <w:p w14:paraId="7D63AAA4" w14:textId="5870F97E" w:rsidR="00DB19E8" w:rsidRPr="00353B3F" w:rsidRDefault="00DB19E8" w:rsidP="004B4C69">
      <w:pPr>
        <w:pStyle w:val="FootnoteText"/>
        <w:tabs>
          <w:tab w:val="left" w:pos="567"/>
        </w:tabs>
        <w:spacing w:after="60"/>
        <w:jc w:val="both"/>
        <w:rPr>
          <w:rFonts w:ascii="Verdana" w:hAnsi="Verdana"/>
          <w:sz w:val="16"/>
          <w:szCs w:val="16"/>
          <w:lang w:val="en-US"/>
        </w:rPr>
      </w:pPr>
      <w:r w:rsidRPr="00353B3F">
        <w:rPr>
          <w:rStyle w:val="FootnoteReference"/>
          <w:rFonts w:ascii="Verdana" w:hAnsi="Verdana"/>
          <w:sz w:val="16"/>
          <w:szCs w:val="16"/>
          <w:lang w:val="en-US"/>
        </w:rPr>
        <w:footnoteRef/>
      </w:r>
      <w:r w:rsidRPr="00353B3F">
        <w:rPr>
          <w:rFonts w:ascii="Verdana" w:hAnsi="Verdana"/>
          <w:sz w:val="16"/>
          <w:szCs w:val="16"/>
          <w:lang w:val="en-US"/>
        </w:rPr>
        <w:t xml:space="preserve"> </w:t>
      </w:r>
      <w:r w:rsidRPr="00353B3F">
        <w:rPr>
          <w:rFonts w:ascii="Verdana" w:hAnsi="Verdana"/>
          <w:sz w:val="16"/>
          <w:szCs w:val="16"/>
          <w:lang w:val="en-US"/>
        </w:rPr>
        <w:tab/>
      </w:r>
      <w:r w:rsidRPr="00353B3F">
        <w:rPr>
          <w:rFonts w:ascii="Verdana" w:hAnsi="Verdana"/>
          <w:sz w:val="16"/>
          <w:szCs w:val="16"/>
          <w:lang w:val="en-US"/>
        </w:rPr>
        <w:tab/>
      </w:r>
      <w:r w:rsidRPr="00353B3F">
        <w:rPr>
          <w:rFonts w:ascii="Verdana" w:hAnsi="Verdana"/>
          <w:i/>
          <w:sz w:val="16"/>
          <w:szCs w:val="16"/>
          <w:lang w:val="en-US"/>
        </w:rPr>
        <w:t xml:space="preserve">Cf. Case of the </w:t>
      </w:r>
      <w:proofErr w:type="spellStart"/>
      <w:r w:rsidRPr="00353B3F">
        <w:rPr>
          <w:rFonts w:ascii="Verdana" w:hAnsi="Verdana"/>
          <w:i/>
          <w:sz w:val="16"/>
          <w:szCs w:val="16"/>
          <w:lang w:val="en-US"/>
        </w:rPr>
        <w:t>Moiwana</w:t>
      </w:r>
      <w:proofErr w:type="spellEnd"/>
      <w:r w:rsidRPr="00353B3F">
        <w:rPr>
          <w:rFonts w:ascii="Verdana" w:hAnsi="Verdana"/>
          <w:i/>
          <w:sz w:val="16"/>
          <w:szCs w:val="16"/>
          <w:lang w:val="en-US"/>
        </w:rPr>
        <w:t xml:space="preserve"> Community v. Suriname. Preliminary objections, merits, reparations and costs. </w:t>
      </w:r>
      <w:r w:rsidRPr="00353B3F">
        <w:rPr>
          <w:rFonts w:ascii="Verdana" w:hAnsi="Verdana"/>
          <w:sz w:val="16"/>
          <w:szCs w:val="16"/>
          <w:lang w:val="en-US"/>
        </w:rPr>
        <w:t>Judgment of June 15, 2005.</w:t>
      </w:r>
      <w:r w:rsidRPr="00353B3F">
        <w:rPr>
          <w:rFonts w:ascii="Verdana" w:hAnsi="Verdana"/>
          <w:color w:val="00B050"/>
          <w:sz w:val="16"/>
          <w:szCs w:val="16"/>
          <w:lang w:val="en-US"/>
        </w:rPr>
        <w:t xml:space="preserve"> </w:t>
      </w:r>
      <w:r w:rsidRPr="00353B3F">
        <w:rPr>
          <w:rFonts w:ascii="Verdana" w:hAnsi="Verdana"/>
          <w:sz w:val="16"/>
          <w:szCs w:val="16"/>
          <w:lang w:val="en-US"/>
        </w:rPr>
        <w:t xml:space="preserve">The text of this judgment is available at: </w:t>
      </w:r>
      <w:r w:rsidRPr="00353B3F">
        <w:rPr>
          <w:rStyle w:val="Hyperlink"/>
          <w:rFonts w:ascii="Verdana" w:hAnsi="Verdana"/>
          <w:sz w:val="16"/>
          <w:szCs w:val="16"/>
          <w:lang w:val="en-US"/>
        </w:rPr>
        <w:t>http://www.corteidh.or.cr/docs/casos/articulos/seriec_124_ing.pdf.</w:t>
      </w:r>
      <w:r w:rsidRPr="00353B3F">
        <w:rPr>
          <w:rFonts w:ascii="Verdana" w:hAnsi="Verdana"/>
          <w:sz w:val="16"/>
          <w:szCs w:val="16"/>
          <w:lang w:val="en-US"/>
        </w:rPr>
        <w:t xml:space="preserve"> The judgment was notified to the State on July 14, 2005.</w:t>
      </w:r>
    </w:p>
  </w:footnote>
  <w:footnote w:id="3">
    <w:p w14:paraId="18B67C84" w14:textId="53517076" w:rsidR="00DB19E8" w:rsidRPr="00353B3F" w:rsidRDefault="00DB19E8" w:rsidP="004B4C69">
      <w:pPr>
        <w:pStyle w:val="FootnoteText"/>
        <w:spacing w:after="60"/>
        <w:jc w:val="both"/>
        <w:rPr>
          <w:rFonts w:ascii="Verdana" w:hAnsi="Verdana"/>
          <w:sz w:val="16"/>
          <w:szCs w:val="16"/>
          <w:lang w:val="en-US"/>
        </w:rPr>
      </w:pPr>
      <w:r w:rsidRPr="00353B3F">
        <w:rPr>
          <w:rStyle w:val="FootnoteReference"/>
          <w:rFonts w:ascii="Verdana" w:hAnsi="Verdana"/>
          <w:sz w:val="16"/>
          <w:szCs w:val="16"/>
          <w:lang w:val="en-US"/>
        </w:rPr>
        <w:footnoteRef/>
      </w:r>
      <w:r w:rsidRPr="00353B3F">
        <w:rPr>
          <w:rFonts w:ascii="Verdana" w:hAnsi="Verdana"/>
          <w:sz w:val="16"/>
          <w:szCs w:val="16"/>
          <w:lang w:val="en-US"/>
        </w:rPr>
        <w:t xml:space="preserve"> </w:t>
      </w:r>
      <w:r w:rsidRPr="00353B3F">
        <w:rPr>
          <w:rFonts w:ascii="Verdana" w:hAnsi="Verdana"/>
          <w:sz w:val="16"/>
          <w:szCs w:val="16"/>
          <w:lang w:val="en-US"/>
        </w:rPr>
        <w:tab/>
        <w:t xml:space="preserve">Suriname submitted a preliminary objection of lack of jurisdiction </w:t>
      </w:r>
      <w:proofErr w:type="spellStart"/>
      <w:r w:rsidRPr="00353B3F">
        <w:rPr>
          <w:rFonts w:ascii="Verdana" w:hAnsi="Verdana"/>
          <w:i/>
          <w:sz w:val="16"/>
          <w:szCs w:val="16"/>
          <w:lang w:val="en-US"/>
        </w:rPr>
        <w:t>ratione</w:t>
      </w:r>
      <w:proofErr w:type="spellEnd"/>
      <w:r w:rsidRPr="00353B3F">
        <w:rPr>
          <w:rFonts w:ascii="Verdana" w:hAnsi="Verdana"/>
          <w:i/>
          <w:sz w:val="16"/>
          <w:szCs w:val="16"/>
          <w:lang w:val="en-US"/>
        </w:rPr>
        <w:t xml:space="preserve"> </w:t>
      </w:r>
      <w:proofErr w:type="spellStart"/>
      <w:r w:rsidRPr="00353B3F">
        <w:rPr>
          <w:rFonts w:ascii="Verdana" w:hAnsi="Verdana"/>
          <w:i/>
          <w:sz w:val="16"/>
          <w:szCs w:val="16"/>
          <w:lang w:val="en-US"/>
        </w:rPr>
        <w:t>temporis</w:t>
      </w:r>
      <w:proofErr w:type="spellEnd"/>
      <w:r w:rsidRPr="00353B3F">
        <w:rPr>
          <w:rFonts w:ascii="Verdana" w:hAnsi="Verdana"/>
          <w:i/>
          <w:sz w:val="16"/>
          <w:szCs w:val="16"/>
          <w:lang w:val="en-US"/>
        </w:rPr>
        <w:t xml:space="preserve">. </w:t>
      </w:r>
      <w:r w:rsidRPr="00353B3F">
        <w:rPr>
          <w:rFonts w:ascii="Verdana" w:hAnsi="Verdana"/>
          <w:sz w:val="16"/>
          <w:szCs w:val="16"/>
          <w:lang w:val="en-US"/>
        </w:rPr>
        <w:t>The Court determined that it had jurisdiction with regard to the failure to investigate the 1986 massacre and prosecute those responsible; the impossibility of the members of the displaced community returning to this territory, and the violations that occurred after November 12, 1987, the date of which the State accepted the Court’s jurisdiction.</w:t>
      </w:r>
    </w:p>
  </w:footnote>
  <w:footnote w:id="4">
    <w:p w14:paraId="739658DA" w14:textId="2CAF51D2" w:rsidR="00DB19E8" w:rsidRPr="00353B3F" w:rsidRDefault="00DB19E8" w:rsidP="004B4C69">
      <w:pPr>
        <w:pStyle w:val="FootnoteText"/>
        <w:spacing w:after="60"/>
        <w:jc w:val="both"/>
        <w:rPr>
          <w:rFonts w:ascii="Verdana" w:hAnsi="Verdana"/>
          <w:sz w:val="16"/>
          <w:szCs w:val="16"/>
          <w:lang w:val="en-US"/>
        </w:rPr>
      </w:pPr>
      <w:r w:rsidRPr="00353B3F">
        <w:rPr>
          <w:rStyle w:val="FootnoteReference"/>
          <w:rFonts w:ascii="Verdana" w:hAnsi="Verdana"/>
          <w:sz w:val="16"/>
          <w:szCs w:val="16"/>
          <w:lang w:val="en-US"/>
        </w:rPr>
        <w:footnoteRef/>
      </w:r>
      <w:r w:rsidRPr="00353B3F">
        <w:rPr>
          <w:rFonts w:ascii="Verdana" w:hAnsi="Verdana"/>
          <w:sz w:val="16"/>
          <w:szCs w:val="16"/>
          <w:lang w:val="en-US"/>
        </w:rPr>
        <w:t xml:space="preserve"> </w:t>
      </w:r>
      <w:r w:rsidRPr="00353B3F">
        <w:rPr>
          <w:rFonts w:ascii="Verdana" w:hAnsi="Verdana"/>
          <w:sz w:val="16"/>
          <w:szCs w:val="16"/>
          <w:lang w:val="en-US"/>
        </w:rPr>
        <w:tab/>
      </w:r>
      <w:r w:rsidRPr="00353B3F">
        <w:rPr>
          <w:rFonts w:ascii="Verdana" w:hAnsi="Verdana"/>
          <w:i/>
          <w:sz w:val="16"/>
          <w:szCs w:val="16"/>
          <w:lang w:val="en-US"/>
        </w:rPr>
        <w:t xml:space="preserve">Cf. Case of the </w:t>
      </w:r>
      <w:proofErr w:type="spellStart"/>
      <w:r w:rsidRPr="00353B3F">
        <w:rPr>
          <w:rFonts w:ascii="Verdana" w:hAnsi="Verdana"/>
          <w:i/>
          <w:sz w:val="16"/>
          <w:szCs w:val="16"/>
          <w:lang w:val="en-US"/>
        </w:rPr>
        <w:t>Moiwana</w:t>
      </w:r>
      <w:proofErr w:type="spellEnd"/>
      <w:r w:rsidRPr="00353B3F">
        <w:rPr>
          <w:rFonts w:ascii="Verdana" w:hAnsi="Verdana"/>
          <w:i/>
          <w:sz w:val="16"/>
          <w:szCs w:val="16"/>
          <w:lang w:val="en-US"/>
        </w:rPr>
        <w:t xml:space="preserve"> Community v. Suriname. Interpretation of the judgment on merits, reparations and costs. </w:t>
      </w:r>
      <w:r w:rsidRPr="00353B3F">
        <w:rPr>
          <w:rFonts w:ascii="Verdana" w:hAnsi="Verdana"/>
          <w:sz w:val="16"/>
          <w:szCs w:val="16"/>
          <w:lang w:val="en-US"/>
        </w:rPr>
        <w:t xml:space="preserve">Judgment of February 8, 2006. The complete text of the judgment can be found at: </w:t>
      </w:r>
      <w:r w:rsidRPr="00353B3F">
        <w:rPr>
          <w:rStyle w:val="Hyperlink"/>
          <w:rFonts w:ascii="Verdana" w:hAnsi="Verdana"/>
          <w:sz w:val="16"/>
          <w:szCs w:val="16"/>
          <w:lang w:val="en-US"/>
        </w:rPr>
        <w:t>http://www.corteidh.or.cr/docs/casos/articulos/seriec_145_ing.pdf</w:t>
      </w:r>
      <w:r w:rsidRPr="00353B3F">
        <w:rPr>
          <w:rFonts w:ascii="Verdana" w:hAnsi="Verdana"/>
          <w:sz w:val="16"/>
          <w:szCs w:val="16"/>
          <w:lang w:val="en-US"/>
        </w:rPr>
        <w:t xml:space="preserve">. </w:t>
      </w:r>
    </w:p>
  </w:footnote>
  <w:footnote w:id="5">
    <w:p w14:paraId="69DB8606" w14:textId="2ABEB46D" w:rsidR="00DB19E8" w:rsidRPr="00353B3F" w:rsidRDefault="00DB19E8" w:rsidP="004B4C69">
      <w:pPr>
        <w:pStyle w:val="FootnoteText"/>
        <w:spacing w:after="60"/>
        <w:jc w:val="both"/>
        <w:rPr>
          <w:rFonts w:ascii="Verdana" w:hAnsi="Verdana"/>
          <w:sz w:val="16"/>
          <w:szCs w:val="16"/>
          <w:lang w:val="en-US"/>
        </w:rPr>
      </w:pPr>
      <w:r w:rsidRPr="00353B3F">
        <w:rPr>
          <w:rStyle w:val="FootnoteReference"/>
          <w:rFonts w:ascii="Verdana" w:hAnsi="Verdana"/>
          <w:sz w:val="16"/>
          <w:szCs w:val="16"/>
          <w:lang w:val="en-US"/>
        </w:rPr>
        <w:footnoteRef/>
      </w:r>
      <w:r w:rsidRPr="00353B3F">
        <w:rPr>
          <w:rFonts w:ascii="Verdana" w:hAnsi="Verdana"/>
          <w:sz w:val="16"/>
          <w:szCs w:val="16"/>
          <w:lang w:val="en-US"/>
        </w:rPr>
        <w:t xml:space="preserve"> </w:t>
      </w:r>
      <w:r w:rsidRPr="00353B3F">
        <w:rPr>
          <w:rFonts w:ascii="Verdana" w:hAnsi="Verdana"/>
          <w:sz w:val="16"/>
          <w:szCs w:val="16"/>
          <w:lang w:val="en-US"/>
        </w:rPr>
        <w:tab/>
      </w:r>
      <w:r w:rsidRPr="00353B3F">
        <w:rPr>
          <w:rFonts w:ascii="Verdana" w:hAnsi="Verdana"/>
          <w:i/>
          <w:sz w:val="16"/>
          <w:szCs w:val="16"/>
          <w:lang w:val="en-US"/>
        </w:rPr>
        <w:t>Cf.</w:t>
      </w:r>
      <w:r w:rsidRPr="00353B3F">
        <w:rPr>
          <w:rFonts w:ascii="Verdana" w:hAnsi="Verdana"/>
          <w:sz w:val="16"/>
          <w:szCs w:val="16"/>
          <w:lang w:val="en-US"/>
        </w:rPr>
        <w:t xml:space="preserve"> </w:t>
      </w:r>
      <w:r w:rsidRPr="00353B3F">
        <w:rPr>
          <w:rFonts w:ascii="Verdana" w:hAnsi="Verdana"/>
          <w:i/>
          <w:sz w:val="16"/>
          <w:szCs w:val="16"/>
          <w:lang w:val="en-US"/>
        </w:rPr>
        <w:t xml:space="preserve">Case of the </w:t>
      </w:r>
      <w:proofErr w:type="spellStart"/>
      <w:r w:rsidRPr="00353B3F">
        <w:rPr>
          <w:rFonts w:ascii="Verdana" w:hAnsi="Verdana"/>
          <w:i/>
          <w:sz w:val="16"/>
          <w:szCs w:val="16"/>
          <w:lang w:val="en-US"/>
        </w:rPr>
        <w:t>Moiwana</w:t>
      </w:r>
      <w:proofErr w:type="spellEnd"/>
      <w:r w:rsidRPr="00353B3F">
        <w:rPr>
          <w:rFonts w:ascii="Verdana" w:hAnsi="Verdana"/>
          <w:i/>
          <w:sz w:val="16"/>
          <w:szCs w:val="16"/>
          <w:lang w:val="en-US"/>
        </w:rPr>
        <w:t xml:space="preserve"> Community v. Suriname. Monitoring compliance with judgment.</w:t>
      </w:r>
      <w:r w:rsidRPr="00353B3F">
        <w:rPr>
          <w:rFonts w:ascii="Verdana" w:hAnsi="Verdana"/>
          <w:sz w:val="16"/>
          <w:szCs w:val="16"/>
          <w:lang w:val="en-US"/>
        </w:rPr>
        <w:t xml:space="preserve"> Order of the Inter-American Court of Human Rights of November 22, 2010 available at: </w:t>
      </w:r>
      <w:r w:rsidR="00BD655E">
        <w:fldChar w:fldCharType="begin"/>
      </w:r>
      <w:r w:rsidR="00BD655E" w:rsidRPr="00794648">
        <w:rPr>
          <w:lang w:val="en-US"/>
        </w:rPr>
        <w:instrText xml:space="preserve"> HYPERLINK "http://www.corteidh.or.cr/docs/supervisiones/moiwana_22_11_10_ing.pdf" </w:instrText>
      </w:r>
      <w:r w:rsidR="00BD655E">
        <w:fldChar w:fldCharType="separate"/>
      </w:r>
      <w:r w:rsidRPr="00353B3F">
        <w:rPr>
          <w:rStyle w:val="Hyperlink"/>
          <w:rFonts w:ascii="Verdana" w:hAnsi="Verdana"/>
          <w:sz w:val="16"/>
          <w:szCs w:val="16"/>
          <w:lang w:val="en-US"/>
        </w:rPr>
        <w:t>http://www.corteidh.or.cr/docs/supervisiones/moiwana_22_11_10_ing.pdf</w:t>
      </w:r>
      <w:r w:rsidR="00BD655E">
        <w:rPr>
          <w:rStyle w:val="Hyperlink"/>
          <w:rFonts w:ascii="Verdana" w:hAnsi="Verdana"/>
          <w:sz w:val="16"/>
          <w:szCs w:val="16"/>
          <w:lang w:val="en-US"/>
        </w:rPr>
        <w:fldChar w:fldCharType="end"/>
      </w:r>
      <w:r w:rsidRPr="00353B3F">
        <w:rPr>
          <w:rFonts w:ascii="Verdana" w:hAnsi="Verdana"/>
          <w:sz w:val="16"/>
          <w:szCs w:val="16"/>
          <w:lang w:val="en-US"/>
        </w:rPr>
        <w:t xml:space="preserve">. </w:t>
      </w:r>
    </w:p>
    <w:p w14:paraId="25B18480" w14:textId="6C86CAC3" w:rsidR="00DB19E8" w:rsidRPr="00353B3F" w:rsidRDefault="00DB19E8" w:rsidP="004B4C69">
      <w:pPr>
        <w:pStyle w:val="FootnoteText"/>
        <w:spacing w:after="60"/>
        <w:ind w:firstLine="708"/>
        <w:jc w:val="both"/>
        <w:rPr>
          <w:rFonts w:ascii="Verdana" w:hAnsi="Verdana"/>
          <w:sz w:val="16"/>
          <w:szCs w:val="16"/>
          <w:lang w:val="en-US"/>
        </w:rPr>
      </w:pPr>
      <w:r w:rsidRPr="00353B3F">
        <w:rPr>
          <w:rFonts w:ascii="Verdana" w:hAnsi="Verdana"/>
          <w:i/>
          <w:sz w:val="16"/>
          <w:szCs w:val="16"/>
          <w:lang w:val="en-US"/>
        </w:rPr>
        <w:t>Cf.</w:t>
      </w:r>
      <w:r w:rsidRPr="00353B3F">
        <w:rPr>
          <w:rFonts w:ascii="Verdana" w:hAnsi="Verdana"/>
          <w:sz w:val="16"/>
          <w:szCs w:val="16"/>
          <w:lang w:val="en-US"/>
        </w:rPr>
        <w:t xml:space="preserve"> </w:t>
      </w:r>
      <w:r w:rsidRPr="00353B3F">
        <w:rPr>
          <w:rFonts w:ascii="Verdana" w:hAnsi="Verdana"/>
          <w:i/>
          <w:sz w:val="16"/>
          <w:szCs w:val="16"/>
          <w:lang w:val="en-US"/>
        </w:rPr>
        <w:t xml:space="preserve">Case of the </w:t>
      </w:r>
      <w:proofErr w:type="spellStart"/>
      <w:r w:rsidRPr="00353B3F">
        <w:rPr>
          <w:rFonts w:ascii="Verdana" w:hAnsi="Verdana"/>
          <w:i/>
          <w:sz w:val="16"/>
          <w:szCs w:val="16"/>
          <w:lang w:val="en-US"/>
        </w:rPr>
        <w:t>Moiwana</w:t>
      </w:r>
      <w:proofErr w:type="spellEnd"/>
      <w:r w:rsidRPr="00353B3F">
        <w:rPr>
          <w:rFonts w:ascii="Verdana" w:hAnsi="Verdana"/>
          <w:i/>
          <w:sz w:val="16"/>
          <w:szCs w:val="16"/>
          <w:lang w:val="en-US"/>
        </w:rPr>
        <w:t xml:space="preserve"> Community v. Suriname. Monitoring compliance with judgment.</w:t>
      </w:r>
      <w:r w:rsidRPr="00353B3F">
        <w:rPr>
          <w:rFonts w:ascii="Verdana" w:hAnsi="Verdana"/>
          <w:sz w:val="16"/>
          <w:szCs w:val="16"/>
          <w:lang w:val="en-US"/>
        </w:rPr>
        <w:t xml:space="preserve"> Order of the Inter-American Court of Human Rights of December 18, 2009, available at: </w:t>
      </w:r>
      <w:r w:rsidR="00BD655E">
        <w:fldChar w:fldCharType="begin"/>
      </w:r>
      <w:r w:rsidR="00BD655E" w:rsidRPr="00794648">
        <w:rPr>
          <w:lang w:val="en-US"/>
        </w:rPr>
        <w:instrText xml:space="preserve"> HYPERLINK "http://www.corteidh.or.cr/docs/supervisiones/moiwana_18_12_09.pdf" </w:instrText>
      </w:r>
      <w:r w:rsidR="00BD655E">
        <w:fldChar w:fldCharType="separate"/>
      </w:r>
      <w:r w:rsidRPr="00353B3F">
        <w:rPr>
          <w:rStyle w:val="Hyperlink"/>
          <w:rFonts w:ascii="Verdana" w:hAnsi="Verdana"/>
          <w:sz w:val="16"/>
          <w:szCs w:val="16"/>
          <w:lang w:val="en-US"/>
        </w:rPr>
        <w:t>http://www.corteidh.or.cr/docs/supervisiones/moiwana_18_12_09.pdf</w:t>
      </w:r>
      <w:r w:rsidR="00BD655E">
        <w:rPr>
          <w:rStyle w:val="Hyperlink"/>
          <w:rFonts w:ascii="Verdana" w:hAnsi="Verdana"/>
          <w:sz w:val="16"/>
          <w:szCs w:val="16"/>
          <w:lang w:val="en-US"/>
        </w:rPr>
        <w:fldChar w:fldCharType="end"/>
      </w:r>
      <w:r w:rsidRPr="00353B3F">
        <w:rPr>
          <w:rFonts w:ascii="Verdana" w:hAnsi="Verdana"/>
          <w:sz w:val="16"/>
          <w:szCs w:val="16"/>
          <w:lang w:val="en-US"/>
        </w:rPr>
        <w:t xml:space="preserve">. </w:t>
      </w:r>
    </w:p>
    <w:p w14:paraId="2634E0B1" w14:textId="2B0B9B2E" w:rsidR="00DB19E8" w:rsidRPr="00353B3F" w:rsidRDefault="00DB19E8" w:rsidP="004B4C69">
      <w:pPr>
        <w:pStyle w:val="FootnoteText"/>
        <w:spacing w:after="60"/>
        <w:jc w:val="both"/>
        <w:rPr>
          <w:rFonts w:ascii="Verdana" w:hAnsi="Verdana"/>
          <w:sz w:val="16"/>
          <w:szCs w:val="16"/>
          <w:lang w:val="en-US"/>
        </w:rPr>
      </w:pPr>
      <w:r w:rsidRPr="00353B3F">
        <w:rPr>
          <w:rFonts w:ascii="Verdana" w:hAnsi="Verdana"/>
          <w:sz w:val="16"/>
          <w:szCs w:val="16"/>
          <w:lang w:val="en-US"/>
        </w:rPr>
        <w:tab/>
      </w:r>
      <w:r w:rsidRPr="00353B3F">
        <w:rPr>
          <w:rFonts w:ascii="Verdana" w:hAnsi="Verdana"/>
          <w:i/>
          <w:sz w:val="16"/>
          <w:szCs w:val="16"/>
          <w:lang w:val="en-US"/>
        </w:rPr>
        <w:t>Cf.</w:t>
      </w:r>
      <w:r w:rsidRPr="00353B3F">
        <w:rPr>
          <w:rFonts w:ascii="Verdana" w:hAnsi="Verdana"/>
          <w:sz w:val="16"/>
          <w:szCs w:val="16"/>
          <w:lang w:val="en-US"/>
        </w:rPr>
        <w:t xml:space="preserve"> </w:t>
      </w:r>
      <w:r w:rsidRPr="00353B3F">
        <w:rPr>
          <w:rFonts w:ascii="Verdana" w:hAnsi="Verdana"/>
          <w:i/>
          <w:sz w:val="16"/>
          <w:szCs w:val="16"/>
          <w:lang w:val="en-US"/>
        </w:rPr>
        <w:t xml:space="preserve">Case of the </w:t>
      </w:r>
      <w:proofErr w:type="spellStart"/>
      <w:r w:rsidRPr="00353B3F">
        <w:rPr>
          <w:rFonts w:ascii="Verdana" w:hAnsi="Verdana"/>
          <w:i/>
          <w:sz w:val="16"/>
          <w:szCs w:val="16"/>
          <w:lang w:val="en-US"/>
        </w:rPr>
        <w:t>Moiwana</w:t>
      </w:r>
      <w:proofErr w:type="spellEnd"/>
      <w:r w:rsidRPr="00353B3F">
        <w:rPr>
          <w:rFonts w:ascii="Verdana" w:hAnsi="Verdana"/>
          <w:i/>
          <w:sz w:val="16"/>
          <w:szCs w:val="16"/>
          <w:lang w:val="en-US"/>
        </w:rPr>
        <w:t xml:space="preserve"> Community v. Suriname. Monitoring compliance with judgment.</w:t>
      </w:r>
      <w:r w:rsidRPr="00353B3F">
        <w:rPr>
          <w:rFonts w:ascii="Verdana" w:hAnsi="Verdana"/>
          <w:sz w:val="16"/>
          <w:szCs w:val="16"/>
          <w:lang w:val="en-US"/>
        </w:rPr>
        <w:t xml:space="preserve"> Order of the Inter-American Court of Human Rights of November 21, 2007, available at: </w:t>
      </w:r>
      <w:r w:rsidR="00BD655E">
        <w:fldChar w:fldCharType="begin"/>
      </w:r>
      <w:r w:rsidR="00BD655E" w:rsidRPr="00794648">
        <w:rPr>
          <w:lang w:val="en-US"/>
        </w:rPr>
        <w:instrText xml:space="preserve"> HYPERLINK "http://www.corteidh.or.cr/docs/supervisiones/moiwana_21_11_07.pdf" </w:instrText>
      </w:r>
      <w:r w:rsidR="00BD655E">
        <w:fldChar w:fldCharType="separate"/>
      </w:r>
      <w:r w:rsidRPr="00353B3F">
        <w:rPr>
          <w:rStyle w:val="Hyperlink"/>
          <w:rFonts w:ascii="Verdana" w:hAnsi="Verdana"/>
          <w:sz w:val="16"/>
          <w:szCs w:val="16"/>
          <w:lang w:val="en-US"/>
        </w:rPr>
        <w:t>http://www.corteidh.or.cr/docs/supervisiones/moiwana_21_11_07.pdf</w:t>
      </w:r>
      <w:r w:rsidR="00BD655E">
        <w:rPr>
          <w:rStyle w:val="Hyperlink"/>
          <w:rFonts w:ascii="Verdana" w:hAnsi="Verdana"/>
          <w:sz w:val="16"/>
          <w:szCs w:val="16"/>
          <w:lang w:val="en-US"/>
        </w:rPr>
        <w:fldChar w:fldCharType="end"/>
      </w:r>
      <w:r w:rsidRPr="00353B3F">
        <w:rPr>
          <w:rFonts w:ascii="Verdana" w:hAnsi="Verdana"/>
          <w:sz w:val="16"/>
          <w:szCs w:val="16"/>
          <w:lang w:val="en-US"/>
        </w:rPr>
        <w:t>.</w:t>
      </w:r>
    </w:p>
  </w:footnote>
  <w:footnote w:id="6">
    <w:p w14:paraId="559CB6FF" w14:textId="6FF8C05A" w:rsidR="00DB19E8" w:rsidRPr="00353B3F" w:rsidRDefault="00DB19E8" w:rsidP="004B4C69">
      <w:pPr>
        <w:pStyle w:val="FootnoteText"/>
        <w:spacing w:after="60"/>
        <w:jc w:val="both"/>
        <w:rPr>
          <w:rFonts w:ascii="Verdana" w:hAnsi="Verdana"/>
          <w:sz w:val="16"/>
          <w:szCs w:val="16"/>
          <w:lang w:val="en-US"/>
        </w:rPr>
      </w:pPr>
      <w:r w:rsidRPr="00353B3F">
        <w:rPr>
          <w:rStyle w:val="FootnoteReference"/>
          <w:rFonts w:ascii="Verdana" w:hAnsi="Verdana"/>
          <w:sz w:val="16"/>
          <w:szCs w:val="16"/>
          <w:lang w:val="en-US"/>
        </w:rPr>
        <w:footnoteRef/>
      </w:r>
      <w:r w:rsidRPr="00353B3F">
        <w:rPr>
          <w:rFonts w:ascii="Verdana" w:hAnsi="Verdana"/>
          <w:sz w:val="16"/>
          <w:szCs w:val="16"/>
          <w:lang w:val="en-US"/>
        </w:rPr>
        <w:t xml:space="preserve"> </w:t>
      </w:r>
      <w:r w:rsidRPr="00353B3F">
        <w:rPr>
          <w:rFonts w:ascii="Verdana" w:hAnsi="Verdana"/>
          <w:sz w:val="16"/>
          <w:szCs w:val="16"/>
          <w:lang w:val="en-US"/>
        </w:rPr>
        <w:tab/>
        <w:t xml:space="preserve">The hearing was attended by: (a) for the victims, Fergus MacKay, representative of the Forest Peoples Programme; (b) for the State, Margo </w:t>
      </w:r>
      <w:proofErr w:type="spellStart"/>
      <w:r w:rsidRPr="00353B3F">
        <w:rPr>
          <w:rFonts w:ascii="Verdana" w:hAnsi="Verdana"/>
          <w:sz w:val="16"/>
          <w:szCs w:val="16"/>
          <w:lang w:val="en-US"/>
        </w:rPr>
        <w:t>Waterval</w:t>
      </w:r>
      <w:proofErr w:type="spellEnd"/>
      <w:r w:rsidRPr="00353B3F">
        <w:rPr>
          <w:rFonts w:ascii="Verdana" w:hAnsi="Verdana"/>
          <w:sz w:val="16"/>
          <w:szCs w:val="16"/>
          <w:lang w:val="en-US"/>
        </w:rPr>
        <w:t xml:space="preserve"> and </w:t>
      </w:r>
      <w:proofErr w:type="spellStart"/>
      <w:r w:rsidRPr="00353B3F">
        <w:rPr>
          <w:rFonts w:ascii="Verdana" w:hAnsi="Verdana"/>
          <w:sz w:val="16"/>
          <w:szCs w:val="16"/>
          <w:lang w:val="en-US"/>
        </w:rPr>
        <w:t>Jornell</w:t>
      </w:r>
      <w:proofErr w:type="spellEnd"/>
      <w:r w:rsidRPr="00353B3F">
        <w:rPr>
          <w:rFonts w:ascii="Verdana" w:hAnsi="Verdana"/>
          <w:sz w:val="16"/>
          <w:szCs w:val="16"/>
          <w:lang w:val="en-US"/>
        </w:rPr>
        <w:t xml:space="preserve"> </w:t>
      </w:r>
      <w:proofErr w:type="spellStart"/>
      <w:r w:rsidRPr="00353B3F">
        <w:rPr>
          <w:rFonts w:ascii="Verdana" w:hAnsi="Verdana"/>
          <w:sz w:val="16"/>
          <w:szCs w:val="16"/>
          <w:lang w:val="en-US"/>
        </w:rPr>
        <w:t>Vinkwolk</w:t>
      </w:r>
      <w:proofErr w:type="spellEnd"/>
      <w:r w:rsidRPr="00353B3F">
        <w:rPr>
          <w:rFonts w:ascii="Verdana" w:hAnsi="Verdana"/>
          <w:sz w:val="16"/>
          <w:szCs w:val="16"/>
          <w:lang w:val="en-US"/>
        </w:rPr>
        <w:t xml:space="preserve">, and (c) for the Inter-American Commission, Karla Quintana Osuna and Silvia Serrano Guzmán. Pursuant to Article 6(2) of its Rules of Procedure, the Court held the hearing with a committee consisting of Judges Manuel E. Ventura Robles, Alberto Pérez </w:t>
      </w:r>
      <w:proofErr w:type="spellStart"/>
      <w:r w:rsidRPr="00353B3F">
        <w:rPr>
          <w:rFonts w:ascii="Verdana" w:hAnsi="Verdana"/>
          <w:sz w:val="16"/>
          <w:szCs w:val="16"/>
          <w:lang w:val="en-US"/>
        </w:rPr>
        <w:t>Pérez</w:t>
      </w:r>
      <w:proofErr w:type="spellEnd"/>
      <w:r w:rsidRPr="00353B3F">
        <w:rPr>
          <w:rFonts w:ascii="Verdana" w:hAnsi="Verdana"/>
          <w:sz w:val="16"/>
          <w:szCs w:val="16"/>
          <w:lang w:val="en-US"/>
        </w:rPr>
        <w:t xml:space="preserve"> and </w:t>
      </w:r>
      <w:proofErr w:type="spellStart"/>
      <w:r w:rsidRPr="00353B3F">
        <w:rPr>
          <w:rFonts w:ascii="Verdana" w:hAnsi="Verdana"/>
          <w:sz w:val="16"/>
          <w:szCs w:val="16"/>
          <w:lang w:val="en-US"/>
        </w:rPr>
        <w:t>Margarette</w:t>
      </w:r>
      <w:proofErr w:type="spellEnd"/>
      <w:r w:rsidRPr="00353B3F">
        <w:rPr>
          <w:rFonts w:ascii="Verdana" w:hAnsi="Verdana"/>
          <w:sz w:val="16"/>
          <w:szCs w:val="16"/>
          <w:lang w:val="en-US"/>
        </w:rPr>
        <w:t xml:space="preserve"> May Macaulay.</w:t>
      </w:r>
    </w:p>
  </w:footnote>
  <w:footnote w:id="7">
    <w:p w14:paraId="78254686" w14:textId="7CEBF8D8" w:rsidR="00DB19E8" w:rsidRPr="00353B3F" w:rsidRDefault="00DB19E8" w:rsidP="004B4C69">
      <w:pPr>
        <w:pStyle w:val="FootnoteText"/>
        <w:spacing w:after="60"/>
        <w:rPr>
          <w:rFonts w:ascii="Verdana" w:hAnsi="Verdana"/>
          <w:sz w:val="16"/>
          <w:szCs w:val="16"/>
          <w:lang w:val="en-US"/>
        </w:rPr>
      </w:pPr>
      <w:r w:rsidRPr="00353B3F">
        <w:rPr>
          <w:rStyle w:val="FootnoteReference"/>
          <w:rFonts w:ascii="Verdana" w:hAnsi="Verdana"/>
          <w:sz w:val="16"/>
          <w:szCs w:val="16"/>
          <w:lang w:val="en-US"/>
        </w:rPr>
        <w:footnoteRef/>
      </w:r>
      <w:r w:rsidRPr="00353B3F">
        <w:rPr>
          <w:rFonts w:ascii="Verdana" w:hAnsi="Verdana"/>
          <w:sz w:val="16"/>
          <w:szCs w:val="16"/>
          <w:lang w:val="en-US"/>
        </w:rPr>
        <w:t xml:space="preserve"> </w:t>
      </w:r>
      <w:r w:rsidRPr="00353B3F">
        <w:rPr>
          <w:rFonts w:ascii="Verdana" w:hAnsi="Verdana"/>
          <w:sz w:val="16"/>
          <w:szCs w:val="16"/>
          <w:lang w:val="en-US"/>
        </w:rPr>
        <w:tab/>
        <w:t>The Forest Peoples Programme represents the victims in this case.</w:t>
      </w:r>
    </w:p>
  </w:footnote>
  <w:footnote w:id="8">
    <w:p w14:paraId="490F867A" w14:textId="08492FBE" w:rsidR="00DB19E8" w:rsidRPr="00353B3F" w:rsidRDefault="00DB19E8" w:rsidP="004B4C69">
      <w:pPr>
        <w:pStyle w:val="FootnoteText"/>
        <w:spacing w:after="60"/>
        <w:jc w:val="both"/>
        <w:rPr>
          <w:rFonts w:ascii="Verdana" w:hAnsi="Verdana"/>
          <w:sz w:val="16"/>
          <w:szCs w:val="16"/>
          <w:lang w:val="en-US" w:eastAsia="en-US"/>
        </w:rPr>
      </w:pPr>
      <w:r w:rsidRPr="00353B3F">
        <w:rPr>
          <w:rStyle w:val="FootnoteReference"/>
          <w:rFonts w:ascii="Verdana" w:hAnsi="Verdana"/>
          <w:sz w:val="16"/>
          <w:szCs w:val="16"/>
          <w:lang w:val="en-US"/>
        </w:rPr>
        <w:footnoteRef/>
      </w:r>
      <w:r w:rsidRPr="00353B3F">
        <w:rPr>
          <w:rFonts w:ascii="Verdana" w:hAnsi="Verdana"/>
          <w:sz w:val="16"/>
          <w:szCs w:val="16"/>
          <w:lang w:val="en-US"/>
        </w:rPr>
        <w:t xml:space="preserve"> </w:t>
      </w:r>
      <w:r w:rsidRPr="00353B3F">
        <w:rPr>
          <w:rFonts w:ascii="Verdana" w:hAnsi="Verdana"/>
          <w:sz w:val="16"/>
          <w:szCs w:val="16"/>
          <w:lang w:val="en-US"/>
        </w:rPr>
        <w:tab/>
        <w:t>This authority is also revealed by the provisions of Articles 33, 62(1), 62(30 and 65 of the American Convention and 30 of the Court’s Statute, and is regulated by Article 60 of its Rules of Procedure.</w:t>
      </w:r>
    </w:p>
  </w:footnote>
  <w:footnote w:id="9">
    <w:p w14:paraId="73A6E3A3" w14:textId="68387D76" w:rsidR="00DB19E8" w:rsidRPr="00353B3F" w:rsidRDefault="00DB19E8" w:rsidP="004B4C69">
      <w:pPr>
        <w:pStyle w:val="FootnoteText"/>
        <w:spacing w:after="60"/>
        <w:jc w:val="both"/>
        <w:rPr>
          <w:rFonts w:ascii="Verdana" w:hAnsi="Verdana"/>
          <w:sz w:val="16"/>
          <w:szCs w:val="16"/>
          <w:lang w:val="en-US"/>
        </w:rPr>
      </w:pPr>
      <w:r w:rsidRPr="00353B3F">
        <w:rPr>
          <w:rStyle w:val="FootnoteReference"/>
          <w:rFonts w:ascii="Verdana" w:hAnsi="Verdana"/>
          <w:sz w:val="16"/>
          <w:szCs w:val="16"/>
          <w:lang w:val="en-US"/>
        </w:rPr>
        <w:footnoteRef/>
      </w:r>
      <w:r w:rsidRPr="00353B3F">
        <w:rPr>
          <w:rFonts w:ascii="Verdana" w:hAnsi="Verdana"/>
          <w:sz w:val="16"/>
          <w:szCs w:val="16"/>
          <w:lang w:val="en-US"/>
        </w:rPr>
        <w:t xml:space="preserve"> </w:t>
      </w:r>
      <w:r w:rsidRPr="00353B3F">
        <w:rPr>
          <w:rFonts w:ascii="Verdana" w:hAnsi="Verdana"/>
          <w:sz w:val="16"/>
          <w:szCs w:val="16"/>
          <w:lang w:val="en-US"/>
        </w:rPr>
        <w:tab/>
        <w:t>Suriname has complied fully with the following measures of reparations: (i) carry out a public ceremony whereby it recognizes its international responsibility and issues an apology (</w:t>
      </w:r>
      <w:r w:rsidRPr="00353B3F">
        <w:rPr>
          <w:rFonts w:ascii="Verdana" w:hAnsi="Verdana"/>
          <w:i/>
          <w:sz w:val="16"/>
          <w:szCs w:val="16"/>
          <w:lang w:val="en-US"/>
        </w:rPr>
        <w:t>sixth operative paragraph of the judgment</w:t>
      </w:r>
      <w:r w:rsidRPr="00353B3F">
        <w:rPr>
          <w:rFonts w:ascii="Verdana" w:hAnsi="Verdana"/>
          <w:sz w:val="16"/>
          <w:szCs w:val="16"/>
          <w:lang w:val="en-US"/>
        </w:rPr>
        <w:t xml:space="preserve">); (ii) pay compensation to the members of the </w:t>
      </w:r>
      <w:proofErr w:type="spellStart"/>
      <w:r w:rsidRPr="00353B3F">
        <w:rPr>
          <w:rFonts w:ascii="Verdana" w:hAnsi="Verdana"/>
          <w:sz w:val="16"/>
          <w:szCs w:val="16"/>
          <w:lang w:val="en-US"/>
        </w:rPr>
        <w:t>Moiwana</w:t>
      </w:r>
      <w:proofErr w:type="spellEnd"/>
      <w:r w:rsidRPr="00353B3F">
        <w:rPr>
          <w:rFonts w:ascii="Verdana" w:hAnsi="Verdana"/>
          <w:sz w:val="16"/>
          <w:szCs w:val="16"/>
          <w:lang w:val="en-US"/>
        </w:rPr>
        <w:t xml:space="preserve"> community for the pecuniary and non-pecuniary damage suffered (</w:t>
      </w:r>
      <w:r w:rsidRPr="00353B3F">
        <w:rPr>
          <w:rFonts w:ascii="Verdana" w:hAnsi="Verdana"/>
          <w:i/>
          <w:sz w:val="16"/>
          <w:szCs w:val="16"/>
          <w:lang w:val="en-US"/>
        </w:rPr>
        <w:t>eighth and ninth operative paragraphs of the judgment</w:t>
      </w:r>
      <w:r w:rsidRPr="00353B3F">
        <w:rPr>
          <w:rFonts w:ascii="Verdana" w:hAnsi="Verdana"/>
          <w:sz w:val="16"/>
          <w:szCs w:val="16"/>
          <w:lang w:val="en-US"/>
        </w:rPr>
        <w:t xml:space="preserve">); (iii) pay the costs of the Forest Peoples Programme and the Association </w:t>
      </w:r>
      <w:proofErr w:type="spellStart"/>
      <w:r w:rsidRPr="00353B3F">
        <w:rPr>
          <w:rFonts w:ascii="Verdana" w:hAnsi="Verdana"/>
          <w:sz w:val="16"/>
          <w:szCs w:val="16"/>
          <w:lang w:val="en-US"/>
        </w:rPr>
        <w:t>Moiwana</w:t>
      </w:r>
      <w:proofErr w:type="spellEnd"/>
      <w:r w:rsidRPr="00353B3F">
        <w:rPr>
          <w:rFonts w:ascii="Verdana" w:hAnsi="Verdana"/>
          <w:sz w:val="16"/>
          <w:szCs w:val="16"/>
          <w:lang w:val="en-US"/>
        </w:rPr>
        <w:t xml:space="preserve"> (</w:t>
      </w:r>
      <w:r w:rsidRPr="00353B3F">
        <w:rPr>
          <w:rFonts w:ascii="Verdana" w:hAnsi="Verdana"/>
          <w:i/>
          <w:sz w:val="16"/>
          <w:szCs w:val="16"/>
          <w:lang w:val="en-US"/>
        </w:rPr>
        <w:t>tenth operative paragraph of the judgment</w:t>
      </w:r>
      <w:r w:rsidRPr="00353B3F">
        <w:rPr>
          <w:rFonts w:ascii="Verdana" w:hAnsi="Verdana"/>
          <w:sz w:val="16"/>
          <w:szCs w:val="16"/>
          <w:lang w:val="en-US"/>
        </w:rPr>
        <w:t>), and (iv) build a memorial in a suitable public place (</w:t>
      </w:r>
      <w:r w:rsidRPr="00353B3F">
        <w:rPr>
          <w:rFonts w:ascii="Verdana" w:hAnsi="Verdana"/>
          <w:i/>
          <w:sz w:val="16"/>
          <w:szCs w:val="16"/>
          <w:lang w:val="en-US"/>
        </w:rPr>
        <w:t>seventh operative paragraph of the judgment</w:t>
      </w:r>
      <w:r w:rsidRPr="00353B3F">
        <w:rPr>
          <w:rFonts w:ascii="Verdana" w:hAnsi="Verdana"/>
          <w:sz w:val="16"/>
          <w:szCs w:val="16"/>
          <w:lang w:val="en-US"/>
        </w:rPr>
        <w:t xml:space="preserve">). </w:t>
      </w:r>
    </w:p>
  </w:footnote>
  <w:footnote w:id="10">
    <w:p w14:paraId="2093CB10" w14:textId="37BA43CA" w:rsidR="00DB19E8" w:rsidRPr="00353B3F" w:rsidRDefault="00DB19E8" w:rsidP="004B4C69">
      <w:pPr>
        <w:pStyle w:val="FootnoteText"/>
        <w:spacing w:after="60"/>
        <w:jc w:val="both"/>
        <w:rPr>
          <w:rFonts w:ascii="Verdana" w:hAnsi="Verdana"/>
          <w:sz w:val="16"/>
          <w:szCs w:val="16"/>
          <w:lang w:val="en-US"/>
        </w:rPr>
      </w:pPr>
      <w:r w:rsidRPr="00353B3F">
        <w:rPr>
          <w:rStyle w:val="FootnoteReference"/>
          <w:rFonts w:ascii="Verdana" w:hAnsi="Verdana"/>
          <w:sz w:val="16"/>
          <w:szCs w:val="16"/>
          <w:lang w:val="en-US"/>
        </w:rPr>
        <w:footnoteRef/>
      </w:r>
      <w:r w:rsidRPr="00353B3F">
        <w:rPr>
          <w:rFonts w:ascii="Verdana" w:hAnsi="Verdana"/>
          <w:sz w:val="16"/>
          <w:szCs w:val="16"/>
          <w:lang w:val="en-US"/>
        </w:rPr>
        <w:t xml:space="preserve"> </w:t>
      </w:r>
      <w:r w:rsidRPr="00353B3F">
        <w:rPr>
          <w:rFonts w:ascii="Verdana" w:hAnsi="Verdana"/>
          <w:sz w:val="16"/>
          <w:szCs w:val="16"/>
          <w:lang w:val="en-US"/>
        </w:rPr>
        <w:tab/>
        <w:t>Suriname has complied partially with the measure of reparations corresponding to the establishment of a community development fund (</w:t>
      </w:r>
      <w:r w:rsidRPr="00353B3F">
        <w:rPr>
          <w:rFonts w:ascii="Verdana" w:hAnsi="Verdana"/>
          <w:i/>
          <w:sz w:val="16"/>
          <w:szCs w:val="16"/>
          <w:lang w:val="en-US"/>
        </w:rPr>
        <w:t>fifth operative paragraph of the judgment</w:t>
      </w:r>
      <w:r w:rsidRPr="00353B3F">
        <w:rPr>
          <w:rFonts w:ascii="Verdana" w:hAnsi="Verdana"/>
          <w:sz w:val="16"/>
          <w:szCs w:val="16"/>
          <w:lang w:val="en-US"/>
        </w:rPr>
        <w:t>).</w:t>
      </w:r>
    </w:p>
  </w:footnote>
  <w:footnote w:id="11">
    <w:p w14:paraId="6696CDC9" w14:textId="7CA0FE35" w:rsidR="00DB19E8" w:rsidRPr="00353B3F" w:rsidRDefault="00DB19E8" w:rsidP="004B4C69">
      <w:pPr>
        <w:pStyle w:val="FootnoteText"/>
        <w:spacing w:after="60"/>
        <w:jc w:val="both"/>
        <w:rPr>
          <w:rFonts w:ascii="Verdana" w:hAnsi="Verdana"/>
          <w:i/>
          <w:sz w:val="16"/>
          <w:szCs w:val="16"/>
          <w:lang w:val="en-US"/>
        </w:rPr>
      </w:pPr>
      <w:r w:rsidRPr="00353B3F">
        <w:rPr>
          <w:rStyle w:val="FootnoteReference"/>
          <w:rFonts w:ascii="Verdana" w:hAnsi="Verdana"/>
          <w:sz w:val="16"/>
          <w:szCs w:val="16"/>
          <w:lang w:val="en-US"/>
        </w:rPr>
        <w:footnoteRef/>
      </w:r>
      <w:r w:rsidRPr="00353B3F">
        <w:rPr>
          <w:rFonts w:ascii="Verdana" w:hAnsi="Verdana"/>
          <w:sz w:val="16"/>
          <w:szCs w:val="16"/>
          <w:lang w:val="en-US"/>
        </w:rPr>
        <w:t xml:space="preserve"> </w:t>
      </w:r>
      <w:r w:rsidRPr="00353B3F">
        <w:rPr>
          <w:rFonts w:ascii="Verdana" w:hAnsi="Verdana"/>
          <w:sz w:val="16"/>
          <w:szCs w:val="16"/>
          <w:lang w:val="en-US"/>
        </w:rPr>
        <w:tab/>
      </w:r>
      <w:r w:rsidRPr="00353B3F">
        <w:rPr>
          <w:rFonts w:ascii="Verdana" w:hAnsi="Verdana"/>
          <w:i/>
          <w:sz w:val="16"/>
          <w:szCs w:val="16"/>
          <w:lang w:val="en-US"/>
        </w:rPr>
        <w:t xml:space="preserve">Cf. Case of the Barrios Family v. Venezuela. Monitoring compliance with judgment. </w:t>
      </w:r>
      <w:r w:rsidRPr="00353B3F">
        <w:rPr>
          <w:rFonts w:ascii="Verdana" w:hAnsi="Verdana"/>
          <w:sz w:val="16"/>
          <w:szCs w:val="16"/>
          <w:lang w:val="en-US"/>
        </w:rPr>
        <w:t xml:space="preserve">Order of the Inter-American Court of Human Rights of September 2, 2015, </w:t>
      </w:r>
      <w:r w:rsidRPr="00353B3F">
        <w:rPr>
          <w:rFonts w:ascii="Verdana" w:hAnsi="Verdana"/>
          <w:i/>
          <w:sz w:val="16"/>
          <w:szCs w:val="16"/>
          <w:lang w:val="en-US"/>
        </w:rPr>
        <w:t xml:space="preserve">considerandum </w:t>
      </w:r>
      <w:r w:rsidRPr="00353B3F">
        <w:rPr>
          <w:rFonts w:ascii="Verdana" w:hAnsi="Verdana"/>
          <w:sz w:val="16"/>
          <w:szCs w:val="16"/>
          <w:lang w:val="en-US"/>
        </w:rPr>
        <w:t xml:space="preserve">2, and </w:t>
      </w:r>
      <w:r w:rsidRPr="00353B3F">
        <w:rPr>
          <w:rFonts w:ascii="Verdana" w:hAnsi="Verdana"/>
          <w:i/>
          <w:sz w:val="16"/>
          <w:szCs w:val="16"/>
          <w:lang w:val="en-US"/>
        </w:rPr>
        <w:t xml:space="preserve">Case of the Dismissed Employees of </w:t>
      </w:r>
      <w:proofErr w:type="spellStart"/>
      <w:r w:rsidRPr="00353B3F">
        <w:rPr>
          <w:rFonts w:ascii="Verdana" w:hAnsi="Verdana"/>
          <w:i/>
          <w:sz w:val="16"/>
          <w:szCs w:val="16"/>
          <w:lang w:val="en-US"/>
        </w:rPr>
        <w:t>PetroPeru</w:t>
      </w:r>
      <w:proofErr w:type="spellEnd"/>
      <w:r w:rsidRPr="00353B3F">
        <w:rPr>
          <w:rFonts w:ascii="Verdana" w:hAnsi="Verdana"/>
          <w:i/>
          <w:sz w:val="16"/>
          <w:szCs w:val="16"/>
          <w:lang w:val="en-US"/>
        </w:rPr>
        <w:t xml:space="preserve"> et al. v. Peru. Monitoring compliance with judgment. </w:t>
      </w:r>
      <w:r w:rsidRPr="00353B3F">
        <w:rPr>
          <w:rFonts w:ascii="Verdana" w:hAnsi="Verdana"/>
          <w:sz w:val="16"/>
          <w:szCs w:val="16"/>
          <w:lang w:val="en-US"/>
        </w:rPr>
        <w:t xml:space="preserve">Order of the Inter-American Court of Human Rights of September 26, 2018, </w:t>
      </w:r>
      <w:r w:rsidRPr="00353B3F">
        <w:rPr>
          <w:rFonts w:ascii="Verdana" w:hAnsi="Verdana"/>
          <w:i/>
          <w:sz w:val="16"/>
          <w:szCs w:val="16"/>
          <w:lang w:val="en-US"/>
        </w:rPr>
        <w:t xml:space="preserve">considerandum </w:t>
      </w:r>
      <w:r w:rsidRPr="00353B3F">
        <w:rPr>
          <w:rFonts w:ascii="Verdana" w:hAnsi="Verdana"/>
          <w:sz w:val="16"/>
          <w:szCs w:val="16"/>
          <w:lang w:val="en-US"/>
        </w:rPr>
        <w:t>2.</w:t>
      </w:r>
    </w:p>
  </w:footnote>
  <w:footnote w:id="12">
    <w:p w14:paraId="426188DD" w14:textId="7A34C4D2" w:rsidR="00DB19E8" w:rsidRPr="00353B3F" w:rsidRDefault="00DB19E8" w:rsidP="004B4C69">
      <w:pPr>
        <w:pStyle w:val="FootnoteText"/>
        <w:spacing w:after="60"/>
        <w:jc w:val="both"/>
        <w:rPr>
          <w:rFonts w:ascii="Verdana" w:hAnsi="Verdana"/>
          <w:b/>
          <w:sz w:val="16"/>
          <w:szCs w:val="16"/>
          <w:lang w:val="en-US"/>
        </w:rPr>
      </w:pPr>
      <w:r w:rsidRPr="00353B3F">
        <w:rPr>
          <w:rStyle w:val="FootnoteReference"/>
          <w:rFonts w:ascii="Verdana" w:hAnsi="Verdana"/>
          <w:sz w:val="16"/>
          <w:szCs w:val="16"/>
          <w:lang w:val="en-US"/>
        </w:rPr>
        <w:footnoteRef/>
      </w:r>
      <w:r w:rsidRPr="00353B3F">
        <w:rPr>
          <w:rFonts w:ascii="Verdana" w:hAnsi="Verdana"/>
          <w:b/>
          <w:sz w:val="16"/>
          <w:szCs w:val="16"/>
          <w:lang w:val="en-US"/>
        </w:rPr>
        <w:t xml:space="preserve">       </w:t>
      </w:r>
      <w:r w:rsidRPr="00353B3F">
        <w:rPr>
          <w:rFonts w:ascii="Verdana" w:hAnsi="Verdana"/>
          <w:i/>
          <w:sz w:val="16"/>
          <w:szCs w:val="16"/>
          <w:lang w:val="en-US"/>
        </w:rPr>
        <w:t>Cf.</w:t>
      </w:r>
      <w:r w:rsidRPr="00353B3F">
        <w:rPr>
          <w:rFonts w:ascii="Verdana" w:hAnsi="Verdana"/>
          <w:sz w:val="16"/>
          <w:szCs w:val="16"/>
          <w:lang w:val="en-US"/>
        </w:rPr>
        <w:t xml:space="preserve"> </w:t>
      </w:r>
      <w:r w:rsidRPr="00353B3F">
        <w:rPr>
          <w:rFonts w:ascii="Verdana" w:hAnsi="Verdana"/>
          <w:i/>
          <w:sz w:val="16"/>
          <w:szCs w:val="16"/>
          <w:lang w:val="en-US"/>
        </w:rPr>
        <w:t xml:space="preserve">Case of </w:t>
      </w:r>
      <w:proofErr w:type="spellStart"/>
      <w:r w:rsidRPr="00353B3F">
        <w:rPr>
          <w:rFonts w:ascii="Verdana" w:hAnsi="Verdana"/>
          <w:i/>
          <w:sz w:val="16"/>
          <w:szCs w:val="16"/>
          <w:lang w:val="en-US"/>
        </w:rPr>
        <w:t>Ivcher</w:t>
      </w:r>
      <w:proofErr w:type="spellEnd"/>
      <w:r w:rsidRPr="00353B3F">
        <w:rPr>
          <w:rFonts w:ascii="Verdana" w:hAnsi="Verdana"/>
          <w:i/>
          <w:sz w:val="16"/>
          <w:szCs w:val="16"/>
          <w:lang w:val="en-US"/>
        </w:rPr>
        <w:t xml:space="preserve"> Bronstein v. Peru. Jurisdiction. </w:t>
      </w:r>
      <w:r w:rsidRPr="00353B3F">
        <w:rPr>
          <w:rFonts w:ascii="Verdana" w:hAnsi="Verdana"/>
          <w:sz w:val="16"/>
          <w:szCs w:val="16"/>
          <w:lang w:val="en-US"/>
        </w:rPr>
        <w:t xml:space="preserve">Judgment of the Inter-American Court of Human Rights of September 24, 1999. Series C No. 54, para. 37, and </w:t>
      </w:r>
      <w:r w:rsidRPr="00353B3F">
        <w:rPr>
          <w:rStyle w:val="Strong"/>
          <w:rFonts w:ascii="Verdana" w:hAnsi="Verdana"/>
          <w:b w:val="0"/>
          <w:i/>
          <w:sz w:val="16"/>
          <w:szCs w:val="16"/>
          <w:lang w:val="en-US"/>
        </w:rPr>
        <w:t xml:space="preserve">Case of the Dismissed Employees of </w:t>
      </w:r>
      <w:proofErr w:type="spellStart"/>
      <w:r w:rsidRPr="00353B3F">
        <w:rPr>
          <w:rStyle w:val="Strong"/>
          <w:rFonts w:ascii="Verdana" w:hAnsi="Verdana"/>
          <w:b w:val="0"/>
          <w:i/>
          <w:sz w:val="16"/>
          <w:szCs w:val="16"/>
          <w:lang w:val="en-US"/>
        </w:rPr>
        <w:t>PetroPeru</w:t>
      </w:r>
      <w:proofErr w:type="spellEnd"/>
      <w:r w:rsidRPr="00353B3F">
        <w:rPr>
          <w:rStyle w:val="Strong"/>
          <w:rFonts w:ascii="Verdana" w:hAnsi="Verdana"/>
          <w:b w:val="0"/>
          <w:i/>
          <w:sz w:val="16"/>
          <w:szCs w:val="16"/>
          <w:lang w:val="en-US"/>
        </w:rPr>
        <w:t xml:space="preserve"> et al, v. Peru, supra</w:t>
      </w:r>
      <w:r w:rsidRPr="00353B3F">
        <w:rPr>
          <w:rStyle w:val="Strong"/>
          <w:rFonts w:ascii="Verdana" w:hAnsi="Verdana"/>
          <w:b w:val="0"/>
          <w:sz w:val="16"/>
          <w:szCs w:val="16"/>
          <w:lang w:val="en-US"/>
        </w:rPr>
        <w:t xml:space="preserve"> footnote 10, </w:t>
      </w:r>
      <w:r w:rsidRPr="00353B3F">
        <w:rPr>
          <w:rStyle w:val="Strong"/>
          <w:rFonts w:ascii="Verdana" w:hAnsi="Verdana"/>
          <w:b w:val="0"/>
          <w:i/>
          <w:sz w:val="16"/>
          <w:szCs w:val="16"/>
          <w:lang w:val="en-US"/>
        </w:rPr>
        <w:t xml:space="preserve">considerandum </w:t>
      </w:r>
      <w:r w:rsidRPr="00353B3F">
        <w:rPr>
          <w:rStyle w:val="Strong"/>
          <w:rFonts w:ascii="Verdana" w:hAnsi="Verdana"/>
          <w:b w:val="0"/>
          <w:sz w:val="16"/>
          <w:szCs w:val="16"/>
          <w:lang w:val="en-US"/>
        </w:rPr>
        <w:t>2</w:t>
      </w:r>
      <w:r w:rsidRPr="00353B3F">
        <w:rPr>
          <w:rFonts w:ascii="Verdana" w:hAnsi="Verdana"/>
          <w:i/>
          <w:color w:val="000000"/>
          <w:sz w:val="16"/>
          <w:szCs w:val="16"/>
          <w:lang w:val="en-US"/>
        </w:rPr>
        <w:t>.</w:t>
      </w:r>
    </w:p>
  </w:footnote>
  <w:footnote w:id="13">
    <w:p w14:paraId="2004C4BB" w14:textId="44BBF087" w:rsidR="00DB19E8" w:rsidRPr="00353B3F" w:rsidRDefault="00DB19E8" w:rsidP="004B4C69">
      <w:pPr>
        <w:pStyle w:val="FootnoteText"/>
        <w:tabs>
          <w:tab w:val="left" w:pos="567"/>
        </w:tabs>
        <w:spacing w:after="60"/>
        <w:ind w:right="4"/>
        <w:jc w:val="both"/>
        <w:rPr>
          <w:rFonts w:ascii="Verdana" w:hAnsi="Verdana"/>
          <w:color w:val="000000"/>
          <w:sz w:val="16"/>
          <w:szCs w:val="16"/>
          <w:lang w:val="en-US"/>
        </w:rPr>
      </w:pPr>
      <w:r w:rsidRPr="00353B3F">
        <w:rPr>
          <w:rStyle w:val="FootnoteReference"/>
          <w:rFonts w:ascii="Verdana" w:hAnsi="Verdana"/>
          <w:sz w:val="16"/>
          <w:szCs w:val="16"/>
          <w:lang w:val="en-US"/>
        </w:rPr>
        <w:footnoteRef/>
      </w:r>
      <w:r w:rsidRPr="00353B3F">
        <w:rPr>
          <w:rFonts w:ascii="Verdana" w:hAnsi="Verdana"/>
          <w:sz w:val="16"/>
          <w:szCs w:val="16"/>
          <w:lang w:val="en-US"/>
        </w:rPr>
        <w:t xml:space="preserve"> </w:t>
      </w:r>
      <w:r w:rsidRPr="00353B3F">
        <w:rPr>
          <w:rFonts w:ascii="Verdana" w:hAnsi="Verdana"/>
          <w:sz w:val="16"/>
          <w:szCs w:val="16"/>
          <w:lang w:val="en-US"/>
        </w:rPr>
        <w:tab/>
      </w:r>
      <w:r w:rsidRPr="00353B3F">
        <w:rPr>
          <w:rFonts w:ascii="Verdana" w:hAnsi="Verdana"/>
          <w:i/>
          <w:color w:val="000000"/>
          <w:sz w:val="16"/>
          <w:szCs w:val="16"/>
          <w:lang w:val="en-US"/>
        </w:rPr>
        <w:t xml:space="preserve">Cf. Case of Castillo </w:t>
      </w:r>
      <w:proofErr w:type="spellStart"/>
      <w:r w:rsidRPr="00353B3F">
        <w:rPr>
          <w:rFonts w:ascii="Verdana" w:hAnsi="Verdana"/>
          <w:i/>
          <w:color w:val="000000"/>
          <w:sz w:val="16"/>
          <w:szCs w:val="16"/>
          <w:lang w:val="en-US"/>
        </w:rPr>
        <w:t>Petruzzi</w:t>
      </w:r>
      <w:proofErr w:type="spellEnd"/>
      <w:r w:rsidRPr="00353B3F">
        <w:rPr>
          <w:rFonts w:ascii="Verdana" w:hAnsi="Verdana"/>
          <w:i/>
          <w:color w:val="000000"/>
          <w:sz w:val="16"/>
          <w:szCs w:val="16"/>
          <w:lang w:val="en-US"/>
        </w:rPr>
        <w:t xml:space="preserve"> et al. v. Peru. Monitoring compliance with judgment. </w:t>
      </w:r>
      <w:r w:rsidRPr="00353B3F">
        <w:rPr>
          <w:rFonts w:ascii="Verdana" w:hAnsi="Verdana"/>
          <w:color w:val="000000"/>
          <w:sz w:val="16"/>
          <w:szCs w:val="16"/>
          <w:lang w:val="en-US"/>
        </w:rPr>
        <w:t xml:space="preserve">Order of the Inter-American Court of Human Rights of November 17, 1999, </w:t>
      </w:r>
      <w:r w:rsidRPr="00353B3F">
        <w:rPr>
          <w:rFonts w:ascii="Verdana" w:hAnsi="Verdana"/>
          <w:i/>
          <w:color w:val="000000"/>
          <w:sz w:val="16"/>
          <w:szCs w:val="16"/>
          <w:lang w:val="en-US"/>
        </w:rPr>
        <w:t xml:space="preserve">considerandum </w:t>
      </w:r>
      <w:r w:rsidRPr="00353B3F">
        <w:rPr>
          <w:rFonts w:ascii="Verdana" w:hAnsi="Verdana"/>
          <w:color w:val="000000"/>
          <w:sz w:val="16"/>
          <w:szCs w:val="16"/>
          <w:lang w:val="en-US"/>
        </w:rPr>
        <w:t>3</w:t>
      </w:r>
      <w:r w:rsidRPr="00353B3F">
        <w:rPr>
          <w:rFonts w:ascii="Verdana" w:hAnsi="Verdana"/>
          <w:i/>
          <w:color w:val="000000"/>
          <w:sz w:val="16"/>
          <w:szCs w:val="16"/>
          <w:lang w:val="en-US"/>
        </w:rPr>
        <w:t xml:space="preserve">, and Case of the Saramaka People v. Suriname. Monitoring compliance with judgment. </w:t>
      </w:r>
      <w:r w:rsidRPr="00353B3F">
        <w:rPr>
          <w:rFonts w:ascii="Verdana" w:hAnsi="Verdana"/>
          <w:color w:val="000000"/>
          <w:sz w:val="16"/>
          <w:szCs w:val="16"/>
          <w:lang w:val="en-US"/>
        </w:rPr>
        <w:t xml:space="preserve">Order of the Inter-American Court of Human Rights of September 26, 2018, </w:t>
      </w:r>
      <w:r w:rsidRPr="00353B3F">
        <w:rPr>
          <w:rFonts w:ascii="Verdana" w:hAnsi="Verdana"/>
          <w:i/>
          <w:color w:val="000000"/>
          <w:sz w:val="16"/>
          <w:szCs w:val="16"/>
          <w:lang w:val="en-US"/>
        </w:rPr>
        <w:t xml:space="preserve">considerandum </w:t>
      </w:r>
      <w:r w:rsidRPr="00353B3F">
        <w:rPr>
          <w:rFonts w:ascii="Verdana" w:hAnsi="Verdana"/>
          <w:color w:val="000000"/>
          <w:sz w:val="16"/>
          <w:szCs w:val="16"/>
          <w:lang w:val="en-US"/>
        </w:rPr>
        <w:t>3.</w:t>
      </w:r>
    </w:p>
  </w:footnote>
  <w:footnote w:id="14">
    <w:p w14:paraId="71FBF533" w14:textId="7A8AB141" w:rsidR="00DB19E8" w:rsidRPr="00353B3F" w:rsidRDefault="00DB19E8" w:rsidP="004B4C69">
      <w:pPr>
        <w:pStyle w:val="FootnoteText"/>
        <w:tabs>
          <w:tab w:val="left" w:pos="567"/>
        </w:tabs>
        <w:spacing w:after="60"/>
        <w:ind w:right="4"/>
        <w:jc w:val="both"/>
        <w:rPr>
          <w:rFonts w:ascii="Verdana" w:hAnsi="Verdana"/>
          <w:sz w:val="16"/>
          <w:szCs w:val="16"/>
          <w:lang w:val="en-US"/>
        </w:rPr>
      </w:pPr>
      <w:r w:rsidRPr="00353B3F">
        <w:rPr>
          <w:rStyle w:val="FootnoteReference"/>
          <w:rFonts w:ascii="Verdana" w:hAnsi="Verdana"/>
          <w:sz w:val="16"/>
          <w:szCs w:val="16"/>
          <w:lang w:val="en-US"/>
        </w:rPr>
        <w:footnoteRef/>
      </w:r>
      <w:r w:rsidRPr="00353B3F">
        <w:rPr>
          <w:rFonts w:ascii="Verdana" w:hAnsi="Verdana"/>
          <w:sz w:val="16"/>
          <w:szCs w:val="16"/>
          <w:lang w:val="en-US"/>
        </w:rPr>
        <w:t xml:space="preserve"> </w:t>
      </w:r>
      <w:r w:rsidRPr="00353B3F">
        <w:rPr>
          <w:rFonts w:ascii="Verdana" w:hAnsi="Verdana"/>
          <w:sz w:val="16"/>
          <w:szCs w:val="16"/>
          <w:lang w:val="en-US"/>
        </w:rPr>
        <w:tab/>
      </w:r>
      <w:r w:rsidRPr="00353B3F">
        <w:rPr>
          <w:rFonts w:ascii="Verdana" w:hAnsi="Verdana"/>
          <w:i/>
          <w:sz w:val="16"/>
          <w:szCs w:val="16"/>
          <w:lang w:val="en-US"/>
        </w:rPr>
        <w:t xml:space="preserve">Cf. Case of </w:t>
      </w:r>
      <w:proofErr w:type="spellStart"/>
      <w:r w:rsidRPr="00353B3F">
        <w:rPr>
          <w:rFonts w:ascii="Verdana" w:hAnsi="Verdana"/>
          <w:i/>
          <w:sz w:val="16"/>
          <w:szCs w:val="16"/>
          <w:lang w:val="en-US"/>
        </w:rPr>
        <w:t>Garrido</w:t>
      </w:r>
      <w:proofErr w:type="spellEnd"/>
      <w:r w:rsidRPr="00353B3F">
        <w:rPr>
          <w:rFonts w:ascii="Verdana" w:hAnsi="Verdana"/>
          <w:i/>
          <w:sz w:val="16"/>
          <w:szCs w:val="16"/>
          <w:lang w:val="en-US"/>
        </w:rPr>
        <w:t xml:space="preserve"> and </w:t>
      </w:r>
      <w:proofErr w:type="spellStart"/>
      <w:r w:rsidRPr="00353B3F">
        <w:rPr>
          <w:rFonts w:ascii="Verdana" w:hAnsi="Verdana"/>
          <w:i/>
          <w:sz w:val="16"/>
          <w:szCs w:val="16"/>
          <w:lang w:val="en-US"/>
        </w:rPr>
        <w:t>Baigorria</w:t>
      </w:r>
      <w:proofErr w:type="spellEnd"/>
      <w:r w:rsidRPr="00353B3F">
        <w:rPr>
          <w:rFonts w:ascii="Verdana" w:hAnsi="Verdana"/>
          <w:i/>
          <w:sz w:val="16"/>
          <w:szCs w:val="16"/>
          <w:lang w:val="en-US"/>
        </w:rPr>
        <w:t>. Reparations</w:t>
      </w:r>
      <w:r w:rsidRPr="00353B3F">
        <w:rPr>
          <w:rFonts w:ascii="Verdana" w:hAnsi="Verdana"/>
          <w:sz w:val="16"/>
          <w:szCs w:val="16"/>
          <w:lang w:val="en-US"/>
        </w:rPr>
        <w:t xml:space="preserve"> (Art. 63.1 American Convention on Human Rights). Judgment of August 27, 1998. Series C No. 39, para. 40, and</w:t>
      </w:r>
      <w:r w:rsidRPr="00353B3F">
        <w:rPr>
          <w:rFonts w:ascii="Verdana" w:hAnsi="Verdana"/>
          <w:b/>
          <w:i/>
          <w:sz w:val="16"/>
          <w:szCs w:val="16"/>
          <w:lang w:val="en-US"/>
        </w:rPr>
        <w:t xml:space="preserve"> </w:t>
      </w:r>
      <w:r w:rsidRPr="00353B3F">
        <w:rPr>
          <w:rFonts w:ascii="Verdana" w:hAnsi="Verdana"/>
          <w:i/>
          <w:color w:val="000000"/>
          <w:sz w:val="16"/>
          <w:szCs w:val="16"/>
          <w:lang w:val="en-US"/>
        </w:rPr>
        <w:t xml:space="preserve">Case of the Saramaka People v. Suriname, supra footnote </w:t>
      </w:r>
      <w:r w:rsidRPr="00353B3F">
        <w:rPr>
          <w:rFonts w:ascii="Verdana" w:hAnsi="Verdana"/>
          <w:color w:val="000000"/>
          <w:sz w:val="16"/>
          <w:szCs w:val="16"/>
          <w:lang w:val="en-US"/>
        </w:rPr>
        <w:t xml:space="preserve">12, </w:t>
      </w:r>
      <w:r w:rsidRPr="00353B3F">
        <w:rPr>
          <w:rFonts w:ascii="Verdana" w:hAnsi="Verdana"/>
          <w:i/>
          <w:color w:val="000000"/>
          <w:sz w:val="16"/>
          <w:szCs w:val="16"/>
          <w:lang w:val="en-US"/>
        </w:rPr>
        <w:t xml:space="preserve">considerandum </w:t>
      </w:r>
      <w:r w:rsidRPr="00353B3F">
        <w:rPr>
          <w:rFonts w:ascii="Verdana" w:hAnsi="Verdana"/>
          <w:color w:val="000000"/>
          <w:sz w:val="16"/>
          <w:szCs w:val="16"/>
          <w:lang w:val="en-US"/>
        </w:rPr>
        <w:t>3.</w:t>
      </w:r>
    </w:p>
  </w:footnote>
  <w:footnote w:id="15">
    <w:p w14:paraId="69FA995D" w14:textId="6EC793F9" w:rsidR="00DB19E8" w:rsidRPr="00353B3F" w:rsidRDefault="00DB19E8" w:rsidP="004B4C69">
      <w:pPr>
        <w:pStyle w:val="FootnoteText"/>
        <w:tabs>
          <w:tab w:val="left" w:pos="567"/>
        </w:tabs>
        <w:spacing w:after="60"/>
        <w:ind w:right="4"/>
        <w:jc w:val="both"/>
        <w:rPr>
          <w:rFonts w:ascii="Verdana" w:hAnsi="Verdana"/>
          <w:color w:val="000000"/>
          <w:sz w:val="16"/>
          <w:szCs w:val="16"/>
          <w:lang w:val="en-US"/>
        </w:rPr>
      </w:pPr>
      <w:r w:rsidRPr="00353B3F">
        <w:rPr>
          <w:rStyle w:val="FootnoteReference"/>
          <w:rFonts w:ascii="Verdana" w:hAnsi="Verdana"/>
          <w:sz w:val="16"/>
          <w:szCs w:val="16"/>
          <w:lang w:val="en-US"/>
        </w:rPr>
        <w:footnoteRef/>
      </w:r>
      <w:r w:rsidRPr="00353B3F">
        <w:rPr>
          <w:rFonts w:ascii="Verdana" w:hAnsi="Verdana"/>
          <w:sz w:val="16"/>
          <w:szCs w:val="16"/>
          <w:lang w:val="en-US"/>
        </w:rPr>
        <w:t xml:space="preserve"> </w:t>
      </w:r>
      <w:r w:rsidRPr="00353B3F">
        <w:rPr>
          <w:rFonts w:ascii="Verdana" w:hAnsi="Verdana"/>
          <w:sz w:val="16"/>
          <w:szCs w:val="16"/>
          <w:lang w:val="en-US"/>
        </w:rPr>
        <w:tab/>
      </w:r>
      <w:r w:rsidRPr="00353B3F">
        <w:rPr>
          <w:rFonts w:ascii="Verdana" w:hAnsi="Verdana"/>
          <w:i/>
          <w:sz w:val="16"/>
          <w:szCs w:val="16"/>
          <w:lang w:val="en-US"/>
        </w:rPr>
        <w:t>Cf.</w:t>
      </w:r>
      <w:r w:rsidRPr="00353B3F">
        <w:rPr>
          <w:rFonts w:ascii="Verdana" w:hAnsi="Verdana"/>
          <w:b/>
          <w:sz w:val="16"/>
          <w:szCs w:val="16"/>
          <w:lang w:val="en-US"/>
        </w:rPr>
        <w:t xml:space="preserve"> </w:t>
      </w:r>
      <w:r w:rsidRPr="00353B3F">
        <w:rPr>
          <w:rFonts w:ascii="Verdana" w:hAnsi="Verdana"/>
          <w:bCs/>
          <w:i/>
          <w:color w:val="000000"/>
          <w:sz w:val="16"/>
          <w:szCs w:val="16"/>
          <w:lang w:val="en-US"/>
        </w:rPr>
        <w:t xml:space="preserve">Case of Castillo </w:t>
      </w:r>
      <w:proofErr w:type="spellStart"/>
      <w:r w:rsidRPr="00353B3F">
        <w:rPr>
          <w:rFonts w:ascii="Verdana" w:hAnsi="Verdana"/>
          <w:bCs/>
          <w:i/>
          <w:color w:val="000000"/>
          <w:sz w:val="16"/>
          <w:szCs w:val="16"/>
          <w:lang w:val="en-US"/>
        </w:rPr>
        <w:t>Páez</w:t>
      </w:r>
      <w:proofErr w:type="spellEnd"/>
      <w:r w:rsidRPr="00353B3F">
        <w:rPr>
          <w:rFonts w:ascii="Verdana" w:hAnsi="Verdana"/>
          <w:bCs/>
          <w:i/>
          <w:color w:val="000000"/>
          <w:sz w:val="16"/>
          <w:szCs w:val="16"/>
          <w:lang w:val="en-US"/>
        </w:rPr>
        <w:t xml:space="preserve"> v. Peru</w:t>
      </w:r>
      <w:r w:rsidRPr="00353B3F">
        <w:rPr>
          <w:rFonts w:ascii="Verdana" w:hAnsi="Verdana"/>
          <w:b/>
          <w:bCs/>
          <w:color w:val="000000"/>
          <w:sz w:val="16"/>
          <w:szCs w:val="16"/>
          <w:lang w:val="en-US"/>
        </w:rPr>
        <w:t xml:space="preserve">. </w:t>
      </w:r>
      <w:r w:rsidRPr="00353B3F">
        <w:rPr>
          <w:rFonts w:ascii="Verdana" w:hAnsi="Verdana"/>
          <w:i/>
          <w:color w:val="000000"/>
          <w:sz w:val="16"/>
          <w:szCs w:val="16"/>
          <w:lang w:val="en-US"/>
        </w:rPr>
        <w:t>Reparations and costs.</w:t>
      </w:r>
      <w:r w:rsidRPr="00353B3F">
        <w:rPr>
          <w:rFonts w:ascii="Verdana" w:hAnsi="Verdana"/>
          <w:color w:val="000000"/>
          <w:sz w:val="16"/>
          <w:szCs w:val="16"/>
          <w:lang w:val="en-US"/>
        </w:rPr>
        <w:t xml:space="preserve"> Judgment of November 27, 1998. Series C No. 43, para. 50,</w:t>
      </w:r>
      <w:r w:rsidRPr="00353B3F">
        <w:rPr>
          <w:rFonts w:ascii="Verdana" w:hAnsi="Verdana"/>
          <w:sz w:val="16"/>
          <w:szCs w:val="16"/>
          <w:lang w:val="en-US"/>
        </w:rPr>
        <w:t xml:space="preserve"> and </w:t>
      </w:r>
      <w:r w:rsidRPr="00353B3F">
        <w:rPr>
          <w:rFonts w:ascii="Verdana" w:hAnsi="Verdana"/>
          <w:i/>
          <w:color w:val="000000"/>
          <w:sz w:val="16"/>
          <w:szCs w:val="16"/>
          <w:lang w:val="en-US"/>
        </w:rPr>
        <w:t xml:space="preserve">Case of the Saramaka People v. Suriname, supra footnote </w:t>
      </w:r>
      <w:r w:rsidRPr="00353B3F">
        <w:rPr>
          <w:rFonts w:ascii="Verdana" w:hAnsi="Verdana"/>
          <w:color w:val="000000"/>
          <w:sz w:val="16"/>
          <w:szCs w:val="16"/>
          <w:lang w:val="en-US"/>
        </w:rPr>
        <w:t xml:space="preserve">12, </w:t>
      </w:r>
      <w:r w:rsidRPr="00353B3F">
        <w:rPr>
          <w:rFonts w:ascii="Verdana" w:hAnsi="Verdana"/>
          <w:i/>
          <w:color w:val="000000"/>
          <w:sz w:val="16"/>
          <w:szCs w:val="16"/>
          <w:lang w:val="en-US"/>
        </w:rPr>
        <w:t xml:space="preserve">considerandum </w:t>
      </w:r>
      <w:r w:rsidRPr="00353B3F">
        <w:rPr>
          <w:rFonts w:ascii="Verdana" w:hAnsi="Verdana"/>
          <w:color w:val="000000"/>
          <w:sz w:val="16"/>
          <w:szCs w:val="16"/>
          <w:lang w:val="en-US"/>
        </w:rPr>
        <w:t>3.</w:t>
      </w:r>
    </w:p>
  </w:footnote>
  <w:footnote w:id="16">
    <w:p w14:paraId="4DDA7DF2" w14:textId="097798E6" w:rsidR="00DB19E8" w:rsidRPr="00353B3F" w:rsidRDefault="00DB19E8" w:rsidP="004B4C69">
      <w:pPr>
        <w:pStyle w:val="FootnoteText"/>
        <w:tabs>
          <w:tab w:val="left" w:pos="567"/>
        </w:tabs>
        <w:spacing w:after="60"/>
        <w:ind w:right="4"/>
        <w:jc w:val="both"/>
        <w:rPr>
          <w:rFonts w:ascii="Verdana" w:hAnsi="Verdana"/>
          <w:sz w:val="16"/>
          <w:szCs w:val="16"/>
          <w:lang w:val="en-US"/>
        </w:rPr>
      </w:pPr>
      <w:r w:rsidRPr="00353B3F">
        <w:rPr>
          <w:rStyle w:val="FootnoteReference"/>
          <w:rFonts w:ascii="Verdana" w:hAnsi="Verdana"/>
          <w:sz w:val="16"/>
          <w:szCs w:val="16"/>
          <w:lang w:val="en-US"/>
        </w:rPr>
        <w:footnoteRef/>
      </w:r>
      <w:r w:rsidRPr="00353B3F">
        <w:rPr>
          <w:rFonts w:ascii="Verdana" w:hAnsi="Verdana"/>
          <w:sz w:val="16"/>
          <w:szCs w:val="16"/>
          <w:lang w:val="en-US"/>
        </w:rPr>
        <w:t xml:space="preserve"> </w:t>
      </w:r>
      <w:r w:rsidRPr="00353B3F">
        <w:rPr>
          <w:rFonts w:ascii="Verdana" w:hAnsi="Verdana"/>
          <w:sz w:val="16"/>
          <w:szCs w:val="16"/>
          <w:lang w:val="en-US"/>
        </w:rPr>
        <w:tab/>
      </w:r>
      <w:r w:rsidRPr="00353B3F">
        <w:rPr>
          <w:rFonts w:ascii="Verdana" w:hAnsi="Verdana"/>
          <w:i/>
          <w:sz w:val="16"/>
          <w:szCs w:val="16"/>
          <w:lang w:val="en-US"/>
        </w:rPr>
        <w:t>Cf.</w:t>
      </w:r>
      <w:r w:rsidRPr="00353B3F">
        <w:rPr>
          <w:rFonts w:ascii="Verdana" w:hAnsi="Verdana"/>
          <w:sz w:val="16"/>
          <w:szCs w:val="16"/>
          <w:lang w:val="en-US"/>
        </w:rPr>
        <w:t xml:space="preserve"> </w:t>
      </w:r>
      <w:r w:rsidRPr="00353B3F">
        <w:rPr>
          <w:rFonts w:ascii="Verdana" w:hAnsi="Verdana"/>
          <w:i/>
          <w:sz w:val="16"/>
          <w:szCs w:val="16"/>
          <w:lang w:val="en-US"/>
        </w:rPr>
        <w:t>Reparation for Injuries Suffered in the Service of the United Nations</w:t>
      </w:r>
      <w:r w:rsidRPr="00353B3F">
        <w:rPr>
          <w:rFonts w:ascii="Verdana" w:hAnsi="Verdana"/>
          <w:sz w:val="16"/>
          <w:szCs w:val="16"/>
          <w:lang w:val="en-US"/>
        </w:rPr>
        <w:t xml:space="preserve">, </w:t>
      </w:r>
      <w:r w:rsidRPr="00353B3F">
        <w:rPr>
          <w:rFonts w:ascii="Verdana" w:hAnsi="Verdana"/>
          <w:i/>
          <w:sz w:val="16"/>
          <w:szCs w:val="16"/>
          <w:lang w:val="en-US"/>
        </w:rPr>
        <w:t>Advisory Opinion: I.C.J. Reports 1949, p. 184;</w:t>
      </w:r>
      <w:r w:rsidRPr="00353B3F">
        <w:rPr>
          <w:rFonts w:ascii="Verdana" w:hAnsi="Verdana"/>
          <w:sz w:val="16"/>
          <w:szCs w:val="16"/>
          <w:lang w:val="en-US"/>
        </w:rPr>
        <w:t xml:space="preserve"> </w:t>
      </w:r>
      <w:r w:rsidRPr="00353B3F">
        <w:rPr>
          <w:rFonts w:ascii="Verdana" w:hAnsi="Verdana"/>
          <w:i/>
          <w:sz w:val="16"/>
          <w:szCs w:val="16"/>
          <w:lang w:val="en-US"/>
        </w:rPr>
        <w:t xml:space="preserve">Case concerning the Factory at </w:t>
      </w:r>
      <w:proofErr w:type="spellStart"/>
      <w:r w:rsidRPr="00353B3F">
        <w:rPr>
          <w:rFonts w:ascii="Verdana" w:hAnsi="Verdana"/>
          <w:i/>
          <w:sz w:val="16"/>
          <w:szCs w:val="16"/>
          <w:lang w:val="en-US"/>
        </w:rPr>
        <w:t>Chorzów</w:t>
      </w:r>
      <w:proofErr w:type="spellEnd"/>
      <w:r w:rsidRPr="00353B3F">
        <w:rPr>
          <w:rFonts w:ascii="Verdana" w:hAnsi="Verdana"/>
          <w:i/>
          <w:sz w:val="16"/>
          <w:szCs w:val="16"/>
          <w:lang w:val="en-US"/>
        </w:rPr>
        <w:t xml:space="preserve"> (Claim for indemnity) (Merits), Judgment No. 13, September 13, 1928, PCIJ. Series A-No. 17, p. 29, and</w:t>
      </w:r>
      <w:r w:rsidRPr="00353B3F">
        <w:rPr>
          <w:rFonts w:ascii="Verdana" w:hAnsi="Verdana"/>
          <w:sz w:val="16"/>
          <w:szCs w:val="16"/>
          <w:lang w:val="en-US"/>
        </w:rPr>
        <w:t xml:space="preserve"> </w:t>
      </w:r>
      <w:r w:rsidRPr="00353B3F">
        <w:rPr>
          <w:rFonts w:ascii="Verdana" w:hAnsi="Verdana"/>
          <w:i/>
          <w:color w:val="000000"/>
          <w:sz w:val="16"/>
          <w:szCs w:val="16"/>
          <w:lang w:val="en-US"/>
        </w:rPr>
        <w:t xml:space="preserve">Case of the Saramaka People v. Suriname, supra footnote </w:t>
      </w:r>
      <w:r w:rsidRPr="00353B3F">
        <w:rPr>
          <w:rFonts w:ascii="Verdana" w:hAnsi="Verdana"/>
          <w:color w:val="000000"/>
          <w:sz w:val="16"/>
          <w:szCs w:val="16"/>
          <w:lang w:val="en-US"/>
        </w:rPr>
        <w:t xml:space="preserve">12, </w:t>
      </w:r>
      <w:r w:rsidRPr="00353B3F">
        <w:rPr>
          <w:rFonts w:ascii="Verdana" w:hAnsi="Verdana"/>
          <w:i/>
          <w:color w:val="000000"/>
          <w:sz w:val="16"/>
          <w:szCs w:val="16"/>
          <w:lang w:val="en-US"/>
        </w:rPr>
        <w:t xml:space="preserve">considerandum </w:t>
      </w:r>
      <w:r w:rsidRPr="00353B3F">
        <w:rPr>
          <w:rFonts w:ascii="Verdana" w:hAnsi="Verdana"/>
          <w:color w:val="000000"/>
          <w:sz w:val="16"/>
          <w:szCs w:val="16"/>
          <w:lang w:val="en-US"/>
        </w:rPr>
        <w:t>3</w:t>
      </w:r>
      <w:r w:rsidRPr="00353B3F">
        <w:rPr>
          <w:rFonts w:ascii="Verdana" w:hAnsi="Verdana"/>
          <w:i/>
          <w:color w:val="000000"/>
          <w:sz w:val="16"/>
          <w:szCs w:val="16"/>
          <w:lang w:val="en-US"/>
        </w:rPr>
        <w:t>.</w:t>
      </w:r>
    </w:p>
  </w:footnote>
  <w:footnote w:id="17">
    <w:p w14:paraId="521E7BBD" w14:textId="6D4B3669" w:rsidR="00DB19E8" w:rsidRPr="00353B3F" w:rsidRDefault="00DB19E8" w:rsidP="004B4C69">
      <w:pPr>
        <w:pStyle w:val="FootnoteText"/>
        <w:spacing w:after="60"/>
        <w:jc w:val="both"/>
        <w:rPr>
          <w:rFonts w:ascii="Verdana" w:hAnsi="Verdana"/>
          <w:b/>
          <w:sz w:val="16"/>
          <w:szCs w:val="16"/>
          <w:lang w:val="en-US"/>
        </w:rPr>
      </w:pPr>
      <w:r w:rsidRPr="00353B3F">
        <w:rPr>
          <w:rStyle w:val="FootnoteReference"/>
          <w:rFonts w:ascii="Verdana" w:hAnsi="Verdana"/>
          <w:sz w:val="16"/>
          <w:szCs w:val="16"/>
          <w:lang w:val="en-US"/>
        </w:rPr>
        <w:footnoteRef/>
      </w:r>
      <w:r w:rsidRPr="00353B3F">
        <w:rPr>
          <w:rFonts w:ascii="Verdana" w:hAnsi="Verdana"/>
          <w:b/>
          <w:sz w:val="16"/>
          <w:szCs w:val="16"/>
          <w:lang w:val="en-US"/>
        </w:rPr>
        <w:t xml:space="preserve">       </w:t>
      </w:r>
      <w:r w:rsidRPr="00353B3F">
        <w:rPr>
          <w:rFonts w:ascii="Verdana" w:hAnsi="Verdana"/>
          <w:i/>
          <w:sz w:val="16"/>
          <w:szCs w:val="16"/>
          <w:lang w:val="en-US"/>
        </w:rPr>
        <w:t>Cf.</w:t>
      </w:r>
      <w:r w:rsidRPr="00353B3F">
        <w:rPr>
          <w:rFonts w:ascii="Verdana" w:hAnsi="Verdana"/>
          <w:sz w:val="16"/>
          <w:szCs w:val="16"/>
          <w:lang w:val="en-US"/>
        </w:rPr>
        <w:t xml:space="preserve"> </w:t>
      </w:r>
      <w:r w:rsidRPr="00353B3F">
        <w:rPr>
          <w:rFonts w:ascii="Verdana" w:hAnsi="Verdana"/>
          <w:i/>
          <w:sz w:val="16"/>
          <w:szCs w:val="16"/>
          <w:lang w:val="en-US"/>
        </w:rPr>
        <w:t xml:space="preserve">Case of </w:t>
      </w:r>
      <w:proofErr w:type="spellStart"/>
      <w:r w:rsidRPr="00353B3F">
        <w:rPr>
          <w:rStyle w:val="Strong"/>
          <w:rFonts w:ascii="Verdana" w:hAnsi="Verdana"/>
          <w:b w:val="0"/>
          <w:i/>
          <w:sz w:val="16"/>
          <w:szCs w:val="16"/>
          <w:lang w:val="en-US"/>
        </w:rPr>
        <w:t>Baena</w:t>
      </w:r>
      <w:proofErr w:type="spellEnd"/>
      <w:r w:rsidRPr="00353B3F">
        <w:rPr>
          <w:rStyle w:val="Strong"/>
          <w:rFonts w:ascii="Verdana" w:hAnsi="Verdana"/>
          <w:b w:val="0"/>
          <w:i/>
          <w:sz w:val="16"/>
          <w:szCs w:val="16"/>
          <w:lang w:val="en-US"/>
        </w:rPr>
        <w:t xml:space="preserve"> Ricardo et al. v. Panama. Jurisdiction.</w:t>
      </w:r>
      <w:r w:rsidRPr="00353B3F">
        <w:rPr>
          <w:rStyle w:val="Strong"/>
          <w:rFonts w:ascii="Verdana" w:hAnsi="Verdana"/>
          <w:b w:val="0"/>
          <w:sz w:val="16"/>
          <w:szCs w:val="16"/>
          <w:lang w:val="en-US"/>
        </w:rPr>
        <w:t xml:space="preserve"> Judgment of November 28, 2003. Series C No. 104, para. 83, and</w:t>
      </w:r>
      <w:r w:rsidRPr="00353B3F">
        <w:rPr>
          <w:rStyle w:val="Strong"/>
          <w:rFonts w:ascii="Verdana" w:hAnsi="Verdana"/>
          <w:sz w:val="16"/>
          <w:szCs w:val="16"/>
          <w:lang w:val="en-US"/>
        </w:rPr>
        <w:t xml:space="preserve"> </w:t>
      </w:r>
      <w:r w:rsidRPr="00353B3F">
        <w:rPr>
          <w:rFonts w:ascii="Verdana" w:hAnsi="Verdana"/>
          <w:i/>
          <w:color w:val="000000"/>
          <w:sz w:val="16"/>
          <w:szCs w:val="16"/>
          <w:lang w:val="en-US"/>
        </w:rPr>
        <w:t xml:space="preserve">Case of the Saramaka People v. Suriname, supra footnote </w:t>
      </w:r>
      <w:r w:rsidRPr="00353B3F">
        <w:rPr>
          <w:rFonts w:ascii="Verdana" w:hAnsi="Verdana"/>
          <w:color w:val="000000"/>
          <w:sz w:val="16"/>
          <w:szCs w:val="16"/>
          <w:lang w:val="en-US"/>
        </w:rPr>
        <w:t xml:space="preserve">12, </w:t>
      </w:r>
      <w:r w:rsidRPr="00353B3F">
        <w:rPr>
          <w:rFonts w:ascii="Verdana" w:hAnsi="Verdana"/>
          <w:i/>
          <w:color w:val="000000"/>
          <w:sz w:val="16"/>
          <w:szCs w:val="16"/>
          <w:lang w:val="en-US"/>
        </w:rPr>
        <w:t xml:space="preserve">considerandum </w:t>
      </w:r>
      <w:r w:rsidRPr="00353B3F">
        <w:rPr>
          <w:rFonts w:ascii="Verdana" w:hAnsi="Verdana"/>
          <w:color w:val="000000"/>
          <w:sz w:val="16"/>
          <w:szCs w:val="16"/>
          <w:lang w:val="en-US"/>
        </w:rPr>
        <w:t>3</w:t>
      </w:r>
      <w:r w:rsidRPr="00353B3F">
        <w:rPr>
          <w:rFonts w:ascii="Verdana" w:hAnsi="Verdana"/>
          <w:i/>
          <w:color w:val="000000"/>
          <w:sz w:val="16"/>
          <w:szCs w:val="16"/>
          <w:lang w:val="en-US"/>
        </w:rPr>
        <w:t>.</w:t>
      </w:r>
    </w:p>
  </w:footnote>
  <w:footnote w:id="18">
    <w:p w14:paraId="32CC4EE4" w14:textId="56FC93A8" w:rsidR="00DB19E8" w:rsidRPr="00353B3F" w:rsidRDefault="00DB19E8" w:rsidP="004B4C69">
      <w:pPr>
        <w:pStyle w:val="FootnoteText"/>
        <w:spacing w:after="60"/>
        <w:jc w:val="both"/>
        <w:rPr>
          <w:rFonts w:ascii="Verdana" w:hAnsi="Verdana"/>
          <w:sz w:val="16"/>
          <w:szCs w:val="16"/>
          <w:lang w:val="en-US"/>
        </w:rPr>
      </w:pPr>
      <w:r w:rsidRPr="00353B3F">
        <w:rPr>
          <w:rStyle w:val="FootnoteReference"/>
          <w:rFonts w:ascii="Verdana" w:hAnsi="Verdana"/>
          <w:sz w:val="16"/>
          <w:szCs w:val="16"/>
          <w:lang w:val="en-US"/>
        </w:rPr>
        <w:footnoteRef/>
      </w:r>
      <w:r w:rsidRPr="00882AB5">
        <w:rPr>
          <w:rFonts w:ascii="Verdana" w:hAnsi="Verdana"/>
          <w:sz w:val="16"/>
          <w:szCs w:val="16"/>
          <w:lang w:val="en-US"/>
        </w:rPr>
        <w:t xml:space="preserve"> </w:t>
      </w:r>
      <w:r w:rsidRPr="00882AB5">
        <w:rPr>
          <w:rFonts w:ascii="Verdana" w:hAnsi="Verdana"/>
          <w:sz w:val="16"/>
          <w:szCs w:val="16"/>
          <w:lang w:val="en-US"/>
        </w:rPr>
        <w:tab/>
        <w:t xml:space="preserve">Regarding this measure, the State had indicated before the 2010 order that “the Public Prosecutions Department has asked witnesses to testify and identify the perpetrators on several occasions. Testimonies can be made at any </w:t>
      </w:r>
      <w:proofErr w:type="spellStart"/>
      <w:r w:rsidRPr="00882AB5">
        <w:rPr>
          <w:rFonts w:ascii="Verdana" w:hAnsi="Verdana"/>
          <w:sz w:val="16"/>
          <w:szCs w:val="16"/>
          <w:lang w:val="en-US"/>
        </w:rPr>
        <w:t>pólice</w:t>
      </w:r>
      <w:proofErr w:type="spellEnd"/>
      <w:r w:rsidRPr="00882AB5">
        <w:rPr>
          <w:rFonts w:ascii="Verdana" w:hAnsi="Verdana"/>
          <w:sz w:val="16"/>
          <w:szCs w:val="16"/>
          <w:lang w:val="en-US"/>
        </w:rPr>
        <w:t xml:space="preserve"> station or at the Public Prosecutions Department in order to guarantee the safety of </w:t>
      </w:r>
      <w:proofErr w:type="gramStart"/>
      <w:r w:rsidRPr="00882AB5">
        <w:rPr>
          <w:rFonts w:ascii="Verdana" w:hAnsi="Verdana"/>
          <w:sz w:val="16"/>
          <w:szCs w:val="16"/>
          <w:lang w:val="en-US"/>
        </w:rPr>
        <w:t>witnesses[</w:t>
      </w:r>
      <w:proofErr w:type="gramEnd"/>
      <w:r w:rsidRPr="00882AB5">
        <w:rPr>
          <w:rFonts w:ascii="Verdana" w:hAnsi="Verdana"/>
          <w:sz w:val="16"/>
          <w:szCs w:val="16"/>
          <w:lang w:val="en-US"/>
        </w:rPr>
        <w:t>…]”. The State had also advised that it had “established a ‘Coordination Team’ chaired b</w:t>
      </w:r>
      <w:r>
        <w:rPr>
          <w:rFonts w:ascii="Verdana" w:hAnsi="Verdana"/>
          <w:sz w:val="16"/>
          <w:szCs w:val="16"/>
          <w:lang w:val="en-US"/>
        </w:rPr>
        <w:t>y the Attorney General for the purpose of investigating the case</w:t>
      </w:r>
      <w:r w:rsidRPr="00882AB5">
        <w:rPr>
          <w:rFonts w:ascii="Verdana" w:hAnsi="Verdana"/>
          <w:sz w:val="16"/>
          <w:szCs w:val="16"/>
          <w:lang w:val="en-US"/>
        </w:rPr>
        <w:t>”. During the private hearing, the State indicated “cannot prosecute without having identified possible perpetrators” and declared that “because one of the alleged perpetrators is currently the subject of another investigation</w:t>
      </w:r>
      <w:r>
        <w:rPr>
          <w:rFonts w:ascii="Verdana" w:hAnsi="Verdana"/>
          <w:sz w:val="16"/>
          <w:szCs w:val="16"/>
          <w:lang w:val="en-US"/>
        </w:rPr>
        <w:t>, authorities will be able to devote ‘more time and attention’ to this case after the trial has concluded.</w:t>
      </w:r>
      <w:r w:rsidRPr="00882AB5">
        <w:rPr>
          <w:rFonts w:ascii="Verdana" w:hAnsi="Verdana"/>
          <w:sz w:val="16"/>
          <w:szCs w:val="16"/>
          <w:lang w:val="en-US"/>
        </w:rPr>
        <w:t xml:space="preserve">” </w:t>
      </w:r>
      <w:r w:rsidRPr="00353B3F">
        <w:rPr>
          <w:rFonts w:ascii="Verdana" w:hAnsi="Verdana"/>
          <w:sz w:val="16"/>
          <w:szCs w:val="16"/>
          <w:lang w:val="en-US"/>
        </w:rPr>
        <w:t>The State also requested the “advice</w:t>
      </w:r>
      <w:r>
        <w:rPr>
          <w:rFonts w:ascii="Verdana" w:hAnsi="Verdana"/>
          <w:sz w:val="16"/>
          <w:szCs w:val="16"/>
          <w:lang w:val="en-US"/>
        </w:rPr>
        <w:t>”</w:t>
      </w:r>
      <w:r w:rsidRPr="00353B3F">
        <w:rPr>
          <w:rFonts w:ascii="Verdana" w:hAnsi="Verdana"/>
          <w:sz w:val="16"/>
          <w:szCs w:val="16"/>
          <w:lang w:val="en-US"/>
        </w:rPr>
        <w:t xml:space="preserve"> of the Inter-American Commission, the Court or the representatives </w:t>
      </w:r>
      <w:r>
        <w:rPr>
          <w:rFonts w:ascii="Verdana" w:hAnsi="Verdana"/>
          <w:sz w:val="16"/>
          <w:szCs w:val="16"/>
          <w:lang w:val="en-US"/>
        </w:rPr>
        <w:t>on “how to encourage witnesses to testify and proposed that interrogations be carried out at the seat of the Inter-American Court</w:t>
      </w:r>
      <w:r w:rsidRPr="00353B3F">
        <w:rPr>
          <w:rFonts w:ascii="Verdana" w:hAnsi="Verdana"/>
          <w:sz w:val="16"/>
          <w:szCs w:val="16"/>
          <w:lang w:val="en-US"/>
        </w:rPr>
        <w:t xml:space="preserve">”; </w:t>
      </w:r>
      <w:r w:rsidRPr="00353B3F">
        <w:rPr>
          <w:rFonts w:ascii="Verdana" w:hAnsi="Verdana"/>
          <w:i/>
          <w:sz w:val="16"/>
          <w:szCs w:val="16"/>
          <w:lang w:val="en-US"/>
        </w:rPr>
        <w:t xml:space="preserve">Cf. Case of the </w:t>
      </w:r>
      <w:proofErr w:type="spellStart"/>
      <w:r w:rsidRPr="00353B3F">
        <w:rPr>
          <w:rFonts w:ascii="Verdana" w:hAnsi="Verdana"/>
          <w:i/>
          <w:sz w:val="16"/>
          <w:szCs w:val="16"/>
          <w:lang w:val="en-US"/>
        </w:rPr>
        <w:t>Moiwana</w:t>
      </w:r>
      <w:proofErr w:type="spellEnd"/>
      <w:r w:rsidRPr="00353B3F">
        <w:rPr>
          <w:rFonts w:ascii="Verdana" w:hAnsi="Verdana"/>
          <w:i/>
          <w:sz w:val="16"/>
          <w:szCs w:val="16"/>
          <w:lang w:val="en-US"/>
        </w:rPr>
        <w:t xml:space="preserve"> Community v. Suriname. Monitoring compliance with judgment. </w:t>
      </w:r>
      <w:r w:rsidRPr="00353B3F">
        <w:rPr>
          <w:rFonts w:ascii="Verdana" w:hAnsi="Verdana"/>
          <w:sz w:val="16"/>
          <w:szCs w:val="16"/>
          <w:lang w:val="en-US"/>
        </w:rPr>
        <w:t xml:space="preserve">Order of the Inter-American Court of Human Rights of November 22, 2010, </w:t>
      </w:r>
      <w:r w:rsidRPr="00353B3F">
        <w:rPr>
          <w:rFonts w:ascii="Verdana" w:hAnsi="Verdana"/>
          <w:i/>
          <w:sz w:val="16"/>
          <w:szCs w:val="16"/>
          <w:lang w:val="en-US"/>
        </w:rPr>
        <w:t xml:space="preserve">considerandum </w:t>
      </w:r>
      <w:r w:rsidRPr="00353B3F">
        <w:rPr>
          <w:rFonts w:ascii="Verdana" w:hAnsi="Verdana"/>
          <w:sz w:val="16"/>
          <w:szCs w:val="16"/>
          <w:lang w:val="en-US"/>
        </w:rPr>
        <w:t xml:space="preserve">8. </w:t>
      </w:r>
    </w:p>
  </w:footnote>
  <w:footnote w:id="19">
    <w:p w14:paraId="62FB5B0A" w14:textId="4EFA78A5" w:rsidR="00DB19E8" w:rsidRPr="00353B3F" w:rsidRDefault="00DB19E8" w:rsidP="004B4C69">
      <w:pPr>
        <w:pStyle w:val="FootnoteText"/>
        <w:spacing w:after="60"/>
        <w:jc w:val="both"/>
        <w:rPr>
          <w:rFonts w:ascii="Verdana" w:hAnsi="Verdana"/>
          <w:sz w:val="16"/>
          <w:szCs w:val="16"/>
          <w:lang w:val="en-US"/>
        </w:rPr>
      </w:pPr>
      <w:r w:rsidRPr="00353B3F">
        <w:rPr>
          <w:rStyle w:val="FootnoteReference"/>
          <w:rFonts w:ascii="Verdana" w:hAnsi="Verdana"/>
          <w:sz w:val="16"/>
          <w:szCs w:val="16"/>
          <w:lang w:val="en-US"/>
        </w:rPr>
        <w:footnoteRef/>
      </w:r>
      <w:r w:rsidRPr="00353B3F">
        <w:rPr>
          <w:rFonts w:ascii="Verdana" w:hAnsi="Verdana"/>
          <w:sz w:val="16"/>
          <w:szCs w:val="16"/>
          <w:lang w:val="en-US"/>
        </w:rPr>
        <w:t xml:space="preserve"> </w:t>
      </w:r>
      <w:r w:rsidRPr="00353B3F">
        <w:rPr>
          <w:rFonts w:ascii="Verdana" w:hAnsi="Verdana"/>
          <w:sz w:val="16"/>
          <w:szCs w:val="16"/>
          <w:lang w:val="en-US"/>
        </w:rPr>
        <w:tab/>
      </w:r>
      <w:r w:rsidRPr="00353B3F">
        <w:rPr>
          <w:rFonts w:ascii="Verdana" w:hAnsi="Verdana"/>
          <w:i/>
          <w:sz w:val="16"/>
          <w:szCs w:val="16"/>
          <w:lang w:val="en-US"/>
        </w:rPr>
        <w:t xml:space="preserve">Cf. Case of the </w:t>
      </w:r>
      <w:proofErr w:type="spellStart"/>
      <w:r w:rsidRPr="00353B3F">
        <w:rPr>
          <w:rFonts w:ascii="Verdana" w:hAnsi="Verdana"/>
          <w:i/>
          <w:sz w:val="16"/>
          <w:szCs w:val="16"/>
          <w:lang w:val="en-US"/>
        </w:rPr>
        <w:t>Moiwana</w:t>
      </w:r>
      <w:proofErr w:type="spellEnd"/>
      <w:r w:rsidRPr="00353B3F">
        <w:rPr>
          <w:rFonts w:ascii="Verdana" w:hAnsi="Verdana"/>
          <w:i/>
          <w:sz w:val="16"/>
          <w:szCs w:val="16"/>
          <w:lang w:val="en-US"/>
        </w:rPr>
        <w:t xml:space="preserve"> Community v. Suriname. Preliminary objections, merits, reparations and costs. </w:t>
      </w:r>
      <w:r w:rsidRPr="00353B3F">
        <w:rPr>
          <w:rFonts w:ascii="Verdana" w:hAnsi="Verdana"/>
          <w:sz w:val="16"/>
          <w:szCs w:val="16"/>
          <w:lang w:val="en-US"/>
        </w:rPr>
        <w:t>Judgment of June 15, 2005. Series C No. 124, para. 153</w:t>
      </w:r>
    </w:p>
  </w:footnote>
  <w:footnote w:id="20">
    <w:p w14:paraId="5FE08325" w14:textId="220F8442" w:rsidR="00DB19E8" w:rsidRPr="00353B3F" w:rsidRDefault="00DB19E8" w:rsidP="004B4C69">
      <w:pPr>
        <w:autoSpaceDE w:val="0"/>
        <w:autoSpaceDN w:val="0"/>
        <w:adjustRightInd w:val="0"/>
        <w:spacing w:after="60"/>
        <w:jc w:val="both"/>
        <w:rPr>
          <w:rFonts w:ascii="Verdana" w:eastAsiaTheme="minorHAnsi" w:hAnsi="Verdana" w:cs="TTE1091E40t00"/>
          <w:sz w:val="16"/>
          <w:szCs w:val="16"/>
          <w:lang w:val="en-US"/>
        </w:rPr>
      </w:pPr>
      <w:r w:rsidRPr="00353B3F">
        <w:rPr>
          <w:rStyle w:val="FootnoteReference"/>
          <w:rFonts w:ascii="Verdana" w:hAnsi="Verdana"/>
          <w:sz w:val="16"/>
          <w:szCs w:val="16"/>
          <w:lang w:val="en-US"/>
        </w:rPr>
        <w:footnoteRef/>
      </w:r>
      <w:r w:rsidRPr="00353B3F">
        <w:rPr>
          <w:rFonts w:ascii="Verdana" w:hAnsi="Verdana"/>
          <w:sz w:val="16"/>
          <w:szCs w:val="16"/>
          <w:lang w:val="en-US"/>
        </w:rPr>
        <w:t xml:space="preserve"> </w:t>
      </w:r>
      <w:r w:rsidRPr="00353B3F">
        <w:rPr>
          <w:rFonts w:ascii="Verdana" w:hAnsi="Verdana"/>
          <w:sz w:val="16"/>
          <w:szCs w:val="16"/>
          <w:lang w:val="en-US"/>
        </w:rPr>
        <w:tab/>
        <w:t>The judgment established that “[o]</w:t>
      </w:r>
      <w:r w:rsidRPr="00353B3F">
        <w:rPr>
          <w:rFonts w:ascii="Verdana" w:eastAsiaTheme="minorHAnsi" w:hAnsi="Verdana" w:cs="TTE1091E40t00"/>
          <w:sz w:val="16"/>
          <w:szCs w:val="16"/>
          <w:lang w:val="en-US"/>
        </w:rPr>
        <w:t>n August 19, 1992, the President of Suriname officially promulgated the ‘Amnesty Act 1989,’ which grants amnesty to those who committed certain criminal acts, with the exception of crimes against humanity, during the period from January 1, 1985, until August 20, 1992.</w:t>
      </w:r>
      <w:r w:rsidRPr="00353B3F">
        <w:rPr>
          <w:rFonts w:ascii="Verdana" w:hAnsi="Verdana"/>
          <w:sz w:val="16"/>
          <w:szCs w:val="16"/>
          <w:lang w:val="en-US"/>
        </w:rPr>
        <w:t xml:space="preserve"> </w:t>
      </w:r>
      <w:r w:rsidRPr="00353B3F">
        <w:rPr>
          <w:rFonts w:ascii="Verdana" w:eastAsiaTheme="minorHAnsi" w:hAnsi="Verdana" w:cs="TTE1091E40t00"/>
          <w:sz w:val="16"/>
          <w:szCs w:val="16"/>
          <w:lang w:val="en-US"/>
        </w:rPr>
        <w:t>Crimes against humanity are defined by the statute as ‘those crimes which according to international law are classified as such.’</w:t>
      </w:r>
      <w:r w:rsidRPr="00353B3F">
        <w:rPr>
          <w:rFonts w:ascii="Verdana" w:hAnsi="Verdana"/>
          <w:sz w:val="16"/>
          <w:szCs w:val="16"/>
          <w:lang w:val="en-US"/>
        </w:rPr>
        <w:t xml:space="preserve">” </w:t>
      </w:r>
    </w:p>
  </w:footnote>
  <w:footnote w:id="21">
    <w:p w14:paraId="43140D97" w14:textId="3E515D6E" w:rsidR="00DB19E8" w:rsidRPr="00353B3F" w:rsidRDefault="00DB19E8" w:rsidP="004B4C69">
      <w:pPr>
        <w:pStyle w:val="FootnoteText"/>
        <w:spacing w:after="60"/>
        <w:jc w:val="both"/>
        <w:rPr>
          <w:rFonts w:ascii="Verdana" w:hAnsi="Verdana"/>
          <w:sz w:val="16"/>
          <w:szCs w:val="16"/>
          <w:lang w:val="en-US"/>
        </w:rPr>
      </w:pPr>
      <w:r w:rsidRPr="00353B3F">
        <w:rPr>
          <w:rStyle w:val="FootnoteReference"/>
          <w:rFonts w:ascii="Verdana" w:hAnsi="Verdana"/>
          <w:sz w:val="16"/>
          <w:szCs w:val="16"/>
          <w:lang w:val="en-US"/>
        </w:rPr>
        <w:footnoteRef/>
      </w:r>
      <w:r w:rsidRPr="00353B3F">
        <w:rPr>
          <w:rFonts w:ascii="Verdana" w:hAnsi="Verdana"/>
          <w:sz w:val="16"/>
          <w:szCs w:val="16"/>
          <w:lang w:val="en-US"/>
        </w:rPr>
        <w:t xml:space="preserve"> </w:t>
      </w:r>
      <w:r w:rsidRPr="00353B3F">
        <w:rPr>
          <w:rFonts w:ascii="Verdana" w:hAnsi="Verdana"/>
          <w:sz w:val="16"/>
          <w:szCs w:val="16"/>
          <w:lang w:val="en-US"/>
        </w:rPr>
        <w:tab/>
        <w:t>Official Gazette of the Republic of Suriname No. 49, Law of April 5, 2012, amending the 1989 Amnesty Act (annex to the representatives’ email of June 15, 2012)</w:t>
      </w:r>
      <w:r w:rsidRPr="00353B3F">
        <w:rPr>
          <w:rFonts w:ascii="Verdana" w:hAnsi="Verdana"/>
          <w:i/>
          <w:sz w:val="16"/>
          <w:szCs w:val="16"/>
          <w:lang w:val="en-US"/>
        </w:rPr>
        <w:t>.</w:t>
      </w:r>
      <w:r w:rsidRPr="00353B3F">
        <w:rPr>
          <w:rFonts w:ascii="Verdana" w:hAnsi="Verdana"/>
          <w:sz w:val="16"/>
          <w:szCs w:val="16"/>
          <w:lang w:val="en-US"/>
        </w:rPr>
        <w:t xml:space="preserve"> </w:t>
      </w:r>
    </w:p>
  </w:footnote>
  <w:footnote w:id="22">
    <w:p w14:paraId="735A29F3" w14:textId="37B73790" w:rsidR="00DB19E8" w:rsidRPr="00626795" w:rsidRDefault="00DB19E8" w:rsidP="004B4C69">
      <w:pPr>
        <w:pStyle w:val="FootnoteText"/>
        <w:spacing w:after="60"/>
        <w:jc w:val="both"/>
        <w:rPr>
          <w:rFonts w:ascii="Verdana" w:hAnsi="Verdana"/>
          <w:sz w:val="16"/>
          <w:szCs w:val="16"/>
          <w:lang w:val="en-US"/>
        </w:rPr>
      </w:pPr>
      <w:r w:rsidRPr="00353B3F">
        <w:rPr>
          <w:rStyle w:val="FootnoteReference"/>
          <w:rFonts w:ascii="Verdana" w:hAnsi="Verdana"/>
          <w:sz w:val="16"/>
          <w:szCs w:val="16"/>
          <w:lang w:val="en-US"/>
        </w:rPr>
        <w:footnoteRef/>
      </w:r>
      <w:r w:rsidRPr="00B11CC2">
        <w:rPr>
          <w:rFonts w:ascii="Verdana" w:hAnsi="Verdana"/>
          <w:sz w:val="16"/>
          <w:szCs w:val="16"/>
          <w:lang w:val="en-US"/>
        </w:rPr>
        <w:t xml:space="preserve"> </w:t>
      </w:r>
      <w:r w:rsidRPr="00B11CC2">
        <w:rPr>
          <w:rFonts w:ascii="Verdana" w:hAnsi="Verdana"/>
          <w:sz w:val="16"/>
          <w:szCs w:val="16"/>
          <w:lang w:val="en-US"/>
        </w:rPr>
        <w:tab/>
        <w:t xml:space="preserve">For example, provisions were incorporated that provide for the application of the amnesty to those who “have committed and/or are suspected of and/or have been summoned to appear in court for criminal offences within the context of the </w:t>
      </w:r>
      <w:proofErr w:type="spellStart"/>
      <w:r w:rsidRPr="00B11CC2">
        <w:rPr>
          <w:rFonts w:ascii="Verdana" w:hAnsi="Verdana"/>
          <w:sz w:val="16"/>
          <w:szCs w:val="16"/>
          <w:lang w:val="en-US"/>
        </w:rPr>
        <w:t>defence</w:t>
      </w:r>
      <w:proofErr w:type="spellEnd"/>
      <w:r w:rsidRPr="00B11CC2">
        <w:rPr>
          <w:rFonts w:ascii="Verdana" w:hAnsi="Verdana"/>
          <w:sz w:val="16"/>
          <w:szCs w:val="16"/>
          <w:lang w:val="en-US"/>
        </w:rPr>
        <w:t xml:space="preserve"> of the State and/or overturning the lawful authorities”; to those who “committed </w:t>
      </w:r>
      <w:r>
        <w:rPr>
          <w:rFonts w:ascii="Verdana" w:hAnsi="Verdana"/>
          <w:sz w:val="16"/>
          <w:szCs w:val="16"/>
          <w:lang w:val="en-US"/>
        </w:rPr>
        <w:t xml:space="preserve">criminal offences within the context of the conflict in the interior and/or the events of December 1982 and/or other conflicts connected to those referred to in paragraphs a and b in the period from 1 April 1980 to 20 August 1992 and/or who are suspected of them…”, </w:t>
      </w:r>
      <w:r w:rsidRPr="00B11CC2">
        <w:rPr>
          <w:rFonts w:ascii="Verdana" w:hAnsi="Verdana"/>
          <w:sz w:val="16"/>
          <w:szCs w:val="16"/>
          <w:lang w:val="en-US"/>
        </w:rPr>
        <w:t xml:space="preserve">and to those who </w:t>
      </w:r>
      <w:r>
        <w:rPr>
          <w:rFonts w:ascii="Verdana" w:hAnsi="Verdana"/>
          <w:sz w:val="16"/>
          <w:szCs w:val="16"/>
          <w:lang w:val="en-US"/>
        </w:rPr>
        <w:t xml:space="preserve">“are regarded as suspects and have been summoned to appear in court as such in connection with acts committed on 7, 8 or 9 December 1982”. </w:t>
      </w:r>
    </w:p>
  </w:footnote>
  <w:footnote w:id="23">
    <w:p w14:paraId="65085625" w14:textId="59A21EF1" w:rsidR="00DB19E8" w:rsidRPr="00353B3F" w:rsidRDefault="00DB19E8" w:rsidP="004B4C69">
      <w:pPr>
        <w:pStyle w:val="FootnoteText"/>
        <w:spacing w:after="60"/>
        <w:jc w:val="both"/>
        <w:rPr>
          <w:rFonts w:ascii="Verdana" w:hAnsi="Verdana"/>
          <w:sz w:val="16"/>
          <w:szCs w:val="16"/>
          <w:lang w:val="en-US"/>
        </w:rPr>
      </w:pPr>
      <w:r w:rsidRPr="00353B3F">
        <w:rPr>
          <w:rStyle w:val="FootnoteReference"/>
          <w:rFonts w:ascii="Verdana" w:hAnsi="Verdana"/>
          <w:sz w:val="16"/>
          <w:szCs w:val="16"/>
          <w:lang w:val="en-US"/>
        </w:rPr>
        <w:footnoteRef/>
      </w:r>
      <w:r w:rsidRPr="00353B3F">
        <w:rPr>
          <w:rFonts w:ascii="Verdana" w:hAnsi="Verdana"/>
          <w:sz w:val="16"/>
          <w:szCs w:val="16"/>
          <w:lang w:val="en-US"/>
        </w:rPr>
        <w:t xml:space="preserve"> </w:t>
      </w:r>
      <w:r w:rsidRPr="00353B3F">
        <w:rPr>
          <w:rFonts w:ascii="Verdana" w:hAnsi="Verdana"/>
          <w:sz w:val="16"/>
          <w:szCs w:val="16"/>
          <w:lang w:val="en-US"/>
        </w:rPr>
        <w:tab/>
        <w:t xml:space="preserve">Human Rights Committee, “Consideration of reports submitted by States parties under article 40 of the Covenant: Third periodic reports of States parties due in 2008, Suriname”, Third periodic report of Suriname dated March 7, 2014, CCPR/C/SUR/3, para. 42, available at: </w:t>
      </w:r>
      <w:r w:rsidR="00BD655E">
        <w:fldChar w:fldCharType="begin"/>
      </w:r>
      <w:r w:rsidR="00BD655E" w:rsidRPr="00794648">
        <w:rPr>
          <w:lang w:val="en-US"/>
        </w:rPr>
        <w:instrText xml:space="preserve"> HYPERLINK "http://tbinternet.ohchr.org/layouts/treatybodyexternal/Dow</w:instrText>
      </w:r>
      <w:r w:rsidR="00BD655E" w:rsidRPr="00794648">
        <w:rPr>
          <w:lang w:val="en-US"/>
        </w:rPr>
        <w:instrText xml:space="preserve">nload.aspx?symbolno=CCPR%2fC%2fSUR%2f3&amp;Lang=en" </w:instrText>
      </w:r>
      <w:r w:rsidR="00BD655E">
        <w:fldChar w:fldCharType="separate"/>
      </w:r>
      <w:r w:rsidRPr="00353B3F">
        <w:rPr>
          <w:rStyle w:val="Hyperlink"/>
          <w:rFonts w:ascii="Verdana" w:hAnsi="Verdana"/>
          <w:sz w:val="16"/>
          <w:szCs w:val="16"/>
          <w:lang w:val="en-US"/>
        </w:rPr>
        <w:t>http://tbinternet.ohchr.org/layouts/treatybodyexternal/Download.aspx?symbolno=CCPR%2fC%2fSUR%2f3&amp;Lang=en</w:t>
      </w:r>
      <w:r w:rsidR="00BD655E">
        <w:rPr>
          <w:rStyle w:val="Hyperlink"/>
          <w:rFonts w:ascii="Verdana" w:hAnsi="Verdana"/>
          <w:sz w:val="16"/>
          <w:szCs w:val="16"/>
          <w:lang w:val="en-US"/>
        </w:rPr>
        <w:fldChar w:fldCharType="end"/>
      </w:r>
      <w:r w:rsidRPr="00353B3F">
        <w:rPr>
          <w:rFonts w:ascii="Verdana" w:hAnsi="Verdana"/>
          <w:sz w:val="16"/>
          <w:szCs w:val="16"/>
          <w:lang w:val="en-US"/>
        </w:rPr>
        <w:t xml:space="preserve"> (link provided in the representatives’ brief of July 20, 2015)</w:t>
      </w:r>
      <w:r w:rsidRPr="00353B3F">
        <w:rPr>
          <w:rFonts w:ascii="Verdana" w:hAnsi="Verdana"/>
          <w:i/>
          <w:sz w:val="16"/>
          <w:szCs w:val="16"/>
          <w:lang w:val="en-US"/>
        </w:rPr>
        <w:t>.</w:t>
      </w:r>
      <w:r w:rsidRPr="00353B3F">
        <w:rPr>
          <w:rFonts w:ascii="Verdana" w:hAnsi="Verdana"/>
          <w:sz w:val="16"/>
          <w:szCs w:val="16"/>
          <w:lang w:val="en-US"/>
        </w:rPr>
        <w:t xml:space="preserve"> </w:t>
      </w:r>
    </w:p>
  </w:footnote>
  <w:footnote w:id="24">
    <w:p w14:paraId="0BDDC7D9" w14:textId="5B2059EC" w:rsidR="00DB19E8" w:rsidRPr="00353B3F" w:rsidRDefault="00DB19E8" w:rsidP="004B4C69">
      <w:pPr>
        <w:pStyle w:val="FootnoteText"/>
        <w:spacing w:after="60"/>
        <w:jc w:val="both"/>
        <w:rPr>
          <w:rFonts w:ascii="Verdana" w:hAnsi="Verdana"/>
          <w:sz w:val="16"/>
          <w:szCs w:val="16"/>
          <w:lang w:val="en-US"/>
        </w:rPr>
      </w:pPr>
      <w:r w:rsidRPr="00353B3F">
        <w:rPr>
          <w:rStyle w:val="FootnoteReference"/>
          <w:rFonts w:ascii="Verdana" w:hAnsi="Verdana"/>
          <w:sz w:val="16"/>
          <w:szCs w:val="16"/>
          <w:lang w:val="en-US"/>
        </w:rPr>
        <w:footnoteRef/>
      </w:r>
      <w:r w:rsidRPr="00353B3F">
        <w:rPr>
          <w:rFonts w:ascii="Verdana" w:hAnsi="Verdana"/>
          <w:sz w:val="16"/>
          <w:szCs w:val="16"/>
          <w:lang w:val="en-US"/>
        </w:rPr>
        <w:t xml:space="preserve"> </w:t>
      </w:r>
      <w:r w:rsidRPr="00353B3F">
        <w:rPr>
          <w:rFonts w:ascii="Verdana" w:hAnsi="Verdana"/>
          <w:sz w:val="16"/>
          <w:szCs w:val="16"/>
          <w:lang w:val="en-US"/>
        </w:rPr>
        <w:tab/>
        <w:t xml:space="preserve">Amnesty International, Annual Report, </w:t>
      </w:r>
      <w:proofErr w:type="gramStart"/>
      <w:r w:rsidRPr="00353B3F">
        <w:rPr>
          <w:rFonts w:ascii="Verdana" w:hAnsi="Verdana"/>
          <w:sz w:val="16"/>
          <w:szCs w:val="16"/>
          <w:lang w:val="en-US"/>
        </w:rPr>
        <w:t>Suriname</w:t>
      </w:r>
      <w:proofErr w:type="gramEnd"/>
      <w:r w:rsidRPr="00353B3F">
        <w:rPr>
          <w:rFonts w:ascii="Verdana" w:hAnsi="Verdana"/>
          <w:sz w:val="16"/>
          <w:szCs w:val="16"/>
          <w:lang w:val="en-US"/>
        </w:rPr>
        <w:t xml:space="preserve"> 2013, available at: </w:t>
      </w:r>
      <w:hyperlink r:id="rId1" w:history="1">
        <w:r w:rsidRPr="00353B3F">
          <w:rPr>
            <w:rStyle w:val="Hyperlink"/>
            <w:rFonts w:ascii="Verdana" w:hAnsi="Verdana"/>
            <w:sz w:val="16"/>
            <w:szCs w:val="16"/>
            <w:lang w:val="en-US"/>
          </w:rPr>
          <w:t>https://www.amnestyusa.org/reports/annual-report-Surinamee-2013/</w:t>
        </w:r>
      </w:hyperlink>
      <w:r w:rsidRPr="00353B3F">
        <w:rPr>
          <w:rFonts w:ascii="Verdana" w:hAnsi="Verdana"/>
          <w:sz w:val="16"/>
          <w:szCs w:val="16"/>
          <w:lang w:val="en-US"/>
        </w:rPr>
        <w:t xml:space="preserve"> (link provided in the representatives’ brief of July 20, 2015)</w:t>
      </w:r>
      <w:r w:rsidRPr="00353B3F">
        <w:rPr>
          <w:rFonts w:ascii="Verdana" w:hAnsi="Verdana"/>
          <w:i/>
          <w:sz w:val="16"/>
          <w:szCs w:val="16"/>
          <w:lang w:val="en-US"/>
        </w:rPr>
        <w:t xml:space="preserve">. </w:t>
      </w:r>
    </w:p>
  </w:footnote>
  <w:footnote w:id="25">
    <w:p w14:paraId="23682461" w14:textId="03D0BD89" w:rsidR="00DB19E8" w:rsidRPr="00353B3F" w:rsidRDefault="00DB19E8" w:rsidP="004B4C69">
      <w:pPr>
        <w:spacing w:after="60"/>
        <w:jc w:val="both"/>
        <w:rPr>
          <w:rFonts w:ascii="Verdana" w:hAnsi="Verdana"/>
          <w:bCs/>
          <w:color w:val="000000"/>
          <w:sz w:val="16"/>
          <w:szCs w:val="16"/>
          <w:shd w:val="clear" w:color="auto" w:fill="FFFFFF"/>
          <w:lang w:val="en-US"/>
        </w:rPr>
      </w:pPr>
      <w:r w:rsidRPr="00353B3F">
        <w:rPr>
          <w:rStyle w:val="FootnoteReference"/>
          <w:rFonts w:ascii="Verdana" w:hAnsi="Verdana"/>
          <w:sz w:val="16"/>
          <w:szCs w:val="16"/>
          <w:lang w:val="en-US"/>
        </w:rPr>
        <w:footnoteRef/>
      </w:r>
      <w:r w:rsidRPr="00353B3F">
        <w:rPr>
          <w:rFonts w:ascii="Verdana" w:hAnsi="Verdana"/>
          <w:b/>
          <w:sz w:val="16"/>
          <w:szCs w:val="16"/>
          <w:lang w:val="en-US"/>
        </w:rPr>
        <w:tab/>
      </w:r>
      <w:r w:rsidRPr="00353B3F">
        <w:rPr>
          <w:rFonts w:ascii="Verdana" w:hAnsi="Verdana"/>
          <w:i/>
          <w:sz w:val="16"/>
          <w:szCs w:val="16"/>
          <w:lang w:val="en-US"/>
        </w:rPr>
        <w:t xml:space="preserve">Cf. Case of </w:t>
      </w:r>
      <w:proofErr w:type="spellStart"/>
      <w:r w:rsidRPr="00353B3F">
        <w:rPr>
          <w:rFonts w:ascii="Verdana" w:hAnsi="Verdana"/>
          <w:i/>
          <w:sz w:val="16"/>
          <w:szCs w:val="16"/>
          <w:lang w:val="en-US"/>
        </w:rPr>
        <w:t>Almonacid</w:t>
      </w:r>
      <w:proofErr w:type="spellEnd"/>
      <w:r w:rsidRPr="00353B3F">
        <w:rPr>
          <w:rFonts w:ascii="Verdana" w:hAnsi="Verdana"/>
          <w:i/>
          <w:sz w:val="16"/>
          <w:szCs w:val="16"/>
          <w:lang w:val="en-US"/>
        </w:rPr>
        <w:t xml:space="preserve"> Arellano et al. v. Chile. </w:t>
      </w:r>
      <w:r w:rsidRPr="00353B3F">
        <w:rPr>
          <w:rStyle w:val="Strong"/>
          <w:rFonts w:ascii="Verdana" w:hAnsi="Verdana"/>
          <w:b w:val="0"/>
          <w:i/>
          <w:color w:val="000000"/>
          <w:sz w:val="16"/>
          <w:szCs w:val="16"/>
          <w:shd w:val="clear" w:color="auto" w:fill="FFFFFF"/>
          <w:lang w:val="en-US"/>
        </w:rPr>
        <w:t xml:space="preserve">Preliminary objections, merits, reparations and costs. </w:t>
      </w:r>
      <w:r w:rsidRPr="00353B3F">
        <w:rPr>
          <w:rStyle w:val="Strong"/>
          <w:rFonts w:ascii="Verdana" w:hAnsi="Verdana"/>
          <w:b w:val="0"/>
          <w:color w:val="000000"/>
          <w:sz w:val="16"/>
          <w:szCs w:val="16"/>
          <w:shd w:val="clear" w:color="auto" w:fill="FFFFFF"/>
          <w:lang w:val="en-US"/>
        </w:rPr>
        <w:t xml:space="preserve">Judgment of September 26, 2006. Series C No. 154, </w:t>
      </w:r>
      <w:r w:rsidRPr="00353B3F">
        <w:rPr>
          <w:rFonts w:ascii="Verdana" w:hAnsi="Verdana"/>
          <w:sz w:val="16"/>
          <w:szCs w:val="16"/>
          <w:lang w:val="en-US"/>
        </w:rPr>
        <w:t xml:space="preserve">para. 124; </w:t>
      </w:r>
      <w:r w:rsidRPr="00353B3F">
        <w:rPr>
          <w:rStyle w:val="Strong"/>
          <w:rFonts w:ascii="Verdana" w:hAnsi="Verdana"/>
          <w:b w:val="0"/>
          <w:i/>
          <w:color w:val="000000"/>
          <w:sz w:val="16"/>
          <w:szCs w:val="16"/>
          <w:shd w:val="clear" w:color="auto" w:fill="FFFFFF"/>
          <w:lang w:val="en-US"/>
        </w:rPr>
        <w:t xml:space="preserve">Case of Members of the </w:t>
      </w:r>
      <w:proofErr w:type="spellStart"/>
      <w:r w:rsidRPr="00353B3F">
        <w:rPr>
          <w:rStyle w:val="Strong"/>
          <w:rFonts w:ascii="Verdana" w:hAnsi="Verdana"/>
          <w:b w:val="0"/>
          <w:i/>
          <w:color w:val="000000"/>
          <w:sz w:val="16"/>
          <w:szCs w:val="16"/>
          <w:shd w:val="clear" w:color="auto" w:fill="FFFFFF"/>
          <w:lang w:val="en-US"/>
        </w:rPr>
        <w:t>Chichupac</w:t>
      </w:r>
      <w:proofErr w:type="spellEnd"/>
      <w:r w:rsidRPr="00353B3F">
        <w:rPr>
          <w:rStyle w:val="Strong"/>
          <w:rFonts w:ascii="Verdana" w:hAnsi="Verdana"/>
          <w:b w:val="0"/>
          <w:i/>
          <w:color w:val="000000"/>
          <w:sz w:val="16"/>
          <w:szCs w:val="16"/>
          <w:shd w:val="clear" w:color="auto" w:fill="FFFFFF"/>
          <w:lang w:val="en-US"/>
        </w:rPr>
        <w:t xml:space="preserve"> village and neighboring communities in the Municipality of </w:t>
      </w:r>
      <w:proofErr w:type="spellStart"/>
      <w:r w:rsidRPr="00353B3F">
        <w:rPr>
          <w:rStyle w:val="Strong"/>
          <w:rFonts w:ascii="Verdana" w:hAnsi="Verdana"/>
          <w:b w:val="0"/>
          <w:i/>
          <w:color w:val="000000"/>
          <w:sz w:val="16"/>
          <w:szCs w:val="16"/>
          <w:shd w:val="clear" w:color="auto" w:fill="FFFFFF"/>
          <w:lang w:val="en-US"/>
        </w:rPr>
        <w:t>Rabinal</w:t>
      </w:r>
      <w:proofErr w:type="spellEnd"/>
      <w:r w:rsidRPr="00353B3F">
        <w:rPr>
          <w:rStyle w:val="Strong"/>
          <w:rFonts w:ascii="Verdana" w:hAnsi="Verdana"/>
          <w:b w:val="0"/>
          <w:i/>
          <w:color w:val="000000"/>
          <w:sz w:val="16"/>
          <w:szCs w:val="16"/>
          <w:shd w:val="clear" w:color="auto" w:fill="FFFFFF"/>
          <w:lang w:val="en-US"/>
        </w:rPr>
        <w:t xml:space="preserve"> v. Guatemala. Preliminary objections, merits, reparations and costs. </w:t>
      </w:r>
      <w:r w:rsidRPr="00353B3F">
        <w:rPr>
          <w:rStyle w:val="Strong"/>
          <w:rFonts w:ascii="Verdana" w:hAnsi="Verdana"/>
          <w:b w:val="0"/>
          <w:color w:val="000000"/>
          <w:sz w:val="16"/>
          <w:szCs w:val="16"/>
          <w:shd w:val="clear" w:color="auto" w:fill="FFFFFF"/>
          <w:lang w:val="en-US"/>
        </w:rPr>
        <w:t xml:space="preserve">Judgment of November 30, 2016. Series C No. 328, para. 289; </w:t>
      </w:r>
      <w:r w:rsidRPr="00353B3F">
        <w:rPr>
          <w:rStyle w:val="Strong"/>
          <w:rFonts w:ascii="Verdana" w:hAnsi="Verdana"/>
          <w:b w:val="0"/>
          <w:i/>
          <w:color w:val="000000"/>
          <w:sz w:val="16"/>
          <w:szCs w:val="16"/>
          <w:shd w:val="clear" w:color="auto" w:fill="FFFFFF"/>
          <w:lang w:val="en-US"/>
        </w:rPr>
        <w:t xml:space="preserve">Case of Andrade </w:t>
      </w:r>
      <w:proofErr w:type="spellStart"/>
      <w:r w:rsidRPr="00353B3F">
        <w:rPr>
          <w:rStyle w:val="Strong"/>
          <w:rFonts w:ascii="Verdana" w:hAnsi="Verdana"/>
          <w:b w:val="0"/>
          <w:i/>
          <w:color w:val="000000"/>
          <w:sz w:val="16"/>
          <w:szCs w:val="16"/>
          <w:shd w:val="clear" w:color="auto" w:fill="FFFFFF"/>
          <w:lang w:val="en-US"/>
        </w:rPr>
        <w:t>Salmón</w:t>
      </w:r>
      <w:proofErr w:type="spellEnd"/>
      <w:r w:rsidRPr="00353B3F">
        <w:rPr>
          <w:rStyle w:val="Strong"/>
          <w:rFonts w:ascii="Verdana" w:hAnsi="Verdana"/>
          <w:b w:val="0"/>
          <w:i/>
          <w:color w:val="000000"/>
          <w:sz w:val="16"/>
          <w:szCs w:val="16"/>
          <w:shd w:val="clear" w:color="auto" w:fill="FFFFFF"/>
          <w:lang w:val="en-US"/>
        </w:rPr>
        <w:t xml:space="preserve"> v. Bolivia. Merits, reparations and costs. </w:t>
      </w:r>
      <w:r w:rsidRPr="00353B3F">
        <w:rPr>
          <w:rStyle w:val="Strong"/>
          <w:rFonts w:ascii="Verdana" w:hAnsi="Verdana"/>
          <w:b w:val="0"/>
          <w:color w:val="000000"/>
          <w:sz w:val="16"/>
          <w:szCs w:val="16"/>
          <w:shd w:val="clear" w:color="auto" w:fill="FFFFFF"/>
          <w:lang w:val="en-US"/>
        </w:rPr>
        <w:t xml:space="preserve">Judgment of December 1, 2016. Series C No. 330, para. 93 and </w:t>
      </w:r>
      <w:r w:rsidRPr="00353B3F">
        <w:rPr>
          <w:rFonts w:ascii="Verdana" w:hAnsi="Verdana"/>
          <w:bCs/>
          <w:color w:val="000000"/>
          <w:sz w:val="16"/>
          <w:szCs w:val="16"/>
          <w:shd w:val="clear" w:color="auto" w:fill="FFFFFF"/>
          <w:lang w:val="en-US"/>
        </w:rPr>
        <w:t xml:space="preserve">Case of </w:t>
      </w:r>
      <w:r w:rsidRPr="00353B3F">
        <w:rPr>
          <w:rFonts w:ascii="Verdana" w:hAnsi="Verdana"/>
          <w:bCs/>
          <w:i/>
          <w:color w:val="000000"/>
          <w:sz w:val="16"/>
          <w:szCs w:val="16"/>
          <w:shd w:val="clear" w:color="auto" w:fill="FFFFFF"/>
          <w:lang w:val="en-US"/>
        </w:rPr>
        <w:t xml:space="preserve">Barrios Altos and Case of La </w:t>
      </w:r>
      <w:proofErr w:type="spellStart"/>
      <w:r w:rsidRPr="00353B3F">
        <w:rPr>
          <w:rFonts w:ascii="Verdana" w:hAnsi="Verdana"/>
          <w:bCs/>
          <w:i/>
          <w:color w:val="000000"/>
          <w:sz w:val="16"/>
          <w:szCs w:val="16"/>
          <w:shd w:val="clear" w:color="auto" w:fill="FFFFFF"/>
          <w:lang w:val="en-US"/>
        </w:rPr>
        <w:t>Cantuta</w:t>
      </w:r>
      <w:proofErr w:type="spellEnd"/>
      <w:r w:rsidRPr="00353B3F">
        <w:rPr>
          <w:rFonts w:ascii="Verdana" w:hAnsi="Verdana"/>
          <w:bCs/>
          <w:i/>
          <w:color w:val="000000"/>
          <w:sz w:val="16"/>
          <w:szCs w:val="16"/>
          <w:shd w:val="clear" w:color="auto" w:fill="FFFFFF"/>
          <w:lang w:val="en-US"/>
        </w:rPr>
        <w:t xml:space="preserve"> v. Peru</w:t>
      </w:r>
      <w:r w:rsidRPr="00353B3F">
        <w:rPr>
          <w:rFonts w:ascii="Verdana" w:hAnsi="Verdana"/>
          <w:bCs/>
          <w:color w:val="000000"/>
          <w:sz w:val="16"/>
          <w:szCs w:val="16"/>
          <w:shd w:val="clear" w:color="auto" w:fill="FFFFFF"/>
          <w:lang w:val="en-US"/>
        </w:rPr>
        <w:t xml:space="preserve">. </w:t>
      </w:r>
      <w:r w:rsidRPr="00353B3F">
        <w:rPr>
          <w:rFonts w:ascii="Verdana" w:hAnsi="Verdana"/>
          <w:bCs/>
          <w:i/>
          <w:color w:val="000000"/>
          <w:sz w:val="16"/>
          <w:szCs w:val="16"/>
          <w:shd w:val="clear" w:color="auto" w:fill="FFFFFF"/>
          <w:lang w:val="en-US"/>
        </w:rPr>
        <w:t>Monitoring compliance with judgment</w:t>
      </w:r>
      <w:r w:rsidRPr="00353B3F">
        <w:rPr>
          <w:rFonts w:ascii="Verdana" w:hAnsi="Verdana"/>
          <w:bCs/>
          <w:color w:val="000000"/>
          <w:sz w:val="16"/>
          <w:szCs w:val="16"/>
          <w:shd w:val="clear" w:color="auto" w:fill="FFFFFF"/>
          <w:lang w:val="en-US"/>
        </w:rPr>
        <w:t xml:space="preserve">. Order of the Inter-American Court of Human Rights of May 30, 2018, </w:t>
      </w:r>
      <w:r w:rsidRPr="00353B3F">
        <w:rPr>
          <w:rFonts w:ascii="Verdana" w:hAnsi="Verdana"/>
          <w:bCs/>
          <w:i/>
          <w:color w:val="000000"/>
          <w:sz w:val="16"/>
          <w:szCs w:val="16"/>
          <w:shd w:val="clear" w:color="auto" w:fill="FFFFFF"/>
          <w:lang w:val="en-US"/>
        </w:rPr>
        <w:t xml:space="preserve">considerandum </w:t>
      </w:r>
      <w:r w:rsidRPr="00353B3F">
        <w:rPr>
          <w:rFonts w:ascii="Verdana" w:hAnsi="Verdana"/>
          <w:bCs/>
          <w:color w:val="000000"/>
          <w:sz w:val="16"/>
          <w:szCs w:val="16"/>
          <w:shd w:val="clear" w:color="auto" w:fill="FFFFFF"/>
          <w:lang w:val="en-US"/>
        </w:rPr>
        <w:t>65.</w:t>
      </w:r>
    </w:p>
  </w:footnote>
  <w:footnote w:id="26">
    <w:p w14:paraId="6D48689D" w14:textId="68B5D3FE" w:rsidR="00DB19E8" w:rsidRPr="00353B3F" w:rsidRDefault="00DB19E8" w:rsidP="004B4C69">
      <w:pPr>
        <w:spacing w:after="60"/>
        <w:jc w:val="both"/>
        <w:rPr>
          <w:rFonts w:ascii="Verdana" w:hAnsi="Verdana"/>
          <w:b/>
          <w:sz w:val="16"/>
          <w:szCs w:val="16"/>
          <w:lang w:val="en-US"/>
        </w:rPr>
      </w:pPr>
      <w:r w:rsidRPr="00353B3F">
        <w:rPr>
          <w:rStyle w:val="FootnoteReference"/>
          <w:rFonts w:ascii="Verdana" w:hAnsi="Verdana"/>
          <w:sz w:val="16"/>
          <w:szCs w:val="16"/>
          <w:lang w:val="en-US"/>
        </w:rPr>
        <w:footnoteRef/>
      </w:r>
      <w:r w:rsidRPr="00353B3F">
        <w:rPr>
          <w:rFonts w:ascii="Verdana" w:hAnsi="Verdana"/>
          <w:b/>
          <w:sz w:val="16"/>
          <w:szCs w:val="16"/>
          <w:lang w:val="en-US"/>
        </w:rPr>
        <w:tab/>
      </w:r>
      <w:r w:rsidRPr="00353B3F">
        <w:rPr>
          <w:rFonts w:ascii="Verdana" w:hAnsi="Verdana"/>
          <w:i/>
          <w:sz w:val="16"/>
          <w:szCs w:val="16"/>
          <w:lang w:val="en-US"/>
        </w:rPr>
        <w:t>Case of Gelman v. Uruguay. Monitoring compliance with judgment.</w:t>
      </w:r>
      <w:r w:rsidRPr="00353B3F">
        <w:rPr>
          <w:rFonts w:ascii="Verdana" w:hAnsi="Verdana"/>
          <w:sz w:val="16"/>
          <w:szCs w:val="16"/>
          <w:lang w:val="en-US"/>
        </w:rPr>
        <w:t xml:space="preserve"> Order of the Inter-American Court of Human Rights of March 20, 2013, </w:t>
      </w:r>
      <w:r w:rsidRPr="00353B3F">
        <w:rPr>
          <w:rFonts w:ascii="Verdana" w:hAnsi="Verdana"/>
          <w:i/>
          <w:sz w:val="16"/>
          <w:szCs w:val="16"/>
          <w:lang w:val="en-US"/>
        </w:rPr>
        <w:t xml:space="preserve">considerandum </w:t>
      </w:r>
      <w:r w:rsidRPr="00353B3F">
        <w:rPr>
          <w:rFonts w:ascii="Verdana" w:hAnsi="Verdana"/>
          <w:sz w:val="16"/>
          <w:szCs w:val="16"/>
          <w:lang w:val="en-US"/>
        </w:rPr>
        <w:t xml:space="preserve">73, and </w:t>
      </w:r>
      <w:r w:rsidRPr="00353B3F">
        <w:rPr>
          <w:rFonts w:ascii="Verdana" w:hAnsi="Verdana"/>
          <w:bCs/>
          <w:i/>
          <w:color w:val="000000"/>
          <w:sz w:val="16"/>
          <w:szCs w:val="16"/>
          <w:shd w:val="clear" w:color="auto" w:fill="FFFFFF"/>
          <w:lang w:val="en-US"/>
        </w:rPr>
        <w:t xml:space="preserve">Cases of Barrios Altos and La </w:t>
      </w:r>
      <w:proofErr w:type="spellStart"/>
      <w:r w:rsidRPr="00353B3F">
        <w:rPr>
          <w:rFonts w:ascii="Verdana" w:hAnsi="Verdana"/>
          <w:bCs/>
          <w:i/>
          <w:color w:val="000000"/>
          <w:sz w:val="16"/>
          <w:szCs w:val="16"/>
          <w:shd w:val="clear" w:color="auto" w:fill="FFFFFF"/>
          <w:lang w:val="en-US"/>
        </w:rPr>
        <w:t>Cantuta</w:t>
      </w:r>
      <w:proofErr w:type="spellEnd"/>
      <w:r w:rsidRPr="00353B3F">
        <w:rPr>
          <w:rFonts w:ascii="Verdana" w:hAnsi="Verdana"/>
          <w:bCs/>
          <w:i/>
          <w:color w:val="000000"/>
          <w:sz w:val="16"/>
          <w:szCs w:val="16"/>
          <w:shd w:val="clear" w:color="auto" w:fill="FFFFFF"/>
          <w:lang w:val="en-US"/>
        </w:rPr>
        <w:t xml:space="preserve"> v. Peru</w:t>
      </w:r>
      <w:r w:rsidRPr="00353B3F">
        <w:rPr>
          <w:rFonts w:ascii="Verdana" w:hAnsi="Verdana"/>
          <w:bCs/>
          <w:color w:val="000000"/>
          <w:sz w:val="16"/>
          <w:szCs w:val="16"/>
          <w:shd w:val="clear" w:color="auto" w:fill="FFFFFF"/>
          <w:lang w:val="en-US"/>
        </w:rPr>
        <w:t xml:space="preserve">. </w:t>
      </w:r>
      <w:r w:rsidRPr="00353B3F">
        <w:rPr>
          <w:rFonts w:ascii="Verdana" w:hAnsi="Verdana"/>
          <w:bCs/>
          <w:i/>
          <w:color w:val="000000"/>
          <w:sz w:val="16"/>
          <w:szCs w:val="16"/>
          <w:shd w:val="clear" w:color="auto" w:fill="FFFFFF"/>
          <w:lang w:val="en-US"/>
        </w:rPr>
        <w:t>Monitoring compliance with judgment</w:t>
      </w:r>
      <w:r w:rsidRPr="00353B3F">
        <w:rPr>
          <w:rFonts w:ascii="Verdana" w:hAnsi="Verdana"/>
          <w:bCs/>
          <w:color w:val="000000"/>
          <w:sz w:val="16"/>
          <w:szCs w:val="16"/>
          <w:shd w:val="clear" w:color="auto" w:fill="FFFFFF"/>
          <w:lang w:val="en-US"/>
        </w:rPr>
        <w:t xml:space="preserve">. Order of the Inter-American Court of Human Rights of May 30, 2018, </w:t>
      </w:r>
      <w:r w:rsidRPr="00353B3F">
        <w:rPr>
          <w:rFonts w:ascii="Verdana" w:hAnsi="Verdana"/>
          <w:bCs/>
          <w:i/>
          <w:color w:val="000000"/>
          <w:sz w:val="16"/>
          <w:szCs w:val="16"/>
          <w:shd w:val="clear" w:color="auto" w:fill="FFFFFF"/>
          <w:lang w:val="en-US"/>
        </w:rPr>
        <w:t xml:space="preserve">considerandum </w:t>
      </w:r>
      <w:r w:rsidRPr="00353B3F">
        <w:rPr>
          <w:rFonts w:ascii="Verdana" w:hAnsi="Verdana"/>
          <w:bCs/>
          <w:color w:val="000000"/>
          <w:sz w:val="16"/>
          <w:szCs w:val="16"/>
          <w:shd w:val="clear" w:color="auto" w:fill="FFFFFF"/>
          <w:lang w:val="en-US"/>
        </w:rPr>
        <w:t>65.</w:t>
      </w:r>
    </w:p>
  </w:footnote>
  <w:footnote w:id="27">
    <w:p w14:paraId="564893B7" w14:textId="30593864" w:rsidR="00DB19E8" w:rsidRPr="00353B3F" w:rsidRDefault="00DB19E8" w:rsidP="004B4C69">
      <w:pPr>
        <w:pStyle w:val="FootnoteText"/>
        <w:spacing w:after="60"/>
        <w:jc w:val="both"/>
        <w:rPr>
          <w:rFonts w:ascii="Verdana" w:hAnsi="Verdana"/>
          <w:sz w:val="16"/>
          <w:szCs w:val="16"/>
          <w:lang w:val="en-US"/>
        </w:rPr>
      </w:pPr>
      <w:r w:rsidRPr="00353B3F">
        <w:rPr>
          <w:rStyle w:val="FootnoteReference"/>
          <w:rFonts w:ascii="Verdana" w:hAnsi="Verdana"/>
          <w:sz w:val="16"/>
          <w:szCs w:val="16"/>
          <w:lang w:val="en-US"/>
        </w:rPr>
        <w:footnoteRef/>
      </w:r>
      <w:r w:rsidRPr="00353B3F">
        <w:rPr>
          <w:rFonts w:ascii="Verdana" w:hAnsi="Verdana"/>
          <w:sz w:val="16"/>
          <w:szCs w:val="16"/>
          <w:lang w:val="en-US"/>
        </w:rPr>
        <w:t xml:space="preserve"> </w:t>
      </w:r>
      <w:r w:rsidRPr="00353B3F">
        <w:rPr>
          <w:rFonts w:ascii="Verdana" w:hAnsi="Verdana"/>
          <w:sz w:val="16"/>
          <w:szCs w:val="16"/>
          <w:lang w:val="en-US"/>
        </w:rPr>
        <w:tab/>
      </w:r>
      <w:r w:rsidRPr="00353B3F">
        <w:rPr>
          <w:rFonts w:ascii="Verdana" w:hAnsi="Verdana"/>
          <w:i/>
          <w:sz w:val="16"/>
          <w:szCs w:val="16"/>
          <w:lang w:val="en-US"/>
        </w:rPr>
        <w:t xml:space="preserve">Cf. Case of the </w:t>
      </w:r>
      <w:proofErr w:type="spellStart"/>
      <w:r w:rsidRPr="00353B3F">
        <w:rPr>
          <w:rFonts w:ascii="Verdana" w:hAnsi="Verdana"/>
          <w:i/>
          <w:sz w:val="16"/>
          <w:szCs w:val="16"/>
          <w:lang w:val="en-US"/>
        </w:rPr>
        <w:t>Moiwana</w:t>
      </w:r>
      <w:proofErr w:type="spellEnd"/>
      <w:r w:rsidRPr="00353B3F">
        <w:rPr>
          <w:rFonts w:ascii="Verdana" w:hAnsi="Verdana"/>
          <w:i/>
          <w:sz w:val="16"/>
          <w:szCs w:val="16"/>
          <w:lang w:val="en-US"/>
        </w:rPr>
        <w:t xml:space="preserve"> Community v. Suriname. Preliminary objections, merits, reparations and costs. </w:t>
      </w:r>
      <w:r w:rsidRPr="00353B3F">
        <w:rPr>
          <w:rFonts w:ascii="Verdana" w:hAnsi="Verdana"/>
          <w:sz w:val="16"/>
          <w:szCs w:val="16"/>
          <w:lang w:val="en-US"/>
        </w:rPr>
        <w:t>Judgment of June 15, 2005. Series C No. 124, para. 145.</w:t>
      </w:r>
    </w:p>
  </w:footnote>
  <w:footnote w:id="28">
    <w:p w14:paraId="3957C30D" w14:textId="4BB49840" w:rsidR="00DB19E8" w:rsidRPr="00353B3F" w:rsidRDefault="00DB19E8" w:rsidP="004B4C69">
      <w:pPr>
        <w:pStyle w:val="FootnoteText"/>
        <w:spacing w:after="60"/>
        <w:jc w:val="both"/>
        <w:rPr>
          <w:rFonts w:ascii="Verdana" w:hAnsi="Verdana"/>
          <w:sz w:val="16"/>
          <w:szCs w:val="16"/>
          <w:lang w:val="en-US"/>
        </w:rPr>
      </w:pPr>
      <w:r w:rsidRPr="00353B3F">
        <w:rPr>
          <w:rStyle w:val="FootnoteReference"/>
          <w:rFonts w:ascii="Verdana" w:hAnsi="Verdana"/>
          <w:sz w:val="16"/>
          <w:szCs w:val="16"/>
          <w:lang w:val="en-US"/>
        </w:rPr>
        <w:footnoteRef/>
      </w:r>
      <w:r w:rsidRPr="00353B3F">
        <w:rPr>
          <w:rFonts w:ascii="Verdana" w:hAnsi="Verdana"/>
          <w:sz w:val="16"/>
          <w:szCs w:val="16"/>
          <w:lang w:val="en-US"/>
        </w:rPr>
        <w:t xml:space="preserve"> </w:t>
      </w:r>
      <w:r w:rsidRPr="00353B3F">
        <w:rPr>
          <w:rFonts w:ascii="Verdana" w:hAnsi="Verdana"/>
          <w:sz w:val="16"/>
          <w:szCs w:val="16"/>
          <w:lang w:val="en-US"/>
        </w:rPr>
        <w:tab/>
      </w:r>
      <w:r w:rsidRPr="00353B3F">
        <w:rPr>
          <w:rFonts w:ascii="Verdana" w:hAnsi="Verdana"/>
          <w:i/>
          <w:sz w:val="16"/>
          <w:szCs w:val="16"/>
          <w:lang w:val="en-US"/>
        </w:rPr>
        <w:t xml:space="preserve">Cf. Case of </w:t>
      </w:r>
      <w:proofErr w:type="spellStart"/>
      <w:r w:rsidRPr="00353B3F">
        <w:rPr>
          <w:rFonts w:ascii="Verdana" w:hAnsi="Verdana"/>
          <w:i/>
          <w:sz w:val="16"/>
          <w:szCs w:val="16"/>
          <w:lang w:val="en-US"/>
        </w:rPr>
        <w:t>Velásquez</w:t>
      </w:r>
      <w:proofErr w:type="spellEnd"/>
      <w:r w:rsidRPr="00353B3F">
        <w:rPr>
          <w:rFonts w:ascii="Verdana" w:hAnsi="Verdana"/>
          <w:i/>
          <w:sz w:val="16"/>
          <w:szCs w:val="16"/>
          <w:lang w:val="en-US"/>
        </w:rPr>
        <w:t xml:space="preserve"> Rodríguez v. Honduras. Merits.</w:t>
      </w:r>
      <w:r w:rsidRPr="00353B3F">
        <w:rPr>
          <w:rFonts w:ascii="Verdana" w:hAnsi="Verdana"/>
          <w:sz w:val="16"/>
          <w:szCs w:val="16"/>
          <w:lang w:val="en-US"/>
        </w:rPr>
        <w:t xml:space="preserve"> Judgment of July 29, 1988. Series C No. 4, para. 177; </w:t>
      </w:r>
      <w:r w:rsidRPr="00353B3F">
        <w:rPr>
          <w:rFonts w:ascii="Verdana" w:hAnsi="Verdana"/>
          <w:i/>
          <w:sz w:val="16"/>
          <w:szCs w:val="16"/>
          <w:lang w:val="en-US"/>
        </w:rPr>
        <w:t xml:space="preserve">Case of the </w:t>
      </w:r>
      <w:proofErr w:type="spellStart"/>
      <w:r w:rsidRPr="00353B3F">
        <w:rPr>
          <w:rFonts w:ascii="Verdana" w:hAnsi="Verdana"/>
          <w:i/>
          <w:sz w:val="16"/>
          <w:szCs w:val="16"/>
          <w:lang w:val="en-US"/>
        </w:rPr>
        <w:t>Moiwana</w:t>
      </w:r>
      <w:proofErr w:type="spellEnd"/>
      <w:r w:rsidRPr="00353B3F">
        <w:rPr>
          <w:rFonts w:ascii="Verdana" w:hAnsi="Verdana"/>
          <w:i/>
          <w:sz w:val="16"/>
          <w:szCs w:val="16"/>
          <w:lang w:val="en-US"/>
        </w:rPr>
        <w:t xml:space="preserve"> Community v. Suriname. Preliminary objections, merits, reparations and costs. </w:t>
      </w:r>
      <w:r w:rsidRPr="00353B3F">
        <w:rPr>
          <w:rFonts w:ascii="Verdana" w:hAnsi="Verdana"/>
          <w:sz w:val="16"/>
          <w:szCs w:val="16"/>
          <w:lang w:val="en-US"/>
        </w:rPr>
        <w:t xml:space="preserve">Judgment of June 15, 2005. Series C No. 124, para. 146, and </w:t>
      </w:r>
      <w:r w:rsidRPr="00353B3F">
        <w:rPr>
          <w:rFonts w:ascii="Verdana" w:hAnsi="Verdana"/>
          <w:i/>
          <w:sz w:val="16"/>
          <w:szCs w:val="16"/>
          <w:lang w:val="en-US"/>
        </w:rPr>
        <w:t>Case of V.R.P., V.P.C. et al. v. Nicaragua</w:t>
      </w:r>
      <w:r w:rsidRPr="00353B3F">
        <w:rPr>
          <w:rFonts w:ascii="Verdana" w:hAnsi="Verdana"/>
          <w:sz w:val="16"/>
          <w:szCs w:val="16"/>
          <w:lang w:val="en-US"/>
        </w:rPr>
        <w:t xml:space="preserve">. </w:t>
      </w:r>
      <w:r w:rsidRPr="00353B3F">
        <w:rPr>
          <w:rFonts w:ascii="Verdana" w:hAnsi="Verdana"/>
          <w:i/>
          <w:sz w:val="16"/>
          <w:szCs w:val="16"/>
          <w:lang w:val="en-US"/>
        </w:rPr>
        <w:t xml:space="preserve">Preliminary objections, merits, reparations and costs. </w:t>
      </w:r>
      <w:r w:rsidRPr="00353B3F">
        <w:rPr>
          <w:rFonts w:ascii="Verdana" w:hAnsi="Verdana"/>
          <w:sz w:val="16"/>
          <w:szCs w:val="16"/>
          <w:lang w:val="en-US"/>
        </w:rPr>
        <w:t xml:space="preserve">Judgment of March 8, 2018. Series C No. 350, para. 151. See also, </w:t>
      </w:r>
      <w:r w:rsidRPr="00353B3F">
        <w:rPr>
          <w:rFonts w:ascii="Verdana" w:hAnsi="Verdana"/>
          <w:i/>
          <w:sz w:val="16"/>
          <w:szCs w:val="16"/>
          <w:lang w:val="en-US"/>
        </w:rPr>
        <w:t xml:space="preserve">Case of </w:t>
      </w:r>
      <w:proofErr w:type="spellStart"/>
      <w:r w:rsidRPr="00353B3F">
        <w:rPr>
          <w:rFonts w:ascii="Verdana" w:hAnsi="Verdana"/>
          <w:i/>
          <w:sz w:val="16"/>
          <w:szCs w:val="16"/>
          <w:lang w:val="en-US"/>
        </w:rPr>
        <w:t>Kawas</w:t>
      </w:r>
      <w:proofErr w:type="spellEnd"/>
      <w:r w:rsidRPr="00353B3F">
        <w:rPr>
          <w:rFonts w:ascii="Verdana" w:hAnsi="Verdana"/>
          <w:i/>
          <w:sz w:val="16"/>
          <w:szCs w:val="16"/>
          <w:lang w:val="en-US"/>
        </w:rPr>
        <w:t xml:space="preserve"> </w:t>
      </w:r>
      <w:proofErr w:type="spellStart"/>
      <w:r w:rsidRPr="00353B3F">
        <w:rPr>
          <w:rFonts w:ascii="Verdana" w:hAnsi="Verdana"/>
          <w:i/>
          <w:sz w:val="16"/>
          <w:szCs w:val="16"/>
          <w:lang w:val="en-US"/>
        </w:rPr>
        <w:t>Fernández</w:t>
      </w:r>
      <w:proofErr w:type="spellEnd"/>
      <w:r w:rsidRPr="00353B3F">
        <w:rPr>
          <w:rFonts w:ascii="Verdana" w:hAnsi="Verdana"/>
          <w:i/>
          <w:sz w:val="16"/>
          <w:szCs w:val="16"/>
          <w:lang w:val="en-US"/>
        </w:rPr>
        <w:t xml:space="preserve"> and Case of Luna López v. Honduras. Monitoring compliance with judgment. </w:t>
      </w:r>
      <w:r w:rsidRPr="00353B3F">
        <w:rPr>
          <w:rFonts w:ascii="Verdana" w:hAnsi="Verdana"/>
          <w:sz w:val="16"/>
          <w:szCs w:val="16"/>
          <w:lang w:val="en-US"/>
        </w:rPr>
        <w:t xml:space="preserve">Order of the Inter-American Court of Human Rights of August 30, 2017, </w:t>
      </w:r>
      <w:r w:rsidRPr="00353B3F">
        <w:rPr>
          <w:rFonts w:ascii="Verdana" w:hAnsi="Verdana"/>
          <w:i/>
          <w:sz w:val="16"/>
          <w:szCs w:val="16"/>
          <w:lang w:val="en-US"/>
        </w:rPr>
        <w:t xml:space="preserve">considerandum </w:t>
      </w:r>
      <w:r w:rsidRPr="00353B3F">
        <w:rPr>
          <w:rFonts w:ascii="Verdana" w:hAnsi="Verdana"/>
          <w:sz w:val="16"/>
          <w:szCs w:val="16"/>
          <w:lang w:val="en-US"/>
        </w:rPr>
        <w:t xml:space="preserve">50. </w:t>
      </w:r>
    </w:p>
  </w:footnote>
  <w:footnote w:id="29">
    <w:p w14:paraId="76E28EF4" w14:textId="05BD4437" w:rsidR="00DB19E8" w:rsidRPr="00353B3F" w:rsidRDefault="00DB19E8" w:rsidP="004B4C69">
      <w:pPr>
        <w:pStyle w:val="FootnoteText"/>
        <w:spacing w:after="60"/>
        <w:jc w:val="both"/>
        <w:rPr>
          <w:rFonts w:ascii="Verdana" w:hAnsi="Verdana"/>
          <w:sz w:val="16"/>
          <w:szCs w:val="16"/>
          <w:lang w:val="en-US"/>
        </w:rPr>
      </w:pPr>
      <w:r w:rsidRPr="00353B3F">
        <w:rPr>
          <w:rStyle w:val="FootnoteReference"/>
          <w:rFonts w:ascii="Verdana" w:hAnsi="Verdana"/>
          <w:sz w:val="16"/>
          <w:szCs w:val="16"/>
          <w:lang w:val="en-US"/>
        </w:rPr>
        <w:footnoteRef/>
      </w:r>
      <w:r w:rsidRPr="004B4C69">
        <w:rPr>
          <w:rFonts w:ascii="Verdana" w:hAnsi="Verdana"/>
          <w:sz w:val="16"/>
          <w:szCs w:val="16"/>
        </w:rPr>
        <w:t xml:space="preserve"> </w:t>
      </w:r>
      <w:r w:rsidRPr="004B4C69">
        <w:rPr>
          <w:rFonts w:ascii="Verdana" w:hAnsi="Verdana"/>
          <w:sz w:val="16"/>
          <w:szCs w:val="16"/>
        </w:rPr>
        <w:tab/>
      </w:r>
      <w:r w:rsidRPr="004B4C69">
        <w:rPr>
          <w:rFonts w:ascii="Verdana" w:hAnsi="Verdana"/>
          <w:i/>
          <w:sz w:val="16"/>
          <w:szCs w:val="16"/>
        </w:rPr>
        <w:t>Cf. Case of Velásquez Rodríguez v. Honduras</w:t>
      </w:r>
      <w:r w:rsidRPr="004B4C69">
        <w:rPr>
          <w:rFonts w:ascii="Verdana" w:hAnsi="Verdana"/>
          <w:sz w:val="16"/>
          <w:szCs w:val="16"/>
        </w:rPr>
        <w:t xml:space="preserve"> supra </w:t>
      </w:r>
      <w:proofErr w:type="spellStart"/>
      <w:r w:rsidRPr="004B4C69">
        <w:rPr>
          <w:rFonts w:ascii="Verdana" w:hAnsi="Verdana"/>
          <w:sz w:val="16"/>
          <w:szCs w:val="16"/>
        </w:rPr>
        <w:t>footnote</w:t>
      </w:r>
      <w:proofErr w:type="spellEnd"/>
      <w:r w:rsidRPr="004B4C69">
        <w:rPr>
          <w:rFonts w:ascii="Verdana" w:hAnsi="Verdana"/>
          <w:sz w:val="16"/>
          <w:szCs w:val="16"/>
        </w:rPr>
        <w:t xml:space="preserve"> 27, para. </w:t>
      </w:r>
      <w:r w:rsidRPr="00353B3F">
        <w:rPr>
          <w:rFonts w:ascii="Verdana" w:hAnsi="Verdana"/>
          <w:sz w:val="16"/>
          <w:szCs w:val="16"/>
          <w:lang w:val="en-US"/>
        </w:rPr>
        <w:t xml:space="preserve">177; </w:t>
      </w:r>
      <w:r w:rsidRPr="00353B3F">
        <w:rPr>
          <w:rFonts w:ascii="Verdana" w:hAnsi="Verdana"/>
          <w:i/>
          <w:sz w:val="16"/>
          <w:szCs w:val="16"/>
          <w:lang w:val="en-US"/>
        </w:rPr>
        <w:t xml:space="preserve">Case of the </w:t>
      </w:r>
      <w:proofErr w:type="spellStart"/>
      <w:r w:rsidRPr="00353B3F">
        <w:rPr>
          <w:rFonts w:ascii="Verdana" w:hAnsi="Verdana"/>
          <w:i/>
          <w:sz w:val="16"/>
          <w:szCs w:val="16"/>
          <w:lang w:val="en-US"/>
        </w:rPr>
        <w:t>Moiwana</w:t>
      </w:r>
      <w:proofErr w:type="spellEnd"/>
      <w:r w:rsidRPr="00353B3F">
        <w:rPr>
          <w:rFonts w:ascii="Verdana" w:hAnsi="Verdana"/>
          <w:i/>
          <w:sz w:val="16"/>
          <w:szCs w:val="16"/>
          <w:lang w:val="en-US"/>
        </w:rPr>
        <w:t xml:space="preserve"> Community v. Suriname. Preliminary objections, merits, reparations and costs. </w:t>
      </w:r>
      <w:r w:rsidRPr="00353B3F">
        <w:rPr>
          <w:rFonts w:ascii="Verdana" w:hAnsi="Verdana"/>
          <w:sz w:val="16"/>
          <w:szCs w:val="16"/>
          <w:lang w:val="en-US"/>
        </w:rPr>
        <w:t xml:space="preserve">Judgment of June 15, 2005. Series C No. 124, para. 146, and </w:t>
      </w:r>
      <w:r w:rsidRPr="00353B3F">
        <w:rPr>
          <w:rFonts w:ascii="Verdana" w:hAnsi="Verdana"/>
          <w:i/>
          <w:sz w:val="16"/>
          <w:szCs w:val="16"/>
          <w:lang w:val="en-US"/>
        </w:rPr>
        <w:t>Case of V.R.P., V.P.C. et al. v. Nicaragua,</w:t>
      </w:r>
      <w:r w:rsidRPr="00353B3F">
        <w:rPr>
          <w:rFonts w:ascii="Verdana" w:hAnsi="Verdana"/>
          <w:sz w:val="16"/>
          <w:szCs w:val="16"/>
          <w:lang w:val="en-US"/>
        </w:rPr>
        <w:t xml:space="preserve"> supra footnote 27, para. 151. See also, </w:t>
      </w:r>
      <w:r w:rsidRPr="00353B3F">
        <w:rPr>
          <w:rFonts w:ascii="Verdana" w:hAnsi="Verdana"/>
          <w:i/>
          <w:sz w:val="16"/>
          <w:szCs w:val="16"/>
          <w:lang w:val="en-US"/>
        </w:rPr>
        <w:t xml:space="preserve">Case of </w:t>
      </w:r>
      <w:proofErr w:type="spellStart"/>
      <w:r w:rsidRPr="00353B3F">
        <w:rPr>
          <w:rFonts w:ascii="Verdana" w:hAnsi="Verdana"/>
          <w:i/>
          <w:sz w:val="16"/>
          <w:szCs w:val="16"/>
          <w:lang w:val="en-US"/>
        </w:rPr>
        <w:t>Kawas</w:t>
      </w:r>
      <w:proofErr w:type="spellEnd"/>
      <w:r w:rsidRPr="00353B3F">
        <w:rPr>
          <w:rFonts w:ascii="Verdana" w:hAnsi="Verdana"/>
          <w:i/>
          <w:sz w:val="16"/>
          <w:szCs w:val="16"/>
          <w:lang w:val="en-US"/>
        </w:rPr>
        <w:t xml:space="preserve"> </w:t>
      </w:r>
      <w:proofErr w:type="spellStart"/>
      <w:r w:rsidRPr="00353B3F">
        <w:rPr>
          <w:rFonts w:ascii="Verdana" w:hAnsi="Verdana"/>
          <w:i/>
          <w:sz w:val="16"/>
          <w:szCs w:val="16"/>
          <w:lang w:val="en-US"/>
        </w:rPr>
        <w:t>Fernández</w:t>
      </w:r>
      <w:proofErr w:type="spellEnd"/>
      <w:r w:rsidRPr="00353B3F">
        <w:rPr>
          <w:rFonts w:ascii="Verdana" w:hAnsi="Verdana"/>
          <w:i/>
          <w:sz w:val="16"/>
          <w:szCs w:val="16"/>
          <w:lang w:val="en-US"/>
        </w:rPr>
        <w:t xml:space="preserve"> and Case of Luna López v. Honduras. Monitoring compliance with judgment. </w:t>
      </w:r>
      <w:r w:rsidRPr="00353B3F">
        <w:rPr>
          <w:rFonts w:ascii="Verdana" w:hAnsi="Verdana"/>
          <w:sz w:val="16"/>
          <w:szCs w:val="16"/>
          <w:lang w:val="en-US"/>
        </w:rPr>
        <w:t xml:space="preserve">Order of the Inter-American Court of Human Rights of August 30, 2017, </w:t>
      </w:r>
      <w:r w:rsidRPr="00353B3F">
        <w:rPr>
          <w:rFonts w:ascii="Verdana" w:hAnsi="Verdana"/>
          <w:i/>
          <w:sz w:val="16"/>
          <w:szCs w:val="16"/>
          <w:lang w:val="en-US"/>
        </w:rPr>
        <w:t xml:space="preserve">considerandum </w:t>
      </w:r>
      <w:r w:rsidRPr="00353B3F">
        <w:rPr>
          <w:rFonts w:ascii="Verdana" w:hAnsi="Verdana"/>
          <w:sz w:val="16"/>
          <w:szCs w:val="16"/>
          <w:lang w:val="en-US"/>
        </w:rPr>
        <w:t>50.</w:t>
      </w:r>
    </w:p>
  </w:footnote>
  <w:footnote w:id="30">
    <w:p w14:paraId="6C93208C" w14:textId="5BFB8DD5" w:rsidR="00DB19E8" w:rsidRPr="00353B3F" w:rsidRDefault="00DB19E8" w:rsidP="004B4C69">
      <w:pPr>
        <w:pStyle w:val="FootnoteText"/>
        <w:spacing w:after="60"/>
        <w:jc w:val="both"/>
        <w:rPr>
          <w:rFonts w:ascii="Verdana" w:hAnsi="Verdana"/>
          <w:sz w:val="16"/>
          <w:szCs w:val="16"/>
          <w:lang w:val="en-US"/>
        </w:rPr>
      </w:pPr>
      <w:r w:rsidRPr="00353B3F">
        <w:rPr>
          <w:rStyle w:val="FootnoteReference"/>
          <w:rFonts w:ascii="Verdana" w:hAnsi="Verdana"/>
          <w:sz w:val="16"/>
          <w:szCs w:val="16"/>
          <w:lang w:val="en-US"/>
        </w:rPr>
        <w:footnoteRef/>
      </w:r>
      <w:r w:rsidRPr="004B4C69">
        <w:rPr>
          <w:rFonts w:ascii="Verdana" w:hAnsi="Verdana"/>
          <w:sz w:val="16"/>
          <w:szCs w:val="16"/>
        </w:rPr>
        <w:t xml:space="preserve"> </w:t>
      </w:r>
      <w:r w:rsidRPr="004B4C69">
        <w:rPr>
          <w:rFonts w:ascii="Verdana" w:hAnsi="Verdana"/>
          <w:sz w:val="16"/>
          <w:szCs w:val="16"/>
        </w:rPr>
        <w:tab/>
      </w:r>
      <w:r w:rsidRPr="004B4C69">
        <w:rPr>
          <w:rFonts w:ascii="Verdana" w:hAnsi="Verdana"/>
          <w:i/>
          <w:sz w:val="16"/>
          <w:szCs w:val="16"/>
        </w:rPr>
        <w:t xml:space="preserve">Cf. Case of El Caracazo v. Venezuela. </w:t>
      </w:r>
      <w:r w:rsidRPr="00353B3F">
        <w:rPr>
          <w:rFonts w:ascii="Verdana" w:hAnsi="Verdana"/>
          <w:i/>
          <w:sz w:val="16"/>
          <w:szCs w:val="16"/>
          <w:lang w:val="en-US"/>
        </w:rPr>
        <w:t>Reparations and costs</w:t>
      </w:r>
      <w:r w:rsidRPr="00353B3F">
        <w:rPr>
          <w:rFonts w:ascii="Verdana" w:hAnsi="Verdana"/>
          <w:sz w:val="16"/>
          <w:szCs w:val="16"/>
          <w:lang w:val="en-US"/>
        </w:rPr>
        <w:t xml:space="preserve">. Judgment of August 29, 2002. Series C No. 95, para. 118; </w:t>
      </w:r>
      <w:r w:rsidRPr="00353B3F">
        <w:rPr>
          <w:rFonts w:ascii="Verdana" w:hAnsi="Verdana"/>
          <w:i/>
          <w:sz w:val="16"/>
          <w:szCs w:val="16"/>
          <w:lang w:val="en-US"/>
        </w:rPr>
        <w:t xml:space="preserve">Case of the </w:t>
      </w:r>
      <w:proofErr w:type="spellStart"/>
      <w:r w:rsidRPr="00353B3F">
        <w:rPr>
          <w:rFonts w:ascii="Verdana" w:hAnsi="Verdana"/>
          <w:i/>
          <w:sz w:val="16"/>
          <w:szCs w:val="16"/>
          <w:lang w:val="en-US"/>
        </w:rPr>
        <w:t>Moiwana</w:t>
      </w:r>
      <w:proofErr w:type="spellEnd"/>
      <w:r w:rsidRPr="00353B3F">
        <w:rPr>
          <w:rFonts w:ascii="Verdana" w:hAnsi="Verdana"/>
          <w:i/>
          <w:sz w:val="16"/>
          <w:szCs w:val="16"/>
          <w:lang w:val="en-US"/>
        </w:rPr>
        <w:t xml:space="preserve"> Community v. Suriname. Preliminary objections, merits, reparations and costs. </w:t>
      </w:r>
      <w:r w:rsidRPr="00353B3F">
        <w:rPr>
          <w:rFonts w:ascii="Verdana" w:hAnsi="Verdana"/>
          <w:sz w:val="16"/>
          <w:szCs w:val="16"/>
          <w:lang w:val="en-US"/>
        </w:rPr>
        <w:t xml:space="preserve">Judgment of June 15, 2005. Series C No. 124, para. 147, and </w:t>
      </w:r>
      <w:r w:rsidRPr="00353B3F">
        <w:rPr>
          <w:rFonts w:ascii="Verdana" w:hAnsi="Verdana"/>
          <w:i/>
          <w:sz w:val="16"/>
          <w:szCs w:val="16"/>
          <w:lang w:val="en-US"/>
        </w:rPr>
        <w:t>Case of Ortiz Hernández et al. v. Venezuela</w:t>
      </w:r>
      <w:r w:rsidRPr="00353B3F">
        <w:rPr>
          <w:rFonts w:ascii="Verdana" w:hAnsi="Verdana"/>
          <w:sz w:val="16"/>
          <w:szCs w:val="16"/>
          <w:lang w:val="en-US"/>
        </w:rPr>
        <w:t xml:space="preserve">. </w:t>
      </w:r>
      <w:r w:rsidRPr="00353B3F">
        <w:rPr>
          <w:rFonts w:ascii="Verdana" w:hAnsi="Verdana"/>
          <w:i/>
          <w:sz w:val="16"/>
          <w:szCs w:val="16"/>
          <w:lang w:val="en-US"/>
        </w:rPr>
        <w:t xml:space="preserve">Merits, reparations and costs. </w:t>
      </w:r>
      <w:r w:rsidRPr="00353B3F">
        <w:rPr>
          <w:rFonts w:ascii="Verdana" w:hAnsi="Verdana"/>
          <w:sz w:val="16"/>
          <w:szCs w:val="16"/>
          <w:lang w:val="en-US"/>
        </w:rPr>
        <w:t xml:space="preserve">Judgment of August 22, 2017. Series C No. 338, para. 193. See also, </w:t>
      </w:r>
      <w:r w:rsidRPr="00353B3F">
        <w:rPr>
          <w:rFonts w:ascii="Verdana" w:hAnsi="Verdana"/>
          <w:i/>
          <w:sz w:val="16"/>
          <w:szCs w:val="16"/>
          <w:lang w:val="en-US"/>
        </w:rPr>
        <w:t xml:space="preserve">Case of </w:t>
      </w:r>
      <w:proofErr w:type="spellStart"/>
      <w:r w:rsidRPr="00353B3F">
        <w:rPr>
          <w:rFonts w:ascii="Verdana" w:hAnsi="Verdana"/>
          <w:i/>
          <w:sz w:val="16"/>
          <w:szCs w:val="16"/>
          <w:lang w:val="en-US"/>
        </w:rPr>
        <w:t>Kawas</w:t>
      </w:r>
      <w:proofErr w:type="spellEnd"/>
      <w:r w:rsidRPr="00353B3F">
        <w:rPr>
          <w:rFonts w:ascii="Verdana" w:hAnsi="Verdana"/>
          <w:i/>
          <w:sz w:val="16"/>
          <w:szCs w:val="16"/>
          <w:lang w:val="en-US"/>
        </w:rPr>
        <w:t xml:space="preserve"> </w:t>
      </w:r>
      <w:proofErr w:type="spellStart"/>
      <w:r w:rsidRPr="00353B3F">
        <w:rPr>
          <w:rFonts w:ascii="Verdana" w:hAnsi="Verdana"/>
          <w:i/>
          <w:sz w:val="16"/>
          <w:szCs w:val="16"/>
          <w:lang w:val="en-US"/>
        </w:rPr>
        <w:t>Fernández</w:t>
      </w:r>
      <w:proofErr w:type="spellEnd"/>
      <w:r w:rsidRPr="00353B3F">
        <w:rPr>
          <w:rFonts w:ascii="Verdana" w:hAnsi="Verdana"/>
          <w:i/>
          <w:sz w:val="16"/>
          <w:szCs w:val="16"/>
          <w:lang w:val="en-US"/>
        </w:rPr>
        <w:t xml:space="preserve"> and Case of Luna López v. Honduras. Monitoring compliance with judgment. </w:t>
      </w:r>
      <w:r w:rsidRPr="00353B3F">
        <w:rPr>
          <w:rFonts w:ascii="Verdana" w:hAnsi="Verdana"/>
          <w:sz w:val="16"/>
          <w:szCs w:val="16"/>
          <w:lang w:val="en-US"/>
        </w:rPr>
        <w:t xml:space="preserve">Order of the Inter-American Court of Human Rights of August 30, 2017, </w:t>
      </w:r>
      <w:r w:rsidRPr="00353B3F">
        <w:rPr>
          <w:rFonts w:ascii="Verdana" w:hAnsi="Verdana"/>
          <w:i/>
          <w:sz w:val="16"/>
          <w:szCs w:val="16"/>
          <w:lang w:val="en-US"/>
        </w:rPr>
        <w:t xml:space="preserve">considerandum </w:t>
      </w:r>
      <w:r w:rsidRPr="00353B3F">
        <w:rPr>
          <w:rFonts w:ascii="Verdana" w:hAnsi="Verdana"/>
          <w:sz w:val="16"/>
          <w:szCs w:val="16"/>
          <w:lang w:val="en-US"/>
        </w:rPr>
        <w:t>50.</w:t>
      </w:r>
    </w:p>
  </w:footnote>
  <w:footnote w:id="31">
    <w:p w14:paraId="63548914" w14:textId="1B183BB6" w:rsidR="00DB19E8" w:rsidRPr="00353B3F" w:rsidRDefault="00DB19E8" w:rsidP="004B4C69">
      <w:pPr>
        <w:pStyle w:val="FootnoteText"/>
        <w:spacing w:after="60"/>
        <w:jc w:val="both"/>
        <w:rPr>
          <w:lang w:val="en-US"/>
        </w:rPr>
      </w:pPr>
      <w:r w:rsidRPr="00353B3F">
        <w:rPr>
          <w:rStyle w:val="FootnoteReference"/>
          <w:rFonts w:ascii="Verdana" w:hAnsi="Verdana"/>
          <w:sz w:val="16"/>
          <w:szCs w:val="16"/>
          <w:lang w:val="en-US"/>
        </w:rPr>
        <w:footnoteRef/>
      </w:r>
      <w:r w:rsidRPr="00353B3F">
        <w:rPr>
          <w:rFonts w:ascii="Verdana" w:hAnsi="Verdana"/>
          <w:sz w:val="16"/>
          <w:szCs w:val="16"/>
          <w:lang w:val="en-US"/>
        </w:rPr>
        <w:t xml:space="preserve"> </w:t>
      </w:r>
      <w:r w:rsidRPr="00353B3F">
        <w:rPr>
          <w:rFonts w:ascii="Verdana" w:hAnsi="Verdana"/>
          <w:sz w:val="16"/>
          <w:szCs w:val="16"/>
          <w:lang w:val="en-US"/>
        </w:rPr>
        <w:tab/>
      </w:r>
      <w:r w:rsidRPr="00353B3F">
        <w:rPr>
          <w:rFonts w:ascii="Verdana" w:hAnsi="Verdana"/>
          <w:i/>
          <w:sz w:val="16"/>
          <w:szCs w:val="16"/>
          <w:lang w:val="en-US"/>
        </w:rPr>
        <w:t>Cf. Case of Juan Humberto Sánchez v. Honduras. Preliminary objection, merits, reparations and costs</w:t>
      </w:r>
      <w:r w:rsidRPr="00353B3F">
        <w:rPr>
          <w:rFonts w:ascii="Verdana" w:hAnsi="Verdana"/>
          <w:sz w:val="16"/>
          <w:szCs w:val="16"/>
          <w:lang w:val="en-US"/>
        </w:rPr>
        <w:t xml:space="preserve">. Judgment of June 7, 2003. Series C No. 99, para. 127; </w:t>
      </w:r>
      <w:r w:rsidRPr="00353B3F">
        <w:rPr>
          <w:rFonts w:ascii="Verdana" w:hAnsi="Verdana"/>
          <w:i/>
          <w:sz w:val="16"/>
          <w:szCs w:val="16"/>
          <w:lang w:val="en-US"/>
        </w:rPr>
        <w:t xml:space="preserve">Case of the </w:t>
      </w:r>
      <w:proofErr w:type="spellStart"/>
      <w:r w:rsidRPr="00353B3F">
        <w:rPr>
          <w:rFonts w:ascii="Verdana" w:hAnsi="Verdana"/>
          <w:i/>
          <w:sz w:val="16"/>
          <w:szCs w:val="16"/>
          <w:lang w:val="en-US"/>
        </w:rPr>
        <w:t>Moiwana</w:t>
      </w:r>
      <w:proofErr w:type="spellEnd"/>
      <w:r w:rsidRPr="00353B3F">
        <w:rPr>
          <w:rFonts w:ascii="Verdana" w:hAnsi="Verdana"/>
          <w:i/>
          <w:sz w:val="16"/>
          <w:szCs w:val="16"/>
          <w:lang w:val="en-US"/>
        </w:rPr>
        <w:t xml:space="preserve"> Community v. Suriname. Preliminary objections, merits, reparations and costs. </w:t>
      </w:r>
      <w:r w:rsidRPr="00353B3F">
        <w:rPr>
          <w:rFonts w:ascii="Verdana" w:hAnsi="Verdana"/>
          <w:sz w:val="16"/>
          <w:szCs w:val="16"/>
          <w:lang w:val="en-US"/>
        </w:rPr>
        <w:t xml:space="preserve">Judgment of June 15, 2005. Series C No. 124, para. 147, and </w:t>
      </w:r>
      <w:r w:rsidRPr="00353B3F">
        <w:rPr>
          <w:rFonts w:ascii="Verdana" w:hAnsi="Verdana"/>
          <w:i/>
          <w:sz w:val="16"/>
          <w:szCs w:val="16"/>
          <w:lang w:val="en-US"/>
        </w:rPr>
        <w:t xml:space="preserve">Case of Carvajal </w:t>
      </w:r>
      <w:proofErr w:type="spellStart"/>
      <w:r w:rsidRPr="00353B3F">
        <w:rPr>
          <w:rFonts w:ascii="Verdana" w:hAnsi="Verdana"/>
          <w:i/>
          <w:sz w:val="16"/>
          <w:szCs w:val="16"/>
          <w:lang w:val="en-US"/>
        </w:rPr>
        <w:t>Carvajal</w:t>
      </w:r>
      <w:proofErr w:type="spellEnd"/>
      <w:r w:rsidRPr="00353B3F">
        <w:rPr>
          <w:rFonts w:ascii="Verdana" w:hAnsi="Verdana"/>
          <w:i/>
          <w:sz w:val="16"/>
          <w:szCs w:val="16"/>
          <w:lang w:val="en-US"/>
        </w:rPr>
        <w:t xml:space="preserve"> et al. v. Colombia. Merits, reparations and costs. </w:t>
      </w:r>
      <w:r w:rsidRPr="00353B3F">
        <w:rPr>
          <w:rFonts w:ascii="Verdana" w:hAnsi="Verdana"/>
          <w:sz w:val="16"/>
          <w:szCs w:val="16"/>
          <w:lang w:val="en-US"/>
        </w:rPr>
        <w:t xml:space="preserve">Judgment of March 13, 2018. Series C No. 352, para. 102. See also, </w:t>
      </w:r>
      <w:r w:rsidRPr="00353B3F">
        <w:rPr>
          <w:rFonts w:ascii="Verdana" w:hAnsi="Verdana"/>
          <w:i/>
          <w:sz w:val="16"/>
          <w:szCs w:val="16"/>
          <w:lang w:val="en-US"/>
        </w:rPr>
        <w:t xml:space="preserve">Case of </w:t>
      </w:r>
      <w:proofErr w:type="spellStart"/>
      <w:r w:rsidRPr="00353B3F">
        <w:rPr>
          <w:rFonts w:ascii="Verdana" w:hAnsi="Verdana"/>
          <w:i/>
          <w:sz w:val="16"/>
          <w:szCs w:val="16"/>
          <w:lang w:val="en-US"/>
        </w:rPr>
        <w:t>Kawas</w:t>
      </w:r>
      <w:proofErr w:type="spellEnd"/>
      <w:r w:rsidRPr="00353B3F">
        <w:rPr>
          <w:rFonts w:ascii="Verdana" w:hAnsi="Verdana"/>
          <w:i/>
          <w:sz w:val="16"/>
          <w:szCs w:val="16"/>
          <w:lang w:val="en-US"/>
        </w:rPr>
        <w:t xml:space="preserve"> </w:t>
      </w:r>
      <w:proofErr w:type="spellStart"/>
      <w:r w:rsidRPr="00353B3F">
        <w:rPr>
          <w:rFonts w:ascii="Verdana" w:hAnsi="Verdana"/>
          <w:i/>
          <w:sz w:val="16"/>
          <w:szCs w:val="16"/>
          <w:lang w:val="en-US"/>
        </w:rPr>
        <w:t>Fernández</w:t>
      </w:r>
      <w:proofErr w:type="spellEnd"/>
      <w:r w:rsidRPr="00353B3F">
        <w:rPr>
          <w:rFonts w:ascii="Verdana" w:hAnsi="Verdana"/>
          <w:i/>
          <w:sz w:val="16"/>
          <w:szCs w:val="16"/>
          <w:lang w:val="en-US"/>
        </w:rPr>
        <w:t xml:space="preserve"> and Luna López v. Honduras. Monitoring compliance with judgment. </w:t>
      </w:r>
      <w:r w:rsidRPr="00353B3F">
        <w:rPr>
          <w:rFonts w:ascii="Verdana" w:hAnsi="Verdana"/>
          <w:sz w:val="16"/>
          <w:szCs w:val="16"/>
          <w:lang w:val="en-US"/>
        </w:rPr>
        <w:t xml:space="preserve">Order of the Inter-American Court of Human Rights of August 30, 2017, </w:t>
      </w:r>
      <w:r w:rsidRPr="00353B3F">
        <w:rPr>
          <w:rFonts w:ascii="Verdana" w:hAnsi="Verdana"/>
          <w:i/>
          <w:sz w:val="16"/>
          <w:szCs w:val="16"/>
          <w:lang w:val="en-US"/>
        </w:rPr>
        <w:t xml:space="preserve">considerandum </w:t>
      </w:r>
      <w:r w:rsidRPr="00353B3F">
        <w:rPr>
          <w:rFonts w:ascii="Verdana" w:hAnsi="Verdana"/>
          <w:sz w:val="16"/>
          <w:szCs w:val="16"/>
          <w:lang w:val="en-US"/>
        </w:rPr>
        <w:t>50.</w:t>
      </w:r>
    </w:p>
  </w:footnote>
  <w:footnote w:id="32">
    <w:p w14:paraId="3D1BA599" w14:textId="22B12756" w:rsidR="00DB19E8" w:rsidRPr="00353B3F" w:rsidRDefault="00DB19E8" w:rsidP="004B4C69">
      <w:pPr>
        <w:pStyle w:val="FootnoteText"/>
        <w:spacing w:after="60"/>
        <w:jc w:val="both"/>
        <w:rPr>
          <w:rFonts w:ascii="Verdana" w:hAnsi="Verdana"/>
          <w:sz w:val="16"/>
          <w:szCs w:val="16"/>
          <w:lang w:val="en-US"/>
        </w:rPr>
      </w:pPr>
      <w:r w:rsidRPr="00353B3F">
        <w:rPr>
          <w:rStyle w:val="FootnoteReference"/>
          <w:rFonts w:ascii="Verdana" w:hAnsi="Verdana"/>
          <w:sz w:val="16"/>
          <w:szCs w:val="16"/>
          <w:lang w:val="en-US"/>
        </w:rPr>
        <w:footnoteRef/>
      </w:r>
      <w:r w:rsidRPr="004B4C69">
        <w:rPr>
          <w:rFonts w:ascii="Verdana" w:hAnsi="Verdana"/>
          <w:sz w:val="16"/>
          <w:szCs w:val="16"/>
        </w:rPr>
        <w:t xml:space="preserve"> </w:t>
      </w:r>
      <w:r w:rsidRPr="004B4C69">
        <w:rPr>
          <w:rFonts w:ascii="Verdana" w:hAnsi="Verdana"/>
          <w:sz w:val="16"/>
          <w:szCs w:val="16"/>
        </w:rPr>
        <w:tab/>
      </w:r>
      <w:r w:rsidRPr="004B4C69">
        <w:rPr>
          <w:rFonts w:ascii="Verdana" w:hAnsi="Verdana"/>
          <w:i/>
          <w:sz w:val="16"/>
          <w:szCs w:val="16"/>
        </w:rPr>
        <w:t>Cf. Case of Velásquez Rodríguez v. Honduras</w:t>
      </w:r>
      <w:r w:rsidRPr="004B4C69">
        <w:rPr>
          <w:rFonts w:ascii="Verdana" w:hAnsi="Verdana"/>
          <w:sz w:val="16"/>
          <w:szCs w:val="16"/>
        </w:rPr>
        <w:t xml:space="preserve"> supra </w:t>
      </w:r>
      <w:proofErr w:type="spellStart"/>
      <w:r w:rsidRPr="004B4C69">
        <w:rPr>
          <w:rFonts w:ascii="Verdana" w:hAnsi="Verdana"/>
          <w:sz w:val="16"/>
          <w:szCs w:val="16"/>
        </w:rPr>
        <w:t>footnote</w:t>
      </w:r>
      <w:proofErr w:type="spellEnd"/>
      <w:r w:rsidRPr="004B4C69">
        <w:rPr>
          <w:rFonts w:ascii="Verdana" w:hAnsi="Verdana"/>
          <w:sz w:val="16"/>
          <w:szCs w:val="16"/>
        </w:rPr>
        <w:t xml:space="preserve"> 25, para. </w:t>
      </w:r>
      <w:r w:rsidRPr="00353B3F">
        <w:rPr>
          <w:rFonts w:ascii="Verdana" w:hAnsi="Verdana"/>
          <w:sz w:val="16"/>
          <w:szCs w:val="16"/>
          <w:lang w:val="en-US"/>
        </w:rPr>
        <w:t xml:space="preserve">177 y </w:t>
      </w:r>
      <w:r w:rsidRPr="00353B3F">
        <w:rPr>
          <w:rFonts w:ascii="Verdana" w:hAnsi="Verdana"/>
          <w:i/>
          <w:sz w:val="16"/>
          <w:szCs w:val="16"/>
          <w:lang w:val="en-US"/>
        </w:rPr>
        <w:t xml:space="preserve">Case of Acosta et al. v. Nicaragua. Preliminary objections, merits, reparations and costs. </w:t>
      </w:r>
      <w:r w:rsidRPr="00353B3F">
        <w:rPr>
          <w:rFonts w:ascii="Verdana" w:hAnsi="Verdana"/>
          <w:sz w:val="16"/>
          <w:szCs w:val="16"/>
          <w:lang w:val="en-US"/>
        </w:rPr>
        <w:t xml:space="preserve">Judgment of </w:t>
      </w:r>
      <w:r>
        <w:rPr>
          <w:rFonts w:ascii="Verdana" w:hAnsi="Verdana"/>
          <w:sz w:val="16"/>
          <w:szCs w:val="16"/>
          <w:lang w:val="en-US"/>
        </w:rPr>
        <w:t>March 25,</w:t>
      </w:r>
      <w:r w:rsidRPr="00353B3F">
        <w:rPr>
          <w:rFonts w:ascii="Verdana" w:hAnsi="Verdana"/>
          <w:sz w:val="16"/>
          <w:szCs w:val="16"/>
          <w:lang w:val="en-US"/>
        </w:rPr>
        <w:t xml:space="preserve"> 2017. Series C No. 334, para. 136. See also, </w:t>
      </w:r>
      <w:r w:rsidRPr="00353B3F">
        <w:rPr>
          <w:rFonts w:ascii="Verdana" w:hAnsi="Verdana"/>
          <w:i/>
          <w:sz w:val="16"/>
          <w:szCs w:val="16"/>
          <w:lang w:val="en-US"/>
        </w:rPr>
        <w:t xml:space="preserve">Case of </w:t>
      </w:r>
      <w:proofErr w:type="spellStart"/>
      <w:r w:rsidRPr="00353B3F">
        <w:rPr>
          <w:rFonts w:ascii="Verdana" w:hAnsi="Verdana"/>
          <w:i/>
          <w:sz w:val="16"/>
          <w:szCs w:val="16"/>
          <w:lang w:val="en-US"/>
        </w:rPr>
        <w:t>Kawas</w:t>
      </w:r>
      <w:proofErr w:type="spellEnd"/>
      <w:r w:rsidRPr="00353B3F">
        <w:rPr>
          <w:rFonts w:ascii="Verdana" w:hAnsi="Verdana"/>
          <w:i/>
          <w:sz w:val="16"/>
          <w:szCs w:val="16"/>
          <w:lang w:val="en-US"/>
        </w:rPr>
        <w:t xml:space="preserve"> </w:t>
      </w:r>
      <w:proofErr w:type="spellStart"/>
      <w:r w:rsidRPr="00353B3F">
        <w:rPr>
          <w:rFonts w:ascii="Verdana" w:hAnsi="Verdana"/>
          <w:i/>
          <w:sz w:val="16"/>
          <w:szCs w:val="16"/>
          <w:lang w:val="en-US"/>
        </w:rPr>
        <w:t>Fernández</w:t>
      </w:r>
      <w:proofErr w:type="spellEnd"/>
      <w:r w:rsidRPr="00353B3F">
        <w:rPr>
          <w:rFonts w:ascii="Verdana" w:hAnsi="Verdana"/>
          <w:i/>
          <w:sz w:val="16"/>
          <w:szCs w:val="16"/>
          <w:lang w:val="en-US"/>
        </w:rPr>
        <w:t xml:space="preserve"> y Luna López v. Honduras. Monitoring compliance with judgment. </w:t>
      </w:r>
      <w:r w:rsidRPr="00353B3F">
        <w:rPr>
          <w:rFonts w:ascii="Verdana" w:hAnsi="Verdana"/>
          <w:sz w:val="16"/>
          <w:szCs w:val="16"/>
          <w:lang w:val="en-US"/>
        </w:rPr>
        <w:t xml:space="preserve">Order of the Inter-American Court of Human Rights of August 30, 2017, </w:t>
      </w:r>
      <w:r w:rsidRPr="00353B3F">
        <w:rPr>
          <w:rFonts w:ascii="Verdana" w:hAnsi="Verdana"/>
          <w:i/>
          <w:sz w:val="16"/>
          <w:szCs w:val="16"/>
          <w:lang w:val="en-US"/>
        </w:rPr>
        <w:t xml:space="preserve">considerandum </w:t>
      </w:r>
      <w:r w:rsidRPr="00353B3F">
        <w:rPr>
          <w:rFonts w:ascii="Verdana" w:hAnsi="Verdana"/>
          <w:sz w:val="16"/>
          <w:szCs w:val="16"/>
          <w:lang w:val="en-US"/>
        </w:rPr>
        <w:t xml:space="preserve">51. </w:t>
      </w:r>
    </w:p>
  </w:footnote>
  <w:footnote w:id="33">
    <w:p w14:paraId="68ACB68C" w14:textId="7C339262" w:rsidR="00DB19E8" w:rsidRPr="00353B3F" w:rsidRDefault="00DB19E8" w:rsidP="004B4C69">
      <w:pPr>
        <w:pStyle w:val="FootnoteText"/>
        <w:spacing w:after="60"/>
        <w:jc w:val="both"/>
        <w:rPr>
          <w:lang w:val="en-US"/>
        </w:rPr>
      </w:pPr>
      <w:r w:rsidRPr="00353B3F">
        <w:rPr>
          <w:rStyle w:val="FootnoteReference"/>
          <w:rFonts w:ascii="Verdana" w:hAnsi="Verdana"/>
          <w:sz w:val="16"/>
          <w:szCs w:val="16"/>
          <w:lang w:val="en-US"/>
        </w:rPr>
        <w:footnoteRef/>
      </w:r>
      <w:r w:rsidRPr="00353B3F">
        <w:rPr>
          <w:rFonts w:ascii="Verdana" w:hAnsi="Verdana"/>
          <w:sz w:val="16"/>
          <w:szCs w:val="16"/>
          <w:lang w:val="en-US"/>
        </w:rPr>
        <w:t xml:space="preserve"> </w:t>
      </w:r>
      <w:r w:rsidRPr="00353B3F">
        <w:rPr>
          <w:rFonts w:ascii="Verdana" w:hAnsi="Verdana"/>
          <w:sz w:val="16"/>
          <w:szCs w:val="16"/>
          <w:lang w:val="en-US"/>
        </w:rPr>
        <w:tab/>
      </w:r>
      <w:r w:rsidRPr="00353B3F">
        <w:rPr>
          <w:rFonts w:ascii="Verdana" w:hAnsi="Verdana"/>
          <w:i/>
          <w:sz w:val="16"/>
          <w:szCs w:val="16"/>
          <w:lang w:val="en-US"/>
        </w:rPr>
        <w:t>Cf. Case of Ibsen Cárdenas and Ibsen Peña v. Bolivia. Merits, reparations and costs.</w:t>
      </w:r>
      <w:r w:rsidRPr="00353B3F">
        <w:rPr>
          <w:rFonts w:ascii="Verdana" w:hAnsi="Verdana"/>
          <w:sz w:val="16"/>
          <w:szCs w:val="16"/>
          <w:lang w:val="en-US"/>
        </w:rPr>
        <w:t xml:space="preserve"> Judgment of September 1, 2010. Series C No. 217, para. 172, and </w:t>
      </w:r>
      <w:r w:rsidRPr="00353B3F">
        <w:rPr>
          <w:rFonts w:ascii="Verdana" w:hAnsi="Verdana"/>
          <w:i/>
          <w:sz w:val="16"/>
          <w:szCs w:val="16"/>
          <w:lang w:val="en-US"/>
        </w:rPr>
        <w:t>Case of Favela Nova Brasília v. Brazil. Preliminary objections, merits, reparations and costs.</w:t>
      </w:r>
      <w:r w:rsidRPr="00353B3F">
        <w:rPr>
          <w:rFonts w:ascii="Verdana" w:hAnsi="Verdana"/>
          <w:sz w:val="16"/>
          <w:szCs w:val="16"/>
          <w:lang w:val="en-US"/>
        </w:rPr>
        <w:t xml:space="preserve"> Judgment of February 16, 2017. Series C No. 333, para. 181. See also, </w:t>
      </w:r>
      <w:r w:rsidRPr="00353B3F">
        <w:rPr>
          <w:rFonts w:ascii="Verdana" w:hAnsi="Verdana"/>
          <w:i/>
          <w:sz w:val="16"/>
          <w:szCs w:val="16"/>
          <w:lang w:val="en-US"/>
        </w:rPr>
        <w:t xml:space="preserve">Case of </w:t>
      </w:r>
      <w:proofErr w:type="spellStart"/>
      <w:r w:rsidRPr="00353B3F">
        <w:rPr>
          <w:rFonts w:ascii="Verdana" w:hAnsi="Verdana"/>
          <w:i/>
          <w:sz w:val="16"/>
          <w:szCs w:val="16"/>
          <w:lang w:val="en-US"/>
        </w:rPr>
        <w:t>Kawas</w:t>
      </w:r>
      <w:proofErr w:type="spellEnd"/>
      <w:r w:rsidRPr="00353B3F">
        <w:rPr>
          <w:rFonts w:ascii="Verdana" w:hAnsi="Verdana"/>
          <w:i/>
          <w:sz w:val="16"/>
          <w:szCs w:val="16"/>
          <w:lang w:val="en-US"/>
        </w:rPr>
        <w:t xml:space="preserve"> </w:t>
      </w:r>
      <w:proofErr w:type="spellStart"/>
      <w:r w:rsidRPr="00353B3F">
        <w:rPr>
          <w:rFonts w:ascii="Verdana" w:hAnsi="Verdana"/>
          <w:i/>
          <w:sz w:val="16"/>
          <w:szCs w:val="16"/>
          <w:lang w:val="en-US"/>
        </w:rPr>
        <w:t>Fernández</w:t>
      </w:r>
      <w:proofErr w:type="spellEnd"/>
      <w:r w:rsidRPr="00353B3F">
        <w:rPr>
          <w:rFonts w:ascii="Verdana" w:hAnsi="Verdana"/>
          <w:i/>
          <w:sz w:val="16"/>
          <w:szCs w:val="16"/>
          <w:lang w:val="en-US"/>
        </w:rPr>
        <w:t xml:space="preserve"> and Luna López v. Honduras. Monitoring compliance with judgment. </w:t>
      </w:r>
      <w:r w:rsidRPr="00353B3F">
        <w:rPr>
          <w:rFonts w:ascii="Verdana" w:hAnsi="Verdana"/>
          <w:sz w:val="16"/>
          <w:szCs w:val="16"/>
          <w:lang w:val="en-US"/>
        </w:rPr>
        <w:t xml:space="preserve">Order of the Inter-American Court of Human Rights of August 30, 2017, </w:t>
      </w:r>
      <w:r w:rsidRPr="00353B3F">
        <w:rPr>
          <w:rFonts w:ascii="Verdana" w:hAnsi="Verdana"/>
          <w:i/>
          <w:sz w:val="16"/>
          <w:szCs w:val="16"/>
          <w:lang w:val="en-US"/>
        </w:rPr>
        <w:t xml:space="preserve">considerandum </w:t>
      </w:r>
      <w:r w:rsidRPr="00353B3F">
        <w:rPr>
          <w:rFonts w:ascii="Verdana" w:hAnsi="Verdana"/>
          <w:sz w:val="16"/>
          <w:szCs w:val="16"/>
          <w:lang w:val="en-US"/>
        </w:rPr>
        <w:t>51.</w:t>
      </w:r>
    </w:p>
  </w:footnote>
  <w:footnote w:id="34">
    <w:p w14:paraId="44E3FC24" w14:textId="0EE20DAE" w:rsidR="00DB19E8" w:rsidRPr="00353B3F" w:rsidRDefault="00DB19E8" w:rsidP="004B4C69">
      <w:pPr>
        <w:pStyle w:val="FootnoteText"/>
        <w:spacing w:after="60"/>
        <w:jc w:val="both"/>
        <w:rPr>
          <w:rFonts w:ascii="Verdana" w:hAnsi="Verdana"/>
          <w:sz w:val="16"/>
          <w:szCs w:val="16"/>
          <w:lang w:val="en-US"/>
        </w:rPr>
      </w:pPr>
      <w:r w:rsidRPr="00353B3F">
        <w:rPr>
          <w:rStyle w:val="FootnoteReference"/>
          <w:rFonts w:ascii="Verdana" w:hAnsi="Verdana"/>
          <w:sz w:val="16"/>
          <w:szCs w:val="16"/>
          <w:lang w:val="en-US"/>
        </w:rPr>
        <w:footnoteRef/>
      </w:r>
      <w:r w:rsidRPr="00353B3F">
        <w:rPr>
          <w:rFonts w:ascii="Verdana" w:hAnsi="Verdana"/>
          <w:sz w:val="16"/>
          <w:szCs w:val="16"/>
          <w:lang w:val="en-US"/>
        </w:rPr>
        <w:t xml:space="preserve"> </w:t>
      </w:r>
      <w:r w:rsidRPr="00353B3F">
        <w:rPr>
          <w:rFonts w:ascii="Verdana" w:hAnsi="Verdana"/>
          <w:sz w:val="16"/>
          <w:szCs w:val="16"/>
          <w:lang w:val="en-US"/>
        </w:rPr>
        <w:tab/>
      </w:r>
      <w:r w:rsidRPr="00353B3F">
        <w:rPr>
          <w:rFonts w:ascii="Verdana" w:hAnsi="Verdana"/>
          <w:i/>
          <w:sz w:val="16"/>
          <w:szCs w:val="16"/>
          <w:lang w:val="en-US"/>
        </w:rPr>
        <w:t xml:space="preserve">Cf. Case of the </w:t>
      </w:r>
      <w:proofErr w:type="spellStart"/>
      <w:r w:rsidRPr="00353B3F">
        <w:rPr>
          <w:rFonts w:ascii="Verdana" w:hAnsi="Verdana"/>
          <w:i/>
          <w:sz w:val="16"/>
          <w:szCs w:val="16"/>
          <w:lang w:val="en-US"/>
        </w:rPr>
        <w:t>Moiwana</w:t>
      </w:r>
      <w:proofErr w:type="spellEnd"/>
      <w:r w:rsidRPr="00353B3F">
        <w:rPr>
          <w:rFonts w:ascii="Verdana" w:hAnsi="Verdana"/>
          <w:i/>
          <w:sz w:val="16"/>
          <w:szCs w:val="16"/>
          <w:lang w:val="en-US"/>
        </w:rPr>
        <w:t xml:space="preserve"> Community v. Suriname. Monitoring compliance with judgment. </w:t>
      </w:r>
      <w:r w:rsidRPr="00353B3F">
        <w:rPr>
          <w:rFonts w:ascii="Verdana" w:hAnsi="Verdana"/>
          <w:sz w:val="16"/>
          <w:szCs w:val="16"/>
          <w:lang w:val="en-US"/>
        </w:rPr>
        <w:t xml:space="preserve">Order of the Inter-American Court of Human Rights of November 22, 2010, </w:t>
      </w:r>
      <w:r w:rsidRPr="00353B3F">
        <w:rPr>
          <w:rFonts w:ascii="Verdana" w:hAnsi="Verdana"/>
          <w:i/>
          <w:sz w:val="16"/>
          <w:szCs w:val="16"/>
          <w:lang w:val="en-US"/>
        </w:rPr>
        <w:t xml:space="preserve">considerandum </w:t>
      </w:r>
      <w:r w:rsidRPr="00353B3F">
        <w:rPr>
          <w:rFonts w:ascii="Verdana" w:hAnsi="Verdana"/>
          <w:sz w:val="16"/>
          <w:szCs w:val="16"/>
          <w:lang w:val="en-US"/>
        </w:rPr>
        <w:t>13.</w:t>
      </w:r>
    </w:p>
  </w:footnote>
  <w:footnote w:id="35">
    <w:p w14:paraId="794CBE67" w14:textId="7F51B922" w:rsidR="00DB19E8" w:rsidRPr="00353B3F" w:rsidRDefault="00DB19E8" w:rsidP="004B4C69">
      <w:pPr>
        <w:pStyle w:val="FootnoteText"/>
        <w:spacing w:after="60"/>
        <w:jc w:val="both"/>
        <w:rPr>
          <w:rFonts w:ascii="Verdana" w:hAnsi="Verdana"/>
          <w:sz w:val="16"/>
          <w:szCs w:val="16"/>
          <w:lang w:val="en-US"/>
        </w:rPr>
      </w:pPr>
      <w:r w:rsidRPr="00353B3F">
        <w:rPr>
          <w:rStyle w:val="FootnoteReference"/>
          <w:rFonts w:ascii="Verdana" w:hAnsi="Verdana"/>
          <w:sz w:val="16"/>
          <w:szCs w:val="16"/>
          <w:lang w:val="en-US"/>
        </w:rPr>
        <w:footnoteRef/>
      </w:r>
      <w:r w:rsidRPr="00353B3F">
        <w:rPr>
          <w:rFonts w:ascii="Verdana" w:hAnsi="Verdana"/>
          <w:sz w:val="16"/>
          <w:szCs w:val="16"/>
          <w:lang w:val="en-US"/>
        </w:rPr>
        <w:t xml:space="preserve"> </w:t>
      </w:r>
      <w:r w:rsidRPr="00353B3F">
        <w:rPr>
          <w:rFonts w:ascii="Verdana" w:hAnsi="Verdana"/>
          <w:sz w:val="16"/>
          <w:szCs w:val="16"/>
          <w:lang w:val="en-US"/>
        </w:rPr>
        <w:tab/>
      </w:r>
      <w:r w:rsidRPr="00353B3F">
        <w:rPr>
          <w:rFonts w:ascii="Verdana" w:hAnsi="Verdana"/>
          <w:i/>
          <w:sz w:val="16"/>
          <w:szCs w:val="16"/>
          <w:lang w:val="en-US"/>
        </w:rPr>
        <w:t xml:space="preserve">Cf. Case of the </w:t>
      </w:r>
      <w:proofErr w:type="spellStart"/>
      <w:r w:rsidRPr="00353B3F">
        <w:rPr>
          <w:rFonts w:ascii="Verdana" w:hAnsi="Verdana"/>
          <w:i/>
          <w:sz w:val="16"/>
          <w:szCs w:val="16"/>
          <w:lang w:val="en-US"/>
        </w:rPr>
        <w:t>Moiwana</w:t>
      </w:r>
      <w:proofErr w:type="spellEnd"/>
      <w:r w:rsidRPr="00353B3F">
        <w:rPr>
          <w:rFonts w:ascii="Verdana" w:hAnsi="Verdana"/>
          <w:i/>
          <w:sz w:val="16"/>
          <w:szCs w:val="16"/>
          <w:lang w:val="en-US"/>
        </w:rPr>
        <w:t xml:space="preserve"> Community v. Suriname. Monitoring compliance with judgment. </w:t>
      </w:r>
      <w:r w:rsidRPr="00353B3F">
        <w:rPr>
          <w:rFonts w:ascii="Verdana" w:hAnsi="Verdana"/>
          <w:sz w:val="16"/>
          <w:szCs w:val="16"/>
          <w:lang w:val="en-US"/>
        </w:rPr>
        <w:t xml:space="preserve">Order of the Inter-American Court of Human Rights of November 22, 2010, </w:t>
      </w:r>
      <w:r w:rsidRPr="00353B3F">
        <w:rPr>
          <w:rFonts w:ascii="Verdana" w:hAnsi="Verdana"/>
          <w:i/>
          <w:sz w:val="16"/>
          <w:szCs w:val="16"/>
          <w:lang w:val="en-US"/>
        </w:rPr>
        <w:t>considerandum</w:t>
      </w:r>
      <w:r w:rsidRPr="00353B3F">
        <w:rPr>
          <w:rFonts w:ascii="Verdana" w:hAnsi="Verdana"/>
          <w:sz w:val="16"/>
          <w:szCs w:val="16"/>
          <w:lang w:val="en-US"/>
        </w:rPr>
        <w:t>14.</w:t>
      </w:r>
    </w:p>
  </w:footnote>
  <w:footnote w:id="36">
    <w:p w14:paraId="12426D1D" w14:textId="5DFB6A79" w:rsidR="00DB19E8" w:rsidRPr="00353B3F" w:rsidRDefault="00DB19E8" w:rsidP="004B4C69">
      <w:pPr>
        <w:pStyle w:val="FootnoteText"/>
        <w:spacing w:after="60"/>
        <w:rPr>
          <w:rFonts w:ascii="Verdana" w:hAnsi="Verdana"/>
          <w:sz w:val="16"/>
          <w:szCs w:val="16"/>
          <w:lang w:val="en-US"/>
        </w:rPr>
      </w:pPr>
      <w:r w:rsidRPr="00353B3F">
        <w:rPr>
          <w:rStyle w:val="FootnoteReference"/>
          <w:rFonts w:ascii="Verdana" w:hAnsi="Verdana"/>
          <w:sz w:val="16"/>
          <w:szCs w:val="16"/>
          <w:lang w:val="en-US"/>
        </w:rPr>
        <w:footnoteRef/>
      </w:r>
      <w:r w:rsidRPr="00353B3F">
        <w:rPr>
          <w:rFonts w:ascii="Verdana" w:hAnsi="Verdana"/>
          <w:sz w:val="16"/>
          <w:szCs w:val="16"/>
          <w:lang w:val="en-US"/>
        </w:rPr>
        <w:t xml:space="preserve"> </w:t>
      </w:r>
      <w:r w:rsidRPr="00353B3F">
        <w:rPr>
          <w:rFonts w:ascii="Verdana" w:hAnsi="Verdana"/>
          <w:sz w:val="16"/>
          <w:szCs w:val="16"/>
          <w:lang w:val="en-US"/>
        </w:rPr>
        <w:tab/>
      </w:r>
      <w:r w:rsidRPr="00353B3F">
        <w:rPr>
          <w:rFonts w:ascii="Verdana" w:hAnsi="Verdana"/>
          <w:i/>
          <w:sz w:val="16"/>
          <w:szCs w:val="16"/>
          <w:lang w:val="en-US"/>
        </w:rPr>
        <w:t xml:space="preserve">Cf. Case of the </w:t>
      </w:r>
      <w:proofErr w:type="spellStart"/>
      <w:r w:rsidRPr="00353B3F">
        <w:rPr>
          <w:rFonts w:ascii="Verdana" w:hAnsi="Verdana"/>
          <w:i/>
          <w:sz w:val="16"/>
          <w:szCs w:val="16"/>
          <w:lang w:val="en-US"/>
        </w:rPr>
        <w:t>Moiwana</w:t>
      </w:r>
      <w:proofErr w:type="spellEnd"/>
      <w:r w:rsidRPr="00353B3F">
        <w:rPr>
          <w:rFonts w:ascii="Verdana" w:hAnsi="Verdana"/>
          <w:i/>
          <w:sz w:val="16"/>
          <w:szCs w:val="16"/>
          <w:lang w:val="en-US"/>
        </w:rPr>
        <w:t xml:space="preserve"> Community v. Suriname. Preliminary objections, merits, reparations and costs. </w:t>
      </w:r>
      <w:r w:rsidRPr="00353B3F">
        <w:rPr>
          <w:rFonts w:ascii="Verdana" w:hAnsi="Verdana"/>
          <w:sz w:val="16"/>
          <w:szCs w:val="16"/>
          <w:lang w:val="en-US"/>
        </w:rPr>
        <w:t>Judgment of June 15, 2005. Series C No. 124, para. 157.</w:t>
      </w:r>
    </w:p>
  </w:footnote>
  <w:footnote w:id="37">
    <w:p w14:paraId="103160A5" w14:textId="4BC8126A" w:rsidR="00DB19E8" w:rsidRPr="00353B3F" w:rsidRDefault="00DB19E8" w:rsidP="004B4C69">
      <w:pPr>
        <w:pStyle w:val="FootnoteText"/>
        <w:spacing w:after="60"/>
        <w:jc w:val="both"/>
        <w:rPr>
          <w:rFonts w:ascii="Verdana" w:hAnsi="Verdana"/>
          <w:sz w:val="16"/>
          <w:szCs w:val="16"/>
          <w:lang w:val="en-US"/>
        </w:rPr>
      </w:pPr>
      <w:r w:rsidRPr="00353B3F">
        <w:rPr>
          <w:rStyle w:val="FootnoteReference"/>
          <w:rFonts w:ascii="Verdana" w:hAnsi="Verdana"/>
          <w:sz w:val="16"/>
          <w:szCs w:val="16"/>
          <w:lang w:val="en-US"/>
        </w:rPr>
        <w:footnoteRef/>
      </w:r>
      <w:r w:rsidRPr="00353B3F">
        <w:rPr>
          <w:rFonts w:ascii="Verdana" w:hAnsi="Verdana"/>
          <w:sz w:val="16"/>
          <w:szCs w:val="16"/>
          <w:lang w:val="en-US"/>
        </w:rPr>
        <w:t xml:space="preserve"> </w:t>
      </w:r>
      <w:r w:rsidRPr="00353B3F">
        <w:rPr>
          <w:rFonts w:ascii="Verdana" w:hAnsi="Verdana"/>
          <w:sz w:val="16"/>
          <w:szCs w:val="16"/>
          <w:lang w:val="en-US"/>
        </w:rPr>
        <w:tab/>
      </w:r>
      <w:r>
        <w:rPr>
          <w:rFonts w:ascii="Verdana" w:hAnsi="Verdana"/>
          <w:sz w:val="16"/>
          <w:szCs w:val="16"/>
          <w:lang w:val="en-US"/>
        </w:rPr>
        <w:t xml:space="preserve">The State advised that it “had located some of the remains of the </w:t>
      </w:r>
      <w:proofErr w:type="spellStart"/>
      <w:r>
        <w:rPr>
          <w:rFonts w:ascii="Verdana" w:hAnsi="Verdana"/>
          <w:sz w:val="16"/>
          <w:szCs w:val="16"/>
          <w:lang w:val="en-US"/>
        </w:rPr>
        <w:t>Moiwana</w:t>
      </w:r>
      <w:proofErr w:type="spellEnd"/>
      <w:r>
        <w:rPr>
          <w:rFonts w:ascii="Verdana" w:hAnsi="Verdana"/>
          <w:sz w:val="16"/>
          <w:szCs w:val="16"/>
          <w:lang w:val="en-US"/>
        </w:rPr>
        <w:t xml:space="preserve"> Community members in December 2008. </w:t>
      </w:r>
      <w:r w:rsidRPr="006F2D0F">
        <w:rPr>
          <w:rFonts w:ascii="Verdana" w:hAnsi="Verdana"/>
          <w:sz w:val="16"/>
          <w:szCs w:val="16"/>
          <w:lang w:val="en-US"/>
        </w:rPr>
        <w:t xml:space="preserve">It also stated that in February </w:t>
      </w:r>
      <w:r>
        <w:rPr>
          <w:rFonts w:ascii="Verdana" w:hAnsi="Verdana"/>
          <w:sz w:val="16"/>
          <w:szCs w:val="16"/>
          <w:lang w:val="en-US"/>
        </w:rPr>
        <w:t xml:space="preserve">2009, victims and their representatives traveled to the cemetery where the remains were found in order to perform burial ceremonies according to their traditional customs. </w:t>
      </w:r>
      <w:r w:rsidRPr="006F2D0F">
        <w:rPr>
          <w:rFonts w:ascii="Verdana" w:hAnsi="Verdana"/>
          <w:sz w:val="16"/>
          <w:szCs w:val="16"/>
          <w:lang w:val="en-US"/>
        </w:rPr>
        <w:t xml:space="preserve">[…] The State indicated that the victims </w:t>
      </w:r>
      <w:r>
        <w:rPr>
          <w:rFonts w:ascii="Verdana" w:hAnsi="Verdana"/>
          <w:sz w:val="16"/>
          <w:szCs w:val="16"/>
          <w:lang w:val="en-US"/>
        </w:rPr>
        <w:t xml:space="preserve">have requested that a plaque be placed at the burial site, and it is willing to finance this. </w:t>
      </w:r>
      <w:r w:rsidRPr="006F2D0F">
        <w:rPr>
          <w:rFonts w:ascii="Verdana" w:hAnsi="Verdana"/>
          <w:sz w:val="16"/>
          <w:szCs w:val="16"/>
          <w:lang w:val="en-US"/>
        </w:rPr>
        <w:t xml:space="preserve">Finally, the State affirmed that it is currently </w:t>
      </w:r>
      <w:r>
        <w:rPr>
          <w:rFonts w:ascii="Verdana" w:hAnsi="Verdana"/>
          <w:sz w:val="16"/>
          <w:szCs w:val="16"/>
          <w:lang w:val="en-US"/>
        </w:rPr>
        <w:t>undertaking a more exhaustive investigation in order to fulfill this obligation”.</w:t>
      </w:r>
      <w:r w:rsidRPr="006F2D0F">
        <w:rPr>
          <w:rFonts w:ascii="Verdana" w:hAnsi="Verdana"/>
          <w:sz w:val="16"/>
          <w:szCs w:val="16"/>
          <w:lang w:val="en-US"/>
        </w:rPr>
        <w:t xml:space="preserve"> </w:t>
      </w:r>
      <w:r w:rsidRPr="00353B3F">
        <w:rPr>
          <w:rFonts w:ascii="Verdana" w:hAnsi="Verdana"/>
          <w:i/>
          <w:sz w:val="16"/>
          <w:szCs w:val="16"/>
          <w:lang w:val="en-US"/>
        </w:rPr>
        <w:t xml:space="preserve">Cf. Case of the </w:t>
      </w:r>
      <w:proofErr w:type="spellStart"/>
      <w:r w:rsidRPr="00353B3F">
        <w:rPr>
          <w:rFonts w:ascii="Verdana" w:hAnsi="Verdana"/>
          <w:i/>
          <w:sz w:val="16"/>
          <w:szCs w:val="16"/>
          <w:lang w:val="en-US"/>
        </w:rPr>
        <w:t>Moiwana</w:t>
      </w:r>
      <w:proofErr w:type="spellEnd"/>
      <w:r w:rsidRPr="00353B3F">
        <w:rPr>
          <w:rFonts w:ascii="Verdana" w:hAnsi="Verdana"/>
          <w:i/>
          <w:sz w:val="16"/>
          <w:szCs w:val="16"/>
          <w:lang w:val="en-US"/>
        </w:rPr>
        <w:t xml:space="preserve"> Community v. Suriname. Monitoring compliance with judgment. </w:t>
      </w:r>
      <w:proofErr w:type="gramStart"/>
      <w:r w:rsidRPr="00353B3F">
        <w:rPr>
          <w:rFonts w:ascii="Verdana" w:hAnsi="Verdana"/>
          <w:sz w:val="16"/>
          <w:szCs w:val="16"/>
          <w:lang w:val="en-US"/>
        </w:rPr>
        <w:t xml:space="preserve">Order of the Inter-American Court of Human Rights of November 22, 2010, </w:t>
      </w:r>
      <w:r w:rsidRPr="00353B3F">
        <w:rPr>
          <w:rFonts w:ascii="Verdana" w:hAnsi="Verdana"/>
          <w:i/>
          <w:sz w:val="16"/>
          <w:szCs w:val="16"/>
          <w:lang w:val="en-US"/>
        </w:rPr>
        <w:t>considerandum</w:t>
      </w:r>
      <w:r w:rsidRPr="00353B3F">
        <w:rPr>
          <w:rFonts w:ascii="Verdana" w:hAnsi="Verdana"/>
          <w:sz w:val="16"/>
          <w:szCs w:val="16"/>
          <w:lang w:val="en-US"/>
        </w:rPr>
        <w:t>15.</w:t>
      </w:r>
      <w:proofErr w:type="gramEnd"/>
    </w:p>
  </w:footnote>
  <w:footnote w:id="38">
    <w:p w14:paraId="51554AB8" w14:textId="1155F33C" w:rsidR="00DB19E8" w:rsidRPr="00353B3F" w:rsidRDefault="00DB19E8" w:rsidP="004B4C69">
      <w:pPr>
        <w:pStyle w:val="FootnoteText"/>
        <w:spacing w:after="60"/>
        <w:jc w:val="both"/>
        <w:rPr>
          <w:rFonts w:ascii="Verdana" w:hAnsi="Verdana"/>
          <w:sz w:val="16"/>
          <w:szCs w:val="16"/>
          <w:lang w:val="en-US"/>
        </w:rPr>
      </w:pPr>
      <w:r w:rsidRPr="00353B3F">
        <w:rPr>
          <w:rStyle w:val="FootnoteReference"/>
          <w:rFonts w:ascii="Verdana" w:hAnsi="Verdana"/>
          <w:sz w:val="16"/>
          <w:szCs w:val="16"/>
          <w:lang w:val="en-US"/>
        </w:rPr>
        <w:footnoteRef/>
      </w:r>
      <w:r w:rsidRPr="00353B3F">
        <w:rPr>
          <w:rFonts w:ascii="Verdana" w:hAnsi="Verdana"/>
          <w:sz w:val="16"/>
          <w:szCs w:val="16"/>
          <w:lang w:val="en-US"/>
        </w:rPr>
        <w:t xml:space="preserve"> </w:t>
      </w:r>
      <w:r w:rsidRPr="00353B3F">
        <w:rPr>
          <w:rFonts w:ascii="Verdana" w:hAnsi="Verdana"/>
          <w:sz w:val="16"/>
          <w:szCs w:val="16"/>
          <w:lang w:val="en-US"/>
        </w:rPr>
        <w:tab/>
      </w:r>
      <w:proofErr w:type="gramStart"/>
      <w:r w:rsidRPr="00353B3F">
        <w:rPr>
          <w:rFonts w:ascii="Verdana" w:hAnsi="Verdana"/>
          <w:i/>
          <w:sz w:val="16"/>
          <w:szCs w:val="16"/>
          <w:lang w:val="en-US"/>
        </w:rPr>
        <w:t xml:space="preserve">Cf. Case of the </w:t>
      </w:r>
      <w:proofErr w:type="spellStart"/>
      <w:r w:rsidRPr="00353B3F">
        <w:rPr>
          <w:rFonts w:ascii="Verdana" w:hAnsi="Verdana"/>
          <w:i/>
          <w:sz w:val="16"/>
          <w:szCs w:val="16"/>
          <w:lang w:val="en-US"/>
        </w:rPr>
        <w:t>Moiwana</w:t>
      </w:r>
      <w:proofErr w:type="spellEnd"/>
      <w:r w:rsidRPr="00353B3F">
        <w:rPr>
          <w:rFonts w:ascii="Verdana" w:hAnsi="Verdana"/>
          <w:i/>
          <w:sz w:val="16"/>
          <w:szCs w:val="16"/>
          <w:lang w:val="en-US"/>
        </w:rPr>
        <w:t xml:space="preserve"> Community v. Suriname.</w:t>
      </w:r>
      <w:proofErr w:type="gramEnd"/>
      <w:r w:rsidRPr="00353B3F">
        <w:rPr>
          <w:rFonts w:ascii="Verdana" w:hAnsi="Verdana"/>
          <w:i/>
          <w:sz w:val="16"/>
          <w:szCs w:val="16"/>
          <w:lang w:val="en-US"/>
        </w:rPr>
        <w:t xml:space="preserve"> Preliminary objections, merits, reparations and costs. </w:t>
      </w:r>
      <w:r w:rsidRPr="00353B3F">
        <w:rPr>
          <w:rFonts w:ascii="Verdana" w:hAnsi="Verdana"/>
          <w:sz w:val="16"/>
          <w:szCs w:val="16"/>
          <w:lang w:val="en-US"/>
        </w:rPr>
        <w:t>Judgment of June 15, 2005. Series C No. 124, para. 98.</w:t>
      </w:r>
    </w:p>
  </w:footnote>
  <w:footnote w:id="39">
    <w:p w14:paraId="50205833" w14:textId="0C02F8F2" w:rsidR="00DB19E8" w:rsidRPr="00353B3F" w:rsidRDefault="00DB19E8" w:rsidP="004B4C69">
      <w:pPr>
        <w:pStyle w:val="FootnoteText"/>
        <w:spacing w:after="60"/>
        <w:jc w:val="both"/>
        <w:rPr>
          <w:rFonts w:ascii="Verdana" w:hAnsi="Verdana"/>
          <w:sz w:val="16"/>
          <w:szCs w:val="16"/>
          <w:lang w:val="en-US"/>
        </w:rPr>
      </w:pPr>
      <w:r w:rsidRPr="00353B3F">
        <w:rPr>
          <w:rStyle w:val="FootnoteReference"/>
          <w:rFonts w:ascii="Verdana" w:hAnsi="Verdana"/>
          <w:sz w:val="16"/>
          <w:szCs w:val="16"/>
          <w:lang w:val="en-US"/>
        </w:rPr>
        <w:footnoteRef/>
      </w:r>
      <w:r w:rsidRPr="00353B3F">
        <w:rPr>
          <w:rFonts w:ascii="Verdana" w:hAnsi="Verdana"/>
          <w:sz w:val="16"/>
          <w:szCs w:val="16"/>
          <w:lang w:val="en-US"/>
        </w:rPr>
        <w:t xml:space="preserve"> </w:t>
      </w:r>
      <w:r w:rsidRPr="00353B3F">
        <w:rPr>
          <w:rFonts w:ascii="Verdana" w:hAnsi="Verdana"/>
          <w:sz w:val="16"/>
          <w:szCs w:val="16"/>
          <w:lang w:val="en-US"/>
        </w:rPr>
        <w:tab/>
      </w:r>
      <w:r w:rsidRPr="00353B3F">
        <w:rPr>
          <w:rFonts w:ascii="Verdana" w:hAnsi="Verdana"/>
          <w:i/>
          <w:sz w:val="16"/>
          <w:szCs w:val="16"/>
          <w:lang w:val="en-US"/>
        </w:rPr>
        <w:t xml:space="preserve">Cf. Case of the </w:t>
      </w:r>
      <w:proofErr w:type="spellStart"/>
      <w:r w:rsidRPr="00353B3F">
        <w:rPr>
          <w:rFonts w:ascii="Verdana" w:hAnsi="Verdana"/>
          <w:i/>
          <w:sz w:val="16"/>
          <w:szCs w:val="16"/>
          <w:lang w:val="en-US"/>
        </w:rPr>
        <w:t>Moiwana</w:t>
      </w:r>
      <w:proofErr w:type="spellEnd"/>
      <w:r w:rsidRPr="00353B3F">
        <w:rPr>
          <w:rFonts w:ascii="Verdana" w:hAnsi="Verdana"/>
          <w:i/>
          <w:sz w:val="16"/>
          <w:szCs w:val="16"/>
          <w:lang w:val="en-US"/>
        </w:rPr>
        <w:t xml:space="preserve"> Community v. Suriname. Monitoring compliance with judgment. </w:t>
      </w:r>
      <w:r w:rsidRPr="00353B3F">
        <w:rPr>
          <w:rFonts w:ascii="Verdana" w:hAnsi="Verdana"/>
          <w:sz w:val="16"/>
          <w:szCs w:val="16"/>
          <w:lang w:val="en-US"/>
        </w:rPr>
        <w:t xml:space="preserve">Order of the Inter-American Court of Human Rights of November 22, 2010, </w:t>
      </w:r>
      <w:r w:rsidRPr="00353B3F">
        <w:rPr>
          <w:rFonts w:ascii="Verdana" w:hAnsi="Verdana"/>
          <w:i/>
          <w:sz w:val="16"/>
          <w:szCs w:val="16"/>
          <w:lang w:val="en-US"/>
        </w:rPr>
        <w:t xml:space="preserve">considerandum </w:t>
      </w:r>
      <w:r w:rsidRPr="00353B3F">
        <w:rPr>
          <w:rFonts w:ascii="Verdana" w:hAnsi="Verdana"/>
          <w:sz w:val="16"/>
          <w:szCs w:val="16"/>
          <w:lang w:val="en-US"/>
        </w:rPr>
        <w:t>18.</w:t>
      </w:r>
    </w:p>
  </w:footnote>
  <w:footnote w:id="40">
    <w:p w14:paraId="03E470D3" w14:textId="36823D4D" w:rsidR="00DB19E8" w:rsidRPr="00353B3F" w:rsidRDefault="00DB19E8" w:rsidP="004B4C69">
      <w:pPr>
        <w:pStyle w:val="FootnoteText"/>
        <w:spacing w:after="60"/>
        <w:jc w:val="both"/>
        <w:rPr>
          <w:rFonts w:ascii="Verdana" w:hAnsi="Verdana"/>
          <w:sz w:val="16"/>
          <w:szCs w:val="16"/>
          <w:lang w:val="en-US"/>
        </w:rPr>
      </w:pPr>
      <w:r w:rsidRPr="00353B3F">
        <w:rPr>
          <w:rStyle w:val="FootnoteReference"/>
          <w:rFonts w:ascii="Verdana" w:hAnsi="Verdana"/>
          <w:sz w:val="16"/>
          <w:szCs w:val="16"/>
          <w:lang w:val="en-US"/>
        </w:rPr>
        <w:footnoteRef/>
      </w:r>
      <w:r w:rsidRPr="0085454C">
        <w:rPr>
          <w:rFonts w:ascii="Verdana" w:hAnsi="Verdana"/>
          <w:sz w:val="16"/>
          <w:szCs w:val="16"/>
          <w:lang w:val="en-US"/>
        </w:rPr>
        <w:t xml:space="preserve"> </w:t>
      </w:r>
      <w:r w:rsidRPr="0085454C">
        <w:rPr>
          <w:rFonts w:ascii="Verdana" w:hAnsi="Verdana"/>
          <w:sz w:val="16"/>
          <w:szCs w:val="16"/>
          <w:lang w:val="en-US"/>
        </w:rPr>
        <w:tab/>
        <w:t xml:space="preserve">In its 2010 order, the Court noted that </w:t>
      </w:r>
      <w:r w:rsidR="0085454C" w:rsidRPr="0085454C">
        <w:rPr>
          <w:rFonts w:ascii="Verdana" w:hAnsi="Verdana"/>
          <w:sz w:val="16"/>
          <w:szCs w:val="16"/>
          <w:lang w:val="en-US"/>
        </w:rPr>
        <w:t xml:space="preserve">“the reports of the National Commission and the Amazon Conservation Team contain different sets of recommendations on how to proceed with the implementation of this order, yet neither report has effectively incorporated the views of the victims in this case”, which is why it considered that “the State’s apparent intention to use this report for the purpose of drafting legislation that will impact the </w:t>
      </w:r>
      <w:proofErr w:type="spellStart"/>
      <w:r w:rsidR="0085454C" w:rsidRPr="0085454C">
        <w:rPr>
          <w:rFonts w:ascii="Verdana" w:hAnsi="Verdana"/>
          <w:sz w:val="16"/>
          <w:szCs w:val="16"/>
          <w:lang w:val="en-US"/>
        </w:rPr>
        <w:t>Moiwana</w:t>
      </w:r>
      <w:proofErr w:type="spellEnd"/>
      <w:r w:rsidR="0085454C" w:rsidRPr="0085454C">
        <w:rPr>
          <w:rFonts w:ascii="Verdana" w:hAnsi="Verdana"/>
          <w:sz w:val="16"/>
          <w:szCs w:val="16"/>
          <w:lang w:val="en-US"/>
        </w:rPr>
        <w:t xml:space="preserve"> Community to be problematic”</w:t>
      </w:r>
      <w:r w:rsidRPr="0085454C">
        <w:rPr>
          <w:rFonts w:ascii="Verdana" w:hAnsi="Verdana"/>
          <w:sz w:val="16"/>
          <w:szCs w:val="16"/>
          <w:lang w:val="en-US"/>
        </w:rPr>
        <w:t xml:space="preserve">. </w:t>
      </w:r>
      <w:proofErr w:type="gramStart"/>
      <w:r w:rsidRPr="00353B3F">
        <w:rPr>
          <w:rFonts w:ascii="Verdana" w:hAnsi="Verdana"/>
          <w:i/>
          <w:sz w:val="16"/>
          <w:szCs w:val="16"/>
          <w:lang w:val="en-US"/>
        </w:rPr>
        <w:t xml:space="preserve">Cf. Case of the </w:t>
      </w:r>
      <w:proofErr w:type="spellStart"/>
      <w:r w:rsidRPr="00353B3F">
        <w:rPr>
          <w:rFonts w:ascii="Verdana" w:hAnsi="Verdana"/>
          <w:i/>
          <w:sz w:val="16"/>
          <w:szCs w:val="16"/>
          <w:lang w:val="en-US"/>
        </w:rPr>
        <w:t>Moiwana</w:t>
      </w:r>
      <w:proofErr w:type="spellEnd"/>
      <w:r w:rsidRPr="00353B3F">
        <w:rPr>
          <w:rFonts w:ascii="Verdana" w:hAnsi="Verdana"/>
          <w:i/>
          <w:sz w:val="16"/>
          <w:szCs w:val="16"/>
          <w:lang w:val="en-US"/>
        </w:rPr>
        <w:t xml:space="preserve"> Community v. Suriname.</w:t>
      </w:r>
      <w:proofErr w:type="gramEnd"/>
      <w:r w:rsidRPr="00353B3F">
        <w:rPr>
          <w:rFonts w:ascii="Verdana" w:hAnsi="Verdana"/>
          <w:i/>
          <w:sz w:val="16"/>
          <w:szCs w:val="16"/>
          <w:lang w:val="en-US"/>
        </w:rPr>
        <w:t xml:space="preserve"> Monitoring compliance with judgment. </w:t>
      </w:r>
      <w:r w:rsidRPr="00353B3F">
        <w:rPr>
          <w:rFonts w:ascii="Verdana" w:hAnsi="Verdana"/>
          <w:sz w:val="16"/>
          <w:szCs w:val="16"/>
          <w:lang w:val="en-US"/>
        </w:rPr>
        <w:t xml:space="preserve">Order of the Inter-American Court of Human Rights of November 22, 2010, </w:t>
      </w:r>
      <w:r w:rsidRPr="00353B3F">
        <w:rPr>
          <w:rFonts w:ascii="Verdana" w:hAnsi="Verdana"/>
          <w:i/>
          <w:sz w:val="16"/>
          <w:szCs w:val="16"/>
          <w:lang w:val="en-US"/>
        </w:rPr>
        <w:t xml:space="preserve">considerandum </w:t>
      </w:r>
      <w:r w:rsidRPr="00353B3F">
        <w:rPr>
          <w:rFonts w:ascii="Verdana" w:hAnsi="Verdana"/>
          <w:sz w:val="16"/>
          <w:szCs w:val="16"/>
          <w:lang w:val="en-US"/>
        </w:rPr>
        <w:t>27.</w:t>
      </w:r>
    </w:p>
  </w:footnote>
  <w:footnote w:id="41">
    <w:p w14:paraId="6DC90F63" w14:textId="594211B8" w:rsidR="00DB19E8" w:rsidRPr="00353B3F" w:rsidRDefault="00DB19E8" w:rsidP="004B4C69">
      <w:pPr>
        <w:pStyle w:val="FootnoteText"/>
        <w:spacing w:after="60"/>
        <w:jc w:val="both"/>
        <w:rPr>
          <w:rFonts w:ascii="Verdana" w:hAnsi="Verdana"/>
          <w:sz w:val="16"/>
          <w:szCs w:val="16"/>
          <w:lang w:val="en-US"/>
        </w:rPr>
      </w:pPr>
      <w:r w:rsidRPr="00353B3F">
        <w:rPr>
          <w:rStyle w:val="FootnoteReference"/>
          <w:rFonts w:ascii="Verdana" w:hAnsi="Verdana"/>
          <w:sz w:val="16"/>
          <w:szCs w:val="16"/>
          <w:lang w:val="en-US"/>
        </w:rPr>
        <w:footnoteRef/>
      </w:r>
      <w:r w:rsidRPr="00353B3F">
        <w:rPr>
          <w:rFonts w:ascii="Verdana" w:hAnsi="Verdana"/>
          <w:sz w:val="16"/>
          <w:szCs w:val="16"/>
          <w:lang w:val="en-US"/>
        </w:rPr>
        <w:t xml:space="preserve"> </w:t>
      </w:r>
      <w:r w:rsidRPr="00353B3F">
        <w:rPr>
          <w:rFonts w:ascii="Verdana" w:hAnsi="Verdana"/>
          <w:sz w:val="16"/>
          <w:szCs w:val="16"/>
          <w:lang w:val="en-US"/>
        </w:rPr>
        <w:tab/>
        <w:t xml:space="preserve">“Consideration of reports submitted by States parties under article 40 of the Covenant: Third periodic reports of States parties due in 2008, Suriname”, CCPR/C/SUR/3, 7 March 2014, available at: </w:t>
      </w:r>
      <w:r w:rsidR="00BD655E">
        <w:fldChar w:fldCharType="begin"/>
      </w:r>
      <w:r w:rsidR="00BD655E" w:rsidRPr="00794648">
        <w:rPr>
          <w:lang w:val="en-US"/>
        </w:rPr>
        <w:instrText xml:space="preserve"> HYPERLINK "http://tbinternet.ohchr.org/_layouts/treatybodyexternal/Download.aspx?symbolno=CCPR%2fC%2fSUR%2f3&amp;Lang=en" </w:instrText>
      </w:r>
      <w:r w:rsidR="00BD655E">
        <w:fldChar w:fldCharType="separate"/>
      </w:r>
      <w:r w:rsidRPr="00353B3F">
        <w:rPr>
          <w:rStyle w:val="Hyperlink"/>
          <w:rFonts w:ascii="Verdana" w:hAnsi="Verdana"/>
          <w:sz w:val="16"/>
          <w:szCs w:val="16"/>
          <w:lang w:val="en-US"/>
        </w:rPr>
        <w:t>http://tbinternet.ohchr.org/_layouts/treatybodyexternal/Download.aspx?symbolno=CCPR%2fC%2fSUR%2f3&amp;Lang=en</w:t>
      </w:r>
      <w:r w:rsidR="00BD655E">
        <w:rPr>
          <w:rStyle w:val="Hyperlink"/>
          <w:rFonts w:ascii="Verdana" w:hAnsi="Verdana"/>
          <w:sz w:val="16"/>
          <w:szCs w:val="16"/>
          <w:lang w:val="en-US"/>
        </w:rPr>
        <w:fldChar w:fldCharType="end"/>
      </w:r>
      <w:r w:rsidRPr="00353B3F">
        <w:rPr>
          <w:rFonts w:ascii="Verdana" w:hAnsi="Verdana"/>
          <w:sz w:val="16"/>
          <w:szCs w:val="16"/>
          <w:lang w:val="en-US"/>
        </w:rPr>
        <w:t xml:space="preserve">. (Link provided by the representatives in their brief of July 20, 2015). </w:t>
      </w:r>
    </w:p>
  </w:footnote>
  <w:footnote w:id="42">
    <w:p w14:paraId="556046C5" w14:textId="4F49E0F9" w:rsidR="00DB19E8" w:rsidRPr="00153E63" w:rsidRDefault="00DB19E8" w:rsidP="00153E63">
      <w:pPr>
        <w:autoSpaceDE w:val="0"/>
        <w:autoSpaceDN w:val="0"/>
        <w:adjustRightInd w:val="0"/>
        <w:jc w:val="both"/>
        <w:rPr>
          <w:rFonts w:ascii="Verdana" w:hAnsi="Verdana"/>
          <w:b/>
          <w:sz w:val="16"/>
          <w:szCs w:val="16"/>
          <w:lang w:val="en-US"/>
        </w:rPr>
      </w:pPr>
      <w:r w:rsidRPr="00153E63">
        <w:rPr>
          <w:rStyle w:val="FootnoteReference"/>
          <w:rFonts w:ascii="Verdana" w:hAnsi="Verdana"/>
          <w:sz w:val="16"/>
          <w:szCs w:val="16"/>
          <w:lang w:val="en-US"/>
        </w:rPr>
        <w:footnoteRef/>
      </w:r>
      <w:r w:rsidRPr="00153E63">
        <w:rPr>
          <w:rFonts w:ascii="Verdana" w:hAnsi="Verdana"/>
          <w:sz w:val="16"/>
          <w:szCs w:val="16"/>
          <w:lang w:val="en-US"/>
        </w:rPr>
        <w:t xml:space="preserve"> </w:t>
      </w:r>
      <w:r w:rsidRPr="00153E63">
        <w:rPr>
          <w:rFonts w:ascii="Verdana" w:hAnsi="Verdana"/>
          <w:sz w:val="16"/>
          <w:szCs w:val="16"/>
          <w:lang w:val="en-US"/>
        </w:rPr>
        <w:tab/>
        <w:t xml:space="preserve">The representatives also noted that </w:t>
      </w:r>
      <w:r w:rsidR="00215FD9" w:rsidRPr="00153E63">
        <w:rPr>
          <w:rFonts w:ascii="Verdana" w:hAnsi="Verdana"/>
          <w:sz w:val="16"/>
          <w:szCs w:val="16"/>
          <w:lang w:val="en-US"/>
        </w:rPr>
        <w:t>“</w:t>
      </w:r>
      <w:r w:rsidR="00215FD9" w:rsidRPr="00153E63">
        <w:rPr>
          <w:rFonts w:ascii="Verdana" w:eastAsiaTheme="minorHAnsi" w:hAnsi="Verdana" w:cs="Calibri"/>
          <w:sz w:val="16"/>
          <w:szCs w:val="16"/>
          <w:lang w:val="en-US"/>
        </w:rPr>
        <w:t>[w]</w:t>
      </w:r>
      <w:proofErr w:type="spellStart"/>
      <w:r w:rsidR="00215FD9" w:rsidRPr="00153E63">
        <w:rPr>
          <w:rFonts w:ascii="Verdana" w:eastAsiaTheme="minorHAnsi" w:hAnsi="Verdana" w:cs="Calibri"/>
          <w:sz w:val="16"/>
          <w:szCs w:val="16"/>
          <w:lang w:val="en-US"/>
        </w:rPr>
        <w:t>hile</w:t>
      </w:r>
      <w:proofErr w:type="spellEnd"/>
      <w:r w:rsidR="00215FD9" w:rsidRPr="00153E63">
        <w:rPr>
          <w:rFonts w:ascii="Verdana" w:eastAsiaTheme="minorHAnsi" w:hAnsi="Verdana" w:cs="Calibri"/>
          <w:sz w:val="16"/>
          <w:szCs w:val="16"/>
          <w:lang w:val="en-US"/>
        </w:rPr>
        <w:t xml:space="preserve"> it is true that the massacre occurred at locations in </w:t>
      </w:r>
      <w:proofErr w:type="spellStart"/>
      <w:r w:rsidR="00215FD9" w:rsidRPr="00153E63">
        <w:rPr>
          <w:rFonts w:ascii="Verdana" w:eastAsiaTheme="minorHAnsi" w:hAnsi="Verdana" w:cs="Calibri"/>
          <w:sz w:val="16"/>
          <w:szCs w:val="16"/>
          <w:lang w:val="en-US"/>
        </w:rPr>
        <w:t>Alfonsdorp’s</w:t>
      </w:r>
      <w:proofErr w:type="spellEnd"/>
      <w:r w:rsidR="00215FD9" w:rsidRPr="00153E63">
        <w:rPr>
          <w:rFonts w:ascii="Verdana" w:eastAsiaTheme="minorHAnsi" w:hAnsi="Verdana" w:cs="Calibri"/>
          <w:sz w:val="16"/>
          <w:szCs w:val="16"/>
          <w:lang w:val="en-US"/>
        </w:rPr>
        <w:t xml:space="preserve"> lands [</w:t>
      </w:r>
      <w:r w:rsidR="00153E63" w:rsidRPr="00153E63">
        <w:rPr>
          <w:rFonts w:ascii="Verdana" w:eastAsiaTheme="minorHAnsi" w:hAnsi="Verdana" w:cs="Calibri"/>
          <w:sz w:val="16"/>
          <w:szCs w:val="16"/>
          <w:lang w:val="en-US"/>
        </w:rPr>
        <w:t xml:space="preserve">one of the eight communities involved in the </w:t>
      </w:r>
      <w:proofErr w:type="spellStart"/>
      <w:r w:rsidR="00153E63" w:rsidRPr="00153E63">
        <w:rPr>
          <w:rFonts w:ascii="Verdana" w:eastAsiaTheme="minorHAnsi" w:hAnsi="Verdana" w:cs="Calibri,Italic"/>
          <w:i/>
          <w:iCs/>
          <w:sz w:val="16"/>
          <w:szCs w:val="16"/>
          <w:lang w:val="en-US"/>
        </w:rPr>
        <w:t>Kaliña</w:t>
      </w:r>
      <w:proofErr w:type="spellEnd"/>
      <w:r w:rsidR="00153E63" w:rsidRPr="00153E63">
        <w:rPr>
          <w:rFonts w:ascii="Verdana" w:eastAsiaTheme="minorHAnsi" w:hAnsi="Verdana" w:cs="Calibri,Italic"/>
          <w:i/>
          <w:iCs/>
          <w:sz w:val="16"/>
          <w:szCs w:val="16"/>
          <w:lang w:val="en-US"/>
        </w:rPr>
        <w:t xml:space="preserve"> and </w:t>
      </w:r>
      <w:proofErr w:type="spellStart"/>
      <w:r w:rsidR="00153E63" w:rsidRPr="00153E63">
        <w:rPr>
          <w:rFonts w:ascii="Verdana" w:eastAsiaTheme="minorHAnsi" w:hAnsi="Verdana" w:cs="Calibri,Italic"/>
          <w:i/>
          <w:iCs/>
          <w:sz w:val="16"/>
          <w:szCs w:val="16"/>
          <w:lang w:val="en-US"/>
        </w:rPr>
        <w:t>Lokono</w:t>
      </w:r>
      <w:proofErr w:type="spellEnd"/>
      <w:r w:rsidR="00153E63" w:rsidRPr="00153E63">
        <w:rPr>
          <w:rFonts w:ascii="Verdana" w:eastAsiaTheme="minorHAnsi" w:hAnsi="Verdana" w:cs="Calibri,Italic"/>
          <w:i/>
          <w:iCs/>
          <w:sz w:val="16"/>
          <w:szCs w:val="16"/>
          <w:lang w:val="en-US"/>
        </w:rPr>
        <w:t xml:space="preserve"> Peoples </w:t>
      </w:r>
      <w:r w:rsidR="00153E63" w:rsidRPr="00153E63">
        <w:rPr>
          <w:rFonts w:ascii="Verdana" w:eastAsiaTheme="minorHAnsi" w:hAnsi="Verdana" w:cs="Calibri"/>
          <w:sz w:val="16"/>
          <w:szCs w:val="16"/>
          <w:lang w:val="en-US"/>
        </w:rPr>
        <w:t>case</w:t>
      </w:r>
      <w:r w:rsidR="00215FD9" w:rsidRPr="00153E63">
        <w:rPr>
          <w:rFonts w:ascii="Verdana" w:eastAsiaTheme="minorHAnsi" w:hAnsi="Verdana" w:cs="Calibri"/>
          <w:sz w:val="16"/>
          <w:szCs w:val="16"/>
          <w:lang w:val="en-US"/>
        </w:rPr>
        <w:t xml:space="preserve">], where members of </w:t>
      </w:r>
      <w:proofErr w:type="spellStart"/>
      <w:r w:rsidR="00215FD9" w:rsidRPr="00153E63">
        <w:rPr>
          <w:rFonts w:ascii="Verdana" w:eastAsiaTheme="minorHAnsi" w:hAnsi="Verdana" w:cs="Calibri"/>
          <w:sz w:val="16"/>
          <w:szCs w:val="16"/>
          <w:lang w:val="en-US"/>
        </w:rPr>
        <w:t>Moiwana</w:t>
      </w:r>
      <w:proofErr w:type="spellEnd"/>
      <w:r w:rsidR="00215FD9" w:rsidRPr="00153E63">
        <w:rPr>
          <w:rFonts w:ascii="Verdana" w:eastAsiaTheme="minorHAnsi" w:hAnsi="Verdana" w:cs="Calibri"/>
          <w:sz w:val="16"/>
          <w:szCs w:val="16"/>
          <w:lang w:val="en-US"/>
        </w:rPr>
        <w:t xml:space="preserve"> had established camps along the east-west highway, the traditional lands of </w:t>
      </w:r>
      <w:proofErr w:type="spellStart"/>
      <w:r w:rsidR="00215FD9" w:rsidRPr="00153E63">
        <w:rPr>
          <w:rFonts w:ascii="Verdana" w:eastAsiaTheme="minorHAnsi" w:hAnsi="Verdana" w:cs="Calibri"/>
          <w:sz w:val="16"/>
          <w:szCs w:val="16"/>
          <w:lang w:val="en-US"/>
        </w:rPr>
        <w:t>Moiwana</w:t>
      </w:r>
      <w:proofErr w:type="spellEnd"/>
      <w:r w:rsidR="00215FD9" w:rsidRPr="00153E63">
        <w:rPr>
          <w:rFonts w:ascii="Verdana" w:eastAsiaTheme="minorHAnsi" w:hAnsi="Verdana" w:cs="Calibri"/>
          <w:sz w:val="16"/>
          <w:szCs w:val="16"/>
          <w:lang w:val="en-US"/>
        </w:rPr>
        <w:t xml:space="preserve"> and the site of </w:t>
      </w:r>
      <w:proofErr w:type="spellStart"/>
      <w:r w:rsidR="00215FD9" w:rsidRPr="00153E63">
        <w:rPr>
          <w:rFonts w:ascii="Verdana" w:eastAsiaTheme="minorHAnsi" w:hAnsi="Verdana" w:cs="Calibri"/>
          <w:sz w:val="16"/>
          <w:szCs w:val="16"/>
          <w:lang w:val="en-US"/>
        </w:rPr>
        <w:t>Moiwana</w:t>
      </w:r>
      <w:proofErr w:type="spellEnd"/>
      <w:r w:rsidR="00215FD9" w:rsidRPr="00153E63">
        <w:rPr>
          <w:rFonts w:ascii="Verdana" w:eastAsiaTheme="minorHAnsi" w:hAnsi="Verdana" w:cs="Calibri"/>
          <w:sz w:val="16"/>
          <w:szCs w:val="16"/>
          <w:lang w:val="en-US"/>
        </w:rPr>
        <w:t xml:space="preserve"> village itself, are located some 20 kilometers to the northwest of these camps in the territory of the </w:t>
      </w:r>
      <w:proofErr w:type="spellStart"/>
      <w:r w:rsidR="00215FD9" w:rsidRPr="00153E63">
        <w:rPr>
          <w:rFonts w:ascii="Verdana" w:eastAsiaTheme="minorHAnsi" w:hAnsi="Verdana" w:cs="Calibri"/>
          <w:sz w:val="16"/>
          <w:szCs w:val="16"/>
          <w:lang w:val="en-US"/>
        </w:rPr>
        <w:t>Cottica</w:t>
      </w:r>
      <w:proofErr w:type="spellEnd"/>
      <w:r w:rsidR="00215FD9" w:rsidRPr="00153E63">
        <w:rPr>
          <w:rFonts w:ascii="Verdana" w:eastAsiaTheme="minorHAnsi" w:hAnsi="Verdana" w:cs="Calibri"/>
          <w:sz w:val="16"/>
          <w:szCs w:val="16"/>
          <w:lang w:val="en-US"/>
        </w:rPr>
        <w:t xml:space="preserve"> </w:t>
      </w:r>
      <w:proofErr w:type="spellStart"/>
      <w:r w:rsidR="00215FD9" w:rsidRPr="00153E63">
        <w:rPr>
          <w:rFonts w:ascii="Verdana" w:eastAsiaTheme="minorHAnsi" w:hAnsi="Verdana" w:cs="Calibri"/>
          <w:sz w:val="16"/>
          <w:szCs w:val="16"/>
          <w:lang w:val="en-US"/>
        </w:rPr>
        <w:t>N’djuka</w:t>
      </w:r>
      <w:proofErr w:type="spellEnd"/>
      <w:r w:rsidR="00215FD9" w:rsidRPr="00153E63">
        <w:rPr>
          <w:rFonts w:ascii="Verdana" w:eastAsiaTheme="minorHAnsi" w:hAnsi="Verdana" w:cs="Calibri"/>
          <w:sz w:val="16"/>
          <w:szCs w:val="16"/>
          <w:lang w:val="en-US"/>
        </w:rPr>
        <w:t xml:space="preserve"> people to which </w:t>
      </w:r>
      <w:proofErr w:type="spellStart"/>
      <w:r w:rsidR="00215FD9" w:rsidRPr="00153E63">
        <w:rPr>
          <w:rFonts w:ascii="Verdana" w:eastAsiaTheme="minorHAnsi" w:hAnsi="Verdana" w:cs="Calibri"/>
          <w:sz w:val="16"/>
          <w:szCs w:val="16"/>
          <w:lang w:val="en-US"/>
        </w:rPr>
        <w:t>Moiwana</w:t>
      </w:r>
      <w:proofErr w:type="spellEnd"/>
      <w:r w:rsidR="00215FD9" w:rsidRPr="00153E63">
        <w:rPr>
          <w:rFonts w:ascii="Verdana" w:eastAsiaTheme="minorHAnsi" w:hAnsi="Verdana" w:cs="Calibri"/>
          <w:sz w:val="16"/>
          <w:szCs w:val="16"/>
          <w:lang w:val="en-US"/>
        </w:rPr>
        <w:t xml:space="preserve"> belongs</w:t>
      </w:r>
      <w:r w:rsidR="00153E63" w:rsidRPr="00153E63">
        <w:rPr>
          <w:rFonts w:ascii="Verdana" w:eastAsiaTheme="minorHAnsi" w:hAnsi="Verdana" w:cs="Calibri"/>
          <w:sz w:val="16"/>
          <w:szCs w:val="16"/>
          <w:lang w:val="en-US"/>
        </w:rPr>
        <w:t>”</w:t>
      </w:r>
      <w:r w:rsidR="00215FD9" w:rsidRPr="00153E63">
        <w:rPr>
          <w:rFonts w:ascii="Verdana" w:eastAsiaTheme="minorHAnsi" w:hAnsi="Verdana" w:cs="Calibri"/>
          <w:sz w:val="16"/>
          <w:szCs w:val="16"/>
          <w:lang w:val="en-US"/>
        </w:rPr>
        <w:t>.</w:t>
      </w:r>
      <w:r w:rsidR="00215FD9" w:rsidRPr="00153E63">
        <w:rPr>
          <w:rFonts w:ascii="Verdana" w:hAnsi="Verdana"/>
          <w:sz w:val="16"/>
          <w:szCs w:val="16"/>
          <w:highlight w:val="yellow"/>
          <w:lang w:val="en-US"/>
        </w:rPr>
        <w:t xml:space="preserve"> </w:t>
      </w:r>
    </w:p>
  </w:footnote>
  <w:footnote w:id="43">
    <w:p w14:paraId="6987CC81" w14:textId="21E106B6" w:rsidR="00DB19E8" w:rsidRPr="00353B3F" w:rsidRDefault="00DB19E8" w:rsidP="004B4C69">
      <w:pPr>
        <w:pStyle w:val="FootnoteText"/>
        <w:spacing w:after="60"/>
        <w:jc w:val="both"/>
        <w:rPr>
          <w:rFonts w:ascii="Verdana" w:hAnsi="Verdana"/>
          <w:sz w:val="16"/>
          <w:szCs w:val="16"/>
          <w:lang w:val="en-US"/>
        </w:rPr>
      </w:pPr>
      <w:r w:rsidRPr="00353B3F">
        <w:rPr>
          <w:rStyle w:val="FootnoteReference"/>
          <w:rFonts w:ascii="Verdana" w:hAnsi="Verdana"/>
          <w:sz w:val="16"/>
          <w:szCs w:val="16"/>
          <w:lang w:val="en-US"/>
        </w:rPr>
        <w:footnoteRef/>
      </w:r>
      <w:r w:rsidRPr="00353B3F">
        <w:rPr>
          <w:rFonts w:ascii="Verdana" w:hAnsi="Verdana"/>
          <w:sz w:val="16"/>
          <w:szCs w:val="16"/>
          <w:lang w:val="en-US"/>
        </w:rPr>
        <w:t xml:space="preserve"> </w:t>
      </w:r>
      <w:r w:rsidRPr="00353B3F">
        <w:rPr>
          <w:rFonts w:ascii="Verdana" w:hAnsi="Verdana"/>
          <w:sz w:val="16"/>
          <w:szCs w:val="16"/>
          <w:lang w:val="en-US"/>
        </w:rPr>
        <w:tab/>
        <w:t xml:space="preserve">Letter from the Head of Police of Suriname to the Minister of Justice and Police dated June 14, 2012 </w:t>
      </w:r>
      <w:r w:rsidRPr="00353B3F">
        <w:rPr>
          <w:rFonts w:ascii="Verdana" w:hAnsi="Verdana"/>
          <w:i/>
          <w:sz w:val="16"/>
          <w:szCs w:val="16"/>
          <w:lang w:val="en-US"/>
        </w:rPr>
        <w:t>(</w:t>
      </w:r>
      <w:r w:rsidRPr="00353B3F">
        <w:rPr>
          <w:rFonts w:ascii="Verdana" w:hAnsi="Verdana"/>
          <w:sz w:val="16"/>
          <w:szCs w:val="16"/>
          <w:lang w:val="en-US"/>
        </w:rPr>
        <w:t>presented by the State during the hearing of June 2012</w:t>
      </w:r>
      <w:r w:rsidRPr="00353B3F">
        <w:rPr>
          <w:rFonts w:ascii="Verdana" w:hAnsi="Verdana"/>
          <w:i/>
          <w:sz w:val="16"/>
          <w:szCs w:val="16"/>
          <w:lang w:val="en-US"/>
        </w:rPr>
        <w:t>).</w:t>
      </w:r>
    </w:p>
  </w:footnote>
  <w:footnote w:id="44">
    <w:p w14:paraId="19BD6202" w14:textId="75CF1A41" w:rsidR="00DB19E8" w:rsidRPr="00353B3F" w:rsidRDefault="00DB19E8" w:rsidP="004B4C69">
      <w:pPr>
        <w:pStyle w:val="FootnoteText"/>
        <w:spacing w:after="60"/>
        <w:jc w:val="both"/>
        <w:rPr>
          <w:rFonts w:ascii="Verdana" w:hAnsi="Verdana"/>
          <w:sz w:val="16"/>
          <w:szCs w:val="16"/>
          <w:lang w:val="en-US"/>
        </w:rPr>
      </w:pPr>
      <w:r w:rsidRPr="00353B3F">
        <w:rPr>
          <w:rStyle w:val="FootnoteReference"/>
          <w:rFonts w:ascii="Verdana" w:hAnsi="Verdana"/>
          <w:sz w:val="16"/>
          <w:szCs w:val="16"/>
          <w:lang w:val="en-US"/>
        </w:rPr>
        <w:footnoteRef/>
      </w:r>
      <w:r w:rsidRPr="00C25467">
        <w:rPr>
          <w:rFonts w:ascii="Verdana" w:hAnsi="Verdana"/>
          <w:sz w:val="16"/>
          <w:szCs w:val="16"/>
          <w:lang w:val="en-US"/>
        </w:rPr>
        <w:t xml:space="preserve"> </w:t>
      </w:r>
      <w:r w:rsidRPr="00C25467">
        <w:rPr>
          <w:rFonts w:ascii="Verdana" w:hAnsi="Verdana"/>
          <w:sz w:val="16"/>
          <w:szCs w:val="16"/>
          <w:lang w:val="en-US"/>
        </w:rPr>
        <w:tab/>
        <w:t>On that occasion, the Court noted that the State Estado “has transferred at least some of the monies ordered in the Judgment to the development fund and has submitted</w:t>
      </w:r>
      <w:r>
        <w:rPr>
          <w:rFonts w:ascii="Verdana" w:hAnsi="Verdana"/>
          <w:sz w:val="16"/>
          <w:szCs w:val="16"/>
          <w:lang w:val="en-US"/>
        </w:rPr>
        <w:t xml:space="preserve"> video footage of the houses it has built for the </w:t>
      </w:r>
      <w:proofErr w:type="spellStart"/>
      <w:r>
        <w:rPr>
          <w:rFonts w:ascii="Verdana" w:hAnsi="Verdana"/>
          <w:sz w:val="16"/>
          <w:szCs w:val="16"/>
          <w:lang w:val="en-US"/>
        </w:rPr>
        <w:t>Moiwana</w:t>
      </w:r>
      <w:proofErr w:type="spellEnd"/>
      <w:r>
        <w:rPr>
          <w:rFonts w:ascii="Verdana" w:hAnsi="Verdana"/>
          <w:sz w:val="16"/>
          <w:szCs w:val="16"/>
          <w:lang w:val="en-US"/>
        </w:rPr>
        <w:t xml:space="preserve"> Community”.</w:t>
      </w:r>
      <w:r w:rsidRPr="00C25467">
        <w:rPr>
          <w:rFonts w:ascii="Verdana" w:hAnsi="Verdana"/>
          <w:sz w:val="16"/>
          <w:szCs w:val="16"/>
          <w:lang w:val="en-US"/>
        </w:rPr>
        <w:t xml:space="preserve"> Nevertheless, the Court considered that “the information provided by the State is insufficient for the purpose of evaluating the extent of its compliance, particularly with respect to the five following issues: 1) the amount of the monies transferred to the development fund; 2) the construction of houses; 3) the location </w:t>
      </w:r>
      <w:r>
        <w:rPr>
          <w:rFonts w:ascii="Verdana" w:hAnsi="Verdana"/>
          <w:sz w:val="16"/>
          <w:szCs w:val="16"/>
          <w:lang w:val="en-US"/>
        </w:rPr>
        <w:t>of these houses; 4) the construction of facilities for education and healthcare; and 5) the status of the SSDI project”</w:t>
      </w:r>
      <w:r w:rsidRPr="00C25467">
        <w:rPr>
          <w:rFonts w:ascii="Verdana" w:hAnsi="Verdana"/>
          <w:sz w:val="16"/>
          <w:szCs w:val="16"/>
          <w:lang w:val="en-US"/>
        </w:rPr>
        <w:t xml:space="preserve">. </w:t>
      </w:r>
      <w:r w:rsidRPr="00353B3F">
        <w:rPr>
          <w:rFonts w:ascii="Verdana" w:hAnsi="Verdana"/>
          <w:i/>
          <w:sz w:val="16"/>
          <w:szCs w:val="16"/>
          <w:lang w:val="en-US"/>
        </w:rPr>
        <w:t xml:space="preserve">Cf. Case of the </w:t>
      </w:r>
      <w:proofErr w:type="spellStart"/>
      <w:r w:rsidRPr="00353B3F">
        <w:rPr>
          <w:rFonts w:ascii="Verdana" w:hAnsi="Verdana"/>
          <w:i/>
          <w:sz w:val="16"/>
          <w:szCs w:val="16"/>
          <w:lang w:val="en-US"/>
        </w:rPr>
        <w:t>Moiwana</w:t>
      </w:r>
      <w:proofErr w:type="spellEnd"/>
      <w:r w:rsidRPr="00353B3F">
        <w:rPr>
          <w:rFonts w:ascii="Verdana" w:hAnsi="Verdana"/>
          <w:i/>
          <w:sz w:val="16"/>
          <w:szCs w:val="16"/>
          <w:lang w:val="en-US"/>
        </w:rPr>
        <w:t xml:space="preserve"> Community v. Suriname. Monitoring compliance with judgment. </w:t>
      </w:r>
      <w:r w:rsidRPr="00353B3F">
        <w:rPr>
          <w:rFonts w:ascii="Verdana" w:hAnsi="Verdana"/>
          <w:sz w:val="16"/>
          <w:szCs w:val="16"/>
          <w:lang w:val="en-US"/>
        </w:rPr>
        <w:t xml:space="preserve">Order of the Inter-American Court of Human Rights of November 22, 2010, </w:t>
      </w:r>
      <w:r w:rsidRPr="00353B3F">
        <w:rPr>
          <w:rFonts w:ascii="Verdana" w:hAnsi="Verdana"/>
          <w:i/>
          <w:sz w:val="16"/>
          <w:szCs w:val="16"/>
          <w:lang w:val="en-US"/>
        </w:rPr>
        <w:t xml:space="preserve">considerandum </w:t>
      </w:r>
      <w:r w:rsidRPr="00353B3F">
        <w:rPr>
          <w:rFonts w:ascii="Verdana" w:hAnsi="Verdana"/>
          <w:sz w:val="16"/>
          <w:szCs w:val="16"/>
          <w:lang w:val="en-US"/>
        </w:rPr>
        <w:t>37.</w:t>
      </w:r>
    </w:p>
  </w:footnote>
  <w:footnote w:id="45">
    <w:p w14:paraId="1165A4D8" w14:textId="71C50CB9" w:rsidR="00DB19E8" w:rsidRPr="008462FE" w:rsidRDefault="00DB19E8" w:rsidP="004B4C69">
      <w:pPr>
        <w:pStyle w:val="FootnoteText"/>
        <w:spacing w:after="60"/>
        <w:jc w:val="both"/>
        <w:rPr>
          <w:rFonts w:ascii="Verdana" w:hAnsi="Verdana"/>
          <w:b/>
          <w:sz w:val="16"/>
          <w:szCs w:val="16"/>
          <w:lang w:val="en-US"/>
        </w:rPr>
      </w:pPr>
      <w:r w:rsidRPr="00353B3F">
        <w:rPr>
          <w:rStyle w:val="FootnoteReference"/>
          <w:rFonts w:ascii="Verdana" w:hAnsi="Verdana"/>
          <w:sz w:val="16"/>
          <w:szCs w:val="16"/>
          <w:lang w:val="en-US"/>
        </w:rPr>
        <w:footnoteRef/>
      </w:r>
      <w:r w:rsidRPr="008462FE">
        <w:rPr>
          <w:rFonts w:ascii="Verdana" w:hAnsi="Verdana"/>
          <w:sz w:val="16"/>
          <w:szCs w:val="16"/>
          <w:lang w:val="en-US"/>
        </w:rPr>
        <w:t xml:space="preserve"> </w:t>
      </w:r>
      <w:r w:rsidRPr="008462FE">
        <w:rPr>
          <w:rFonts w:ascii="Verdana" w:hAnsi="Verdana"/>
          <w:sz w:val="16"/>
          <w:szCs w:val="16"/>
          <w:lang w:val="en-US"/>
        </w:rPr>
        <w:tab/>
        <w:t xml:space="preserve">The State indicated that “[t]he payments were made as follows: Paid 1st tranche: USD 327,075 on 16-01-07 – receipt no. 29496[;] Paid 2nd tranche: USD 178,571 on 29-06-09 – receipt no. 10152[;] Paid 3rd tranche: USD 94354 on </w:t>
      </w:r>
      <w:r>
        <w:rPr>
          <w:rFonts w:ascii="Verdana" w:hAnsi="Verdana"/>
          <w:sz w:val="16"/>
          <w:szCs w:val="16"/>
          <w:lang w:val="en-US"/>
        </w:rPr>
        <w:t>08-10-09 – receipt no. 9093[;] Paid 4</w:t>
      </w:r>
      <w:r w:rsidRPr="008462FE">
        <w:rPr>
          <w:rFonts w:ascii="Verdana" w:hAnsi="Verdana"/>
          <w:sz w:val="16"/>
          <w:szCs w:val="16"/>
          <w:vertAlign w:val="superscript"/>
          <w:lang w:val="en-US"/>
        </w:rPr>
        <w:t>th</w:t>
      </w:r>
      <w:r>
        <w:rPr>
          <w:rFonts w:ascii="Verdana" w:hAnsi="Verdana"/>
          <w:sz w:val="16"/>
          <w:szCs w:val="16"/>
          <w:lang w:val="en-US"/>
        </w:rPr>
        <w:t xml:space="preserve"> tranche: USD 200,000 on 23-07-10 – receipt no. 13955[;] Paid 5</w:t>
      </w:r>
      <w:r w:rsidRPr="008462FE">
        <w:rPr>
          <w:rFonts w:ascii="Verdana" w:hAnsi="Verdana"/>
          <w:sz w:val="16"/>
          <w:szCs w:val="16"/>
          <w:vertAlign w:val="superscript"/>
          <w:lang w:val="en-US"/>
        </w:rPr>
        <w:t>th</w:t>
      </w:r>
      <w:r>
        <w:rPr>
          <w:rFonts w:ascii="Verdana" w:hAnsi="Verdana"/>
          <w:sz w:val="16"/>
          <w:szCs w:val="16"/>
          <w:lang w:val="en-US"/>
        </w:rPr>
        <w:t xml:space="preserve"> tranche: USD 400,000 on 05-10-10 – receipt no. 13977”</w:t>
      </w:r>
      <w:r w:rsidRPr="008462FE">
        <w:rPr>
          <w:rFonts w:ascii="Verdana" w:hAnsi="Verdana"/>
          <w:sz w:val="16"/>
          <w:szCs w:val="16"/>
          <w:lang w:val="en-US"/>
        </w:rPr>
        <w:t xml:space="preserve">. </w:t>
      </w:r>
    </w:p>
  </w:footnote>
  <w:footnote w:id="46">
    <w:p w14:paraId="0371BC34" w14:textId="305AF962" w:rsidR="00DB19E8" w:rsidRPr="00353B3F" w:rsidRDefault="00DB19E8" w:rsidP="004B4C69">
      <w:pPr>
        <w:pStyle w:val="FootnoteText"/>
        <w:spacing w:after="60"/>
        <w:jc w:val="both"/>
        <w:rPr>
          <w:rFonts w:ascii="Verdana" w:hAnsi="Verdana"/>
          <w:sz w:val="16"/>
          <w:szCs w:val="16"/>
          <w:lang w:val="en-US"/>
        </w:rPr>
      </w:pPr>
      <w:r w:rsidRPr="00353B3F">
        <w:rPr>
          <w:rStyle w:val="FootnoteReference"/>
          <w:rFonts w:ascii="Verdana" w:hAnsi="Verdana"/>
          <w:sz w:val="16"/>
          <w:szCs w:val="16"/>
          <w:lang w:val="en-US"/>
        </w:rPr>
        <w:footnoteRef/>
      </w:r>
      <w:r w:rsidRPr="00353B3F">
        <w:rPr>
          <w:rFonts w:ascii="Verdana" w:hAnsi="Verdana"/>
          <w:sz w:val="16"/>
          <w:szCs w:val="16"/>
          <w:lang w:val="en-US"/>
        </w:rPr>
        <w:t xml:space="preserve"> </w:t>
      </w:r>
      <w:r w:rsidRPr="00353B3F">
        <w:rPr>
          <w:rFonts w:ascii="Verdana" w:hAnsi="Verdana"/>
          <w:sz w:val="16"/>
          <w:szCs w:val="16"/>
          <w:lang w:val="en-US"/>
        </w:rPr>
        <w:tab/>
        <w:t xml:space="preserve">During the 2012 hearing, the State provided a video in which the external construction of some of the said houses can be seen.  </w:t>
      </w:r>
    </w:p>
  </w:footnote>
  <w:footnote w:id="47">
    <w:p w14:paraId="1DD65B93" w14:textId="6B8C4E86" w:rsidR="00DB19E8" w:rsidRPr="00353B3F" w:rsidRDefault="00DB19E8" w:rsidP="004B4C69">
      <w:pPr>
        <w:pStyle w:val="FootnoteText"/>
        <w:spacing w:after="60"/>
        <w:jc w:val="both"/>
        <w:rPr>
          <w:rFonts w:ascii="Verdana" w:hAnsi="Verdana"/>
          <w:sz w:val="16"/>
          <w:szCs w:val="16"/>
          <w:lang w:val="en-US"/>
        </w:rPr>
      </w:pPr>
      <w:r w:rsidRPr="00353B3F">
        <w:rPr>
          <w:rStyle w:val="FootnoteReference"/>
          <w:rFonts w:ascii="Verdana" w:hAnsi="Verdana"/>
          <w:sz w:val="16"/>
          <w:szCs w:val="16"/>
          <w:lang w:val="en-US"/>
        </w:rPr>
        <w:footnoteRef/>
      </w:r>
      <w:r w:rsidRPr="00353B3F">
        <w:rPr>
          <w:rFonts w:ascii="Verdana" w:hAnsi="Verdana"/>
          <w:sz w:val="16"/>
          <w:szCs w:val="16"/>
          <w:lang w:val="en-US"/>
        </w:rPr>
        <w:t xml:space="preserve"> </w:t>
      </w:r>
      <w:r w:rsidRPr="00353B3F">
        <w:rPr>
          <w:rFonts w:ascii="Verdana" w:hAnsi="Verdana"/>
          <w:sz w:val="16"/>
          <w:szCs w:val="16"/>
          <w:lang w:val="en-US"/>
        </w:rPr>
        <w:tab/>
      </w:r>
      <w:r w:rsidRPr="00353B3F">
        <w:rPr>
          <w:rFonts w:ascii="Verdana" w:hAnsi="Verdana"/>
          <w:i/>
          <w:sz w:val="16"/>
          <w:szCs w:val="16"/>
          <w:lang w:val="en-US"/>
        </w:rPr>
        <w:t xml:space="preserve">Cf. </w:t>
      </w:r>
      <w:r w:rsidRPr="00353B3F">
        <w:rPr>
          <w:rFonts w:ascii="Verdana" w:hAnsi="Verdana"/>
          <w:bCs/>
          <w:i/>
          <w:sz w:val="16"/>
          <w:szCs w:val="16"/>
          <w:lang w:val="en-US"/>
        </w:rPr>
        <w:t>Case of the Saramaka People v. Suriname. Monitoring compliance with judgment</w:t>
      </w:r>
      <w:r w:rsidRPr="00353B3F">
        <w:rPr>
          <w:rFonts w:ascii="Verdana" w:hAnsi="Verdana"/>
          <w:bCs/>
          <w:sz w:val="16"/>
          <w:szCs w:val="16"/>
          <w:lang w:val="en-US"/>
        </w:rPr>
        <w:t xml:space="preserve">. Order of the Inter-American Court of Human Rights of September 26, 2018, </w:t>
      </w:r>
      <w:r w:rsidRPr="00353B3F">
        <w:rPr>
          <w:rFonts w:ascii="Verdana" w:hAnsi="Verdana"/>
          <w:bCs/>
          <w:i/>
          <w:sz w:val="16"/>
          <w:szCs w:val="16"/>
          <w:lang w:val="en-US"/>
        </w:rPr>
        <w:t xml:space="preserve">considerandum </w:t>
      </w:r>
      <w:r w:rsidRPr="00353B3F">
        <w:rPr>
          <w:rFonts w:ascii="Verdana" w:hAnsi="Verdana"/>
          <w:bCs/>
          <w:sz w:val="16"/>
          <w:szCs w:val="16"/>
          <w:lang w:val="en-US"/>
        </w:rPr>
        <w:t>48.</w:t>
      </w:r>
    </w:p>
    <w:p w14:paraId="4383CC92" w14:textId="77777777" w:rsidR="00DB19E8" w:rsidRPr="00353B3F" w:rsidRDefault="00DB19E8" w:rsidP="004B4C69">
      <w:pPr>
        <w:pStyle w:val="FootnoteText"/>
        <w:spacing w:after="60"/>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E7AE2" w14:textId="77777777" w:rsidR="00DB19E8" w:rsidRDefault="00DB19E8" w:rsidP="00012F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B7066D" w14:textId="77777777" w:rsidR="00DB19E8" w:rsidRDefault="00DB19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BAE79" w14:textId="77777777" w:rsidR="00DB19E8" w:rsidRDefault="00DB19E8" w:rsidP="00012F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655E">
      <w:rPr>
        <w:rStyle w:val="PageNumber"/>
        <w:noProof/>
      </w:rPr>
      <w:t>- 7 -</w:t>
    </w:r>
    <w:r>
      <w:rPr>
        <w:rStyle w:val="PageNumber"/>
      </w:rPr>
      <w:fldChar w:fldCharType="end"/>
    </w:r>
  </w:p>
  <w:p w14:paraId="63B028D7" w14:textId="77777777" w:rsidR="00DB19E8" w:rsidRDefault="00DB1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2AE6"/>
    <w:multiLevelType w:val="multilevel"/>
    <w:tmpl w:val="86806766"/>
    <w:lvl w:ilvl="0">
      <w:start w:val="1"/>
      <w:numFmt w:val="decimal"/>
      <w:lvlText w:val="%1."/>
      <w:lvlJc w:val="left"/>
      <w:pPr>
        <w:ind w:left="720" w:hanging="360"/>
      </w:pPr>
    </w:lvl>
    <w:lvl w:ilvl="1">
      <w:start w:val="2"/>
      <w:numFmt w:val="decimal"/>
      <w:isLgl/>
      <w:lvlText w:val="%1.%2."/>
      <w:lvlJc w:val="left"/>
      <w:pPr>
        <w:ind w:left="1140" w:hanging="720"/>
      </w:pPr>
    </w:lvl>
    <w:lvl w:ilvl="2">
      <w:start w:val="1"/>
      <w:numFmt w:val="decimal"/>
      <w:isLgl/>
      <w:lvlText w:val="%1.%2.%3."/>
      <w:lvlJc w:val="left"/>
      <w:pPr>
        <w:ind w:left="1200" w:hanging="720"/>
      </w:pPr>
    </w:lvl>
    <w:lvl w:ilvl="3">
      <w:start w:val="1"/>
      <w:numFmt w:val="decimal"/>
      <w:isLgl/>
      <w:lvlText w:val="%1.%2.%3.%4."/>
      <w:lvlJc w:val="left"/>
      <w:pPr>
        <w:ind w:left="1620" w:hanging="1080"/>
      </w:pPr>
    </w:lvl>
    <w:lvl w:ilvl="4">
      <w:start w:val="1"/>
      <w:numFmt w:val="decimal"/>
      <w:isLgl/>
      <w:lvlText w:val="%1.%2.%3.%4.%5."/>
      <w:lvlJc w:val="left"/>
      <w:pPr>
        <w:ind w:left="2040" w:hanging="1440"/>
      </w:pPr>
    </w:lvl>
    <w:lvl w:ilvl="5">
      <w:start w:val="1"/>
      <w:numFmt w:val="decimal"/>
      <w:isLgl/>
      <w:lvlText w:val="%1.%2.%3.%4.%5.%6."/>
      <w:lvlJc w:val="left"/>
      <w:pPr>
        <w:ind w:left="2100" w:hanging="1440"/>
      </w:pPr>
    </w:lvl>
    <w:lvl w:ilvl="6">
      <w:start w:val="1"/>
      <w:numFmt w:val="decimal"/>
      <w:isLgl/>
      <w:lvlText w:val="%1.%2.%3.%4.%5.%6.%7."/>
      <w:lvlJc w:val="left"/>
      <w:pPr>
        <w:ind w:left="2520" w:hanging="1800"/>
      </w:pPr>
    </w:lvl>
    <w:lvl w:ilvl="7">
      <w:start w:val="1"/>
      <w:numFmt w:val="decimal"/>
      <w:isLgl/>
      <w:lvlText w:val="%1.%2.%3.%4.%5.%6.%7.%8."/>
      <w:lvlJc w:val="left"/>
      <w:pPr>
        <w:ind w:left="2940" w:hanging="2160"/>
      </w:pPr>
    </w:lvl>
    <w:lvl w:ilvl="8">
      <w:start w:val="1"/>
      <w:numFmt w:val="decimal"/>
      <w:isLgl/>
      <w:lvlText w:val="%1.%2.%3.%4.%5.%6.%7.%8.%9."/>
      <w:lvlJc w:val="left"/>
      <w:pPr>
        <w:ind w:left="3000" w:hanging="2160"/>
      </w:pPr>
    </w:lvl>
  </w:abstractNum>
  <w:abstractNum w:abstractNumId="1">
    <w:nsid w:val="188A11C0"/>
    <w:multiLevelType w:val="hybridMultilevel"/>
    <w:tmpl w:val="71B8238A"/>
    <w:lvl w:ilvl="0" w:tplc="7D62995E">
      <w:start w:val="1"/>
      <w:numFmt w:val="decimal"/>
      <w:lvlText w:val="%1."/>
      <w:lvlJc w:val="left"/>
      <w:pPr>
        <w:ind w:left="360" w:hanging="360"/>
      </w:pPr>
      <w:rPr>
        <w:rFonts w:ascii="Verdana" w:hAnsi="Verdana" w:hint="default"/>
        <w:b w:val="0"/>
        <w:i w:val="0"/>
        <w:sz w:val="20"/>
        <w:szCs w:val="20"/>
      </w:rPr>
    </w:lvl>
    <w:lvl w:ilvl="1" w:tplc="140A0019">
      <w:start w:val="1"/>
      <w:numFmt w:val="lowerLetter"/>
      <w:lvlText w:val="%2."/>
      <w:lvlJc w:val="left"/>
      <w:pPr>
        <w:ind w:left="270" w:hanging="360"/>
      </w:pPr>
    </w:lvl>
    <w:lvl w:ilvl="2" w:tplc="140A001B">
      <w:start w:val="1"/>
      <w:numFmt w:val="lowerRoman"/>
      <w:lvlText w:val="%3."/>
      <w:lvlJc w:val="right"/>
      <w:pPr>
        <w:ind w:left="990" w:hanging="180"/>
      </w:pPr>
    </w:lvl>
    <w:lvl w:ilvl="3" w:tplc="140A000F">
      <w:start w:val="1"/>
      <w:numFmt w:val="decimal"/>
      <w:lvlText w:val="%4."/>
      <w:lvlJc w:val="left"/>
      <w:pPr>
        <w:ind w:left="1710" w:hanging="360"/>
      </w:pPr>
    </w:lvl>
    <w:lvl w:ilvl="4" w:tplc="140A0019">
      <w:start w:val="1"/>
      <w:numFmt w:val="lowerLetter"/>
      <w:lvlText w:val="%5."/>
      <w:lvlJc w:val="left"/>
      <w:pPr>
        <w:ind w:left="2430" w:hanging="360"/>
      </w:pPr>
    </w:lvl>
    <w:lvl w:ilvl="5" w:tplc="140A001B">
      <w:start w:val="1"/>
      <w:numFmt w:val="lowerRoman"/>
      <w:lvlText w:val="%6."/>
      <w:lvlJc w:val="right"/>
      <w:pPr>
        <w:ind w:left="3150" w:hanging="180"/>
      </w:pPr>
    </w:lvl>
    <w:lvl w:ilvl="6" w:tplc="140A000F">
      <w:start w:val="1"/>
      <w:numFmt w:val="decimal"/>
      <w:lvlText w:val="%7."/>
      <w:lvlJc w:val="left"/>
      <w:pPr>
        <w:ind w:left="3870" w:hanging="360"/>
      </w:pPr>
    </w:lvl>
    <w:lvl w:ilvl="7" w:tplc="140A0019">
      <w:start w:val="1"/>
      <w:numFmt w:val="lowerLetter"/>
      <w:lvlText w:val="%8."/>
      <w:lvlJc w:val="left"/>
      <w:pPr>
        <w:ind w:left="4590" w:hanging="360"/>
      </w:pPr>
    </w:lvl>
    <w:lvl w:ilvl="8" w:tplc="140A001B">
      <w:start w:val="1"/>
      <w:numFmt w:val="lowerRoman"/>
      <w:lvlText w:val="%9."/>
      <w:lvlJc w:val="right"/>
      <w:pPr>
        <w:ind w:left="5310" w:hanging="180"/>
      </w:pPr>
    </w:lvl>
  </w:abstractNum>
  <w:abstractNum w:abstractNumId="2">
    <w:nsid w:val="1B6059A7"/>
    <w:multiLevelType w:val="hybridMultilevel"/>
    <w:tmpl w:val="75C0CA12"/>
    <w:lvl w:ilvl="0" w:tplc="BE88D86E">
      <w:start w:val="1"/>
      <w:numFmt w:val="decimal"/>
      <w:lvlText w:val="%1."/>
      <w:lvlJc w:val="left"/>
      <w:pPr>
        <w:ind w:left="360" w:hanging="360"/>
      </w:pPr>
      <w:rPr>
        <w:rFonts w:hint="default"/>
        <w:b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nsid w:val="1B776C1F"/>
    <w:multiLevelType w:val="hybridMultilevel"/>
    <w:tmpl w:val="A77E177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264D0CB0"/>
    <w:multiLevelType w:val="hybridMultilevel"/>
    <w:tmpl w:val="F4C01C30"/>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284A524C"/>
    <w:multiLevelType w:val="hybridMultilevel"/>
    <w:tmpl w:val="5F56C960"/>
    <w:lvl w:ilvl="0" w:tplc="DB028CCA">
      <w:start w:val="1"/>
      <w:numFmt w:val="decimal"/>
      <w:lvlText w:val="%1."/>
      <w:lvlJc w:val="left"/>
      <w:pPr>
        <w:ind w:left="360" w:hanging="360"/>
      </w:pPr>
      <w:rPr>
        <w:color w:val="auto"/>
        <w:sz w:val="20"/>
        <w:szCs w:val="2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6">
    <w:nsid w:val="2FD36B53"/>
    <w:multiLevelType w:val="hybridMultilevel"/>
    <w:tmpl w:val="117E5F24"/>
    <w:lvl w:ilvl="0" w:tplc="140A0015">
      <w:start w:val="1"/>
      <w:numFmt w:val="upp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nsid w:val="40FB2158"/>
    <w:multiLevelType w:val="hybridMultilevel"/>
    <w:tmpl w:val="6D38931A"/>
    <w:lvl w:ilvl="0" w:tplc="03D8E2F4">
      <w:start w:val="1"/>
      <w:numFmt w:val="lowerLetter"/>
      <w:lvlText w:val="%1)"/>
      <w:lvlJc w:val="left"/>
      <w:pPr>
        <w:ind w:left="1065" w:hanging="360"/>
      </w:pPr>
      <w:rPr>
        <w:rFonts w:hint="default"/>
      </w:rPr>
    </w:lvl>
    <w:lvl w:ilvl="1" w:tplc="140A0019" w:tentative="1">
      <w:start w:val="1"/>
      <w:numFmt w:val="lowerLetter"/>
      <w:lvlText w:val="%2."/>
      <w:lvlJc w:val="left"/>
      <w:pPr>
        <w:ind w:left="1785" w:hanging="360"/>
      </w:pPr>
    </w:lvl>
    <w:lvl w:ilvl="2" w:tplc="140A001B" w:tentative="1">
      <w:start w:val="1"/>
      <w:numFmt w:val="lowerRoman"/>
      <w:lvlText w:val="%3."/>
      <w:lvlJc w:val="right"/>
      <w:pPr>
        <w:ind w:left="2505" w:hanging="180"/>
      </w:pPr>
    </w:lvl>
    <w:lvl w:ilvl="3" w:tplc="140A000F" w:tentative="1">
      <w:start w:val="1"/>
      <w:numFmt w:val="decimal"/>
      <w:lvlText w:val="%4."/>
      <w:lvlJc w:val="left"/>
      <w:pPr>
        <w:ind w:left="3225" w:hanging="360"/>
      </w:pPr>
    </w:lvl>
    <w:lvl w:ilvl="4" w:tplc="140A0019" w:tentative="1">
      <w:start w:val="1"/>
      <w:numFmt w:val="lowerLetter"/>
      <w:lvlText w:val="%5."/>
      <w:lvlJc w:val="left"/>
      <w:pPr>
        <w:ind w:left="3945" w:hanging="360"/>
      </w:pPr>
    </w:lvl>
    <w:lvl w:ilvl="5" w:tplc="140A001B" w:tentative="1">
      <w:start w:val="1"/>
      <w:numFmt w:val="lowerRoman"/>
      <w:lvlText w:val="%6."/>
      <w:lvlJc w:val="right"/>
      <w:pPr>
        <w:ind w:left="4665" w:hanging="180"/>
      </w:pPr>
    </w:lvl>
    <w:lvl w:ilvl="6" w:tplc="140A000F" w:tentative="1">
      <w:start w:val="1"/>
      <w:numFmt w:val="decimal"/>
      <w:lvlText w:val="%7."/>
      <w:lvlJc w:val="left"/>
      <w:pPr>
        <w:ind w:left="5385" w:hanging="360"/>
      </w:pPr>
    </w:lvl>
    <w:lvl w:ilvl="7" w:tplc="140A0019" w:tentative="1">
      <w:start w:val="1"/>
      <w:numFmt w:val="lowerLetter"/>
      <w:lvlText w:val="%8."/>
      <w:lvlJc w:val="left"/>
      <w:pPr>
        <w:ind w:left="6105" w:hanging="360"/>
      </w:pPr>
    </w:lvl>
    <w:lvl w:ilvl="8" w:tplc="140A001B" w:tentative="1">
      <w:start w:val="1"/>
      <w:numFmt w:val="lowerRoman"/>
      <w:lvlText w:val="%9."/>
      <w:lvlJc w:val="right"/>
      <w:pPr>
        <w:ind w:left="6825" w:hanging="180"/>
      </w:pPr>
    </w:lvl>
  </w:abstractNum>
  <w:abstractNum w:abstractNumId="8">
    <w:nsid w:val="558A5DB1"/>
    <w:multiLevelType w:val="hybridMultilevel"/>
    <w:tmpl w:val="678AB6EC"/>
    <w:lvl w:ilvl="0" w:tplc="140A0017">
      <w:start w:val="1"/>
      <w:numFmt w:val="lowerLetter"/>
      <w:lvlText w:val="%1)"/>
      <w:lvlJc w:val="left"/>
      <w:pPr>
        <w:ind w:left="720" w:hanging="36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57BD477D"/>
    <w:multiLevelType w:val="hybridMultilevel"/>
    <w:tmpl w:val="5C1AC82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5ED900D8"/>
    <w:multiLevelType w:val="hybridMultilevel"/>
    <w:tmpl w:val="A126E176"/>
    <w:lvl w:ilvl="0" w:tplc="F992F39C">
      <w:start w:val="1"/>
      <w:numFmt w:val="decimal"/>
      <w:lvlText w:val="%1."/>
      <w:lvlJc w:val="left"/>
      <w:pPr>
        <w:ind w:left="450" w:hanging="360"/>
      </w:pPr>
      <w:rPr>
        <w:rFonts w:hint="default"/>
        <w:b w:val="0"/>
        <w:strike w:val="0"/>
        <w:color w:val="auto"/>
        <w:sz w:val="20"/>
        <w:szCs w:val="20"/>
      </w:rPr>
    </w:lvl>
    <w:lvl w:ilvl="1" w:tplc="140A0019">
      <w:start w:val="1"/>
      <w:numFmt w:val="lowerLetter"/>
      <w:lvlText w:val="%2."/>
      <w:lvlJc w:val="left"/>
      <w:pPr>
        <w:ind w:left="108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648630B3"/>
    <w:multiLevelType w:val="hybridMultilevel"/>
    <w:tmpl w:val="25B03398"/>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7A0B4833"/>
    <w:multiLevelType w:val="hybridMultilevel"/>
    <w:tmpl w:val="4E4C3882"/>
    <w:lvl w:ilvl="0" w:tplc="21143C48">
      <w:start w:val="1"/>
      <w:numFmt w:val="decimal"/>
      <w:lvlText w:val="%1."/>
      <w:lvlJc w:val="left"/>
      <w:pPr>
        <w:ind w:left="360" w:hanging="360"/>
      </w:pPr>
      <w:rPr>
        <w:rFonts w:ascii="Verdana" w:hAnsi="Verdana" w:hint="default"/>
        <w:b w:val="0"/>
        <w:color w:val="auto"/>
        <w:sz w:val="20"/>
        <w:szCs w:val="20"/>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nsid w:val="7F622484"/>
    <w:multiLevelType w:val="hybridMultilevel"/>
    <w:tmpl w:val="83DAD4CE"/>
    <w:lvl w:ilvl="0" w:tplc="79287B2A">
      <w:start w:val="1"/>
      <w:numFmt w:val="decimal"/>
      <w:lvlText w:val="%1."/>
      <w:lvlJc w:val="left"/>
      <w:pPr>
        <w:ind w:left="360" w:hanging="360"/>
      </w:pPr>
      <w:rPr>
        <w:rFonts w:ascii="Verdana" w:hAnsi="Verdana" w:hint="default"/>
        <w:b w:val="0"/>
        <w:sz w:val="20"/>
        <w:szCs w:val="20"/>
      </w:rPr>
    </w:lvl>
    <w:lvl w:ilvl="1" w:tplc="140A0019">
      <w:start w:val="1"/>
      <w:numFmt w:val="lowerLetter"/>
      <w:lvlText w:val="%2."/>
      <w:lvlJc w:val="left"/>
      <w:pPr>
        <w:ind w:left="270" w:hanging="360"/>
      </w:pPr>
    </w:lvl>
    <w:lvl w:ilvl="2" w:tplc="140A001B">
      <w:start w:val="1"/>
      <w:numFmt w:val="lowerRoman"/>
      <w:lvlText w:val="%3."/>
      <w:lvlJc w:val="right"/>
      <w:pPr>
        <w:ind w:left="990" w:hanging="180"/>
      </w:pPr>
    </w:lvl>
    <w:lvl w:ilvl="3" w:tplc="140A000F">
      <w:start w:val="1"/>
      <w:numFmt w:val="decimal"/>
      <w:lvlText w:val="%4."/>
      <w:lvlJc w:val="left"/>
      <w:pPr>
        <w:ind w:left="1710" w:hanging="360"/>
      </w:pPr>
    </w:lvl>
    <w:lvl w:ilvl="4" w:tplc="140A0019">
      <w:start w:val="1"/>
      <w:numFmt w:val="lowerLetter"/>
      <w:lvlText w:val="%5."/>
      <w:lvlJc w:val="left"/>
      <w:pPr>
        <w:ind w:left="2430" w:hanging="360"/>
      </w:pPr>
    </w:lvl>
    <w:lvl w:ilvl="5" w:tplc="140A001B">
      <w:start w:val="1"/>
      <w:numFmt w:val="lowerRoman"/>
      <w:lvlText w:val="%6."/>
      <w:lvlJc w:val="right"/>
      <w:pPr>
        <w:ind w:left="3150" w:hanging="180"/>
      </w:pPr>
    </w:lvl>
    <w:lvl w:ilvl="6" w:tplc="140A000F">
      <w:start w:val="1"/>
      <w:numFmt w:val="decimal"/>
      <w:lvlText w:val="%7."/>
      <w:lvlJc w:val="left"/>
      <w:pPr>
        <w:ind w:left="3870" w:hanging="360"/>
      </w:pPr>
    </w:lvl>
    <w:lvl w:ilvl="7" w:tplc="140A0019">
      <w:start w:val="1"/>
      <w:numFmt w:val="lowerLetter"/>
      <w:lvlText w:val="%8."/>
      <w:lvlJc w:val="left"/>
      <w:pPr>
        <w:ind w:left="4590" w:hanging="360"/>
      </w:pPr>
    </w:lvl>
    <w:lvl w:ilvl="8" w:tplc="140A001B">
      <w:start w:val="1"/>
      <w:numFmt w:val="lowerRoman"/>
      <w:lvlText w:val="%9."/>
      <w:lvlJc w:val="right"/>
      <w:pPr>
        <w:ind w:left="531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9"/>
  </w:num>
  <w:num w:numId="11">
    <w:abstractNumId w:val="1"/>
  </w:num>
  <w:num w:numId="12">
    <w:abstractNumId w:val="11"/>
  </w:num>
  <w:num w:numId="13">
    <w:abstractNumId w:val="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3AF"/>
    <w:rsid w:val="0000209B"/>
    <w:rsid w:val="000025B8"/>
    <w:rsid w:val="00012F47"/>
    <w:rsid w:val="00030928"/>
    <w:rsid w:val="0003637E"/>
    <w:rsid w:val="000372F1"/>
    <w:rsid w:val="0004230B"/>
    <w:rsid w:val="0004519B"/>
    <w:rsid w:val="00052A96"/>
    <w:rsid w:val="0005401F"/>
    <w:rsid w:val="00067E2A"/>
    <w:rsid w:val="000743D8"/>
    <w:rsid w:val="00074A8F"/>
    <w:rsid w:val="00091A30"/>
    <w:rsid w:val="000A1FCF"/>
    <w:rsid w:val="000A6CED"/>
    <w:rsid w:val="000B435E"/>
    <w:rsid w:val="000C0D30"/>
    <w:rsid w:val="000D007D"/>
    <w:rsid w:val="000D2392"/>
    <w:rsid w:val="000D23B8"/>
    <w:rsid w:val="000D3668"/>
    <w:rsid w:val="000E77F5"/>
    <w:rsid w:val="000F2F38"/>
    <w:rsid w:val="0010690A"/>
    <w:rsid w:val="00111B3E"/>
    <w:rsid w:val="00130802"/>
    <w:rsid w:val="00133B8A"/>
    <w:rsid w:val="00144F68"/>
    <w:rsid w:val="00152C75"/>
    <w:rsid w:val="00153E63"/>
    <w:rsid w:val="00160BE3"/>
    <w:rsid w:val="001659F2"/>
    <w:rsid w:val="00170388"/>
    <w:rsid w:val="00173750"/>
    <w:rsid w:val="00174292"/>
    <w:rsid w:val="001A0C14"/>
    <w:rsid w:val="001A18C4"/>
    <w:rsid w:val="001B4049"/>
    <w:rsid w:val="001B7293"/>
    <w:rsid w:val="001C20E5"/>
    <w:rsid w:val="001C29EF"/>
    <w:rsid w:val="001C2D03"/>
    <w:rsid w:val="001C39AA"/>
    <w:rsid w:val="001E1231"/>
    <w:rsid w:val="001E6DA1"/>
    <w:rsid w:val="001F0452"/>
    <w:rsid w:val="001F2CB2"/>
    <w:rsid w:val="001F5FE6"/>
    <w:rsid w:val="001F612A"/>
    <w:rsid w:val="0020114D"/>
    <w:rsid w:val="0020295A"/>
    <w:rsid w:val="00202DDA"/>
    <w:rsid w:val="0020358F"/>
    <w:rsid w:val="00215FD9"/>
    <w:rsid w:val="00221C6D"/>
    <w:rsid w:val="00233AD5"/>
    <w:rsid w:val="0023612A"/>
    <w:rsid w:val="002438BF"/>
    <w:rsid w:val="00247194"/>
    <w:rsid w:val="00250C12"/>
    <w:rsid w:val="00254F6A"/>
    <w:rsid w:val="002564D0"/>
    <w:rsid w:val="00256AED"/>
    <w:rsid w:val="0025762E"/>
    <w:rsid w:val="00270E1F"/>
    <w:rsid w:val="0027241A"/>
    <w:rsid w:val="00281C6B"/>
    <w:rsid w:val="0028498D"/>
    <w:rsid w:val="00286935"/>
    <w:rsid w:val="00296B69"/>
    <w:rsid w:val="002A4F53"/>
    <w:rsid w:val="002A5301"/>
    <w:rsid w:val="002B4F7B"/>
    <w:rsid w:val="002C6279"/>
    <w:rsid w:val="002C6AA2"/>
    <w:rsid w:val="002C6F3D"/>
    <w:rsid w:val="002D32E1"/>
    <w:rsid w:val="002D3C89"/>
    <w:rsid w:val="002E465F"/>
    <w:rsid w:val="002E5F91"/>
    <w:rsid w:val="002F1BB7"/>
    <w:rsid w:val="002F52D3"/>
    <w:rsid w:val="002F61B9"/>
    <w:rsid w:val="00311690"/>
    <w:rsid w:val="00316E39"/>
    <w:rsid w:val="00330210"/>
    <w:rsid w:val="003309EA"/>
    <w:rsid w:val="003402D9"/>
    <w:rsid w:val="003429D4"/>
    <w:rsid w:val="003451C9"/>
    <w:rsid w:val="003523B4"/>
    <w:rsid w:val="00353B3F"/>
    <w:rsid w:val="003678C8"/>
    <w:rsid w:val="00367A46"/>
    <w:rsid w:val="0037052D"/>
    <w:rsid w:val="00377CEB"/>
    <w:rsid w:val="00380448"/>
    <w:rsid w:val="003817CF"/>
    <w:rsid w:val="00386FBD"/>
    <w:rsid w:val="003925B7"/>
    <w:rsid w:val="003947FB"/>
    <w:rsid w:val="00396FAA"/>
    <w:rsid w:val="00397568"/>
    <w:rsid w:val="003A23EB"/>
    <w:rsid w:val="003A3D27"/>
    <w:rsid w:val="003A5F0D"/>
    <w:rsid w:val="003B0FA0"/>
    <w:rsid w:val="003B2996"/>
    <w:rsid w:val="003B6EC8"/>
    <w:rsid w:val="003C06C7"/>
    <w:rsid w:val="003C1648"/>
    <w:rsid w:val="003D2279"/>
    <w:rsid w:val="003E791A"/>
    <w:rsid w:val="003F15FE"/>
    <w:rsid w:val="003F2FB3"/>
    <w:rsid w:val="003F794B"/>
    <w:rsid w:val="00402B4B"/>
    <w:rsid w:val="0040319D"/>
    <w:rsid w:val="00406469"/>
    <w:rsid w:val="00410E08"/>
    <w:rsid w:val="00412E82"/>
    <w:rsid w:val="0042778E"/>
    <w:rsid w:val="004329A6"/>
    <w:rsid w:val="00434643"/>
    <w:rsid w:val="00444EAE"/>
    <w:rsid w:val="00451748"/>
    <w:rsid w:val="004543E3"/>
    <w:rsid w:val="00457725"/>
    <w:rsid w:val="0046467B"/>
    <w:rsid w:val="004666DB"/>
    <w:rsid w:val="0047431F"/>
    <w:rsid w:val="00484EB4"/>
    <w:rsid w:val="00492E1E"/>
    <w:rsid w:val="004932E8"/>
    <w:rsid w:val="00493A2D"/>
    <w:rsid w:val="00497CB7"/>
    <w:rsid w:val="004A2DC1"/>
    <w:rsid w:val="004A73B1"/>
    <w:rsid w:val="004B1DE1"/>
    <w:rsid w:val="004B3B04"/>
    <w:rsid w:val="004B4C69"/>
    <w:rsid w:val="004B4D30"/>
    <w:rsid w:val="004B4E2B"/>
    <w:rsid w:val="004B60AA"/>
    <w:rsid w:val="004B7D12"/>
    <w:rsid w:val="004C0F69"/>
    <w:rsid w:val="004C2608"/>
    <w:rsid w:val="004C2683"/>
    <w:rsid w:val="004C7527"/>
    <w:rsid w:val="004D3F03"/>
    <w:rsid w:val="004E1A03"/>
    <w:rsid w:val="004E1A95"/>
    <w:rsid w:val="004E1C83"/>
    <w:rsid w:val="004E5BA4"/>
    <w:rsid w:val="004F38C4"/>
    <w:rsid w:val="004F3A51"/>
    <w:rsid w:val="0050309E"/>
    <w:rsid w:val="00503CDA"/>
    <w:rsid w:val="00506B25"/>
    <w:rsid w:val="005071A8"/>
    <w:rsid w:val="00510C2B"/>
    <w:rsid w:val="00511B5B"/>
    <w:rsid w:val="00512DE0"/>
    <w:rsid w:val="00514FC9"/>
    <w:rsid w:val="005173AF"/>
    <w:rsid w:val="00517627"/>
    <w:rsid w:val="00532E17"/>
    <w:rsid w:val="00543BCB"/>
    <w:rsid w:val="005455A0"/>
    <w:rsid w:val="00554CCB"/>
    <w:rsid w:val="00556E82"/>
    <w:rsid w:val="00564A03"/>
    <w:rsid w:val="0057307D"/>
    <w:rsid w:val="005767B6"/>
    <w:rsid w:val="00576B8A"/>
    <w:rsid w:val="005937E0"/>
    <w:rsid w:val="005947DB"/>
    <w:rsid w:val="00595B97"/>
    <w:rsid w:val="005A5D51"/>
    <w:rsid w:val="005B58D1"/>
    <w:rsid w:val="005B7A94"/>
    <w:rsid w:val="005C1E26"/>
    <w:rsid w:val="005C2E8D"/>
    <w:rsid w:val="005D1F9E"/>
    <w:rsid w:val="005D2977"/>
    <w:rsid w:val="005D7379"/>
    <w:rsid w:val="005E015A"/>
    <w:rsid w:val="005E121F"/>
    <w:rsid w:val="005E207E"/>
    <w:rsid w:val="005E568B"/>
    <w:rsid w:val="005F7B17"/>
    <w:rsid w:val="0061138F"/>
    <w:rsid w:val="00611F86"/>
    <w:rsid w:val="00613FDF"/>
    <w:rsid w:val="00622231"/>
    <w:rsid w:val="00622B04"/>
    <w:rsid w:val="00626795"/>
    <w:rsid w:val="00641022"/>
    <w:rsid w:val="00643D33"/>
    <w:rsid w:val="00645510"/>
    <w:rsid w:val="00647CD5"/>
    <w:rsid w:val="006530AB"/>
    <w:rsid w:val="00660591"/>
    <w:rsid w:val="00663307"/>
    <w:rsid w:val="00663414"/>
    <w:rsid w:val="0066640B"/>
    <w:rsid w:val="00667B80"/>
    <w:rsid w:val="0067247F"/>
    <w:rsid w:val="006749DB"/>
    <w:rsid w:val="0068451A"/>
    <w:rsid w:val="00687FB3"/>
    <w:rsid w:val="0069554E"/>
    <w:rsid w:val="00695A30"/>
    <w:rsid w:val="0069767E"/>
    <w:rsid w:val="00697997"/>
    <w:rsid w:val="006A5160"/>
    <w:rsid w:val="006B2768"/>
    <w:rsid w:val="006B2780"/>
    <w:rsid w:val="006B4B99"/>
    <w:rsid w:val="006C067A"/>
    <w:rsid w:val="006C1748"/>
    <w:rsid w:val="006C4589"/>
    <w:rsid w:val="006D66A8"/>
    <w:rsid w:val="006F2D0F"/>
    <w:rsid w:val="006F64D4"/>
    <w:rsid w:val="006F7CF7"/>
    <w:rsid w:val="00707B25"/>
    <w:rsid w:val="00712605"/>
    <w:rsid w:val="00715100"/>
    <w:rsid w:val="00722FE9"/>
    <w:rsid w:val="00736CD0"/>
    <w:rsid w:val="00740D95"/>
    <w:rsid w:val="00743FB3"/>
    <w:rsid w:val="007440BA"/>
    <w:rsid w:val="0074620D"/>
    <w:rsid w:val="00747BA6"/>
    <w:rsid w:val="00755D0D"/>
    <w:rsid w:val="0075620E"/>
    <w:rsid w:val="00772A27"/>
    <w:rsid w:val="0077458F"/>
    <w:rsid w:val="00775B80"/>
    <w:rsid w:val="0079169D"/>
    <w:rsid w:val="00792062"/>
    <w:rsid w:val="00793F9B"/>
    <w:rsid w:val="00794648"/>
    <w:rsid w:val="007A2C30"/>
    <w:rsid w:val="007A5F27"/>
    <w:rsid w:val="007A6B38"/>
    <w:rsid w:val="007C2BC2"/>
    <w:rsid w:val="007C6C3E"/>
    <w:rsid w:val="007D4FA1"/>
    <w:rsid w:val="007D74C3"/>
    <w:rsid w:val="007D77A3"/>
    <w:rsid w:val="007D7EF0"/>
    <w:rsid w:val="007E241D"/>
    <w:rsid w:val="007E3057"/>
    <w:rsid w:val="007E44CF"/>
    <w:rsid w:val="007E4867"/>
    <w:rsid w:val="007E62E2"/>
    <w:rsid w:val="00803BA1"/>
    <w:rsid w:val="00812415"/>
    <w:rsid w:val="00814D70"/>
    <w:rsid w:val="0081781D"/>
    <w:rsid w:val="0082474C"/>
    <w:rsid w:val="00841CCA"/>
    <w:rsid w:val="00841D3D"/>
    <w:rsid w:val="008462FE"/>
    <w:rsid w:val="00851E4C"/>
    <w:rsid w:val="0085454C"/>
    <w:rsid w:val="00861D82"/>
    <w:rsid w:val="00861F49"/>
    <w:rsid w:val="00863870"/>
    <w:rsid w:val="00873095"/>
    <w:rsid w:val="00880A09"/>
    <w:rsid w:val="00881009"/>
    <w:rsid w:val="00882AB5"/>
    <w:rsid w:val="00884FEE"/>
    <w:rsid w:val="008A2813"/>
    <w:rsid w:val="008A3F8A"/>
    <w:rsid w:val="008B36D6"/>
    <w:rsid w:val="008B3D08"/>
    <w:rsid w:val="008D096F"/>
    <w:rsid w:val="008D24EF"/>
    <w:rsid w:val="008D2CAF"/>
    <w:rsid w:val="008D3EAA"/>
    <w:rsid w:val="008D5F8A"/>
    <w:rsid w:val="008E67C7"/>
    <w:rsid w:val="008F4EAF"/>
    <w:rsid w:val="009025B3"/>
    <w:rsid w:val="009102F9"/>
    <w:rsid w:val="00911AA3"/>
    <w:rsid w:val="00917AF2"/>
    <w:rsid w:val="00922B8D"/>
    <w:rsid w:val="009235B8"/>
    <w:rsid w:val="00932298"/>
    <w:rsid w:val="009343B0"/>
    <w:rsid w:val="00935403"/>
    <w:rsid w:val="00944E11"/>
    <w:rsid w:val="00951BA4"/>
    <w:rsid w:val="0095322F"/>
    <w:rsid w:val="00955A45"/>
    <w:rsid w:val="00962F34"/>
    <w:rsid w:val="00970EE7"/>
    <w:rsid w:val="009805E4"/>
    <w:rsid w:val="0098325D"/>
    <w:rsid w:val="00992368"/>
    <w:rsid w:val="009936EC"/>
    <w:rsid w:val="009945C1"/>
    <w:rsid w:val="009949D0"/>
    <w:rsid w:val="009A661F"/>
    <w:rsid w:val="009B3D7F"/>
    <w:rsid w:val="009C0433"/>
    <w:rsid w:val="009C54AB"/>
    <w:rsid w:val="009E0800"/>
    <w:rsid w:val="009E4FDC"/>
    <w:rsid w:val="009F3CE7"/>
    <w:rsid w:val="009F6AE3"/>
    <w:rsid w:val="00A17758"/>
    <w:rsid w:val="00A237F5"/>
    <w:rsid w:val="00A33747"/>
    <w:rsid w:val="00A36836"/>
    <w:rsid w:val="00A50F0D"/>
    <w:rsid w:val="00A54ACF"/>
    <w:rsid w:val="00A70C39"/>
    <w:rsid w:val="00A72EB0"/>
    <w:rsid w:val="00A90AD8"/>
    <w:rsid w:val="00A90CCD"/>
    <w:rsid w:val="00A929D1"/>
    <w:rsid w:val="00A962DB"/>
    <w:rsid w:val="00AA1A76"/>
    <w:rsid w:val="00AA66A6"/>
    <w:rsid w:val="00AC08C0"/>
    <w:rsid w:val="00AD57D2"/>
    <w:rsid w:val="00B00DF6"/>
    <w:rsid w:val="00B0572F"/>
    <w:rsid w:val="00B05FBE"/>
    <w:rsid w:val="00B11CC2"/>
    <w:rsid w:val="00B24FB7"/>
    <w:rsid w:val="00B25688"/>
    <w:rsid w:val="00B313B6"/>
    <w:rsid w:val="00B32064"/>
    <w:rsid w:val="00B36F9E"/>
    <w:rsid w:val="00B501B6"/>
    <w:rsid w:val="00B521E4"/>
    <w:rsid w:val="00B54C49"/>
    <w:rsid w:val="00B577E0"/>
    <w:rsid w:val="00B57FEA"/>
    <w:rsid w:val="00B663DF"/>
    <w:rsid w:val="00B676EC"/>
    <w:rsid w:val="00B72E74"/>
    <w:rsid w:val="00B82C04"/>
    <w:rsid w:val="00B84459"/>
    <w:rsid w:val="00B87A2B"/>
    <w:rsid w:val="00B9263C"/>
    <w:rsid w:val="00BA31A9"/>
    <w:rsid w:val="00BA5116"/>
    <w:rsid w:val="00BC38EE"/>
    <w:rsid w:val="00BC57B1"/>
    <w:rsid w:val="00BD655E"/>
    <w:rsid w:val="00BD6870"/>
    <w:rsid w:val="00BD6E06"/>
    <w:rsid w:val="00BE2BE4"/>
    <w:rsid w:val="00BE6194"/>
    <w:rsid w:val="00BF22F6"/>
    <w:rsid w:val="00BF34BC"/>
    <w:rsid w:val="00BF584A"/>
    <w:rsid w:val="00BF6BC1"/>
    <w:rsid w:val="00C01E77"/>
    <w:rsid w:val="00C01F8C"/>
    <w:rsid w:val="00C02692"/>
    <w:rsid w:val="00C02EF8"/>
    <w:rsid w:val="00C14694"/>
    <w:rsid w:val="00C245E4"/>
    <w:rsid w:val="00C25467"/>
    <w:rsid w:val="00C269C8"/>
    <w:rsid w:val="00C27A5E"/>
    <w:rsid w:val="00C30423"/>
    <w:rsid w:val="00C37C99"/>
    <w:rsid w:val="00C41334"/>
    <w:rsid w:val="00C415C9"/>
    <w:rsid w:val="00C42BED"/>
    <w:rsid w:val="00C51012"/>
    <w:rsid w:val="00C55E4A"/>
    <w:rsid w:val="00C603E9"/>
    <w:rsid w:val="00C74631"/>
    <w:rsid w:val="00CA6B08"/>
    <w:rsid w:val="00CC61D3"/>
    <w:rsid w:val="00CD3F29"/>
    <w:rsid w:val="00CF30C4"/>
    <w:rsid w:val="00CF4D5D"/>
    <w:rsid w:val="00CF67A4"/>
    <w:rsid w:val="00D06060"/>
    <w:rsid w:val="00D10D2E"/>
    <w:rsid w:val="00D27BCC"/>
    <w:rsid w:val="00D307F4"/>
    <w:rsid w:val="00D362CA"/>
    <w:rsid w:val="00D4005E"/>
    <w:rsid w:val="00D44B46"/>
    <w:rsid w:val="00D44D65"/>
    <w:rsid w:val="00D45850"/>
    <w:rsid w:val="00D475A0"/>
    <w:rsid w:val="00D51EB4"/>
    <w:rsid w:val="00D55C6F"/>
    <w:rsid w:val="00D73B43"/>
    <w:rsid w:val="00D837AB"/>
    <w:rsid w:val="00D849F1"/>
    <w:rsid w:val="00DA6DCB"/>
    <w:rsid w:val="00DA7F2E"/>
    <w:rsid w:val="00DB19E8"/>
    <w:rsid w:val="00DB3FD1"/>
    <w:rsid w:val="00DB66BB"/>
    <w:rsid w:val="00DC4217"/>
    <w:rsid w:val="00DC49A3"/>
    <w:rsid w:val="00DC50C3"/>
    <w:rsid w:val="00DC5A27"/>
    <w:rsid w:val="00DC5A2A"/>
    <w:rsid w:val="00DD2C49"/>
    <w:rsid w:val="00DD2FAF"/>
    <w:rsid w:val="00DE246D"/>
    <w:rsid w:val="00DE3055"/>
    <w:rsid w:val="00DE4F07"/>
    <w:rsid w:val="00DE7E59"/>
    <w:rsid w:val="00DF1B41"/>
    <w:rsid w:val="00DF1E7C"/>
    <w:rsid w:val="00E00908"/>
    <w:rsid w:val="00E04989"/>
    <w:rsid w:val="00E1360A"/>
    <w:rsid w:val="00E17821"/>
    <w:rsid w:val="00E23450"/>
    <w:rsid w:val="00E23ADB"/>
    <w:rsid w:val="00E23FC4"/>
    <w:rsid w:val="00E24977"/>
    <w:rsid w:val="00E26807"/>
    <w:rsid w:val="00E329D9"/>
    <w:rsid w:val="00E34351"/>
    <w:rsid w:val="00E35CCF"/>
    <w:rsid w:val="00E47A56"/>
    <w:rsid w:val="00E638F8"/>
    <w:rsid w:val="00E6656B"/>
    <w:rsid w:val="00E809CD"/>
    <w:rsid w:val="00E85567"/>
    <w:rsid w:val="00E86380"/>
    <w:rsid w:val="00E87E96"/>
    <w:rsid w:val="00E92CA1"/>
    <w:rsid w:val="00E932C4"/>
    <w:rsid w:val="00E96364"/>
    <w:rsid w:val="00EA31D4"/>
    <w:rsid w:val="00EA507C"/>
    <w:rsid w:val="00EB7CA9"/>
    <w:rsid w:val="00EC4B42"/>
    <w:rsid w:val="00EC5ABD"/>
    <w:rsid w:val="00EC5CE2"/>
    <w:rsid w:val="00ED1244"/>
    <w:rsid w:val="00ED612E"/>
    <w:rsid w:val="00EE582A"/>
    <w:rsid w:val="00F1027B"/>
    <w:rsid w:val="00F24B21"/>
    <w:rsid w:val="00F342E6"/>
    <w:rsid w:val="00F369C4"/>
    <w:rsid w:val="00F44BBC"/>
    <w:rsid w:val="00F47024"/>
    <w:rsid w:val="00F52538"/>
    <w:rsid w:val="00F60EA0"/>
    <w:rsid w:val="00F62F6E"/>
    <w:rsid w:val="00F95938"/>
    <w:rsid w:val="00FB0991"/>
    <w:rsid w:val="00FB44FF"/>
    <w:rsid w:val="00FB773D"/>
    <w:rsid w:val="00FC7B26"/>
    <w:rsid w:val="00FD26E7"/>
    <w:rsid w:val="00FD42C7"/>
    <w:rsid w:val="00FD6198"/>
    <w:rsid w:val="00FD6437"/>
    <w:rsid w:val="00FD716D"/>
    <w:rsid w:val="00FE56D5"/>
    <w:rsid w:val="00FE69AF"/>
    <w:rsid w:val="00FF7A6E"/>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309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3AF"/>
    <w:pPr>
      <w:spacing w:after="0" w:line="240" w:lineRule="auto"/>
    </w:pPr>
    <w:rPr>
      <w:rFonts w:ascii="Garamond" w:eastAsia="Times" w:hAnsi="Garamond" w:cs="Times New Roman"/>
      <w:sz w:val="24"/>
      <w:szCs w:val="20"/>
    </w:rPr>
  </w:style>
  <w:style w:type="paragraph" w:styleId="Heading1">
    <w:name w:val="heading 1"/>
    <w:basedOn w:val="Normal"/>
    <w:next w:val="Normal"/>
    <w:link w:val="Heading1Char"/>
    <w:uiPriority w:val="9"/>
    <w:qFormat/>
    <w:rsid w:val="002011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3AF"/>
    <w:pPr>
      <w:tabs>
        <w:tab w:val="center" w:pos="4419"/>
        <w:tab w:val="right" w:pos="8838"/>
      </w:tabs>
    </w:pPr>
  </w:style>
  <w:style w:type="character" w:customStyle="1" w:styleId="HeaderChar">
    <w:name w:val="Header Char"/>
    <w:basedOn w:val="DefaultParagraphFont"/>
    <w:link w:val="Header"/>
    <w:uiPriority w:val="99"/>
    <w:rsid w:val="005173AF"/>
  </w:style>
  <w:style w:type="paragraph" w:styleId="Footer">
    <w:name w:val="footer"/>
    <w:basedOn w:val="Normal"/>
    <w:link w:val="FooterChar"/>
    <w:uiPriority w:val="99"/>
    <w:unhideWhenUsed/>
    <w:rsid w:val="005173AF"/>
    <w:pPr>
      <w:tabs>
        <w:tab w:val="center" w:pos="4419"/>
        <w:tab w:val="right" w:pos="8838"/>
      </w:tabs>
    </w:pPr>
  </w:style>
  <w:style w:type="character" w:customStyle="1" w:styleId="FooterChar">
    <w:name w:val="Footer Char"/>
    <w:basedOn w:val="DefaultParagraphFont"/>
    <w:link w:val="Footer"/>
    <w:uiPriority w:val="99"/>
    <w:rsid w:val="005173AF"/>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qFormat/>
    <w:rsid w:val="005173AF"/>
    <w:rPr>
      <w:rFonts w:ascii="Times" w:hAnsi="Times"/>
      <w:lang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qFormat/>
    <w:rsid w:val="005173AF"/>
    <w:rPr>
      <w:rFonts w:ascii="Times" w:eastAsia="Times" w:hAnsi="Times" w:cs="Times New Roman"/>
      <w:sz w:val="24"/>
      <w:szCs w:val="20"/>
      <w:lang w:val="es-ES_tradnl" w:eastAsia="x-none"/>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link w:val="4GChar"/>
    <w:uiPriority w:val="99"/>
    <w:qFormat/>
    <w:rsid w:val="005173AF"/>
    <w:rPr>
      <w:vertAlign w:val="superscript"/>
    </w:rPr>
  </w:style>
  <w:style w:type="character" w:styleId="Hyperlink">
    <w:name w:val="Hyperlink"/>
    <w:uiPriority w:val="99"/>
    <w:unhideWhenUsed/>
    <w:rsid w:val="005173AF"/>
    <w:rPr>
      <w:color w:val="0000FF"/>
      <w:u w:val="single"/>
    </w:rPr>
  </w:style>
  <w:style w:type="character" w:styleId="Strong">
    <w:name w:val="Strong"/>
    <w:uiPriority w:val="22"/>
    <w:qFormat/>
    <w:rsid w:val="005173AF"/>
    <w:rPr>
      <w:b/>
      <w:bCs/>
    </w:rPr>
  </w:style>
  <w:style w:type="paragraph" w:styleId="ListParagraph">
    <w:name w:val="List Paragraph"/>
    <w:aliases w:val="Footnote,Párrafo de lista1,List Paragraph1,Colorful List - Accent 11,Cuadrícula clara - Énfasis 31,List Paragraph2,Lista vistosa - Énfasis 11"/>
    <w:basedOn w:val="Normal"/>
    <w:link w:val="ListParagraphChar"/>
    <w:uiPriority w:val="34"/>
    <w:qFormat/>
    <w:rsid w:val="005173AF"/>
    <w:pPr>
      <w:ind w:left="720"/>
      <w:contextualSpacing/>
    </w:pPr>
  </w:style>
  <w:style w:type="paragraph" w:customStyle="1" w:styleId="Sangradetindependiente">
    <w:name w:val="SangrÌa de t. independiente"/>
    <w:basedOn w:val="Normal"/>
    <w:rsid w:val="006F7CF7"/>
    <w:pPr>
      <w:ind w:right="12"/>
      <w:jc w:val="both"/>
    </w:pPr>
    <w:rPr>
      <w:rFonts w:eastAsia="Times New Roman"/>
      <w:sz w:val="20"/>
      <w:lang w:eastAsia="es-ES"/>
    </w:rPr>
  </w:style>
  <w:style w:type="character" w:customStyle="1" w:styleId="ListParagraphChar">
    <w:name w:val="List Paragraph Char"/>
    <w:aliases w:val="Footnote Char,Párrafo de lista1 Char,List Paragraph1 Char,Colorful List - Accent 11 Char,Cuadrícula clara - Énfasis 31 Char,List Paragraph2 Char,Lista vistosa - Énfasis 11 Char"/>
    <w:link w:val="ListParagraph"/>
    <w:uiPriority w:val="34"/>
    <w:locked/>
    <w:rsid w:val="00663414"/>
    <w:rPr>
      <w:rFonts w:ascii="Garamond" w:eastAsia="Times" w:hAnsi="Garamond" w:cs="Times New Roman"/>
      <w:sz w:val="24"/>
      <w:szCs w:val="20"/>
      <w:lang w:val="es-ES_tradnl"/>
    </w:rPr>
  </w:style>
  <w:style w:type="paragraph" w:styleId="BalloonText">
    <w:name w:val="Balloon Text"/>
    <w:basedOn w:val="Normal"/>
    <w:link w:val="BalloonTextChar"/>
    <w:uiPriority w:val="99"/>
    <w:semiHidden/>
    <w:unhideWhenUsed/>
    <w:rsid w:val="000D3668"/>
    <w:rPr>
      <w:rFonts w:ascii="Tahoma" w:hAnsi="Tahoma" w:cs="Tahoma"/>
      <w:sz w:val="16"/>
      <w:szCs w:val="16"/>
    </w:rPr>
  </w:style>
  <w:style w:type="character" w:customStyle="1" w:styleId="BalloonTextChar">
    <w:name w:val="Balloon Text Char"/>
    <w:basedOn w:val="DefaultParagraphFont"/>
    <w:link w:val="BalloonText"/>
    <w:uiPriority w:val="99"/>
    <w:semiHidden/>
    <w:rsid w:val="000D3668"/>
    <w:rPr>
      <w:rFonts w:ascii="Tahoma" w:eastAsia="Times" w:hAnsi="Tahoma" w:cs="Tahoma"/>
      <w:sz w:val="16"/>
      <w:szCs w:val="16"/>
      <w:lang w:val="es-ES_tradnl"/>
    </w:rPr>
  </w:style>
  <w:style w:type="character" w:styleId="LineNumber">
    <w:name w:val="line number"/>
    <w:basedOn w:val="DefaultParagraphFont"/>
    <w:uiPriority w:val="99"/>
    <w:semiHidden/>
    <w:unhideWhenUsed/>
    <w:rsid w:val="000D3668"/>
  </w:style>
  <w:style w:type="character" w:styleId="CommentReference">
    <w:name w:val="annotation reference"/>
    <w:basedOn w:val="DefaultParagraphFont"/>
    <w:uiPriority w:val="99"/>
    <w:semiHidden/>
    <w:unhideWhenUsed/>
    <w:rsid w:val="00922B8D"/>
    <w:rPr>
      <w:sz w:val="16"/>
      <w:szCs w:val="16"/>
    </w:rPr>
  </w:style>
  <w:style w:type="paragraph" w:styleId="CommentText">
    <w:name w:val="annotation text"/>
    <w:basedOn w:val="Normal"/>
    <w:link w:val="CommentTextChar"/>
    <w:uiPriority w:val="99"/>
    <w:semiHidden/>
    <w:unhideWhenUsed/>
    <w:rsid w:val="00922B8D"/>
    <w:rPr>
      <w:sz w:val="20"/>
    </w:rPr>
  </w:style>
  <w:style w:type="character" w:customStyle="1" w:styleId="CommentTextChar">
    <w:name w:val="Comment Text Char"/>
    <w:basedOn w:val="DefaultParagraphFont"/>
    <w:link w:val="CommentText"/>
    <w:uiPriority w:val="99"/>
    <w:semiHidden/>
    <w:rsid w:val="00922B8D"/>
    <w:rPr>
      <w:rFonts w:ascii="Garamond" w:eastAsia="Times" w:hAnsi="Garamond"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922B8D"/>
    <w:rPr>
      <w:b/>
      <w:bCs/>
    </w:rPr>
  </w:style>
  <w:style w:type="character" w:customStyle="1" w:styleId="CommentSubjectChar">
    <w:name w:val="Comment Subject Char"/>
    <w:basedOn w:val="CommentTextChar"/>
    <w:link w:val="CommentSubject"/>
    <w:uiPriority w:val="99"/>
    <w:semiHidden/>
    <w:rsid w:val="00922B8D"/>
    <w:rPr>
      <w:rFonts w:ascii="Garamond" w:eastAsia="Times" w:hAnsi="Garamond" w:cs="Times New Roman"/>
      <w:b/>
      <w:bCs/>
      <w:sz w:val="20"/>
      <w:szCs w:val="20"/>
      <w:lang w:val="es-ES_tradnl"/>
    </w:rPr>
  </w:style>
  <w:style w:type="paragraph" w:styleId="Revision">
    <w:name w:val="Revision"/>
    <w:hidden/>
    <w:uiPriority w:val="99"/>
    <w:semiHidden/>
    <w:rsid w:val="00922B8D"/>
    <w:pPr>
      <w:spacing w:after="0" w:line="240" w:lineRule="auto"/>
    </w:pPr>
    <w:rPr>
      <w:rFonts w:ascii="Garamond" w:eastAsia="Times" w:hAnsi="Garamond" w:cs="Times New Roman"/>
      <w:sz w:val="24"/>
      <w:szCs w:val="20"/>
      <w:lang w:val="es-ES_tradnl"/>
    </w:rPr>
  </w:style>
  <w:style w:type="character" w:customStyle="1" w:styleId="Heading1Char">
    <w:name w:val="Heading 1 Char"/>
    <w:basedOn w:val="DefaultParagraphFont"/>
    <w:link w:val="Heading1"/>
    <w:uiPriority w:val="9"/>
    <w:rsid w:val="0020114D"/>
    <w:rPr>
      <w:rFonts w:asciiTheme="majorHAnsi" w:eastAsiaTheme="majorEastAsia" w:hAnsiTheme="majorHAnsi" w:cstheme="majorBidi"/>
      <w:b/>
      <w:bCs/>
      <w:color w:val="365F91" w:themeColor="accent1" w:themeShade="BF"/>
      <w:sz w:val="28"/>
      <w:szCs w:val="28"/>
      <w:lang w:val="es-ES_tradnl"/>
    </w:rPr>
  </w:style>
  <w:style w:type="character" w:styleId="FollowedHyperlink">
    <w:name w:val="FollowedHyperlink"/>
    <w:basedOn w:val="DefaultParagraphFont"/>
    <w:uiPriority w:val="99"/>
    <w:semiHidden/>
    <w:unhideWhenUsed/>
    <w:rsid w:val="003678C8"/>
    <w:rPr>
      <w:color w:val="800080" w:themeColor="followedHyperlink"/>
      <w:u w:val="single"/>
    </w:rPr>
  </w:style>
  <w:style w:type="paragraph" w:styleId="TOC1">
    <w:name w:val="toc 1"/>
    <w:basedOn w:val="Normal"/>
    <w:next w:val="Normal"/>
    <w:autoRedefine/>
    <w:uiPriority w:val="39"/>
    <w:unhideWhenUsed/>
    <w:rsid w:val="009E4FDC"/>
    <w:pPr>
      <w:spacing w:after="100"/>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5455A0"/>
    <w:pPr>
      <w:jc w:val="both"/>
    </w:pPr>
    <w:rPr>
      <w:rFonts w:asciiTheme="minorHAnsi" w:eastAsiaTheme="minorHAnsi" w:hAnsiTheme="minorHAnsi" w:cstheme="minorBidi"/>
      <w:sz w:val="22"/>
      <w:szCs w:val="22"/>
      <w:vertAlign w:val="superscript"/>
    </w:rPr>
  </w:style>
  <w:style w:type="character" w:styleId="PageNumber">
    <w:name w:val="page number"/>
    <w:basedOn w:val="DefaultParagraphFont"/>
    <w:uiPriority w:val="99"/>
    <w:semiHidden/>
    <w:unhideWhenUsed/>
    <w:rsid w:val="005937E0"/>
  </w:style>
  <w:style w:type="character" w:styleId="SubtleEmphasis">
    <w:name w:val="Subtle Emphasis"/>
    <w:basedOn w:val="DefaultParagraphFont"/>
    <w:uiPriority w:val="19"/>
    <w:qFormat/>
    <w:rsid w:val="00EC5ABD"/>
    <w:rPr>
      <w:i/>
      <w:iCs/>
      <w:color w:val="404040" w:themeColor="text1" w:themeTint="BF"/>
    </w:rPr>
  </w:style>
  <w:style w:type="character" w:customStyle="1" w:styleId="UnresolvedMention">
    <w:name w:val="Unresolved Mention"/>
    <w:basedOn w:val="DefaultParagraphFont"/>
    <w:uiPriority w:val="99"/>
    <w:semiHidden/>
    <w:unhideWhenUsed/>
    <w:rsid w:val="005D1F9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3AF"/>
    <w:pPr>
      <w:spacing w:after="0" w:line="240" w:lineRule="auto"/>
    </w:pPr>
    <w:rPr>
      <w:rFonts w:ascii="Garamond" w:eastAsia="Times" w:hAnsi="Garamond" w:cs="Times New Roman"/>
      <w:sz w:val="24"/>
      <w:szCs w:val="20"/>
    </w:rPr>
  </w:style>
  <w:style w:type="paragraph" w:styleId="Heading1">
    <w:name w:val="heading 1"/>
    <w:basedOn w:val="Normal"/>
    <w:next w:val="Normal"/>
    <w:link w:val="Heading1Char"/>
    <w:uiPriority w:val="9"/>
    <w:qFormat/>
    <w:rsid w:val="002011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3AF"/>
    <w:pPr>
      <w:tabs>
        <w:tab w:val="center" w:pos="4419"/>
        <w:tab w:val="right" w:pos="8838"/>
      </w:tabs>
    </w:pPr>
  </w:style>
  <w:style w:type="character" w:customStyle="1" w:styleId="HeaderChar">
    <w:name w:val="Header Char"/>
    <w:basedOn w:val="DefaultParagraphFont"/>
    <w:link w:val="Header"/>
    <w:uiPriority w:val="99"/>
    <w:rsid w:val="005173AF"/>
  </w:style>
  <w:style w:type="paragraph" w:styleId="Footer">
    <w:name w:val="footer"/>
    <w:basedOn w:val="Normal"/>
    <w:link w:val="FooterChar"/>
    <w:uiPriority w:val="99"/>
    <w:unhideWhenUsed/>
    <w:rsid w:val="005173AF"/>
    <w:pPr>
      <w:tabs>
        <w:tab w:val="center" w:pos="4419"/>
        <w:tab w:val="right" w:pos="8838"/>
      </w:tabs>
    </w:pPr>
  </w:style>
  <w:style w:type="character" w:customStyle="1" w:styleId="FooterChar">
    <w:name w:val="Footer Char"/>
    <w:basedOn w:val="DefaultParagraphFont"/>
    <w:link w:val="Footer"/>
    <w:uiPriority w:val="99"/>
    <w:rsid w:val="005173AF"/>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qFormat/>
    <w:rsid w:val="005173AF"/>
    <w:rPr>
      <w:rFonts w:ascii="Times" w:hAnsi="Times"/>
      <w:lang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qFormat/>
    <w:rsid w:val="005173AF"/>
    <w:rPr>
      <w:rFonts w:ascii="Times" w:eastAsia="Times" w:hAnsi="Times" w:cs="Times New Roman"/>
      <w:sz w:val="24"/>
      <w:szCs w:val="20"/>
      <w:lang w:val="es-ES_tradnl" w:eastAsia="x-none"/>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link w:val="4GChar"/>
    <w:uiPriority w:val="99"/>
    <w:qFormat/>
    <w:rsid w:val="005173AF"/>
    <w:rPr>
      <w:vertAlign w:val="superscript"/>
    </w:rPr>
  </w:style>
  <w:style w:type="character" w:styleId="Hyperlink">
    <w:name w:val="Hyperlink"/>
    <w:uiPriority w:val="99"/>
    <w:unhideWhenUsed/>
    <w:rsid w:val="005173AF"/>
    <w:rPr>
      <w:color w:val="0000FF"/>
      <w:u w:val="single"/>
    </w:rPr>
  </w:style>
  <w:style w:type="character" w:styleId="Strong">
    <w:name w:val="Strong"/>
    <w:uiPriority w:val="22"/>
    <w:qFormat/>
    <w:rsid w:val="005173AF"/>
    <w:rPr>
      <w:b/>
      <w:bCs/>
    </w:rPr>
  </w:style>
  <w:style w:type="paragraph" w:styleId="ListParagraph">
    <w:name w:val="List Paragraph"/>
    <w:aliases w:val="Footnote,Párrafo de lista1,List Paragraph1,Colorful List - Accent 11,Cuadrícula clara - Énfasis 31,List Paragraph2,Lista vistosa - Énfasis 11"/>
    <w:basedOn w:val="Normal"/>
    <w:link w:val="ListParagraphChar"/>
    <w:uiPriority w:val="34"/>
    <w:qFormat/>
    <w:rsid w:val="005173AF"/>
    <w:pPr>
      <w:ind w:left="720"/>
      <w:contextualSpacing/>
    </w:pPr>
  </w:style>
  <w:style w:type="paragraph" w:customStyle="1" w:styleId="Sangradetindependiente">
    <w:name w:val="SangrÌa de t. independiente"/>
    <w:basedOn w:val="Normal"/>
    <w:rsid w:val="006F7CF7"/>
    <w:pPr>
      <w:ind w:right="12"/>
      <w:jc w:val="both"/>
    </w:pPr>
    <w:rPr>
      <w:rFonts w:eastAsia="Times New Roman"/>
      <w:sz w:val="20"/>
      <w:lang w:eastAsia="es-ES"/>
    </w:rPr>
  </w:style>
  <w:style w:type="character" w:customStyle="1" w:styleId="ListParagraphChar">
    <w:name w:val="List Paragraph Char"/>
    <w:aliases w:val="Footnote Char,Párrafo de lista1 Char,List Paragraph1 Char,Colorful List - Accent 11 Char,Cuadrícula clara - Énfasis 31 Char,List Paragraph2 Char,Lista vistosa - Énfasis 11 Char"/>
    <w:link w:val="ListParagraph"/>
    <w:uiPriority w:val="34"/>
    <w:locked/>
    <w:rsid w:val="00663414"/>
    <w:rPr>
      <w:rFonts w:ascii="Garamond" w:eastAsia="Times" w:hAnsi="Garamond" w:cs="Times New Roman"/>
      <w:sz w:val="24"/>
      <w:szCs w:val="20"/>
      <w:lang w:val="es-ES_tradnl"/>
    </w:rPr>
  </w:style>
  <w:style w:type="paragraph" w:styleId="BalloonText">
    <w:name w:val="Balloon Text"/>
    <w:basedOn w:val="Normal"/>
    <w:link w:val="BalloonTextChar"/>
    <w:uiPriority w:val="99"/>
    <w:semiHidden/>
    <w:unhideWhenUsed/>
    <w:rsid w:val="000D3668"/>
    <w:rPr>
      <w:rFonts w:ascii="Tahoma" w:hAnsi="Tahoma" w:cs="Tahoma"/>
      <w:sz w:val="16"/>
      <w:szCs w:val="16"/>
    </w:rPr>
  </w:style>
  <w:style w:type="character" w:customStyle="1" w:styleId="BalloonTextChar">
    <w:name w:val="Balloon Text Char"/>
    <w:basedOn w:val="DefaultParagraphFont"/>
    <w:link w:val="BalloonText"/>
    <w:uiPriority w:val="99"/>
    <w:semiHidden/>
    <w:rsid w:val="000D3668"/>
    <w:rPr>
      <w:rFonts w:ascii="Tahoma" w:eastAsia="Times" w:hAnsi="Tahoma" w:cs="Tahoma"/>
      <w:sz w:val="16"/>
      <w:szCs w:val="16"/>
      <w:lang w:val="es-ES_tradnl"/>
    </w:rPr>
  </w:style>
  <w:style w:type="character" w:styleId="LineNumber">
    <w:name w:val="line number"/>
    <w:basedOn w:val="DefaultParagraphFont"/>
    <w:uiPriority w:val="99"/>
    <w:semiHidden/>
    <w:unhideWhenUsed/>
    <w:rsid w:val="000D3668"/>
  </w:style>
  <w:style w:type="character" w:styleId="CommentReference">
    <w:name w:val="annotation reference"/>
    <w:basedOn w:val="DefaultParagraphFont"/>
    <w:uiPriority w:val="99"/>
    <w:semiHidden/>
    <w:unhideWhenUsed/>
    <w:rsid w:val="00922B8D"/>
    <w:rPr>
      <w:sz w:val="16"/>
      <w:szCs w:val="16"/>
    </w:rPr>
  </w:style>
  <w:style w:type="paragraph" w:styleId="CommentText">
    <w:name w:val="annotation text"/>
    <w:basedOn w:val="Normal"/>
    <w:link w:val="CommentTextChar"/>
    <w:uiPriority w:val="99"/>
    <w:semiHidden/>
    <w:unhideWhenUsed/>
    <w:rsid w:val="00922B8D"/>
    <w:rPr>
      <w:sz w:val="20"/>
    </w:rPr>
  </w:style>
  <w:style w:type="character" w:customStyle="1" w:styleId="CommentTextChar">
    <w:name w:val="Comment Text Char"/>
    <w:basedOn w:val="DefaultParagraphFont"/>
    <w:link w:val="CommentText"/>
    <w:uiPriority w:val="99"/>
    <w:semiHidden/>
    <w:rsid w:val="00922B8D"/>
    <w:rPr>
      <w:rFonts w:ascii="Garamond" w:eastAsia="Times" w:hAnsi="Garamond"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922B8D"/>
    <w:rPr>
      <w:b/>
      <w:bCs/>
    </w:rPr>
  </w:style>
  <w:style w:type="character" w:customStyle="1" w:styleId="CommentSubjectChar">
    <w:name w:val="Comment Subject Char"/>
    <w:basedOn w:val="CommentTextChar"/>
    <w:link w:val="CommentSubject"/>
    <w:uiPriority w:val="99"/>
    <w:semiHidden/>
    <w:rsid w:val="00922B8D"/>
    <w:rPr>
      <w:rFonts w:ascii="Garamond" w:eastAsia="Times" w:hAnsi="Garamond" w:cs="Times New Roman"/>
      <w:b/>
      <w:bCs/>
      <w:sz w:val="20"/>
      <w:szCs w:val="20"/>
      <w:lang w:val="es-ES_tradnl"/>
    </w:rPr>
  </w:style>
  <w:style w:type="paragraph" w:styleId="Revision">
    <w:name w:val="Revision"/>
    <w:hidden/>
    <w:uiPriority w:val="99"/>
    <w:semiHidden/>
    <w:rsid w:val="00922B8D"/>
    <w:pPr>
      <w:spacing w:after="0" w:line="240" w:lineRule="auto"/>
    </w:pPr>
    <w:rPr>
      <w:rFonts w:ascii="Garamond" w:eastAsia="Times" w:hAnsi="Garamond" w:cs="Times New Roman"/>
      <w:sz w:val="24"/>
      <w:szCs w:val="20"/>
      <w:lang w:val="es-ES_tradnl"/>
    </w:rPr>
  </w:style>
  <w:style w:type="character" w:customStyle="1" w:styleId="Heading1Char">
    <w:name w:val="Heading 1 Char"/>
    <w:basedOn w:val="DefaultParagraphFont"/>
    <w:link w:val="Heading1"/>
    <w:uiPriority w:val="9"/>
    <w:rsid w:val="0020114D"/>
    <w:rPr>
      <w:rFonts w:asciiTheme="majorHAnsi" w:eastAsiaTheme="majorEastAsia" w:hAnsiTheme="majorHAnsi" w:cstheme="majorBidi"/>
      <w:b/>
      <w:bCs/>
      <w:color w:val="365F91" w:themeColor="accent1" w:themeShade="BF"/>
      <w:sz w:val="28"/>
      <w:szCs w:val="28"/>
      <w:lang w:val="es-ES_tradnl"/>
    </w:rPr>
  </w:style>
  <w:style w:type="character" w:styleId="FollowedHyperlink">
    <w:name w:val="FollowedHyperlink"/>
    <w:basedOn w:val="DefaultParagraphFont"/>
    <w:uiPriority w:val="99"/>
    <w:semiHidden/>
    <w:unhideWhenUsed/>
    <w:rsid w:val="003678C8"/>
    <w:rPr>
      <w:color w:val="800080" w:themeColor="followedHyperlink"/>
      <w:u w:val="single"/>
    </w:rPr>
  </w:style>
  <w:style w:type="paragraph" w:styleId="TOC1">
    <w:name w:val="toc 1"/>
    <w:basedOn w:val="Normal"/>
    <w:next w:val="Normal"/>
    <w:autoRedefine/>
    <w:uiPriority w:val="39"/>
    <w:unhideWhenUsed/>
    <w:rsid w:val="009E4FDC"/>
    <w:pPr>
      <w:spacing w:after="100"/>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5455A0"/>
    <w:pPr>
      <w:jc w:val="both"/>
    </w:pPr>
    <w:rPr>
      <w:rFonts w:asciiTheme="minorHAnsi" w:eastAsiaTheme="minorHAnsi" w:hAnsiTheme="minorHAnsi" w:cstheme="minorBidi"/>
      <w:sz w:val="22"/>
      <w:szCs w:val="22"/>
      <w:vertAlign w:val="superscript"/>
    </w:rPr>
  </w:style>
  <w:style w:type="character" w:styleId="PageNumber">
    <w:name w:val="page number"/>
    <w:basedOn w:val="DefaultParagraphFont"/>
    <w:uiPriority w:val="99"/>
    <w:semiHidden/>
    <w:unhideWhenUsed/>
    <w:rsid w:val="005937E0"/>
  </w:style>
  <w:style w:type="character" w:styleId="SubtleEmphasis">
    <w:name w:val="Subtle Emphasis"/>
    <w:basedOn w:val="DefaultParagraphFont"/>
    <w:uiPriority w:val="19"/>
    <w:qFormat/>
    <w:rsid w:val="00EC5ABD"/>
    <w:rPr>
      <w:i/>
      <w:iCs/>
      <w:color w:val="404040" w:themeColor="text1" w:themeTint="BF"/>
    </w:rPr>
  </w:style>
  <w:style w:type="character" w:customStyle="1" w:styleId="UnresolvedMention">
    <w:name w:val="Unresolved Mention"/>
    <w:basedOn w:val="DefaultParagraphFont"/>
    <w:uiPriority w:val="99"/>
    <w:semiHidden/>
    <w:unhideWhenUsed/>
    <w:rsid w:val="005D1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1125">
      <w:bodyDiv w:val="1"/>
      <w:marLeft w:val="0"/>
      <w:marRight w:val="0"/>
      <w:marTop w:val="0"/>
      <w:marBottom w:val="0"/>
      <w:divBdr>
        <w:top w:val="none" w:sz="0" w:space="0" w:color="auto"/>
        <w:left w:val="none" w:sz="0" w:space="0" w:color="auto"/>
        <w:bottom w:val="none" w:sz="0" w:space="0" w:color="auto"/>
        <w:right w:val="none" w:sz="0" w:space="0" w:color="auto"/>
      </w:divBdr>
    </w:div>
    <w:div w:id="91367148">
      <w:bodyDiv w:val="1"/>
      <w:marLeft w:val="0"/>
      <w:marRight w:val="0"/>
      <w:marTop w:val="0"/>
      <w:marBottom w:val="0"/>
      <w:divBdr>
        <w:top w:val="none" w:sz="0" w:space="0" w:color="auto"/>
        <w:left w:val="none" w:sz="0" w:space="0" w:color="auto"/>
        <w:bottom w:val="none" w:sz="0" w:space="0" w:color="auto"/>
        <w:right w:val="none" w:sz="0" w:space="0" w:color="auto"/>
      </w:divBdr>
    </w:div>
    <w:div w:id="177894593">
      <w:bodyDiv w:val="1"/>
      <w:marLeft w:val="0"/>
      <w:marRight w:val="0"/>
      <w:marTop w:val="0"/>
      <w:marBottom w:val="0"/>
      <w:divBdr>
        <w:top w:val="none" w:sz="0" w:space="0" w:color="auto"/>
        <w:left w:val="none" w:sz="0" w:space="0" w:color="auto"/>
        <w:bottom w:val="none" w:sz="0" w:space="0" w:color="auto"/>
        <w:right w:val="none" w:sz="0" w:space="0" w:color="auto"/>
      </w:divBdr>
    </w:div>
    <w:div w:id="340163428">
      <w:bodyDiv w:val="1"/>
      <w:marLeft w:val="0"/>
      <w:marRight w:val="0"/>
      <w:marTop w:val="0"/>
      <w:marBottom w:val="0"/>
      <w:divBdr>
        <w:top w:val="none" w:sz="0" w:space="0" w:color="auto"/>
        <w:left w:val="none" w:sz="0" w:space="0" w:color="auto"/>
        <w:bottom w:val="none" w:sz="0" w:space="0" w:color="auto"/>
        <w:right w:val="none" w:sz="0" w:space="0" w:color="auto"/>
      </w:divBdr>
    </w:div>
    <w:div w:id="359357603">
      <w:bodyDiv w:val="1"/>
      <w:marLeft w:val="0"/>
      <w:marRight w:val="0"/>
      <w:marTop w:val="0"/>
      <w:marBottom w:val="0"/>
      <w:divBdr>
        <w:top w:val="none" w:sz="0" w:space="0" w:color="auto"/>
        <w:left w:val="none" w:sz="0" w:space="0" w:color="auto"/>
        <w:bottom w:val="none" w:sz="0" w:space="0" w:color="auto"/>
        <w:right w:val="none" w:sz="0" w:space="0" w:color="auto"/>
      </w:divBdr>
    </w:div>
    <w:div w:id="456145949">
      <w:bodyDiv w:val="1"/>
      <w:marLeft w:val="0"/>
      <w:marRight w:val="0"/>
      <w:marTop w:val="0"/>
      <w:marBottom w:val="0"/>
      <w:divBdr>
        <w:top w:val="none" w:sz="0" w:space="0" w:color="auto"/>
        <w:left w:val="none" w:sz="0" w:space="0" w:color="auto"/>
        <w:bottom w:val="none" w:sz="0" w:space="0" w:color="auto"/>
        <w:right w:val="none" w:sz="0" w:space="0" w:color="auto"/>
      </w:divBdr>
    </w:div>
    <w:div w:id="584068168">
      <w:bodyDiv w:val="1"/>
      <w:marLeft w:val="0"/>
      <w:marRight w:val="0"/>
      <w:marTop w:val="0"/>
      <w:marBottom w:val="0"/>
      <w:divBdr>
        <w:top w:val="none" w:sz="0" w:space="0" w:color="auto"/>
        <w:left w:val="none" w:sz="0" w:space="0" w:color="auto"/>
        <w:bottom w:val="none" w:sz="0" w:space="0" w:color="auto"/>
        <w:right w:val="none" w:sz="0" w:space="0" w:color="auto"/>
      </w:divBdr>
    </w:div>
    <w:div w:id="616066232">
      <w:bodyDiv w:val="1"/>
      <w:marLeft w:val="0"/>
      <w:marRight w:val="0"/>
      <w:marTop w:val="0"/>
      <w:marBottom w:val="0"/>
      <w:divBdr>
        <w:top w:val="none" w:sz="0" w:space="0" w:color="auto"/>
        <w:left w:val="none" w:sz="0" w:space="0" w:color="auto"/>
        <w:bottom w:val="none" w:sz="0" w:space="0" w:color="auto"/>
        <w:right w:val="none" w:sz="0" w:space="0" w:color="auto"/>
      </w:divBdr>
    </w:div>
    <w:div w:id="617760426">
      <w:bodyDiv w:val="1"/>
      <w:marLeft w:val="0"/>
      <w:marRight w:val="0"/>
      <w:marTop w:val="0"/>
      <w:marBottom w:val="0"/>
      <w:divBdr>
        <w:top w:val="none" w:sz="0" w:space="0" w:color="auto"/>
        <w:left w:val="none" w:sz="0" w:space="0" w:color="auto"/>
        <w:bottom w:val="none" w:sz="0" w:space="0" w:color="auto"/>
        <w:right w:val="none" w:sz="0" w:space="0" w:color="auto"/>
      </w:divBdr>
    </w:div>
    <w:div w:id="628820887">
      <w:bodyDiv w:val="1"/>
      <w:marLeft w:val="0"/>
      <w:marRight w:val="0"/>
      <w:marTop w:val="0"/>
      <w:marBottom w:val="0"/>
      <w:divBdr>
        <w:top w:val="none" w:sz="0" w:space="0" w:color="auto"/>
        <w:left w:val="none" w:sz="0" w:space="0" w:color="auto"/>
        <w:bottom w:val="none" w:sz="0" w:space="0" w:color="auto"/>
        <w:right w:val="none" w:sz="0" w:space="0" w:color="auto"/>
      </w:divBdr>
    </w:div>
    <w:div w:id="672689685">
      <w:bodyDiv w:val="1"/>
      <w:marLeft w:val="0"/>
      <w:marRight w:val="0"/>
      <w:marTop w:val="0"/>
      <w:marBottom w:val="0"/>
      <w:divBdr>
        <w:top w:val="none" w:sz="0" w:space="0" w:color="auto"/>
        <w:left w:val="none" w:sz="0" w:space="0" w:color="auto"/>
        <w:bottom w:val="none" w:sz="0" w:space="0" w:color="auto"/>
        <w:right w:val="none" w:sz="0" w:space="0" w:color="auto"/>
      </w:divBdr>
    </w:div>
    <w:div w:id="784999972">
      <w:bodyDiv w:val="1"/>
      <w:marLeft w:val="0"/>
      <w:marRight w:val="0"/>
      <w:marTop w:val="0"/>
      <w:marBottom w:val="0"/>
      <w:divBdr>
        <w:top w:val="none" w:sz="0" w:space="0" w:color="auto"/>
        <w:left w:val="none" w:sz="0" w:space="0" w:color="auto"/>
        <w:bottom w:val="none" w:sz="0" w:space="0" w:color="auto"/>
        <w:right w:val="none" w:sz="0" w:space="0" w:color="auto"/>
      </w:divBdr>
    </w:div>
    <w:div w:id="877546086">
      <w:bodyDiv w:val="1"/>
      <w:marLeft w:val="0"/>
      <w:marRight w:val="0"/>
      <w:marTop w:val="0"/>
      <w:marBottom w:val="0"/>
      <w:divBdr>
        <w:top w:val="none" w:sz="0" w:space="0" w:color="auto"/>
        <w:left w:val="none" w:sz="0" w:space="0" w:color="auto"/>
        <w:bottom w:val="none" w:sz="0" w:space="0" w:color="auto"/>
        <w:right w:val="none" w:sz="0" w:space="0" w:color="auto"/>
      </w:divBdr>
    </w:div>
    <w:div w:id="925306189">
      <w:bodyDiv w:val="1"/>
      <w:marLeft w:val="0"/>
      <w:marRight w:val="0"/>
      <w:marTop w:val="0"/>
      <w:marBottom w:val="0"/>
      <w:divBdr>
        <w:top w:val="none" w:sz="0" w:space="0" w:color="auto"/>
        <w:left w:val="none" w:sz="0" w:space="0" w:color="auto"/>
        <w:bottom w:val="none" w:sz="0" w:space="0" w:color="auto"/>
        <w:right w:val="none" w:sz="0" w:space="0" w:color="auto"/>
      </w:divBdr>
    </w:div>
    <w:div w:id="939727670">
      <w:bodyDiv w:val="1"/>
      <w:marLeft w:val="0"/>
      <w:marRight w:val="0"/>
      <w:marTop w:val="0"/>
      <w:marBottom w:val="0"/>
      <w:divBdr>
        <w:top w:val="none" w:sz="0" w:space="0" w:color="auto"/>
        <w:left w:val="none" w:sz="0" w:space="0" w:color="auto"/>
        <w:bottom w:val="none" w:sz="0" w:space="0" w:color="auto"/>
        <w:right w:val="none" w:sz="0" w:space="0" w:color="auto"/>
      </w:divBdr>
    </w:div>
    <w:div w:id="1026295837">
      <w:bodyDiv w:val="1"/>
      <w:marLeft w:val="0"/>
      <w:marRight w:val="0"/>
      <w:marTop w:val="0"/>
      <w:marBottom w:val="0"/>
      <w:divBdr>
        <w:top w:val="none" w:sz="0" w:space="0" w:color="auto"/>
        <w:left w:val="none" w:sz="0" w:space="0" w:color="auto"/>
        <w:bottom w:val="none" w:sz="0" w:space="0" w:color="auto"/>
        <w:right w:val="none" w:sz="0" w:space="0" w:color="auto"/>
      </w:divBdr>
    </w:div>
    <w:div w:id="1033270913">
      <w:bodyDiv w:val="1"/>
      <w:marLeft w:val="0"/>
      <w:marRight w:val="0"/>
      <w:marTop w:val="0"/>
      <w:marBottom w:val="0"/>
      <w:divBdr>
        <w:top w:val="none" w:sz="0" w:space="0" w:color="auto"/>
        <w:left w:val="none" w:sz="0" w:space="0" w:color="auto"/>
        <w:bottom w:val="none" w:sz="0" w:space="0" w:color="auto"/>
        <w:right w:val="none" w:sz="0" w:space="0" w:color="auto"/>
      </w:divBdr>
    </w:div>
    <w:div w:id="1114638539">
      <w:bodyDiv w:val="1"/>
      <w:marLeft w:val="0"/>
      <w:marRight w:val="0"/>
      <w:marTop w:val="0"/>
      <w:marBottom w:val="0"/>
      <w:divBdr>
        <w:top w:val="none" w:sz="0" w:space="0" w:color="auto"/>
        <w:left w:val="none" w:sz="0" w:space="0" w:color="auto"/>
        <w:bottom w:val="none" w:sz="0" w:space="0" w:color="auto"/>
        <w:right w:val="none" w:sz="0" w:space="0" w:color="auto"/>
      </w:divBdr>
    </w:div>
    <w:div w:id="1129318771">
      <w:bodyDiv w:val="1"/>
      <w:marLeft w:val="0"/>
      <w:marRight w:val="0"/>
      <w:marTop w:val="0"/>
      <w:marBottom w:val="0"/>
      <w:divBdr>
        <w:top w:val="none" w:sz="0" w:space="0" w:color="auto"/>
        <w:left w:val="none" w:sz="0" w:space="0" w:color="auto"/>
        <w:bottom w:val="none" w:sz="0" w:space="0" w:color="auto"/>
        <w:right w:val="none" w:sz="0" w:space="0" w:color="auto"/>
      </w:divBdr>
    </w:div>
    <w:div w:id="1146975229">
      <w:bodyDiv w:val="1"/>
      <w:marLeft w:val="0"/>
      <w:marRight w:val="0"/>
      <w:marTop w:val="0"/>
      <w:marBottom w:val="0"/>
      <w:divBdr>
        <w:top w:val="none" w:sz="0" w:space="0" w:color="auto"/>
        <w:left w:val="none" w:sz="0" w:space="0" w:color="auto"/>
        <w:bottom w:val="none" w:sz="0" w:space="0" w:color="auto"/>
        <w:right w:val="none" w:sz="0" w:space="0" w:color="auto"/>
      </w:divBdr>
    </w:div>
    <w:div w:id="1195079752">
      <w:bodyDiv w:val="1"/>
      <w:marLeft w:val="0"/>
      <w:marRight w:val="0"/>
      <w:marTop w:val="0"/>
      <w:marBottom w:val="0"/>
      <w:divBdr>
        <w:top w:val="none" w:sz="0" w:space="0" w:color="auto"/>
        <w:left w:val="none" w:sz="0" w:space="0" w:color="auto"/>
        <w:bottom w:val="none" w:sz="0" w:space="0" w:color="auto"/>
        <w:right w:val="none" w:sz="0" w:space="0" w:color="auto"/>
      </w:divBdr>
    </w:div>
    <w:div w:id="1237784532">
      <w:bodyDiv w:val="1"/>
      <w:marLeft w:val="0"/>
      <w:marRight w:val="0"/>
      <w:marTop w:val="0"/>
      <w:marBottom w:val="0"/>
      <w:divBdr>
        <w:top w:val="none" w:sz="0" w:space="0" w:color="auto"/>
        <w:left w:val="none" w:sz="0" w:space="0" w:color="auto"/>
        <w:bottom w:val="none" w:sz="0" w:space="0" w:color="auto"/>
        <w:right w:val="none" w:sz="0" w:space="0" w:color="auto"/>
      </w:divBdr>
    </w:div>
    <w:div w:id="1311985037">
      <w:bodyDiv w:val="1"/>
      <w:marLeft w:val="0"/>
      <w:marRight w:val="0"/>
      <w:marTop w:val="0"/>
      <w:marBottom w:val="0"/>
      <w:divBdr>
        <w:top w:val="none" w:sz="0" w:space="0" w:color="auto"/>
        <w:left w:val="none" w:sz="0" w:space="0" w:color="auto"/>
        <w:bottom w:val="none" w:sz="0" w:space="0" w:color="auto"/>
        <w:right w:val="none" w:sz="0" w:space="0" w:color="auto"/>
      </w:divBdr>
    </w:div>
    <w:div w:id="1439792520">
      <w:bodyDiv w:val="1"/>
      <w:marLeft w:val="0"/>
      <w:marRight w:val="0"/>
      <w:marTop w:val="0"/>
      <w:marBottom w:val="0"/>
      <w:divBdr>
        <w:top w:val="none" w:sz="0" w:space="0" w:color="auto"/>
        <w:left w:val="none" w:sz="0" w:space="0" w:color="auto"/>
        <w:bottom w:val="none" w:sz="0" w:space="0" w:color="auto"/>
        <w:right w:val="none" w:sz="0" w:space="0" w:color="auto"/>
      </w:divBdr>
    </w:div>
    <w:div w:id="1512405002">
      <w:bodyDiv w:val="1"/>
      <w:marLeft w:val="0"/>
      <w:marRight w:val="0"/>
      <w:marTop w:val="0"/>
      <w:marBottom w:val="0"/>
      <w:divBdr>
        <w:top w:val="none" w:sz="0" w:space="0" w:color="auto"/>
        <w:left w:val="none" w:sz="0" w:space="0" w:color="auto"/>
        <w:bottom w:val="none" w:sz="0" w:space="0" w:color="auto"/>
        <w:right w:val="none" w:sz="0" w:space="0" w:color="auto"/>
      </w:divBdr>
    </w:div>
    <w:div w:id="1537885617">
      <w:bodyDiv w:val="1"/>
      <w:marLeft w:val="0"/>
      <w:marRight w:val="0"/>
      <w:marTop w:val="0"/>
      <w:marBottom w:val="0"/>
      <w:divBdr>
        <w:top w:val="none" w:sz="0" w:space="0" w:color="auto"/>
        <w:left w:val="none" w:sz="0" w:space="0" w:color="auto"/>
        <w:bottom w:val="none" w:sz="0" w:space="0" w:color="auto"/>
        <w:right w:val="none" w:sz="0" w:space="0" w:color="auto"/>
      </w:divBdr>
    </w:div>
    <w:div w:id="1548646698">
      <w:bodyDiv w:val="1"/>
      <w:marLeft w:val="0"/>
      <w:marRight w:val="0"/>
      <w:marTop w:val="0"/>
      <w:marBottom w:val="0"/>
      <w:divBdr>
        <w:top w:val="none" w:sz="0" w:space="0" w:color="auto"/>
        <w:left w:val="none" w:sz="0" w:space="0" w:color="auto"/>
        <w:bottom w:val="none" w:sz="0" w:space="0" w:color="auto"/>
        <w:right w:val="none" w:sz="0" w:space="0" w:color="auto"/>
      </w:divBdr>
    </w:div>
    <w:div w:id="1593390469">
      <w:bodyDiv w:val="1"/>
      <w:marLeft w:val="0"/>
      <w:marRight w:val="0"/>
      <w:marTop w:val="0"/>
      <w:marBottom w:val="0"/>
      <w:divBdr>
        <w:top w:val="none" w:sz="0" w:space="0" w:color="auto"/>
        <w:left w:val="none" w:sz="0" w:space="0" w:color="auto"/>
        <w:bottom w:val="none" w:sz="0" w:space="0" w:color="auto"/>
        <w:right w:val="none" w:sz="0" w:space="0" w:color="auto"/>
      </w:divBdr>
    </w:div>
    <w:div w:id="1892842260">
      <w:bodyDiv w:val="1"/>
      <w:marLeft w:val="0"/>
      <w:marRight w:val="0"/>
      <w:marTop w:val="0"/>
      <w:marBottom w:val="0"/>
      <w:divBdr>
        <w:top w:val="none" w:sz="0" w:space="0" w:color="auto"/>
        <w:left w:val="none" w:sz="0" w:space="0" w:color="auto"/>
        <w:bottom w:val="none" w:sz="0" w:space="0" w:color="auto"/>
        <w:right w:val="none" w:sz="0" w:space="0" w:color="auto"/>
      </w:divBdr>
    </w:div>
    <w:div w:id="211393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amnestyusa.org/reports/annual-report-suriname-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BC1B7-71B9-4323-9D73-53D6B10BA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9216</Words>
  <Characters>50694</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3</cp:revision>
  <cp:lastPrinted>2018-12-21T23:34:00Z</cp:lastPrinted>
  <dcterms:created xsi:type="dcterms:W3CDTF">2018-12-21T23:34:00Z</dcterms:created>
  <dcterms:modified xsi:type="dcterms:W3CDTF">2018-12-21T23:34:00Z</dcterms:modified>
</cp:coreProperties>
</file>