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7347BC" w14:textId="77777777" w:rsidR="00DA29F8" w:rsidRPr="000412A5" w:rsidRDefault="00DA29F8" w:rsidP="00483DAA">
      <w:pPr>
        <w:spacing w:after="0" w:line="240" w:lineRule="auto"/>
        <w:rPr>
          <w:rFonts w:ascii="Verdana" w:hAnsi="Verdana"/>
          <w:b/>
          <w:sz w:val="20"/>
          <w:szCs w:val="20"/>
          <w:lang w:val="es-ES_tradnl"/>
        </w:rPr>
      </w:pPr>
      <w:bookmarkStart w:id="0" w:name="_GoBack"/>
      <w:bookmarkEnd w:id="0"/>
    </w:p>
    <w:p w14:paraId="2893FA6C" w14:textId="77777777" w:rsidR="00DA29F8" w:rsidRPr="000412A5" w:rsidRDefault="00DA29F8" w:rsidP="001B0748">
      <w:pPr>
        <w:spacing w:after="0" w:line="240" w:lineRule="auto"/>
        <w:jc w:val="center"/>
        <w:rPr>
          <w:rFonts w:ascii="Verdana" w:hAnsi="Verdana"/>
          <w:b/>
          <w:sz w:val="20"/>
          <w:szCs w:val="20"/>
          <w:lang w:val="es-ES_tradnl"/>
        </w:rPr>
      </w:pPr>
      <w:bookmarkStart w:id="1" w:name="_Ref406703409"/>
      <w:bookmarkStart w:id="2" w:name="_Ref406703573"/>
      <w:bookmarkEnd w:id="1"/>
      <w:bookmarkEnd w:id="2"/>
    </w:p>
    <w:p w14:paraId="65EFF698" w14:textId="77777777" w:rsidR="00DA29F8" w:rsidRPr="0012564E" w:rsidRDefault="00DA29F8" w:rsidP="00012D32">
      <w:pPr>
        <w:spacing w:after="0" w:line="240" w:lineRule="auto"/>
        <w:rPr>
          <w:rFonts w:ascii="Verdana" w:hAnsi="Verdana"/>
          <w:b/>
          <w:sz w:val="16"/>
          <w:szCs w:val="16"/>
          <w:lang w:val="es-ES_tradnl"/>
        </w:rPr>
      </w:pPr>
    </w:p>
    <w:p w14:paraId="359A9DAB" w14:textId="77777777" w:rsidR="00907CC5" w:rsidRDefault="00907CC5" w:rsidP="00012D32">
      <w:pPr>
        <w:spacing w:after="0" w:line="240" w:lineRule="auto"/>
        <w:rPr>
          <w:rFonts w:ascii="Verdana" w:hAnsi="Verdana"/>
          <w:b/>
          <w:sz w:val="20"/>
          <w:szCs w:val="20"/>
          <w:lang w:val="es-ES_tradnl"/>
        </w:rPr>
      </w:pPr>
    </w:p>
    <w:p w14:paraId="42BDCCCF" w14:textId="77777777" w:rsidR="00907CC5" w:rsidRDefault="00907CC5" w:rsidP="00012D32">
      <w:pPr>
        <w:spacing w:after="0" w:line="240" w:lineRule="auto"/>
        <w:rPr>
          <w:rFonts w:ascii="Verdana" w:hAnsi="Verdana"/>
          <w:b/>
          <w:sz w:val="20"/>
          <w:szCs w:val="20"/>
          <w:lang w:val="es-ES_tradnl"/>
        </w:rPr>
      </w:pPr>
    </w:p>
    <w:p w14:paraId="1963D55A" w14:textId="77777777" w:rsidR="0012564E" w:rsidRDefault="0012564E" w:rsidP="00012D32">
      <w:pPr>
        <w:spacing w:after="0" w:line="240" w:lineRule="auto"/>
        <w:rPr>
          <w:rFonts w:ascii="Verdana" w:hAnsi="Verdana"/>
          <w:b/>
          <w:sz w:val="20"/>
          <w:szCs w:val="20"/>
          <w:lang w:val="es-ES_tradnl"/>
        </w:rPr>
      </w:pPr>
    </w:p>
    <w:p w14:paraId="25FC9E96" w14:textId="77777777" w:rsidR="0012564E" w:rsidRPr="000412A5" w:rsidRDefault="0012564E" w:rsidP="00012D32">
      <w:pPr>
        <w:spacing w:after="0" w:line="240" w:lineRule="auto"/>
        <w:rPr>
          <w:rFonts w:ascii="Verdana" w:hAnsi="Verdana"/>
          <w:b/>
          <w:sz w:val="20"/>
          <w:szCs w:val="20"/>
          <w:lang w:val="es-ES_tradnl"/>
        </w:rPr>
      </w:pPr>
    </w:p>
    <w:p w14:paraId="41D3FF96" w14:textId="77777777" w:rsidR="001B0748" w:rsidRPr="000412A5" w:rsidRDefault="001B0748" w:rsidP="001B0748">
      <w:pPr>
        <w:spacing w:after="0" w:line="240" w:lineRule="auto"/>
        <w:jc w:val="center"/>
        <w:rPr>
          <w:rFonts w:ascii="Verdana" w:hAnsi="Verdana"/>
          <w:b/>
          <w:sz w:val="20"/>
          <w:szCs w:val="20"/>
          <w:lang w:val="es-ES_tradnl"/>
        </w:rPr>
      </w:pPr>
      <w:r w:rsidRPr="000412A5">
        <w:rPr>
          <w:rFonts w:ascii="Verdana" w:hAnsi="Verdana"/>
          <w:b/>
          <w:sz w:val="20"/>
          <w:szCs w:val="20"/>
          <w:lang w:val="es-ES_tradnl"/>
        </w:rPr>
        <w:t>RESOLUCIÓN DE LA</w:t>
      </w:r>
    </w:p>
    <w:p w14:paraId="7D00EA37" w14:textId="77777777" w:rsidR="001B0748" w:rsidRPr="000412A5" w:rsidRDefault="001B0748" w:rsidP="001B0748">
      <w:pPr>
        <w:spacing w:after="0" w:line="240" w:lineRule="auto"/>
        <w:jc w:val="center"/>
        <w:rPr>
          <w:rFonts w:ascii="Verdana" w:hAnsi="Verdana"/>
          <w:b/>
          <w:sz w:val="20"/>
          <w:szCs w:val="20"/>
          <w:lang w:val="es-ES_tradnl"/>
        </w:rPr>
      </w:pPr>
    </w:p>
    <w:p w14:paraId="2726402F" w14:textId="77777777" w:rsidR="001B0748" w:rsidRPr="000412A5" w:rsidRDefault="001B0748" w:rsidP="007D2268">
      <w:pPr>
        <w:tabs>
          <w:tab w:val="left" w:pos="3686"/>
        </w:tabs>
        <w:spacing w:after="0" w:line="240" w:lineRule="auto"/>
        <w:jc w:val="center"/>
        <w:rPr>
          <w:rFonts w:ascii="Verdana" w:hAnsi="Verdana"/>
          <w:b/>
          <w:sz w:val="20"/>
          <w:szCs w:val="20"/>
          <w:lang w:val="es-ES_tradnl"/>
        </w:rPr>
      </w:pPr>
      <w:r w:rsidRPr="000412A5">
        <w:rPr>
          <w:rFonts w:ascii="Verdana" w:hAnsi="Verdana"/>
          <w:b/>
          <w:sz w:val="20"/>
          <w:szCs w:val="20"/>
          <w:lang w:val="es-ES_tradnl"/>
        </w:rPr>
        <w:t>CORTE INTERAMERICANA DE DERECHOS HUMANOS</w:t>
      </w:r>
    </w:p>
    <w:p w14:paraId="01791CD3" w14:textId="77777777" w:rsidR="001B0748" w:rsidRPr="000412A5" w:rsidRDefault="001B0748" w:rsidP="001B0748">
      <w:pPr>
        <w:spacing w:after="0" w:line="240" w:lineRule="auto"/>
        <w:jc w:val="center"/>
        <w:rPr>
          <w:rFonts w:ascii="Verdana" w:hAnsi="Verdana"/>
          <w:b/>
          <w:sz w:val="20"/>
          <w:szCs w:val="20"/>
          <w:lang w:val="es-ES_tradnl"/>
        </w:rPr>
      </w:pPr>
    </w:p>
    <w:p w14:paraId="1E5384A6" w14:textId="37A3D7A8" w:rsidR="001B0748" w:rsidRPr="000412A5" w:rsidRDefault="001B0748" w:rsidP="001B0748">
      <w:pPr>
        <w:spacing w:after="0" w:line="240" w:lineRule="auto"/>
        <w:jc w:val="center"/>
        <w:rPr>
          <w:rFonts w:ascii="Verdana" w:hAnsi="Verdana"/>
          <w:b/>
          <w:sz w:val="20"/>
          <w:szCs w:val="20"/>
          <w:lang w:val="es-ES_tradnl"/>
        </w:rPr>
      </w:pPr>
      <w:r w:rsidRPr="000412A5">
        <w:rPr>
          <w:rFonts w:ascii="Verdana" w:hAnsi="Verdana"/>
          <w:b/>
          <w:sz w:val="20"/>
          <w:szCs w:val="20"/>
          <w:lang w:val="es-ES_tradnl"/>
        </w:rPr>
        <w:t xml:space="preserve">DE </w:t>
      </w:r>
      <w:r w:rsidR="00650196">
        <w:rPr>
          <w:rFonts w:ascii="Verdana" w:hAnsi="Verdana"/>
          <w:b/>
          <w:sz w:val="20"/>
          <w:szCs w:val="20"/>
          <w:lang w:val="es-ES_tradnl"/>
        </w:rPr>
        <w:t>28</w:t>
      </w:r>
      <w:r w:rsidRPr="000412A5">
        <w:rPr>
          <w:rFonts w:ascii="Verdana" w:hAnsi="Verdana"/>
          <w:b/>
          <w:sz w:val="20"/>
          <w:szCs w:val="20"/>
          <w:lang w:val="es-ES_tradnl"/>
        </w:rPr>
        <w:t xml:space="preserve"> DE </w:t>
      </w:r>
      <w:r w:rsidR="005A622D" w:rsidRPr="000412A5">
        <w:rPr>
          <w:rFonts w:ascii="Verdana" w:hAnsi="Verdana"/>
          <w:b/>
          <w:sz w:val="20"/>
          <w:szCs w:val="20"/>
          <w:lang w:val="es-ES_tradnl"/>
        </w:rPr>
        <w:t>N</w:t>
      </w:r>
      <w:r w:rsidR="00AA398D" w:rsidRPr="000412A5">
        <w:rPr>
          <w:rFonts w:ascii="Verdana" w:hAnsi="Verdana"/>
          <w:b/>
          <w:sz w:val="20"/>
          <w:szCs w:val="20"/>
          <w:lang w:val="es-ES_tradnl"/>
        </w:rPr>
        <w:t>O</w:t>
      </w:r>
      <w:r w:rsidR="005A622D" w:rsidRPr="000412A5">
        <w:rPr>
          <w:rFonts w:ascii="Verdana" w:hAnsi="Verdana"/>
          <w:b/>
          <w:sz w:val="20"/>
          <w:szCs w:val="20"/>
          <w:lang w:val="es-ES_tradnl"/>
        </w:rPr>
        <w:t>VIEMBRE</w:t>
      </w:r>
      <w:r w:rsidR="00AA398D" w:rsidRPr="000412A5">
        <w:rPr>
          <w:rFonts w:ascii="Verdana" w:hAnsi="Verdana"/>
          <w:b/>
          <w:sz w:val="20"/>
          <w:szCs w:val="20"/>
          <w:lang w:val="es-ES_tradnl"/>
        </w:rPr>
        <w:t xml:space="preserve"> </w:t>
      </w:r>
      <w:r w:rsidR="005A622D" w:rsidRPr="000412A5">
        <w:rPr>
          <w:rFonts w:ascii="Verdana" w:hAnsi="Verdana"/>
          <w:b/>
          <w:sz w:val="20"/>
          <w:szCs w:val="20"/>
          <w:lang w:val="es-ES_tradnl"/>
        </w:rPr>
        <w:t>DE 2018</w:t>
      </w:r>
    </w:p>
    <w:p w14:paraId="05149E6A" w14:textId="77777777" w:rsidR="001B0748" w:rsidRPr="000412A5" w:rsidRDefault="001B0748" w:rsidP="001B0748">
      <w:pPr>
        <w:spacing w:after="0" w:line="240" w:lineRule="auto"/>
        <w:jc w:val="center"/>
        <w:rPr>
          <w:rFonts w:ascii="Verdana" w:hAnsi="Verdana"/>
          <w:b/>
          <w:sz w:val="20"/>
          <w:szCs w:val="20"/>
          <w:lang w:val="es-ES_tradnl"/>
        </w:rPr>
      </w:pPr>
    </w:p>
    <w:p w14:paraId="030DF9C7" w14:textId="77777777" w:rsidR="001B0748" w:rsidRPr="000412A5" w:rsidRDefault="001B0748" w:rsidP="001B0748">
      <w:pPr>
        <w:spacing w:after="0" w:line="240" w:lineRule="auto"/>
        <w:jc w:val="center"/>
        <w:rPr>
          <w:rFonts w:ascii="Verdana" w:hAnsi="Verdana"/>
          <w:b/>
          <w:sz w:val="20"/>
          <w:szCs w:val="20"/>
          <w:lang w:val="es-ES_tradnl"/>
        </w:rPr>
      </w:pPr>
      <w:r w:rsidRPr="000412A5">
        <w:rPr>
          <w:rFonts w:ascii="Verdana" w:hAnsi="Verdana"/>
          <w:b/>
          <w:sz w:val="20"/>
          <w:szCs w:val="20"/>
          <w:lang w:val="es-ES_tradnl"/>
        </w:rPr>
        <w:t>CASO MASACRES DE EL MOZOTE Y LUGARES ALEDAÑOS VS. EL SALVADOR</w:t>
      </w:r>
    </w:p>
    <w:p w14:paraId="4A33F809" w14:textId="77777777" w:rsidR="001B0748" w:rsidRPr="000412A5" w:rsidRDefault="001B0748" w:rsidP="001B0748">
      <w:pPr>
        <w:spacing w:after="0" w:line="240" w:lineRule="auto"/>
        <w:jc w:val="center"/>
        <w:rPr>
          <w:rFonts w:ascii="Verdana" w:hAnsi="Verdana"/>
          <w:b/>
          <w:sz w:val="20"/>
          <w:szCs w:val="20"/>
          <w:lang w:val="es-ES_tradnl"/>
        </w:rPr>
      </w:pPr>
    </w:p>
    <w:p w14:paraId="46BF3DF6" w14:textId="77777777" w:rsidR="001B0748" w:rsidRPr="000412A5" w:rsidRDefault="001B0748" w:rsidP="001B0748">
      <w:pPr>
        <w:spacing w:after="0" w:line="240" w:lineRule="auto"/>
        <w:jc w:val="center"/>
        <w:rPr>
          <w:rFonts w:ascii="Verdana" w:hAnsi="Verdana"/>
          <w:b/>
          <w:sz w:val="20"/>
          <w:szCs w:val="20"/>
          <w:lang w:val="es-ES_tradnl"/>
        </w:rPr>
      </w:pPr>
      <w:r w:rsidRPr="000412A5">
        <w:rPr>
          <w:rFonts w:ascii="Verdana" w:hAnsi="Verdana"/>
          <w:b/>
          <w:sz w:val="20"/>
          <w:szCs w:val="20"/>
          <w:lang w:val="es-ES_tradnl"/>
        </w:rPr>
        <w:t>SUPERVISIÓN DE CUMPLIMIENTO DE SENTENCIA</w:t>
      </w:r>
    </w:p>
    <w:p w14:paraId="31B8E082" w14:textId="77777777" w:rsidR="001B0748" w:rsidRPr="000412A5" w:rsidRDefault="001B0748" w:rsidP="001B0748">
      <w:pPr>
        <w:spacing w:after="0" w:line="240" w:lineRule="auto"/>
        <w:jc w:val="center"/>
        <w:rPr>
          <w:rFonts w:ascii="Verdana" w:hAnsi="Verdana"/>
          <w:b/>
          <w:sz w:val="20"/>
          <w:szCs w:val="20"/>
          <w:lang w:val="es-ES_tradnl"/>
        </w:rPr>
      </w:pPr>
    </w:p>
    <w:p w14:paraId="1C89A269" w14:textId="77777777" w:rsidR="001B0748" w:rsidRPr="000412A5" w:rsidRDefault="001B0748" w:rsidP="001B0748">
      <w:pPr>
        <w:spacing w:after="0" w:line="240" w:lineRule="auto"/>
        <w:rPr>
          <w:rFonts w:ascii="Verdana" w:hAnsi="Verdana"/>
          <w:b/>
          <w:sz w:val="20"/>
          <w:szCs w:val="20"/>
          <w:lang w:val="es-ES_tradnl"/>
        </w:rPr>
      </w:pPr>
      <w:r w:rsidRPr="000412A5">
        <w:rPr>
          <w:rFonts w:ascii="Verdana" w:hAnsi="Verdana"/>
          <w:b/>
          <w:sz w:val="20"/>
          <w:szCs w:val="20"/>
          <w:lang w:val="es-ES_tradnl"/>
        </w:rPr>
        <w:t>VISTO:</w:t>
      </w:r>
    </w:p>
    <w:p w14:paraId="67285F0C" w14:textId="77777777" w:rsidR="00AA398D" w:rsidRPr="000412A5" w:rsidRDefault="00AA398D" w:rsidP="001B0748">
      <w:pPr>
        <w:spacing w:after="0" w:line="240" w:lineRule="auto"/>
        <w:rPr>
          <w:rFonts w:ascii="Verdana" w:hAnsi="Verdana"/>
          <w:b/>
          <w:sz w:val="20"/>
          <w:szCs w:val="20"/>
          <w:lang w:val="es-ES_tradnl"/>
        </w:rPr>
      </w:pPr>
    </w:p>
    <w:p w14:paraId="12D34573" w14:textId="0BE9374F" w:rsidR="00C44789" w:rsidRPr="000412A5" w:rsidRDefault="001B0748" w:rsidP="00C44789">
      <w:pPr>
        <w:numPr>
          <w:ilvl w:val="0"/>
          <w:numId w:val="1"/>
        </w:numPr>
        <w:tabs>
          <w:tab w:val="left" w:pos="567"/>
        </w:tabs>
        <w:spacing w:after="0" w:line="240" w:lineRule="auto"/>
        <w:ind w:left="0" w:right="4" w:firstLine="0"/>
        <w:contextualSpacing/>
        <w:jc w:val="both"/>
        <w:rPr>
          <w:rFonts w:ascii="Verdana" w:hAnsi="Verdana"/>
          <w:noProof/>
          <w:sz w:val="20"/>
          <w:szCs w:val="20"/>
          <w:lang w:val="es-ES_tradnl"/>
        </w:rPr>
      </w:pPr>
      <w:bookmarkStart w:id="3" w:name="_Ref492545318"/>
      <w:r w:rsidRPr="000412A5">
        <w:rPr>
          <w:rFonts w:ascii="Verdana" w:hAnsi="Verdana"/>
          <w:sz w:val="20"/>
          <w:szCs w:val="20"/>
          <w:lang w:val="es-ES_tradnl"/>
        </w:rPr>
        <w:t xml:space="preserve">La Sentencia de </w:t>
      </w:r>
      <w:r w:rsidR="00246F59" w:rsidRPr="000412A5">
        <w:rPr>
          <w:rFonts w:ascii="Verdana" w:hAnsi="Verdana"/>
          <w:sz w:val="20"/>
          <w:szCs w:val="20"/>
          <w:lang w:val="es-ES_tradnl"/>
        </w:rPr>
        <w:t>f</w:t>
      </w:r>
      <w:r w:rsidRPr="000412A5">
        <w:rPr>
          <w:rFonts w:ascii="Verdana" w:hAnsi="Verdana"/>
          <w:sz w:val="20"/>
          <w:szCs w:val="20"/>
          <w:lang w:val="es-ES_tradnl"/>
        </w:rPr>
        <w:t xml:space="preserve">ondo, </w:t>
      </w:r>
      <w:r w:rsidR="00246F59" w:rsidRPr="000412A5">
        <w:rPr>
          <w:rFonts w:ascii="Verdana" w:hAnsi="Verdana"/>
          <w:sz w:val="20"/>
          <w:szCs w:val="20"/>
          <w:lang w:val="es-ES_tradnl"/>
        </w:rPr>
        <w:t>r</w:t>
      </w:r>
      <w:r w:rsidRPr="000412A5">
        <w:rPr>
          <w:rFonts w:ascii="Verdana" w:hAnsi="Verdana"/>
          <w:sz w:val="20"/>
          <w:szCs w:val="20"/>
          <w:lang w:val="es-ES_tradnl"/>
        </w:rPr>
        <w:t xml:space="preserve">eparaciones y </w:t>
      </w:r>
      <w:r w:rsidR="00246F59" w:rsidRPr="000412A5">
        <w:rPr>
          <w:rFonts w:ascii="Verdana" w:hAnsi="Verdana"/>
          <w:sz w:val="20"/>
          <w:szCs w:val="20"/>
          <w:lang w:val="es-ES_tradnl"/>
        </w:rPr>
        <w:t>c</w:t>
      </w:r>
      <w:r w:rsidRPr="000412A5">
        <w:rPr>
          <w:rFonts w:ascii="Verdana" w:hAnsi="Verdana"/>
          <w:sz w:val="20"/>
          <w:szCs w:val="20"/>
          <w:lang w:val="es-ES_tradnl"/>
        </w:rPr>
        <w:t xml:space="preserve">ostas (en adelante “la Sentencia”) </w:t>
      </w:r>
      <w:r w:rsidR="00246F59" w:rsidRPr="000412A5">
        <w:rPr>
          <w:rFonts w:ascii="Verdana" w:hAnsi="Verdana"/>
          <w:sz w:val="20"/>
          <w:szCs w:val="20"/>
          <w:lang w:val="es-ES_tradnl"/>
        </w:rPr>
        <w:t xml:space="preserve">dictada </w:t>
      </w:r>
      <w:r w:rsidRPr="000412A5">
        <w:rPr>
          <w:rFonts w:ascii="Verdana" w:hAnsi="Verdana"/>
          <w:sz w:val="20"/>
          <w:szCs w:val="20"/>
          <w:lang w:val="es-ES_tradnl"/>
        </w:rPr>
        <w:t>por la Corte Interamericana de Derechos Humanos (en adelante “la Corte Interamericana”, “la Corte” o “el Tribunal”)</w:t>
      </w:r>
      <w:r w:rsidR="00246F59" w:rsidRPr="000412A5">
        <w:rPr>
          <w:rFonts w:ascii="Verdana" w:hAnsi="Verdana"/>
          <w:sz w:val="20"/>
          <w:szCs w:val="20"/>
          <w:lang w:val="es-ES_tradnl"/>
        </w:rPr>
        <w:t xml:space="preserve"> el 25 de octubre de 2012</w:t>
      </w:r>
      <w:r w:rsidRPr="000412A5">
        <w:rPr>
          <w:rStyle w:val="FootnoteReference"/>
          <w:rFonts w:ascii="Verdana" w:hAnsi="Verdana"/>
          <w:sz w:val="20"/>
          <w:szCs w:val="20"/>
          <w:lang w:val="es-ES_tradnl"/>
        </w:rPr>
        <w:footnoteReference w:id="1"/>
      </w:r>
      <w:r w:rsidRPr="000412A5">
        <w:rPr>
          <w:rFonts w:ascii="Verdana" w:hAnsi="Verdana"/>
          <w:sz w:val="20"/>
          <w:szCs w:val="20"/>
          <w:lang w:val="es-ES_tradnl"/>
        </w:rPr>
        <w:t xml:space="preserve">. </w:t>
      </w:r>
      <w:r w:rsidR="00C44789" w:rsidRPr="000412A5">
        <w:rPr>
          <w:rFonts w:ascii="Verdana" w:hAnsi="Verdana"/>
          <w:sz w:val="20"/>
          <w:szCs w:val="20"/>
          <w:lang w:val="es-ES_tradnl"/>
        </w:rPr>
        <w:t>El caso se refirió a las violaciones a derechos humanos perpetradas por la Fuerza Armada salvadoreña en las masacres cometidas del 11 al 13 de diciembre de 1981 en el caserío de El Mozote y otros lugares aledaños, en el Departamento de Morazán, en el marco del conflicto armado</w:t>
      </w:r>
      <w:r w:rsidR="00DF40ED" w:rsidRPr="000412A5">
        <w:rPr>
          <w:rFonts w:ascii="Verdana" w:hAnsi="Verdana"/>
          <w:sz w:val="20"/>
          <w:szCs w:val="20"/>
          <w:lang w:val="es-ES_tradnl"/>
        </w:rPr>
        <w:t xml:space="preserve"> interno</w:t>
      </w:r>
      <w:r w:rsidR="00C44789" w:rsidRPr="000412A5">
        <w:rPr>
          <w:rFonts w:ascii="Verdana" w:hAnsi="Verdana"/>
          <w:sz w:val="20"/>
          <w:szCs w:val="20"/>
          <w:lang w:val="es-ES_tradnl"/>
        </w:rPr>
        <w:t xml:space="preserve"> salvadoreño.</w:t>
      </w:r>
      <w:r w:rsidR="00A00222" w:rsidRPr="000412A5">
        <w:rPr>
          <w:rFonts w:ascii="Verdana" w:hAnsi="Verdana"/>
          <w:sz w:val="20"/>
          <w:szCs w:val="20"/>
          <w:lang w:val="es-ES_tradnl"/>
        </w:rPr>
        <w:t xml:space="preserve"> En dichas mas</w:t>
      </w:r>
      <w:r w:rsidR="00B93683" w:rsidRPr="000412A5">
        <w:rPr>
          <w:rFonts w:ascii="Verdana" w:hAnsi="Verdana"/>
          <w:sz w:val="20"/>
          <w:szCs w:val="20"/>
          <w:lang w:val="es-ES_tradnl"/>
        </w:rPr>
        <w:t>acres murieron</w:t>
      </w:r>
      <w:r w:rsidR="000E461F">
        <w:rPr>
          <w:rFonts w:ascii="Verdana" w:hAnsi="Verdana"/>
          <w:sz w:val="20"/>
          <w:szCs w:val="20"/>
          <w:lang w:val="es-ES_tradnl"/>
        </w:rPr>
        <w:t xml:space="preserve"> aproximadamente</w:t>
      </w:r>
      <w:r w:rsidR="00B93683" w:rsidRPr="000412A5">
        <w:rPr>
          <w:rFonts w:ascii="Verdana" w:hAnsi="Verdana"/>
          <w:sz w:val="20"/>
          <w:szCs w:val="20"/>
          <w:lang w:val="es-ES_tradnl"/>
        </w:rPr>
        <w:t xml:space="preserve"> mil</w:t>
      </w:r>
      <w:r w:rsidR="00A00222" w:rsidRPr="000412A5">
        <w:rPr>
          <w:rFonts w:ascii="Verdana" w:hAnsi="Verdana"/>
          <w:sz w:val="20"/>
          <w:szCs w:val="20"/>
          <w:lang w:val="es-ES_tradnl"/>
        </w:rPr>
        <w:t xml:space="preserve"> personas</w:t>
      </w:r>
      <w:r w:rsidR="00A00222" w:rsidRPr="000412A5">
        <w:rPr>
          <w:rStyle w:val="FootnoteReference"/>
          <w:rFonts w:ascii="Verdana" w:hAnsi="Verdana"/>
          <w:sz w:val="20"/>
          <w:szCs w:val="20"/>
          <w:lang w:val="es-ES_tradnl"/>
        </w:rPr>
        <w:footnoteReference w:id="2"/>
      </w:r>
      <w:r w:rsidR="00B93683" w:rsidRPr="000412A5">
        <w:rPr>
          <w:rFonts w:ascii="Verdana" w:hAnsi="Verdana"/>
          <w:sz w:val="20"/>
          <w:szCs w:val="20"/>
          <w:lang w:val="es-ES_tradnl"/>
        </w:rPr>
        <w:t>, en su mayoría niñas y niños.</w:t>
      </w:r>
      <w:r w:rsidR="00C44789" w:rsidRPr="000412A5">
        <w:rPr>
          <w:rFonts w:ascii="Verdana" w:hAnsi="Verdana"/>
          <w:sz w:val="20"/>
          <w:szCs w:val="20"/>
          <w:lang w:val="es-ES_tradnl"/>
        </w:rPr>
        <w:t xml:space="preserve"> Igualmente, se refirió a la aprobación de una ley de amnistía y su posterior aplicación judicial a la investigación penal del presente caso de forma contraria a la obligación internacional del Estado de investigar graves violaciones a derechos humanos. La Corte declaró responsable </w:t>
      </w:r>
      <w:r w:rsidR="00C44789" w:rsidRPr="000412A5">
        <w:rPr>
          <w:rFonts w:ascii="Verdana" w:hAnsi="Verdana"/>
          <w:bCs/>
          <w:sz w:val="20"/>
          <w:szCs w:val="20"/>
          <w:lang w:val="es-ES_tradnl"/>
        </w:rPr>
        <w:t>internacionalmente</w:t>
      </w:r>
      <w:r w:rsidR="00C44789" w:rsidRPr="000412A5">
        <w:rPr>
          <w:rFonts w:ascii="Verdana" w:hAnsi="Verdana"/>
          <w:sz w:val="20"/>
          <w:szCs w:val="20"/>
          <w:lang w:val="es-ES_tradnl"/>
        </w:rPr>
        <w:t xml:space="preserve"> a la República de El Salvador (en adelante “el Estado” o “El Salvador”) </w:t>
      </w:r>
      <w:r w:rsidR="00C44789" w:rsidRPr="000412A5">
        <w:rPr>
          <w:rFonts w:ascii="Verdana" w:hAnsi="Verdana"/>
          <w:bCs/>
          <w:sz w:val="20"/>
          <w:szCs w:val="20"/>
          <w:lang w:val="es-ES_tradnl"/>
        </w:rPr>
        <w:t>por la violación</w:t>
      </w:r>
      <w:r w:rsidR="00B93683" w:rsidRPr="000412A5">
        <w:rPr>
          <w:rFonts w:ascii="Verdana" w:hAnsi="Verdana"/>
          <w:bCs/>
          <w:sz w:val="20"/>
          <w:szCs w:val="20"/>
          <w:lang w:val="es-ES_tradnl"/>
        </w:rPr>
        <w:t>, entre otros,</w:t>
      </w:r>
      <w:r w:rsidR="00C44789" w:rsidRPr="000412A5">
        <w:rPr>
          <w:rFonts w:ascii="Verdana" w:hAnsi="Verdana"/>
          <w:bCs/>
          <w:sz w:val="20"/>
          <w:szCs w:val="20"/>
          <w:lang w:val="es-ES_tradnl"/>
        </w:rPr>
        <w:t xml:space="preserve"> de los derechos a la vida, a la integridad personal, </w:t>
      </w:r>
      <w:r w:rsidR="00C44789" w:rsidRPr="000412A5">
        <w:rPr>
          <w:rFonts w:ascii="Verdana" w:hAnsi="Verdana"/>
          <w:sz w:val="20"/>
          <w:szCs w:val="20"/>
          <w:lang w:val="es-ES_tradnl"/>
        </w:rPr>
        <w:t xml:space="preserve">a la propiedad privada y a la libertad personal en perjuicio de víctimas ejecutadas; por la violación de la prohibición de la tortura y otros tratos crueles, inhumanos o  degradantes, así como por la violación del derecho a la vida privada, en perjuicio de las mujeres que fueron víctimas de violaciones sexuales en el caserío El Mozote; por la violación de los derechos a la integridad personal, a la vida privada y </w:t>
      </w:r>
      <w:r w:rsidR="00695B5C" w:rsidRPr="000412A5">
        <w:rPr>
          <w:rFonts w:ascii="Verdana" w:hAnsi="Verdana"/>
          <w:sz w:val="20"/>
          <w:szCs w:val="20"/>
          <w:lang w:val="es-ES_tradnl"/>
        </w:rPr>
        <w:t>e</w:t>
      </w:r>
      <w:r w:rsidR="00C44789" w:rsidRPr="000412A5">
        <w:rPr>
          <w:rFonts w:ascii="Verdana" w:hAnsi="Verdana"/>
          <w:sz w:val="20"/>
          <w:szCs w:val="20"/>
          <w:lang w:val="es-ES_tradnl"/>
        </w:rPr>
        <w:t xml:space="preserve">l domicilio, y a la propiedad privada en perjuicio de las víctimas sobrevivientes de las masacres; por la violación del derecho de circulación y de residencia, en perjuicio de personas que fueron forzadas a desplazarse dentro de El Salvador y hacia la República de Honduras; por la violación de los derechos a la integridad personal y a la propiedad privada en perjuicio de familiares de las víctimas ejecutadas; por la violación de los derechos a las garantías judiciales y a la protección judicial, así como por el incumplimiento de las obligaciones establecidas en los artículos 1, 6 y 8 de la Convención Interamericana para Prevenir y Sancionar la Tortura y 7.b de la Convención Interamericana para Prevenir, Sancionar y Erradicar la Violencia contra la Mujer (“Convención de Belém do Pará”), en perjuicio de </w:t>
      </w:r>
      <w:r w:rsidR="00C44789" w:rsidRPr="000412A5">
        <w:rPr>
          <w:rFonts w:ascii="Verdana" w:hAnsi="Verdana"/>
          <w:sz w:val="20"/>
          <w:szCs w:val="20"/>
          <w:lang w:val="es-ES_tradnl"/>
        </w:rPr>
        <w:lastRenderedPageBreak/>
        <w:t>víctimas sobrevivientes de las masacres, así como de familiares de las víctimas ejecutadas. El Salvador efectuó una aceptación total de los hechos que configuraron las violaciones antes indicadas.</w:t>
      </w:r>
      <w:r w:rsidR="00C44789" w:rsidRPr="000412A5">
        <w:rPr>
          <w:rFonts w:ascii="Verdana" w:hAnsi="Verdana"/>
          <w:noProof/>
          <w:sz w:val="20"/>
          <w:szCs w:val="20"/>
          <w:lang w:val="es-ES_tradnl"/>
        </w:rPr>
        <w:t xml:space="preserve"> </w:t>
      </w:r>
      <w:r w:rsidR="00C44789" w:rsidRPr="000412A5">
        <w:rPr>
          <w:rFonts w:ascii="Verdana" w:hAnsi="Verdana"/>
          <w:sz w:val="20"/>
          <w:szCs w:val="20"/>
          <w:lang w:val="es-ES_tradnl"/>
        </w:rPr>
        <w:t xml:space="preserve">El Tribunal estableció que su Sentencia constituye </w:t>
      </w:r>
      <w:r w:rsidR="00AA398D" w:rsidRPr="000412A5">
        <w:rPr>
          <w:rFonts w:ascii="Verdana" w:hAnsi="Verdana"/>
          <w:sz w:val="20"/>
          <w:szCs w:val="20"/>
          <w:lang w:val="es-ES_tradnl"/>
        </w:rPr>
        <w:t>por sí misma</w:t>
      </w:r>
      <w:r w:rsidR="00C44789" w:rsidRPr="000412A5">
        <w:rPr>
          <w:rFonts w:ascii="Verdana" w:hAnsi="Verdana"/>
          <w:sz w:val="20"/>
          <w:szCs w:val="20"/>
          <w:lang w:val="es-ES_tradnl"/>
        </w:rPr>
        <w:t xml:space="preserve"> una forma de reparación y, adicionalmente, ordenó al Estado determinadas medidas de reparación (</w:t>
      </w:r>
      <w:r w:rsidR="00C44789" w:rsidRPr="000412A5">
        <w:rPr>
          <w:rFonts w:ascii="Verdana" w:hAnsi="Verdana"/>
          <w:i/>
          <w:sz w:val="20"/>
          <w:szCs w:val="20"/>
          <w:lang w:val="es-ES_tradnl"/>
        </w:rPr>
        <w:t>infra</w:t>
      </w:r>
      <w:r w:rsidR="00C44789" w:rsidRPr="000412A5">
        <w:rPr>
          <w:rFonts w:ascii="Verdana" w:hAnsi="Verdana"/>
          <w:sz w:val="20"/>
          <w:szCs w:val="20"/>
          <w:lang w:val="es-ES_tradnl"/>
        </w:rPr>
        <w:t xml:space="preserve"> Considerando </w:t>
      </w:r>
      <w:r w:rsidR="009029F1">
        <w:rPr>
          <w:rFonts w:ascii="Verdana" w:hAnsi="Verdana"/>
          <w:sz w:val="20"/>
          <w:szCs w:val="20"/>
          <w:lang w:val="es-ES_tradnl"/>
        </w:rPr>
        <w:fldChar w:fldCharType="begin"/>
      </w:r>
      <w:r w:rsidR="009029F1">
        <w:rPr>
          <w:rFonts w:ascii="Verdana" w:hAnsi="Verdana"/>
          <w:sz w:val="20"/>
          <w:szCs w:val="20"/>
          <w:lang w:val="es-ES_tradnl"/>
        </w:rPr>
        <w:instrText xml:space="preserve"> REF _Ref492543439 \r \h </w:instrText>
      </w:r>
      <w:r w:rsidR="009029F1">
        <w:rPr>
          <w:rFonts w:ascii="Verdana" w:hAnsi="Verdana"/>
          <w:sz w:val="20"/>
          <w:szCs w:val="20"/>
          <w:lang w:val="es-ES_tradnl"/>
        </w:rPr>
      </w:r>
      <w:r w:rsidR="009029F1">
        <w:rPr>
          <w:rFonts w:ascii="Verdana" w:hAnsi="Verdana"/>
          <w:sz w:val="20"/>
          <w:szCs w:val="20"/>
          <w:lang w:val="es-ES_tradnl"/>
        </w:rPr>
        <w:fldChar w:fldCharType="separate"/>
      </w:r>
      <w:r w:rsidR="005E6AC2">
        <w:rPr>
          <w:rFonts w:ascii="Verdana" w:hAnsi="Verdana"/>
          <w:sz w:val="20"/>
          <w:szCs w:val="20"/>
          <w:lang w:val="es-ES_tradnl"/>
        </w:rPr>
        <w:t>1</w:t>
      </w:r>
      <w:r w:rsidR="009029F1">
        <w:rPr>
          <w:rFonts w:ascii="Verdana" w:hAnsi="Verdana"/>
          <w:sz w:val="20"/>
          <w:szCs w:val="20"/>
          <w:lang w:val="es-ES_tradnl"/>
        </w:rPr>
        <w:fldChar w:fldCharType="end"/>
      </w:r>
      <w:r w:rsidR="00C44789" w:rsidRPr="000412A5">
        <w:rPr>
          <w:rFonts w:ascii="Verdana" w:hAnsi="Verdana"/>
          <w:sz w:val="20"/>
          <w:szCs w:val="20"/>
          <w:lang w:val="es-ES_tradnl"/>
        </w:rPr>
        <w:t>)</w:t>
      </w:r>
      <w:r w:rsidR="00C44789" w:rsidRPr="000412A5">
        <w:rPr>
          <w:rFonts w:ascii="Verdana" w:hAnsi="Verdana"/>
          <w:sz w:val="20"/>
          <w:lang w:val="es-ES_tradnl"/>
        </w:rPr>
        <w:t>.</w:t>
      </w:r>
      <w:bookmarkEnd w:id="3"/>
      <w:r w:rsidR="00C44789" w:rsidRPr="000412A5">
        <w:rPr>
          <w:rFonts w:ascii="Verdana" w:hAnsi="Verdana"/>
          <w:noProof/>
          <w:sz w:val="20"/>
          <w:szCs w:val="20"/>
          <w:lang w:val="es-ES_tradnl"/>
        </w:rPr>
        <w:t xml:space="preserve"> </w:t>
      </w:r>
    </w:p>
    <w:p w14:paraId="4E1C0A71" w14:textId="77777777" w:rsidR="006422FC" w:rsidRPr="000412A5" w:rsidRDefault="006422FC" w:rsidP="00C75E57">
      <w:pPr>
        <w:tabs>
          <w:tab w:val="left" w:pos="567"/>
        </w:tabs>
        <w:spacing w:after="0" w:line="240" w:lineRule="auto"/>
        <w:ind w:right="4"/>
        <w:contextualSpacing/>
        <w:jc w:val="both"/>
        <w:rPr>
          <w:rFonts w:ascii="Verdana" w:hAnsi="Verdana"/>
          <w:noProof/>
          <w:sz w:val="20"/>
          <w:szCs w:val="20"/>
          <w:lang w:val="es-ES_tradnl"/>
        </w:rPr>
      </w:pPr>
    </w:p>
    <w:p w14:paraId="24C97DB3" w14:textId="77777777" w:rsidR="00F72581" w:rsidRDefault="005A622D" w:rsidP="00F72581">
      <w:pPr>
        <w:numPr>
          <w:ilvl w:val="0"/>
          <w:numId w:val="1"/>
        </w:numPr>
        <w:tabs>
          <w:tab w:val="left" w:pos="567"/>
        </w:tabs>
        <w:spacing w:after="0" w:line="240" w:lineRule="auto"/>
        <w:ind w:left="0" w:right="4" w:firstLine="0"/>
        <w:contextualSpacing/>
        <w:jc w:val="both"/>
        <w:rPr>
          <w:rFonts w:ascii="Verdana" w:hAnsi="Verdana"/>
          <w:noProof/>
          <w:sz w:val="20"/>
          <w:szCs w:val="20"/>
          <w:lang w:val="es-ES_tradnl"/>
        </w:rPr>
      </w:pPr>
      <w:bookmarkStart w:id="4" w:name="_Ref492545367"/>
      <w:r w:rsidRPr="000412A5">
        <w:rPr>
          <w:rFonts w:ascii="Verdana" w:hAnsi="Verdana"/>
          <w:sz w:val="20"/>
          <w:szCs w:val="20"/>
          <w:lang w:val="es-ES_tradnl"/>
        </w:rPr>
        <w:t>Las Resoluciones de supervisión de cumplimiento de Sentencia emitidas por la Corte Interamericana el 3 de mayo de 2016</w:t>
      </w:r>
      <w:r w:rsidRPr="000412A5">
        <w:rPr>
          <w:rStyle w:val="FootnoteReference"/>
          <w:rFonts w:ascii="Verdana" w:hAnsi="Verdana"/>
          <w:lang w:val="es-ES_tradnl"/>
        </w:rPr>
        <w:footnoteReference w:id="3"/>
      </w:r>
      <w:r w:rsidRPr="000412A5">
        <w:rPr>
          <w:rFonts w:ascii="Verdana" w:hAnsi="Verdana"/>
          <w:sz w:val="20"/>
          <w:szCs w:val="20"/>
          <w:lang w:val="es-ES_tradnl"/>
        </w:rPr>
        <w:t>, el 31 de agosto de 2017</w:t>
      </w:r>
      <w:r w:rsidRPr="000412A5">
        <w:rPr>
          <w:rStyle w:val="FootnoteReference"/>
          <w:rFonts w:ascii="Verdana" w:hAnsi="Verdana"/>
          <w:lang w:val="es-ES_tradnl"/>
        </w:rPr>
        <w:footnoteReference w:id="4"/>
      </w:r>
      <w:r w:rsidRPr="000412A5">
        <w:rPr>
          <w:rFonts w:ascii="Verdana" w:hAnsi="Verdana"/>
          <w:sz w:val="20"/>
          <w:szCs w:val="20"/>
          <w:lang w:val="es-ES_tradnl"/>
        </w:rPr>
        <w:t xml:space="preserve"> y el 30 de mayo de 2018</w:t>
      </w:r>
      <w:r w:rsidRPr="000412A5">
        <w:rPr>
          <w:rStyle w:val="FootnoteReference"/>
          <w:rFonts w:ascii="Verdana" w:hAnsi="Verdana"/>
          <w:lang w:val="es-ES_tradnl"/>
        </w:rPr>
        <w:footnoteReference w:id="5"/>
      </w:r>
      <w:r w:rsidR="006422FC" w:rsidRPr="000412A5">
        <w:rPr>
          <w:rFonts w:ascii="Verdana" w:hAnsi="Verdana"/>
          <w:noProof/>
          <w:sz w:val="20"/>
          <w:szCs w:val="20"/>
          <w:lang w:val="es-ES_tradnl"/>
        </w:rPr>
        <w:t>.</w:t>
      </w:r>
      <w:bookmarkStart w:id="5" w:name="_Ref492906675"/>
      <w:bookmarkEnd w:id="4"/>
    </w:p>
    <w:p w14:paraId="60E7FE0A" w14:textId="4841AD40" w:rsidR="005653BC" w:rsidRDefault="007D2268" w:rsidP="007D2268">
      <w:pPr>
        <w:tabs>
          <w:tab w:val="left" w:pos="5610"/>
        </w:tabs>
        <w:spacing w:after="0" w:line="240" w:lineRule="auto"/>
        <w:ind w:right="4"/>
        <w:contextualSpacing/>
        <w:jc w:val="both"/>
        <w:rPr>
          <w:rFonts w:ascii="Verdana" w:hAnsi="Verdana"/>
          <w:noProof/>
          <w:sz w:val="20"/>
          <w:szCs w:val="20"/>
          <w:lang w:val="es-ES_tradnl"/>
        </w:rPr>
      </w:pPr>
      <w:bookmarkStart w:id="6" w:name="_Ref492882021"/>
      <w:bookmarkEnd w:id="5"/>
      <w:r>
        <w:rPr>
          <w:rFonts w:ascii="Verdana" w:hAnsi="Verdana"/>
          <w:noProof/>
          <w:sz w:val="20"/>
          <w:szCs w:val="20"/>
          <w:lang w:val="es-ES_tradnl"/>
        </w:rPr>
        <w:tab/>
      </w:r>
    </w:p>
    <w:bookmarkEnd w:id="6"/>
    <w:p w14:paraId="3F09A072" w14:textId="26B827DA" w:rsidR="005653BC" w:rsidRDefault="007B76F8" w:rsidP="005653BC">
      <w:pPr>
        <w:numPr>
          <w:ilvl w:val="0"/>
          <w:numId w:val="1"/>
        </w:numPr>
        <w:tabs>
          <w:tab w:val="left" w:pos="567"/>
        </w:tabs>
        <w:spacing w:after="0" w:line="240" w:lineRule="auto"/>
        <w:ind w:left="0" w:right="4" w:firstLine="0"/>
        <w:contextualSpacing/>
        <w:jc w:val="both"/>
        <w:rPr>
          <w:rFonts w:ascii="Verdana" w:hAnsi="Verdana"/>
          <w:noProof/>
          <w:sz w:val="20"/>
          <w:szCs w:val="20"/>
          <w:lang w:val="es-ES_tradnl"/>
        </w:rPr>
      </w:pPr>
      <w:r w:rsidRPr="00F72581">
        <w:rPr>
          <w:rFonts w:ascii="Verdana" w:hAnsi="Verdana"/>
          <w:sz w:val="20"/>
          <w:szCs w:val="20"/>
          <w:lang w:val="es-ES_tradnl"/>
        </w:rPr>
        <w:t xml:space="preserve">Las diligencias de una delegación de la Corte celebradas los días </w:t>
      </w:r>
      <w:r w:rsidR="00F72581" w:rsidRPr="00F72581">
        <w:rPr>
          <w:rFonts w:ascii="Verdana" w:hAnsi="Verdana"/>
          <w:sz w:val="20"/>
          <w:szCs w:val="20"/>
          <w:lang w:val="es-ES_tradnl"/>
        </w:rPr>
        <w:t>28</w:t>
      </w:r>
      <w:r w:rsidRPr="00F72581">
        <w:rPr>
          <w:rFonts w:ascii="Verdana" w:hAnsi="Verdana"/>
          <w:sz w:val="20"/>
          <w:szCs w:val="20"/>
          <w:lang w:val="es-ES_tradnl"/>
        </w:rPr>
        <w:t xml:space="preserve"> a </w:t>
      </w:r>
      <w:r w:rsidR="00F72581" w:rsidRPr="00F72581">
        <w:rPr>
          <w:rFonts w:ascii="Verdana" w:hAnsi="Verdana"/>
          <w:sz w:val="20"/>
          <w:szCs w:val="20"/>
          <w:lang w:val="es-ES_tradnl"/>
        </w:rPr>
        <w:t>30 de agosto de 2018</w:t>
      </w:r>
      <w:r w:rsidRPr="00F72581">
        <w:rPr>
          <w:rFonts w:ascii="Verdana" w:hAnsi="Verdana"/>
          <w:sz w:val="20"/>
          <w:szCs w:val="20"/>
          <w:lang w:val="es-ES_tradnl"/>
        </w:rPr>
        <w:t xml:space="preserve"> en San Salvador, en el </w:t>
      </w:r>
      <w:r w:rsidR="005653BC">
        <w:rPr>
          <w:rFonts w:ascii="Verdana" w:hAnsi="Verdana"/>
          <w:sz w:val="20"/>
          <w:szCs w:val="20"/>
          <w:lang w:val="es-ES_tradnl"/>
        </w:rPr>
        <w:t>Juzgado Segundo de Paz</w:t>
      </w:r>
      <w:r w:rsidRPr="00F72581">
        <w:rPr>
          <w:rFonts w:ascii="Verdana" w:hAnsi="Verdana"/>
          <w:sz w:val="20"/>
          <w:szCs w:val="20"/>
          <w:lang w:val="es-ES_tradnl"/>
        </w:rPr>
        <w:t xml:space="preserve"> de </w:t>
      </w:r>
      <w:r w:rsidR="005653BC">
        <w:rPr>
          <w:rFonts w:ascii="Verdana" w:hAnsi="Verdana"/>
          <w:sz w:val="20"/>
          <w:szCs w:val="20"/>
          <w:lang w:val="es-ES_tradnl"/>
        </w:rPr>
        <w:t>San Francisco Gotera</w:t>
      </w:r>
      <w:r w:rsidRPr="00F72581">
        <w:rPr>
          <w:rFonts w:ascii="Verdana" w:hAnsi="Verdana"/>
          <w:sz w:val="20"/>
          <w:szCs w:val="20"/>
          <w:lang w:val="es-ES_tradnl"/>
        </w:rPr>
        <w:t xml:space="preserve">, en El Mozote y en </w:t>
      </w:r>
      <w:proofErr w:type="spellStart"/>
      <w:r w:rsidRPr="00F72581">
        <w:rPr>
          <w:rFonts w:ascii="Verdana" w:hAnsi="Verdana"/>
          <w:sz w:val="20"/>
          <w:szCs w:val="20"/>
          <w:lang w:val="es-ES_tradnl"/>
        </w:rPr>
        <w:t>Arambala</w:t>
      </w:r>
      <w:proofErr w:type="spellEnd"/>
      <w:r w:rsidRPr="00F72581">
        <w:rPr>
          <w:rFonts w:ascii="Verdana" w:hAnsi="Verdana"/>
          <w:sz w:val="20"/>
          <w:szCs w:val="20"/>
          <w:lang w:val="es-ES_tradnl"/>
        </w:rPr>
        <w:t xml:space="preserve"> (</w:t>
      </w:r>
      <w:r w:rsidRPr="00F72581">
        <w:rPr>
          <w:rFonts w:ascii="Verdana" w:hAnsi="Verdana"/>
          <w:i/>
          <w:sz w:val="20"/>
          <w:szCs w:val="20"/>
          <w:lang w:val="es-ES_tradnl"/>
        </w:rPr>
        <w:t>infra</w:t>
      </w:r>
      <w:r w:rsidRPr="00F72581">
        <w:rPr>
          <w:rFonts w:ascii="Verdana" w:hAnsi="Verdana"/>
          <w:sz w:val="20"/>
          <w:szCs w:val="20"/>
          <w:lang w:val="es-ES_tradnl"/>
        </w:rPr>
        <w:t xml:space="preserve"> Considerandos </w:t>
      </w:r>
      <w:r w:rsidR="00BE2FE2">
        <w:rPr>
          <w:rFonts w:ascii="Verdana" w:hAnsi="Verdana"/>
          <w:sz w:val="20"/>
          <w:szCs w:val="20"/>
          <w:lang w:val="es-ES_tradnl"/>
        </w:rPr>
        <w:fldChar w:fldCharType="begin"/>
      </w:r>
      <w:r w:rsidR="00BE2FE2">
        <w:rPr>
          <w:rFonts w:ascii="Verdana" w:hAnsi="Verdana"/>
          <w:sz w:val="20"/>
          <w:szCs w:val="20"/>
          <w:lang w:val="es-ES_tradnl"/>
        </w:rPr>
        <w:instrText xml:space="preserve"> REF _Ref532391683 \r \h </w:instrText>
      </w:r>
      <w:r w:rsidR="00BE2FE2">
        <w:rPr>
          <w:rFonts w:ascii="Verdana" w:hAnsi="Verdana"/>
          <w:sz w:val="20"/>
          <w:szCs w:val="20"/>
          <w:lang w:val="es-ES_tradnl"/>
        </w:rPr>
      </w:r>
      <w:r w:rsidR="00BE2FE2">
        <w:rPr>
          <w:rFonts w:ascii="Verdana" w:hAnsi="Verdana"/>
          <w:sz w:val="20"/>
          <w:szCs w:val="20"/>
          <w:lang w:val="es-ES_tradnl"/>
        </w:rPr>
        <w:fldChar w:fldCharType="separate"/>
      </w:r>
      <w:r w:rsidR="005E6AC2">
        <w:rPr>
          <w:rFonts w:ascii="Verdana" w:hAnsi="Verdana"/>
          <w:sz w:val="20"/>
          <w:szCs w:val="20"/>
          <w:lang w:val="es-ES_tradnl"/>
        </w:rPr>
        <w:t>5</w:t>
      </w:r>
      <w:r w:rsidR="00BE2FE2">
        <w:rPr>
          <w:rFonts w:ascii="Verdana" w:hAnsi="Verdana"/>
          <w:sz w:val="20"/>
          <w:szCs w:val="20"/>
          <w:lang w:val="es-ES_tradnl"/>
        </w:rPr>
        <w:fldChar w:fldCharType="end"/>
      </w:r>
      <w:r w:rsidR="00BE2FE2">
        <w:rPr>
          <w:rFonts w:ascii="Verdana" w:hAnsi="Verdana"/>
          <w:sz w:val="20"/>
          <w:szCs w:val="20"/>
          <w:lang w:val="es-ES_tradnl"/>
        </w:rPr>
        <w:t xml:space="preserve"> a </w:t>
      </w:r>
      <w:r w:rsidR="00BE2FE2">
        <w:rPr>
          <w:rFonts w:ascii="Verdana" w:hAnsi="Verdana"/>
          <w:sz w:val="20"/>
          <w:szCs w:val="20"/>
          <w:lang w:val="es-ES_tradnl"/>
        </w:rPr>
        <w:fldChar w:fldCharType="begin"/>
      </w:r>
      <w:r w:rsidR="00BE2FE2">
        <w:rPr>
          <w:rFonts w:ascii="Verdana" w:hAnsi="Verdana"/>
          <w:sz w:val="20"/>
          <w:szCs w:val="20"/>
          <w:lang w:val="es-ES_tradnl"/>
        </w:rPr>
        <w:instrText xml:space="preserve"> REF _Ref487562144 \r \h </w:instrText>
      </w:r>
      <w:r w:rsidR="00BE2FE2">
        <w:rPr>
          <w:rFonts w:ascii="Verdana" w:hAnsi="Verdana"/>
          <w:sz w:val="20"/>
          <w:szCs w:val="20"/>
          <w:lang w:val="es-ES_tradnl"/>
        </w:rPr>
      </w:r>
      <w:r w:rsidR="00BE2FE2">
        <w:rPr>
          <w:rFonts w:ascii="Verdana" w:hAnsi="Verdana"/>
          <w:sz w:val="20"/>
          <w:szCs w:val="20"/>
          <w:lang w:val="es-ES_tradnl"/>
        </w:rPr>
        <w:fldChar w:fldCharType="separate"/>
      </w:r>
      <w:r w:rsidR="005E6AC2">
        <w:rPr>
          <w:rFonts w:ascii="Verdana" w:hAnsi="Verdana"/>
          <w:sz w:val="20"/>
          <w:szCs w:val="20"/>
          <w:lang w:val="es-ES_tradnl"/>
        </w:rPr>
        <w:t>10</w:t>
      </w:r>
      <w:r w:rsidR="00BE2FE2">
        <w:rPr>
          <w:rFonts w:ascii="Verdana" w:hAnsi="Verdana"/>
          <w:sz w:val="20"/>
          <w:szCs w:val="20"/>
          <w:lang w:val="es-ES_tradnl"/>
        </w:rPr>
        <w:fldChar w:fldCharType="end"/>
      </w:r>
      <w:r w:rsidRPr="00F72581">
        <w:rPr>
          <w:rFonts w:ascii="Verdana" w:hAnsi="Verdana"/>
          <w:sz w:val="20"/>
          <w:szCs w:val="20"/>
          <w:lang w:val="es-ES_tradnl"/>
        </w:rPr>
        <w:t>).</w:t>
      </w:r>
    </w:p>
    <w:p w14:paraId="6F5D14F2" w14:textId="77777777" w:rsidR="005653BC" w:rsidRPr="005653BC" w:rsidRDefault="005653BC" w:rsidP="005653BC">
      <w:pPr>
        <w:tabs>
          <w:tab w:val="left" w:pos="567"/>
        </w:tabs>
        <w:spacing w:after="0" w:line="240" w:lineRule="auto"/>
        <w:ind w:right="4"/>
        <w:contextualSpacing/>
        <w:jc w:val="both"/>
        <w:rPr>
          <w:rFonts w:ascii="Verdana" w:hAnsi="Verdana"/>
          <w:noProof/>
          <w:sz w:val="20"/>
          <w:szCs w:val="20"/>
          <w:lang w:val="es-ES_tradnl"/>
        </w:rPr>
      </w:pPr>
    </w:p>
    <w:p w14:paraId="60F97874" w14:textId="77777777" w:rsidR="005653BC" w:rsidRPr="005653BC" w:rsidRDefault="005653BC" w:rsidP="005653BC">
      <w:pPr>
        <w:numPr>
          <w:ilvl w:val="0"/>
          <w:numId w:val="1"/>
        </w:numPr>
        <w:tabs>
          <w:tab w:val="left" w:pos="567"/>
        </w:tabs>
        <w:spacing w:after="0" w:line="240" w:lineRule="auto"/>
        <w:ind w:left="0" w:right="4" w:firstLine="0"/>
        <w:contextualSpacing/>
        <w:jc w:val="both"/>
        <w:rPr>
          <w:rFonts w:ascii="Verdana" w:hAnsi="Verdana"/>
          <w:noProof/>
          <w:sz w:val="20"/>
          <w:szCs w:val="20"/>
          <w:lang w:val="es-ES_tradnl"/>
        </w:rPr>
      </w:pPr>
      <w:bookmarkStart w:id="7" w:name="_Ref532391737"/>
      <w:r w:rsidRPr="00F72581">
        <w:rPr>
          <w:rFonts w:ascii="Verdana" w:hAnsi="Verdana"/>
          <w:sz w:val="20"/>
          <w:szCs w:val="20"/>
          <w:lang w:val="es-ES_tradnl"/>
        </w:rPr>
        <w:t>El escrito presentado por la Procuraduría para la Defensa de los Derechos Humanos</w:t>
      </w:r>
      <w:r w:rsidRPr="000412A5">
        <w:rPr>
          <w:rStyle w:val="FootnoteReference"/>
          <w:rFonts w:ascii="Verdana" w:hAnsi="Verdana"/>
          <w:sz w:val="20"/>
          <w:szCs w:val="20"/>
          <w:lang w:val="es-ES_tradnl"/>
        </w:rPr>
        <w:footnoteReference w:id="6"/>
      </w:r>
      <w:r w:rsidRPr="00F72581">
        <w:rPr>
          <w:rFonts w:ascii="Verdana" w:hAnsi="Verdana"/>
          <w:sz w:val="20"/>
          <w:szCs w:val="20"/>
          <w:lang w:val="es-ES_tradnl"/>
        </w:rPr>
        <w:t xml:space="preserve"> e</w:t>
      </w:r>
      <w:r>
        <w:rPr>
          <w:rFonts w:ascii="Verdana" w:hAnsi="Verdana"/>
          <w:sz w:val="20"/>
          <w:szCs w:val="20"/>
          <w:lang w:val="es-ES_tradnl"/>
        </w:rPr>
        <w:t>l 28 de</w:t>
      </w:r>
      <w:r w:rsidRPr="00F72581">
        <w:rPr>
          <w:rFonts w:ascii="Verdana" w:hAnsi="Verdana"/>
          <w:sz w:val="20"/>
          <w:szCs w:val="20"/>
          <w:lang w:val="es-ES_tradnl"/>
        </w:rPr>
        <w:t xml:space="preserve"> agosto de 2018</w:t>
      </w:r>
      <w:r w:rsidRPr="000412A5">
        <w:rPr>
          <w:rStyle w:val="FootnoteReference"/>
          <w:rFonts w:ascii="Verdana" w:hAnsi="Verdana"/>
          <w:sz w:val="20"/>
          <w:szCs w:val="20"/>
          <w:lang w:val="es-ES_tradnl"/>
        </w:rPr>
        <w:footnoteReference w:id="7"/>
      </w:r>
      <w:r w:rsidRPr="00F72581">
        <w:rPr>
          <w:rFonts w:ascii="Verdana" w:hAnsi="Verdana"/>
          <w:sz w:val="20"/>
          <w:szCs w:val="20"/>
          <w:lang w:val="es-ES_tradnl"/>
        </w:rPr>
        <w:t>.</w:t>
      </w:r>
      <w:bookmarkEnd w:id="7"/>
      <w:r w:rsidRPr="00F72581">
        <w:rPr>
          <w:rFonts w:ascii="Verdana" w:hAnsi="Verdana"/>
          <w:sz w:val="20"/>
          <w:szCs w:val="20"/>
          <w:lang w:val="es-ES_tradnl"/>
        </w:rPr>
        <w:t xml:space="preserve"> </w:t>
      </w:r>
    </w:p>
    <w:p w14:paraId="5D8EF3BF" w14:textId="149666DE" w:rsidR="007B76F8" w:rsidRPr="000412A5" w:rsidRDefault="007D2268" w:rsidP="007D2268">
      <w:pPr>
        <w:pStyle w:val="ListParagraph"/>
        <w:tabs>
          <w:tab w:val="left" w:pos="5610"/>
        </w:tabs>
        <w:rPr>
          <w:rFonts w:ascii="Verdana" w:hAnsi="Verdana"/>
          <w:sz w:val="20"/>
          <w:szCs w:val="20"/>
          <w:lang w:val="es-ES_tradnl"/>
        </w:rPr>
      </w:pPr>
      <w:r>
        <w:rPr>
          <w:rFonts w:ascii="Verdana" w:hAnsi="Verdana"/>
          <w:sz w:val="20"/>
          <w:szCs w:val="20"/>
          <w:lang w:val="es-ES_tradnl"/>
        </w:rPr>
        <w:tab/>
      </w:r>
    </w:p>
    <w:p w14:paraId="646F3702" w14:textId="364E550A" w:rsidR="006004BF" w:rsidRDefault="009A5093" w:rsidP="00F72581">
      <w:pPr>
        <w:pStyle w:val="ListParagraph"/>
        <w:numPr>
          <w:ilvl w:val="0"/>
          <w:numId w:val="1"/>
        </w:numPr>
        <w:tabs>
          <w:tab w:val="left" w:pos="0"/>
        </w:tabs>
        <w:spacing w:after="0" w:line="240" w:lineRule="auto"/>
        <w:ind w:left="0" w:right="4" w:firstLine="0"/>
        <w:jc w:val="both"/>
        <w:rPr>
          <w:rFonts w:ascii="Verdana" w:hAnsi="Verdana"/>
          <w:noProof/>
          <w:sz w:val="20"/>
          <w:szCs w:val="20"/>
          <w:lang w:val="es-ES_tradnl"/>
        </w:rPr>
      </w:pPr>
      <w:r>
        <w:rPr>
          <w:rFonts w:ascii="Verdana" w:hAnsi="Verdana"/>
          <w:noProof/>
          <w:sz w:val="20"/>
          <w:szCs w:val="20"/>
          <w:lang w:val="es-ES_tradnl"/>
        </w:rPr>
        <w:t xml:space="preserve">La nota de Secretaría de 24 de septiembre de 2018, mediante la cual siguiendo instrucciones del Presidente, se </w:t>
      </w:r>
      <w:r w:rsidR="002E0AE3">
        <w:rPr>
          <w:rFonts w:ascii="Verdana" w:hAnsi="Verdana"/>
          <w:noProof/>
          <w:sz w:val="20"/>
          <w:szCs w:val="20"/>
          <w:lang w:val="es-ES_tradnl"/>
        </w:rPr>
        <w:t>realizó una solicitud de información al Estado tomando en cuenta la información que fue recibida en las diligencias de supervisión en El Salvador</w:t>
      </w:r>
      <w:r w:rsidR="00C17B8E">
        <w:rPr>
          <w:rFonts w:ascii="Verdana" w:hAnsi="Verdana"/>
          <w:noProof/>
          <w:sz w:val="20"/>
          <w:szCs w:val="20"/>
          <w:lang w:val="es-ES_tradnl"/>
        </w:rPr>
        <w:t xml:space="preserve"> (</w:t>
      </w:r>
      <w:r w:rsidR="00C17B8E">
        <w:rPr>
          <w:rFonts w:ascii="Verdana" w:hAnsi="Verdana"/>
          <w:i/>
          <w:noProof/>
          <w:sz w:val="20"/>
          <w:szCs w:val="20"/>
          <w:lang w:val="es-ES_tradnl"/>
        </w:rPr>
        <w:t>supra</w:t>
      </w:r>
      <w:r w:rsidR="00C17B8E">
        <w:rPr>
          <w:rFonts w:ascii="Verdana" w:hAnsi="Verdana"/>
          <w:noProof/>
          <w:sz w:val="20"/>
          <w:szCs w:val="20"/>
          <w:lang w:val="es-ES_tradnl"/>
        </w:rPr>
        <w:t xml:space="preserve"> Visto 3)</w:t>
      </w:r>
      <w:r w:rsidR="002E0AE3">
        <w:rPr>
          <w:rFonts w:ascii="Verdana" w:hAnsi="Verdana"/>
          <w:noProof/>
          <w:sz w:val="20"/>
          <w:szCs w:val="20"/>
          <w:lang w:val="es-ES_tradnl"/>
        </w:rPr>
        <w:t xml:space="preserve">, así como las observaciones expresadas por las víctimas y sus representantes en dichas diligencias. Para presentar el informe sobre el </w:t>
      </w:r>
      <w:r w:rsidRPr="00A60E19">
        <w:rPr>
          <w:rFonts w:ascii="Verdana" w:hAnsi="Verdana"/>
          <w:noProof/>
          <w:sz w:val="20"/>
          <w:szCs w:val="20"/>
          <w:lang w:val="es-ES_tradnl"/>
        </w:rPr>
        <w:t xml:space="preserve">pago de indemnizaciones y </w:t>
      </w:r>
      <w:r w:rsidR="002E0AE3">
        <w:rPr>
          <w:rFonts w:ascii="Verdana" w:hAnsi="Verdana"/>
          <w:noProof/>
          <w:sz w:val="20"/>
          <w:szCs w:val="20"/>
          <w:lang w:val="es-ES_tradnl"/>
        </w:rPr>
        <w:t>e</w:t>
      </w:r>
      <w:r w:rsidRPr="00A60E19">
        <w:rPr>
          <w:rFonts w:ascii="Verdana" w:hAnsi="Verdana"/>
          <w:noProof/>
          <w:sz w:val="20"/>
          <w:szCs w:val="20"/>
          <w:lang w:val="es-ES_tradnl"/>
        </w:rPr>
        <w:t xml:space="preserve">l </w:t>
      </w:r>
      <w:r w:rsidRPr="00A60E19">
        <w:rPr>
          <w:rFonts w:ascii="Verdana" w:hAnsi="Verdana"/>
          <w:sz w:val="20"/>
          <w:szCs w:val="20"/>
          <w:lang w:val="es-ES_tradnl"/>
        </w:rPr>
        <w:t>Registro único de víctimas de las Masacres de El Mozote y lugares aledaños</w:t>
      </w:r>
      <w:r>
        <w:rPr>
          <w:rFonts w:ascii="Verdana" w:hAnsi="Verdana"/>
          <w:noProof/>
          <w:sz w:val="20"/>
          <w:szCs w:val="20"/>
          <w:lang w:val="es-ES_tradnl"/>
        </w:rPr>
        <w:t xml:space="preserve"> </w:t>
      </w:r>
      <w:r w:rsidR="002E0AE3">
        <w:rPr>
          <w:rFonts w:ascii="Verdana" w:hAnsi="Verdana"/>
          <w:noProof/>
          <w:sz w:val="20"/>
          <w:szCs w:val="20"/>
          <w:lang w:val="es-ES_tradnl"/>
        </w:rPr>
        <w:t xml:space="preserve">se le otorgó un plazo hasta el 15 de </w:t>
      </w:r>
      <w:r>
        <w:rPr>
          <w:rFonts w:ascii="Verdana" w:hAnsi="Verdana"/>
          <w:noProof/>
          <w:sz w:val="20"/>
          <w:szCs w:val="20"/>
          <w:lang w:val="es-ES_tradnl"/>
        </w:rPr>
        <w:t xml:space="preserve">octubre de 2018, y </w:t>
      </w:r>
      <w:r w:rsidR="002E0AE3">
        <w:rPr>
          <w:rFonts w:ascii="Verdana" w:hAnsi="Verdana"/>
          <w:noProof/>
          <w:sz w:val="20"/>
          <w:szCs w:val="20"/>
          <w:lang w:val="es-ES_tradnl"/>
        </w:rPr>
        <w:t xml:space="preserve">para presentar el informe </w:t>
      </w:r>
      <w:r>
        <w:rPr>
          <w:rFonts w:ascii="Verdana" w:hAnsi="Verdana"/>
          <w:noProof/>
          <w:sz w:val="20"/>
          <w:szCs w:val="20"/>
          <w:lang w:val="es-ES_tradnl"/>
        </w:rPr>
        <w:t>sobre las demás medidas de reparación</w:t>
      </w:r>
      <w:r w:rsidR="002E0AE3">
        <w:rPr>
          <w:rFonts w:ascii="Verdana" w:hAnsi="Verdana"/>
          <w:noProof/>
          <w:sz w:val="20"/>
          <w:szCs w:val="20"/>
          <w:lang w:val="es-ES_tradnl"/>
        </w:rPr>
        <w:t xml:space="preserve"> se le otorgó un plazo hasta el 23 de noviembre de 2018</w:t>
      </w:r>
      <w:r>
        <w:rPr>
          <w:rFonts w:ascii="Verdana" w:hAnsi="Verdana"/>
          <w:noProof/>
          <w:sz w:val="20"/>
          <w:szCs w:val="20"/>
          <w:lang w:val="es-ES_tradnl"/>
        </w:rPr>
        <w:t xml:space="preserve">. </w:t>
      </w:r>
    </w:p>
    <w:p w14:paraId="199E37BF" w14:textId="77777777" w:rsidR="006004BF" w:rsidRPr="00A60E19" w:rsidRDefault="006004BF" w:rsidP="00A60E19">
      <w:pPr>
        <w:tabs>
          <w:tab w:val="left" w:pos="0"/>
        </w:tabs>
        <w:spacing w:after="0" w:line="240" w:lineRule="auto"/>
        <w:ind w:right="4"/>
        <w:jc w:val="both"/>
        <w:rPr>
          <w:rFonts w:ascii="Verdana" w:hAnsi="Verdana"/>
          <w:noProof/>
          <w:sz w:val="20"/>
          <w:szCs w:val="20"/>
          <w:lang w:val="es-ES_tradnl"/>
        </w:rPr>
      </w:pPr>
    </w:p>
    <w:p w14:paraId="5029DF05" w14:textId="1D9D6A3B" w:rsidR="00F72581" w:rsidRPr="000412A5" w:rsidRDefault="00C17B8E" w:rsidP="00F72581">
      <w:pPr>
        <w:pStyle w:val="ListParagraph"/>
        <w:numPr>
          <w:ilvl w:val="0"/>
          <w:numId w:val="1"/>
        </w:numPr>
        <w:tabs>
          <w:tab w:val="left" w:pos="0"/>
        </w:tabs>
        <w:spacing w:after="0" w:line="240" w:lineRule="auto"/>
        <w:ind w:left="0" w:right="4" w:firstLine="0"/>
        <w:jc w:val="both"/>
        <w:rPr>
          <w:rFonts w:ascii="Verdana" w:hAnsi="Verdana"/>
          <w:noProof/>
          <w:sz w:val="20"/>
          <w:szCs w:val="20"/>
          <w:lang w:val="es-ES_tradnl"/>
        </w:rPr>
      </w:pPr>
      <w:r>
        <w:rPr>
          <w:rFonts w:ascii="Verdana" w:hAnsi="Verdana"/>
          <w:noProof/>
          <w:sz w:val="20"/>
          <w:szCs w:val="20"/>
          <w:lang w:val="es-ES_tradnl"/>
        </w:rPr>
        <w:t>El</w:t>
      </w:r>
      <w:r w:rsidR="00F72581">
        <w:rPr>
          <w:rFonts w:ascii="Verdana" w:hAnsi="Verdana"/>
          <w:noProof/>
          <w:sz w:val="20"/>
          <w:szCs w:val="20"/>
          <w:lang w:val="es-ES_tradnl"/>
        </w:rPr>
        <w:t xml:space="preserve"> informe </w:t>
      </w:r>
      <w:r w:rsidR="00F72581" w:rsidRPr="000412A5">
        <w:rPr>
          <w:rFonts w:ascii="Verdana" w:hAnsi="Verdana"/>
          <w:noProof/>
          <w:sz w:val="20"/>
          <w:szCs w:val="20"/>
          <w:lang w:val="es-ES_tradnl"/>
        </w:rPr>
        <w:t>presentado por el Estado e</w:t>
      </w:r>
      <w:r w:rsidR="00F72581">
        <w:rPr>
          <w:rFonts w:ascii="Verdana" w:hAnsi="Verdana"/>
          <w:noProof/>
          <w:sz w:val="20"/>
          <w:szCs w:val="20"/>
          <w:lang w:val="es-ES_tradnl"/>
        </w:rPr>
        <w:t xml:space="preserve">l </w:t>
      </w:r>
      <w:r w:rsidR="00F72581" w:rsidRPr="00A60E19">
        <w:rPr>
          <w:rFonts w:ascii="Verdana" w:hAnsi="Verdana"/>
          <w:noProof/>
          <w:sz w:val="20"/>
          <w:szCs w:val="20"/>
          <w:lang w:val="es-ES_tradnl"/>
        </w:rPr>
        <w:t>15 de octubre</w:t>
      </w:r>
      <w:r>
        <w:rPr>
          <w:rFonts w:ascii="Verdana" w:hAnsi="Verdana"/>
          <w:noProof/>
          <w:sz w:val="20"/>
          <w:szCs w:val="20"/>
          <w:lang w:val="es-ES_tradnl"/>
        </w:rPr>
        <w:t xml:space="preserve"> de 2018</w:t>
      </w:r>
      <w:r w:rsidR="00644E75">
        <w:rPr>
          <w:rFonts w:ascii="Verdana" w:hAnsi="Verdana"/>
          <w:noProof/>
          <w:sz w:val="20"/>
          <w:szCs w:val="20"/>
          <w:lang w:val="es-ES_tradnl"/>
        </w:rPr>
        <w:t xml:space="preserve"> </w:t>
      </w:r>
      <w:r w:rsidR="00D41291" w:rsidRPr="00A60E19">
        <w:rPr>
          <w:rFonts w:ascii="Verdana" w:hAnsi="Verdana"/>
          <w:noProof/>
          <w:sz w:val="20"/>
          <w:szCs w:val="20"/>
          <w:lang w:val="es-ES_tradnl"/>
        </w:rPr>
        <w:t xml:space="preserve">sobre el cumplimiento de las reparaciones relativas a pago de indemnizaciones y al </w:t>
      </w:r>
      <w:r w:rsidR="00D41291" w:rsidRPr="00A60E19">
        <w:rPr>
          <w:rFonts w:ascii="Verdana" w:hAnsi="Verdana"/>
          <w:sz w:val="20"/>
          <w:szCs w:val="20"/>
          <w:lang w:val="es-ES_tradnl"/>
        </w:rPr>
        <w:t>Registro único de víctimas de las Masacres de El Mozote y lugares aledaños</w:t>
      </w:r>
      <w:r>
        <w:rPr>
          <w:rFonts w:ascii="Verdana" w:hAnsi="Verdana"/>
          <w:sz w:val="20"/>
          <w:szCs w:val="20"/>
          <w:lang w:val="es-ES_tradnl"/>
        </w:rPr>
        <w:t>, y el escrito de observaciones al escrito presentado por la Procuraduría para la Defensa de los Derechos Humanos, presentado por El Salvador</w:t>
      </w:r>
      <w:r>
        <w:rPr>
          <w:rFonts w:ascii="Verdana" w:hAnsi="Verdana"/>
          <w:noProof/>
          <w:sz w:val="20"/>
          <w:szCs w:val="20"/>
          <w:lang w:val="es-ES_tradnl"/>
        </w:rPr>
        <w:t xml:space="preserve"> el 26 de noviembre </w:t>
      </w:r>
      <w:r w:rsidRPr="00A60E19">
        <w:rPr>
          <w:rFonts w:ascii="Verdana" w:hAnsi="Verdana"/>
          <w:noProof/>
          <w:sz w:val="20"/>
          <w:szCs w:val="20"/>
          <w:lang w:val="es-ES_tradnl"/>
        </w:rPr>
        <w:t>de 2018</w:t>
      </w:r>
      <w:r w:rsidR="00F72581" w:rsidRPr="00A60E19">
        <w:rPr>
          <w:rFonts w:ascii="Verdana" w:hAnsi="Verdana"/>
          <w:noProof/>
          <w:sz w:val="20"/>
          <w:szCs w:val="20"/>
          <w:lang w:val="es-ES_tradnl"/>
        </w:rPr>
        <w:t xml:space="preserve">. </w:t>
      </w:r>
    </w:p>
    <w:p w14:paraId="715DAD96" w14:textId="77777777" w:rsidR="00F72581" w:rsidRPr="000412A5" w:rsidRDefault="00F72581" w:rsidP="00F72581">
      <w:pPr>
        <w:tabs>
          <w:tab w:val="left" w:pos="567"/>
        </w:tabs>
        <w:spacing w:after="0" w:line="240" w:lineRule="auto"/>
        <w:ind w:right="4"/>
        <w:contextualSpacing/>
        <w:jc w:val="both"/>
        <w:rPr>
          <w:rFonts w:ascii="Verdana" w:hAnsi="Verdana"/>
          <w:noProof/>
          <w:sz w:val="20"/>
          <w:szCs w:val="20"/>
          <w:lang w:val="es-ES_tradnl"/>
        </w:rPr>
      </w:pPr>
    </w:p>
    <w:p w14:paraId="31D94D7A" w14:textId="1DEF27E2" w:rsidR="00965795" w:rsidRPr="00F1192A" w:rsidRDefault="005653BC" w:rsidP="00F1192A">
      <w:pPr>
        <w:pStyle w:val="ListParagraph"/>
        <w:numPr>
          <w:ilvl w:val="0"/>
          <w:numId w:val="1"/>
        </w:numPr>
        <w:tabs>
          <w:tab w:val="left" w:pos="0"/>
        </w:tabs>
        <w:spacing w:after="0" w:line="240" w:lineRule="auto"/>
        <w:ind w:left="0" w:right="4" w:firstLine="0"/>
        <w:jc w:val="both"/>
        <w:rPr>
          <w:rFonts w:ascii="Verdana" w:hAnsi="Verdana"/>
          <w:sz w:val="20"/>
          <w:szCs w:val="20"/>
          <w:lang w:val="es-ES_tradnl"/>
        </w:rPr>
      </w:pPr>
      <w:r>
        <w:rPr>
          <w:rFonts w:ascii="Verdana" w:hAnsi="Verdana"/>
          <w:noProof/>
          <w:sz w:val="20"/>
          <w:szCs w:val="20"/>
          <w:lang w:val="es-ES_tradnl"/>
        </w:rPr>
        <w:t>Los</w:t>
      </w:r>
      <w:r w:rsidR="00F72581" w:rsidRPr="000412A5">
        <w:rPr>
          <w:rFonts w:ascii="Verdana" w:hAnsi="Verdana"/>
          <w:noProof/>
          <w:sz w:val="20"/>
          <w:szCs w:val="20"/>
          <w:lang w:val="es-ES_tradnl"/>
        </w:rPr>
        <w:t xml:space="preserve"> escrito</w:t>
      </w:r>
      <w:r>
        <w:rPr>
          <w:rFonts w:ascii="Verdana" w:hAnsi="Verdana"/>
          <w:noProof/>
          <w:sz w:val="20"/>
          <w:szCs w:val="20"/>
          <w:lang w:val="es-ES_tradnl"/>
        </w:rPr>
        <w:t>s</w:t>
      </w:r>
      <w:r w:rsidR="00F72581" w:rsidRPr="000412A5">
        <w:rPr>
          <w:rFonts w:ascii="Verdana" w:hAnsi="Verdana"/>
          <w:noProof/>
          <w:sz w:val="20"/>
          <w:szCs w:val="20"/>
          <w:lang w:val="es-ES_tradnl"/>
        </w:rPr>
        <w:t xml:space="preserve"> de observaciones presentado</w:t>
      </w:r>
      <w:r>
        <w:rPr>
          <w:rFonts w:ascii="Verdana" w:hAnsi="Verdana"/>
          <w:noProof/>
          <w:sz w:val="20"/>
          <w:szCs w:val="20"/>
          <w:lang w:val="es-ES_tradnl"/>
        </w:rPr>
        <w:t>s</w:t>
      </w:r>
      <w:r w:rsidR="00F72581" w:rsidRPr="000412A5">
        <w:rPr>
          <w:rFonts w:ascii="Verdana" w:hAnsi="Verdana"/>
          <w:noProof/>
          <w:sz w:val="20"/>
          <w:szCs w:val="20"/>
          <w:lang w:val="es-ES_tradnl"/>
        </w:rPr>
        <w:t xml:space="preserve"> por los representantes de las víctimas</w:t>
      </w:r>
      <w:r w:rsidR="00F72581" w:rsidRPr="000412A5">
        <w:rPr>
          <w:rStyle w:val="FootnoteReference"/>
          <w:rFonts w:ascii="Verdana" w:hAnsi="Verdana"/>
          <w:noProof/>
          <w:sz w:val="20"/>
          <w:szCs w:val="20"/>
          <w:lang w:val="es-ES_tradnl"/>
        </w:rPr>
        <w:footnoteReference w:id="8"/>
      </w:r>
      <w:r w:rsidR="00F72581" w:rsidRPr="000412A5">
        <w:rPr>
          <w:rFonts w:ascii="Verdana" w:hAnsi="Verdana"/>
          <w:noProof/>
          <w:sz w:val="20"/>
          <w:szCs w:val="20"/>
          <w:lang w:val="es-ES_tradnl"/>
        </w:rPr>
        <w:t xml:space="preserve"> (en adelante “los representantes”) </w:t>
      </w:r>
      <w:r w:rsidR="00631BAB">
        <w:rPr>
          <w:rFonts w:ascii="Verdana" w:hAnsi="Verdana"/>
          <w:noProof/>
          <w:sz w:val="20"/>
          <w:szCs w:val="20"/>
          <w:lang w:val="es-ES_tradnl"/>
        </w:rPr>
        <w:t>e</w:t>
      </w:r>
      <w:r w:rsidR="006E3BF8">
        <w:rPr>
          <w:rFonts w:ascii="Verdana" w:hAnsi="Verdana"/>
          <w:noProof/>
          <w:sz w:val="20"/>
          <w:szCs w:val="20"/>
          <w:lang w:val="es-ES_tradnl"/>
        </w:rPr>
        <w:t>l</w:t>
      </w:r>
      <w:r w:rsidR="00631BAB">
        <w:rPr>
          <w:rFonts w:ascii="Verdana" w:hAnsi="Verdana"/>
          <w:noProof/>
          <w:sz w:val="20"/>
          <w:szCs w:val="20"/>
          <w:lang w:val="es-ES_tradnl"/>
        </w:rPr>
        <w:t xml:space="preserve"> </w:t>
      </w:r>
      <w:r w:rsidR="006E3BF8">
        <w:rPr>
          <w:rFonts w:ascii="Verdana" w:hAnsi="Verdana"/>
          <w:noProof/>
          <w:sz w:val="20"/>
          <w:szCs w:val="20"/>
          <w:lang w:val="es-ES_tradnl"/>
        </w:rPr>
        <w:t xml:space="preserve">8 de </w:t>
      </w:r>
      <w:r w:rsidR="00631BAB">
        <w:rPr>
          <w:rFonts w:ascii="Verdana" w:hAnsi="Verdana"/>
          <w:noProof/>
          <w:sz w:val="20"/>
          <w:szCs w:val="20"/>
          <w:lang w:val="es-ES_tradnl"/>
        </w:rPr>
        <w:t xml:space="preserve">octubre y </w:t>
      </w:r>
      <w:r w:rsidR="006E3BF8">
        <w:rPr>
          <w:rFonts w:ascii="Verdana" w:hAnsi="Verdana"/>
          <w:noProof/>
          <w:sz w:val="20"/>
          <w:szCs w:val="20"/>
          <w:lang w:val="es-ES_tradnl"/>
        </w:rPr>
        <w:t xml:space="preserve">7 de </w:t>
      </w:r>
      <w:r>
        <w:rPr>
          <w:rFonts w:ascii="Verdana" w:hAnsi="Verdana"/>
          <w:noProof/>
          <w:sz w:val="20"/>
          <w:szCs w:val="20"/>
          <w:lang w:val="es-ES_tradnl"/>
        </w:rPr>
        <w:t>noviembre</w:t>
      </w:r>
      <w:r w:rsidR="00F72581" w:rsidRPr="000412A5">
        <w:rPr>
          <w:rFonts w:ascii="Verdana" w:hAnsi="Verdana"/>
          <w:noProof/>
          <w:sz w:val="20"/>
          <w:szCs w:val="20"/>
          <w:lang w:val="es-ES_tradnl"/>
        </w:rPr>
        <w:t xml:space="preserve"> de 2018.</w:t>
      </w:r>
    </w:p>
    <w:p w14:paraId="787E1011" w14:textId="77777777" w:rsidR="00583A07" w:rsidRDefault="00583A07" w:rsidP="001B0748">
      <w:pPr>
        <w:spacing w:after="0" w:line="240" w:lineRule="auto"/>
        <w:rPr>
          <w:rFonts w:ascii="Verdana" w:hAnsi="Verdana"/>
          <w:sz w:val="20"/>
          <w:szCs w:val="20"/>
          <w:lang w:val="es-ES_tradnl"/>
        </w:rPr>
      </w:pPr>
    </w:p>
    <w:p w14:paraId="675C9F81" w14:textId="77777777" w:rsidR="0012564E" w:rsidRPr="000412A5" w:rsidRDefault="0012564E" w:rsidP="001B0748">
      <w:pPr>
        <w:spacing w:after="0" w:line="240" w:lineRule="auto"/>
        <w:rPr>
          <w:rFonts w:ascii="Verdana" w:hAnsi="Verdana"/>
          <w:sz w:val="20"/>
          <w:szCs w:val="20"/>
          <w:lang w:val="es-ES_tradnl"/>
        </w:rPr>
      </w:pPr>
    </w:p>
    <w:p w14:paraId="173B58B6" w14:textId="77777777" w:rsidR="00965795" w:rsidRPr="000412A5" w:rsidRDefault="005816CD" w:rsidP="001B0748">
      <w:pPr>
        <w:spacing w:after="0" w:line="240" w:lineRule="auto"/>
        <w:rPr>
          <w:rFonts w:ascii="Verdana" w:hAnsi="Verdana"/>
          <w:b/>
          <w:sz w:val="20"/>
          <w:szCs w:val="20"/>
          <w:lang w:val="es-ES_tradnl"/>
        </w:rPr>
      </w:pPr>
      <w:r w:rsidRPr="000412A5">
        <w:rPr>
          <w:rFonts w:ascii="Verdana" w:hAnsi="Verdana"/>
          <w:b/>
          <w:sz w:val="20"/>
          <w:szCs w:val="20"/>
          <w:lang w:val="es-ES_tradnl"/>
        </w:rPr>
        <w:t xml:space="preserve">CONSIDERANDO QUE: </w:t>
      </w:r>
    </w:p>
    <w:p w14:paraId="5AC6ED65" w14:textId="77777777" w:rsidR="005816CD" w:rsidRPr="000412A5" w:rsidRDefault="005816CD" w:rsidP="001B0748">
      <w:pPr>
        <w:spacing w:after="0" w:line="240" w:lineRule="auto"/>
        <w:rPr>
          <w:rFonts w:ascii="Verdana" w:hAnsi="Verdana"/>
          <w:b/>
          <w:sz w:val="20"/>
          <w:szCs w:val="20"/>
          <w:lang w:val="es-ES_tradnl"/>
        </w:rPr>
      </w:pPr>
    </w:p>
    <w:p w14:paraId="1C8E2D23" w14:textId="1435A258" w:rsidR="00EC0A50" w:rsidRPr="000412A5" w:rsidRDefault="00D84946" w:rsidP="00BA7316">
      <w:pPr>
        <w:widowControl w:val="0"/>
        <w:numPr>
          <w:ilvl w:val="0"/>
          <w:numId w:val="33"/>
        </w:numPr>
        <w:spacing w:after="0" w:line="240" w:lineRule="auto"/>
        <w:ind w:left="0" w:firstLine="29"/>
        <w:contextualSpacing/>
        <w:jc w:val="both"/>
        <w:rPr>
          <w:rFonts w:ascii="Verdana" w:hAnsi="Verdana"/>
          <w:sz w:val="20"/>
          <w:szCs w:val="20"/>
          <w:lang w:val="es-ES_tradnl"/>
        </w:rPr>
      </w:pPr>
      <w:bookmarkStart w:id="8" w:name="_Ref514406477"/>
      <w:bookmarkStart w:id="9" w:name="_Ref492543439"/>
      <w:r w:rsidRPr="000412A5">
        <w:rPr>
          <w:rFonts w:ascii="Verdana" w:hAnsi="Verdana"/>
          <w:sz w:val="20"/>
          <w:szCs w:val="20"/>
          <w:lang w:val="es-ES_tradnl"/>
        </w:rPr>
        <w:t>En el ejercicio de su función jurisdiccional de supervisar el cumplimiento de sus decisiones</w:t>
      </w:r>
      <w:r w:rsidRPr="000412A5">
        <w:rPr>
          <w:rStyle w:val="FootnoteReference"/>
          <w:rFonts w:ascii="Verdana" w:hAnsi="Verdana"/>
          <w:lang w:val="es-ES_tradnl"/>
        </w:rPr>
        <w:footnoteReference w:id="9"/>
      </w:r>
      <w:r w:rsidRPr="000412A5">
        <w:rPr>
          <w:rFonts w:ascii="Verdana" w:hAnsi="Verdana"/>
          <w:sz w:val="20"/>
          <w:szCs w:val="20"/>
          <w:lang w:val="es-ES_tradnl"/>
        </w:rPr>
        <w:t xml:space="preserve">, la Corte ha venido supervisando la ejecución de la Sentencia emitida en el presente caso hace </w:t>
      </w:r>
      <w:r w:rsidR="005653BC">
        <w:rPr>
          <w:rFonts w:ascii="Verdana" w:hAnsi="Verdana"/>
          <w:sz w:val="20"/>
          <w:szCs w:val="20"/>
          <w:lang w:val="es-ES_tradnl"/>
        </w:rPr>
        <w:t>6</w:t>
      </w:r>
      <w:r w:rsidRPr="000412A5">
        <w:rPr>
          <w:rFonts w:ascii="Verdana" w:hAnsi="Verdana"/>
          <w:sz w:val="20"/>
          <w:szCs w:val="20"/>
          <w:lang w:val="es-ES_tradnl"/>
        </w:rPr>
        <w:t xml:space="preserve"> años (</w:t>
      </w:r>
      <w:r w:rsidRPr="000412A5">
        <w:rPr>
          <w:rFonts w:ascii="Verdana" w:hAnsi="Verdana"/>
          <w:i/>
          <w:sz w:val="20"/>
          <w:szCs w:val="20"/>
          <w:lang w:val="es-ES_tradnl"/>
        </w:rPr>
        <w:t>supra</w:t>
      </w:r>
      <w:r w:rsidRPr="000412A5">
        <w:rPr>
          <w:rFonts w:ascii="Verdana" w:hAnsi="Verdana"/>
          <w:sz w:val="20"/>
          <w:szCs w:val="20"/>
          <w:lang w:val="es-ES_tradnl"/>
        </w:rPr>
        <w:t xml:space="preserve"> Visto </w:t>
      </w:r>
      <w:r w:rsidR="006E3BF8">
        <w:rPr>
          <w:rFonts w:ascii="Verdana" w:hAnsi="Verdana"/>
          <w:sz w:val="20"/>
          <w:szCs w:val="20"/>
          <w:lang w:val="es-ES_tradnl"/>
        </w:rPr>
        <w:fldChar w:fldCharType="begin"/>
      </w:r>
      <w:r w:rsidR="006E3BF8">
        <w:rPr>
          <w:rFonts w:ascii="Verdana" w:hAnsi="Verdana"/>
          <w:sz w:val="20"/>
          <w:szCs w:val="20"/>
          <w:lang w:val="es-ES_tradnl"/>
        </w:rPr>
        <w:instrText xml:space="preserve"> REF _Ref492545318 \r \h </w:instrText>
      </w:r>
      <w:r w:rsidR="006E3BF8">
        <w:rPr>
          <w:rFonts w:ascii="Verdana" w:hAnsi="Verdana"/>
          <w:sz w:val="20"/>
          <w:szCs w:val="20"/>
          <w:lang w:val="es-ES_tradnl"/>
        </w:rPr>
      </w:r>
      <w:r w:rsidR="006E3BF8">
        <w:rPr>
          <w:rFonts w:ascii="Verdana" w:hAnsi="Verdana"/>
          <w:sz w:val="20"/>
          <w:szCs w:val="20"/>
          <w:lang w:val="es-ES_tradnl"/>
        </w:rPr>
        <w:fldChar w:fldCharType="separate"/>
      </w:r>
      <w:r w:rsidR="005E6AC2">
        <w:rPr>
          <w:rFonts w:ascii="Verdana" w:hAnsi="Verdana"/>
          <w:sz w:val="20"/>
          <w:szCs w:val="20"/>
          <w:lang w:val="es-ES_tradnl"/>
        </w:rPr>
        <w:t>1</w:t>
      </w:r>
      <w:r w:rsidR="006E3BF8">
        <w:rPr>
          <w:rFonts w:ascii="Verdana" w:hAnsi="Verdana"/>
          <w:sz w:val="20"/>
          <w:szCs w:val="20"/>
          <w:lang w:val="es-ES_tradnl"/>
        </w:rPr>
        <w:fldChar w:fldCharType="end"/>
      </w:r>
      <w:r w:rsidRPr="000412A5">
        <w:rPr>
          <w:rFonts w:ascii="Verdana" w:hAnsi="Verdana"/>
          <w:sz w:val="20"/>
          <w:szCs w:val="20"/>
          <w:lang w:val="es-ES_tradnl"/>
        </w:rPr>
        <w:t xml:space="preserve">). El Tribunal emitió tres Resoluciones de </w:t>
      </w:r>
      <w:r w:rsidRPr="000412A5">
        <w:rPr>
          <w:rFonts w:ascii="Verdana" w:hAnsi="Verdana"/>
          <w:sz w:val="20"/>
          <w:szCs w:val="20"/>
          <w:lang w:val="es-ES_tradnl"/>
        </w:rPr>
        <w:lastRenderedPageBreak/>
        <w:t>supervisión de cumplimiento en</w:t>
      </w:r>
      <w:r w:rsidR="007B76F8" w:rsidRPr="000412A5">
        <w:rPr>
          <w:rFonts w:ascii="Verdana" w:hAnsi="Verdana"/>
          <w:sz w:val="20"/>
          <w:szCs w:val="20"/>
          <w:lang w:val="es-ES_tradnl"/>
        </w:rPr>
        <w:t>tre</w:t>
      </w:r>
      <w:r w:rsidRPr="000412A5">
        <w:rPr>
          <w:rFonts w:ascii="Verdana" w:hAnsi="Verdana"/>
          <w:sz w:val="20"/>
          <w:szCs w:val="20"/>
          <w:lang w:val="es-ES_tradnl"/>
        </w:rPr>
        <w:t xml:space="preserve"> mayo 2016 y </w:t>
      </w:r>
      <w:r w:rsidR="007B76F8" w:rsidRPr="000412A5">
        <w:rPr>
          <w:rFonts w:ascii="Verdana" w:hAnsi="Verdana"/>
          <w:sz w:val="20"/>
          <w:szCs w:val="20"/>
          <w:lang w:val="es-ES_tradnl"/>
        </w:rPr>
        <w:t xml:space="preserve">mayo </w:t>
      </w:r>
      <w:r w:rsidRPr="000412A5">
        <w:rPr>
          <w:rFonts w:ascii="Verdana" w:hAnsi="Verdana"/>
          <w:sz w:val="20"/>
          <w:szCs w:val="20"/>
          <w:lang w:val="es-ES_tradnl"/>
        </w:rPr>
        <w:t xml:space="preserve">de </w:t>
      </w:r>
      <w:r w:rsidR="007B76F8" w:rsidRPr="000412A5">
        <w:rPr>
          <w:rFonts w:ascii="Verdana" w:hAnsi="Verdana"/>
          <w:sz w:val="20"/>
          <w:szCs w:val="20"/>
          <w:lang w:val="es-ES_tradnl"/>
        </w:rPr>
        <w:t xml:space="preserve">2018 </w:t>
      </w:r>
      <w:r w:rsidRPr="000412A5">
        <w:rPr>
          <w:rFonts w:ascii="Verdana" w:hAnsi="Verdana"/>
          <w:sz w:val="20"/>
          <w:szCs w:val="20"/>
          <w:lang w:val="es-ES_tradnl"/>
        </w:rPr>
        <w:t>(</w:t>
      </w:r>
      <w:r w:rsidRPr="000412A5">
        <w:rPr>
          <w:rFonts w:ascii="Verdana" w:hAnsi="Verdana"/>
          <w:i/>
          <w:sz w:val="20"/>
          <w:szCs w:val="20"/>
          <w:lang w:val="es-ES_tradnl"/>
        </w:rPr>
        <w:t>supra</w:t>
      </w:r>
      <w:r w:rsidRPr="000412A5">
        <w:rPr>
          <w:rFonts w:ascii="Verdana" w:hAnsi="Verdana"/>
          <w:sz w:val="20"/>
          <w:szCs w:val="20"/>
          <w:lang w:val="es-ES_tradnl"/>
        </w:rPr>
        <w:t xml:space="preserve"> Visto </w:t>
      </w:r>
      <w:r w:rsidR="006E3BF8">
        <w:rPr>
          <w:rFonts w:ascii="Verdana" w:hAnsi="Verdana"/>
          <w:sz w:val="20"/>
          <w:szCs w:val="20"/>
          <w:lang w:val="es-ES_tradnl"/>
        </w:rPr>
        <w:fldChar w:fldCharType="begin"/>
      </w:r>
      <w:r w:rsidR="006E3BF8">
        <w:rPr>
          <w:rFonts w:ascii="Verdana" w:hAnsi="Verdana"/>
          <w:sz w:val="20"/>
          <w:szCs w:val="20"/>
          <w:lang w:val="es-ES_tradnl"/>
        </w:rPr>
        <w:instrText xml:space="preserve"> REF _Ref492545367 \r \h </w:instrText>
      </w:r>
      <w:r w:rsidR="006E3BF8">
        <w:rPr>
          <w:rFonts w:ascii="Verdana" w:hAnsi="Verdana"/>
          <w:sz w:val="20"/>
          <w:szCs w:val="20"/>
          <w:lang w:val="es-ES_tradnl"/>
        </w:rPr>
      </w:r>
      <w:r w:rsidR="006E3BF8">
        <w:rPr>
          <w:rFonts w:ascii="Verdana" w:hAnsi="Verdana"/>
          <w:sz w:val="20"/>
          <w:szCs w:val="20"/>
          <w:lang w:val="es-ES_tradnl"/>
        </w:rPr>
        <w:fldChar w:fldCharType="separate"/>
      </w:r>
      <w:r w:rsidR="005E6AC2">
        <w:rPr>
          <w:rFonts w:ascii="Verdana" w:hAnsi="Verdana"/>
          <w:sz w:val="20"/>
          <w:szCs w:val="20"/>
          <w:lang w:val="es-ES_tradnl"/>
        </w:rPr>
        <w:t>2</w:t>
      </w:r>
      <w:r w:rsidR="006E3BF8">
        <w:rPr>
          <w:rFonts w:ascii="Verdana" w:hAnsi="Verdana"/>
          <w:sz w:val="20"/>
          <w:szCs w:val="20"/>
          <w:lang w:val="es-ES_tradnl"/>
        </w:rPr>
        <w:fldChar w:fldCharType="end"/>
      </w:r>
      <w:r w:rsidRPr="000412A5">
        <w:rPr>
          <w:rFonts w:ascii="Verdana" w:hAnsi="Verdana"/>
          <w:sz w:val="20"/>
          <w:szCs w:val="20"/>
          <w:lang w:val="es-ES_tradnl"/>
        </w:rPr>
        <w:t>), en las cuales declaró que el Estado de El Salvador dio cumplimiento total a tres medidas de reparación</w:t>
      </w:r>
      <w:r w:rsidRPr="000412A5">
        <w:rPr>
          <w:rStyle w:val="FootnoteReference"/>
          <w:rFonts w:ascii="Verdana" w:hAnsi="Verdana"/>
          <w:lang w:val="es-ES_tradnl"/>
        </w:rPr>
        <w:footnoteReference w:id="10"/>
      </w:r>
      <w:r w:rsidRPr="000412A5">
        <w:rPr>
          <w:rFonts w:ascii="Verdana" w:hAnsi="Verdana"/>
          <w:sz w:val="20"/>
          <w:szCs w:val="20"/>
          <w:lang w:val="es-ES_tradnl"/>
        </w:rPr>
        <w:t>. Las nueve medidas de reparación restantes no fueron valoradas en esas Resoluciones (</w:t>
      </w:r>
      <w:r w:rsidRPr="000412A5">
        <w:rPr>
          <w:rFonts w:ascii="Verdana" w:hAnsi="Verdana"/>
          <w:i/>
          <w:sz w:val="20"/>
          <w:szCs w:val="20"/>
          <w:lang w:val="es-ES_tradnl"/>
        </w:rPr>
        <w:t>infra</w:t>
      </w:r>
      <w:r w:rsidRPr="000412A5">
        <w:rPr>
          <w:lang w:val="es-ES_tradnl"/>
        </w:rPr>
        <w:t xml:space="preserve"> </w:t>
      </w:r>
      <w:r w:rsidRPr="000412A5">
        <w:rPr>
          <w:rFonts w:ascii="Verdana" w:hAnsi="Verdana"/>
          <w:sz w:val="20"/>
          <w:szCs w:val="20"/>
          <w:lang w:val="es-ES_tradnl"/>
        </w:rPr>
        <w:t xml:space="preserve">punto resolutivo </w:t>
      </w:r>
      <w:r w:rsidR="006E3BF8">
        <w:rPr>
          <w:rFonts w:ascii="Verdana" w:hAnsi="Verdana"/>
          <w:sz w:val="20"/>
          <w:szCs w:val="20"/>
          <w:lang w:val="es-ES_tradnl"/>
        </w:rPr>
        <w:fldChar w:fldCharType="begin"/>
      </w:r>
      <w:r w:rsidR="006E3BF8">
        <w:rPr>
          <w:rFonts w:ascii="Verdana" w:hAnsi="Verdana"/>
          <w:sz w:val="20"/>
          <w:szCs w:val="20"/>
          <w:lang w:val="es-ES_tradnl"/>
        </w:rPr>
        <w:instrText xml:space="preserve"> REF _Ref532391388 \r \h </w:instrText>
      </w:r>
      <w:r w:rsidR="006E3BF8">
        <w:rPr>
          <w:rFonts w:ascii="Verdana" w:hAnsi="Verdana"/>
          <w:sz w:val="20"/>
          <w:szCs w:val="20"/>
          <w:lang w:val="es-ES_tradnl"/>
        </w:rPr>
      </w:r>
      <w:r w:rsidR="006E3BF8">
        <w:rPr>
          <w:rFonts w:ascii="Verdana" w:hAnsi="Verdana"/>
          <w:sz w:val="20"/>
          <w:szCs w:val="20"/>
          <w:lang w:val="es-ES_tradnl"/>
        </w:rPr>
        <w:fldChar w:fldCharType="separate"/>
      </w:r>
      <w:r w:rsidR="005E6AC2">
        <w:rPr>
          <w:rFonts w:ascii="Verdana" w:hAnsi="Verdana"/>
          <w:sz w:val="20"/>
          <w:szCs w:val="20"/>
          <w:lang w:val="es-ES_tradnl"/>
        </w:rPr>
        <w:t>2</w:t>
      </w:r>
      <w:r w:rsidR="006E3BF8">
        <w:rPr>
          <w:rFonts w:ascii="Verdana" w:hAnsi="Verdana"/>
          <w:sz w:val="20"/>
          <w:szCs w:val="20"/>
          <w:lang w:val="es-ES_tradnl"/>
        </w:rPr>
        <w:fldChar w:fldCharType="end"/>
      </w:r>
      <w:r w:rsidRPr="000412A5">
        <w:rPr>
          <w:rFonts w:ascii="Verdana" w:hAnsi="Verdana"/>
          <w:sz w:val="20"/>
          <w:szCs w:val="20"/>
          <w:lang w:val="es-ES_tradnl"/>
        </w:rPr>
        <w:t xml:space="preserve">), por lo que se encuentra pendiente valorar el grado de </w:t>
      </w:r>
      <w:r w:rsidRPr="00BA7316">
        <w:rPr>
          <w:rFonts w:ascii="Verdana" w:eastAsia="Times New Roman" w:hAnsi="Verdana" w:cs="Times New Roman"/>
          <w:sz w:val="20"/>
          <w:szCs w:val="20"/>
          <w:lang w:val="es-ES_tradnl"/>
        </w:rPr>
        <w:t>cumplimiento</w:t>
      </w:r>
      <w:r w:rsidRPr="000412A5">
        <w:rPr>
          <w:rFonts w:ascii="Verdana" w:hAnsi="Verdana"/>
          <w:sz w:val="20"/>
          <w:szCs w:val="20"/>
          <w:lang w:val="es-ES_tradnl"/>
        </w:rPr>
        <w:t xml:space="preserve"> de las mismas</w:t>
      </w:r>
      <w:bookmarkEnd w:id="8"/>
      <w:r w:rsidR="00EC0A50" w:rsidRPr="000412A5">
        <w:rPr>
          <w:rFonts w:ascii="Verdana" w:hAnsi="Verdana"/>
          <w:sz w:val="20"/>
          <w:szCs w:val="20"/>
          <w:lang w:val="es-ES_tradnl"/>
        </w:rPr>
        <w:t>.</w:t>
      </w:r>
      <w:bookmarkEnd w:id="9"/>
      <w:r w:rsidR="008A0E74" w:rsidRPr="000412A5">
        <w:rPr>
          <w:rFonts w:ascii="Verdana" w:hAnsi="Verdana"/>
          <w:sz w:val="20"/>
          <w:szCs w:val="20"/>
          <w:lang w:val="es-ES_tradnl"/>
        </w:rPr>
        <w:t xml:space="preserve"> </w:t>
      </w:r>
    </w:p>
    <w:p w14:paraId="15664B58" w14:textId="77777777" w:rsidR="008A0E74" w:rsidRPr="000412A5" w:rsidRDefault="008A0E74" w:rsidP="008A0E74">
      <w:pPr>
        <w:tabs>
          <w:tab w:val="left" w:pos="567"/>
        </w:tabs>
        <w:spacing w:after="0" w:line="240" w:lineRule="auto"/>
        <w:ind w:right="4"/>
        <w:contextualSpacing/>
        <w:jc w:val="both"/>
        <w:rPr>
          <w:rFonts w:ascii="Verdana" w:hAnsi="Verdana"/>
          <w:sz w:val="20"/>
          <w:szCs w:val="20"/>
          <w:lang w:val="es-ES_tradnl"/>
        </w:rPr>
      </w:pPr>
    </w:p>
    <w:p w14:paraId="10652838" w14:textId="77777777" w:rsidR="00E50421" w:rsidRPr="000412A5" w:rsidRDefault="008A0E74" w:rsidP="00BA7316">
      <w:pPr>
        <w:widowControl w:val="0"/>
        <w:numPr>
          <w:ilvl w:val="0"/>
          <w:numId w:val="33"/>
        </w:numPr>
        <w:spacing w:after="0" w:line="240" w:lineRule="auto"/>
        <w:ind w:left="0" w:firstLine="29"/>
        <w:contextualSpacing/>
        <w:jc w:val="both"/>
        <w:rPr>
          <w:rFonts w:ascii="Times New Roman" w:hAnsi="Times New Roman"/>
          <w:sz w:val="24"/>
          <w:szCs w:val="24"/>
          <w:lang w:val="es-ES_tradnl" w:eastAsia="es-CR"/>
        </w:rPr>
      </w:pPr>
      <w:r w:rsidRPr="000412A5">
        <w:rPr>
          <w:rFonts w:ascii="Verdana" w:hAnsi="Verdana"/>
          <w:sz w:val="20"/>
          <w:szCs w:val="20"/>
          <w:lang w:val="es-ES_tradnl"/>
        </w:rPr>
        <w:t xml:space="preserve">De conformidad con lo establecido en el artículo 68.1 de la Convención Americana, “[l]os Estados Partes en la Convención se comprometen a cumplir la decisión de la Corte en todo caso en que sean partes”. Esta obligación incluye el deber del Estado de informar a la Corte sobre las medidas adoptadas para cumplir cada uno de </w:t>
      </w:r>
      <w:r w:rsidR="00E50421" w:rsidRPr="000412A5">
        <w:rPr>
          <w:rFonts w:ascii="Verdana" w:hAnsi="Verdana"/>
          <w:sz w:val="20"/>
          <w:szCs w:val="20"/>
          <w:lang w:val="es-ES_tradnl"/>
        </w:rPr>
        <w:t>los puntos  ordenados, lo cual es fundamental para evaluar el estado de cumplimiento de la Sentencia en su conjunto</w:t>
      </w:r>
      <w:r w:rsidR="00E50421" w:rsidRPr="000412A5">
        <w:rPr>
          <w:rStyle w:val="FootnoteReference"/>
          <w:rFonts w:ascii="Verdana" w:hAnsi="Verdana"/>
          <w:sz w:val="20"/>
          <w:szCs w:val="20"/>
          <w:lang w:val="es-ES_tradnl"/>
        </w:rPr>
        <w:footnoteReference w:id="11"/>
      </w:r>
      <w:r w:rsidR="00E50421" w:rsidRPr="000412A5">
        <w:rPr>
          <w:rFonts w:ascii="Verdana" w:hAnsi="Verdana"/>
          <w:sz w:val="20"/>
          <w:szCs w:val="20"/>
          <w:lang w:val="es-ES_tradnl"/>
        </w:rPr>
        <w:t>.</w:t>
      </w:r>
      <w:r w:rsidR="00E50421" w:rsidRPr="000412A5">
        <w:rPr>
          <w:rFonts w:ascii="Times New Roman" w:hAnsi="Times New Roman"/>
          <w:sz w:val="24"/>
          <w:szCs w:val="24"/>
          <w:lang w:val="es-ES_tradnl" w:eastAsia="es-CR"/>
        </w:rPr>
        <w:t xml:space="preserve"> </w:t>
      </w:r>
      <w:r w:rsidR="00E50421" w:rsidRPr="000412A5">
        <w:rPr>
          <w:rFonts w:ascii="Verdana" w:hAnsi="Verdana"/>
          <w:sz w:val="20"/>
          <w:szCs w:val="20"/>
          <w:lang w:val="es-ES_tradnl"/>
        </w:rPr>
        <w:t>Los Estados Parte en la Convención deben garantizar el cumplimiento de las disposiciones convencionales y sus efectos propios (</w:t>
      </w:r>
      <w:proofErr w:type="spellStart"/>
      <w:r w:rsidR="00E50421" w:rsidRPr="000412A5">
        <w:rPr>
          <w:rFonts w:ascii="Verdana" w:hAnsi="Verdana"/>
          <w:i/>
          <w:sz w:val="20"/>
          <w:szCs w:val="20"/>
          <w:lang w:val="es-ES_tradnl"/>
        </w:rPr>
        <w:t>effet</w:t>
      </w:r>
      <w:proofErr w:type="spellEnd"/>
      <w:r w:rsidR="00E50421" w:rsidRPr="000412A5">
        <w:rPr>
          <w:rFonts w:ascii="Verdana" w:hAnsi="Verdana"/>
          <w:i/>
          <w:sz w:val="20"/>
          <w:szCs w:val="20"/>
          <w:lang w:val="es-ES_tradnl"/>
        </w:rPr>
        <w:t xml:space="preserve"> </w:t>
      </w:r>
      <w:proofErr w:type="spellStart"/>
      <w:r w:rsidR="00E50421" w:rsidRPr="000412A5">
        <w:rPr>
          <w:rFonts w:ascii="Verdana" w:hAnsi="Verdana"/>
          <w:i/>
          <w:sz w:val="20"/>
          <w:szCs w:val="20"/>
          <w:lang w:val="es-ES_tradnl"/>
        </w:rPr>
        <w:t>utile</w:t>
      </w:r>
      <w:proofErr w:type="spellEnd"/>
      <w:r w:rsidR="00E50421" w:rsidRPr="000412A5">
        <w:rPr>
          <w:rFonts w:ascii="Verdana" w:hAnsi="Verdana"/>
          <w:sz w:val="20"/>
          <w:szCs w:val="20"/>
          <w:lang w:val="es-ES_tradnl"/>
        </w:rPr>
        <w:t xml:space="preserve">) en el plano de sus respectivos derechos internos. </w:t>
      </w:r>
      <w:r w:rsidR="00E50421" w:rsidRPr="00BA7316">
        <w:rPr>
          <w:rFonts w:ascii="Verdana" w:eastAsia="Times New Roman" w:hAnsi="Verdana" w:cs="Times New Roman"/>
          <w:sz w:val="20"/>
          <w:szCs w:val="20"/>
          <w:lang w:val="es-ES_tradnl"/>
        </w:rPr>
        <w:t>Estas</w:t>
      </w:r>
      <w:r w:rsidR="00E50421" w:rsidRPr="000412A5">
        <w:rPr>
          <w:rFonts w:ascii="Verdana" w:hAnsi="Verdana"/>
          <w:sz w:val="20"/>
          <w:szCs w:val="20"/>
          <w:lang w:val="es-ES_tradnl"/>
        </w:rPr>
        <w:t xml:space="preserve"> obligaciones deben ser interpretadas y aplicadas de manera que la garantía protegida sea verdaderamente práctica y eficaz, teniendo presente la naturaleza especial de los tratados de derechos humanos</w:t>
      </w:r>
      <w:r w:rsidR="00E50421" w:rsidRPr="000412A5">
        <w:rPr>
          <w:rStyle w:val="FootnoteReference"/>
          <w:rFonts w:ascii="Verdana" w:hAnsi="Verdana"/>
          <w:sz w:val="20"/>
          <w:szCs w:val="20"/>
          <w:lang w:val="es-ES_tradnl"/>
        </w:rPr>
        <w:footnoteReference w:id="12"/>
      </w:r>
      <w:r w:rsidR="00E50421" w:rsidRPr="000412A5">
        <w:rPr>
          <w:rFonts w:ascii="Verdana" w:hAnsi="Verdana"/>
          <w:sz w:val="20"/>
          <w:szCs w:val="20"/>
          <w:lang w:val="es-ES_tradnl"/>
        </w:rPr>
        <w:t>.</w:t>
      </w:r>
      <w:r w:rsidR="00E50421" w:rsidRPr="000412A5">
        <w:rPr>
          <w:rFonts w:ascii="Times New Roman" w:hAnsi="Times New Roman"/>
          <w:sz w:val="24"/>
          <w:szCs w:val="24"/>
          <w:lang w:val="es-ES_tradnl" w:eastAsia="es-CR"/>
        </w:rPr>
        <w:t xml:space="preserve"> </w:t>
      </w:r>
    </w:p>
    <w:p w14:paraId="13C49721" w14:textId="77777777" w:rsidR="00E50421" w:rsidRPr="000412A5" w:rsidRDefault="00E50421" w:rsidP="00E50421">
      <w:pPr>
        <w:spacing w:after="0" w:line="240" w:lineRule="auto"/>
        <w:jc w:val="both"/>
        <w:rPr>
          <w:rFonts w:ascii="Times New Roman" w:hAnsi="Times New Roman"/>
          <w:sz w:val="20"/>
          <w:szCs w:val="20"/>
          <w:lang w:val="es-ES_tradnl" w:eastAsia="es-CR"/>
        </w:rPr>
      </w:pPr>
    </w:p>
    <w:p w14:paraId="44A0A174" w14:textId="71ACB4C3" w:rsidR="000B162B" w:rsidRDefault="00E50421" w:rsidP="00BA7316">
      <w:pPr>
        <w:widowControl w:val="0"/>
        <w:numPr>
          <w:ilvl w:val="0"/>
          <w:numId w:val="33"/>
        </w:numPr>
        <w:spacing w:after="0" w:line="240" w:lineRule="auto"/>
        <w:ind w:left="0" w:firstLine="29"/>
        <w:contextualSpacing/>
        <w:jc w:val="both"/>
        <w:rPr>
          <w:rFonts w:ascii="Verdana" w:hAnsi="Verdana"/>
          <w:sz w:val="20"/>
          <w:szCs w:val="20"/>
          <w:lang w:val="es-ES_tradnl" w:eastAsia="es-CR"/>
        </w:rPr>
      </w:pPr>
      <w:r w:rsidRPr="000412A5">
        <w:rPr>
          <w:rFonts w:ascii="Verdana" w:hAnsi="Verdana"/>
          <w:sz w:val="20"/>
          <w:szCs w:val="20"/>
          <w:lang w:val="es-ES_tradnl" w:eastAsia="es-CR"/>
        </w:rPr>
        <w:t xml:space="preserve">La Corte </w:t>
      </w:r>
      <w:r w:rsidR="009F6E4F" w:rsidRPr="000412A5">
        <w:rPr>
          <w:rFonts w:ascii="Verdana" w:hAnsi="Verdana"/>
          <w:sz w:val="20"/>
          <w:szCs w:val="20"/>
          <w:lang w:val="es-ES_tradnl" w:eastAsia="es-CR"/>
        </w:rPr>
        <w:t xml:space="preserve">se pronunciará sobre </w:t>
      </w:r>
      <w:r w:rsidRPr="000412A5">
        <w:rPr>
          <w:rFonts w:ascii="Verdana" w:hAnsi="Verdana"/>
          <w:sz w:val="20"/>
          <w:szCs w:val="20"/>
          <w:lang w:val="es-ES_tradnl" w:eastAsia="es-CR"/>
        </w:rPr>
        <w:t>la</w:t>
      </w:r>
      <w:r w:rsidR="00B2071A" w:rsidRPr="000412A5">
        <w:rPr>
          <w:rFonts w:ascii="Verdana" w:hAnsi="Verdana"/>
          <w:sz w:val="20"/>
          <w:szCs w:val="20"/>
          <w:lang w:val="es-ES_tradnl" w:eastAsia="es-CR"/>
        </w:rPr>
        <w:t>s</w:t>
      </w:r>
      <w:r w:rsidRPr="000412A5">
        <w:rPr>
          <w:rFonts w:ascii="Verdana" w:hAnsi="Verdana"/>
          <w:sz w:val="20"/>
          <w:szCs w:val="20"/>
          <w:lang w:val="es-ES_tradnl" w:eastAsia="es-CR"/>
        </w:rPr>
        <w:t xml:space="preserve"> </w:t>
      </w:r>
      <w:r w:rsidR="009F6E4F" w:rsidRPr="000412A5">
        <w:rPr>
          <w:rFonts w:ascii="Verdana" w:hAnsi="Verdana"/>
          <w:sz w:val="20"/>
          <w:szCs w:val="20"/>
          <w:lang w:val="es-ES_tradnl" w:eastAsia="es-CR"/>
        </w:rPr>
        <w:t>medida</w:t>
      </w:r>
      <w:r w:rsidR="00B2071A" w:rsidRPr="000412A5">
        <w:rPr>
          <w:rFonts w:ascii="Verdana" w:hAnsi="Verdana"/>
          <w:sz w:val="20"/>
          <w:szCs w:val="20"/>
          <w:lang w:val="es-ES_tradnl" w:eastAsia="es-CR"/>
        </w:rPr>
        <w:t>s</w:t>
      </w:r>
      <w:r w:rsidR="009F6E4F" w:rsidRPr="000412A5">
        <w:rPr>
          <w:rFonts w:ascii="Verdana" w:hAnsi="Verdana"/>
          <w:sz w:val="20"/>
          <w:szCs w:val="20"/>
          <w:lang w:val="es-ES_tradnl" w:eastAsia="es-CR"/>
        </w:rPr>
        <w:t xml:space="preserve"> de reparación </w:t>
      </w:r>
      <w:r w:rsidR="00B237E9" w:rsidRPr="000412A5">
        <w:rPr>
          <w:rFonts w:ascii="Verdana" w:hAnsi="Verdana"/>
          <w:sz w:val="20"/>
          <w:szCs w:val="20"/>
          <w:lang w:val="es-ES_tradnl" w:eastAsia="es-CR"/>
        </w:rPr>
        <w:t>relativa</w:t>
      </w:r>
      <w:r w:rsidR="00B2071A" w:rsidRPr="000412A5">
        <w:rPr>
          <w:rFonts w:ascii="Verdana" w:hAnsi="Verdana"/>
          <w:sz w:val="20"/>
          <w:szCs w:val="20"/>
          <w:lang w:val="es-ES_tradnl" w:eastAsia="es-CR"/>
        </w:rPr>
        <w:t>s</w:t>
      </w:r>
      <w:r w:rsidR="009F6E4F" w:rsidRPr="000412A5">
        <w:rPr>
          <w:rFonts w:ascii="Verdana" w:hAnsi="Verdana"/>
          <w:sz w:val="20"/>
          <w:szCs w:val="20"/>
          <w:lang w:val="es-ES_tradnl" w:eastAsia="es-CR"/>
        </w:rPr>
        <w:t xml:space="preserve"> a </w:t>
      </w:r>
      <w:r w:rsidR="00B2071A" w:rsidRPr="000412A5">
        <w:rPr>
          <w:rFonts w:ascii="Verdana" w:hAnsi="Verdana"/>
          <w:sz w:val="20"/>
          <w:szCs w:val="20"/>
          <w:lang w:val="es-ES_tradnl" w:eastAsia="es-CR"/>
        </w:rPr>
        <w:t xml:space="preserve">la obligación de </w:t>
      </w:r>
      <w:r w:rsidR="007B76F8" w:rsidRPr="000412A5">
        <w:rPr>
          <w:rFonts w:ascii="Verdana" w:eastAsia="Times New Roman" w:hAnsi="Verdana" w:cs="Times New Roman"/>
          <w:sz w:val="20"/>
          <w:szCs w:val="20"/>
          <w:lang w:val="es-ES_tradnl"/>
        </w:rPr>
        <w:t xml:space="preserve">poner </w:t>
      </w:r>
      <w:r w:rsidR="00C73B45" w:rsidRPr="000412A5">
        <w:rPr>
          <w:rFonts w:ascii="Verdana" w:eastAsia="Times New Roman" w:hAnsi="Verdana" w:cs="Times New Roman"/>
          <w:sz w:val="20"/>
          <w:szCs w:val="20"/>
          <w:lang w:val="es-ES_tradnl"/>
        </w:rPr>
        <w:t xml:space="preserve">en funcionamiento </w:t>
      </w:r>
      <w:r w:rsidR="00C73B45" w:rsidRPr="000412A5">
        <w:rPr>
          <w:rFonts w:ascii="Verdana" w:eastAsia="MS Mincho" w:hAnsi="Verdana" w:cs="Times New Roman"/>
          <w:sz w:val="20"/>
          <w:szCs w:val="20"/>
          <w:lang w:val="es-ES_tradnl"/>
        </w:rPr>
        <w:t>el “Registro Único de Víctimas y Familiares de Víctimas de Graves Violaciones a los Derechos Humanos durante la Masacre de El Mozote”</w:t>
      </w:r>
      <w:r w:rsidR="007B76F8" w:rsidRPr="000412A5">
        <w:rPr>
          <w:rFonts w:ascii="Verdana" w:eastAsia="MS Mincho" w:hAnsi="Verdana" w:cs="Times New Roman"/>
          <w:sz w:val="20"/>
          <w:szCs w:val="20"/>
          <w:lang w:val="es-ES_tradnl"/>
        </w:rPr>
        <w:t xml:space="preserve"> (</w:t>
      </w:r>
      <w:r w:rsidR="007B76F8" w:rsidRPr="000412A5">
        <w:rPr>
          <w:rFonts w:ascii="Verdana" w:eastAsia="MS Mincho" w:hAnsi="Verdana" w:cs="Times New Roman"/>
          <w:i/>
          <w:sz w:val="20"/>
          <w:szCs w:val="20"/>
          <w:lang w:val="es-ES_tradnl"/>
        </w:rPr>
        <w:t>infra</w:t>
      </w:r>
      <w:r w:rsidR="007B76F8" w:rsidRPr="000412A5">
        <w:rPr>
          <w:rFonts w:ascii="Verdana" w:eastAsia="MS Mincho" w:hAnsi="Verdana" w:cs="Times New Roman"/>
          <w:sz w:val="20"/>
          <w:szCs w:val="20"/>
          <w:lang w:val="es-ES_tradnl"/>
        </w:rPr>
        <w:t xml:space="preserve"> Considerando </w:t>
      </w:r>
      <w:r w:rsidR="00F1192A">
        <w:rPr>
          <w:rFonts w:ascii="Verdana" w:eastAsia="MS Mincho" w:hAnsi="Verdana" w:cs="Times New Roman"/>
          <w:sz w:val="20"/>
          <w:szCs w:val="20"/>
          <w:lang w:val="es-ES_tradnl"/>
        </w:rPr>
        <w:fldChar w:fldCharType="begin"/>
      </w:r>
      <w:r w:rsidR="00F1192A">
        <w:rPr>
          <w:rFonts w:ascii="Verdana" w:eastAsia="MS Mincho" w:hAnsi="Verdana" w:cs="Times New Roman"/>
          <w:sz w:val="20"/>
          <w:szCs w:val="20"/>
          <w:lang w:val="es-ES_tradnl"/>
        </w:rPr>
        <w:instrText xml:space="preserve"> REF _Ref532915388 \r \h </w:instrText>
      </w:r>
      <w:r w:rsidR="00F1192A">
        <w:rPr>
          <w:rFonts w:ascii="Verdana" w:eastAsia="MS Mincho" w:hAnsi="Verdana" w:cs="Times New Roman"/>
          <w:sz w:val="20"/>
          <w:szCs w:val="20"/>
          <w:lang w:val="es-ES_tradnl"/>
        </w:rPr>
      </w:r>
      <w:r w:rsidR="00F1192A">
        <w:rPr>
          <w:rFonts w:ascii="Verdana" w:eastAsia="MS Mincho" w:hAnsi="Verdana" w:cs="Times New Roman"/>
          <w:sz w:val="20"/>
          <w:szCs w:val="20"/>
          <w:lang w:val="es-ES_tradnl"/>
        </w:rPr>
        <w:fldChar w:fldCharType="separate"/>
      </w:r>
      <w:r w:rsidR="005E6AC2">
        <w:rPr>
          <w:rFonts w:ascii="Verdana" w:eastAsia="MS Mincho" w:hAnsi="Verdana" w:cs="Times New Roman"/>
          <w:sz w:val="20"/>
          <w:szCs w:val="20"/>
          <w:lang w:val="es-ES_tradnl"/>
        </w:rPr>
        <w:t>11</w:t>
      </w:r>
      <w:r w:rsidR="00F1192A">
        <w:rPr>
          <w:rFonts w:ascii="Verdana" w:eastAsia="MS Mincho" w:hAnsi="Verdana" w:cs="Times New Roman"/>
          <w:sz w:val="20"/>
          <w:szCs w:val="20"/>
          <w:lang w:val="es-ES_tradnl"/>
        </w:rPr>
        <w:fldChar w:fldCharType="end"/>
      </w:r>
      <w:r w:rsidR="00F1192A">
        <w:rPr>
          <w:rFonts w:ascii="Verdana" w:eastAsia="MS Mincho" w:hAnsi="Verdana" w:cs="Times New Roman"/>
          <w:sz w:val="20"/>
          <w:szCs w:val="20"/>
          <w:lang w:val="es-ES_tradnl"/>
        </w:rPr>
        <w:t>)</w:t>
      </w:r>
      <w:r w:rsidR="00C73B45" w:rsidRPr="000412A5">
        <w:rPr>
          <w:rFonts w:ascii="Verdana" w:eastAsia="MS Mincho" w:hAnsi="Verdana" w:cs="Times New Roman"/>
          <w:sz w:val="20"/>
          <w:szCs w:val="20"/>
          <w:lang w:val="es-ES_tradnl"/>
        </w:rPr>
        <w:t>,</w:t>
      </w:r>
      <w:r w:rsidR="007E04F5" w:rsidRPr="000412A5">
        <w:rPr>
          <w:rFonts w:ascii="Verdana" w:hAnsi="Verdana"/>
          <w:sz w:val="20"/>
          <w:szCs w:val="20"/>
          <w:lang w:val="es-ES_tradnl" w:eastAsia="es-CR"/>
        </w:rPr>
        <w:t xml:space="preserve"> </w:t>
      </w:r>
      <w:r w:rsidR="00C4297B" w:rsidRPr="000412A5">
        <w:rPr>
          <w:rFonts w:ascii="Verdana" w:hAnsi="Verdana"/>
          <w:sz w:val="20"/>
          <w:szCs w:val="20"/>
          <w:lang w:val="es-ES_tradnl" w:eastAsia="es-CR"/>
        </w:rPr>
        <w:t xml:space="preserve">el pago de indemnizaciones por </w:t>
      </w:r>
      <w:r w:rsidR="00202093">
        <w:rPr>
          <w:rFonts w:ascii="Verdana" w:hAnsi="Verdana"/>
          <w:sz w:val="20"/>
          <w:szCs w:val="20"/>
          <w:lang w:val="es-ES_tradnl" w:eastAsia="es-CR"/>
        </w:rPr>
        <w:t xml:space="preserve">concepto de </w:t>
      </w:r>
      <w:r w:rsidR="00C4297B" w:rsidRPr="000412A5">
        <w:rPr>
          <w:rFonts w:ascii="Verdana" w:hAnsi="Verdana"/>
          <w:sz w:val="20"/>
          <w:szCs w:val="20"/>
          <w:lang w:val="es-ES_tradnl" w:eastAsia="es-CR"/>
        </w:rPr>
        <w:t>daños materiales e inmateriales</w:t>
      </w:r>
      <w:r w:rsidR="007B76F8" w:rsidRPr="000412A5">
        <w:rPr>
          <w:rFonts w:ascii="Verdana" w:hAnsi="Verdana"/>
          <w:sz w:val="20"/>
          <w:szCs w:val="20"/>
          <w:lang w:val="es-ES_tradnl" w:eastAsia="es-CR"/>
        </w:rPr>
        <w:t xml:space="preserve"> a favor de determinadas víctimas de la Sentencia (</w:t>
      </w:r>
      <w:r w:rsidR="007B76F8" w:rsidRPr="000412A5">
        <w:rPr>
          <w:rFonts w:ascii="Verdana" w:hAnsi="Verdana"/>
          <w:i/>
          <w:sz w:val="20"/>
          <w:szCs w:val="20"/>
          <w:lang w:val="es-ES_tradnl" w:eastAsia="es-CR"/>
        </w:rPr>
        <w:t>infra</w:t>
      </w:r>
      <w:r w:rsidR="007B76F8" w:rsidRPr="000412A5">
        <w:rPr>
          <w:rFonts w:ascii="Verdana" w:hAnsi="Verdana"/>
          <w:sz w:val="20"/>
          <w:szCs w:val="20"/>
          <w:lang w:val="es-ES_tradnl" w:eastAsia="es-CR"/>
        </w:rPr>
        <w:t xml:space="preserve"> Considerando </w:t>
      </w:r>
      <w:r w:rsidR="00BE2FE2">
        <w:rPr>
          <w:rFonts w:ascii="Verdana" w:hAnsi="Verdana"/>
          <w:sz w:val="20"/>
          <w:szCs w:val="20"/>
          <w:lang w:val="es-ES_tradnl" w:eastAsia="es-CR"/>
        </w:rPr>
        <w:fldChar w:fldCharType="begin"/>
      </w:r>
      <w:r w:rsidR="00BE2FE2">
        <w:rPr>
          <w:rFonts w:ascii="Verdana" w:hAnsi="Verdana"/>
          <w:sz w:val="20"/>
          <w:szCs w:val="20"/>
          <w:lang w:val="es-ES_tradnl" w:eastAsia="es-CR"/>
        </w:rPr>
        <w:instrText xml:space="preserve"> REF _Ref532391639 \r \h </w:instrText>
      </w:r>
      <w:r w:rsidR="00BE2FE2">
        <w:rPr>
          <w:rFonts w:ascii="Verdana" w:hAnsi="Verdana"/>
          <w:sz w:val="20"/>
          <w:szCs w:val="20"/>
          <w:lang w:val="es-ES_tradnl" w:eastAsia="es-CR"/>
        </w:rPr>
      </w:r>
      <w:r w:rsidR="00BE2FE2">
        <w:rPr>
          <w:rFonts w:ascii="Verdana" w:hAnsi="Verdana"/>
          <w:sz w:val="20"/>
          <w:szCs w:val="20"/>
          <w:lang w:val="es-ES_tradnl" w:eastAsia="es-CR"/>
        </w:rPr>
        <w:fldChar w:fldCharType="separate"/>
      </w:r>
      <w:r w:rsidR="005E6AC2">
        <w:rPr>
          <w:rFonts w:ascii="Verdana" w:hAnsi="Verdana"/>
          <w:sz w:val="20"/>
          <w:szCs w:val="20"/>
          <w:lang w:val="es-ES_tradnl" w:eastAsia="es-CR"/>
        </w:rPr>
        <w:t>33</w:t>
      </w:r>
      <w:r w:rsidR="00BE2FE2">
        <w:rPr>
          <w:rFonts w:ascii="Verdana" w:hAnsi="Verdana"/>
          <w:sz w:val="20"/>
          <w:szCs w:val="20"/>
          <w:lang w:val="es-ES_tradnl" w:eastAsia="es-CR"/>
        </w:rPr>
        <w:fldChar w:fldCharType="end"/>
      </w:r>
      <w:r w:rsidR="007B76F8" w:rsidRPr="000412A5">
        <w:rPr>
          <w:rFonts w:ascii="Verdana" w:hAnsi="Verdana"/>
          <w:sz w:val="20"/>
          <w:szCs w:val="20"/>
          <w:lang w:val="es-ES_tradnl" w:eastAsia="es-CR"/>
        </w:rPr>
        <w:t>)</w:t>
      </w:r>
      <w:r w:rsidR="00202093">
        <w:rPr>
          <w:rFonts w:ascii="Verdana" w:hAnsi="Verdana"/>
          <w:sz w:val="20"/>
          <w:szCs w:val="20"/>
          <w:lang w:val="es-ES_tradnl" w:eastAsia="es-CR"/>
        </w:rPr>
        <w:t xml:space="preserve"> y </w:t>
      </w:r>
      <w:r w:rsidR="00202093" w:rsidRPr="000412A5">
        <w:rPr>
          <w:rFonts w:ascii="Verdana" w:hAnsi="Verdana"/>
          <w:sz w:val="20"/>
          <w:szCs w:val="20"/>
          <w:lang w:val="es-ES_tradnl" w:eastAsia="es-CR"/>
        </w:rPr>
        <w:t>la realización de un documental audiovisual (</w:t>
      </w:r>
      <w:r w:rsidR="00202093" w:rsidRPr="000412A5">
        <w:rPr>
          <w:rFonts w:ascii="Verdana" w:hAnsi="Verdana"/>
          <w:i/>
          <w:sz w:val="20"/>
          <w:szCs w:val="20"/>
          <w:lang w:val="es-ES_tradnl" w:eastAsia="es-CR"/>
        </w:rPr>
        <w:t>infra</w:t>
      </w:r>
      <w:r w:rsidR="00202093" w:rsidRPr="000412A5">
        <w:rPr>
          <w:rFonts w:ascii="Verdana" w:hAnsi="Verdana"/>
          <w:sz w:val="20"/>
          <w:szCs w:val="20"/>
          <w:lang w:val="es-ES_tradnl" w:eastAsia="es-CR"/>
        </w:rPr>
        <w:t xml:space="preserve"> Considerando </w:t>
      </w:r>
      <w:r w:rsidR="00BE2FE2">
        <w:rPr>
          <w:rFonts w:ascii="Verdana" w:hAnsi="Verdana"/>
          <w:sz w:val="20"/>
          <w:szCs w:val="20"/>
          <w:lang w:val="es-ES_tradnl" w:eastAsia="es-CR"/>
        </w:rPr>
        <w:fldChar w:fldCharType="begin"/>
      </w:r>
      <w:r w:rsidR="00BE2FE2">
        <w:rPr>
          <w:rFonts w:ascii="Verdana" w:hAnsi="Verdana"/>
          <w:sz w:val="20"/>
          <w:szCs w:val="20"/>
          <w:lang w:val="es-ES_tradnl" w:eastAsia="es-CR"/>
        </w:rPr>
        <w:instrText xml:space="preserve"> REF _Ref532391650 \r \h </w:instrText>
      </w:r>
      <w:r w:rsidR="00BE2FE2">
        <w:rPr>
          <w:rFonts w:ascii="Verdana" w:hAnsi="Verdana"/>
          <w:sz w:val="20"/>
          <w:szCs w:val="20"/>
          <w:lang w:val="es-ES_tradnl" w:eastAsia="es-CR"/>
        </w:rPr>
      </w:r>
      <w:r w:rsidR="00BE2FE2">
        <w:rPr>
          <w:rFonts w:ascii="Verdana" w:hAnsi="Verdana"/>
          <w:sz w:val="20"/>
          <w:szCs w:val="20"/>
          <w:lang w:val="es-ES_tradnl" w:eastAsia="es-CR"/>
        </w:rPr>
        <w:fldChar w:fldCharType="separate"/>
      </w:r>
      <w:r w:rsidR="005E6AC2">
        <w:rPr>
          <w:rFonts w:ascii="Verdana" w:hAnsi="Verdana"/>
          <w:sz w:val="20"/>
          <w:szCs w:val="20"/>
          <w:lang w:val="es-ES_tradnl" w:eastAsia="es-CR"/>
        </w:rPr>
        <w:t>45</w:t>
      </w:r>
      <w:r w:rsidR="00BE2FE2">
        <w:rPr>
          <w:rFonts w:ascii="Verdana" w:hAnsi="Verdana"/>
          <w:sz w:val="20"/>
          <w:szCs w:val="20"/>
          <w:lang w:val="es-ES_tradnl" w:eastAsia="es-CR"/>
        </w:rPr>
        <w:fldChar w:fldCharType="end"/>
      </w:r>
      <w:r w:rsidR="00202093" w:rsidRPr="000412A5">
        <w:rPr>
          <w:rFonts w:ascii="Verdana" w:hAnsi="Verdana"/>
          <w:sz w:val="20"/>
          <w:szCs w:val="20"/>
          <w:lang w:val="es-ES_tradnl" w:eastAsia="es-CR"/>
        </w:rPr>
        <w:t>)</w:t>
      </w:r>
      <w:r w:rsidR="008F22D5" w:rsidRPr="000412A5">
        <w:rPr>
          <w:rFonts w:ascii="Verdana" w:hAnsi="Verdana"/>
          <w:sz w:val="20"/>
          <w:szCs w:val="20"/>
          <w:lang w:val="es-ES_tradnl" w:eastAsia="es-CR"/>
        </w:rPr>
        <w:t>.</w:t>
      </w:r>
      <w:r w:rsidRPr="000412A5">
        <w:rPr>
          <w:rFonts w:ascii="Verdana" w:hAnsi="Verdana"/>
          <w:sz w:val="20"/>
          <w:szCs w:val="20"/>
          <w:lang w:val="es-ES_tradnl" w:eastAsia="es-CR"/>
        </w:rPr>
        <w:t xml:space="preserve"> </w:t>
      </w:r>
      <w:r w:rsidR="009F6E4F" w:rsidRPr="000412A5">
        <w:rPr>
          <w:rFonts w:ascii="Verdana" w:hAnsi="Verdana"/>
          <w:sz w:val="20"/>
          <w:szCs w:val="20"/>
          <w:lang w:val="es-ES_tradnl" w:eastAsia="es-CR"/>
        </w:rPr>
        <w:t xml:space="preserve">En una posterior </w:t>
      </w:r>
      <w:r w:rsidR="002E0AE3">
        <w:rPr>
          <w:rFonts w:ascii="Verdana" w:hAnsi="Verdana"/>
          <w:sz w:val="20"/>
          <w:szCs w:val="20"/>
          <w:lang w:val="es-ES_tradnl" w:eastAsia="es-CR"/>
        </w:rPr>
        <w:t>R</w:t>
      </w:r>
      <w:r w:rsidR="009F6E4F" w:rsidRPr="000412A5">
        <w:rPr>
          <w:rFonts w:ascii="Verdana" w:hAnsi="Verdana"/>
          <w:sz w:val="20"/>
          <w:szCs w:val="20"/>
          <w:lang w:val="es-ES_tradnl" w:eastAsia="es-CR"/>
        </w:rPr>
        <w:t>esolución</w:t>
      </w:r>
      <w:r w:rsidR="007B76F8" w:rsidRPr="000412A5">
        <w:rPr>
          <w:rFonts w:ascii="Verdana" w:hAnsi="Verdana"/>
          <w:sz w:val="20"/>
          <w:szCs w:val="20"/>
          <w:lang w:val="es-ES_tradnl" w:eastAsia="es-CR"/>
        </w:rPr>
        <w:t>,</w:t>
      </w:r>
      <w:r w:rsidR="009F6E4F" w:rsidRPr="000412A5">
        <w:rPr>
          <w:rFonts w:ascii="Verdana" w:hAnsi="Verdana"/>
          <w:sz w:val="20"/>
          <w:szCs w:val="20"/>
          <w:lang w:val="es-ES_tradnl" w:eastAsia="es-CR"/>
        </w:rPr>
        <w:t xml:space="preserve"> el Tribunal</w:t>
      </w:r>
      <w:r w:rsidR="007B76F8" w:rsidRPr="000412A5">
        <w:rPr>
          <w:rFonts w:ascii="Verdana" w:hAnsi="Verdana"/>
          <w:sz w:val="20"/>
          <w:szCs w:val="20"/>
          <w:lang w:val="es-ES_tradnl" w:eastAsia="es-CR"/>
        </w:rPr>
        <w:t xml:space="preserve"> valorará la información relativa a </w:t>
      </w:r>
      <w:r w:rsidR="003C6816" w:rsidRPr="000412A5">
        <w:rPr>
          <w:rFonts w:ascii="Verdana" w:hAnsi="Verdana"/>
          <w:sz w:val="20"/>
          <w:szCs w:val="20"/>
          <w:lang w:val="es-ES_tradnl" w:eastAsia="es-CR"/>
        </w:rPr>
        <w:t>las demás medidas de reparación</w:t>
      </w:r>
      <w:r w:rsidR="00FC06FC">
        <w:rPr>
          <w:rFonts w:ascii="Verdana" w:hAnsi="Verdana"/>
          <w:sz w:val="20"/>
          <w:szCs w:val="20"/>
          <w:lang w:val="es-ES_tradnl" w:eastAsia="es-CR"/>
        </w:rPr>
        <w:t>, ya que</w:t>
      </w:r>
      <w:r w:rsidR="009A5093">
        <w:rPr>
          <w:rFonts w:ascii="Verdana" w:hAnsi="Verdana"/>
          <w:sz w:val="20"/>
          <w:szCs w:val="20"/>
          <w:lang w:val="es-ES_tradnl" w:eastAsia="es-CR"/>
        </w:rPr>
        <w:t>, siguiendo instrucciones del Presidente del Tribunal, mediante nota de Secretaría de 24 de septiembre de 2018</w:t>
      </w:r>
      <w:r w:rsidR="00926A1D">
        <w:rPr>
          <w:rFonts w:ascii="Verdana" w:hAnsi="Verdana"/>
          <w:sz w:val="20"/>
          <w:szCs w:val="20"/>
          <w:lang w:val="es-ES_tradnl" w:eastAsia="es-CR"/>
        </w:rPr>
        <w:t>,</w:t>
      </w:r>
      <w:r w:rsidR="009A5093">
        <w:rPr>
          <w:rFonts w:ascii="Verdana" w:hAnsi="Verdana"/>
          <w:sz w:val="20"/>
          <w:szCs w:val="20"/>
          <w:lang w:val="es-ES_tradnl" w:eastAsia="es-CR"/>
        </w:rPr>
        <w:t xml:space="preserve"> se realizó una solicitud específica de información al Estado,</w:t>
      </w:r>
      <w:r w:rsidR="00926A1D">
        <w:rPr>
          <w:rFonts w:ascii="Verdana" w:hAnsi="Verdana"/>
          <w:sz w:val="20"/>
          <w:szCs w:val="20"/>
          <w:lang w:val="es-ES_tradnl" w:eastAsia="es-CR"/>
        </w:rPr>
        <w:t xml:space="preserve"> para lo cual</w:t>
      </w:r>
      <w:r w:rsidR="00442BC3">
        <w:rPr>
          <w:rFonts w:ascii="Verdana" w:hAnsi="Verdana"/>
          <w:sz w:val="20"/>
          <w:szCs w:val="20"/>
          <w:lang w:val="es-ES_tradnl" w:eastAsia="es-CR"/>
        </w:rPr>
        <w:t xml:space="preserve"> se le otorgó un plazo que venció</w:t>
      </w:r>
      <w:r w:rsidR="00926A1D">
        <w:rPr>
          <w:rFonts w:ascii="Verdana" w:hAnsi="Verdana"/>
          <w:sz w:val="20"/>
          <w:szCs w:val="20"/>
          <w:lang w:val="es-ES_tradnl" w:eastAsia="es-CR"/>
        </w:rPr>
        <w:t xml:space="preserve"> el 23 de noviembre de 2018</w:t>
      </w:r>
      <w:r w:rsidR="009F6E4F" w:rsidRPr="000412A5">
        <w:rPr>
          <w:rFonts w:ascii="Verdana" w:hAnsi="Verdana"/>
          <w:sz w:val="20"/>
          <w:szCs w:val="20"/>
          <w:lang w:val="es-ES_tradnl" w:eastAsia="es-CR"/>
        </w:rPr>
        <w:t>.</w:t>
      </w:r>
      <w:r w:rsidR="008B3FF9">
        <w:rPr>
          <w:rFonts w:ascii="Verdana" w:hAnsi="Verdana"/>
          <w:sz w:val="20"/>
          <w:szCs w:val="20"/>
          <w:lang w:val="es-ES_tradnl" w:eastAsia="es-CR"/>
        </w:rPr>
        <w:t xml:space="preserve"> Una vez recibido ese informe, se otorgarán plazos para observaciones a los representantes de las víctimas y a la Comisión, de forma tal que el Tribunal pueda contar con los elementos necesarios para valorar el grado de cumplimiento de dichas reparaciones</w:t>
      </w:r>
      <w:r w:rsidR="00442BC3" w:rsidRPr="00C17B8E">
        <w:rPr>
          <w:rFonts w:ascii="Verdana" w:hAnsi="Verdana"/>
          <w:sz w:val="20"/>
          <w:szCs w:val="20"/>
          <w:lang w:val="es-ES_tradnl"/>
        </w:rPr>
        <w:t>.</w:t>
      </w:r>
    </w:p>
    <w:p w14:paraId="084D597B" w14:textId="77777777" w:rsidR="000B162B" w:rsidRDefault="000B162B" w:rsidP="000B162B">
      <w:pPr>
        <w:pStyle w:val="ListParagraph"/>
        <w:spacing w:after="0" w:line="240" w:lineRule="auto"/>
        <w:ind w:left="0"/>
        <w:jc w:val="both"/>
        <w:rPr>
          <w:rFonts w:ascii="Verdana" w:hAnsi="Verdana"/>
          <w:sz w:val="20"/>
          <w:szCs w:val="20"/>
          <w:lang w:val="es-ES_tradnl" w:eastAsia="es-CR"/>
        </w:rPr>
      </w:pPr>
    </w:p>
    <w:p w14:paraId="77E69BF6" w14:textId="4AD6C6AC" w:rsidR="00E50421" w:rsidRPr="000B162B" w:rsidRDefault="00202093" w:rsidP="00442BC3">
      <w:pPr>
        <w:widowControl w:val="0"/>
        <w:numPr>
          <w:ilvl w:val="0"/>
          <w:numId w:val="33"/>
        </w:numPr>
        <w:spacing w:after="0" w:line="240" w:lineRule="auto"/>
        <w:ind w:left="0" w:firstLine="29"/>
        <w:contextualSpacing/>
        <w:jc w:val="both"/>
        <w:rPr>
          <w:rFonts w:ascii="Verdana" w:hAnsi="Verdana"/>
          <w:sz w:val="20"/>
          <w:szCs w:val="20"/>
          <w:lang w:val="es-ES_tradnl" w:eastAsia="es-CR"/>
        </w:rPr>
      </w:pPr>
      <w:r w:rsidRPr="000B162B">
        <w:rPr>
          <w:rFonts w:ascii="Verdana" w:hAnsi="Verdana"/>
          <w:sz w:val="20"/>
          <w:szCs w:val="20"/>
          <w:lang w:val="es-ES_tradnl" w:eastAsia="es-CR"/>
        </w:rPr>
        <w:t>El Tribunal valorará, además de la información y de las observaciones escritas presentadas por las partes y la Comisión, la información recabada por la delegación de la Corte durante las diligencias celebradas entre el 27 y el 30 de agosto de 2018 en El Salvador (</w:t>
      </w:r>
      <w:r w:rsidRPr="000B162B">
        <w:rPr>
          <w:rFonts w:ascii="Verdana" w:hAnsi="Verdana"/>
          <w:i/>
          <w:sz w:val="20"/>
          <w:szCs w:val="20"/>
          <w:lang w:val="es-ES_tradnl" w:eastAsia="es-CR"/>
        </w:rPr>
        <w:t>infra</w:t>
      </w:r>
      <w:r w:rsidRPr="000B162B">
        <w:rPr>
          <w:rFonts w:ascii="Verdana" w:hAnsi="Verdana"/>
          <w:sz w:val="20"/>
          <w:szCs w:val="20"/>
          <w:lang w:val="es-ES_tradnl" w:eastAsia="es-CR"/>
        </w:rPr>
        <w:t xml:space="preserve"> Considerandos </w:t>
      </w:r>
      <w:r w:rsidR="00BE2FE2" w:rsidRPr="000B162B">
        <w:rPr>
          <w:rFonts w:ascii="Verdana" w:hAnsi="Verdana"/>
          <w:sz w:val="20"/>
          <w:szCs w:val="20"/>
          <w:lang w:val="es-ES_tradnl" w:eastAsia="es-CR"/>
        </w:rPr>
        <w:fldChar w:fldCharType="begin"/>
      </w:r>
      <w:r w:rsidR="00BE2FE2" w:rsidRPr="000B162B">
        <w:rPr>
          <w:rFonts w:ascii="Verdana" w:hAnsi="Verdana"/>
          <w:sz w:val="20"/>
          <w:szCs w:val="20"/>
          <w:lang w:val="es-ES_tradnl" w:eastAsia="es-CR"/>
        </w:rPr>
        <w:instrText xml:space="preserve"> REF _Ref532391683 \r \h </w:instrText>
      </w:r>
      <w:r w:rsidR="00BE2FE2" w:rsidRPr="000B162B">
        <w:rPr>
          <w:rFonts w:ascii="Verdana" w:hAnsi="Verdana"/>
          <w:sz w:val="20"/>
          <w:szCs w:val="20"/>
          <w:lang w:val="es-ES_tradnl" w:eastAsia="es-CR"/>
        </w:rPr>
      </w:r>
      <w:r w:rsidR="00BE2FE2" w:rsidRPr="000B162B">
        <w:rPr>
          <w:rFonts w:ascii="Verdana" w:hAnsi="Verdana"/>
          <w:sz w:val="20"/>
          <w:szCs w:val="20"/>
          <w:lang w:val="es-ES_tradnl" w:eastAsia="es-CR"/>
        </w:rPr>
        <w:fldChar w:fldCharType="separate"/>
      </w:r>
      <w:r w:rsidR="005E6AC2">
        <w:rPr>
          <w:rFonts w:ascii="Verdana" w:hAnsi="Verdana"/>
          <w:sz w:val="20"/>
          <w:szCs w:val="20"/>
          <w:lang w:val="es-ES_tradnl" w:eastAsia="es-CR"/>
        </w:rPr>
        <w:t>5</w:t>
      </w:r>
      <w:r w:rsidR="00BE2FE2" w:rsidRPr="000B162B">
        <w:rPr>
          <w:rFonts w:ascii="Verdana" w:hAnsi="Verdana"/>
          <w:sz w:val="20"/>
          <w:szCs w:val="20"/>
          <w:lang w:val="es-ES_tradnl" w:eastAsia="es-CR"/>
        </w:rPr>
        <w:fldChar w:fldCharType="end"/>
      </w:r>
      <w:r w:rsidR="00BE2FE2" w:rsidRPr="000B162B">
        <w:rPr>
          <w:rFonts w:ascii="Verdana" w:hAnsi="Verdana"/>
          <w:sz w:val="20"/>
          <w:szCs w:val="20"/>
          <w:lang w:val="es-ES_tradnl" w:eastAsia="es-CR"/>
        </w:rPr>
        <w:t xml:space="preserve"> a </w:t>
      </w:r>
      <w:r w:rsidR="00BE2FE2" w:rsidRPr="000B162B">
        <w:rPr>
          <w:rFonts w:ascii="Verdana" w:hAnsi="Verdana"/>
          <w:sz w:val="20"/>
          <w:szCs w:val="20"/>
          <w:lang w:val="es-ES_tradnl" w:eastAsia="es-CR"/>
        </w:rPr>
        <w:fldChar w:fldCharType="begin"/>
      </w:r>
      <w:r w:rsidR="00BE2FE2" w:rsidRPr="000B162B">
        <w:rPr>
          <w:rFonts w:ascii="Verdana" w:hAnsi="Verdana"/>
          <w:sz w:val="20"/>
          <w:szCs w:val="20"/>
          <w:lang w:val="es-ES_tradnl" w:eastAsia="es-CR"/>
        </w:rPr>
        <w:instrText xml:space="preserve"> REF _Ref487562144 \r \h </w:instrText>
      </w:r>
      <w:r w:rsidR="00BE2FE2" w:rsidRPr="000B162B">
        <w:rPr>
          <w:rFonts w:ascii="Verdana" w:hAnsi="Verdana"/>
          <w:sz w:val="20"/>
          <w:szCs w:val="20"/>
          <w:lang w:val="es-ES_tradnl" w:eastAsia="es-CR"/>
        </w:rPr>
      </w:r>
      <w:r w:rsidR="00BE2FE2" w:rsidRPr="000B162B">
        <w:rPr>
          <w:rFonts w:ascii="Verdana" w:hAnsi="Verdana"/>
          <w:sz w:val="20"/>
          <w:szCs w:val="20"/>
          <w:lang w:val="es-ES_tradnl" w:eastAsia="es-CR"/>
        </w:rPr>
        <w:fldChar w:fldCharType="separate"/>
      </w:r>
      <w:r w:rsidR="005E6AC2">
        <w:rPr>
          <w:rFonts w:ascii="Verdana" w:hAnsi="Verdana"/>
          <w:sz w:val="20"/>
          <w:szCs w:val="20"/>
          <w:lang w:val="es-ES_tradnl" w:eastAsia="es-CR"/>
        </w:rPr>
        <w:t>10</w:t>
      </w:r>
      <w:r w:rsidR="00BE2FE2" w:rsidRPr="000B162B">
        <w:rPr>
          <w:rFonts w:ascii="Verdana" w:hAnsi="Verdana"/>
          <w:sz w:val="20"/>
          <w:szCs w:val="20"/>
          <w:lang w:val="es-ES_tradnl" w:eastAsia="es-CR"/>
        </w:rPr>
        <w:fldChar w:fldCharType="end"/>
      </w:r>
      <w:r w:rsidRPr="000B162B">
        <w:rPr>
          <w:rFonts w:ascii="Verdana" w:hAnsi="Verdana"/>
          <w:sz w:val="20"/>
          <w:szCs w:val="20"/>
          <w:lang w:val="es-ES_tradnl" w:eastAsia="es-CR"/>
        </w:rPr>
        <w:t xml:space="preserve">), y </w:t>
      </w:r>
      <w:r w:rsidR="00C17B8E">
        <w:rPr>
          <w:rFonts w:ascii="Verdana" w:hAnsi="Verdana"/>
          <w:sz w:val="20"/>
          <w:szCs w:val="20"/>
          <w:lang w:val="es-ES_tradnl" w:eastAsia="es-CR"/>
        </w:rPr>
        <w:t>el</w:t>
      </w:r>
      <w:r w:rsidRPr="000B162B">
        <w:rPr>
          <w:rFonts w:ascii="Verdana" w:hAnsi="Verdana"/>
          <w:sz w:val="20"/>
          <w:szCs w:val="20"/>
          <w:lang w:val="es-ES_tradnl" w:eastAsia="es-CR"/>
        </w:rPr>
        <w:t xml:space="preserve"> informe presentados por la Procuraduría para la Defensa de los Derechos Humanos</w:t>
      </w:r>
      <w:r w:rsidR="00BE2FE2" w:rsidRPr="000B162B">
        <w:rPr>
          <w:rFonts w:ascii="Verdana" w:hAnsi="Verdana"/>
          <w:sz w:val="20"/>
          <w:szCs w:val="20"/>
          <w:lang w:val="es-ES_tradnl" w:eastAsia="es-CR"/>
        </w:rPr>
        <w:t xml:space="preserve"> (</w:t>
      </w:r>
      <w:r w:rsidR="00BE2FE2" w:rsidRPr="000B162B">
        <w:rPr>
          <w:rFonts w:ascii="Verdana" w:hAnsi="Verdana"/>
          <w:i/>
          <w:sz w:val="20"/>
          <w:szCs w:val="20"/>
          <w:lang w:val="es-ES_tradnl" w:eastAsia="es-CR"/>
        </w:rPr>
        <w:t xml:space="preserve">supra </w:t>
      </w:r>
      <w:r w:rsidR="00BE2FE2" w:rsidRPr="000B162B">
        <w:rPr>
          <w:rFonts w:ascii="Verdana" w:hAnsi="Verdana"/>
          <w:sz w:val="20"/>
          <w:szCs w:val="20"/>
          <w:lang w:val="es-ES_tradnl" w:eastAsia="es-CR"/>
        </w:rPr>
        <w:t xml:space="preserve">Visto </w:t>
      </w:r>
      <w:r w:rsidR="00BE2FE2" w:rsidRPr="000B162B">
        <w:rPr>
          <w:rFonts w:ascii="Verdana" w:hAnsi="Verdana"/>
          <w:sz w:val="20"/>
          <w:szCs w:val="20"/>
          <w:lang w:val="es-ES_tradnl" w:eastAsia="es-CR"/>
        </w:rPr>
        <w:fldChar w:fldCharType="begin"/>
      </w:r>
      <w:r w:rsidR="00BE2FE2" w:rsidRPr="000B162B">
        <w:rPr>
          <w:rFonts w:ascii="Verdana" w:hAnsi="Verdana"/>
          <w:sz w:val="20"/>
          <w:szCs w:val="20"/>
          <w:lang w:val="es-ES_tradnl" w:eastAsia="es-CR"/>
        </w:rPr>
        <w:instrText xml:space="preserve"> REF _Ref532391737 \r \h </w:instrText>
      </w:r>
      <w:r w:rsidR="00BE2FE2" w:rsidRPr="000B162B">
        <w:rPr>
          <w:rFonts w:ascii="Verdana" w:hAnsi="Verdana"/>
          <w:sz w:val="20"/>
          <w:szCs w:val="20"/>
          <w:lang w:val="es-ES_tradnl" w:eastAsia="es-CR"/>
        </w:rPr>
      </w:r>
      <w:r w:rsidR="00BE2FE2" w:rsidRPr="000B162B">
        <w:rPr>
          <w:rFonts w:ascii="Verdana" w:hAnsi="Verdana"/>
          <w:sz w:val="20"/>
          <w:szCs w:val="20"/>
          <w:lang w:val="es-ES_tradnl" w:eastAsia="es-CR"/>
        </w:rPr>
        <w:fldChar w:fldCharType="separate"/>
      </w:r>
      <w:r w:rsidR="005E6AC2">
        <w:rPr>
          <w:rFonts w:ascii="Verdana" w:hAnsi="Verdana"/>
          <w:sz w:val="20"/>
          <w:szCs w:val="20"/>
          <w:lang w:val="es-ES_tradnl" w:eastAsia="es-CR"/>
        </w:rPr>
        <w:t>4</w:t>
      </w:r>
      <w:r w:rsidR="00BE2FE2" w:rsidRPr="000B162B">
        <w:rPr>
          <w:rFonts w:ascii="Verdana" w:hAnsi="Verdana"/>
          <w:sz w:val="20"/>
          <w:szCs w:val="20"/>
          <w:lang w:val="es-ES_tradnl" w:eastAsia="es-CR"/>
        </w:rPr>
        <w:fldChar w:fldCharType="end"/>
      </w:r>
      <w:r w:rsidR="00BE2FE2" w:rsidRPr="000B162B">
        <w:rPr>
          <w:rFonts w:ascii="Verdana" w:hAnsi="Verdana"/>
          <w:sz w:val="20"/>
          <w:szCs w:val="20"/>
          <w:lang w:val="es-ES_tradnl" w:eastAsia="es-CR"/>
        </w:rPr>
        <w:t>)</w:t>
      </w:r>
      <w:r w:rsidRPr="000B162B">
        <w:rPr>
          <w:rFonts w:ascii="Verdana" w:hAnsi="Verdana"/>
          <w:sz w:val="20"/>
          <w:szCs w:val="20"/>
          <w:lang w:val="es-ES_tradnl" w:eastAsia="es-CR"/>
        </w:rPr>
        <w:t xml:space="preserve">. Estos últimos serán valorados por la Corte como “otra fuente de información” que le permita apreciar el cumplimiento de lo ordenado, conforme lo dispuesto en el artículo 69.2 de su Reglamento de la Corte, y se entiende que esta información es distinta a la que brinda el Estado en su carácter de parte </w:t>
      </w:r>
      <w:r w:rsidRPr="000B162B">
        <w:rPr>
          <w:rFonts w:ascii="Verdana" w:hAnsi="Verdana"/>
          <w:sz w:val="20"/>
          <w:szCs w:val="20"/>
          <w:lang w:val="es-ES_tradnl" w:eastAsia="es-CR"/>
        </w:rPr>
        <w:lastRenderedPageBreak/>
        <w:t>de este proceso de supervisión de cumplimiento</w:t>
      </w:r>
      <w:r w:rsidRPr="000412A5">
        <w:rPr>
          <w:rStyle w:val="FootnoteReference"/>
          <w:rFonts w:ascii="Verdana" w:hAnsi="Verdana"/>
          <w:sz w:val="20"/>
          <w:szCs w:val="20"/>
          <w:lang w:val="es-ES_tradnl" w:eastAsia="es-CR"/>
        </w:rPr>
        <w:footnoteReference w:id="13"/>
      </w:r>
      <w:r w:rsidRPr="000B162B">
        <w:rPr>
          <w:rFonts w:ascii="Verdana" w:hAnsi="Verdana"/>
          <w:sz w:val="20"/>
          <w:szCs w:val="20"/>
          <w:lang w:val="es-ES_tradnl" w:eastAsia="es-CR"/>
        </w:rPr>
        <w:t>.</w:t>
      </w:r>
      <w:r w:rsidR="000B162B">
        <w:rPr>
          <w:rFonts w:ascii="Verdana" w:hAnsi="Verdana"/>
          <w:sz w:val="20"/>
          <w:szCs w:val="20"/>
          <w:lang w:val="es-ES_tradnl" w:eastAsia="es-CR"/>
        </w:rPr>
        <w:t xml:space="preserve"> </w:t>
      </w:r>
      <w:r w:rsidR="00AF2A84" w:rsidRPr="000B162B">
        <w:rPr>
          <w:rFonts w:ascii="Verdana" w:hAnsi="Verdana"/>
          <w:sz w:val="20"/>
          <w:szCs w:val="20"/>
          <w:lang w:val="es-ES_tradnl" w:eastAsia="es-CR"/>
        </w:rPr>
        <w:t>La presente Resolución se estructurará en el siguiente orden:</w:t>
      </w:r>
    </w:p>
    <w:sdt>
      <w:sdtPr>
        <w:rPr>
          <w:rFonts w:asciiTheme="minorHAnsi" w:eastAsiaTheme="minorHAnsi" w:hAnsiTheme="minorHAnsi" w:cstheme="minorBidi"/>
          <w:b w:val="0"/>
          <w:bCs w:val="0"/>
          <w:color w:val="auto"/>
          <w:sz w:val="22"/>
          <w:szCs w:val="22"/>
          <w:highlight w:val="yellow"/>
          <w:lang w:val="es-ES_tradnl" w:eastAsia="en-US"/>
        </w:rPr>
        <w:id w:val="1537165706"/>
        <w:docPartObj>
          <w:docPartGallery w:val="Table of Contents"/>
          <w:docPartUnique/>
        </w:docPartObj>
      </w:sdtPr>
      <w:sdtEndPr>
        <w:rPr>
          <w:noProof/>
          <w:highlight w:val="none"/>
        </w:rPr>
      </w:sdtEndPr>
      <w:sdtContent>
        <w:p w14:paraId="64FA1770" w14:textId="77777777" w:rsidR="00AF2A84" w:rsidRPr="00494410" w:rsidRDefault="00AF2A84" w:rsidP="00494410">
          <w:pPr>
            <w:pStyle w:val="TOCHeading"/>
            <w:tabs>
              <w:tab w:val="left" w:pos="8931"/>
            </w:tabs>
            <w:ind w:left="567" w:right="855"/>
            <w:jc w:val="both"/>
            <w:rPr>
              <w:rFonts w:ascii="Verdana" w:hAnsi="Verdana"/>
              <w:b w:val="0"/>
              <w:i/>
              <w:sz w:val="16"/>
              <w:szCs w:val="16"/>
              <w:highlight w:val="yellow"/>
              <w:lang w:val="es-ES_tradnl"/>
            </w:rPr>
          </w:pPr>
        </w:p>
        <w:p w14:paraId="0222F764" w14:textId="77777777" w:rsidR="00494410" w:rsidRPr="000B162B" w:rsidRDefault="00AF2A84" w:rsidP="00442BC3">
          <w:pPr>
            <w:pStyle w:val="TOC1"/>
            <w:tabs>
              <w:tab w:val="left" w:pos="1100"/>
              <w:tab w:val="left" w:pos="8789"/>
            </w:tabs>
            <w:spacing w:after="0" w:line="240" w:lineRule="auto"/>
            <w:jc w:val="both"/>
            <w:rPr>
              <w:rFonts w:ascii="Verdana" w:eastAsiaTheme="minorEastAsia" w:hAnsi="Verdana"/>
              <w:i/>
              <w:noProof/>
              <w:sz w:val="16"/>
              <w:szCs w:val="16"/>
              <w:lang w:val="es-CR" w:eastAsia="es-CR"/>
            </w:rPr>
          </w:pPr>
          <w:r w:rsidRPr="000B162B">
            <w:rPr>
              <w:rFonts w:ascii="Verdana" w:hAnsi="Verdana"/>
              <w:i/>
              <w:sz w:val="16"/>
              <w:szCs w:val="16"/>
              <w:highlight w:val="yellow"/>
              <w:lang w:val="es-ES_tradnl"/>
            </w:rPr>
            <w:fldChar w:fldCharType="begin"/>
          </w:r>
          <w:r w:rsidRPr="000B162B">
            <w:rPr>
              <w:rFonts w:ascii="Verdana" w:hAnsi="Verdana"/>
              <w:i/>
              <w:sz w:val="16"/>
              <w:szCs w:val="16"/>
              <w:highlight w:val="yellow"/>
              <w:lang w:val="es-ES_tradnl"/>
            </w:rPr>
            <w:instrText xml:space="preserve"> TOC \o "1-3" \h \z \u </w:instrText>
          </w:r>
          <w:r w:rsidRPr="000B162B">
            <w:rPr>
              <w:rFonts w:ascii="Verdana" w:hAnsi="Verdana"/>
              <w:i/>
              <w:sz w:val="16"/>
              <w:szCs w:val="16"/>
              <w:highlight w:val="yellow"/>
              <w:lang w:val="es-ES_tradnl"/>
            </w:rPr>
            <w:fldChar w:fldCharType="separate"/>
          </w:r>
          <w:hyperlink w:anchor="_Toc530566589" w:history="1">
            <w:r w:rsidR="00494410" w:rsidRPr="000B162B">
              <w:rPr>
                <w:rStyle w:val="Hyperlink"/>
                <w:rFonts w:ascii="Verdana" w:hAnsi="Verdana"/>
                <w:i/>
                <w:noProof/>
                <w:sz w:val="16"/>
                <w:szCs w:val="16"/>
                <w:lang w:val="es-ES_tradnl"/>
              </w:rPr>
              <w:t>A.</w:t>
            </w:r>
            <w:r w:rsidR="00494410" w:rsidRPr="000B162B">
              <w:rPr>
                <w:rFonts w:ascii="Verdana" w:eastAsiaTheme="minorEastAsia" w:hAnsi="Verdana"/>
                <w:i/>
                <w:noProof/>
                <w:sz w:val="16"/>
                <w:szCs w:val="16"/>
                <w:lang w:val="es-CR" w:eastAsia="es-CR"/>
              </w:rPr>
              <w:tab/>
            </w:r>
            <w:r w:rsidR="00494410" w:rsidRPr="000B162B">
              <w:rPr>
                <w:rStyle w:val="Hyperlink"/>
                <w:rFonts w:ascii="Verdana" w:hAnsi="Verdana"/>
                <w:i/>
                <w:noProof/>
                <w:sz w:val="16"/>
                <w:szCs w:val="16"/>
                <w:lang w:val="es-ES_tradnl"/>
              </w:rPr>
              <w:t>Visita de supervisión de cumplimiento de Sentencia del 27, 29 y 30 de agosto de 2018</w:t>
            </w:r>
            <w:r w:rsidR="00494410" w:rsidRPr="000B162B">
              <w:rPr>
                <w:rFonts w:ascii="Verdana" w:hAnsi="Verdana"/>
                <w:i/>
                <w:noProof/>
                <w:webHidden/>
                <w:sz w:val="16"/>
                <w:szCs w:val="16"/>
              </w:rPr>
              <w:tab/>
            </w:r>
            <w:r w:rsidR="00494410" w:rsidRPr="00442BC3">
              <w:rPr>
                <w:rFonts w:ascii="Verdana" w:hAnsi="Verdana"/>
                <w:i/>
                <w:noProof/>
                <w:webHidden/>
                <w:sz w:val="16"/>
                <w:szCs w:val="16"/>
              </w:rPr>
              <w:fldChar w:fldCharType="begin"/>
            </w:r>
            <w:r w:rsidR="00494410" w:rsidRPr="000B162B">
              <w:rPr>
                <w:rFonts w:ascii="Verdana" w:hAnsi="Verdana"/>
                <w:i/>
                <w:noProof/>
                <w:webHidden/>
                <w:sz w:val="16"/>
                <w:szCs w:val="16"/>
              </w:rPr>
              <w:instrText xml:space="preserve"> PAGEREF _Toc530566589 \h </w:instrText>
            </w:r>
            <w:r w:rsidR="00494410" w:rsidRPr="00442BC3">
              <w:rPr>
                <w:rFonts w:ascii="Verdana" w:hAnsi="Verdana"/>
                <w:i/>
                <w:noProof/>
                <w:webHidden/>
                <w:sz w:val="16"/>
                <w:szCs w:val="16"/>
              </w:rPr>
            </w:r>
            <w:r w:rsidR="00494410" w:rsidRPr="00442BC3">
              <w:rPr>
                <w:rFonts w:ascii="Verdana" w:hAnsi="Verdana"/>
                <w:i/>
                <w:noProof/>
                <w:webHidden/>
                <w:sz w:val="16"/>
                <w:szCs w:val="16"/>
              </w:rPr>
              <w:fldChar w:fldCharType="separate"/>
            </w:r>
            <w:r w:rsidR="005E6AC2">
              <w:rPr>
                <w:rFonts w:ascii="Verdana" w:hAnsi="Verdana"/>
                <w:i/>
                <w:noProof/>
                <w:webHidden/>
                <w:sz w:val="16"/>
                <w:szCs w:val="16"/>
              </w:rPr>
              <w:t>4</w:t>
            </w:r>
            <w:r w:rsidR="00494410" w:rsidRPr="00442BC3">
              <w:rPr>
                <w:rFonts w:ascii="Verdana" w:hAnsi="Verdana"/>
                <w:i/>
                <w:noProof/>
                <w:webHidden/>
                <w:sz w:val="16"/>
                <w:szCs w:val="16"/>
              </w:rPr>
              <w:fldChar w:fldCharType="end"/>
            </w:r>
          </w:hyperlink>
        </w:p>
        <w:p w14:paraId="127965C9" w14:textId="77777777" w:rsidR="00494410" w:rsidRPr="000B162B" w:rsidRDefault="005E6AC2" w:rsidP="00442BC3">
          <w:pPr>
            <w:pStyle w:val="TOC1"/>
            <w:tabs>
              <w:tab w:val="left" w:pos="1100"/>
              <w:tab w:val="left" w:pos="8789"/>
            </w:tabs>
            <w:spacing w:after="0" w:line="240" w:lineRule="auto"/>
            <w:jc w:val="both"/>
            <w:rPr>
              <w:rFonts w:ascii="Verdana" w:eastAsiaTheme="minorEastAsia" w:hAnsi="Verdana"/>
              <w:i/>
              <w:noProof/>
              <w:sz w:val="16"/>
              <w:szCs w:val="16"/>
              <w:lang w:val="es-CR" w:eastAsia="es-CR"/>
            </w:rPr>
          </w:pPr>
          <w:hyperlink w:anchor="_Toc530566590" w:history="1">
            <w:r w:rsidR="00494410" w:rsidRPr="000B162B">
              <w:rPr>
                <w:rStyle w:val="Hyperlink"/>
                <w:rFonts w:ascii="Verdana" w:hAnsi="Verdana"/>
                <w:i/>
                <w:noProof/>
                <w:sz w:val="16"/>
                <w:szCs w:val="16"/>
                <w:lang w:val="es-ES_tradnl"/>
              </w:rPr>
              <w:t>B.</w:t>
            </w:r>
            <w:r w:rsidR="00494410" w:rsidRPr="000B162B">
              <w:rPr>
                <w:rFonts w:ascii="Verdana" w:eastAsiaTheme="minorEastAsia" w:hAnsi="Verdana"/>
                <w:i/>
                <w:noProof/>
                <w:sz w:val="16"/>
                <w:szCs w:val="16"/>
                <w:lang w:val="es-CR" w:eastAsia="es-CR"/>
              </w:rPr>
              <w:tab/>
            </w:r>
            <w:r w:rsidR="00494410" w:rsidRPr="000B162B">
              <w:rPr>
                <w:rStyle w:val="Hyperlink"/>
                <w:rFonts w:ascii="Verdana" w:hAnsi="Verdana"/>
                <w:i/>
                <w:noProof/>
                <w:sz w:val="16"/>
                <w:szCs w:val="16"/>
                <w:lang w:val="es-ES_tradnl"/>
              </w:rPr>
              <w:t>Registro Único de Víctimas y Familiares de Víctimas de Graves Violaciones a los Derechos Humanos durante las Masacres de El Mozote y lugares aledaños</w:t>
            </w:r>
            <w:r w:rsidR="00494410" w:rsidRPr="000B162B">
              <w:rPr>
                <w:rFonts w:ascii="Verdana" w:hAnsi="Verdana"/>
                <w:i/>
                <w:noProof/>
                <w:webHidden/>
                <w:sz w:val="16"/>
                <w:szCs w:val="16"/>
              </w:rPr>
              <w:tab/>
            </w:r>
            <w:r w:rsidR="00494410" w:rsidRPr="00442BC3">
              <w:rPr>
                <w:rFonts w:ascii="Verdana" w:hAnsi="Verdana"/>
                <w:i/>
                <w:noProof/>
                <w:webHidden/>
                <w:sz w:val="16"/>
                <w:szCs w:val="16"/>
              </w:rPr>
              <w:fldChar w:fldCharType="begin"/>
            </w:r>
            <w:r w:rsidR="00494410" w:rsidRPr="000B162B">
              <w:rPr>
                <w:rFonts w:ascii="Verdana" w:hAnsi="Verdana"/>
                <w:i/>
                <w:noProof/>
                <w:webHidden/>
                <w:sz w:val="16"/>
                <w:szCs w:val="16"/>
              </w:rPr>
              <w:instrText xml:space="preserve"> PAGEREF _Toc530566590 \h </w:instrText>
            </w:r>
            <w:r w:rsidR="00494410" w:rsidRPr="00442BC3">
              <w:rPr>
                <w:rFonts w:ascii="Verdana" w:hAnsi="Verdana"/>
                <w:i/>
                <w:noProof/>
                <w:webHidden/>
                <w:sz w:val="16"/>
                <w:szCs w:val="16"/>
              </w:rPr>
            </w:r>
            <w:r w:rsidR="00494410" w:rsidRPr="00442BC3">
              <w:rPr>
                <w:rFonts w:ascii="Verdana" w:hAnsi="Verdana"/>
                <w:i/>
                <w:noProof/>
                <w:webHidden/>
                <w:sz w:val="16"/>
                <w:szCs w:val="16"/>
              </w:rPr>
              <w:fldChar w:fldCharType="separate"/>
            </w:r>
            <w:r>
              <w:rPr>
                <w:rFonts w:ascii="Verdana" w:hAnsi="Verdana"/>
                <w:i/>
                <w:noProof/>
                <w:webHidden/>
                <w:sz w:val="16"/>
                <w:szCs w:val="16"/>
              </w:rPr>
              <w:t>6</w:t>
            </w:r>
            <w:r w:rsidR="00494410" w:rsidRPr="00442BC3">
              <w:rPr>
                <w:rFonts w:ascii="Verdana" w:hAnsi="Verdana"/>
                <w:i/>
                <w:noProof/>
                <w:webHidden/>
                <w:sz w:val="16"/>
                <w:szCs w:val="16"/>
              </w:rPr>
              <w:fldChar w:fldCharType="end"/>
            </w:r>
          </w:hyperlink>
        </w:p>
        <w:p w14:paraId="56429B2D" w14:textId="77777777" w:rsidR="00494410" w:rsidRPr="000B162B" w:rsidRDefault="005E6AC2" w:rsidP="00442BC3">
          <w:pPr>
            <w:pStyle w:val="TOC1"/>
            <w:tabs>
              <w:tab w:val="left" w:pos="1100"/>
              <w:tab w:val="left" w:pos="8789"/>
            </w:tabs>
            <w:spacing w:after="0" w:line="240" w:lineRule="auto"/>
            <w:jc w:val="both"/>
            <w:rPr>
              <w:rFonts w:ascii="Verdana" w:eastAsiaTheme="minorEastAsia" w:hAnsi="Verdana"/>
              <w:i/>
              <w:noProof/>
              <w:sz w:val="16"/>
              <w:szCs w:val="16"/>
              <w:lang w:val="es-CR" w:eastAsia="es-CR"/>
            </w:rPr>
          </w:pPr>
          <w:hyperlink w:anchor="_Toc530566591" w:history="1">
            <w:r w:rsidR="00494410" w:rsidRPr="000B162B">
              <w:rPr>
                <w:rStyle w:val="Hyperlink"/>
                <w:rFonts w:ascii="Verdana" w:hAnsi="Verdana"/>
                <w:i/>
                <w:noProof/>
                <w:sz w:val="16"/>
                <w:szCs w:val="16"/>
                <w:lang w:val="es-ES_tradnl"/>
              </w:rPr>
              <w:t>C.</w:t>
            </w:r>
            <w:r w:rsidR="00494410" w:rsidRPr="000B162B">
              <w:rPr>
                <w:rFonts w:ascii="Verdana" w:eastAsiaTheme="minorEastAsia" w:hAnsi="Verdana"/>
                <w:i/>
                <w:noProof/>
                <w:sz w:val="16"/>
                <w:szCs w:val="16"/>
                <w:lang w:val="es-CR" w:eastAsia="es-CR"/>
              </w:rPr>
              <w:tab/>
            </w:r>
            <w:r w:rsidR="00494410" w:rsidRPr="000B162B">
              <w:rPr>
                <w:rStyle w:val="Hyperlink"/>
                <w:rFonts w:ascii="Verdana" w:hAnsi="Verdana"/>
                <w:i/>
                <w:noProof/>
                <w:sz w:val="16"/>
                <w:szCs w:val="16"/>
                <w:lang w:val="es-ES_tradnl"/>
              </w:rPr>
              <w:t>Pago de indemnizaciones por daños materiales e inmateriales</w:t>
            </w:r>
            <w:r w:rsidR="00494410" w:rsidRPr="000B162B">
              <w:rPr>
                <w:rFonts w:ascii="Verdana" w:hAnsi="Verdana"/>
                <w:i/>
                <w:noProof/>
                <w:webHidden/>
                <w:sz w:val="16"/>
                <w:szCs w:val="16"/>
              </w:rPr>
              <w:tab/>
            </w:r>
            <w:r w:rsidR="00494410" w:rsidRPr="00442BC3">
              <w:rPr>
                <w:rFonts w:ascii="Verdana" w:hAnsi="Verdana"/>
                <w:i/>
                <w:noProof/>
                <w:webHidden/>
                <w:sz w:val="16"/>
                <w:szCs w:val="16"/>
              </w:rPr>
              <w:fldChar w:fldCharType="begin"/>
            </w:r>
            <w:r w:rsidR="00494410" w:rsidRPr="000B162B">
              <w:rPr>
                <w:rFonts w:ascii="Verdana" w:hAnsi="Verdana"/>
                <w:i/>
                <w:noProof/>
                <w:webHidden/>
                <w:sz w:val="16"/>
                <w:szCs w:val="16"/>
              </w:rPr>
              <w:instrText xml:space="preserve"> PAGEREF _Toc530566591 \h </w:instrText>
            </w:r>
            <w:r w:rsidR="00494410" w:rsidRPr="00442BC3">
              <w:rPr>
                <w:rFonts w:ascii="Verdana" w:hAnsi="Verdana"/>
                <w:i/>
                <w:noProof/>
                <w:webHidden/>
                <w:sz w:val="16"/>
                <w:szCs w:val="16"/>
              </w:rPr>
            </w:r>
            <w:r w:rsidR="00494410" w:rsidRPr="00442BC3">
              <w:rPr>
                <w:rFonts w:ascii="Verdana" w:hAnsi="Verdana"/>
                <w:i/>
                <w:noProof/>
                <w:webHidden/>
                <w:sz w:val="16"/>
                <w:szCs w:val="16"/>
              </w:rPr>
              <w:fldChar w:fldCharType="separate"/>
            </w:r>
            <w:r>
              <w:rPr>
                <w:rFonts w:ascii="Verdana" w:hAnsi="Verdana"/>
                <w:i/>
                <w:noProof/>
                <w:webHidden/>
                <w:sz w:val="16"/>
                <w:szCs w:val="16"/>
              </w:rPr>
              <w:t>14</w:t>
            </w:r>
            <w:r w:rsidR="00494410" w:rsidRPr="00442BC3">
              <w:rPr>
                <w:rFonts w:ascii="Verdana" w:hAnsi="Verdana"/>
                <w:i/>
                <w:noProof/>
                <w:webHidden/>
                <w:sz w:val="16"/>
                <w:szCs w:val="16"/>
              </w:rPr>
              <w:fldChar w:fldCharType="end"/>
            </w:r>
          </w:hyperlink>
        </w:p>
        <w:p w14:paraId="5447DEF2" w14:textId="77777777" w:rsidR="00494410" w:rsidRPr="000B162B" w:rsidRDefault="005E6AC2" w:rsidP="00442BC3">
          <w:pPr>
            <w:pStyle w:val="TOC1"/>
            <w:tabs>
              <w:tab w:val="left" w:pos="1100"/>
              <w:tab w:val="left" w:pos="8789"/>
            </w:tabs>
            <w:spacing w:after="0" w:line="240" w:lineRule="auto"/>
            <w:jc w:val="both"/>
            <w:rPr>
              <w:rFonts w:ascii="Verdana" w:eastAsiaTheme="minorEastAsia" w:hAnsi="Verdana"/>
              <w:i/>
              <w:noProof/>
              <w:sz w:val="16"/>
              <w:szCs w:val="16"/>
              <w:lang w:val="es-CR" w:eastAsia="es-CR"/>
            </w:rPr>
          </w:pPr>
          <w:hyperlink w:anchor="_Toc530566592" w:history="1">
            <w:r w:rsidR="00494410" w:rsidRPr="000B162B">
              <w:rPr>
                <w:rStyle w:val="Hyperlink"/>
                <w:rFonts w:ascii="Verdana" w:hAnsi="Verdana"/>
                <w:i/>
                <w:noProof/>
                <w:sz w:val="16"/>
                <w:szCs w:val="16"/>
                <w:lang w:val="es-ES_tradnl"/>
              </w:rPr>
              <w:t>D.</w:t>
            </w:r>
            <w:r w:rsidR="00494410" w:rsidRPr="000B162B">
              <w:rPr>
                <w:rFonts w:ascii="Verdana" w:eastAsiaTheme="minorEastAsia" w:hAnsi="Verdana"/>
                <w:i/>
                <w:noProof/>
                <w:sz w:val="16"/>
                <w:szCs w:val="16"/>
                <w:lang w:val="es-CR" w:eastAsia="es-CR"/>
              </w:rPr>
              <w:tab/>
            </w:r>
            <w:r w:rsidR="00494410" w:rsidRPr="000B162B">
              <w:rPr>
                <w:rStyle w:val="Hyperlink"/>
                <w:rFonts w:ascii="Verdana" w:hAnsi="Verdana"/>
                <w:i/>
                <w:noProof/>
                <w:sz w:val="16"/>
                <w:szCs w:val="16"/>
                <w:lang w:val="es-ES_tradnl"/>
              </w:rPr>
              <w:t>Realización y difusión de documental audiovisual</w:t>
            </w:r>
            <w:r w:rsidR="00494410" w:rsidRPr="000B162B">
              <w:rPr>
                <w:rFonts w:ascii="Verdana" w:hAnsi="Verdana"/>
                <w:i/>
                <w:noProof/>
                <w:webHidden/>
                <w:sz w:val="16"/>
                <w:szCs w:val="16"/>
              </w:rPr>
              <w:tab/>
            </w:r>
            <w:r w:rsidR="00494410" w:rsidRPr="00442BC3">
              <w:rPr>
                <w:rFonts w:ascii="Verdana" w:hAnsi="Verdana"/>
                <w:i/>
                <w:noProof/>
                <w:webHidden/>
                <w:sz w:val="16"/>
                <w:szCs w:val="16"/>
              </w:rPr>
              <w:fldChar w:fldCharType="begin"/>
            </w:r>
            <w:r w:rsidR="00494410" w:rsidRPr="000B162B">
              <w:rPr>
                <w:rFonts w:ascii="Verdana" w:hAnsi="Verdana"/>
                <w:i/>
                <w:noProof/>
                <w:webHidden/>
                <w:sz w:val="16"/>
                <w:szCs w:val="16"/>
              </w:rPr>
              <w:instrText xml:space="preserve"> PAGEREF _Toc530566592 \h </w:instrText>
            </w:r>
            <w:r w:rsidR="00494410" w:rsidRPr="00442BC3">
              <w:rPr>
                <w:rFonts w:ascii="Verdana" w:hAnsi="Verdana"/>
                <w:i/>
                <w:noProof/>
                <w:webHidden/>
                <w:sz w:val="16"/>
                <w:szCs w:val="16"/>
              </w:rPr>
            </w:r>
            <w:r w:rsidR="00494410" w:rsidRPr="00442BC3">
              <w:rPr>
                <w:rFonts w:ascii="Verdana" w:hAnsi="Verdana"/>
                <w:i/>
                <w:noProof/>
                <w:webHidden/>
                <w:sz w:val="16"/>
                <w:szCs w:val="16"/>
              </w:rPr>
              <w:fldChar w:fldCharType="separate"/>
            </w:r>
            <w:r>
              <w:rPr>
                <w:rFonts w:ascii="Verdana" w:hAnsi="Verdana"/>
                <w:i/>
                <w:noProof/>
                <w:webHidden/>
                <w:sz w:val="16"/>
                <w:szCs w:val="16"/>
              </w:rPr>
              <w:t>18</w:t>
            </w:r>
            <w:r w:rsidR="00494410" w:rsidRPr="00442BC3">
              <w:rPr>
                <w:rFonts w:ascii="Verdana" w:hAnsi="Verdana"/>
                <w:i/>
                <w:noProof/>
                <w:webHidden/>
                <w:sz w:val="16"/>
                <w:szCs w:val="16"/>
              </w:rPr>
              <w:fldChar w:fldCharType="end"/>
            </w:r>
          </w:hyperlink>
        </w:p>
        <w:p w14:paraId="34EC73CB" w14:textId="77777777" w:rsidR="00AF2A84" w:rsidRPr="000412A5" w:rsidRDefault="00AF2A84" w:rsidP="00442BC3">
          <w:pPr>
            <w:tabs>
              <w:tab w:val="left" w:pos="8931"/>
            </w:tabs>
            <w:spacing w:after="0" w:line="240" w:lineRule="auto"/>
            <w:ind w:left="567" w:right="855"/>
            <w:jc w:val="both"/>
            <w:rPr>
              <w:lang w:val="es-ES_tradnl"/>
            </w:rPr>
          </w:pPr>
          <w:r w:rsidRPr="000B162B">
            <w:rPr>
              <w:rFonts w:ascii="Verdana" w:hAnsi="Verdana"/>
              <w:bCs/>
              <w:i/>
              <w:noProof/>
              <w:sz w:val="16"/>
              <w:szCs w:val="16"/>
              <w:highlight w:val="yellow"/>
              <w:lang w:val="es-ES_tradnl"/>
            </w:rPr>
            <w:fldChar w:fldCharType="end"/>
          </w:r>
        </w:p>
      </w:sdtContent>
    </w:sdt>
    <w:p w14:paraId="5059372A" w14:textId="77777777" w:rsidR="007B76F8" w:rsidRPr="000412A5" w:rsidRDefault="007B76F8" w:rsidP="00AF2A84">
      <w:pPr>
        <w:pStyle w:val="ListParagraph"/>
        <w:numPr>
          <w:ilvl w:val="0"/>
          <w:numId w:val="3"/>
        </w:numPr>
        <w:tabs>
          <w:tab w:val="left" w:pos="567"/>
        </w:tabs>
        <w:spacing w:after="0" w:line="240" w:lineRule="auto"/>
        <w:ind w:right="4"/>
        <w:jc w:val="both"/>
        <w:outlineLvl w:val="0"/>
        <w:rPr>
          <w:rFonts w:ascii="Verdana" w:hAnsi="Verdana"/>
          <w:b/>
          <w:sz w:val="20"/>
          <w:szCs w:val="20"/>
          <w:lang w:val="es-ES_tradnl"/>
        </w:rPr>
      </w:pPr>
      <w:bookmarkStart w:id="10" w:name="_Toc530566589"/>
      <w:r w:rsidRPr="000412A5">
        <w:rPr>
          <w:rFonts w:ascii="Verdana" w:hAnsi="Verdana"/>
          <w:b/>
          <w:sz w:val="20"/>
          <w:szCs w:val="20"/>
          <w:lang w:val="es-ES_tradnl"/>
        </w:rPr>
        <w:t>Visita de supervisión de cumplimiento de Sentencia del 27, 29 y 30 de agosto de 2018</w:t>
      </w:r>
      <w:bookmarkEnd w:id="10"/>
    </w:p>
    <w:p w14:paraId="09A6317C" w14:textId="77777777" w:rsidR="00501496" w:rsidRPr="000412A5" w:rsidRDefault="00501496" w:rsidP="00501496">
      <w:pPr>
        <w:tabs>
          <w:tab w:val="left" w:pos="567"/>
        </w:tabs>
        <w:spacing w:after="0" w:line="240" w:lineRule="auto"/>
        <w:ind w:right="4"/>
        <w:jc w:val="both"/>
        <w:outlineLvl w:val="0"/>
        <w:rPr>
          <w:rFonts w:ascii="Verdana" w:hAnsi="Verdana"/>
          <w:b/>
          <w:sz w:val="20"/>
          <w:szCs w:val="20"/>
          <w:lang w:val="es-ES_tradnl"/>
        </w:rPr>
      </w:pPr>
    </w:p>
    <w:p w14:paraId="47C512C0" w14:textId="1DE01D6C" w:rsidR="00501496" w:rsidRPr="000412A5" w:rsidRDefault="000B162B" w:rsidP="00442BC3">
      <w:pPr>
        <w:widowControl w:val="0"/>
        <w:numPr>
          <w:ilvl w:val="0"/>
          <w:numId w:val="33"/>
        </w:numPr>
        <w:spacing w:after="0" w:line="240" w:lineRule="auto"/>
        <w:ind w:left="0" w:firstLine="29"/>
        <w:contextualSpacing/>
        <w:jc w:val="both"/>
        <w:rPr>
          <w:rFonts w:ascii="Verdana" w:eastAsia="Verdana" w:hAnsi="Verdana" w:cs="Verdana"/>
          <w:sz w:val="16"/>
          <w:szCs w:val="16"/>
          <w:lang w:val="es-ES_tradnl"/>
        </w:rPr>
      </w:pPr>
      <w:bookmarkStart w:id="11" w:name="_Ref532391683"/>
      <w:r w:rsidRPr="000412A5">
        <w:rPr>
          <w:rFonts w:ascii="Verdana" w:eastAsia="Verdana" w:hAnsi="Verdana" w:cs="Verdana"/>
          <w:sz w:val="20"/>
          <w:szCs w:val="20"/>
          <w:lang w:val="es-ES_tradnl"/>
        </w:rPr>
        <w:t xml:space="preserve">Mediante </w:t>
      </w:r>
      <w:r w:rsidRPr="00442BC3">
        <w:rPr>
          <w:rFonts w:ascii="Verdana" w:hAnsi="Verdana"/>
          <w:sz w:val="20"/>
          <w:szCs w:val="20"/>
          <w:lang w:val="es-ES_tradnl" w:eastAsia="es-CR"/>
        </w:rPr>
        <w:t>nota</w:t>
      </w:r>
      <w:r w:rsidRPr="000412A5">
        <w:rPr>
          <w:rFonts w:ascii="Verdana" w:eastAsia="Verdana" w:hAnsi="Verdana" w:cs="Verdana"/>
          <w:sz w:val="20"/>
          <w:szCs w:val="20"/>
          <w:lang w:val="es-ES_tradnl"/>
        </w:rPr>
        <w:t xml:space="preserve"> de Secretaría de 28 de junio de 2018 se comunicó a las partes la decisión de la Corte de “comisionar a varios de sus miembros y a funcionarios de </w:t>
      </w:r>
      <w:r>
        <w:rPr>
          <w:rFonts w:ascii="Verdana" w:eastAsia="Verdana" w:hAnsi="Verdana" w:cs="Verdana"/>
          <w:sz w:val="20"/>
          <w:szCs w:val="20"/>
          <w:lang w:val="es-ES_tradnl"/>
        </w:rPr>
        <w:t xml:space="preserve">su Secretaría </w:t>
      </w:r>
      <w:r w:rsidRPr="000412A5">
        <w:rPr>
          <w:rFonts w:ascii="Verdana" w:eastAsia="Verdana" w:hAnsi="Verdana" w:cs="Verdana"/>
          <w:sz w:val="20"/>
          <w:szCs w:val="20"/>
          <w:lang w:val="es-ES_tradnl"/>
        </w:rPr>
        <w:t xml:space="preserve">para que realicen en El Salvador una visita de supervisión de cumplimiento de sentencia, en el caserío de El Mozote y otros caseríos aledaños, en el Departamento de Morazán”. </w:t>
      </w:r>
      <w:r>
        <w:rPr>
          <w:rFonts w:ascii="Verdana" w:eastAsia="Verdana" w:hAnsi="Verdana" w:cs="Verdana"/>
          <w:sz w:val="20"/>
          <w:szCs w:val="20"/>
          <w:lang w:val="es-ES_tradnl"/>
        </w:rPr>
        <w:t xml:space="preserve">Para la realización de tal visita se contó con la anuencia y colaboración del Estado. </w:t>
      </w:r>
      <w:r w:rsidRPr="009A5093">
        <w:rPr>
          <w:rFonts w:ascii="Verdana" w:hAnsi="Verdana"/>
          <w:sz w:val="20"/>
          <w:szCs w:val="20"/>
          <w:lang w:val="es-CR"/>
        </w:rPr>
        <w:t xml:space="preserve">La delegación que se desplazó al Departamento de Morazán para efectuar la visita estuvo compuesta por el Juez Humberto A. Sierra Porto, Presidente en ejercicio para estas diligencias, y el Juez Eugenio Raúl </w:t>
      </w:r>
      <w:proofErr w:type="spellStart"/>
      <w:r w:rsidRPr="009A5093">
        <w:rPr>
          <w:rFonts w:ascii="Verdana" w:hAnsi="Verdana"/>
          <w:sz w:val="20"/>
          <w:szCs w:val="20"/>
          <w:lang w:val="es-CR"/>
        </w:rPr>
        <w:t>Zaffaroni</w:t>
      </w:r>
      <w:proofErr w:type="spellEnd"/>
      <w:r w:rsidRPr="009A5093">
        <w:rPr>
          <w:rFonts w:ascii="Verdana" w:hAnsi="Verdana"/>
          <w:sz w:val="20"/>
          <w:szCs w:val="20"/>
          <w:lang w:val="es-CR"/>
        </w:rPr>
        <w:t>, así como el Director Jurídico y abogados de la Unidad de supervisión de cumplimiento de sentencias de la Secretaría del Tribunal. En la diligencia efectuada el 27 de agosto en San Salvador, además de dicha delegación, también participaron la Jueza Elizabeth Odio Benito y la Secretaria Adjunta.</w:t>
      </w:r>
    </w:p>
    <w:p w14:paraId="6E6D2C22" w14:textId="77777777" w:rsidR="00501496" w:rsidRPr="000412A5" w:rsidRDefault="00501496" w:rsidP="00501496">
      <w:pPr>
        <w:spacing w:after="0" w:line="240" w:lineRule="auto"/>
        <w:jc w:val="both"/>
        <w:rPr>
          <w:rFonts w:ascii="Verdana" w:eastAsia="Verdana" w:hAnsi="Verdana" w:cs="Verdana"/>
          <w:sz w:val="20"/>
          <w:szCs w:val="20"/>
          <w:lang w:val="es-ES_tradnl"/>
        </w:rPr>
      </w:pPr>
      <w:bookmarkStart w:id="12" w:name="_8eror5uj2b5r"/>
      <w:bookmarkEnd w:id="11"/>
      <w:bookmarkEnd w:id="12"/>
    </w:p>
    <w:p w14:paraId="6D431321" w14:textId="2034EA50" w:rsidR="003C6816" w:rsidRPr="000412A5" w:rsidRDefault="00501496" w:rsidP="00AB452C">
      <w:pPr>
        <w:widowControl w:val="0"/>
        <w:numPr>
          <w:ilvl w:val="0"/>
          <w:numId w:val="33"/>
        </w:numPr>
        <w:spacing w:after="0" w:line="240" w:lineRule="auto"/>
        <w:ind w:left="0" w:firstLine="29"/>
        <w:contextualSpacing/>
        <w:jc w:val="both"/>
        <w:rPr>
          <w:rFonts w:ascii="Verdana" w:eastAsia="Verdana" w:hAnsi="Verdana" w:cs="Verdana"/>
          <w:color w:val="000000"/>
          <w:sz w:val="20"/>
          <w:szCs w:val="20"/>
          <w:lang w:val="es-ES_tradnl"/>
        </w:rPr>
      </w:pPr>
      <w:bookmarkStart w:id="13" w:name="_2b4hfr86g1ug"/>
      <w:bookmarkEnd w:id="13"/>
      <w:r w:rsidRPr="000412A5">
        <w:rPr>
          <w:rFonts w:ascii="Verdana" w:eastAsia="Verdana" w:hAnsi="Verdana" w:cs="Verdana"/>
          <w:sz w:val="20"/>
          <w:szCs w:val="20"/>
          <w:lang w:val="es-ES_tradnl"/>
        </w:rPr>
        <w:t xml:space="preserve">Los días </w:t>
      </w:r>
      <w:r w:rsidR="003C6816" w:rsidRPr="000412A5">
        <w:rPr>
          <w:rFonts w:ascii="Verdana" w:eastAsia="Verdana" w:hAnsi="Verdana" w:cs="Verdana"/>
          <w:sz w:val="20"/>
          <w:szCs w:val="20"/>
          <w:lang w:val="es-ES_tradnl"/>
        </w:rPr>
        <w:t>27, 29</w:t>
      </w:r>
      <w:r w:rsidRPr="000412A5">
        <w:rPr>
          <w:rFonts w:ascii="Verdana" w:eastAsia="Verdana" w:hAnsi="Verdana" w:cs="Verdana"/>
          <w:sz w:val="20"/>
          <w:szCs w:val="20"/>
          <w:lang w:val="es-ES_tradnl"/>
        </w:rPr>
        <w:t xml:space="preserve"> </w:t>
      </w:r>
      <w:r w:rsidR="003C6816" w:rsidRPr="000412A5">
        <w:rPr>
          <w:rFonts w:ascii="Verdana" w:eastAsia="Verdana" w:hAnsi="Verdana" w:cs="Verdana"/>
          <w:sz w:val="20"/>
          <w:szCs w:val="20"/>
          <w:lang w:val="es-ES_tradnl"/>
        </w:rPr>
        <w:t>y</w:t>
      </w:r>
      <w:r w:rsidRPr="000412A5">
        <w:rPr>
          <w:rFonts w:ascii="Verdana" w:eastAsia="Verdana" w:hAnsi="Verdana" w:cs="Verdana"/>
          <w:sz w:val="20"/>
          <w:szCs w:val="20"/>
          <w:lang w:val="es-ES_tradnl"/>
        </w:rPr>
        <w:t xml:space="preserve"> 30 de agosto de 2018 tuvo lugar la referida visita</w:t>
      </w:r>
      <w:r w:rsidR="00BD46B6">
        <w:rPr>
          <w:rFonts w:ascii="Verdana" w:eastAsia="Verdana" w:hAnsi="Verdana" w:cs="Verdana"/>
          <w:sz w:val="20"/>
          <w:szCs w:val="20"/>
          <w:lang w:val="es-ES_tradnl"/>
        </w:rPr>
        <w:t xml:space="preserve">, durante el </w:t>
      </w:r>
      <w:r w:rsidR="009A5093">
        <w:rPr>
          <w:rFonts w:ascii="Verdana" w:eastAsia="Verdana" w:hAnsi="Verdana" w:cs="Verdana"/>
          <w:sz w:val="20"/>
          <w:szCs w:val="20"/>
          <w:lang w:val="es-ES_tradnl"/>
        </w:rPr>
        <w:t>59</w:t>
      </w:r>
      <w:r w:rsidR="00BD46B6">
        <w:rPr>
          <w:rFonts w:ascii="Verdana" w:eastAsia="Verdana" w:hAnsi="Verdana" w:cs="Verdana"/>
          <w:sz w:val="20"/>
          <w:szCs w:val="20"/>
          <w:lang w:val="es-ES_tradnl"/>
        </w:rPr>
        <w:t xml:space="preserve"> </w:t>
      </w:r>
      <w:r w:rsidR="000B162B">
        <w:rPr>
          <w:rFonts w:ascii="Verdana" w:eastAsia="Verdana" w:hAnsi="Verdana" w:cs="Verdana"/>
          <w:sz w:val="20"/>
          <w:szCs w:val="20"/>
          <w:lang w:val="es-ES_tradnl"/>
        </w:rPr>
        <w:t>P</w:t>
      </w:r>
      <w:r w:rsidR="00BD46B6">
        <w:rPr>
          <w:rFonts w:ascii="Verdana" w:eastAsia="Verdana" w:hAnsi="Verdana" w:cs="Verdana"/>
          <w:sz w:val="20"/>
          <w:szCs w:val="20"/>
          <w:lang w:val="es-ES_tradnl"/>
        </w:rPr>
        <w:t xml:space="preserve">eríodo </w:t>
      </w:r>
      <w:r w:rsidR="000B162B">
        <w:rPr>
          <w:rFonts w:ascii="Verdana" w:eastAsia="Verdana" w:hAnsi="Verdana" w:cs="Verdana"/>
          <w:sz w:val="20"/>
          <w:szCs w:val="20"/>
          <w:lang w:val="es-ES_tradnl"/>
        </w:rPr>
        <w:t>E</w:t>
      </w:r>
      <w:r w:rsidR="00BD46B6">
        <w:rPr>
          <w:rFonts w:ascii="Verdana" w:eastAsia="Verdana" w:hAnsi="Verdana" w:cs="Verdana"/>
          <w:sz w:val="20"/>
          <w:szCs w:val="20"/>
          <w:lang w:val="es-ES_tradnl"/>
        </w:rPr>
        <w:t xml:space="preserve">xtraordinario de </w:t>
      </w:r>
      <w:r w:rsidR="000B162B">
        <w:rPr>
          <w:rFonts w:ascii="Verdana" w:eastAsia="Verdana" w:hAnsi="Verdana" w:cs="Verdana"/>
          <w:sz w:val="20"/>
          <w:szCs w:val="20"/>
          <w:lang w:val="es-ES_tradnl"/>
        </w:rPr>
        <w:t>S</w:t>
      </w:r>
      <w:r w:rsidR="00BD46B6">
        <w:rPr>
          <w:rFonts w:ascii="Verdana" w:eastAsia="Verdana" w:hAnsi="Verdana" w:cs="Verdana"/>
          <w:sz w:val="20"/>
          <w:szCs w:val="20"/>
          <w:lang w:val="es-ES_tradnl"/>
        </w:rPr>
        <w:t>esiones de la Corte celebrado en El Salvador</w:t>
      </w:r>
      <w:r w:rsidRPr="000412A5">
        <w:rPr>
          <w:rFonts w:ascii="Verdana" w:eastAsia="Verdana" w:hAnsi="Verdana" w:cs="Verdana"/>
          <w:sz w:val="20"/>
          <w:szCs w:val="20"/>
          <w:lang w:val="es-ES_tradnl"/>
        </w:rPr>
        <w:t xml:space="preserve">. </w:t>
      </w:r>
      <w:r w:rsidR="003C6816" w:rsidRPr="000412A5">
        <w:rPr>
          <w:rFonts w:ascii="Verdana" w:eastAsia="Verdana" w:hAnsi="Verdana" w:cs="Verdana"/>
          <w:sz w:val="20"/>
          <w:szCs w:val="20"/>
          <w:lang w:val="es-ES_tradnl"/>
        </w:rPr>
        <w:t xml:space="preserve">En consulta con los representantes de las víctimas y el Estado se acordó la agenda de la visita. </w:t>
      </w:r>
      <w:r w:rsidR="005653BC">
        <w:rPr>
          <w:rFonts w:ascii="Verdana" w:eastAsia="Verdana" w:hAnsi="Verdana" w:cs="Verdana"/>
          <w:sz w:val="20"/>
          <w:szCs w:val="20"/>
          <w:lang w:val="es-ES_tradnl"/>
        </w:rPr>
        <w:t>La primera diligencia fue la</w:t>
      </w:r>
      <w:r w:rsidR="003C6816" w:rsidRPr="000412A5">
        <w:rPr>
          <w:rFonts w:ascii="Verdana" w:eastAsia="Verdana" w:hAnsi="Verdana" w:cs="Verdana"/>
          <w:sz w:val="20"/>
          <w:szCs w:val="20"/>
          <w:lang w:val="es-ES_tradnl"/>
        </w:rPr>
        <w:t xml:space="preserve"> celebración de una </w:t>
      </w:r>
      <w:r w:rsidR="00C72F3E">
        <w:rPr>
          <w:rFonts w:ascii="Verdana" w:eastAsia="Verdana" w:hAnsi="Verdana" w:cs="Verdana"/>
          <w:sz w:val="20"/>
          <w:szCs w:val="20"/>
          <w:lang w:val="es-ES_tradnl"/>
        </w:rPr>
        <w:t>audiencia privada</w:t>
      </w:r>
      <w:r w:rsidR="00483DAA" w:rsidRPr="00B33D5A">
        <w:rPr>
          <w:rStyle w:val="FootnoteReference"/>
          <w:rFonts w:ascii="Verdana" w:eastAsia="Verdana" w:hAnsi="Verdana" w:cs="Verdana"/>
          <w:sz w:val="20"/>
          <w:szCs w:val="20"/>
          <w:lang w:val="es-ES_tradnl"/>
        </w:rPr>
        <w:footnoteReference w:id="14"/>
      </w:r>
      <w:r w:rsidR="003C6816" w:rsidRPr="000412A5">
        <w:rPr>
          <w:rFonts w:ascii="Verdana" w:eastAsia="Verdana" w:hAnsi="Verdana" w:cs="Verdana"/>
          <w:sz w:val="20"/>
          <w:szCs w:val="20"/>
          <w:lang w:val="es-ES_tradnl"/>
        </w:rPr>
        <w:t xml:space="preserve"> sobre la supervisión del cumplimiento de la medida de reparación concerniente al pago de indemnizaciones por concepto de los daños materiales e inmateriales a favor de las víctimas, la cual tuvo lugar en San Salvador</w:t>
      </w:r>
      <w:r w:rsidR="005653BC">
        <w:rPr>
          <w:rFonts w:ascii="Verdana" w:eastAsia="Verdana" w:hAnsi="Verdana" w:cs="Verdana"/>
          <w:sz w:val="20"/>
          <w:szCs w:val="20"/>
          <w:lang w:val="es-ES_tradnl"/>
        </w:rPr>
        <w:t xml:space="preserve"> el 27 de agosto de 2018</w:t>
      </w:r>
      <w:r w:rsidR="003C6816" w:rsidRPr="000412A5">
        <w:rPr>
          <w:rFonts w:ascii="Verdana" w:eastAsia="Verdana" w:hAnsi="Verdana" w:cs="Verdana"/>
          <w:sz w:val="20"/>
          <w:szCs w:val="20"/>
          <w:lang w:val="es-ES_tradnl"/>
        </w:rPr>
        <w:t xml:space="preserve"> (</w:t>
      </w:r>
      <w:r w:rsidR="003C6816" w:rsidRPr="000412A5">
        <w:rPr>
          <w:rFonts w:ascii="Verdana" w:eastAsia="Verdana" w:hAnsi="Verdana" w:cs="Verdana"/>
          <w:i/>
          <w:sz w:val="20"/>
          <w:szCs w:val="20"/>
          <w:lang w:val="es-ES_tradnl"/>
        </w:rPr>
        <w:t xml:space="preserve">infra </w:t>
      </w:r>
      <w:r w:rsidR="003C6816" w:rsidRPr="000412A5">
        <w:rPr>
          <w:rFonts w:ascii="Verdana" w:eastAsia="Verdana" w:hAnsi="Verdana" w:cs="Verdana"/>
          <w:sz w:val="20"/>
          <w:szCs w:val="20"/>
          <w:lang w:val="es-ES_tradnl"/>
        </w:rPr>
        <w:t xml:space="preserve">Considerando </w:t>
      </w:r>
      <w:r w:rsidR="00DC0213">
        <w:rPr>
          <w:rFonts w:ascii="Verdana" w:eastAsia="Verdana" w:hAnsi="Verdana" w:cs="Verdana"/>
          <w:sz w:val="20"/>
          <w:szCs w:val="20"/>
          <w:lang w:val="es-ES_tradnl"/>
        </w:rPr>
        <w:fldChar w:fldCharType="begin"/>
      </w:r>
      <w:r w:rsidR="00DC0213">
        <w:rPr>
          <w:rFonts w:ascii="Verdana" w:eastAsia="Verdana" w:hAnsi="Verdana" w:cs="Verdana"/>
          <w:sz w:val="20"/>
          <w:szCs w:val="20"/>
          <w:lang w:val="es-ES_tradnl"/>
        </w:rPr>
        <w:instrText xml:space="preserve"> REF _Ref532391639 \r \h </w:instrText>
      </w:r>
      <w:r w:rsidR="00DC0213">
        <w:rPr>
          <w:rFonts w:ascii="Verdana" w:eastAsia="Verdana" w:hAnsi="Verdana" w:cs="Verdana"/>
          <w:sz w:val="20"/>
          <w:szCs w:val="20"/>
          <w:lang w:val="es-ES_tradnl"/>
        </w:rPr>
      </w:r>
      <w:r w:rsidR="00DC0213">
        <w:rPr>
          <w:rFonts w:ascii="Verdana" w:eastAsia="Verdana" w:hAnsi="Verdana" w:cs="Verdana"/>
          <w:sz w:val="20"/>
          <w:szCs w:val="20"/>
          <w:lang w:val="es-ES_tradnl"/>
        </w:rPr>
        <w:fldChar w:fldCharType="separate"/>
      </w:r>
      <w:r w:rsidR="005E6AC2">
        <w:rPr>
          <w:rFonts w:ascii="Verdana" w:eastAsia="Verdana" w:hAnsi="Verdana" w:cs="Verdana"/>
          <w:sz w:val="20"/>
          <w:szCs w:val="20"/>
          <w:lang w:val="es-ES_tradnl"/>
        </w:rPr>
        <w:t>33</w:t>
      </w:r>
      <w:r w:rsidR="00DC0213">
        <w:rPr>
          <w:rFonts w:ascii="Verdana" w:eastAsia="Verdana" w:hAnsi="Verdana" w:cs="Verdana"/>
          <w:sz w:val="20"/>
          <w:szCs w:val="20"/>
          <w:lang w:val="es-ES_tradnl"/>
        </w:rPr>
        <w:fldChar w:fldCharType="end"/>
      </w:r>
      <w:r w:rsidR="003C6816" w:rsidRPr="000412A5">
        <w:rPr>
          <w:rFonts w:ascii="Verdana" w:eastAsia="Verdana" w:hAnsi="Verdana" w:cs="Verdana"/>
          <w:sz w:val="20"/>
          <w:szCs w:val="20"/>
          <w:lang w:val="es-ES_tradnl"/>
        </w:rPr>
        <w:t xml:space="preserve">). También se recibió información sobre la medida relativa a la identificación de víctimas a través del “Registro </w:t>
      </w:r>
      <w:proofErr w:type="spellStart"/>
      <w:r w:rsidR="003C6816" w:rsidRPr="000412A5">
        <w:rPr>
          <w:rFonts w:ascii="Verdana" w:eastAsia="Verdana" w:hAnsi="Verdana" w:cs="Verdana"/>
          <w:sz w:val="20"/>
          <w:szCs w:val="20"/>
          <w:lang w:val="es-ES_tradnl"/>
        </w:rPr>
        <w:t>único</w:t>
      </w:r>
      <w:proofErr w:type="spellEnd"/>
      <w:r w:rsidR="003C6816" w:rsidRPr="000412A5">
        <w:rPr>
          <w:rFonts w:ascii="Verdana" w:eastAsia="Verdana" w:hAnsi="Verdana" w:cs="Verdana"/>
          <w:sz w:val="20"/>
          <w:szCs w:val="20"/>
          <w:lang w:val="es-ES_tradnl"/>
        </w:rPr>
        <w:t xml:space="preserve"> de </w:t>
      </w:r>
      <w:proofErr w:type="spellStart"/>
      <w:r w:rsidR="003C6816" w:rsidRPr="000412A5">
        <w:rPr>
          <w:rFonts w:ascii="Verdana" w:eastAsia="Verdana" w:hAnsi="Verdana" w:cs="Verdana"/>
          <w:sz w:val="20"/>
          <w:szCs w:val="20"/>
          <w:lang w:val="es-ES_tradnl"/>
        </w:rPr>
        <w:t>Víctimas</w:t>
      </w:r>
      <w:proofErr w:type="spellEnd"/>
      <w:r w:rsidR="003C6816" w:rsidRPr="000412A5">
        <w:rPr>
          <w:rFonts w:ascii="Verdana" w:eastAsia="Verdana" w:hAnsi="Verdana" w:cs="Verdana"/>
          <w:sz w:val="20"/>
          <w:szCs w:val="20"/>
          <w:lang w:val="es-ES_tradnl"/>
        </w:rPr>
        <w:t xml:space="preserve"> y familiares de </w:t>
      </w:r>
      <w:r w:rsidR="005653BC" w:rsidRPr="000412A5">
        <w:rPr>
          <w:rFonts w:ascii="Verdana" w:eastAsia="Verdana" w:hAnsi="Verdana" w:cs="Verdana"/>
          <w:sz w:val="20"/>
          <w:szCs w:val="20"/>
          <w:lang w:val="es-ES_tradnl"/>
        </w:rPr>
        <w:t>víctimas</w:t>
      </w:r>
      <w:r w:rsidR="003C6816" w:rsidRPr="000412A5">
        <w:rPr>
          <w:rFonts w:ascii="Verdana" w:eastAsia="Verdana" w:hAnsi="Verdana" w:cs="Verdana"/>
          <w:sz w:val="20"/>
          <w:szCs w:val="20"/>
          <w:lang w:val="es-ES_tradnl"/>
        </w:rPr>
        <w:t xml:space="preserve"> de graves violaciones a los derechos humanos durante las Masacres de El Mozote y lugares </w:t>
      </w:r>
      <w:proofErr w:type="spellStart"/>
      <w:r w:rsidR="003C6816" w:rsidRPr="000412A5">
        <w:rPr>
          <w:rFonts w:ascii="Verdana" w:eastAsia="Verdana" w:hAnsi="Verdana" w:cs="Verdana"/>
          <w:sz w:val="20"/>
          <w:szCs w:val="20"/>
          <w:lang w:val="es-ES_tradnl"/>
        </w:rPr>
        <w:t>aledaños</w:t>
      </w:r>
      <w:proofErr w:type="spellEnd"/>
      <w:r w:rsidR="003C6816" w:rsidRPr="000412A5">
        <w:rPr>
          <w:rFonts w:ascii="Verdana" w:eastAsia="Verdana" w:hAnsi="Verdana" w:cs="Verdana"/>
          <w:sz w:val="20"/>
          <w:szCs w:val="20"/>
          <w:lang w:val="es-ES_tradnl"/>
        </w:rPr>
        <w:t>” (</w:t>
      </w:r>
      <w:r w:rsidR="003C6816" w:rsidRPr="000412A5">
        <w:rPr>
          <w:rFonts w:ascii="Verdana" w:eastAsia="Verdana" w:hAnsi="Verdana" w:cs="Verdana"/>
          <w:i/>
          <w:sz w:val="20"/>
          <w:szCs w:val="20"/>
          <w:lang w:val="es-ES_tradnl"/>
        </w:rPr>
        <w:t>infra</w:t>
      </w:r>
      <w:r w:rsidR="003C6816" w:rsidRPr="000412A5">
        <w:rPr>
          <w:rFonts w:ascii="Verdana" w:eastAsia="Verdana" w:hAnsi="Verdana" w:cs="Verdana"/>
          <w:sz w:val="20"/>
          <w:szCs w:val="20"/>
          <w:lang w:val="es-ES_tradnl"/>
        </w:rPr>
        <w:t xml:space="preserve"> Considerando </w:t>
      </w:r>
      <w:r w:rsidR="00C17B8E">
        <w:rPr>
          <w:rFonts w:ascii="Verdana" w:eastAsia="Verdana" w:hAnsi="Verdana" w:cs="Verdana"/>
          <w:sz w:val="20"/>
          <w:szCs w:val="20"/>
          <w:lang w:val="es-ES_tradnl"/>
        </w:rPr>
        <w:t>11</w:t>
      </w:r>
      <w:r w:rsidR="003C6816" w:rsidRPr="000412A5">
        <w:rPr>
          <w:rFonts w:ascii="Verdana" w:eastAsia="Verdana" w:hAnsi="Verdana" w:cs="Verdana"/>
          <w:sz w:val="20"/>
          <w:szCs w:val="20"/>
          <w:lang w:val="es-ES_tradnl"/>
        </w:rPr>
        <w:t xml:space="preserve">). </w:t>
      </w:r>
    </w:p>
    <w:p w14:paraId="4141BFB7" w14:textId="77777777" w:rsidR="003C6816" w:rsidRDefault="003C6816" w:rsidP="003C6816">
      <w:pPr>
        <w:widowControl w:val="0"/>
        <w:spacing w:after="0" w:line="240" w:lineRule="auto"/>
        <w:ind w:left="29"/>
        <w:contextualSpacing/>
        <w:jc w:val="both"/>
        <w:rPr>
          <w:rFonts w:ascii="Verdana" w:eastAsia="Verdana" w:hAnsi="Verdana" w:cs="Verdana"/>
          <w:color w:val="000000"/>
          <w:sz w:val="20"/>
          <w:szCs w:val="20"/>
          <w:lang w:val="es-ES_tradnl"/>
        </w:rPr>
      </w:pPr>
    </w:p>
    <w:p w14:paraId="67600ED9" w14:textId="77777777" w:rsidR="0012564E" w:rsidRPr="000412A5" w:rsidRDefault="0012564E" w:rsidP="003C6816">
      <w:pPr>
        <w:widowControl w:val="0"/>
        <w:spacing w:after="0" w:line="240" w:lineRule="auto"/>
        <w:ind w:left="29"/>
        <w:contextualSpacing/>
        <w:jc w:val="both"/>
        <w:rPr>
          <w:rFonts w:ascii="Verdana" w:eastAsia="Verdana" w:hAnsi="Verdana" w:cs="Verdana"/>
          <w:color w:val="000000"/>
          <w:sz w:val="20"/>
          <w:szCs w:val="20"/>
          <w:lang w:val="es-ES_tradnl"/>
        </w:rPr>
      </w:pPr>
    </w:p>
    <w:p w14:paraId="1264AA85" w14:textId="3521C5A2" w:rsidR="003C6816" w:rsidRPr="000412A5" w:rsidRDefault="003C6816" w:rsidP="003C6816">
      <w:pPr>
        <w:widowControl w:val="0"/>
        <w:numPr>
          <w:ilvl w:val="0"/>
          <w:numId w:val="33"/>
        </w:numPr>
        <w:spacing w:after="0" w:line="240" w:lineRule="auto"/>
        <w:ind w:left="0" w:firstLine="0"/>
        <w:contextualSpacing/>
        <w:jc w:val="both"/>
        <w:rPr>
          <w:rFonts w:ascii="Verdana" w:eastAsia="Verdana" w:hAnsi="Verdana" w:cs="Verdana"/>
          <w:sz w:val="20"/>
          <w:szCs w:val="20"/>
          <w:lang w:val="es-ES_tradnl"/>
        </w:rPr>
      </w:pPr>
      <w:bookmarkStart w:id="14" w:name="_Ref487562562"/>
      <w:r w:rsidRPr="000412A5">
        <w:rPr>
          <w:rFonts w:ascii="Verdana" w:eastAsia="Verdana" w:hAnsi="Verdana" w:cs="Verdana"/>
          <w:sz w:val="20"/>
          <w:szCs w:val="20"/>
          <w:lang w:val="es-ES_tradnl"/>
        </w:rPr>
        <w:lastRenderedPageBreak/>
        <w:t xml:space="preserve">Posteriormente, el miércoles 29 de agosto por la tarde se celebró una diligencia en el Juzgado Segundo de Primera Instancia de San Francisco de Gotera, cuyo objeto fue </w:t>
      </w:r>
      <w:r w:rsidR="004E7D5C">
        <w:rPr>
          <w:rFonts w:ascii="Verdana" w:eastAsia="Verdana" w:hAnsi="Verdana" w:cs="Verdana"/>
          <w:sz w:val="20"/>
          <w:szCs w:val="20"/>
          <w:lang w:val="es-ES_tradnl"/>
        </w:rPr>
        <w:t xml:space="preserve">que el titular de dicho tribunal </w:t>
      </w:r>
      <w:r w:rsidRPr="000412A5">
        <w:rPr>
          <w:rFonts w:ascii="Verdana" w:eastAsia="Verdana" w:hAnsi="Verdana" w:cs="Verdana"/>
          <w:sz w:val="20"/>
          <w:szCs w:val="20"/>
          <w:lang w:val="es-ES_tradnl"/>
        </w:rPr>
        <w:t>prove</w:t>
      </w:r>
      <w:r w:rsidR="004E7D5C">
        <w:rPr>
          <w:rFonts w:ascii="Verdana" w:eastAsia="Verdana" w:hAnsi="Verdana" w:cs="Verdana"/>
          <w:sz w:val="20"/>
          <w:szCs w:val="20"/>
          <w:lang w:val="es-ES_tradnl"/>
        </w:rPr>
        <w:t>yera</w:t>
      </w:r>
      <w:r w:rsidRPr="000412A5">
        <w:rPr>
          <w:rFonts w:ascii="Verdana" w:eastAsia="Verdana" w:hAnsi="Verdana" w:cs="Verdana"/>
          <w:sz w:val="20"/>
          <w:szCs w:val="20"/>
          <w:lang w:val="es-ES_tradnl"/>
        </w:rPr>
        <w:t xml:space="preserve"> a la delegación de la Corte información actualizada sobre el cumplimiento de la medida de reparación ordenada en el punto dispositivo tercero de la Sentencia, relativa a la obligación de “iniciar, impulsar, reabrir, dirigir, continuar y concluir […] las investigaciones de todos los hechos que originaron las violaciones declaradas en la […] Sentencia, con el propósito de identificar, juzgar y, en su caso, sancionar a los responsables”</w:t>
      </w:r>
      <w:r w:rsidR="00433EAC">
        <w:rPr>
          <w:rStyle w:val="FootnoteReference"/>
          <w:rFonts w:ascii="Verdana" w:eastAsia="Verdana" w:hAnsi="Verdana" w:cs="Verdana"/>
          <w:sz w:val="20"/>
          <w:szCs w:val="20"/>
          <w:lang w:val="es-ES_tradnl"/>
        </w:rPr>
        <w:footnoteReference w:id="15"/>
      </w:r>
      <w:r w:rsidRPr="000412A5">
        <w:rPr>
          <w:rFonts w:ascii="Verdana" w:eastAsia="Verdana" w:hAnsi="Verdana" w:cs="Verdana"/>
          <w:sz w:val="20"/>
          <w:szCs w:val="20"/>
          <w:lang w:val="es-ES_tradnl"/>
        </w:rPr>
        <w:t xml:space="preserve">. </w:t>
      </w:r>
    </w:p>
    <w:p w14:paraId="3AEE7E64" w14:textId="77777777" w:rsidR="003C6816" w:rsidRPr="000412A5" w:rsidRDefault="00483DAA" w:rsidP="00483DAA">
      <w:pPr>
        <w:widowControl w:val="0"/>
        <w:tabs>
          <w:tab w:val="left" w:pos="2830"/>
        </w:tabs>
        <w:spacing w:after="0" w:line="240" w:lineRule="auto"/>
        <w:contextualSpacing/>
        <w:jc w:val="both"/>
        <w:rPr>
          <w:rFonts w:ascii="Verdana" w:eastAsia="Verdana" w:hAnsi="Verdana" w:cs="Verdana"/>
          <w:sz w:val="20"/>
          <w:szCs w:val="20"/>
          <w:lang w:val="es-ES_tradnl"/>
        </w:rPr>
      </w:pPr>
      <w:r w:rsidRPr="000412A5">
        <w:rPr>
          <w:rFonts w:ascii="Verdana" w:eastAsia="Verdana" w:hAnsi="Verdana" w:cs="Verdana"/>
          <w:sz w:val="20"/>
          <w:szCs w:val="20"/>
          <w:lang w:val="es-ES_tradnl"/>
        </w:rPr>
        <w:tab/>
      </w:r>
    </w:p>
    <w:p w14:paraId="6A73A681" w14:textId="6C230ED1" w:rsidR="003C6816" w:rsidRPr="000412A5" w:rsidRDefault="003C6816" w:rsidP="003C6816">
      <w:pPr>
        <w:widowControl w:val="0"/>
        <w:numPr>
          <w:ilvl w:val="0"/>
          <w:numId w:val="33"/>
        </w:numPr>
        <w:spacing w:after="0" w:line="240" w:lineRule="auto"/>
        <w:ind w:left="0" w:firstLine="0"/>
        <w:contextualSpacing/>
        <w:jc w:val="both"/>
        <w:rPr>
          <w:rFonts w:ascii="Verdana" w:eastAsia="Verdana" w:hAnsi="Verdana" w:cs="Verdana"/>
          <w:sz w:val="20"/>
          <w:szCs w:val="20"/>
          <w:lang w:val="es-ES_tradnl"/>
        </w:rPr>
      </w:pPr>
      <w:r w:rsidRPr="000412A5">
        <w:rPr>
          <w:rFonts w:ascii="Verdana" w:eastAsia="Verdana" w:hAnsi="Verdana" w:cs="Verdana"/>
          <w:sz w:val="20"/>
          <w:szCs w:val="20"/>
          <w:lang w:val="es-ES_tradnl"/>
        </w:rPr>
        <w:t xml:space="preserve">El 30 de agosto durante la mañana se recibió en la comunidad de El Mozote a la delegación de la Corte y su Secretaría para verificar el nivel de cumplimiento de las medidas de reparación ordenadas en la Sentencia correspondientes a “implementar un programa de desarrollo a favor de las comunidades del caserío El Mozote, del cantón La Joya, de los caseríos Ranchería, Los Toriles y Jocote Amarillo, y del cantón Cerro Pando”, y a “implementar un programa de atención y tratamiento integral de la salud física, </w:t>
      </w:r>
      <w:proofErr w:type="spellStart"/>
      <w:r w:rsidRPr="000412A5">
        <w:rPr>
          <w:rFonts w:ascii="Verdana" w:eastAsia="Verdana" w:hAnsi="Verdana" w:cs="Verdana"/>
          <w:sz w:val="20"/>
          <w:szCs w:val="20"/>
          <w:lang w:val="es-ES_tradnl"/>
        </w:rPr>
        <w:t>psíquica</w:t>
      </w:r>
      <w:proofErr w:type="spellEnd"/>
      <w:r w:rsidRPr="000412A5">
        <w:rPr>
          <w:rFonts w:ascii="Verdana" w:eastAsia="Verdana" w:hAnsi="Verdana" w:cs="Verdana"/>
          <w:sz w:val="20"/>
          <w:szCs w:val="20"/>
          <w:lang w:val="es-ES_tradnl"/>
        </w:rPr>
        <w:t xml:space="preserve"> y psicosocial con </w:t>
      </w:r>
      <w:r w:rsidR="007D2268" w:rsidRPr="000412A5">
        <w:rPr>
          <w:rFonts w:ascii="Verdana" w:eastAsia="Verdana" w:hAnsi="Verdana" w:cs="Verdana"/>
          <w:sz w:val="20"/>
          <w:szCs w:val="20"/>
          <w:lang w:val="es-ES_tradnl"/>
        </w:rPr>
        <w:t>carácter</w:t>
      </w:r>
      <w:r w:rsidRPr="000412A5">
        <w:rPr>
          <w:rFonts w:ascii="Verdana" w:eastAsia="Verdana" w:hAnsi="Verdana" w:cs="Verdana"/>
          <w:sz w:val="20"/>
          <w:szCs w:val="20"/>
          <w:lang w:val="es-ES_tradnl"/>
        </w:rPr>
        <w:t xml:space="preserve"> permanente”</w:t>
      </w:r>
      <w:r w:rsidR="00433EAC">
        <w:rPr>
          <w:rStyle w:val="FootnoteReference"/>
          <w:rFonts w:ascii="Verdana" w:eastAsia="Verdana" w:hAnsi="Verdana" w:cs="Verdana"/>
          <w:sz w:val="20"/>
          <w:szCs w:val="20"/>
          <w:lang w:val="es-ES_tradnl"/>
        </w:rPr>
        <w:footnoteReference w:id="16"/>
      </w:r>
      <w:r w:rsidRPr="000412A5">
        <w:rPr>
          <w:rFonts w:ascii="Verdana" w:eastAsia="Verdana" w:hAnsi="Verdana" w:cs="Verdana"/>
          <w:sz w:val="20"/>
          <w:szCs w:val="20"/>
          <w:lang w:val="es-ES_tradnl"/>
        </w:rPr>
        <w:t xml:space="preserve">. La visita fue inaugurada en el Monumento en memoria de las víctimas de las masacres. Con posterioridad a ello la delegación de la Corte y su Secretaría inició un recorrido por la Unidad comunitaria de salud familiar en El Mozote, la escuela en construcción en El Mozote y por un tramo de calle pavimentada. Adicionalmente, se celebró una reunión en la Casa Comunal de </w:t>
      </w:r>
      <w:proofErr w:type="spellStart"/>
      <w:r w:rsidRPr="000412A5">
        <w:rPr>
          <w:rFonts w:ascii="Verdana" w:eastAsia="Verdana" w:hAnsi="Verdana" w:cs="Verdana"/>
          <w:sz w:val="20"/>
          <w:szCs w:val="20"/>
          <w:lang w:val="es-ES_tradnl"/>
        </w:rPr>
        <w:t>Arambala</w:t>
      </w:r>
      <w:proofErr w:type="spellEnd"/>
      <w:r w:rsidR="00B939F2">
        <w:rPr>
          <w:rStyle w:val="FootnoteReference"/>
          <w:rFonts w:ascii="Verdana" w:eastAsia="Verdana" w:hAnsi="Verdana" w:cs="Verdana"/>
          <w:sz w:val="20"/>
          <w:szCs w:val="20"/>
          <w:lang w:val="es-ES_tradnl"/>
        </w:rPr>
        <w:footnoteReference w:id="17"/>
      </w:r>
      <w:r w:rsidRPr="000412A5">
        <w:rPr>
          <w:rFonts w:ascii="Verdana" w:eastAsia="Verdana" w:hAnsi="Verdana" w:cs="Verdana"/>
          <w:sz w:val="20"/>
          <w:szCs w:val="20"/>
          <w:lang w:val="es-ES_tradnl"/>
        </w:rPr>
        <w:t xml:space="preserve">, en la que la delegación de la Corte y su Secretaría recibió información sobre las medidas relativas a: la </w:t>
      </w:r>
      <w:r w:rsidRPr="000412A5">
        <w:rPr>
          <w:rFonts w:ascii="Verdana" w:eastAsia="Verdana" w:hAnsi="Verdana" w:cs="Verdana"/>
          <w:sz w:val="20"/>
          <w:szCs w:val="20"/>
          <w:lang w:val="es-ES_tradnl"/>
        </w:rPr>
        <w:lastRenderedPageBreak/>
        <w:t xml:space="preserve">obligación de investigar, juzgar y sancionar graves violaciones a derechos humanos; el levantamiento de los restos mortales de las víctimas de la masacre, y sobre las medidas de naturaleza colectiva que fueron supervisadas a lo largo de la visita, al igual que aquellos otros extremos </w:t>
      </w:r>
      <w:r w:rsidR="00D661C3">
        <w:rPr>
          <w:rFonts w:ascii="Verdana" w:eastAsia="Verdana" w:hAnsi="Verdana" w:cs="Verdana"/>
          <w:sz w:val="20"/>
          <w:szCs w:val="20"/>
          <w:lang w:val="es-ES_tradnl"/>
        </w:rPr>
        <w:t xml:space="preserve">de la Sentencia </w:t>
      </w:r>
      <w:r w:rsidRPr="000412A5">
        <w:rPr>
          <w:rFonts w:ascii="Verdana" w:eastAsia="Verdana" w:hAnsi="Verdana" w:cs="Verdana"/>
          <w:sz w:val="20"/>
          <w:szCs w:val="20"/>
          <w:lang w:val="es-ES_tradnl"/>
        </w:rPr>
        <w:t xml:space="preserve">a los que no se hizo referencia en la </w:t>
      </w:r>
      <w:r w:rsidR="00442BC3">
        <w:rPr>
          <w:rFonts w:ascii="Verdana" w:eastAsia="Verdana" w:hAnsi="Verdana" w:cs="Verdana"/>
          <w:sz w:val="20"/>
          <w:szCs w:val="20"/>
          <w:lang w:val="es-ES_tradnl"/>
        </w:rPr>
        <w:t>visita</w:t>
      </w:r>
      <w:r w:rsidRPr="000412A5">
        <w:rPr>
          <w:rFonts w:ascii="Verdana" w:eastAsia="Verdana" w:hAnsi="Verdana" w:cs="Verdana"/>
          <w:sz w:val="20"/>
          <w:szCs w:val="20"/>
          <w:lang w:val="es-ES_tradnl"/>
        </w:rPr>
        <w:t>.</w:t>
      </w:r>
      <w:bookmarkEnd w:id="14"/>
    </w:p>
    <w:p w14:paraId="71C79D71" w14:textId="77777777" w:rsidR="003C6816" w:rsidRPr="000412A5" w:rsidRDefault="003C6816" w:rsidP="003C6816">
      <w:pPr>
        <w:widowControl w:val="0"/>
        <w:spacing w:after="0" w:line="240" w:lineRule="auto"/>
        <w:ind w:left="29"/>
        <w:contextualSpacing/>
        <w:jc w:val="both"/>
        <w:rPr>
          <w:rFonts w:ascii="Verdana" w:eastAsia="Verdana" w:hAnsi="Verdana" w:cs="Verdana"/>
          <w:color w:val="000000"/>
          <w:sz w:val="20"/>
          <w:szCs w:val="20"/>
          <w:lang w:val="es-ES_tradnl"/>
        </w:rPr>
      </w:pPr>
    </w:p>
    <w:p w14:paraId="42231398" w14:textId="17FC6B34" w:rsidR="00501496" w:rsidRPr="007D2268" w:rsidRDefault="00501496" w:rsidP="003C6816">
      <w:pPr>
        <w:widowControl w:val="0"/>
        <w:numPr>
          <w:ilvl w:val="0"/>
          <w:numId w:val="33"/>
        </w:numPr>
        <w:spacing w:after="0" w:line="240" w:lineRule="auto"/>
        <w:ind w:left="0" w:firstLine="0"/>
        <w:contextualSpacing/>
        <w:jc w:val="both"/>
        <w:rPr>
          <w:rFonts w:ascii="Verdana" w:eastAsia="Calibri" w:hAnsi="Verdana" w:cs="Calibri"/>
          <w:sz w:val="20"/>
          <w:szCs w:val="20"/>
          <w:lang w:val="es-ES_tradnl"/>
        </w:rPr>
      </w:pPr>
      <w:r w:rsidRPr="007D2268">
        <w:rPr>
          <w:rFonts w:ascii="Verdana" w:hAnsi="Verdana"/>
          <w:sz w:val="20"/>
          <w:szCs w:val="20"/>
          <w:lang w:val="es-ES_tradnl"/>
        </w:rPr>
        <w:t xml:space="preserve">Durante la referida visita, </w:t>
      </w:r>
      <w:r w:rsidR="001D1079">
        <w:rPr>
          <w:rFonts w:ascii="Verdana" w:hAnsi="Verdana"/>
          <w:sz w:val="20"/>
          <w:szCs w:val="20"/>
          <w:lang w:val="es-ES_tradnl"/>
        </w:rPr>
        <w:t xml:space="preserve">las partes entregaron </w:t>
      </w:r>
      <w:r w:rsidRPr="007D2268">
        <w:rPr>
          <w:rFonts w:ascii="Verdana" w:hAnsi="Verdana"/>
          <w:sz w:val="20"/>
          <w:szCs w:val="20"/>
          <w:lang w:val="es-ES_tradnl"/>
        </w:rPr>
        <w:t>varios documentos a la delegación</w:t>
      </w:r>
      <w:r w:rsidR="007D2268" w:rsidRPr="007D2268">
        <w:rPr>
          <w:rFonts w:ascii="Verdana" w:hAnsi="Verdana"/>
          <w:sz w:val="20"/>
          <w:szCs w:val="20"/>
          <w:lang w:val="es-ES_tradnl"/>
        </w:rPr>
        <w:t xml:space="preserve"> </w:t>
      </w:r>
      <w:r w:rsidR="007D2268">
        <w:rPr>
          <w:rFonts w:ascii="Verdana" w:hAnsi="Verdana"/>
          <w:sz w:val="20"/>
          <w:szCs w:val="20"/>
          <w:lang w:val="es-ES_tradnl"/>
        </w:rPr>
        <w:t>de la Corte</w:t>
      </w:r>
      <w:r w:rsidR="001D1079">
        <w:rPr>
          <w:rFonts w:ascii="Verdana" w:hAnsi="Verdana"/>
          <w:sz w:val="20"/>
          <w:szCs w:val="20"/>
          <w:lang w:val="es-ES_tradnl"/>
        </w:rPr>
        <w:t xml:space="preserve">. Asimismo, </w:t>
      </w:r>
      <w:r w:rsidR="007D2268">
        <w:rPr>
          <w:rFonts w:ascii="Verdana" w:hAnsi="Verdana"/>
          <w:sz w:val="20"/>
          <w:szCs w:val="20"/>
          <w:lang w:val="es-ES_tradnl"/>
        </w:rPr>
        <w:t>la Procuraduría de Derechos Humanos de El Salvador</w:t>
      </w:r>
      <w:r w:rsidR="001D1079">
        <w:rPr>
          <w:rFonts w:ascii="Verdana" w:hAnsi="Verdana"/>
          <w:sz w:val="20"/>
          <w:szCs w:val="20"/>
          <w:lang w:val="es-ES_tradnl"/>
        </w:rPr>
        <w:t xml:space="preserve"> presentó un informe</w:t>
      </w:r>
      <w:r w:rsidR="007D2268">
        <w:rPr>
          <w:rFonts w:ascii="Verdana" w:hAnsi="Verdana"/>
          <w:sz w:val="20"/>
          <w:szCs w:val="20"/>
          <w:lang w:val="es-ES_tradnl"/>
        </w:rPr>
        <w:t>,</w:t>
      </w:r>
      <w:r w:rsidRPr="007D2268">
        <w:rPr>
          <w:rFonts w:ascii="Verdana" w:hAnsi="Verdana"/>
          <w:sz w:val="20"/>
          <w:szCs w:val="20"/>
          <w:lang w:val="es-ES_tradnl"/>
        </w:rPr>
        <w:t xml:space="preserve"> </w:t>
      </w:r>
      <w:r w:rsidR="00AB0600">
        <w:rPr>
          <w:rFonts w:ascii="Verdana" w:hAnsi="Verdana"/>
          <w:sz w:val="20"/>
          <w:szCs w:val="20"/>
          <w:lang w:val="es-ES_tradnl"/>
        </w:rPr>
        <w:t xml:space="preserve">respecto del cual se dio a las partes y </w:t>
      </w:r>
      <w:r w:rsidR="00033A92">
        <w:rPr>
          <w:rFonts w:ascii="Verdana" w:hAnsi="Verdana"/>
          <w:sz w:val="20"/>
          <w:szCs w:val="20"/>
          <w:lang w:val="es-ES_tradnl"/>
        </w:rPr>
        <w:t xml:space="preserve">a </w:t>
      </w:r>
      <w:r w:rsidR="00AB0600">
        <w:rPr>
          <w:rFonts w:ascii="Verdana" w:hAnsi="Verdana"/>
          <w:sz w:val="20"/>
          <w:szCs w:val="20"/>
          <w:lang w:val="es-ES_tradnl"/>
        </w:rPr>
        <w:t xml:space="preserve">la Comisión un plazo en caso de que quisieran presentar observaciones al mismo. </w:t>
      </w:r>
      <w:r w:rsidRPr="007D2268">
        <w:rPr>
          <w:rFonts w:ascii="Verdana" w:hAnsi="Verdana"/>
          <w:sz w:val="20"/>
          <w:szCs w:val="20"/>
          <w:lang w:val="es-ES_tradnl"/>
        </w:rPr>
        <w:t>Igualmente, la grabación en video del desarrollo de la visita, proporcionada por el Estado, fue incorporada al expediente y transmitida a los representantes de las víctimas y a la Comisión.</w:t>
      </w:r>
      <w:r w:rsidRPr="007D2268">
        <w:rPr>
          <w:rFonts w:ascii="Verdana" w:hAnsi="Verdana"/>
          <w:color w:val="008000"/>
          <w:sz w:val="18"/>
          <w:szCs w:val="18"/>
          <w:lang w:val="es-ES_tradnl"/>
        </w:rPr>
        <w:t xml:space="preserve"> </w:t>
      </w:r>
    </w:p>
    <w:p w14:paraId="383150B1" w14:textId="77777777" w:rsidR="00501496" w:rsidRPr="000412A5" w:rsidRDefault="00501496" w:rsidP="0071185E">
      <w:pPr>
        <w:spacing w:after="0" w:line="240" w:lineRule="auto"/>
        <w:contextualSpacing/>
        <w:jc w:val="both"/>
        <w:rPr>
          <w:rFonts w:ascii="Verdana" w:hAnsi="Verdana"/>
          <w:sz w:val="20"/>
          <w:szCs w:val="20"/>
          <w:lang w:val="es-ES_tradnl"/>
        </w:rPr>
      </w:pPr>
    </w:p>
    <w:p w14:paraId="786CA594" w14:textId="354ADD29" w:rsidR="00636F6F" w:rsidRDefault="00501496" w:rsidP="00636F6F">
      <w:pPr>
        <w:widowControl w:val="0"/>
        <w:numPr>
          <w:ilvl w:val="0"/>
          <w:numId w:val="33"/>
        </w:numPr>
        <w:spacing w:after="0" w:line="240" w:lineRule="auto"/>
        <w:ind w:left="0" w:firstLine="0"/>
        <w:contextualSpacing/>
        <w:jc w:val="both"/>
        <w:rPr>
          <w:rFonts w:ascii="Verdana" w:hAnsi="Verdana"/>
          <w:sz w:val="20"/>
          <w:szCs w:val="20"/>
          <w:lang w:val="es-ES_tradnl"/>
        </w:rPr>
      </w:pPr>
      <w:bookmarkStart w:id="15" w:name="_d9aujhamgma9"/>
      <w:bookmarkStart w:id="16" w:name="_ao7k3y9atmfy"/>
      <w:bookmarkStart w:id="17" w:name="_padfirafy9qw"/>
      <w:bookmarkStart w:id="18" w:name="_xaforqghwzuy"/>
      <w:bookmarkStart w:id="19" w:name="_Ref487562144"/>
      <w:bookmarkEnd w:id="15"/>
      <w:bookmarkEnd w:id="16"/>
      <w:bookmarkEnd w:id="17"/>
      <w:bookmarkEnd w:id="18"/>
      <w:r w:rsidRPr="000412A5">
        <w:rPr>
          <w:rFonts w:ascii="Verdana" w:hAnsi="Verdana"/>
          <w:sz w:val="20"/>
          <w:szCs w:val="20"/>
          <w:lang w:val="es-ES_tradnl"/>
        </w:rPr>
        <w:t>Resulta de vital importancia que el Estado de El Salvador haya colaborado para que una delegación del Tribunal pudiera efectuar esta</w:t>
      </w:r>
      <w:r w:rsidR="00C17B8E">
        <w:rPr>
          <w:rFonts w:ascii="Verdana" w:hAnsi="Verdana"/>
          <w:sz w:val="20"/>
          <w:szCs w:val="20"/>
          <w:lang w:val="es-ES_tradnl"/>
        </w:rPr>
        <w:t>s</w:t>
      </w:r>
      <w:r w:rsidRPr="000412A5">
        <w:rPr>
          <w:rFonts w:ascii="Verdana" w:hAnsi="Verdana"/>
          <w:sz w:val="20"/>
          <w:szCs w:val="20"/>
          <w:lang w:val="es-ES_tradnl"/>
        </w:rPr>
        <w:t xml:space="preserve"> diligencia</w:t>
      </w:r>
      <w:r w:rsidR="00C17B8E">
        <w:rPr>
          <w:rFonts w:ascii="Verdana" w:hAnsi="Verdana"/>
          <w:sz w:val="20"/>
          <w:szCs w:val="20"/>
          <w:lang w:val="es-ES_tradnl"/>
        </w:rPr>
        <w:t>s</w:t>
      </w:r>
      <w:r w:rsidRPr="000412A5">
        <w:rPr>
          <w:rFonts w:ascii="Verdana" w:hAnsi="Verdana"/>
          <w:sz w:val="20"/>
          <w:szCs w:val="20"/>
          <w:lang w:val="es-ES_tradnl"/>
        </w:rPr>
        <w:t xml:space="preserve"> de supervisión en </w:t>
      </w:r>
      <w:r w:rsidR="00E025D2">
        <w:rPr>
          <w:rFonts w:ascii="Verdana" w:hAnsi="Verdana"/>
          <w:sz w:val="20"/>
          <w:szCs w:val="20"/>
          <w:lang w:val="es-ES_tradnl"/>
        </w:rPr>
        <w:t xml:space="preserve">su </w:t>
      </w:r>
      <w:r w:rsidRPr="000412A5">
        <w:rPr>
          <w:rFonts w:ascii="Verdana" w:hAnsi="Verdana"/>
          <w:sz w:val="20"/>
          <w:szCs w:val="20"/>
          <w:lang w:val="es-ES_tradnl"/>
        </w:rPr>
        <w:t>territorio. La Corte destaca la necesidad de que, en casos como el presente, respecto de la supervisión de reparaciones que lo ameriten, los Estados asuman este tipo de actitud, dirigida a que las diligencias se efectúen de forma directa en su territorio, con la mayor participación posible de funcionarios responsables de ejecutar las mismas y la mejor disponibilidad para asumir compromisos dirigidos al pronto cumplimiento de las reparaciones. Este tipo de visita además permitió la comunicación directa e inmediata entre las víctimas y altos funcionarios estatales, de manera que en el mismo momento estos últimos pudieran comprometerse a adoptar acciones concretas dirigidas a avanzar en el cumplimiento de las medidas y que las víctimas pudieran ser escuchadas sobre los avances y falencias que identifican.</w:t>
      </w:r>
      <w:bookmarkEnd w:id="19"/>
      <w:r w:rsidRPr="000412A5">
        <w:rPr>
          <w:rFonts w:ascii="Verdana" w:hAnsi="Verdana"/>
          <w:sz w:val="20"/>
          <w:szCs w:val="20"/>
          <w:lang w:val="es-ES_tradnl"/>
        </w:rPr>
        <w:t xml:space="preserve"> </w:t>
      </w:r>
      <w:bookmarkStart w:id="20" w:name="_Ref492906940"/>
      <w:bookmarkStart w:id="21" w:name="_Ref532391617"/>
    </w:p>
    <w:p w14:paraId="4826FE5E" w14:textId="77777777" w:rsidR="00636F6F" w:rsidRDefault="00636F6F" w:rsidP="00636F6F">
      <w:pPr>
        <w:pStyle w:val="ListParagraph"/>
        <w:rPr>
          <w:rFonts w:ascii="Verdana" w:hAnsi="Verdana"/>
          <w:sz w:val="20"/>
          <w:szCs w:val="20"/>
          <w:lang w:val="es-ES_tradnl"/>
        </w:rPr>
      </w:pPr>
    </w:p>
    <w:p w14:paraId="660077ED" w14:textId="77777777" w:rsidR="00636F6F" w:rsidRPr="000412A5" w:rsidRDefault="00636F6F" w:rsidP="00C17B8E">
      <w:pPr>
        <w:pStyle w:val="ListParagraph"/>
        <w:numPr>
          <w:ilvl w:val="0"/>
          <w:numId w:val="3"/>
        </w:numPr>
        <w:tabs>
          <w:tab w:val="left" w:pos="567"/>
        </w:tabs>
        <w:spacing w:after="0" w:line="240" w:lineRule="auto"/>
        <w:ind w:right="4"/>
        <w:jc w:val="both"/>
        <w:outlineLvl w:val="0"/>
        <w:rPr>
          <w:rFonts w:ascii="Verdana" w:hAnsi="Verdana"/>
          <w:b/>
          <w:sz w:val="20"/>
          <w:szCs w:val="20"/>
          <w:lang w:val="es-ES_tradnl"/>
        </w:rPr>
      </w:pPr>
      <w:bookmarkStart w:id="22" w:name="_Toc530566590"/>
      <w:r w:rsidRPr="000412A5">
        <w:rPr>
          <w:rFonts w:ascii="Verdana" w:hAnsi="Verdana"/>
          <w:b/>
          <w:sz w:val="20"/>
          <w:szCs w:val="20"/>
          <w:lang w:val="es-ES_tradnl"/>
        </w:rPr>
        <w:t>Registro Único de Víctimas y Familiar</w:t>
      </w:r>
      <w:r>
        <w:rPr>
          <w:rFonts w:ascii="Verdana" w:hAnsi="Verdana"/>
          <w:b/>
          <w:sz w:val="20"/>
          <w:szCs w:val="20"/>
          <w:lang w:val="es-ES_tradnl"/>
        </w:rPr>
        <w:t>e</w:t>
      </w:r>
      <w:r w:rsidRPr="000412A5">
        <w:rPr>
          <w:rFonts w:ascii="Verdana" w:hAnsi="Verdana"/>
          <w:b/>
          <w:sz w:val="20"/>
          <w:szCs w:val="20"/>
          <w:lang w:val="es-ES_tradnl"/>
        </w:rPr>
        <w:t>s de Víctimas de Graves Violaciones a los Dere</w:t>
      </w:r>
      <w:r>
        <w:rPr>
          <w:rFonts w:ascii="Verdana" w:hAnsi="Verdana"/>
          <w:b/>
          <w:sz w:val="20"/>
          <w:szCs w:val="20"/>
          <w:lang w:val="es-ES_tradnl"/>
        </w:rPr>
        <w:t>chos Humanos durante las Masacr</w:t>
      </w:r>
      <w:r w:rsidRPr="000412A5">
        <w:rPr>
          <w:rFonts w:ascii="Verdana" w:hAnsi="Verdana"/>
          <w:b/>
          <w:sz w:val="20"/>
          <w:szCs w:val="20"/>
          <w:lang w:val="es-ES_tradnl"/>
        </w:rPr>
        <w:t>e</w:t>
      </w:r>
      <w:r>
        <w:rPr>
          <w:rFonts w:ascii="Verdana" w:hAnsi="Verdana"/>
          <w:b/>
          <w:sz w:val="20"/>
          <w:szCs w:val="20"/>
          <w:lang w:val="es-ES_tradnl"/>
        </w:rPr>
        <w:t>s</w:t>
      </w:r>
      <w:r w:rsidRPr="000412A5">
        <w:rPr>
          <w:rFonts w:ascii="Verdana" w:hAnsi="Verdana"/>
          <w:b/>
          <w:sz w:val="20"/>
          <w:szCs w:val="20"/>
          <w:lang w:val="es-ES_tradnl"/>
        </w:rPr>
        <w:t xml:space="preserve"> de El Mozote y lugares aledaños</w:t>
      </w:r>
      <w:bookmarkEnd w:id="22"/>
    </w:p>
    <w:p w14:paraId="3B059D95" w14:textId="77777777" w:rsidR="00636F6F" w:rsidRDefault="00636F6F" w:rsidP="00636F6F">
      <w:pPr>
        <w:tabs>
          <w:tab w:val="left" w:pos="567"/>
        </w:tabs>
        <w:spacing w:after="0" w:line="240" w:lineRule="auto"/>
        <w:ind w:right="4"/>
        <w:jc w:val="both"/>
        <w:rPr>
          <w:rFonts w:ascii="Verdana" w:hAnsi="Verdana"/>
          <w:sz w:val="20"/>
          <w:szCs w:val="20"/>
          <w:lang w:val="es-ES_tradnl"/>
        </w:rPr>
      </w:pPr>
    </w:p>
    <w:p w14:paraId="724C2AE1" w14:textId="63644D5E" w:rsidR="00636F6F" w:rsidRPr="00636F6F" w:rsidRDefault="00636F6F" w:rsidP="00636F6F">
      <w:pPr>
        <w:tabs>
          <w:tab w:val="left" w:pos="567"/>
        </w:tabs>
        <w:spacing w:after="0" w:line="240" w:lineRule="auto"/>
        <w:ind w:right="4"/>
        <w:jc w:val="both"/>
        <w:rPr>
          <w:rFonts w:ascii="Verdana" w:hAnsi="Verdana"/>
          <w:i/>
          <w:sz w:val="20"/>
          <w:szCs w:val="20"/>
          <w:lang w:val="es-ES_tradnl"/>
        </w:rPr>
      </w:pPr>
      <w:r w:rsidRPr="000412A5">
        <w:rPr>
          <w:rFonts w:ascii="Verdana" w:hAnsi="Verdana"/>
          <w:i/>
          <w:sz w:val="20"/>
          <w:szCs w:val="20"/>
          <w:lang w:val="es-ES_tradnl"/>
        </w:rPr>
        <w:tab/>
        <w:t xml:space="preserve">B.1. Medida ordenada por la Corte </w:t>
      </w:r>
    </w:p>
    <w:p w14:paraId="1AF938B0" w14:textId="77777777" w:rsidR="00636F6F" w:rsidRDefault="00636F6F" w:rsidP="00636F6F">
      <w:pPr>
        <w:widowControl w:val="0"/>
        <w:spacing w:after="0" w:line="240" w:lineRule="auto"/>
        <w:contextualSpacing/>
        <w:jc w:val="both"/>
        <w:rPr>
          <w:rFonts w:ascii="Verdana" w:hAnsi="Verdana"/>
          <w:sz w:val="20"/>
          <w:szCs w:val="20"/>
          <w:lang w:val="es-ES_tradnl"/>
        </w:rPr>
      </w:pPr>
    </w:p>
    <w:p w14:paraId="00735948" w14:textId="7B1924F5" w:rsidR="002001F7" w:rsidRDefault="002001F7" w:rsidP="00636F6F">
      <w:pPr>
        <w:widowControl w:val="0"/>
        <w:numPr>
          <w:ilvl w:val="0"/>
          <w:numId w:val="33"/>
        </w:numPr>
        <w:spacing w:after="0" w:line="240" w:lineRule="auto"/>
        <w:ind w:left="0" w:firstLine="0"/>
        <w:contextualSpacing/>
        <w:jc w:val="both"/>
        <w:rPr>
          <w:rFonts w:ascii="Verdana" w:hAnsi="Verdana"/>
          <w:sz w:val="20"/>
          <w:szCs w:val="20"/>
          <w:lang w:val="es-ES_tradnl"/>
        </w:rPr>
      </w:pPr>
      <w:bookmarkStart w:id="23" w:name="_Ref532915388"/>
      <w:r w:rsidRPr="00636F6F">
        <w:rPr>
          <w:rFonts w:ascii="Verdana" w:hAnsi="Verdana"/>
          <w:sz w:val="20"/>
          <w:szCs w:val="20"/>
          <w:lang w:val="es-ES_tradnl"/>
        </w:rPr>
        <w:t xml:space="preserve">En el </w:t>
      </w:r>
      <w:r w:rsidRPr="00636F6F">
        <w:rPr>
          <w:rFonts w:ascii="Verdana" w:eastAsia="MS Mincho" w:hAnsi="Verdana" w:cs="Times New Roman"/>
          <w:sz w:val="20"/>
          <w:szCs w:val="20"/>
          <w:lang w:val="es-ES_tradnl"/>
        </w:rPr>
        <w:t>punto</w:t>
      </w:r>
      <w:r w:rsidRPr="00636F6F">
        <w:rPr>
          <w:rFonts w:ascii="Verdana" w:hAnsi="Verdana"/>
          <w:sz w:val="20"/>
          <w:szCs w:val="20"/>
          <w:lang w:val="es-ES_tradnl"/>
        </w:rPr>
        <w:t xml:space="preserve"> resolutivo segundo y en los párrafos 3</w:t>
      </w:r>
      <w:r w:rsidR="00784042" w:rsidRPr="00636F6F">
        <w:rPr>
          <w:rFonts w:ascii="Verdana" w:hAnsi="Verdana"/>
          <w:sz w:val="20"/>
          <w:szCs w:val="20"/>
          <w:lang w:val="es-ES_tradnl"/>
        </w:rPr>
        <w:t>1</w:t>
      </w:r>
      <w:r w:rsidRPr="00636F6F">
        <w:rPr>
          <w:rFonts w:ascii="Verdana" w:hAnsi="Verdana"/>
          <w:sz w:val="20"/>
          <w:szCs w:val="20"/>
          <w:lang w:val="es-ES_tradnl"/>
        </w:rPr>
        <w:t xml:space="preserve">0 </w:t>
      </w:r>
      <w:r w:rsidR="00784042" w:rsidRPr="00636F6F">
        <w:rPr>
          <w:rFonts w:ascii="Verdana" w:hAnsi="Verdana"/>
          <w:sz w:val="20"/>
          <w:szCs w:val="20"/>
          <w:lang w:val="es-ES_tradnl"/>
        </w:rPr>
        <w:t>y</w:t>
      </w:r>
      <w:r w:rsidRPr="00636F6F">
        <w:rPr>
          <w:rFonts w:ascii="Verdana" w:hAnsi="Verdana"/>
          <w:sz w:val="20"/>
          <w:szCs w:val="20"/>
          <w:lang w:val="es-ES_tradnl"/>
        </w:rPr>
        <w:t xml:space="preserve"> 311 de la Sentencia, la Corte dispuso que el Estado “</w:t>
      </w:r>
      <w:r w:rsidRPr="00636F6F">
        <w:rPr>
          <w:rFonts w:ascii="Verdana" w:eastAsia="Times" w:hAnsi="Verdana"/>
          <w:sz w:val="20"/>
          <w:szCs w:val="20"/>
          <w:lang w:val="es-ES_tradnl"/>
        </w:rPr>
        <w:t>debe</w:t>
      </w:r>
      <w:r w:rsidRPr="00636F6F">
        <w:rPr>
          <w:rFonts w:ascii="Verdana" w:eastAsia="Times New Roman" w:hAnsi="Verdana" w:cs="Times New Roman"/>
          <w:sz w:val="20"/>
          <w:szCs w:val="20"/>
          <w:lang w:val="es-ES_tradnl"/>
        </w:rPr>
        <w:t xml:space="preserve"> continuar con la plena puesta en funcionamiento </w:t>
      </w:r>
      <w:r w:rsidRPr="00636F6F">
        <w:rPr>
          <w:rFonts w:ascii="Verdana" w:eastAsia="MS Mincho" w:hAnsi="Verdana" w:cs="Times New Roman"/>
          <w:sz w:val="20"/>
          <w:szCs w:val="20"/>
          <w:lang w:val="es-ES_tradnl"/>
        </w:rPr>
        <w:t>del ‘Registro Único de Víctimas y Familiares de Víctimas de Graves Violaciones a los Derechos Humanos durante la Masacre de El Mozote’ y adoptar las medidas necesarias para asegurar su permanencia en el tiempo y la asignación presupuestaria para su efectivo funcionamiento</w:t>
      </w:r>
      <w:r w:rsidRPr="00636F6F">
        <w:rPr>
          <w:rFonts w:ascii="Verdana" w:hAnsi="Verdana"/>
          <w:sz w:val="20"/>
          <w:szCs w:val="20"/>
          <w:lang w:val="es-ES_tradnl"/>
        </w:rPr>
        <w:t>”.</w:t>
      </w:r>
      <w:bookmarkStart w:id="24" w:name="_Ref492908443"/>
      <w:bookmarkEnd w:id="20"/>
      <w:r w:rsidRPr="00636F6F">
        <w:rPr>
          <w:rFonts w:ascii="Verdana" w:hAnsi="Verdana"/>
          <w:sz w:val="20"/>
          <w:szCs w:val="20"/>
          <w:lang w:val="es-ES_tradnl"/>
        </w:rPr>
        <w:t xml:space="preserve"> </w:t>
      </w:r>
      <w:bookmarkEnd w:id="24"/>
      <w:r w:rsidRPr="00636F6F">
        <w:rPr>
          <w:rFonts w:ascii="Verdana" w:eastAsia="Times New Roman" w:hAnsi="Verdana" w:cs="Times New Roman"/>
          <w:sz w:val="20"/>
          <w:szCs w:val="20"/>
          <w:lang w:val="es-ES_tradnl"/>
        </w:rPr>
        <w:t>Asimismo, la Corte estimó pertinente que “</w:t>
      </w:r>
      <w:r w:rsidRPr="00636F6F">
        <w:rPr>
          <w:rFonts w:ascii="Verdana" w:eastAsia="MS Mincho" w:hAnsi="Verdana" w:cs="Times New Roman"/>
          <w:sz w:val="20"/>
          <w:szCs w:val="20"/>
          <w:lang w:val="es-ES_tradnl"/>
        </w:rPr>
        <w:t xml:space="preserve">en el </w:t>
      </w:r>
      <w:r w:rsidRPr="00636F6F">
        <w:rPr>
          <w:rFonts w:ascii="Verdana" w:eastAsia="Times New Roman" w:hAnsi="Verdana" w:cs="Times New Roman"/>
          <w:sz w:val="20"/>
          <w:szCs w:val="20"/>
          <w:lang w:val="es-ES_tradnl"/>
        </w:rPr>
        <w:t xml:space="preserve">plazo de un año, contado a partir de la notificación de esta Sentencia, el Estado presente los resultados de la identificación </w:t>
      </w:r>
      <w:r w:rsidRPr="00636F6F">
        <w:rPr>
          <w:rFonts w:ascii="Verdana" w:eastAsia="MS Mincho" w:hAnsi="Verdana" w:cs="Times New Roman"/>
          <w:sz w:val="20"/>
          <w:szCs w:val="20"/>
          <w:lang w:val="es-ES_tradnl"/>
        </w:rPr>
        <w:t xml:space="preserve">de las víctimas ejecutadas; las víctimas sobrevivientes; los familiares de las víctimas ejecutadas; y las víctimas desplazadas forzadamente, </w:t>
      </w:r>
      <w:r w:rsidRPr="00636F6F">
        <w:rPr>
          <w:rFonts w:ascii="Verdana" w:eastAsia="MS Mincho" w:hAnsi="Verdana" w:cs="Times New Roman"/>
          <w:sz w:val="20"/>
          <w:szCs w:val="20"/>
          <w:lang w:val="es-ES_tradnl" w:eastAsia="es-CR"/>
        </w:rPr>
        <w:t>de las masacres de El Mozote y</w:t>
      </w:r>
      <w:r w:rsidRPr="00636F6F">
        <w:rPr>
          <w:rFonts w:ascii="Verdana" w:eastAsia="MS Mincho" w:hAnsi="Verdana" w:cs="Times New Roman"/>
          <w:sz w:val="20"/>
          <w:szCs w:val="20"/>
          <w:lang w:val="es-ES_tradnl"/>
        </w:rPr>
        <w:t xml:space="preserve"> </w:t>
      </w:r>
      <w:r w:rsidRPr="00636F6F">
        <w:rPr>
          <w:rFonts w:ascii="Verdana" w:eastAsia="MS Mincho" w:hAnsi="Verdana" w:cs="Times New Roman"/>
          <w:sz w:val="20"/>
          <w:szCs w:val="20"/>
          <w:lang w:val="es-ES_tradnl" w:eastAsia="es-CR"/>
        </w:rPr>
        <w:t xml:space="preserve">lugares aledaños, en el marco del </w:t>
      </w:r>
      <w:r w:rsidRPr="00636F6F">
        <w:rPr>
          <w:rFonts w:ascii="Verdana" w:eastAsia="MS Mincho" w:hAnsi="Verdana" w:cs="Times New Roman"/>
          <w:sz w:val="20"/>
          <w:szCs w:val="20"/>
          <w:lang w:val="es-ES_tradnl"/>
        </w:rPr>
        <w:t xml:space="preserve">‘Registro Único de Víctimas y Familiares de Víctimas de Graves Violaciones a los Derechos Humanos durante la Masacre de El Mozote’, </w:t>
      </w:r>
      <w:r w:rsidRPr="00636F6F">
        <w:rPr>
          <w:rStyle w:val="apple-style-span"/>
          <w:rFonts w:ascii="Verdana" w:eastAsia="Times New Roman" w:hAnsi="Verdana"/>
          <w:sz w:val="20"/>
          <w:szCs w:val="20"/>
          <w:lang w:val="es-ES_tradnl"/>
        </w:rPr>
        <w:t>a fin de que dichas personas puedan solicitar y recibir la</w:t>
      </w:r>
      <w:r w:rsidRPr="00636F6F">
        <w:rPr>
          <w:rStyle w:val="apple-style-span"/>
          <w:rFonts w:ascii="Verdana" w:hAnsi="Verdana"/>
          <w:sz w:val="20"/>
          <w:szCs w:val="20"/>
          <w:lang w:val="es-ES_tradnl"/>
        </w:rPr>
        <w:t>s</w:t>
      </w:r>
      <w:r w:rsidRPr="00636F6F">
        <w:rPr>
          <w:rStyle w:val="apple-style-span"/>
          <w:rFonts w:ascii="Verdana" w:eastAsia="Times New Roman" w:hAnsi="Verdana"/>
          <w:sz w:val="20"/>
          <w:szCs w:val="20"/>
          <w:lang w:val="es-ES_tradnl"/>
        </w:rPr>
        <w:t xml:space="preserve"> reparaciones</w:t>
      </w:r>
      <w:r w:rsidRPr="00636F6F">
        <w:rPr>
          <w:rStyle w:val="apple-style-span"/>
          <w:rFonts w:ascii="Verdana" w:hAnsi="Verdana"/>
          <w:sz w:val="20"/>
          <w:szCs w:val="20"/>
          <w:lang w:val="es-ES_tradnl"/>
        </w:rPr>
        <w:t xml:space="preserve"> </w:t>
      </w:r>
      <w:r w:rsidRPr="00636F6F">
        <w:rPr>
          <w:rStyle w:val="apple-style-span"/>
          <w:rFonts w:ascii="Verdana" w:eastAsia="Times New Roman" w:hAnsi="Verdana"/>
          <w:sz w:val="20"/>
          <w:szCs w:val="20"/>
          <w:lang w:val="es-ES_tradnl"/>
        </w:rPr>
        <w:t>que corresponda</w:t>
      </w:r>
      <w:r w:rsidRPr="00636F6F">
        <w:rPr>
          <w:rStyle w:val="apple-style-span"/>
          <w:rFonts w:ascii="Verdana" w:hAnsi="Verdana"/>
          <w:sz w:val="20"/>
          <w:szCs w:val="20"/>
          <w:lang w:val="es-ES_tradnl"/>
        </w:rPr>
        <w:t>n en los términos de la presente Sentencia</w:t>
      </w:r>
      <w:r w:rsidRPr="00636F6F">
        <w:rPr>
          <w:rFonts w:ascii="Verdana" w:hAnsi="Verdana"/>
          <w:sz w:val="20"/>
          <w:szCs w:val="20"/>
          <w:lang w:val="es-ES_tradnl"/>
        </w:rPr>
        <w:t>”.</w:t>
      </w:r>
      <w:bookmarkEnd w:id="21"/>
      <w:bookmarkEnd w:id="23"/>
      <w:r w:rsidRPr="00636F6F">
        <w:rPr>
          <w:rFonts w:ascii="Verdana" w:hAnsi="Verdana"/>
          <w:sz w:val="20"/>
          <w:szCs w:val="20"/>
          <w:lang w:val="es-ES_tradnl"/>
        </w:rPr>
        <w:t xml:space="preserve"> </w:t>
      </w:r>
    </w:p>
    <w:p w14:paraId="19F90936" w14:textId="77777777" w:rsidR="00636F6F" w:rsidRPr="00636F6F" w:rsidRDefault="00636F6F" w:rsidP="00636F6F">
      <w:pPr>
        <w:widowControl w:val="0"/>
        <w:spacing w:after="0" w:line="240" w:lineRule="auto"/>
        <w:contextualSpacing/>
        <w:jc w:val="both"/>
        <w:rPr>
          <w:rFonts w:ascii="Verdana" w:hAnsi="Verdana"/>
          <w:sz w:val="20"/>
          <w:szCs w:val="20"/>
          <w:lang w:val="es-ES_tradnl"/>
        </w:rPr>
      </w:pPr>
    </w:p>
    <w:p w14:paraId="6434DF25" w14:textId="77777777" w:rsidR="002001F7" w:rsidRDefault="002001F7"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Al respecto, la Corte observó que:</w:t>
      </w:r>
    </w:p>
    <w:p w14:paraId="5B616CED" w14:textId="183FB88D" w:rsidR="002001F7" w:rsidRPr="004649B4" w:rsidRDefault="002001F7" w:rsidP="002001F7">
      <w:pPr>
        <w:tabs>
          <w:tab w:val="left" w:pos="567"/>
          <w:tab w:val="left" w:pos="720"/>
        </w:tabs>
        <w:spacing w:afterLines="40" w:after="96" w:line="240" w:lineRule="auto"/>
        <w:ind w:left="567" w:right="571"/>
        <w:jc w:val="both"/>
        <w:rPr>
          <w:rFonts w:ascii="Verdana" w:hAnsi="Verdana"/>
          <w:sz w:val="16"/>
          <w:szCs w:val="16"/>
          <w:lang w:val="es-ES_tradnl"/>
        </w:rPr>
      </w:pPr>
      <w:r w:rsidRPr="004649B4">
        <w:rPr>
          <w:rFonts w:ascii="Verdana" w:hAnsi="Verdana"/>
          <w:sz w:val="16"/>
          <w:szCs w:val="16"/>
          <w:lang w:val="es-ES_tradnl"/>
        </w:rPr>
        <w:t xml:space="preserve">El Estado señaló que la creación de un registro de víctimas “es un proceso avanzado y en marcha ya por parte del Estado de El Salvador”, el cual “será la base para identificar no sólo a las personas sino también las zonas geográficas y la población hacia la que se dirigirán muchas de las medidas de orden social”. Al respecto, explicó que la creación del “Registro Único de Víctimas y Familiares de Víctimas de Graves Violaciones a los Derechos Humanos durante la Masacre de El Mozote”, en principio, responde a la solicitud de los representantes en el sentido de elaborar un listado de víctimas asesinadas, que contenga además las características fundamentales de cada una de ellas, incluyendo sexo y edad, y que abarque además a todos los familiares de las víctimas fallecidas y a </w:t>
      </w:r>
      <w:r w:rsidRPr="004649B4">
        <w:rPr>
          <w:rFonts w:ascii="Verdana" w:hAnsi="Verdana"/>
          <w:sz w:val="16"/>
          <w:szCs w:val="16"/>
          <w:lang w:val="es-ES_tradnl"/>
        </w:rPr>
        <w:lastRenderedPageBreak/>
        <w:t>las víctimas sobrevivientes de las masacres. Sin embargo, “el citado registro permitirá además la administración en el tiempo futuro del ejercicio de derechos emanados de la aplicación de las diversas medidas de reparación que han sido aceptadas por el Estado”</w:t>
      </w:r>
      <w:r w:rsidR="00857F18">
        <w:rPr>
          <w:rStyle w:val="FootnoteReference"/>
          <w:rFonts w:ascii="Verdana" w:hAnsi="Verdana"/>
          <w:sz w:val="16"/>
          <w:szCs w:val="16"/>
          <w:lang w:val="es-ES_tradnl"/>
        </w:rPr>
        <w:footnoteReference w:id="18"/>
      </w:r>
      <w:r w:rsidRPr="004649B4">
        <w:rPr>
          <w:rFonts w:ascii="Verdana" w:hAnsi="Verdana"/>
          <w:sz w:val="16"/>
          <w:szCs w:val="16"/>
          <w:lang w:val="es-ES_tradnl"/>
        </w:rPr>
        <w:t>.</w:t>
      </w:r>
    </w:p>
    <w:p w14:paraId="439CA746" w14:textId="77777777" w:rsidR="002001F7" w:rsidRPr="000412A5" w:rsidRDefault="002001F7"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La Corte, además, dispuso que:</w:t>
      </w:r>
    </w:p>
    <w:p w14:paraId="6BCA06D6" w14:textId="20D471A8" w:rsidR="002001F7" w:rsidRPr="000412A5" w:rsidRDefault="002001F7" w:rsidP="002001F7">
      <w:pPr>
        <w:tabs>
          <w:tab w:val="left" w:pos="567"/>
          <w:tab w:val="left" w:pos="720"/>
        </w:tabs>
        <w:spacing w:afterLines="40" w:after="96" w:line="240" w:lineRule="auto"/>
        <w:ind w:left="567" w:right="571"/>
        <w:jc w:val="both"/>
        <w:rPr>
          <w:rFonts w:ascii="Verdana" w:hAnsi="Verdana"/>
          <w:sz w:val="16"/>
          <w:szCs w:val="16"/>
          <w:lang w:val="es-ES_tradnl"/>
        </w:rPr>
      </w:pPr>
      <w:r w:rsidRPr="000412A5">
        <w:rPr>
          <w:rFonts w:ascii="Verdana" w:hAnsi="Verdana"/>
          <w:sz w:val="16"/>
          <w:szCs w:val="16"/>
          <w:lang w:val="es-ES_tradnl"/>
        </w:rPr>
        <w:t>Lo anterior no obstaculiza ni excluye la posibilidad de que, vencido el plazo de un año, el proceso de identificación de las víctimas continúe y que éstas sean incorporadas en el “Registro Único de Víctimas y Familiares de Víctimas de Graves Violaciones a los Derechos Humanos durante la Masacre de El Mozote”, así como que puedan ser consideradas beneficiarias de las reparaciones establecidas en esta Sentencia por el Estado, cuando así lo soliciten ante las autoridades salvadoreñas, más allá de los plazos establecidos. El Estado deberá informar a la Corte sobre las personas que en el marco del mecanismo mencionado hayan solicitado reparaciones. Al efecto, el Tribunal evaluará lo pertinente en el ejercicio de sus facultades de supervisión del presente Fallo</w:t>
      </w:r>
      <w:r w:rsidR="003135E8">
        <w:rPr>
          <w:rStyle w:val="FootnoteReference"/>
          <w:rFonts w:ascii="Verdana" w:hAnsi="Verdana"/>
          <w:sz w:val="16"/>
          <w:szCs w:val="16"/>
          <w:lang w:val="es-ES_tradnl"/>
        </w:rPr>
        <w:footnoteReference w:id="19"/>
      </w:r>
      <w:r w:rsidRPr="000412A5">
        <w:rPr>
          <w:rFonts w:ascii="Verdana" w:hAnsi="Verdana"/>
          <w:sz w:val="16"/>
          <w:szCs w:val="16"/>
          <w:lang w:val="es-ES_tradnl"/>
        </w:rPr>
        <w:t>.</w:t>
      </w:r>
      <w:r w:rsidRPr="000412A5" w:rsidDel="007B76F8">
        <w:rPr>
          <w:rStyle w:val="FootnoteReference"/>
          <w:rFonts w:ascii="Verdana" w:hAnsi="Verdana"/>
          <w:sz w:val="16"/>
          <w:szCs w:val="16"/>
          <w:vertAlign w:val="baseline"/>
          <w:lang w:val="es-ES_tradnl"/>
        </w:rPr>
        <w:t xml:space="preserve"> </w:t>
      </w:r>
    </w:p>
    <w:p w14:paraId="40753ADA" w14:textId="77777777" w:rsidR="002001F7" w:rsidRDefault="002001F7" w:rsidP="002001F7">
      <w:pPr>
        <w:tabs>
          <w:tab w:val="left" w:pos="567"/>
        </w:tabs>
        <w:spacing w:after="0" w:line="240" w:lineRule="auto"/>
        <w:ind w:right="4"/>
        <w:jc w:val="both"/>
        <w:rPr>
          <w:rFonts w:ascii="Verdana" w:hAnsi="Verdana"/>
          <w:sz w:val="20"/>
          <w:szCs w:val="20"/>
          <w:lang w:val="es-ES_tradnl"/>
        </w:rPr>
      </w:pPr>
    </w:p>
    <w:p w14:paraId="6AFF474B" w14:textId="77777777" w:rsidR="0012564E" w:rsidRPr="000412A5" w:rsidRDefault="0012564E" w:rsidP="002001F7">
      <w:pPr>
        <w:tabs>
          <w:tab w:val="left" w:pos="567"/>
        </w:tabs>
        <w:spacing w:after="0" w:line="240" w:lineRule="auto"/>
        <w:ind w:right="4"/>
        <w:jc w:val="both"/>
        <w:rPr>
          <w:rFonts w:ascii="Verdana" w:hAnsi="Verdana"/>
          <w:sz w:val="20"/>
          <w:szCs w:val="20"/>
          <w:lang w:val="es-ES_tradnl"/>
        </w:rPr>
      </w:pPr>
    </w:p>
    <w:p w14:paraId="6C5F8174" w14:textId="77777777" w:rsidR="002001F7" w:rsidRPr="000412A5" w:rsidRDefault="002001F7" w:rsidP="002001F7">
      <w:pPr>
        <w:tabs>
          <w:tab w:val="left" w:pos="567"/>
        </w:tabs>
        <w:spacing w:after="0" w:line="240" w:lineRule="auto"/>
        <w:ind w:right="4"/>
        <w:jc w:val="both"/>
        <w:rPr>
          <w:rFonts w:ascii="Verdana" w:hAnsi="Verdana"/>
          <w:i/>
          <w:sz w:val="20"/>
          <w:szCs w:val="20"/>
          <w:lang w:val="es-ES_tradnl" w:eastAsia="es-CR"/>
        </w:rPr>
      </w:pPr>
      <w:r w:rsidRPr="000412A5">
        <w:rPr>
          <w:rFonts w:ascii="Verdana" w:hAnsi="Verdana"/>
          <w:i/>
          <w:sz w:val="20"/>
          <w:szCs w:val="20"/>
          <w:lang w:val="es-ES_tradnl" w:eastAsia="es-CR"/>
        </w:rPr>
        <w:tab/>
        <w:t xml:space="preserve">B.2. Consideraciones de la Corte </w:t>
      </w:r>
    </w:p>
    <w:p w14:paraId="26F62B30" w14:textId="77777777" w:rsidR="002001F7" w:rsidRPr="000412A5" w:rsidRDefault="002001F7" w:rsidP="002001F7">
      <w:pPr>
        <w:tabs>
          <w:tab w:val="left" w:pos="567"/>
        </w:tabs>
        <w:spacing w:after="0" w:line="240" w:lineRule="auto"/>
        <w:ind w:right="4"/>
        <w:jc w:val="both"/>
        <w:rPr>
          <w:rFonts w:ascii="Verdana" w:hAnsi="Verdana"/>
          <w:sz w:val="20"/>
          <w:szCs w:val="20"/>
          <w:lang w:val="es-ES_tradnl"/>
        </w:rPr>
      </w:pPr>
    </w:p>
    <w:p w14:paraId="4CE3A794" w14:textId="5040CD16" w:rsidR="002001F7" w:rsidRDefault="002001F7"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 xml:space="preserve">En primer lugar, corresponde reiterar que en la Sentencia, la Corte procedió a aplicar el artículo 35.2 de su </w:t>
      </w:r>
      <w:r w:rsidR="00D0141E">
        <w:rPr>
          <w:rFonts w:ascii="Verdana" w:hAnsi="Verdana"/>
          <w:sz w:val="20"/>
          <w:szCs w:val="20"/>
          <w:lang w:val="es-ES_tradnl"/>
        </w:rPr>
        <w:t>R</w:t>
      </w:r>
      <w:r>
        <w:rPr>
          <w:rFonts w:ascii="Verdana" w:hAnsi="Verdana"/>
          <w:sz w:val="20"/>
          <w:szCs w:val="20"/>
          <w:lang w:val="es-ES_tradnl"/>
        </w:rPr>
        <w:t>eglamento en los siguientes términos:</w:t>
      </w:r>
    </w:p>
    <w:p w14:paraId="54A0BC1F" w14:textId="77777777" w:rsidR="002001F7" w:rsidRPr="00E934C9" w:rsidRDefault="002001F7" w:rsidP="002001F7">
      <w:pPr>
        <w:tabs>
          <w:tab w:val="left" w:pos="567"/>
          <w:tab w:val="left" w:pos="720"/>
        </w:tabs>
        <w:spacing w:afterLines="40" w:after="96" w:line="240" w:lineRule="auto"/>
        <w:ind w:left="567" w:right="571"/>
        <w:jc w:val="both"/>
        <w:rPr>
          <w:rFonts w:ascii="Verdana" w:hAnsi="Verdana"/>
          <w:sz w:val="16"/>
          <w:szCs w:val="16"/>
          <w:lang w:val="es-ES_tradnl"/>
        </w:rPr>
      </w:pPr>
      <w:r w:rsidRPr="00E934C9">
        <w:rPr>
          <w:rFonts w:ascii="Verdana" w:hAnsi="Verdana"/>
          <w:sz w:val="16"/>
          <w:szCs w:val="16"/>
          <w:lang w:val="es-ES_tradnl"/>
        </w:rPr>
        <w:t>Por otro lado, el Tribunal recuerda que, de conformidad con el artículo 35.2 del Reglamento, “[c]</w:t>
      </w:r>
      <w:proofErr w:type="spellStart"/>
      <w:r w:rsidRPr="00E934C9">
        <w:rPr>
          <w:rFonts w:ascii="Verdana" w:hAnsi="Verdana"/>
          <w:sz w:val="16"/>
          <w:szCs w:val="16"/>
          <w:lang w:val="es-ES_tradnl"/>
        </w:rPr>
        <w:t>uando</w:t>
      </w:r>
      <w:proofErr w:type="spellEnd"/>
      <w:r w:rsidRPr="00E934C9">
        <w:rPr>
          <w:rFonts w:ascii="Verdana" w:hAnsi="Verdana"/>
          <w:sz w:val="16"/>
          <w:szCs w:val="16"/>
          <w:lang w:val="es-ES_tradnl"/>
        </w:rPr>
        <w:t xml:space="preserve"> se justificare que no fue posible identificar [en el sometimiento del caso] a alguna o algunas presuntas víctimas de los hechos del caso por tratarse de casos de violaciones masivas o colectivas, el Tribunal decidirá en su oportunidad si las considera víctimas”. Al respecto, desde el sometimiento del caso y durante el procedimiento ante el Tribunal, la Comisión se refirió reiteradamente a la imposibilidad de identificar a todas las víctimas del presente caso, ya que éste tiene una naturaleza excepcional debido a su gravedad y sus dimensiones masivas, así como a las circunstancias propias del caso, criterio que fue compartido por los representantes y no controvertido por el Estado. Las razones presentadas tanto por la Comisión como por los representantes para justificar la aplicación de esta norma son: el carácter masivo de los hechos, que abarcó siete poblados; varias de las masacres estuvieron acompañadas de la quema de los lugares donde quedaron los cuerpos de las personas asesinadas; la cantidad de niños y niñas que perdieron la vida en las masacres, ya que por su edad se dio un deterioro mayor de lo usual de los restos; no existen registros o certificados que pudieran ofrecer un listado de las personas que vivían en los cantones y caseríos afectados; la mayoría de los familiares sobrevivientes tuvieron que refugiarse en otros lugares e incluso fuera de El Salvador; y las primeras diligencias realizadas por el Estado, la toma de testimonios y exhumaciones, ocurrieron pasados más de 10 años de las masacres y no fueron completadas en esa oportunidad.</w:t>
      </w:r>
    </w:p>
    <w:p w14:paraId="355DC58F" w14:textId="5BF9498B" w:rsidR="002001F7" w:rsidRPr="00EC0099" w:rsidRDefault="002001F7" w:rsidP="002001F7">
      <w:pPr>
        <w:tabs>
          <w:tab w:val="left" w:pos="567"/>
          <w:tab w:val="left" w:pos="720"/>
        </w:tabs>
        <w:spacing w:afterLines="40" w:after="96" w:line="240" w:lineRule="auto"/>
        <w:ind w:left="567" w:right="571"/>
        <w:jc w:val="both"/>
        <w:rPr>
          <w:rFonts w:ascii="Verdana" w:hAnsi="Verdana"/>
          <w:sz w:val="20"/>
          <w:szCs w:val="20"/>
          <w:lang w:val="es-CR"/>
        </w:rPr>
      </w:pPr>
      <w:r w:rsidRPr="00E934C9">
        <w:rPr>
          <w:rFonts w:ascii="Verdana" w:hAnsi="Verdana"/>
          <w:sz w:val="16"/>
          <w:szCs w:val="16"/>
          <w:lang w:val="es-ES_tradnl"/>
        </w:rPr>
        <w:t>El Tribunal constata que es complejo identificar e individualizar a cada una de las presuntas víctimas, en razón de la magnitud del presente caso, que trata sobre masacres perpetradas en siete lugares diferentes, de la naturaleza de los hechos y las circunstancias que rodearon las mismas, y del tiempo transcurrido. Por ello, considera razonable aplicar el artículo 35.2 del Reglamento del Tribunal al presente caso</w:t>
      </w:r>
      <w:r w:rsidR="003135E8">
        <w:rPr>
          <w:rStyle w:val="FootnoteReference"/>
          <w:rFonts w:ascii="Verdana" w:hAnsi="Verdana"/>
          <w:sz w:val="16"/>
          <w:szCs w:val="16"/>
          <w:lang w:val="es-ES_tradnl"/>
        </w:rPr>
        <w:footnoteReference w:id="20"/>
      </w:r>
      <w:r w:rsidRPr="00E934C9">
        <w:rPr>
          <w:rFonts w:ascii="Verdana" w:hAnsi="Verdana"/>
          <w:sz w:val="16"/>
          <w:szCs w:val="16"/>
          <w:lang w:val="es-ES_tradnl"/>
        </w:rPr>
        <w:t>.</w:t>
      </w:r>
      <w:r w:rsidRPr="00EC0099">
        <w:rPr>
          <w:rFonts w:ascii="Verdana" w:hAnsi="Verdana"/>
          <w:sz w:val="20"/>
          <w:szCs w:val="20"/>
          <w:lang w:val="es-CR"/>
        </w:rPr>
        <w:t xml:space="preserve"> </w:t>
      </w:r>
    </w:p>
    <w:p w14:paraId="6970BFAF" w14:textId="77777777" w:rsidR="002001F7" w:rsidRDefault="002001F7" w:rsidP="002001F7">
      <w:pPr>
        <w:tabs>
          <w:tab w:val="left" w:pos="567"/>
          <w:tab w:val="left" w:pos="720"/>
        </w:tabs>
        <w:spacing w:afterLines="40" w:after="96" w:line="240" w:lineRule="auto"/>
        <w:ind w:right="4"/>
        <w:jc w:val="both"/>
        <w:rPr>
          <w:rFonts w:ascii="Verdana" w:hAnsi="Verdana"/>
          <w:sz w:val="20"/>
          <w:szCs w:val="20"/>
          <w:lang w:val="es-ES_tradnl"/>
        </w:rPr>
      </w:pPr>
    </w:p>
    <w:p w14:paraId="25769A61" w14:textId="46AB6B28" w:rsidR="002001F7" w:rsidRDefault="002001F7"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 xml:space="preserve"> </w:t>
      </w:r>
      <w:r w:rsidRPr="004649B4">
        <w:rPr>
          <w:rFonts w:ascii="Verdana" w:hAnsi="Verdana"/>
          <w:sz w:val="20"/>
          <w:szCs w:val="20"/>
          <w:lang w:val="es-ES_tradnl"/>
        </w:rPr>
        <w:t>En el párrafo 53 de la Sentencia,</w:t>
      </w:r>
      <w:r w:rsidR="00C17B8E">
        <w:rPr>
          <w:rFonts w:ascii="Verdana" w:hAnsi="Verdana"/>
          <w:sz w:val="20"/>
          <w:szCs w:val="20"/>
          <w:lang w:val="es-ES_tradnl"/>
        </w:rPr>
        <w:t xml:space="preserve"> en lo que respecta a la identificación de las víctimas,</w:t>
      </w:r>
      <w:r>
        <w:rPr>
          <w:rFonts w:ascii="Verdana" w:hAnsi="Verdana"/>
          <w:sz w:val="20"/>
          <w:szCs w:val="20"/>
          <w:lang w:val="es-ES_tradnl"/>
        </w:rPr>
        <w:t xml:space="preserve"> la Corte </w:t>
      </w:r>
      <w:r w:rsidR="00D65101">
        <w:rPr>
          <w:rFonts w:ascii="Verdana" w:hAnsi="Verdana"/>
          <w:sz w:val="20"/>
          <w:szCs w:val="20"/>
          <w:lang w:val="es-ES_tradnl"/>
        </w:rPr>
        <w:t xml:space="preserve">también </w:t>
      </w:r>
      <w:r>
        <w:rPr>
          <w:rFonts w:ascii="Verdana" w:hAnsi="Verdana"/>
          <w:sz w:val="20"/>
          <w:szCs w:val="20"/>
          <w:lang w:val="es-ES_tradnl"/>
        </w:rPr>
        <w:t xml:space="preserve">dispuso que: </w:t>
      </w:r>
    </w:p>
    <w:p w14:paraId="520D541A" w14:textId="3667E965" w:rsidR="002001F7" w:rsidRDefault="002001F7" w:rsidP="002001F7">
      <w:pPr>
        <w:tabs>
          <w:tab w:val="left" w:pos="567"/>
          <w:tab w:val="left" w:pos="720"/>
        </w:tabs>
        <w:spacing w:afterLines="40" w:after="96" w:line="240" w:lineRule="auto"/>
        <w:ind w:left="567" w:right="571"/>
        <w:jc w:val="both"/>
        <w:rPr>
          <w:rFonts w:ascii="Verdana" w:hAnsi="Verdana"/>
          <w:sz w:val="16"/>
          <w:szCs w:val="16"/>
          <w:lang w:val="es-ES_tradnl"/>
        </w:rPr>
      </w:pPr>
      <w:r w:rsidRPr="004649B4">
        <w:rPr>
          <w:rFonts w:ascii="Verdana" w:hAnsi="Verdana"/>
          <w:sz w:val="16"/>
          <w:szCs w:val="16"/>
          <w:lang w:val="es-ES_tradnl"/>
        </w:rPr>
        <w:t xml:space="preserve">Por otra parte, la Corte toma nota de las certificaciones que fueron allegadas por los representantes que indican que los libros de partidas de nacimiento y defunciones anteriores a 1983 correspondientes al caserío El Mozote no existen, dado que “fueron destruidos durante el conflicto armado” y que el archivo del Registro del Estado Familiar de la Alcaldía Municipal de </w:t>
      </w:r>
      <w:proofErr w:type="spellStart"/>
      <w:r w:rsidRPr="004649B4">
        <w:rPr>
          <w:rFonts w:ascii="Verdana" w:hAnsi="Verdana"/>
          <w:sz w:val="16"/>
          <w:szCs w:val="16"/>
          <w:lang w:val="es-ES_tradnl"/>
        </w:rPr>
        <w:t>Arambala</w:t>
      </w:r>
      <w:proofErr w:type="spellEnd"/>
      <w:r w:rsidRPr="004649B4">
        <w:rPr>
          <w:rFonts w:ascii="Verdana" w:hAnsi="Verdana"/>
          <w:sz w:val="16"/>
          <w:szCs w:val="16"/>
          <w:lang w:val="es-ES_tradnl"/>
        </w:rPr>
        <w:t xml:space="preserve"> “fue destruido parcialmente por el conflicto armado”, por lo que sólo algunos libros de partidas existen. De este modo, el Registro del Estado Familiar respondió respecto de algunas personas sobre quienes se solicitó la certificación de partida de nacimiento, que no fue posible encontrar la partida de nacimiento “porque fueron destruidos los libros durante el conflicto armado”, o bien que “no se puede extender dicha certificación, por no encontrarse el libro de nacimientos del referido año”</w:t>
      </w:r>
      <w:r w:rsidR="00557953">
        <w:rPr>
          <w:rStyle w:val="FootnoteReference"/>
          <w:rFonts w:ascii="Verdana" w:hAnsi="Verdana"/>
          <w:sz w:val="16"/>
          <w:szCs w:val="16"/>
          <w:lang w:val="es-ES_tradnl"/>
        </w:rPr>
        <w:footnoteReference w:id="21"/>
      </w:r>
      <w:r w:rsidRPr="004649B4">
        <w:rPr>
          <w:rFonts w:ascii="Verdana" w:hAnsi="Verdana"/>
          <w:sz w:val="16"/>
          <w:szCs w:val="16"/>
          <w:lang w:val="es-ES_tradnl"/>
        </w:rPr>
        <w:t xml:space="preserve">. </w:t>
      </w:r>
    </w:p>
    <w:p w14:paraId="5E5EEEE5" w14:textId="77777777" w:rsidR="0012564E" w:rsidRPr="004649B4" w:rsidRDefault="0012564E" w:rsidP="002001F7">
      <w:pPr>
        <w:tabs>
          <w:tab w:val="left" w:pos="567"/>
          <w:tab w:val="left" w:pos="720"/>
        </w:tabs>
        <w:spacing w:afterLines="40" w:after="96" w:line="240" w:lineRule="auto"/>
        <w:ind w:left="567" w:right="571"/>
        <w:jc w:val="both"/>
        <w:rPr>
          <w:rFonts w:ascii="Verdana" w:hAnsi="Verdana"/>
          <w:sz w:val="16"/>
          <w:szCs w:val="16"/>
          <w:lang w:val="es-ES_tradnl"/>
        </w:rPr>
      </w:pPr>
    </w:p>
    <w:p w14:paraId="6460539E" w14:textId="77777777" w:rsidR="002001F7" w:rsidRPr="004649B4" w:rsidRDefault="002001F7"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4649B4">
        <w:rPr>
          <w:rFonts w:ascii="Verdana" w:hAnsi="Verdana"/>
          <w:sz w:val="20"/>
          <w:szCs w:val="20"/>
          <w:lang w:val="es-ES_tradnl"/>
        </w:rPr>
        <w:lastRenderedPageBreak/>
        <w:t xml:space="preserve">Además, en el párrafo 57 de la misma, la Corte </w:t>
      </w:r>
      <w:r>
        <w:rPr>
          <w:rFonts w:ascii="Verdana" w:hAnsi="Verdana"/>
          <w:sz w:val="20"/>
          <w:szCs w:val="20"/>
          <w:lang w:val="es-ES_tradnl"/>
        </w:rPr>
        <w:t>consideró</w:t>
      </w:r>
      <w:r w:rsidRPr="004649B4">
        <w:rPr>
          <w:rFonts w:ascii="Verdana" w:hAnsi="Verdana"/>
          <w:sz w:val="20"/>
          <w:szCs w:val="20"/>
          <w:lang w:val="es-ES_tradnl"/>
        </w:rPr>
        <w:t xml:space="preserve"> </w:t>
      </w:r>
      <w:r>
        <w:rPr>
          <w:rFonts w:ascii="Verdana" w:hAnsi="Verdana"/>
          <w:sz w:val="20"/>
          <w:szCs w:val="20"/>
          <w:lang w:val="es-ES_tradnl"/>
        </w:rPr>
        <w:t>“</w:t>
      </w:r>
      <w:r w:rsidRPr="004649B4">
        <w:rPr>
          <w:rFonts w:ascii="Verdana" w:hAnsi="Verdana"/>
          <w:sz w:val="20"/>
          <w:szCs w:val="20"/>
          <w:lang w:val="es-ES_tradnl"/>
        </w:rPr>
        <w:t xml:space="preserve">imprescindible que, en el marco del Registro Único de Víctimas que se encuentra desarrollando </w:t>
      </w:r>
      <w:r>
        <w:rPr>
          <w:rFonts w:ascii="Verdana" w:hAnsi="Verdana"/>
          <w:sz w:val="20"/>
          <w:szCs w:val="20"/>
          <w:lang w:val="es-ES_tradnl"/>
        </w:rPr>
        <w:t>[…]</w:t>
      </w:r>
      <w:r w:rsidRPr="004649B4">
        <w:rPr>
          <w:rFonts w:ascii="Verdana" w:hAnsi="Verdana"/>
          <w:sz w:val="20"/>
          <w:szCs w:val="20"/>
          <w:lang w:val="es-ES_tradnl"/>
        </w:rPr>
        <w:t>, éste proceda a la determinación cierta de otras personas que también deban ser consideradas víctimas y, en su caso, beneficiarias de las reparaciones que el Tribunal ordene</w:t>
      </w:r>
      <w:r>
        <w:rPr>
          <w:rFonts w:ascii="Verdana" w:hAnsi="Verdana"/>
          <w:sz w:val="20"/>
          <w:szCs w:val="20"/>
          <w:lang w:val="es-ES_tradnl"/>
        </w:rPr>
        <w:t>”.</w:t>
      </w:r>
    </w:p>
    <w:p w14:paraId="5E74BCFF" w14:textId="5BC04FF2" w:rsidR="002001F7" w:rsidRPr="000412A5" w:rsidRDefault="002001F7" w:rsidP="00636F6F">
      <w:pPr>
        <w:numPr>
          <w:ilvl w:val="0"/>
          <w:numId w:val="33"/>
        </w:numPr>
        <w:tabs>
          <w:tab w:val="left" w:pos="567"/>
          <w:tab w:val="left" w:pos="720"/>
        </w:tabs>
        <w:spacing w:afterLines="40" w:after="96" w:line="240" w:lineRule="auto"/>
        <w:ind w:left="0" w:right="4" w:firstLine="0"/>
        <w:jc w:val="both"/>
        <w:rPr>
          <w:lang w:val="es-ES_tradnl"/>
        </w:rPr>
      </w:pPr>
      <w:bookmarkStart w:id="25" w:name="_Ref406703503"/>
      <w:r w:rsidRPr="000412A5">
        <w:rPr>
          <w:rFonts w:ascii="Verdana" w:hAnsi="Verdana"/>
          <w:sz w:val="20"/>
          <w:szCs w:val="20"/>
          <w:lang w:val="es-ES_tradnl"/>
        </w:rPr>
        <w:t>Con posterioridad a la Sentencia, la Corte constata que</w:t>
      </w:r>
      <w:r w:rsidR="00D65101">
        <w:rPr>
          <w:rFonts w:ascii="Verdana" w:hAnsi="Verdana"/>
          <w:sz w:val="20"/>
          <w:szCs w:val="20"/>
          <w:lang w:val="es-ES_tradnl"/>
        </w:rPr>
        <w:t xml:space="preserve"> se adoptaron las siguientes medidas dirigidas a dar cumplim</w:t>
      </w:r>
      <w:r w:rsidR="007D6315">
        <w:rPr>
          <w:rFonts w:ascii="Verdana" w:hAnsi="Verdana"/>
          <w:sz w:val="20"/>
          <w:szCs w:val="20"/>
          <w:lang w:val="es-ES_tradnl"/>
        </w:rPr>
        <w:t>iento esta medida de reparación</w:t>
      </w:r>
      <w:r w:rsidRPr="000412A5">
        <w:rPr>
          <w:rFonts w:ascii="Verdana" w:hAnsi="Verdana"/>
          <w:sz w:val="20"/>
          <w:szCs w:val="20"/>
          <w:lang w:val="es-ES_tradnl"/>
        </w:rPr>
        <w:t>:</w:t>
      </w:r>
      <w:bookmarkEnd w:id="25"/>
      <w:r w:rsidRPr="000412A5">
        <w:rPr>
          <w:lang w:val="es-ES_tradnl"/>
        </w:rPr>
        <w:t xml:space="preserve"> </w:t>
      </w:r>
      <w:r>
        <w:rPr>
          <w:lang w:val="es-ES_tradnl"/>
        </w:rPr>
        <w:t xml:space="preserve"> </w:t>
      </w:r>
    </w:p>
    <w:p w14:paraId="3F83725B" w14:textId="034B7E5D" w:rsidR="002001F7" w:rsidRDefault="002001F7" w:rsidP="002001F7">
      <w:pPr>
        <w:numPr>
          <w:ilvl w:val="1"/>
          <w:numId w:val="35"/>
        </w:numPr>
        <w:tabs>
          <w:tab w:val="left" w:pos="567"/>
          <w:tab w:val="left" w:pos="720"/>
        </w:tabs>
        <w:spacing w:afterLines="40" w:after="96" w:line="240" w:lineRule="auto"/>
        <w:ind w:left="709" w:right="4" w:firstLine="0"/>
        <w:jc w:val="both"/>
        <w:rPr>
          <w:rFonts w:ascii="Verdana" w:hAnsi="Verdana"/>
          <w:sz w:val="20"/>
          <w:szCs w:val="20"/>
          <w:lang w:val="es-ES_tradnl"/>
        </w:rPr>
      </w:pPr>
      <w:r>
        <w:rPr>
          <w:rFonts w:ascii="Verdana" w:hAnsi="Verdana"/>
          <w:sz w:val="20"/>
          <w:szCs w:val="20"/>
          <w:lang w:val="es-ES_tradnl"/>
        </w:rPr>
        <w:t>En enero de 2015 se “</w:t>
      </w:r>
      <w:proofErr w:type="spellStart"/>
      <w:r>
        <w:rPr>
          <w:rFonts w:ascii="Verdana" w:hAnsi="Verdana"/>
          <w:sz w:val="20"/>
          <w:szCs w:val="20"/>
          <w:lang w:val="es-ES_tradnl"/>
        </w:rPr>
        <w:t>retom</w:t>
      </w:r>
      <w:proofErr w:type="spellEnd"/>
      <w:r>
        <w:rPr>
          <w:rFonts w:ascii="Verdana" w:hAnsi="Verdana"/>
          <w:sz w:val="20"/>
          <w:szCs w:val="20"/>
          <w:lang w:val="es-ES_tradnl"/>
        </w:rPr>
        <w:t>[</w:t>
      </w:r>
      <w:proofErr w:type="spellStart"/>
      <w:r>
        <w:rPr>
          <w:rFonts w:ascii="Verdana" w:hAnsi="Verdana"/>
          <w:sz w:val="20"/>
          <w:szCs w:val="20"/>
          <w:lang w:val="es-ES_tradnl"/>
        </w:rPr>
        <w:t>ó</w:t>
      </w:r>
      <w:proofErr w:type="spellEnd"/>
      <w:r>
        <w:rPr>
          <w:rFonts w:ascii="Verdana" w:hAnsi="Verdana"/>
          <w:sz w:val="20"/>
          <w:szCs w:val="20"/>
          <w:lang w:val="es-ES_tradnl"/>
        </w:rPr>
        <w:t>] el proceso de construcción del Registro Único de Víctimas y Familiares de Víctimas de Graves Violaciones a los Derechos Humanos en el contexto de la Masacre de El Mozote […] bajo la coordinación de la Secretaría Técnica y de Planificación de la Presidencia” y de la Dirección General de Estadísticas y Censos, en conjunto con la asesoría de la Cancillería salvadoreña y la participación de la Asociación Promotora de Derechos Humanos de El Mozote en todas las etapas del proceso</w:t>
      </w:r>
      <w:r>
        <w:rPr>
          <w:rStyle w:val="FootnoteReference"/>
          <w:rFonts w:ascii="Verdana" w:hAnsi="Verdana"/>
          <w:sz w:val="20"/>
          <w:szCs w:val="20"/>
          <w:lang w:val="es-ES_tradnl"/>
        </w:rPr>
        <w:footnoteReference w:id="22"/>
      </w:r>
      <w:r>
        <w:rPr>
          <w:rFonts w:ascii="Verdana" w:hAnsi="Verdana"/>
          <w:sz w:val="20"/>
          <w:szCs w:val="20"/>
          <w:lang w:val="es-ES_tradnl"/>
        </w:rPr>
        <w:t>. El Estado, en su informe de mayo de 2016, proporcionó un informe emitido por la referida Dirección General de Estadísticas en el que se explica la metodología seguida para la implementación del registro, los criterios para la inclusión de víctimas a dicho Registro, el procedimiento a seguir para la construcción del Registro, y la información que hasta esa fecha habían recopilado. En ese sentido, se desprendía que el paso siguiente pendiente a realizar era “una etapa de registro documental que compruebe la identificación individualizada de las víctimas y la relación de parentesco de los familiares de víctimas que en el proceso de depuración mediante la aplicación de los criterios para la inclusión al registro se identificaron e ingresaron al listado unificado de víctimas”</w:t>
      </w:r>
      <w:r>
        <w:rPr>
          <w:rStyle w:val="FootnoteReference"/>
          <w:rFonts w:ascii="Verdana" w:hAnsi="Verdana"/>
          <w:sz w:val="20"/>
          <w:szCs w:val="20"/>
          <w:lang w:val="es-ES_tradnl"/>
        </w:rPr>
        <w:footnoteReference w:id="23"/>
      </w:r>
      <w:r>
        <w:rPr>
          <w:rFonts w:ascii="Verdana" w:hAnsi="Verdana"/>
          <w:sz w:val="20"/>
          <w:szCs w:val="20"/>
          <w:lang w:val="es-ES_tradnl"/>
        </w:rPr>
        <w:t>.</w:t>
      </w:r>
    </w:p>
    <w:p w14:paraId="30C6E03B" w14:textId="4907CD6B" w:rsidR="002001F7" w:rsidRDefault="002001F7" w:rsidP="002001F7">
      <w:pPr>
        <w:numPr>
          <w:ilvl w:val="1"/>
          <w:numId w:val="35"/>
        </w:numPr>
        <w:tabs>
          <w:tab w:val="left" w:pos="567"/>
          <w:tab w:val="left" w:pos="720"/>
        </w:tabs>
        <w:spacing w:afterLines="40" w:after="96" w:line="240" w:lineRule="auto"/>
        <w:ind w:left="709" w:right="4" w:firstLine="0"/>
        <w:jc w:val="both"/>
        <w:rPr>
          <w:rFonts w:ascii="Verdana" w:hAnsi="Verdana"/>
          <w:sz w:val="20"/>
          <w:szCs w:val="20"/>
          <w:lang w:val="es-ES_tradnl"/>
        </w:rPr>
      </w:pPr>
      <w:r>
        <w:rPr>
          <w:rFonts w:ascii="Verdana" w:hAnsi="Verdana"/>
          <w:sz w:val="20"/>
          <w:szCs w:val="20"/>
          <w:lang w:val="es-ES_tradnl"/>
        </w:rPr>
        <w:t xml:space="preserve">El 31 de agosto de 2016 el Presidente de la República emitió el Decreto Ejecutivo No. 53, que contiene “Disposiciones específicas para la ejecución y seguimiento de la sentencia emitida por la Corte Interamericana de Derechos Humanos en el caso </w:t>
      </w:r>
      <w:r w:rsidR="00F9293D">
        <w:rPr>
          <w:rFonts w:ascii="Verdana" w:hAnsi="Verdana"/>
          <w:sz w:val="20"/>
          <w:szCs w:val="20"/>
          <w:lang w:val="es-ES_tradnl"/>
        </w:rPr>
        <w:t>‘</w:t>
      </w:r>
      <w:r>
        <w:rPr>
          <w:rFonts w:ascii="Verdana" w:hAnsi="Verdana"/>
          <w:sz w:val="20"/>
          <w:szCs w:val="20"/>
          <w:lang w:val="es-ES_tradnl"/>
        </w:rPr>
        <w:t>Masacres de El Mozote y lugares aledaños Vs. El Salvador</w:t>
      </w:r>
      <w:r w:rsidR="00F9293D">
        <w:rPr>
          <w:rFonts w:ascii="Verdana" w:hAnsi="Verdana"/>
          <w:sz w:val="20"/>
          <w:szCs w:val="20"/>
          <w:lang w:val="es-ES_tradnl"/>
        </w:rPr>
        <w:t>’</w:t>
      </w:r>
      <w:r>
        <w:rPr>
          <w:rFonts w:ascii="Verdana" w:hAnsi="Verdana"/>
          <w:sz w:val="20"/>
          <w:szCs w:val="20"/>
          <w:lang w:val="es-ES_tradnl"/>
        </w:rPr>
        <w:t>”, mediante el cual se crea</w:t>
      </w:r>
      <w:r w:rsidR="00095BB5">
        <w:rPr>
          <w:rFonts w:ascii="Verdana" w:hAnsi="Verdana"/>
          <w:sz w:val="20"/>
          <w:szCs w:val="20"/>
          <w:lang w:val="es-ES_tradnl"/>
        </w:rPr>
        <w:t xml:space="preserve"> </w:t>
      </w:r>
      <w:r>
        <w:rPr>
          <w:rFonts w:ascii="Verdana" w:hAnsi="Verdana"/>
          <w:sz w:val="20"/>
          <w:szCs w:val="20"/>
          <w:lang w:val="es-ES_tradnl"/>
        </w:rPr>
        <w:t>un Consejo Directivo del Registro Único de Víctimas, con competencia para “resolver sobre las solicitudes de víctimas que soliciten requisitos que se determinen</w:t>
      </w:r>
      <w:r w:rsidR="00095BB5">
        <w:rPr>
          <w:rFonts w:ascii="Verdana" w:hAnsi="Verdana"/>
          <w:sz w:val="20"/>
          <w:szCs w:val="20"/>
          <w:lang w:val="es-ES_tradnl"/>
        </w:rPr>
        <w:t xml:space="preserve"> para su inclusión”</w:t>
      </w:r>
      <w:r>
        <w:rPr>
          <w:rFonts w:ascii="Verdana" w:hAnsi="Verdana"/>
          <w:sz w:val="20"/>
          <w:szCs w:val="20"/>
          <w:lang w:val="es-ES_tradnl"/>
        </w:rPr>
        <w:t xml:space="preserve">. </w:t>
      </w:r>
      <w:r w:rsidR="005B23CA">
        <w:rPr>
          <w:rFonts w:ascii="Verdana" w:hAnsi="Verdana"/>
          <w:sz w:val="20"/>
          <w:szCs w:val="20"/>
          <w:lang w:val="es-ES_tradnl"/>
        </w:rPr>
        <w:t>Dicho</w:t>
      </w:r>
      <w:r w:rsidR="005B23CA" w:rsidRPr="00687AAD">
        <w:rPr>
          <w:rFonts w:ascii="Verdana" w:hAnsi="Verdana"/>
          <w:sz w:val="20"/>
          <w:szCs w:val="20"/>
          <w:lang w:val="es-ES_tradnl"/>
        </w:rPr>
        <w:t xml:space="preserve"> Consejo Directivo del Registro contempla dentro de su composición a dos miembros de la Asociación Promotora de Derechos Humanos de El Mozote y a un miembro de Asociaciones o Fundaciones que representen a las víctimas</w:t>
      </w:r>
      <w:r w:rsidR="005B23CA">
        <w:rPr>
          <w:rFonts w:ascii="Verdana" w:hAnsi="Verdana"/>
          <w:sz w:val="20"/>
          <w:szCs w:val="20"/>
          <w:lang w:val="es-ES_tradnl"/>
        </w:rPr>
        <w:t>.</w:t>
      </w:r>
    </w:p>
    <w:p w14:paraId="6796D530" w14:textId="15EFCDCD" w:rsidR="002001F7" w:rsidRPr="000412A5" w:rsidRDefault="002001F7" w:rsidP="002001F7">
      <w:pPr>
        <w:numPr>
          <w:ilvl w:val="1"/>
          <w:numId w:val="35"/>
        </w:numPr>
        <w:tabs>
          <w:tab w:val="left" w:pos="567"/>
          <w:tab w:val="left" w:pos="720"/>
        </w:tabs>
        <w:spacing w:afterLines="40" w:after="96" w:line="240" w:lineRule="auto"/>
        <w:ind w:left="709" w:right="4" w:firstLine="0"/>
        <w:jc w:val="both"/>
        <w:rPr>
          <w:rFonts w:ascii="Verdana" w:hAnsi="Verdana"/>
          <w:sz w:val="20"/>
          <w:szCs w:val="20"/>
          <w:lang w:val="es-ES_tradnl"/>
        </w:rPr>
      </w:pPr>
      <w:r w:rsidRPr="000412A5">
        <w:rPr>
          <w:rFonts w:ascii="Verdana" w:hAnsi="Verdana"/>
          <w:sz w:val="20"/>
          <w:szCs w:val="20"/>
          <w:lang w:val="es-ES_tradnl"/>
        </w:rPr>
        <w:t xml:space="preserve">El 7 de noviembre de 2017 el Ministro de Relaciones Exteriores y el Ministro de Gobernación y Desarrollo Territorial remitieron una comunicación a la Asamblea Legislativa de El Salvador con el objeto de “otorgar la Iniciativa de Ley del Proyecto de Decreto Legislativo que comprende Disposiciones Especiales y Transitorias para el Establecimiento del Estado Familiar o Fallecimiento de las Víctimas de las Masacres de El Mozote y lugares aledaños”. Junto con dicha comunicación remitieron un </w:t>
      </w:r>
      <w:r w:rsidR="00294FF6">
        <w:rPr>
          <w:rFonts w:ascii="Verdana" w:hAnsi="Verdana"/>
          <w:sz w:val="20"/>
          <w:szCs w:val="20"/>
          <w:lang w:val="es-ES_tradnl"/>
        </w:rPr>
        <w:t>i</w:t>
      </w:r>
      <w:r w:rsidRPr="000412A5">
        <w:rPr>
          <w:rFonts w:ascii="Verdana" w:hAnsi="Verdana"/>
          <w:sz w:val="20"/>
          <w:szCs w:val="20"/>
          <w:lang w:val="es-ES_tradnl"/>
        </w:rPr>
        <w:t>nforme en el que se afirma que: “se identificaron problemáticas asociadas a la falta de documentación de las víctimas y sus familiares que tienen su origen, entre otras causas, en la destrucción de los registros del estado familiar en el contexto del conflicto armado interno, a la falta de inscripción en casos de víctimas masacradas de muy corta edad y a deficiencias propias de los registros familiares a esa época”. Dicho proyecto, sin embargo,</w:t>
      </w:r>
      <w:r>
        <w:rPr>
          <w:rFonts w:ascii="Verdana" w:hAnsi="Verdana"/>
          <w:sz w:val="20"/>
          <w:szCs w:val="20"/>
          <w:lang w:val="es-ES_tradnl"/>
        </w:rPr>
        <w:t xml:space="preserve"> fue deliberado y no fue aprobado por la Asamblea Legislativa en una primera oportunidad. Actualmente, </w:t>
      </w:r>
      <w:r w:rsidR="00095BB5">
        <w:rPr>
          <w:rFonts w:ascii="Verdana" w:hAnsi="Verdana"/>
          <w:sz w:val="20"/>
          <w:szCs w:val="20"/>
          <w:lang w:val="es-ES_tradnl"/>
        </w:rPr>
        <w:t>tras</w:t>
      </w:r>
      <w:r>
        <w:rPr>
          <w:rFonts w:ascii="Verdana" w:hAnsi="Verdana"/>
          <w:sz w:val="20"/>
          <w:szCs w:val="20"/>
          <w:lang w:val="es-ES_tradnl"/>
        </w:rPr>
        <w:t xml:space="preserve"> ser presentado </w:t>
      </w:r>
      <w:r w:rsidR="00095BB5">
        <w:rPr>
          <w:rFonts w:ascii="Verdana" w:hAnsi="Verdana"/>
          <w:sz w:val="20"/>
          <w:szCs w:val="20"/>
          <w:lang w:val="es-ES_tradnl"/>
        </w:rPr>
        <w:t>por</w:t>
      </w:r>
      <w:r>
        <w:rPr>
          <w:rFonts w:ascii="Verdana" w:hAnsi="Verdana"/>
          <w:sz w:val="20"/>
          <w:szCs w:val="20"/>
          <w:lang w:val="es-ES_tradnl"/>
        </w:rPr>
        <w:t xml:space="preserve"> </w:t>
      </w:r>
      <w:r>
        <w:rPr>
          <w:rFonts w:ascii="Verdana" w:hAnsi="Verdana"/>
          <w:sz w:val="20"/>
          <w:szCs w:val="20"/>
          <w:lang w:val="es-ES_tradnl"/>
        </w:rPr>
        <w:lastRenderedPageBreak/>
        <w:t>segunda oportunidad,</w:t>
      </w:r>
      <w:r w:rsidRPr="000412A5">
        <w:rPr>
          <w:rFonts w:ascii="Verdana" w:hAnsi="Verdana"/>
          <w:sz w:val="20"/>
          <w:szCs w:val="20"/>
          <w:lang w:val="es-ES_tradnl"/>
        </w:rPr>
        <w:t xml:space="preserve"> </w:t>
      </w:r>
      <w:r>
        <w:rPr>
          <w:rFonts w:ascii="Verdana" w:hAnsi="Verdana"/>
          <w:sz w:val="20"/>
          <w:szCs w:val="20"/>
          <w:lang w:val="es-ES_tradnl"/>
        </w:rPr>
        <w:t>contin</w:t>
      </w:r>
      <w:r w:rsidR="00B440D2">
        <w:rPr>
          <w:rFonts w:ascii="Verdana" w:hAnsi="Verdana"/>
          <w:sz w:val="20"/>
          <w:szCs w:val="20"/>
          <w:lang w:val="es-ES_tradnl"/>
        </w:rPr>
        <w:t>ú</w:t>
      </w:r>
      <w:r>
        <w:rPr>
          <w:rFonts w:ascii="Verdana" w:hAnsi="Verdana"/>
          <w:sz w:val="20"/>
          <w:szCs w:val="20"/>
          <w:lang w:val="es-ES_tradnl"/>
        </w:rPr>
        <w:t>a en estudio por parte de la Comisión de Reformas Electorales y Constitucionales</w:t>
      </w:r>
      <w:r w:rsidR="00DD06C9">
        <w:rPr>
          <w:rFonts w:ascii="Verdana" w:hAnsi="Verdana"/>
          <w:sz w:val="20"/>
          <w:szCs w:val="20"/>
          <w:lang w:val="es-ES_tradnl"/>
        </w:rPr>
        <w:t>.</w:t>
      </w:r>
      <w:r w:rsidRPr="000412A5">
        <w:rPr>
          <w:rFonts w:ascii="Verdana" w:hAnsi="Verdana"/>
          <w:sz w:val="20"/>
          <w:szCs w:val="20"/>
          <w:lang w:val="es-ES_tradnl"/>
        </w:rPr>
        <w:t xml:space="preserve"> </w:t>
      </w:r>
    </w:p>
    <w:p w14:paraId="47170116" w14:textId="73C85435" w:rsidR="00637B90" w:rsidRPr="0034436A" w:rsidRDefault="00C740F1" w:rsidP="00637B90">
      <w:pPr>
        <w:numPr>
          <w:ilvl w:val="1"/>
          <w:numId w:val="35"/>
        </w:numPr>
        <w:tabs>
          <w:tab w:val="left" w:pos="567"/>
          <w:tab w:val="left" w:pos="720"/>
        </w:tabs>
        <w:spacing w:afterLines="40" w:after="96" w:line="240" w:lineRule="auto"/>
        <w:ind w:left="709" w:right="4" w:firstLine="0"/>
        <w:jc w:val="both"/>
        <w:rPr>
          <w:lang w:val="es-ES_tradnl"/>
        </w:rPr>
      </w:pPr>
      <w:r>
        <w:rPr>
          <w:rFonts w:ascii="Verdana" w:hAnsi="Verdana"/>
          <w:sz w:val="20"/>
          <w:szCs w:val="20"/>
          <w:lang w:val="es-ES_tradnl"/>
        </w:rPr>
        <w:t>Tanto en el</w:t>
      </w:r>
      <w:r w:rsidR="005B23CA">
        <w:rPr>
          <w:rFonts w:ascii="Verdana" w:hAnsi="Verdana"/>
          <w:sz w:val="20"/>
          <w:szCs w:val="20"/>
          <w:lang w:val="es-ES_tradnl"/>
        </w:rPr>
        <w:t xml:space="preserve"> </w:t>
      </w:r>
      <w:r w:rsidR="00637B90">
        <w:rPr>
          <w:rFonts w:ascii="Verdana" w:hAnsi="Verdana"/>
          <w:sz w:val="20"/>
          <w:szCs w:val="20"/>
          <w:lang w:val="es-ES_tradnl"/>
        </w:rPr>
        <w:t xml:space="preserve">informe estatal de febrero de 2018 </w:t>
      </w:r>
      <w:r>
        <w:rPr>
          <w:rFonts w:ascii="Verdana" w:hAnsi="Verdana"/>
          <w:sz w:val="20"/>
          <w:szCs w:val="20"/>
          <w:lang w:val="es-ES_tradnl"/>
        </w:rPr>
        <w:t xml:space="preserve">como en </w:t>
      </w:r>
      <w:r w:rsidR="00637B90">
        <w:rPr>
          <w:rFonts w:ascii="Verdana" w:hAnsi="Verdana"/>
          <w:sz w:val="20"/>
          <w:szCs w:val="20"/>
          <w:lang w:val="es-ES_tradnl"/>
        </w:rPr>
        <w:t xml:space="preserve">la información proporcionada por la Procuradora para la Defensa de los Derechos Humanos en agosto de 2018, </w:t>
      </w:r>
      <w:r>
        <w:rPr>
          <w:rFonts w:ascii="Verdana" w:hAnsi="Verdana"/>
          <w:sz w:val="20"/>
          <w:szCs w:val="20"/>
          <w:lang w:val="es-ES_tradnl"/>
        </w:rPr>
        <w:t xml:space="preserve">se afirma que </w:t>
      </w:r>
      <w:r w:rsidR="00637B90">
        <w:rPr>
          <w:rFonts w:ascii="Verdana" w:hAnsi="Verdana"/>
          <w:sz w:val="20"/>
          <w:szCs w:val="20"/>
          <w:lang w:val="es-ES_tradnl"/>
        </w:rPr>
        <w:t>el Consejo Directivo del Registro Único de Víctimas de Graves Violaciones a los Derechos Humanos de las Masacres de El Mozote y lugares aledaños dio a conocer “el Registro Oficial” de víctimas</w:t>
      </w:r>
      <w:r w:rsidR="00635197">
        <w:rPr>
          <w:rStyle w:val="FootnoteReference"/>
          <w:rFonts w:ascii="Verdana" w:hAnsi="Verdana"/>
          <w:sz w:val="20"/>
          <w:szCs w:val="20"/>
          <w:lang w:val="es-ES_tradnl"/>
        </w:rPr>
        <w:footnoteReference w:id="24"/>
      </w:r>
      <w:r w:rsidR="00494410">
        <w:rPr>
          <w:rFonts w:ascii="Verdana" w:hAnsi="Verdana"/>
          <w:sz w:val="20"/>
          <w:szCs w:val="20"/>
          <w:lang w:val="es-ES_tradnl"/>
        </w:rPr>
        <w:t>.</w:t>
      </w:r>
      <w:r w:rsidR="00637B90">
        <w:rPr>
          <w:rFonts w:ascii="Verdana" w:hAnsi="Verdana"/>
          <w:sz w:val="20"/>
          <w:szCs w:val="20"/>
          <w:lang w:val="es-ES_tradnl"/>
        </w:rPr>
        <w:t xml:space="preserve"> </w:t>
      </w:r>
      <w:r w:rsidR="00D709A5">
        <w:rPr>
          <w:rFonts w:ascii="Verdana" w:hAnsi="Verdana"/>
          <w:sz w:val="20"/>
          <w:szCs w:val="20"/>
          <w:lang w:val="es-ES_tradnl"/>
        </w:rPr>
        <w:t>Tanto el Estado como la</w:t>
      </w:r>
      <w:r w:rsidR="00494410">
        <w:rPr>
          <w:rFonts w:ascii="Verdana" w:hAnsi="Verdana"/>
          <w:sz w:val="20"/>
          <w:szCs w:val="20"/>
          <w:lang w:val="es-ES_tradnl"/>
        </w:rPr>
        <w:t xml:space="preserve"> Procuradora afirm</w:t>
      </w:r>
      <w:r w:rsidR="00D709A5">
        <w:rPr>
          <w:rFonts w:ascii="Verdana" w:hAnsi="Verdana"/>
          <w:sz w:val="20"/>
          <w:szCs w:val="20"/>
          <w:lang w:val="es-ES_tradnl"/>
        </w:rPr>
        <w:t>aron</w:t>
      </w:r>
      <w:r w:rsidR="00494410">
        <w:rPr>
          <w:rFonts w:ascii="Verdana" w:hAnsi="Verdana"/>
          <w:sz w:val="20"/>
          <w:szCs w:val="20"/>
          <w:lang w:val="es-ES_tradnl"/>
        </w:rPr>
        <w:t xml:space="preserve"> que fue</w:t>
      </w:r>
      <w:r w:rsidR="00637B90">
        <w:rPr>
          <w:rFonts w:ascii="Verdana" w:hAnsi="Verdana"/>
          <w:sz w:val="20"/>
          <w:szCs w:val="20"/>
          <w:lang w:val="es-ES_tradnl"/>
        </w:rPr>
        <w:t xml:space="preserve"> “construido con ayuda de las víctimas” y es la integración de tres bases de datos: la Sentencia, el registro históric</w:t>
      </w:r>
      <w:r w:rsidR="008E3589">
        <w:rPr>
          <w:rFonts w:ascii="Verdana" w:hAnsi="Verdana"/>
          <w:sz w:val="20"/>
          <w:szCs w:val="20"/>
          <w:lang w:val="es-ES_tradnl"/>
        </w:rPr>
        <w:t>o</w:t>
      </w:r>
      <w:r w:rsidR="00637B90">
        <w:rPr>
          <w:rFonts w:ascii="Verdana" w:hAnsi="Verdana"/>
          <w:sz w:val="20"/>
          <w:szCs w:val="20"/>
          <w:lang w:val="es-ES_tradnl"/>
        </w:rPr>
        <w:t xml:space="preserve"> de la Asociación Promotora de Derechos Humanos de El Mozote, y el primer registro elaborado por el Estado. </w:t>
      </w:r>
      <w:r w:rsidR="00F1192A" w:rsidRPr="00F1192A">
        <w:rPr>
          <w:rFonts w:ascii="Verdana" w:hAnsi="Verdana"/>
          <w:sz w:val="20"/>
          <w:szCs w:val="20"/>
          <w:lang w:val="es-ES_tradnl"/>
        </w:rPr>
        <w:t>E</w:t>
      </w:r>
      <w:r w:rsidR="00637B90" w:rsidRPr="00F1192A">
        <w:rPr>
          <w:rFonts w:ascii="Verdana" w:hAnsi="Verdana"/>
          <w:sz w:val="20"/>
          <w:szCs w:val="20"/>
          <w:lang w:val="es-ES_tradnl"/>
        </w:rPr>
        <w:t xml:space="preserve">n dicho registro se encuentran identificadas </w:t>
      </w:r>
      <w:r w:rsidR="001F5320" w:rsidRPr="00F1192A">
        <w:rPr>
          <w:rFonts w:ascii="Verdana" w:hAnsi="Verdana"/>
          <w:sz w:val="20"/>
          <w:szCs w:val="20"/>
          <w:lang w:val="es-ES_tradnl"/>
        </w:rPr>
        <w:t xml:space="preserve">1725 </w:t>
      </w:r>
      <w:r w:rsidR="00637B90" w:rsidRPr="00F1192A">
        <w:rPr>
          <w:rFonts w:ascii="Verdana" w:hAnsi="Verdana"/>
          <w:sz w:val="20"/>
          <w:szCs w:val="20"/>
          <w:lang w:val="es-ES_tradnl"/>
        </w:rPr>
        <w:t xml:space="preserve">víctimas, de las cuales </w:t>
      </w:r>
      <w:r w:rsidR="001F5320" w:rsidRPr="00F1192A">
        <w:rPr>
          <w:rFonts w:ascii="Verdana" w:hAnsi="Verdana"/>
          <w:sz w:val="20"/>
          <w:szCs w:val="20"/>
          <w:lang w:val="es-ES_tradnl"/>
        </w:rPr>
        <w:t xml:space="preserve">988 </w:t>
      </w:r>
      <w:r w:rsidR="00637B90" w:rsidRPr="00F1192A">
        <w:rPr>
          <w:rFonts w:ascii="Verdana" w:hAnsi="Verdana"/>
          <w:sz w:val="20"/>
          <w:szCs w:val="20"/>
          <w:lang w:val="es-ES_tradnl"/>
        </w:rPr>
        <w:t xml:space="preserve">son víctimas ejecutadas, </w:t>
      </w:r>
      <w:r w:rsidR="001F5320" w:rsidRPr="00F1192A">
        <w:rPr>
          <w:rFonts w:ascii="Verdana" w:hAnsi="Verdana"/>
          <w:sz w:val="20"/>
          <w:szCs w:val="20"/>
          <w:lang w:val="es-ES_tradnl"/>
        </w:rPr>
        <w:t xml:space="preserve">660 </w:t>
      </w:r>
      <w:r w:rsidR="00637B90" w:rsidRPr="00F1192A">
        <w:rPr>
          <w:rFonts w:ascii="Verdana" w:hAnsi="Verdana"/>
          <w:sz w:val="20"/>
          <w:szCs w:val="20"/>
          <w:lang w:val="es-ES_tradnl"/>
        </w:rPr>
        <w:t xml:space="preserve">son familiares de víctimas, 29 son personas desplazadas y </w:t>
      </w:r>
      <w:r w:rsidR="001F5320" w:rsidRPr="00F1192A">
        <w:rPr>
          <w:rFonts w:ascii="Verdana" w:hAnsi="Verdana"/>
          <w:sz w:val="20"/>
          <w:szCs w:val="20"/>
          <w:lang w:val="es-ES_tradnl"/>
        </w:rPr>
        <w:t xml:space="preserve">48 </w:t>
      </w:r>
      <w:r w:rsidR="00095BB5" w:rsidRPr="00F1192A">
        <w:rPr>
          <w:rFonts w:ascii="Verdana" w:hAnsi="Verdana"/>
          <w:sz w:val="20"/>
          <w:szCs w:val="20"/>
          <w:lang w:val="es-ES_tradnl"/>
        </w:rPr>
        <w:t>son sobrevivientes</w:t>
      </w:r>
      <w:r w:rsidR="007D6315">
        <w:rPr>
          <w:rFonts w:ascii="Verdana" w:hAnsi="Verdana"/>
          <w:sz w:val="20"/>
          <w:szCs w:val="20"/>
          <w:lang w:val="es-ES_tradnl"/>
        </w:rPr>
        <w:t>. D</w:t>
      </w:r>
      <w:r w:rsidR="007D6315" w:rsidRPr="00971BAA">
        <w:rPr>
          <w:rFonts w:ascii="Verdana" w:hAnsi="Verdana"/>
          <w:sz w:val="20"/>
          <w:szCs w:val="20"/>
          <w:lang w:val="es-ES_tradnl"/>
        </w:rPr>
        <w:t>urante la audiencia celebrada en San Salvador</w:t>
      </w:r>
      <w:r w:rsidR="007D6315">
        <w:rPr>
          <w:rFonts w:ascii="Verdana" w:hAnsi="Verdana"/>
          <w:sz w:val="20"/>
          <w:szCs w:val="20"/>
          <w:lang w:val="es-ES_tradnl"/>
        </w:rPr>
        <w:t>, el Estado afirmó</w:t>
      </w:r>
      <w:r w:rsidR="007D6315" w:rsidRPr="00971BAA">
        <w:rPr>
          <w:rFonts w:ascii="Verdana" w:hAnsi="Verdana"/>
          <w:sz w:val="20"/>
          <w:szCs w:val="20"/>
          <w:lang w:val="es-ES_tradnl"/>
        </w:rPr>
        <w:t xml:space="preserve"> que de esas “víctimas que están incorporadas al Registro oficial, 1119 tienen problema de documentación</w:t>
      </w:r>
      <w:r w:rsidR="007D6315">
        <w:rPr>
          <w:rFonts w:ascii="Verdana" w:hAnsi="Verdana"/>
          <w:sz w:val="20"/>
          <w:szCs w:val="20"/>
          <w:lang w:val="es-ES_tradnl"/>
        </w:rPr>
        <w:t>”</w:t>
      </w:r>
      <w:r w:rsidR="007D6315" w:rsidRPr="00971BAA">
        <w:rPr>
          <w:rFonts w:ascii="Verdana" w:hAnsi="Verdana"/>
          <w:sz w:val="20"/>
          <w:szCs w:val="20"/>
          <w:lang w:val="es-ES_tradnl"/>
        </w:rPr>
        <w:t>,</w:t>
      </w:r>
      <w:r w:rsidR="00D709A5">
        <w:rPr>
          <w:rFonts w:ascii="Verdana" w:hAnsi="Verdana"/>
          <w:sz w:val="20"/>
          <w:szCs w:val="20"/>
          <w:lang w:val="es-ES_tradnl"/>
        </w:rPr>
        <w:t xml:space="preserve"> </w:t>
      </w:r>
      <w:r w:rsidR="00D0141E">
        <w:rPr>
          <w:lang w:val="es-ES_tradnl"/>
        </w:rPr>
        <w:t>y</w:t>
      </w:r>
    </w:p>
    <w:p w14:paraId="0B727AA2" w14:textId="72A81B87" w:rsidR="002001F7" w:rsidRPr="000412A5" w:rsidRDefault="002001F7" w:rsidP="002001F7">
      <w:pPr>
        <w:numPr>
          <w:ilvl w:val="1"/>
          <w:numId w:val="35"/>
        </w:numPr>
        <w:tabs>
          <w:tab w:val="left" w:pos="567"/>
          <w:tab w:val="left" w:pos="720"/>
        </w:tabs>
        <w:spacing w:afterLines="40" w:after="96" w:line="240" w:lineRule="auto"/>
        <w:ind w:left="709" w:right="4" w:firstLine="0"/>
        <w:jc w:val="both"/>
        <w:rPr>
          <w:lang w:val="es-ES_tradnl"/>
        </w:rPr>
      </w:pPr>
      <w:r>
        <w:rPr>
          <w:rFonts w:ascii="Verdana" w:hAnsi="Verdana"/>
          <w:sz w:val="20"/>
          <w:szCs w:val="20"/>
          <w:lang w:val="es-ES_tradnl"/>
        </w:rPr>
        <w:t xml:space="preserve">Con posterioridad a la visita celebrada </w:t>
      </w:r>
      <w:r w:rsidR="00486AA4">
        <w:rPr>
          <w:rFonts w:ascii="Verdana" w:hAnsi="Verdana"/>
          <w:sz w:val="20"/>
          <w:szCs w:val="20"/>
          <w:lang w:val="es-ES_tradnl"/>
        </w:rPr>
        <w:t xml:space="preserve">en </w:t>
      </w:r>
      <w:r>
        <w:rPr>
          <w:rFonts w:ascii="Verdana" w:hAnsi="Verdana"/>
          <w:sz w:val="20"/>
          <w:szCs w:val="20"/>
          <w:lang w:val="es-ES_tradnl"/>
        </w:rPr>
        <w:t xml:space="preserve"> El Salvador en agosto de 2018, las partes han </w:t>
      </w:r>
      <w:r w:rsidR="00486AA4">
        <w:rPr>
          <w:rFonts w:ascii="Verdana" w:hAnsi="Verdana"/>
          <w:sz w:val="20"/>
          <w:szCs w:val="20"/>
          <w:lang w:val="es-ES_tradnl"/>
        </w:rPr>
        <w:t xml:space="preserve">tenido </w:t>
      </w:r>
      <w:r>
        <w:rPr>
          <w:rFonts w:ascii="Verdana" w:hAnsi="Verdana"/>
          <w:sz w:val="20"/>
          <w:szCs w:val="20"/>
          <w:lang w:val="es-ES_tradnl"/>
        </w:rPr>
        <w:t>varias reuniones con el fin de buscar alternativas al cumplimiento de la presente medida</w:t>
      </w:r>
      <w:r>
        <w:rPr>
          <w:rStyle w:val="FootnoteReference"/>
          <w:rFonts w:ascii="Verdana" w:hAnsi="Verdana"/>
          <w:sz w:val="20"/>
          <w:szCs w:val="20"/>
          <w:lang w:val="es-ES_tradnl"/>
        </w:rPr>
        <w:footnoteReference w:id="25"/>
      </w:r>
      <w:r>
        <w:rPr>
          <w:rFonts w:ascii="Verdana" w:hAnsi="Verdana"/>
          <w:sz w:val="20"/>
          <w:szCs w:val="20"/>
          <w:lang w:val="es-ES_tradnl"/>
        </w:rPr>
        <w:t>.</w:t>
      </w:r>
      <w:r w:rsidR="00D65101">
        <w:rPr>
          <w:rFonts w:ascii="Verdana" w:hAnsi="Verdana"/>
          <w:sz w:val="20"/>
          <w:szCs w:val="20"/>
          <w:lang w:val="es-ES_tradnl"/>
        </w:rPr>
        <w:t xml:space="preserve"> Según las observaciones planteadas por los representantes en noviembre de 2018, el Estado se habría comprometido a presentar</w:t>
      </w:r>
      <w:r w:rsidR="00486AA4">
        <w:rPr>
          <w:rFonts w:ascii="Verdana" w:hAnsi="Verdana"/>
          <w:sz w:val="20"/>
          <w:szCs w:val="20"/>
          <w:lang w:val="es-ES_tradnl"/>
        </w:rPr>
        <w:t>,</w:t>
      </w:r>
      <w:r w:rsidR="00D65101">
        <w:rPr>
          <w:rFonts w:ascii="Verdana" w:hAnsi="Verdana"/>
          <w:sz w:val="20"/>
          <w:szCs w:val="20"/>
          <w:lang w:val="es-ES_tradnl"/>
        </w:rPr>
        <w:t xml:space="preserve"> </w:t>
      </w:r>
      <w:r w:rsidR="00486AA4">
        <w:rPr>
          <w:rFonts w:ascii="Verdana" w:hAnsi="Verdana"/>
          <w:sz w:val="20"/>
          <w:szCs w:val="20"/>
          <w:lang w:val="es-ES_tradnl"/>
        </w:rPr>
        <w:t xml:space="preserve">este mismo mes, </w:t>
      </w:r>
      <w:r w:rsidR="00D65101">
        <w:rPr>
          <w:rFonts w:ascii="Verdana" w:hAnsi="Verdana"/>
          <w:sz w:val="20"/>
          <w:szCs w:val="20"/>
          <w:lang w:val="es-ES_tradnl"/>
        </w:rPr>
        <w:t xml:space="preserve">una propuesta concreta para solventar los obstáculos relacionados a la documentación </w:t>
      </w:r>
      <w:r w:rsidR="00486AA4">
        <w:rPr>
          <w:rFonts w:ascii="Verdana" w:hAnsi="Verdana"/>
          <w:sz w:val="20"/>
          <w:szCs w:val="20"/>
          <w:lang w:val="es-ES_tradnl"/>
        </w:rPr>
        <w:t xml:space="preserve">requerida </w:t>
      </w:r>
      <w:r w:rsidR="00D65101">
        <w:rPr>
          <w:rFonts w:ascii="Verdana" w:hAnsi="Verdana"/>
          <w:sz w:val="20"/>
          <w:szCs w:val="20"/>
          <w:lang w:val="es-ES_tradnl"/>
        </w:rPr>
        <w:t xml:space="preserve">para ser </w:t>
      </w:r>
      <w:r w:rsidR="00486AA4">
        <w:rPr>
          <w:rFonts w:ascii="Verdana" w:hAnsi="Verdana"/>
          <w:sz w:val="20"/>
          <w:szCs w:val="20"/>
          <w:lang w:val="es-ES_tradnl"/>
        </w:rPr>
        <w:t>incluido como víctima en</w:t>
      </w:r>
      <w:r w:rsidR="00D65101">
        <w:rPr>
          <w:rFonts w:ascii="Verdana" w:hAnsi="Verdana"/>
          <w:sz w:val="20"/>
          <w:szCs w:val="20"/>
          <w:lang w:val="es-ES_tradnl"/>
        </w:rPr>
        <w:t xml:space="preserve"> el Registro </w:t>
      </w:r>
      <w:r w:rsidR="00486AA4">
        <w:rPr>
          <w:rFonts w:ascii="Verdana" w:hAnsi="Verdana"/>
          <w:sz w:val="20"/>
          <w:szCs w:val="20"/>
          <w:lang w:val="es-ES_tradnl"/>
        </w:rPr>
        <w:t>y ser acreedor de indemnización</w:t>
      </w:r>
      <w:r w:rsidR="00DD06C9">
        <w:rPr>
          <w:rStyle w:val="FootnoteReference"/>
          <w:rFonts w:ascii="Verdana" w:hAnsi="Verdana"/>
          <w:sz w:val="20"/>
          <w:szCs w:val="20"/>
          <w:lang w:val="es-ES_tradnl"/>
        </w:rPr>
        <w:footnoteReference w:id="26"/>
      </w:r>
      <w:r w:rsidR="00D65101">
        <w:rPr>
          <w:rFonts w:ascii="Verdana" w:hAnsi="Verdana"/>
          <w:sz w:val="20"/>
          <w:szCs w:val="20"/>
          <w:lang w:val="es-ES_tradnl"/>
        </w:rPr>
        <w:t xml:space="preserve">. </w:t>
      </w:r>
    </w:p>
    <w:p w14:paraId="41D75D43" w14:textId="22A1825B" w:rsidR="00D65101" w:rsidRPr="00D65101" w:rsidRDefault="00D65101"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687AAD">
        <w:rPr>
          <w:rFonts w:ascii="Verdana" w:hAnsi="Verdana"/>
          <w:sz w:val="20"/>
          <w:szCs w:val="20"/>
          <w:lang w:val="es-ES_tradnl"/>
        </w:rPr>
        <w:t xml:space="preserve">En primer lugar, la </w:t>
      </w:r>
      <w:r w:rsidRPr="00F1192A">
        <w:rPr>
          <w:rFonts w:ascii="Verdana" w:hAnsi="Verdana"/>
          <w:sz w:val="20"/>
          <w:szCs w:val="20"/>
          <w:lang w:val="es-ES_tradnl"/>
        </w:rPr>
        <w:t xml:space="preserve">Corte valora positivamente que el Registro Único de Víctimas de Graves Violaciones a los Derechos Humanos de las Masacres de El Mozote y lugares aledaños haya sido puesto y que continúe en funcionamiento. En efecto, la identificación de </w:t>
      </w:r>
      <w:r w:rsidR="00095BB5" w:rsidRPr="00F1192A">
        <w:rPr>
          <w:rFonts w:ascii="Verdana" w:hAnsi="Verdana"/>
          <w:sz w:val="20"/>
          <w:szCs w:val="20"/>
          <w:lang w:val="es-ES_tradnl"/>
        </w:rPr>
        <w:t>1725</w:t>
      </w:r>
      <w:r w:rsidRPr="00F1192A">
        <w:rPr>
          <w:rFonts w:ascii="Verdana" w:hAnsi="Verdana"/>
          <w:sz w:val="20"/>
          <w:szCs w:val="20"/>
          <w:lang w:val="es-ES_tradnl"/>
        </w:rPr>
        <w:t xml:space="preserve"> víctimas</w:t>
      </w:r>
      <w:r w:rsidR="00095BB5" w:rsidRPr="00F1192A">
        <w:rPr>
          <w:rFonts w:ascii="Verdana" w:hAnsi="Verdana"/>
          <w:sz w:val="20"/>
          <w:szCs w:val="20"/>
          <w:lang w:val="es-ES_tradnl"/>
        </w:rPr>
        <w:t>, según el último informe estatal recibido,</w:t>
      </w:r>
      <w:r w:rsidRPr="00F1192A">
        <w:rPr>
          <w:rFonts w:ascii="Verdana" w:hAnsi="Verdana"/>
          <w:sz w:val="20"/>
          <w:szCs w:val="20"/>
          <w:lang w:val="es-ES_tradnl"/>
        </w:rPr>
        <w:t xml:space="preserve"> constituye un relevante avance para la determinación de la verdad sobre los hechos ocurridos en el marco del presente caso, lo cual a su vez facilitará la reparación</w:t>
      </w:r>
      <w:r w:rsidRPr="00687AAD">
        <w:rPr>
          <w:rFonts w:ascii="Verdana" w:hAnsi="Verdana"/>
          <w:sz w:val="20"/>
          <w:szCs w:val="20"/>
          <w:lang w:val="es-ES_tradnl"/>
        </w:rPr>
        <w:t xml:space="preserve"> integral de la totalidad de las mismas conforme a los procedimientos dispuestos para ello </w:t>
      </w:r>
      <w:r w:rsidR="005A4DC1">
        <w:rPr>
          <w:rFonts w:ascii="Verdana" w:hAnsi="Verdana"/>
          <w:sz w:val="20"/>
          <w:szCs w:val="20"/>
          <w:lang w:val="es-ES_tradnl"/>
        </w:rPr>
        <w:t xml:space="preserve">en </w:t>
      </w:r>
      <w:r w:rsidRPr="00687AAD">
        <w:rPr>
          <w:rFonts w:ascii="Verdana" w:hAnsi="Verdana"/>
          <w:sz w:val="20"/>
          <w:szCs w:val="20"/>
          <w:lang w:val="es-ES_tradnl"/>
        </w:rPr>
        <w:t xml:space="preserve">la presente Sentencia y el derecho salvadoreño. Al respecto, en sus observaciones de abril de 2018, los representantes reconocieron que “representa un gran avance en aras de consolidar el </w:t>
      </w:r>
      <w:r w:rsidR="007E6ACE">
        <w:rPr>
          <w:rFonts w:ascii="Verdana" w:hAnsi="Verdana"/>
          <w:sz w:val="20"/>
          <w:szCs w:val="20"/>
          <w:lang w:val="es-ES_tradnl"/>
        </w:rPr>
        <w:t>[Registró Único de Víctimas]</w:t>
      </w:r>
      <w:r w:rsidRPr="00687AAD">
        <w:rPr>
          <w:rFonts w:ascii="Verdana" w:hAnsi="Verdana"/>
          <w:sz w:val="20"/>
          <w:szCs w:val="20"/>
          <w:lang w:val="es-ES_tradnl"/>
        </w:rPr>
        <w:t xml:space="preserve"> y su funcionamiento y valoramos su implementación como un importante avance en el cumplimiento de la sentencia del caso”. </w:t>
      </w:r>
    </w:p>
    <w:p w14:paraId="65BDF0E1" w14:textId="63D0E4AC" w:rsidR="00804335" w:rsidRDefault="0033627C"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 xml:space="preserve">No obstante lo anterior, </w:t>
      </w:r>
      <w:r w:rsidR="00D86073">
        <w:rPr>
          <w:rFonts w:ascii="Verdana" w:hAnsi="Verdana"/>
          <w:sz w:val="20"/>
          <w:szCs w:val="20"/>
          <w:lang w:val="es-ES_tradnl"/>
        </w:rPr>
        <w:t xml:space="preserve">tanto </w:t>
      </w:r>
      <w:r w:rsidR="007E6ACE">
        <w:rPr>
          <w:rFonts w:ascii="Verdana" w:hAnsi="Verdana"/>
          <w:sz w:val="20"/>
          <w:szCs w:val="20"/>
          <w:lang w:val="es-ES_tradnl"/>
        </w:rPr>
        <w:t>las partes</w:t>
      </w:r>
      <w:r w:rsidR="00D86073">
        <w:rPr>
          <w:rFonts w:ascii="Verdana" w:hAnsi="Verdana"/>
          <w:sz w:val="20"/>
          <w:szCs w:val="20"/>
          <w:lang w:val="es-ES_tradnl"/>
        </w:rPr>
        <w:t xml:space="preserve"> como la Comisión</w:t>
      </w:r>
      <w:r w:rsidR="007E6ACE">
        <w:rPr>
          <w:rFonts w:ascii="Verdana" w:hAnsi="Verdana"/>
          <w:sz w:val="20"/>
          <w:szCs w:val="20"/>
          <w:lang w:val="es-ES_tradnl"/>
        </w:rPr>
        <w:t xml:space="preserve"> y la Procuraduría de Derechos Humanos</w:t>
      </w:r>
      <w:r w:rsidR="00D86073">
        <w:rPr>
          <w:rFonts w:ascii="Verdana" w:hAnsi="Verdana"/>
          <w:sz w:val="20"/>
          <w:szCs w:val="20"/>
          <w:lang w:val="es-ES_tradnl"/>
        </w:rPr>
        <w:t xml:space="preserve"> </w:t>
      </w:r>
      <w:r w:rsidR="007E6ACE">
        <w:rPr>
          <w:rFonts w:ascii="Verdana" w:hAnsi="Verdana"/>
          <w:sz w:val="20"/>
          <w:szCs w:val="20"/>
          <w:lang w:val="es-ES_tradnl"/>
        </w:rPr>
        <w:t>coinciden en</w:t>
      </w:r>
      <w:r w:rsidR="00D86073">
        <w:rPr>
          <w:rFonts w:ascii="Verdana" w:hAnsi="Verdana"/>
          <w:sz w:val="20"/>
          <w:szCs w:val="20"/>
          <w:lang w:val="es-ES_tradnl"/>
        </w:rPr>
        <w:t xml:space="preserve"> </w:t>
      </w:r>
      <w:r w:rsidR="007E6ACE">
        <w:rPr>
          <w:rFonts w:ascii="Verdana" w:hAnsi="Verdana"/>
          <w:sz w:val="20"/>
          <w:szCs w:val="20"/>
          <w:lang w:val="es-ES_tradnl"/>
        </w:rPr>
        <w:t>que existen obstáculos que derivan</w:t>
      </w:r>
      <w:r w:rsidR="00D86073">
        <w:rPr>
          <w:rFonts w:ascii="Verdana" w:hAnsi="Verdana"/>
          <w:sz w:val="20"/>
          <w:szCs w:val="20"/>
          <w:lang w:val="es-ES_tradnl"/>
        </w:rPr>
        <w:t xml:space="preserve"> del procedimiento dispuesto para incorporar a una persona al Registro Único de Víctimas</w:t>
      </w:r>
      <w:r w:rsidR="00655A4E">
        <w:rPr>
          <w:rFonts w:ascii="Verdana" w:hAnsi="Verdana"/>
          <w:sz w:val="20"/>
          <w:szCs w:val="20"/>
          <w:lang w:val="es-ES_tradnl"/>
        </w:rPr>
        <w:t xml:space="preserve"> de forma </w:t>
      </w:r>
      <w:r w:rsidR="005B250C">
        <w:rPr>
          <w:rFonts w:ascii="Verdana" w:hAnsi="Verdana"/>
          <w:sz w:val="20"/>
          <w:szCs w:val="20"/>
          <w:lang w:val="es-ES_tradnl"/>
        </w:rPr>
        <w:t>definitiva</w:t>
      </w:r>
      <w:r w:rsidR="00D86073">
        <w:rPr>
          <w:rFonts w:ascii="Verdana" w:hAnsi="Verdana"/>
          <w:sz w:val="20"/>
          <w:szCs w:val="20"/>
          <w:lang w:val="es-ES_tradnl"/>
        </w:rPr>
        <w:t xml:space="preserve"> por limitaciones en el acceso a la documentación necesaria para acredit</w:t>
      </w:r>
      <w:r w:rsidR="00234A68">
        <w:rPr>
          <w:rFonts w:ascii="Verdana" w:hAnsi="Verdana"/>
          <w:sz w:val="20"/>
          <w:szCs w:val="20"/>
          <w:lang w:val="es-ES_tradnl"/>
        </w:rPr>
        <w:t>ar</w:t>
      </w:r>
      <w:r w:rsidR="00D86073">
        <w:rPr>
          <w:rFonts w:ascii="Verdana" w:hAnsi="Verdana"/>
          <w:sz w:val="20"/>
          <w:szCs w:val="20"/>
          <w:lang w:val="es-ES_tradnl"/>
        </w:rPr>
        <w:t xml:space="preserve"> </w:t>
      </w:r>
      <w:r w:rsidR="00032F34">
        <w:rPr>
          <w:rFonts w:ascii="Verdana" w:hAnsi="Verdana"/>
          <w:sz w:val="20"/>
          <w:szCs w:val="20"/>
          <w:lang w:val="es-ES_tradnl"/>
        </w:rPr>
        <w:t>la identidad de la víctima (por ejemplo por la ausencia de partidas de</w:t>
      </w:r>
      <w:r w:rsidR="00D86073">
        <w:rPr>
          <w:rFonts w:ascii="Verdana" w:hAnsi="Verdana"/>
          <w:sz w:val="20"/>
          <w:szCs w:val="20"/>
          <w:lang w:val="es-ES_tradnl"/>
        </w:rPr>
        <w:t xml:space="preserve"> nacimiento y defunción</w:t>
      </w:r>
      <w:r w:rsidR="00032F34">
        <w:rPr>
          <w:rFonts w:ascii="Verdana" w:hAnsi="Verdana"/>
          <w:sz w:val="20"/>
          <w:szCs w:val="20"/>
          <w:lang w:val="es-ES_tradnl"/>
        </w:rPr>
        <w:t>)</w:t>
      </w:r>
      <w:r w:rsidR="005B250C">
        <w:rPr>
          <w:rFonts w:ascii="Verdana" w:hAnsi="Verdana"/>
          <w:sz w:val="20"/>
          <w:szCs w:val="20"/>
          <w:lang w:val="es-ES_tradnl"/>
        </w:rPr>
        <w:t>,</w:t>
      </w:r>
      <w:r w:rsidR="00234A68">
        <w:rPr>
          <w:rFonts w:ascii="Verdana" w:hAnsi="Verdana"/>
          <w:sz w:val="20"/>
          <w:szCs w:val="20"/>
          <w:lang w:val="es-ES_tradnl"/>
        </w:rPr>
        <w:t xml:space="preserve"> e identific</w:t>
      </w:r>
      <w:r w:rsidR="00032F34">
        <w:rPr>
          <w:rFonts w:ascii="Verdana" w:hAnsi="Verdana"/>
          <w:sz w:val="20"/>
          <w:szCs w:val="20"/>
          <w:lang w:val="es-ES_tradnl"/>
        </w:rPr>
        <w:t>ar los vínculos</w:t>
      </w:r>
      <w:r w:rsidR="00234A68">
        <w:rPr>
          <w:rFonts w:ascii="Verdana" w:hAnsi="Verdana"/>
          <w:sz w:val="20"/>
          <w:szCs w:val="20"/>
          <w:lang w:val="es-ES_tradnl"/>
        </w:rPr>
        <w:t xml:space="preserve"> </w:t>
      </w:r>
      <w:r w:rsidR="007D6315">
        <w:rPr>
          <w:rFonts w:ascii="Verdana" w:hAnsi="Verdana"/>
          <w:sz w:val="20"/>
          <w:szCs w:val="20"/>
          <w:lang w:val="es-ES_tradnl"/>
        </w:rPr>
        <w:t>familiares</w:t>
      </w:r>
      <w:r w:rsidR="00234A68">
        <w:rPr>
          <w:rFonts w:ascii="Verdana" w:hAnsi="Verdana"/>
          <w:sz w:val="20"/>
          <w:szCs w:val="20"/>
          <w:lang w:val="es-ES_tradnl"/>
        </w:rPr>
        <w:t xml:space="preserve"> existente</w:t>
      </w:r>
      <w:r w:rsidR="005B250C">
        <w:rPr>
          <w:rFonts w:ascii="Verdana" w:hAnsi="Verdana"/>
          <w:sz w:val="20"/>
          <w:szCs w:val="20"/>
          <w:lang w:val="es-ES_tradnl"/>
        </w:rPr>
        <w:t>s</w:t>
      </w:r>
      <w:r w:rsidR="00234A68">
        <w:rPr>
          <w:rFonts w:ascii="Verdana" w:hAnsi="Verdana"/>
          <w:sz w:val="20"/>
          <w:szCs w:val="20"/>
          <w:lang w:val="es-ES_tradnl"/>
        </w:rPr>
        <w:t xml:space="preserve"> entre las víctimas fallecidas en la </w:t>
      </w:r>
      <w:r w:rsidR="00234A68" w:rsidRPr="00F1192A">
        <w:rPr>
          <w:rFonts w:ascii="Verdana" w:hAnsi="Verdana"/>
          <w:sz w:val="20"/>
          <w:szCs w:val="20"/>
          <w:lang w:val="es-ES_tradnl"/>
        </w:rPr>
        <w:t>masacre y sus familiares y los correspondientes derechos de sucesión</w:t>
      </w:r>
      <w:r w:rsidR="00D86073" w:rsidRPr="00F1192A">
        <w:rPr>
          <w:rFonts w:ascii="Verdana" w:hAnsi="Verdana"/>
          <w:sz w:val="20"/>
          <w:szCs w:val="20"/>
          <w:lang w:val="es-ES_tradnl"/>
        </w:rPr>
        <w:t xml:space="preserve">. </w:t>
      </w:r>
      <w:r w:rsidR="00971BAA" w:rsidRPr="00F1192A">
        <w:rPr>
          <w:rFonts w:ascii="Verdana" w:hAnsi="Verdana"/>
          <w:sz w:val="20"/>
          <w:szCs w:val="20"/>
          <w:lang w:val="es-ES_tradnl"/>
        </w:rPr>
        <w:t xml:space="preserve">La Corte observa que el hecho de que esas </w:t>
      </w:r>
      <w:r w:rsidR="00095BB5" w:rsidRPr="00F1192A">
        <w:rPr>
          <w:rFonts w:ascii="Verdana" w:hAnsi="Verdana"/>
          <w:sz w:val="20"/>
          <w:szCs w:val="20"/>
          <w:lang w:val="es-ES_tradnl"/>
        </w:rPr>
        <w:t>1725</w:t>
      </w:r>
      <w:r w:rsidR="00971BAA" w:rsidRPr="00F1192A">
        <w:rPr>
          <w:rFonts w:ascii="Verdana" w:hAnsi="Verdana"/>
          <w:sz w:val="20"/>
          <w:szCs w:val="20"/>
          <w:lang w:val="es-ES_tradnl"/>
        </w:rPr>
        <w:t xml:space="preserve"> personas estén incluidas dentro del “Registro Oficial” de víctimas es tan solo un paso o </w:t>
      </w:r>
      <w:r w:rsidR="00971BAA" w:rsidRPr="00F1192A">
        <w:rPr>
          <w:rFonts w:ascii="Verdana" w:hAnsi="Verdana"/>
          <w:sz w:val="20"/>
          <w:szCs w:val="20"/>
          <w:lang w:val="es-ES_tradnl"/>
        </w:rPr>
        <w:lastRenderedPageBreak/>
        <w:t>etapa previ</w:t>
      </w:r>
      <w:r w:rsidR="007D6315">
        <w:rPr>
          <w:rFonts w:ascii="Verdana" w:hAnsi="Verdana"/>
          <w:sz w:val="20"/>
          <w:szCs w:val="20"/>
          <w:lang w:val="es-ES_tradnl"/>
        </w:rPr>
        <w:t>a</w:t>
      </w:r>
      <w:r w:rsidR="00971BAA" w:rsidRPr="00F1192A">
        <w:rPr>
          <w:rFonts w:ascii="Verdana" w:hAnsi="Verdana"/>
          <w:sz w:val="20"/>
          <w:szCs w:val="20"/>
          <w:lang w:val="es-ES_tradnl"/>
        </w:rPr>
        <w:t xml:space="preserve"> a que realmente se les considere para efectos prácticos como</w:t>
      </w:r>
      <w:r w:rsidR="00971BAA" w:rsidRPr="00971BAA">
        <w:rPr>
          <w:rFonts w:ascii="Verdana" w:hAnsi="Verdana"/>
          <w:sz w:val="20"/>
          <w:szCs w:val="20"/>
          <w:lang w:val="es-ES_tradnl"/>
        </w:rPr>
        <w:t xml:space="preserve"> víctimas beneficiarias de reparaciones, ya que con posterioridad a la formación de este listado del Registro Oficial</w:t>
      </w:r>
      <w:r w:rsidR="007D6315">
        <w:rPr>
          <w:rFonts w:ascii="Verdana" w:hAnsi="Verdana"/>
          <w:sz w:val="20"/>
          <w:szCs w:val="20"/>
          <w:lang w:val="es-ES_tradnl"/>
        </w:rPr>
        <w:t xml:space="preserve"> y previo a obtener las reparaciones,</w:t>
      </w:r>
      <w:r w:rsidR="00971BAA" w:rsidRPr="00971BAA">
        <w:rPr>
          <w:rFonts w:ascii="Verdana" w:hAnsi="Verdana"/>
          <w:sz w:val="20"/>
          <w:szCs w:val="20"/>
          <w:lang w:val="es-ES_tradnl"/>
        </w:rPr>
        <w:t xml:space="preserve"> se les somete a una etapa en que deben demostrar la identidad de la víctima fallecida en las masacres y su vínculo filial con las mismas</w:t>
      </w:r>
      <w:r w:rsidR="00095BB5">
        <w:rPr>
          <w:rStyle w:val="FootnoteReference"/>
          <w:rFonts w:ascii="Verdana" w:hAnsi="Verdana"/>
          <w:sz w:val="20"/>
          <w:szCs w:val="20"/>
          <w:lang w:val="es-ES_tradnl"/>
        </w:rPr>
        <w:footnoteReference w:id="27"/>
      </w:r>
      <w:r w:rsidR="00971BAA" w:rsidRPr="00971BAA">
        <w:rPr>
          <w:rFonts w:ascii="Verdana" w:hAnsi="Verdana"/>
          <w:sz w:val="20"/>
          <w:szCs w:val="20"/>
          <w:lang w:val="es-ES_tradnl"/>
        </w:rPr>
        <w:t>.</w:t>
      </w:r>
    </w:p>
    <w:p w14:paraId="6F506C9D" w14:textId="17AD9D66" w:rsidR="00822F3E" w:rsidRDefault="00D86073"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En específico, los representantes han indicado que “</w:t>
      </w:r>
      <w:r w:rsidRPr="00E934C9">
        <w:rPr>
          <w:rFonts w:ascii="Verdana" w:hAnsi="Verdana"/>
          <w:sz w:val="20"/>
          <w:szCs w:val="20"/>
          <w:lang w:val="es-ES_tradnl"/>
        </w:rPr>
        <w:t>la ausencia de documentos no puede ser un obstáculo para que las víctimas y sus familiares sean debidamente reparadas, y corresponde al Estado adoptar medidas para cumplir con lo dispuesto en la Sentencia, atendiendo a las circunstancias propias del caso</w:t>
      </w:r>
      <w:r>
        <w:rPr>
          <w:rFonts w:ascii="Verdana" w:hAnsi="Verdana"/>
          <w:sz w:val="20"/>
          <w:szCs w:val="20"/>
          <w:lang w:val="es-ES_tradnl"/>
        </w:rPr>
        <w:t>”. Similarmente, han indicado que “[p]</w:t>
      </w:r>
      <w:r w:rsidRPr="00E934C9">
        <w:rPr>
          <w:rFonts w:ascii="Verdana" w:hAnsi="Verdana"/>
          <w:sz w:val="20"/>
          <w:szCs w:val="20"/>
          <w:lang w:val="es-ES_tradnl"/>
        </w:rPr>
        <w:t>reocupa de manera particular a esta representación el hecho de que, hasta el momento, la gestión necesaria para la documentación de las víctimas ha sido llevada adelante por ellas mismas, quienes además han tenido que llevar a cabo los gastos correspondientes</w:t>
      </w:r>
      <w:r>
        <w:rPr>
          <w:rFonts w:ascii="Verdana" w:hAnsi="Verdana"/>
          <w:sz w:val="20"/>
          <w:szCs w:val="20"/>
          <w:lang w:val="es-ES_tradnl"/>
        </w:rPr>
        <w:t>”</w:t>
      </w:r>
      <w:r w:rsidR="00F07E97">
        <w:rPr>
          <w:rFonts w:ascii="Verdana" w:hAnsi="Verdana"/>
          <w:sz w:val="20"/>
          <w:szCs w:val="20"/>
          <w:lang w:val="es-ES_tradnl"/>
        </w:rPr>
        <w:t>, incluyendo los que generan los procesos sucesorios, a pesar de que son personas de escasos recursos económicos</w:t>
      </w:r>
      <w:r>
        <w:rPr>
          <w:rFonts w:ascii="Verdana" w:hAnsi="Verdana"/>
          <w:sz w:val="20"/>
          <w:szCs w:val="20"/>
          <w:lang w:val="es-ES_tradnl"/>
        </w:rPr>
        <w:t xml:space="preserve">. </w:t>
      </w:r>
      <w:r w:rsidR="006B511C">
        <w:rPr>
          <w:rFonts w:ascii="Verdana" w:hAnsi="Verdana"/>
          <w:sz w:val="20"/>
          <w:szCs w:val="20"/>
          <w:lang w:val="es-ES_tradnl"/>
        </w:rPr>
        <w:t xml:space="preserve">Asimismo, destacaron </w:t>
      </w:r>
      <w:r w:rsidR="005A29FF">
        <w:rPr>
          <w:rFonts w:ascii="Verdana" w:hAnsi="Verdana"/>
          <w:sz w:val="20"/>
          <w:szCs w:val="20"/>
          <w:lang w:val="es-ES_tradnl"/>
        </w:rPr>
        <w:t xml:space="preserve">que algunas víctimas han fallecido sin haber recibido el pago de la indemnización. </w:t>
      </w:r>
      <w:r w:rsidR="007E6ACE">
        <w:rPr>
          <w:rFonts w:ascii="Verdana" w:hAnsi="Verdana"/>
          <w:sz w:val="20"/>
          <w:szCs w:val="20"/>
          <w:lang w:val="es-ES_tradnl"/>
        </w:rPr>
        <w:t>Por su parte, el Estado reconoció</w:t>
      </w:r>
      <w:r w:rsidR="007E6ACE" w:rsidRPr="007E6ACE">
        <w:rPr>
          <w:rFonts w:ascii="Verdana" w:hAnsi="Verdana"/>
          <w:sz w:val="20"/>
          <w:szCs w:val="20"/>
          <w:lang w:val="es-ES_tradnl"/>
        </w:rPr>
        <w:t xml:space="preserve">, </w:t>
      </w:r>
      <w:r w:rsidR="007E6ACE">
        <w:rPr>
          <w:rFonts w:ascii="Verdana" w:hAnsi="Verdana"/>
          <w:sz w:val="20"/>
          <w:szCs w:val="20"/>
          <w:lang w:val="es-ES_tradnl"/>
        </w:rPr>
        <w:t xml:space="preserve">durante la </w:t>
      </w:r>
      <w:r w:rsidR="003E2F52">
        <w:rPr>
          <w:rFonts w:ascii="Verdana" w:hAnsi="Verdana"/>
          <w:sz w:val="20"/>
          <w:szCs w:val="20"/>
          <w:lang w:val="es-ES_tradnl"/>
        </w:rPr>
        <w:t>audiencia privada</w:t>
      </w:r>
      <w:r w:rsidR="00655A4E">
        <w:rPr>
          <w:rFonts w:ascii="Verdana" w:hAnsi="Verdana"/>
          <w:sz w:val="20"/>
          <w:szCs w:val="20"/>
          <w:lang w:val="es-ES_tradnl"/>
        </w:rPr>
        <w:t xml:space="preserve"> </w:t>
      </w:r>
      <w:r w:rsidR="003E2F52">
        <w:rPr>
          <w:rFonts w:ascii="Verdana" w:hAnsi="Verdana"/>
          <w:sz w:val="20"/>
          <w:szCs w:val="20"/>
          <w:lang w:val="es-ES_tradnl"/>
        </w:rPr>
        <w:t xml:space="preserve">en San Salvador en </w:t>
      </w:r>
      <w:r w:rsidR="007E6ACE">
        <w:rPr>
          <w:rFonts w:ascii="Verdana" w:hAnsi="Verdana"/>
          <w:sz w:val="20"/>
          <w:szCs w:val="20"/>
          <w:lang w:val="es-ES_tradnl"/>
        </w:rPr>
        <w:t xml:space="preserve"> agosto de 2018 y </w:t>
      </w:r>
      <w:r w:rsidR="007E6ACE" w:rsidRPr="007E6ACE">
        <w:rPr>
          <w:rFonts w:ascii="Verdana" w:hAnsi="Verdana"/>
          <w:sz w:val="20"/>
          <w:szCs w:val="20"/>
          <w:lang w:val="es-ES_tradnl"/>
        </w:rPr>
        <w:t xml:space="preserve">en su informe de octubre de 2018, que “el problema tiene su origen, entre otras causas, en la destrucción de los registros del estado familiar en el contexto del conflicto armado interno, en la falta de inscripción en casos de víctimas masacradas de muy corta edad y a diferencias propias de los registros familiares en esa época”. Teniendo eso en cuenta, los representantes solicitaron que el Estado “flexibilice los criterios de documentación que exige a las víctimas de este caso, de manera que los mismos tomen en cuenta las circunstancias descritas”. </w:t>
      </w:r>
    </w:p>
    <w:p w14:paraId="5C8E3F81" w14:textId="5666E42C" w:rsidR="00655A4E" w:rsidRPr="00971BAA" w:rsidRDefault="00655A4E"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971BAA">
        <w:rPr>
          <w:rFonts w:ascii="Verdana" w:hAnsi="Verdana"/>
          <w:sz w:val="20"/>
          <w:szCs w:val="20"/>
          <w:lang w:val="es-ES_tradnl"/>
        </w:rPr>
        <w:t>Estos obstáculos son particularmente relevantes dado que existe un vínculo ineludible entre la presente medida y la reparación integral de cada una de las víctimas, incluyendo el pago de las indemnizaciones dispuestas en la presente Sentencia (</w:t>
      </w:r>
      <w:r w:rsidRPr="00971BAA">
        <w:rPr>
          <w:rFonts w:ascii="Verdana" w:hAnsi="Verdana"/>
          <w:i/>
          <w:sz w:val="20"/>
          <w:szCs w:val="20"/>
          <w:lang w:val="es-ES_tradnl"/>
        </w:rPr>
        <w:t>infra</w:t>
      </w:r>
      <w:r w:rsidRPr="00971BAA">
        <w:rPr>
          <w:rFonts w:ascii="Verdana" w:hAnsi="Verdana"/>
          <w:sz w:val="20"/>
          <w:szCs w:val="20"/>
          <w:lang w:val="es-ES_tradnl"/>
        </w:rPr>
        <w:t xml:space="preserve"> Considerando</w:t>
      </w:r>
      <w:r w:rsidR="007C1293">
        <w:rPr>
          <w:rFonts w:ascii="Verdana" w:hAnsi="Verdana"/>
          <w:sz w:val="20"/>
          <w:szCs w:val="20"/>
          <w:lang w:val="es-ES_tradnl"/>
        </w:rPr>
        <w:t xml:space="preserve"> </w:t>
      </w:r>
      <w:r w:rsidR="007C1293">
        <w:rPr>
          <w:rFonts w:ascii="Verdana" w:hAnsi="Verdana"/>
          <w:sz w:val="20"/>
          <w:szCs w:val="20"/>
          <w:lang w:val="es-ES_tradnl"/>
        </w:rPr>
        <w:fldChar w:fldCharType="begin"/>
      </w:r>
      <w:r w:rsidR="007C1293">
        <w:rPr>
          <w:rFonts w:ascii="Verdana" w:hAnsi="Verdana"/>
          <w:sz w:val="20"/>
          <w:szCs w:val="20"/>
          <w:lang w:val="es-ES_tradnl"/>
        </w:rPr>
        <w:instrText xml:space="preserve"> REF _Ref532391639 \r \h </w:instrText>
      </w:r>
      <w:r w:rsidR="007C1293">
        <w:rPr>
          <w:rFonts w:ascii="Verdana" w:hAnsi="Verdana"/>
          <w:sz w:val="20"/>
          <w:szCs w:val="20"/>
          <w:lang w:val="es-ES_tradnl"/>
        </w:rPr>
      </w:r>
      <w:r w:rsidR="007C1293">
        <w:rPr>
          <w:rFonts w:ascii="Verdana" w:hAnsi="Verdana"/>
          <w:sz w:val="20"/>
          <w:szCs w:val="20"/>
          <w:lang w:val="es-ES_tradnl"/>
        </w:rPr>
        <w:fldChar w:fldCharType="separate"/>
      </w:r>
      <w:r w:rsidR="005E6AC2">
        <w:rPr>
          <w:rFonts w:ascii="Verdana" w:hAnsi="Verdana"/>
          <w:sz w:val="20"/>
          <w:szCs w:val="20"/>
          <w:lang w:val="es-ES_tradnl"/>
        </w:rPr>
        <w:t>33</w:t>
      </w:r>
      <w:r w:rsidR="007C1293">
        <w:rPr>
          <w:rFonts w:ascii="Verdana" w:hAnsi="Verdana"/>
          <w:sz w:val="20"/>
          <w:szCs w:val="20"/>
          <w:lang w:val="es-ES_tradnl"/>
        </w:rPr>
        <w:fldChar w:fldCharType="end"/>
      </w:r>
      <w:r w:rsidRPr="00971BAA">
        <w:rPr>
          <w:rFonts w:ascii="Verdana" w:hAnsi="Verdana"/>
          <w:sz w:val="20"/>
          <w:szCs w:val="20"/>
          <w:lang w:val="es-ES_tradnl"/>
        </w:rPr>
        <w:t xml:space="preserve">). En este sentido, si bien existe un amplio listado de víctimas, se requiere  superar la etapa de </w:t>
      </w:r>
      <w:r w:rsidR="00D709A5" w:rsidRPr="00971BAA">
        <w:rPr>
          <w:rFonts w:ascii="Verdana" w:hAnsi="Verdana"/>
          <w:sz w:val="20"/>
          <w:szCs w:val="20"/>
          <w:lang w:val="es-ES_tradnl"/>
        </w:rPr>
        <w:t>“</w:t>
      </w:r>
      <w:r w:rsidRPr="00971BAA">
        <w:rPr>
          <w:rFonts w:ascii="Verdana" w:hAnsi="Verdana"/>
          <w:sz w:val="20"/>
          <w:szCs w:val="20"/>
          <w:lang w:val="es-ES_tradnl"/>
        </w:rPr>
        <w:t>registro documental</w:t>
      </w:r>
      <w:r w:rsidR="00D709A5" w:rsidRPr="00971BAA">
        <w:rPr>
          <w:rFonts w:ascii="Verdana" w:hAnsi="Verdana"/>
          <w:sz w:val="20"/>
          <w:szCs w:val="20"/>
          <w:lang w:val="es-ES_tradnl"/>
        </w:rPr>
        <w:t>”</w:t>
      </w:r>
      <w:r w:rsidR="007C1293">
        <w:rPr>
          <w:rFonts w:ascii="Verdana" w:hAnsi="Verdana"/>
          <w:sz w:val="20"/>
          <w:szCs w:val="20"/>
          <w:lang w:val="es-ES_tradnl"/>
        </w:rPr>
        <w:t xml:space="preserve"> (</w:t>
      </w:r>
      <w:r w:rsidR="007C1293">
        <w:rPr>
          <w:rFonts w:ascii="Verdana" w:hAnsi="Verdana"/>
          <w:i/>
          <w:sz w:val="20"/>
          <w:szCs w:val="20"/>
          <w:lang w:val="es-ES_tradnl"/>
        </w:rPr>
        <w:t>supra</w:t>
      </w:r>
      <w:r w:rsidR="007C1293">
        <w:rPr>
          <w:rFonts w:ascii="Verdana" w:hAnsi="Verdana"/>
          <w:sz w:val="20"/>
          <w:szCs w:val="20"/>
          <w:lang w:val="es-ES_tradnl"/>
        </w:rPr>
        <w:t xml:space="preserve"> Considerando </w:t>
      </w:r>
      <w:r w:rsidR="007C1293">
        <w:rPr>
          <w:rFonts w:ascii="Verdana" w:hAnsi="Verdana"/>
          <w:sz w:val="20"/>
          <w:szCs w:val="20"/>
          <w:lang w:val="es-ES_tradnl"/>
        </w:rPr>
        <w:fldChar w:fldCharType="begin"/>
      </w:r>
      <w:r w:rsidR="007C1293">
        <w:rPr>
          <w:rFonts w:ascii="Verdana" w:hAnsi="Verdana"/>
          <w:sz w:val="20"/>
          <w:szCs w:val="20"/>
          <w:lang w:val="es-ES_tradnl"/>
        </w:rPr>
        <w:instrText xml:space="preserve"> REF _Ref406703503 \r \h </w:instrText>
      </w:r>
      <w:r w:rsidR="007C1293">
        <w:rPr>
          <w:rFonts w:ascii="Verdana" w:hAnsi="Verdana"/>
          <w:sz w:val="20"/>
          <w:szCs w:val="20"/>
          <w:lang w:val="es-ES_tradnl"/>
        </w:rPr>
      </w:r>
      <w:r w:rsidR="007C1293">
        <w:rPr>
          <w:rFonts w:ascii="Verdana" w:hAnsi="Verdana"/>
          <w:sz w:val="20"/>
          <w:szCs w:val="20"/>
          <w:lang w:val="es-ES_tradnl"/>
        </w:rPr>
        <w:fldChar w:fldCharType="separate"/>
      </w:r>
      <w:r w:rsidR="005E6AC2">
        <w:rPr>
          <w:rFonts w:ascii="Verdana" w:hAnsi="Verdana"/>
          <w:sz w:val="20"/>
          <w:szCs w:val="20"/>
          <w:lang w:val="es-ES_tradnl"/>
        </w:rPr>
        <w:t>17</w:t>
      </w:r>
      <w:r w:rsidR="007C1293">
        <w:rPr>
          <w:rFonts w:ascii="Verdana" w:hAnsi="Verdana"/>
          <w:sz w:val="20"/>
          <w:szCs w:val="20"/>
          <w:lang w:val="es-ES_tradnl"/>
        </w:rPr>
        <w:fldChar w:fldCharType="end"/>
      </w:r>
      <w:r w:rsidR="007C1293">
        <w:rPr>
          <w:rFonts w:ascii="Verdana" w:hAnsi="Verdana"/>
          <w:sz w:val="20"/>
          <w:szCs w:val="20"/>
          <w:lang w:val="es-ES_tradnl"/>
        </w:rPr>
        <w:t>)</w:t>
      </w:r>
      <w:r w:rsidRPr="00971BAA">
        <w:rPr>
          <w:rFonts w:ascii="Verdana" w:hAnsi="Verdana"/>
          <w:sz w:val="20"/>
          <w:szCs w:val="20"/>
          <w:lang w:val="es-ES_tradnl"/>
        </w:rPr>
        <w:t xml:space="preserve"> para que efectivamente puedan ser reparadas.</w:t>
      </w:r>
      <w:r w:rsidR="00611D31" w:rsidRPr="00971BAA">
        <w:rPr>
          <w:rFonts w:ascii="Verdana" w:hAnsi="Verdana"/>
          <w:sz w:val="20"/>
          <w:szCs w:val="20"/>
          <w:lang w:val="es-ES_tradnl"/>
        </w:rPr>
        <w:t xml:space="preserve"> Al respecto</w:t>
      </w:r>
      <w:r w:rsidRPr="00971BAA">
        <w:rPr>
          <w:rFonts w:ascii="Verdana" w:hAnsi="Verdana"/>
          <w:sz w:val="20"/>
          <w:szCs w:val="20"/>
          <w:lang w:val="es-ES_tradnl"/>
        </w:rPr>
        <w:t xml:space="preserve">, el Estado clarificó </w:t>
      </w:r>
      <w:r w:rsidR="007D6315">
        <w:rPr>
          <w:rFonts w:ascii="Verdana" w:hAnsi="Verdana"/>
          <w:sz w:val="20"/>
          <w:szCs w:val="20"/>
          <w:lang w:val="es-ES_tradnl"/>
        </w:rPr>
        <w:t>que</w:t>
      </w:r>
      <w:r w:rsidRPr="00971BAA">
        <w:rPr>
          <w:rFonts w:ascii="Verdana" w:hAnsi="Verdana"/>
          <w:sz w:val="20"/>
          <w:szCs w:val="20"/>
          <w:lang w:val="es-ES_tradnl"/>
        </w:rPr>
        <w:t xml:space="preserve"> </w:t>
      </w:r>
      <w:r w:rsidR="007D6315">
        <w:rPr>
          <w:rFonts w:ascii="Verdana" w:hAnsi="Verdana"/>
          <w:sz w:val="20"/>
          <w:szCs w:val="20"/>
          <w:lang w:val="es-ES_tradnl"/>
        </w:rPr>
        <w:t>“</w:t>
      </w:r>
      <w:r w:rsidRPr="00971BAA">
        <w:rPr>
          <w:rFonts w:ascii="Verdana" w:hAnsi="Verdana"/>
          <w:sz w:val="20"/>
          <w:szCs w:val="20"/>
          <w:lang w:val="es-ES_tradnl"/>
        </w:rPr>
        <w:t>el 65% de las víctimas presenta algún problema de documentación”</w:t>
      </w:r>
      <w:r w:rsidR="007D6315">
        <w:rPr>
          <w:rFonts w:ascii="Verdana" w:hAnsi="Verdana"/>
          <w:sz w:val="20"/>
          <w:szCs w:val="20"/>
          <w:lang w:val="es-ES_tradnl"/>
        </w:rPr>
        <w:t xml:space="preserve"> (</w:t>
      </w:r>
      <w:r w:rsidR="007D6315">
        <w:rPr>
          <w:rFonts w:ascii="Verdana" w:hAnsi="Verdana"/>
          <w:i/>
          <w:sz w:val="20"/>
          <w:szCs w:val="20"/>
          <w:lang w:val="es-ES_tradnl"/>
        </w:rPr>
        <w:t xml:space="preserve">supra </w:t>
      </w:r>
      <w:r w:rsidR="007D6315">
        <w:rPr>
          <w:rFonts w:ascii="Verdana" w:hAnsi="Verdana"/>
          <w:sz w:val="20"/>
          <w:szCs w:val="20"/>
          <w:lang w:val="es-ES_tradnl"/>
        </w:rPr>
        <w:t>Considerando 17.d)</w:t>
      </w:r>
      <w:r w:rsidRPr="00971BAA">
        <w:rPr>
          <w:rFonts w:ascii="Verdana" w:hAnsi="Verdana"/>
          <w:sz w:val="20"/>
          <w:szCs w:val="20"/>
          <w:lang w:val="es-ES_tradnl"/>
        </w:rPr>
        <w:t>. El Estado añadió en esa oportunidad que “todas estas víctimas están oficialmente reconocidas por el Estado como víctimas”, pero que hasta tanto no superen la etapa</w:t>
      </w:r>
      <w:r w:rsidR="00804335" w:rsidRPr="00971BAA">
        <w:rPr>
          <w:rFonts w:ascii="Verdana" w:hAnsi="Verdana"/>
          <w:sz w:val="20"/>
          <w:szCs w:val="20"/>
          <w:lang w:val="es-ES_tradnl"/>
        </w:rPr>
        <w:t xml:space="preserve"> “de registro documental</w:t>
      </w:r>
      <w:proofErr w:type="gramStart"/>
      <w:r w:rsidR="00804335" w:rsidRPr="00971BAA">
        <w:rPr>
          <w:rFonts w:ascii="Verdana" w:hAnsi="Verdana"/>
          <w:sz w:val="20"/>
          <w:szCs w:val="20"/>
          <w:lang w:val="es-ES_tradnl"/>
        </w:rPr>
        <w:t>”</w:t>
      </w:r>
      <w:r w:rsidRPr="00971BAA">
        <w:rPr>
          <w:rFonts w:ascii="Verdana" w:hAnsi="Verdana"/>
          <w:sz w:val="20"/>
          <w:szCs w:val="20"/>
          <w:lang w:val="es-ES_tradnl"/>
        </w:rPr>
        <w:t xml:space="preserve"> ,</w:t>
      </w:r>
      <w:proofErr w:type="gramEnd"/>
      <w:r w:rsidRPr="00971BAA">
        <w:rPr>
          <w:rFonts w:ascii="Verdana" w:hAnsi="Verdana"/>
          <w:sz w:val="20"/>
          <w:szCs w:val="20"/>
          <w:lang w:val="es-ES_tradnl"/>
        </w:rPr>
        <w:t xml:space="preserve"> no pueden realizarse los pagos correspondientes (</w:t>
      </w:r>
      <w:r w:rsidRPr="00971BAA">
        <w:rPr>
          <w:rFonts w:ascii="Verdana" w:hAnsi="Verdana"/>
          <w:i/>
          <w:sz w:val="20"/>
          <w:szCs w:val="20"/>
          <w:lang w:val="es-ES_tradnl"/>
        </w:rPr>
        <w:t>infra</w:t>
      </w:r>
      <w:r w:rsidRPr="00971BAA">
        <w:rPr>
          <w:rFonts w:ascii="Verdana" w:hAnsi="Verdana"/>
          <w:sz w:val="20"/>
          <w:szCs w:val="20"/>
          <w:lang w:val="es-ES_tradnl"/>
        </w:rPr>
        <w:t xml:space="preserve"> Considerando</w:t>
      </w:r>
      <w:r w:rsidR="007C1293">
        <w:rPr>
          <w:rFonts w:ascii="Verdana" w:hAnsi="Verdana"/>
          <w:sz w:val="20"/>
          <w:szCs w:val="20"/>
          <w:lang w:val="es-ES_tradnl"/>
        </w:rPr>
        <w:t xml:space="preserve"> </w:t>
      </w:r>
      <w:r w:rsidR="007C1293">
        <w:rPr>
          <w:rFonts w:ascii="Verdana" w:hAnsi="Verdana"/>
          <w:sz w:val="20"/>
          <w:szCs w:val="20"/>
          <w:lang w:val="es-CR"/>
        </w:rPr>
        <w:fldChar w:fldCharType="begin"/>
      </w:r>
      <w:r w:rsidR="007C1293">
        <w:rPr>
          <w:rFonts w:ascii="Verdana" w:hAnsi="Verdana"/>
          <w:sz w:val="20"/>
          <w:szCs w:val="20"/>
          <w:lang w:val="es-ES_tradnl"/>
        </w:rPr>
        <w:instrText xml:space="preserve"> REF _Ref406703587 \r \h </w:instrText>
      </w:r>
      <w:r w:rsidR="007C1293">
        <w:rPr>
          <w:rFonts w:ascii="Verdana" w:hAnsi="Verdana"/>
          <w:sz w:val="20"/>
          <w:szCs w:val="20"/>
          <w:lang w:val="es-CR"/>
        </w:rPr>
      </w:r>
      <w:r w:rsidR="007C1293">
        <w:rPr>
          <w:rFonts w:ascii="Verdana" w:hAnsi="Verdana"/>
          <w:sz w:val="20"/>
          <w:szCs w:val="20"/>
          <w:lang w:val="es-CR"/>
        </w:rPr>
        <w:fldChar w:fldCharType="separate"/>
      </w:r>
      <w:r w:rsidR="005E6AC2">
        <w:rPr>
          <w:rFonts w:ascii="Verdana" w:hAnsi="Verdana"/>
          <w:sz w:val="20"/>
          <w:szCs w:val="20"/>
          <w:lang w:val="es-ES_tradnl"/>
        </w:rPr>
        <w:t>35</w:t>
      </w:r>
      <w:r w:rsidR="007C1293">
        <w:rPr>
          <w:rFonts w:ascii="Verdana" w:hAnsi="Verdana"/>
          <w:sz w:val="20"/>
          <w:szCs w:val="20"/>
          <w:lang w:val="es-CR"/>
        </w:rPr>
        <w:fldChar w:fldCharType="end"/>
      </w:r>
      <w:r w:rsidRPr="00971BAA">
        <w:rPr>
          <w:rFonts w:ascii="Verdana" w:hAnsi="Verdana"/>
          <w:sz w:val="20"/>
          <w:szCs w:val="20"/>
          <w:lang w:val="es-CR"/>
        </w:rPr>
        <w:t>)</w:t>
      </w:r>
      <w:r w:rsidRPr="00971BAA">
        <w:rPr>
          <w:rFonts w:ascii="Verdana" w:hAnsi="Verdana"/>
          <w:sz w:val="20"/>
          <w:szCs w:val="20"/>
          <w:lang w:val="es-ES_tradnl"/>
        </w:rPr>
        <w:t>.</w:t>
      </w:r>
    </w:p>
    <w:p w14:paraId="2EB26855" w14:textId="5831F1A2" w:rsidR="0066686C" w:rsidRPr="000412A5" w:rsidRDefault="0066686C"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bookmarkStart w:id="26" w:name="_Ref532828948"/>
      <w:r>
        <w:rPr>
          <w:rFonts w:ascii="Verdana" w:hAnsi="Verdana"/>
          <w:sz w:val="20"/>
          <w:szCs w:val="20"/>
          <w:lang w:val="es-ES_tradnl"/>
        </w:rPr>
        <w:t>Con el fin de superar dichos obstáculos,</w:t>
      </w:r>
      <w:r w:rsidRPr="000412A5">
        <w:rPr>
          <w:rFonts w:ascii="Verdana" w:hAnsi="Verdana"/>
          <w:sz w:val="20"/>
          <w:szCs w:val="20"/>
          <w:lang w:val="es-ES_tradnl"/>
        </w:rPr>
        <w:t xml:space="preserve"> </w:t>
      </w:r>
      <w:r>
        <w:rPr>
          <w:rFonts w:ascii="Verdana" w:hAnsi="Verdana"/>
          <w:sz w:val="20"/>
          <w:szCs w:val="20"/>
          <w:lang w:val="es-ES_tradnl"/>
        </w:rPr>
        <w:t>el Poder Ejecutivo presentó el anteproyecto de ley de</w:t>
      </w:r>
      <w:r w:rsidRPr="000412A5">
        <w:rPr>
          <w:rFonts w:ascii="Verdana" w:hAnsi="Verdana"/>
          <w:sz w:val="20"/>
          <w:szCs w:val="20"/>
          <w:lang w:val="es-ES_tradnl"/>
        </w:rPr>
        <w:t xml:space="preserve"> “Disposiciones Especiales y Transitorias para el Establecimiento del Estado Familiar o Fallecimiento de las Víctimas de las Masacres de El Mozote y lugares aledaños”</w:t>
      </w:r>
      <w:r>
        <w:rPr>
          <w:rFonts w:ascii="Verdana" w:hAnsi="Verdana"/>
          <w:sz w:val="20"/>
          <w:szCs w:val="20"/>
          <w:lang w:val="es-ES_tradnl"/>
        </w:rPr>
        <w:t xml:space="preserve"> a la Asamblea Legislativa, que</w:t>
      </w:r>
      <w:r w:rsidRPr="000412A5">
        <w:rPr>
          <w:rFonts w:ascii="Verdana" w:hAnsi="Verdana"/>
          <w:sz w:val="20"/>
          <w:szCs w:val="20"/>
          <w:lang w:val="es-ES_tradnl"/>
        </w:rPr>
        <w:t xml:space="preserve"> tiene como objeto: “crear un procedimiento administrativo práctico y expedito para establecer el estado familiar o fallecimiento de una persona y, en consecuencia, habilitar su asentamiento, o bien, la rectificación de las partidas de nacimiento y defunción o de cualquier otra partida que establezca el estado familiar, parentesco o vínculos familiares, en los Registros del Estado Familiar de las Alcaldías Municipales competentes”; así como para realizar la declaratoria de la unión no matrimonial, respecto de las víctimas individualizadas en el listado oficial de las Masacres </w:t>
      </w:r>
      <w:r w:rsidR="007C1293">
        <w:rPr>
          <w:rFonts w:ascii="Verdana" w:hAnsi="Verdana"/>
          <w:sz w:val="20"/>
          <w:szCs w:val="20"/>
          <w:lang w:val="es-ES_tradnl"/>
        </w:rPr>
        <w:t>de El Mozote y lugares aledaños</w:t>
      </w:r>
      <w:r w:rsidRPr="000412A5">
        <w:rPr>
          <w:rFonts w:ascii="Verdana" w:hAnsi="Verdana"/>
          <w:sz w:val="20"/>
          <w:szCs w:val="20"/>
          <w:lang w:val="es-ES_tradnl"/>
        </w:rPr>
        <w:t xml:space="preserve"> que presenten problemas para su debida identificación o comprobación de</w:t>
      </w:r>
      <w:r w:rsidR="007C1293">
        <w:rPr>
          <w:rFonts w:ascii="Verdana" w:hAnsi="Verdana"/>
          <w:sz w:val="20"/>
          <w:szCs w:val="20"/>
          <w:lang w:val="es-ES_tradnl"/>
        </w:rPr>
        <w:t>l parentesco o vínculo familiar</w:t>
      </w:r>
      <w:r w:rsidRPr="000412A5">
        <w:rPr>
          <w:rFonts w:ascii="Verdana" w:hAnsi="Verdana"/>
          <w:sz w:val="20"/>
          <w:szCs w:val="20"/>
          <w:lang w:val="es-ES_tradnl"/>
        </w:rPr>
        <w:t xml:space="preserve"> (artículo 1 del proyecto). Dicho anteproyecto prevé:</w:t>
      </w:r>
      <w:bookmarkEnd w:id="26"/>
    </w:p>
    <w:p w14:paraId="0D595595" w14:textId="007FE0AB" w:rsidR="0066686C" w:rsidRPr="000412A5" w:rsidRDefault="0066686C" w:rsidP="0066686C">
      <w:pPr>
        <w:numPr>
          <w:ilvl w:val="0"/>
          <w:numId w:val="36"/>
        </w:numPr>
        <w:tabs>
          <w:tab w:val="left" w:pos="567"/>
          <w:tab w:val="left" w:pos="720"/>
        </w:tabs>
        <w:spacing w:afterLines="40" w:after="96" w:line="240" w:lineRule="auto"/>
        <w:ind w:right="4"/>
        <w:jc w:val="both"/>
        <w:rPr>
          <w:rFonts w:ascii="Verdana" w:hAnsi="Verdana"/>
          <w:sz w:val="20"/>
          <w:szCs w:val="20"/>
          <w:lang w:val="es-ES_tradnl"/>
        </w:rPr>
      </w:pPr>
      <w:r w:rsidRPr="000412A5">
        <w:rPr>
          <w:rFonts w:ascii="Verdana" w:hAnsi="Verdana"/>
          <w:sz w:val="20"/>
          <w:szCs w:val="20"/>
          <w:lang w:val="es-ES_tradnl"/>
        </w:rPr>
        <w:lastRenderedPageBreak/>
        <w:t>La creación de una Comisión Técnica Interinstitucional con la competencia de realizar las rectificaciones indicadas en el párrafo anterior y declarar la unión no matrimonial de las personas que integran el listado oficial de víctimas que exista a la fecha de entrada en vigor de estas normas (artículo 2);</w:t>
      </w:r>
    </w:p>
    <w:p w14:paraId="3734DA4B" w14:textId="40DA3875" w:rsidR="0066686C" w:rsidRPr="000412A5" w:rsidRDefault="0066686C" w:rsidP="0066686C">
      <w:pPr>
        <w:numPr>
          <w:ilvl w:val="0"/>
          <w:numId w:val="36"/>
        </w:numPr>
        <w:tabs>
          <w:tab w:val="left" w:pos="567"/>
          <w:tab w:val="left" w:pos="720"/>
        </w:tabs>
        <w:spacing w:afterLines="40" w:after="96" w:line="240" w:lineRule="auto"/>
        <w:ind w:right="4"/>
        <w:jc w:val="both"/>
        <w:rPr>
          <w:rFonts w:ascii="Verdana" w:hAnsi="Verdana"/>
          <w:sz w:val="20"/>
          <w:szCs w:val="20"/>
          <w:lang w:val="es-ES_tradnl"/>
        </w:rPr>
      </w:pPr>
      <w:r w:rsidRPr="000412A5">
        <w:rPr>
          <w:rFonts w:ascii="Verdana" w:hAnsi="Verdana"/>
          <w:sz w:val="20"/>
          <w:szCs w:val="20"/>
          <w:lang w:val="es-ES_tradnl"/>
        </w:rPr>
        <w:t xml:space="preserve">El procedimiento a seguir para realizar las rectificaciones correspondientes (artículos 4 y 5), que concluirá con la emisión de una resolución que deberá tener como consecuencia que los Registros de Estado Familiar </w:t>
      </w:r>
      <w:r>
        <w:rPr>
          <w:rFonts w:ascii="Verdana" w:hAnsi="Verdana"/>
          <w:sz w:val="20"/>
          <w:szCs w:val="20"/>
          <w:lang w:val="es-ES_tradnl"/>
        </w:rPr>
        <w:t>respectivos</w:t>
      </w:r>
      <w:r w:rsidRPr="000412A5">
        <w:rPr>
          <w:rFonts w:ascii="Verdana" w:hAnsi="Verdana"/>
          <w:sz w:val="20"/>
          <w:szCs w:val="20"/>
          <w:lang w:val="es-ES_tradnl"/>
        </w:rPr>
        <w:t xml:space="preserve"> asienten o rectifiquen las partidas objeto de análisis (artículo 8);</w:t>
      </w:r>
    </w:p>
    <w:p w14:paraId="01A74CB0" w14:textId="77777777" w:rsidR="0066686C" w:rsidRPr="000412A5" w:rsidRDefault="0066686C" w:rsidP="0066686C">
      <w:pPr>
        <w:numPr>
          <w:ilvl w:val="0"/>
          <w:numId w:val="36"/>
        </w:numPr>
        <w:tabs>
          <w:tab w:val="left" w:pos="567"/>
          <w:tab w:val="left" w:pos="720"/>
        </w:tabs>
        <w:spacing w:afterLines="40" w:after="96" w:line="240" w:lineRule="auto"/>
        <w:ind w:right="4"/>
        <w:jc w:val="both"/>
        <w:rPr>
          <w:rFonts w:ascii="Verdana" w:hAnsi="Verdana"/>
          <w:sz w:val="20"/>
          <w:szCs w:val="20"/>
          <w:lang w:val="es-ES_tradnl"/>
        </w:rPr>
      </w:pPr>
      <w:r w:rsidRPr="000412A5">
        <w:rPr>
          <w:rFonts w:ascii="Verdana" w:hAnsi="Verdana"/>
          <w:sz w:val="20"/>
          <w:szCs w:val="20"/>
          <w:lang w:val="es-ES_tradnl"/>
        </w:rPr>
        <w:t xml:space="preserve">La gratuidad de la primera certificación expedida como consecuencia de las inscripciones o rectificaciones realizadas en el marco de este procedimiento (artículo 10), y </w:t>
      </w:r>
    </w:p>
    <w:p w14:paraId="0A359C76" w14:textId="77777777" w:rsidR="0066686C" w:rsidRDefault="0066686C" w:rsidP="0066686C">
      <w:pPr>
        <w:numPr>
          <w:ilvl w:val="0"/>
          <w:numId w:val="36"/>
        </w:numPr>
        <w:tabs>
          <w:tab w:val="left" w:pos="567"/>
          <w:tab w:val="left" w:pos="720"/>
        </w:tabs>
        <w:spacing w:afterLines="40" w:after="96" w:line="240" w:lineRule="auto"/>
        <w:ind w:right="4"/>
        <w:jc w:val="both"/>
        <w:rPr>
          <w:rFonts w:ascii="Verdana" w:hAnsi="Verdana"/>
          <w:sz w:val="20"/>
          <w:szCs w:val="20"/>
          <w:lang w:val="es-ES_tradnl"/>
        </w:rPr>
      </w:pPr>
      <w:r w:rsidRPr="000412A5">
        <w:rPr>
          <w:rFonts w:ascii="Verdana" w:hAnsi="Verdana"/>
          <w:sz w:val="20"/>
          <w:szCs w:val="20"/>
          <w:lang w:val="es-ES_tradnl"/>
        </w:rPr>
        <w:t>La temporalidad del régimen desarrollado en este anteproyecto, el cual tendrá como duración un plazo de 18 meses a partir de su entrada en vigor (artículo 14).</w:t>
      </w:r>
    </w:p>
    <w:p w14:paraId="45C007E6" w14:textId="6BFBC7D3" w:rsidR="0066686C" w:rsidRDefault="0066686C"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En este sentido, la Corte estima que dicho anteproyecto atiende a l</w:t>
      </w:r>
      <w:r w:rsidR="0033627C">
        <w:rPr>
          <w:rFonts w:ascii="Verdana" w:hAnsi="Verdana"/>
          <w:sz w:val="20"/>
          <w:szCs w:val="20"/>
          <w:lang w:val="es-ES_tradnl"/>
        </w:rPr>
        <w:t>os obstáculos identificados</w:t>
      </w:r>
      <w:r>
        <w:rPr>
          <w:rFonts w:ascii="Verdana" w:hAnsi="Verdana"/>
          <w:sz w:val="20"/>
          <w:szCs w:val="20"/>
          <w:lang w:val="es-ES_tradnl"/>
        </w:rPr>
        <w:t xml:space="preserve"> en el cumplimiento de la presente medida. El mismo prevé un procedimiento sencillo, expedito y gratuito para que la documentación no sea un obstáculo para el cumplimiento de la presente medida de reparación. Teniendo en cuenta lo anterior, la Corte valora positivamente que el Poder Ejecutivo ha encabezado esfuerzos</w:t>
      </w:r>
      <w:r w:rsidRPr="00687AAD">
        <w:rPr>
          <w:rFonts w:ascii="Verdana" w:hAnsi="Verdana"/>
          <w:sz w:val="20"/>
          <w:szCs w:val="20"/>
          <w:lang w:val="es-ES_tradnl"/>
        </w:rPr>
        <w:t xml:space="preserve"> para dar cumplimiento efectivo a la presente medida de reparación</w:t>
      </w:r>
      <w:r>
        <w:rPr>
          <w:rFonts w:ascii="Verdana" w:hAnsi="Verdana"/>
          <w:sz w:val="20"/>
          <w:szCs w:val="20"/>
          <w:lang w:val="es-ES_tradnl"/>
        </w:rPr>
        <w:t xml:space="preserve"> a través de la presentación de un anteproyecto de ley de “</w:t>
      </w:r>
      <w:r w:rsidRPr="000412A5">
        <w:rPr>
          <w:rFonts w:ascii="Verdana" w:hAnsi="Verdana"/>
          <w:sz w:val="20"/>
          <w:szCs w:val="20"/>
          <w:lang w:val="es-ES_tradnl"/>
        </w:rPr>
        <w:t>Disposiciones Especiales y Transitorias para el Establecimiento del Estado Familiar o Fallecimiento de las Víctimas de las Masacres de El Mozote y lugares aledaños</w:t>
      </w:r>
      <w:r>
        <w:rPr>
          <w:rFonts w:ascii="Verdana" w:hAnsi="Verdana"/>
          <w:sz w:val="20"/>
          <w:szCs w:val="20"/>
          <w:lang w:val="es-ES_tradnl"/>
        </w:rPr>
        <w:t xml:space="preserve">” a la Asamblea Legislativa </w:t>
      </w:r>
      <w:r w:rsidRPr="009D458F">
        <w:rPr>
          <w:rFonts w:ascii="Verdana" w:hAnsi="Verdana"/>
          <w:sz w:val="20"/>
          <w:szCs w:val="20"/>
          <w:lang w:val="es-CR"/>
        </w:rPr>
        <w:t>que facilitaría</w:t>
      </w:r>
      <w:r>
        <w:rPr>
          <w:rFonts w:ascii="Verdana" w:hAnsi="Verdana"/>
          <w:sz w:val="20"/>
          <w:szCs w:val="20"/>
          <w:lang w:val="es-ES_tradnl"/>
        </w:rPr>
        <w:t xml:space="preserve"> el acceso a la documentación requerida.</w:t>
      </w:r>
    </w:p>
    <w:p w14:paraId="0F0FAB25" w14:textId="630AEBF7" w:rsidR="007C1293" w:rsidRDefault="0007569A"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bookmarkStart w:id="27" w:name="_Ref532828959"/>
      <w:r>
        <w:rPr>
          <w:rFonts w:ascii="Verdana" w:hAnsi="Verdana"/>
          <w:sz w:val="20"/>
          <w:szCs w:val="20"/>
          <w:lang w:val="es-ES_tradnl"/>
        </w:rPr>
        <w:t xml:space="preserve">Sin embargo, esa vía de resolver los obstáculos depende de la aprobación de una ley por </w:t>
      </w:r>
      <w:r w:rsidR="00C36EA3">
        <w:rPr>
          <w:rFonts w:ascii="Verdana" w:hAnsi="Verdana"/>
          <w:sz w:val="20"/>
          <w:szCs w:val="20"/>
          <w:lang w:val="es-ES_tradnl"/>
        </w:rPr>
        <w:t>el órgano legislativo</w:t>
      </w:r>
      <w:r>
        <w:rPr>
          <w:rFonts w:ascii="Verdana" w:hAnsi="Verdana"/>
          <w:sz w:val="20"/>
          <w:szCs w:val="20"/>
          <w:lang w:val="es-ES_tradnl"/>
        </w:rPr>
        <w:t>, lo cual no ha sucedido</w:t>
      </w:r>
      <w:r w:rsidR="0066686C" w:rsidRPr="000412A5">
        <w:rPr>
          <w:rFonts w:ascii="Verdana" w:hAnsi="Verdana"/>
          <w:sz w:val="20"/>
          <w:szCs w:val="20"/>
          <w:lang w:val="es-ES_tradnl"/>
        </w:rPr>
        <w:t xml:space="preserve">. </w:t>
      </w:r>
      <w:r>
        <w:rPr>
          <w:rFonts w:ascii="Verdana" w:hAnsi="Verdana"/>
          <w:sz w:val="20"/>
          <w:szCs w:val="20"/>
          <w:lang w:val="es-ES_tradnl"/>
        </w:rPr>
        <w:t>E</w:t>
      </w:r>
      <w:r w:rsidR="0066686C" w:rsidRPr="000412A5">
        <w:rPr>
          <w:rFonts w:ascii="Verdana" w:hAnsi="Verdana"/>
          <w:sz w:val="20"/>
          <w:szCs w:val="20"/>
          <w:lang w:val="es-ES_tradnl"/>
        </w:rPr>
        <w:t xml:space="preserve">l referido </w:t>
      </w:r>
      <w:r w:rsidR="0066686C">
        <w:rPr>
          <w:rFonts w:ascii="Verdana" w:hAnsi="Verdana"/>
          <w:sz w:val="20"/>
          <w:szCs w:val="20"/>
          <w:lang w:val="es-ES_tradnl"/>
        </w:rPr>
        <w:t>ante</w:t>
      </w:r>
      <w:r w:rsidR="0066686C" w:rsidRPr="000412A5">
        <w:rPr>
          <w:rFonts w:ascii="Verdana" w:hAnsi="Verdana"/>
          <w:sz w:val="20"/>
          <w:szCs w:val="20"/>
          <w:lang w:val="es-ES_tradnl"/>
        </w:rPr>
        <w:t>proyecto continúa en estudio por parte de la Comisión de Reformas Electorales y Constitucionales de la Asamblea Legislativa</w:t>
      </w:r>
      <w:r w:rsidR="0066686C">
        <w:rPr>
          <w:rFonts w:ascii="Verdana" w:hAnsi="Verdana"/>
          <w:sz w:val="20"/>
          <w:szCs w:val="20"/>
          <w:lang w:val="es-ES_tradnl"/>
        </w:rPr>
        <w:t xml:space="preserve">, </w:t>
      </w:r>
      <w:r w:rsidR="007D6315">
        <w:rPr>
          <w:rFonts w:ascii="Verdana" w:hAnsi="Verdana"/>
          <w:sz w:val="20"/>
          <w:szCs w:val="20"/>
          <w:lang w:val="es-ES_tradnl"/>
        </w:rPr>
        <w:t>según</w:t>
      </w:r>
      <w:r w:rsidR="0066686C">
        <w:rPr>
          <w:rFonts w:ascii="Verdana" w:hAnsi="Verdana"/>
          <w:sz w:val="20"/>
          <w:szCs w:val="20"/>
          <w:lang w:val="es-ES_tradnl"/>
        </w:rPr>
        <w:t xml:space="preserve"> lo indicó el Estado en su informe de octubre de 2018.</w:t>
      </w:r>
      <w:r w:rsidR="0066686C" w:rsidRPr="000412A5">
        <w:rPr>
          <w:rFonts w:ascii="Verdana" w:hAnsi="Verdana"/>
          <w:sz w:val="20"/>
          <w:szCs w:val="20"/>
          <w:lang w:val="es-ES_tradnl"/>
        </w:rPr>
        <w:t xml:space="preserve"> </w:t>
      </w:r>
      <w:r w:rsidR="0066686C">
        <w:rPr>
          <w:rFonts w:ascii="Verdana" w:hAnsi="Verdana"/>
          <w:sz w:val="20"/>
          <w:szCs w:val="20"/>
          <w:lang w:val="es-ES_tradnl"/>
        </w:rPr>
        <w:t>Aunado a ello, esta es la segunda oportunidad en la que dicho proyecto se presenta, ya que en una primera oportunidad no fue aprobado por la Asamblea Legislativa.</w:t>
      </w:r>
      <w:bookmarkEnd w:id="27"/>
    </w:p>
    <w:p w14:paraId="57DA39BF" w14:textId="1B4A4A78" w:rsidR="00632A46" w:rsidRPr="00632A46" w:rsidRDefault="00632A46"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 xml:space="preserve">El Salvador tiene la obligación internacional de cumplir con lo dispuesto en la Sentencia. De conformidad con lo establecido en el artículo </w:t>
      </w:r>
      <w:r w:rsidRPr="000412A5">
        <w:rPr>
          <w:rFonts w:ascii="Verdana" w:hAnsi="Verdana"/>
          <w:color w:val="000000"/>
          <w:sz w:val="20"/>
          <w:szCs w:val="20"/>
          <w:lang w:val="es-ES_tradnl"/>
        </w:rPr>
        <w:t xml:space="preserve">68.1 de la </w:t>
      </w:r>
      <w:r w:rsidRPr="000412A5">
        <w:rPr>
          <w:rFonts w:ascii="Verdana" w:hAnsi="Verdana"/>
          <w:sz w:val="20"/>
          <w:szCs w:val="20"/>
          <w:lang w:val="es-ES_tradnl"/>
        </w:rPr>
        <w:t>Convención</w:t>
      </w:r>
      <w:r w:rsidRPr="000412A5">
        <w:rPr>
          <w:rFonts w:ascii="Verdana" w:hAnsi="Verdana"/>
          <w:color w:val="000000"/>
          <w:sz w:val="20"/>
          <w:szCs w:val="20"/>
          <w:lang w:val="es-ES_tradnl"/>
        </w:rPr>
        <w:t xml:space="preserve"> Americana, “[l]os Estados Partes en la Convención se comprometen a cumplir la decisión de la Corte en todo caso en que sean partes”</w:t>
      </w:r>
      <w:r w:rsidRPr="000412A5">
        <w:rPr>
          <w:rFonts w:ascii="Verdana" w:hAnsi="Verdana" w:cs="Verdana"/>
          <w:sz w:val="20"/>
          <w:szCs w:val="20"/>
          <w:lang w:val="es-ES_tradnl"/>
        </w:rPr>
        <w:t xml:space="preserve">. </w:t>
      </w:r>
      <w:r w:rsidRPr="000412A5">
        <w:rPr>
          <w:rFonts w:ascii="Verdana" w:hAnsi="Verdana"/>
          <w:sz w:val="20"/>
          <w:lang w:val="es-ES_tradnl"/>
        </w:rPr>
        <w:t>Dichos Estados</w:t>
      </w:r>
      <w:r w:rsidRPr="000412A5">
        <w:rPr>
          <w:rFonts w:ascii="Verdana" w:eastAsia="Times New Roman" w:hAnsi="Verdana"/>
          <w:color w:val="000000"/>
          <w:sz w:val="20"/>
          <w:lang w:val="es-ES_tradnl"/>
        </w:rPr>
        <w:t xml:space="preserve"> tienen la obligación convencional de implementar </w:t>
      </w:r>
      <w:r w:rsidRPr="000412A5">
        <w:rPr>
          <w:rFonts w:ascii="Verdana" w:hAnsi="Verdana"/>
          <w:sz w:val="20"/>
          <w:szCs w:val="20"/>
          <w:lang w:val="es-ES_tradnl"/>
        </w:rPr>
        <w:t>tanto</w:t>
      </w:r>
      <w:r w:rsidRPr="000412A5">
        <w:rPr>
          <w:rFonts w:ascii="Verdana" w:eastAsia="Times New Roman" w:hAnsi="Verdana"/>
          <w:color w:val="000000"/>
          <w:sz w:val="20"/>
          <w:lang w:val="es-ES_tradnl"/>
        </w:rPr>
        <w:t xml:space="preserve"> a nivel internacional como interno y de forma pronta e íntegra, lo dispuesto por el </w:t>
      </w:r>
      <w:r w:rsidRPr="000412A5">
        <w:rPr>
          <w:rFonts w:ascii="Verdana" w:hAnsi="Verdana"/>
          <w:sz w:val="20"/>
          <w:szCs w:val="20"/>
          <w:lang w:val="es-ES_tradnl"/>
        </w:rPr>
        <w:t>Tribunal</w:t>
      </w:r>
      <w:r w:rsidRPr="000412A5">
        <w:rPr>
          <w:rFonts w:ascii="Verdana" w:eastAsia="Times New Roman" w:hAnsi="Verdana"/>
          <w:color w:val="000000"/>
          <w:sz w:val="20"/>
          <w:lang w:val="es-ES_tradnl"/>
        </w:rPr>
        <w:t xml:space="preserve"> en las Sentencias, y de no cumplirse se incurre en un ilícito internacional</w:t>
      </w:r>
      <w:r w:rsidRPr="000412A5">
        <w:rPr>
          <w:rStyle w:val="FootnoteReference"/>
          <w:rFonts w:ascii="Verdana" w:eastAsia="Times New Roman" w:hAnsi="Verdana"/>
          <w:color w:val="000000"/>
          <w:lang w:val="es-ES_tradnl"/>
        </w:rPr>
        <w:footnoteReference w:id="28"/>
      </w:r>
      <w:r w:rsidRPr="000412A5">
        <w:rPr>
          <w:rFonts w:ascii="Verdana" w:eastAsia="Times New Roman" w:hAnsi="Verdana"/>
          <w:color w:val="000000"/>
          <w:sz w:val="20"/>
          <w:lang w:val="es-ES_tradnl"/>
        </w:rPr>
        <w:t xml:space="preserve">. </w:t>
      </w:r>
      <w:r w:rsidRPr="000412A5">
        <w:rPr>
          <w:rFonts w:ascii="Verdana" w:hAnsi="Verdana"/>
          <w:sz w:val="20"/>
          <w:szCs w:val="20"/>
          <w:lang w:val="es-ES_tradnl"/>
        </w:rPr>
        <w:t>Las obligaciones convencionales de los Estados Parte vinculan a todos los poderes y órganos del Estado</w:t>
      </w:r>
      <w:r w:rsidRPr="000412A5">
        <w:rPr>
          <w:rStyle w:val="FootnoteReference"/>
          <w:rFonts w:ascii="Verdana" w:hAnsi="Verdana"/>
          <w:lang w:val="es-ES_tradnl"/>
        </w:rPr>
        <w:footnoteReference w:id="29"/>
      </w:r>
      <w:r w:rsidRPr="000412A5">
        <w:rPr>
          <w:rFonts w:ascii="Verdana" w:hAnsi="Verdana"/>
          <w:sz w:val="20"/>
          <w:szCs w:val="20"/>
          <w:lang w:val="es-ES_tradnl"/>
        </w:rPr>
        <w:t xml:space="preserve">, </w:t>
      </w:r>
      <w:r w:rsidRPr="000412A5">
        <w:rPr>
          <w:rFonts w:ascii="Verdana" w:hAnsi="Verdana" w:cs="Times-Roman"/>
          <w:sz w:val="20"/>
          <w:szCs w:val="20"/>
          <w:lang w:val="es-ES_tradnl" w:bidi="en-US"/>
        </w:rPr>
        <w:t>es decir, que todos los poderes del Estado (Ejecutivo, Legislativo, Judicial, u otras ramas del poder público) y otras autoridades públicas o estatales, de cualquier nivel, tienen el deber de cumplir de buena fe con el derecho internacional</w:t>
      </w:r>
      <w:r w:rsidRPr="000412A5">
        <w:rPr>
          <w:rStyle w:val="FootnoteReference"/>
          <w:rFonts w:ascii="Verdana" w:hAnsi="Verdana" w:cs="Times-Roman"/>
          <w:lang w:val="es-ES_tradnl" w:bidi="en-US"/>
        </w:rPr>
        <w:footnoteReference w:id="30"/>
      </w:r>
      <w:r w:rsidRPr="000412A5">
        <w:rPr>
          <w:rFonts w:ascii="Verdana" w:hAnsi="Verdana" w:cs="Times-Roman"/>
          <w:sz w:val="20"/>
          <w:szCs w:val="20"/>
          <w:lang w:val="es-ES_tradnl" w:bidi="en-US"/>
        </w:rPr>
        <w:t xml:space="preserve">. Asimismo, </w:t>
      </w:r>
      <w:r w:rsidRPr="000412A5">
        <w:rPr>
          <w:rFonts w:ascii="Verdana" w:hAnsi="Verdana"/>
          <w:sz w:val="20"/>
          <w:szCs w:val="20"/>
          <w:lang w:val="es-ES_tradnl"/>
        </w:rPr>
        <w:t xml:space="preserve">este Tribunal ha resaltado en su jurisprudencia que los Estados </w:t>
      </w:r>
      <w:r w:rsidRPr="000412A5">
        <w:rPr>
          <w:rFonts w:ascii="Verdana" w:hAnsi="Verdana"/>
          <w:sz w:val="20"/>
          <w:szCs w:val="20"/>
          <w:lang w:val="es-ES_tradnl"/>
        </w:rPr>
        <w:lastRenderedPageBreak/>
        <w:t>“no pueden por razones de orden interno dejar de asumir la responsabilidad internacional ya establecida”</w:t>
      </w:r>
      <w:r w:rsidRPr="000412A5">
        <w:rPr>
          <w:rStyle w:val="FootnoteReference"/>
          <w:rFonts w:ascii="Verdana" w:hAnsi="Verdana"/>
          <w:lang w:val="es-ES_tradnl"/>
        </w:rPr>
        <w:footnoteReference w:id="31"/>
      </w:r>
      <w:r w:rsidRPr="000412A5">
        <w:rPr>
          <w:rFonts w:ascii="Verdana" w:hAnsi="Verdana"/>
          <w:sz w:val="20"/>
          <w:szCs w:val="20"/>
          <w:lang w:val="es-ES_tradnl"/>
        </w:rPr>
        <w:t xml:space="preserve">. </w:t>
      </w:r>
      <w:r>
        <w:rPr>
          <w:rFonts w:ascii="Verdana" w:hAnsi="Verdana"/>
          <w:sz w:val="20"/>
          <w:szCs w:val="20"/>
          <w:lang w:val="es-ES_tradnl"/>
        </w:rPr>
        <w:t xml:space="preserve">  </w:t>
      </w:r>
    </w:p>
    <w:p w14:paraId="263D7EF8" w14:textId="00EC29E9" w:rsidR="0066686C" w:rsidRPr="001D18EB" w:rsidRDefault="007C1293"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bookmarkStart w:id="28" w:name="_Ref406704862"/>
      <w:r w:rsidRPr="001D18EB">
        <w:rPr>
          <w:rFonts w:ascii="Verdana" w:hAnsi="Verdana"/>
          <w:sz w:val="20"/>
          <w:szCs w:val="20"/>
          <w:lang w:val="es-ES_tradnl"/>
        </w:rPr>
        <w:t>L</w:t>
      </w:r>
      <w:r w:rsidR="0007569A" w:rsidRPr="001D18EB">
        <w:rPr>
          <w:rFonts w:ascii="Verdana" w:hAnsi="Verdana"/>
          <w:sz w:val="20"/>
          <w:szCs w:val="20"/>
          <w:lang w:val="es-ES_tradnl"/>
        </w:rPr>
        <w:t xml:space="preserve">a Corte </w:t>
      </w:r>
      <w:r w:rsidRPr="001D18EB">
        <w:rPr>
          <w:rFonts w:ascii="Verdana" w:hAnsi="Verdana"/>
          <w:sz w:val="20"/>
          <w:szCs w:val="20"/>
          <w:lang w:val="es-ES_tradnl"/>
        </w:rPr>
        <w:t xml:space="preserve">estima que el </w:t>
      </w:r>
      <w:r w:rsidR="0007569A" w:rsidRPr="001D18EB">
        <w:rPr>
          <w:rFonts w:ascii="Verdana" w:hAnsi="Verdana"/>
          <w:sz w:val="20"/>
          <w:szCs w:val="20"/>
          <w:lang w:val="es-ES_tradnl"/>
        </w:rPr>
        <w:t xml:space="preserve">Estado </w:t>
      </w:r>
      <w:r w:rsidR="005B23CA" w:rsidRPr="001D18EB">
        <w:rPr>
          <w:rFonts w:ascii="Verdana" w:hAnsi="Verdana"/>
          <w:sz w:val="20"/>
          <w:szCs w:val="20"/>
          <w:lang w:val="es-ES_tradnl"/>
        </w:rPr>
        <w:t>debe</w:t>
      </w:r>
      <w:r w:rsidR="0007569A" w:rsidRPr="001D18EB">
        <w:rPr>
          <w:rFonts w:ascii="Verdana" w:hAnsi="Verdana"/>
          <w:sz w:val="20"/>
          <w:szCs w:val="20"/>
          <w:lang w:val="es-ES_tradnl"/>
        </w:rPr>
        <w:t xml:space="preserve"> buscar otras alternativas de solución a </w:t>
      </w:r>
      <w:r w:rsidR="00632A46" w:rsidRPr="001D18EB">
        <w:rPr>
          <w:rFonts w:ascii="Verdana" w:hAnsi="Verdana"/>
          <w:sz w:val="20"/>
          <w:szCs w:val="20"/>
          <w:lang w:val="es-ES_tradnl"/>
        </w:rPr>
        <w:t>los</w:t>
      </w:r>
      <w:r w:rsidR="0007569A" w:rsidRPr="001D18EB">
        <w:rPr>
          <w:rFonts w:ascii="Verdana" w:hAnsi="Verdana"/>
          <w:sz w:val="20"/>
          <w:szCs w:val="20"/>
          <w:lang w:val="es-ES_tradnl"/>
        </w:rPr>
        <w:t xml:space="preserve"> obstáculos</w:t>
      </w:r>
      <w:r w:rsidR="00632A46" w:rsidRPr="001D18EB">
        <w:rPr>
          <w:rFonts w:ascii="Verdana" w:hAnsi="Verdana"/>
          <w:sz w:val="20"/>
          <w:szCs w:val="20"/>
          <w:lang w:val="es-ES_tradnl"/>
        </w:rPr>
        <w:t xml:space="preserve"> identificados</w:t>
      </w:r>
      <w:r w:rsidR="0007569A" w:rsidRPr="001D18EB">
        <w:rPr>
          <w:rFonts w:ascii="Verdana" w:hAnsi="Verdana"/>
          <w:sz w:val="20"/>
          <w:szCs w:val="20"/>
          <w:lang w:val="es-ES_tradnl"/>
        </w:rPr>
        <w:t xml:space="preserve">, de manera que las víctimas y sus familiares no se vean afectadas por </w:t>
      </w:r>
      <w:r w:rsidR="0066686C" w:rsidRPr="001D18EB">
        <w:rPr>
          <w:rFonts w:ascii="Verdana" w:hAnsi="Verdana"/>
          <w:sz w:val="20"/>
          <w:szCs w:val="20"/>
          <w:lang w:val="es-ES_tradnl"/>
        </w:rPr>
        <w:t>requisito</w:t>
      </w:r>
      <w:r w:rsidR="0007569A" w:rsidRPr="001D18EB">
        <w:rPr>
          <w:rFonts w:ascii="Verdana" w:hAnsi="Verdana"/>
          <w:sz w:val="20"/>
          <w:szCs w:val="20"/>
          <w:lang w:val="es-ES_tradnl"/>
        </w:rPr>
        <w:t>s</w:t>
      </w:r>
      <w:r w:rsidR="0066686C" w:rsidRPr="001D18EB">
        <w:rPr>
          <w:rFonts w:ascii="Verdana" w:hAnsi="Verdana"/>
          <w:sz w:val="20"/>
          <w:szCs w:val="20"/>
          <w:lang w:val="es-ES_tradnl"/>
        </w:rPr>
        <w:t xml:space="preserve"> formal</w:t>
      </w:r>
      <w:r w:rsidR="0007569A" w:rsidRPr="001D18EB">
        <w:rPr>
          <w:rFonts w:ascii="Verdana" w:hAnsi="Verdana"/>
          <w:sz w:val="20"/>
          <w:szCs w:val="20"/>
          <w:lang w:val="es-ES_tradnl"/>
        </w:rPr>
        <w:t>es</w:t>
      </w:r>
      <w:r w:rsidR="0066686C" w:rsidRPr="001D18EB">
        <w:rPr>
          <w:rFonts w:ascii="Verdana" w:hAnsi="Verdana"/>
          <w:sz w:val="20"/>
          <w:szCs w:val="20"/>
          <w:lang w:val="es-ES_tradnl"/>
        </w:rPr>
        <w:t xml:space="preserve"> que </w:t>
      </w:r>
      <w:r w:rsidR="0007569A" w:rsidRPr="001D18EB">
        <w:rPr>
          <w:rFonts w:ascii="Verdana" w:hAnsi="Verdana"/>
          <w:sz w:val="20"/>
          <w:szCs w:val="20"/>
          <w:lang w:val="es-ES_tradnl"/>
        </w:rPr>
        <w:t xml:space="preserve">les impidan </w:t>
      </w:r>
      <w:r w:rsidR="0066686C" w:rsidRPr="001D18EB">
        <w:rPr>
          <w:rFonts w:ascii="Verdana" w:hAnsi="Verdana"/>
          <w:sz w:val="20"/>
          <w:szCs w:val="20"/>
          <w:lang w:val="es-ES_tradnl"/>
        </w:rPr>
        <w:t xml:space="preserve">acceder a la indemnización </w:t>
      </w:r>
      <w:r w:rsidR="0007569A" w:rsidRPr="001D18EB">
        <w:rPr>
          <w:rFonts w:ascii="Verdana" w:hAnsi="Verdana"/>
          <w:sz w:val="20"/>
          <w:szCs w:val="20"/>
          <w:lang w:val="es-ES_tradnl"/>
        </w:rPr>
        <w:t>por carencia de</w:t>
      </w:r>
      <w:r w:rsidR="0066686C" w:rsidRPr="001D18EB">
        <w:rPr>
          <w:rFonts w:ascii="Verdana" w:hAnsi="Verdana"/>
          <w:sz w:val="20"/>
          <w:szCs w:val="20"/>
          <w:lang w:val="es-ES_tradnl"/>
        </w:rPr>
        <w:t xml:space="preserve"> documento</w:t>
      </w:r>
      <w:r w:rsidR="0007569A" w:rsidRPr="001D18EB">
        <w:rPr>
          <w:rFonts w:ascii="Verdana" w:hAnsi="Verdana"/>
          <w:sz w:val="20"/>
          <w:szCs w:val="20"/>
          <w:lang w:val="es-ES_tradnl"/>
        </w:rPr>
        <w:t>s</w:t>
      </w:r>
      <w:r w:rsidR="0066686C" w:rsidRPr="001D18EB">
        <w:rPr>
          <w:rFonts w:ascii="Verdana" w:hAnsi="Verdana"/>
          <w:sz w:val="20"/>
          <w:szCs w:val="20"/>
          <w:lang w:val="es-ES_tradnl"/>
        </w:rPr>
        <w:t xml:space="preserve"> </w:t>
      </w:r>
      <w:r w:rsidR="007378FD" w:rsidRPr="001D18EB">
        <w:rPr>
          <w:rFonts w:ascii="Verdana" w:hAnsi="Verdana"/>
          <w:sz w:val="20"/>
          <w:szCs w:val="20"/>
          <w:lang w:val="es-ES_tradnl"/>
        </w:rPr>
        <w:t xml:space="preserve">oficiales </w:t>
      </w:r>
      <w:r w:rsidR="0066686C" w:rsidRPr="001D18EB">
        <w:rPr>
          <w:rFonts w:ascii="Verdana" w:hAnsi="Verdana"/>
          <w:sz w:val="20"/>
          <w:szCs w:val="20"/>
          <w:lang w:val="es-ES_tradnl"/>
        </w:rPr>
        <w:t>o determinaci</w:t>
      </w:r>
      <w:r w:rsidR="0007569A" w:rsidRPr="001D18EB">
        <w:rPr>
          <w:rFonts w:ascii="Verdana" w:hAnsi="Verdana"/>
          <w:sz w:val="20"/>
          <w:szCs w:val="20"/>
          <w:lang w:val="es-ES_tradnl"/>
        </w:rPr>
        <w:t>ones</w:t>
      </w:r>
      <w:r w:rsidR="0066686C" w:rsidRPr="001D18EB">
        <w:rPr>
          <w:rFonts w:ascii="Verdana" w:hAnsi="Verdana"/>
          <w:sz w:val="20"/>
          <w:szCs w:val="20"/>
          <w:lang w:val="es-ES_tradnl"/>
        </w:rPr>
        <w:t xml:space="preserve"> judicial</w:t>
      </w:r>
      <w:r w:rsidR="0007569A" w:rsidRPr="001D18EB">
        <w:rPr>
          <w:rFonts w:ascii="Verdana" w:hAnsi="Verdana"/>
          <w:sz w:val="20"/>
          <w:szCs w:val="20"/>
          <w:lang w:val="es-ES_tradnl"/>
        </w:rPr>
        <w:t>es</w:t>
      </w:r>
      <w:r w:rsidR="0066686C" w:rsidRPr="001D18EB">
        <w:rPr>
          <w:rFonts w:ascii="Verdana" w:hAnsi="Verdana"/>
          <w:sz w:val="20"/>
          <w:szCs w:val="20"/>
          <w:lang w:val="es-ES_tradnl"/>
        </w:rPr>
        <w:t xml:space="preserve"> con la que no cuentan debido, principalmente, a circunstancias </w:t>
      </w:r>
      <w:r w:rsidR="0007569A" w:rsidRPr="001D18EB">
        <w:rPr>
          <w:rFonts w:ascii="Verdana" w:hAnsi="Verdana"/>
          <w:sz w:val="20"/>
          <w:szCs w:val="20"/>
          <w:lang w:val="es-ES_tradnl"/>
        </w:rPr>
        <w:t xml:space="preserve">que son atribuibles al propio Estado ya sea por la forma de llevar los registros civiles o </w:t>
      </w:r>
      <w:r w:rsidR="007378FD" w:rsidRPr="001D18EB">
        <w:rPr>
          <w:rFonts w:ascii="Verdana" w:hAnsi="Verdana"/>
          <w:sz w:val="20"/>
          <w:szCs w:val="20"/>
          <w:lang w:val="es-ES_tradnl"/>
        </w:rPr>
        <w:t xml:space="preserve">generadas durante el conflicto armado como lo fue la </w:t>
      </w:r>
      <w:r w:rsidR="0007569A" w:rsidRPr="001D18EB">
        <w:rPr>
          <w:rFonts w:ascii="Verdana" w:hAnsi="Verdana"/>
          <w:sz w:val="20"/>
          <w:szCs w:val="20"/>
          <w:lang w:val="es-ES_tradnl"/>
        </w:rPr>
        <w:t xml:space="preserve">destrucción </w:t>
      </w:r>
      <w:r w:rsidR="007378FD" w:rsidRPr="001D18EB">
        <w:rPr>
          <w:rFonts w:ascii="Verdana" w:hAnsi="Verdana"/>
          <w:sz w:val="20"/>
          <w:szCs w:val="20"/>
          <w:lang w:val="es-ES_tradnl"/>
        </w:rPr>
        <w:t>de registros o la imposibilidad practica de realizar las inscripciones</w:t>
      </w:r>
      <w:r w:rsidR="00632A46" w:rsidRPr="001D18EB">
        <w:rPr>
          <w:rFonts w:ascii="Verdana" w:hAnsi="Verdana"/>
          <w:sz w:val="20"/>
          <w:szCs w:val="20"/>
          <w:lang w:val="es-ES_tradnl"/>
        </w:rPr>
        <w:t>.</w:t>
      </w:r>
      <w:r w:rsidR="007378FD" w:rsidRPr="001D18EB">
        <w:rPr>
          <w:rFonts w:ascii="Verdana" w:hAnsi="Verdana"/>
          <w:sz w:val="20"/>
          <w:szCs w:val="20"/>
          <w:lang w:val="es-ES_tradnl"/>
        </w:rPr>
        <w:t xml:space="preserve"> </w:t>
      </w:r>
      <w:r w:rsidR="00FB535F" w:rsidRPr="001D18EB">
        <w:rPr>
          <w:rFonts w:ascii="Verdana" w:hAnsi="Verdana"/>
          <w:sz w:val="20"/>
          <w:szCs w:val="20"/>
          <w:lang w:val="es-ES_tradnl"/>
        </w:rPr>
        <w:t xml:space="preserve">En casos de graves violaciones como el presente, ocurridos en el marco del conflicto armado interno, </w:t>
      </w:r>
      <w:r w:rsidR="00FB535F" w:rsidRPr="001D18EB">
        <w:rPr>
          <w:rFonts w:ascii="Verdana" w:hAnsi="Verdana"/>
          <w:sz w:val="20"/>
          <w:szCs w:val="20"/>
          <w:lang w:val="es-CR"/>
        </w:rPr>
        <w:t>l</w:t>
      </w:r>
      <w:r w:rsidR="007378FD" w:rsidRPr="001D18EB">
        <w:rPr>
          <w:rFonts w:ascii="Verdana" w:hAnsi="Verdana"/>
          <w:sz w:val="20"/>
          <w:szCs w:val="20"/>
          <w:lang w:val="es-CR"/>
        </w:rPr>
        <w:t xml:space="preserve">o </w:t>
      </w:r>
      <w:r w:rsidR="00FB535F" w:rsidRPr="001D18EB">
        <w:rPr>
          <w:rFonts w:ascii="Verdana" w:hAnsi="Verdana"/>
          <w:sz w:val="20"/>
          <w:szCs w:val="20"/>
          <w:lang w:val="es-CR"/>
        </w:rPr>
        <w:t xml:space="preserve">relevante </w:t>
      </w:r>
      <w:r w:rsidR="007378FD" w:rsidRPr="001D18EB">
        <w:rPr>
          <w:rFonts w:ascii="Verdana" w:hAnsi="Verdana"/>
          <w:sz w:val="20"/>
          <w:szCs w:val="20"/>
          <w:lang w:val="es-CR"/>
        </w:rPr>
        <w:t>es que la identidad de las víctimas y v</w:t>
      </w:r>
      <w:r w:rsidR="00250BF2">
        <w:rPr>
          <w:rFonts w:ascii="Verdana" w:hAnsi="Verdana"/>
          <w:sz w:val="20"/>
          <w:szCs w:val="20"/>
          <w:lang w:val="es-CR"/>
        </w:rPr>
        <w:t>ínculos familiares</w:t>
      </w:r>
      <w:r w:rsidR="00FB535F" w:rsidRPr="001D18EB">
        <w:rPr>
          <w:rFonts w:ascii="Verdana" w:hAnsi="Verdana"/>
          <w:sz w:val="20"/>
          <w:szCs w:val="20"/>
          <w:lang w:val="es-CR"/>
        </w:rPr>
        <w:t xml:space="preserve"> se acrediten</w:t>
      </w:r>
      <w:r w:rsidR="007378FD" w:rsidRPr="001D18EB">
        <w:rPr>
          <w:rFonts w:ascii="Verdana" w:hAnsi="Verdana"/>
          <w:sz w:val="20"/>
          <w:szCs w:val="20"/>
          <w:lang w:val="es-CR"/>
        </w:rPr>
        <w:t xml:space="preserve"> a través de medios probatorios </w:t>
      </w:r>
      <w:r w:rsidR="00E05085" w:rsidRPr="001D18EB">
        <w:rPr>
          <w:rFonts w:ascii="Verdana" w:hAnsi="Verdana"/>
          <w:sz w:val="20"/>
          <w:szCs w:val="20"/>
          <w:lang w:val="es-CR"/>
        </w:rPr>
        <w:t xml:space="preserve">fehacientes </w:t>
      </w:r>
      <w:r w:rsidR="007378FD" w:rsidRPr="001D18EB">
        <w:rPr>
          <w:rFonts w:ascii="Verdana" w:hAnsi="Verdana"/>
          <w:sz w:val="20"/>
          <w:szCs w:val="20"/>
          <w:lang w:val="es-CR"/>
        </w:rPr>
        <w:t xml:space="preserve">cuando no </w:t>
      </w:r>
      <w:r w:rsidR="00944A2E" w:rsidRPr="001D18EB">
        <w:rPr>
          <w:rFonts w:ascii="Verdana" w:hAnsi="Verdana"/>
          <w:sz w:val="20"/>
          <w:szCs w:val="20"/>
          <w:lang w:val="es-CR"/>
        </w:rPr>
        <w:t xml:space="preserve">sea posible obtener </w:t>
      </w:r>
      <w:r w:rsidR="007378FD" w:rsidRPr="001D18EB">
        <w:rPr>
          <w:rFonts w:ascii="Verdana" w:hAnsi="Verdana"/>
          <w:sz w:val="20"/>
          <w:szCs w:val="20"/>
          <w:lang w:val="es-CR"/>
        </w:rPr>
        <w:t>documentos expedidos por registros oficiales del Estado.</w:t>
      </w:r>
      <w:bookmarkEnd w:id="28"/>
    </w:p>
    <w:p w14:paraId="006F3496" w14:textId="5941A331" w:rsidR="00383F53" w:rsidRPr="00383F53" w:rsidRDefault="00F51E34"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En lo que respecta a los problemas relacionados a la falta de documentación de las víctimas</w:t>
      </w:r>
      <w:r w:rsidR="006A52B1">
        <w:rPr>
          <w:rFonts w:ascii="Verdana" w:hAnsi="Verdana"/>
          <w:sz w:val="20"/>
          <w:szCs w:val="20"/>
          <w:lang w:val="es-ES_tradnl"/>
        </w:rPr>
        <w:t xml:space="preserve"> ya identificadas en el Registro Único de Víctimas</w:t>
      </w:r>
      <w:r w:rsidR="00B30F8B">
        <w:rPr>
          <w:rFonts w:ascii="Verdana" w:hAnsi="Verdana"/>
          <w:sz w:val="20"/>
          <w:szCs w:val="20"/>
          <w:lang w:val="es-ES_tradnl"/>
        </w:rPr>
        <w:t xml:space="preserve">, en el marco de procesos ante la Corte Interamericana relativos a violaciones masivas a derechos humanos, la identificación de una persona como víctima depende de que se acredite una prueba idónea para ese fin, no teniendo que limitarse a aquellos medios probatorios que se encuentran establecidos en la legislación de cada Estado. </w:t>
      </w:r>
      <w:r w:rsidR="00383F53">
        <w:rPr>
          <w:rFonts w:ascii="Verdana" w:hAnsi="Verdana"/>
          <w:sz w:val="20"/>
          <w:szCs w:val="20"/>
          <w:lang w:val="es-ES_tradnl"/>
        </w:rPr>
        <w:t>En este sentido, se destaca que en el párrafo 55 de la Sentencia</w:t>
      </w:r>
      <w:r w:rsidR="00070D8A">
        <w:rPr>
          <w:rFonts w:ascii="Verdana" w:hAnsi="Verdana"/>
          <w:sz w:val="20"/>
          <w:szCs w:val="20"/>
          <w:lang w:val="es-ES_tradnl"/>
        </w:rPr>
        <w:t xml:space="preserve"> del presente caso</w:t>
      </w:r>
      <w:r w:rsidR="00383F53">
        <w:rPr>
          <w:rFonts w:ascii="Verdana" w:hAnsi="Verdana"/>
          <w:sz w:val="20"/>
          <w:szCs w:val="20"/>
          <w:lang w:val="es-ES_tradnl"/>
        </w:rPr>
        <w:t>, la Corte valoró como prueba de la identidad de las víctimas</w:t>
      </w:r>
      <w:r w:rsidR="00070D8A">
        <w:rPr>
          <w:rFonts w:ascii="Verdana" w:hAnsi="Verdana"/>
          <w:sz w:val="20"/>
          <w:szCs w:val="20"/>
          <w:lang w:val="es-ES_tradnl"/>
        </w:rPr>
        <w:t>, no sólo los documentos formales</w:t>
      </w:r>
      <w:r w:rsidR="00070D8A">
        <w:rPr>
          <w:rStyle w:val="FootnoteReference"/>
          <w:rFonts w:ascii="Verdana" w:hAnsi="Verdana"/>
          <w:sz w:val="20"/>
          <w:szCs w:val="20"/>
          <w:lang w:val="es-ES_tradnl"/>
        </w:rPr>
        <w:footnoteReference w:id="32"/>
      </w:r>
      <w:r w:rsidR="00383F53">
        <w:rPr>
          <w:rFonts w:ascii="Verdana" w:hAnsi="Verdana"/>
          <w:sz w:val="20"/>
          <w:szCs w:val="20"/>
          <w:lang w:val="es-ES_tradnl"/>
        </w:rPr>
        <w:t xml:space="preserve"> “</w:t>
      </w:r>
      <w:r w:rsidR="00801C06">
        <w:rPr>
          <w:rFonts w:ascii="Verdana" w:hAnsi="Verdana"/>
          <w:sz w:val="20"/>
          <w:szCs w:val="20"/>
          <w:lang w:val="es-ES_tradnl"/>
        </w:rPr>
        <w:t xml:space="preserve">sino también </w:t>
      </w:r>
      <w:r w:rsidR="00383F53" w:rsidRPr="00383F53">
        <w:rPr>
          <w:rFonts w:ascii="Verdana" w:hAnsi="Verdana"/>
          <w:sz w:val="20"/>
          <w:szCs w:val="20"/>
          <w:lang w:val="es-ES_tradnl"/>
        </w:rPr>
        <w:t>declaraciones rendidas ante fedatario público y en audiencia pública ante la Corte Interamericana, así como declaraciones rendidas ante la autoridad judicial en el marco de la investigación penal interna</w:t>
      </w:r>
      <w:r w:rsidR="00383F53">
        <w:rPr>
          <w:rFonts w:ascii="Verdana" w:hAnsi="Verdana"/>
          <w:sz w:val="20"/>
          <w:szCs w:val="20"/>
          <w:lang w:val="es-ES_tradnl"/>
        </w:rPr>
        <w:t xml:space="preserve"> y </w:t>
      </w:r>
      <w:r w:rsidR="00383F53" w:rsidRPr="00383F53">
        <w:rPr>
          <w:rFonts w:ascii="Verdana" w:hAnsi="Verdana"/>
          <w:sz w:val="20"/>
          <w:szCs w:val="20"/>
          <w:lang w:val="es-ES_tradnl"/>
        </w:rPr>
        <w:t>declaraciones juradas rendidas ante la Oficina de Tutela Legal del Arzobispado, en las cuales también se mencionan los nombres de personas indicadas por los representantes como víctimas</w:t>
      </w:r>
      <w:r w:rsidR="00383F53">
        <w:rPr>
          <w:rFonts w:ascii="Verdana" w:hAnsi="Verdana"/>
          <w:sz w:val="20"/>
          <w:szCs w:val="20"/>
          <w:lang w:val="es-ES_tradnl"/>
        </w:rPr>
        <w:t>”</w:t>
      </w:r>
      <w:r w:rsidR="00383F53">
        <w:rPr>
          <w:rStyle w:val="FootnoteReference"/>
          <w:rFonts w:ascii="Verdana" w:hAnsi="Verdana"/>
          <w:sz w:val="20"/>
          <w:szCs w:val="20"/>
          <w:lang w:val="es-ES_tradnl"/>
        </w:rPr>
        <w:footnoteReference w:id="33"/>
      </w:r>
      <w:r w:rsidR="00383F53">
        <w:rPr>
          <w:rFonts w:ascii="Verdana" w:hAnsi="Verdana"/>
          <w:sz w:val="20"/>
          <w:szCs w:val="20"/>
          <w:lang w:val="es-ES_tradnl"/>
        </w:rPr>
        <w:t xml:space="preserve">. </w:t>
      </w:r>
      <w:r w:rsidR="00383F53" w:rsidRPr="00383F53">
        <w:rPr>
          <w:rFonts w:ascii="Verdana" w:hAnsi="Verdana"/>
          <w:sz w:val="20"/>
          <w:szCs w:val="20"/>
          <w:lang w:val="es-ES_tradnl"/>
        </w:rPr>
        <w:t xml:space="preserve"> </w:t>
      </w:r>
      <w:r w:rsidR="00383F53">
        <w:rPr>
          <w:rFonts w:ascii="Verdana" w:hAnsi="Verdana"/>
          <w:sz w:val="20"/>
          <w:szCs w:val="20"/>
          <w:lang w:val="es-ES_tradnl"/>
        </w:rPr>
        <w:t xml:space="preserve">Similarmente, </w:t>
      </w:r>
      <w:r w:rsidR="00B30F8B">
        <w:rPr>
          <w:rFonts w:ascii="Verdana" w:hAnsi="Verdana"/>
          <w:sz w:val="20"/>
          <w:szCs w:val="20"/>
          <w:lang w:val="es-ES_tradnl"/>
        </w:rPr>
        <w:t xml:space="preserve">en </w:t>
      </w:r>
      <w:r w:rsidR="00801C06">
        <w:rPr>
          <w:rFonts w:ascii="Verdana" w:hAnsi="Verdana"/>
          <w:sz w:val="20"/>
          <w:szCs w:val="20"/>
          <w:lang w:val="es-ES_tradnl"/>
        </w:rPr>
        <w:t xml:space="preserve">otros casos de </w:t>
      </w:r>
      <w:r w:rsidR="00801C06" w:rsidRPr="00801C06">
        <w:rPr>
          <w:rFonts w:ascii="Verdana" w:hAnsi="Verdana"/>
          <w:sz w:val="20"/>
          <w:szCs w:val="20"/>
          <w:lang w:val="es-ES_tradnl"/>
        </w:rPr>
        <w:t>violaciones masivas o colectivas</w:t>
      </w:r>
      <w:r w:rsidR="00801C06">
        <w:rPr>
          <w:rFonts w:ascii="Verdana" w:hAnsi="Verdana"/>
          <w:sz w:val="20"/>
          <w:szCs w:val="20"/>
          <w:lang w:val="es-ES_tradnl"/>
        </w:rPr>
        <w:t xml:space="preserve"> </w:t>
      </w:r>
      <w:r w:rsidR="000870B9">
        <w:rPr>
          <w:rFonts w:ascii="Verdana" w:hAnsi="Verdana"/>
          <w:sz w:val="20"/>
          <w:szCs w:val="20"/>
          <w:lang w:val="es-ES_tradnl"/>
        </w:rPr>
        <w:t xml:space="preserve">para </w:t>
      </w:r>
      <w:r w:rsidR="00B30F8B">
        <w:rPr>
          <w:rFonts w:ascii="Verdana" w:hAnsi="Verdana"/>
          <w:sz w:val="20"/>
          <w:szCs w:val="20"/>
          <w:lang w:val="es-ES_tradnl"/>
        </w:rPr>
        <w:t xml:space="preserve">la </w:t>
      </w:r>
      <w:r w:rsidR="00801C06">
        <w:rPr>
          <w:rFonts w:ascii="Verdana" w:hAnsi="Verdana"/>
          <w:sz w:val="20"/>
          <w:szCs w:val="20"/>
          <w:lang w:val="es-ES_tradnl"/>
        </w:rPr>
        <w:t xml:space="preserve">determinación de víctimas </w:t>
      </w:r>
      <w:r w:rsidR="000870B9">
        <w:rPr>
          <w:rFonts w:ascii="Verdana" w:hAnsi="Verdana"/>
          <w:sz w:val="20"/>
          <w:szCs w:val="20"/>
          <w:lang w:val="es-ES_tradnl"/>
        </w:rPr>
        <w:t xml:space="preserve">esta </w:t>
      </w:r>
      <w:r w:rsidR="00B30F8B">
        <w:rPr>
          <w:rFonts w:ascii="Verdana" w:hAnsi="Verdana"/>
          <w:sz w:val="20"/>
          <w:szCs w:val="20"/>
          <w:lang w:val="es-ES_tradnl"/>
        </w:rPr>
        <w:t xml:space="preserve">Corte </w:t>
      </w:r>
      <w:r w:rsidR="000870B9">
        <w:rPr>
          <w:rFonts w:ascii="Verdana" w:hAnsi="Verdana"/>
          <w:sz w:val="20"/>
          <w:szCs w:val="20"/>
          <w:lang w:val="es-ES_tradnl"/>
        </w:rPr>
        <w:t xml:space="preserve">ha </w:t>
      </w:r>
      <w:r w:rsidR="00B30F8B">
        <w:rPr>
          <w:rFonts w:ascii="Verdana" w:hAnsi="Verdana"/>
          <w:sz w:val="20"/>
          <w:szCs w:val="20"/>
          <w:lang w:val="es-ES_tradnl"/>
        </w:rPr>
        <w:t>consider</w:t>
      </w:r>
      <w:r w:rsidR="000870B9">
        <w:rPr>
          <w:rFonts w:ascii="Verdana" w:hAnsi="Verdana"/>
          <w:sz w:val="20"/>
          <w:szCs w:val="20"/>
          <w:lang w:val="es-ES_tradnl"/>
        </w:rPr>
        <w:t>ado</w:t>
      </w:r>
      <w:r w:rsidR="00B30F8B">
        <w:rPr>
          <w:rFonts w:ascii="Verdana" w:hAnsi="Verdana"/>
          <w:sz w:val="20"/>
          <w:szCs w:val="20"/>
          <w:lang w:val="es-ES_tradnl"/>
        </w:rPr>
        <w:t xml:space="preserve"> como medios </w:t>
      </w:r>
      <w:r w:rsidR="00801C06">
        <w:rPr>
          <w:rFonts w:ascii="Verdana" w:hAnsi="Verdana"/>
          <w:sz w:val="20"/>
          <w:szCs w:val="20"/>
          <w:lang w:val="es-ES_tradnl"/>
        </w:rPr>
        <w:t xml:space="preserve">probatorios </w:t>
      </w:r>
      <w:r w:rsidR="00B30F8B">
        <w:rPr>
          <w:rFonts w:ascii="Verdana" w:hAnsi="Verdana"/>
          <w:sz w:val="20"/>
          <w:szCs w:val="20"/>
          <w:lang w:val="es-ES_tradnl"/>
        </w:rPr>
        <w:t xml:space="preserve">para verificar la identidad de víctimas </w:t>
      </w:r>
      <w:r w:rsidR="000870B9">
        <w:rPr>
          <w:rFonts w:ascii="Verdana" w:hAnsi="Verdana"/>
          <w:sz w:val="20"/>
          <w:szCs w:val="20"/>
          <w:lang w:val="es-ES_tradnl"/>
        </w:rPr>
        <w:t xml:space="preserve">y el vínculo filial otras pruebas distintas a las </w:t>
      </w:r>
      <w:r w:rsidR="00B30F8B">
        <w:rPr>
          <w:rFonts w:ascii="Verdana" w:hAnsi="Verdana"/>
          <w:sz w:val="20"/>
          <w:szCs w:val="20"/>
          <w:lang w:val="es-ES_tradnl"/>
        </w:rPr>
        <w:t xml:space="preserve">partidas de nacimiento </w:t>
      </w:r>
      <w:r w:rsidR="000870B9">
        <w:rPr>
          <w:rFonts w:ascii="Verdana" w:hAnsi="Verdana"/>
          <w:sz w:val="20"/>
          <w:szCs w:val="20"/>
          <w:lang w:val="es-ES_tradnl"/>
        </w:rPr>
        <w:t xml:space="preserve">y </w:t>
      </w:r>
      <w:r w:rsidR="00B30F8B">
        <w:rPr>
          <w:rFonts w:ascii="Verdana" w:hAnsi="Verdana"/>
          <w:sz w:val="20"/>
          <w:szCs w:val="20"/>
          <w:lang w:val="es-ES_tradnl"/>
        </w:rPr>
        <w:t xml:space="preserve">defunción, </w:t>
      </w:r>
      <w:r w:rsidR="000870B9">
        <w:rPr>
          <w:rFonts w:ascii="Verdana" w:hAnsi="Verdana"/>
          <w:sz w:val="20"/>
          <w:szCs w:val="20"/>
          <w:lang w:val="es-ES_tradnl"/>
        </w:rPr>
        <w:t xml:space="preserve">tales como </w:t>
      </w:r>
      <w:r w:rsidR="00B30F8B">
        <w:rPr>
          <w:rFonts w:ascii="Verdana" w:hAnsi="Verdana"/>
          <w:sz w:val="20"/>
          <w:szCs w:val="20"/>
          <w:lang w:val="es-ES_tradnl"/>
        </w:rPr>
        <w:t>declaraci</w:t>
      </w:r>
      <w:r w:rsidR="000870B9">
        <w:rPr>
          <w:rFonts w:ascii="Verdana" w:hAnsi="Verdana"/>
          <w:sz w:val="20"/>
          <w:szCs w:val="20"/>
          <w:lang w:val="es-ES_tradnl"/>
        </w:rPr>
        <w:t>ones</w:t>
      </w:r>
      <w:r w:rsidR="00B30F8B">
        <w:rPr>
          <w:rFonts w:ascii="Verdana" w:hAnsi="Verdana"/>
          <w:sz w:val="20"/>
          <w:szCs w:val="20"/>
          <w:lang w:val="es-ES_tradnl"/>
        </w:rPr>
        <w:t xml:space="preserve"> jurada</w:t>
      </w:r>
      <w:r w:rsidR="000870B9">
        <w:rPr>
          <w:rFonts w:ascii="Verdana" w:hAnsi="Verdana"/>
          <w:sz w:val="20"/>
          <w:szCs w:val="20"/>
          <w:lang w:val="es-ES_tradnl"/>
        </w:rPr>
        <w:t>s</w:t>
      </w:r>
      <w:r w:rsidR="00B30F8B">
        <w:rPr>
          <w:rStyle w:val="FootnoteReference"/>
          <w:rFonts w:ascii="Verdana" w:hAnsi="Verdana"/>
          <w:sz w:val="20"/>
          <w:szCs w:val="20"/>
          <w:lang w:val="es-ES_tradnl"/>
        </w:rPr>
        <w:footnoteReference w:id="34"/>
      </w:r>
      <w:r w:rsidR="00B30F8B">
        <w:rPr>
          <w:rFonts w:ascii="Verdana" w:hAnsi="Verdana"/>
          <w:sz w:val="20"/>
          <w:szCs w:val="20"/>
          <w:lang w:val="es-ES_tradnl"/>
        </w:rPr>
        <w:t>.</w:t>
      </w:r>
    </w:p>
    <w:p w14:paraId="413D12AD" w14:textId="4C3B4499" w:rsidR="002C2411" w:rsidRDefault="002C2411"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 xml:space="preserve">Más aún, algunas experiencias comparadas permiten identificar </w:t>
      </w:r>
      <w:r w:rsidR="00065ED3">
        <w:rPr>
          <w:rFonts w:ascii="Verdana" w:hAnsi="Verdana"/>
          <w:sz w:val="20"/>
          <w:szCs w:val="20"/>
          <w:lang w:val="es-ES_tradnl"/>
        </w:rPr>
        <w:t xml:space="preserve">que en otros Estados, en contextos de reparación de graves violaciones ocurridas en conflictos armados, </w:t>
      </w:r>
      <w:r>
        <w:rPr>
          <w:rFonts w:ascii="Verdana" w:hAnsi="Verdana"/>
          <w:sz w:val="20"/>
          <w:szCs w:val="20"/>
          <w:lang w:val="es-ES_tradnl"/>
        </w:rPr>
        <w:t>los Estados han adoptado medidas para facilitar el ingreso a un Registro de Víctimas, sin generar cargas excesivas sobre las propias víctimas de encontrar documentación con la que no cuentan en esa oportunidad. En este sentido, tal como los representantes de las víctimas hicieron notar en sus observaciones de noviembre de 2018, en Perú, conforme a la Ley 28592</w:t>
      </w:r>
      <w:r w:rsidR="00243BEB">
        <w:rPr>
          <w:rFonts w:ascii="Verdana" w:hAnsi="Verdana"/>
          <w:sz w:val="20"/>
          <w:szCs w:val="20"/>
          <w:lang w:val="es-ES_tradnl"/>
        </w:rPr>
        <w:t xml:space="preserve"> (“Ley que crea el Plan Integral de Reparaciones para las víctimas de la violencia ocurrida durante el periodo de mayo de 1980 a noviembre de 2000”)</w:t>
      </w:r>
      <w:r>
        <w:rPr>
          <w:rFonts w:ascii="Verdana" w:hAnsi="Verdana"/>
          <w:sz w:val="20"/>
          <w:szCs w:val="20"/>
          <w:lang w:val="es-ES_tradnl"/>
        </w:rPr>
        <w:t xml:space="preserve">, en la cual se crea el </w:t>
      </w:r>
      <w:r w:rsidR="00E62848">
        <w:rPr>
          <w:rFonts w:ascii="Verdana" w:hAnsi="Verdana"/>
          <w:sz w:val="20"/>
          <w:szCs w:val="20"/>
          <w:lang w:val="es-ES_tradnl"/>
        </w:rPr>
        <w:t>“</w:t>
      </w:r>
      <w:r>
        <w:rPr>
          <w:rFonts w:ascii="Verdana" w:hAnsi="Verdana"/>
          <w:sz w:val="20"/>
          <w:szCs w:val="20"/>
          <w:lang w:val="es-ES_tradnl"/>
        </w:rPr>
        <w:t>Registro Único de Víctimas</w:t>
      </w:r>
      <w:r w:rsidR="00E62848">
        <w:rPr>
          <w:rFonts w:ascii="Verdana" w:hAnsi="Verdana"/>
          <w:sz w:val="20"/>
          <w:szCs w:val="20"/>
          <w:lang w:val="es-ES_tradnl"/>
        </w:rPr>
        <w:t>”</w:t>
      </w:r>
      <w:r w:rsidR="00635197">
        <w:rPr>
          <w:rFonts w:ascii="Verdana" w:hAnsi="Verdana"/>
          <w:sz w:val="20"/>
          <w:szCs w:val="20"/>
          <w:lang w:val="es-ES_tradnl"/>
        </w:rPr>
        <w:t xml:space="preserve">, </w:t>
      </w:r>
      <w:r w:rsidR="007D6315">
        <w:rPr>
          <w:rFonts w:ascii="Verdana" w:hAnsi="Verdana"/>
          <w:sz w:val="20"/>
          <w:szCs w:val="20"/>
          <w:lang w:val="es-ES_tradnl"/>
        </w:rPr>
        <w:t>y su</w:t>
      </w:r>
      <w:r w:rsidR="00635197">
        <w:rPr>
          <w:rFonts w:ascii="Verdana" w:hAnsi="Verdana"/>
          <w:sz w:val="20"/>
          <w:szCs w:val="20"/>
          <w:lang w:val="es-ES_tradnl"/>
        </w:rPr>
        <w:t xml:space="preserve"> reglamento</w:t>
      </w:r>
      <w:r>
        <w:rPr>
          <w:rFonts w:ascii="Verdana" w:hAnsi="Verdana"/>
          <w:sz w:val="20"/>
          <w:szCs w:val="20"/>
          <w:lang w:val="es-ES_tradnl"/>
        </w:rPr>
        <w:t>, en los casos de personas “indocumentadas”, es decir, aquellas que no cuentan con documentación de forma involuntaria “</w:t>
      </w:r>
      <w:r w:rsidRPr="00E77621">
        <w:rPr>
          <w:rFonts w:ascii="Verdana" w:hAnsi="Verdana"/>
          <w:sz w:val="20"/>
          <w:szCs w:val="20"/>
          <w:lang w:val="es-ES_tradnl"/>
        </w:rPr>
        <w:t xml:space="preserve">como consecuencia de actos de arrasamiento o destrucción de registros o archivos de </w:t>
      </w:r>
      <w:r w:rsidRPr="00E77621">
        <w:rPr>
          <w:rFonts w:ascii="Verdana" w:hAnsi="Verdana"/>
          <w:sz w:val="20"/>
          <w:szCs w:val="20"/>
          <w:lang w:val="es-ES_tradnl"/>
        </w:rPr>
        <w:lastRenderedPageBreak/>
        <w:t xml:space="preserve">instituciones </w:t>
      </w:r>
      <w:r w:rsidR="005B23CA" w:rsidRPr="00E77621">
        <w:rPr>
          <w:rFonts w:ascii="Verdana" w:hAnsi="Verdana"/>
          <w:sz w:val="20"/>
          <w:szCs w:val="20"/>
          <w:lang w:val="es-ES_tradnl"/>
        </w:rPr>
        <w:t>públicas</w:t>
      </w:r>
      <w:r w:rsidRPr="00E77621">
        <w:rPr>
          <w:rFonts w:ascii="Verdana" w:hAnsi="Verdana"/>
          <w:sz w:val="20"/>
          <w:szCs w:val="20"/>
          <w:lang w:val="es-ES_tradnl"/>
        </w:rPr>
        <w:t xml:space="preserve"> o comunales, por miembros de organizaciones sub</w:t>
      </w:r>
      <w:r>
        <w:rPr>
          <w:rFonts w:ascii="Verdana" w:hAnsi="Verdana"/>
          <w:sz w:val="20"/>
          <w:szCs w:val="20"/>
          <w:lang w:val="es-ES_tradnl"/>
        </w:rPr>
        <w:t>v</w:t>
      </w:r>
      <w:r w:rsidRPr="00E77621">
        <w:rPr>
          <w:rFonts w:ascii="Verdana" w:hAnsi="Verdana"/>
          <w:sz w:val="20"/>
          <w:szCs w:val="20"/>
          <w:lang w:val="es-ES_tradnl"/>
        </w:rPr>
        <w:t>ersivas, o como consecuencia de desplazamientos forzosos debidos al proceso de violencia, que colocan a d</w:t>
      </w:r>
      <w:r>
        <w:rPr>
          <w:rFonts w:ascii="Verdana" w:hAnsi="Verdana"/>
          <w:sz w:val="20"/>
          <w:szCs w:val="20"/>
          <w:lang w:val="es-ES_tradnl"/>
        </w:rPr>
        <w:t>i</w:t>
      </w:r>
      <w:r w:rsidRPr="00E77621">
        <w:rPr>
          <w:rFonts w:ascii="Verdana" w:hAnsi="Verdana"/>
          <w:sz w:val="20"/>
          <w:szCs w:val="20"/>
          <w:lang w:val="es-ES_tradnl"/>
        </w:rPr>
        <w:t>cha persona en condiciones de vulnerabilidad legal</w:t>
      </w:r>
      <w:r>
        <w:rPr>
          <w:rFonts w:ascii="Verdana" w:hAnsi="Verdana"/>
          <w:sz w:val="20"/>
          <w:szCs w:val="20"/>
          <w:lang w:val="es-ES_tradnl"/>
        </w:rPr>
        <w:t>”</w:t>
      </w:r>
      <w:r w:rsidR="00635197">
        <w:rPr>
          <w:rStyle w:val="FootnoteReference"/>
          <w:rFonts w:ascii="Verdana" w:hAnsi="Verdana"/>
          <w:sz w:val="20"/>
          <w:szCs w:val="20"/>
          <w:lang w:val="es-ES_tradnl"/>
        </w:rPr>
        <w:footnoteReference w:id="35"/>
      </w:r>
      <w:r>
        <w:rPr>
          <w:rFonts w:ascii="Verdana" w:hAnsi="Verdana"/>
          <w:sz w:val="20"/>
          <w:szCs w:val="20"/>
          <w:lang w:val="es-ES_tradnl"/>
        </w:rPr>
        <w:t>, se reconoce la validez de declaraciones juradas como mecanismo idóneo para probar la identidad de una persona. Dicha declaración podría ser rendida ante un funcionario competente, o ante una autoridad civil o religiosa “</w:t>
      </w:r>
      <w:r w:rsidRPr="00E77621">
        <w:rPr>
          <w:rFonts w:ascii="Verdana" w:hAnsi="Verdana"/>
          <w:sz w:val="20"/>
          <w:szCs w:val="20"/>
          <w:lang w:val="es-ES_tradnl"/>
        </w:rPr>
        <w:t>que acredite haber verificado la destrucción de infraestructura de los registros municipales</w:t>
      </w:r>
      <w:r>
        <w:rPr>
          <w:rFonts w:ascii="Verdana" w:hAnsi="Verdana"/>
          <w:sz w:val="20"/>
          <w:szCs w:val="20"/>
          <w:lang w:val="es-ES_tradnl"/>
        </w:rPr>
        <w:t>”. También admite “</w:t>
      </w:r>
      <w:r w:rsidRPr="00E77621">
        <w:rPr>
          <w:rFonts w:ascii="Verdana" w:hAnsi="Verdana"/>
          <w:sz w:val="20"/>
          <w:szCs w:val="20"/>
          <w:lang w:val="es-ES_tradnl"/>
        </w:rPr>
        <w:t xml:space="preserve">declaraciones de las personas solicitantes en las cuales se informe que han quedado indocumentadas a causa de </w:t>
      </w:r>
      <w:r w:rsidR="005B23CA">
        <w:rPr>
          <w:rFonts w:ascii="Verdana" w:hAnsi="Verdana"/>
          <w:sz w:val="20"/>
          <w:szCs w:val="20"/>
          <w:lang w:val="es-ES_tradnl"/>
        </w:rPr>
        <w:t>‘</w:t>
      </w:r>
      <w:r w:rsidRPr="00E77621">
        <w:rPr>
          <w:rFonts w:ascii="Verdana" w:hAnsi="Verdana"/>
          <w:sz w:val="20"/>
          <w:szCs w:val="20"/>
          <w:lang w:val="es-ES_tradnl"/>
        </w:rPr>
        <w:t>arrasamiento o destrucción perpetradas por elementos terroristas</w:t>
      </w:r>
      <w:r w:rsidR="005B23CA">
        <w:rPr>
          <w:rFonts w:ascii="Verdana" w:hAnsi="Verdana"/>
          <w:sz w:val="20"/>
          <w:szCs w:val="20"/>
          <w:lang w:val="es-ES_tradnl"/>
        </w:rPr>
        <w:t>’</w:t>
      </w:r>
      <w:r w:rsidRPr="00E77621">
        <w:rPr>
          <w:rFonts w:ascii="Verdana" w:hAnsi="Verdana"/>
          <w:sz w:val="20"/>
          <w:szCs w:val="20"/>
          <w:lang w:val="es-ES_tradnl"/>
        </w:rPr>
        <w:t>”; y en su defecto, la declaración jurada del registrador o de algún funcionario del Consejo</w:t>
      </w:r>
      <w:r>
        <w:rPr>
          <w:rFonts w:ascii="Verdana" w:hAnsi="Verdana"/>
          <w:sz w:val="20"/>
          <w:szCs w:val="20"/>
          <w:lang w:val="es-ES_tradnl"/>
        </w:rPr>
        <w:t>” de Reparaciones, órgano a cargo del referido Registro. Además, dicha normativa regula las medidas que puede adoptar el Consejo para evaluar la información aportada</w:t>
      </w:r>
      <w:r w:rsidR="0000481A">
        <w:rPr>
          <w:rFonts w:ascii="Verdana" w:hAnsi="Verdana"/>
          <w:sz w:val="20"/>
          <w:szCs w:val="20"/>
          <w:lang w:val="es-ES_tradnl"/>
        </w:rPr>
        <w:t xml:space="preserve"> y</w:t>
      </w:r>
      <w:r>
        <w:rPr>
          <w:rFonts w:ascii="Verdana" w:hAnsi="Verdana"/>
          <w:sz w:val="20"/>
          <w:szCs w:val="20"/>
          <w:lang w:val="es-ES_tradnl"/>
        </w:rPr>
        <w:t xml:space="preserve"> realizar</w:t>
      </w:r>
      <w:r w:rsidR="009A5093">
        <w:rPr>
          <w:rFonts w:ascii="Verdana" w:hAnsi="Verdana"/>
          <w:sz w:val="20"/>
          <w:szCs w:val="20"/>
          <w:lang w:val="es-ES_tradnl"/>
        </w:rPr>
        <w:t xml:space="preserve"> nuevas actividades probatorias</w:t>
      </w:r>
      <w:r>
        <w:rPr>
          <w:rFonts w:ascii="Verdana" w:hAnsi="Verdana"/>
          <w:sz w:val="20"/>
          <w:szCs w:val="20"/>
          <w:lang w:val="es-ES_tradnl"/>
        </w:rPr>
        <w:t xml:space="preserve">. </w:t>
      </w:r>
    </w:p>
    <w:p w14:paraId="5FDB45B7" w14:textId="11063405" w:rsidR="002C2411" w:rsidRDefault="006F62A1"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 xml:space="preserve">Otra experiencia comparada relevante es la constatada por este Tribunal respecto del caso </w:t>
      </w:r>
      <w:r>
        <w:rPr>
          <w:rFonts w:ascii="Verdana" w:hAnsi="Verdana"/>
          <w:i/>
          <w:sz w:val="20"/>
          <w:szCs w:val="20"/>
          <w:lang w:val="es-ES_tradnl"/>
        </w:rPr>
        <w:t>Masacre de Pueblo Bello</w:t>
      </w:r>
      <w:r>
        <w:rPr>
          <w:rFonts w:ascii="Verdana" w:hAnsi="Verdana"/>
          <w:sz w:val="20"/>
          <w:szCs w:val="20"/>
          <w:lang w:val="es-ES_tradnl"/>
        </w:rPr>
        <w:t xml:space="preserve"> </w:t>
      </w:r>
      <w:r w:rsidRPr="007D6315">
        <w:rPr>
          <w:rFonts w:ascii="Verdana" w:hAnsi="Verdana"/>
          <w:i/>
          <w:sz w:val="20"/>
          <w:szCs w:val="20"/>
          <w:lang w:val="es-ES_tradnl"/>
        </w:rPr>
        <w:t>Vs. Colombia</w:t>
      </w:r>
      <w:r>
        <w:rPr>
          <w:rFonts w:ascii="Verdana" w:hAnsi="Verdana"/>
          <w:sz w:val="20"/>
          <w:szCs w:val="20"/>
          <w:lang w:val="es-ES_tradnl"/>
        </w:rPr>
        <w:t xml:space="preserve">, en el cual </w:t>
      </w:r>
      <w:r w:rsidR="002C2411">
        <w:rPr>
          <w:rFonts w:ascii="Verdana" w:hAnsi="Verdana"/>
          <w:sz w:val="20"/>
          <w:szCs w:val="20"/>
          <w:lang w:val="es-ES_tradnl"/>
        </w:rPr>
        <w:t>mediante</w:t>
      </w:r>
      <w:r w:rsidR="002C2411" w:rsidRPr="002C2411">
        <w:rPr>
          <w:rFonts w:ascii="Verdana" w:hAnsi="Verdana"/>
          <w:sz w:val="20"/>
          <w:szCs w:val="20"/>
          <w:lang w:val="es-ES_tradnl"/>
        </w:rPr>
        <w:t xml:space="preserve"> </w:t>
      </w:r>
      <w:r w:rsidR="00276F30">
        <w:rPr>
          <w:rFonts w:ascii="Verdana" w:hAnsi="Verdana"/>
          <w:sz w:val="20"/>
          <w:szCs w:val="20"/>
          <w:lang w:val="es-ES_tradnl"/>
        </w:rPr>
        <w:t>s</w:t>
      </w:r>
      <w:r w:rsidR="002C2411" w:rsidRPr="002C2411">
        <w:rPr>
          <w:rFonts w:ascii="Verdana" w:hAnsi="Verdana"/>
          <w:sz w:val="20"/>
          <w:szCs w:val="20"/>
          <w:lang w:val="es-ES_tradnl"/>
        </w:rPr>
        <w:t>entencia emitida por la Sala de Consulta y Servicio Civil del Consejo de Estado</w:t>
      </w:r>
      <w:r w:rsidR="00383F53">
        <w:rPr>
          <w:rFonts w:ascii="Verdana" w:hAnsi="Verdana"/>
          <w:sz w:val="20"/>
          <w:szCs w:val="20"/>
          <w:lang w:val="es-ES_tradnl"/>
        </w:rPr>
        <w:t xml:space="preserve"> de Colombia</w:t>
      </w:r>
      <w:r w:rsidR="002C2411" w:rsidRPr="002C2411">
        <w:rPr>
          <w:rFonts w:ascii="Verdana" w:hAnsi="Verdana"/>
          <w:sz w:val="20"/>
          <w:szCs w:val="20"/>
          <w:lang w:val="es-ES_tradnl"/>
        </w:rPr>
        <w:t xml:space="preserve"> </w:t>
      </w:r>
      <w:r>
        <w:rPr>
          <w:rFonts w:ascii="Verdana" w:hAnsi="Verdana"/>
          <w:sz w:val="20"/>
          <w:szCs w:val="20"/>
          <w:lang w:val="es-ES_tradnl"/>
        </w:rPr>
        <w:t>el</w:t>
      </w:r>
      <w:r w:rsidR="002C2411" w:rsidRPr="002C2411">
        <w:rPr>
          <w:rFonts w:ascii="Verdana" w:hAnsi="Verdana"/>
          <w:sz w:val="20"/>
          <w:szCs w:val="20"/>
          <w:lang w:val="es-ES_tradnl"/>
        </w:rPr>
        <w:t xml:space="preserve"> 26 de marzo de 2014</w:t>
      </w:r>
      <w:r w:rsidR="002C2411">
        <w:rPr>
          <w:rStyle w:val="FootnoteReference"/>
          <w:rFonts w:ascii="Verdana" w:hAnsi="Verdana"/>
          <w:sz w:val="20"/>
          <w:szCs w:val="20"/>
          <w:lang w:val="es-ES_tradnl"/>
        </w:rPr>
        <w:footnoteReference w:id="36"/>
      </w:r>
      <w:r w:rsidR="002C2411">
        <w:rPr>
          <w:rFonts w:ascii="Verdana" w:hAnsi="Verdana"/>
          <w:sz w:val="20"/>
          <w:szCs w:val="20"/>
          <w:lang w:val="es-ES_tradnl"/>
        </w:rPr>
        <w:t>, se estableció que:</w:t>
      </w:r>
    </w:p>
    <w:p w14:paraId="22FE96A5" w14:textId="5769AC5B" w:rsidR="002C2411" w:rsidRPr="002C2411" w:rsidRDefault="002C2411" w:rsidP="002C2411">
      <w:pPr>
        <w:tabs>
          <w:tab w:val="left" w:pos="567"/>
          <w:tab w:val="left" w:pos="720"/>
        </w:tabs>
        <w:spacing w:afterLines="40" w:after="96" w:line="240" w:lineRule="auto"/>
        <w:ind w:left="567" w:right="571"/>
        <w:jc w:val="both"/>
        <w:rPr>
          <w:rFonts w:ascii="Verdana" w:hAnsi="Verdana"/>
          <w:sz w:val="16"/>
          <w:szCs w:val="16"/>
          <w:lang w:val="es-ES_tradnl"/>
        </w:rPr>
      </w:pPr>
      <w:proofErr w:type="gramStart"/>
      <w:r w:rsidRPr="002C2411">
        <w:rPr>
          <w:rFonts w:ascii="Verdana" w:hAnsi="Verdana"/>
          <w:sz w:val="16"/>
          <w:szCs w:val="16"/>
          <w:lang w:val="es-ES_tradnl"/>
        </w:rPr>
        <w:t>en</w:t>
      </w:r>
      <w:proofErr w:type="gramEnd"/>
      <w:r w:rsidRPr="002C2411">
        <w:rPr>
          <w:rFonts w:ascii="Verdana" w:hAnsi="Verdana"/>
          <w:sz w:val="16"/>
          <w:szCs w:val="16"/>
          <w:lang w:val="es-ES_tradnl"/>
        </w:rPr>
        <w:t xml:space="preserve"> el contexto de la responsabilidad internacional del Estado y, en particular, del sistema interamericano de derechos humanos, la prueba del parentesco no está sujeta a una determinada tarifa legal, ni tampoco se condiciona a lo que establezca el derecho interno de cada Estado. Se privilegia ante todo la posibilidad de que exista un elemento material de prueba (oficial o no) que arroje certeza sobre la relación familiar y permita hacer justicia en el caso concreto. Así que, en general, cuando la prueba registral de derecho interno existe, ella es suficiente para determinar los vínculos familiares; pero en los casos en que tal documento se torna imposible es permitido acudir a otros medios de convicción, entre los cuales se encuentran las partidas eclesiásticas de bautismo.</w:t>
      </w:r>
    </w:p>
    <w:p w14:paraId="630E854B" w14:textId="382F5FFA" w:rsidR="002C2411" w:rsidRPr="002C2411" w:rsidRDefault="002C2411" w:rsidP="0033627C">
      <w:pPr>
        <w:tabs>
          <w:tab w:val="left" w:pos="567"/>
          <w:tab w:val="left" w:pos="720"/>
          <w:tab w:val="left" w:pos="4550"/>
          <w:tab w:val="center" w:pos="4678"/>
        </w:tabs>
        <w:spacing w:afterLines="40" w:after="96" w:line="240" w:lineRule="auto"/>
        <w:ind w:left="567" w:right="571"/>
        <w:jc w:val="both"/>
        <w:rPr>
          <w:rFonts w:ascii="Verdana" w:hAnsi="Verdana"/>
          <w:sz w:val="16"/>
          <w:szCs w:val="16"/>
          <w:lang w:val="es-ES_tradnl"/>
        </w:rPr>
      </w:pPr>
      <w:r w:rsidRPr="002C2411">
        <w:rPr>
          <w:rFonts w:ascii="Verdana" w:hAnsi="Verdana"/>
          <w:sz w:val="16"/>
          <w:szCs w:val="16"/>
          <w:lang w:val="es-ES_tradnl"/>
        </w:rPr>
        <w:t>[…]</w:t>
      </w:r>
      <w:r w:rsidR="0033627C">
        <w:rPr>
          <w:rFonts w:ascii="Verdana" w:hAnsi="Verdana"/>
          <w:sz w:val="16"/>
          <w:szCs w:val="16"/>
          <w:lang w:val="es-ES_tradnl"/>
        </w:rPr>
        <w:tab/>
      </w:r>
      <w:r w:rsidR="0033627C">
        <w:rPr>
          <w:rFonts w:ascii="Verdana" w:hAnsi="Verdana"/>
          <w:sz w:val="16"/>
          <w:szCs w:val="16"/>
          <w:lang w:val="es-ES_tradnl"/>
        </w:rPr>
        <w:tab/>
      </w:r>
    </w:p>
    <w:p w14:paraId="4335FE9C" w14:textId="776BC7A4" w:rsidR="002C2411" w:rsidRPr="002C2411" w:rsidRDefault="002C2411" w:rsidP="002C2411">
      <w:pPr>
        <w:tabs>
          <w:tab w:val="left" w:pos="567"/>
          <w:tab w:val="left" w:pos="720"/>
        </w:tabs>
        <w:spacing w:afterLines="40" w:after="96" w:line="240" w:lineRule="auto"/>
        <w:ind w:left="567" w:right="571"/>
        <w:jc w:val="both"/>
        <w:rPr>
          <w:rFonts w:ascii="Verdana" w:hAnsi="Verdana"/>
          <w:sz w:val="16"/>
          <w:szCs w:val="16"/>
          <w:lang w:val="es-ES_tradnl"/>
        </w:rPr>
      </w:pPr>
      <w:r w:rsidRPr="002C2411">
        <w:rPr>
          <w:rFonts w:ascii="Verdana" w:hAnsi="Verdana"/>
          <w:sz w:val="16"/>
          <w:szCs w:val="16"/>
          <w:lang w:val="es-ES_tradnl"/>
        </w:rPr>
        <w:t>Si bien la Sala no desconoce las exigencias generales del derecho nacional en cuanto a la prueba de parentesco se refiere, considera que el asunto revisado no debe ser analizado desde esa perspectiva. De lo que se trata es de establecer la forma de dar cumplimiento a una condena impuesta al Estado Colombiano en el sistema interamericano de derechos humanos, frente a lo cual y de acuerdo con expuesto anteriormente, no serán oponibles razones de derecho interno. Más aún si la implicación es reducir el ámbito de protección de las víctimas y desconocer documentos a los que, como la partida de bautismo, se les ha dado valor probatorio en la jurisprudencia de la CIDH en casos en que el Estado Colombiano ya ha sido condenado, tal como se explicó en párrafos precedentes. Además el desconocimiento de las partidas de bautismo en el caso particular de la masacre de Pueblo Bello resultaría contrario a la propia sentencia condenatoria que se quiere cumplir, pues en ella, apenas dos párrafos previos al que origina la consulta, la CIDH le dio valor a dichos documentos eclesiásticos para tener como beneficiarios de la sentencia a los familiares que si alcanzaron a presentarse en tiempo d</w:t>
      </w:r>
      <w:r>
        <w:rPr>
          <w:rFonts w:ascii="Verdana" w:hAnsi="Verdana"/>
          <w:sz w:val="16"/>
          <w:szCs w:val="16"/>
          <w:lang w:val="es-ES_tradnl"/>
        </w:rPr>
        <w:t>entro del proceso internacional</w:t>
      </w:r>
    </w:p>
    <w:p w14:paraId="3816A0E9" w14:textId="13F7020E" w:rsidR="002C2411" w:rsidRPr="002C2411" w:rsidRDefault="002C2411" w:rsidP="002C2411">
      <w:pPr>
        <w:tabs>
          <w:tab w:val="left" w:pos="567"/>
          <w:tab w:val="left" w:pos="720"/>
        </w:tabs>
        <w:spacing w:afterLines="40" w:after="96" w:line="240" w:lineRule="auto"/>
        <w:ind w:left="567" w:right="571"/>
        <w:jc w:val="both"/>
        <w:rPr>
          <w:rFonts w:ascii="Verdana" w:hAnsi="Verdana"/>
          <w:sz w:val="16"/>
          <w:szCs w:val="16"/>
          <w:lang w:val="es-ES_tradnl"/>
        </w:rPr>
      </w:pPr>
      <w:r w:rsidRPr="002C2411">
        <w:rPr>
          <w:rFonts w:ascii="Verdana" w:hAnsi="Verdana"/>
          <w:sz w:val="16"/>
          <w:szCs w:val="16"/>
          <w:lang w:val="es-ES_tradnl"/>
        </w:rPr>
        <w:t>[…]</w:t>
      </w:r>
    </w:p>
    <w:p w14:paraId="07AC77A1" w14:textId="442AC868" w:rsidR="002C2411" w:rsidRPr="002C2411" w:rsidRDefault="002C2411" w:rsidP="00B30F8B">
      <w:pPr>
        <w:tabs>
          <w:tab w:val="left" w:pos="567"/>
          <w:tab w:val="left" w:pos="720"/>
        </w:tabs>
        <w:spacing w:afterLines="40" w:after="96" w:line="240" w:lineRule="auto"/>
        <w:ind w:left="567" w:right="571"/>
        <w:jc w:val="both"/>
        <w:rPr>
          <w:rFonts w:ascii="Verdana" w:hAnsi="Verdana"/>
          <w:sz w:val="16"/>
          <w:szCs w:val="16"/>
          <w:lang w:val="es-ES_tradnl"/>
        </w:rPr>
      </w:pPr>
      <w:r w:rsidRPr="002C2411">
        <w:rPr>
          <w:rFonts w:ascii="Verdana" w:hAnsi="Verdana"/>
          <w:sz w:val="16"/>
          <w:szCs w:val="16"/>
          <w:lang w:val="es-ES_tradnl"/>
        </w:rPr>
        <w:t xml:space="preserve">Adicionalmente, la imposición de requisitos propios del derecho interno para suplir la falta de registro civil, como podría ser la exigencia de procesos de filiación que establezcan la relación de parentesco entre los solicitantes y las víctimas, pugnaría con el hecho mismo -como se establece en la sentencia, en su aclaración y en las resoluciones de supervisión de cumplimiento que se acompañan a la consulta-, de que el Estado Colombiano no ha cumplido su deber de encontrar a las personas desaparecidas y entregar los cuerpos a sus familiares. Así, en el contexto internacional se podría entender que el Estado Colombiano exige una prueba que se torna imposible por el propio incumplimiento de sus obligaciones y que con tales exigencias se hace una </w:t>
      </w:r>
      <w:proofErr w:type="spellStart"/>
      <w:r w:rsidRPr="002C2411">
        <w:rPr>
          <w:rFonts w:ascii="Verdana" w:hAnsi="Verdana"/>
          <w:sz w:val="16"/>
          <w:szCs w:val="16"/>
          <w:lang w:val="es-ES_tradnl"/>
        </w:rPr>
        <w:t>revictimización</w:t>
      </w:r>
      <w:proofErr w:type="spellEnd"/>
      <w:r w:rsidRPr="002C2411">
        <w:rPr>
          <w:rFonts w:ascii="Verdana" w:hAnsi="Verdana"/>
          <w:sz w:val="16"/>
          <w:szCs w:val="16"/>
          <w:lang w:val="es-ES_tradnl"/>
        </w:rPr>
        <w:t xml:space="preserve"> indebida de los familiares afectados con la masacre.</w:t>
      </w:r>
    </w:p>
    <w:p w14:paraId="47915F14" w14:textId="767D6A29" w:rsidR="00632A46" w:rsidRPr="007D6315" w:rsidRDefault="00632A46"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7D6315">
        <w:rPr>
          <w:rFonts w:ascii="Verdana" w:hAnsi="Verdana"/>
          <w:sz w:val="20"/>
          <w:szCs w:val="20"/>
          <w:lang w:val="es-ES_tradnl"/>
        </w:rPr>
        <w:t xml:space="preserve">En consecuencia, la Corte estima que, para los efectos del cumplimiento de la presente medida de reparación, El Salvador deberá admitir cualquier medio idóneo para acreditar el carácter pleno de víctima ante el Registro Único de Víctimas, y de esta forma, superar los problemas de documentación que impiden el acceso de 65% de las víctimas a las reparaciones dispuestas en la Sentencia. La Corte considera que, en las circunstancias </w:t>
      </w:r>
      <w:r w:rsidRPr="007D6315">
        <w:rPr>
          <w:rFonts w:ascii="Verdana" w:hAnsi="Verdana"/>
          <w:sz w:val="20"/>
          <w:szCs w:val="20"/>
          <w:lang w:val="es-ES_tradnl"/>
        </w:rPr>
        <w:lastRenderedPageBreak/>
        <w:t xml:space="preserve">particulares del caso, </w:t>
      </w:r>
      <w:r w:rsidR="00250BF2" w:rsidRPr="007D6315">
        <w:rPr>
          <w:rFonts w:ascii="Verdana" w:hAnsi="Verdana"/>
          <w:sz w:val="20"/>
          <w:szCs w:val="20"/>
          <w:lang w:val="es-ES_tradnl"/>
        </w:rPr>
        <w:t>las autoridades estatales deben permitir la acreditación de víctimas y la entrega de las correspondientes reparaciones con base en medios probatorios que no estén limitados a documentos expedidos por registros</w:t>
      </w:r>
      <w:r w:rsidR="00B3297C" w:rsidRPr="007D6315">
        <w:rPr>
          <w:rFonts w:ascii="Verdana" w:hAnsi="Verdana"/>
          <w:sz w:val="20"/>
          <w:szCs w:val="20"/>
          <w:lang w:val="es-ES_tradnl"/>
        </w:rPr>
        <w:t xml:space="preserve"> públicos</w:t>
      </w:r>
      <w:r w:rsidR="00D70F10" w:rsidRPr="007D6315">
        <w:rPr>
          <w:rFonts w:ascii="Verdana" w:hAnsi="Verdana"/>
          <w:sz w:val="20"/>
          <w:szCs w:val="20"/>
          <w:lang w:val="es-ES_tradnl"/>
        </w:rPr>
        <w:t xml:space="preserve">. Debe resultar </w:t>
      </w:r>
      <w:r w:rsidR="00250BF2" w:rsidRPr="007D6315">
        <w:rPr>
          <w:rFonts w:ascii="Verdana" w:hAnsi="Verdana"/>
          <w:sz w:val="20"/>
          <w:szCs w:val="20"/>
          <w:lang w:val="es-ES_tradnl"/>
        </w:rPr>
        <w:t xml:space="preserve">suficiente la acreditación a través de </w:t>
      </w:r>
      <w:r w:rsidRPr="007D6315">
        <w:rPr>
          <w:rFonts w:ascii="Verdana" w:hAnsi="Verdana"/>
          <w:sz w:val="20"/>
          <w:szCs w:val="20"/>
          <w:lang w:val="es-ES_tradnl"/>
        </w:rPr>
        <w:t xml:space="preserve">declaraciones </w:t>
      </w:r>
      <w:r w:rsidR="00F51E34" w:rsidRPr="007D6315">
        <w:rPr>
          <w:rFonts w:ascii="Verdana" w:hAnsi="Verdana"/>
          <w:sz w:val="20"/>
          <w:szCs w:val="20"/>
          <w:lang w:val="es-ES_tradnl"/>
        </w:rPr>
        <w:t>de</w:t>
      </w:r>
      <w:r w:rsidRPr="007D6315">
        <w:rPr>
          <w:rFonts w:ascii="Verdana" w:hAnsi="Verdana"/>
          <w:sz w:val="20"/>
          <w:szCs w:val="20"/>
          <w:lang w:val="es-ES_tradnl"/>
        </w:rPr>
        <w:t xml:space="preserve"> testi</w:t>
      </w:r>
      <w:r w:rsidR="00F51E34" w:rsidRPr="007D6315">
        <w:rPr>
          <w:rFonts w:ascii="Verdana" w:hAnsi="Verdana"/>
          <w:sz w:val="20"/>
          <w:szCs w:val="20"/>
          <w:lang w:val="es-ES_tradnl"/>
        </w:rPr>
        <w:t xml:space="preserve">gos </w:t>
      </w:r>
      <w:r w:rsidR="00250BF2" w:rsidRPr="007D6315">
        <w:rPr>
          <w:rFonts w:ascii="Verdana" w:hAnsi="Verdana"/>
          <w:sz w:val="20"/>
          <w:szCs w:val="20"/>
          <w:lang w:val="es-ES_tradnl"/>
        </w:rPr>
        <w:t xml:space="preserve">o personas que hayan vivido en la zona, salvo que en casos específicos hubieren motivos fundados para dudar de </w:t>
      </w:r>
      <w:r w:rsidR="00B3297C" w:rsidRPr="007D6315">
        <w:rPr>
          <w:rFonts w:ascii="Verdana" w:hAnsi="Verdana"/>
          <w:sz w:val="20"/>
          <w:szCs w:val="20"/>
          <w:lang w:val="es-ES_tradnl"/>
        </w:rPr>
        <w:t>la</w:t>
      </w:r>
      <w:r w:rsidR="00250BF2" w:rsidRPr="007D6315">
        <w:rPr>
          <w:rFonts w:ascii="Verdana" w:hAnsi="Verdana"/>
          <w:sz w:val="20"/>
          <w:szCs w:val="20"/>
          <w:lang w:val="es-ES_tradnl"/>
        </w:rPr>
        <w:t xml:space="preserve"> veracidad de esos medios de prueba</w:t>
      </w:r>
      <w:r w:rsidR="00F51E34" w:rsidRPr="007D6315">
        <w:rPr>
          <w:rFonts w:ascii="Verdana" w:hAnsi="Verdana"/>
          <w:sz w:val="20"/>
          <w:szCs w:val="20"/>
          <w:lang w:val="es-ES_tradnl"/>
        </w:rPr>
        <w:t>.</w:t>
      </w:r>
      <w:r w:rsidRPr="007D6315">
        <w:rPr>
          <w:rFonts w:ascii="Verdana" w:hAnsi="Verdana"/>
          <w:sz w:val="20"/>
          <w:szCs w:val="20"/>
          <w:lang w:val="es-ES_tradnl"/>
        </w:rPr>
        <w:t xml:space="preserve"> </w:t>
      </w:r>
    </w:p>
    <w:p w14:paraId="6CDD4D4B" w14:textId="048441EF" w:rsidR="006A52B1" w:rsidRPr="007D6315" w:rsidRDefault="007D6315"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bookmarkStart w:id="29" w:name="_Ref532913798"/>
      <w:r w:rsidRPr="007D6315">
        <w:rPr>
          <w:rFonts w:ascii="Verdana" w:hAnsi="Verdana"/>
          <w:sz w:val="20"/>
          <w:szCs w:val="20"/>
          <w:lang w:val="es-ES_tradnl"/>
        </w:rPr>
        <w:t>Las autoridades estatales</w:t>
      </w:r>
      <w:r w:rsidR="006A52B1" w:rsidRPr="007D6315">
        <w:rPr>
          <w:rFonts w:ascii="Verdana" w:hAnsi="Verdana"/>
          <w:sz w:val="20"/>
          <w:szCs w:val="20"/>
          <w:lang w:val="es-ES_tradnl"/>
        </w:rPr>
        <w:t xml:space="preserve"> debe</w:t>
      </w:r>
      <w:r w:rsidRPr="007D6315">
        <w:rPr>
          <w:rFonts w:ascii="Verdana" w:hAnsi="Verdana"/>
          <w:sz w:val="20"/>
          <w:szCs w:val="20"/>
          <w:lang w:val="es-ES_tradnl"/>
        </w:rPr>
        <w:t>n</w:t>
      </w:r>
      <w:r w:rsidR="006A52B1" w:rsidRPr="007D6315">
        <w:rPr>
          <w:rFonts w:ascii="Verdana" w:hAnsi="Verdana"/>
          <w:sz w:val="20"/>
          <w:szCs w:val="20"/>
          <w:lang w:val="es-ES_tradnl"/>
        </w:rPr>
        <w:t xml:space="preserve"> </w:t>
      </w:r>
      <w:r w:rsidRPr="007D6315">
        <w:rPr>
          <w:rFonts w:ascii="Verdana" w:hAnsi="Verdana"/>
          <w:sz w:val="20"/>
          <w:szCs w:val="20"/>
          <w:lang w:val="es-ES_tradnl"/>
        </w:rPr>
        <w:t>dar</w:t>
      </w:r>
      <w:r w:rsidR="006A52B1" w:rsidRPr="007D6315">
        <w:rPr>
          <w:rFonts w:ascii="Verdana" w:hAnsi="Verdana"/>
          <w:sz w:val="20"/>
          <w:szCs w:val="20"/>
          <w:lang w:val="es-ES_tradnl"/>
        </w:rPr>
        <w:t xml:space="preserve"> efectividad inmediata a lo dispuesto en el párrafo anterior, con el fin de que las reparaciones </w:t>
      </w:r>
      <w:r w:rsidRPr="007D6315">
        <w:rPr>
          <w:rFonts w:ascii="Verdana" w:hAnsi="Verdana"/>
          <w:sz w:val="20"/>
          <w:szCs w:val="20"/>
          <w:lang w:val="es-ES_tradnl"/>
        </w:rPr>
        <w:t>ordenadas</w:t>
      </w:r>
      <w:r w:rsidR="006A52B1" w:rsidRPr="007D6315">
        <w:rPr>
          <w:rFonts w:ascii="Verdana" w:hAnsi="Verdana"/>
          <w:sz w:val="20"/>
          <w:szCs w:val="20"/>
          <w:lang w:val="es-ES_tradnl"/>
        </w:rPr>
        <w:t xml:space="preserve"> en la Sentencia a favor de las víctimas identificadas en el Registro Único de Víctimas no se tornen ilusorias.</w:t>
      </w:r>
      <w:bookmarkEnd w:id="29"/>
    </w:p>
    <w:p w14:paraId="132B5781" w14:textId="60E22665" w:rsidR="00FF3B5F" w:rsidRPr="007D6315" w:rsidRDefault="00330B32"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7D6315">
        <w:rPr>
          <w:rFonts w:ascii="Verdana" w:hAnsi="Verdana"/>
          <w:sz w:val="20"/>
          <w:szCs w:val="20"/>
          <w:lang w:val="es-ES_tradnl"/>
        </w:rPr>
        <w:t>Teniendo en cuenta lo anterior, la Corte estima que la presente medida de reparación continúa pendiente de cumplimiento, y requiere al Est</w:t>
      </w:r>
      <w:r w:rsidR="001D18EB" w:rsidRPr="007D6315">
        <w:rPr>
          <w:rFonts w:ascii="Verdana" w:hAnsi="Verdana"/>
          <w:sz w:val="20"/>
          <w:szCs w:val="20"/>
          <w:lang w:val="es-ES_tradnl"/>
        </w:rPr>
        <w:t xml:space="preserve">ado que presente (1) el listado definitivo de víctimas incorporadas al Registro Único de Víctimas, y (2) las medidas que adoptará o ha adoptado para </w:t>
      </w:r>
      <w:r w:rsidR="00B3297C" w:rsidRPr="007D6315">
        <w:rPr>
          <w:rFonts w:ascii="Verdana" w:hAnsi="Verdana"/>
          <w:sz w:val="20"/>
          <w:szCs w:val="20"/>
          <w:lang w:val="es-ES_tradnl"/>
        </w:rPr>
        <w:t>superar los obstáculos probatorios para</w:t>
      </w:r>
      <w:r w:rsidR="007D6315" w:rsidRPr="007D6315">
        <w:rPr>
          <w:rFonts w:ascii="Verdana" w:hAnsi="Verdana"/>
          <w:sz w:val="20"/>
          <w:szCs w:val="20"/>
          <w:lang w:val="es-ES_tradnl"/>
        </w:rPr>
        <w:t xml:space="preserve"> que</w:t>
      </w:r>
      <w:r w:rsidR="00B3297C" w:rsidRPr="007D6315">
        <w:rPr>
          <w:rFonts w:ascii="Verdana" w:hAnsi="Verdana"/>
          <w:sz w:val="20"/>
          <w:szCs w:val="20"/>
          <w:lang w:val="es-ES_tradnl"/>
        </w:rPr>
        <w:t xml:space="preserve"> </w:t>
      </w:r>
      <w:r w:rsidR="001D18EB" w:rsidRPr="007D6315">
        <w:rPr>
          <w:rFonts w:ascii="Verdana" w:hAnsi="Verdana"/>
          <w:sz w:val="20"/>
          <w:szCs w:val="20"/>
          <w:lang w:val="es-ES_tradnl"/>
        </w:rPr>
        <w:t xml:space="preserve">las víctimas </w:t>
      </w:r>
      <w:r w:rsidR="00B3297C" w:rsidRPr="007D6315">
        <w:rPr>
          <w:rFonts w:ascii="Verdana" w:hAnsi="Verdana"/>
          <w:sz w:val="20"/>
          <w:szCs w:val="20"/>
          <w:lang w:val="es-ES_tradnl"/>
        </w:rPr>
        <w:t xml:space="preserve">queden incorporadas de forma </w:t>
      </w:r>
      <w:r w:rsidR="001D18EB" w:rsidRPr="007D6315">
        <w:rPr>
          <w:rFonts w:ascii="Verdana" w:hAnsi="Verdana"/>
          <w:sz w:val="20"/>
          <w:szCs w:val="20"/>
          <w:lang w:val="es-ES_tradnl"/>
        </w:rPr>
        <w:t>definitiva en</w:t>
      </w:r>
      <w:r w:rsidR="00B3297C" w:rsidRPr="007D6315">
        <w:rPr>
          <w:rFonts w:ascii="Verdana" w:hAnsi="Verdana"/>
          <w:sz w:val="20"/>
          <w:szCs w:val="20"/>
          <w:lang w:val="es-ES_tradnl"/>
        </w:rPr>
        <w:t xml:space="preserve"> el Registro Único de Víctimas y reciban las reparaciones correspondientes</w:t>
      </w:r>
      <w:r w:rsidR="009A5093" w:rsidRPr="007D6315">
        <w:rPr>
          <w:rFonts w:ascii="Verdana" w:hAnsi="Verdana"/>
          <w:sz w:val="20"/>
          <w:szCs w:val="20"/>
          <w:lang w:val="es-ES_tradnl"/>
        </w:rPr>
        <w:t>.</w:t>
      </w:r>
    </w:p>
    <w:p w14:paraId="7AFFC18C" w14:textId="77777777" w:rsidR="0012564E" w:rsidRDefault="0012564E" w:rsidP="00FF3B5F">
      <w:pPr>
        <w:tabs>
          <w:tab w:val="left" w:pos="567"/>
        </w:tabs>
        <w:spacing w:after="0" w:line="240" w:lineRule="auto"/>
        <w:ind w:right="4"/>
        <w:jc w:val="both"/>
        <w:rPr>
          <w:rFonts w:ascii="Verdana" w:hAnsi="Verdana"/>
          <w:sz w:val="20"/>
          <w:szCs w:val="20"/>
          <w:lang w:val="es-ES_tradnl"/>
        </w:rPr>
      </w:pPr>
    </w:p>
    <w:p w14:paraId="40B10973" w14:textId="77777777" w:rsidR="0012564E" w:rsidRPr="000412A5" w:rsidRDefault="0012564E" w:rsidP="00FF3B5F">
      <w:pPr>
        <w:tabs>
          <w:tab w:val="left" w:pos="567"/>
        </w:tabs>
        <w:spacing w:after="0" w:line="240" w:lineRule="auto"/>
        <w:ind w:right="4"/>
        <w:jc w:val="both"/>
        <w:rPr>
          <w:rFonts w:ascii="Verdana" w:hAnsi="Verdana"/>
          <w:sz w:val="20"/>
          <w:szCs w:val="20"/>
          <w:lang w:val="es-ES_tradnl"/>
        </w:rPr>
      </w:pPr>
    </w:p>
    <w:p w14:paraId="3BF4BB02" w14:textId="5AA7F272" w:rsidR="00FF3B5F" w:rsidRPr="000412A5" w:rsidRDefault="00CF555E" w:rsidP="00C17B8E">
      <w:pPr>
        <w:pStyle w:val="ListParagraph"/>
        <w:numPr>
          <w:ilvl w:val="0"/>
          <w:numId w:val="3"/>
        </w:numPr>
        <w:tabs>
          <w:tab w:val="left" w:pos="567"/>
        </w:tabs>
        <w:spacing w:after="0" w:line="240" w:lineRule="auto"/>
        <w:ind w:right="4"/>
        <w:jc w:val="both"/>
        <w:outlineLvl w:val="0"/>
        <w:rPr>
          <w:rFonts w:ascii="Verdana" w:hAnsi="Verdana"/>
          <w:b/>
          <w:sz w:val="20"/>
          <w:szCs w:val="20"/>
          <w:lang w:val="es-ES_tradnl"/>
        </w:rPr>
      </w:pPr>
      <w:bookmarkStart w:id="30" w:name="_Toc530566591"/>
      <w:r>
        <w:rPr>
          <w:rFonts w:ascii="Verdana" w:hAnsi="Verdana"/>
          <w:b/>
          <w:sz w:val="20"/>
          <w:szCs w:val="20"/>
          <w:lang w:val="es-ES_tradnl"/>
        </w:rPr>
        <w:t xml:space="preserve">Pago </w:t>
      </w:r>
      <w:r w:rsidR="00FF3B5F" w:rsidRPr="000412A5">
        <w:rPr>
          <w:rFonts w:ascii="Verdana" w:hAnsi="Verdana"/>
          <w:b/>
          <w:sz w:val="20"/>
          <w:szCs w:val="20"/>
          <w:lang w:val="es-ES_tradnl"/>
        </w:rPr>
        <w:t>de indemnizaciones por daños materiales e inmateriales</w:t>
      </w:r>
      <w:bookmarkEnd w:id="30"/>
    </w:p>
    <w:p w14:paraId="36B706A8" w14:textId="77777777" w:rsidR="00FF3B5F" w:rsidRPr="000412A5" w:rsidRDefault="00FF3B5F" w:rsidP="00FF3B5F">
      <w:pPr>
        <w:tabs>
          <w:tab w:val="left" w:pos="567"/>
        </w:tabs>
        <w:spacing w:after="0" w:line="240" w:lineRule="auto"/>
        <w:ind w:right="4"/>
        <w:jc w:val="both"/>
        <w:rPr>
          <w:rFonts w:ascii="Verdana" w:hAnsi="Verdana"/>
          <w:sz w:val="20"/>
          <w:szCs w:val="20"/>
          <w:lang w:val="es-ES_tradnl"/>
        </w:rPr>
      </w:pPr>
    </w:p>
    <w:p w14:paraId="26872716" w14:textId="70B15882" w:rsidR="00FF3B5F" w:rsidRPr="000412A5" w:rsidRDefault="00FF3B5F" w:rsidP="00FF3B5F">
      <w:pPr>
        <w:tabs>
          <w:tab w:val="left" w:pos="567"/>
        </w:tabs>
        <w:spacing w:after="0" w:line="240" w:lineRule="auto"/>
        <w:ind w:right="4"/>
        <w:jc w:val="both"/>
        <w:rPr>
          <w:rFonts w:ascii="Verdana" w:hAnsi="Verdana"/>
          <w:i/>
          <w:sz w:val="20"/>
          <w:szCs w:val="20"/>
          <w:lang w:val="es-ES_tradnl"/>
        </w:rPr>
      </w:pPr>
      <w:r w:rsidRPr="000412A5">
        <w:rPr>
          <w:rFonts w:ascii="Verdana" w:hAnsi="Verdana"/>
          <w:i/>
          <w:sz w:val="20"/>
          <w:szCs w:val="20"/>
          <w:lang w:val="es-ES_tradnl"/>
        </w:rPr>
        <w:tab/>
      </w:r>
      <w:r w:rsidR="009A5093">
        <w:rPr>
          <w:rFonts w:ascii="Verdana" w:hAnsi="Verdana"/>
          <w:i/>
          <w:sz w:val="20"/>
          <w:szCs w:val="20"/>
          <w:lang w:val="es-ES_tradnl"/>
        </w:rPr>
        <w:t>C</w:t>
      </w:r>
      <w:r w:rsidRPr="000412A5">
        <w:rPr>
          <w:rFonts w:ascii="Verdana" w:hAnsi="Verdana"/>
          <w:i/>
          <w:sz w:val="20"/>
          <w:szCs w:val="20"/>
          <w:lang w:val="es-ES_tradnl"/>
        </w:rPr>
        <w:t xml:space="preserve">.1. Medida ordenada por la Corte </w:t>
      </w:r>
    </w:p>
    <w:p w14:paraId="29F3387B" w14:textId="77777777" w:rsidR="00112606" w:rsidRPr="000412A5" w:rsidRDefault="000F56F8" w:rsidP="00873226">
      <w:pPr>
        <w:tabs>
          <w:tab w:val="left" w:pos="2367"/>
        </w:tabs>
        <w:spacing w:after="0" w:line="240" w:lineRule="auto"/>
        <w:ind w:right="4"/>
        <w:jc w:val="both"/>
        <w:rPr>
          <w:rFonts w:ascii="Verdana" w:hAnsi="Verdana"/>
          <w:i/>
          <w:sz w:val="20"/>
          <w:szCs w:val="20"/>
          <w:lang w:val="es-ES_tradnl"/>
        </w:rPr>
      </w:pPr>
      <w:r w:rsidRPr="000412A5">
        <w:rPr>
          <w:rFonts w:ascii="Verdana" w:hAnsi="Verdana"/>
          <w:i/>
          <w:sz w:val="20"/>
          <w:szCs w:val="20"/>
          <w:lang w:val="es-ES_tradnl"/>
        </w:rPr>
        <w:tab/>
      </w:r>
    </w:p>
    <w:p w14:paraId="72CA9714" w14:textId="561675AE" w:rsidR="00112606" w:rsidRPr="000412A5" w:rsidRDefault="00CF07EF"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bookmarkStart w:id="31" w:name="_Ref532391639"/>
      <w:r w:rsidRPr="000412A5">
        <w:rPr>
          <w:rFonts w:ascii="Verdana" w:hAnsi="Verdana"/>
          <w:sz w:val="20"/>
          <w:szCs w:val="20"/>
          <w:lang w:val="es-ES_tradnl"/>
        </w:rPr>
        <w:t>En el punto resolutivo d</w:t>
      </w:r>
      <w:r w:rsidR="001134DB">
        <w:rPr>
          <w:rFonts w:ascii="Verdana" w:hAnsi="Verdana"/>
          <w:sz w:val="20"/>
          <w:szCs w:val="20"/>
          <w:lang w:val="es-ES_tradnl"/>
        </w:rPr>
        <w:t>é</w:t>
      </w:r>
      <w:r w:rsidRPr="000412A5">
        <w:rPr>
          <w:rFonts w:ascii="Verdana" w:hAnsi="Verdana"/>
          <w:sz w:val="20"/>
          <w:szCs w:val="20"/>
          <w:lang w:val="es-ES_tradnl"/>
        </w:rPr>
        <w:t>cimo</w:t>
      </w:r>
      <w:r w:rsidR="001134DB">
        <w:rPr>
          <w:rFonts w:ascii="Verdana" w:hAnsi="Verdana"/>
          <w:sz w:val="20"/>
          <w:szCs w:val="20"/>
          <w:lang w:val="es-ES_tradnl"/>
        </w:rPr>
        <w:t xml:space="preserve"> </w:t>
      </w:r>
      <w:r w:rsidRPr="000412A5">
        <w:rPr>
          <w:rFonts w:ascii="Verdana" w:hAnsi="Verdana"/>
          <w:sz w:val="20"/>
          <w:szCs w:val="20"/>
          <w:lang w:val="es-ES_tradnl"/>
        </w:rPr>
        <w:t xml:space="preserve">tercero y en </w:t>
      </w:r>
      <w:r w:rsidR="000F56F8" w:rsidRPr="000412A5">
        <w:rPr>
          <w:rFonts w:ascii="Verdana" w:hAnsi="Verdana"/>
          <w:sz w:val="20"/>
          <w:szCs w:val="20"/>
          <w:lang w:val="es-ES_tradnl"/>
        </w:rPr>
        <w:t xml:space="preserve">el </w:t>
      </w:r>
      <w:r w:rsidRPr="000412A5">
        <w:rPr>
          <w:rFonts w:ascii="Verdana" w:hAnsi="Verdana"/>
          <w:sz w:val="20"/>
          <w:szCs w:val="20"/>
          <w:lang w:val="es-ES_tradnl"/>
        </w:rPr>
        <w:t xml:space="preserve">párrafo 384 de la Sentencia, la Corte dispuso que el Estado debe pagar </w:t>
      </w:r>
      <w:r w:rsidR="000F56F8" w:rsidRPr="000412A5">
        <w:rPr>
          <w:rFonts w:ascii="Verdana" w:hAnsi="Verdana"/>
          <w:sz w:val="20"/>
          <w:szCs w:val="20"/>
          <w:lang w:val="es-ES_tradnl"/>
        </w:rPr>
        <w:t>“</w:t>
      </w:r>
      <w:r w:rsidRPr="000412A5">
        <w:rPr>
          <w:rFonts w:ascii="Verdana" w:hAnsi="Verdana"/>
          <w:sz w:val="20"/>
          <w:szCs w:val="20"/>
          <w:lang w:val="es-ES_tradnl"/>
        </w:rPr>
        <w:t xml:space="preserve">por concepto de daño material e inmaterial […] a) US$ 35.000,00 (treinta y cinco mil dólares de los Estados Unidos de América) a cada una de las </w:t>
      </w:r>
      <w:r w:rsidR="00B73828" w:rsidRPr="000412A5">
        <w:rPr>
          <w:rFonts w:ascii="Verdana" w:hAnsi="Verdana"/>
          <w:sz w:val="20"/>
          <w:szCs w:val="20"/>
          <w:lang w:val="es-ES_tradnl"/>
        </w:rPr>
        <w:t xml:space="preserve"> </w:t>
      </w:r>
      <w:r w:rsidRPr="000412A5">
        <w:rPr>
          <w:rFonts w:ascii="Verdana" w:hAnsi="Verdana"/>
          <w:sz w:val="20"/>
          <w:szCs w:val="20"/>
          <w:lang w:val="es-ES_tradnl"/>
        </w:rPr>
        <w:t xml:space="preserve">víctimas de ejecución extrajudicial, señaladas en el Anexo </w:t>
      </w:r>
      <w:r w:rsidR="000F56F8" w:rsidRPr="000412A5">
        <w:rPr>
          <w:rFonts w:ascii="Verdana" w:hAnsi="Verdana"/>
          <w:sz w:val="20"/>
          <w:szCs w:val="20"/>
          <w:lang w:val="es-ES_tradnl"/>
        </w:rPr>
        <w:t>‘</w:t>
      </w:r>
      <w:r w:rsidRPr="000412A5">
        <w:rPr>
          <w:rFonts w:ascii="Verdana" w:hAnsi="Verdana"/>
          <w:sz w:val="20"/>
          <w:szCs w:val="20"/>
          <w:lang w:val="es-ES_tradnl"/>
        </w:rPr>
        <w:t>A</w:t>
      </w:r>
      <w:r w:rsidR="000F56F8" w:rsidRPr="000412A5">
        <w:rPr>
          <w:rFonts w:ascii="Verdana" w:hAnsi="Verdana"/>
          <w:sz w:val="20"/>
          <w:szCs w:val="20"/>
          <w:lang w:val="es-ES_tradnl"/>
        </w:rPr>
        <w:t xml:space="preserve">’ </w:t>
      </w:r>
      <w:r w:rsidRPr="000412A5">
        <w:rPr>
          <w:rFonts w:ascii="Verdana" w:hAnsi="Verdana"/>
          <w:sz w:val="20"/>
          <w:szCs w:val="20"/>
          <w:lang w:val="es-ES_tradnl"/>
        </w:rPr>
        <w:t>[…]</w:t>
      </w:r>
      <w:r w:rsidR="00E0287C" w:rsidRPr="000412A5">
        <w:rPr>
          <w:rFonts w:ascii="Verdana" w:hAnsi="Verdana"/>
          <w:sz w:val="20"/>
          <w:szCs w:val="20"/>
          <w:lang w:val="es-ES_tradnl"/>
        </w:rPr>
        <w:t xml:space="preserve"> </w:t>
      </w:r>
      <w:r w:rsidRPr="000412A5">
        <w:rPr>
          <w:rFonts w:ascii="Verdana" w:hAnsi="Verdana"/>
          <w:sz w:val="20"/>
          <w:szCs w:val="20"/>
          <w:lang w:val="es-ES_tradnl"/>
        </w:rPr>
        <w:t>b) US$ 20,000.00 (veinte mil dólares de los Estados Unidos de América) a cada una de las</w:t>
      </w:r>
      <w:r w:rsidR="00736E2C" w:rsidRPr="000412A5">
        <w:rPr>
          <w:rFonts w:ascii="Verdana" w:hAnsi="Verdana"/>
          <w:sz w:val="20"/>
          <w:szCs w:val="20"/>
          <w:lang w:val="es-ES_tradnl"/>
        </w:rPr>
        <w:t xml:space="preserve"> </w:t>
      </w:r>
      <w:r w:rsidRPr="000412A5">
        <w:rPr>
          <w:rFonts w:ascii="Verdana" w:hAnsi="Verdana"/>
          <w:sz w:val="20"/>
          <w:szCs w:val="20"/>
          <w:lang w:val="es-ES_tradnl"/>
        </w:rPr>
        <w:t xml:space="preserve"> víctimas sobrevivientes de las masacres, señaladas en el Anexo </w:t>
      </w:r>
      <w:r w:rsidR="000F56F8" w:rsidRPr="000412A5">
        <w:rPr>
          <w:rFonts w:ascii="Verdana" w:hAnsi="Verdana"/>
          <w:sz w:val="20"/>
          <w:szCs w:val="20"/>
          <w:lang w:val="es-ES_tradnl"/>
        </w:rPr>
        <w:t>‘</w:t>
      </w:r>
      <w:r w:rsidRPr="000412A5">
        <w:rPr>
          <w:rFonts w:ascii="Verdana" w:hAnsi="Verdana"/>
          <w:sz w:val="20"/>
          <w:szCs w:val="20"/>
          <w:lang w:val="es-ES_tradnl"/>
        </w:rPr>
        <w:t>B</w:t>
      </w:r>
      <w:r w:rsidR="000F56F8" w:rsidRPr="000412A5">
        <w:rPr>
          <w:rFonts w:ascii="Verdana" w:hAnsi="Verdana"/>
          <w:sz w:val="20"/>
          <w:szCs w:val="20"/>
          <w:lang w:val="es-ES_tradnl"/>
        </w:rPr>
        <w:t xml:space="preserve">’ </w:t>
      </w:r>
      <w:r w:rsidRPr="000412A5">
        <w:rPr>
          <w:rFonts w:ascii="Verdana" w:hAnsi="Verdana"/>
          <w:sz w:val="20"/>
          <w:szCs w:val="20"/>
          <w:lang w:val="es-ES_tradnl"/>
        </w:rPr>
        <w:t>[…]</w:t>
      </w:r>
      <w:r w:rsidR="00C068EA">
        <w:rPr>
          <w:rFonts w:ascii="Verdana" w:hAnsi="Verdana"/>
          <w:sz w:val="20"/>
          <w:szCs w:val="20"/>
          <w:lang w:val="es-ES_tradnl"/>
        </w:rPr>
        <w:t>; y</w:t>
      </w:r>
      <w:r w:rsidR="00E0287C" w:rsidRPr="000412A5">
        <w:rPr>
          <w:rFonts w:ascii="Verdana" w:hAnsi="Verdana"/>
          <w:sz w:val="20"/>
          <w:szCs w:val="20"/>
          <w:lang w:val="es-ES_tradnl"/>
        </w:rPr>
        <w:t xml:space="preserve"> </w:t>
      </w:r>
      <w:r w:rsidRPr="000412A5">
        <w:rPr>
          <w:rFonts w:ascii="Verdana" w:hAnsi="Verdana"/>
          <w:sz w:val="20"/>
          <w:szCs w:val="20"/>
          <w:lang w:val="es-ES_tradnl"/>
        </w:rPr>
        <w:t xml:space="preserve"> </w:t>
      </w:r>
      <w:r w:rsidR="00E0287C" w:rsidRPr="000412A5">
        <w:rPr>
          <w:rFonts w:ascii="Verdana" w:hAnsi="Verdana"/>
          <w:sz w:val="20"/>
          <w:szCs w:val="20"/>
          <w:lang w:val="es-ES_tradnl"/>
        </w:rPr>
        <w:t xml:space="preserve">c) US$ 10,000.00 (diez mil dólares de los Estados Unidos de América) a cada uno de los </w:t>
      </w:r>
      <w:r w:rsidR="00C068EA">
        <w:rPr>
          <w:rFonts w:ascii="Verdana" w:hAnsi="Verdana"/>
          <w:sz w:val="20"/>
          <w:szCs w:val="20"/>
          <w:lang w:val="es-ES_tradnl"/>
        </w:rPr>
        <w:t>demás</w:t>
      </w:r>
      <w:r w:rsidR="00B73828" w:rsidRPr="000412A5">
        <w:rPr>
          <w:rFonts w:ascii="Verdana" w:hAnsi="Verdana"/>
          <w:sz w:val="20"/>
          <w:szCs w:val="20"/>
          <w:lang w:val="es-ES_tradnl"/>
        </w:rPr>
        <w:t xml:space="preserve"> </w:t>
      </w:r>
      <w:r w:rsidR="00E0287C" w:rsidRPr="000412A5">
        <w:rPr>
          <w:rFonts w:ascii="Verdana" w:hAnsi="Verdana"/>
          <w:sz w:val="20"/>
          <w:szCs w:val="20"/>
          <w:lang w:val="es-ES_tradnl"/>
        </w:rPr>
        <w:t xml:space="preserve">familiares de las víctimas ejecutadas, señaladas en el Anexo </w:t>
      </w:r>
      <w:r w:rsidR="000F56F8" w:rsidRPr="000412A5">
        <w:rPr>
          <w:rFonts w:ascii="Verdana" w:hAnsi="Verdana"/>
          <w:sz w:val="20"/>
          <w:szCs w:val="20"/>
          <w:lang w:val="es-ES_tradnl"/>
        </w:rPr>
        <w:t>‘</w:t>
      </w:r>
      <w:r w:rsidR="00E0287C" w:rsidRPr="000412A5">
        <w:rPr>
          <w:rFonts w:ascii="Verdana" w:hAnsi="Verdana"/>
          <w:sz w:val="20"/>
          <w:szCs w:val="20"/>
          <w:lang w:val="es-ES_tradnl"/>
        </w:rPr>
        <w:t>C</w:t>
      </w:r>
      <w:r w:rsidR="000F56F8" w:rsidRPr="000412A5">
        <w:rPr>
          <w:rFonts w:ascii="Verdana" w:hAnsi="Verdana"/>
          <w:sz w:val="20"/>
          <w:szCs w:val="20"/>
          <w:lang w:val="es-ES_tradnl"/>
        </w:rPr>
        <w:t>’”. En el párrafo 397 de la Sentencia, la Corte dispuso que el Estado “deberá efectuar el pago de las indemnizaciones por concepto de daño material e inmaterial […] establecidos en la presente Sentencia directamente a las personas y organizaciones indicadas en la misma, en cuotas anuales equivalentes en el período de cinco años, contado a partir de la notificación del presente Fallo, sin perjuicio de que pueda adelantar el pago completo en un plazo menor”.</w:t>
      </w:r>
      <w:r w:rsidR="00F46AD6" w:rsidRPr="000412A5">
        <w:rPr>
          <w:rFonts w:ascii="Verdana" w:hAnsi="Verdana"/>
          <w:sz w:val="20"/>
          <w:szCs w:val="20"/>
          <w:lang w:val="es-ES_tradnl"/>
        </w:rPr>
        <w:t xml:space="preserve"> Conforme al párrafo 402, “</w:t>
      </w:r>
      <w:r w:rsidR="001134DB">
        <w:rPr>
          <w:rFonts w:ascii="Verdana" w:hAnsi="Verdana"/>
          <w:sz w:val="20"/>
          <w:szCs w:val="20"/>
          <w:lang w:val="es-ES_tradnl"/>
        </w:rPr>
        <w:t>[e]</w:t>
      </w:r>
      <w:r w:rsidR="00F46AD6" w:rsidRPr="000412A5">
        <w:rPr>
          <w:rFonts w:ascii="Verdana" w:hAnsi="Verdana"/>
          <w:sz w:val="20"/>
          <w:szCs w:val="20"/>
          <w:lang w:val="es-ES_tradnl"/>
        </w:rPr>
        <w:t>n caso de que el Estado incurriera en mora, deberá pagar un interés sobre la cantidad adeudada correspondiente al interés bancario moratorio en El Salvador”.</w:t>
      </w:r>
      <w:bookmarkEnd w:id="31"/>
    </w:p>
    <w:p w14:paraId="6112D6A5" w14:textId="77777777" w:rsidR="0023168F" w:rsidRPr="000412A5" w:rsidRDefault="0023168F" w:rsidP="00112606">
      <w:pPr>
        <w:tabs>
          <w:tab w:val="left" w:pos="567"/>
        </w:tabs>
        <w:spacing w:after="0" w:line="240" w:lineRule="auto"/>
        <w:ind w:right="4"/>
        <w:jc w:val="both"/>
        <w:rPr>
          <w:rFonts w:ascii="Verdana" w:hAnsi="Verdana"/>
          <w:sz w:val="20"/>
          <w:szCs w:val="20"/>
          <w:lang w:val="es-ES_tradnl"/>
        </w:rPr>
      </w:pPr>
    </w:p>
    <w:p w14:paraId="2AC165DD" w14:textId="17D7F155" w:rsidR="00112606" w:rsidRPr="000412A5" w:rsidRDefault="0023168F" w:rsidP="00112606">
      <w:pPr>
        <w:tabs>
          <w:tab w:val="left" w:pos="567"/>
        </w:tabs>
        <w:spacing w:after="0" w:line="240" w:lineRule="auto"/>
        <w:ind w:right="4"/>
        <w:jc w:val="both"/>
        <w:rPr>
          <w:rFonts w:ascii="Verdana" w:hAnsi="Verdana"/>
          <w:i/>
          <w:sz w:val="20"/>
          <w:szCs w:val="20"/>
          <w:lang w:val="es-ES_tradnl" w:eastAsia="es-CR"/>
        </w:rPr>
      </w:pPr>
      <w:r w:rsidRPr="000412A5">
        <w:rPr>
          <w:rFonts w:ascii="Verdana" w:hAnsi="Verdana"/>
          <w:sz w:val="20"/>
          <w:szCs w:val="20"/>
          <w:lang w:val="es-ES_tradnl"/>
        </w:rPr>
        <w:tab/>
      </w:r>
      <w:r w:rsidR="009A5093">
        <w:rPr>
          <w:rFonts w:ascii="Verdana" w:hAnsi="Verdana"/>
          <w:sz w:val="20"/>
          <w:szCs w:val="20"/>
          <w:lang w:val="es-ES_tradnl"/>
        </w:rPr>
        <w:t>C</w:t>
      </w:r>
      <w:r w:rsidR="00112606" w:rsidRPr="000412A5">
        <w:rPr>
          <w:rFonts w:ascii="Verdana" w:hAnsi="Verdana"/>
          <w:i/>
          <w:sz w:val="20"/>
          <w:szCs w:val="20"/>
          <w:lang w:val="es-ES_tradnl" w:eastAsia="es-CR"/>
        </w:rPr>
        <w:t xml:space="preserve">.2. Consideraciones de la Corte </w:t>
      </w:r>
    </w:p>
    <w:p w14:paraId="586D94AB" w14:textId="77777777" w:rsidR="00FF3B5F" w:rsidRPr="000412A5" w:rsidRDefault="00FF3B5F" w:rsidP="00FF3B5F">
      <w:pPr>
        <w:tabs>
          <w:tab w:val="left" w:pos="567"/>
        </w:tabs>
        <w:spacing w:after="0" w:line="240" w:lineRule="auto"/>
        <w:ind w:right="4"/>
        <w:jc w:val="both"/>
        <w:rPr>
          <w:rFonts w:ascii="Verdana" w:hAnsi="Verdana"/>
          <w:sz w:val="20"/>
          <w:szCs w:val="20"/>
          <w:lang w:val="es-ES_tradnl"/>
        </w:rPr>
      </w:pPr>
    </w:p>
    <w:p w14:paraId="7EED4599" w14:textId="36AD6C7A" w:rsidR="000F56F8" w:rsidRPr="000412A5" w:rsidRDefault="000F56F8"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 xml:space="preserve">La Corte constata, con base en </w:t>
      </w:r>
      <w:r w:rsidR="000F1273">
        <w:rPr>
          <w:rFonts w:ascii="Verdana" w:hAnsi="Verdana"/>
          <w:sz w:val="20"/>
          <w:szCs w:val="20"/>
          <w:lang w:val="es-ES_tradnl"/>
        </w:rPr>
        <w:t xml:space="preserve">las </w:t>
      </w:r>
      <w:r w:rsidRPr="000412A5">
        <w:rPr>
          <w:rFonts w:ascii="Verdana" w:hAnsi="Verdana"/>
          <w:sz w:val="20"/>
          <w:szCs w:val="20"/>
          <w:lang w:val="es-ES_tradnl"/>
        </w:rPr>
        <w:t xml:space="preserve">actas firmadas por las víctimas y por </w:t>
      </w:r>
      <w:r w:rsidR="00637B90">
        <w:rPr>
          <w:rFonts w:ascii="Verdana" w:hAnsi="Verdana"/>
          <w:sz w:val="20"/>
          <w:szCs w:val="20"/>
          <w:lang w:val="es-ES_tradnl"/>
        </w:rPr>
        <w:t>la persona</w:t>
      </w:r>
      <w:r w:rsidRPr="000412A5">
        <w:rPr>
          <w:rFonts w:ascii="Verdana" w:hAnsi="Verdana"/>
          <w:sz w:val="20"/>
          <w:szCs w:val="20"/>
          <w:lang w:val="es-ES_tradnl"/>
        </w:rPr>
        <w:t xml:space="preserve"> encargada de la Dirección General de Derechos Humanos del Ministerio de Relaciones Exteriores, que entre los años 2014 a 2018 se hizo efectivo el pago de </w:t>
      </w:r>
      <w:r w:rsidR="00C068EA">
        <w:rPr>
          <w:rFonts w:ascii="Verdana" w:hAnsi="Verdana"/>
          <w:sz w:val="20"/>
          <w:szCs w:val="20"/>
          <w:lang w:val="es-ES_tradnl"/>
        </w:rPr>
        <w:t>l</w:t>
      </w:r>
      <w:r w:rsidR="000F1273">
        <w:rPr>
          <w:rFonts w:ascii="Verdana" w:hAnsi="Verdana"/>
          <w:sz w:val="20"/>
          <w:szCs w:val="20"/>
          <w:lang w:val="es-ES_tradnl"/>
        </w:rPr>
        <w:t xml:space="preserve">a </w:t>
      </w:r>
      <w:r w:rsidRPr="000412A5">
        <w:rPr>
          <w:rFonts w:ascii="Verdana" w:hAnsi="Verdana"/>
          <w:sz w:val="20"/>
          <w:szCs w:val="20"/>
          <w:lang w:val="es-ES_tradnl"/>
        </w:rPr>
        <w:t xml:space="preserve">indemnización por </w:t>
      </w:r>
      <w:r w:rsidR="000F1273" w:rsidRPr="000412A5">
        <w:rPr>
          <w:rFonts w:ascii="Verdana" w:hAnsi="Verdana"/>
          <w:sz w:val="20"/>
          <w:szCs w:val="20"/>
          <w:lang w:val="es-ES_tradnl"/>
        </w:rPr>
        <w:t xml:space="preserve">concepto </w:t>
      </w:r>
      <w:r w:rsidR="000F1273">
        <w:rPr>
          <w:rFonts w:ascii="Verdana" w:hAnsi="Verdana"/>
          <w:sz w:val="20"/>
          <w:szCs w:val="20"/>
          <w:lang w:val="es-ES_tradnl"/>
        </w:rPr>
        <w:t xml:space="preserve">de </w:t>
      </w:r>
      <w:r w:rsidRPr="000412A5">
        <w:rPr>
          <w:rFonts w:ascii="Verdana" w:hAnsi="Verdana"/>
          <w:sz w:val="20"/>
          <w:szCs w:val="20"/>
          <w:lang w:val="es-ES_tradnl"/>
        </w:rPr>
        <w:t xml:space="preserve">daño material e inmaterial a 153 de las víctimas referidas en la </w:t>
      </w:r>
      <w:r w:rsidR="00E87269">
        <w:rPr>
          <w:rFonts w:ascii="Verdana" w:hAnsi="Verdana"/>
          <w:sz w:val="20"/>
          <w:szCs w:val="20"/>
          <w:lang w:val="es-ES_tradnl"/>
        </w:rPr>
        <w:t>S</w:t>
      </w:r>
      <w:r w:rsidRPr="000412A5">
        <w:rPr>
          <w:rFonts w:ascii="Verdana" w:hAnsi="Verdana"/>
          <w:sz w:val="20"/>
          <w:szCs w:val="20"/>
          <w:lang w:val="es-ES_tradnl"/>
        </w:rPr>
        <w:t>entencia, conforme a lo expuesto en el informe del Estado de octubre de 2018, correspondiendo 39 de ellas a víctimas sobrevivientes</w:t>
      </w:r>
      <w:r w:rsidRPr="000412A5">
        <w:rPr>
          <w:rStyle w:val="FootnoteReference"/>
          <w:rFonts w:ascii="Verdana" w:hAnsi="Verdana"/>
          <w:sz w:val="20"/>
          <w:szCs w:val="20"/>
          <w:lang w:val="es-ES_tradnl"/>
        </w:rPr>
        <w:footnoteReference w:id="37"/>
      </w:r>
      <w:r w:rsidR="009F5CCC" w:rsidRPr="000412A5">
        <w:rPr>
          <w:rFonts w:ascii="Verdana" w:hAnsi="Verdana"/>
          <w:sz w:val="20"/>
          <w:szCs w:val="20"/>
          <w:lang w:val="es-ES_tradnl"/>
        </w:rPr>
        <w:t>, listadas en el Anexo “B” de la Sentencia</w:t>
      </w:r>
      <w:r w:rsidRPr="000412A5">
        <w:rPr>
          <w:rFonts w:ascii="Verdana" w:hAnsi="Verdana"/>
          <w:sz w:val="20"/>
          <w:szCs w:val="20"/>
          <w:lang w:val="es-ES_tradnl"/>
        </w:rPr>
        <w:t>, y a</w:t>
      </w:r>
      <w:r w:rsidR="00736E2C" w:rsidRPr="000412A5">
        <w:rPr>
          <w:rFonts w:ascii="Verdana" w:hAnsi="Verdana"/>
          <w:sz w:val="20"/>
          <w:szCs w:val="20"/>
          <w:lang w:val="es-ES_tradnl"/>
        </w:rPr>
        <w:t xml:space="preserve"> 114</w:t>
      </w:r>
      <w:r w:rsidRPr="000412A5">
        <w:rPr>
          <w:rFonts w:ascii="Verdana" w:hAnsi="Verdana"/>
          <w:sz w:val="20"/>
          <w:szCs w:val="20"/>
          <w:lang w:val="es-ES_tradnl"/>
        </w:rPr>
        <w:t xml:space="preserve"> </w:t>
      </w:r>
      <w:r w:rsidRPr="000412A5">
        <w:rPr>
          <w:rFonts w:ascii="Verdana" w:hAnsi="Verdana"/>
          <w:sz w:val="20"/>
          <w:szCs w:val="20"/>
          <w:lang w:val="es-ES_tradnl"/>
        </w:rPr>
        <w:lastRenderedPageBreak/>
        <w:t>familiares de víctimas ejecutadas</w:t>
      </w:r>
      <w:r w:rsidRPr="000412A5">
        <w:rPr>
          <w:rStyle w:val="FootnoteReference"/>
          <w:rFonts w:ascii="Verdana" w:hAnsi="Verdana"/>
          <w:sz w:val="20"/>
          <w:szCs w:val="20"/>
          <w:lang w:val="es-ES_tradnl"/>
        </w:rPr>
        <w:footnoteReference w:id="38"/>
      </w:r>
      <w:r w:rsidR="009F5CCC" w:rsidRPr="000412A5">
        <w:rPr>
          <w:rFonts w:ascii="Verdana" w:hAnsi="Verdana"/>
          <w:sz w:val="20"/>
          <w:szCs w:val="20"/>
          <w:lang w:val="es-ES_tradnl"/>
        </w:rPr>
        <w:t>, listadas en el Anexo “C” de la Sentencia</w:t>
      </w:r>
      <w:r w:rsidRPr="000412A5">
        <w:rPr>
          <w:rFonts w:ascii="Verdana" w:hAnsi="Verdana"/>
          <w:sz w:val="20"/>
          <w:szCs w:val="20"/>
          <w:lang w:val="es-ES_tradnl"/>
        </w:rPr>
        <w:t>.</w:t>
      </w:r>
      <w:r w:rsidR="00F46AD6" w:rsidRPr="000412A5">
        <w:rPr>
          <w:rFonts w:ascii="Verdana" w:hAnsi="Verdana"/>
          <w:sz w:val="20"/>
          <w:szCs w:val="20"/>
          <w:lang w:val="es-ES_tradnl"/>
        </w:rPr>
        <w:t xml:space="preserve"> La Corte nota que de esos 153 casos, en </w:t>
      </w:r>
      <w:r w:rsidR="004506E6">
        <w:rPr>
          <w:rFonts w:ascii="Verdana" w:hAnsi="Verdana"/>
          <w:sz w:val="20"/>
          <w:szCs w:val="20"/>
          <w:lang w:val="es-ES_tradnl"/>
        </w:rPr>
        <w:t xml:space="preserve">146 </w:t>
      </w:r>
      <w:r w:rsidR="00F46AD6" w:rsidRPr="000412A5">
        <w:rPr>
          <w:rFonts w:ascii="Verdana" w:hAnsi="Verdana"/>
          <w:sz w:val="20"/>
          <w:szCs w:val="20"/>
          <w:lang w:val="es-ES_tradnl"/>
        </w:rPr>
        <w:t xml:space="preserve">el pago fue realizado </w:t>
      </w:r>
      <w:r w:rsidR="000D141A">
        <w:rPr>
          <w:rFonts w:ascii="Verdana" w:hAnsi="Verdana"/>
          <w:sz w:val="20"/>
          <w:szCs w:val="20"/>
          <w:lang w:val="es-ES_tradnl"/>
        </w:rPr>
        <w:t xml:space="preserve">dentro de </w:t>
      </w:r>
      <w:r w:rsidR="000F1273">
        <w:rPr>
          <w:rFonts w:ascii="Verdana" w:hAnsi="Verdana"/>
          <w:sz w:val="20"/>
          <w:szCs w:val="20"/>
          <w:lang w:val="es-ES_tradnl"/>
        </w:rPr>
        <w:t>los cinco años posteriores a la notificación de la Sentencia</w:t>
      </w:r>
      <w:r w:rsidR="00F46AD6" w:rsidRPr="000412A5">
        <w:rPr>
          <w:rFonts w:ascii="Verdana" w:hAnsi="Verdana"/>
          <w:sz w:val="20"/>
          <w:szCs w:val="20"/>
          <w:lang w:val="es-ES_tradnl"/>
        </w:rPr>
        <w:t xml:space="preserve">, mientras que en los otros </w:t>
      </w:r>
      <w:r w:rsidR="004506E6">
        <w:rPr>
          <w:rFonts w:ascii="Verdana" w:hAnsi="Verdana"/>
          <w:sz w:val="20"/>
          <w:szCs w:val="20"/>
          <w:lang w:val="es-ES_tradnl"/>
        </w:rPr>
        <w:t xml:space="preserve">7 </w:t>
      </w:r>
      <w:r w:rsidR="000F1273">
        <w:rPr>
          <w:rFonts w:ascii="Verdana" w:hAnsi="Verdana"/>
          <w:sz w:val="20"/>
          <w:szCs w:val="20"/>
          <w:lang w:val="es-ES_tradnl"/>
        </w:rPr>
        <w:t>fue con posterioridad a ese período de cinco años</w:t>
      </w:r>
      <w:r w:rsidR="00F46AD6" w:rsidRPr="000412A5">
        <w:rPr>
          <w:rStyle w:val="FootnoteReference"/>
          <w:rFonts w:ascii="Verdana" w:hAnsi="Verdana"/>
          <w:sz w:val="20"/>
          <w:szCs w:val="20"/>
          <w:lang w:val="es-ES_tradnl"/>
        </w:rPr>
        <w:footnoteReference w:id="39"/>
      </w:r>
      <w:r w:rsidR="00F4303C">
        <w:rPr>
          <w:rFonts w:ascii="Verdana" w:hAnsi="Verdana"/>
          <w:sz w:val="20"/>
          <w:szCs w:val="20"/>
          <w:lang w:val="es-ES_tradnl"/>
        </w:rPr>
        <w:t xml:space="preserve"> (</w:t>
      </w:r>
      <w:r w:rsidR="00F4303C">
        <w:rPr>
          <w:rFonts w:ascii="Verdana" w:hAnsi="Verdana"/>
          <w:i/>
          <w:sz w:val="20"/>
          <w:szCs w:val="20"/>
          <w:lang w:val="es-ES_tradnl"/>
        </w:rPr>
        <w:t>infra</w:t>
      </w:r>
      <w:r w:rsidR="00F4303C">
        <w:rPr>
          <w:rFonts w:ascii="Verdana" w:hAnsi="Verdana"/>
          <w:sz w:val="20"/>
          <w:szCs w:val="20"/>
          <w:lang w:val="es-ES_tradnl"/>
        </w:rPr>
        <w:t xml:space="preserve"> Considerando </w:t>
      </w:r>
      <w:r w:rsidR="00F4303C" w:rsidRPr="00635197">
        <w:rPr>
          <w:rFonts w:ascii="Verdana" w:hAnsi="Verdana"/>
          <w:sz w:val="20"/>
          <w:szCs w:val="20"/>
          <w:lang w:val="es-CR"/>
        </w:rPr>
        <w:t>**)</w:t>
      </w:r>
      <w:r w:rsidR="00F46AD6" w:rsidRPr="000412A5">
        <w:rPr>
          <w:rFonts w:ascii="Verdana" w:hAnsi="Verdana"/>
          <w:sz w:val="20"/>
          <w:szCs w:val="20"/>
          <w:lang w:val="es-ES_tradnl"/>
        </w:rPr>
        <w:t>.</w:t>
      </w:r>
    </w:p>
    <w:p w14:paraId="1361962A" w14:textId="5F127D89" w:rsidR="00196B60" w:rsidRDefault="00F4303C"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bookmarkStart w:id="32" w:name="_Ref406703587"/>
      <w:r>
        <w:rPr>
          <w:rFonts w:ascii="Verdana" w:hAnsi="Verdana"/>
          <w:sz w:val="20"/>
          <w:szCs w:val="20"/>
          <w:lang w:val="es-ES_tradnl"/>
        </w:rPr>
        <w:t>C</w:t>
      </w:r>
      <w:r w:rsidR="00B5679B" w:rsidRPr="000412A5">
        <w:rPr>
          <w:rFonts w:ascii="Verdana" w:hAnsi="Verdana"/>
          <w:sz w:val="20"/>
          <w:szCs w:val="20"/>
          <w:lang w:val="es-ES_tradnl"/>
        </w:rPr>
        <w:t xml:space="preserve">on respecto a las indemnizaciones correspondientes a las víctimas ejecutadas listadas en el Anexo “A” de la Sentencia, la Corte constata que hasta la fecha no se le ha pagado a los familiares de ninguna de ellas </w:t>
      </w:r>
      <w:r w:rsidR="000F1273">
        <w:rPr>
          <w:rFonts w:ascii="Verdana" w:hAnsi="Verdana"/>
          <w:sz w:val="20"/>
          <w:szCs w:val="20"/>
          <w:lang w:val="es-ES_tradnl"/>
        </w:rPr>
        <w:t xml:space="preserve">la </w:t>
      </w:r>
      <w:r w:rsidR="00B5679B" w:rsidRPr="000412A5">
        <w:rPr>
          <w:rFonts w:ascii="Verdana" w:hAnsi="Verdana"/>
          <w:sz w:val="20"/>
          <w:szCs w:val="20"/>
          <w:lang w:val="es-ES_tradnl"/>
        </w:rPr>
        <w:t>indemnización</w:t>
      </w:r>
      <w:r w:rsidR="000F1273">
        <w:rPr>
          <w:rFonts w:ascii="Verdana" w:hAnsi="Verdana"/>
          <w:sz w:val="20"/>
          <w:szCs w:val="20"/>
          <w:lang w:val="es-ES_tradnl"/>
        </w:rPr>
        <w:t xml:space="preserve"> dispuesta en la Sentencia</w:t>
      </w:r>
      <w:r w:rsidR="00B5679B" w:rsidRPr="000412A5">
        <w:rPr>
          <w:rFonts w:ascii="Verdana" w:hAnsi="Verdana"/>
          <w:sz w:val="20"/>
          <w:szCs w:val="20"/>
          <w:lang w:val="es-ES_tradnl"/>
        </w:rPr>
        <w:t xml:space="preserve">. </w:t>
      </w:r>
      <w:r w:rsidR="00271F1F" w:rsidRPr="000412A5">
        <w:rPr>
          <w:rFonts w:ascii="Verdana" w:hAnsi="Verdana"/>
          <w:sz w:val="20"/>
          <w:szCs w:val="20"/>
          <w:lang w:val="es-ES_tradnl"/>
        </w:rPr>
        <w:t>Conforme a la información suministrada por las partes,</w:t>
      </w:r>
      <w:r w:rsidR="00B67E53" w:rsidRPr="000412A5">
        <w:rPr>
          <w:rFonts w:ascii="Verdana" w:hAnsi="Verdana"/>
          <w:sz w:val="20"/>
          <w:szCs w:val="20"/>
          <w:lang w:val="es-ES_tradnl"/>
        </w:rPr>
        <w:t xml:space="preserve"> ello se </w:t>
      </w:r>
      <w:r w:rsidR="007A39D4" w:rsidRPr="000412A5">
        <w:rPr>
          <w:rFonts w:ascii="Verdana" w:hAnsi="Verdana"/>
          <w:sz w:val="20"/>
          <w:szCs w:val="20"/>
          <w:lang w:val="es-ES_tradnl"/>
        </w:rPr>
        <w:t>debe</w:t>
      </w:r>
      <w:r w:rsidR="00B67E53" w:rsidRPr="000412A5">
        <w:rPr>
          <w:rFonts w:ascii="Verdana" w:hAnsi="Verdana"/>
          <w:sz w:val="20"/>
          <w:szCs w:val="20"/>
          <w:lang w:val="es-ES_tradnl"/>
        </w:rPr>
        <w:t xml:space="preserve"> a que</w:t>
      </w:r>
      <w:r w:rsidR="000F1273">
        <w:rPr>
          <w:rFonts w:ascii="Verdana" w:hAnsi="Verdana"/>
          <w:sz w:val="20"/>
          <w:szCs w:val="20"/>
          <w:lang w:val="es-ES_tradnl"/>
        </w:rPr>
        <w:t xml:space="preserve">, como requisito para el pago, se ha exigido a los familiares probar </w:t>
      </w:r>
      <w:r w:rsidR="00271F1F" w:rsidRPr="000412A5">
        <w:rPr>
          <w:rFonts w:ascii="Verdana" w:hAnsi="Verdana"/>
          <w:sz w:val="20"/>
          <w:szCs w:val="20"/>
          <w:lang w:val="es-ES_tradnl"/>
        </w:rPr>
        <w:t xml:space="preserve">la </w:t>
      </w:r>
      <w:r w:rsidR="000F1273">
        <w:rPr>
          <w:rFonts w:ascii="Verdana" w:hAnsi="Verdana"/>
          <w:sz w:val="20"/>
          <w:szCs w:val="20"/>
          <w:lang w:val="es-ES_tradnl"/>
        </w:rPr>
        <w:t xml:space="preserve">identidad </w:t>
      </w:r>
      <w:r w:rsidR="007A39D4" w:rsidRPr="000412A5">
        <w:rPr>
          <w:rFonts w:ascii="Verdana" w:hAnsi="Verdana"/>
          <w:sz w:val="20"/>
          <w:szCs w:val="20"/>
          <w:lang w:val="es-ES_tradnl"/>
        </w:rPr>
        <w:t>de</w:t>
      </w:r>
      <w:r w:rsidR="00271F1F" w:rsidRPr="000412A5">
        <w:rPr>
          <w:rFonts w:ascii="Verdana" w:hAnsi="Verdana"/>
          <w:sz w:val="20"/>
          <w:szCs w:val="20"/>
          <w:lang w:val="es-ES_tradnl"/>
        </w:rPr>
        <w:t xml:space="preserve"> la persona ejecutada</w:t>
      </w:r>
      <w:r w:rsidR="000F1273">
        <w:rPr>
          <w:rFonts w:ascii="Verdana" w:hAnsi="Verdana"/>
          <w:sz w:val="20"/>
          <w:szCs w:val="20"/>
          <w:lang w:val="es-ES_tradnl"/>
        </w:rPr>
        <w:t xml:space="preserve"> y su relación de filiación con la misma</w:t>
      </w:r>
      <w:r w:rsidR="00271F1F" w:rsidRPr="000412A5">
        <w:rPr>
          <w:rFonts w:ascii="Verdana" w:hAnsi="Verdana"/>
          <w:sz w:val="20"/>
          <w:szCs w:val="20"/>
          <w:lang w:val="es-ES_tradnl"/>
        </w:rPr>
        <w:t xml:space="preserve"> y</w:t>
      </w:r>
      <w:r w:rsidR="000F1273">
        <w:rPr>
          <w:rFonts w:ascii="Verdana" w:hAnsi="Verdana"/>
          <w:sz w:val="20"/>
          <w:szCs w:val="20"/>
          <w:lang w:val="es-ES_tradnl"/>
        </w:rPr>
        <w:t>,</w:t>
      </w:r>
      <w:r w:rsidR="00271F1F" w:rsidRPr="000412A5">
        <w:rPr>
          <w:rFonts w:ascii="Verdana" w:hAnsi="Verdana"/>
          <w:sz w:val="20"/>
          <w:szCs w:val="20"/>
          <w:lang w:val="es-ES_tradnl"/>
        </w:rPr>
        <w:t xml:space="preserve"> en consecuencia, la posibilidad de acceder a la sucesión. </w:t>
      </w:r>
      <w:r w:rsidR="00271F1F" w:rsidRPr="00196B60">
        <w:rPr>
          <w:rFonts w:ascii="Verdana" w:hAnsi="Verdana"/>
          <w:sz w:val="20"/>
          <w:szCs w:val="20"/>
          <w:lang w:val="es-ES_tradnl"/>
        </w:rPr>
        <w:t>Igualmente, estas personas tienen limitaciones para acceder a juicios sucesorios</w:t>
      </w:r>
      <w:r w:rsidR="00196B60" w:rsidRPr="00196B60">
        <w:rPr>
          <w:rFonts w:ascii="Verdana" w:hAnsi="Verdana"/>
          <w:sz w:val="20"/>
          <w:szCs w:val="20"/>
          <w:lang w:val="es-ES_tradnl"/>
        </w:rPr>
        <w:t>,</w:t>
      </w:r>
      <w:r w:rsidR="00271F1F" w:rsidRPr="00196B60">
        <w:rPr>
          <w:rFonts w:ascii="Verdana" w:hAnsi="Verdana"/>
          <w:sz w:val="20"/>
          <w:szCs w:val="20"/>
          <w:lang w:val="es-ES_tradnl"/>
        </w:rPr>
        <w:t xml:space="preserve"> lo cual los representantes consideran como una “carga</w:t>
      </w:r>
      <w:r w:rsidR="00196B60" w:rsidRPr="00196B60">
        <w:rPr>
          <w:rFonts w:ascii="Verdana" w:hAnsi="Verdana"/>
          <w:sz w:val="20"/>
          <w:szCs w:val="20"/>
          <w:lang w:val="es-ES_tradnl"/>
        </w:rPr>
        <w:t xml:space="preserve"> excesiva </w:t>
      </w:r>
      <w:r w:rsidR="00480328">
        <w:rPr>
          <w:rFonts w:ascii="Verdana" w:hAnsi="Verdana"/>
          <w:sz w:val="20"/>
          <w:szCs w:val="20"/>
          <w:lang w:val="es-ES_tradnl"/>
        </w:rPr>
        <w:t>en</w:t>
      </w:r>
      <w:r w:rsidR="00480328" w:rsidRPr="00196B60">
        <w:rPr>
          <w:rFonts w:ascii="Verdana" w:hAnsi="Verdana"/>
          <w:sz w:val="20"/>
          <w:szCs w:val="20"/>
          <w:lang w:val="es-ES_tradnl"/>
        </w:rPr>
        <w:t xml:space="preserve"> </w:t>
      </w:r>
      <w:r w:rsidR="00196B60" w:rsidRPr="00196B60">
        <w:rPr>
          <w:rFonts w:ascii="Verdana" w:hAnsi="Verdana"/>
          <w:sz w:val="20"/>
          <w:szCs w:val="20"/>
          <w:lang w:val="es-ES_tradnl"/>
        </w:rPr>
        <w:t>las víctimas</w:t>
      </w:r>
      <w:r w:rsidR="00480328">
        <w:rPr>
          <w:rFonts w:ascii="Verdana" w:hAnsi="Verdana"/>
          <w:sz w:val="20"/>
          <w:szCs w:val="20"/>
          <w:lang w:val="es-ES_tradnl"/>
        </w:rPr>
        <w:t xml:space="preserve"> para tener acceso a las reparaciones. Las víctimas de este caso son personas de muy elevada edad pero además de escasos recursos</w:t>
      </w:r>
      <w:r w:rsidR="00196B60" w:rsidRPr="00196B60">
        <w:rPr>
          <w:rFonts w:ascii="Verdana" w:hAnsi="Verdana"/>
          <w:sz w:val="20"/>
          <w:szCs w:val="20"/>
          <w:lang w:val="es-ES_tradnl"/>
        </w:rPr>
        <w:t>”</w:t>
      </w:r>
      <w:r w:rsidR="00271F1F" w:rsidRPr="00196B60">
        <w:rPr>
          <w:rFonts w:ascii="Verdana" w:hAnsi="Verdana"/>
          <w:sz w:val="20"/>
          <w:szCs w:val="20"/>
          <w:lang w:val="es-ES_tradnl"/>
        </w:rPr>
        <w:t>.</w:t>
      </w:r>
      <w:bookmarkEnd w:id="32"/>
      <w:r w:rsidR="00271F1F" w:rsidRPr="00196B60">
        <w:rPr>
          <w:rFonts w:ascii="Verdana" w:hAnsi="Verdana"/>
          <w:sz w:val="20"/>
          <w:szCs w:val="20"/>
          <w:lang w:val="es-ES_tradnl"/>
        </w:rPr>
        <w:t xml:space="preserve"> </w:t>
      </w:r>
    </w:p>
    <w:p w14:paraId="21CA8E0B" w14:textId="3F9C0408" w:rsidR="00196B60" w:rsidRPr="000412A5" w:rsidRDefault="00196B60"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lastRenderedPageBreak/>
        <w:t xml:space="preserve">La Corte coincide con los representantes en que “imponer a las víctimas y sus familiares la carga de realizar procesos sucesorios es una medida excesiva que dilata y limita el acceso a las reparaciones”. </w:t>
      </w:r>
      <w:r w:rsidR="00655A4E">
        <w:rPr>
          <w:rFonts w:ascii="Verdana" w:hAnsi="Verdana"/>
          <w:sz w:val="20"/>
          <w:szCs w:val="20"/>
          <w:lang w:val="es-ES_tradnl"/>
        </w:rPr>
        <w:t xml:space="preserve">Más aún, la Corte observa que </w:t>
      </w:r>
      <w:r w:rsidRPr="000412A5">
        <w:rPr>
          <w:rFonts w:ascii="Verdana" w:hAnsi="Verdana"/>
          <w:sz w:val="20"/>
          <w:szCs w:val="20"/>
          <w:lang w:val="es-ES_tradnl"/>
        </w:rPr>
        <w:t xml:space="preserve">el pago de estas indemnizaciones depende de la inscripción, rectificación o modificación de distintos documentos que prueben la existencia legal de las personas ejecutadas, al igual que los vínculos familiares que existen con sus respectivos herederos. </w:t>
      </w:r>
      <w:r w:rsidR="00A648A3">
        <w:rPr>
          <w:rFonts w:ascii="Verdana" w:hAnsi="Verdana"/>
          <w:sz w:val="20"/>
          <w:szCs w:val="20"/>
          <w:lang w:val="es-ES_tradnl"/>
        </w:rPr>
        <w:t>De esta forma, l</w:t>
      </w:r>
      <w:r w:rsidRPr="000412A5">
        <w:rPr>
          <w:rFonts w:ascii="Verdana" w:hAnsi="Verdana"/>
          <w:sz w:val="20"/>
          <w:szCs w:val="20"/>
          <w:lang w:val="es-ES_tradnl"/>
        </w:rPr>
        <w:t xml:space="preserve">os obstáculos identificados en el capítulo correspondiente a </w:t>
      </w:r>
      <w:r w:rsidR="00655A4E">
        <w:rPr>
          <w:rFonts w:ascii="Verdana" w:hAnsi="Verdana"/>
          <w:sz w:val="20"/>
          <w:szCs w:val="20"/>
          <w:lang w:val="es-ES_tradnl"/>
        </w:rPr>
        <w:t xml:space="preserve">la medida </w:t>
      </w:r>
      <w:r w:rsidR="00480328">
        <w:rPr>
          <w:rFonts w:ascii="Verdana" w:hAnsi="Verdana"/>
          <w:sz w:val="20"/>
          <w:szCs w:val="20"/>
          <w:lang w:val="es-ES_tradnl"/>
        </w:rPr>
        <w:t>que dispone</w:t>
      </w:r>
      <w:r w:rsidR="00655A4E">
        <w:rPr>
          <w:rFonts w:ascii="Verdana" w:hAnsi="Verdana"/>
          <w:sz w:val="20"/>
          <w:szCs w:val="20"/>
          <w:lang w:val="es-ES_tradnl"/>
        </w:rPr>
        <w:t xml:space="preserve"> la puesta en funcionamiento del Registro Único de Víctimas</w:t>
      </w:r>
      <w:r w:rsidRPr="000412A5">
        <w:rPr>
          <w:rFonts w:ascii="Verdana" w:hAnsi="Verdana"/>
          <w:sz w:val="20"/>
          <w:szCs w:val="20"/>
          <w:lang w:val="es-ES_tradnl"/>
        </w:rPr>
        <w:t xml:space="preserve"> (</w:t>
      </w:r>
      <w:r w:rsidRPr="000412A5">
        <w:rPr>
          <w:rFonts w:ascii="Verdana" w:hAnsi="Verdana"/>
          <w:i/>
          <w:sz w:val="20"/>
          <w:szCs w:val="20"/>
          <w:lang w:val="es-ES_tradnl"/>
        </w:rPr>
        <w:t xml:space="preserve">supra </w:t>
      </w:r>
      <w:r w:rsidRPr="000412A5">
        <w:rPr>
          <w:rFonts w:ascii="Verdana" w:hAnsi="Verdana"/>
          <w:sz w:val="20"/>
          <w:szCs w:val="20"/>
          <w:lang w:val="es-ES_tradnl"/>
        </w:rPr>
        <w:t xml:space="preserve">Considerando </w:t>
      </w:r>
      <w:r w:rsidR="00480328">
        <w:rPr>
          <w:rFonts w:ascii="Verdana" w:hAnsi="Verdana"/>
          <w:sz w:val="20"/>
          <w:szCs w:val="20"/>
          <w:lang w:val="es-ES_tradnl"/>
        </w:rPr>
        <w:t>10</w:t>
      </w:r>
      <w:r w:rsidRPr="000412A5">
        <w:rPr>
          <w:rFonts w:ascii="Verdana" w:hAnsi="Verdana"/>
          <w:sz w:val="20"/>
          <w:szCs w:val="20"/>
          <w:lang w:val="es-ES_tradnl"/>
        </w:rPr>
        <w:t>) impiden igualmente el pago de estas indemnizaciones.</w:t>
      </w:r>
    </w:p>
    <w:p w14:paraId="72B80C17" w14:textId="5B4B95DD" w:rsidR="00B5679B" w:rsidRPr="000412A5" w:rsidRDefault="00A648A3"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Por su parte, l</w:t>
      </w:r>
      <w:r w:rsidR="00271F1F" w:rsidRPr="000412A5">
        <w:rPr>
          <w:rFonts w:ascii="Verdana" w:hAnsi="Verdana"/>
          <w:sz w:val="20"/>
          <w:szCs w:val="20"/>
          <w:lang w:val="es-ES_tradnl"/>
        </w:rPr>
        <w:t xml:space="preserve">a Corte observa que </w:t>
      </w:r>
      <w:r w:rsidR="007A39D4" w:rsidRPr="000412A5">
        <w:rPr>
          <w:rFonts w:ascii="Verdana" w:hAnsi="Verdana"/>
          <w:sz w:val="20"/>
          <w:szCs w:val="20"/>
          <w:lang w:val="es-ES_tradnl"/>
        </w:rPr>
        <w:t>el</w:t>
      </w:r>
      <w:r w:rsidR="00271F1F" w:rsidRPr="000412A5">
        <w:rPr>
          <w:rFonts w:ascii="Verdana" w:hAnsi="Verdana"/>
          <w:sz w:val="20"/>
          <w:szCs w:val="20"/>
          <w:lang w:val="es-ES_tradnl"/>
        </w:rPr>
        <w:t xml:space="preserve"> anteproyecto de ley denominado “Disposiciones Especiales y Transitorias para el establecimiento del Estado familiar o fallecimiento de las víctimas de las masacres de El Mozote y lugares aledaños”</w:t>
      </w:r>
      <w:r w:rsidR="007A39D4" w:rsidRPr="000412A5">
        <w:rPr>
          <w:rFonts w:ascii="Verdana" w:hAnsi="Verdana"/>
          <w:sz w:val="20"/>
          <w:szCs w:val="20"/>
          <w:lang w:val="es-ES_tradnl"/>
        </w:rPr>
        <w:t xml:space="preserve"> (</w:t>
      </w:r>
      <w:r w:rsidR="007A39D4" w:rsidRPr="000412A5">
        <w:rPr>
          <w:rFonts w:ascii="Verdana" w:hAnsi="Verdana"/>
          <w:i/>
          <w:sz w:val="20"/>
          <w:szCs w:val="20"/>
          <w:lang w:val="es-ES_tradnl"/>
        </w:rPr>
        <w:t>supra</w:t>
      </w:r>
      <w:r w:rsidR="007A39D4" w:rsidRPr="000412A5">
        <w:rPr>
          <w:rFonts w:ascii="Verdana" w:hAnsi="Verdana"/>
          <w:sz w:val="20"/>
          <w:szCs w:val="20"/>
          <w:lang w:val="es-ES_tradnl"/>
        </w:rPr>
        <w:t xml:space="preserve"> Considerando </w:t>
      </w:r>
      <w:r w:rsidR="00431EA5">
        <w:rPr>
          <w:rFonts w:ascii="Verdana" w:hAnsi="Verdana"/>
          <w:sz w:val="20"/>
          <w:szCs w:val="20"/>
          <w:lang w:val="es-ES_tradnl"/>
        </w:rPr>
        <w:fldChar w:fldCharType="begin"/>
      </w:r>
      <w:r w:rsidR="00431EA5">
        <w:rPr>
          <w:rFonts w:ascii="Verdana" w:hAnsi="Verdana"/>
          <w:sz w:val="20"/>
          <w:szCs w:val="20"/>
          <w:lang w:val="es-ES_tradnl"/>
        </w:rPr>
        <w:instrText xml:space="preserve"> REF _Ref532828948 \r \h </w:instrText>
      </w:r>
      <w:r w:rsidR="00431EA5">
        <w:rPr>
          <w:rFonts w:ascii="Verdana" w:hAnsi="Verdana"/>
          <w:sz w:val="20"/>
          <w:szCs w:val="20"/>
          <w:lang w:val="es-ES_tradnl"/>
        </w:rPr>
      </w:r>
      <w:r w:rsidR="00431EA5">
        <w:rPr>
          <w:rFonts w:ascii="Verdana" w:hAnsi="Verdana"/>
          <w:sz w:val="20"/>
          <w:szCs w:val="20"/>
          <w:lang w:val="es-ES_tradnl"/>
        </w:rPr>
        <w:fldChar w:fldCharType="separate"/>
      </w:r>
      <w:r w:rsidR="005E6AC2">
        <w:rPr>
          <w:rFonts w:ascii="Verdana" w:hAnsi="Verdana"/>
          <w:sz w:val="20"/>
          <w:szCs w:val="20"/>
          <w:lang w:val="es-ES_tradnl"/>
        </w:rPr>
        <w:t>22</w:t>
      </w:r>
      <w:r w:rsidR="00431EA5">
        <w:rPr>
          <w:rFonts w:ascii="Verdana" w:hAnsi="Verdana"/>
          <w:sz w:val="20"/>
          <w:szCs w:val="20"/>
          <w:lang w:val="es-ES_tradnl"/>
        </w:rPr>
        <w:fldChar w:fldCharType="end"/>
      </w:r>
      <w:r w:rsidR="007A39D4" w:rsidRPr="000412A5">
        <w:rPr>
          <w:rFonts w:ascii="Verdana" w:hAnsi="Verdana"/>
          <w:sz w:val="20"/>
          <w:szCs w:val="20"/>
          <w:lang w:val="es-ES_tradnl"/>
        </w:rPr>
        <w:t>)</w:t>
      </w:r>
      <w:r w:rsidR="00271F1F" w:rsidRPr="000412A5">
        <w:rPr>
          <w:rFonts w:ascii="Verdana" w:hAnsi="Verdana"/>
          <w:sz w:val="20"/>
          <w:szCs w:val="20"/>
          <w:lang w:val="es-ES_tradnl"/>
        </w:rPr>
        <w:t>, el cual hasta la fecha no ha prosperado</w:t>
      </w:r>
      <w:r w:rsidR="007A39D4" w:rsidRPr="000412A5">
        <w:rPr>
          <w:rFonts w:ascii="Verdana" w:hAnsi="Verdana"/>
          <w:sz w:val="20"/>
          <w:szCs w:val="20"/>
          <w:lang w:val="es-ES_tradnl"/>
        </w:rPr>
        <w:t>, facilitaría la eliminación de estos obstáculos en el pago de las indemnizaciones correspondientes</w:t>
      </w:r>
      <w:r w:rsidR="00271F1F" w:rsidRPr="000412A5">
        <w:rPr>
          <w:rFonts w:ascii="Verdana" w:hAnsi="Verdana"/>
          <w:sz w:val="20"/>
          <w:szCs w:val="20"/>
          <w:lang w:val="es-ES_tradnl"/>
        </w:rPr>
        <w:t xml:space="preserve">. </w:t>
      </w:r>
    </w:p>
    <w:p w14:paraId="19B4D53B" w14:textId="62651CA0" w:rsidR="00DD37FE" w:rsidRDefault="00271F1F"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 xml:space="preserve">Respecto a esto último, la Corte valora positivamente </w:t>
      </w:r>
      <w:r w:rsidR="00F92CA4" w:rsidRPr="000412A5">
        <w:rPr>
          <w:rFonts w:ascii="Verdana" w:hAnsi="Verdana"/>
          <w:sz w:val="20"/>
          <w:szCs w:val="20"/>
          <w:lang w:val="es-ES_tradnl"/>
        </w:rPr>
        <w:t>los esfuerzos encabezados por el Poder Ejecutivo para dar cumplimiento efectivo a la presente medida de reparación, al igual que su buena voluntad para continuar buscando posibles soluciones, en conjunto con los representantes de las víctimas. Particularmente, la Corte encuentra que el anteproyecto de ley presentado por el Poder Ejecutivo podría facilitar el cumplimiento de esta medida, por cuanto establece mecanismos sencillos y efectivos para identificar a una víctima, sus familiares, y por consiguiente, realizar el pago de las indemnizaciones correspondientes</w:t>
      </w:r>
      <w:r w:rsidR="007A39D4" w:rsidRPr="000412A5">
        <w:rPr>
          <w:rFonts w:ascii="Verdana" w:hAnsi="Verdana"/>
          <w:sz w:val="20"/>
          <w:szCs w:val="20"/>
          <w:lang w:val="es-ES_tradnl"/>
        </w:rPr>
        <w:t xml:space="preserve"> (</w:t>
      </w:r>
      <w:r w:rsidR="007A39D4" w:rsidRPr="000412A5">
        <w:rPr>
          <w:rFonts w:ascii="Verdana" w:hAnsi="Verdana"/>
          <w:i/>
          <w:sz w:val="20"/>
          <w:szCs w:val="20"/>
          <w:lang w:val="es-ES_tradnl"/>
        </w:rPr>
        <w:t>supra</w:t>
      </w:r>
      <w:r w:rsidR="007A39D4" w:rsidRPr="000412A5">
        <w:rPr>
          <w:rFonts w:ascii="Verdana" w:hAnsi="Verdana"/>
          <w:sz w:val="20"/>
          <w:szCs w:val="20"/>
          <w:lang w:val="es-ES_tradnl"/>
        </w:rPr>
        <w:t xml:space="preserve"> Considerando </w:t>
      </w:r>
      <w:r w:rsidR="00431EA5">
        <w:rPr>
          <w:rFonts w:ascii="Verdana" w:hAnsi="Verdana"/>
          <w:sz w:val="20"/>
          <w:szCs w:val="20"/>
          <w:lang w:val="es-ES_tradnl"/>
        </w:rPr>
        <w:t>3</w:t>
      </w:r>
      <w:r w:rsidR="001D18EB">
        <w:rPr>
          <w:rFonts w:ascii="Verdana" w:hAnsi="Verdana"/>
          <w:sz w:val="20"/>
          <w:szCs w:val="20"/>
          <w:lang w:val="es-ES_tradnl"/>
        </w:rPr>
        <w:t>7</w:t>
      </w:r>
      <w:r w:rsidR="00431EA5" w:rsidRPr="000412A5">
        <w:rPr>
          <w:rFonts w:ascii="Verdana" w:hAnsi="Verdana"/>
          <w:sz w:val="20"/>
          <w:szCs w:val="20"/>
          <w:lang w:val="es-ES_tradnl"/>
        </w:rPr>
        <w:t xml:space="preserve">). </w:t>
      </w:r>
      <w:r w:rsidR="000412A5" w:rsidRPr="000412A5">
        <w:rPr>
          <w:rFonts w:ascii="Verdana" w:hAnsi="Verdana"/>
          <w:sz w:val="20"/>
          <w:szCs w:val="20"/>
          <w:lang w:val="es-ES_tradnl"/>
        </w:rPr>
        <w:t xml:space="preserve">Sin embargo, tal como se señaló previamente, </w:t>
      </w:r>
      <w:r w:rsidR="00DD37FE" w:rsidRPr="000412A5">
        <w:rPr>
          <w:rFonts w:ascii="Verdana" w:hAnsi="Verdana"/>
          <w:sz w:val="20"/>
          <w:szCs w:val="20"/>
          <w:lang w:val="es-ES_tradnl"/>
        </w:rPr>
        <w:t xml:space="preserve">no ha entrado en vigor ningún mecanismo que facilite el cumplimiento de la presente medida de reparación. </w:t>
      </w:r>
    </w:p>
    <w:p w14:paraId="2267C696" w14:textId="399D1C18" w:rsidR="001D18EB" w:rsidRPr="005E4029" w:rsidRDefault="001D18EB"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5E4029">
        <w:rPr>
          <w:rFonts w:ascii="Verdana" w:hAnsi="Verdana"/>
          <w:sz w:val="20"/>
          <w:szCs w:val="20"/>
          <w:lang w:val="es-ES_tradnl"/>
        </w:rPr>
        <w:t xml:space="preserve">Por ello, la Corte enfatiza la relevancia de que El Salvador adopte las medidas necesarias para incorporar al Registro Único de Víctimas, de forma definitiva, a aquellas personas que están incorporadas en dicho Registro pero que no han superado la etapa de “registro documental”, en los términos desarrollados en el capítulo anterior de la presente Resolución. </w:t>
      </w:r>
    </w:p>
    <w:p w14:paraId="0123FBC8" w14:textId="65DF7649" w:rsidR="00F4303C" w:rsidRDefault="00F4303C"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bookmarkStart w:id="33" w:name="_Ref403457352"/>
      <w:r>
        <w:rPr>
          <w:rFonts w:ascii="Verdana" w:hAnsi="Verdana"/>
          <w:sz w:val="20"/>
          <w:szCs w:val="20"/>
          <w:lang w:val="es-ES_tradnl"/>
        </w:rPr>
        <w:t>Finalmente, c</w:t>
      </w:r>
      <w:r w:rsidRPr="00F4303C">
        <w:rPr>
          <w:rFonts w:ascii="Verdana" w:hAnsi="Verdana"/>
          <w:sz w:val="20"/>
          <w:szCs w:val="20"/>
          <w:lang w:val="es-ES_tradnl"/>
        </w:rPr>
        <w:t>on respecto a</w:t>
      </w:r>
      <w:r w:rsidR="00480328">
        <w:rPr>
          <w:rFonts w:ascii="Verdana" w:hAnsi="Verdana"/>
          <w:sz w:val="20"/>
          <w:szCs w:val="20"/>
          <w:lang w:val="es-ES_tradnl"/>
        </w:rPr>
        <w:t xml:space="preserve"> las</w:t>
      </w:r>
      <w:r w:rsidRPr="00F4303C">
        <w:rPr>
          <w:rFonts w:ascii="Verdana" w:hAnsi="Verdana"/>
          <w:sz w:val="20"/>
          <w:szCs w:val="20"/>
          <w:lang w:val="es-ES_tradnl"/>
        </w:rPr>
        <w:t xml:space="preserve"> 8 víctimas sobrevivientes listadas en el Anexo “B” de la Sentencia que no han sido indemnizadas hasta la fecha, el Estado reseñó en su último informe que “</w:t>
      </w:r>
      <w:r w:rsidRPr="00F4303C">
        <w:rPr>
          <w:rFonts w:ascii="Verdana" w:hAnsi="Verdana"/>
          <w:sz w:val="20"/>
          <w:szCs w:val="20"/>
          <w:lang w:val="es-CO"/>
        </w:rPr>
        <w:t>se debe a que 5 de ellas no han podido ser localizadas, 2 ya han fallecido y 1 tiene problemas de identificación con su nombre, por lo que se está a la espera de la presentación de las respectivas declaratorias de herederos para el pago correspondiente a los que resulten con derecho</w:t>
      </w:r>
      <w:r w:rsidRPr="00F4303C">
        <w:rPr>
          <w:rFonts w:ascii="Verdana" w:hAnsi="Verdana"/>
          <w:sz w:val="20"/>
          <w:szCs w:val="20"/>
          <w:lang w:val="es-ES_tradnl"/>
        </w:rPr>
        <w:t>”</w:t>
      </w:r>
      <w:r w:rsidRPr="00F4303C">
        <w:rPr>
          <w:rStyle w:val="FootnoteReference"/>
          <w:rFonts w:ascii="Verdana" w:hAnsi="Verdana"/>
          <w:sz w:val="20"/>
          <w:szCs w:val="20"/>
          <w:lang w:val="es-ES_tradnl"/>
        </w:rPr>
        <w:footnoteReference w:id="40"/>
      </w:r>
      <w:r w:rsidRPr="00F4303C">
        <w:rPr>
          <w:rFonts w:ascii="Verdana" w:hAnsi="Verdana"/>
          <w:sz w:val="20"/>
          <w:szCs w:val="20"/>
          <w:lang w:val="es-ES_tradnl"/>
        </w:rPr>
        <w:t>. Adicionalmente, se encuentra pendiente el pago parcial de la indemnizaci</w:t>
      </w:r>
      <w:r w:rsidR="00DF0268">
        <w:rPr>
          <w:rFonts w:ascii="Verdana" w:hAnsi="Verdana"/>
          <w:sz w:val="20"/>
          <w:szCs w:val="20"/>
          <w:lang w:val="es-ES_tradnl"/>
        </w:rPr>
        <w:t>ón</w:t>
      </w:r>
      <w:r w:rsidRPr="00F4303C">
        <w:rPr>
          <w:rFonts w:ascii="Verdana" w:hAnsi="Verdana"/>
          <w:sz w:val="20"/>
          <w:szCs w:val="20"/>
          <w:lang w:val="es-ES_tradnl"/>
        </w:rPr>
        <w:t xml:space="preserve"> correspondiente a otra víctima fallecida, a favor de </w:t>
      </w:r>
      <w:r w:rsidR="00644E75">
        <w:rPr>
          <w:rFonts w:ascii="Verdana" w:hAnsi="Verdana"/>
          <w:sz w:val="20"/>
          <w:szCs w:val="20"/>
          <w:lang w:val="es-ES_tradnl"/>
        </w:rPr>
        <w:t xml:space="preserve">una de </w:t>
      </w:r>
      <w:r w:rsidRPr="00F4303C">
        <w:rPr>
          <w:rFonts w:ascii="Verdana" w:hAnsi="Verdana"/>
          <w:sz w:val="20"/>
          <w:szCs w:val="20"/>
          <w:lang w:val="es-ES_tradnl"/>
        </w:rPr>
        <w:t>su</w:t>
      </w:r>
      <w:r w:rsidR="00644E75">
        <w:rPr>
          <w:rFonts w:ascii="Verdana" w:hAnsi="Verdana"/>
          <w:sz w:val="20"/>
          <w:szCs w:val="20"/>
          <w:lang w:val="es-ES_tradnl"/>
        </w:rPr>
        <w:t>s</w:t>
      </w:r>
      <w:r w:rsidRPr="00F4303C">
        <w:rPr>
          <w:rFonts w:ascii="Verdana" w:hAnsi="Verdana"/>
          <w:sz w:val="20"/>
          <w:szCs w:val="20"/>
          <w:lang w:val="es-ES_tradnl"/>
        </w:rPr>
        <w:t xml:space="preserve"> heredera</w:t>
      </w:r>
      <w:r w:rsidR="00644E75">
        <w:rPr>
          <w:rFonts w:ascii="Verdana" w:hAnsi="Verdana"/>
          <w:sz w:val="20"/>
          <w:szCs w:val="20"/>
          <w:lang w:val="es-ES_tradnl"/>
        </w:rPr>
        <w:t>s</w:t>
      </w:r>
      <w:bookmarkStart w:id="34" w:name="_Ref532914087"/>
      <w:r w:rsidRPr="00F4303C">
        <w:rPr>
          <w:rStyle w:val="FootnoteReference"/>
          <w:rFonts w:ascii="Verdana" w:hAnsi="Verdana"/>
          <w:sz w:val="20"/>
          <w:szCs w:val="20"/>
          <w:lang w:val="es-ES_tradnl"/>
        </w:rPr>
        <w:footnoteReference w:id="41"/>
      </w:r>
      <w:bookmarkEnd w:id="34"/>
      <w:r w:rsidRPr="00F4303C">
        <w:rPr>
          <w:rFonts w:ascii="Verdana" w:hAnsi="Verdana"/>
          <w:sz w:val="20"/>
          <w:szCs w:val="20"/>
          <w:lang w:val="es-ES_tradnl"/>
        </w:rPr>
        <w:t>. Por su parte, respecto a los 9 familiares de víctimas ejecutadas listadas en el Anexo “C” que no han sido indemnizados hasta la fecha, el Estado en su último informe reseñó “</w:t>
      </w:r>
      <w:r w:rsidRPr="00F4303C">
        <w:rPr>
          <w:rFonts w:ascii="Verdana" w:hAnsi="Verdana"/>
          <w:sz w:val="20"/>
          <w:szCs w:val="20"/>
          <w:lang w:val="es-CO"/>
        </w:rPr>
        <w:t xml:space="preserve">que 3 personas aún no han sido localizadas, otras 4 ya han fallecido y sus familiares deben realizar las diligencias de aceptación de herencia, mientras que otras 2 </w:t>
      </w:r>
      <w:r w:rsidRPr="00F4303C">
        <w:rPr>
          <w:rFonts w:ascii="Verdana" w:hAnsi="Verdana"/>
          <w:sz w:val="20"/>
          <w:szCs w:val="20"/>
          <w:lang w:val="es-CO"/>
        </w:rPr>
        <w:lastRenderedPageBreak/>
        <w:t>tienen problemas con su identificación</w:t>
      </w:r>
      <w:r w:rsidRPr="00F4303C">
        <w:rPr>
          <w:rFonts w:ascii="Verdana" w:hAnsi="Verdana"/>
          <w:sz w:val="20"/>
          <w:szCs w:val="20"/>
          <w:lang w:val="es-ES_tradnl"/>
        </w:rPr>
        <w:t>”</w:t>
      </w:r>
      <w:r w:rsidRPr="00F4303C">
        <w:rPr>
          <w:rStyle w:val="FootnoteReference"/>
          <w:rFonts w:ascii="Verdana" w:hAnsi="Verdana"/>
          <w:sz w:val="20"/>
          <w:szCs w:val="20"/>
          <w:lang w:val="es-ES_tradnl"/>
        </w:rPr>
        <w:footnoteReference w:id="42"/>
      </w:r>
      <w:r w:rsidRPr="00F4303C">
        <w:rPr>
          <w:rFonts w:ascii="Verdana" w:hAnsi="Verdana"/>
          <w:sz w:val="20"/>
          <w:szCs w:val="20"/>
          <w:lang w:val="es-ES_tradnl"/>
        </w:rPr>
        <w:t>. Adicionalmente, se encuentra pendiente un pago parcial a favor de una víctima</w:t>
      </w:r>
      <w:r w:rsidRPr="00F4303C">
        <w:rPr>
          <w:rStyle w:val="FootnoteReference"/>
          <w:rFonts w:ascii="Verdana" w:hAnsi="Verdana"/>
          <w:sz w:val="20"/>
          <w:szCs w:val="20"/>
          <w:lang w:val="es-ES_tradnl"/>
        </w:rPr>
        <w:footnoteReference w:id="43"/>
      </w:r>
      <w:r w:rsidRPr="00F4303C">
        <w:rPr>
          <w:rFonts w:ascii="Verdana" w:hAnsi="Verdana"/>
          <w:sz w:val="20"/>
          <w:szCs w:val="20"/>
          <w:lang w:val="es-ES_tradnl"/>
        </w:rPr>
        <w:t>.</w:t>
      </w:r>
      <w:bookmarkEnd w:id="33"/>
      <w:r w:rsidRPr="00F4303C">
        <w:rPr>
          <w:rFonts w:ascii="Verdana" w:hAnsi="Verdana"/>
          <w:sz w:val="20"/>
          <w:szCs w:val="20"/>
          <w:lang w:val="es-ES_tradnl"/>
        </w:rPr>
        <w:t xml:space="preserve"> </w:t>
      </w:r>
    </w:p>
    <w:p w14:paraId="0236F044" w14:textId="594B936F" w:rsidR="00F4303C" w:rsidRPr="00F4303C" w:rsidRDefault="00F4303C"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 xml:space="preserve">Sobre los casos indicados en el Considerando anterior, la Corte observa </w:t>
      </w:r>
      <w:r w:rsidR="00456334">
        <w:rPr>
          <w:rFonts w:ascii="Verdana" w:hAnsi="Verdana"/>
          <w:sz w:val="20"/>
          <w:szCs w:val="20"/>
          <w:lang w:val="es-ES_tradnl"/>
        </w:rPr>
        <w:t>que existen</w:t>
      </w:r>
      <w:r>
        <w:rPr>
          <w:rFonts w:ascii="Verdana" w:hAnsi="Verdana"/>
          <w:sz w:val="20"/>
          <w:szCs w:val="20"/>
          <w:lang w:val="es-ES_tradnl"/>
        </w:rPr>
        <w:t xml:space="preserve"> casos en </w:t>
      </w:r>
      <w:r w:rsidR="00DF0268">
        <w:rPr>
          <w:rFonts w:ascii="Verdana" w:hAnsi="Verdana"/>
          <w:sz w:val="20"/>
          <w:szCs w:val="20"/>
          <w:lang w:val="es-ES_tradnl"/>
        </w:rPr>
        <w:t xml:space="preserve">que </w:t>
      </w:r>
      <w:r>
        <w:rPr>
          <w:rFonts w:ascii="Verdana" w:hAnsi="Verdana"/>
          <w:sz w:val="20"/>
          <w:szCs w:val="20"/>
          <w:lang w:val="es-ES_tradnl"/>
        </w:rPr>
        <w:t>el pago de la indemnización no se da por obstáculos derivados de falta de documentación con respecto a la identificación o sucesión de una víctima para el pago de las indemnizaciones. Con respecto a aquellas que no han podido ser localizadas, la Corte recuerda que, conforme al párrafo 400 de la Sentencia, “[s]</w:t>
      </w:r>
      <w:r w:rsidRPr="00F4303C">
        <w:rPr>
          <w:rFonts w:ascii="Verdana" w:hAnsi="Verdana"/>
          <w:sz w:val="20"/>
          <w:szCs w:val="20"/>
          <w:lang w:val="es-ES_tradnl"/>
        </w:rPr>
        <w:t>i por causas atribuibles a los beneficiarios de las indemnizaciones o a sus</w:t>
      </w:r>
      <w:r>
        <w:rPr>
          <w:rFonts w:ascii="Verdana" w:hAnsi="Verdana"/>
          <w:sz w:val="20"/>
          <w:szCs w:val="20"/>
          <w:lang w:val="es-ES_tradnl"/>
        </w:rPr>
        <w:t xml:space="preserve"> </w:t>
      </w:r>
      <w:r w:rsidRPr="00F4303C">
        <w:rPr>
          <w:rFonts w:ascii="Verdana" w:hAnsi="Verdana"/>
          <w:sz w:val="20"/>
          <w:szCs w:val="20"/>
          <w:lang w:val="es-ES_tradnl"/>
        </w:rPr>
        <w:t>derechohabientes no fuese posible el pago de las cantidades determinadas dentro del plazo</w:t>
      </w:r>
      <w:r>
        <w:rPr>
          <w:rFonts w:ascii="Verdana" w:hAnsi="Verdana"/>
          <w:sz w:val="20"/>
          <w:szCs w:val="20"/>
          <w:lang w:val="es-ES_tradnl"/>
        </w:rPr>
        <w:t xml:space="preserve"> </w:t>
      </w:r>
      <w:r w:rsidRPr="00F4303C">
        <w:rPr>
          <w:rFonts w:ascii="Verdana" w:hAnsi="Verdana"/>
          <w:sz w:val="20"/>
          <w:szCs w:val="20"/>
          <w:lang w:val="es-ES_tradnl"/>
        </w:rPr>
        <w:t>indicado, el Estado consignará dichos montos a su favor en una cuenta o certificado de</w:t>
      </w:r>
      <w:r>
        <w:rPr>
          <w:rFonts w:ascii="Verdana" w:hAnsi="Verdana"/>
          <w:sz w:val="20"/>
          <w:szCs w:val="20"/>
          <w:lang w:val="es-ES_tradnl"/>
        </w:rPr>
        <w:t xml:space="preserve"> </w:t>
      </w:r>
      <w:r w:rsidRPr="00F4303C">
        <w:rPr>
          <w:rFonts w:ascii="Verdana" w:hAnsi="Verdana"/>
          <w:sz w:val="20"/>
          <w:szCs w:val="20"/>
          <w:lang w:val="es-ES_tradnl"/>
        </w:rPr>
        <w:t>depósito en una institución financiera salvadoreña solvente, en dólares estadounidenses, y</w:t>
      </w:r>
      <w:r>
        <w:rPr>
          <w:rFonts w:ascii="Verdana" w:hAnsi="Verdana"/>
          <w:sz w:val="20"/>
          <w:szCs w:val="20"/>
          <w:lang w:val="es-ES_tradnl"/>
        </w:rPr>
        <w:t xml:space="preserve"> </w:t>
      </w:r>
      <w:r w:rsidRPr="00F4303C">
        <w:rPr>
          <w:rFonts w:ascii="Verdana" w:hAnsi="Verdana"/>
          <w:sz w:val="20"/>
          <w:szCs w:val="20"/>
          <w:lang w:val="es-ES_tradnl"/>
        </w:rPr>
        <w:t>en las condiciones financieras más favorables que permitan la legislación y la práctica</w:t>
      </w:r>
      <w:r>
        <w:rPr>
          <w:rFonts w:ascii="Verdana" w:hAnsi="Verdana"/>
          <w:sz w:val="20"/>
          <w:szCs w:val="20"/>
          <w:lang w:val="es-ES_tradnl"/>
        </w:rPr>
        <w:t xml:space="preserve"> </w:t>
      </w:r>
      <w:r w:rsidRPr="00F4303C">
        <w:rPr>
          <w:rFonts w:ascii="Verdana" w:hAnsi="Verdana"/>
          <w:sz w:val="20"/>
          <w:szCs w:val="20"/>
          <w:lang w:val="es-ES_tradnl"/>
        </w:rPr>
        <w:t>bancaria. Si no se reclama la indemnización correspondiente una vez transcurridos diez</w:t>
      </w:r>
      <w:r>
        <w:rPr>
          <w:rFonts w:ascii="Verdana" w:hAnsi="Verdana"/>
          <w:sz w:val="20"/>
          <w:szCs w:val="20"/>
          <w:lang w:val="es-ES_tradnl"/>
        </w:rPr>
        <w:t xml:space="preserve"> </w:t>
      </w:r>
      <w:r w:rsidRPr="00F4303C">
        <w:rPr>
          <w:rFonts w:ascii="Verdana" w:hAnsi="Verdana"/>
          <w:sz w:val="20"/>
          <w:szCs w:val="20"/>
          <w:lang w:val="es-ES_tradnl"/>
        </w:rPr>
        <w:t>años, las cantidades serán devueltas al Estado con los intereses devengados</w:t>
      </w:r>
      <w:r>
        <w:rPr>
          <w:rFonts w:ascii="Verdana" w:hAnsi="Verdana"/>
          <w:sz w:val="20"/>
          <w:szCs w:val="20"/>
          <w:lang w:val="es-ES_tradnl"/>
        </w:rPr>
        <w:t>”</w:t>
      </w:r>
      <w:r w:rsidRPr="00F4303C">
        <w:rPr>
          <w:rFonts w:ascii="Verdana" w:hAnsi="Verdana"/>
          <w:sz w:val="20"/>
          <w:szCs w:val="20"/>
          <w:lang w:val="es-ES_tradnl"/>
        </w:rPr>
        <w:t>.</w:t>
      </w:r>
      <w:r w:rsidR="00456334">
        <w:rPr>
          <w:rFonts w:ascii="Verdana" w:hAnsi="Verdana"/>
          <w:sz w:val="20"/>
          <w:szCs w:val="20"/>
          <w:lang w:val="es-ES_tradnl"/>
        </w:rPr>
        <w:t xml:space="preserve"> En consecuencia, en estos casos el Estado estaba obligado a consignar dichos montos en una institución financiera en los referidos términos para considerar que ha dado cumplimiento a dicha medida a favor de las víctimas que no han podido ser localizadas.</w:t>
      </w:r>
    </w:p>
    <w:p w14:paraId="4964EA1C" w14:textId="4663AE6E" w:rsidR="00A648A3" w:rsidRDefault="001A2079"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 xml:space="preserve">Teniendo en cuenta lo anterior, </w:t>
      </w:r>
      <w:r w:rsidR="00AA752E" w:rsidRPr="000412A5">
        <w:rPr>
          <w:rFonts w:ascii="Verdana" w:hAnsi="Verdana"/>
          <w:sz w:val="20"/>
          <w:szCs w:val="20"/>
          <w:lang w:val="es-ES_tradnl"/>
        </w:rPr>
        <w:t>todos los órganos del Estado</w:t>
      </w:r>
      <w:r w:rsidRPr="000412A5">
        <w:rPr>
          <w:rFonts w:ascii="Verdana" w:hAnsi="Verdana"/>
          <w:sz w:val="20"/>
          <w:szCs w:val="20"/>
          <w:lang w:val="es-ES_tradnl"/>
        </w:rPr>
        <w:t xml:space="preserve"> tiene</w:t>
      </w:r>
      <w:r w:rsidR="00AA752E" w:rsidRPr="000412A5">
        <w:rPr>
          <w:rFonts w:ascii="Verdana" w:hAnsi="Verdana"/>
          <w:sz w:val="20"/>
          <w:szCs w:val="20"/>
          <w:lang w:val="es-ES_tradnl"/>
        </w:rPr>
        <w:t>n</w:t>
      </w:r>
      <w:r w:rsidRPr="000412A5">
        <w:rPr>
          <w:rFonts w:ascii="Verdana" w:hAnsi="Verdana"/>
          <w:sz w:val="20"/>
          <w:szCs w:val="20"/>
          <w:lang w:val="es-ES_tradnl"/>
        </w:rPr>
        <w:t xml:space="preserve"> la obligación de adoptar medidas que permitan el pago de las indemnizaciones adeudadas a favor de los herederos de las víctimas fallecidas de forma pronta y efectiva, con el fin de que no se torne ilusoria esta reparación. </w:t>
      </w:r>
      <w:r w:rsidR="00AA752E" w:rsidRPr="000412A5">
        <w:rPr>
          <w:rFonts w:ascii="Verdana" w:hAnsi="Verdana"/>
          <w:sz w:val="20"/>
          <w:szCs w:val="20"/>
          <w:lang w:val="es-ES_tradnl"/>
        </w:rPr>
        <w:t xml:space="preserve">En este sentido, la Corte destaca que han transcurrido </w:t>
      </w:r>
      <w:r w:rsidR="00002076">
        <w:rPr>
          <w:rFonts w:ascii="Verdana" w:hAnsi="Verdana"/>
          <w:sz w:val="20"/>
          <w:szCs w:val="20"/>
          <w:lang w:val="es-ES_tradnl"/>
        </w:rPr>
        <w:t>casi 37</w:t>
      </w:r>
      <w:r w:rsidR="00AA752E" w:rsidRPr="000412A5">
        <w:rPr>
          <w:rFonts w:ascii="Verdana" w:hAnsi="Verdana"/>
          <w:sz w:val="20"/>
          <w:szCs w:val="20"/>
          <w:lang w:val="es-ES_tradnl"/>
        </w:rPr>
        <w:t xml:space="preserve"> años desde que las referidas </w:t>
      </w:r>
      <w:r w:rsidR="00A43EE8">
        <w:rPr>
          <w:rFonts w:ascii="Verdana" w:hAnsi="Verdana"/>
          <w:sz w:val="20"/>
          <w:szCs w:val="20"/>
          <w:lang w:val="es-ES_tradnl"/>
        </w:rPr>
        <w:t>m</w:t>
      </w:r>
      <w:r w:rsidR="00AA752E" w:rsidRPr="000412A5">
        <w:rPr>
          <w:rFonts w:ascii="Verdana" w:hAnsi="Verdana"/>
          <w:sz w:val="20"/>
          <w:szCs w:val="20"/>
          <w:lang w:val="es-ES_tradnl"/>
        </w:rPr>
        <w:t>asacres fueron perpetradas en perjuicio de las víctimas. Más aún, la Corte nota que el Poder Legislativo se encuentra con la posibilidad de levantar los obstáculos legales que existen a la ejecución de este extremo de la medida de reparación con la discusión y aprobación de las “Disposiciones Especiales” propuestas por el Poder Ejecutivo</w:t>
      </w:r>
      <w:r w:rsidR="000412A5" w:rsidRPr="000412A5">
        <w:rPr>
          <w:rFonts w:ascii="Verdana" w:hAnsi="Verdana"/>
          <w:sz w:val="20"/>
          <w:szCs w:val="20"/>
          <w:lang w:val="es-ES_tradnl"/>
        </w:rPr>
        <w:t xml:space="preserve"> (</w:t>
      </w:r>
      <w:r w:rsidR="000412A5" w:rsidRPr="000412A5">
        <w:rPr>
          <w:rFonts w:ascii="Verdana" w:hAnsi="Verdana"/>
          <w:i/>
          <w:sz w:val="20"/>
          <w:szCs w:val="20"/>
          <w:lang w:val="es-ES_tradnl"/>
        </w:rPr>
        <w:t>supra</w:t>
      </w:r>
      <w:r w:rsidR="000412A5" w:rsidRPr="000412A5">
        <w:rPr>
          <w:rFonts w:ascii="Verdana" w:hAnsi="Verdana"/>
          <w:sz w:val="20"/>
          <w:szCs w:val="20"/>
          <w:lang w:val="es-ES_tradnl"/>
        </w:rPr>
        <w:t xml:space="preserve"> Considerando </w:t>
      </w:r>
      <w:r w:rsidR="00431EA5">
        <w:rPr>
          <w:rFonts w:ascii="Verdana" w:hAnsi="Verdana"/>
          <w:sz w:val="20"/>
          <w:szCs w:val="20"/>
          <w:lang w:val="es-ES_tradnl"/>
        </w:rPr>
        <w:fldChar w:fldCharType="begin"/>
      </w:r>
      <w:r w:rsidR="00431EA5">
        <w:rPr>
          <w:rFonts w:ascii="Verdana" w:hAnsi="Verdana"/>
          <w:sz w:val="20"/>
          <w:szCs w:val="20"/>
          <w:lang w:val="es-ES_tradnl"/>
        </w:rPr>
        <w:instrText xml:space="preserve"> REF _Ref532828948 \r \h </w:instrText>
      </w:r>
      <w:r w:rsidR="00431EA5">
        <w:rPr>
          <w:rFonts w:ascii="Verdana" w:hAnsi="Verdana"/>
          <w:sz w:val="20"/>
          <w:szCs w:val="20"/>
          <w:lang w:val="es-ES_tradnl"/>
        </w:rPr>
      </w:r>
      <w:r w:rsidR="00431EA5">
        <w:rPr>
          <w:rFonts w:ascii="Verdana" w:hAnsi="Verdana"/>
          <w:sz w:val="20"/>
          <w:szCs w:val="20"/>
          <w:lang w:val="es-ES_tradnl"/>
        </w:rPr>
        <w:fldChar w:fldCharType="separate"/>
      </w:r>
      <w:r w:rsidR="005E6AC2">
        <w:rPr>
          <w:rFonts w:ascii="Verdana" w:hAnsi="Verdana"/>
          <w:sz w:val="20"/>
          <w:szCs w:val="20"/>
          <w:lang w:val="es-ES_tradnl"/>
        </w:rPr>
        <w:t>22</w:t>
      </w:r>
      <w:r w:rsidR="00431EA5">
        <w:rPr>
          <w:rFonts w:ascii="Verdana" w:hAnsi="Verdana"/>
          <w:sz w:val="20"/>
          <w:szCs w:val="20"/>
          <w:lang w:val="es-ES_tradnl"/>
        </w:rPr>
        <w:fldChar w:fldCharType="end"/>
      </w:r>
      <w:r w:rsidR="000412A5" w:rsidRPr="000412A5">
        <w:rPr>
          <w:rFonts w:ascii="Verdana" w:hAnsi="Verdana"/>
          <w:sz w:val="20"/>
          <w:szCs w:val="20"/>
          <w:lang w:val="es-ES_tradnl"/>
        </w:rPr>
        <w:t>)</w:t>
      </w:r>
      <w:r w:rsidR="0028235D" w:rsidRPr="000412A5">
        <w:rPr>
          <w:rFonts w:ascii="Verdana" w:hAnsi="Verdana"/>
          <w:sz w:val="20"/>
          <w:szCs w:val="20"/>
          <w:lang w:val="es-ES_tradnl"/>
        </w:rPr>
        <w:t xml:space="preserve"> y</w:t>
      </w:r>
      <w:r w:rsidR="00431EA5">
        <w:rPr>
          <w:rFonts w:ascii="Verdana" w:hAnsi="Verdana"/>
          <w:sz w:val="20"/>
          <w:szCs w:val="20"/>
          <w:lang w:val="es-ES_tradnl"/>
        </w:rPr>
        <w:t>,</w:t>
      </w:r>
      <w:r w:rsidR="0028235D" w:rsidRPr="000412A5">
        <w:rPr>
          <w:rFonts w:ascii="Verdana" w:hAnsi="Verdana"/>
          <w:sz w:val="20"/>
          <w:szCs w:val="20"/>
          <w:lang w:val="es-ES_tradnl"/>
        </w:rPr>
        <w:t xml:space="preserve"> en consecuencia, facilitar que el Poder Ejecutivo proceda a indemnizar a las víctimas </w:t>
      </w:r>
      <w:r w:rsidR="00DD06C9">
        <w:rPr>
          <w:rFonts w:ascii="Verdana" w:hAnsi="Verdana"/>
          <w:sz w:val="20"/>
          <w:szCs w:val="20"/>
          <w:lang w:val="es-ES_tradnl"/>
        </w:rPr>
        <w:t xml:space="preserve">que </w:t>
      </w:r>
      <w:r w:rsidR="00431EA5">
        <w:rPr>
          <w:rFonts w:ascii="Verdana" w:hAnsi="Verdana"/>
          <w:sz w:val="20"/>
          <w:szCs w:val="20"/>
          <w:lang w:val="es-ES_tradnl"/>
        </w:rPr>
        <w:t>están siendo</w:t>
      </w:r>
      <w:r w:rsidR="00DD06C9">
        <w:rPr>
          <w:rFonts w:ascii="Verdana" w:hAnsi="Verdana"/>
          <w:sz w:val="20"/>
          <w:szCs w:val="20"/>
          <w:lang w:val="es-ES_tradnl"/>
        </w:rPr>
        <w:t xml:space="preserve"> afectadas por estas limitaciones</w:t>
      </w:r>
      <w:r w:rsidR="0028235D" w:rsidRPr="000412A5">
        <w:rPr>
          <w:rFonts w:ascii="Verdana" w:hAnsi="Verdana"/>
          <w:sz w:val="20"/>
          <w:szCs w:val="20"/>
          <w:lang w:val="es-ES_tradnl"/>
        </w:rPr>
        <w:t>. Sin embargo, tal como se indicó previamente, dich</w:t>
      </w:r>
      <w:r w:rsidR="000412A5" w:rsidRPr="000412A5">
        <w:rPr>
          <w:rFonts w:ascii="Verdana" w:hAnsi="Verdana"/>
          <w:sz w:val="20"/>
          <w:szCs w:val="20"/>
          <w:lang w:val="es-ES_tradnl"/>
        </w:rPr>
        <w:t>o</w:t>
      </w:r>
      <w:r w:rsidR="0028235D" w:rsidRPr="000412A5">
        <w:rPr>
          <w:rFonts w:ascii="Verdana" w:hAnsi="Verdana"/>
          <w:sz w:val="20"/>
          <w:szCs w:val="20"/>
          <w:lang w:val="es-ES_tradnl"/>
        </w:rPr>
        <w:t xml:space="preserve"> </w:t>
      </w:r>
      <w:r w:rsidR="000412A5" w:rsidRPr="000412A5">
        <w:rPr>
          <w:rFonts w:ascii="Verdana" w:hAnsi="Verdana"/>
          <w:sz w:val="20"/>
          <w:szCs w:val="20"/>
          <w:lang w:val="es-ES_tradnl"/>
        </w:rPr>
        <w:t>proyecto</w:t>
      </w:r>
      <w:r w:rsidR="0028235D" w:rsidRPr="000412A5">
        <w:rPr>
          <w:rFonts w:ascii="Verdana" w:hAnsi="Verdana"/>
          <w:sz w:val="20"/>
          <w:szCs w:val="20"/>
          <w:lang w:val="es-ES_tradnl"/>
        </w:rPr>
        <w:t xml:space="preserve"> se encuentra </w:t>
      </w:r>
      <w:r w:rsidR="000412A5" w:rsidRPr="000412A5">
        <w:rPr>
          <w:rFonts w:ascii="Verdana" w:hAnsi="Verdana"/>
          <w:sz w:val="20"/>
          <w:szCs w:val="20"/>
          <w:lang w:val="es-ES_tradnl"/>
        </w:rPr>
        <w:t>aún en conocimiento de</w:t>
      </w:r>
      <w:r w:rsidR="0028235D" w:rsidRPr="000412A5">
        <w:rPr>
          <w:rFonts w:ascii="Verdana" w:hAnsi="Verdana"/>
          <w:sz w:val="20"/>
          <w:szCs w:val="20"/>
          <w:lang w:val="es-ES_tradnl"/>
        </w:rPr>
        <w:t xml:space="preserve"> la Comisión de  Reformas Electorales y Constitucionales de la Asamblea Nacional (</w:t>
      </w:r>
      <w:r w:rsidR="0028235D" w:rsidRPr="000412A5">
        <w:rPr>
          <w:rFonts w:ascii="Verdana" w:hAnsi="Verdana"/>
          <w:i/>
          <w:sz w:val="20"/>
          <w:szCs w:val="20"/>
          <w:lang w:val="es-ES_tradnl"/>
        </w:rPr>
        <w:t>supra</w:t>
      </w:r>
      <w:r w:rsidR="0028235D" w:rsidRPr="000412A5">
        <w:rPr>
          <w:rFonts w:ascii="Verdana" w:hAnsi="Verdana"/>
          <w:sz w:val="20"/>
          <w:szCs w:val="20"/>
          <w:lang w:val="es-ES_tradnl"/>
        </w:rPr>
        <w:t xml:space="preserve"> Considerando</w:t>
      </w:r>
      <w:r w:rsidR="00431EA5">
        <w:rPr>
          <w:rFonts w:ascii="Verdana" w:hAnsi="Verdana"/>
          <w:sz w:val="20"/>
          <w:szCs w:val="20"/>
          <w:lang w:val="es-ES_tradnl"/>
        </w:rPr>
        <w:t xml:space="preserve"> </w:t>
      </w:r>
      <w:r w:rsidR="00431EA5">
        <w:rPr>
          <w:rFonts w:ascii="Verdana" w:hAnsi="Verdana"/>
          <w:sz w:val="20"/>
          <w:szCs w:val="20"/>
          <w:lang w:val="es-ES_tradnl"/>
        </w:rPr>
        <w:fldChar w:fldCharType="begin"/>
      </w:r>
      <w:r w:rsidR="00431EA5">
        <w:rPr>
          <w:rFonts w:ascii="Verdana" w:hAnsi="Verdana"/>
          <w:sz w:val="20"/>
          <w:szCs w:val="20"/>
          <w:lang w:val="es-ES_tradnl"/>
        </w:rPr>
        <w:instrText xml:space="preserve"> REF _Ref532828959 \r \h </w:instrText>
      </w:r>
      <w:r w:rsidR="00431EA5">
        <w:rPr>
          <w:rFonts w:ascii="Verdana" w:hAnsi="Verdana"/>
          <w:sz w:val="20"/>
          <w:szCs w:val="20"/>
          <w:lang w:val="es-ES_tradnl"/>
        </w:rPr>
      </w:r>
      <w:r w:rsidR="00431EA5">
        <w:rPr>
          <w:rFonts w:ascii="Verdana" w:hAnsi="Verdana"/>
          <w:sz w:val="20"/>
          <w:szCs w:val="20"/>
          <w:lang w:val="es-ES_tradnl"/>
        </w:rPr>
        <w:fldChar w:fldCharType="separate"/>
      </w:r>
      <w:r w:rsidR="005E6AC2">
        <w:rPr>
          <w:rFonts w:ascii="Verdana" w:hAnsi="Verdana"/>
          <w:sz w:val="20"/>
          <w:szCs w:val="20"/>
          <w:lang w:val="es-ES_tradnl"/>
        </w:rPr>
        <w:t>24</w:t>
      </w:r>
      <w:r w:rsidR="00431EA5">
        <w:rPr>
          <w:rFonts w:ascii="Verdana" w:hAnsi="Verdana"/>
          <w:sz w:val="20"/>
          <w:szCs w:val="20"/>
          <w:lang w:val="es-ES_tradnl"/>
        </w:rPr>
        <w:fldChar w:fldCharType="end"/>
      </w:r>
      <w:r w:rsidR="0028235D" w:rsidRPr="000412A5">
        <w:rPr>
          <w:rFonts w:ascii="Verdana" w:hAnsi="Verdana"/>
          <w:sz w:val="20"/>
          <w:szCs w:val="20"/>
          <w:lang w:val="es-ES_tradnl"/>
        </w:rPr>
        <w:t>)</w:t>
      </w:r>
      <w:r w:rsidR="000412A5" w:rsidRPr="000412A5">
        <w:rPr>
          <w:rFonts w:ascii="Verdana" w:hAnsi="Verdana"/>
          <w:sz w:val="20"/>
          <w:szCs w:val="20"/>
          <w:lang w:val="es-ES_tradnl"/>
        </w:rPr>
        <w:t>, sin que se pueda prever si será adoptado dicho proyecto en un futuro próximo</w:t>
      </w:r>
      <w:r w:rsidR="0028235D" w:rsidRPr="000412A5">
        <w:rPr>
          <w:rFonts w:ascii="Verdana" w:hAnsi="Verdana"/>
          <w:sz w:val="20"/>
          <w:szCs w:val="20"/>
          <w:lang w:val="es-ES_tradnl"/>
        </w:rPr>
        <w:t>.</w:t>
      </w:r>
      <w:r w:rsidR="00A648A3">
        <w:rPr>
          <w:rFonts w:ascii="Verdana" w:hAnsi="Verdana"/>
          <w:sz w:val="20"/>
          <w:szCs w:val="20"/>
          <w:lang w:val="es-ES_tradnl"/>
        </w:rPr>
        <w:t xml:space="preserve"> </w:t>
      </w:r>
      <w:r w:rsidR="001D18EB" w:rsidRPr="005E4029">
        <w:rPr>
          <w:rFonts w:ascii="Verdana" w:hAnsi="Verdana"/>
          <w:sz w:val="20"/>
          <w:szCs w:val="20"/>
          <w:lang w:val="es-ES_tradnl"/>
        </w:rPr>
        <w:t>Por ello, el Estado debe adoptar las medidas dispuestas en el capítulo anterior de la presente Resolución con el fin de facilitar la incorporación de las víctimas al Registro Único, para que puedan verse beneficiadas de las reparaciones dispuestas en la Sentencia</w:t>
      </w:r>
      <w:r w:rsidR="00655A4E">
        <w:rPr>
          <w:rFonts w:ascii="Verdana" w:hAnsi="Verdana"/>
          <w:sz w:val="20"/>
          <w:szCs w:val="20"/>
          <w:lang w:val="es-ES_tradnl"/>
        </w:rPr>
        <w:t xml:space="preserve">. </w:t>
      </w:r>
      <w:r w:rsidR="00A648A3">
        <w:rPr>
          <w:rFonts w:ascii="Verdana" w:hAnsi="Verdana"/>
          <w:sz w:val="20"/>
          <w:szCs w:val="20"/>
          <w:lang w:val="es-ES_tradnl"/>
        </w:rPr>
        <w:t>La Corte destaca lo señalado por los representantes en sus observaciones de noviembre de 2018, en las que resaltaron “la urgencia de que estos obstáculos sean superados a la brevedad posible”, ya que los hechos “ocurrieron hace casi 37 años, por lo que un gran número de las víctimas sobrevivientes son personas de muy avanzada edad y corren el riesgo de fallecer sin haber tenido acceso a las mencionadas reparaciones”.</w:t>
      </w:r>
      <w:r w:rsidR="00AA752E" w:rsidRPr="000412A5">
        <w:rPr>
          <w:rFonts w:ascii="Verdana" w:hAnsi="Verdana"/>
          <w:sz w:val="20"/>
          <w:szCs w:val="20"/>
          <w:lang w:val="es-ES_tradnl"/>
        </w:rPr>
        <w:t xml:space="preserve"> </w:t>
      </w:r>
    </w:p>
    <w:p w14:paraId="3179DE71" w14:textId="5CC88BB9" w:rsidR="000F56F8" w:rsidRPr="000412A5" w:rsidRDefault="00A648A3"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Pr>
          <w:rFonts w:ascii="Verdana" w:hAnsi="Verdana"/>
          <w:sz w:val="20"/>
          <w:szCs w:val="20"/>
          <w:lang w:val="es-ES_tradnl"/>
        </w:rPr>
        <w:t>Por otra parte, e</w:t>
      </w:r>
      <w:r w:rsidR="00F46AD6" w:rsidRPr="000412A5">
        <w:rPr>
          <w:rFonts w:ascii="Verdana" w:hAnsi="Verdana"/>
          <w:sz w:val="20"/>
          <w:szCs w:val="20"/>
          <w:lang w:val="es-ES_tradnl"/>
        </w:rPr>
        <w:t>ste Tribunal resalta que el plazo de cinco años a partir de la notificación de la Sentencia para efectuar los pagos a las personas indicadas venció el día 11 de diciembre de 2017, fecha a partir de la cual se debe realizar la contabilización de los intereses de mora, al tenor de lo expuesto por esta Corte en los párrafos 397 y 402 de la Sentencia de fondo, reparaciones y costas.</w:t>
      </w:r>
      <w:r w:rsidR="00456334">
        <w:rPr>
          <w:rFonts w:ascii="Verdana" w:hAnsi="Verdana"/>
          <w:sz w:val="20"/>
          <w:szCs w:val="20"/>
          <w:lang w:val="es-ES_tradnl"/>
        </w:rPr>
        <w:t xml:space="preserve"> Al respecto, los representantes solicitaron el pago de los referidos intereses moratorios, solicitud que no fue controvertida por El Salvador.</w:t>
      </w:r>
      <w:r w:rsidR="00F46AD6" w:rsidRPr="000412A5">
        <w:rPr>
          <w:rFonts w:ascii="Verdana" w:hAnsi="Verdana"/>
          <w:sz w:val="20"/>
          <w:szCs w:val="20"/>
          <w:lang w:val="es-ES_tradnl"/>
        </w:rPr>
        <w:t xml:space="preserve"> En consecuencia, la Corte observa que al momento del cálculo y pago de las </w:t>
      </w:r>
      <w:r w:rsidR="00F46AD6" w:rsidRPr="000412A5">
        <w:rPr>
          <w:rFonts w:ascii="Verdana" w:hAnsi="Verdana"/>
          <w:sz w:val="20"/>
          <w:szCs w:val="20"/>
          <w:lang w:val="es-ES_tradnl"/>
        </w:rPr>
        <w:lastRenderedPageBreak/>
        <w:t>indemnizaciones dispuestas en la Sentencia a favor de los herederos de las víctimas ejecutadas listadas en el Anexo “A”, al igual que las 9 víctimas sobrevivientes listadas en el Anexo “B” que no han recibido un pago</w:t>
      </w:r>
      <w:r w:rsidR="00CE00AA">
        <w:rPr>
          <w:rFonts w:ascii="Verdana" w:hAnsi="Verdana"/>
          <w:sz w:val="20"/>
          <w:szCs w:val="20"/>
          <w:lang w:val="es-ES_tradnl"/>
        </w:rPr>
        <w:t xml:space="preserve"> completo</w:t>
      </w:r>
      <w:r w:rsidR="00F46AD6" w:rsidRPr="000412A5">
        <w:rPr>
          <w:rFonts w:ascii="Verdana" w:hAnsi="Verdana"/>
          <w:sz w:val="20"/>
          <w:szCs w:val="20"/>
          <w:lang w:val="es-ES_tradnl"/>
        </w:rPr>
        <w:t xml:space="preserve">, y los otros 10 familiares de víctimas que no han recibido la indemnización correspondiente listadas en el Anexo “C”, deberán tener en consideración los intereses moratorios que se hayan generado. </w:t>
      </w:r>
      <w:r w:rsidR="00137206" w:rsidRPr="000412A5">
        <w:rPr>
          <w:rFonts w:ascii="Verdana" w:hAnsi="Verdana"/>
          <w:sz w:val="20"/>
          <w:szCs w:val="20"/>
          <w:lang w:val="es-ES_tradnl"/>
        </w:rPr>
        <w:t xml:space="preserve">Similarmente, el Estado deberá pagarle a las </w:t>
      </w:r>
      <w:r w:rsidR="009E20ED" w:rsidRPr="000412A5">
        <w:rPr>
          <w:rFonts w:ascii="Verdana" w:hAnsi="Verdana"/>
          <w:sz w:val="20"/>
          <w:szCs w:val="20"/>
          <w:lang w:val="es-ES_tradnl"/>
        </w:rPr>
        <w:t xml:space="preserve">7 </w:t>
      </w:r>
      <w:r w:rsidR="00137206" w:rsidRPr="000412A5">
        <w:rPr>
          <w:rFonts w:ascii="Verdana" w:hAnsi="Verdana"/>
          <w:sz w:val="20"/>
          <w:szCs w:val="20"/>
          <w:lang w:val="es-ES_tradnl"/>
        </w:rPr>
        <w:t>personas</w:t>
      </w:r>
      <w:r w:rsidR="00FD1A71">
        <w:rPr>
          <w:rStyle w:val="FootnoteReference"/>
          <w:rFonts w:ascii="Verdana" w:hAnsi="Verdana"/>
          <w:sz w:val="20"/>
          <w:szCs w:val="20"/>
          <w:lang w:val="es-ES_tradnl"/>
        </w:rPr>
        <w:footnoteReference w:id="44"/>
      </w:r>
      <w:r w:rsidR="00137206" w:rsidRPr="000412A5">
        <w:rPr>
          <w:rFonts w:ascii="Verdana" w:hAnsi="Verdana"/>
          <w:sz w:val="20"/>
          <w:szCs w:val="20"/>
          <w:lang w:val="es-ES_tradnl"/>
        </w:rPr>
        <w:t xml:space="preserve"> que recibieron una indemnización por parte del Estado con posterioridad al 11 de diciembre de 2017 el monto correspondiente al interés moratorio generado entre la referida fecha en la que venció el plazo para realizar el pago y la fecha efectiva del mismo.</w:t>
      </w:r>
    </w:p>
    <w:p w14:paraId="2B575A49" w14:textId="1E366D55" w:rsidR="00001E0D" w:rsidRPr="005E4029" w:rsidRDefault="000412A5" w:rsidP="00636F6F">
      <w:pPr>
        <w:pStyle w:val="ListParagraph"/>
        <w:numPr>
          <w:ilvl w:val="0"/>
          <w:numId w:val="33"/>
        </w:numPr>
        <w:tabs>
          <w:tab w:val="left" w:pos="567"/>
        </w:tabs>
        <w:spacing w:after="0" w:line="240" w:lineRule="auto"/>
        <w:ind w:left="0" w:right="4" w:firstLine="0"/>
        <w:jc w:val="both"/>
        <w:rPr>
          <w:b/>
          <w:lang w:val="es-ES_tradnl"/>
        </w:rPr>
      </w:pPr>
      <w:r w:rsidRPr="00267CD6">
        <w:rPr>
          <w:rFonts w:ascii="Verdana" w:hAnsi="Verdana"/>
          <w:sz w:val="20"/>
          <w:szCs w:val="20"/>
          <w:lang w:val="es-ES_tradnl"/>
        </w:rPr>
        <w:t>En conclusión</w:t>
      </w:r>
      <w:r w:rsidR="000F56F8" w:rsidRPr="00267CD6">
        <w:rPr>
          <w:rFonts w:ascii="Verdana" w:hAnsi="Verdana"/>
          <w:sz w:val="20"/>
          <w:szCs w:val="20"/>
          <w:lang w:val="es-ES_tradnl"/>
        </w:rPr>
        <w:t>, la Corte considera que el Estado dio cumplimiento</w:t>
      </w:r>
      <w:r w:rsidR="00137206" w:rsidRPr="00267CD6">
        <w:rPr>
          <w:rFonts w:ascii="Verdana" w:hAnsi="Verdana"/>
          <w:sz w:val="20"/>
          <w:szCs w:val="20"/>
          <w:lang w:val="es-ES_tradnl"/>
        </w:rPr>
        <w:t xml:space="preserve"> parcial a la</w:t>
      </w:r>
      <w:r w:rsidR="000F56F8" w:rsidRPr="00267CD6">
        <w:rPr>
          <w:rFonts w:ascii="Verdana" w:hAnsi="Verdana"/>
          <w:sz w:val="20"/>
          <w:szCs w:val="20"/>
          <w:lang w:val="es-ES_tradnl"/>
        </w:rPr>
        <w:t xml:space="preserve"> medida de reparación relativa </w:t>
      </w:r>
      <w:r w:rsidR="00137206" w:rsidRPr="00267CD6">
        <w:rPr>
          <w:rFonts w:ascii="Verdana" w:hAnsi="Verdana"/>
          <w:sz w:val="20"/>
          <w:szCs w:val="20"/>
          <w:lang w:val="es-ES_tradnl"/>
        </w:rPr>
        <w:t>a</w:t>
      </w:r>
      <w:r w:rsidR="000F56F8" w:rsidRPr="00267CD6">
        <w:rPr>
          <w:rFonts w:ascii="Verdana" w:hAnsi="Verdana"/>
          <w:sz w:val="20"/>
          <w:szCs w:val="20"/>
          <w:lang w:val="es-ES_tradnl"/>
        </w:rPr>
        <w:t>l pago</w:t>
      </w:r>
      <w:r w:rsidR="00A648A3" w:rsidRPr="00267CD6">
        <w:rPr>
          <w:rFonts w:ascii="Verdana" w:hAnsi="Verdana"/>
          <w:sz w:val="20"/>
          <w:szCs w:val="20"/>
          <w:lang w:val="es-ES_tradnl"/>
        </w:rPr>
        <w:t xml:space="preserve"> </w:t>
      </w:r>
      <w:r w:rsidR="000F56F8" w:rsidRPr="00267CD6">
        <w:rPr>
          <w:rFonts w:ascii="Verdana" w:hAnsi="Verdana"/>
          <w:sz w:val="20"/>
          <w:szCs w:val="20"/>
          <w:lang w:val="es-ES_tradnl"/>
        </w:rPr>
        <w:t xml:space="preserve">de las indemnizaciones por concepto de daño material e inmaterial </w:t>
      </w:r>
      <w:r w:rsidR="00461999" w:rsidRPr="00267CD6">
        <w:rPr>
          <w:rFonts w:ascii="Verdana" w:hAnsi="Verdana"/>
          <w:sz w:val="20"/>
          <w:szCs w:val="20"/>
          <w:lang w:val="es-ES_tradnl"/>
        </w:rPr>
        <w:t>debido a que efectuó el pago</w:t>
      </w:r>
      <w:r w:rsidR="00DD4DDD" w:rsidRPr="00267CD6">
        <w:rPr>
          <w:rFonts w:ascii="Verdana" w:hAnsi="Verdana"/>
          <w:sz w:val="20"/>
          <w:szCs w:val="20"/>
          <w:lang w:val="es-ES_tradnl"/>
        </w:rPr>
        <w:t xml:space="preserve"> total</w:t>
      </w:r>
      <w:r w:rsidR="00461999" w:rsidRPr="00267CD6">
        <w:rPr>
          <w:rFonts w:ascii="Verdana" w:hAnsi="Verdana"/>
          <w:sz w:val="20"/>
          <w:szCs w:val="20"/>
          <w:lang w:val="es-ES_tradnl"/>
        </w:rPr>
        <w:t xml:space="preserve"> a</w:t>
      </w:r>
      <w:r w:rsidR="000F56F8" w:rsidRPr="00267CD6">
        <w:rPr>
          <w:rFonts w:ascii="Verdana" w:hAnsi="Verdana"/>
          <w:sz w:val="20"/>
          <w:szCs w:val="20"/>
          <w:lang w:val="es-ES_tradnl"/>
        </w:rPr>
        <w:t xml:space="preserve"> favor de </w:t>
      </w:r>
      <w:r w:rsidR="00456334" w:rsidRPr="00267CD6">
        <w:rPr>
          <w:rFonts w:ascii="Verdana" w:hAnsi="Verdana"/>
          <w:sz w:val="20"/>
          <w:szCs w:val="20"/>
          <w:lang w:val="es-ES_tradnl"/>
        </w:rPr>
        <w:t>3</w:t>
      </w:r>
      <w:r w:rsidR="00644E75">
        <w:rPr>
          <w:rFonts w:ascii="Verdana" w:hAnsi="Verdana"/>
          <w:sz w:val="20"/>
          <w:szCs w:val="20"/>
          <w:lang w:val="es-ES_tradnl"/>
        </w:rPr>
        <w:t>9</w:t>
      </w:r>
      <w:r w:rsidR="00DD4DDD" w:rsidRPr="00267CD6">
        <w:rPr>
          <w:rFonts w:ascii="Verdana" w:hAnsi="Verdana"/>
          <w:sz w:val="20"/>
          <w:szCs w:val="20"/>
          <w:lang w:val="es-ES_tradnl"/>
        </w:rPr>
        <w:t xml:space="preserve"> y el pago parcial a favor de 1</w:t>
      </w:r>
      <w:r w:rsidR="00456334" w:rsidRPr="00267CD6">
        <w:rPr>
          <w:rFonts w:ascii="Verdana" w:hAnsi="Verdana"/>
          <w:sz w:val="20"/>
          <w:szCs w:val="20"/>
          <w:lang w:val="es-ES_tradnl"/>
        </w:rPr>
        <w:t xml:space="preserve"> de las 48 víctimas sobrevivientes reconocidas</w:t>
      </w:r>
      <w:r w:rsidR="00DD4DDD" w:rsidRPr="00267CD6">
        <w:rPr>
          <w:rFonts w:ascii="Verdana" w:hAnsi="Verdana"/>
          <w:sz w:val="20"/>
          <w:szCs w:val="20"/>
          <w:lang w:val="es-ES_tradnl"/>
        </w:rPr>
        <w:t xml:space="preserve"> en el Anexo B de la Sentencia, el pago total de 114 y el pago parcial de 1 de los 124 familiares de víctimas incluidas en el Anexo</w:t>
      </w:r>
      <w:r w:rsidR="000F56F8" w:rsidRPr="00267CD6">
        <w:rPr>
          <w:rFonts w:ascii="Verdana" w:hAnsi="Verdana"/>
          <w:sz w:val="20"/>
          <w:szCs w:val="20"/>
          <w:lang w:val="es-ES_tradnl"/>
        </w:rPr>
        <w:t xml:space="preserve"> “C” de la </w:t>
      </w:r>
      <w:r w:rsidR="00137206" w:rsidRPr="00267CD6">
        <w:rPr>
          <w:rFonts w:ascii="Verdana" w:hAnsi="Verdana"/>
          <w:sz w:val="20"/>
          <w:szCs w:val="20"/>
          <w:lang w:val="es-ES_tradnl"/>
        </w:rPr>
        <w:t>S</w:t>
      </w:r>
      <w:r w:rsidR="000F56F8" w:rsidRPr="00267CD6">
        <w:rPr>
          <w:rFonts w:ascii="Verdana" w:hAnsi="Verdana"/>
          <w:sz w:val="20"/>
          <w:szCs w:val="20"/>
          <w:lang w:val="es-ES_tradnl"/>
        </w:rPr>
        <w:t>entencia,</w:t>
      </w:r>
      <w:r w:rsidR="00A648A3" w:rsidRPr="00267CD6">
        <w:rPr>
          <w:rFonts w:ascii="Verdana" w:hAnsi="Verdana"/>
          <w:sz w:val="20"/>
          <w:szCs w:val="20"/>
          <w:lang w:val="es-ES_tradnl"/>
        </w:rPr>
        <w:t xml:space="preserve"> </w:t>
      </w:r>
      <w:r w:rsidR="000F56F8" w:rsidRPr="00267CD6">
        <w:rPr>
          <w:rFonts w:ascii="Verdana" w:hAnsi="Verdana"/>
          <w:sz w:val="20"/>
          <w:szCs w:val="20"/>
          <w:lang w:val="es-ES_tradnl"/>
        </w:rPr>
        <w:t>quedando pendiente el pago del monto dispuesto por concepto de indemnización por el daño material e inmaterial sufrido</w:t>
      </w:r>
      <w:r w:rsidR="00137206" w:rsidRPr="00267CD6">
        <w:rPr>
          <w:rFonts w:ascii="Verdana" w:hAnsi="Verdana"/>
          <w:sz w:val="20"/>
          <w:szCs w:val="20"/>
          <w:lang w:val="es-ES_tradnl"/>
        </w:rPr>
        <w:t xml:space="preserve"> por las</w:t>
      </w:r>
      <w:r w:rsidR="00DD4DDD" w:rsidRPr="00267CD6">
        <w:rPr>
          <w:rFonts w:ascii="Verdana" w:hAnsi="Verdana"/>
          <w:sz w:val="20"/>
          <w:szCs w:val="20"/>
          <w:lang w:val="es-ES_tradnl"/>
        </w:rPr>
        <w:t xml:space="preserve"> 440</w:t>
      </w:r>
      <w:r w:rsidR="00137206" w:rsidRPr="00267CD6">
        <w:rPr>
          <w:rFonts w:ascii="Verdana" w:hAnsi="Verdana"/>
          <w:sz w:val="20"/>
          <w:szCs w:val="20"/>
          <w:lang w:val="es-ES_tradnl"/>
        </w:rPr>
        <w:t xml:space="preserve"> víctimas ejecutadas listadas en el anexo “A” de la Sentencia,</w:t>
      </w:r>
      <w:r w:rsidR="000F56F8" w:rsidRPr="00267CD6">
        <w:rPr>
          <w:rFonts w:ascii="Verdana" w:hAnsi="Verdana"/>
          <w:sz w:val="20"/>
          <w:szCs w:val="20"/>
          <w:lang w:val="es-ES_tradnl"/>
        </w:rPr>
        <w:t xml:space="preserve"> </w:t>
      </w:r>
      <w:r w:rsidR="00461999" w:rsidRPr="00267CD6">
        <w:rPr>
          <w:rFonts w:ascii="Verdana" w:hAnsi="Verdana"/>
          <w:sz w:val="20"/>
          <w:szCs w:val="20"/>
          <w:lang w:val="es-ES_tradnl"/>
        </w:rPr>
        <w:t>el pago a</w:t>
      </w:r>
      <w:r w:rsidR="000F56F8" w:rsidRPr="00267CD6">
        <w:rPr>
          <w:rFonts w:ascii="Verdana" w:hAnsi="Verdana"/>
          <w:sz w:val="20"/>
          <w:szCs w:val="20"/>
          <w:lang w:val="es-ES_tradnl"/>
        </w:rPr>
        <w:t xml:space="preserve"> </w:t>
      </w:r>
      <w:r w:rsidR="00644E75">
        <w:rPr>
          <w:rFonts w:ascii="Verdana" w:hAnsi="Verdana"/>
          <w:sz w:val="20"/>
          <w:szCs w:val="20"/>
          <w:lang w:val="es-ES_tradnl"/>
        </w:rPr>
        <w:t>9</w:t>
      </w:r>
      <w:r w:rsidR="000F56F8" w:rsidRPr="00267CD6">
        <w:rPr>
          <w:rFonts w:ascii="Verdana" w:hAnsi="Verdana"/>
          <w:sz w:val="20"/>
          <w:szCs w:val="20"/>
          <w:lang w:val="es-ES_tradnl"/>
        </w:rPr>
        <w:t xml:space="preserve"> víctimas sobrevivientes</w:t>
      </w:r>
      <w:r w:rsidR="00137206" w:rsidRPr="00267CD6">
        <w:rPr>
          <w:rFonts w:ascii="Verdana" w:hAnsi="Verdana"/>
          <w:sz w:val="20"/>
          <w:szCs w:val="20"/>
          <w:lang w:val="es-ES_tradnl"/>
        </w:rPr>
        <w:t xml:space="preserve"> listadas en el Anexo “B” de la misma (</w:t>
      </w:r>
      <w:r w:rsidR="00137206" w:rsidRPr="00267CD6">
        <w:rPr>
          <w:rFonts w:ascii="Verdana" w:hAnsi="Verdana"/>
          <w:i/>
          <w:sz w:val="20"/>
          <w:szCs w:val="20"/>
          <w:lang w:val="es-ES_tradnl"/>
        </w:rPr>
        <w:t>supra</w:t>
      </w:r>
      <w:r w:rsidR="00137206" w:rsidRPr="00267CD6">
        <w:rPr>
          <w:rFonts w:ascii="Verdana" w:hAnsi="Verdana"/>
          <w:sz w:val="20"/>
          <w:szCs w:val="20"/>
          <w:lang w:val="es-ES_tradnl"/>
        </w:rPr>
        <w:t xml:space="preserve"> Considerando </w:t>
      </w:r>
      <w:r w:rsidR="00644E75">
        <w:rPr>
          <w:rFonts w:ascii="Verdana" w:hAnsi="Verdana"/>
          <w:sz w:val="20"/>
          <w:szCs w:val="20"/>
          <w:lang w:val="es-ES_tradnl"/>
        </w:rPr>
        <w:fldChar w:fldCharType="begin"/>
      </w:r>
      <w:r w:rsidR="00644E75">
        <w:rPr>
          <w:rFonts w:ascii="Verdana" w:hAnsi="Verdana"/>
          <w:sz w:val="20"/>
          <w:szCs w:val="20"/>
          <w:lang w:val="es-ES_tradnl"/>
        </w:rPr>
        <w:instrText xml:space="preserve"> REF _Ref532913798 \r \h </w:instrText>
      </w:r>
      <w:r w:rsidR="00644E75">
        <w:rPr>
          <w:rFonts w:ascii="Verdana" w:hAnsi="Verdana"/>
          <w:sz w:val="20"/>
          <w:szCs w:val="20"/>
          <w:lang w:val="es-ES_tradnl"/>
        </w:rPr>
      </w:r>
      <w:r w:rsidR="00644E75">
        <w:rPr>
          <w:rFonts w:ascii="Verdana" w:hAnsi="Verdana"/>
          <w:sz w:val="20"/>
          <w:szCs w:val="20"/>
          <w:lang w:val="es-ES_tradnl"/>
        </w:rPr>
        <w:fldChar w:fldCharType="separate"/>
      </w:r>
      <w:r w:rsidR="005E6AC2">
        <w:rPr>
          <w:rFonts w:ascii="Verdana" w:hAnsi="Verdana"/>
          <w:sz w:val="20"/>
          <w:szCs w:val="20"/>
          <w:lang w:val="es-ES_tradnl"/>
        </w:rPr>
        <w:t>31</w:t>
      </w:r>
      <w:r w:rsidR="00644E75">
        <w:rPr>
          <w:rFonts w:ascii="Verdana" w:hAnsi="Verdana"/>
          <w:sz w:val="20"/>
          <w:szCs w:val="20"/>
          <w:lang w:val="es-ES_tradnl"/>
        </w:rPr>
        <w:fldChar w:fldCharType="end"/>
      </w:r>
      <w:r w:rsidR="00137206" w:rsidRPr="00267CD6">
        <w:rPr>
          <w:rFonts w:ascii="Verdana" w:hAnsi="Verdana"/>
          <w:sz w:val="20"/>
          <w:szCs w:val="20"/>
          <w:lang w:val="es-ES_tradnl"/>
        </w:rPr>
        <w:t>)</w:t>
      </w:r>
      <w:r w:rsidR="000F56F8" w:rsidRPr="00267CD6">
        <w:rPr>
          <w:rFonts w:ascii="Verdana" w:hAnsi="Verdana"/>
          <w:sz w:val="20"/>
          <w:szCs w:val="20"/>
          <w:lang w:val="es-ES_tradnl"/>
        </w:rPr>
        <w:t xml:space="preserve">, y </w:t>
      </w:r>
      <w:r w:rsidR="00461999" w:rsidRPr="00267CD6">
        <w:rPr>
          <w:rFonts w:ascii="Verdana" w:hAnsi="Verdana"/>
          <w:sz w:val="20"/>
          <w:szCs w:val="20"/>
          <w:lang w:val="es-ES_tradnl"/>
        </w:rPr>
        <w:t xml:space="preserve">el pago a </w:t>
      </w:r>
      <w:r w:rsidR="00DD4DDD" w:rsidRPr="00267CD6">
        <w:rPr>
          <w:rFonts w:ascii="Verdana" w:hAnsi="Verdana"/>
          <w:sz w:val="20"/>
          <w:szCs w:val="20"/>
          <w:lang w:val="es-ES_tradnl"/>
        </w:rPr>
        <w:t>1</w:t>
      </w:r>
      <w:r w:rsidR="00644E75">
        <w:rPr>
          <w:rFonts w:ascii="Verdana" w:hAnsi="Verdana"/>
          <w:sz w:val="20"/>
          <w:szCs w:val="20"/>
          <w:lang w:val="es-ES_tradnl"/>
        </w:rPr>
        <w:t>0</w:t>
      </w:r>
      <w:r w:rsidR="000F56F8" w:rsidRPr="00267CD6">
        <w:rPr>
          <w:rFonts w:ascii="Verdana" w:hAnsi="Verdana"/>
          <w:sz w:val="20"/>
          <w:szCs w:val="20"/>
          <w:lang w:val="es-ES_tradnl"/>
        </w:rPr>
        <w:t xml:space="preserve"> familiares de víctimas ejecutadas</w:t>
      </w:r>
      <w:r w:rsidR="00137206" w:rsidRPr="00267CD6">
        <w:rPr>
          <w:rFonts w:ascii="Verdana" w:hAnsi="Verdana"/>
          <w:sz w:val="20"/>
          <w:szCs w:val="20"/>
          <w:lang w:val="es-ES_tradnl"/>
        </w:rPr>
        <w:t xml:space="preserve"> listadas en el Anexo “C· de la Sentencia (</w:t>
      </w:r>
      <w:r w:rsidR="00137206" w:rsidRPr="00267CD6">
        <w:rPr>
          <w:rFonts w:ascii="Verdana" w:hAnsi="Verdana"/>
          <w:i/>
          <w:sz w:val="20"/>
          <w:szCs w:val="20"/>
          <w:lang w:val="es-ES_tradnl"/>
        </w:rPr>
        <w:t>supra</w:t>
      </w:r>
      <w:r w:rsidR="00137206" w:rsidRPr="00267CD6">
        <w:rPr>
          <w:rFonts w:ascii="Verdana" w:hAnsi="Verdana"/>
          <w:sz w:val="20"/>
          <w:szCs w:val="20"/>
          <w:lang w:val="es-ES_tradnl"/>
        </w:rPr>
        <w:t xml:space="preserve"> Considerando</w:t>
      </w:r>
      <w:r w:rsidR="00A64345" w:rsidRPr="00267CD6">
        <w:rPr>
          <w:rFonts w:ascii="Verdana" w:hAnsi="Verdana"/>
          <w:sz w:val="20"/>
          <w:szCs w:val="20"/>
          <w:lang w:val="es-ES_tradnl"/>
        </w:rPr>
        <w:t xml:space="preserve"> </w:t>
      </w:r>
      <w:r w:rsidR="00644E75">
        <w:rPr>
          <w:rFonts w:ascii="Verdana" w:hAnsi="Verdana"/>
          <w:sz w:val="20"/>
          <w:szCs w:val="20"/>
          <w:lang w:val="es-ES_tradnl"/>
        </w:rPr>
        <w:fldChar w:fldCharType="begin"/>
      </w:r>
      <w:r w:rsidR="00644E75">
        <w:rPr>
          <w:rFonts w:ascii="Verdana" w:hAnsi="Verdana"/>
          <w:sz w:val="20"/>
          <w:szCs w:val="20"/>
          <w:lang w:val="es-ES_tradnl"/>
        </w:rPr>
        <w:instrText xml:space="preserve"> REF _Ref532913798 \r \h </w:instrText>
      </w:r>
      <w:r w:rsidR="00644E75">
        <w:rPr>
          <w:rFonts w:ascii="Verdana" w:hAnsi="Verdana"/>
          <w:sz w:val="20"/>
          <w:szCs w:val="20"/>
          <w:lang w:val="es-ES_tradnl"/>
        </w:rPr>
      </w:r>
      <w:r w:rsidR="00644E75">
        <w:rPr>
          <w:rFonts w:ascii="Verdana" w:hAnsi="Verdana"/>
          <w:sz w:val="20"/>
          <w:szCs w:val="20"/>
          <w:lang w:val="es-ES_tradnl"/>
        </w:rPr>
        <w:fldChar w:fldCharType="separate"/>
      </w:r>
      <w:r w:rsidR="005E6AC2">
        <w:rPr>
          <w:rFonts w:ascii="Verdana" w:hAnsi="Verdana"/>
          <w:sz w:val="20"/>
          <w:szCs w:val="20"/>
          <w:lang w:val="es-ES_tradnl"/>
        </w:rPr>
        <w:t>31</w:t>
      </w:r>
      <w:r w:rsidR="00644E75">
        <w:rPr>
          <w:rFonts w:ascii="Verdana" w:hAnsi="Verdana"/>
          <w:sz w:val="20"/>
          <w:szCs w:val="20"/>
          <w:lang w:val="es-ES_tradnl"/>
        </w:rPr>
        <w:fldChar w:fldCharType="end"/>
      </w:r>
      <w:r w:rsidR="00137206" w:rsidRPr="00267CD6">
        <w:rPr>
          <w:rFonts w:ascii="Verdana" w:hAnsi="Verdana"/>
          <w:sz w:val="20"/>
          <w:szCs w:val="20"/>
          <w:lang w:val="es-ES_tradnl"/>
        </w:rPr>
        <w:t>).</w:t>
      </w:r>
      <w:r w:rsidR="00DD4DDD" w:rsidRPr="00267CD6">
        <w:rPr>
          <w:rFonts w:ascii="Verdana" w:hAnsi="Verdana"/>
          <w:sz w:val="20"/>
          <w:szCs w:val="20"/>
          <w:lang w:val="es-ES_tradnl"/>
        </w:rPr>
        <w:t xml:space="preserve"> </w:t>
      </w:r>
      <w:r w:rsidR="00DD4DDD" w:rsidRPr="007D6315">
        <w:rPr>
          <w:rFonts w:ascii="Verdana" w:hAnsi="Verdana"/>
          <w:sz w:val="20"/>
          <w:szCs w:val="20"/>
          <w:lang w:val="es-ES_tradnl"/>
        </w:rPr>
        <w:t>Asimismo, la Corte recuerda que al ordenar la reparación correspondiente a la puesta en funcionamiento del Registro Único de Víctimas (</w:t>
      </w:r>
      <w:r w:rsidR="00DD4DDD" w:rsidRPr="007D6315">
        <w:rPr>
          <w:rFonts w:ascii="Verdana" w:hAnsi="Verdana"/>
          <w:i/>
          <w:sz w:val="20"/>
          <w:szCs w:val="20"/>
          <w:lang w:val="es-ES_tradnl"/>
        </w:rPr>
        <w:t>supra</w:t>
      </w:r>
      <w:r w:rsidR="00DD4DDD" w:rsidRPr="007D6315">
        <w:rPr>
          <w:rFonts w:ascii="Verdana" w:hAnsi="Verdana"/>
          <w:sz w:val="20"/>
          <w:szCs w:val="20"/>
          <w:lang w:val="es-ES_tradnl"/>
        </w:rPr>
        <w:t xml:space="preserve"> Considerando </w:t>
      </w:r>
      <w:r w:rsidR="00F1192A" w:rsidRPr="007D6315">
        <w:rPr>
          <w:rFonts w:ascii="Verdana" w:hAnsi="Verdana"/>
          <w:sz w:val="20"/>
          <w:szCs w:val="20"/>
          <w:lang w:val="es-ES_tradnl"/>
        </w:rPr>
        <w:t>11</w:t>
      </w:r>
      <w:r w:rsidR="00DD4DDD" w:rsidRPr="007D6315">
        <w:rPr>
          <w:rFonts w:ascii="Verdana" w:hAnsi="Verdana"/>
          <w:sz w:val="20"/>
          <w:szCs w:val="20"/>
          <w:lang w:val="es-ES_tradnl"/>
        </w:rPr>
        <w:t>) hizo notar que las demás personas que se incorporaran en el referido Registro deben poder solicitar y recibir las reparaciones que correspondan en los términos dispuestos en la Sentencia.</w:t>
      </w:r>
      <w:r w:rsidR="005E4029" w:rsidRPr="007D6315">
        <w:rPr>
          <w:rFonts w:ascii="Verdana" w:hAnsi="Verdana"/>
          <w:sz w:val="20"/>
          <w:szCs w:val="20"/>
          <w:lang w:val="es-ES_tradnl"/>
        </w:rPr>
        <w:t xml:space="preserve"> Por ello</w:t>
      </w:r>
      <w:r w:rsidR="00267CD6" w:rsidRPr="007D6315">
        <w:rPr>
          <w:rFonts w:ascii="Verdana" w:hAnsi="Verdana"/>
          <w:sz w:val="20"/>
          <w:szCs w:val="20"/>
          <w:lang w:val="es-ES_tradnl"/>
        </w:rPr>
        <w:t>, a la luz de lo indicado en los párrafos 309 a 311</w:t>
      </w:r>
      <w:r w:rsidR="005E4029" w:rsidRPr="007D6315">
        <w:rPr>
          <w:rFonts w:ascii="Verdana" w:hAnsi="Verdana"/>
          <w:sz w:val="20"/>
          <w:szCs w:val="20"/>
          <w:lang w:val="es-ES_tradnl"/>
        </w:rPr>
        <w:t xml:space="preserve"> de la Sentencia</w:t>
      </w:r>
      <w:r w:rsidR="00267CD6" w:rsidRPr="007D6315">
        <w:rPr>
          <w:rFonts w:ascii="Verdana" w:hAnsi="Verdana"/>
          <w:sz w:val="20"/>
          <w:szCs w:val="20"/>
          <w:lang w:val="es-ES_tradnl"/>
        </w:rPr>
        <w:t xml:space="preserve">, </w:t>
      </w:r>
      <w:r w:rsidR="005E4029" w:rsidRPr="007D6315">
        <w:rPr>
          <w:rFonts w:ascii="Verdana" w:hAnsi="Verdana"/>
          <w:sz w:val="20"/>
          <w:szCs w:val="20"/>
          <w:lang w:val="es-ES_tradnl"/>
        </w:rPr>
        <w:t xml:space="preserve">el Estado tiene la obligación de pagar indemnizaciones por concepto de daño material e inmaterial tanto </w:t>
      </w:r>
      <w:r w:rsidR="00267CD6" w:rsidRPr="007D6315">
        <w:rPr>
          <w:rFonts w:ascii="Verdana" w:hAnsi="Verdana"/>
          <w:sz w:val="20"/>
          <w:szCs w:val="20"/>
          <w:lang w:val="es-ES_tradnl"/>
        </w:rPr>
        <w:t xml:space="preserve">a </w:t>
      </w:r>
      <w:r w:rsidR="005E4029" w:rsidRPr="007D6315">
        <w:rPr>
          <w:rFonts w:ascii="Verdana" w:hAnsi="Verdana"/>
          <w:sz w:val="20"/>
          <w:szCs w:val="20"/>
          <w:lang w:val="es-ES_tradnl"/>
        </w:rPr>
        <w:t xml:space="preserve">las </w:t>
      </w:r>
      <w:r w:rsidR="00267CD6" w:rsidRPr="007D6315">
        <w:rPr>
          <w:rFonts w:ascii="Verdana" w:hAnsi="Verdana"/>
          <w:sz w:val="20"/>
          <w:szCs w:val="20"/>
          <w:lang w:val="es-ES_tradnl"/>
        </w:rPr>
        <w:t xml:space="preserve">víctimas indicadas en los Anexos </w:t>
      </w:r>
      <w:r w:rsidR="005E4029" w:rsidRPr="007D6315">
        <w:rPr>
          <w:rFonts w:ascii="Verdana" w:hAnsi="Verdana"/>
          <w:sz w:val="20"/>
          <w:szCs w:val="20"/>
          <w:lang w:val="es-ES_tradnl"/>
        </w:rPr>
        <w:t>de la Sentencia como a las demás víctimas que se incorporen en el referido Registro Único de Víctimas, y debe informar a la Corte al respecto.</w:t>
      </w:r>
      <w:r w:rsidR="005E4029" w:rsidRPr="005E4029">
        <w:rPr>
          <w:rFonts w:ascii="Verdana" w:hAnsi="Verdana"/>
          <w:b/>
          <w:sz w:val="20"/>
          <w:szCs w:val="20"/>
          <w:lang w:val="es-ES_tradnl"/>
        </w:rPr>
        <w:t xml:space="preserve"> </w:t>
      </w:r>
    </w:p>
    <w:p w14:paraId="512F7610" w14:textId="77777777" w:rsidR="0036370D" w:rsidRDefault="0036370D" w:rsidP="0036370D">
      <w:pPr>
        <w:tabs>
          <w:tab w:val="left" w:pos="567"/>
        </w:tabs>
        <w:spacing w:after="0" w:line="240" w:lineRule="auto"/>
        <w:ind w:right="4"/>
        <w:jc w:val="both"/>
        <w:rPr>
          <w:rFonts w:ascii="Verdana" w:hAnsi="Verdana"/>
          <w:sz w:val="20"/>
          <w:szCs w:val="20"/>
          <w:lang w:val="es-ES_tradnl"/>
        </w:rPr>
      </w:pPr>
    </w:p>
    <w:p w14:paraId="41B35FE4" w14:textId="77777777" w:rsidR="00150685" w:rsidRDefault="00150685" w:rsidP="0036370D">
      <w:pPr>
        <w:tabs>
          <w:tab w:val="left" w:pos="567"/>
        </w:tabs>
        <w:spacing w:after="0" w:line="240" w:lineRule="auto"/>
        <w:ind w:right="4"/>
        <w:jc w:val="both"/>
        <w:rPr>
          <w:rFonts w:ascii="Verdana" w:hAnsi="Verdana"/>
          <w:sz w:val="20"/>
          <w:szCs w:val="20"/>
          <w:lang w:val="es-ES_tradnl"/>
        </w:rPr>
      </w:pPr>
    </w:p>
    <w:p w14:paraId="19729575" w14:textId="77777777" w:rsidR="00150685" w:rsidRDefault="00150685" w:rsidP="0036370D">
      <w:pPr>
        <w:tabs>
          <w:tab w:val="left" w:pos="567"/>
        </w:tabs>
        <w:spacing w:after="0" w:line="240" w:lineRule="auto"/>
        <w:ind w:right="4"/>
        <w:jc w:val="both"/>
        <w:rPr>
          <w:rFonts w:ascii="Verdana" w:hAnsi="Verdana"/>
          <w:sz w:val="20"/>
          <w:szCs w:val="20"/>
          <w:lang w:val="es-ES_tradnl"/>
        </w:rPr>
      </w:pPr>
    </w:p>
    <w:p w14:paraId="6A124BE8" w14:textId="77777777" w:rsidR="009A5093" w:rsidRPr="000412A5" w:rsidRDefault="009A5093" w:rsidP="00C17B8E">
      <w:pPr>
        <w:pStyle w:val="ListParagraph"/>
        <w:numPr>
          <w:ilvl w:val="0"/>
          <w:numId w:val="3"/>
        </w:numPr>
        <w:tabs>
          <w:tab w:val="left" w:pos="567"/>
        </w:tabs>
        <w:spacing w:after="0" w:line="240" w:lineRule="auto"/>
        <w:ind w:right="4"/>
        <w:jc w:val="both"/>
        <w:outlineLvl w:val="0"/>
        <w:rPr>
          <w:rFonts w:ascii="Verdana" w:hAnsi="Verdana"/>
          <w:b/>
          <w:sz w:val="20"/>
          <w:szCs w:val="20"/>
          <w:lang w:val="es-ES_tradnl"/>
        </w:rPr>
      </w:pPr>
      <w:bookmarkStart w:id="35" w:name="_Toc530566592"/>
      <w:r w:rsidRPr="000412A5">
        <w:rPr>
          <w:rFonts w:ascii="Verdana" w:hAnsi="Verdana"/>
          <w:b/>
          <w:sz w:val="20"/>
          <w:szCs w:val="20"/>
          <w:lang w:val="es-ES_tradnl"/>
        </w:rPr>
        <w:t>Realización</w:t>
      </w:r>
      <w:r>
        <w:rPr>
          <w:rFonts w:ascii="Verdana" w:hAnsi="Verdana"/>
          <w:b/>
          <w:sz w:val="20"/>
          <w:szCs w:val="20"/>
          <w:lang w:val="es-ES_tradnl"/>
        </w:rPr>
        <w:t xml:space="preserve"> y difusión</w:t>
      </w:r>
      <w:r w:rsidRPr="000412A5">
        <w:rPr>
          <w:rFonts w:ascii="Verdana" w:hAnsi="Verdana"/>
          <w:b/>
          <w:sz w:val="20"/>
          <w:szCs w:val="20"/>
          <w:lang w:val="es-ES_tradnl"/>
        </w:rPr>
        <w:t xml:space="preserve"> de documental audiovisual</w:t>
      </w:r>
      <w:bookmarkEnd w:id="35"/>
    </w:p>
    <w:p w14:paraId="5AF6E43D" w14:textId="77777777" w:rsidR="009A5093" w:rsidRPr="000412A5" w:rsidRDefault="009A5093" w:rsidP="009A5093">
      <w:pPr>
        <w:tabs>
          <w:tab w:val="left" w:pos="567"/>
        </w:tabs>
        <w:spacing w:after="0" w:line="240" w:lineRule="auto"/>
        <w:ind w:right="4"/>
        <w:jc w:val="both"/>
        <w:rPr>
          <w:rFonts w:ascii="Verdana" w:hAnsi="Verdana"/>
          <w:sz w:val="20"/>
          <w:szCs w:val="20"/>
          <w:lang w:val="es-ES_tradnl"/>
        </w:rPr>
      </w:pPr>
    </w:p>
    <w:p w14:paraId="4C9ED3A6" w14:textId="2E5BFD4D" w:rsidR="009A5093" w:rsidRPr="000412A5" w:rsidRDefault="009A5093" w:rsidP="009A5093">
      <w:pPr>
        <w:tabs>
          <w:tab w:val="left" w:pos="567"/>
        </w:tabs>
        <w:spacing w:after="0" w:line="240" w:lineRule="auto"/>
        <w:ind w:right="4"/>
        <w:jc w:val="both"/>
        <w:rPr>
          <w:rFonts w:ascii="Verdana" w:hAnsi="Verdana"/>
          <w:i/>
          <w:sz w:val="20"/>
          <w:szCs w:val="20"/>
          <w:lang w:val="es-ES_tradnl"/>
        </w:rPr>
      </w:pPr>
      <w:r w:rsidRPr="000412A5">
        <w:rPr>
          <w:rFonts w:ascii="Verdana" w:hAnsi="Verdana"/>
          <w:i/>
          <w:sz w:val="20"/>
          <w:szCs w:val="20"/>
          <w:lang w:val="es-ES_tradnl"/>
        </w:rPr>
        <w:tab/>
      </w:r>
      <w:r>
        <w:rPr>
          <w:rFonts w:ascii="Verdana" w:hAnsi="Verdana"/>
          <w:i/>
          <w:sz w:val="20"/>
          <w:szCs w:val="20"/>
          <w:lang w:val="es-ES_tradnl"/>
        </w:rPr>
        <w:t>D</w:t>
      </w:r>
      <w:r w:rsidRPr="000412A5">
        <w:rPr>
          <w:rFonts w:ascii="Verdana" w:hAnsi="Verdana"/>
          <w:i/>
          <w:sz w:val="20"/>
          <w:szCs w:val="20"/>
          <w:lang w:val="es-ES_tradnl"/>
        </w:rPr>
        <w:t xml:space="preserve">.1. Medida ordenada por la Corte </w:t>
      </w:r>
    </w:p>
    <w:p w14:paraId="042A58D5" w14:textId="77777777" w:rsidR="009A5093" w:rsidRPr="000412A5" w:rsidRDefault="009A5093" w:rsidP="009A5093">
      <w:pPr>
        <w:pStyle w:val="Default"/>
        <w:rPr>
          <w:sz w:val="20"/>
          <w:szCs w:val="20"/>
          <w:lang w:val="es-ES_tradnl"/>
        </w:rPr>
      </w:pPr>
    </w:p>
    <w:p w14:paraId="47E63A10" w14:textId="1FF04B20" w:rsidR="009A5093" w:rsidRDefault="009A5093"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bookmarkStart w:id="36" w:name="_Ref532391650"/>
      <w:r w:rsidRPr="000412A5">
        <w:rPr>
          <w:rFonts w:ascii="Verdana" w:hAnsi="Verdana"/>
          <w:sz w:val="20"/>
          <w:szCs w:val="20"/>
          <w:lang w:val="es-ES_tradnl"/>
        </w:rPr>
        <w:t>En el punto resolutivo d</w:t>
      </w:r>
      <w:r>
        <w:rPr>
          <w:rFonts w:ascii="Verdana" w:hAnsi="Verdana"/>
          <w:sz w:val="20"/>
          <w:szCs w:val="20"/>
          <w:lang w:val="es-ES_tradnl"/>
        </w:rPr>
        <w:t>é</w:t>
      </w:r>
      <w:r w:rsidRPr="000412A5">
        <w:rPr>
          <w:rFonts w:ascii="Verdana" w:hAnsi="Verdana"/>
          <w:sz w:val="20"/>
          <w:szCs w:val="20"/>
          <w:lang w:val="es-ES_tradnl"/>
        </w:rPr>
        <w:t>cimo</w:t>
      </w:r>
      <w:r>
        <w:rPr>
          <w:rFonts w:ascii="Verdana" w:hAnsi="Verdana"/>
          <w:sz w:val="20"/>
          <w:szCs w:val="20"/>
          <w:lang w:val="es-ES_tradnl"/>
        </w:rPr>
        <w:t xml:space="preserve"> </w:t>
      </w:r>
      <w:r w:rsidRPr="000412A5">
        <w:rPr>
          <w:rFonts w:ascii="Verdana" w:hAnsi="Verdana"/>
          <w:sz w:val="20"/>
          <w:szCs w:val="20"/>
          <w:lang w:val="es-ES_tradnl"/>
        </w:rPr>
        <w:t>primero y en el párrafo 365 de la Sentencia, la Corte dispuso que el Estado “debe realizar un audiovisual documental sobre los graves hechos cometidos en las masacres de El Mozote y lugares aledaños”, en el cual se refiera “a la política de ‘tierra arrasada’ en el marco del conflicto armado en El Salvador, con mención específica del presente caso, cuyo contenido debe ser previamente acordado con las víctimas y sus representantes”. La Corte además indicó que “[e]l Estado deberá hacerse cargo de todos los gastos que generen la producción y distribución de dicho video”, y que el mismo “deberá ser distribuido lo más ampliamente posible entre las víctimas, sus representantes, escuelas y universidades del país para su promoción y proyección posterior con el objetivo final de informar a la sociedad salvadoreña sobre estos hechos</w:t>
      </w:r>
      <w:r>
        <w:rPr>
          <w:rFonts w:ascii="Verdana" w:hAnsi="Verdana"/>
          <w:sz w:val="20"/>
          <w:szCs w:val="20"/>
          <w:lang w:val="es-ES_tradnl"/>
        </w:rPr>
        <w:t>”</w:t>
      </w:r>
      <w:r w:rsidRPr="000412A5">
        <w:rPr>
          <w:rFonts w:ascii="Verdana" w:hAnsi="Verdana"/>
          <w:sz w:val="20"/>
          <w:szCs w:val="20"/>
          <w:lang w:val="es-ES_tradnl"/>
        </w:rPr>
        <w:t xml:space="preserve">. </w:t>
      </w:r>
      <w:r>
        <w:rPr>
          <w:rFonts w:ascii="Verdana" w:hAnsi="Verdana"/>
          <w:sz w:val="20"/>
          <w:szCs w:val="20"/>
          <w:lang w:val="es-ES_tradnl"/>
        </w:rPr>
        <w:t>Asimismo, dispuso que “[d]</w:t>
      </w:r>
      <w:r w:rsidRPr="000412A5">
        <w:rPr>
          <w:rFonts w:ascii="Verdana" w:hAnsi="Verdana"/>
          <w:sz w:val="20"/>
          <w:szCs w:val="20"/>
          <w:lang w:val="es-ES_tradnl"/>
        </w:rPr>
        <w:t xml:space="preserve">icho video deberá ser transmitido, al menos una vez, en un canal de difusión nacional y en el horario de mayor audiencia televisiva, y debe ser colocado en la página </w:t>
      </w:r>
      <w:r w:rsidRPr="000412A5">
        <w:rPr>
          <w:rFonts w:ascii="Verdana" w:hAnsi="Verdana"/>
          <w:i/>
          <w:iCs/>
          <w:sz w:val="20"/>
          <w:szCs w:val="20"/>
          <w:lang w:val="es-ES_tradnl"/>
        </w:rPr>
        <w:t xml:space="preserve">web </w:t>
      </w:r>
      <w:r w:rsidRPr="000412A5">
        <w:rPr>
          <w:rFonts w:ascii="Verdana" w:hAnsi="Verdana"/>
          <w:sz w:val="20"/>
          <w:szCs w:val="20"/>
          <w:lang w:val="es-ES_tradnl"/>
        </w:rPr>
        <w:t>de la Fuerza Armada de El Salvador”. Dicha medida debía ser cumplida en el plazo de dos años desde la notificación de la Sentencia.</w:t>
      </w:r>
      <w:bookmarkEnd w:id="36"/>
      <w:r w:rsidRPr="000412A5">
        <w:rPr>
          <w:rFonts w:ascii="Verdana" w:hAnsi="Verdana"/>
          <w:sz w:val="20"/>
          <w:szCs w:val="20"/>
          <w:lang w:val="es-ES_tradnl"/>
        </w:rPr>
        <w:t xml:space="preserve"> </w:t>
      </w:r>
    </w:p>
    <w:p w14:paraId="607ED939" w14:textId="77777777" w:rsidR="003E6C13" w:rsidRPr="003E6C13" w:rsidRDefault="003E6C13" w:rsidP="003E6C13">
      <w:pPr>
        <w:tabs>
          <w:tab w:val="left" w:pos="567"/>
          <w:tab w:val="left" w:pos="720"/>
        </w:tabs>
        <w:spacing w:afterLines="40" w:after="96" w:line="240" w:lineRule="auto"/>
        <w:ind w:right="4"/>
        <w:jc w:val="both"/>
        <w:rPr>
          <w:rFonts w:ascii="Verdana" w:hAnsi="Verdana"/>
          <w:sz w:val="20"/>
          <w:szCs w:val="20"/>
          <w:lang w:val="es-ES_tradnl"/>
        </w:rPr>
      </w:pPr>
    </w:p>
    <w:p w14:paraId="664E42D0" w14:textId="0B5FA56F" w:rsidR="009A5093" w:rsidRPr="000412A5" w:rsidRDefault="009A5093" w:rsidP="009A5093">
      <w:pPr>
        <w:tabs>
          <w:tab w:val="left" w:pos="567"/>
        </w:tabs>
        <w:spacing w:after="0" w:line="240" w:lineRule="auto"/>
        <w:ind w:right="4"/>
        <w:jc w:val="both"/>
        <w:rPr>
          <w:rFonts w:ascii="Verdana" w:hAnsi="Verdana"/>
          <w:i/>
          <w:sz w:val="20"/>
          <w:szCs w:val="20"/>
          <w:lang w:val="es-ES_tradnl" w:eastAsia="es-CR"/>
        </w:rPr>
      </w:pPr>
      <w:r w:rsidRPr="000412A5">
        <w:rPr>
          <w:rFonts w:ascii="Verdana" w:hAnsi="Verdana"/>
          <w:i/>
          <w:sz w:val="20"/>
          <w:szCs w:val="20"/>
          <w:lang w:val="es-ES_tradnl"/>
        </w:rPr>
        <w:tab/>
      </w:r>
      <w:r>
        <w:rPr>
          <w:rFonts w:ascii="Verdana" w:hAnsi="Verdana"/>
          <w:i/>
          <w:sz w:val="20"/>
          <w:szCs w:val="20"/>
          <w:lang w:val="es-ES_tradnl" w:eastAsia="es-CR"/>
        </w:rPr>
        <w:t>D</w:t>
      </w:r>
      <w:r w:rsidRPr="000412A5">
        <w:rPr>
          <w:rFonts w:ascii="Verdana" w:hAnsi="Verdana"/>
          <w:i/>
          <w:sz w:val="20"/>
          <w:szCs w:val="20"/>
          <w:lang w:val="es-ES_tradnl" w:eastAsia="es-CR"/>
        </w:rPr>
        <w:t xml:space="preserve">.2. Consideraciones de la Corte </w:t>
      </w:r>
    </w:p>
    <w:p w14:paraId="63661EF2" w14:textId="77777777" w:rsidR="009A5093" w:rsidRPr="000412A5" w:rsidRDefault="009A5093" w:rsidP="009A5093">
      <w:pPr>
        <w:tabs>
          <w:tab w:val="left" w:pos="567"/>
        </w:tabs>
        <w:spacing w:after="0" w:line="240" w:lineRule="auto"/>
        <w:ind w:right="4"/>
        <w:jc w:val="both"/>
        <w:rPr>
          <w:rFonts w:ascii="Verdana" w:hAnsi="Verdana"/>
          <w:i/>
          <w:sz w:val="20"/>
          <w:szCs w:val="20"/>
          <w:lang w:val="es-ES_tradnl" w:eastAsia="es-CR"/>
        </w:rPr>
      </w:pPr>
    </w:p>
    <w:p w14:paraId="58012784" w14:textId="35FC4103" w:rsidR="003E6C13" w:rsidRDefault="009A5093"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3E6C13">
        <w:rPr>
          <w:rFonts w:ascii="Verdana" w:hAnsi="Verdana"/>
          <w:sz w:val="20"/>
          <w:szCs w:val="20"/>
          <w:lang w:val="es-ES_tradnl"/>
        </w:rPr>
        <w:t>La Corte constata, con base en la información proporcionada por las partes, que el Estado elaboró y publicó un documental de aproximadamente 54 minutos de duración en el cual se hace referencia a los hechos de las Masacres de El Mozote y lugares aledaños y en el que se explica la política de “tierra arrasada” que existió durante el conflicto armado salvadoreño</w:t>
      </w:r>
      <w:r w:rsidRPr="000412A5">
        <w:rPr>
          <w:rStyle w:val="FootnoteReference"/>
          <w:rFonts w:ascii="Verdana" w:hAnsi="Verdana"/>
          <w:sz w:val="20"/>
          <w:szCs w:val="20"/>
          <w:lang w:val="es-ES_tradnl"/>
        </w:rPr>
        <w:footnoteReference w:id="45"/>
      </w:r>
      <w:r w:rsidRPr="003E6C13">
        <w:rPr>
          <w:rFonts w:ascii="Verdana" w:hAnsi="Verdana"/>
          <w:sz w:val="20"/>
          <w:szCs w:val="20"/>
          <w:lang w:val="es-ES_tradnl"/>
        </w:rPr>
        <w:t>. La Corte observa que el documental habría sido “presentado oficialmente por primera vez el 8 de diciembre de 2017, en […] la plaza central del El Mozote, como parte de las actividades que el Gobierno impulsó para la conmemoración del 26° aniversario de la masacre […]”. Además, “[s]</w:t>
      </w:r>
      <w:proofErr w:type="spellStart"/>
      <w:r w:rsidRPr="003E6C13">
        <w:rPr>
          <w:rFonts w:ascii="Verdana" w:hAnsi="Verdana"/>
          <w:sz w:val="20"/>
          <w:szCs w:val="20"/>
          <w:lang w:val="es-ES_tradnl"/>
        </w:rPr>
        <w:t>imultáneamente</w:t>
      </w:r>
      <w:proofErr w:type="spellEnd"/>
      <w:r w:rsidRPr="003E6C13">
        <w:rPr>
          <w:rFonts w:ascii="Verdana" w:hAnsi="Verdana"/>
          <w:sz w:val="20"/>
          <w:szCs w:val="20"/>
          <w:lang w:val="es-ES_tradnl"/>
        </w:rPr>
        <w:t xml:space="preserve"> se realizó una transmisión de esta actividad y del documental a través del canal 10 de la Televisión de El Salvador”. La Corte igualmente constata que el mismo se encuentra disponible en un sitio web oficial</w:t>
      </w:r>
      <w:r w:rsidRPr="000412A5">
        <w:rPr>
          <w:rStyle w:val="FootnoteReference"/>
          <w:rFonts w:ascii="Verdana" w:hAnsi="Verdana"/>
          <w:sz w:val="20"/>
          <w:szCs w:val="20"/>
          <w:lang w:val="es-ES_tradnl"/>
        </w:rPr>
        <w:footnoteReference w:id="46"/>
      </w:r>
      <w:r w:rsidRPr="003E6C13">
        <w:rPr>
          <w:rFonts w:ascii="Verdana" w:hAnsi="Verdana"/>
          <w:sz w:val="20"/>
          <w:szCs w:val="20"/>
          <w:lang w:val="es-ES_tradnl"/>
        </w:rPr>
        <w:t>. Los representantes en sus observaciones de abril y octubre de 2018 indicaron que valoran positivamente “la realización del mismo, su contenido, así como la presentación en acto oficial y su exhibición televisiva”.</w:t>
      </w:r>
    </w:p>
    <w:p w14:paraId="43C8DBA0" w14:textId="77777777" w:rsidR="003E6C13" w:rsidRPr="003E6C13" w:rsidRDefault="003E6C13" w:rsidP="003E6C13">
      <w:pPr>
        <w:tabs>
          <w:tab w:val="left" w:pos="567"/>
          <w:tab w:val="left" w:pos="720"/>
        </w:tabs>
        <w:spacing w:afterLines="40" w:after="96" w:line="240" w:lineRule="auto"/>
        <w:ind w:right="4"/>
        <w:jc w:val="both"/>
        <w:rPr>
          <w:rFonts w:ascii="Verdana" w:hAnsi="Verdana"/>
          <w:sz w:val="20"/>
          <w:szCs w:val="20"/>
          <w:lang w:val="es-ES_tradnl"/>
        </w:rPr>
      </w:pPr>
    </w:p>
    <w:p w14:paraId="391895FA" w14:textId="1C24805F" w:rsidR="009A5093" w:rsidRPr="003E6C13" w:rsidRDefault="009A5093" w:rsidP="00636F6F">
      <w:pPr>
        <w:numPr>
          <w:ilvl w:val="0"/>
          <w:numId w:val="33"/>
        </w:numPr>
        <w:tabs>
          <w:tab w:val="left" w:pos="567"/>
          <w:tab w:val="left" w:pos="720"/>
        </w:tabs>
        <w:spacing w:afterLines="40" w:after="96" w:line="240" w:lineRule="auto"/>
        <w:ind w:left="0" w:right="4" w:firstLine="0"/>
        <w:jc w:val="both"/>
        <w:rPr>
          <w:rFonts w:ascii="Verdana" w:hAnsi="Verdana"/>
          <w:sz w:val="20"/>
          <w:szCs w:val="20"/>
          <w:lang w:val="es-ES_tradnl"/>
        </w:rPr>
      </w:pPr>
      <w:r w:rsidRPr="003E6C13">
        <w:rPr>
          <w:rFonts w:ascii="Verdana" w:hAnsi="Verdana"/>
          <w:sz w:val="20"/>
          <w:szCs w:val="20"/>
          <w:lang w:val="es-ES_tradnl"/>
        </w:rPr>
        <w:t xml:space="preserve">No obstante lo anterior, las partes reconocen que continúan pendientes gestiones para la distribución y difusión del documental en los términos dispuestos en la Sentencia. El Estado indicó como acciones futuras: “la distribución del documental en escuelas públicas y privadas […], así como en distintas universidades del país; además […] cine foros en las comunidades </w:t>
      </w:r>
      <w:r w:rsidR="00D929A3">
        <w:rPr>
          <w:rFonts w:ascii="Verdana" w:hAnsi="Verdana"/>
          <w:sz w:val="20"/>
          <w:szCs w:val="20"/>
          <w:lang w:val="es-ES_tradnl"/>
        </w:rPr>
        <w:t xml:space="preserve">en </w:t>
      </w:r>
      <w:r w:rsidRPr="003E6C13">
        <w:rPr>
          <w:rFonts w:ascii="Verdana" w:hAnsi="Verdana"/>
          <w:sz w:val="20"/>
          <w:szCs w:val="20"/>
          <w:lang w:val="es-ES_tradnl"/>
        </w:rPr>
        <w:t>donde se desarrollaron los hechos, se transmitirá nuevamente en la televisión nacional [… y] será colocado en la página web de la Fuerza Armada de El Salvador”.</w:t>
      </w:r>
    </w:p>
    <w:p w14:paraId="7F3E7122" w14:textId="77777777" w:rsidR="009A5093" w:rsidRPr="000412A5" w:rsidRDefault="009A5093" w:rsidP="003E6C13">
      <w:pPr>
        <w:pStyle w:val="ListParagraph"/>
        <w:tabs>
          <w:tab w:val="left" w:pos="567"/>
        </w:tabs>
        <w:spacing w:after="0" w:line="240" w:lineRule="auto"/>
        <w:ind w:left="0" w:right="4"/>
        <w:jc w:val="both"/>
        <w:rPr>
          <w:rFonts w:ascii="Verdana" w:hAnsi="Verdana"/>
          <w:sz w:val="20"/>
          <w:szCs w:val="20"/>
          <w:lang w:val="es-ES_tradnl"/>
        </w:rPr>
      </w:pPr>
    </w:p>
    <w:p w14:paraId="198712F9" w14:textId="69456888" w:rsidR="009A5093" w:rsidRPr="000412A5" w:rsidRDefault="009A5093" w:rsidP="00636F6F">
      <w:pPr>
        <w:pStyle w:val="ListParagraph"/>
        <w:numPr>
          <w:ilvl w:val="0"/>
          <w:numId w:val="33"/>
        </w:numPr>
        <w:tabs>
          <w:tab w:val="left" w:pos="567"/>
        </w:tabs>
        <w:spacing w:after="0"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En razón de lo anterior, la Corte considera que el Estado ha dado cumplimiento parcial a la medida de realización del documental audiovisual sobre los hechos cometidos en las masacres de El Mozote y lugares aledaños ordenado en el punto dispositivo d</w:t>
      </w:r>
      <w:r w:rsidR="00D929A3">
        <w:rPr>
          <w:rFonts w:ascii="Verdana" w:hAnsi="Verdana"/>
          <w:sz w:val="20"/>
          <w:szCs w:val="20"/>
          <w:lang w:val="es-ES_tradnl"/>
        </w:rPr>
        <w:t>é</w:t>
      </w:r>
      <w:r w:rsidRPr="000412A5">
        <w:rPr>
          <w:rFonts w:ascii="Verdana" w:hAnsi="Verdana"/>
          <w:sz w:val="20"/>
          <w:szCs w:val="20"/>
          <w:lang w:val="es-ES_tradnl"/>
        </w:rPr>
        <w:t>cimo</w:t>
      </w:r>
      <w:r w:rsidR="00D929A3">
        <w:rPr>
          <w:rFonts w:ascii="Verdana" w:hAnsi="Verdana"/>
          <w:sz w:val="20"/>
          <w:szCs w:val="20"/>
          <w:lang w:val="es-ES_tradnl"/>
        </w:rPr>
        <w:t xml:space="preserve"> </w:t>
      </w:r>
      <w:r w:rsidRPr="000412A5">
        <w:rPr>
          <w:rFonts w:ascii="Verdana" w:hAnsi="Verdana"/>
          <w:sz w:val="20"/>
          <w:szCs w:val="20"/>
          <w:lang w:val="es-ES_tradnl"/>
        </w:rPr>
        <w:t>primero y el párrafo 365 de la Sentencia. En este sentido, le corresponde al Estado, en su próximo informe, hacer referencia a las medidas que ha adoptado para la difusión del mismo en los términos dispuestos en la Sentencia (</w:t>
      </w:r>
      <w:r w:rsidRPr="000412A5">
        <w:rPr>
          <w:rFonts w:ascii="Verdana" w:hAnsi="Verdana"/>
          <w:i/>
          <w:sz w:val="20"/>
          <w:szCs w:val="20"/>
          <w:lang w:val="es-ES_tradnl"/>
        </w:rPr>
        <w:t>supra</w:t>
      </w:r>
      <w:r w:rsidRPr="000412A5">
        <w:rPr>
          <w:rFonts w:ascii="Verdana" w:hAnsi="Verdana"/>
          <w:sz w:val="20"/>
          <w:szCs w:val="20"/>
          <w:lang w:val="es-ES_tradnl"/>
        </w:rPr>
        <w:t xml:space="preserve"> Considerando </w:t>
      </w:r>
      <w:r w:rsidR="00D929A3">
        <w:rPr>
          <w:rFonts w:ascii="Verdana" w:hAnsi="Verdana"/>
          <w:sz w:val="20"/>
          <w:szCs w:val="20"/>
          <w:lang w:val="es-ES_tradnl"/>
        </w:rPr>
        <w:fldChar w:fldCharType="begin"/>
      </w:r>
      <w:r w:rsidR="00D929A3">
        <w:rPr>
          <w:rFonts w:ascii="Verdana" w:hAnsi="Verdana"/>
          <w:sz w:val="20"/>
          <w:szCs w:val="20"/>
          <w:lang w:val="es-ES_tradnl"/>
        </w:rPr>
        <w:instrText xml:space="preserve"> REF _Ref532391650 \r \h </w:instrText>
      </w:r>
      <w:r w:rsidR="00D929A3">
        <w:rPr>
          <w:rFonts w:ascii="Verdana" w:hAnsi="Verdana"/>
          <w:sz w:val="20"/>
          <w:szCs w:val="20"/>
          <w:lang w:val="es-ES_tradnl"/>
        </w:rPr>
      </w:r>
      <w:r w:rsidR="00D929A3">
        <w:rPr>
          <w:rFonts w:ascii="Verdana" w:hAnsi="Verdana"/>
          <w:sz w:val="20"/>
          <w:szCs w:val="20"/>
          <w:lang w:val="es-ES_tradnl"/>
        </w:rPr>
        <w:fldChar w:fldCharType="separate"/>
      </w:r>
      <w:r w:rsidR="005E6AC2">
        <w:rPr>
          <w:rFonts w:ascii="Verdana" w:hAnsi="Verdana"/>
          <w:sz w:val="20"/>
          <w:szCs w:val="20"/>
          <w:lang w:val="es-ES_tradnl"/>
        </w:rPr>
        <w:t>45</w:t>
      </w:r>
      <w:r w:rsidR="00D929A3">
        <w:rPr>
          <w:rFonts w:ascii="Verdana" w:hAnsi="Verdana"/>
          <w:sz w:val="20"/>
          <w:szCs w:val="20"/>
          <w:lang w:val="es-ES_tradnl"/>
        </w:rPr>
        <w:fldChar w:fldCharType="end"/>
      </w:r>
      <w:r w:rsidRPr="004E7D5C">
        <w:rPr>
          <w:rFonts w:ascii="Verdana" w:hAnsi="Verdana"/>
          <w:sz w:val="20"/>
          <w:szCs w:val="20"/>
          <w:lang w:val="es-ES_tradnl"/>
        </w:rPr>
        <w:t>).</w:t>
      </w:r>
    </w:p>
    <w:p w14:paraId="2520DF44" w14:textId="77777777" w:rsidR="009A5093" w:rsidRPr="000412A5" w:rsidRDefault="009A5093" w:rsidP="003E6C13">
      <w:pPr>
        <w:tabs>
          <w:tab w:val="left" w:pos="567"/>
        </w:tabs>
        <w:spacing w:after="0" w:line="240" w:lineRule="auto"/>
        <w:ind w:right="4"/>
        <w:jc w:val="both"/>
        <w:rPr>
          <w:rFonts w:ascii="Verdana" w:hAnsi="Verdana"/>
          <w:sz w:val="20"/>
          <w:szCs w:val="20"/>
          <w:lang w:val="es-ES_tradnl"/>
        </w:rPr>
      </w:pPr>
    </w:p>
    <w:p w14:paraId="24D131F6" w14:textId="77777777" w:rsidR="002942C5" w:rsidRPr="000412A5" w:rsidRDefault="002942C5" w:rsidP="009F6E4F">
      <w:pPr>
        <w:tabs>
          <w:tab w:val="left" w:pos="567"/>
        </w:tabs>
        <w:spacing w:after="0" w:line="240" w:lineRule="auto"/>
        <w:ind w:right="4"/>
        <w:jc w:val="both"/>
        <w:rPr>
          <w:rFonts w:ascii="Verdana" w:hAnsi="Verdana"/>
          <w:sz w:val="20"/>
          <w:szCs w:val="20"/>
          <w:lang w:val="es-ES_tradnl"/>
        </w:rPr>
      </w:pPr>
    </w:p>
    <w:p w14:paraId="08765E4C" w14:textId="77777777" w:rsidR="00B2058A" w:rsidRPr="000412A5" w:rsidRDefault="00B2058A" w:rsidP="009F6E4F">
      <w:pPr>
        <w:tabs>
          <w:tab w:val="left" w:pos="567"/>
        </w:tabs>
        <w:spacing w:after="0" w:line="240" w:lineRule="auto"/>
        <w:ind w:right="4"/>
        <w:jc w:val="both"/>
        <w:rPr>
          <w:rFonts w:ascii="Verdana" w:hAnsi="Verdana"/>
          <w:b/>
          <w:sz w:val="20"/>
          <w:szCs w:val="20"/>
          <w:lang w:val="es-ES_tradnl"/>
        </w:rPr>
      </w:pPr>
      <w:r w:rsidRPr="000412A5">
        <w:rPr>
          <w:rFonts w:ascii="Verdana" w:hAnsi="Verdana"/>
          <w:b/>
          <w:sz w:val="20"/>
          <w:szCs w:val="20"/>
          <w:lang w:val="es-ES_tradnl"/>
        </w:rPr>
        <w:t xml:space="preserve">POR TANTO: </w:t>
      </w:r>
    </w:p>
    <w:p w14:paraId="400C385D" w14:textId="77777777" w:rsidR="00B2058A" w:rsidRPr="000412A5" w:rsidRDefault="00B2058A" w:rsidP="009F6E4F">
      <w:pPr>
        <w:tabs>
          <w:tab w:val="left" w:pos="567"/>
        </w:tabs>
        <w:spacing w:after="0" w:line="240" w:lineRule="auto"/>
        <w:ind w:right="4"/>
        <w:jc w:val="both"/>
        <w:rPr>
          <w:rFonts w:ascii="Verdana" w:hAnsi="Verdana"/>
          <w:b/>
          <w:sz w:val="20"/>
          <w:szCs w:val="20"/>
          <w:lang w:val="es-ES_tradnl"/>
        </w:rPr>
      </w:pPr>
    </w:p>
    <w:p w14:paraId="2FDB2ED0" w14:textId="77777777" w:rsidR="00B2058A" w:rsidRPr="000412A5" w:rsidRDefault="00B2058A" w:rsidP="009F6E4F">
      <w:pPr>
        <w:tabs>
          <w:tab w:val="left" w:pos="567"/>
        </w:tabs>
        <w:spacing w:after="0" w:line="240" w:lineRule="auto"/>
        <w:ind w:right="4"/>
        <w:jc w:val="both"/>
        <w:rPr>
          <w:rFonts w:ascii="Verdana" w:hAnsi="Verdana"/>
          <w:b/>
          <w:sz w:val="20"/>
          <w:szCs w:val="20"/>
          <w:lang w:val="es-ES_tradnl"/>
        </w:rPr>
      </w:pPr>
      <w:r w:rsidRPr="000412A5">
        <w:rPr>
          <w:rFonts w:ascii="Verdana" w:hAnsi="Verdana"/>
          <w:b/>
          <w:sz w:val="20"/>
          <w:szCs w:val="20"/>
          <w:lang w:val="es-ES_tradnl"/>
        </w:rPr>
        <w:t xml:space="preserve">LA CORTE INTERAMERICANA DE DERECHOS HUMANOS, </w:t>
      </w:r>
    </w:p>
    <w:p w14:paraId="069FB20A" w14:textId="77777777" w:rsidR="00B2058A" w:rsidRPr="000412A5" w:rsidRDefault="00B2058A" w:rsidP="009F6E4F">
      <w:pPr>
        <w:tabs>
          <w:tab w:val="left" w:pos="567"/>
        </w:tabs>
        <w:spacing w:after="0" w:line="240" w:lineRule="auto"/>
        <w:ind w:right="4"/>
        <w:jc w:val="both"/>
        <w:rPr>
          <w:rFonts w:ascii="Verdana" w:hAnsi="Verdana"/>
          <w:sz w:val="20"/>
          <w:lang w:val="es-ES_tradnl"/>
        </w:rPr>
      </w:pPr>
    </w:p>
    <w:p w14:paraId="377DE042" w14:textId="77777777" w:rsidR="00B2058A" w:rsidRPr="000412A5" w:rsidRDefault="000C5904" w:rsidP="009F6E4F">
      <w:pPr>
        <w:tabs>
          <w:tab w:val="left" w:pos="567"/>
        </w:tabs>
        <w:spacing w:after="0" w:line="240" w:lineRule="auto"/>
        <w:ind w:right="4"/>
        <w:jc w:val="both"/>
        <w:rPr>
          <w:rFonts w:ascii="Verdana" w:hAnsi="Verdana"/>
          <w:sz w:val="20"/>
          <w:lang w:val="es-ES_tradnl"/>
        </w:rPr>
      </w:pPr>
      <w:proofErr w:type="gramStart"/>
      <w:r w:rsidRPr="000412A5">
        <w:rPr>
          <w:rFonts w:ascii="Verdana" w:hAnsi="Verdana"/>
          <w:sz w:val="20"/>
          <w:lang w:val="es-ES_tradnl"/>
        </w:rPr>
        <w:t>e</w:t>
      </w:r>
      <w:r w:rsidR="00B2058A" w:rsidRPr="000412A5">
        <w:rPr>
          <w:rFonts w:ascii="Verdana" w:hAnsi="Verdana"/>
          <w:sz w:val="20"/>
          <w:lang w:val="es-ES_tradnl"/>
        </w:rPr>
        <w:t>n</w:t>
      </w:r>
      <w:proofErr w:type="gramEnd"/>
      <w:r w:rsidR="00B2058A" w:rsidRPr="000412A5">
        <w:rPr>
          <w:rFonts w:ascii="Verdana" w:hAnsi="Verdana"/>
          <w:sz w:val="20"/>
          <w:lang w:val="es-ES_tradnl"/>
        </w:rPr>
        <w:t xml:space="preserve"> el ejercicio de sus atribuciones de supervisión del cumplimiento de sus decisiones, de conformidad con los artículos 33, 62.1, 62.3, 65, 67 y 68.1 de la Convención Americana sobre Derechos Humanos, 24, 25 y 30 del Estatuto y 31.2 y 69 de su Reglamento,</w:t>
      </w:r>
    </w:p>
    <w:p w14:paraId="73110769" w14:textId="77777777" w:rsidR="00B2058A" w:rsidRPr="000412A5" w:rsidRDefault="00B2058A" w:rsidP="009F6E4F">
      <w:pPr>
        <w:tabs>
          <w:tab w:val="left" w:pos="567"/>
        </w:tabs>
        <w:spacing w:after="0" w:line="240" w:lineRule="auto"/>
        <w:ind w:right="4"/>
        <w:jc w:val="both"/>
        <w:rPr>
          <w:rFonts w:ascii="Verdana" w:hAnsi="Verdana"/>
          <w:sz w:val="20"/>
          <w:lang w:val="es-ES_tradnl"/>
        </w:rPr>
      </w:pPr>
    </w:p>
    <w:p w14:paraId="6F563343" w14:textId="77777777" w:rsidR="00B2058A" w:rsidRPr="000412A5" w:rsidRDefault="00B2058A" w:rsidP="009F6E4F">
      <w:pPr>
        <w:tabs>
          <w:tab w:val="left" w:pos="567"/>
        </w:tabs>
        <w:spacing w:after="0" w:line="240" w:lineRule="auto"/>
        <w:ind w:right="4"/>
        <w:jc w:val="both"/>
        <w:rPr>
          <w:rFonts w:ascii="Verdana" w:hAnsi="Verdana"/>
          <w:b/>
          <w:sz w:val="20"/>
          <w:lang w:val="es-ES_tradnl"/>
        </w:rPr>
      </w:pPr>
      <w:r w:rsidRPr="000412A5">
        <w:rPr>
          <w:rFonts w:ascii="Verdana" w:hAnsi="Verdana"/>
          <w:b/>
          <w:sz w:val="20"/>
          <w:lang w:val="es-ES_tradnl"/>
        </w:rPr>
        <w:t>RESUELVE:</w:t>
      </w:r>
    </w:p>
    <w:p w14:paraId="58F995BD" w14:textId="77777777" w:rsidR="00B2058A" w:rsidRPr="000412A5" w:rsidRDefault="00B2058A" w:rsidP="009F6E4F">
      <w:pPr>
        <w:tabs>
          <w:tab w:val="left" w:pos="567"/>
        </w:tabs>
        <w:spacing w:after="0" w:line="240" w:lineRule="auto"/>
        <w:ind w:right="4"/>
        <w:jc w:val="both"/>
        <w:rPr>
          <w:rFonts w:ascii="Verdana" w:hAnsi="Verdana"/>
          <w:b/>
          <w:sz w:val="20"/>
          <w:lang w:val="es-ES_tradnl"/>
        </w:rPr>
      </w:pPr>
    </w:p>
    <w:p w14:paraId="79F24BFF" w14:textId="77777777" w:rsidR="00CD3706" w:rsidRPr="000412A5" w:rsidRDefault="00CD3706"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ES_tradnl"/>
        </w:rPr>
      </w:pPr>
      <w:r w:rsidRPr="000412A5">
        <w:rPr>
          <w:rFonts w:ascii="Verdana" w:hAnsi="Verdana"/>
          <w:sz w:val="20"/>
          <w:lang w:val="es-ES_tradnl"/>
        </w:rPr>
        <w:t>Declarar, de conformidad con lo señalado en la parte considerativa de la presente Resolución, que el Estado ha dado cumplimiento parcial a las medidas correspondientes a:</w:t>
      </w:r>
    </w:p>
    <w:p w14:paraId="5F5A7BC2" w14:textId="77777777" w:rsidR="00CD3706" w:rsidRPr="000412A5" w:rsidRDefault="0028235D" w:rsidP="00873226">
      <w:pPr>
        <w:pStyle w:val="ListParagraph"/>
        <w:tabs>
          <w:tab w:val="left" w:pos="567"/>
          <w:tab w:val="left" w:pos="3681"/>
        </w:tabs>
        <w:spacing w:after="0" w:line="240" w:lineRule="auto"/>
        <w:ind w:right="4"/>
        <w:jc w:val="both"/>
        <w:rPr>
          <w:rFonts w:ascii="Verdana" w:hAnsi="Verdana"/>
          <w:sz w:val="20"/>
          <w:lang w:val="es-ES_tradnl"/>
        </w:rPr>
      </w:pPr>
      <w:r w:rsidRPr="000412A5">
        <w:rPr>
          <w:rFonts w:ascii="Verdana" w:hAnsi="Verdana"/>
          <w:sz w:val="20"/>
          <w:lang w:val="es-ES_tradnl"/>
        </w:rPr>
        <w:lastRenderedPageBreak/>
        <w:tab/>
      </w:r>
    </w:p>
    <w:p w14:paraId="2D4AA0B6" w14:textId="7A502EBA" w:rsidR="00FF64C0" w:rsidRPr="000412A5" w:rsidRDefault="00FF64C0" w:rsidP="007D2268">
      <w:pPr>
        <w:pStyle w:val="ListParagraph"/>
        <w:numPr>
          <w:ilvl w:val="0"/>
          <w:numId w:val="9"/>
        </w:numPr>
        <w:tabs>
          <w:tab w:val="left" w:pos="567"/>
        </w:tabs>
        <w:spacing w:after="0" w:line="240" w:lineRule="auto"/>
        <w:ind w:right="4"/>
        <w:jc w:val="both"/>
        <w:rPr>
          <w:rFonts w:ascii="Verdana" w:hAnsi="Verdana"/>
          <w:sz w:val="20"/>
          <w:szCs w:val="20"/>
          <w:lang w:val="es-ES_tradnl"/>
        </w:rPr>
      </w:pPr>
      <w:r w:rsidRPr="000412A5">
        <w:rPr>
          <w:rFonts w:ascii="Verdana" w:hAnsi="Verdana"/>
          <w:sz w:val="20"/>
          <w:szCs w:val="20"/>
          <w:lang w:val="es-ES_tradnl"/>
        </w:rPr>
        <w:t xml:space="preserve">“realizar un audiovisual documental sobre los graves hechos cometidos en las masacres de El Mozote y lugares aledaños” </w:t>
      </w:r>
      <w:r w:rsidRPr="000412A5">
        <w:rPr>
          <w:rFonts w:ascii="Verdana" w:hAnsi="Verdana"/>
          <w:sz w:val="20"/>
          <w:lang w:val="es-ES_tradnl"/>
        </w:rPr>
        <w:t>(</w:t>
      </w:r>
      <w:r w:rsidRPr="000412A5">
        <w:rPr>
          <w:rFonts w:ascii="Verdana" w:hAnsi="Verdana"/>
          <w:i/>
          <w:sz w:val="20"/>
          <w:lang w:val="es-ES_tradnl"/>
        </w:rPr>
        <w:t>punto resolutivo d</w:t>
      </w:r>
      <w:r w:rsidR="003E6C13">
        <w:rPr>
          <w:rFonts w:ascii="Verdana" w:hAnsi="Verdana"/>
          <w:i/>
          <w:sz w:val="20"/>
          <w:lang w:val="es-ES_tradnl"/>
        </w:rPr>
        <w:t>é</w:t>
      </w:r>
      <w:r w:rsidRPr="000412A5">
        <w:rPr>
          <w:rFonts w:ascii="Verdana" w:hAnsi="Verdana"/>
          <w:i/>
          <w:sz w:val="20"/>
          <w:lang w:val="es-ES_tradnl"/>
        </w:rPr>
        <w:t>cimo</w:t>
      </w:r>
      <w:r w:rsidR="003E6C13">
        <w:rPr>
          <w:rFonts w:ascii="Verdana" w:hAnsi="Verdana"/>
          <w:i/>
          <w:sz w:val="20"/>
          <w:lang w:val="es-ES_tradnl"/>
        </w:rPr>
        <w:t xml:space="preserve"> </w:t>
      </w:r>
      <w:r w:rsidRPr="000412A5">
        <w:rPr>
          <w:rFonts w:ascii="Verdana" w:hAnsi="Verdana"/>
          <w:i/>
          <w:sz w:val="20"/>
          <w:lang w:val="es-ES_tradnl"/>
        </w:rPr>
        <w:t>primero de la Sentencia</w:t>
      </w:r>
      <w:r w:rsidRPr="000412A5">
        <w:rPr>
          <w:rFonts w:ascii="Verdana" w:hAnsi="Verdana"/>
          <w:sz w:val="20"/>
          <w:lang w:val="es-ES_tradnl"/>
        </w:rPr>
        <w:t>), en lo concerniente a la realización del documental audiovisual y su difusión en televisión nacional</w:t>
      </w:r>
      <w:r w:rsidR="003E6C13">
        <w:rPr>
          <w:rFonts w:ascii="Verdana" w:hAnsi="Verdana"/>
          <w:sz w:val="20"/>
          <w:lang w:val="es-ES_tradnl"/>
        </w:rPr>
        <w:t>, y</w:t>
      </w:r>
    </w:p>
    <w:p w14:paraId="23043ACA" w14:textId="711D7C25" w:rsidR="00B2058A" w:rsidRPr="000412A5" w:rsidRDefault="00CD3706" w:rsidP="007D2268">
      <w:pPr>
        <w:pStyle w:val="ListParagraph"/>
        <w:numPr>
          <w:ilvl w:val="0"/>
          <w:numId w:val="9"/>
        </w:numPr>
        <w:tabs>
          <w:tab w:val="left" w:pos="567"/>
        </w:tabs>
        <w:spacing w:after="0" w:line="240" w:lineRule="auto"/>
        <w:ind w:right="4"/>
        <w:jc w:val="both"/>
        <w:rPr>
          <w:rFonts w:ascii="Verdana" w:hAnsi="Verdana"/>
          <w:sz w:val="20"/>
          <w:szCs w:val="20"/>
          <w:lang w:val="es-ES_tradnl"/>
        </w:rPr>
      </w:pPr>
      <w:r w:rsidRPr="000412A5">
        <w:rPr>
          <w:rFonts w:ascii="Verdana" w:hAnsi="Verdana"/>
          <w:sz w:val="20"/>
          <w:lang w:val="es-ES_tradnl"/>
        </w:rPr>
        <w:t>“</w:t>
      </w:r>
      <w:r w:rsidR="00FF64C0" w:rsidRPr="000412A5">
        <w:rPr>
          <w:rFonts w:ascii="Verdana" w:hAnsi="Verdana"/>
          <w:sz w:val="20"/>
          <w:szCs w:val="20"/>
          <w:lang w:val="es-ES_tradnl"/>
        </w:rPr>
        <w:t>pagar las cantidades fijadas […] por concepto de indemnizaciones por daños materiales e inmateriales”</w:t>
      </w:r>
      <w:r w:rsidR="00FF64C0" w:rsidRPr="000412A5">
        <w:rPr>
          <w:rFonts w:ascii="Verdana" w:hAnsi="Verdana"/>
          <w:sz w:val="20"/>
          <w:lang w:val="es-ES_tradnl"/>
        </w:rPr>
        <w:t xml:space="preserve"> </w:t>
      </w:r>
      <w:r w:rsidRPr="000412A5">
        <w:rPr>
          <w:rFonts w:ascii="Verdana" w:hAnsi="Verdana"/>
          <w:sz w:val="20"/>
          <w:lang w:val="es-ES_tradnl"/>
        </w:rPr>
        <w:t>(</w:t>
      </w:r>
      <w:r w:rsidRPr="000412A5">
        <w:rPr>
          <w:rFonts w:ascii="Verdana" w:hAnsi="Verdana"/>
          <w:i/>
          <w:sz w:val="20"/>
          <w:lang w:val="es-ES_tradnl"/>
        </w:rPr>
        <w:t xml:space="preserve">punto resolutivo </w:t>
      </w:r>
      <w:r w:rsidR="00FF64C0" w:rsidRPr="000412A5">
        <w:rPr>
          <w:rFonts w:ascii="Verdana" w:hAnsi="Verdana"/>
          <w:i/>
          <w:sz w:val="20"/>
          <w:lang w:val="es-ES_tradnl"/>
        </w:rPr>
        <w:t>d</w:t>
      </w:r>
      <w:r w:rsidR="003E6C13">
        <w:rPr>
          <w:rFonts w:ascii="Verdana" w:hAnsi="Verdana"/>
          <w:i/>
          <w:sz w:val="20"/>
          <w:lang w:val="es-ES_tradnl"/>
        </w:rPr>
        <w:t>é</w:t>
      </w:r>
      <w:r w:rsidR="00FF64C0" w:rsidRPr="000412A5">
        <w:rPr>
          <w:rFonts w:ascii="Verdana" w:hAnsi="Verdana"/>
          <w:i/>
          <w:sz w:val="20"/>
          <w:lang w:val="es-ES_tradnl"/>
        </w:rPr>
        <w:t>cimo</w:t>
      </w:r>
      <w:r w:rsidR="003E6C13">
        <w:rPr>
          <w:rFonts w:ascii="Verdana" w:hAnsi="Verdana"/>
          <w:i/>
          <w:sz w:val="20"/>
          <w:lang w:val="es-ES_tradnl"/>
        </w:rPr>
        <w:t xml:space="preserve"> </w:t>
      </w:r>
      <w:r w:rsidR="00FF64C0" w:rsidRPr="000412A5">
        <w:rPr>
          <w:rFonts w:ascii="Verdana" w:hAnsi="Verdana"/>
          <w:i/>
          <w:sz w:val="20"/>
          <w:lang w:val="es-ES_tradnl"/>
        </w:rPr>
        <w:t>tercero</w:t>
      </w:r>
      <w:r w:rsidRPr="000412A5">
        <w:rPr>
          <w:rFonts w:ascii="Verdana" w:hAnsi="Verdana"/>
          <w:i/>
          <w:sz w:val="20"/>
          <w:lang w:val="es-ES_tradnl"/>
        </w:rPr>
        <w:t xml:space="preserve"> de la Sentencia</w:t>
      </w:r>
      <w:r w:rsidRPr="000412A5">
        <w:rPr>
          <w:rFonts w:ascii="Verdana" w:hAnsi="Verdana"/>
          <w:sz w:val="20"/>
          <w:lang w:val="es-ES_tradnl"/>
        </w:rPr>
        <w:t>)</w:t>
      </w:r>
      <w:r w:rsidR="00FF64C0" w:rsidRPr="000412A5">
        <w:rPr>
          <w:rFonts w:ascii="Verdana" w:hAnsi="Verdana"/>
          <w:sz w:val="20"/>
          <w:lang w:val="es-ES_tradnl"/>
        </w:rPr>
        <w:t xml:space="preserve"> en favor de 39 víctimas sobrevivientes y 114 familiares de víctimas ejecutadas</w:t>
      </w:r>
      <w:r w:rsidRPr="000412A5">
        <w:rPr>
          <w:rFonts w:ascii="Verdana" w:hAnsi="Verdana"/>
          <w:sz w:val="20"/>
          <w:lang w:val="es-ES_tradnl"/>
        </w:rPr>
        <w:t>.</w:t>
      </w:r>
      <w:r w:rsidR="009C0EA3" w:rsidRPr="000412A5">
        <w:rPr>
          <w:rFonts w:ascii="Verdana" w:hAnsi="Verdana"/>
          <w:sz w:val="20"/>
          <w:szCs w:val="20"/>
          <w:lang w:val="es-ES_tradnl"/>
        </w:rPr>
        <w:t xml:space="preserve"> </w:t>
      </w:r>
    </w:p>
    <w:p w14:paraId="74501499" w14:textId="77777777" w:rsidR="005D6102" w:rsidRPr="000412A5" w:rsidRDefault="005D6102" w:rsidP="005D6102">
      <w:pPr>
        <w:tabs>
          <w:tab w:val="left" w:pos="567"/>
        </w:tabs>
        <w:spacing w:after="0" w:line="240" w:lineRule="auto"/>
        <w:ind w:right="4"/>
        <w:jc w:val="both"/>
        <w:rPr>
          <w:rFonts w:ascii="Verdana" w:hAnsi="Verdana"/>
          <w:sz w:val="20"/>
          <w:szCs w:val="20"/>
          <w:lang w:val="es-ES_tradnl"/>
        </w:rPr>
      </w:pPr>
    </w:p>
    <w:p w14:paraId="3F331AC8" w14:textId="77777777" w:rsidR="006A37B5" w:rsidRPr="000412A5" w:rsidRDefault="006A37B5"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ES_tradnl"/>
        </w:rPr>
      </w:pPr>
      <w:bookmarkStart w:id="37" w:name="_Ref532391388"/>
      <w:r w:rsidRPr="000412A5">
        <w:rPr>
          <w:rFonts w:ascii="Verdana" w:hAnsi="Verdana"/>
          <w:sz w:val="20"/>
          <w:szCs w:val="20"/>
          <w:lang w:val="es-ES_tradnl"/>
        </w:rPr>
        <w:t xml:space="preserve">Mantener abierto el procedimiento de supervisión de cumplimiento de las </w:t>
      </w:r>
      <w:r w:rsidR="002C54AE" w:rsidRPr="000412A5">
        <w:rPr>
          <w:rFonts w:ascii="Verdana" w:hAnsi="Verdana"/>
          <w:sz w:val="20"/>
          <w:szCs w:val="20"/>
          <w:lang w:val="es-ES_tradnl"/>
        </w:rPr>
        <w:t>siguientes</w:t>
      </w:r>
      <w:r w:rsidRPr="000412A5">
        <w:rPr>
          <w:rFonts w:ascii="Verdana" w:hAnsi="Verdana"/>
          <w:sz w:val="20"/>
          <w:szCs w:val="20"/>
          <w:lang w:val="es-ES_tradnl"/>
        </w:rPr>
        <w:t xml:space="preserve"> medidas de reparación:</w:t>
      </w:r>
      <w:bookmarkEnd w:id="37"/>
      <w:r w:rsidRPr="000412A5">
        <w:rPr>
          <w:rFonts w:ascii="Verdana" w:hAnsi="Verdana"/>
          <w:sz w:val="20"/>
          <w:szCs w:val="20"/>
          <w:lang w:val="es-ES_tradnl"/>
        </w:rPr>
        <w:t xml:space="preserve"> </w:t>
      </w:r>
    </w:p>
    <w:p w14:paraId="26974565" w14:textId="77777777" w:rsidR="00EC62DC" w:rsidRPr="000412A5" w:rsidRDefault="00EC62DC" w:rsidP="00EC62DC">
      <w:pPr>
        <w:pStyle w:val="ListParagraph"/>
        <w:rPr>
          <w:rFonts w:ascii="Verdana" w:hAnsi="Verdana"/>
          <w:sz w:val="20"/>
          <w:szCs w:val="20"/>
          <w:lang w:val="es-ES_tradnl"/>
        </w:rPr>
      </w:pPr>
    </w:p>
    <w:p w14:paraId="144E0C42" w14:textId="77777777" w:rsidR="00EC62DC" w:rsidRPr="0027037C" w:rsidRDefault="00A47332" w:rsidP="007D2268">
      <w:pPr>
        <w:pStyle w:val="ListParagraph"/>
        <w:numPr>
          <w:ilvl w:val="0"/>
          <w:numId w:val="39"/>
        </w:numPr>
        <w:tabs>
          <w:tab w:val="left" w:pos="567"/>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c</w:t>
      </w:r>
      <w:r w:rsidR="00EC62DC" w:rsidRPr="0027037C">
        <w:rPr>
          <w:rFonts w:ascii="Verdana" w:hAnsi="Verdana"/>
          <w:sz w:val="20"/>
          <w:szCs w:val="20"/>
          <w:lang w:val="es-ES_tradnl"/>
        </w:rPr>
        <w:t>ontinuar con la plena puesta en funcionamiento del “Registro Único de Víctimas y Familiares de Víctimas de Graves Violaciones a los Derechos Humanos durante la Masacre de El Mozote” y adoptar las medidas necesarias para asegurar su permanencia en el tiempo y la asignación presupuestaria para su efectivo funcionamiento</w:t>
      </w:r>
      <w:r w:rsidR="001C775E" w:rsidRPr="0027037C">
        <w:rPr>
          <w:rFonts w:ascii="Verdana" w:hAnsi="Verdana"/>
          <w:sz w:val="20"/>
          <w:szCs w:val="20"/>
          <w:lang w:val="es-ES_tradnl"/>
        </w:rPr>
        <w:t xml:space="preserve"> </w:t>
      </w:r>
      <w:r w:rsidR="001C775E" w:rsidRPr="0027037C">
        <w:rPr>
          <w:rFonts w:ascii="Verdana" w:hAnsi="Verdana"/>
          <w:i/>
          <w:sz w:val="20"/>
          <w:szCs w:val="20"/>
          <w:lang w:val="es-ES_tradnl"/>
        </w:rPr>
        <w:t>(punto resolutivo segundo de la Sentencia)</w:t>
      </w:r>
      <w:r w:rsidR="001C775E" w:rsidRPr="00267CD6">
        <w:rPr>
          <w:rFonts w:ascii="Verdana" w:hAnsi="Verdana"/>
          <w:sz w:val="20"/>
          <w:szCs w:val="20"/>
          <w:lang w:val="es-ES_tradnl"/>
        </w:rPr>
        <w:t>;</w:t>
      </w:r>
    </w:p>
    <w:p w14:paraId="11390E48" w14:textId="77777777" w:rsidR="00FD54BD" w:rsidRPr="0027037C" w:rsidRDefault="00A47332" w:rsidP="007D2268">
      <w:pPr>
        <w:pStyle w:val="ListParagraph"/>
        <w:numPr>
          <w:ilvl w:val="0"/>
          <w:numId w:val="39"/>
        </w:numPr>
        <w:tabs>
          <w:tab w:val="left" w:pos="567"/>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i</w:t>
      </w:r>
      <w:r w:rsidR="00EC62DC" w:rsidRPr="0027037C">
        <w:rPr>
          <w:rFonts w:ascii="Verdana" w:hAnsi="Verdana"/>
          <w:sz w:val="20"/>
          <w:szCs w:val="20"/>
          <w:lang w:val="es-ES_tradnl"/>
        </w:rPr>
        <w:t>niciar, impulsar, reabrir, dirigir, continuar y concluir, según corresponda, con la mayor diligencia, las investigaciones de todos los hechos que originaron las violaciones declaradas en la presente Sentencia, con el propósito de identificar, juzgar y, en su caso, sancionar a los responsables</w:t>
      </w:r>
      <w:r w:rsidR="001C775E" w:rsidRPr="0027037C">
        <w:rPr>
          <w:rFonts w:ascii="Verdana" w:hAnsi="Verdana"/>
          <w:sz w:val="20"/>
          <w:szCs w:val="20"/>
          <w:lang w:val="es-ES_tradnl"/>
        </w:rPr>
        <w:t xml:space="preserve"> </w:t>
      </w:r>
      <w:r w:rsidR="001C775E" w:rsidRPr="0027037C">
        <w:rPr>
          <w:rFonts w:ascii="Verdana" w:hAnsi="Verdana"/>
          <w:i/>
          <w:sz w:val="20"/>
          <w:szCs w:val="20"/>
          <w:lang w:val="es-ES_tradnl"/>
        </w:rPr>
        <w:t>(punto resolutivo tercero de la Sentencia)</w:t>
      </w:r>
      <w:r w:rsidR="001C775E" w:rsidRPr="00267CD6">
        <w:rPr>
          <w:rFonts w:ascii="Verdana" w:hAnsi="Verdana"/>
          <w:sz w:val="20"/>
          <w:szCs w:val="20"/>
          <w:lang w:val="es-ES_tradnl"/>
        </w:rPr>
        <w:t>;</w:t>
      </w:r>
      <w:r w:rsidR="00EC62DC" w:rsidRPr="0027037C">
        <w:rPr>
          <w:rFonts w:ascii="Verdana" w:hAnsi="Verdana"/>
          <w:sz w:val="20"/>
          <w:szCs w:val="20"/>
          <w:lang w:val="es-ES_tradnl"/>
        </w:rPr>
        <w:t xml:space="preserve"> </w:t>
      </w:r>
    </w:p>
    <w:p w14:paraId="54E58C83" w14:textId="77777777" w:rsidR="00FD54BD" w:rsidRPr="0027037C" w:rsidRDefault="00FD54BD" w:rsidP="007D2268">
      <w:pPr>
        <w:pStyle w:val="ListParagraph"/>
        <w:numPr>
          <w:ilvl w:val="0"/>
          <w:numId w:val="39"/>
        </w:numPr>
        <w:tabs>
          <w:tab w:val="left" w:pos="567"/>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 xml:space="preserve"> </w:t>
      </w:r>
      <w:r w:rsidRPr="0027037C">
        <w:rPr>
          <w:rFonts w:ascii="Verdana" w:hAnsi="Verdana"/>
          <w:sz w:val="20"/>
          <w:szCs w:val="20"/>
          <w:lang w:val="es-ES_tradnl"/>
        </w:rPr>
        <w:tab/>
      </w:r>
      <w:r w:rsidR="00A47332" w:rsidRPr="0027037C">
        <w:rPr>
          <w:rFonts w:ascii="Verdana" w:hAnsi="Verdana"/>
          <w:sz w:val="20"/>
          <w:szCs w:val="20"/>
          <w:lang w:val="es-ES_tradnl"/>
        </w:rPr>
        <w:t>i</w:t>
      </w:r>
      <w:r w:rsidR="00EC62DC" w:rsidRPr="0027037C">
        <w:rPr>
          <w:rFonts w:ascii="Verdana" w:hAnsi="Verdana"/>
          <w:sz w:val="20"/>
          <w:szCs w:val="20"/>
          <w:lang w:val="es-ES_tradnl"/>
        </w:rPr>
        <w:t>nvestigar, por intermedio de las instituciones públicas competentes, la conducta de los funcionarios que obstaculizaron la investigación y permitieron que permaneciera en impunidad y, luego de un debido proceso, aplicar, si es el caso, las sanciones administrativas, disciplinarias o penales correspondientes a quienes f</w:t>
      </w:r>
      <w:r w:rsidR="001C775E" w:rsidRPr="0027037C">
        <w:rPr>
          <w:rFonts w:ascii="Verdana" w:hAnsi="Verdana"/>
          <w:sz w:val="20"/>
          <w:szCs w:val="20"/>
          <w:lang w:val="es-ES_tradnl"/>
        </w:rPr>
        <w:t xml:space="preserve">ueran encontrados responsables </w:t>
      </w:r>
      <w:r w:rsidR="001C775E" w:rsidRPr="0027037C">
        <w:rPr>
          <w:rFonts w:ascii="Verdana" w:hAnsi="Verdana"/>
          <w:i/>
          <w:sz w:val="20"/>
          <w:szCs w:val="20"/>
          <w:lang w:val="es-ES_tradnl"/>
        </w:rPr>
        <w:t xml:space="preserve">(punto resolutivo </w:t>
      </w:r>
      <w:r w:rsidR="004B4341" w:rsidRPr="0027037C">
        <w:rPr>
          <w:rFonts w:ascii="Verdana" w:hAnsi="Verdana"/>
          <w:i/>
          <w:sz w:val="20"/>
          <w:szCs w:val="20"/>
          <w:lang w:val="es-ES_tradnl"/>
        </w:rPr>
        <w:t>quinto de la Sent</w:t>
      </w:r>
      <w:r w:rsidR="001C775E" w:rsidRPr="0027037C">
        <w:rPr>
          <w:rFonts w:ascii="Verdana" w:hAnsi="Verdana"/>
          <w:i/>
          <w:sz w:val="20"/>
          <w:szCs w:val="20"/>
          <w:lang w:val="es-ES_tradnl"/>
        </w:rPr>
        <w:t>e</w:t>
      </w:r>
      <w:r w:rsidR="004B4341" w:rsidRPr="0027037C">
        <w:rPr>
          <w:rFonts w:ascii="Verdana" w:hAnsi="Verdana"/>
          <w:i/>
          <w:sz w:val="20"/>
          <w:szCs w:val="20"/>
          <w:lang w:val="es-ES_tradnl"/>
        </w:rPr>
        <w:t>n</w:t>
      </w:r>
      <w:r w:rsidR="001C775E" w:rsidRPr="0027037C">
        <w:rPr>
          <w:rFonts w:ascii="Verdana" w:hAnsi="Verdana"/>
          <w:i/>
          <w:sz w:val="20"/>
          <w:szCs w:val="20"/>
          <w:lang w:val="es-ES_tradnl"/>
        </w:rPr>
        <w:t>cia)</w:t>
      </w:r>
      <w:r w:rsidR="001C775E" w:rsidRPr="0027037C">
        <w:rPr>
          <w:rFonts w:ascii="Verdana" w:hAnsi="Verdana"/>
          <w:sz w:val="20"/>
          <w:szCs w:val="20"/>
          <w:lang w:val="es-ES_tradnl"/>
        </w:rPr>
        <w:t>;</w:t>
      </w:r>
    </w:p>
    <w:p w14:paraId="054C6BD0" w14:textId="77777777" w:rsidR="00FD54BD" w:rsidRPr="0027037C" w:rsidRDefault="00A47332" w:rsidP="007D2268">
      <w:pPr>
        <w:pStyle w:val="ListParagraph"/>
        <w:numPr>
          <w:ilvl w:val="0"/>
          <w:numId w:val="39"/>
        </w:numPr>
        <w:tabs>
          <w:tab w:val="left" w:pos="567"/>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l</w:t>
      </w:r>
      <w:r w:rsidR="00FD54BD" w:rsidRPr="0027037C">
        <w:rPr>
          <w:rFonts w:ascii="Verdana" w:hAnsi="Verdana"/>
          <w:sz w:val="20"/>
          <w:szCs w:val="20"/>
          <w:lang w:val="es-ES_tradnl"/>
        </w:rPr>
        <w:t>l</w:t>
      </w:r>
      <w:r w:rsidR="00EC62DC" w:rsidRPr="0027037C">
        <w:rPr>
          <w:rFonts w:ascii="Verdana" w:hAnsi="Verdana"/>
          <w:sz w:val="20"/>
          <w:szCs w:val="20"/>
          <w:lang w:val="es-ES_tradnl"/>
        </w:rPr>
        <w:t>evar a cabo un levantamiento de la información disponible sobre posibles sitios de inhumación o entierro a los cuales se deberá proteger para su preservación, a fin de que se inicien de manera sistemática y rigurosa, con los recursos humanos y económicos adecuados, las exhumaciones, identificación y, en su caso, entrega de los restos de las personas ejecutadas a sus familiares</w:t>
      </w:r>
      <w:r w:rsidR="00F85B84" w:rsidRPr="0027037C">
        <w:rPr>
          <w:rFonts w:ascii="Verdana" w:hAnsi="Verdana"/>
          <w:sz w:val="20"/>
          <w:szCs w:val="20"/>
          <w:lang w:val="es-ES_tradnl"/>
        </w:rPr>
        <w:t xml:space="preserve"> </w:t>
      </w:r>
      <w:r w:rsidR="00F85B84" w:rsidRPr="0027037C">
        <w:rPr>
          <w:rFonts w:ascii="Verdana" w:hAnsi="Verdana"/>
          <w:i/>
          <w:sz w:val="20"/>
          <w:szCs w:val="20"/>
          <w:lang w:val="es-ES_tradnl"/>
        </w:rPr>
        <w:t>(punto resolutivo sexto de la Sentencia)</w:t>
      </w:r>
      <w:r w:rsidR="00F85B84" w:rsidRPr="00267CD6">
        <w:rPr>
          <w:rFonts w:ascii="Verdana" w:hAnsi="Verdana"/>
          <w:sz w:val="20"/>
          <w:szCs w:val="20"/>
          <w:lang w:val="es-ES_tradnl"/>
        </w:rPr>
        <w:t>;</w:t>
      </w:r>
      <w:r w:rsidR="00EC62DC" w:rsidRPr="0027037C">
        <w:rPr>
          <w:rFonts w:ascii="Verdana" w:hAnsi="Verdana"/>
          <w:sz w:val="20"/>
          <w:szCs w:val="20"/>
          <w:lang w:val="es-ES_tradnl"/>
        </w:rPr>
        <w:t xml:space="preserve"> </w:t>
      </w:r>
    </w:p>
    <w:p w14:paraId="5FD0C574" w14:textId="77777777" w:rsidR="00FD54BD" w:rsidRPr="0027037C" w:rsidRDefault="00A47332" w:rsidP="007D2268">
      <w:pPr>
        <w:pStyle w:val="ListParagraph"/>
        <w:numPr>
          <w:ilvl w:val="0"/>
          <w:numId w:val="39"/>
        </w:numPr>
        <w:tabs>
          <w:tab w:val="left" w:pos="567"/>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i</w:t>
      </w:r>
      <w:r w:rsidR="00EC62DC" w:rsidRPr="0027037C">
        <w:rPr>
          <w:rFonts w:ascii="Verdana" w:hAnsi="Verdana"/>
          <w:sz w:val="20"/>
          <w:szCs w:val="20"/>
          <w:lang w:val="es-ES_tradnl"/>
        </w:rPr>
        <w:t>mplementar un programa de desarrollo a favor de las comunidades del caserío El Mozote, del cantón La Joya, de los caseríos Ranchería, Los Toriles y Jocote Amarillo, y del cantón Cerro</w:t>
      </w:r>
      <w:r w:rsidR="00F85B84" w:rsidRPr="0027037C">
        <w:rPr>
          <w:rFonts w:ascii="Verdana" w:hAnsi="Verdana"/>
          <w:sz w:val="20"/>
          <w:szCs w:val="20"/>
          <w:lang w:val="es-ES_tradnl"/>
        </w:rPr>
        <w:t xml:space="preserve"> Pando </w:t>
      </w:r>
      <w:r w:rsidR="00F85B84" w:rsidRPr="0027037C">
        <w:rPr>
          <w:rFonts w:ascii="Verdana" w:hAnsi="Verdana"/>
          <w:i/>
          <w:sz w:val="20"/>
          <w:szCs w:val="20"/>
          <w:lang w:val="es-ES_tradnl"/>
        </w:rPr>
        <w:t>(punto resolutivo séptimo de la Sentencia)</w:t>
      </w:r>
      <w:r w:rsidR="00F85B84" w:rsidRPr="00267CD6">
        <w:rPr>
          <w:rFonts w:ascii="Verdana" w:hAnsi="Verdana"/>
          <w:sz w:val="20"/>
          <w:szCs w:val="20"/>
          <w:lang w:val="es-ES_tradnl"/>
        </w:rPr>
        <w:t>;</w:t>
      </w:r>
    </w:p>
    <w:p w14:paraId="6733EA80" w14:textId="77777777" w:rsidR="00FD54BD" w:rsidRPr="0027037C" w:rsidRDefault="00A47332" w:rsidP="007D2268">
      <w:pPr>
        <w:pStyle w:val="ListParagraph"/>
        <w:numPr>
          <w:ilvl w:val="0"/>
          <w:numId w:val="39"/>
        </w:numPr>
        <w:tabs>
          <w:tab w:val="left" w:pos="720"/>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g</w:t>
      </w:r>
      <w:r w:rsidR="00EC62DC" w:rsidRPr="0027037C">
        <w:rPr>
          <w:rFonts w:ascii="Verdana" w:hAnsi="Verdana"/>
          <w:sz w:val="20"/>
          <w:szCs w:val="20"/>
          <w:lang w:val="es-ES_tradnl"/>
        </w:rPr>
        <w:t>arantizar las condiciones adecuadas a fin de que las víctimas desplazadas puedan retornar a sus comunidades de origen de manera permanente, si así lo desean, así como implementar un programa habitacional en las zonas afectadas por las masacres del presente caso</w:t>
      </w:r>
      <w:r w:rsidR="00F85B84" w:rsidRPr="0027037C">
        <w:rPr>
          <w:rFonts w:ascii="Verdana" w:hAnsi="Verdana"/>
          <w:sz w:val="20"/>
          <w:szCs w:val="20"/>
          <w:lang w:val="es-ES_tradnl"/>
        </w:rPr>
        <w:t xml:space="preserve"> </w:t>
      </w:r>
      <w:r w:rsidR="00F85B84" w:rsidRPr="0027037C">
        <w:rPr>
          <w:rFonts w:ascii="Verdana" w:hAnsi="Verdana"/>
          <w:i/>
          <w:sz w:val="20"/>
          <w:szCs w:val="20"/>
          <w:lang w:val="es-ES_tradnl"/>
        </w:rPr>
        <w:t>(punto resolutivo octavo de la Sentencia)</w:t>
      </w:r>
      <w:r w:rsidR="00F85B84" w:rsidRPr="00267CD6">
        <w:rPr>
          <w:rFonts w:ascii="Verdana" w:hAnsi="Verdana"/>
          <w:sz w:val="20"/>
          <w:szCs w:val="20"/>
          <w:lang w:val="es-ES_tradnl"/>
        </w:rPr>
        <w:t>;</w:t>
      </w:r>
      <w:r w:rsidR="00EC62DC" w:rsidRPr="0027037C">
        <w:rPr>
          <w:rFonts w:ascii="Verdana" w:hAnsi="Verdana"/>
          <w:sz w:val="20"/>
          <w:szCs w:val="20"/>
          <w:lang w:val="es-ES_tradnl"/>
        </w:rPr>
        <w:t xml:space="preserve"> </w:t>
      </w:r>
    </w:p>
    <w:p w14:paraId="4DB817E7" w14:textId="77777777" w:rsidR="00FD54BD" w:rsidRPr="0027037C" w:rsidRDefault="00A47332" w:rsidP="007D2268">
      <w:pPr>
        <w:pStyle w:val="ListParagraph"/>
        <w:numPr>
          <w:ilvl w:val="0"/>
          <w:numId w:val="39"/>
        </w:numPr>
        <w:tabs>
          <w:tab w:val="left" w:pos="720"/>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i</w:t>
      </w:r>
      <w:r w:rsidR="00EC62DC" w:rsidRPr="0027037C">
        <w:rPr>
          <w:rFonts w:ascii="Verdana" w:hAnsi="Verdana"/>
          <w:sz w:val="20"/>
          <w:szCs w:val="20"/>
          <w:lang w:val="es-ES_tradnl"/>
        </w:rPr>
        <w:t>mplementar un programa de atención y tratamiento integral de la salud física, psíquica y psicosocial con carácter permanente</w:t>
      </w:r>
      <w:r w:rsidR="00F85B84" w:rsidRPr="0027037C">
        <w:rPr>
          <w:rFonts w:ascii="Verdana" w:hAnsi="Verdana"/>
          <w:sz w:val="20"/>
          <w:szCs w:val="20"/>
          <w:lang w:val="es-ES_tradnl"/>
        </w:rPr>
        <w:t xml:space="preserve"> </w:t>
      </w:r>
      <w:r w:rsidR="00F85B84" w:rsidRPr="0027037C">
        <w:rPr>
          <w:rFonts w:ascii="Verdana" w:hAnsi="Verdana"/>
          <w:i/>
          <w:sz w:val="20"/>
          <w:szCs w:val="20"/>
          <w:lang w:val="es-ES_tradnl"/>
        </w:rPr>
        <w:t>(punto resolutivo noveno de la Sentencia)</w:t>
      </w:r>
      <w:r w:rsidR="00FD54BD" w:rsidRPr="00267CD6">
        <w:rPr>
          <w:rFonts w:ascii="Verdana" w:hAnsi="Verdana"/>
          <w:i/>
          <w:sz w:val="20"/>
          <w:szCs w:val="20"/>
          <w:lang w:val="es-ES_tradnl"/>
        </w:rPr>
        <w:t>;</w:t>
      </w:r>
      <w:r w:rsidR="00FD54BD" w:rsidRPr="0027037C">
        <w:rPr>
          <w:rFonts w:ascii="Verdana" w:hAnsi="Verdana"/>
          <w:sz w:val="20"/>
          <w:szCs w:val="20"/>
          <w:lang w:val="es-ES_tradnl"/>
        </w:rPr>
        <w:t xml:space="preserve"> </w:t>
      </w:r>
    </w:p>
    <w:p w14:paraId="2A79C5DF" w14:textId="13308AE9" w:rsidR="00FD54BD" w:rsidRPr="0027037C" w:rsidRDefault="00330B32" w:rsidP="007D2268">
      <w:pPr>
        <w:pStyle w:val="ListParagraph"/>
        <w:numPr>
          <w:ilvl w:val="0"/>
          <w:numId w:val="39"/>
        </w:numPr>
        <w:tabs>
          <w:tab w:val="left" w:pos="720"/>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difundir</w:t>
      </w:r>
      <w:r w:rsidR="00EC62DC" w:rsidRPr="0027037C">
        <w:rPr>
          <w:rFonts w:ascii="Verdana" w:hAnsi="Verdana"/>
          <w:sz w:val="20"/>
          <w:szCs w:val="20"/>
          <w:lang w:val="es-ES_tradnl"/>
        </w:rPr>
        <w:t xml:space="preserve"> </w:t>
      </w:r>
      <w:r w:rsidRPr="0027037C">
        <w:rPr>
          <w:rFonts w:ascii="Verdana" w:hAnsi="Verdana"/>
          <w:sz w:val="20"/>
          <w:szCs w:val="20"/>
          <w:lang w:val="es-ES_tradnl"/>
        </w:rPr>
        <w:t>el</w:t>
      </w:r>
      <w:r w:rsidR="00EC62DC" w:rsidRPr="0027037C">
        <w:rPr>
          <w:rFonts w:ascii="Verdana" w:hAnsi="Verdana"/>
          <w:sz w:val="20"/>
          <w:szCs w:val="20"/>
          <w:lang w:val="es-ES_tradnl"/>
        </w:rPr>
        <w:t xml:space="preserve"> audiovisual documental sobre los graves hechos cometidos en las masacres d</w:t>
      </w:r>
      <w:r w:rsidR="00F85B84" w:rsidRPr="0027037C">
        <w:rPr>
          <w:rFonts w:ascii="Verdana" w:hAnsi="Verdana"/>
          <w:sz w:val="20"/>
          <w:szCs w:val="20"/>
          <w:lang w:val="es-ES_tradnl"/>
        </w:rPr>
        <w:t xml:space="preserve">e El Mozote y lugares aledaños </w:t>
      </w:r>
      <w:r w:rsidR="00F85B84" w:rsidRPr="0027037C">
        <w:rPr>
          <w:rFonts w:ascii="Verdana" w:hAnsi="Verdana"/>
          <w:i/>
          <w:sz w:val="20"/>
          <w:szCs w:val="20"/>
          <w:lang w:val="es-ES_tradnl"/>
        </w:rPr>
        <w:t>(punto resolutivo d</w:t>
      </w:r>
      <w:r w:rsidR="00D36304">
        <w:rPr>
          <w:rFonts w:ascii="Verdana" w:hAnsi="Verdana"/>
          <w:i/>
          <w:sz w:val="20"/>
          <w:szCs w:val="20"/>
          <w:lang w:val="es-ES_tradnl"/>
        </w:rPr>
        <w:t>é</w:t>
      </w:r>
      <w:r w:rsidR="00F85B84" w:rsidRPr="0027037C">
        <w:rPr>
          <w:rFonts w:ascii="Verdana" w:hAnsi="Verdana"/>
          <w:i/>
          <w:sz w:val="20"/>
          <w:szCs w:val="20"/>
          <w:lang w:val="es-ES_tradnl"/>
        </w:rPr>
        <w:t>cimo</w:t>
      </w:r>
      <w:r w:rsidR="00D36304">
        <w:rPr>
          <w:rFonts w:ascii="Verdana" w:hAnsi="Verdana"/>
          <w:i/>
          <w:sz w:val="20"/>
          <w:szCs w:val="20"/>
          <w:lang w:val="es-ES_tradnl"/>
        </w:rPr>
        <w:t xml:space="preserve"> </w:t>
      </w:r>
      <w:r w:rsidR="00F85B84" w:rsidRPr="0027037C">
        <w:rPr>
          <w:rFonts w:ascii="Verdana" w:hAnsi="Verdana"/>
          <w:i/>
          <w:sz w:val="20"/>
          <w:szCs w:val="20"/>
          <w:lang w:val="es-ES_tradnl"/>
        </w:rPr>
        <w:t>primero de la Sentencia)</w:t>
      </w:r>
      <w:r w:rsidR="00E61A84" w:rsidRPr="0027037C">
        <w:rPr>
          <w:rFonts w:ascii="Verdana" w:hAnsi="Verdana"/>
          <w:sz w:val="20"/>
          <w:szCs w:val="20"/>
          <w:lang w:val="es-ES_tradnl"/>
        </w:rPr>
        <w:t>, y su inclusión en la página web de las Fuerzas Armadas de El Salvador</w:t>
      </w:r>
      <w:r w:rsidR="00F85B84" w:rsidRPr="00267CD6">
        <w:rPr>
          <w:rFonts w:ascii="Verdana" w:hAnsi="Verdana"/>
          <w:sz w:val="20"/>
          <w:szCs w:val="20"/>
          <w:lang w:val="es-ES_tradnl"/>
        </w:rPr>
        <w:t>;</w:t>
      </w:r>
      <w:r w:rsidR="00FF3B5F" w:rsidRPr="0027037C">
        <w:rPr>
          <w:rFonts w:ascii="Verdana" w:hAnsi="Verdana"/>
          <w:i/>
          <w:sz w:val="20"/>
          <w:szCs w:val="20"/>
          <w:lang w:val="es-ES_tradnl"/>
        </w:rPr>
        <w:t xml:space="preserve"> </w:t>
      </w:r>
    </w:p>
    <w:p w14:paraId="1CA8C465" w14:textId="694BFCE1" w:rsidR="006A37B5" w:rsidRPr="0027037C" w:rsidRDefault="00A47332" w:rsidP="007D2268">
      <w:pPr>
        <w:pStyle w:val="ListParagraph"/>
        <w:numPr>
          <w:ilvl w:val="0"/>
          <w:numId w:val="39"/>
        </w:numPr>
        <w:tabs>
          <w:tab w:val="left" w:pos="720"/>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i</w:t>
      </w:r>
      <w:r w:rsidR="00EC62DC" w:rsidRPr="0027037C">
        <w:rPr>
          <w:rFonts w:ascii="Verdana" w:hAnsi="Verdana"/>
          <w:sz w:val="20"/>
          <w:szCs w:val="20"/>
          <w:lang w:val="es-ES_tradnl"/>
        </w:rPr>
        <w:t>mplementar un programa o curso permanente y obligatorio sobre derechos humanos, incluyendo la perspectiva de género y niñez, dirigido a todos los niveles jerárquicos de la Fuerza Armada de la República de El Salvador</w:t>
      </w:r>
      <w:r w:rsidR="00F85B84" w:rsidRPr="0027037C">
        <w:rPr>
          <w:rFonts w:ascii="Verdana" w:hAnsi="Verdana"/>
          <w:sz w:val="20"/>
          <w:szCs w:val="20"/>
          <w:lang w:val="es-ES_tradnl"/>
        </w:rPr>
        <w:t xml:space="preserve"> </w:t>
      </w:r>
      <w:r w:rsidR="00F85B84" w:rsidRPr="0027037C">
        <w:rPr>
          <w:rFonts w:ascii="Verdana" w:hAnsi="Verdana"/>
          <w:i/>
          <w:sz w:val="20"/>
          <w:szCs w:val="20"/>
          <w:lang w:val="es-ES_tradnl"/>
        </w:rPr>
        <w:t>(punto resolutivo d</w:t>
      </w:r>
      <w:r w:rsidR="00D36304">
        <w:rPr>
          <w:rFonts w:ascii="Verdana" w:hAnsi="Verdana"/>
          <w:i/>
          <w:sz w:val="20"/>
          <w:szCs w:val="20"/>
          <w:lang w:val="es-ES_tradnl"/>
        </w:rPr>
        <w:t>é</w:t>
      </w:r>
      <w:r w:rsidR="00F85B84" w:rsidRPr="0027037C">
        <w:rPr>
          <w:rFonts w:ascii="Verdana" w:hAnsi="Verdana"/>
          <w:i/>
          <w:sz w:val="20"/>
          <w:szCs w:val="20"/>
          <w:lang w:val="es-ES_tradnl"/>
        </w:rPr>
        <w:t>cimo</w:t>
      </w:r>
      <w:r w:rsidR="00D36304">
        <w:rPr>
          <w:rFonts w:ascii="Verdana" w:hAnsi="Verdana"/>
          <w:i/>
          <w:sz w:val="20"/>
          <w:szCs w:val="20"/>
          <w:lang w:val="es-ES_tradnl"/>
        </w:rPr>
        <w:t xml:space="preserve"> </w:t>
      </w:r>
      <w:r w:rsidR="00F85B84" w:rsidRPr="0027037C">
        <w:rPr>
          <w:rFonts w:ascii="Verdana" w:hAnsi="Verdana"/>
          <w:i/>
          <w:sz w:val="20"/>
          <w:szCs w:val="20"/>
          <w:lang w:val="es-ES_tradnl"/>
        </w:rPr>
        <w:t>segundo de la Sentencia)</w:t>
      </w:r>
      <w:r w:rsidR="003E6C13">
        <w:rPr>
          <w:rFonts w:ascii="Verdana" w:hAnsi="Verdana"/>
          <w:sz w:val="20"/>
          <w:szCs w:val="20"/>
          <w:lang w:val="es-ES_tradnl"/>
        </w:rPr>
        <w:t>,</w:t>
      </w:r>
      <w:r w:rsidR="00FF3B5F" w:rsidRPr="0027037C">
        <w:rPr>
          <w:rFonts w:ascii="Verdana" w:hAnsi="Verdana"/>
          <w:sz w:val="20"/>
          <w:szCs w:val="20"/>
          <w:lang w:val="es-ES_tradnl"/>
        </w:rPr>
        <w:t xml:space="preserve"> y</w:t>
      </w:r>
    </w:p>
    <w:p w14:paraId="11831C01" w14:textId="2A384756" w:rsidR="00FF3B5F" w:rsidRPr="0027037C" w:rsidRDefault="00FF3B5F" w:rsidP="007D2268">
      <w:pPr>
        <w:pStyle w:val="ListParagraph"/>
        <w:numPr>
          <w:ilvl w:val="0"/>
          <w:numId w:val="39"/>
        </w:numPr>
        <w:tabs>
          <w:tab w:val="left" w:pos="720"/>
        </w:tabs>
        <w:spacing w:after="0" w:line="240" w:lineRule="auto"/>
        <w:ind w:right="4"/>
        <w:jc w:val="both"/>
        <w:rPr>
          <w:rFonts w:ascii="Verdana" w:hAnsi="Verdana"/>
          <w:sz w:val="20"/>
          <w:szCs w:val="20"/>
          <w:lang w:val="es-ES_tradnl"/>
        </w:rPr>
      </w:pPr>
      <w:r w:rsidRPr="0027037C">
        <w:rPr>
          <w:rFonts w:ascii="Verdana" w:hAnsi="Verdana"/>
          <w:sz w:val="20"/>
          <w:szCs w:val="20"/>
          <w:lang w:val="es-ES_tradnl"/>
        </w:rPr>
        <w:t xml:space="preserve">pagar las cantidades fijadas por concepto de indemnizaciones por daños materiales e inmateriales </w:t>
      </w:r>
      <w:r w:rsidRPr="0027037C">
        <w:rPr>
          <w:rFonts w:ascii="Verdana" w:hAnsi="Verdana"/>
          <w:i/>
          <w:sz w:val="20"/>
          <w:szCs w:val="20"/>
          <w:lang w:val="es-ES_tradnl"/>
        </w:rPr>
        <w:t>(punto resolutivo d</w:t>
      </w:r>
      <w:r w:rsidR="00EA7DAF">
        <w:rPr>
          <w:rFonts w:ascii="Verdana" w:hAnsi="Verdana"/>
          <w:i/>
          <w:sz w:val="20"/>
          <w:szCs w:val="20"/>
          <w:lang w:val="es-ES_tradnl"/>
        </w:rPr>
        <w:t>é</w:t>
      </w:r>
      <w:r w:rsidRPr="0027037C">
        <w:rPr>
          <w:rFonts w:ascii="Verdana" w:hAnsi="Verdana"/>
          <w:i/>
          <w:sz w:val="20"/>
          <w:szCs w:val="20"/>
          <w:lang w:val="es-ES_tradnl"/>
        </w:rPr>
        <w:t>cimo</w:t>
      </w:r>
      <w:r w:rsidR="00EA7DAF">
        <w:rPr>
          <w:rFonts w:ascii="Verdana" w:hAnsi="Verdana"/>
          <w:i/>
          <w:sz w:val="20"/>
          <w:szCs w:val="20"/>
          <w:lang w:val="es-ES_tradnl"/>
        </w:rPr>
        <w:t xml:space="preserve"> </w:t>
      </w:r>
      <w:r w:rsidRPr="0027037C">
        <w:rPr>
          <w:rFonts w:ascii="Verdana" w:hAnsi="Verdana"/>
          <w:i/>
          <w:sz w:val="20"/>
          <w:szCs w:val="20"/>
          <w:lang w:val="es-ES_tradnl"/>
        </w:rPr>
        <w:t>tercero de la Sentencia)</w:t>
      </w:r>
      <w:r w:rsidR="00E61A84" w:rsidRPr="0027037C">
        <w:rPr>
          <w:rFonts w:ascii="Verdana" w:hAnsi="Verdana"/>
          <w:i/>
          <w:sz w:val="20"/>
          <w:szCs w:val="20"/>
          <w:lang w:val="es-ES_tradnl"/>
        </w:rPr>
        <w:t xml:space="preserve">, </w:t>
      </w:r>
      <w:r w:rsidR="003263B3">
        <w:rPr>
          <w:rFonts w:ascii="Verdana" w:hAnsi="Verdana"/>
          <w:sz w:val="20"/>
          <w:szCs w:val="20"/>
          <w:lang w:val="es-ES_tradnl"/>
        </w:rPr>
        <w:t xml:space="preserve">a favor de </w:t>
      </w:r>
      <w:r w:rsidR="00907CC5" w:rsidRPr="00267CD6">
        <w:rPr>
          <w:rFonts w:ascii="Verdana" w:hAnsi="Verdana"/>
          <w:sz w:val="20"/>
          <w:szCs w:val="20"/>
          <w:lang w:val="es-ES_tradnl"/>
        </w:rPr>
        <w:t xml:space="preserve">las demás </w:t>
      </w:r>
      <w:r w:rsidR="00907CC5" w:rsidRPr="00267CD6">
        <w:rPr>
          <w:rFonts w:ascii="Verdana" w:hAnsi="Verdana"/>
          <w:sz w:val="20"/>
          <w:szCs w:val="20"/>
          <w:lang w:val="es-ES_tradnl"/>
        </w:rPr>
        <w:lastRenderedPageBreak/>
        <w:t xml:space="preserve">personas identificadas como víctimas en el Registro único de víctimas de las Masacres de </w:t>
      </w:r>
      <w:r w:rsidR="00EA7DAF">
        <w:rPr>
          <w:rFonts w:ascii="Verdana" w:hAnsi="Verdana"/>
          <w:sz w:val="20"/>
          <w:szCs w:val="20"/>
          <w:lang w:val="es-ES_tradnl"/>
        </w:rPr>
        <w:t>E</w:t>
      </w:r>
      <w:r w:rsidR="00907CC5" w:rsidRPr="00267CD6">
        <w:rPr>
          <w:rFonts w:ascii="Verdana" w:hAnsi="Verdana"/>
          <w:sz w:val="20"/>
          <w:szCs w:val="20"/>
          <w:lang w:val="es-ES_tradnl"/>
        </w:rPr>
        <w:t>l Mozote y lugares aledaños</w:t>
      </w:r>
      <w:r w:rsidR="00A6389D" w:rsidRPr="003E6C13">
        <w:rPr>
          <w:rFonts w:ascii="Verdana" w:hAnsi="Verdana"/>
          <w:i/>
          <w:sz w:val="20"/>
          <w:szCs w:val="20"/>
          <w:lang w:val="es-ES_tradnl"/>
        </w:rPr>
        <w:t>.</w:t>
      </w:r>
    </w:p>
    <w:p w14:paraId="6DD60683" w14:textId="77777777" w:rsidR="00C73B45" w:rsidRPr="000412A5" w:rsidRDefault="00C73B45" w:rsidP="00C73B45">
      <w:pPr>
        <w:tabs>
          <w:tab w:val="left" w:pos="720"/>
        </w:tabs>
        <w:spacing w:after="0" w:line="240" w:lineRule="auto"/>
        <w:ind w:right="4"/>
        <w:jc w:val="both"/>
        <w:rPr>
          <w:rFonts w:ascii="Verdana" w:hAnsi="Verdana"/>
          <w:sz w:val="20"/>
          <w:szCs w:val="20"/>
          <w:lang w:val="es-ES_tradnl"/>
        </w:rPr>
      </w:pPr>
    </w:p>
    <w:p w14:paraId="46C4B99D" w14:textId="0F7AE06C" w:rsidR="005D6102" w:rsidRPr="000412A5" w:rsidRDefault="005D6102"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 xml:space="preserve">Disponer que el Estado de El Salvador presente a la Corte Interamericana de Derechos Humanos, a más tardar el </w:t>
      </w:r>
      <w:r w:rsidR="00267CD6">
        <w:rPr>
          <w:rFonts w:ascii="Verdana" w:hAnsi="Verdana"/>
          <w:sz w:val="20"/>
          <w:szCs w:val="20"/>
          <w:lang w:val="es-ES_tradnl"/>
        </w:rPr>
        <w:t>12</w:t>
      </w:r>
      <w:r w:rsidRPr="000412A5">
        <w:rPr>
          <w:rFonts w:ascii="Verdana" w:hAnsi="Verdana"/>
          <w:sz w:val="20"/>
          <w:szCs w:val="20"/>
          <w:lang w:val="es-ES_tradnl"/>
        </w:rPr>
        <w:t xml:space="preserve"> de </w:t>
      </w:r>
      <w:r w:rsidR="00267CD6">
        <w:rPr>
          <w:rFonts w:ascii="Verdana" w:hAnsi="Verdana"/>
          <w:sz w:val="20"/>
          <w:szCs w:val="20"/>
          <w:lang w:val="es-ES_tradnl"/>
        </w:rPr>
        <w:t>abril</w:t>
      </w:r>
      <w:r w:rsidRPr="000412A5">
        <w:rPr>
          <w:rFonts w:ascii="Verdana" w:hAnsi="Verdana"/>
          <w:sz w:val="20"/>
          <w:szCs w:val="20"/>
          <w:lang w:val="es-ES_tradnl"/>
        </w:rPr>
        <w:t xml:space="preserve"> de 201</w:t>
      </w:r>
      <w:r w:rsidR="0027037C">
        <w:rPr>
          <w:rFonts w:ascii="Verdana" w:hAnsi="Verdana"/>
          <w:sz w:val="20"/>
          <w:szCs w:val="20"/>
          <w:lang w:val="es-ES_tradnl"/>
        </w:rPr>
        <w:t>9</w:t>
      </w:r>
      <w:r w:rsidRPr="000412A5">
        <w:rPr>
          <w:rFonts w:ascii="Verdana" w:hAnsi="Verdana"/>
          <w:sz w:val="20"/>
          <w:szCs w:val="20"/>
          <w:lang w:val="es-ES_tradnl"/>
        </w:rPr>
        <w:t xml:space="preserve">, un informe en el cual haga referencia </w:t>
      </w:r>
      <w:r w:rsidR="006A37B5" w:rsidRPr="000412A5">
        <w:rPr>
          <w:rFonts w:ascii="Verdana" w:hAnsi="Verdana"/>
          <w:sz w:val="20"/>
          <w:szCs w:val="20"/>
          <w:lang w:val="es-ES_tradnl"/>
        </w:rPr>
        <w:t xml:space="preserve">a las medidas de reparación </w:t>
      </w:r>
      <w:r w:rsidR="00DD4DDD">
        <w:rPr>
          <w:rFonts w:ascii="Verdana" w:hAnsi="Verdana"/>
          <w:sz w:val="20"/>
          <w:szCs w:val="20"/>
          <w:lang w:val="es-ES_tradnl"/>
        </w:rPr>
        <w:t>supervisadas en la presente Resolución</w:t>
      </w:r>
      <w:r w:rsidR="006A37B5" w:rsidRPr="000412A5">
        <w:rPr>
          <w:rFonts w:ascii="Verdana" w:hAnsi="Verdana"/>
          <w:sz w:val="20"/>
          <w:szCs w:val="20"/>
          <w:lang w:val="es-ES_tradnl"/>
        </w:rPr>
        <w:t xml:space="preserve">. </w:t>
      </w:r>
    </w:p>
    <w:p w14:paraId="041196C7" w14:textId="77777777" w:rsidR="005D6102" w:rsidRPr="000412A5" w:rsidRDefault="005D6102" w:rsidP="005D6102">
      <w:pPr>
        <w:tabs>
          <w:tab w:val="left" w:pos="567"/>
        </w:tabs>
        <w:spacing w:after="0" w:line="240" w:lineRule="auto"/>
        <w:ind w:right="4"/>
        <w:jc w:val="both"/>
        <w:rPr>
          <w:rFonts w:ascii="Verdana" w:hAnsi="Verdana"/>
          <w:sz w:val="20"/>
          <w:szCs w:val="20"/>
          <w:lang w:val="es-ES_tradnl"/>
        </w:rPr>
      </w:pPr>
    </w:p>
    <w:p w14:paraId="31D2027F" w14:textId="77777777" w:rsidR="005D6102" w:rsidRPr="000412A5" w:rsidRDefault="005D6102"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Solicitar a los representantes de las víctimas y a la Comisión Interamericana de Derechos Humanos que presenten observaciones al informe del Estado mencionado en el punto resolutivo anterior, en los plazos de cuatro y seis semanas, respectivamente, contados a partir de la recepción del informe.</w:t>
      </w:r>
    </w:p>
    <w:p w14:paraId="60B6906F" w14:textId="77777777" w:rsidR="005D6102" w:rsidRPr="000412A5" w:rsidRDefault="005D6102" w:rsidP="005D6102">
      <w:pPr>
        <w:tabs>
          <w:tab w:val="left" w:pos="567"/>
        </w:tabs>
        <w:spacing w:after="0" w:line="240" w:lineRule="auto"/>
        <w:ind w:right="4"/>
        <w:jc w:val="both"/>
        <w:rPr>
          <w:rFonts w:ascii="Verdana" w:hAnsi="Verdana"/>
          <w:sz w:val="20"/>
          <w:szCs w:val="20"/>
          <w:lang w:val="es-ES_tradnl"/>
        </w:rPr>
      </w:pPr>
    </w:p>
    <w:p w14:paraId="56CFEB68" w14:textId="77777777" w:rsidR="005D6102" w:rsidRDefault="005D6102" w:rsidP="005D6102">
      <w:pPr>
        <w:pStyle w:val="ListParagraph"/>
        <w:numPr>
          <w:ilvl w:val="3"/>
          <w:numId w:val="1"/>
        </w:numPr>
        <w:tabs>
          <w:tab w:val="left" w:pos="567"/>
        </w:tabs>
        <w:spacing w:after="0" w:line="240" w:lineRule="auto"/>
        <w:ind w:left="0" w:right="4" w:firstLine="0"/>
        <w:jc w:val="both"/>
        <w:rPr>
          <w:rFonts w:ascii="Verdana" w:hAnsi="Verdana"/>
          <w:sz w:val="20"/>
          <w:szCs w:val="20"/>
          <w:lang w:val="es-ES_tradnl"/>
        </w:rPr>
      </w:pPr>
      <w:r w:rsidRPr="000412A5">
        <w:rPr>
          <w:rFonts w:ascii="Verdana" w:hAnsi="Verdana"/>
          <w:sz w:val="20"/>
          <w:szCs w:val="20"/>
          <w:lang w:val="es-ES_tradnl"/>
        </w:rPr>
        <w:t xml:space="preserve">Requerir a la Secretaría de la Corte que notifique la presente Resolución al Estado, a los representantes de las víctimas y a la Comisión Interamericana de Derechos Humanos. </w:t>
      </w:r>
    </w:p>
    <w:p w14:paraId="11491FB2" w14:textId="77777777" w:rsidR="00587340" w:rsidRPr="00587340" w:rsidRDefault="00587340" w:rsidP="00587340">
      <w:pPr>
        <w:pStyle w:val="ListParagraph"/>
        <w:rPr>
          <w:rFonts w:ascii="Verdana" w:hAnsi="Verdana"/>
          <w:sz w:val="20"/>
          <w:szCs w:val="20"/>
          <w:lang w:val="es-ES_tradnl"/>
        </w:rPr>
      </w:pPr>
    </w:p>
    <w:p w14:paraId="7097F970" w14:textId="777F4D8F" w:rsidR="00587340" w:rsidRDefault="00587340">
      <w:pPr>
        <w:rPr>
          <w:rFonts w:ascii="Verdana" w:hAnsi="Verdana"/>
          <w:sz w:val="20"/>
          <w:szCs w:val="20"/>
          <w:lang w:val="es-ES_tradnl"/>
        </w:rPr>
      </w:pPr>
      <w:r>
        <w:rPr>
          <w:rFonts w:ascii="Verdana" w:hAnsi="Verdana"/>
          <w:sz w:val="20"/>
          <w:szCs w:val="20"/>
          <w:lang w:val="es-ES_tradnl"/>
        </w:rPr>
        <w:br w:type="page"/>
      </w:r>
    </w:p>
    <w:p w14:paraId="53DD7E8A" w14:textId="01A10BB7" w:rsidR="00587340" w:rsidRPr="008F69D4" w:rsidRDefault="00587340" w:rsidP="00587340">
      <w:pPr>
        <w:keepNext/>
        <w:spacing w:after="0" w:line="240" w:lineRule="auto"/>
        <w:jc w:val="both"/>
        <w:outlineLvl w:val="0"/>
        <w:rPr>
          <w:rFonts w:ascii="Verdana" w:hAnsi="Verdana" w:cs="Verdana"/>
          <w:b/>
          <w:bCs/>
          <w:sz w:val="20"/>
          <w:lang w:val="es-ES"/>
        </w:rPr>
      </w:pPr>
      <w:r w:rsidRPr="008F69D4">
        <w:rPr>
          <w:rFonts w:ascii="Verdana" w:hAnsi="Verdana" w:cs="Courier New"/>
          <w:noProof/>
          <w:sz w:val="20"/>
          <w:lang w:val="es-AR"/>
        </w:rPr>
        <w:lastRenderedPageBreak/>
        <w:t xml:space="preserve">Corte IDH. </w:t>
      </w:r>
      <w:r w:rsidRPr="008F69D4">
        <w:rPr>
          <w:rFonts w:ascii="Verdana" w:hAnsi="Verdana"/>
          <w:bCs/>
          <w:i/>
          <w:sz w:val="20"/>
          <w:lang w:val="es-CR"/>
        </w:rPr>
        <w:t>Caso</w:t>
      </w:r>
      <w:r>
        <w:rPr>
          <w:rFonts w:ascii="Verdana" w:hAnsi="Verdana"/>
          <w:bCs/>
          <w:i/>
          <w:sz w:val="20"/>
          <w:lang w:val="es-CR"/>
        </w:rPr>
        <w:t xml:space="preserve"> Masacres de El Mozote y lugares aledaños Vs. El Salvador.  Supervisión de Cumplimiento de Sentencia. </w:t>
      </w:r>
      <w:r w:rsidRPr="008F69D4">
        <w:rPr>
          <w:rFonts w:ascii="Verdana" w:hAnsi="Verdana"/>
          <w:sz w:val="20"/>
          <w:lang w:val="es-CR"/>
        </w:rPr>
        <w:t xml:space="preserve"> </w:t>
      </w:r>
      <w:r w:rsidRPr="008F69D4">
        <w:rPr>
          <w:rFonts w:ascii="Verdana" w:hAnsi="Verdana"/>
          <w:sz w:val="20"/>
          <w:lang w:val="es-ES"/>
        </w:rPr>
        <w:t xml:space="preserve">Resolución de la Corte Interamericana de Derechos Humanos de </w:t>
      </w:r>
      <w:r>
        <w:rPr>
          <w:rFonts w:ascii="Verdana" w:hAnsi="Verdana"/>
          <w:sz w:val="20"/>
          <w:lang w:val="es-CR"/>
        </w:rPr>
        <w:t>28</w:t>
      </w:r>
      <w:r w:rsidRPr="008F69D4">
        <w:rPr>
          <w:rFonts w:ascii="Verdana" w:hAnsi="Verdana"/>
          <w:sz w:val="20"/>
          <w:lang w:val="es-CR"/>
        </w:rPr>
        <w:t xml:space="preserve"> de </w:t>
      </w:r>
      <w:r>
        <w:rPr>
          <w:rFonts w:ascii="Verdana" w:hAnsi="Verdana"/>
          <w:sz w:val="20"/>
          <w:lang w:val="es-CR"/>
        </w:rPr>
        <w:t>noviembre de 2018</w:t>
      </w:r>
      <w:r w:rsidRPr="008F69D4">
        <w:rPr>
          <w:rFonts w:ascii="Verdana" w:hAnsi="Verdana"/>
          <w:sz w:val="20"/>
          <w:lang w:val="es-ES"/>
        </w:rPr>
        <w:t xml:space="preserve">. </w:t>
      </w:r>
    </w:p>
    <w:p w14:paraId="24691DF1" w14:textId="48751333" w:rsidR="00587340" w:rsidRPr="00497437" w:rsidRDefault="00587340" w:rsidP="00497437">
      <w:pPr>
        <w:spacing w:after="0" w:line="240" w:lineRule="auto"/>
        <w:jc w:val="center"/>
        <w:rPr>
          <w:rFonts w:ascii="Verdana" w:hAnsi="Verdana"/>
          <w:sz w:val="20"/>
          <w:lang w:val="es-ES"/>
        </w:rPr>
      </w:pPr>
    </w:p>
    <w:p w14:paraId="6FAE5DFF" w14:textId="77777777" w:rsidR="00587340" w:rsidRDefault="00587340" w:rsidP="00587340">
      <w:pPr>
        <w:spacing w:after="0" w:line="240" w:lineRule="auto"/>
        <w:ind w:firstLine="720"/>
        <w:rPr>
          <w:rFonts w:ascii="Verdana" w:eastAsia="Calibri" w:hAnsi="Verdana"/>
          <w:b/>
          <w:i/>
          <w:sz w:val="20"/>
          <w:lang w:val="es-CR"/>
        </w:rPr>
      </w:pPr>
    </w:p>
    <w:p w14:paraId="0F58E95D" w14:textId="77777777" w:rsidR="00587340" w:rsidRDefault="00587340" w:rsidP="00587340">
      <w:pPr>
        <w:spacing w:after="0" w:line="240" w:lineRule="auto"/>
        <w:ind w:firstLine="720"/>
        <w:rPr>
          <w:rFonts w:ascii="Verdana" w:eastAsia="Calibri" w:hAnsi="Verdana"/>
          <w:b/>
          <w:i/>
          <w:sz w:val="20"/>
          <w:lang w:val="es-CR"/>
        </w:rPr>
      </w:pPr>
    </w:p>
    <w:p w14:paraId="60FD53A6" w14:textId="77777777" w:rsidR="00587340" w:rsidRDefault="00587340" w:rsidP="00587340">
      <w:pPr>
        <w:spacing w:after="0" w:line="240" w:lineRule="auto"/>
        <w:rPr>
          <w:rFonts w:ascii="Verdana" w:eastAsia="Calibri" w:hAnsi="Verdana"/>
          <w:b/>
          <w:i/>
          <w:sz w:val="20"/>
          <w:lang w:val="es-CR"/>
        </w:rPr>
      </w:pPr>
    </w:p>
    <w:p w14:paraId="717EF05A" w14:textId="41901B15" w:rsidR="00587340" w:rsidRPr="00EA2C27" w:rsidRDefault="00587340" w:rsidP="00587340">
      <w:pPr>
        <w:spacing w:after="0" w:line="240" w:lineRule="auto"/>
        <w:jc w:val="center"/>
        <w:rPr>
          <w:rFonts w:ascii="Verdana" w:hAnsi="Verdana"/>
          <w:sz w:val="20"/>
          <w:lang w:val="es-MX"/>
        </w:rPr>
      </w:pPr>
    </w:p>
    <w:p w14:paraId="2DD79FDD" w14:textId="77777777" w:rsidR="00587340" w:rsidRPr="004B7A1D" w:rsidRDefault="00587340" w:rsidP="00587340">
      <w:pPr>
        <w:spacing w:after="0" w:line="240" w:lineRule="auto"/>
        <w:jc w:val="center"/>
        <w:rPr>
          <w:rFonts w:ascii="Verdana" w:hAnsi="Verdana"/>
          <w:sz w:val="20"/>
          <w:lang w:val="es-ES"/>
        </w:rPr>
      </w:pPr>
      <w:r>
        <w:rPr>
          <w:rFonts w:ascii="Verdana" w:hAnsi="Verdana"/>
          <w:sz w:val="20"/>
          <w:lang w:val="es-ES"/>
        </w:rPr>
        <w:t>Eduardo Ferrer Mac-Gregor Poisot</w:t>
      </w:r>
      <w:r w:rsidRPr="004B7A1D">
        <w:rPr>
          <w:rFonts w:ascii="Verdana" w:hAnsi="Verdana"/>
          <w:sz w:val="20"/>
          <w:lang w:val="es-ES"/>
        </w:rPr>
        <w:tab/>
      </w:r>
    </w:p>
    <w:p w14:paraId="1E2772D1" w14:textId="5D3CD415" w:rsidR="00587340" w:rsidRDefault="00587340" w:rsidP="00497437">
      <w:pPr>
        <w:spacing w:after="0" w:line="240" w:lineRule="auto"/>
        <w:jc w:val="center"/>
        <w:rPr>
          <w:rFonts w:ascii="Verdana" w:hAnsi="Verdana"/>
          <w:sz w:val="20"/>
          <w:lang w:val="es-ES"/>
        </w:rPr>
      </w:pPr>
      <w:r>
        <w:rPr>
          <w:rFonts w:ascii="Verdana" w:hAnsi="Verdana"/>
          <w:sz w:val="20"/>
          <w:lang w:val="es-ES"/>
        </w:rPr>
        <w:t xml:space="preserve"> </w:t>
      </w:r>
      <w:r w:rsidRPr="004B7A1D">
        <w:rPr>
          <w:rFonts w:ascii="Verdana" w:hAnsi="Verdana"/>
          <w:sz w:val="20"/>
          <w:lang w:val="es-ES"/>
        </w:rPr>
        <w:t xml:space="preserve">Presidente </w:t>
      </w:r>
    </w:p>
    <w:p w14:paraId="6A6C6DC0" w14:textId="62511FC6" w:rsidR="00587340" w:rsidRPr="004B7A1D" w:rsidRDefault="00DB70A8" w:rsidP="00587340">
      <w:pPr>
        <w:spacing w:after="0" w:line="240" w:lineRule="auto"/>
        <w:jc w:val="both"/>
        <w:rPr>
          <w:rFonts w:ascii="Verdana" w:hAnsi="Verdana"/>
          <w:sz w:val="20"/>
          <w:lang w:val="es-ES"/>
        </w:rPr>
      </w:pPr>
      <w:r>
        <w:rPr>
          <w:rFonts w:ascii="Verdana" w:hAnsi="Verdana"/>
          <w:sz w:val="20"/>
          <w:lang w:val="es-ES"/>
        </w:rPr>
        <w:t xml:space="preserve">                          </w:t>
      </w:r>
    </w:p>
    <w:p w14:paraId="5CBB56EF" w14:textId="4F5DF371" w:rsidR="00587340" w:rsidRPr="004B7A1D" w:rsidRDefault="00587340" w:rsidP="00587340">
      <w:pPr>
        <w:spacing w:after="0" w:line="240" w:lineRule="auto"/>
        <w:jc w:val="both"/>
        <w:rPr>
          <w:rFonts w:ascii="Verdana" w:hAnsi="Verdana"/>
          <w:sz w:val="20"/>
          <w:lang w:val="es-ES"/>
        </w:rPr>
      </w:pPr>
      <w:r>
        <w:rPr>
          <w:rFonts w:ascii="Verdana" w:hAnsi="Verdana"/>
          <w:sz w:val="20"/>
          <w:lang w:val="es-ES"/>
        </w:rPr>
        <w:t>Eduardo Vio Grossi</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00497437">
        <w:rPr>
          <w:rFonts w:ascii="Verdana" w:hAnsi="Verdana"/>
          <w:sz w:val="20"/>
          <w:lang w:val="es-ES"/>
        </w:rPr>
        <w:t xml:space="preserve">       </w:t>
      </w:r>
      <w:r>
        <w:rPr>
          <w:rFonts w:ascii="Verdana" w:hAnsi="Verdana"/>
          <w:sz w:val="20"/>
          <w:lang w:val="es-ES"/>
        </w:rPr>
        <w:t>Humberto Antonio Sierra Porto</w:t>
      </w:r>
      <w:r>
        <w:rPr>
          <w:rFonts w:ascii="Verdana" w:hAnsi="Verdana"/>
          <w:sz w:val="20"/>
          <w:lang w:val="es-ES"/>
        </w:rPr>
        <w:tab/>
      </w:r>
    </w:p>
    <w:p w14:paraId="35441A1F" w14:textId="07A05431" w:rsidR="00DB70A8" w:rsidRDefault="00DB70A8" w:rsidP="00587340">
      <w:pPr>
        <w:spacing w:after="0" w:line="240" w:lineRule="auto"/>
        <w:jc w:val="both"/>
        <w:rPr>
          <w:rFonts w:ascii="Verdana" w:hAnsi="Verdana"/>
          <w:sz w:val="20"/>
          <w:lang w:val="es-ES"/>
        </w:rPr>
      </w:pPr>
      <w:r>
        <w:rPr>
          <w:rFonts w:ascii="Verdana" w:hAnsi="Verdana"/>
          <w:sz w:val="20"/>
          <w:lang w:val="es-ES"/>
        </w:rPr>
        <w:t xml:space="preserve">  </w:t>
      </w:r>
    </w:p>
    <w:p w14:paraId="0954DF98" w14:textId="77777777" w:rsidR="00DB70A8" w:rsidRDefault="00DB70A8" w:rsidP="00587340">
      <w:pPr>
        <w:spacing w:after="0" w:line="240" w:lineRule="auto"/>
        <w:jc w:val="both"/>
        <w:rPr>
          <w:rFonts w:ascii="Verdana" w:hAnsi="Verdana"/>
          <w:sz w:val="20"/>
          <w:lang w:val="es-ES"/>
        </w:rPr>
      </w:pPr>
    </w:p>
    <w:p w14:paraId="18128677" w14:textId="77777777" w:rsidR="00DB70A8" w:rsidRDefault="00DB70A8" w:rsidP="00587340">
      <w:pPr>
        <w:spacing w:after="0" w:line="240" w:lineRule="auto"/>
        <w:jc w:val="both"/>
        <w:rPr>
          <w:rFonts w:ascii="Verdana" w:hAnsi="Verdana"/>
          <w:sz w:val="20"/>
          <w:lang w:val="es-ES"/>
        </w:rPr>
      </w:pPr>
    </w:p>
    <w:p w14:paraId="19BD3835" w14:textId="77777777" w:rsidR="00DB70A8" w:rsidRDefault="00DB70A8" w:rsidP="00587340">
      <w:pPr>
        <w:spacing w:after="0" w:line="240" w:lineRule="auto"/>
        <w:jc w:val="both"/>
        <w:rPr>
          <w:rFonts w:ascii="Verdana" w:hAnsi="Verdana"/>
          <w:sz w:val="20"/>
          <w:lang w:val="es-ES"/>
        </w:rPr>
      </w:pPr>
    </w:p>
    <w:p w14:paraId="0BAAF5C8" w14:textId="10801409" w:rsidR="00587340" w:rsidRPr="004B7A1D" w:rsidRDefault="00DB70A8" w:rsidP="00587340">
      <w:pPr>
        <w:spacing w:after="0" w:line="240" w:lineRule="auto"/>
        <w:jc w:val="both"/>
        <w:rPr>
          <w:rFonts w:ascii="Verdana" w:hAnsi="Verdana"/>
          <w:sz w:val="20"/>
          <w:lang w:val="es-ES"/>
        </w:rPr>
      </w:pPr>
      <w:r>
        <w:rPr>
          <w:rFonts w:ascii="Verdana" w:hAnsi="Verdana"/>
          <w:sz w:val="20"/>
          <w:lang w:val="es-ES"/>
        </w:rPr>
        <w:t xml:space="preserve">    </w:t>
      </w:r>
    </w:p>
    <w:p w14:paraId="38A3A770" w14:textId="0CC66E6E" w:rsidR="00587340" w:rsidRDefault="00587340" w:rsidP="00587340">
      <w:pPr>
        <w:spacing w:after="0" w:line="240" w:lineRule="auto"/>
        <w:jc w:val="both"/>
        <w:rPr>
          <w:rFonts w:ascii="Verdana" w:hAnsi="Verdana"/>
          <w:sz w:val="20"/>
          <w:lang w:val="es-ES"/>
        </w:rPr>
      </w:pPr>
      <w:r>
        <w:rPr>
          <w:rFonts w:ascii="Verdana" w:hAnsi="Verdana"/>
          <w:sz w:val="20"/>
          <w:lang w:val="es-ES"/>
        </w:rPr>
        <w:t>Elizabeth Odio Benito</w:t>
      </w:r>
      <w:r w:rsidRPr="004B7A1D">
        <w:rPr>
          <w:rFonts w:ascii="Verdana" w:hAnsi="Verdana"/>
          <w:sz w:val="20"/>
          <w:lang w:val="es-ES"/>
        </w:rPr>
        <w:t xml:space="preserve"> </w:t>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Pr>
          <w:rFonts w:ascii="Verdana" w:hAnsi="Verdana"/>
          <w:sz w:val="20"/>
          <w:lang w:val="es-ES"/>
        </w:rPr>
        <w:tab/>
      </w:r>
      <w:r w:rsidR="00497437">
        <w:rPr>
          <w:rFonts w:ascii="Verdana" w:hAnsi="Verdana"/>
          <w:sz w:val="20"/>
          <w:lang w:val="es-ES"/>
        </w:rPr>
        <w:t xml:space="preserve">                 </w:t>
      </w:r>
      <w:r>
        <w:rPr>
          <w:rFonts w:ascii="Verdana" w:hAnsi="Verdana"/>
          <w:sz w:val="20"/>
          <w:lang w:val="es-ES"/>
        </w:rPr>
        <w:t xml:space="preserve">Eugenio Raúl </w:t>
      </w:r>
      <w:proofErr w:type="spellStart"/>
      <w:r>
        <w:rPr>
          <w:rFonts w:ascii="Verdana" w:hAnsi="Verdana"/>
          <w:sz w:val="20"/>
          <w:lang w:val="es-ES"/>
        </w:rPr>
        <w:t>Zaffaroni</w:t>
      </w:r>
      <w:proofErr w:type="spellEnd"/>
      <w:r w:rsidRPr="004B7A1D">
        <w:rPr>
          <w:rFonts w:ascii="Verdana" w:hAnsi="Verdana"/>
          <w:sz w:val="20"/>
          <w:lang w:val="es-ES"/>
        </w:rPr>
        <w:t xml:space="preserve"> </w:t>
      </w:r>
    </w:p>
    <w:p w14:paraId="795B4CD9" w14:textId="1FFDF9AB" w:rsidR="00587340" w:rsidRDefault="00587340" w:rsidP="00587340">
      <w:pPr>
        <w:spacing w:after="0" w:line="240" w:lineRule="auto"/>
        <w:jc w:val="both"/>
        <w:rPr>
          <w:rFonts w:ascii="Verdana" w:hAnsi="Verdana"/>
          <w:sz w:val="20"/>
          <w:lang w:val="es-ES"/>
        </w:rPr>
      </w:pPr>
    </w:p>
    <w:p w14:paraId="21005DEE" w14:textId="77777777" w:rsidR="00587340" w:rsidRDefault="00587340" w:rsidP="00587340">
      <w:pPr>
        <w:spacing w:after="0" w:line="240" w:lineRule="auto"/>
        <w:jc w:val="both"/>
        <w:rPr>
          <w:rFonts w:ascii="Verdana" w:hAnsi="Verdana"/>
          <w:sz w:val="20"/>
          <w:lang w:val="es-ES"/>
        </w:rPr>
      </w:pPr>
    </w:p>
    <w:p w14:paraId="26204549" w14:textId="77777777" w:rsidR="00587340" w:rsidRDefault="00587340" w:rsidP="00587340">
      <w:pPr>
        <w:spacing w:after="0" w:line="240" w:lineRule="auto"/>
        <w:jc w:val="both"/>
        <w:rPr>
          <w:rFonts w:ascii="Verdana" w:hAnsi="Verdana"/>
          <w:sz w:val="20"/>
          <w:lang w:val="es-ES"/>
        </w:rPr>
      </w:pPr>
    </w:p>
    <w:p w14:paraId="3F0EC27C" w14:textId="5C2CFB3C" w:rsidR="00587340" w:rsidRDefault="00587340" w:rsidP="00587340">
      <w:pPr>
        <w:spacing w:after="0" w:line="240" w:lineRule="auto"/>
        <w:jc w:val="both"/>
        <w:rPr>
          <w:rFonts w:ascii="Verdana" w:hAnsi="Verdana"/>
          <w:sz w:val="20"/>
          <w:lang w:val="es-ES"/>
        </w:rPr>
      </w:pPr>
    </w:p>
    <w:p w14:paraId="3447D508" w14:textId="77777777" w:rsidR="00587340" w:rsidRPr="004B7A1D" w:rsidRDefault="00587340" w:rsidP="00587340">
      <w:pPr>
        <w:spacing w:after="0" w:line="240" w:lineRule="auto"/>
        <w:jc w:val="center"/>
        <w:rPr>
          <w:rFonts w:ascii="Verdana" w:hAnsi="Verdana"/>
          <w:sz w:val="20"/>
          <w:lang w:val="es-ES"/>
        </w:rPr>
      </w:pPr>
      <w:r>
        <w:rPr>
          <w:rFonts w:ascii="Verdana" w:hAnsi="Verdana"/>
          <w:sz w:val="20"/>
          <w:lang w:val="es-ES"/>
        </w:rPr>
        <w:t>L. Patricio Pazmiño Freire</w:t>
      </w:r>
    </w:p>
    <w:p w14:paraId="42C46068" w14:textId="6DD1463A" w:rsidR="00587340" w:rsidRPr="004B7A1D" w:rsidRDefault="00587340" w:rsidP="00587340">
      <w:pPr>
        <w:spacing w:after="0" w:line="240" w:lineRule="auto"/>
        <w:jc w:val="both"/>
        <w:rPr>
          <w:rFonts w:ascii="Verdana" w:hAnsi="Verdana"/>
          <w:sz w:val="20"/>
          <w:lang w:val="es-ES"/>
        </w:rPr>
      </w:pPr>
    </w:p>
    <w:p w14:paraId="371DD43E" w14:textId="77777777" w:rsidR="00587340" w:rsidRPr="004B7A1D" w:rsidRDefault="00587340" w:rsidP="00587340">
      <w:pPr>
        <w:pStyle w:val="FootnoteText"/>
        <w:rPr>
          <w:rFonts w:ascii="Verdana" w:hAnsi="Verdana"/>
          <w:lang w:val="es-ES"/>
        </w:rPr>
      </w:pPr>
    </w:p>
    <w:p w14:paraId="0E6417F5" w14:textId="4BCD5ECE" w:rsidR="00587340" w:rsidRPr="004B7A1D" w:rsidRDefault="00587340" w:rsidP="00587340">
      <w:pPr>
        <w:spacing w:after="0" w:line="240" w:lineRule="auto"/>
        <w:jc w:val="both"/>
        <w:rPr>
          <w:rFonts w:ascii="Verdana" w:hAnsi="Verdana"/>
          <w:sz w:val="20"/>
          <w:lang w:val="es-ES"/>
        </w:rPr>
      </w:pPr>
      <w:r w:rsidRPr="004B7A1D">
        <w:rPr>
          <w:rFonts w:ascii="Verdana" w:hAnsi="Verdana"/>
          <w:sz w:val="20"/>
          <w:lang w:val="es-ES"/>
        </w:rPr>
        <w:t>Comuníquese y ejecútese,</w:t>
      </w:r>
    </w:p>
    <w:p w14:paraId="30F7C5C8" w14:textId="77777777" w:rsidR="00587340" w:rsidRPr="004B7A1D" w:rsidRDefault="00587340" w:rsidP="00587340">
      <w:pPr>
        <w:spacing w:after="0" w:line="240" w:lineRule="auto"/>
        <w:jc w:val="both"/>
        <w:rPr>
          <w:rFonts w:ascii="Verdana" w:hAnsi="Verdana"/>
          <w:sz w:val="20"/>
          <w:lang w:val="es-ES"/>
        </w:rPr>
      </w:pPr>
    </w:p>
    <w:p w14:paraId="72DE6FD0" w14:textId="77777777" w:rsidR="00587340" w:rsidRPr="004B7A1D" w:rsidRDefault="00587340" w:rsidP="00587340">
      <w:pPr>
        <w:spacing w:after="0" w:line="240" w:lineRule="auto"/>
        <w:jc w:val="both"/>
        <w:rPr>
          <w:rFonts w:ascii="Verdana" w:hAnsi="Verdana"/>
          <w:sz w:val="20"/>
          <w:lang w:val="es-ES"/>
        </w:rPr>
      </w:pPr>
    </w:p>
    <w:p w14:paraId="5A746297" w14:textId="689FD434" w:rsidR="00587340" w:rsidRPr="004B7A1D" w:rsidRDefault="00587340" w:rsidP="00587340">
      <w:pPr>
        <w:spacing w:after="0" w:line="240" w:lineRule="auto"/>
        <w:jc w:val="both"/>
        <w:rPr>
          <w:rFonts w:ascii="Verdana" w:hAnsi="Verdana"/>
          <w:sz w:val="20"/>
          <w:lang w:val="es-ES"/>
        </w:rPr>
      </w:pPr>
    </w:p>
    <w:p w14:paraId="3DF72794" w14:textId="77777777" w:rsidR="00587340" w:rsidRPr="004B7A1D" w:rsidRDefault="00587340" w:rsidP="00587340">
      <w:pPr>
        <w:spacing w:after="0" w:line="240" w:lineRule="auto"/>
        <w:ind w:left="4956"/>
        <w:jc w:val="center"/>
        <w:rPr>
          <w:rFonts w:ascii="Verdana" w:hAnsi="Verdana"/>
          <w:sz w:val="20"/>
          <w:lang w:val="es-ES"/>
        </w:rPr>
      </w:pPr>
      <w:r>
        <w:rPr>
          <w:rFonts w:ascii="Verdana" w:hAnsi="Verdana"/>
          <w:sz w:val="20"/>
          <w:lang w:val="es-ES"/>
        </w:rPr>
        <w:t>Eduardo Ferrer Mac-Gregor Poisot</w:t>
      </w:r>
      <w:r w:rsidRPr="004B7A1D">
        <w:rPr>
          <w:rFonts w:ascii="Verdana" w:hAnsi="Verdana"/>
          <w:sz w:val="20"/>
          <w:lang w:val="es-ES"/>
        </w:rPr>
        <w:tab/>
      </w:r>
    </w:p>
    <w:p w14:paraId="4DB621BF" w14:textId="3945BB0A" w:rsidR="00587340" w:rsidRPr="004B7A1D" w:rsidRDefault="00587340" w:rsidP="00587340">
      <w:pPr>
        <w:spacing w:after="0" w:line="240" w:lineRule="auto"/>
        <w:ind w:left="4956" w:firstLine="708"/>
        <w:rPr>
          <w:rFonts w:ascii="Verdana" w:hAnsi="Verdana"/>
          <w:sz w:val="20"/>
          <w:lang w:val="es-ES"/>
        </w:rPr>
      </w:pPr>
      <w:r>
        <w:rPr>
          <w:rFonts w:ascii="Verdana" w:hAnsi="Verdana"/>
          <w:sz w:val="20"/>
          <w:lang w:val="es-ES"/>
        </w:rPr>
        <w:t xml:space="preserve">   </w:t>
      </w:r>
      <w:r w:rsidR="00DB70A8">
        <w:rPr>
          <w:rFonts w:ascii="Verdana" w:hAnsi="Verdana"/>
          <w:sz w:val="20"/>
          <w:lang w:val="es-ES"/>
        </w:rPr>
        <w:t xml:space="preserve">    </w:t>
      </w:r>
      <w:r>
        <w:rPr>
          <w:rFonts w:ascii="Verdana" w:hAnsi="Verdana"/>
          <w:sz w:val="20"/>
          <w:lang w:val="es-ES"/>
        </w:rPr>
        <w:t xml:space="preserve">     </w:t>
      </w:r>
      <w:r w:rsidRPr="004B7A1D">
        <w:rPr>
          <w:rFonts w:ascii="Verdana" w:hAnsi="Verdana"/>
          <w:sz w:val="20"/>
          <w:lang w:val="es-ES"/>
        </w:rPr>
        <w:t xml:space="preserve">Presidente </w:t>
      </w:r>
    </w:p>
    <w:p w14:paraId="5F397314" w14:textId="77777777" w:rsidR="00587340" w:rsidRPr="004B7A1D" w:rsidRDefault="00587340" w:rsidP="00587340">
      <w:pPr>
        <w:spacing w:after="0" w:line="240" w:lineRule="auto"/>
        <w:jc w:val="both"/>
        <w:rPr>
          <w:rFonts w:ascii="Verdana" w:hAnsi="Verdana"/>
          <w:sz w:val="20"/>
          <w:lang w:val="es-ES"/>
        </w:rPr>
      </w:pPr>
    </w:p>
    <w:p w14:paraId="3A00A62D" w14:textId="77777777" w:rsidR="00587340" w:rsidRPr="004B7A1D" w:rsidRDefault="00587340" w:rsidP="00587340">
      <w:pPr>
        <w:spacing w:after="0" w:line="240" w:lineRule="auto"/>
        <w:jc w:val="both"/>
        <w:rPr>
          <w:rFonts w:ascii="Verdana" w:hAnsi="Verdana"/>
          <w:sz w:val="20"/>
          <w:lang w:val="es-ES"/>
        </w:rPr>
      </w:pPr>
    </w:p>
    <w:p w14:paraId="45F3D301" w14:textId="77777777" w:rsidR="00587340" w:rsidRPr="004B7A1D" w:rsidRDefault="00587340" w:rsidP="00587340">
      <w:pPr>
        <w:spacing w:after="0" w:line="240" w:lineRule="auto"/>
        <w:jc w:val="both"/>
        <w:rPr>
          <w:rFonts w:ascii="Verdana" w:hAnsi="Verdana"/>
          <w:sz w:val="20"/>
          <w:lang w:val="es-ES"/>
        </w:rPr>
      </w:pPr>
    </w:p>
    <w:p w14:paraId="35F2B238" w14:textId="77777777" w:rsidR="00587340" w:rsidRDefault="00587340" w:rsidP="00587340">
      <w:pPr>
        <w:spacing w:after="0" w:line="240" w:lineRule="auto"/>
        <w:jc w:val="both"/>
        <w:rPr>
          <w:rFonts w:ascii="Verdana" w:hAnsi="Verdana"/>
          <w:sz w:val="20"/>
          <w:lang w:val="es-ES"/>
        </w:rPr>
      </w:pPr>
    </w:p>
    <w:p w14:paraId="3AABD48D" w14:textId="77777777" w:rsidR="00587340" w:rsidRPr="004B7A1D" w:rsidRDefault="00587340" w:rsidP="00587340">
      <w:pPr>
        <w:spacing w:after="0" w:line="240" w:lineRule="auto"/>
        <w:jc w:val="both"/>
        <w:rPr>
          <w:rFonts w:ascii="Verdana" w:hAnsi="Verdana"/>
          <w:sz w:val="20"/>
          <w:lang w:val="es-ES"/>
        </w:rPr>
      </w:pPr>
    </w:p>
    <w:p w14:paraId="6D0606A1" w14:textId="55BA796E" w:rsidR="00587340" w:rsidRPr="004B7A1D" w:rsidRDefault="00587340" w:rsidP="00587340">
      <w:pPr>
        <w:spacing w:after="0" w:line="240" w:lineRule="auto"/>
        <w:jc w:val="both"/>
        <w:rPr>
          <w:rFonts w:ascii="Verdana" w:hAnsi="Verdana"/>
          <w:sz w:val="20"/>
          <w:lang w:val="es-ES"/>
        </w:rPr>
      </w:pPr>
    </w:p>
    <w:p w14:paraId="1B392D6D" w14:textId="77777777" w:rsidR="00587340" w:rsidRPr="004B7A1D" w:rsidRDefault="00587340" w:rsidP="00587340">
      <w:pPr>
        <w:spacing w:after="0" w:line="240" w:lineRule="auto"/>
        <w:jc w:val="both"/>
        <w:rPr>
          <w:rFonts w:ascii="Verdana" w:hAnsi="Verdana"/>
          <w:sz w:val="20"/>
          <w:lang w:val="es-ES"/>
        </w:rPr>
      </w:pPr>
      <w:r w:rsidRPr="004B7A1D">
        <w:rPr>
          <w:rFonts w:ascii="Verdana" w:hAnsi="Verdana"/>
          <w:sz w:val="20"/>
          <w:lang w:val="es-ES"/>
        </w:rPr>
        <w:t>Pablo Saavedra Alessandri</w:t>
      </w:r>
    </w:p>
    <w:p w14:paraId="7B906777" w14:textId="77777777" w:rsidR="00587340" w:rsidRPr="007C328B" w:rsidRDefault="00587340" w:rsidP="00587340">
      <w:pPr>
        <w:spacing w:after="0" w:line="240" w:lineRule="auto"/>
        <w:rPr>
          <w:rFonts w:ascii="Verdana" w:hAnsi="Verdana"/>
          <w:sz w:val="20"/>
          <w:lang w:val="es-CR"/>
        </w:rPr>
      </w:pPr>
      <w:r w:rsidRPr="004B7A1D">
        <w:rPr>
          <w:rFonts w:ascii="Verdana" w:hAnsi="Verdana"/>
          <w:sz w:val="20"/>
          <w:lang w:val="es-ES"/>
        </w:rPr>
        <w:tab/>
      </w:r>
      <w:r w:rsidRPr="004B7A1D">
        <w:rPr>
          <w:rFonts w:ascii="Verdana" w:hAnsi="Verdana"/>
          <w:sz w:val="20"/>
          <w:lang w:val="es-CR"/>
        </w:rPr>
        <w:t>Secretario</w:t>
      </w:r>
    </w:p>
    <w:p w14:paraId="6DDE3B43" w14:textId="77777777" w:rsidR="00587340" w:rsidRPr="00392CAF" w:rsidRDefault="00587340" w:rsidP="00587340">
      <w:pPr>
        <w:spacing w:after="0" w:line="240" w:lineRule="auto"/>
        <w:rPr>
          <w:rFonts w:ascii="Verdana" w:hAnsi="Verdana"/>
          <w:sz w:val="20"/>
          <w:lang w:val="es-CR"/>
        </w:rPr>
      </w:pPr>
    </w:p>
    <w:p w14:paraId="69CF6188" w14:textId="77777777" w:rsidR="00587340" w:rsidRPr="000412A5" w:rsidRDefault="00587340" w:rsidP="00587340">
      <w:pPr>
        <w:pStyle w:val="ListParagraph"/>
        <w:tabs>
          <w:tab w:val="left" w:pos="567"/>
        </w:tabs>
        <w:spacing w:after="0" w:line="240" w:lineRule="auto"/>
        <w:ind w:left="0" w:right="4"/>
        <w:jc w:val="both"/>
        <w:rPr>
          <w:rFonts w:ascii="Verdana" w:hAnsi="Verdana"/>
          <w:sz w:val="20"/>
          <w:szCs w:val="20"/>
          <w:lang w:val="es-ES_tradnl"/>
        </w:rPr>
      </w:pPr>
    </w:p>
    <w:p w14:paraId="0186E301" w14:textId="6B2746F6" w:rsidR="00B30F63" w:rsidRPr="000412A5" w:rsidRDefault="00B30F63" w:rsidP="00587340">
      <w:pPr>
        <w:tabs>
          <w:tab w:val="left" w:pos="567"/>
        </w:tabs>
        <w:spacing w:after="0" w:line="240" w:lineRule="auto"/>
        <w:ind w:right="4"/>
        <w:jc w:val="both"/>
        <w:rPr>
          <w:rFonts w:ascii="Verdana" w:hAnsi="Verdana"/>
          <w:sz w:val="20"/>
          <w:szCs w:val="20"/>
          <w:lang w:val="es-ES_tradnl"/>
        </w:rPr>
      </w:pPr>
    </w:p>
    <w:sectPr w:rsidR="00B30F63" w:rsidRPr="000412A5" w:rsidSect="00BA7316">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0EE41" w14:textId="77777777" w:rsidR="001D18EB" w:rsidRDefault="001D18EB" w:rsidP="001B0748">
      <w:pPr>
        <w:spacing w:after="0" w:line="240" w:lineRule="auto"/>
      </w:pPr>
      <w:r>
        <w:separator/>
      </w:r>
    </w:p>
  </w:endnote>
  <w:endnote w:type="continuationSeparator" w:id="0">
    <w:p w14:paraId="73FCD2F2" w14:textId="77777777" w:rsidR="001D18EB" w:rsidRDefault="001D18EB" w:rsidP="001B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E93C98" w14:textId="77777777" w:rsidR="001D18EB" w:rsidRPr="00745074" w:rsidRDefault="001D18EB">
    <w:pPr>
      <w:pStyle w:val="Footer"/>
      <w:jc w:val="center"/>
      <w:rPr>
        <w:rFonts w:ascii="Verdana" w:hAnsi="Verdana"/>
        <w:sz w:val="20"/>
        <w:szCs w:val="20"/>
      </w:rPr>
    </w:pPr>
  </w:p>
  <w:p w14:paraId="32C699F1" w14:textId="77777777" w:rsidR="001D18EB" w:rsidRDefault="001D18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376BC" w14:textId="77777777" w:rsidR="001D18EB" w:rsidRDefault="001D18EB" w:rsidP="001B0748">
      <w:pPr>
        <w:spacing w:after="0" w:line="240" w:lineRule="auto"/>
      </w:pPr>
      <w:r>
        <w:separator/>
      </w:r>
    </w:p>
  </w:footnote>
  <w:footnote w:type="continuationSeparator" w:id="0">
    <w:p w14:paraId="63369DCE" w14:textId="77777777" w:rsidR="001D18EB" w:rsidRDefault="001D18EB" w:rsidP="001B0748">
      <w:pPr>
        <w:spacing w:after="0" w:line="240" w:lineRule="auto"/>
      </w:pPr>
      <w:r>
        <w:continuationSeparator/>
      </w:r>
    </w:p>
  </w:footnote>
  <w:footnote w:id="1">
    <w:p w14:paraId="04BA9223"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r>
      <w:r w:rsidRPr="007D2268">
        <w:rPr>
          <w:rFonts w:ascii="Verdana" w:hAnsi="Verdana"/>
          <w:i/>
          <w:sz w:val="16"/>
          <w:szCs w:val="16"/>
          <w:lang w:val="es-CR"/>
        </w:rPr>
        <w:t xml:space="preserve">Cfr. Caso Masacres de El Mozote y lugares aledaños Vs. El Salvador. Fondo, Reparaciones  y Costas. </w:t>
      </w:r>
      <w:r w:rsidRPr="007D2268">
        <w:rPr>
          <w:rFonts w:ascii="Verdana" w:hAnsi="Verdana"/>
          <w:sz w:val="16"/>
          <w:szCs w:val="16"/>
          <w:lang w:val="es-CR"/>
        </w:rPr>
        <w:t xml:space="preserve">Sentencia de 25 de octubre de 2012. Serie C No. 252. El texto íntegro de la Sentencia se encuentra disponible en: </w:t>
      </w:r>
      <w:hyperlink r:id="rId1" w:history="1">
        <w:r w:rsidRPr="007D2268">
          <w:rPr>
            <w:rStyle w:val="Hyperlink"/>
            <w:rFonts w:ascii="Verdana" w:hAnsi="Verdana"/>
            <w:sz w:val="16"/>
            <w:szCs w:val="16"/>
            <w:lang w:val="es-CR"/>
          </w:rPr>
          <w:t>http://corteidh.or.cr/docs/casos/articulos/seriec_252_esp.pdf</w:t>
        </w:r>
      </w:hyperlink>
      <w:r w:rsidRPr="007D2268">
        <w:rPr>
          <w:rFonts w:ascii="Verdana" w:hAnsi="Verdana"/>
          <w:sz w:val="16"/>
          <w:szCs w:val="16"/>
          <w:lang w:val="es-CR"/>
        </w:rPr>
        <w:t>. La Sentencia fue notificada al Estado el 10 de diciembre de 2012.</w:t>
      </w:r>
    </w:p>
  </w:footnote>
  <w:footnote w:id="2">
    <w:p w14:paraId="0484EF62"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 xml:space="preserve">Según los listados de víctimas confeccionados por la Oficina de Tutela Legal del Arzobispado de San Salvador. Conforme al punto resolutivo segundo de la Sentencia, el Estado debe continuar con la puesta en funcionamiento de un Registro Único de Víctimas y Familiares de Víctimas de Graves Violaciones de Derechos Humanos durante la Masacre de El Mozote. </w:t>
      </w:r>
      <w:r w:rsidRPr="007D2268">
        <w:rPr>
          <w:rFonts w:ascii="Verdana" w:hAnsi="Verdana"/>
          <w:i/>
          <w:sz w:val="16"/>
          <w:szCs w:val="16"/>
          <w:lang w:val="es-CR"/>
        </w:rPr>
        <w:t>Cfr. Caso Masacres de El Mozote y lugares aledaños Vs. El Salvador, supra</w:t>
      </w:r>
      <w:r w:rsidRPr="007D2268">
        <w:rPr>
          <w:rFonts w:ascii="Verdana" w:hAnsi="Verdana"/>
          <w:sz w:val="16"/>
          <w:szCs w:val="16"/>
          <w:lang w:val="es-CR"/>
        </w:rPr>
        <w:t xml:space="preserve"> nota 1, </w:t>
      </w:r>
      <w:proofErr w:type="spellStart"/>
      <w:r w:rsidRPr="007D2268">
        <w:rPr>
          <w:rFonts w:ascii="Verdana" w:hAnsi="Verdana"/>
          <w:sz w:val="16"/>
          <w:szCs w:val="16"/>
          <w:lang w:val="es-CR"/>
        </w:rPr>
        <w:t>párrs</w:t>
      </w:r>
      <w:proofErr w:type="spellEnd"/>
      <w:r w:rsidRPr="007D2268">
        <w:rPr>
          <w:rFonts w:ascii="Verdana" w:hAnsi="Verdana"/>
          <w:sz w:val="16"/>
          <w:szCs w:val="16"/>
          <w:lang w:val="es-CR"/>
        </w:rPr>
        <w:t>. 97, 105, 109, 112, 116, 121 y punto resolutivo segundo.</w:t>
      </w:r>
    </w:p>
  </w:footnote>
  <w:footnote w:id="3">
    <w:p w14:paraId="7AE02B96"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 xml:space="preserve">Disponible en: </w:t>
      </w:r>
      <w:hyperlink r:id="rId2" w:history="1">
        <w:r w:rsidRPr="007D2268">
          <w:rPr>
            <w:rStyle w:val="Hyperlink"/>
            <w:rFonts w:ascii="Verdana" w:hAnsi="Verdana"/>
            <w:sz w:val="16"/>
            <w:szCs w:val="16"/>
            <w:lang w:val="es-CR"/>
          </w:rPr>
          <w:t>http://www.corteidh.or.cr/docs/supervisiones/mozote_03_05_16.pdf</w:t>
        </w:r>
      </w:hyperlink>
      <w:r w:rsidRPr="007D2268">
        <w:rPr>
          <w:rFonts w:ascii="Verdana" w:hAnsi="Verdana"/>
          <w:sz w:val="16"/>
          <w:szCs w:val="16"/>
          <w:lang w:val="es-CR"/>
        </w:rPr>
        <w:t xml:space="preserve">. </w:t>
      </w:r>
    </w:p>
  </w:footnote>
  <w:footnote w:id="4">
    <w:p w14:paraId="04F5010C"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 xml:space="preserve">Disponible en: </w:t>
      </w:r>
      <w:hyperlink r:id="rId3" w:history="1">
        <w:r w:rsidRPr="007D2268">
          <w:rPr>
            <w:rStyle w:val="Hyperlink"/>
            <w:rFonts w:ascii="Verdana" w:hAnsi="Verdana"/>
            <w:sz w:val="16"/>
            <w:szCs w:val="16"/>
            <w:lang w:val="es-CR"/>
          </w:rPr>
          <w:t>http://www.corteidh.or.cr/docs/supervisiones/mozote_31_08_17.pdf</w:t>
        </w:r>
      </w:hyperlink>
      <w:r w:rsidRPr="007D2268">
        <w:rPr>
          <w:rFonts w:ascii="Verdana" w:hAnsi="Verdana"/>
          <w:sz w:val="16"/>
          <w:szCs w:val="16"/>
          <w:lang w:val="es-CR"/>
        </w:rPr>
        <w:t xml:space="preserve">. </w:t>
      </w:r>
    </w:p>
  </w:footnote>
  <w:footnote w:id="5">
    <w:p w14:paraId="4635DE09"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 xml:space="preserve">Disponible en: </w:t>
      </w:r>
      <w:hyperlink r:id="rId4" w:history="1">
        <w:r w:rsidRPr="007D2268">
          <w:rPr>
            <w:rStyle w:val="Hyperlink"/>
            <w:rFonts w:ascii="Verdana" w:hAnsi="Verdana"/>
            <w:sz w:val="16"/>
            <w:szCs w:val="16"/>
            <w:lang w:val="es-CO"/>
          </w:rPr>
          <w:t>http://www.corteidh.or.cr/docs/supervisiones/mozote_30_05_18.pdf</w:t>
        </w:r>
      </w:hyperlink>
      <w:r w:rsidRPr="007D2268">
        <w:rPr>
          <w:rFonts w:ascii="Verdana" w:hAnsi="Verdana"/>
          <w:sz w:val="16"/>
          <w:szCs w:val="16"/>
          <w:lang w:val="es-CO"/>
        </w:rPr>
        <w:t xml:space="preserve">. </w:t>
      </w:r>
      <w:r w:rsidRPr="007D2268">
        <w:rPr>
          <w:rFonts w:ascii="Verdana" w:hAnsi="Verdana"/>
          <w:sz w:val="16"/>
          <w:szCs w:val="16"/>
          <w:lang w:val="es-CR"/>
        </w:rPr>
        <w:t xml:space="preserve"> </w:t>
      </w:r>
    </w:p>
  </w:footnote>
  <w:footnote w:id="6">
    <w:p w14:paraId="1B93CD59"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 xml:space="preserve">La Procuraduría para la Defensa de los Derechos Humanos es una institución pública de rango constitucional, entre cuyas facultades se encuentra “velar por el respeto y garantía de los derechos humanos” en El Salvador.  </w:t>
      </w:r>
    </w:p>
  </w:footnote>
  <w:footnote w:id="7">
    <w:p w14:paraId="10398D27"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 xml:space="preserve">Los escritos se refieren al “seguimiento a las medidas de reparación adoptadas por el Estado en el caso de la Masacre de El Mozote y lugares aledaños”. </w:t>
      </w:r>
    </w:p>
  </w:footnote>
  <w:footnote w:id="8">
    <w:p w14:paraId="0AE8BF07"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El Centro por la Justicia y el Derecho Internacional (CEJIL) y la Asociación de Derechos Humanos Tutela Legal “Dra. María Julia Hernández” representan a las víctimas en la presente etapa de supervisión de cumplimiento de Sentencia.</w:t>
      </w:r>
    </w:p>
  </w:footnote>
  <w:footnote w:id="9">
    <w:p w14:paraId="1DF52951"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Facultad que además se desprende de lo dispuesto en los artículos 33, 62.1, 62.3 y 65 de la Convención Americana y 30 de su Estatuto y se encuentra regulada en el artículo 69 de su Reglamento.</w:t>
      </w:r>
    </w:p>
  </w:footnote>
  <w:footnote w:id="10">
    <w:p w14:paraId="613EBDA0" w14:textId="6952D1EB"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El Tribunal declaró que El Salvador dio cumplimiento total a la</w:t>
      </w:r>
      <w:r>
        <w:rPr>
          <w:rFonts w:ascii="Verdana" w:hAnsi="Verdana"/>
          <w:sz w:val="16"/>
          <w:szCs w:val="16"/>
          <w:lang w:val="es-CR"/>
        </w:rPr>
        <w:t>s</w:t>
      </w:r>
      <w:r w:rsidRPr="007D2268">
        <w:rPr>
          <w:rFonts w:ascii="Verdana" w:hAnsi="Verdana"/>
          <w:sz w:val="16"/>
          <w:szCs w:val="16"/>
          <w:lang w:val="es-CR"/>
        </w:rPr>
        <w:t xml:space="preserve"> medida</w:t>
      </w:r>
      <w:r>
        <w:rPr>
          <w:rFonts w:ascii="Verdana" w:hAnsi="Verdana"/>
          <w:sz w:val="16"/>
          <w:szCs w:val="16"/>
          <w:lang w:val="es-CR"/>
        </w:rPr>
        <w:t>s</w:t>
      </w:r>
      <w:r w:rsidRPr="007D2268">
        <w:rPr>
          <w:rFonts w:ascii="Verdana" w:hAnsi="Verdana"/>
          <w:sz w:val="16"/>
          <w:szCs w:val="16"/>
          <w:lang w:val="es-CR"/>
        </w:rPr>
        <w:t xml:space="preserve"> de reparación correspondiente</w:t>
      </w:r>
      <w:r>
        <w:rPr>
          <w:rFonts w:ascii="Verdana" w:hAnsi="Verdana"/>
          <w:sz w:val="16"/>
          <w:szCs w:val="16"/>
          <w:lang w:val="es-CR"/>
        </w:rPr>
        <w:t>s</w:t>
      </w:r>
      <w:r w:rsidRPr="007D2268">
        <w:rPr>
          <w:rFonts w:ascii="Verdana" w:hAnsi="Verdana"/>
          <w:sz w:val="16"/>
          <w:szCs w:val="16"/>
          <w:lang w:val="es-CR"/>
        </w:rPr>
        <w:t xml:space="preserve"> a</w:t>
      </w:r>
      <w:r>
        <w:rPr>
          <w:rFonts w:ascii="Verdana" w:hAnsi="Verdana"/>
          <w:sz w:val="16"/>
          <w:szCs w:val="16"/>
          <w:lang w:val="es-CR"/>
        </w:rPr>
        <w:t>:</w:t>
      </w:r>
      <w:r w:rsidRPr="007D2268">
        <w:rPr>
          <w:rFonts w:ascii="Verdana" w:hAnsi="Verdana"/>
          <w:sz w:val="16"/>
          <w:szCs w:val="16"/>
          <w:lang w:val="es-CR"/>
        </w:rPr>
        <w:t xml:space="preserve"> </w:t>
      </w:r>
      <w:r>
        <w:rPr>
          <w:rFonts w:ascii="Verdana" w:hAnsi="Verdana"/>
          <w:sz w:val="16"/>
          <w:szCs w:val="16"/>
          <w:lang w:val="es-CR"/>
        </w:rPr>
        <w:t xml:space="preserve">a) </w:t>
      </w:r>
      <w:r w:rsidRPr="007D2268">
        <w:rPr>
          <w:rFonts w:ascii="Verdana" w:hAnsi="Verdana"/>
          <w:sz w:val="16"/>
          <w:szCs w:val="16"/>
          <w:lang w:val="es-CR"/>
        </w:rPr>
        <w:t>la publicación de la sentencia y su resumen oficial (</w:t>
      </w:r>
      <w:r w:rsidRPr="007D2268">
        <w:rPr>
          <w:rFonts w:ascii="Verdana" w:hAnsi="Verdana"/>
          <w:i/>
          <w:sz w:val="16"/>
          <w:szCs w:val="16"/>
          <w:lang w:val="es-CR"/>
        </w:rPr>
        <w:t>punto resolutivo décimo de la Sentencia</w:t>
      </w:r>
      <w:r w:rsidRPr="007D2268">
        <w:rPr>
          <w:rFonts w:ascii="Verdana" w:hAnsi="Verdana"/>
          <w:sz w:val="16"/>
          <w:szCs w:val="16"/>
          <w:lang w:val="es-CR"/>
        </w:rPr>
        <w:t xml:space="preserve">); </w:t>
      </w:r>
      <w:r>
        <w:rPr>
          <w:rFonts w:ascii="Verdana" w:hAnsi="Verdana"/>
          <w:sz w:val="16"/>
          <w:szCs w:val="16"/>
          <w:lang w:val="es-CR"/>
        </w:rPr>
        <w:t xml:space="preserve">b) </w:t>
      </w:r>
      <w:r w:rsidRPr="007D2268">
        <w:rPr>
          <w:rFonts w:ascii="Verdana" w:hAnsi="Verdana"/>
          <w:sz w:val="16"/>
          <w:szCs w:val="16"/>
          <w:lang w:val="es-CR"/>
        </w:rPr>
        <w:t>asegurar que la Ley de Amnistía General para la Consolidación de la Paz no volviera a representar un obstáculo para la investigación de los hechos materia del presente caso ni para la identificación, juzgamiento y eventual sanción de los responsables de los mismos y de otras graves violaciones de derechos humanos similares acontecidas durante el conflicto armado en El Salvador (</w:t>
      </w:r>
      <w:r w:rsidRPr="007D2268">
        <w:rPr>
          <w:rFonts w:ascii="Verdana" w:hAnsi="Verdana"/>
          <w:i/>
          <w:sz w:val="16"/>
          <w:szCs w:val="16"/>
          <w:lang w:val="es-CR"/>
        </w:rPr>
        <w:t>punto resolutivo cuarto de la Sentencia</w:t>
      </w:r>
      <w:r w:rsidRPr="007D2268">
        <w:rPr>
          <w:rFonts w:ascii="Verdana" w:hAnsi="Verdana"/>
          <w:sz w:val="16"/>
          <w:szCs w:val="16"/>
          <w:lang w:val="es-CR"/>
        </w:rPr>
        <w:t>)</w:t>
      </w:r>
      <w:r>
        <w:rPr>
          <w:rFonts w:ascii="Verdana" w:hAnsi="Verdana"/>
          <w:sz w:val="16"/>
          <w:szCs w:val="16"/>
          <w:lang w:val="es-CR"/>
        </w:rPr>
        <w:t>,</w:t>
      </w:r>
      <w:r w:rsidRPr="007D2268">
        <w:rPr>
          <w:rFonts w:ascii="Verdana" w:hAnsi="Verdana"/>
          <w:sz w:val="16"/>
          <w:szCs w:val="16"/>
          <w:lang w:val="es-CR"/>
        </w:rPr>
        <w:t xml:space="preserve"> y </w:t>
      </w:r>
      <w:r>
        <w:rPr>
          <w:rFonts w:ascii="Verdana" w:hAnsi="Verdana"/>
          <w:sz w:val="16"/>
          <w:szCs w:val="16"/>
          <w:lang w:val="es-CR"/>
        </w:rPr>
        <w:t xml:space="preserve">c) </w:t>
      </w:r>
      <w:r w:rsidRPr="007D2268">
        <w:rPr>
          <w:rFonts w:ascii="Verdana" w:hAnsi="Verdana"/>
          <w:sz w:val="16"/>
          <w:szCs w:val="16"/>
          <w:lang w:val="es-CR"/>
        </w:rPr>
        <w:t xml:space="preserve">el pago de las cantidades fijadas correspondientes al reintegro de costas y gastos </w:t>
      </w:r>
      <w:r w:rsidRPr="007D2268">
        <w:rPr>
          <w:rFonts w:ascii="Verdana" w:hAnsi="Verdana"/>
          <w:i/>
          <w:sz w:val="16"/>
          <w:szCs w:val="16"/>
          <w:lang w:val="es-CR"/>
        </w:rPr>
        <w:t>(punto resolutivo décimo tercero de la Sentencia)</w:t>
      </w:r>
      <w:r w:rsidRPr="007D2268">
        <w:rPr>
          <w:rFonts w:ascii="Verdana" w:hAnsi="Verdana"/>
          <w:sz w:val="16"/>
          <w:szCs w:val="16"/>
          <w:lang w:val="es-CR"/>
        </w:rPr>
        <w:t>.</w:t>
      </w:r>
    </w:p>
  </w:footnote>
  <w:footnote w:id="11">
    <w:p w14:paraId="3EFD7B9E" w14:textId="6D2E9CBC" w:rsidR="001D18EB" w:rsidRPr="007D2268" w:rsidRDefault="001D18EB" w:rsidP="007D2268">
      <w:pPr>
        <w:pStyle w:val="FootnoteText"/>
        <w:tabs>
          <w:tab w:val="left" w:pos="426"/>
        </w:tabs>
        <w:ind w:right="4"/>
        <w:jc w:val="both"/>
        <w:rPr>
          <w:rFonts w:ascii="Verdana" w:hAnsi="Verdana"/>
          <w:b/>
          <w:color w:val="000000"/>
          <w:sz w:val="16"/>
          <w:szCs w:val="16"/>
          <w:lang w:val="es-CR"/>
        </w:rPr>
      </w:pPr>
      <w:r w:rsidRPr="007D2268">
        <w:rPr>
          <w:rStyle w:val="FootnoteReference"/>
          <w:rFonts w:ascii="Verdana" w:hAnsi="Verdana"/>
          <w:sz w:val="16"/>
          <w:szCs w:val="16"/>
        </w:rPr>
        <w:footnoteRef/>
      </w:r>
      <w:r w:rsidRPr="007D2268">
        <w:rPr>
          <w:rFonts w:ascii="Verdana" w:hAnsi="Verdana"/>
          <w:i/>
          <w:color w:val="000000"/>
          <w:sz w:val="16"/>
          <w:szCs w:val="16"/>
          <w:lang w:val="es-AR"/>
        </w:rPr>
        <w:t xml:space="preserve"> </w:t>
      </w:r>
      <w:r w:rsidRPr="007D2268">
        <w:rPr>
          <w:rFonts w:ascii="Verdana" w:hAnsi="Verdana"/>
          <w:i/>
          <w:color w:val="000000"/>
          <w:sz w:val="16"/>
          <w:szCs w:val="16"/>
          <w:lang w:val="es-AR"/>
        </w:rPr>
        <w:tab/>
        <w:t xml:space="preserve">Cfr. Caso Cinco Pensionistas Vs. Perú. </w:t>
      </w:r>
      <w:r w:rsidRPr="007D2268">
        <w:rPr>
          <w:rFonts w:ascii="Verdana" w:hAnsi="Verdana"/>
          <w:color w:val="000000"/>
          <w:sz w:val="16"/>
          <w:szCs w:val="16"/>
          <w:lang w:val="es-AR"/>
        </w:rPr>
        <w:t xml:space="preserve">Resolución de la Corte Interamericana de Derechos Humanos de 17 de noviembre de 2004, Considerando 5, y </w:t>
      </w:r>
      <w:r w:rsidRPr="007D2268">
        <w:rPr>
          <w:rFonts w:ascii="Verdana" w:hAnsi="Verdana"/>
          <w:i/>
          <w:color w:val="000000"/>
          <w:sz w:val="16"/>
          <w:szCs w:val="16"/>
          <w:lang w:val="es-AR"/>
        </w:rPr>
        <w:t xml:space="preserve">Caso </w:t>
      </w:r>
      <w:r>
        <w:rPr>
          <w:rFonts w:ascii="Verdana" w:hAnsi="Verdana"/>
          <w:i/>
          <w:color w:val="000000"/>
          <w:sz w:val="16"/>
          <w:szCs w:val="16"/>
          <w:lang w:val="es-AR"/>
        </w:rPr>
        <w:t xml:space="preserve">Trabajadores Cesados de Petroperú y otros </w:t>
      </w:r>
      <w:r w:rsidRPr="007D2268">
        <w:rPr>
          <w:rFonts w:ascii="Verdana" w:hAnsi="Verdana"/>
          <w:i/>
          <w:color w:val="000000"/>
          <w:sz w:val="16"/>
          <w:szCs w:val="16"/>
          <w:lang w:val="es-AR"/>
        </w:rPr>
        <w:t xml:space="preserve">Vs. </w:t>
      </w:r>
      <w:r>
        <w:rPr>
          <w:rFonts w:ascii="Verdana" w:hAnsi="Verdana"/>
          <w:i/>
          <w:color w:val="000000"/>
          <w:sz w:val="16"/>
          <w:szCs w:val="16"/>
          <w:lang w:val="es-AR"/>
        </w:rPr>
        <w:t>Perú</w:t>
      </w:r>
      <w:r w:rsidRPr="007D2268">
        <w:rPr>
          <w:rFonts w:ascii="Verdana" w:hAnsi="Verdana"/>
          <w:i/>
          <w:color w:val="000000"/>
          <w:sz w:val="16"/>
          <w:szCs w:val="16"/>
          <w:lang w:val="es-AR"/>
        </w:rPr>
        <w:t xml:space="preserve">. Supervisión de Cumplimiento de Sentencia. </w:t>
      </w:r>
      <w:r w:rsidRPr="007D2268">
        <w:rPr>
          <w:rFonts w:ascii="Verdana" w:hAnsi="Verdana"/>
          <w:color w:val="000000"/>
          <w:sz w:val="16"/>
          <w:szCs w:val="16"/>
          <w:lang w:val="es-AR"/>
        </w:rPr>
        <w:t xml:space="preserve">Resolución de la Corte Interamericana de Derechos Humanos </w:t>
      </w:r>
      <w:r>
        <w:rPr>
          <w:rFonts w:ascii="Verdana" w:hAnsi="Verdana"/>
          <w:color w:val="000000"/>
          <w:sz w:val="16"/>
          <w:szCs w:val="16"/>
          <w:lang w:val="es-AR"/>
        </w:rPr>
        <w:t xml:space="preserve">de </w:t>
      </w:r>
      <w:r w:rsidRPr="007D2268">
        <w:rPr>
          <w:rFonts w:ascii="Verdana" w:hAnsi="Verdana"/>
          <w:color w:val="000000"/>
          <w:sz w:val="16"/>
          <w:szCs w:val="16"/>
          <w:lang w:val="es-AR"/>
        </w:rPr>
        <w:t>2</w:t>
      </w:r>
      <w:r>
        <w:rPr>
          <w:rFonts w:ascii="Verdana" w:hAnsi="Verdana"/>
          <w:color w:val="000000"/>
          <w:sz w:val="16"/>
          <w:szCs w:val="16"/>
          <w:lang w:val="es-AR"/>
        </w:rPr>
        <w:t>6</w:t>
      </w:r>
      <w:r w:rsidRPr="007D2268">
        <w:rPr>
          <w:rFonts w:ascii="Verdana" w:hAnsi="Verdana"/>
          <w:color w:val="000000"/>
          <w:sz w:val="16"/>
          <w:szCs w:val="16"/>
          <w:lang w:val="es-AR"/>
        </w:rPr>
        <w:t xml:space="preserve"> de </w:t>
      </w:r>
      <w:r>
        <w:rPr>
          <w:rFonts w:ascii="Verdana" w:hAnsi="Verdana"/>
          <w:color w:val="000000"/>
          <w:sz w:val="16"/>
          <w:szCs w:val="16"/>
          <w:lang w:val="es-AR"/>
        </w:rPr>
        <w:t>septiembre</w:t>
      </w:r>
      <w:r w:rsidRPr="007D2268">
        <w:rPr>
          <w:rFonts w:ascii="Verdana" w:hAnsi="Verdana"/>
          <w:color w:val="000000"/>
          <w:sz w:val="16"/>
          <w:szCs w:val="16"/>
          <w:lang w:val="es-AR"/>
        </w:rPr>
        <w:t xml:space="preserve"> de 201</w:t>
      </w:r>
      <w:r>
        <w:rPr>
          <w:rFonts w:ascii="Verdana" w:hAnsi="Verdana"/>
          <w:color w:val="000000"/>
          <w:sz w:val="16"/>
          <w:szCs w:val="16"/>
          <w:lang w:val="es-AR"/>
        </w:rPr>
        <w:t>8</w:t>
      </w:r>
      <w:r w:rsidRPr="007D2268">
        <w:rPr>
          <w:rStyle w:val="Strong"/>
          <w:rFonts w:ascii="Verdana" w:hAnsi="Verdana"/>
          <w:b w:val="0"/>
          <w:color w:val="000000"/>
          <w:sz w:val="16"/>
          <w:szCs w:val="16"/>
          <w:shd w:val="clear" w:color="auto" w:fill="FFFFFF"/>
          <w:lang w:val="es-CR"/>
        </w:rPr>
        <w:t>, Considerando 2.</w:t>
      </w:r>
    </w:p>
  </w:footnote>
  <w:footnote w:id="12">
    <w:p w14:paraId="1D7C23BC" w14:textId="4D441BF6" w:rsidR="001D18EB" w:rsidRPr="007D2268" w:rsidRDefault="001D18EB" w:rsidP="007D2268">
      <w:pPr>
        <w:pStyle w:val="FootnoteText"/>
        <w:tabs>
          <w:tab w:val="left" w:pos="426"/>
        </w:tabs>
        <w:ind w:right="4"/>
        <w:jc w:val="both"/>
        <w:rPr>
          <w:rFonts w:ascii="Verdana" w:hAnsi="Verdana"/>
          <w:b/>
          <w:color w:val="000000"/>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r>
      <w:r w:rsidRPr="007D2268">
        <w:rPr>
          <w:rFonts w:ascii="Verdana" w:hAnsi="Verdana"/>
          <w:i/>
          <w:sz w:val="16"/>
          <w:szCs w:val="16"/>
          <w:lang w:val="es-CR"/>
        </w:rPr>
        <w:t xml:space="preserve">Cfr. Caso </w:t>
      </w:r>
      <w:proofErr w:type="spellStart"/>
      <w:r w:rsidRPr="007D2268">
        <w:rPr>
          <w:rFonts w:ascii="Verdana" w:hAnsi="Verdana"/>
          <w:i/>
          <w:sz w:val="16"/>
          <w:szCs w:val="16"/>
          <w:lang w:val="es-CR"/>
        </w:rPr>
        <w:t>Ivcher</w:t>
      </w:r>
      <w:proofErr w:type="spellEnd"/>
      <w:r w:rsidRPr="007D2268">
        <w:rPr>
          <w:rFonts w:ascii="Verdana" w:hAnsi="Verdana"/>
          <w:i/>
          <w:sz w:val="16"/>
          <w:szCs w:val="16"/>
          <w:lang w:val="es-CR"/>
        </w:rPr>
        <w:t xml:space="preserve"> </w:t>
      </w:r>
      <w:proofErr w:type="spellStart"/>
      <w:r w:rsidRPr="007D2268">
        <w:rPr>
          <w:rFonts w:ascii="Verdana" w:hAnsi="Verdana"/>
          <w:i/>
          <w:sz w:val="16"/>
          <w:szCs w:val="16"/>
          <w:lang w:val="es-CR"/>
        </w:rPr>
        <w:t>Bronstein</w:t>
      </w:r>
      <w:proofErr w:type="spellEnd"/>
      <w:r w:rsidRPr="007D2268">
        <w:rPr>
          <w:rFonts w:ascii="Verdana" w:hAnsi="Verdana"/>
          <w:i/>
          <w:sz w:val="16"/>
          <w:szCs w:val="16"/>
          <w:lang w:val="es-CR"/>
        </w:rPr>
        <w:t xml:space="preserve"> Vs. Perú. Competencia</w:t>
      </w:r>
      <w:r w:rsidRPr="007D2268">
        <w:rPr>
          <w:rFonts w:ascii="Verdana" w:hAnsi="Verdana"/>
          <w:sz w:val="16"/>
          <w:szCs w:val="16"/>
          <w:lang w:val="es-CR"/>
        </w:rPr>
        <w:t xml:space="preserve">. Sentencia de la Corte Interamericana de Derechos Humanos de 24 de septiembre de 1999. Serie C No. 54, párr. 37, y </w:t>
      </w:r>
      <w:r w:rsidRPr="007D2268">
        <w:rPr>
          <w:rFonts w:ascii="Verdana" w:hAnsi="Verdana"/>
          <w:i/>
          <w:color w:val="000000"/>
          <w:sz w:val="16"/>
          <w:szCs w:val="16"/>
          <w:lang w:val="es-AR"/>
        </w:rPr>
        <w:t xml:space="preserve">Caso </w:t>
      </w:r>
      <w:r>
        <w:rPr>
          <w:rFonts w:ascii="Verdana" w:hAnsi="Verdana"/>
          <w:i/>
          <w:color w:val="000000"/>
          <w:sz w:val="16"/>
          <w:szCs w:val="16"/>
          <w:lang w:val="es-AR"/>
        </w:rPr>
        <w:t>Trabajadores Cesados de Petroperú y otros</w:t>
      </w:r>
      <w:r w:rsidRPr="007D2268">
        <w:rPr>
          <w:rFonts w:ascii="Verdana" w:hAnsi="Verdana"/>
          <w:i/>
          <w:color w:val="000000"/>
          <w:sz w:val="16"/>
          <w:szCs w:val="16"/>
          <w:lang w:val="es-AR"/>
        </w:rPr>
        <w:t xml:space="preserve"> Vs. </w:t>
      </w:r>
      <w:r>
        <w:rPr>
          <w:rFonts w:ascii="Verdana" w:hAnsi="Verdana"/>
          <w:i/>
          <w:color w:val="000000"/>
          <w:sz w:val="16"/>
          <w:szCs w:val="16"/>
          <w:lang w:val="es-AR"/>
        </w:rPr>
        <w:t>Perú</w:t>
      </w:r>
      <w:r w:rsidR="00C17B8E">
        <w:rPr>
          <w:rFonts w:ascii="Verdana" w:hAnsi="Verdana"/>
          <w:i/>
          <w:color w:val="000000"/>
          <w:sz w:val="16"/>
          <w:szCs w:val="16"/>
          <w:lang w:val="es-AR"/>
        </w:rPr>
        <w:t>,</w:t>
      </w:r>
      <w:r w:rsidRPr="007D2268">
        <w:rPr>
          <w:rFonts w:ascii="Verdana" w:hAnsi="Verdana"/>
          <w:i/>
          <w:color w:val="000000"/>
          <w:sz w:val="16"/>
          <w:szCs w:val="16"/>
          <w:lang w:val="es-AR"/>
        </w:rPr>
        <w:t xml:space="preserve"> </w:t>
      </w:r>
      <w:r w:rsidR="00C17B8E">
        <w:rPr>
          <w:rFonts w:ascii="Verdana" w:hAnsi="Verdana"/>
          <w:i/>
          <w:color w:val="000000"/>
          <w:sz w:val="16"/>
          <w:szCs w:val="16"/>
          <w:lang w:val="es-AR"/>
        </w:rPr>
        <w:t>Supra</w:t>
      </w:r>
      <w:r w:rsidR="00C17B8E">
        <w:rPr>
          <w:rFonts w:ascii="Verdana" w:hAnsi="Verdana"/>
          <w:color w:val="000000"/>
          <w:sz w:val="16"/>
          <w:szCs w:val="16"/>
          <w:lang w:val="es-AR"/>
        </w:rPr>
        <w:t xml:space="preserve"> nota 11</w:t>
      </w:r>
      <w:r w:rsidRPr="007D2268">
        <w:rPr>
          <w:rStyle w:val="Strong"/>
          <w:rFonts w:ascii="Verdana" w:hAnsi="Verdana"/>
          <w:b w:val="0"/>
          <w:color w:val="000000"/>
          <w:sz w:val="16"/>
          <w:szCs w:val="16"/>
          <w:shd w:val="clear" w:color="auto" w:fill="FFFFFF"/>
          <w:lang w:val="es-CR"/>
        </w:rPr>
        <w:t>, Considerando 2.</w:t>
      </w:r>
    </w:p>
  </w:footnote>
  <w:footnote w:id="13">
    <w:p w14:paraId="721B0F47" w14:textId="36709E35" w:rsidR="001D18EB" w:rsidRPr="000B162B" w:rsidRDefault="001D18EB" w:rsidP="00202093">
      <w:pPr>
        <w:pStyle w:val="FootnoteText"/>
        <w:jc w:val="both"/>
        <w:rPr>
          <w:rFonts w:ascii="Verdana" w:hAnsi="Verdana"/>
          <w:sz w:val="16"/>
          <w:szCs w:val="16"/>
          <w:lang w:val="es-ES_tradnl"/>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ES_tradnl"/>
        </w:rPr>
        <w:tab/>
      </w:r>
      <w:r w:rsidRPr="007D2268">
        <w:rPr>
          <w:rFonts w:ascii="Verdana" w:hAnsi="Verdana"/>
          <w:i/>
          <w:sz w:val="16"/>
          <w:szCs w:val="16"/>
          <w:lang w:val="es-ES_tradnl"/>
        </w:rPr>
        <w:t>Cfr. Caso Artavia Murillo y otros (“Fecundación In Vitro”) Vs. Costa Rica. Supervisión de Cumplimiento de Sentencia.</w:t>
      </w:r>
      <w:r w:rsidRPr="007D2268">
        <w:rPr>
          <w:rFonts w:ascii="Verdana" w:hAnsi="Verdana"/>
          <w:sz w:val="16"/>
          <w:szCs w:val="16"/>
          <w:lang w:val="es-ES_tradnl"/>
        </w:rPr>
        <w:t xml:space="preserve"> Resolución de la Corte Interamericana de Derechos Humanos de 26 de febrero de 2016, Considerando 2; </w:t>
      </w:r>
      <w:r w:rsidRPr="007D2268">
        <w:rPr>
          <w:rFonts w:ascii="Verdana" w:hAnsi="Verdana"/>
          <w:i/>
          <w:sz w:val="16"/>
          <w:szCs w:val="16"/>
          <w:lang w:val="es-ES_tradnl"/>
        </w:rPr>
        <w:t xml:space="preserve">Caso Penal Miguel Castro </w:t>
      </w:r>
      <w:proofErr w:type="spellStart"/>
      <w:r w:rsidRPr="007D2268">
        <w:rPr>
          <w:rFonts w:ascii="Verdana" w:hAnsi="Verdana"/>
          <w:i/>
          <w:sz w:val="16"/>
          <w:szCs w:val="16"/>
          <w:lang w:val="es-ES_tradnl"/>
        </w:rPr>
        <w:t>Castro</w:t>
      </w:r>
      <w:proofErr w:type="spellEnd"/>
      <w:r w:rsidRPr="007D2268">
        <w:rPr>
          <w:rFonts w:ascii="Verdana" w:hAnsi="Verdana"/>
          <w:i/>
          <w:sz w:val="16"/>
          <w:szCs w:val="16"/>
          <w:lang w:val="es-ES_tradnl"/>
        </w:rPr>
        <w:t xml:space="preserve"> Vs. Perú. Supervisión de Cumplimiento de Sentencia. </w:t>
      </w:r>
      <w:r w:rsidRPr="007D2268">
        <w:rPr>
          <w:rFonts w:ascii="Verdana" w:hAnsi="Verdana"/>
          <w:sz w:val="16"/>
          <w:szCs w:val="16"/>
          <w:lang w:val="es-ES_tradnl"/>
        </w:rPr>
        <w:t xml:space="preserve">Resolución de la Corte Interamericana de Derechos Humanos de 9 de febrero de 2017, Considerando 3; y </w:t>
      </w:r>
      <w:r>
        <w:rPr>
          <w:rFonts w:ascii="Verdana" w:hAnsi="Verdana"/>
          <w:i/>
          <w:sz w:val="16"/>
          <w:szCs w:val="16"/>
          <w:lang w:val="es-ES_tradnl"/>
        </w:rPr>
        <w:t xml:space="preserve">Caso Masacres de El Mozote y lugares aledaños Vs. El Salvador. Supervisión de Cumplimiento de Sentencia. </w:t>
      </w:r>
      <w:r>
        <w:rPr>
          <w:rFonts w:ascii="Verdana" w:hAnsi="Verdana"/>
          <w:sz w:val="16"/>
          <w:szCs w:val="16"/>
          <w:lang w:val="es-ES_tradnl"/>
        </w:rPr>
        <w:t>Resolución de la Corte Interamericana de Derechos Humanos de 31 de agosto de 2017, Considerando 3.</w:t>
      </w:r>
    </w:p>
  </w:footnote>
  <w:footnote w:id="14">
    <w:p w14:paraId="72F900C6" w14:textId="15ED3499"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 xml:space="preserve">A esta reunión comparecieron:  a) por parte del Estado: Francisco Rubén Alvarado, Secretario de Asuntos Legislativos y Jurídicos de la Presidencia; Tania Camila Rosa, Directora General de Derechos Humanos de la Cancillería y Agente del Estado; Salomón Benedicto Acevedo, Director General de la Administración </w:t>
      </w:r>
      <w:r>
        <w:rPr>
          <w:rFonts w:ascii="Verdana" w:hAnsi="Verdana"/>
          <w:sz w:val="16"/>
          <w:szCs w:val="16"/>
          <w:lang w:val="es-CO"/>
        </w:rPr>
        <w:t>F</w:t>
      </w:r>
      <w:r w:rsidRPr="007D2268">
        <w:rPr>
          <w:rFonts w:ascii="Verdana" w:hAnsi="Verdana"/>
          <w:sz w:val="16"/>
          <w:szCs w:val="16"/>
          <w:lang w:val="es-CO"/>
        </w:rPr>
        <w:t>inanciera Institucional de la Cancillería salvadoreña; Mabel Hernández, Sub-Directora de la Dirección General de Estadísticas y Censos; Carlos Sáenz, Coordinador del Consejo Directivo del Registro Único de Víctimas y familiares de víctimas de Graves Violaciones a los Derechos Humanos en el contexto de las Masacres de El Mozote y lugares aledaños; Antonio Aguilar</w:t>
      </w:r>
      <w:r w:rsidR="00C17B8E" w:rsidRPr="00C17B8E">
        <w:rPr>
          <w:rFonts w:ascii="Verdana" w:hAnsi="Verdana"/>
          <w:sz w:val="16"/>
          <w:szCs w:val="16"/>
          <w:lang w:val="es-CO"/>
        </w:rPr>
        <w:t xml:space="preserve"> </w:t>
      </w:r>
      <w:r w:rsidR="00C17B8E">
        <w:rPr>
          <w:rFonts w:ascii="Verdana" w:hAnsi="Verdana"/>
          <w:sz w:val="16"/>
          <w:szCs w:val="16"/>
          <w:lang w:val="es-CO"/>
        </w:rPr>
        <w:t xml:space="preserve">y </w:t>
      </w:r>
      <w:r w:rsidR="00C17B8E" w:rsidRPr="007D2268">
        <w:rPr>
          <w:rFonts w:ascii="Verdana" w:hAnsi="Verdana"/>
          <w:sz w:val="16"/>
          <w:szCs w:val="16"/>
          <w:lang w:val="es-CO"/>
        </w:rPr>
        <w:t>Jorge Martínez</w:t>
      </w:r>
      <w:r w:rsidRPr="007D2268">
        <w:rPr>
          <w:rFonts w:ascii="Verdana" w:hAnsi="Verdana"/>
          <w:sz w:val="16"/>
          <w:szCs w:val="16"/>
          <w:lang w:val="es-CO"/>
        </w:rPr>
        <w:t>, Asesor</w:t>
      </w:r>
      <w:r w:rsidR="00C17B8E">
        <w:rPr>
          <w:rFonts w:ascii="Verdana" w:hAnsi="Verdana"/>
          <w:sz w:val="16"/>
          <w:szCs w:val="16"/>
          <w:lang w:val="es-CO"/>
        </w:rPr>
        <w:t>es</w:t>
      </w:r>
      <w:r w:rsidRPr="007D2268">
        <w:rPr>
          <w:rFonts w:ascii="Verdana" w:hAnsi="Verdana"/>
          <w:sz w:val="16"/>
          <w:szCs w:val="16"/>
          <w:lang w:val="es-CO"/>
        </w:rPr>
        <w:t xml:space="preserve"> de la Secretaría de Asuntos Legislativos y Jurídicos de la Presidencia; Ivonne Argueta, Directora de Coordinación de Gobierno de la Secretaría Técnica y de Planificación de la Presidencia; y Elio Portillo</w:t>
      </w:r>
      <w:r w:rsidR="00C17B8E">
        <w:rPr>
          <w:rFonts w:ascii="Verdana" w:hAnsi="Verdana"/>
          <w:sz w:val="16"/>
          <w:szCs w:val="16"/>
          <w:lang w:val="es-CO"/>
        </w:rPr>
        <w:t xml:space="preserve"> e Irma Elena Claros</w:t>
      </w:r>
      <w:r w:rsidRPr="007D2268">
        <w:rPr>
          <w:rFonts w:ascii="Verdana" w:hAnsi="Verdana"/>
          <w:sz w:val="16"/>
          <w:szCs w:val="16"/>
          <w:lang w:val="es-CO"/>
        </w:rPr>
        <w:t>, Técnico</w:t>
      </w:r>
      <w:r w:rsidR="00C17B8E">
        <w:rPr>
          <w:rFonts w:ascii="Verdana" w:hAnsi="Verdana"/>
          <w:sz w:val="16"/>
          <w:szCs w:val="16"/>
          <w:lang w:val="es-CO"/>
        </w:rPr>
        <w:t>s</w:t>
      </w:r>
      <w:r w:rsidRPr="007D2268">
        <w:rPr>
          <w:rFonts w:ascii="Verdana" w:hAnsi="Verdana"/>
          <w:sz w:val="16"/>
          <w:szCs w:val="16"/>
          <w:lang w:val="es-CO"/>
        </w:rPr>
        <w:t xml:space="preserve"> de la Dirección General de Derechos Humanos de la Cancillería; b) por parte de las víctimas y sus representantes: Ovidio Mauricio y Wilfredo Medrano de la Oficina de Tutela Legal Dra. María Julia Hernández; y Gisela </w:t>
      </w:r>
      <w:r w:rsidR="00C17B8E">
        <w:rPr>
          <w:rFonts w:ascii="Verdana" w:hAnsi="Verdana"/>
          <w:sz w:val="16"/>
          <w:szCs w:val="16"/>
          <w:lang w:val="es-CO"/>
        </w:rPr>
        <w:t>D</w:t>
      </w:r>
      <w:r w:rsidRPr="007D2268">
        <w:rPr>
          <w:rFonts w:ascii="Verdana" w:hAnsi="Verdana"/>
          <w:sz w:val="16"/>
          <w:szCs w:val="16"/>
          <w:lang w:val="es-CO"/>
        </w:rPr>
        <w:t xml:space="preserve">e León del Centro por la Justicia y el Derecho Internacional (CEJIL), y c) por parte de la Comisión: </w:t>
      </w:r>
      <w:r w:rsidR="00C17B8E">
        <w:rPr>
          <w:rFonts w:ascii="Verdana" w:hAnsi="Verdana"/>
          <w:sz w:val="16"/>
          <w:szCs w:val="16"/>
          <w:lang w:val="es-CO"/>
        </w:rPr>
        <w:t>Silvia Serrano</w:t>
      </w:r>
      <w:r w:rsidRPr="007D2268">
        <w:rPr>
          <w:rFonts w:ascii="Verdana" w:hAnsi="Verdana"/>
          <w:sz w:val="16"/>
          <w:szCs w:val="16"/>
          <w:lang w:val="es-CO"/>
        </w:rPr>
        <w:t>, asesor</w:t>
      </w:r>
      <w:r w:rsidR="00C17B8E">
        <w:rPr>
          <w:rFonts w:ascii="Verdana" w:hAnsi="Verdana"/>
          <w:sz w:val="16"/>
          <w:szCs w:val="16"/>
          <w:lang w:val="es-CO"/>
        </w:rPr>
        <w:t>a</w:t>
      </w:r>
      <w:r w:rsidRPr="007D2268">
        <w:rPr>
          <w:rFonts w:ascii="Verdana" w:hAnsi="Verdana"/>
          <w:sz w:val="16"/>
          <w:szCs w:val="16"/>
          <w:lang w:val="es-CO"/>
        </w:rPr>
        <w:t xml:space="preserve">. </w:t>
      </w:r>
    </w:p>
  </w:footnote>
  <w:footnote w:id="15">
    <w:p w14:paraId="559F90B5" w14:textId="24FFD3BA"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 xml:space="preserve">A esta reunión comparecieron: a) por parte del Estado: Jorge </w:t>
      </w:r>
      <w:proofErr w:type="spellStart"/>
      <w:r w:rsidRPr="007D2268">
        <w:rPr>
          <w:rFonts w:ascii="Verdana" w:hAnsi="Verdana"/>
          <w:sz w:val="16"/>
          <w:szCs w:val="16"/>
          <w:lang w:val="es-CO"/>
        </w:rPr>
        <w:t>Urquilla</w:t>
      </w:r>
      <w:proofErr w:type="spellEnd"/>
      <w:r w:rsidRPr="007D2268">
        <w:rPr>
          <w:rFonts w:ascii="Verdana" w:hAnsi="Verdana"/>
          <w:sz w:val="16"/>
          <w:szCs w:val="16"/>
          <w:lang w:val="es-CO"/>
        </w:rPr>
        <w:t>, Juez Segundo de Primera Instancia de San Francisco de Gotera; Tania Camila Rosa, Directora General de Derechos Humanos de la Cancillería salvadoreña</w:t>
      </w:r>
      <w:r>
        <w:rPr>
          <w:rFonts w:ascii="Verdana" w:hAnsi="Verdana"/>
          <w:sz w:val="16"/>
          <w:szCs w:val="16"/>
          <w:lang w:val="es-CO"/>
        </w:rPr>
        <w:t xml:space="preserve"> y Agente del Estado en el presente caso</w:t>
      </w:r>
      <w:r w:rsidRPr="007D2268">
        <w:rPr>
          <w:rFonts w:ascii="Verdana" w:hAnsi="Verdana"/>
          <w:sz w:val="16"/>
          <w:szCs w:val="16"/>
          <w:lang w:val="es-CO"/>
        </w:rPr>
        <w:t xml:space="preserve">; Gloria Martínez, Directora de Sistemas Internacionales de Protección de Derechos Humanos; Carlos Sáenz, Coordinador del Consejo Directivo del Registro Único de Víctimas y familiares de víctimas de Graves Violaciones a los Derechos Humanos en el contexto de las Masacres de El Mozote y lugares aledaños; </w:t>
      </w:r>
      <w:r>
        <w:rPr>
          <w:rFonts w:ascii="Verdana" w:hAnsi="Verdana"/>
          <w:sz w:val="16"/>
          <w:szCs w:val="16"/>
          <w:lang w:val="es-CO"/>
        </w:rPr>
        <w:t xml:space="preserve">María Silvia Guillén, Comisionada Presidencial para los Derechos Humanos, </w:t>
      </w:r>
      <w:r w:rsidRPr="007D2268">
        <w:rPr>
          <w:rFonts w:ascii="Verdana" w:hAnsi="Verdana"/>
          <w:sz w:val="16"/>
          <w:szCs w:val="16"/>
          <w:lang w:val="es-CO"/>
        </w:rPr>
        <w:t>e Ivon</w:t>
      </w:r>
      <w:r>
        <w:rPr>
          <w:rFonts w:ascii="Verdana" w:hAnsi="Verdana"/>
          <w:sz w:val="16"/>
          <w:szCs w:val="16"/>
          <w:lang w:val="es-CO"/>
        </w:rPr>
        <w:t>n</w:t>
      </w:r>
      <w:r w:rsidRPr="007D2268">
        <w:rPr>
          <w:rFonts w:ascii="Verdana" w:hAnsi="Verdana"/>
          <w:sz w:val="16"/>
          <w:szCs w:val="16"/>
          <w:lang w:val="es-CO"/>
        </w:rPr>
        <w:t>e Argueta, Directora de Coordinación de Gobierno de la Secretaría Técnica y de Planificación</w:t>
      </w:r>
      <w:r>
        <w:rPr>
          <w:rFonts w:ascii="Verdana" w:hAnsi="Verdana"/>
          <w:sz w:val="16"/>
          <w:szCs w:val="16"/>
          <w:lang w:val="es-CO"/>
        </w:rPr>
        <w:t xml:space="preserve"> de la Presidencia</w:t>
      </w:r>
      <w:r w:rsidRPr="007D2268">
        <w:rPr>
          <w:rFonts w:ascii="Verdana" w:hAnsi="Verdana"/>
          <w:sz w:val="16"/>
          <w:szCs w:val="16"/>
          <w:lang w:val="es-CO"/>
        </w:rPr>
        <w:t xml:space="preserve">; b) por parte de las víctimas y sus representantes: Ovidio Mauricio y Wilfredo Medrano de la Oficina de Tutela Legal Dra. María Julia Hernández; Gisela </w:t>
      </w:r>
      <w:r w:rsidR="00C17B8E">
        <w:rPr>
          <w:rFonts w:ascii="Verdana" w:hAnsi="Verdana"/>
          <w:sz w:val="16"/>
          <w:szCs w:val="16"/>
          <w:lang w:val="es-CO"/>
        </w:rPr>
        <w:t>D</w:t>
      </w:r>
      <w:r w:rsidRPr="007D2268">
        <w:rPr>
          <w:rFonts w:ascii="Verdana" w:hAnsi="Verdana"/>
          <w:sz w:val="16"/>
          <w:szCs w:val="16"/>
          <w:lang w:val="es-CO"/>
        </w:rPr>
        <w:t>e León del Centro por la Justicia y el Derecho Internacional (CEJIL)</w:t>
      </w:r>
      <w:r>
        <w:rPr>
          <w:rFonts w:ascii="Verdana" w:hAnsi="Verdana"/>
          <w:sz w:val="16"/>
          <w:szCs w:val="16"/>
          <w:lang w:val="es-CO"/>
        </w:rPr>
        <w:t>,</w:t>
      </w:r>
      <w:r w:rsidRPr="007D2268">
        <w:rPr>
          <w:rFonts w:ascii="Verdana" w:hAnsi="Verdana"/>
          <w:sz w:val="16"/>
          <w:szCs w:val="16"/>
          <w:lang w:val="es-CO"/>
        </w:rPr>
        <w:t xml:space="preserve"> y</w:t>
      </w:r>
      <w:r w:rsidR="00C17B8E">
        <w:rPr>
          <w:rFonts w:ascii="Verdana" w:hAnsi="Verdana"/>
          <w:sz w:val="16"/>
          <w:szCs w:val="16"/>
          <w:lang w:val="es-CO"/>
        </w:rPr>
        <w:t xml:space="preserve"> las víctimas María </w:t>
      </w:r>
      <w:proofErr w:type="spellStart"/>
      <w:r w:rsidR="00C17B8E">
        <w:rPr>
          <w:rFonts w:ascii="Verdana" w:hAnsi="Verdana"/>
          <w:sz w:val="16"/>
          <w:szCs w:val="16"/>
          <w:lang w:val="es-CO"/>
        </w:rPr>
        <w:t>Dorila</w:t>
      </w:r>
      <w:proofErr w:type="spellEnd"/>
      <w:r w:rsidR="00C17B8E">
        <w:rPr>
          <w:rFonts w:ascii="Verdana" w:hAnsi="Verdana"/>
          <w:sz w:val="16"/>
          <w:szCs w:val="16"/>
          <w:lang w:val="es-CO"/>
        </w:rPr>
        <w:t xml:space="preserve"> Márquez de Márquez y</w:t>
      </w:r>
      <w:r w:rsidRPr="007D2268">
        <w:rPr>
          <w:rFonts w:ascii="Verdana" w:hAnsi="Verdana"/>
          <w:sz w:val="16"/>
          <w:szCs w:val="16"/>
          <w:lang w:val="es-CO"/>
        </w:rPr>
        <w:t xml:space="preserve"> José Fidel Pérez, y c) por parte de la Comisión: Christian González Chacón, asesor.</w:t>
      </w:r>
    </w:p>
  </w:footnote>
  <w:footnote w:id="16">
    <w:p w14:paraId="657F556E" w14:textId="4649F367"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A estas diligencias comparecieron: a) por parte del Estado: María Silvia Guillen, Comisionada Presidencial para los Derechos Humanos; Silvia Elena Regalado, Ministra de Cultura; Julio Robles Ticas, Vice Ministro de Salud; Carlos Canjura, Ministro de Educación; Emilio Ventura, Vice Ministro de Obras Públicas; Ivonne Argueta, Directora de Coordinación de Gobierno de la Secretaría Técnica y de Planificación</w:t>
      </w:r>
      <w:r>
        <w:rPr>
          <w:rFonts w:ascii="Verdana" w:hAnsi="Verdana"/>
          <w:sz w:val="16"/>
          <w:szCs w:val="16"/>
          <w:lang w:val="es-CO"/>
        </w:rPr>
        <w:t xml:space="preserve"> de la Presidencia</w:t>
      </w:r>
      <w:r w:rsidRPr="007D2268">
        <w:rPr>
          <w:rFonts w:ascii="Verdana" w:hAnsi="Verdana"/>
          <w:sz w:val="16"/>
          <w:szCs w:val="16"/>
          <w:lang w:val="es-CO"/>
        </w:rPr>
        <w:t>; Tania Camila Rosa, Directora General de Derechos Humanos de la Cancillería salvadoreña</w:t>
      </w:r>
      <w:r>
        <w:rPr>
          <w:rFonts w:ascii="Verdana" w:hAnsi="Verdana"/>
          <w:sz w:val="16"/>
          <w:szCs w:val="16"/>
          <w:lang w:val="es-CO"/>
        </w:rPr>
        <w:t xml:space="preserve"> y Agente del Estado en el presente caso</w:t>
      </w:r>
      <w:r w:rsidRPr="007D2268">
        <w:rPr>
          <w:rFonts w:ascii="Verdana" w:hAnsi="Verdana"/>
          <w:sz w:val="16"/>
          <w:szCs w:val="16"/>
          <w:lang w:val="es-CO"/>
        </w:rPr>
        <w:t xml:space="preserve">; Gloria Martínez, Directora de Sistemas Internacionales de Protección de Derechos Humanos; Cesar Pinera, Director Nacional de las Casas de Cultura; Xóchitl Panameño, </w:t>
      </w:r>
      <w:r>
        <w:rPr>
          <w:rFonts w:ascii="Verdana" w:hAnsi="Verdana"/>
          <w:sz w:val="16"/>
          <w:szCs w:val="16"/>
          <w:lang w:val="es-CO"/>
        </w:rPr>
        <w:t>Jefa</w:t>
      </w:r>
      <w:r w:rsidRPr="007D2268">
        <w:rPr>
          <w:rFonts w:ascii="Verdana" w:hAnsi="Verdana"/>
          <w:sz w:val="16"/>
          <w:szCs w:val="16"/>
          <w:lang w:val="es-CO"/>
        </w:rPr>
        <w:t xml:space="preserve"> de la Unidad de Atención a</w:t>
      </w:r>
      <w:r>
        <w:rPr>
          <w:rFonts w:ascii="Verdana" w:hAnsi="Verdana"/>
          <w:sz w:val="16"/>
          <w:szCs w:val="16"/>
          <w:lang w:val="es-CO"/>
        </w:rPr>
        <w:t xml:space="preserve"> la Persona</w:t>
      </w:r>
      <w:r w:rsidRPr="007D2268">
        <w:rPr>
          <w:rFonts w:ascii="Verdana" w:hAnsi="Verdana"/>
          <w:sz w:val="16"/>
          <w:szCs w:val="16"/>
          <w:lang w:val="es-CO"/>
        </w:rPr>
        <w:t xml:space="preserve"> Veteran</w:t>
      </w:r>
      <w:r>
        <w:rPr>
          <w:rFonts w:ascii="Verdana" w:hAnsi="Verdana"/>
          <w:sz w:val="16"/>
          <w:szCs w:val="16"/>
          <w:lang w:val="es-CO"/>
        </w:rPr>
        <w:t>a</w:t>
      </w:r>
      <w:r w:rsidRPr="007D2268">
        <w:rPr>
          <w:rFonts w:ascii="Verdana" w:hAnsi="Verdana"/>
          <w:sz w:val="16"/>
          <w:szCs w:val="16"/>
          <w:lang w:val="es-CO"/>
        </w:rPr>
        <w:t xml:space="preserve"> de Guerra</w:t>
      </w:r>
      <w:r>
        <w:rPr>
          <w:rFonts w:ascii="Verdana" w:hAnsi="Verdana"/>
          <w:sz w:val="16"/>
          <w:szCs w:val="16"/>
          <w:lang w:val="es-CO"/>
        </w:rPr>
        <w:t>,</w:t>
      </w:r>
      <w:r w:rsidRPr="007D2268">
        <w:rPr>
          <w:rFonts w:ascii="Verdana" w:hAnsi="Verdana"/>
          <w:sz w:val="16"/>
          <w:szCs w:val="16"/>
          <w:lang w:val="es-CO"/>
        </w:rPr>
        <w:t xml:space="preserve"> y Milton Portillo, Gerente de Planificación Estratégica del Minist</w:t>
      </w:r>
      <w:r>
        <w:rPr>
          <w:rFonts w:ascii="Verdana" w:hAnsi="Verdana"/>
          <w:sz w:val="16"/>
          <w:szCs w:val="16"/>
          <w:lang w:val="es-CO"/>
        </w:rPr>
        <w:t>e</w:t>
      </w:r>
      <w:r w:rsidRPr="007D2268">
        <w:rPr>
          <w:rFonts w:ascii="Verdana" w:hAnsi="Verdana"/>
          <w:sz w:val="16"/>
          <w:szCs w:val="16"/>
          <w:lang w:val="es-CO"/>
        </w:rPr>
        <w:t>r</w:t>
      </w:r>
      <w:r>
        <w:rPr>
          <w:rFonts w:ascii="Verdana" w:hAnsi="Verdana"/>
          <w:sz w:val="16"/>
          <w:szCs w:val="16"/>
          <w:lang w:val="es-CO"/>
        </w:rPr>
        <w:t>i</w:t>
      </w:r>
      <w:r w:rsidRPr="007D2268">
        <w:rPr>
          <w:rFonts w:ascii="Verdana" w:hAnsi="Verdana"/>
          <w:sz w:val="16"/>
          <w:szCs w:val="16"/>
          <w:lang w:val="es-CO"/>
        </w:rPr>
        <w:t xml:space="preserve">o de Educación; b) por parte de las víctimas y sus representantes: Ovidio Mauricio y Wilfredo Medrano de la Oficina de Tutela Legal Dra. María Julia Hernández; Gisela de León del Centro por la Justicia y el Derecho Internacional (CEJIL); y </w:t>
      </w:r>
      <w:r w:rsidR="00C17B8E">
        <w:rPr>
          <w:rFonts w:ascii="Verdana" w:hAnsi="Verdana"/>
          <w:sz w:val="16"/>
          <w:szCs w:val="16"/>
          <w:lang w:val="es-CO"/>
        </w:rPr>
        <w:t xml:space="preserve">las víctimas </w:t>
      </w:r>
      <w:r w:rsidRPr="007D2268">
        <w:rPr>
          <w:rFonts w:ascii="Verdana" w:hAnsi="Verdana"/>
          <w:sz w:val="16"/>
          <w:szCs w:val="16"/>
          <w:lang w:val="es-CO"/>
        </w:rPr>
        <w:t xml:space="preserve">María </w:t>
      </w:r>
      <w:proofErr w:type="spellStart"/>
      <w:r w:rsidRPr="007D2268">
        <w:rPr>
          <w:rFonts w:ascii="Verdana" w:hAnsi="Verdana"/>
          <w:sz w:val="16"/>
          <w:szCs w:val="16"/>
          <w:lang w:val="es-CO"/>
        </w:rPr>
        <w:t>Dorila</w:t>
      </w:r>
      <w:proofErr w:type="spellEnd"/>
      <w:r w:rsidRPr="007D2268">
        <w:rPr>
          <w:rFonts w:ascii="Verdana" w:hAnsi="Verdana"/>
          <w:sz w:val="16"/>
          <w:szCs w:val="16"/>
          <w:lang w:val="es-CO"/>
        </w:rPr>
        <w:t xml:space="preserve"> Márquez de Márquez, Sofía Romero Pereira, José David Argueta, Carlos Antonio Ponce, María de la Paz Chicas de Amaya, Saturnino Argueta Claros y José Antonio Claros; y c) por parte de la Comisión: Christian González Chacón, asesor.</w:t>
      </w:r>
    </w:p>
  </w:footnote>
  <w:footnote w:id="17">
    <w:p w14:paraId="60FD4975" w14:textId="4167B1F1"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 xml:space="preserve">A esta reunión comparecieron: a) por parte del Estado: María Silvia Guillen, Comisionada Presidencial para los Derechos Humanos; Doris Luz Rivas Galindo, Magistrada Presidenta de la Sala de lo Penal y del Consejo Directivo del Instituto de Medicina Legal; Julio César </w:t>
      </w:r>
      <w:proofErr w:type="spellStart"/>
      <w:r w:rsidRPr="007D2268">
        <w:rPr>
          <w:rFonts w:ascii="Verdana" w:hAnsi="Verdana"/>
          <w:sz w:val="16"/>
          <w:szCs w:val="16"/>
          <w:lang w:val="es-CO"/>
        </w:rPr>
        <w:t>Larrama</w:t>
      </w:r>
      <w:proofErr w:type="spellEnd"/>
      <w:r w:rsidRPr="007D2268">
        <w:rPr>
          <w:rFonts w:ascii="Verdana" w:hAnsi="Verdana"/>
          <w:sz w:val="16"/>
          <w:szCs w:val="16"/>
          <w:lang w:val="es-CO"/>
        </w:rPr>
        <w:t>, Coordinador del Grupo Fiscal para la Investigación de delitos cometidos en el conflicto armado interno de la Fiscalía General de la República; Carlos Sáenz, Coordinador del Consejo Directivo del Registro Único de Víctimas y familiares de víctimas de Graves Violaciones a los Derechos Humanos en el contexto de las Masacres de El Mozote y lugares aledaños; Tania Camila Rosa, Directora General de Derechos Humanos de la Cancillería salvadoreña</w:t>
      </w:r>
      <w:r>
        <w:rPr>
          <w:rFonts w:ascii="Verdana" w:hAnsi="Verdana"/>
          <w:sz w:val="16"/>
          <w:szCs w:val="16"/>
          <w:lang w:val="es-CO"/>
        </w:rPr>
        <w:t xml:space="preserve"> y Agente del Estado en el presente caso</w:t>
      </w:r>
      <w:r w:rsidRPr="007D2268">
        <w:rPr>
          <w:rFonts w:ascii="Verdana" w:hAnsi="Verdana"/>
          <w:sz w:val="16"/>
          <w:szCs w:val="16"/>
          <w:lang w:val="es-CO"/>
        </w:rPr>
        <w:t>; Gloria Martínez, Directora de Sistemas Internacionales de Protección de Derechos Humanos; Ivonne Argueta, Directora de Coordinación de Gobierno de la Secretaría Técnica y de Planificación</w:t>
      </w:r>
      <w:r>
        <w:rPr>
          <w:rFonts w:ascii="Verdana" w:hAnsi="Verdana"/>
          <w:sz w:val="16"/>
          <w:szCs w:val="16"/>
          <w:lang w:val="es-CO"/>
        </w:rPr>
        <w:t xml:space="preserve"> de la Presidencia</w:t>
      </w:r>
      <w:r w:rsidRPr="007D2268">
        <w:rPr>
          <w:rFonts w:ascii="Verdana" w:hAnsi="Verdana"/>
          <w:sz w:val="16"/>
          <w:szCs w:val="16"/>
          <w:lang w:val="es-CO"/>
        </w:rPr>
        <w:t xml:space="preserve">; y Armando Quijano, Jefe del Departamento de Antropología del Instituto de Medicina Legal; b) por parte de las víctimas y sus representantes: Ovidio Mauricio y Wilfredo Medrano de la Oficina de Tutela Legal Dra. María Julia Hernández; Gisela de León del Centro por la Justicia y el Derecho Internacional (CEJIL); y </w:t>
      </w:r>
      <w:r w:rsidR="00C17B8E">
        <w:rPr>
          <w:rFonts w:ascii="Verdana" w:hAnsi="Verdana"/>
          <w:sz w:val="16"/>
          <w:szCs w:val="16"/>
          <w:lang w:val="es-CO"/>
        </w:rPr>
        <w:t xml:space="preserve">las víctimas </w:t>
      </w:r>
      <w:r w:rsidRPr="007D2268">
        <w:rPr>
          <w:rFonts w:ascii="Verdana" w:hAnsi="Verdana"/>
          <w:sz w:val="16"/>
          <w:szCs w:val="16"/>
          <w:lang w:val="es-CO"/>
        </w:rPr>
        <w:t xml:space="preserve">José Cruz </w:t>
      </w:r>
      <w:proofErr w:type="spellStart"/>
      <w:r w:rsidRPr="007D2268">
        <w:rPr>
          <w:rFonts w:ascii="Verdana" w:hAnsi="Verdana"/>
          <w:sz w:val="16"/>
          <w:szCs w:val="16"/>
          <w:lang w:val="es-CO"/>
        </w:rPr>
        <w:t>Vigil</w:t>
      </w:r>
      <w:proofErr w:type="spellEnd"/>
      <w:r w:rsidRPr="007D2268">
        <w:rPr>
          <w:rFonts w:ascii="Verdana" w:hAnsi="Verdana"/>
          <w:sz w:val="16"/>
          <w:szCs w:val="16"/>
          <w:lang w:val="es-CO"/>
        </w:rPr>
        <w:t xml:space="preserve"> del Cid, María Eugenia Argueta de Santiago, María del Socorro López Sánchez, Amadeo Martínez, José </w:t>
      </w:r>
      <w:proofErr w:type="spellStart"/>
      <w:r w:rsidRPr="007D2268">
        <w:rPr>
          <w:rFonts w:ascii="Verdana" w:hAnsi="Verdana"/>
          <w:sz w:val="16"/>
          <w:szCs w:val="16"/>
          <w:lang w:val="es-CO"/>
        </w:rPr>
        <w:t>Gervacio</w:t>
      </w:r>
      <w:proofErr w:type="spellEnd"/>
      <w:r w:rsidRPr="007D2268">
        <w:rPr>
          <w:rFonts w:ascii="Verdana" w:hAnsi="Verdana"/>
          <w:sz w:val="16"/>
          <w:szCs w:val="16"/>
          <w:lang w:val="es-CO"/>
        </w:rPr>
        <w:t xml:space="preserve"> Díaz, José Amparo Martínez, Oscar Leonel Tobar Claros, José Orlando García Márquez, y María </w:t>
      </w:r>
      <w:proofErr w:type="spellStart"/>
      <w:r w:rsidRPr="007D2268">
        <w:rPr>
          <w:rFonts w:ascii="Verdana" w:hAnsi="Verdana"/>
          <w:sz w:val="16"/>
          <w:szCs w:val="16"/>
          <w:lang w:val="es-CO"/>
        </w:rPr>
        <w:t>Dorila</w:t>
      </w:r>
      <w:proofErr w:type="spellEnd"/>
      <w:r w:rsidRPr="007D2268">
        <w:rPr>
          <w:rFonts w:ascii="Verdana" w:hAnsi="Verdana"/>
          <w:sz w:val="16"/>
          <w:szCs w:val="16"/>
          <w:lang w:val="es-CO"/>
        </w:rPr>
        <w:t xml:space="preserve"> Márquez de Márquez; y c) por parte de la Comisión: Christian González Chacón, asesor.</w:t>
      </w:r>
    </w:p>
  </w:footnote>
  <w:footnote w:id="18">
    <w:p w14:paraId="5F97C87F" w14:textId="660EE8EB" w:rsidR="001D18EB" w:rsidRPr="009A5093" w:rsidRDefault="001D18EB" w:rsidP="009A5093">
      <w:pPr>
        <w:pStyle w:val="FootnoteText"/>
        <w:jc w:val="both"/>
        <w:rPr>
          <w:rFonts w:ascii="Verdana" w:hAnsi="Verdana"/>
          <w:sz w:val="16"/>
          <w:szCs w:val="16"/>
          <w:lang w:val="es-CR"/>
        </w:rPr>
      </w:pPr>
      <w:r w:rsidRPr="009A5093">
        <w:rPr>
          <w:rStyle w:val="FootnoteReference"/>
          <w:rFonts w:ascii="Verdana" w:hAnsi="Verdana"/>
          <w:sz w:val="16"/>
          <w:szCs w:val="16"/>
        </w:rPr>
        <w:footnoteRef/>
      </w:r>
      <w:r w:rsidRPr="009A5093">
        <w:rPr>
          <w:rFonts w:ascii="Verdana" w:hAnsi="Verdana"/>
          <w:sz w:val="16"/>
          <w:szCs w:val="16"/>
          <w:lang w:val="es-CR"/>
        </w:rPr>
        <w:t xml:space="preserve"> </w:t>
      </w:r>
      <w:r w:rsidRPr="009A5093">
        <w:rPr>
          <w:rFonts w:ascii="Verdana" w:hAnsi="Verdana"/>
          <w:sz w:val="16"/>
          <w:szCs w:val="16"/>
          <w:lang w:val="es-CR"/>
        </w:rPr>
        <w:tab/>
      </w:r>
      <w:r>
        <w:rPr>
          <w:rFonts w:ascii="Verdana" w:hAnsi="Verdana"/>
          <w:i/>
          <w:sz w:val="16"/>
          <w:szCs w:val="16"/>
          <w:lang w:val="es-CR"/>
        </w:rPr>
        <w:t xml:space="preserve">Cfr. Caso de las Masacres de El Mozote y lugares aledaños Vs. El Salvador, supra </w:t>
      </w:r>
      <w:r>
        <w:rPr>
          <w:rFonts w:ascii="Verdana" w:hAnsi="Verdana"/>
          <w:sz w:val="16"/>
          <w:szCs w:val="16"/>
          <w:lang w:val="es-CR"/>
        </w:rPr>
        <w:t xml:space="preserve">nota 1, párr. </w:t>
      </w:r>
      <w:r w:rsidRPr="009A5093">
        <w:rPr>
          <w:rFonts w:ascii="Verdana" w:hAnsi="Verdana"/>
          <w:sz w:val="16"/>
          <w:szCs w:val="16"/>
          <w:lang w:val="es-CR"/>
        </w:rPr>
        <w:t xml:space="preserve">309  </w:t>
      </w:r>
    </w:p>
  </w:footnote>
  <w:footnote w:id="19">
    <w:p w14:paraId="11190E2E" w14:textId="341D1D49" w:rsidR="001D18EB" w:rsidRPr="00442BC3" w:rsidRDefault="001D18EB" w:rsidP="00442BC3">
      <w:pPr>
        <w:pStyle w:val="FootnoteText"/>
        <w:jc w:val="both"/>
        <w:rPr>
          <w:rFonts w:ascii="Verdana" w:hAnsi="Verdana"/>
          <w:sz w:val="16"/>
          <w:szCs w:val="16"/>
          <w:lang w:val="es-CR"/>
        </w:rPr>
      </w:pPr>
      <w:r w:rsidRPr="00442BC3">
        <w:rPr>
          <w:rStyle w:val="FootnoteReference"/>
          <w:rFonts w:ascii="Verdana" w:hAnsi="Verdana"/>
          <w:sz w:val="16"/>
          <w:szCs w:val="16"/>
        </w:rPr>
        <w:footnoteRef/>
      </w:r>
      <w:r w:rsidRPr="00442BC3">
        <w:rPr>
          <w:rFonts w:ascii="Verdana" w:hAnsi="Verdana"/>
          <w:sz w:val="16"/>
          <w:szCs w:val="16"/>
          <w:lang w:val="es-CR"/>
        </w:rPr>
        <w:t xml:space="preserve"> </w:t>
      </w:r>
      <w:r w:rsidRPr="00442BC3">
        <w:rPr>
          <w:rFonts w:ascii="Verdana" w:hAnsi="Verdana"/>
          <w:sz w:val="16"/>
          <w:szCs w:val="16"/>
          <w:lang w:val="es-CR"/>
        </w:rPr>
        <w:tab/>
      </w:r>
      <w:r w:rsidRPr="003135E8">
        <w:rPr>
          <w:rFonts w:ascii="Verdana" w:hAnsi="Verdana"/>
          <w:i/>
          <w:sz w:val="16"/>
          <w:szCs w:val="16"/>
          <w:lang w:val="es-CR"/>
        </w:rPr>
        <w:t xml:space="preserve">Cfr. Caso de las Masacres de El Mozote y lugares aledaños Vs. El Salvador, supra </w:t>
      </w:r>
      <w:r w:rsidRPr="003135E8">
        <w:rPr>
          <w:rFonts w:ascii="Verdana" w:hAnsi="Verdana"/>
          <w:sz w:val="16"/>
          <w:szCs w:val="16"/>
          <w:lang w:val="es-CR"/>
        </w:rPr>
        <w:t>nota 1, párr. 311.</w:t>
      </w:r>
    </w:p>
  </w:footnote>
  <w:footnote w:id="20">
    <w:p w14:paraId="0587330A" w14:textId="4BAB9BF9" w:rsidR="001D18EB" w:rsidRPr="00442BC3" w:rsidRDefault="001D18EB" w:rsidP="00442BC3">
      <w:pPr>
        <w:pStyle w:val="FootnoteText"/>
        <w:jc w:val="both"/>
        <w:rPr>
          <w:rFonts w:ascii="Verdana" w:hAnsi="Verdana"/>
          <w:sz w:val="16"/>
          <w:szCs w:val="16"/>
          <w:lang w:val="es-CR"/>
        </w:rPr>
      </w:pPr>
      <w:r w:rsidRPr="00442BC3">
        <w:rPr>
          <w:rStyle w:val="FootnoteReference"/>
          <w:rFonts w:ascii="Verdana" w:hAnsi="Verdana"/>
          <w:sz w:val="16"/>
          <w:szCs w:val="16"/>
        </w:rPr>
        <w:footnoteRef/>
      </w:r>
      <w:r w:rsidRPr="00442BC3">
        <w:rPr>
          <w:rFonts w:ascii="Verdana" w:hAnsi="Verdana"/>
          <w:sz w:val="16"/>
          <w:szCs w:val="16"/>
          <w:lang w:val="es-CR"/>
        </w:rPr>
        <w:t xml:space="preserve"> </w:t>
      </w:r>
      <w:r w:rsidRPr="00442BC3">
        <w:rPr>
          <w:rFonts w:ascii="Verdana" w:hAnsi="Verdana"/>
          <w:sz w:val="16"/>
          <w:szCs w:val="16"/>
          <w:lang w:val="es-CR"/>
        </w:rPr>
        <w:tab/>
      </w:r>
      <w:r w:rsidRPr="003135E8">
        <w:rPr>
          <w:rFonts w:ascii="Verdana" w:hAnsi="Verdana"/>
          <w:i/>
          <w:sz w:val="16"/>
          <w:szCs w:val="16"/>
          <w:lang w:val="es-CR"/>
        </w:rPr>
        <w:t>Cfr. C</w:t>
      </w:r>
      <w:r w:rsidRPr="00557953">
        <w:rPr>
          <w:rFonts w:ascii="Verdana" w:hAnsi="Verdana"/>
          <w:i/>
          <w:sz w:val="16"/>
          <w:szCs w:val="16"/>
          <w:lang w:val="es-CR"/>
        </w:rPr>
        <w:t xml:space="preserve">aso de las Masacres de El Mozote y lugares aledaños Vs. El Salvador, supra </w:t>
      </w:r>
      <w:r w:rsidRPr="00557953">
        <w:rPr>
          <w:rFonts w:ascii="Verdana" w:hAnsi="Verdana"/>
          <w:sz w:val="16"/>
          <w:szCs w:val="16"/>
          <w:lang w:val="es-CR"/>
        </w:rPr>
        <w:t>nota 1, párr. 5</w:t>
      </w:r>
      <w:r>
        <w:rPr>
          <w:rFonts w:ascii="Verdana" w:hAnsi="Verdana"/>
          <w:sz w:val="16"/>
          <w:szCs w:val="16"/>
          <w:lang w:val="es-CR"/>
        </w:rPr>
        <w:t>0 y 51</w:t>
      </w:r>
      <w:r w:rsidRPr="00557953">
        <w:rPr>
          <w:rFonts w:ascii="Verdana" w:hAnsi="Verdana"/>
          <w:sz w:val="16"/>
          <w:szCs w:val="16"/>
          <w:lang w:val="es-CR"/>
        </w:rPr>
        <w:t>.</w:t>
      </w:r>
    </w:p>
  </w:footnote>
  <w:footnote w:id="21">
    <w:p w14:paraId="4B719AC9" w14:textId="06AADA69" w:rsidR="001D18EB" w:rsidRPr="00442BC3" w:rsidRDefault="001D18EB" w:rsidP="00442BC3">
      <w:pPr>
        <w:pStyle w:val="FootnoteText"/>
        <w:jc w:val="both"/>
        <w:rPr>
          <w:rFonts w:ascii="Verdana" w:hAnsi="Verdana"/>
          <w:sz w:val="16"/>
          <w:szCs w:val="16"/>
          <w:lang w:val="es-CR"/>
        </w:rPr>
      </w:pPr>
      <w:r w:rsidRPr="00442BC3">
        <w:rPr>
          <w:rStyle w:val="FootnoteReference"/>
          <w:rFonts w:ascii="Verdana" w:hAnsi="Verdana"/>
          <w:sz w:val="16"/>
          <w:szCs w:val="16"/>
        </w:rPr>
        <w:footnoteRef/>
      </w:r>
      <w:r w:rsidRPr="00442BC3">
        <w:rPr>
          <w:rFonts w:ascii="Verdana" w:hAnsi="Verdana"/>
          <w:sz w:val="16"/>
          <w:szCs w:val="16"/>
          <w:lang w:val="es-CR"/>
        </w:rPr>
        <w:t xml:space="preserve"> </w:t>
      </w:r>
      <w:r w:rsidRPr="00442BC3">
        <w:rPr>
          <w:rFonts w:ascii="Verdana" w:hAnsi="Verdana"/>
          <w:sz w:val="16"/>
          <w:szCs w:val="16"/>
          <w:lang w:val="es-CR"/>
        </w:rPr>
        <w:tab/>
      </w:r>
      <w:r w:rsidRPr="00557953">
        <w:rPr>
          <w:rFonts w:ascii="Verdana" w:hAnsi="Verdana"/>
          <w:i/>
          <w:sz w:val="16"/>
          <w:szCs w:val="16"/>
          <w:lang w:val="es-CR"/>
        </w:rPr>
        <w:t>Cfr. C</w:t>
      </w:r>
      <w:r w:rsidRPr="00EA7DAF">
        <w:rPr>
          <w:rFonts w:ascii="Verdana" w:hAnsi="Verdana"/>
          <w:i/>
          <w:sz w:val="16"/>
          <w:szCs w:val="16"/>
          <w:lang w:val="es-CR"/>
        </w:rPr>
        <w:t xml:space="preserve">aso de las Masacres de El Mozote y lugares aledaños Vs. El Salvador, supra </w:t>
      </w:r>
      <w:r w:rsidRPr="00EA7DAF">
        <w:rPr>
          <w:rFonts w:ascii="Verdana" w:hAnsi="Verdana"/>
          <w:sz w:val="16"/>
          <w:szCs w:val="16"/>
          <w:lang w:val="es-CR"/>
        </w:rPr>
        <w:t>nota 1, p</w:t>
      </w:r>
      <w:r w:rsidRPr="00557953">
        <w:rPr>
          <w:rFonts w:ascii="Verdana" w:hAnsi="Verdana"/>
          <w:sz w:val="16"/>
          <w:szCs w:val="16"/>
          <w:lang w:val="es-CR"/>
        </w:rPr>
        <w:t>árr. 53.</w:t>
      </w:r>
    </w:p>
  </w:footnote>
  <w:footnote w:id="22">
    <w:p w14:paraId="6FF7E7F1"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r>
      <w:r w:rsidRPr="007D2268">
        <w:rPr>
          <w:rFonts w:ascii="Verdana" w:hAnsi="Verdana"/>
          <w:i/>
          <w:sz w:val="16"/>
          <w:szCs w:val="16"/>
          <w:lang w:val="es-CR"/>
        </w:rPr>
        <w:t xml:space="preserve">Cfr. </w:t>
      </w:r>
      <w:r w:rsidRPr="007D2268">
        <w:rPr>
          <w:rFonts w:ascii="Verdana" w:hAnsi="Verdana"/>
          <w:sz w:val="16"/>
          <w:szCs w:val="16"/>
          <w:lang w:val="es-CR"/>
        </w:rPr>
        <w:t>Informe de la Dirección General de Estadísticas y Censos sobre el caso Masacres del Mozote y lugares aledaños Vs. El Salvador (Anexo 3 al informe estatal de mayo de 2016).</w:t>
      </w:r>
    </w:p>
  </w:footnote>
  <w:footnote w:id="23">
    <w:p w14:paraId="1489EB9C" w14:textId="77777777"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t>En particular, se puntualizaron como próximos pasos: (1) “[c]</w:t>
      </w:r>
      <w:proofErr w:type="spellStart"/>
      <w:r w:rsidRPr="007D2268">
        <w:rPr>
          <w:rFonts w:ascii="Verdana" w:hAnsi="Verdana"/>
          <w:sz w:val="16"/>
          <w:szCs w:val="16"/>
          <w:lang w:val="es-CR"/>
        </w:rPr>
        <w:t>ompletar</w:t>
      </w:r>
      <w:proofErr w:type="spellEnd"/>
      <w:r w:rsidRPr="007D2268">
        <w:rPr>
          <w:rFonts w:ascii="Verdana" w:hAnsi="Verdana"/>
          <w:sz w:val="16"/>
          <w:szCs w:val="16"/>
          <w:lang w:val="es-CR"/>
        </w:rPr>
        <w:t xml:space="preserve"> la etapa de documentación de las víctimas, actividad que depende en buena medida de las víctimas para gestionar la documentación”; (2) “[a]</w:t>
      </w:r>
      <w:proofErr w:type="spellStart"/>
      <w:r w:rsidRPr="007D2268">
        <w:rPr>
          <w:rFonts w:ascii="Verdana" w:hAnsi="Verdana"/>
          <w:sz w:val="16"/>
          <w:szCs w:val="16"/>
          <w:lang w:val="es-CR"/>
        </w:rPr>
        <w:t>gilizar</w:t>
      </w:r>
      <w:proofErr w:type="spellEnd"/>
      <w:r w:rsidRPr="007D2268">
        <w:rPr>
          <w:rFonts w:ascii="Verdana" w:hAnsi="Verdana"/>
          <w:sz w:val="16"/>
          <w:szCs w:val="16"/>
          <w:lang w:val="es-CR"/>
        </w:rPr>
        <w:t xml:space="preserve"> las coordinaciones </w:t>
      </w:r>
      <w:proofErr w:type="spellStart"/>
      <w:r w:rsidRPr="007D2268">
        <w:rPr>
          <w:rFonts w:ascii="Verdana" w:hAnsi="Verdana"/>
          <w:sz w:val="16"/>
          <w:szCs w:val="16"/>
          <w:lang w:val="es-CR"/>
        </w:rPr>
        <w:t>interinstituciones</w:t>
      </w:r>
      <w:proofErr w:type="spellEnd"/>
      <w:r w:rsidRPr="007D2268">
        <w:rPr>
          <w:rFonts w:ascii="Verdana" w:hAnsi="Verdana"/>
          <w:sz w:val="16"/>
          <w:szCs w:val="16"/>
          <w:lang w:val="es-CR"/>
        </w:rPr>
        <w:t xml:space="preserve"> que permitan a las víctimas la obtención de la documentación correspondiente”, entre otros. </w:t>
      </w:r>
    </w:p>
  </w:footnote>
  <w:footnote w:id="24">
    <w:p w14:paraId="282BD556" w14:textId="682E4012" w:rsidR="001D18EB" w:rsidRPr="00635197" w:rsidRDefault="001D18EB" w:rsidP="00635197">
      <w:pPr>
        <w:pStyle w:val="FootnoteText"/>
        <w:jc w:val="both"/>
        <w:rPr>
          <w:rFonts w:ascii="Verdana" w:hAnsi="Verdana"/>
          <w:sz w:val="16"/>
          <w:szCs w:val="16"/>
          <w:lang w:val="es-CR"/>
        </w:rPr>
      </w:pPr>
      <w:r w:rsidRPr="00635197">
        <w:rPr>
          <w:rStyle w:val="FootnoteReference"/>
          <w:rFonts w:ascii="Verdana" w:hAnsi="Verdana"/>
          <w:sz w:val="16"/>
          <w:szCs w:val="16"/>
        </w:rPr>
        <w:footnoteRef/>
      </w:r>
      <w:r w:rsidRPr="00635197">
        <w:rPr>
          <w:rFonts w:ascii="Verdana" w:hAnsi="Verdana"/>
          <w:sz w:val="16"/>
          <w:szCs w:val="16"/>
          <w:lang w:val="es-CR"/>
        </w:rPr>
        <w:t xml:space="preserve"> </w:t>
      </w:r>
      <w:r w:rsidRPr="00635197">
        <w:rPr>
          <w:rFonts w:ascii="Verdana" w:hAnsi="Verdana"/>
          <w:sz w:val="16"/>
          <w:szCs w:val="16"/>
          <w:lang w:val="es-CR"/>
        </w:rPr>
        <w:tab/>
        <w:t xml:space="preserve">El Estado no ha proporcionado </w:t>
      </w:r>
      <w:r w:rsidR="007D6315">
        <w:rPr>
          <w:rFonts w:ascii="Verdana" w:hAnsi="Verdana"/>
          <w:sz w:val="16"/>
          <w:szCs w:val="16"/>
          <w:lang w:val="es-CR"/>
        </w:rPr>
        <w:t>esa versión actualizada del Registro Oficial de Víctimas</w:t>
      </w:r>
      <w:r w:rsidRPr="00635197">
        <w:rPr>
          <w:rFonts w:ascii="Verdana" w:hAnsi="Verdana"/>
          <w:sz w:val="16"/>
          <w:szCs w:val="16"/>
          <w:lang w:val="es-CR"/>
        </w:rPr>
        <w:t>. El único listado de víctimas que fue proporcionado a la Corte fue en el informe estatal de mayo de 2016.</w:t>
      </w:r>
    </w:p>
  </w:footnote>
  <w:footnote w:id="25">
    <w:p w14:paraId="1AB1C1AF" w14:textId="628BD839" w:rsidR="001D18EB" w:rsidRPr="007D2268" w:rsidRDefault="001D18EB" w:rsidP="007D2268">
      <w:pPr>
        <w:pStyle w:val="FootnoteText"/>
        <w:jc w:val="both"/>
        <w:rPr>
          <w:rFonts w:ascii="Verdana" w:hAnsi="Verdana"/>
          <w:sz w:val="16"/>
          <w:szCs w:val="16"/>
          <w:lang w:val="es-ES_tradnl"/>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ES_tradnl"/>
        </w:rPr>
        <w:tab/>
        <w:t xml:space="preserve">Según el informe estatal de octubre de 2018, se creó un espacio de diálogo integrado por altos funcionarios del Estado, incluyendo el titular del Ministerio de Relaciones Exteriores, la Comisionada Presidencial para los Derechos Humanos, entre otros, y los representantes de las víctimas, con el fin de analizar alternativas para el pago de las indemnizaciones dispuestas en la Sentencia.  En dicho marco, se acordó buscar asesoría </w:t>
      </w:r>
      <w:r w:rsidR="007D6315">
        <w:rPr>
          <w:rFonts w:ascii="Verdana" w:hAnsi="Verdana"/>
          <w:sz w:val="16"/>
          <w:szCs w:val="16"/>
          <w:lang w:val="es-ES_tradnl"/>
        </w:rPr>
        <w:t>de</w:t>
      </w:r>
      <w:r w:rsidRPr="007D2268">
        <w:rPr>
          <w:rFonts w:ascii="Verdana" w:hAnsi="Verdana"/>
          <w:sz w:val="16"/>
          <w:szCs w:val="16"/>
          <w:lang w:val="es-ES_tradnl"/>
        </w:rPr>
        <w:t xml:space="preserve"> abogados especialistas en derechos humanos, al igual que celebrar reuniones con otras instituciones del Poder Ejecutivo, con el fin de evaluar posibles soluciones. </w:t>
      </w:r>
    </w:p>
  </w:footnote>
  <w:footnote w:id="26">
    <w:p w14:paraId="03B0E2ED" w14:textId="7822EF24" w:rsidR="001D18EB" w:rsidRPr="005B23CA"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5B23CA">
        <w:rPr>
          <w:rFonts w:ascii="Verdana" w:hAnsi="Verdana"/>
          <w:sz w:val="16"/>
          <w:szCs w:val="16"/>
          <w:lang w:val="es-CR"/>
        </w:rPr>
        <w:t xml:space="preserve"> </w:t>
      </w:r>
      <w:r w:rsidRPr="005B23CA">
        <w:rPr>
          <w:rFonts w:ascii="Verdana" w:hAnsi="Verdana"/>
          <w:sz w:val="16"/>
          <w:szCs w:val="16"/>
          <w:lang w:val="es-CR"/>
        </w:rPr>
        <w:tab/>
        <w:t xml:space="preserve">Mediante nota de Secretaría de 8 de noviembre de 2018, siguiendo instrucciones del Presidente del Tribunal, se solicitó a las partes </w:t>
      </w:r>
      <w:r w:rsidRPr="007D2268">
        <w:rPr>
          <w:rFonts w:ascii="Verdana" w:hAnsi="Verdana"/>
          <w:sz w:val="16"/>
          <w:szCs w:val="16"/>
          <w:lang w:val="es-ES_tradnl"/>
        </w:rPr>
        <w:t>“</w:t>
      </w:r>
      <w:r w:rsidRPr="005B23CA">
        <w:rPr>
          <w:rFonts w:ascii="Verdana" w:hAnsi="Verdana"/>
          <w:sz w:val="16"/>
          <w:szCs w:val="16"/>
          <w:lang w:val="es-CR"/>
        </w:rPr>
        <w:t>que en caso de que la presentación de esa propuesta se concrete” la remitieran a esta Corte a la brevedad.</w:t>
      </w:r>
    </w:p>
  </w:footnote>
  <w:footnote w:id="27">
    <w:p w14:paraId="03D019DE" w14:textId="34B76AC5" w:rsidR="001D18EB" w:rsidRPr="007D2268" w:rsidRDefault="001D18EB" w:rsidP="00095BB5">
      <w:pPr>
        <w:pStyle w:val="FootnoteText"/>
        <w:jc w:val="both"/>
        <w:rPr>
          <w:rFonts w:ascii="Verdana" w:hAnsi="Verdana"/>
          <w:sz w:val="16"/>
          <w:szCs w:val="16"/>
          <w:lang w:val="es-ES_tradnl"/>
        </w:rPr>
      </w:pPr>
      <w:r w:rsidRPr="007D2268">
        <w:rPr>
          <w:rStyle w:val="FootnoteReference"/>
          <w:rFonts w:ascii="Verdana" w:hAnsi="Verdana"/>
          <w:sz w:val="16"/>
          <w:szCs w:val="16"/>
        </w:rPr>
        <w:footnoteRef/>
      </w:r>
      <w:r w:rsidRPr="005B23CA">
        <w:rPr>
          <w:rFonts w:ascii="Verdana" w:hAnsi="Verdana"/>
          <w:sz w:val="16"/>
          <w:szCs w:val="16"/>
          <w:lang w:val="es-CR"/>
        </w:rPr>
        <w:tab/>
        <w:t xml:space="preserve">La Corte observa que dicho obstáculo tiene su origen en los criterios de inclusión desarrollados desde 2015 para la incorporación de personas en el Registro Único de Víctimas. En específico, se observa que para que una víctima identificada sea incorporada de forma definitiva en el Registro único de Víctimas, se debe superar una etapa de documentación “que compruebe la identidad de las víctimas y su relación de parentesco”, la cual debe ser aportada por las propias víctimas. En este orden de ideas, la Corte observa que tanto los representantes como la Procuraduría de Derechos Humanos han hecho llamados para la flexibilización de estos criterios y de la documentación necesaria para probarlo </w:t>
      </w:r>
      <w:r w:rsidRPr="007D2268">
        <w:rPr>
          <w:rFonts w:ascii="Verdana" w:hAnsi="Verdana"/>
          <w:sz w:val="16"/>
          <w:szCs w:val="16"/>
          <w:lang w:val="es-ES_tradnl"/>
        </w:rPr>
        <w:tab/>
      </w:r>
    </w:p>
  </w:footnote>
  <w:footnote w:id="28">
    <w:p w14:paraId="408AC198" w14:textId="77777777" w:rsidR="001D18EB" w:rsidRPr="007D2268" w:rsidRDefault="001D18EB" w:rsidP="00632A46">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r>
      <w:r w:rsidRPr="007D2268">
        <w:rPr>
          <w:rFonts w:ascii="Verdana" w:hAnsi="Verdana"/>
          <w:i/>
          <w:sz w:val="16"/>
          <w:szCs w:val="16"/>
          <w:lang w:val="es-CR"/>
        </w:rPr>
        <w:t xml:space="preserve">Cfr. Caso Castillo </w:t>
      </w:r>
      <w:proofErr w:type="spellStart"/>
      <w:r w:rsidRPr="007D2268">
        <w:rPr>
          <w:rFonts w:ascii="Verdana" w:hAnsi="Verdana"/>
          <w:i/>
          <w:sz w:val="16"/>
          <w:szCs w:val="16"/>
          <w:lang w:val="es-CR"/>
        </w:rPr>
        <w:t>Petruzzi</w:t>
      </w:r>
      <w:proofErr w:type="spellEnd"/>
      <w:r w:rsidRPr="007D2268">
        <w:rPr>
          <w:rFonts w:ascii="Verdana" w:hAnsi="Verdana"/>
          <w:i/>
          <w:sz w:val="16"/>
          <w:szCs w:val="16"/>
          <w:lang w:val="es-CR"/>
        </w:rPr>
        <w:t xml:space="preserve"> y otros Vs. Perú. Supervisión de Cumplimiento de Sentencia.</w:t>
      </w:r>
      <w:r w:rsidRPr="007D2268">
        <w:rPr>
          <w:rFonts w:ascii="Verdana" w:hAnsi="Verdana"/>
          <w:sz w:val="16"/>
          <w:szCs w:val="16"/>
          <w:lang w:val="es-CR"/>
        </w:rPr>
        <w:t xml:space="preserve"> Resolución de la Corte Interamericana de Derechos Humanos de 17 de noviembre de 1999, Considerando tercero, y </w:t>
      </w:r>
      <w:r w:rsidRPr="007D2268">
        <w:rPr>
          <w:rFonts w:ascii="Verdana" w:hAnsi="Verdana"/>
          <w:i/>
          <w:sz w:val="16"/>
          <w:szCs w:val="16"/>
          <w:lang w:val="es-CR"/>
        </w:rPr>
        <w:t xml:space="preserve">Casos El Amparo, Blanco Romero y otros, Montero Aranguren y otros, Barreto Leiva y </w:t>
      </w:r>
      <w:proofErr w:type="spellStart"/>
      <w:r w:rsidRPr="007D2268">
        <w:rPr>
          <w:rFonts w:ascii="Verdana" w:hAnsi="Verdana"/>
          <w:i/>
          <w:sz w:val="16"/>
          <w:szCs w:val="16"/>
          <w:lang w:val="es-CR"/>
        </w:rPr>
        <w:t>Usón</w:t>
      </w:r>
      <w:proofErr w:type="spellEnd"/>
      <w:r w:rsidRPr="007D2268">
        <w:rPr>
          <w:rFonts w:ascii="Verdana" w:hAnsi="Verdana"/>
          <w:i/>
          <w:sz w:val="16"/>
          <w:szCs w:val="16"/>
          <w:lang w:val="es-CR"/>
        </w:rPr>
        <w:t xml:space="preserve"> Ramírez Vs. Venezuela. Supervisión de Cumplimiento de Sentencia.</w:t>
      </w:r>
      <w:r w:rsidRPr="007D2268">
        <w:rPr>
          <w:rFonts w:ascii="Verdana" w:hAnsi="Verdana"/>
          <w:sz w:val="16"/>
          <w:szCs w:val="16"/>
          <w:lang w:val="es-CR"/>
        </w:rPr>
        <w:t xml:space="preserve"> Resolución de la Corte Interamericana de Derechos Humanos de 20 de noviembre de 2015, Considerando sexto. </w:t>
      </w:r>
    </w:p>
  </w:footnote>
  <w:footnote w:id="29">
    <w:p w14:paraId="2631B4D8" w14:textId="77777777" w:rsidR="001D18EB" w:rsidRPr="007D2268" w:rsidRDefault="001D18EB" w:rsidP="00632A46">
      <w:pPr>
        <w:pStyle w:val="FootnoteText"/>
        <w:tabs>
          <w:tab w:val="left" w:pos="567"/>
        </w:tabs>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ab/>
      </w:r>
      <w:r w:rsidRPr="007D2268">
        <w:rPr>
          <w:rFonts w:ascii="Verdana" w:hAnsi="Verdana"/>
          <w:i/>
          <w:sz w:val="16"/>
          <w:szCs w:val="16"/>
          <w:lang w:val="es-CR"/>
        </w:rPr>
        <w:t xml:space="preserve">Cfr. Caso Castillo </w:t>
      </w:r>
      <w:proofErr w:type="spellStart"/>
      <w:r w:rsidRPr="007D2268">
        <w:rPr>
          <w:rFonts w:ascii="Verdana" w:hAnsi="Verdana"/>
          <w:i/>
          <w:sz w:val="16"/>
          <w:szCs w:val="16"/>
          <w:lang w:val="es-CR"/>
        </w:rPr>
        <w:t>Petruzzi</w:t>
      </w:r>
      <w:proofErr w:type="spellEnd"/>
      <w:r w:rsidRPr="007D2268">
        <w:rPr>
          <w:rFonts w:ascii="Verdana" w:hAnsi="Verdana"/>
          <w:i/>
          <w:sz w:val="16"/>
          <w:szCs w:val="16"/>
          <w:lang w:val="es-CR"/>
        </w:rPr>
        <w:t>, supra nota,</w:t>
      </w:r>
      <w:r w:rsidRPr="007D2268">
        <w:rPr>
          <w:rFonts w:ascii="Verdana" w:hAnsi="Verdana"/>
          <w:sz w:val="16"/>
          <w:szCs w:val="16"/>
          <w:lang w:val="es-CR"/>
        </w:rPr>
        <w:t xml:space="preserve"> Considerando cuarto, y </w:t>
      </w:r>
      <w:r w:rsidRPr="007D2268">
        <w:rPr>
          <w:rFonts w:ascii="Verdana" w:hAnsi="Verdana"/>
          <w:i/>
          <w:sz w:val="16"/>
          <w:szCs w:val="16"/>
          <w:lang w:val="es-CR"/>
        </w:rPr>
        <w:t xml:space="preserve">Casos El Amparo, Blanco Romero y otros, Montero Aranguren y otros, Barreto Leiva y </w:t>
      </w:r>
      <w:proofErr w:type="spellStart"/>
      <w:r w:rsidRPr="007D2268">
        <w:rPr>
          <w:rFonts w:ascii="Verdana" w:hAnsi="Verdana"/>
          <w:i/>
          <w:sz w:val="16"/>
          <w:szCs w:val="16"/>
          <w:lang w:val="es-CR"/>
        </w:rPr>
        <w:t>Usón</w:t>
      </w:r>
      <w:proofErr w:type="spellEnd"/>
      <w:r w:rsidRPr="007D2268">
        <w:rPr>
          <w:rFonts w:ascii="Verdana" w:hAnsi="Verdana"/>
          <w:i/>
          <w:sz w:val="16"/>
          <w:szCs w:val="16"/>
          <w:lang w:val="es-CR"/>
        </w:rPr>
        <w:t xml:space="preserve"> Ramírez, supra </w:t>
      </w:r>
      <w:r w:rsidRPr="007D2268">
        <w:rPr>
          <w:rFonts w:ascii="Verdana" w:hAnsi="Verdana"/>
          <w:sz w:val="16"/>
          <w:szCs w:val="16"/>
          <w:lang w:val="es-CR"/>
        </w:rPr>
        <w:t>nota, Considerando sexto.</w:t>
      </w:r>
      <w:r w:rsidRPr="007D2268">
        <w:rPr>
          <w:rFonts w:ascii="Verdana" w:hAnsi="Verdana"/>
          <w:sz w:val="16"/>
          <w:szCs w:val="16"/>
          <w:lang w:val="es-ES"/>
        </w:rPr>
        <w:t xml:space="preserve"> </w:t>
      </w:r>
    </w:p>
  </w:footnote>
  <w:footnote w:id="30">
    <w:p w14:paraId="5BF38707" w14:textId="77777777" w:rsidR="001D18EB" w:rsidRPr="007D2268" w:rsidRDefault="001D18EB" w:rsidP="00632A46">
      <w:pPr>
        <w:pStyle w:val="FootnoteText"/>
        <w:tabs>
          <w:tab w:val="left" w:pos="567"/>
        </w:tabs>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r>
      <w:r w:rsidRPr="007D2268">
        <w:rPr>
          <w:rFonts w:ascii="Verdana" w:hAnsi="Verdana"/>
          <w:i/>
          <w:sz w:val="16"/>
          <w:szCs w:val="16"/>
          <w:lang w:val="es-CR"/>
        </w:rPr>
        <w:t xml:space="preserve">Cfr. Caso </w:t>
      </w:r>
      <w:proofErr w:type="spellStart"/>
      <w:r w:rsidRPr="007D2268">
        <w:rPr>
          <w:rFonts w:ascii="Verdana" w:hAnsi="Verdana"/>
          <w:i/>
          <w:sz w:val="16"/>
          <w:szCs w:val="16"/>
          <w:lang w:val="es-CR"/>
        </w:rPr>
        <w:t>Gelman</w:t>
      </w:r>
      <w:proofErr w:type="spellEnd"/>
      <w:r w:rsidRPr="007D2268">
        <w:rPr>
          <w:rFonts w:ascii="Verdana" w:hAnsi="Verdana"/>
          <w:i/>
          <w:sz w:val="16"/>
          <w:szCs w:val="16"/>
          <w:lang w:val="es-CR"/>
        </w:rPr>
        <w:t xml:space="preserve"> Vs. Uruguay.</w:t>
      </w:r>
      <w:r w:rsidRPr="007D2268">
        <w:rPr>
          <w:rFonts w:ascii="Verdana" w:hAnsi="Verdana"/>
          <w:sz w:val="16"/>
          <w:szCs w:val="16"/>
          <w:lang w:val="es-CR"/>
        </w:rPr>
        <w:t xml:space="preserve"> </w:t>
      </w:r>
      <w:r w:rsidRPr="007D2268">
        <w:rPr>
          <w:rFonts w:ascii="Verdana" w:hAnsi="Verdana"/>
          <w:i/>
          <w:sz w:val="16"/>
          <w:szCs w:val="16"/>
          <w:lang w:val="es-ES"/>
        </w:rPr>
        <w:t>Supervisión de cumplimiento de Sentencia</w:t>
      </w:r>
      <w:r w:rsidRPr="007D2268">
        <w:rPr>
          <w:rFonts w:ascii="Verdana" w:hAnsi="Verdana"/>
          <w:color w:val="000000"/>
          <w:sz w:val="16"/>
          <w:szCs w:val="16"/>
          <w:lang w:val="es-ES"/>
        </w:rPr>
        <w:t>. Resolución de la Corte Interamericana de Derechos Humanos de 20 de marzo de 2013, Considerando 59</w:t>
      </w:r>
      <w:r w:rsidRPr="007D2268">
        <w:rPr>
          <w:rFonts w:ascii="Verdana" w:hAnsi="Verdana"/>
          <w:sz w:val="16"/>
          <w:szCs w:val="16"/>
          <w:lang w:val="es-CR"/>
        </w:rPr>
        <w:t>.</w:t>
      </w:r>
    </w:p>
  </w:footnote>
  <w:footnote w:id="31">
    <w:p w14:paraId="288FF91A" w14:textId="77777777" w:rsidR="001D18EB" w:rsidRPr="007D2268" w:rsidRDefault="001D18EB" w:rsidP="00632A46">
      <w:pPr>
        <w:pStyle w:val="FootnoteText"/>
        <w:tabs>
          <w:tab w:val="left" w:pos="567"/>
        </w:tabs>
        <w:ind w:right="4"/>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r>
      <w:r w:rsidRPr="007D2268">
        <w:rPr>
          <w:rFonts w:ascii="Verdana" w:hAnsi="Verdana"/>
          <w:i/>
          <w:sz w:val="16"/>
          <w:szCs w:val="16"/>
          <w:lang w:val="es-CR"/>
        </w:rPr>
        <w:t>Cfr.</w:t>
      </w:r>
      <w:r w:rsidRPr="007D2268">
        <w:rPr>
          <w:rFonts w:ascii="Verdana" w:hAnsi="Verdana"/>
          <w:sz w:val="16"/>
          <w:szCs w:val="16"/>
          <w:lang w:val="es-CR"/>
        </w:rPr>
        <w:t xml:space="preserve"> Responsabilidad internacional por expedición y aplicación de leyes violatorias de la Convención (arts. 1 y 2 Convención Americana sobre Derechos Humanos). Opinión Consultiva OC-14/94 de 9 de diciembre de 1994. Serie A No. 14, párr. 35; Caso Castillo </w:t>
      </w:r>
      <w:proofErr w:type="spellStart"/>
      <w:r w:rsidRPr="007D2268">
        <w:rPr>
          <w:rFonts w:ascii="Verdana" w:hAnsi="Verdana"/>
          <w:sz w:val="16"/>
          <w:szCs w:val="16"/>
          <w:lang w:val="es-CR"/>
        </w:rPr>
        <w:t>Petruzi</w:t>
      </w:r>
      <w:proofErr w:type="spellEnd"/>
      <w:r w:rsidRPr="007D2268">
        <w:rPr>
          <w:rFonts w:ascii="Verdana" w:hAnsi="Verdana"/>
          <w:sz w:val="16"/>
          <w:szCs w:val="16"/>
          <w:lang w:val="es-CR"/>
        </w:rPr>
        <w:t xml:space="preserve">, </w:t>
      </w:r>
      <w:r w:rsidRPr="007D2268">
        <w:rPr>
          <w:rFonts w:ascii="Verdana" w:hAnsi="Verdana"/>
          <w:i/>
          <w:sz w:val="16"/>
          <w:szCs w:val="16"/>
          <w:lang w:val="es-CR"/>
        </w:rPr>
        <w:t xml:space="preserve">supra </w:t>
      </w:r>
      <w:r w:rsidRPr="007D2268">
        <w:rPr>
          <w:rFonts w:ascii="Verdana" w:hAnsi="Verdana"/>
          <w:sz w:val="16"/>
          <w:szCs w:val="16"/>
          <w:lang w:val="es-CR"/>
        </w:rPr>
        <w:t xml:space="preserve">nota, Considerando cuarto, y </w:t>
      </w:r>
      <w:r w:rsidRPr="007D2268">
        <w:rPr>
          <w:rFonts w:ascii="Verdana" w:hAnsi="Verdana"/>
          <w:i/>
          <w:sz w:val="16"/>
          <w:szCs w:val="16"/>
          <w:lang w:val="es-CR"/>
        </w:rPr>
        <w:t>Caso De la Cruz Flores Vs. Perú. Supervisión de Cumplimiento de Sentencia.</w:t>
      </w:r>
      <w:r w:rsidRPr="007D2268">
        <w:rPr>
          <w:rFonts w:ascii="Verdana" w:hAnsi="Verdana"/>
          <w:sz w:val="16"/>
          <w:szCs w:val="16"/>
          <w:lang w:val="es-CR"/>
        </w:rPr>
        <w:t xml:space="preserve"> Resolución de la Corte Interamericana de Derechos Humanos de 2 de septiembre de 2015, nota al pie 16.</w:t>
      </w:r>
    </w:p>
  </w:footnote>
  <w:footnote w:id="32">
    <w:p w14:paraId="0981D9F6" w14:textId="1958FB5C" w:rsidR="001D18EB" w:rsidRPr="00070D8A" w:rsidRDefault="001D18EB" w:rsidP="00070D8A">
      <w:pPr>
        <w:pStyle w:val="FootnoteText"/>
        <w:jc w:val="both"/>
        <w:rPr>
          <w:rFonts w:ascii="Verdana" w:hAnsi="Verdana"/>
          <w:sz w:val="16"/>
          <w:szCs w:val="16"/>
          <w:lang w:val="es-CR"/>
        </w:rPr>
      </w:pPr>
      <w:r w:rsidRPr="00070D8A">
        <w:rPr>
          <w:rStyle w:val="FootnoteReference"/>
          <w:rFonts w:ascii="Verdana" w:hAnsi="Verdana"/>
          <w:sz w:val="16"/>
          <w:szCs w:val="16"/>
        </w:rPr>
        <w:footnoteRef/>
      </w:r>
      <w:r w:rsidRPr="00070D8A">
        <w:rPr>
          <w:rFonts w:ascii="Verdana" w:hAnsi="Verdana"/>
          <w:sz w:val="16"/>
          <w:szCs w:val="16"/>
          <w:lang w:val="es-CR"/>
        </w:rPr>
        <w:t xml:space="preserve"> </w:t>
      </w:r>
      <w:r w:rsidRPr="00070D8A">
        <w:rPr>
          <w:rFonts w:ascii="Verdana" w:hAnsi="Verdana"/>
          <w:sz w:val="16"/>
          <w:szCs w:val="16"/>
          <w:lang w:val="es-CR"/>
        </w:rPr>
        <w:tab/>
      </w:r>
      <w:r>
        <w:rPr>
          <w:rFonts w:ascii="Verdana" w:hAnsi="Verdana"/>
          <w:sz w:val="16"/>
          <w:szCs w:val="16"/>
          <w:lang w:val="es-ES_tradnl"/>
        </w:rPr>
        <w:t>C</w:t>
      </w:r>
      <w:r w:rsidRPr="00070D8A">
        <w:rPr>
          <w:rFonts w:ascii="Verdana" w:hAnsi="Verdana"/>
          <w:sz w:val="16"/>
          <w:szCs w:val="16"/>
          <w:lang w:val="es-ES_tradnl"/>
        </w:rPr>
        <w:t>ertificados de nacimiento, partidas de bautismo, constancias del Registro del Estado Familiar, documentos únicos de identidad, partidas de defunciones y poderes de representación.</w:t>
      </w:r>
    </w:p>
  </w:footnote>
  <w:footnote w:id="33">
    <w:p w14:paraId="66EA373E" w14:textId="460F83AA" w:rsidR="001D18EB" w:rsidRPr="007D2268" w:rsidRDefault="001D18EB" w:rsidP="007D2268">
      <w:pPr>
        <w:pStyle w:val="FootnoteText"/>
        <w:jc w:val="both"/>
        <w:rPr>
          <w:rFonts w:ascii="Verdana" w:hAnsi="Verdana"/>
          <w:sz w:val="16"/>
          <w:szCs w:val="16"/>
          <w:lang w:val="es-ES_tradnl"/>
        </w:rPr>
      </w:pPr>
      <w:r w:rsidRPr="007D2268">
        <w:rPr>
          <w:rStyle w:val="FootnoteReference"/>
          <w:rFonts w:ascii="Verdana" w:hAnsi="Verdana"/>
          <w:sz w:val="16"/>
          <w:szCs w:val="16"/>
        </w:rPr>
        <w:footnoteRef/>
      </w:r>
      <w:r w:rsidRPr="00070D8A">
        <w:rPr>
          <w:rFonts w:ascii="Verdana" w:hAnsi="Verdana"/>
          <w:sz w:val="16"/>
          <w:szCs w:val="16"/>
          <w:lang w:val="es-CR"/>
        </w:rPr>
        <w:t xml:space="preserve"> </w:t>
      </w:r>
      <w:r w:rsidRPr="007D2268">
        <w:rPr>
          <w:rFonts w:ascii="Verdana" w:hAnsi="Verdana"/>
          <w:sz w:val="16"/>
          <w:szCs w:val="16"/>
          <w:lang w:val="es-ES_tradnl"/>
        </w:rPr>
        <w:tab/>
        <w:t xml:space="preserve">En esa oportunidad, el Estado no presentó objeciones con respecto al uso de dichos medios probatorios para esos fines. </w:t>
      </w:r>
    </w:p>
  </w:footnote>
  <w:footnote w:id="34">
    <w:p w14:paraId="2B4C9F0F" w14:textId="3A0D3F97" w:rsidR="001D18EB" w:rsidRPr="007D2268" w:rsidRDefault="001D18EB" w:rsidP="007D2268">
      <w:pPr>
        <w:pStyle w:val="FootnoteText"/>
        <w:jc w:val="both"/>
        <w:rPr>
          <w:rFonts w:ascii="Verdana" w:hAnsi="Verdana"/>
          <w:sz w:val="16"/>
          <w:szCs w:val="16"/>
          <w:lang w:val="es-ES_tradnl"/>
        </w:rPr>
      </w:pPr>
      <w:r w:rsidRPr="007D2268">
        <w:rPr>
          <w:rStyle w:val="FootnoteReference"/>
          <w:rFonts w:ascii="Verdana" w:hAnsi="Verdana"/>
          <w:sz w:val="16"/>
          <w:szCs w:val="16"/>
        </w:rPr>
        <w:footnoteRef/>
      </w:r>
      <w:r w:rsidRPr="00070D8A">
        <w:rPr>
          <w:rFonts w:ascii="Verdana" w:hAnsi="Verdana"/>
          <w:sz w:val="16"/>
          <w:szCs w:val="16"/>
          <w:lang w:val="es-CR"/>
        </w:rPr>
        <w:t xml:space="preserve"> </w:t>
      </w:r>
      <w:r w:rsidRPr="007D2268">
        <w:rPr>
          <w:rFonts w:ascii="Verdana" w:hAnsi="Verdana"/>
          <w:sz w:val="16"/>
          <w:szCs w:val="16"/>
          <w:lang w:val="es-ES_tradnl"/>
        </w:rPr>
        <w:tab/>
      </w:r>
      <w:r w:rsidRPr="007D2268">
        <w:rPr>
          <w:rFonts w:ascii="Verdana" w:hAnsi="Verdana"/>
          <w:i/>
          <w:sz w:val="16"/>
          <w:szCs w:val="16"/>
          <w:lang w:val="es-ES_tradnl"/>
        </w:rPr>
        <w:t>Cfr.</w:t>
      </w:r>
      <w:r>
        <w:rPr>
          <w:rFonts w:ascii="Verdana" w:hAnsi="Verdana"/>
          <w:i/>
          <w:sz w:val="16"/>
          <w:szCs w:val="16"/>
          <w:lang w:val="es-ES_tradnl"/>
        </w:rPr>
        <w:t xml:space="preserve"> </w:t>
      </w:r>
      <w:r w:rsidRPr="00002076">
        <w:rPr>
          <w:rFonts w:ascii="Verdana" w:hAnsi="Verdana"/>
          <w:i/>
          <w:sz w:val="16"/>
          <w:szCs w:val="16"/>
          <w:lang w:val="es-ES_tradnl"/>
        </w:rPr>
        <w:t xml:space="preserve">Caso de la "Masacre de </w:t>
      </w:r>
      <w:proofErr w:type="spellStart"/>
      <w:r w:rsidRPr="00002076">
        <w:rPr>
          <w:rFonts w:ascii="Verdana" w:hAnsi="Verdana"/>
          <w:i/>
          <w:sz w:val="16"/>
          <w:szCs w:val="16"/>
          <w:lang w:val="es-ES_tradnl"/>
        </w:rPr>
        <w:t>Mapiripán</w:t>
      </w:r>
      <w:proofErr w:type="spellEnd"/>
      <w:r w:rsidRPr="00002076">
        <w:rPr>
          <w:rFonts w:ascii="Verdana" w:hAnsi="Verdana"/>
          <w:i/>
          <w:sz w:val="16"/>
          <w:szCs w:val="16"/>
          <w:lang w:val="es-ES_tradnl"/>
        </w:rPr>
        <w:t>" Vs. Colombia. Sentencia de 15 de sept</w:t>
      </w:r>
      <w:r>
        <w:rPr>
          <w:rFonts w:ascii="Verdana" w:hAnsi="Verdana"/>
          <w:i/>
          <w:sz w:val="16"/>
          <w:szCs w:val="16"/>
          <w:lang w:val="es-ES_tradnl"/>
        </w:rPr>
        <w:t xml:space="preserve">iembre de 2005. Serie C No. 134, </w:t>
      </w:r>
      <w:r>
        <w:rPr>
          <w:rFonts w:ascii="Verdana" w:hAnsi="Verdana"/>
          <w:sz w:val="16"/>
          <w:szCs w:val="16"/>
          <w:lang w:val="es-ES_tradnl"/>
        </w:rPr>
        <w:t>párr. 257</w:t>
      </w:r>
      <w:proofErr w:type="gramStart"/>
      <w:r>
        <w:rPr>
          <w:rFonts w:ascii="Verdana" w:hAnsi="Verdana"/>
          <w:sz w:val="16"/>
          <w:szCs w:val="16"/>
          <w:lang w:val="es-ES_tradnl"/>
        </w:rPr>
        <w:t>.b</w:t>
      </w:r>
      <w:proofErr w:type="gramEnd"/>
      <w:r>
        <w:rPr>
          <w:rFonts w:ascii="Verdana" w:hAnsi="Verdana"/>
          <w:sz w:val="16"/>
          <w:szCs w:val="16"/>
          <w:lang w:val="es-ES_tradnl"/>
        </w:rPr>
        <w:t>;</w:t>
      </w:r>
      <w:r w:rsidRPr="007D2268">
        <w:rPr>
          <w:rFonts w:ascii="Verdana" w:hAnsi="Verdana"/>
          <w:i/>
          <w:sz w:val="16"/>
          <w:szCs w:val="16"/>
          <w:lang w:val="es-ES_tradnl"/>
        </w:rPr>
        <w:t xml:space="preserve"> Caso Miembros de la Aldea </w:t>
      </w:r>
      <w:proofErr w:type="spellStart"/>
      <w:r w:rsidRPr="007D2268">
        <w:rPr>
          <w:rFonts w:ascii="Verdana" w:hAnsi="Verdana"/>
          <w:i/>
          <w:sz w:val="16"/>
          <w:szCs w:val="16"/>
          <w:lang w:val="es-ES_tradnl"/>
        </w:rPr>
        <w:t>Chichupac</w:t>
      </w:r>
      <w:proofErr w:type="spellEnd"/>
      <w:r w:rsidRPr="007D2268">
        <w:rPr>
          <w:rFonts w:ascii="Verdana" w:hAnsi="Verdana"/>
          <w:i/>
          <w:sz w:val="16"/>
          <w:szCs w:val="16"/>
          <w:lang w:val="es-ES_tradnl"/>
        </w:rPr>
        <w:t xml:space="preserve"> y comunidades vecinas del Municipio de Rabinal Vs. Guatemala. Supervisión de Cumplimiento de Sentencia.</w:t>
      </w:r>
      <w:r w:rsidRPr="007D2268">
        <w:rPr>
          <w:rFonts w:ascii="Verdana" w:hAnsi="Verdana"/>
          <w:sz w:val="16"/>
          <w:szCs w:val="16"/>
          <w:lang w:val="es-ES_tradnl"/>
        </w:rPr>
        <w:t xml:space="preserve"> Resolución de la Corte Interamericana de Derechos Humanos de 5 de febrero de 2018, Considerandos 10 y 13. </w:t>
      </w:r>
    </w:p>
  </w:footnote>
  <w:footnote w:id="35">
    <w:p w14:paraId="4FDF5C5A" w14:textId="753072FF" w:rsidR="001D18EB" w:rsidRPr="00635197" w:rsidRDefault="001D18EB">
      <w:pPr>
        <w:pStyle w:val="FootnoteText"/>
        <w:rPr>
          <w:rFonts w:ascii="Verdana" w:hAnsi="Verdana"/>
          <w:sz w:val="16"/>
          <w:szCs w:val="16"/>
          <w:lang w:val="es-CR"/>
        </w:rPr>
      </w:pPr>
      <w:r w:rsidRPr="00635197">
        <w:rPr>
          <w:rStyle w:val="FootnoteReference"/>
          <w:rFonts w:ascii="Verdana" w:hAnsi="Verdana"/>
          <w:sz w:val="16"/>
          <w:szCs w:val="16"/>
        </w:rPr>
        <w:footnoteRef/>
      </w:r>
      <w:r w:rsidRPr="00635197">
        <w:rPr>
          <w:rFonts w:ascii="Verdana" w:hAnsi="Verdana"/>
          <w:sz w:val="16"/>
          <w:szCs w:val="16"/>
          <w:lang w:val="es-CR"/>
        </w:rPr>
        <w:t xml:space="preserve"> </w:t>
      </w:r>
      <w:r w:rsidRPr="00635197">
        <w:rPr>
          <w:rFonts w:ascii="Verdana" w:hAnsi="Verdana"/>
          <w:sz w:val="16"/>
          <w:szCs w:val="16"/>
          <w:lang w:val="es-CR"/>
        </w:rPr>
        <w:tab/>
        <w:t>Ver: Ley 28592, artículo 6.c; Reglamento del Registro Único de Víctimas, artículo 28.</w:t>
      </w:r>
    </w:p>
  </w:footnote>
  <w:footnote w:id="36">
    <w:p w14:paraId="53CC9C54" w14:textId="30420528" w:rsidR="001D18EB" w:rsidRPr="007D2268" w:rsidRDefault="001D18EB" w:rsidP="007D2268">
      <w:pPr>
        <w:pStyle w:val="FootnoteText"/>
        <w:jc w:val="both"/>
        <w:rPr>
          <w:rFonts w:ascii="Verdana" w:hAnsi="Verdana"/>
          <w:sz w:val="16"/>
          <w:szCs w:val="16"/>
          <w:lang w:val="es-ES_tradnl"/>
        </w:rPr>
      </w:pPr>
      <w:r w:rsidRPr="007D2268">
        <w:rPr>
          <w:rStyle w:val="FootnoteReference"/>
          <w:rFonts w:ascii="Verdana" w:hAnsi="Verdana"/>
          <w:sz w:val="16"/>
          <w:szCs w:val="16"/>
        </w:rPr>
        <w:footnoteRef/>
      </w:r>
      <w:r w:rsidRPr="00494410">
        <w:rPr>
          <w:rFonts w:ascii="Verdana" w:hAnsi="Verdana"/>
          <w:sz w:val="16"/>
          <w:szCs w:val="16"/>
          <w:lang w:val="es-CR"/>
        </w:rPr>
        <w:t xml:space="preserve"> </w:t>
      </w:r>
      <w:r w:rsidRPr="00494410">
        <w:rPr>
          <w:rFonts w:ascii="Verdana" w:hAnsi="Verdana"/>
          <w:sz w:val="16"/>
          <w:szCs w:val="16"/>
          <w:lang w:val="es-CR"/>
        </w:rPr>
        <w:tab/>
      </w:r>
      <w:r w:rsidRPr="007D2268">
        <w:rPr>
          <w:rFonts w:ascii="Verdana" w:hAnsi="Verdana"/>
          <w:bCs/>
          <w:color w:val="000000"/>
          <w:sz w:val="16"/>
          <w:szCs w:val="16"/>
          <w:shd w:val="clear" w:color="auto" w:fill="FFFFFF"/>
          <w:lang w:val="es-CO"/>
        </w:rPr>
        <w:t xml:space="preserve">Sala de Consulta y Servicio Civil del Consejo de Estado de Colombia de 26 de marzo de 2014, Consejero ponente: William Zambrano Cetina, </w:t>
      </w:r>
      <w:r w:rsidRPr="00494410">
        <w:rPr>
          <w:rFonts w:ascii="Verdana" w:hAnsi="Verdana"/>
          <w:bCs/>
          <w:color w:val="000000"/>
          <w:sz w:val="16"/>
          <w:szCs w:val="16"/>
          <w:shd w:val="clear" w:color="auto" w:fill="FFFFFF"/>
          <w:lang w:val="es-CR"/>
        </w:rPr>
        <w:t>Rad. No. 11001-03-06-000-2013-00520-00, Número interno: 2186.</w:t>
      </w:r>
    </w:p>
  </w:footnote>
  <w:footnote w:id="37">
    <w:p w14:paraId="4BCA99C7" w14:textId="046C958E" w:rsidR="001D18EB" w:rsidRPr="007D2268" w:rsidRDefault="001D18EB" w:rsidP="007D2268">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 xml:space="preserve">Al respecto, el Estado en su informe de octubre de 2018 acreditó pagos a favor de Alejandro Hernández Argueta, Santos Antolín Ramírez Chicas, Antonia Guevara Díaz, </w:t>
      </w:r>
      <w:proofErr w:type="spellStart"/>
      <w:r w:rsidRPr="007D2268">
        <w:rPr>
          <w:rFonts w:ascii="Verdana" w:hAnsi="Verdana"/>
          <w:sz w:val="16"/>
          <w:szCs w:val="16"/>
          <w:lang w:val="es-CO"/>
        </w:rPr>
        <w:t>Bernaldino</w:t>
      </w:r>
      <w:proofErr w:type="spellEnd"/>
      <w:r w:rsidRPr="007D2268">
        <w:rPr>
          <w:rFonts w:ascii="Verdana" w:hAnsi="Verdana"/>
          <w:sz w:val="16"/>
          <w:szCs w:val="16"/>
          <w:lang w:val="es-CO"/>
        </w:rPr>
        <w:t xml:space="preserve"> Guevara Chicas, </w:t>
      </w:r>
      <w:proofErr w:type="spellStart"/>
      <w:r w:rsidRPr="007D2268">
        <w:rPr>
          <w:rFonts w:ascii="Verdana" w:hAnsi="Verdana"/>
          <w:sz w:val="16"/>
          <w:szCs w:val="16"/>
          <w:lang w:val="es-CO"/>
        </w:rPr>
        <w:t>Bertila</w:t>
      </w:r>
      <w:proofErr w:type="spellEnd"/>
      <w:r w:rsidRPr="007D2268">
        <w:rPr>
          <w:rFonts w:ascii="Verdana" w:hAnsi="Verdana"/>
          <w:sz w:val="16"/>
          <w:szCs w:val="16"/>
          <w:lang w:val="es-CO"/>
        </w:rPr>
        <w:t xml:space="preserve"> Márquez Sánchez, Cesar Martínez Hernández, Domingo </w:t>
      </w:r>
      <w:proofErr w:type="spellStart"/>
      <w:r w:rsidRPr="007D2268">
        <w:rPr>
          <w:rFonts w:ascii="Verdana" w:hAnsi="Verdana"/>
          <w:sz w:val="16"/>
          <w:szCs w:val="16"/>
          <w:lang w:val="es-CO"/>
        </w:rPr>
        <w:t>Vigil</w:t>
      </w:r>
      <w:proofErr w:type="spellEnd"/>
      <w:r w:rsidRPr="007D2268">
        <w:rPr>
          <w:rFonts w:ascii="Verdana" w:hAnsi="Verdana"/>
          <w:sz w:val="16"/>
          <w:szCs w:val="16"/>
          <w:lang w:val="es-CO"/>
        </w:rPr>
        <w:t xml:space="preserve"> Amaya, Elsa </w:t>
      </w:r>
      <w:proofErr w:type="spellStart"/>
      <w:r w:rsidRPr="007D2268">
        <w:rPr>
          <w:rFonts w:ascii="Verdana" w:hAnsi="Verdana"/>
          <w:sz w:val="16"/>
          <w:szCs w:val="16"/>
          <w:lang w:val="es-CO"/>
        </w:rPr>
        <w:t>Ercilia</w:t>
      </w:r>
      <w:proofErr w:type="spellEnd"/>
      <w:r w:rsidRPr="007D2268">
        <w:rPr>
          <w:rFonts w:ascii="Verdana" w:hAnsi="Verdana"/>
          <w:sz w:val="16"/>
          <w:szCs w:val="16"/>
          <w:lang w:val="es-CO"/>
        </w:rPr>
        <w:t xml:space="preserve"> Márquez de Martínez, Eugenia Luna </w:t>
      </w:r>
      <w:proofErr w:type="spellStart"/>
      <w:r w:rsidRPr="007D2268">
        <w:rPr>
          <w:rFonts w:ascii="Verdana" w:hAnsi="Verdana"/>
          <w:sz w:val="16"/>
          <w:szCs w:val="16"/>
          <w:lang w:val="es-CO"/>
        </w:rPr>
        <w:t>Luna</w:t>
      </w:r>
      <w:proofErr w:type="spellEnd"/>
      <w:r w:rsidRPr="007D2268">
        <w:rPr>
          <w:rFonts w:ascii="Verdana" w:hAnsi="Verdana"/>
          <w:sz w:val="16"/>
          <w:szCs w:val="16"/>
          <w:lang w:val="es-CO"/>
        </w:rPr>
        <w:t xml:space="preserve">, Eustaquio Martínez </w:t>
      </w:r>
      <w:proofErr w:type="spellStart"/>
      <w:r w:rsidRPr="007D2268">
        <w:rPr>
          <w:rFonts w:ascii="Verdana" w:hAnsi="Verdana"/>
          <w:sz w:val="16"/>
          <w:szCs w:val="16"/>
          <w:lang w:val="es-CO"/>
        </w:rPr>
        <w:t>Vigil</w:t>
      </w:r>
      <w:proofErr w:type="spellEnd"/>
      <w:r w:rsidRPr="007D2268">
        <w:rPr>
          <w:rFonts w:ascii="Verdana" w:hAnsi="Verdana"/>
          <w:sz w:val="16"/>
          <w:szCs w:val="16"/>
          <w:lang w:val="es-CO"/>
        </w:rPr>
        <w:t>, Genaro Sánchez Díaz, María Griselda Chicas de Amaya, Hilario Sánchez Gómez, María Irma Ramos M</w:t>
      </w:r>
      <w:r>
        <w:rPr>
          <w:rFonts w:ascii="Verdana" w:hAnsi="Verdana"/>
          <w:sz w:val="16"/>
          <w:szCs w:val="16"/>
          <w:lang w:val="es-CO"/>
        </w:rPr>
        <w:t>á</w:t>
      </w:r>
      <w:r w:rsidRPr="007D2268">
        <w:rPr>
          <w:rFonts w:ascii="Verdana" w:hAnsi="Verdana"/>
          <w:sz w:val="16"/>
          <w:szCs w:val="16"/>
          <w:lang w:val="es-CO"/>
        </w:rPr>
        <w:t xml:space="preserve">rquez , José Noé Márquez Sánchez, José René Márquez Sánchez, Juan Antonio Pereira  </w:t>
      </w:r>
      <w:proofErr w:type="spellStart"/>
      <w:r w:rsidRPr="007D2268">
        <w:rPr>
          <w:rFonts w:ascii="Verdana" w:hAnsi="Verdana"/>
          <w:sz w:val="16"/>
          <w:szCs w:val="16"/>
          <w:lang w:val="es-CO"/>
        </w:rPr>
        <w:t>Vigil</w:t>
      </w:r>
      <w:proofErr w:type="spellEnd"/>
      <w:r w:rsidRPr="007D2268">
        <w:rPr>
          <w:rFonts w:ascii="Verdana" w:hAnsi="Verdana"/>
          <w:sz w:val="16"/>
          <w:szCs w:val="16"/>
          <w:lang w:val="es-CO"/>
        </w:rPr>
        <w:t>, Juan Bautista Márquez Argueta, Lucila Romero Mart</w:t>
      </w:r>
      <w:r>
        <w:rPr>
          <w:rFonts w:ascii="Verdana" w:hAnsi="Verdana"/>
          <w:sz w:val="16"/>
          <w:szCs w:val="16"/>
          <w:lang w:val="es-CO"/>
        </w:rPr>
        <w:t>í</w:t>
      </w:r>
      <w:r w:rsidRPr="007D2268">
        <w:rPr>
          <w:rFonts w:ascii="Verdana" w:hAnsi="Verdana"/>
          <w:sz w:val="16"/>
          <w:szCs w:val="16"/>
          <w:lang w:val="es-CO"/>
        </w:rPr>
        <w:t xml:space="preserve">nez, Luis Beltrán Díaz Ramos, María Amanda Martínez </w:t>
      </w:r>
      <w:proofErr w:type="spellStart"/>
      <w:r w:rsidRPr="007D2268">
        <w:rPr>
          <w:rFonts w:ascii="Verdana" w:hAnsi="Verdana"/>
          <w:sz w:val="16"/>
          <w:szCs w:val="16"/>
          <w:lang w:val="es-CO"/>
        </w:rPr>
        <w:t>Vigil</w:t>
      </w:r>
      <w:proofErr w:type="spellEnd"/>
      <w:r w:rsidRPr="007D2268">
        <w:rPr>
          <w:rFonts w:ascii="Verdana" w:hAnsi="Verdana"/>
          <w:sz w:val="16"/>
          <w:szCs w:val="16"/>
          <w:lang w:val="es-CO"/>
        </w:rPr>
        <w:t xml:space="preserve">, María del Rosario López Sánchez, María </w:t>
      </w:r>
      <w:proofErr w:type="spellStart"/>
      <w:r w:rsidRPr="007D2268">
        <w:rPr>
          <w:rFonts w:ascii="Verdana" w:hAnsi="Verdana"/>
          <w:sz w:val="16"/>
          <w:szCs w:val="16"/>
          <w:lang w:val="es-CO"/>
        </w:rPr>
        <w:t>Dorila</w:t>
      </w:r>
      <w:proofErr w:type="spellEnd"/>
      <w:r w:rsidRPr="007D2268">
        <w:rPr>
          <w:rFonts w:ascii="Verdana" w:hAnsi="Verdana"/>
          <w:sz w:val="16"/>
          <w:szCs w:val="16"/>
          <w:lang w:val="es-CO"/>
        </w:rPr>
        <w:t xml:space="preserve"> Márquez de Márquez, María </w:t>
      </w:r>
      <w:proofErr w:type="spellStart"/>
      <w:r w:rsidRPr="007D2268">
        <w:rPr>
          <w:rFonts w:ascii="Verdana" w:hAnsi="Verdana"/>
          <w:sz w:val="16"/>
          <w:szCs w:val="16"/>
          <w:lang w:val="es-CO"/>
        </w:rPr>
        <w:t>Erlinda</w:t>
      </w:r>
      <w:proofErr w:type="spellEnd"/>
      <w:r w:rsidRPr="007D2268">
        <w:rPr>
          <w:rFonts w:ascii="Verdana" w:hAnsi="Verdana"/>
          <w:sz w:val="16"/>
          <w:szCs w:val="16"/>
          <w:lang w:val="es-CO"/>
        </w:rPr>
        <w:t xml:space="preserve"> Amaya </w:t>
      </w:r>
      <w:proofErr w:type="spellStart"/>
      <w:r w:rsidRPr="007D2268">
        <w:rPr>
          <w:rFonts w:ascii="Verdana" w:hAnsi="Verdana"/>
          <w:sz w:val="16"/>
          <w:szCs w:val="16"/>
          <w:lang w:val="es-CO"/>
        </w:rPr>
        <w:t>Marquez</w:t>
      </w:r>
      <w:proofErr w:type="spellEnd"/>
      <w:r w:rsidRPr="007D2268">
        <w:rPr>
          <w:rFonts w:ascii="Verdana" w:hAnsi="Verdana"/>
          <w:sz w:val="16"/>
          <w:szCs w:val="16"/>
          <w:lang w:val="es-CO"/>
        </w:rPr>
        <w:t>, María Florinda Sánchez Argueta, María In</w:t>
      </w:r>
      <w:r>
        <w:rPr>
          <w:rFonts w:ascii="Verdana" w:hAnsi="Verdana"/>
          <w:sz w:val="16"/>
          <w:szCs w:val="16"/>
          <w:lang w:val="es-CO"/>
        </w:rPr>
        <w:t>é</w:t>
      </w:r>
      <w:r w:rsidRPr="007D2268">
        <w:rPr>
          <w:rFonts w:ascii="Verdana" w:hAnsi="Verdana"/>
          <w:sz w:val="16"/>
          <w:szCs w:val="16"/>
          <w:lang w:val="es-CO"/>
        </w:rPr>
        <w:t xml:space="preserve">s Chicas de Carrillo, María Magdalena Chicas Díaz, María </w:t>
      </w:r>
      <w:proofErr w:type="spellStart"/>
      <w:r w:rsidRPr="007D2268">
        <w:rPr>
          <w:rFonts w:ascii="Verdana" w:hAnsi="Verdana"/>
          <w:sz w:val="16"/>
          <w:szCs w:val="16"/>
          <w:lang w:val="es-CO"/>
        </w:rPr>
        <w:t>Teofila</w:t>
      </w:r>
      <w:proofErr w:type="spellEnd"/>
      <w:r w:rsidRPr="007D2268">
        <w:rPr>
          <w:rFonts w:ascii="Verdana" w:hAnsi="Verdana"/>
          <w:sz w:val="16"/>
          <w:szCs w:val="16"/>
          <w:lang w:val="es-CO"/>
        </w:rPr>
        <w:t xml:space="preserve"> Pereira Argueta, Matilde del Cid </w:t>
      </w:r>
      <w:proofErr w:type="spellStart"/>
      <w:r w:rsidRPr="007D2268">
        <w:rPr>
          <w:rFonts w:ascii="Verdana" w:hAnsi="Verdana"/>
          <w:sz w:val="16"/>
          <w:szCs w:val="16"/>
          <w:lang w:val="es-CO"/>
        </w:rPr>
        <w:t>Membreño</w:t>
      </w:r>
      <w:proofErr w:type="spellEnd"/>
      <w:r w:rsidRPr="007D2268">
        <w:rPr>
          <w:rFonts w:ascii="Verdana" w:hAnsi="Verdana"/>
          <w:sz w:val="16"/>
          <w:szCs w:val="16"/>
          <w:lang w:val="es-CO"/>
        </w:rPr>
        <w:t xml:space="preserve">, Nicolás Díaz Chicas, Pastora Chicas Ramírez, Pedro Chicas </w:t>
      </w:r>
      <w:r>
        <w:rPr>
          <w:rFonts w:ascii="Verdana" w:hAnsi="Verdana"/>
          <w:sz w:val="16"/>
          <w:szCs w:val="16"/>
          <w:lang w:val="es-CO"/>
        </w:rPr>
        <w:t>Romero</w:t>
      </w:r>
      <w:r w:rsidRPr="007D2268">
        <w:rPr>
          <w:rFonts w:ascii="Verdana" w:hAnsi="Verdana"/>
          <w:sz w:val="16"/>
          <w:szCs w:val="16"/>
          <w:lang w:val="es-CO"/>
        </w:rPr>
        <w:t>, Rosa Ram</w:t>
      </w:r>
      <w:r>
        <w:rPr>
          <w:rFonts w:ascii="Verdana" w:hAnsi="Verdana"/>
          <w:sz w:val="16"/>
          <w:szCs w:val="16"/>
          <w:lang w:val="es-CO"/>
        </w:rPr>
        <w:t>í</w:t>
      </w:r>
      <w:r w:rsidRPr="007D2268">
        <w:rPr>
          <w:rFonts w:ascii="Verdana" w:hAnsi="Verdana"/>
          <w:sz w:val="16"/>
          <w:szCs w:val="16"/>
          <w:lang w:val="es-CO"/>
        </w:rPr>
        <w:t>rez Hern</w:t>
      </w:r>
      <w:r>
        <w:rPr>
          <w:rFonts w:ascii="Verdana" w:hAnsi="Verdana"/>
          <w:sz w:val="16"/>
          <w:szCs w:val="16"/>
          <w:lang w:val="es-CO"/>
        </w:rPr>
        <w:t>á</w:t>
      </w:r>
      <w:r w:rsidRPr="007D2268">
        <w:rPr>
          <w:rFonts w:ascii="Verdana" w:hAnsi="Verdana"/>
          <w:sz w:val="16"/>
          <w:szCs w:val="16"/>
          <w:lang w:val="es-CO"/>
        </w:rPr>
        <w:t xml:space="preserve">ndez, Rosendo Hernández Amaya, Santos Jacobo Chicas Guevara, Sofia Márquez Sánchez, Santos </w:t>
      </w:r>
      <w:proofErr w:type="spellStart"/>
      <w:r w:rsidRPr="007D2268">
        <w:rPr>
          <w:rFonts w:ascii="Verdana" w:hAnsi="Verdana"/>
          <w:sz w:val="16"/>
          <w:szCs w:val="16"/>
          <w:lang w:val="es-CO"/>
        </w:rPr>
        <w:t>Leonicia</w:t>
      </w:r>
      <w:proofErr w:type="spellEnd"/>
      <w:r w:rsidRPr="007D2268">
        <w:rPr>
          <w:rFonts w:ascii="Verdana" w:hAnsi="Verdana"/>
          <w:sz w:val="16"/>
          <w:szCs w:val="16"/>
          <w:lang w:val="es-CO"/>
        </w:rPr>
        <w:t xml:space="preserve"> Chicas de </w:t>
      </w:r>
      <w:r w:rsidRPr="00F1192A">
        <w:rPr>
          <w:rFonts w:ascii="Verdana" w:hAnsi="Verdana"/>
          <w:sz w:val="16"/>
          <w:szCs w:val="16"/>
          <w:lang w:val="es-CO"/>
        </w:rPr>
        <w:t xml:space="preserve">Guevara, Sotero Guevara Martínez y José Valeriano Chicas Ramírez. En uno de los casos, el pago fue parcial (ver </w:t>
      </w:r>
      <w:r w:rsidRPr="00F1192A">
        <w:rPr>
          <w:rFonts w:ascii="Verdana" w:hAnsi="Verdana"/>
          <w:i/>
          <w:sz w:val="16"/>
          <w:szCs w:val="16"/>
          <w:lang w:val="es-CO"/>
        </w:rPr>
        <w:t xml:space="preserve">infra </w:t>
      </w:r>
      <w:r w:rsidRPr="00F1192A">
        <w:rPr>
          <w:rFonts w:ascii="Verdana" w:hAnsi="Verdana"/>
          <w:sz w:val="16"/>
          <w:szCs w:val="16"/>
          <w:lang w:val="es-CO"/>
        </w:rPr>
        <w:t xml:space="preserve">nota al pie </w:t>
      </w:r>
      <w:r w:rsidR="00644E75" w:rsidRPr="00F1192A">
        <w:rPr>
          <w:rFonts w:ascii="Verdana" w:hAnsi="Verdana"/>
          <w:sz w:val="16"/>
          <w:szCs w:val="16"/>
          <w:lang w:val="es-CO"/>
        </w:rPr>
        <w:fldChar w:fldCharType="begin"/>
      </w:r>
      <w:r w:rsidR="00644E75" w:rsidRPr="00F1192A">
        <w:rPr>
          <w:rFonts w:ascii="Verdana" w:hAnsi="Verdana"/>
          <w:sz w:val="16"/>
          <w:szCs w:val="16"/>
          <w:lang w:val="es-CO"/>
        </w:rPr>
        <w:instrText xml:space="preserve"> NOTEREF _Ref532914087 \h </w:instrText>
      </w:r>
      <w:r w:rsidR="00F1192A">
        <w:rPr>
          <w:rFonts w:ascii="Verdana" w:hAnsi="Verdana"/>
          <w:sz w:val="16"/>
          <w:szCs w:val="16"/>
          <w:lang w:val="es-CO"/>
        </w:rPr>
        <w:instrText xml:space="preserve"> \* MERGEFORMAT </w:instrText>
      </w:r>
      <w:r w:rsidR="00644E75" w:rsidRPr="00F1192A">
        <w:rPr>
          <w:rFonts w:ascii="Verdana" w:hAnsi="Verdana"/>
          <w:sz w:val="16"/>
          <w:szCs w:val="16"/>
          <w:lang w:val="es-CO"/>
        </w:rPr>
      </w:r>
      <w:r w:rsidR="00644E75" w:rsidRPr="00F1192A">
        <w:rPr>
          <w:rFonts w:ascii="Verdana" w:hAnsi="Verdana"/>
          <w:sz w:val="16"/>
          <w:szCs w:val="16"/>
          <w:lang w:val="es-CO"/>
        </w:rPr>
        <w:fldChar w:fldCharType="separate"/>
      </w:r>
      <w:r w:rsidR="005E6AC2">
        <w:rPr>
          <w:rFonts w:ascii="Verdana" w:hAnsi="Verdana"/>
          <w:sz w:val="16"/>
          <w:szCs w:val="16"/>
          <w:lang w:val="es-CO"/>
        </w:rPr>
        <w:t>41</w:t>
      </w:r>
      <w:r w:rsidR="00644E75" w:rsidRPr="00F1192A">
        <w:rPr>
          <w:rFonts w:ascii="Verdana" w:hAnsi="Verdana"/>
          <w:sz w:val="16"/>
          <w:szCs w:val="16"/>
          <w:lang w:val="es-CO"/>
        </w:rPr>
        <w:fldChar w:fldCharType="end"/>
      </w:r>
      <w:r w:rsidRPr="00F1192A">
        <w:rPr>
          <w:rFonts w:ascii="Verdana" w:hAnsi="Verdana"/>
          <w:sz w:val="16"/>
          <w:szCs w:val="16"/>
          <w:lang w:val="es-CO"/>
        </w:rPr>
        <w:t>).</w:t>
      </w:r>
    </w:p>
  </w:footnote>
  <w:footnote w:id="38">
    <w:p w14:paraId="367A45EE" w14:textId="630CDD6D"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 xml:space="preserve">Al respecto, el Estado en su informe de octubre de 2018 referenció los pagos en cabeza de Alba Ignacia del Cid, Alejandra Márquez de Pereira, Alfredo Márquez, Alicia </w:t>
      </w:r>
      <w:proofErr w:type="spellStart"/>
      <w:r w:rsidRPr="007D2268">
        <w:rPr>
          <w:rFonts w:ascii="Verdana" w:hAnsi="Verdana"/>
          <w:sz w:val="16"/>
          <w:szCs w:val="16"/>
          <w:lang w:val="es-CO"/>
        </w:rPr>
        <w:t>Fermina</w:t>
      </w:r>
      <w:proofErr w:type="spellEnd"/>
      <w:r w:rsidRPr="007D2268">
        <w:rPr>
          <w:rFonts w:ascii="Verdana" w:hAnsi="Verdana"/>
          <w:sz w:val="16"/>
          <w:szCs w:val="16"/>
          <w:lang w:val="es-CO"/>
        </w:rPr>
        <w:t xml:space="preserve"> Sánchez, Alonzo Márquez Claros, Ana Francisca Pereira Vda. de Pereira, Ana Leonila Pereira Márquez, Arcadia Ramírez Portillo, Benita Claros, Benito Argueta Claros, Benito Márquez Chica, Bruna García de Márquez, </w:t>
      </w:r>
      <w:proofErr w:type="spellStart"/>
      <w:r w:rsidRPr="007D2268">
        <w:rPr>
          <w:rFonts w:ascii="Verdana" w:hAnsi="Verdana"/>
          <w:sz w:val="16"/>
          <w:szCs w:val="16"/>
          <w:lang w:val="es-CO"/>
        </w:rPr>
        <w:t>Cerapia</w:t>
      </w:r>
      <w:proofErr w:type="spellEnd"/>
      <w:r w:rsidRPr="007D2268">
        <w:rPr>
          <w:rFonts w:ascii="Verdana" w:hAnsi="Verdana"/>
          <w:sz w:val="16"/>
          <w:szCs w:val="16"/>
          <w:lang w:val="es-CO"/>
        </w:rPr>
        <w:t xml:space="preserve"> Chica Chica, Cristóbal Sánchez Mejía, Deisy </w:t>
      </w:r>
      <w:proofErr w:type="spellStart"/>
      <w:r w:rsidRPr="007D2268">
        <w:rPr>
          <w:rFonts w:ascii="Verdana" w:hAnsi="Verdana"/>
          <w:sz w:val="16"/>
          <w:szCs w:val="16"/>
          <w:lang w:val="es-CO"/>
        </w:rPr>
        <w:t>Nohem</w:t>
      </w:r>
      <w:r>
        <w:rPr>
          <w:rFonts w:ascii="Verdana" w:hAnsi="Verdana"/>
          <w:sz w:val="16"/>
          <w:szCs w:val="16"/>
          <w:lang w:val="es-CO"/>
        </w:rPr>
        <w:t>y</w:t>
      </w:r>
      <w:proofErr w:type="spellEnd"/>
      <w:r w:rsidRPr="007D2268">
        <w:rPr>
          <w:rFonts w:ascii="Verdana" w:hAnsi="Verdana"/>
          <w:sz w:val="16"/>
          <w:szCs w:val="16"/>
          <w:lang w:val="es-CO"/>
        </w:rPr>
        <w:t xml:space="preserve"> Márquez Rodríguez, Dionicio Díaz Barrera, Domingo Díaz Barrera, Dore Rutilio Argueta Ramos, Eduardo Concepción Argueta Márquez, </w:t>
      </w:r>
      <w:proofErr w:type="spellStart"/>
      <w:r w:rsidRPr="007D2268">
        <w:rPr>
          <w:rFonts w:ascii="Verdana" w:hAnsi="Verdana"/>
          <w:sz w:val="16"/>
          <w:szCs w:val="16"/>
          <w:lang w:val="es-CO"/>
        </w:rPr>
        <w:t>Efigenia</w:t>
      </w:r>
      <w:proofErr w:type="spellEnd"/>
      <w:r w:rsidRPr="007D2268">
        <w:rPr>
          <w:rFonts w:ascii="Verdana" w:hAnsi="Verdana"/>
          <w:sz w:val="16"/>
          <w:szCs w:val="16"/>
          <w:lang w:val="es-CO"/>
        </w:rPr>
        <w:t xml:space="preserve"> Romero Márquez, Elsa Marina Argueta </w:t>
      </w:r>
      <w:proofErr w:type="spellStart"/>
      <w:r w:rsidRPr="007D2268">
        <w:rPr>
          <w:rFonts w:ascii="Verdana" w:hAnsi="Verdana"/>
          <w:sz w:val="16"/>
          <w:szCs w:val="16"/>
          <w:lang w:val="es-CO"/>
        </w:rPr>
        <w:t>Argueta</w:t>
      </w:r>
      <w:proofErr w:type="spellEnd"/>
      <w:r w:rsidRPr="007D2268">
        <w:rPr>
          <w:rFonts w:ascii="Verdana" w:hAnsi="Verdana"/>
          <w:sz w:val="16"/>
          <w:szCs w:val="16"/>
          <w:lang w:val="es-CO"/>
        </w:rPr>
        <w:t xml:space="preserve">, Esteban </w:t>
      </w:r>
      <w:proofErr w:type="spellStart"/>
      <w:r w:rsidRPr="007D2268">
        <w:rPr>
          <w:rFonts w:ascii="Verdana" w:hAnsi="Verdana"/>
          <w:sz w:val="16"/>
          <w:szCs w:val="16"/>
          <w:lang w:val="es-CO"/>
        </w:rPr>
        <w:t>Saenz</w:t>
      </w:r>
      <w:proofErr w:type="spellEnd"/>
      <w:r w:rsidRPr="007D2268">
        <w:rPr>
          <w:rFonts w:ascii="Verdana" w:hAnsi="Verdana"/>
          <w:sz w:val="16"/>
          <w:szCs w:val="16"/>
          <w:lang w:val="es-CO"/>
        </w:rPr>
        <w:t xml:space="preserve"> Díaz, Flora Isabel Romero Pereira, Florencia Claros de Argueta, Francisca  Chica Chica, Francisca Díaz de Guevara, </w:t>
      </w:r>
      <w:proofErr w:type="spellStart"/>
      <w:r w:rsidRPr="007D2268">
        <w:rPr>
          <w:rFonts w:ascii="Verdana" w:hAnsi="Verdana"/>
          <w:sz w:val="16"/>
          <w:szCs w:val="16"/>
          <w:lang w:val="es-CO"/>
        </w:rPr>
        <w:t>Gerarda</w:t>
      </w:r>
      <w:proofErr w:type="spellEnd"/>
      <w:r w:rsidRPr="007D2268">
        <w:rPr>
          <w:rFonts w:ascii="Verdana" w:hAnsi="Verdana"/>
          <w:sz w:val="16"/>
          <w:szCs w:val="16"/>
          <w:lang w:val="es-CO"/>
        </w:rPr>
        <w:t xml:space="preserve"> Luna Ramírez, Glenda Yesenia Argueta de Olmedo, Gonzalo Mejía Sánchez, Hilaria Chicas Guevara, Ignacia Claros Díaz, Ignacio Chica, Inés Díaz Portillo, Isabel Gutiérrez Chica, Ismael Márquez, Jacoba Mejía Sánchez, José Amparo Martínez García, José Antonio Márquez Claros, José Castillo Guevara Claros, José Cruz Vigil del Cid, José Domingo Chica Márquez, José Eliseo Claros Romero, José Gervasio Díaz, José Héctor Márquez, José Manuel Claros Márquez, José Mario Díaz Guevara, Jos</w:t>
      </w:r>
      <w:r>
        <w:rPr>
          <w:rFonts w:ascii="Verdana" w:hAnsi="Verdana"/>
          <w:sz w:val="16"/>
          <w:szCs w:val="16"/>
          <w:lang w:val="es-CO"/>
        </w:rPr>
        <w:t>é</w:t>
      </w:r>
      <w:r w:rsidRPr="007D2268">
        <w:rPr>
          <w:rFonts w:ascii="Verdana" w:hAnsi="Verdana"/>
          <w:sz w:val="16"/>
          <w:szCs w:val="16"/>
          <w:lang w:val="es-CO"/>
        </w:rPr>
        <w:t xml:space="preserve"> Mois</w:t>
      </w:r>
      <w:r>
        <w:rPr>
          <w:rFonts w:ascii="Verdana" w:hAnsi="Verdana"/>
          <w:sz w:val="16"/>
          <w:szCs w:val="16"/>
          <w:lang w:val="es-CO"/>
        </w:rPr>
        <w:t>é</w:t>
      </w:r>
      <w:r w:rsidRPr="007D2268">
        <w:rPr>
          <w:rFonts w:ascii="Verdana" w:hAnsi="Verdana"/>
          <w:sz w:val="16"/>
          <w:szCs w:val="16"/>
          <w:lang w:val="es-CO"/>
        </w:rPr>
        <w:t>s Claros M</w:t>
      </w:r>
      <w:r>
        <w:rPr>
          <w:rFonts w:ascii="Verdana" w:hAnsi="Verdana"/>
          <w:sz w:val="16"/>
          <w:szCs w:val="16"/>
          <w:lang w:val="es-CO"/>
        </w:rPr>
        <w:t>á</w:t>
      </w:r>
      <w:r w:rsidRPr="007D2268">
        <w:rPr>
          <w:rFonts w:ascii="Verdana" w:hAnsi="Verdana"/>
          <w:sz w:val="16"/>
          <w:szCs w:val="16"/>
          <w:lang w:val="es-CO"/>
        </w:rPr>
        <w:t xml:space="preserve">rquez, José Orlando Márquez García, José Pablo Díaz Portillo, José Prudencio Díaz, José Saturnino Guevara Romero, José Socorro Chica, Juan Bautista Hernández Argueta, Juan de Mata Argueta </w:t>
      </w:r>
      <w:proofErr w:type="spellStart"/>
      <w:r w:rsidRPr="007D2268">
        <w:rPr>
          <w:rFonts w:ascii="Verdana" w:hAnsi="Verdana"/>
          <w:sz w:val="16"/>
          <w:szCs w:val="16"/>
          <w:lang w:val="es-CO"/>
        </w:rPr>
        <w:t>Argueta</w:t>
      </w:r>
      <w:proofErr w:type="spellEnd"/>
      <w:r w:rsidRPr="007D2268">
        <w:rPr>
          <w:rFonts w:ascii="Verdana" w:hAnsi="Verdana"/>
          <w:sz w:val="16"/>
          <w:szCs w:val="16"/>
          <w:lang w:val="es-CO"/>
        </w:rPr>
        <w:t xml:space="preserve">, Juan Francisco Claros </w:t>
      </w:r>
      <w:proofErr w:type="spellStart"/>
      <w:r w:rsidRPr="007D2268">
        <w:rPr>
          <w:rFonts w:ascii="Verdana" w:hAnsi="Verdana"/>
          <w:sz w:val="16"/>
          <w:szCs w:val="16"/>
          <w:lang w:val="es-CO"/>
        </w:rPr>
        <w:t>Claros</w:t>
      </w:r>
      <w:proofErr w:type="spellEnd"/>
      <w:r w:rsidRPr="007D2268">
        <w:rPr>
          <w:rFonts w:ascii="Verdana" w:hAnsi="Verdana"/>
          <w:sz w:val="16"/>
          <w:szCs w:val="16"/>
          <w:lang w:val="es-CO"/>
        </w:rPr>
        <w:t>, Juana Bautista Guevara de Mart</w:t>
      </w:r>
      <w:r>
        <w:rPr>
          <w:rFonts w:ascii="Verdana" w:hAnsi="Verdana"/>
          <w:sz w:val="16"/>
          <w:szCs w:val="16"/>
          <w:lang w:val="es-CO"/>
        </w:rPr>
        <w:t>í</w:t>
      </w:r>
      <w:r w:rsidRPr="007D2268">
        <w:rPr>
          <w:rFonts w:ascii="Verdana" w:hAnsi="Verdana"/>
          <w:sz w:val="16"/>
          <w:szCs w:val="16"/>
          <w:lang w:val="es-CO"/>
        </w:rPr>
        <w:t xml:space="preserve">nez, Juana Inocente Claros, Julián Romero, Juvencio Márquez Vigil, Leocadio Díaz Argueta, Magdaleno Martínez Argueta, Margarito Claros, María </w:t>
      </w:r>
      <w:proofErr w:type="spellStart"/>
      <w:r w:rsidRPr="007D2268">
        <w:rPr>
          <w:rFonts w:ascii="Verdana" w:hAnsi="Verdana"/>
          <w:sz w:val="16"/>
          <w:szCs w:val="16"/>
          <w:lang w:val="es-CO"/>
        </w:rPr>
        <w:t>Adelinda</w:t>
      </w:r>
      <w:proofErr w:type="spellEnd"/>
      <w:r w:rsidRPr="007D2268">
        <w:rPr>
          <w:rFonts w:ascii="Verdana" w:hAnsi="Verdana"/>
          <w:sz w:val="16"/>
          <w:szCs w:val="16"/>
          <w:lang w:val="es-CO"/>
        </w:rPr>
        <w:t xml:space="preserve"> Claros Pereira, María Alejandra Díaz, María Ángel Díaz de Barahona, María </w:t>
      </w:r>
      <w:proofErr w:type="spellStart"/>
      <w:r w:rsidRPr="007D2268">
        <w:rPr>
          <w:rFonts w:ascii="Verdana" w:hAnsi="Verdana"/>
          <w:sz w:val="16"/>
          <w:szCs w:val="16"/>
          <w:lang w:val="es-CO"/>
        </w:rPr>
        <w:t>Avigail</w:t>
      </w:r>
      <w:proofErr w:type="spellEnd"/>
      <w:r w:rsidRPr="007D2268">
        <w:rPr>
          <w:rFonts w:ascii="Verdana" w:hAnsi="Verdana"/>
          <w:sz w:val="16"/>
          <w:szCs w:val="16"/>
          <w:lang w:val="es-CO"/>
        </w:rPr>
        <w:t xml:space="preserve"> Amaya de Martínez, María Catalina </w:t>
      </w:r>
      <w:proofErr w:type="spellStart"/>
      <w:r w:rsidRPr="007D2268">
        <w:rPr>
          <w:rFonts w:ascii="Verdana" w:hAnsi="Verdana"/>
          <w:sz w:val="16"/>
          <w:szCs w:val="16"/>
          <w:lang w:val="es-CO"/>
        </w:rPr>
        <w:t>Gutiérre</w:t>
      </w:r>
      <w:r>
        <w:rPr>
          <w:rFonts w:ascii="Verdana" w:hAnsi="Verdana"/>
          <w:sz w:val="16"/>
          <w:szCs w:val="16"/>
          <w:lang w:val="es-CO"/>
        </w:rPr>
        <w:t>s</w:t>
      </w:r>
      <w:proofErr w:type="spellEnd"/>
      <w:r w:rsidRPr="007D2268">
        <w:rPr>
          <w:rFonts w:ascii="Verdana" w:hAnsi="Verdana"/>
          <w:sz w:val="16"/>
          <w:szCs w:val="16"/>
          <w:lang w:val="es-CO"/>
        </w:rPr>
        <w:t xml:space="preserve"> de Márquez, María Catarina Claros Romero, Mar</w:t>
      </w:r>
      <w:r>
        <w:rPr>
          <w:rFonts w:ascii="Verdana" w:hAnsi="Verdana"/>
          <w:sz w:val="16"/>
          <w:szCs w:val="16"/>
          <w:lang w:val="es-CO"/>
        </w:rPr>
        <w:t>í</w:t>
      </w:r>
      <w:r w:rsidRPr="007D2268">
        <w:rPr>
          <w:rFonts w:ascii="Verdana" w:hAnsi="Verdana"/>
          <w:sz w:val="16"/>
          <w:szCs w:val="16"/>
          <w:lang w:val="es-CO"/>
        </w:rPr>
        <w:t>a de Jes</w:t>
      </w:r>
      <w:r>
        <w:rPr>
          <w:rFonts w:ascii="Verdana" w:hAnsi="Verdana"/>
          <w:sz w:val="16"/>
          <w:szCs w:val="16"/>
          <w:lang w:val="es-CO"/>
        </w:rPr>
        <w:t>ú</w:t>
      </w:r>
      <w:r w:rsidRPr="007D2268">
        <w:rPr>
          <w:rFonts w:ascii="Verdana" w:hAnsi="Verdana"/>
          <w:sz w:val="16"/>
          <w:szCs w:val="16"/>
          <w:lang w:val="es-CO"/>
        </w:rPr>
        <w:t>s M</w:t>
      </w:r>
      <w:r>
        <w:rPr>
          <w:rFonts w:ascii="Verdana" w:hAnsi="Verdana"/>
          <w:sz w:val="16"/>
          <w:szCs w:val="16"/>
          <w:lang w:val="es-CO"/>
        </w:rPr>
        <w:t>á</w:t>
      </w:r>
      <w:r w:rsidRPr="007D2268">
        <w:rPr>
          <w:rFonts w:ascii="Verdana" w:hAnsi="Verdana"/>
          <w:sz w:val="16"/>
          <w:szCs w:val="16"/>
          <w:lang w:val="es-CO"/>
        </w:rPr>
        <w:t>rquez Claros, María de la Cruz Argueta Guevara, María de la Paz Chicas de Amaya, María del Carmen M</w:t>
      </w:r>
      <w:r>
        <w:rPr>
          <w:rFonts w:ascii="Verdana" w:hAnsi="Verdana"/>
          <w:sz w:val="16"/>
          <w:szCs w:val="16"/>
          <w:lang w:val="es-CO"/>
        </w:rPr>
        <w:t>á</w:t>
      </w:r>
      <w:r w:rsidRPr="007D2268">
        <w:rPr>
          <w:rFonts w:ascii="Verdana" w:hAnsi="Verdana"/>
          <w:sz w:val="16"/>
          <w:szCs w:val="16"/>
          <w:lang w:val="es-CO"/>
        </w:rPr>
        <w:t>rquez D</w:t>
      </w:r>
      <w:r>
        <w:rPr>
          <w:rFonts w:ascii="Verdana" w:hAnsi="Verdana"/>
          <w:sz w:val="16"/>
          <w:szCs w:val="16"/>
          <w:lang w:val="es-CO"/>
        </w:rPr>
        <w:t>í</w:t>
      </w:r>
      <w:r w:rsidRPr="007D2268">
        <w:rPr>
          <w:rFonts w:ascii="Verdana" w:hAnsi="Verdana"/>
          <w:sz w:val="16"/>
          <w:szCs w:val="16"/>
          <w:lang w:val="es-CO"/>
        </w:rPr>
        <w:t>az, María Elena Vigil, Mar</w:t>
      </w:r>
      <w:r>
        <w:rPr>
          <w:rFonts w:ascii="Verdana" w:hAnsi="Verdana"/>
          <w:sz w:val="16"/>
          <w:szCs w:val="16"/>
          <w:lang w:val="es-CO"/>
        </w:rPr>
        <w:t>í</w:t>
      </w:r>
      <w:r w:rsidRPr="007D2268">
        <w:rPr>
          <w:rFonts w:ascii="Verdana" w:hAnsi="Verdana"/>
          <w:sz w:val="16"/>
          <w:szCs w:val="16"/>
          <w:lang w:val="es-CO"/>
        </w:rPr>
        <w:t>a Ester M</w:t>
      </w:r>
      <w:r>
        <w:rPr>
          <w:rFonts w:ascii="Verdana" w:hAnsi="Verdana"/>
          <w:sz w:val="16"/>
          <w:szCs w:val="16"/>
          <w:lang w:val="es-CO"/>
        </w:rPr>
        <w:t>á</w:t>
      </w:r>
      <w:r w:rsidRPr="007D2268">
        <w:rPr>
          <w:rFonts w:ascii="Verdana" w:hAnsi="Verdana"/>
          <w:sz w:val="16"/>
          <w:szCs w:val="16"/>
          <w:lang w:val="es-CO"/>
        </w:rPr>
        <w:t>rquez Vda</w:t>
      </w:r>
      <w:r>
        <w:rPr>
          <w:rFonts w:ascii="Verdana" w:hAnsi="Verdana"/>
          <w:sz w:val="16"/>
          <w:szCs w:val="16"/>
          <w:lang w:val="es-CO"/>
        </w:rPr>
        <w:t>.</w:t>
      </w:r>
      <w:r w:rsidRPr="007D2268">
        <w:rPr>
          <w:rFonts w:ascii="Verdana" w:hAnsi="Verdana"/>
          <w:sz w:val="16"/>
          <w:szCs w:val="16"/>
          <w:lang w:val="es-CO"/>
        </w:rPr>
        <w:t xml:space="preserve"> de </w:t>
      </w:r>
      <w:proofErr w:type="spellStart"/>
      <w:r w:rsidRPr="007D2268">
        <w:rPr>
          <w:rFonts w:ascii="Verdana" w:hAnsi="Verdana"/>
          <w:sz w:val="16"/>
          <w:szCs w:val="16"/>
          <w:lang w:val="es-CO"/>
        </w:rPr>
        <w:t>Diaz</w:t>
      </w:r>
      <w:proofErr w:type="spellEnd"/>
      <w:r w:rsidRPr="007D2268">
        <w:rPr>
          <w:rFonts w:ascii="Verdana" w:hAnsi="Verdana"/>
          <w:sz w:val="16"/>
          <w:szCs w:val="16"/>
          <w:lang w:val="es-CO"/>
        </w:rPr>
        <w:t xml:space="preserve">, María </w:t>
      </w:r>
      <w:proofErr w:type="spellStart"/>
      <w:r w:rsidRPr="007D2268">
        <w:rPr>
          <w:rFonts w:ascii="Verdana" w:hAnsi="Verdana"/>
          <w:sz w:val="16"/>
          <w:szCs w:val="16"/>
          <w:lang w:val="es-CO"/>
        </w:rPr>
        <w:t>Fabia</w:t>
      </w:r>
      <w:proofErr w:type="spellEnd"/>
      <w:r w:rsidRPr="007D2268">
        <w:rPr>
          <w:rFonts w:ascii="Verdana" w:hAnsi="Verdana"/>
          <w:sz w:val="16"/>
          <w:szCs w:val="16"/>
          <w:lang w:val="es-CO"/>
        </w:rPr>
        <w:t xml:space="preserve"> Claros Orellana, María Fausta Gutiérrez de Argueta, María Félix Claros, María Fernanda Barrera Vda. de Márquez, María Gabina Hernández Vda. de Díaz, María Hilda Claros de García, María Julia Pereira de Argueta, María </w:t>
      </w:r>
      <w:proofErr w:type="spellStart"/>
      <w:r w:rsidRPr="007D2268">
        <w:rPr>
          <w:rFonts w:ascii="Verdana" w:hAnsi="Verdana"/>
          <w:sz w:val="16"/>
          <w:szCs w:val="16"/>
          <w:lang w:val="es-CO"/>
        </w:rPr>
        <w:t>Leonil</w:t>
      </w:r>
      <w:r>
        <w:rPr>
          <w:rFonts w:ascii="Verdana" w:hAnsi="Verdana"/>
          <w:sz w:val="16"/>
          <w:szCs w:val="16"/>
          <w:lang w:val="es-CO"/>
        </w:rPr>
        <w:t>d</w:t>
      </w:r>
      <w:r w:rsidRPr="007D2268">
        <w:rPr>
          <w:rFonts w:ascii="Verdana" w:hAnsi="Verdana"/>
          <w:sz w:val="16"/>
          <w:szCs w:val="16"/>
          <w:lang w:val="es-CO"/>
        </w:rPr>
        <w:t>a</w:t>
      </w:r>
      <w:proofErr w:type="spellEnd"/>
      <w:r w:rsidRPr="007D2268">
        <w:rPr>
          <w:rFonts w:ascii="Verdana" w:hAnsi="Verdana"/>
          <w:sz w:val="16"/>
          <w:szCs w:val="16"/>
          <w:lang w:val="es-CO"/>
        </w:rPr>
        <w:t xml:space="preserve"> Claros de Cruz, María Luisa del Cid Vigil, María Luisa Guevara Claros, María Magdalena Chicas Márquez, María Otilia Chicas de Ramos, Mar</w:t>
      </w:r>
      <w:r>
        <w:rPr>
          <w:rFonts w:ascii="Verdana" w:hAnsi="Verdana"/>
          <w:sz w:val="16"/>
          <w:szCs w:val="16"/>
          <w:lang w:val="es-CO"/>
        </w:rPr>
        <w:t>í</w:t>
      </w:r>
      <w:r w:rsidRPr="007D2268">
        <w:rPr>
          <w:rFonts w:ascii="Verdana" w:hAnsi="Verdana"/>
          <w:sz w:val="16"/>
          <w:szCs w:val="16"/>
          <w:lang w:val="es-CO"/>
        </w:rPr>
        <w:t>a Ramona M</w:t>
      </w:r>
      <w:r>
        <w:rPr>
          <w:rFonts w:ascii="Verdana" w:hAnsi="Verdana"/>
          <w:sz w:val="16"/>
          <w:szCs w:val="16"/>
          <w:lang w:val="es-CO"/>
        </w:rPr>
        <w:t>á</w:t>
      </w:r>
      <w:r w:rsidRPr="007D2268">
        <w:rPr>
          <w:rFonts w:ascii="Verdana" w:hAnsi="Verdana"/>
          <w:sz w:val="16"/>
          <w:szCs w:val="16"/>
          <w:lang w:val="es-CO"/>
        </w:rPr>
        <w:t>rquez de Chicas, Mar</w:t>
      </w:r>
      <w:r>
        <w:rPr>
          <w:rFonts w:ascii="Verdana" w:hAnsi="Verdana"/>
          <w:sz w:val="16"/>
          <w:szCs w:val="16"/>
          <w:lang w:val="es-CO"/>
        </w:rPr>
        <w:t>í</w:t>
      </w:r>
      <w:r w:rsidRPr="007D2268">
        <w:rPr>
          <w:rFonts w:ascii="Verdana" w:hAnsi="Verdana"/>
          <w:sz w:val="16"/>
          <w:szCs w:val="16"/>
          <w:lang w:val="es-CO"/>
        </w:rPr>
        <w:t xml:space="preserve">a Regina Márquez Argueta, María Reyes Gutiérrez, María Rosalina Claros, María Santana Guevara Amaya, María Santos Argueta de Tobar, María Santos Claros de Díaz, María Santos Márquez de Márquez, María Segunda Claros Márquez, Marta Alicia Mejía Márquez, Martina Argueta, Martina Claros Márquez, Modesta Mabel Benítez Ramos, Pedro Martínez, Pedro Ramos Hernández, Reina </w:t>
      </w:r>
      <w:proofErr w:type="spellStart"/>
      <w:r w:rsidRPr="007D2268">
        <w:rPr>
          <w:rFonts w:ascii="Verdana" w:hAnsi="Verdana"/>
          <w:sz w:val="16"/>
          <w:szCs w:val="16"/>
          <w:lang w:val="es-CO"/>
        </w:rPr>
        <w:t>Dionila</w:t>
      </w:r>
      <w:proofErr w:type="spellEnd"/>
      <w:r w:rsidRPr="007D2268">
        <w:rPr>
          <w:rFonts w:ascii="Verdana" w:hAnsi="Verdana"/>
          <w:sz w:val="16"/>
          <w:szCs w:val="16"/>
          <w:lang w:val="es-CO"/>
        </w:rPr>
        <w:t xml:space="preserve"> Portillo de Silva, Rina Maribel Claros, Rosa Celia Argueta </w:t>
      </w:r>
      <w:proofErr w:type="spellStart"/>
      <w:r w:rsidRPr="007D2268">
        <w:rPr>
          <w:rFonts w:ascii="Verdana" w:hAnsi="Verdana"/>
          <w:sz w:val="16"/>
          <w:szCs w:val="16"/>
          <w:lang w:val="es-CO"/>
        </w:rPr>
        <w:t>Argueta</w:t>
      </w:r>
      <w:proofErr w:type="spellEnd"/>
      <w:r w:rsidRPr="007D2268">
        <w:rPr>
          <w:rFonts w:ascii="Verdana" w:hAnsi="Verdana"/>
          <w:sz w:val="16"/>
          <w:szCs w:val="16"/>
          <w:lang w:val="es-CO"/>
        </w:rPr>
        <w:t xml:space="preserve">, Rosa Mery Ramírez Mejía, Santos </w:t>
      </w:r>
      <w:proofErr w:type="spellStart"/>
      <w:r w:rsidRPr="007D2268">
        <w:rPr>
          <w:rFonts w:ascii="Verdana" w:hAnsi="Verdana"/>
          <w:sz w:val="16"/>
          <w:szCs w:val="16"/>
          <w:lang w:val="es-CO"/>
        </w:rPr>
        <w:t>Alvaro</w:t>
      </w:r>
      <w:proofErr w:type="spellEnd"/>
      <w:r w:rsidRPr="007D2268">
        <w:rPr>
          <w:rFonts w:ascii="Verdana" w:hAnsi="Verdana"/>
          <w:sz w:val="16"/>
          <w:szCs w:val="16"/>
          <w:lang w:val="es-CO"/>
        </w:rPr>
        <w:t xml:space="preserve"> Pereira Márquez, Santos Argueta, Santos Vito Mejía, Sebastian Vigil Romero, Sofía Romero Pereira, Teresa Marquez de Argueta , Virgilio Del Cid, </w:t>
      </w:r>
      <w:proofErr w:type="spellStart"/>
      <w:r w:rsidRPr="007D2268">
        <w:rPr>
          <w:rFonts w:ascii="Verdana" w:hAnsi="Verdana"/>
          <w:sz w:val="16"/>
          <w:szCs w:val="16"/>
          <w:lang w:val="es-CO"/>
        </w:rPr>
        <w:t>Virgnia</w:t>
      </w:r>
      <w:proofErr w:type="spellEnd"/>
      <w:r w:rsidRPr="007D2268">
        <w:rPr>
          <w:rFonts w:ascii="Verdana" w:hAnsi="Verdana"/>
          <w:sz w:val="16"/>
          <w:szCs w:val="16"/>
          <w:lang w:val="es-CO"/>
        </w:rPr>
        <w:t xml:space="preserve"> Luna de Argueta, José Elias Romero Pereira. </w:t>
      </w:r>
    </w:p>
  </w:footnote>
  <w:footnote w:id="39">
    <w:p w14:paraId="0BD97EC0" w14:textId="764C74CC"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 xml:space="preserve">En lo concerniente a las víctimas listadas en el Anexo “B” en los siguientes casos, el Estado realizó el pago de las indemnizaciones indicadas con posterioridad al vencimiento del plazo de cinco años dispuesto en la Sentencia: a Lucila Romero Martínez el 26 de enero de 2018 por la totalidad de la suma; a Leonardo Claros Amaya, como heredero de María </w:t>
      </w:r>
      <w:proofErr w:type="spellStart"/>
      <w:r w:rsidRPr="007D2268">
        <w:rPr>
          <w:rFonts w:ascii="Verdana" w:hAnsi="Verdana"/>
          <w:sz w:val="16"/>
          <w:szCs w:val="16"/>
          <w:lang w:val="es-CO"/>
        </w:rPr>
        <w:t>Erlinda</w:t>
      </w:r>
      <w:proofErr w:type="spellEnd"/>
      <w:r w:rsidRPr="007D2268">
        <w:rPr>
          <w:rFonts w:ascii="Verdana" w:hAnsi="Verdana"/>
          <w:sz w:val="16"/>
          <w:szCs w:val="16"/>
          <w:lang w:val="es-CO"/>
        </w:rPr>
        <w:t xml:space="preserve"> Amaya Márquez, el 22 de marzo de 2018 por la suma de cuatro mil dólares (los restantes dieciséis mil dólares se pagaron a los demás herederos en el tiempo establecido por la Corte); a </w:t>
      </w:r>
      <w:proofErr w:type="spellStart"/>
      <w:r w:rsidRPr="007D2268">
        <w:rPr>
          <w:rFonts w:ascii="Verdana" w:hAnsi="Verdana"/>
          <w:sz w:val="16"/>
          <w:szCs w:val="16"/>
          <w:lang w:val="es-CO"/>
        </w:rPr>
        <w:t>Tráncito</w:t>
      </w:r>
      <w:proofErr w:type="spellEnd"/>
      <w:r w:rsidRPr="007D2268">
        <w:rPr>
          <w:rFonts w:ascii="Verdana" w:hAnsi="Verdana"/>
          <w:sz w:val="16"/>
          <w:szCs w:val="16"/>
          <w:lang w:val="es-CO"/>
        </w:rPr>
        <w:t xml:space="preserve"> Hernández Argueta, Alejandro Hernández Argueta, y Juan Bautista Hernández Argueta, como herederos de Rosendo Hernández Amaya el 26 de enero de 2018 por la suma de seis mil seiscientos sesenta y seis dólares con sesenta y siete centavos de dólar cada uno. Frente a las víctimas li</w:t>
      </w:r>
      <w:r>
        <w:rPr>
          <w:rFonts w:ascii="Verdana" w:hAnsi="Verdana"/>
          <w:sz w:val="16"/>
          <w:szCs w:val="16"/>
          <w:lang w:val="es-CO"/>
        </w:rPr>
        <w:t>s</w:t>
      </w:r>
      <w:r w:rsidRPr="007D2268">
        <w:rPr>
          <w:rFonts w:ascii="Verdana" w:hAnsi="Verdana"/>
          <w:sz w:val="16"/>
          <w:szCs w:val="16"/>
          <w:lang w:val="es-CO"/>
        </w:rPr>
        <w:t xml:space="preserve">tadas en el Anexo “C”, en los casos de Deisy </w:t>
      </w:r>
      <w:proofErr w:type="spellStart"/>
      <w:r w:rsidRPr="007D2268">
        <w:rPr>
          <w:rFonts w:ascii="Verdana" w:hAnsi="Verdana"/>
          <w:sz w:val="16"/>
          <w:szCs w:val="16"/>
          <w:lang w:val="es-CO"/>
        </w:rPr>
        <w:t>Nohem</w:t>
      </w:r>
      <w:r>
        <w:rPr>
          <w:rFonts w:ascii="Verdana" w:hAnsi="Verdana"/>
          <w:sz w:val="16"/>
          <w:szCs w:val="16"/>
          <w:lang w:val="es-CO"/>
        </w:rPr>
        <w:t>y</w:t>
      </w:r>
      <w:proofErr w:type="spellEnd"/>
      <w:r w:rsidRPr="007D2268">
        <w:rPr>
          <w:rFonts w:ascii="Verdana" w:hAnsi="Verdana"/>
          <w:sz w:val="16"/>
          <w:szCs w:val="16"/>
          <w:lang w:val="es-CO"/>
        </w:rPr>
        <w:t xml:space="preserve"> Márquez Rodríguez y Reina Isabel Argueta Chicas, como heredera de Hilaria Chicas Guevara, el Estado realizó el pago de las indemnizaciones indicadas el 26 de enero de 2018, es decir, con posterioridad al vencimiento del plazo de cinco años dispuesto en la Sentencia. </w:t>
      </w:r>
    </w:p>
  </w:footnote>
  <w:footnote w:id="40">
    <w:p w14:paraId="09E8B62F" w14:textId="3CFE19EB" w:rsidR="001D18EB" w:rsidRPr="007D2268" w:rsidRDefault="001D18EB" w:rsidP="007D2268">
      <w:pPr>
        <w:pStyle w:val="FootnoteText"/>
        <w:jc w:val="both"/>
        <w:rPr>
          <w:rFonts w:ascii="Verdana" w:hAnsi="Verdana"/>
          <w:sz w:val="16"/>
          <w:szCs w:val="16"/>
          <w:lang w:val="es-ES_tradnl"/>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Estas personas son</w:t>
      </w:r>
      <w:r w:rsidRPr="007D2268">
        <w:rPr>
          <w:rFonts w:ascii="Verdana" w:hAnsi="Verdana"/>
          <w:sz w:val="16"/>
          <w:szCs w:val="16"/>
          <w:lang w:val="es-ES_tradnl"/>
        </w:rPr>
        <w:t xml:space="preserve"> </w:t>
      </w:r>
      <w:proofErr w:type="spellStart"/>
      <w:r w:rsidRPr="007D2268">
        <w:rPr>
          <w:rFonts w:ascii="Verdana" w:hAnsi="Verdana"/>
          <w:sz w:val="16"/>
          <w:szCs w:val="16"/>
          <w:lang w:val="es-ES_tradnl"/>
        </w:rPr>
        <w:t>Anastacio</w:t>
      </w:r>
      <w:proofErr w:type="spellEnd"/>
      <w:r w:rsidRPr="007D2268">
        <w:rPr>
          <w:rFonts w:ascii="Verdana" w:hAnsi="Verdana"/>
          <w:sz w:val="16"/>
          <w:szCs w:val="16"/>
          <w:lang w:val="es-ES_tradnl"/>
        </w:rPr>
        <w:t xml:space="preserve"> Guevara, Claudia Ramos, Gregorio Chicas, Lucila Ramos, Lucio Ramos, Patricio Díaz, Remigio Márquez y Santos Ramos. </w:t>
      </w:r>
    </w:p>
  </w:footnote>
  <w:footnote w:id="41">
    <w:p w14:paraId="3FA1D9A1" w14:textId="2B30C3FE" w:rsidR="001D18EB" w:rsidRPr="00644E75"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r>
      <w:r w:rsidR="00644E75">
        <w:rPr>
          <w:rFonts w:ascii="Verdana" w:hAnsi="Verdana"/>
          <w:sz w:val="16"/>
          <w:szCs w:val="16"/>
          <w:lang w:val="es-CO"/>
        </w:rPr>
        <w:t xml:space="preserve">Según lo indicado por el Estado, en el caso de Rufina Amaya Viuda de Márquez, tenía dos herederas: Marta Maritza Amaya y </w:t>
      </w:r>
      <w:proofErr w:type="spellStart"/>
      <w:r w:rsidR="00644E75">
        <w:rPr>
          <w:rFonts w:ascii="Verdana" w:hAnsi="Verdana"/>
          <w:sz w:val="16"/>
          <w:szCs w:val="16"/>
          <w:lang w:val="es-CO"/>
        </w:rPr>
        <w:t>Fidelia</w:t>
      </w:r>
      <w:proofErr w:type="spellEnd"/>
      <w:r w:rsidR="00644E75">
        <w:rPr>
          <w:rFonts w:ascii="Verdana" w:hAnsi="Verdana"/>
          <w:sz w:val="16"/>
          <w:szCs w:val="16"/>
          <w:lang w:val="es-CO"/>
        </w:rPr>
        <w:t xml:space="preserve"> Márquez Amaya. Se realizó el pago a favor de Marta Maritza Amaya por diez mil dólares, quedando pendiente le pago de los diez mil dólares restantes a favor de su heredera</w:t>
      </w:r>
      <w:r w:rsidRPr="007D2268">
        <w:rPr>
          <w:rFonts w:ascii="Verdana" w:hAnsi="Verdana"/>
          <w:sz w:val="16"/>
          <w:szCs w:val="16"/>
          <w:lang w:val="es-ES_tradnl"/>
        </w:rPr>
        <w:t xml:space="preserve"> </w:t>
      </w:r>
      <w:proofErr w:type="spellStart"/>
      <w:r w:rsidRPr="007D2268">
        <w:rPr>
          <w:rFonts w:ascii="Verdana" w:hAnsi="Verdana"/>
          <w:sz w:val="16"/>
          <w:szCs w:val="16"/>
          <w:lang w:val="es-ES_tradnl"/>
        </w:rPr>
        <w:t>Fidelia</w:t>
      </w:r>
      <w:proofErr w:type="spellEnd"/>
      <w:r w:rsidRPr="007D2268">
        <w:rPr>
          <w:rFonts w:ascii="Verdana" w:hAnsi="Verdana"/>
          <w:sz w:val="16"/>
          <w:szCs w:val="16"/>
          <w:lang w:val="es-ES_tradnl"/>
        </w:rPr>
        <w:t xml:space="preserve"> Má</w:t>
      </w:r>
      <w:r>
        <w:rPr>
          <w:rFonts w:ascii="Verdana" w:hAnsi="Verdana"/>
          <w:sz w:val="16"/>
          <w:szCs w:val="16"/>
          <w:lang w:val="es-ES_tradnl"/>
        </w:rPr>
        <w:t>r</w:t>
      </w:r>
      <w:r w:rsidRPr="007D2268">
        <w:rPr>
          <w:rFonts w:ascii="Verdana" w:hAnsi="Verdana"/>
          <w:sz w:val="16"/>
          <w:szCs w:val="16"/>
          <w:lang w:val="es-ES_tradnl"/>
        </w:rPr>
        <w:t xml:space="preserve">quez Amaya. Sin embargo, ésta última falleció y dejó varios herederos que se encuentran residiendo en Estados Unidos, quienes no han realizado gestiones ante la red consular salvadoreña para cobrar dicho monto. </w:t>
      </w:r>
      <w:r w:rsidR="00644E75">
        <w:rPr>
          <w:rFonts w:ascii="Verdana" w:hAnsi="Verdana"/>
          <w:sz w:val="16"/>
          <w:szCs w:val="16"/>
          <w:lang w:val="es-ES_tradnl"/>
        </w:rPr>
        <w:t xml:space="preserve"> (</w:t>
      </w:r>
      <w:r w:rsidR="00644E75">
        <w:rPr>
          <w:rFonts w:ascii="Verdana" w:hAnsi="Verdana"/>
          <w:i/>
          <w:sz w:val="16"/>
          <w:szCs w:val="16"/>
          <w:lang w:val="es-ES_tradnl"/>
        </w:rPr>
        <w:t xml:space="preserve">Cfr. </w:t>
      </w:r>
      <w:r w:rsidR="00644E75">
        <w:rPr>
          <w:rFonts w:ascii="Verdana" w:hAnsi="Verdana"/>
          <w:sz w:val="16"/>
          <w:szCs w:val="16"/>
          <w:lang w:val="es-ES_tradnl"/>
        </w:rPr>
        <w:t>Anexo IV al informe presentado por el Estado el 23 de octubre de 2018).</w:t>
      </w:r>
    </w:p>
  </w:footnote>
  <w:footnote w:id="42">
    <w:p w14:paraId="3F26C3F0" w14:textId="08DBAF35"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r>
      <w:r w:rsidRPr="007D2268">
        <w:rPr>
          <w:rFonts w:ascii="Verdana" w:hAnsi="Verdana"/>
          <w:sz w:val="16"/>
          <w:szCs w:val="16"/>
          <w:lang w:val="es-ES_tradnl"/>
        </w:rPr>
        <w:t xml:space="preserve">Estos pagos pendientes son a favor de Catalina Claros Tovar, Eugenia Márquez </w:t>
      </w:r>
      <w:proofErr w:type="spellStart"/>
      <w:r w:rsidRPr="007D2268">
        <w:rPr>
          <w:rFonts w:ascii="Verdana" w:hAnsi="Verdana"/>
          <w:sz w:val="16"/>
          <w:szCs w:val="16"/>
          <w:lang w:val="es-ES_tradnl"/>
        </w:rPr>
        <w:t>Márquez</w:t>
      </w:r>
      <w:proofErr w:type="spellEnd"/>
      <w:r w:rsidRPr="007D2268">
        <w:rPr>
          <w:rFonts w:ascii="Verdana" w:hAnsi="Verdana"/>
          <w:sz w:val="16"/>
          <w:szCs w:val="16"/>
          <w:lang w:val="es-ES_tradnl"/>
        </w:rPr>
        <w:t xml:space="preserve">, Francisca </w:t>
      </w:r>
      <w:proofErr w:type="spellStart"/>
      <w:r w:rsidRPr="007D2268">
        <w:rPr>
          <w:rFonts w:ascii="Verdana" w:hAnsi="Verdana"/>
          <w:sz w:val="16"/>
          <w:szCs w:val="16"/>
          <w:lang w:val="es-ES_tradnl"/>
        </w:rPr>
        <w:t>Enma</w:t>
      </w:r>
      <w:proofErr w:type="spellEnd"/>
      <w:r w:rsidRPr="007D2268">
        <w:rPr>
          <w:rFonts w:ascii="Verdana" w:hAnsi="Verdana"/>
          <w:sz w:val="16"/>
          <w:szCs w:val="16"/>
          <w:lang w:val="es-ES_tradnl"/>
        </w:rPr>
        <w:t xml:space="preserve"> Nolasco de Pereira, José Domingo Márquez </w:t>
      </w:r>
      <w:proofErr w:type="spellStart"/>
      <w:r w:rsidRPr="007D2268">
        <w:rPr>
          <w:rFonts w:ascii="Verdana" w:hAnsi="Verdana"/>
          <w:sz w:val="16"/>
          <w:szCs w:val="16"/>
          <w:lang w:val="es-ES_tradnl"/>
        </w:rPr>
        <w:t>Membreño</w:t>
      </w:r>
      <w:proofErr w:type="spellEnd"/>
      <w:r w:rsidRPr="007D2268">
        <w:rPr>
          <w:rFonts w:ascii="Verdana" w:hAnsi="Verdana"/>
          <w:sz w:val="16"/>
          <w:szCs w:val="16"/>
          <w:lang w:val="es-ES_tradnl"/>
        </w:rPr>
        <w:t>, José Rigoberto Claros Díaz, María Ester González Márquez Argueta, María Luz Claros Díaz, Mercedes Chicas</w:t>
      </w:r>
      <w:r w:rsidR="00644E75">
        <w:rPr>
          <w:rFonts w:ascii="Verdana" w:hAnsi="Verdana"/>
          <w:sz w:val="16"/>
          <w:szCs w:val="16"/>
          <w:lang w:val="es-ES_tradnl"/>
        </w:rPr>
        <w:t xml:space="preserve"> y</w:t>
      </w:r>
      <w:r w:rsidRPr="007D2268">
        <w:rPr>
          <w:rFonts w:ascii="Verdana" w:hAnsi="Verdana"/>
          <w:sz w:val="16"/>
          <w:szCs w:val="16"/>
          <w:lang w:val="es-ES_tradnl"/>
        </w:rPr>
        <w:t xml:space="preserve"> Miguel del Cid Márquez.</w:t>
      </w:r>
    </w:p>
  </w:footnote>
  <w:footnote w:id="43">
    <w:p w14:paraId="4D37AED8" w14:textId="77777777"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El pago pendiente es en cabeza de</w:t>
      </w:r>
      <w:r w:rsidRPr="007D2268">
        <w:rPr>
          <w:rFonts w:ascii="Verdana" w:hAnsi="Verdana"/>
          <w:sz w:val="16"/>
          <w:szCs w:val="16"/>
          <w:lang w:val="es-ES_tradnl"/>
        </w:rPr>
        <w:t xml:space="preserve"> </w:t>
      </w:r>
      <w:proofErr w:type="spellStart"/>
      <w:r w:rsidRPr="007D2268">
        <w:rPr>
          <w:rFonts w:ascii="Verdana" w:hAnsi="Verdana"/>
          <w:sz w:val="16"/>
          <w:szCs w:val="16"/>
          <w:lang w:val="es-ES_tradnl"/>
        </w:rPr>
        <w:t>Fidelia</w:t>
      </w:r>
      <w:proofErr w:type="spellEnd"/>
      <w:r w:rsidRPr="007D2268">
        <w:rPr>
          <w:rFonts w:ascii="Verdana" w:hAnsi="Verdana"/>
          <w:sz w:val="16"/>
          <w:szCs w:val="16"/>
          <w:lang w:val="es-ES_tradnl"/>
        </w:rPr>
        <w:t xml:space="preserve"> Márquez Amaya, a quien se había efectuado el pago correspondiente a cinco mil dólares. El Estado reseñó en su último informe que, debido a su fallecimiento, se encuentra pendiente el pago restante de cinco mil dólares, ya “</w:t>
      </w:r>
      <w:r w:rsidRPr="007D2268">
        <w:rPr>
          <w:rFonts w:ascii="Verdana" w:hAnsi="Verdana"/>
          <w:sz w:val="16"/>
          <w:szCs w:val="16"/>
          <w:lang w:val="es-CO"/>
        </w:rPr>
        <w:t>que los herederos de una beneficiaria aún no han aceptado herencia</w:t>
      </w:r>
      <w:r w:rsidRPr="007D2268">
        <w:rPr>
          <w:rFonts w:ascii="Verdana" w:hAnsi="Verdana"/>
          <w:sz w:val="16"/>
          <w:szCs w:val="16"/>
          <w:lang w:val="es-ES_tradnl"/>
        </w:rPr>
        <w:t>”.</w:t>
      </w:r>
    </w:p>
  </w:footnote>
  <w:footnote w:id="44">
    <w:p w14:paraId="06890E74" w14:textId="39D7B9C7" w:rsidR="001D18EB" w:rsidRPr="007D2268" w:rsidRDefault="001D18EB" w:rsidP="007D2268">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 xml:space="preserve">A saber, Lucila Romero Martínez; Leonardo Claros Amaya, como heredero de María </w:t>
      </w:r>
      <w:proofErr w:type="spellStart"/>
      <w:r w:rsidRPr="007D2268">
        <w:rPr>
          <w:rFonts w:ascii="Verdana" w:hAnsi="Verdana"/>
          <w:sz w:val="16"/>
          <w:szCs w:val="16"/>
          <w:lang w:val="es-CO"/>
        </w:rPr>
        <w:t>Erlinda</w:t>
      </w:r>
      <w:proofErr w:type="spellEnd"/>
      <w:r w:rsidRPr="007D2268">
        <w:rPr>
          <w:rFonts w:ascii="Verdana" w:hAnsi="Verdana"/>
          <w:sz w:val="16"/>
          <w:szCs w:val="16"/>
          <w:lang w:val="es-CO"/>
        </w:rPr>
        <w:t xml:space="preserve"> Amaya Márquez; </w:t>
      </w:r>
      <w:proofErr w:type="spellStart"/>
      <w:r w:rsidRPr="007D2268">
        <w:rPr>
          <w:rFonts w:ascii="Verdana" w:hAnsi="Verdana"/>
          <w:sz w:val="16"/>
          <w:szCs w:val="16"/>
          <w:lang w:val="es-CO"/>
        </w:rPr>
        <w:t>Tráncito</w:t>
      </w:r>
      <w:proofErr w:type="spellEnd"/>
      <w:r w:rsidRPr="007D2268">
        <w:rPr>
          <w:rFonts w:ascii="Verdana" w:hAnsi="Verdana"/>
          <w:sz w:val="16"/>
          <w:szCs w:val="16"/>
          <w:lang w:val="es-CO"/>
        </w:rPr>
        <w:t xml:space="preserve"> Hernández Argueta, Alejandro Hernández Argueta, y Juan Bautista Hernández Argueta, como herederos de Rosendo Hernández Amaya; y Deisy </w:t>
      </w:r>
      <w:proofErr w:type="spellStart"/>
      <w:r w:rsidRPr="007D2268">
        <w:rPr>
          <w:rFonts w:ascii="Verdana" w:hAnsi="Verdana"/>
          <w:sz w:val="16"/>
          <w:szCs w:val="16"/>
          <w:lang w:val="es-CO"/>
        </w:rPr>
        <w:t>Nohem</w:t>
      </w:r>
      <w:r w:rsidR="00644E75">
        <w:rPr>
          <w:rFonts w:ascii="Verdana" w:hAnsi="Verdana"/>
          <w:sz w:val="16"/>
          <w:szCs w:val="16"/>
          <w:lang w:val="es-CO"/>
        </w:rPr>
        <w:t>y</w:t>
      </w:r>
      <w:proofErr w:type="spellEnd"/>
      <w:r w:rsidRPr="007D2268">
        <w:rPr>
          <w:rFonts w:ascii="Verdana" w:hAnsi="Verdana"/>
          <w:sz w:val="16"/>
          <w:szCs w:val="16"/>
          <w:lang w:val="es-CO"/>
        </w:rPr>
        <w:t xml:space="preserve"> Márquez Rodríguez y Reina Isabel Argueta Chicas, como heredera de Hilaria Chicas Guevara.</w:t>
      </w:r>
    </w:p>
  </w:footnote>
  <w:footnote w:id="45">
    <w:p w14:paraId="6DEFAA67" w14:textId="23A4978B" w:rsidR="001D18EB" w:rsidRPr="007D2268" w:rsidRDefault="001D18EB" w:rsidP="009A5093">
      <w:pPr>
        <w:pStyle w:val="FootnoteText"/>
        <w:jc w:val="both"/>
        <w:rPr>
          <w:rFonts w:ascii="Verdana" w:hAnsi="Verdana"/>
          <w:sz w:val="16"/>
          <w:szCs w:val="16"/>
          <w:lang w:val="es-CR"/>
        </w:rPr>
      </w:pPr>
      <w:r w:rsidRPr="007D2268">
        <w:rPr>
          <w:rStyle w:val="FootnoteReference"/>
          <w:rFonts w:ascii="Verdana" w:hAnsi="Verdana"/>
          <w:sz w:val="16"/>
          <w:szCs w:val="16"/>
        </w:rPr>
        <w:footnoteRef/>
      </w:r>
      <w:r w:rsidRPr="007D2268">
        <w:rPr>
          <w:rFonts w:ascii="Verdana" w:hAnsi="Verdana"/>
          <w:sz w:val="16"/>
          <w:szCs w:val="16"/>
          <w:lang w:val="es-CR"/>
        </w:rPr>
        <w:t xml:space="preserve"> </w:t>
      </w:r>
      <w:r w:rsidRPr="007D2268">
        <w:rPr>
          <w:rFonts w:ascii="Verdana" w:hAnsi="Verdana"/>
          <w:sz w:val="16"/>
          <w:szCs w:val="16"/>
          <w:lang w:val="es-CR"/>
        </w:rPr>
        <w:tab/>
      </w:r>
      <w:r w:rsidRPr="007D2268">
        <w:rPr>
          <w:rFonts w:ascii="Verdana" w:hAnsi="Verdana"/>
          <w:i/>
          <w:sz w:val="16"/>
          <w:szCs w:val="16"/>
          <w:lang w:val="es-CR"/>
        </w:rPr>
        <w:t>Cfr.</w:t>
      </w:r>
      <w:r w:rsidRPr="007D2268">
        <w:rPr>
          <w:rFonts w:ascii="Verdana" w:hAnsi="Verdana"/>
          <w:sz w:val="16"/>
          <w:szCs w:val="16"/>
          <w:lang w:val="es-CR"/>
        </w:rPr>
        <w:t xml:space="preserve"> Documental </w:t>
      </w:r>
      <w:r>
        <w:rPr>
          <w:rFonts w:ascii="Verdana" w:hAnsi="Verdana"/>
          <w:sz w:val="16"/>
          <w:szCs w:val="16"/>
          <w:lang w:val="es-CR"/>
        </w:rPr>
        <w:t>“</w:t>
      </w:r>
      <w:r w:rsidRPr="007D2268">
        <w:rPr>
          <w:rFonts w:ascii="Verdana" w:hAnsi="Verdana"/>
          <w:i/>
          <w:sz w:val="16"/>
          <w:szCs w:val="16"/>
          <w:lang w:val="es-CR"/>
        </w:rPr>
        <w:t>El Mozote Nunca Más</w:t>
      </w:r>
      <w:r>
        <w:rPr>
          <w:rFonts w:ascii="Verdana" w:hAnsi="Verdana"/>
          <w:i/>
          <w:sz w:val="16"/>
          <w:szCs w:val="16"/>
          <w:lang w:val="es-CR"/>
        </w:rPr>
        <w:t>”</w:t>
      </w:r>
      <w:r w:rsidRPr="007D2268">
        <w:rPr>
          <w:rFonts w:ascii="Verdana" w:hAnsi="Verdana"/>
          <w:i/>
          <w:sz w:val="16"/>
          <w:szCs w:val="16"/>
          <w:lang w:val="es-CR"/>
        </w:rPr>
        <w:t xml:space="preserve"> </w:t>
      </w:r>
      <w:r w:rsidRPr="007D2268">
        <w:rPr>
          <w:rFonts w:ascii="Verdana" w:hAnsi="Verdana"/>
          <w:sz w:val="16"/>
          <w:szCs w:val="16"/>
          <w:lang w:val="es-CR"/>
        </w:rPr>
        <w:t>(Anexo 2 al informe estatal de</w:t>
      </w:r>
      <w:r>
        <w:rPr>
          <w:rFonts w:ascii="Verdana" w:hAnsi="Verdana"/>
          <w:sz w:val="16"/>
          <w:szCs w:val="16"/>
          <w:lang w:val="es-CR"/>
        </w:rPr>
        <w:t xml:space="preserve"> 22</w:t>
      </w:r>
      <w:r w:rsidR="00644E75">
        <w:rPr>
          <w:rFonts w:ascii="Verdana" w:hAnsi="Verdana"/>
          <w:sz w:val="16"/>
          <w:szCs w:val="16"/>
          <w:lang w:val="es-CR"/>
        </w:rPr>
        <w:t xml:space="preserve"> de</w:t>
      </w:r>
      <w:r w:rsidRPr="007D2268">
        <w:rPr>
          <w:rFonts w:ascii="Verdana" w:hAnsi="Verdana"/>
          <w:sz w:val="16"/>
          <w:szCs w:val="16"/>
          <w:lang w:val="es-CR"/>
        </w:rPr>
        <w:t xml:space="preserve"> febrero de 2018).</w:t>
      </w:r>
    </w:p>
  </w:footnote>
  <w:footnote w:id="46">
    <w:p w14:paraId="1E692A5B" w14:textId="41524C79" w:rsidR="001D18EB" w:rsidRPr="007D2268" w:rsidRDefault="001D18EB" w:rsidP="009A5093">
      <w:pPr>
        <w:pStyle w:val="FootnoteText"/>
        <w:jc w:val="both"/>
        <w:rPr>
          <w:rFonts w:ascii="Verdana" w:hAnsi="Verdana"/>
          <w:sz w:val="16"/>
          <w:szCs w:val="16"/>
          <w:lang w:val="es-CO"/>
        </w:rPr>
      </w:pPr>
      <w:r w:rsidRPr="007D2268">
        <w:rPr>
          <w:rStyle w:val="FootnoteReference"/>
          <w:rFonts w:ascii="Verdana" w:hAnsi="Verdana"/>
          <w:sz w:val="16"/>
          <w:szCs w:val="16"/>
        </w:rPr>
        <w:footnoteRef/>
      </w:r>
      <w:r w:rsidRPr="007D2268">
        <w:rPr>
          <w:rFonts w:ascii="Verdana" w:hAnsi="Verdana"/>
          <w:sz w:val="16"/>
          <w:szCs w:val="16"/>
          <w:lang w:val="es-CO"/>
        </w:rPr>
        <w:t xml:space="preserve"> </w:t>
      </w:r>
      <w:r w:rsidRPr="007D2268">
        <w:rPr>
          <w:rFonts w:ascii="Verdana" w:hAnsi="Verdana"/>
          <w:sz w:val="16"/>
          <w:szCs w:val="16"/>
          <w:lang w:val="es-CO"/>
        </w:rPr>
        <w:tab/>
        <w:t xml:space="preserve">Al respecto, el Estado indicó el siguiente link para acceder al documental: </w:t>
      </w:r>
      <w:hyperlink r:id="rId5" w:history="1">
        <w:r w:rsidRPr="007D2268">
          <w:rPr>
            <w:rStyle w:val="Hyperlink"/>
            <w:rFonts w:ascii="Verdana" w:hAnsi="Verdana"/>
            <w:sz w:val="16"/>
            <w:szCs w:val="16"/>
            <w:lang w:val="es-CO"/>
          </w:rPr>
          <w:t>http://www.memoriaviva.sv/documentales/el-mozote-nunca-mas/</w:t>
        </w:r>
      </w:hyperlink>
      <w:r w:rsidRPr="007D2268">
        <w:rPr>
          <w:rFonts w:ascii="Verdana" w:hAnsi="Verdana"/>
          <w:sz w:val="16"/>
          <w:szCs w:val="16"/>
          <w:lang w:val="es-CO"/>
        </w:rPr>
        <w:t xml:space="preserve">. Última consulta realizada el 26 de octubre de 2018. Adicionalmente, presentó el siguiente link de la plataforma de VIMEO donde se cuenta con otros 60 documentales </w:t>
      </w:r>
      <w:r>
        <w:rPr>
          <w:rFonts w:ascii="Verdana" w:hAnsi="Verdana"/>
          <w:sz w:val="16"/>
          <w:szCs w:val="16"/>
          <w:lang w:val="es-CO"/>
        </w:rPr>
        <w:t>relacionado a la memoria histórica</w:t>
      </w:r>
      <w:r w:rsidRPr="007D2268">
        <w:rPr>
          <w:rFonts w:ascii="Verdana" w:hAnsi="Verdana"/>
          <w:sz w:val="16"/>
          <w:szCs w:val="16"/>
          <w:lang w:val="es-CO"/>
        </w:rPr>
        <w:t xml:space="preserve"> </w:t>
      </w:r>
      <w:r>
        <w:rPr>
          <w:rFonts w:ascii="Verdana" w:hAnsi="Verdana"/>
          <w:sz w:val="16"/>
          <w:szCs w:val="16"/>
          <w:lang w:val="es-CO"/>
        </w:rPr>
        <w:t>d</w:t>
      </w:r>
      <w:r w:rsidRPr="007D2268">
        <w:rPr>
          <w:rFonts w:ascii="Verdana" w:hAnsi="Verdana"/>
          <w:sz w:val="16"/>
          <w:szCs w:val="16"/>
          <w:lang w:val="es-CO"/>
        </w:rPr>
        <w:t xml:space="preserve">el conflicto armado: </w:t>
      </w:r>
      <w:hyperlink r:id="rId6" w:history="1">
        <w:r w:rsidRPr="007D2268">
          <w:rPr>
            <w:rStyle w:val="Hyperlink"/>
            <w:rFonts w:ascii="Verdana" w:hAnsi="Verdana"/>
            <w:sz w:val="16"/>
            <w:szCs w:val="16"/>
            <w:lang w:val="es-CO"/>
          </w:rPr>
          <w:t>https://vimeo.com/user75824120</w:t>
        </w:r>
      </w:hyperlink>
      <w:r w:rsidRPr="007D2268">
        <w:rPr>
          <w:rFonts w:ascii="Verdana" w:hAnsi="Verdana"/>
          <w:sz w:val="16"/>
          <w:szCs w:val="16"/>
          <w:lang w:val="es-CO"/>
        </w:rPr>
        <w:t>. Última consulta realizada el 26 de octubre de 2018</w:t>
      </w:r>
      <w:r>
        <w:rPr>
          <w:rFonts w:ascii="Verdana" w:hAnsi="Verdana"/>
          <w:sz w:val="16"/>
          <w:szCs w:val="16"/>
          <w:lang w:val="es-CO"/>
        </w:rPr>
        <w:t xml:space="preserve"> (</w:t>
      </w:r>
      <w:r>
        <w:rPr>
          <w:rFonts w:ascii="Verdana" w:hAnsi="Verdana"/>
          <w:i/>
          <w:sz w:val="16"/>
          <w:szCs w:val="16"/>
          <w:lang w:val="es-CO"/>
        </w:rPr>
        <w:t xml:space="preserve">Cfr. </w:t>
      </w:r>
      <w:r>
        <w:rPr>
          <w:rFonts w:ascii="Verdana" w:hAnsi="Verdana"/>
          <w:sz w:val="16"/>
          <w:szCs w:val="16"/>
          <w:lang w:val="es-CO"/>
        </w:rPr>
        <w:t>Informe presentado por el Estado el 22 de febrero de 2018)</w:t>
      </w:r>
      <w:r w:rsidRPr="007D2268">
        <w:rPr>
          <w:rFonts w:ascii="Verdana" w:hAnsi="Verdana"/>
          <w:sz w:val="16"/>
          <w:szCs w:val="16"/>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312278"/>
      <w:docPartObj>
        <w:docPartGallery w:val="Page Numbers (Top of Page)"/>
        <w:docPartUnique/>
      </w:docPartObj>
    </w:sdtPr>
    <w:sdtEndPr>
      <w:rPr>
        <w:rFonts w:ascii="Verdana" w:hAnsi="Verdana"/>
        <w:noProof/>
        <w:sz w:val="20"/>
        <w:szCs w:val="20"/>
      </w:rPr>
    </w:sdtEndPr>
    <w:sdtContent>
      <w:p w14:paraId="38DC5B67" w14:textId="5F882CA8" w:rsidR="001D18EB" w:rsidRPr="005A5731" w:rsidRDefault="005A5731">
        <w:pPr>
          <w:pStyle w:val="Header"/>
          <w:jc w:val="center"/>
          <w:rPr>
            <w:rFonts w:ascii="Verdana" w:hAnsi="Verdana"/>
            <w:sz w:val="20"/>
            <w:szCs w:val="20"/>
          </w:rPr>
        </w:pPr>
        <w:r>
          <w:t>-</w:t>
        </w:r>
        <w:r w:rsidR="001D18EB" w:rsidRPr="005A5731">
          <w:rPr>
            <w:rFonts w:ascii="Verdana" w:hAnsi="Verdana"/>
            <w:sz w:val="20"/>
            <w:szCs w:val="20"/>
          </w:rPr>
          <w:fldChar w:fldCharType="begin"/>
        </w:r>
        <w:r w:rsidR="001D18EB" w:rsidRPr="005A5731">
          <w:rPr>
            <w:rFonts w:ascii="Verdana" w:hAnsi="Verdana"/>
            <w:sz w:val="20"/>
            <w:szCs w:val="20"/>
          </w:rPr>
          <w:instrText xml:space="preserve"> PAGE   \* MERGEFORMAT </w:instrText>
        </w:r>
        <w:r w:rsidR="001D18EB" w:rsidRPr="005A5731">
          <w:rPr>
            <w:rFonts w:ascii="Verdana" w:hAnsi="Verdana"/>
            <w:sz w:val="20"/>
            <w:szCs w:val="20"/>
          </w:rPr>
          <w:fldChar w:fldCharType="separate"/>
        </w:r>
        <w:r w:rsidR="005E6AC2">
          <w:rPr>
            <w:rFonts w:ascii="Verdana" w:hAnsi="Verdana"/>
            <w:noProof/>
            <w:sz w:val="20"/>
            <w:szCs w:val="20"/>
          </w:rPr>
          <w:t>4</w:t>
        </w:r>
        <w:r w:rsidR="001D18EB" w:rsidRPr="005A5731">
          <w:rPr>
            <w:rFonts w:ascii="Verdana" w:hAnsi="Verdana"/>
            <w:noProof/>
            <w:sz w:val="20"/>
            <w:szCs w:val="20"/>
          </w:rPr>
          <w:fldChar w:fldCharType="end"/>
        </w:r>
        <w:r>
          <w:rPr>
            <w:rFonts w:ascii="Verdana" w:hAnsi="Verdana"/>
            <w:noProof/>
            <w:sz w:val="20"/>
            <w:szCs w:val="20"/>
          </w:rPr>
          <w:t>-</w:t>
        </w:r>
      </w:p>
    </w:sdtContent>
  </w:sdt>
  <w:p w14:paraId="78AB5435" w14:textId="77777777" w:rsidR="001D18EB" w:rsidRPr="001B0748" w:rsidRDefault="001D18EB" w:rsidP="001B0748">
    <w:pPr>
      <w:pStyle w:val="Header"/>
      <w:jc w:val="right"/>
      <w:rPr>
        <w:rFonts w:ascii="Verdana" w:hAnsi="Verdana"/>
        <w:i/>
        <w:sz w:val="20"/>
        <w:szCs w:val="20"/>
        <w:lang w:val="es-C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3672B" w14:textId="07681498" w:rsidR="001D18EB" w:rsidRPr="00CE566B" w:rsidRDefault="001D18EB" w:rsidP="000B162B">
    <w:pPr>
      <w:pStyle w:val="Header"/>
      <w:jc w:val="right"/>
      <w:rPr>
        <w:rFonts w:ascii="Verdana" w:hAnsi="Verdana"/>
        <w:sz w:val="16"/>
        <w:szCs w:val="16"/>
        <w:lang w:val="es-CR"/>
      </w:rPr>
    </w:pPr>
    <w:r>
      <w:tab/>
    </w:r>
  </w:p>
  <w:p w14:paraId="56F83103" w14:textId="3382FD15" w:rsidR="001D18EB" w:rsidRPr="00655A4E" w:rsidRDefault="001D18EB" w:rsidP="000F5911">
    <w:pPr>
      <w:pStyle w:val="Header"/>
      <w:tabs>
        <w:tab w:val="clear" w:pos="4680"/>
        <w:tab w:val="clear" w:pos="9360"/>
        <w:tab w:val="left" w:pos="5300"/>
      </w:tabs>
      <w:rPr>
        <w:lang w:val="es-C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F9"/>
    <w:multiLevelType w:val="hybridMultilevel"/>
    <w:tmpl w:val="01A2DF10"/>
    <w:lvl w:ilvl="0" w:tplc="140A0015">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
    <w:nsid w:val="03592F3D"/>
    <w:multiLevelType w:val="hybridMultilevel"/>
    <w:tmpl w:val="FE2C7D10"/>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46B2D65"/>
    <w:multiLevelType w:val="hybridMultilevel"/>
    <w:tmpl w:val="75D02A0E"/>
    <w:lvl w:ilvl="0" w:tplc="140A000F">
      <w:start w:val="1"/>
      <w:numFmt w:val="decimal"/>
      <w:lvlText w:val="%1."/>
      <w:lvlJc w:val="left"/>
      <w:pPr>
        <w:ind w:left="720" w:hanging="360"/>
      </w:pPr>
      <w:rPr>
        <w:rFonts w:hint="default"/>
        <w:b w:val="0"/>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096A5F18"/>
    <w:multiLevelType w:val="hybridMultilevel"/>
    <w:tmpl w:val="E6480166"/>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2BD08F0"/>
    <w:multiLevelType w:val="hybridMultilevel"/>
    <w:tmpl w:val="65AAAB00"/>
    <w:lvl w:ilvl="0" w:tplc="E4BA4460">
      <w:start w:val="1"/>
      <w:numFmt w:val="decimal"/>
      <w:lvlText w:val="%1."/>
      <w:lvlJc w:val="left"/>
      <w:pPr>
        <w:ind w:left="1211" w:hanging="360"/>
      </w:pPr>
      <w:rPr>
        <w:rFonts w:ascii="Verdana" w:hAnsi="Verdana" w:hint="default"/>
        <w:b w:val="0"/>
        <w:i w:val="0"/>
        <w:strike w:val="0"/>
        <w:dstrike w:val="0"/>
        <w:color w:val="auto"/>
        <w:sz w:val="20"/>
        <w:szCs w:val="20"/>
        <w:u w:val="none"/>
        <w:effect w:val="none"/>
      </w:rPr>
    </w:lvl>
    <w:lvl w:ilvl="1" w:tplc="CD862E20">
      <w:start w:val="1"/>
      <w:numFmt w:val="lowerLetter"/>
      <w:lvlText w:val="%2)"/>
      <w:lvlJc w:val="left"/>
      <w:pPr>
        <w:ind w:left="1440" w:hanging="360"/>
      </w:pPr>
      <w:rPr>
        <w:b w:val="0"/>
        <w:i/>
      </w:rPr>
    </w:lvl>
    <w:lvl w:ilvl="2" w:tplc="0409001B">
      <w:start w:val="1"/>
      <w:numFmt w:val="lowerRoman"/>
      <w:lvlText w:val="%3."/>
      <w:lvlJc w:val="right"/>
      <w:pPr>
        <w:ind w:left="2160" w:hanging="180"/>
      </w:pPr>
    </w:lvl>
    <w:lvl w:ilvl="3" w:tplc="99C8344C">
      <w:start w:val="1"/>
      <w:numFmt w:val="upperLetter"/>
      <w:lvlText w:val="%4."/>
      <w:lvlJc w:val="left"/>
      <w:pPr>
        <w:ind w:left="3240" w:hanging="72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3584A58"/>
    <w:multiLevelType w:val="hybridMultilevel"/>
    <w:tmpl w:val="EA4278E4"/>
    <w:lvl w:ilvl="0" w:tplc="8AB85A2E">
      <w:start w:val="1"/>
      <w:numFmt w:val="decimal"/>
      <w:lvlText w:val="%1."/>
      <w:lvlJc w:val="left"/>
      <w:pPr>
        <w:ind w:left="4500" w:hanging="360"/>
      </w:pPr>
      <w:rPr>
        <w:rFonts w:ascii="Verdana" w:hAnsi="Verdana" w:hint="default"/>
        <w:i w:val="0"/>
        <w:sz w:val="20"/>
        <w:szCs w:val="20"/>
      </w:rPr>
    </w:lvl>
    <w:lvl w:ilvl="1" w:tplc="53C06F3C">
      <w:start w:val="1"/>
      <w:numFmt w:val="lowerLetter"/>
      <w:lvlText w:val="%2."/>
      <w:lvlJc w:val="left"/>
      <w:pPr>
        <w:ind w:left="5220" w:hanging="360"/>
      </w:pPr>
      <w:rPr>
        <w:rFonts w:ascii="Verdana" w:hAnsi="Verdana" w:hint="default"/>
        <w:sz w:val="20"/>
        <w:szCs w:val="20"/>
      </w:r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6">
    <w:nsid w:val="13DC077C"/>
    <w:multiLevelType w:val="hybridMultilevel"/>
    <w:tmpl w:val="A284434C"/>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14A8172D"/>
    <w:multiLevelType w:val="hybridMultilevel"/>
    <w:tmpl w:val="7AC65AE8"/>
    <w:lvl w:ilvl="0" w:tplc="D44C0F96">
      <w:start w:val="1"/>
      <w:numFmt w:val="decimal"/>
      <w:lvlText w:val="%1."/>
      <w:lvlJc w:val="left"/>
      <w:pPr>
        <w:ind w:left="450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1E0B4F0F"/>
    <w:multiLevelType w:val="hybridMultilevel"/>
    <w:tmpl w:val="554CCBBE"/>
    <w:lvl w:ilvl="0" w:tplc="C5DC211A">
      <w:start w:val="10"/>
      <w:numFmt w:val="decimal"/>
      <w:lvlText w:val="%1."/>
      <w:lvlJc w:val="left"/>
      <w:pPr>
        <w:ind w:left="6768" w:hanging="360"/>
      </w:pPr>
      <w:rPr>
        <w:rFonts w:ascii="Verdana" w:hAnsi="Verdana" w:hint="default"/>
        <w:i w:val="0"/>
        <w:sz w:val="20"/>
        <w:szCs w:val="20"/>
      </w:rPr>
    </w:lvl>
    <w:lvl w:ilvl="1" w:tplc="04090019">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9">
    <w:nsid w:val="21516893"/>
    <w:multiLevelType w:val="hybridMultilevel"/>
    <w:tmpl w:val="38D47968"/>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nsid w:val="2A5E05F2"/>
    <w:multiLevelType w:val="multilevel"/>
    <w:tmpl w:val="DE1EC38C"/>
    <w:lvl w:ilvl="0">
      <w:start w:val="1"/>
      <w:numFmt w:val="decimal"/>
      <w:lvlText w:val="%1."/>
      <w:lvlJc w:val="left"/>
      <w:pPr>
        <w:ind w:left="1440" w:hanging="360"/>
      </w:pPr>
      <w:rPr>
        <w:rFonts w:ascii="Verdana" w:hAnsi="Verdana" w:hint="default"/>
        <w:b w:val="0"/>
        <w:strike w:val="0"/>
        <w:dstrike w:val="0"/>
        <w:color w:val="auto"/>
        <w:sz w:val="20"/>
        <w:szCs w:val="20"/>
        <w:u w:val="none"/>
        <w:effect w:val="none"/>
      </w:rPr>
    </w:lvl>
    <w:lvl w:ilvl="1">
      <w:start w:val="1"/>
      <w:numFmt w:val="lowerLetter"/>
      <w:lvlText w:val="%2."/>
      <w:lvlJc w:val="left"/>
      <w:pPr>
        <w:ind w:left="1440" w:firstLine="1080"/>
      </w:pPr>
      <w:rPr>
        <w:rFonts w:hint="default"/>
        <w:strike w:val="0"/>
        <w:dstrike w:val="0"/>
        <w:u w:val="none"/>
        <w:effect w:val="none"/>
      </w:rPr>
    </w:lvl>
    <w:lvl w:ilvl="2">
      <w:start w:val="1"/>
      <w:numFmt w:val="lowerRoman"/>
      <w:lvlText w:val="%3."/>
      <w:lvlJc w:val="right"/>
      <w:pPr>
        <w:ind w:left="2160" w:firstLine="1800"/>
      </w:pPr>
      <w:rPr>
        <w:rFonts w:hint="default"/>
        <w:strike w:val="0"/>
        <w:dstrike w:val="0"/>
        <w:u w:val="none"/>
        <w:effect w:val="none"/>
      </w:rPr>
    </w:lvl>
    <w:lvl w:ilvl="3">
      <w:start w:val="1"/>
      <w:numFmt w:val="decimal"/>
      <w:lvlText w:val="%4."/>
      <w:lvlJc w:val="left"/>
      <w:pPr>
        <w:ind w:left="2880" w:firstLine="2520"/>
      </w:pPr>
      <w:rPr>
        <w:rFonts w:hint="default"/>
        <w:strike w:val="0"/>
        <w:dstrike w:val="0"/>
        <w:u w:val="none"/>
        <w:effect w:val="none"/>
      </w:rPr>
    </w:lvl>
    <w:lvl w:ilvl="4">
      <w:start w:val="1"/>
      <w:numFmt w:val="lowerLetter"/>
      <w:lvlText w:val="%5."/>
      <w:lvlJc w:val="left"/>
      <w:pPr>
        <w:ind w:left="3600" w:firstLine="3240"/>
      </w:pPr>
      <w:rPr>
        <w:rFonts w:hint="default"/>
        <w:strike w:val="0"/>
        <w:dstrike w:val="0"/>
        <w:u w:val="none"/>
        <w:effect w:val="none"/>
      </w:rPr>
    </w:lvl>
    <w:lvl w:ilvl="5">
      <w:start w:val="1"/>
      <w:numFmt w:val="lowerRoman"/>
      <w:lvlText w:val="%6."/>
      <w:lvlJc w:val="right"/>
      <w:pPr>
        <w:ind w:left="4320" w:firstLine="3960"/>
      </w:pPr>
      <w:rPr>
        <w:rFonts w:hint="default"/>
        <w:strike w:val="0"/>
        <w:dstrike w:val="0"/>
        <w:u w:val="none"/>
        <w:effect w:val="none"/>
      </w:rPr>
    </w:lvl>
    <w:lvl w:ilvl="6">
      <w:start w:val="1"/>
      <w:numFmt w:val="decimal"/>
      <w:lvlText w:val="%7."/>
      <w:lvlJc w:val="left"/>
      <w:pPr>
        <w:ind w:left="5040" w:firstLine="4680"/>
      </w:pPr>
      <w:rPr>
        <w:rFonts w:hint="default"/>
        <w:strike w:val="0"/>
        <w:dstrike w:val="0"/>
        <w:u w:val="none"/>
        <w:effect w:val="none"/>
      </w:rPr>
    </w:lvl>
    <w:lvl w:ilvl="7">
      <w:start w:val="1"/>
      <w:numFmt w:val="lowerLetter"/>
      <w:lvlText w:val="%8."/>
      <w:lvlJc w:val="left"/>
      <w:pPr>
        <w:ind w:left="5760" w:firstLine="5400"/>
      </w:pPr>
      <w:rPr>
        <w:rFonts w:hint="default"/>
        <w:strike w:val="0"/>
        <w:dstrike w:val="0"/>
        <w:u w:val="none"/>
        <w:effect w:val="none"/>
      </w:rPr>
    </w:lvl>
    <w:lvl w:ilvl="8">
      <w:start w:val="1"/>
      <w:numFmt w:val="lowerRoman"/>
      <w:lvlText w:val="%9."/>
      <w:lvlJc w:val="right"/>
      <w:pPr>
        <w:ind w:left="6480" w:firstLine="6120"/>
      </w:pPr>
      <w:rPr>
        <w:rFonts w:hint="default"/>
        <w:strike w:val="0"/>
        <w:dstrike w:val="0"/>
        <w:u w:val="none"/>
        <w:effect w:val="none"/>
      </w:rPr>
    </w:lvl>
  </w:abstractNum>
  <w:abstractNum w:abstractNumId="11">
    <w:nsid w:val="2DC938A0"/>
    <w:multiLevelType w:val="hybridMultilevel"/>
    <w:tmpl w:val="DB9C7DF0"/>
    <w:lvl w:ilvl="0" w:tplc="129C4AB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761A82"/>
    <w:multiLevelType w:val="hybridMultilevel"/>
    <w:tmpl w:val="7248CFE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32163485"/>
    <w:multiLevelType w:val="hybridMultilevel"/>
    <w:tmpl w:val="178011DC"/>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329664E6"/>
    <w:multiLevelType w:val="hybridMultilevel"/>
    <w:tmpl w:val="1DA49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6B7FBB"/>
    <w:multiLevelType w:val="hybridMultilevel"/>
    <w:tmpl w:val="6324CC1C"/>
    <w:lvl w:ilvl="0" w:tplc="63E0F68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37352514"/>
    <w:multiLevelType w:val="hybridMultilevel"/>
    <w:tmpl w:val="4FEEECBE"/>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3A201A05"/>
    <w:multiLevelType w:val="hybridMultilevel"/>
    <w:tmpl w:val="99CA51F2"/>
    <w:lvl w:ilvl="0" w:tplc="140A0017">
      <w:start w:val="1"/>
      <w:numFmt w:val="lowerLetter"/>
      <w:lvlText w:val="%1)"/>
      <w:lvlJc w:val="left"/>
      <w:pPr>
        <w:ind w:left="787" w:hanging="360"/>
      </w:pPr>
    </w:lvl>
    <w:lvl w:ilvl="1" w:tplc="140A0019">
      <w:start w:val="1"/>
      <w:numFmt w:val="lowerLetter"/>
      <w:lvlText w:val="%2."/>
      <w:lvlJc w:val="left"/>
      <w:pPr>
        <w:ind w:left="1507" w:hanging="360"/>
      </w:pPr>
    </w:lvl>
    <w:lvl w:ilvl="2" w:tplc="140A001B">
      <w:start w:val="1"/>
      <w:numFmt w:val="lowerRoman"/>
      <w:lvlText w:val="%3."/>
      <w:lvlJc w:val="right"/>
      <w:pPr>
        <w:ind w:left="2227" w:hanging="180"/>
      </w:pPr>
    </w:lvl>
    <w:lvl w:ilvl="3" w:tplc="140A000F" w:tentative="1">
      <w:start w:val="1"/>
      <w:numFmt w:val="decimal"/>
      <w:lvlText w:val="%4."/>
      <w:lvlJc w:val="left"/>
      <w:pPr>
        <w:ind w:left="2947" w:hanging="360"/>
      </w:pPr>
    </w:lvl>
    <w:lvl w:ilvl="4" w:tplc="140A0019" w:tentative="1">
      <w:start w:val="1"/>
      <w:numFmt w:val="lowerLetter"/>
      <w:lvlText w:val="%5."/>
      <w:lvlJc w:val="left"/>
      <w:pPr>
        <w:ind w:left="3667" w:hanging="360"/>
      </w:pPr>
    </w:lvl>
    <w:lvl w:ilvl="5" w:tplc="140A001B" w:tentative="1">
      <w:start w:val="1"/>
      <w:numFmt w:val="lowerRoman"/>
      <w:lvlText w:val="%6."/>
      <w:lvlJc w:val="right"/>
      <w:pPr>
        <w:ind w:left="4387" w:hanging="180"/>
      </w:pPr>
    </w:lvl>
    <w:lvl w:ilvl="6" w:tplc="140A000F" w:tentative="1">
      <w:start w:val="1"/>
      <w:numFmt w:val="decimal"/>
      <w:lvlText w:val="%7."/>
      <w:lvlJc w:val="left"/>
      <w:pPr>
        <w:ind w:left="5107" w:hanging="360"/>
      </w:pPr>
    </w:lvl>
    <w:lvl w:ilvl="7" w:tplc="140A0019" w:tentative="1">
      <w:start w:val="1"/>
      <w:numFmt w:val="lowerLetter"/>
      <w:lvlText w:val="%8."/>
      <w:lvlJc w:val="left"/>
      <w:pPr>
        <w:ind w:left="5827" w:hanging="360"/>
      </w:pPr>
    </w:lvl>
    <w:lvl w:ilvl="8" w:tplc="140A001B" w:tentative="1">
      <w:start w:val="1"/>
      <w:numFmt w:val="lowerRoman"/>
      <w:lvlText w:val="%9."/>
      <w:lvlJc w:val="right"/>
      <w:pPr>
        <w:ind w:left="6547" w:hanging="180"/>
      </w:pPr>
    </w:lvl>
  </w:abstractNum>
  <w:abstractNum w:abstractNumId="18">
    <w:nsid w:val="41FA49CC"/>
    <w:multiLevelType w:val="hybridMultilevel"/>
    <w:tmpl w:val="CB7257CA"/>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nsid w:val="42BD19AA"/>
    <w:multiLevelType w:val="hybridMultilevel"/>
    <w:tmpl w:val="A648AC3E"/>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8216DC7"/>
    <w:multiLevelType w:val="hybridMultilevel"/>
    <w:tmpl w:val="4692D27A"/>
    <w:lvl w:ilvl="0" w:tplc="3C0E511E">
      <w:start w:val="1"/>
      <w:numFmt w:val="decimal"/>
      <w:lvlText w:val="%1."/>
      <w:lvlJc w:val="left"/>
      <w:pPr>
        <w:ind w:left="1287" w:hanging="360"/>
      </w:pPr>
      <w:rPr>
        <w:b w:val="0"/>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1">
    <w:nsid w:val="4BBE0E90"/>
    <w:multiLevelType w:val="hybridMultilevel"/>
    <w:tmpl w:val="A3B2674C"/>
    <w:lvl w:ilvl="0" w:tplc="67F0D9BC">
      <w:start w:val="1"/>
      <w:numFmt w:val="decimal"/>
      <w:lvlText w:val="%1."/>
      <w:lvlJc w:val="left"/>
      <w:pPr>
        <w:ind w:left="720" w:hanging="360"/>
      </w:pPr>
      <w:rPr>
        <w:b w:val="0"/>
        <w:color w:val="auto"/>
        <w:sz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2">
    <w:nsid w:val="4C5D404A"/>
    <w:multiLevelType w:val="hybridMultilevel"/>
    <w:tmpl w:val="481A9B94"/>
    <w:lvl w:ilvl="0" w:tplc="53C06F3C">
      <w:start w:val="1"/>
      <w:numFmt w:val="lowerLetter"/>
      <w:lvlText w:val="%1."/>
      <w:lvlJc w:val="left"/>
      <w:pPr>
        <w:ind w:left="52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3F770F"/>
    <w:multiLevelType w:val="hybridMultilevel"/>
    <w:tmpl w:val="695449C6"/>
    <w:lvl w:ilvl="0" w:tplc="EA1601E4">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4">
    <w:nsid w:val="50E22CF2"/>
    <w:multiLevelType w:val="hybridMultilevel"/>
    <w:tmpl w:val="E312E04E"/>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nsid w:val="51C4029C"/>
    <w:multiLevelType w:val="hybridMultilevel"/>
    <w:tmpl w:val="9FD09AC4"/>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56716A72"/>
    <w:multiLevelType w:val="hybridMultilevel"/>
    <w:tmpl w:val="695449C6"/>
    <w:lvl w:ilvl="0" w:tplc="EA1601E4">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27">
    <w:nsid w:val="5D541866"/>
    <w:multiLevelType w:val="hybridMultilevel"/>
    <w:tmpl w:val="7B1418B8"/>
    <w:lvl w:ilvl="0" w:tplc="3C0E511E">
      <w:start w:val="1"/>
      <w:numFmt w:val="decimal"/>
      <w:lvlText w:val="%1."/>
      <w:lvlJc w:val="left"/>
      <w:pPr>
        <w:ind w:left="1287" w:hanging="360"/>
      </w:pPr>
      <w:rPr>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ED900D8"/>
    <w:multiLevelType w:val="hybridMultilevel"/>
    <w:tmpl w:val="A126E176"/>
    <w:lvl w:ilvl="0" w:tplc="F992F39C">
      <w:start w:val="1"/>
      <w:numFmt w:val="decimal"/>
      <w:lvlText w:val="%1."/>
      <w:lvlJc w:val="left"/>
      <w:pPr>
        <w:ind w:left="450" w:hanging="360"/>
      </w:pPr>
      <w:rPr>
        <w:rFonts w:hint="default"/>
        <w:b w:val="0"/>
        <w:strike w:val="0"/>
        <w:color w:val="auto"/>
        <w:sz w:val="20"/>
        <w:szCs w:val="20"/>
      </w:rPr>
    </w:lvl>
    <w:lvl w:ilvl="1" w:tplc="140A0019">
      <w:start w:val="1"/>
      <w:numFmt w:val="lowerLetter"/>
      <w:lvlText w:val="%2."/>
      <w:lvlJc w:val="left"/>
      <w:pPr>
        <w:ind w:left="108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655B1A9D"/>
    <w:multiLevelType w:val="hybridMultilevel"/>
    <w:tmpl w:val="B7CEC7BC"/>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nsid w:val="65C863E2"/>
    <w:multiLevelType w:val="hybridMultilevel"/>
    <w:tmpl w:val="9C2006FC"/>
    <w:lvl w:ilvl="0" w:tplc="17706D5A">
      <w:start w:val="2"/>
      <w:numFmt w:val="decimal"/>
      <w:lvlText w:val="%1."/>
      <w:lvlJc w:val="left"/>
      <w:pPr>
        <w:tabs>
          <w:tab w:val="num" w:pos="1152"/>
        </w:tabs>
        <w:ind w:left="360" w:firstLine="0"/>
      </w:pPr>
      <w:rPr>
        <w:rFonts w:ascii="Verdana" w:hAnsi="Verdana" w:hint="default"/>
        <w:b w:val="0"/>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nsid w:val="699C65D2"/>
    <w:multiLevelType w:val="hybridMultilevel"/>
    <w:tmpl w:val="F7BEE57E"/>
    <w:lvl w:ilvl="0" w:tplc="D1AA157E">
      <w:start w:val="3"/>
      <w:numFmt w:val="decimal"/>
      <w:lvlText w:val="%1."/>
      <w:lvlJc w:val="left"/>
      <w:pPr>
        <w:ind w:left="774" w:hanging="360"/>
      </w:pPr>
      <w:rPr>
        <w:rFonts w:hint="default"/>
        <w:b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nsid w:val="6F6D743F"/>
    <w:multiLevelType w:val="hybridMultilevel"/>
    <w:tmpl w:val="A6AA73D2"/>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nsid w:val="764F7EA4"/>
    <w:multiLevelType w:val="hybridMultilevel"/>
    <w:tmpl w:val="64185C84"/>
    <w:lvl w:ilvl="0" w:tplc="53C06F3C">
      <w:start w:val="1"/>
      <w:numFmt w:val="lowerLetter"/>
      <w:lvlText w:val="%1."/>
      <w:lvlJc w:val="left"/>
      <w:pPr>
        <w:ind w:left="5220" w:hanging="360"/>
      </w:pPr>
      <w:rPr>
        <w:rFonts w:ascii="Verdana" w:hAnsi="Verdan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46ADC"/>
    <w:multiLevelType w:val="hybridMultilevel"/>
    <w:tmpl w:val="B440A898"/>
    <w:lvl w:ilvl="0" w:tplc="0A782304">
      <w:start w:val="1"/>
      <w:numFmt w:val="lowerLetter"/>
      <w:lvlText w:val="%1)"/>
      <w:lvlJc w:val="left"/>
      <w:pPr>
        <w:ind w:left="930" w:hanging="36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35">
    <w:nsid w:val="77CE72E7"/>
    <w:multiLevelType w:val="hybridMultilevel"/>
    <w:tmpl w:val="B7CEC7BC"/>
    <w:lvl w:ilvl="0" w:tplc="140A0017">
      <w:start w:val="1"/>
      <w:numFmt w:val="lowerLetter"/>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nsid w:val="7BD733FC"/>
    <w:multiLevelType w:val="hybridMultilevel"/>
    <w:tmpl w:val="1F9A99F0"/>
    <w:lvl w:ilvl="0" w:tplc="D44C0F96">
      <w:start w:val="1"/>
      <w:numFmt w:val="decimal"/>
      <w:lvlText w:val="%1."/>
      <w:lvlJc w:val="left"/>
      <w:pPr>
        <w:ind w:left="720" w:hanging="36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C54784D"/>
    <w:multiLevelType w:val="hybridMultilevel"/>
    <w:tmpl w:val="01A2DF10"/>
    <w:lvl w:ilvl="0" w:tplc="140A0015">
      <w:start w:val="1"/>
      <w:numFmt w:val="upperLetter"/>
      <w:lvlText w:val="%1."/>
      <w:lvlJc w:val="left"/>
      <w:pPr>
        <w:ind w:left="786" w:hanging="360"/>
      </w:pPr>
      <w:rPr>
        <w:rFonts w:hint="default"/>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38">
    <w:nsid w:val="7D60137C"/>
    <w:multiLevelType w:val="hybridMultilevel"/>
    <w:tmpl w:val="4E78DAD6"/>
    <w:lvl w:ilvl="0" w:tplc="53C06F3C">
      <w:start w:val="1"/>
      <w:numFmt w:val="lowerLetter"/>
      <w:lvlText w:val="%1."/>
      <w:lvlJc w:val="left"/>
      <w:pPr>
        <w:ind w:left="1080" w:hanging="360"/>
      </w:pPr>
      <w:rPr>
        <w:rFonts w:ascii="Verdana" w:hAnsi="Verdana" w:hint="default"/>
        <w:sz w:val="20"/>
        <w:szCs w:val="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540" w:hanging="360"/>
      </w:pPr>
    </w:lvl>
    <w:lvl w:ilvl="5" w:tplc="0409001B" w:tentative="1">
      <w:start w:val="1"/>
      <w:numFmt w:val="lowerRoman"/>
      <w:lvlText w:val="%6."/>
      <w:lvlJc w:val="right"/>
      <w:pPr>
        <w:ind w:left="180" w:hanging="180"/>
      </w:pPr>
    </w:lvl>
    <w:lvl w:ilvl="6" w:tplc="0409000F" w:tentative="1">
      <w:start w:val="1"/>
      <w:numFmt w:val="decimal"/>
      <w:lvlText w:val="%7."/>
      <w:lvlJc w:val="left"/>
      <w:pPr>
        <w:ind w:left="900" w:hanging="360"/>
      </w:pPr>
    </w:lvl>
    <w:lvl w:ilvl="7" w:tplc="04090019" w:tentative="1">
      <w:start w:val="1"/>
      <w:numFmt w:val="lowerLetter"/>
      <w:lvlText w:val="%8."/>
      <w:lvlJc w:val="left"/>
      <w:pPr>
        <w:ind w:left="1620" w:hanging="360"/>
      </w:pPr>
    </w:lvl>
    <w:lvl w:ilvl="8" w:tplc="0409001B" w:tentative="1">
      <w:start w:val="1"/>
      <w:numFmt w:val="lowerRoman"/>
      <w:lvlText w:val="%9."/>
      <w:lvlJc w:val="right"/>
      <w:pPr>
        <w:ind w:left="2340" w:hanging="180"/>
      </w:pPr>
    </w:lvl>
  </w:abstractNum>
  <w:num w:numId="1">
    <w:abstractNumId w:val="20"/>
  </w:num>
  <w:num w:numId="2">
    <w:abstractNumId w:val="5"/>
  </w:num>
  <w:num w:numId="3">
    <w:abstractNumId w:val="26"/>
  </w:num>
  <w:num w:numId="4">
    <w:abstractNumId w:val="27"/>
  </w:num>
  <w:num w:numId="5">
    <w:abstractNumId w:val="7"/>
  </w:num>
  <w:num w:numId="6">
    <w:abstractNumId w:val="34"/>
  </w:num>
  <w:num w:numId="7">
    <w:abstractNumId w:val="17"/>
  </w:num>
  <w:num w:numId="8">
    <w:abstractNumId w:val="12"/>
  </w:num>
  <w:num w:numId="9">
    <w:abstractNumId w:val="35"/>
  </w:num>
  <w:num w:numId="10">
    <w:abstractNumId w:val="16"/>
  </w:num>
  <w:num w:numId="11">
    <w:abstractNumId w:val="24"/>
  </w:num>
  <w:num w:numId="12">
    <w:abstractNumId w:val="1"/>
  </w:num>
  <w:num w:numId="13">
    <w:abstractNumId w:val="19"/>
  </w:num>
  <w:num w:numId="14">
    <w:abstractNumId w:val="6"/>
  </w:num>
  <w:num w:numId="15">
    <w:abstractNumId w:val="25"/>
  </w:num>
  <w:num w:numId="16">
    <w:abstractNumId w:val="32"/>
  </w:num>
  <w:num w:numId="17">
    <w:abstractNumId w:val="36"/>
  </w:num>
  <w:num w:numId="18">
    <w:abstractNumId w:val="3"/>
  </w:num>
  <w:num w:numId="19">
    <w:abstractNumId w:val="18"/>
  </w:num>
  <w:num w:numId="20">
    <w:abstractNumId w:val="9"/>
  </w:num>
  <w:num w:numId="21">
    <w:abstractNumId w:val="15"/>
  </w:num>
  <w:num w:numId="22">
    <w:abstractNumId w:val="1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
  </w:num>
  <w:num w:numId="28">
    <w:abstractNumId w:val="0"/>
  </w:num>
  <w:num w:numId="29">
    <w:abstractNumId w:val="11"/>
  </w:num>
  <w:num w:numId="30">
    <w:abstractNumId w:val="2"/>
  </w:num>
  <w:num w:numId="31">
    <w:abstractNumId w:val="31"/>
  </w:num>
  <w:num w:numId="32">
    <w:abstractNumId w:val="14"/>
  </w:num>
  <w:num w:numId="33">
    <w:abstractNumId w:val="10"/>
  </w:num>
  <w:num w:numId="34">
    <w:abstractNumId w:val="8"/>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33"/>
  </w:num>
  <w:num w:numId="38">
    <w:abstractNumId w:val="22"/>
  </w:num>
  <w:num w:numId="39">
    <w:abstractNumId w:val="29"/>
  </w:num>
  <w:num w:numId="40">
    <w:abstractNumId w:val="28"/>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748"/>
    <w:rsid w:val="00001E0D"/>
    <w:rsid w:val="00002076"/>
    <w:rsid w:val="0000481A"/>
    <w:rsid w:val="000060D3"/>
    <w:rsid w:val="0001029D"/>
    <w:rsid w:val="00012D32"/>
    <w:rsid w:val="00017C42"/>
    <w:rsid w:val="0003253B"/>
    <w:rsid w:val="0003265F"/>
    <w:rsid w:val="00032F34"/>
    <w:rsid w:val="00033A92"/>
    <w:rsid w:val="000357A4"/>
    <w:rsid w:val="000412A5"/>
    <w:rsid w:val="00044861"/>
    <w:rsid w:val="000508F9"/>
    <w:rsid w:val="00050C97"/>
    <w:rsid w:val="00053AC1"/>
    <w:rsid w:val="00055669"/>
    <w:rsid w:val="0005746D"/>
    <w:rsid w:val="000620FF"/>
    <w:rsid w:val="00063916"/>
    <w:rsid w:val="00065ED3"/>
    <w:rsid w:val="000672EA"/>
    <w:rsid w:val="00070D8A"/>
    <w:rsid w:val="0007221C"/>
    <w:rsid w:val="00072E53"/>
    <w:rsid w:val="0007325F"/>
    <w:rsid w:val="00073325"/>
    <w:rsid w:val="000748AA"/>
    <w:rsid w:val="0007569A"/>
    <w:rsid w:val="00077587"/>
    <w:rsid w:val="00077666"/>
    <w:rsid w:val="00082EF8"/>
    <w:rsid w:val="000831D4"/>
    <w:rsid w:val="00084299"/>
    <w:rsid w:val="00084474"/>
    <w:rsid w:val="000852CB"/>
    <w:rsid w:val="000870B9"/>
    <w:rsid w:val="00095015"/>
    <w:rsid w:val="00095BB5"/>
    <w:rsid w:val="000A0732"/>
    <w:rsid w:val="000A3EA9"/>
    <w:rsid w:val="000B162B"/>
    <w:rsid w:val="000B4B9F"/>
    <w:rsid w:val="000B4CB3"/>
    <w:rsid w:val="000B6043"/>
    <w:rsid w:val="000C2549"/>
    <w:rsid w:val="000C4DD0"/>
    <w:rsid w:val="000C5904"/>
    <w:rsid w:val="000D141A"/>
    <w:rsid w:val="000D470D"/>
    <w:rsid w:val="000D55D8"/>
    <w:rsid w:val="000D6BB5"/>
    <w:rsid w:val="000E12B6"/>
    <w:rsid w:val="000E461F"/>
    <w:rsid w:val="000F1273"/>
    <w:rsid w:val="000F1B00"/>
    <w:rsid w:val="000F3006"/>
    <w:rsid w:val="000F56F8"/>
    <w:rsid w:val="000F5911"/>
    <w:rsid w:val="00102254"/>
    <w:rsid w:val="00103CD8"/>
    <w:rsid w:val="00110B25"/>
    <w:rsid w:val="00112606"/>
    <w:rsid w:val="001134DB"/>
    <w:rsid w:val="001221FD"/>
    <w:rsid w:val="0012542C"/>
    <w:rsid w:val="0012564E"/>
    <w:rsid w:val="00131238"/>
    <w:rsid w:val="00133AAF"/>
    <w:rsid w:val="00137206"/>
    <w:rsid w:val="00140821"/>
    <w:rsid w:val="0014088C"/>
    <w:rsid w:val="00140E8E"/>
    <w:rsid w:val="00143913"/>
    <w:rsid w:val="0014551F"/>
    <w:rsid w:val="00150685"/>
    <w:rsid w:val="00153205"/>
    <w:rsid w:val="00161567"/>
    <w:rsid w:val="00167249"/>
    <w:rsid w:val="00170CCF"/>
    <w:rsid w:val="00171719"/>
    <w:rsid w:val="00176316"/>
    <w:rsid w:val="0018530D"/>
    <w:rsid w:val="00191944"/>
    <w:rsid w:val="00196B60"/>
    <w:rsid w:val="001A10A8"/>
    <w:rsid w:val="001A2079"/>
    <w:rsid w:val="001A2B8D"/>
    <w:rsid w:val="001A6468"/>
    <w:rsid w:val="001B0748"/>
    <w:rsid w:val="001B34BF"/>
    <w:rsid w:val="001B78C4"/>
    <w:rsid w:val="001C775E"/>
    <w:rsid w:val="001D1079"/>
    <w:rsid w:val="001D18EB"/>
    <w:rsid w:val="001E70D7"/>
    <w:rsid w:val="001F0D8D"/>
    <w:rsid w:val="001F3B4C"/>
    <w:rsid w:val="001F42FF"/>
    <w:rsid w:val="001F5320"/>
    <w:rsid w:val="001F7ADE"/>
    <w:rsid w:val="002001F7"/>
    <w:rsid w:val="00201008"/>
    <w:rsid w:val="00202093"/>
    <w:rsid w:val="002062C1"/>
    <w:rsid w:val="002122AD"/>
    <w:rsid w:val="0021463D"/>
    <w:rsid w:val="00221214"/>
    <w:rsid w:val="00222FF0"/>
    <w:rsid w:val="002245EF"/>
    <w:rsid w:val="00226BB6"/>
    <w:rsid w:val="0023168F"/>
    <w:rsid w:val="0023474D"/>
    <w:rsid w:val="00234A68"/>
    <w:rsid w:val="00236480"/>
    <w:rsid w:val="002369FC"/>
    <w:rsid w:val="00241BDD"/>
    <w:rsid w:val="002436BF"/>
    <w:rsid w:val="00243BEB"/>
    <w:rsid w:val="00246F59"/>
    <w:rsid w:val="0024770E"/>
    <w:rsid w:val="00250BF2"/>
    <w:rsid w:val="002610BF"/>
    <w:rsid w:val="0026170F"/>
    <w:rsid w:val="00261A28"/>
    <w:rsid w:val="00261D46"/>
    <w:rsid w:val="002672BA"/>
    <w:rsid w:val="00267CD6"/>
    <w:rsid w:val="00267E1D"/>
    <w:rsid w:val="0027037C"/>
    <w:rsid w:val="00270B2C"/>
    <w:rsid w:val="00271ABA"/>
    <w:rsid w:val="00271F1F"/>
    <w:rsid w:val="00272CA8"/>
    <w:rsid w:val="00273D7E"/>
    <w:rsid w:val="002757E6"/>
    <w:rsid w:val="002758FB"/>
    <w:rsid w:val="00276F30"/>
    <w:rsid w:val="0028235D"/>
    <w:rsid w:val="002833C4"/>
    <w:rsid w:val="00283B26"/>
    <w:rsid w:val="002942C5"/>
    <w:rsid w:val="00294FF6"/>
    <w:rsid w:val="00297779"/>
    <w:rsid w:val="002A07E7"/>
    <w:rsid w:val="002A1060"/>
    <w:rsid w:val="002A47C6"/>
    <w:rsid w:val="002B24CE"/>
    <w:rsid w:val="002B62D8"/>
    <w:rsid w:val="002C0393"/>
    <w:rsid w:val="002C079C"/>
    <w:rsid w:val="002C2411"/>
    <w:rsid w:val="002C54AE"/>
    <w:rsid w:val="002C7255"/>
    <w:rsid w:val="002C7C2D"/>
    <w:rsid w:val="002D358B"/>
    <w:rsid w:val="002D441B"/>
    <w:rsid w:val="002D52C5"/>
    <w:rsid w:val="002E0AE3"/>
    <w:rsid w:val="002E2007"/>
    <w:rsid w:val="002F51BD"/>
    <w:rsid w:val="00303058"/>
    <w:rsid w:val="00307E86"/>
    <w:rsid w:val="003135E8"/>
    <w:rsid w:val="0031375B"/>
    <w:rsid w:val="00315208"/>
    <w:rsid w:val="0031522F"/>
    <w:rsid w:val="00315E88"/>
    <w:rsid w:val="003214A9"/>
    <w:rsid w:val="00321F24"/>
    <w:rsid w:val="003263B3"/>
    <w:rsid w:val="00330B32"/>
    <w:rsid w:val="0033374C"/>
    <w:rsid w:val="003352F5"/>
    <w:rsid w:val="0033627C"/>
    <w:rsid w:val="0033693B"/>
    <w:rsid w:val="00341A60"/>
    <w:rsid w:val="00343D2A"/>
    <w:rsid w:val="0034436A"/>
    <w:rsid w:val="0035565C"/>
    <w:rsid w:val="0036116B"/>
    <w:rsid w:val="0036370D"/>
    <w:rsid w:val="003641DE"/>
    <w:rsid w:val="003675DF"/>
    <w:rsid w:val="003751E3"/>
    <w:rsid w:val="00381415"/>
    <w:rsid w:val="00383F53"/>
    <w:rsid w:val="00384E94"/>
    <w:rsid w:val="00385FE5"/>
    <w:rsid w:val="00393E88"/>
    <w:rsid w:val="00395644"/>
    <w:rsid w:val="003A44F2"/>
    <w:rsid w:val="003A698E"/>
    <w:rsid w:val="003B0FA8"/>
    <w:rsid w:val="003B1AC1"/>
    <w:rsid w:val="003B732D"/>
    <w:rsid w:val="003C4549"/>
    <w:rsid w:val="003C6816"/>
    <w:rsid w:val="003D3A3B"/>
    <w:rsid w:val="003E2F52"/>
    <w:rsid w:val="003E6C13"/>
    <w:rsid w:val="00402A54"/>
    <w:rsid w:val="004035D3"/>
    <w:rsid w:val="004055D7"/>
    <w:rsid w:val="004103DA"/>
    <w:rsid w:val="004149A0"/>
    <w:rsid w:val="00424BB7"/>
    <w:rsid w:val="00425F5F"/>
    <w:rsid w:val="00431EA5"/>
    <w:rsid w:val="00432C03"/>
    <w:rsid w:val="00433EAC"/>
    <w:rsid w:val="00435A02"/>
    <w:rsid w:val="00442BC3"/>
    <w:rsid w:val="00446FBB"/>
    <w:rsid w:val="004506E6"/>
    <w:rsid w:val="00455840"/>
    <w:rsid w:val="00456334"/>
    <w:rsid w:val="00461999"/>
    <w:rsid w:val="00462381"/>
    <w:rsid w:val="004634CF"/>
    <w:rsid w:val="004649B4"/>
    <w:rsid w:val="00480328"/>
    <w:rsid w:val="004820C6"/>
    <w:rsid w:val="0048245F"/>
    <w:rsid w:val="0048263C"/>
    <w:rsid w:val="00483DAA"/>
    <w:rsid w:val="0048564A"/>
    <w:rsid w:val="004859DF"/>
    <w:rsid w:val="00486AA4"/>
    <w:rsid w:val="00494410"/>
    <w:rsid w:val="00494C05"/>
    <w:rsid w:val="00495071"/>
    <w:rsid w:val="00497437"/>
    <w:rsid w:val="004A22E5"/>
    <w:rsid w:val="004A5B58"/>
    <w:rsid w:val="004B4341"/>
    <w:rsid w:val="004C018C"/>
    <w:rsid w:val="004D217D"/>
    <w:rsid w:val="004D26B1"/>
    <w:rsid w:val="004E130E"/>
    <w:rsid w:val="004E7D5C"/>
    <w:rsid w:val="004F152B"/>
    <w:rsid w:val="004F235A"/>
    <w:rsid w:val="004F4556"/>
    <w:rsid w:val="004F5663"/>
    <w:rsid w:val="004F7B93"/>
    <w:rsid w:val="00501496"/>
    <w:rsid w:val="005019E5"/>
    <w:rsid w:val="00501A6C"/>
    <w:rsid w:val="0050590D"/>
    <w:rsid w:val="00513A75"/>
    <w:rsid w:val="00520502"/>
    <w:rsid w:val="00526058"/>
    <w:rsid w:val="0052777C"/>
    <w:rsid w:val="00527BCD"/>
    <w:rsid w:val="005325D1"/>
    <w:rsid w:val="005335A7"/>
    <w:rsid w:val="0053494F"/>
    <w:rsid w:val="00535C68"/>
    <w:rsid w:val="005441A6"/>
    <w:rsid w:val="00557953"/>
    <w:rsid w:val="00561A4E"/>
    <w:rsid w:val="00563FD6"/>
    <w:rsid w:val="00564EF5"/>
    <w:rsid w:val="005653BC"/>
    <w:rsid w:val="00565D29"/>
    <w:rsid w:val="00575A08"/>
    <w:rsid w:val="00580A56"/>
    <w:rsid w:val="005816CD"/>
    <w:rsid w:val="00583A07"/>
    <w:rsid w:val="00587340"/>
    <w:rsid w:val="00593D43"/>
    <w:rsid w:val="005A0B02"/>
    <w:rsid w:val="005A2247"/>
    <w:rsid w:val="005A29FF"/>
    <w:rsid w:val="005A4DC1"/>
    <w:rsid w:val="005A5731"/>
    <w:rsid w:val="005A622D"/>
    <w:rsid w:val="005B23CA"/>
    <w:rsid w:val="005B250C"/>
    <w:rsid w:val="005B3072"/>
    <w:rsid w:val="005B3346"/>
    <w:rsid w:val="005C1C19"/>
    <w:rsid w:val="005C6E62"/>
    <w:rsid w:val="005C7EF7"/>
    <w:rsid w:val="005D00D2"/>
    <w:rsid w:val="005D0813"/>
    <w:rsid w:val="005D0B21"/>
    <w:rsid w:val="005D6102"/>
    <w:rsid w:val="005E00CC"/>
    <w:rsid w:val="005E3449"/>
    <w:rsid w:val="005E4029"/>
    <w:rsid w:val="005E5A26"/>
    <w:rsid w:val="005E6AC2"/>
    <w:rsid w:val="005E7ACF"/>
    <w:rsid w:val="006004BF"/>
    <w:rsid w:val="0060235A"/>
    <w:rsid w:val="006054B7"/>
    <w:rsid w:val="00611D31"/>
    <w:rsid w:val="00614EEB"/>
    <w:rsid w:val="00620904"/>
    <w:rsid w:val="00631BAB"/>
    <w:rsid w:val="00632A46"/>
    <w:rsid w:val="00633CA0"/>
    <w:rsid w:val="00635197"/>
    <w:rsid w:val="00636F6F"/>
    <w:rsid w:val="00637B90"/>
    <w:rsid w:val="00640B4B"/>
    <w:rsid w:val="006422FC"/>
    <w:rsid w:val="00644E75"/>
    <w:rsid w:val="00645DCB"/>
    <w:rsid w:val="006476BD"/>
    <w:rsid w:val="00650196"/>
    <w:rsid w:val="00652F30"/>
    <w:rsid w:val="00653F8B"/>
    <w:rsid w:val="00655A4E"/>
    <w:rsid w:val="00656940"/>
    <w:rsid w:val="0066383E"/>
    <w:rsid w:val="00665006"/>
    <w:rsid w:val="00666557"/>
    <w:rsid w:val="0066686C"/>
    <w:rsid w:val="00671AB1"/>
    <w:rsid w:val="00673184"/>
    <w:rsid w:val="00682556"/>
    <w:rsid w:val="006867F9"/>
    <w:rsid w:val="00687AAD"/>
    <w:rsid w:val="006912F0"/>
    <w:rsid w:val="00692F6C"/>
    <w:rsid w:val="00695B5C"/>
    <w:rsid w:val="006A299A"/>
    <w:rsid w:val="006A37B5"/>
    <w:rsid w:val="006A52B1"/>
    <w:rsid w:val="006A72F6"/>
    <w:rsid w:val="006B01A2"/>
    <w:rsid w:val="006B1282"/>
    <w:rsid w:val="006B1C9D"/>
    <w:rsid w:val="006B511C"/>
    <w:rsid w:val="006B7516"/>
    <w:rsid w:val="006C0815"/>
    <w:rsid w:val="006D077D"/>
    <w:rsid w:val="006D1330"/>
    <w:rsid w:val="006D2120"/>
    <w:rsid w:val="006D7D32"/>
    <w:rsid w:val="006E3BF8"/>
    <w:rsid w:val="006F2999"/>
    <w:rsid w:val="006F62A1"/>
    <w:rsid w:val="007047DD"/>
    <w:rsid w:val="007074EC"/>
    <w:rsid w:val="0071185E"/>
    <w:rsid w:val="00713C69"/>
    <w:rsid w:val="0071492F"/>
    <w:rsid w:val="007179C4"/>
    <w:rsid w:val="00721589"/>
    <w:rsid w:val="00732EEA"/>
    <w:rsid w:val="00736E2C"/>
    <w:rsid w:val="0073741E"/>
    <w:rsid w:val="007378FD"/>
    <w:rsid w:val="00740D97"/>
    <w:rsid w:val="00741BC7"/>
    <w:rsid w:val="00742139"/>
    <w:rsid w:val="00745074"/>
    <w:rsid w:val="00745D6C"/>
    <w:rsid w:val="0075121F"/>
    <w:rsid w:val="0075465B"/>
    <w:rsid w:val="007622D6"/>
    <w:rsid w:val="0077243E"/>
    <w:rsid w:val="00772C00"/>
    <w:rsid w:val="0077526A"/>
    <w:rsid w:val="00784042"/>
    <w:rsid w:val="00784CE7"/>
    <w:rsid w:val="007857EA"/>
    <w:rsid w:val="00796005"/>
    <w:rsid w:val="007A212D"/>
    <w:rsid w:val="007A39D4"/>
    <w:rsid w:val="007A75AF"/>
    <w:rsid w:val="007B17B2"/>
    <w:rsid w:val="007B76F8"/>
    <w:rsid w:val="007C0C49"/>
    <w:rsid w:val="007C0D19"/>
    <w:rsid w:val="007C1293"/>
    <w:rsid w:val="007C715D"/>
    <w:rsid w:val="007D2268"/>
    <w:rsid w:val="007D5334"/>
    <w:rsid w:val="007D6315"/>
    <w:rsid w:val="007D6813"/>
    <w:rsid w:val="007E04F5"/>
    <w:rsid w:val="007E2E78"/>
    <w:rsid w:val="007E6ACE"/>
    <w:rsid w:val="007F0566"/>
    <w:rsid w:val="00801C06"/>
    <w:rsid w:val="00804335"/>
    <w:rsid w:val="00812E92"/>
    <w:rsid w:val="008222BD"/>
    <w:rsid w:val="00822366"/>
    <w:rsid w:val="00822F3E"/>
    <w:rsid w:val="00835C09"/>
    <w:rsid w:val="0084760A"/>
    <w:rsid w:val="00854CE6"/>
    <w:rsid w:val="00857F18"/>
    <w:rsid w:val="0087298F"/>
    <w:rsid w:val="00873226"/>
    <w:rsid w:val="00876E8F"/>
    <w:rsid w:val="00887AB0"/>
    <w:rsid w:val="008967FE"/>
    <w:rsid w:val="0089763B"/>
    <w:rsid w:val="008A0697"/>
    <w:rsid w:val="008A0E74"/>
    <w:rsid w:val="008A24B6"/>
    <w:rsid w:val="008A672F"/>
    <w:rsid w:val="008B32B8"/>
    <w:rsid w:val="008B3FF9"/>
    <w:rsid w:val="008B5E7A"/>
    <w:rsid w:val="008C38C8"/>
    <w:rsid w:val="008E33F4"/>
    <w:rsid w:val="008E3589"/>
    <w:rsid w:val="008F22D5"/>
    <w:rsid w:val="009029F1"/>
    <w:rsid w:val="00906E1C"/>
    <w:rsid w:val="00907CC5"/>
    <w:rsid w:val="00912A06"/>
    <w:rsid w:val="00912C7F"/>
    <w:rsid w:val="00917229"/>
    <w:rsid w:val="009206E2"/>
    <w:rsid w:val="00921226"/>
    <w:rsid w:val="009263BA"/>
    <w:rsid w:val="00926A1D"/>
    <w:rsid w:val="00932420"/>
    <w:rsid w:val="0094464A"/>
    <w:rsid w:val="00944A2E"/>
    <w:rsid w:val="00946049"/>
    <w:rsid w:val="00950128"/>
    <w:rsid w:val="00953E0D"/>
    <w:rsid w:val="0096047A"/>
    <w:rsid w:val="00965795"/>
    <w:rsid w:val="00966DFC"/>
    <w:rsid w:val="00971BAA"/>
    <w:rsid w:val="009736FA"/>
    <w:rsid w:val="0098054A"/>
    <w:rsid w:val="00990395"/>
    <w:rsid w:val="00991437"/>
    <w:rsid w:val="0099549F"/>
    <w:rsid w:val="009A136E"/>
    <w:rsid w:val="009A1F73"/>
    <w:rsid w:val="009A27CF"/>
    <w:rsid w:val="009A5093"/>
    <w:rsid w:val="009C0EA3"/>
    <w:rsid w:val="009C1C89"/>
    <w:rsid w:val="009C725A"/>
    <w:rsid w:val="009D2D92"/>
    <w:rsid w:val="009D458F"/>
    <w:rsid w:val="009D5DAE"/>
    <w:rsid w:val="009E20ED"/>
    <w:rsid w:val="009E56B6"/>
    <w:rsid w:val="009F5CCC"/>
    <w:rsid w:val="009F6401"/>
    <w:rsid w:val="009F6E4F"/>
    <w:rsid w:val="00A00222"/>
    <w:rsid w:val="00A007D7"/>
    <w:rsid w:val="00A04452"/>
    <w:rsid w:val="00A045F2"/>
    <w:rsid w:val="00A072C7"/>
    <w:rsid w:val="00A1717C"/>
    <w:rsid w:val="00A3171D"/>
    <w:rsid w:val="00A3746D"/>
    <w:rsid w:val="00A43EE8"/>
    <w:rsid w:val="00A47061"/>
    <w:rsid w:val="00A47332"/>
    <w:rsid w:val="00A511B9"/>
    <w:rsid w:val="00A60E19"/>
    <w:rsid w:val="00A6389D"/>
    <w:rsid w:val="00A64345"/>
    <w:rsid w:val="00A648A3"/>
    <w:rsid w:val="00A6589E"/>
    <w:rsid w:val="00A67806"/>
    <w:rsid w:val="00A74A64"/>
    <w:rsid w:val="00A84C79"/>
    <w:rsid w:val="00A85FE7"/>
    <w:rsid w:val="00A9019C"/>
    <w:rsid w:val="00A90985"/>
    <w:rsid w:val="00A91C82"/>
    <w:rsid w:val="00A9424A"/>
    <w:rsid w:val="00AA398D"/>
    <w:rsid w:val="00AA5B9A"/>
    <w:rsid w:val="00AA752E"/>
    <w:rsid w:val="00AB0600"/>
    <w:rsid w:val="00AB42A2"/>
    <w:rsid w:val="00AB452C"/>
    <w:rsid w:val="00AD54C9"/>
    <w:rsid w:val="00AE40BA"/>
    <w:rsid w:val="00AE50E3"/>
    <w:rsid w:val="00AE7555"/>
    <w:rsid w:val="00AE7563"/>
    <w:rsid w:val="00AF2A84"/>
    <w:rsid w:val="00AF39BF"/>
    <w:rsid w:val="00B04177"/>
    <w:rsid w:val="00B10BFA"/>
    <w:rsid w:val="00B13F63"/>
    <w:rsid w:val="00B2058A"/>
    <w:rsid w:val="00B2071A"/>
    <w:rsid w:val="00B233A6"/>
    <w:rsid w:val="00B237E9"/>
    <w:rsid w:val="00B26AF2"/>
    <w:rsid w:val="00B30F63"/>
    <w:rsid w:val="00B30F8B"/>
    <w:rsid w:val="00B3297C"/>
    <w:rsid w:val="00B33D5A"/>
    <w:rsid w:val="00B3439F"/>
    <w:rsid w:val="00B36E23"/>
    <w:rsid w:val="00B37227"/>
    <w:rsid w:val="00B40119"/>
    <w:rsid w:val="00B440D2"/>
    <w:rsid w:val="00B52286"/>
    <w:rsid w:val="00B522F8"/>
    <w:rsid w:val="00B5425B"/>
    <w:rsid w:val="00B542FC"/>
    <w:rsid w:val="00B5679B"/>
    <w:rsid w:val="00B56F80"/>
    <w:rsid w:val="00B61F32"/>
    <w:rsid w:val="00B67E53"/>
    <w:rsid w:val="00B73828"/>
    <w:rsid w:val="00B80213"/>
    <w:rsid w:val="00B93683"/>
    <w:rsid w:val="00B939F2"/>
    <w:rsid w:val="00B94341"/>
    <w:rsid w:val="00B94463"/>
    <w:rsid w:val="00B96763"/>
    <w:rsid w:val="00B97339"/>
    <w:rsid w:val="00BA60F8"/>
    <w:rsid w:val="00BA7316"/>
    <w:rsid w:val="00BB2925"/>
    <w:rsid w:val="00BB3167"/>
    <w:rsid w:val="00BB5A6D"/>
    <w:rsid w:val="00BC17DF"/>
    <w:rsid w:val="00BC66ED"/>
    <w:rsid w:val="00BD46B6"/>
    <w:rsid w:val="00BD4C01"/>
    <w:rsid w:val="00BE02E9"/>
    <w:rsid w:val="00BE2FE2"/>
    <w:rsid w:val="00BE34FF"/>
    <w:rsid w:val="00BE4CD2"/>
    <w:rsid w:val="00BE6CFD"/>
    <w:rsid w:val="00BE7EF7"/>
    <w:rsid w:val="00C03007"/>
    <w:rsid w:val="00C04FD3"/>
    <w:rsid w:val="00C068EA"/>
    <w:rsid w:val="00C117CC"/>
    <w:rsid w:val="00C15C3B"/>
    <w:rsid w:val="00C17B8E"/>
    <w:rsid w:val="00C22979"/>
    <w:rsid w:val="00C242DC"/>
    <w:rsid w:val="00C25FA0"/>
    <w:rsid w:val="00C32332"/>
    <w:rsid w:val="00C33629"/>
    <w:rsid w:val="00C342AF"/>
    <w:rsid w:val="00C35BED"/>
    <w:rsid w:val="00C36EA3"/>
    <w:rsid w:val="00C4297B"/>
    <w:rsid w:val="00C44789"/>
    <w:rsid w:val="00C46515"/>
    <w:rsid w:val="00C54DBC"/>
    <w:rsid w:val="00C72B71"/>
    <w:rsid w:val="00C72F3E"/>
    <w:rsid w:val="00C738BD"/>
    <w:rsid w:val="00C73B45"/>
    <w:rsid w:val="00C740F1"/>
    <w:rsid w:val="00C75C8E"/>
    <w:rsid w:val="00C75E57"/>
    <w:rsid w:val="00C81138"/>
    <w:rsid w:val="00C863F4"/>
    <w:rsid w:val="00C90F46"/>
    <w:rsid w:val="00C91405"/>
    <w:rsid w:val="00C9244F"/>
    <w:rsid w:val="00C962EC"/>
    <w:rsid w:val="00C96E3C"/>
    <w:rsid w:val="00CA1D81"/>
    <w:rsid w:val="00CA2A4D"/>
    <w:rsid w:val="00CA5F71"/>
    <w:rsid w:val="00CB035E"/>
    <w:rsid w:val="00CB1098"/>
    <w:rsid w:val="00CB7997"/>
    <w:rsid w:val="00CB7A61"/>
    <w:rsid w:val="00CB7B99"/>
    <w:rsid w:val="00CC2F4F"/>
    <w:rsid w:val="00CC3078"/>
    <w:rsid w:val="00CC60C7"/>
    <w:rsid w:val="00CD3706"/>
    <w:rsid w:val="00CD58D9"/>
    <w:rsid w:val="00CD63FD"/>
    <w:rsid w:val="00CE00AA"/>
    <w:rsid w:val="00CE1920"/>
    <w:rsid w:val="00CE1FC9"/>
    <w:rsid w:val="00CE5732"/>
    <w:rsid w:val="00CF04BF"/>
    <w:rsid w:val="00CF07EF"/>
    <w:rsid w:val="00CF555E"/>
    <w:rsid w:val="00CF6276"/>
    <w:rsid w:val="00CF7FAF"/>
    <w:rsid w:val="00D0079E"/>
    <w:rsid w:val="00D0141E"/>
    <w:rsid w:val="00D0659F"/>
    <w:rsid w:val="00D10E2B"/>
    <w:rsid w:val="00D124CC"/>
    <w:rsid w:val="00D23E15"/>
    <w:rsid w:val="00D263D9"/>
    <w:rsid w:val="00D26AF2"/>
    <w:rsid w:val="00D35F25"/>
    <w:rsid w:val="00D36304"/>
    <w:rsid w:val="00D4033D"/>
    <w:rsid w:val="00D4119F"/>
    <w:rsid w:val="00D41291"/>
    <w:rsid w:val="00D43D5C"/>
    <w:rsid w:val="00D4449D"/>
    <w:rsid w:val="00D47AFA"/>
    <w:rsid w:val="00D516A7"/>
    <w:rsid w:val="00D52FC9"/>
    <w:rsid w:val="00D56159"/>
    <w:rsid w:val="00D65101"/>
    <w:rsid w:val="00D661C3"/>
    <w:rsid w:val="00D66395"/>
    <w:rsid w:val="00D709A5"/>
    <w:rsid w:val="00D70F10"/>
    <w:rsid w:val="00D75F8C"/>
    <w:rsid w:val="00D84946"/>
    <w:rsid w:val="00D856CF"/>
    <w:rsid w:val="00D86073"/>
    <w:rsid w:val="00D8734F"/>
    <w:rsid w:val="00D919F4"/>
    <w:rsid w:val="00D921DB"/>
    <w:rsid w:val="00D929A3"/>
    <w:rsid w:val="00D93D1C"/>
    <w:rsid w:val="00D97810"/>
    <w:rsid w:val="00DA29F8"/>
    <w:rsid w:val="00DA5F5E"/>
    <w:rsid w:val="00DB70A8"/>
    <w:rsid w:val="00DC0213"/>
    <w:rsid w:val="00DC03B4"/>
    <w:rsid w:val="00DC3A12"/>
    <w:rsid w:val="00DD06C9"/>
    <w:rsid w:val="00DD2EDA"/>
    <w:rsid w:val="00DD37FE"/>
    <w:rsid w:val="00DD4AE4"/>
    <w:rsid w:val="00DD4DDD"/>
    <w:rsid w:val="00DE52A2"/>
    <w:rsid w:val="00DF0268"/>
    <w:rsid w:val="00DF3E54"/>
    <w:rsid w:val="00DF40ED"/>
    <w:rsid w:val="00E025D2"/>
    <w:rsid w:val="00E0287C"/>
    <w:rsid w:val="00E05085"/>
    <w:rsid w:val="00E139D0"/>
    <w:rsid w:val="00E17F13"/>
    <w:rsid w:val="00E226AE"/>
    <w:rsid w:val="00E30210"/>
    <w:rsid w:val="00E31BE6"/>
    <w:rsid w:val="00E41BB1"/>
    <w:rsid w:val="00E44727"/>
    <w:rsid w:val="00E4625F"/>
    <w:rsid w:val="00E50421"/>
    <w:rsid w:val="00E525B2"/>
    <w:rsid w:val="00E61811"/>
    <w:rsid w:val="00E61A84"/>
    <w:rsid w:val="00E62848"/>
    <w:rsid w:val="00E62861"/>
    <w:rsid w:val="00E63E6D"/>
    <w:rsid w:val="00E64DA5"/>
    <w:rsid w:val="00E75070"/>
    <w:rsid w:val="00E77621"/>
    <w:rsid w:val="00E848BC"/>
    <w:rsid w:val="00E86BA6"/>
    <w:rsid w:val="00E87269"/>
    <w:rsid w:val="00E9210D"/>
    <w:rsid w:val="00E92153"/>
    <w:rsid w:val="00E934C9"/>
    <w:rsid w:val="00EA4872"/>
    <w:rsid w:val="00EA7DAF"/>
    <w:rsid w:val="00EB148A"/>
    <w:rsid w:val="00EC0A50"/>
    <w:rsid w:val="00EC62DC"/>
    <w:rsid w:val="00ED2257"/>
    <w:rsid w:val="00ED278A"/>
    <w:rsid w:val="00ED2BAC"/>
    <w:rsid w:val="00ED57B1"/>
    <w:rsid w:val="00EE65F5"/>
    <w:rsid w:val="00EF77F6"/>
    <w:rsid w:val="00F046E1"/>
    <w:rsid w:val="00F06A4A"/>
    <w:rsid w:val="00F07CA6"/>
    <w:rsid w:val="00F07E97"/>
    <w:rsid w:val="00F11772"/>
    <w:rsid w:val="00F1192A"/>
    <w:rsid w:val="00F12ADF"/>
    <w:rsid w:val="00F15DFA"/>
    <w:rsid w:val="00F223DB"/>
    <w:rsid w:val="00F23CAF"/>
    <w:rsid w:val="00F269E2"/>
    <w:rsid w:val="00F3073D"/>
    <w:rsid w:val="00F33338"/>
    <w:rsid w:val="00F411E3"/>
    <w:rsid w:val="00F42F39"/>
    <w:rsid w:val="00F4303C"/>
    <w:rsid w:val="00F46AD6"/>
    <w:rsid w:val="00F51E34"/>
    <w:rsid w:val="00F529D8"/>
    <w:rsid w:val="00F54020"/>
    <w:rsid w:val="00F637CF"/>
    <w:rsid w:val="00F72565"/>
    <w:rsid w:val="00F72581"/>
    <w:rsid w:val="00F7326E"/>
    <w:rsid w:val="00F85B84"/>
    <w:rsid w:val="00F85BEC"/>
    <w:rsid w:val="00F9293D"/>
    <w:rsid w:val="00F92CA4"/>
    <w:rsid w:val="00F96D30"/>
    <w:rsid w:val="00FA5D0F"/>
    <w:rsid w:val="00FB535F"/>
    <w:rsid w:val="00FC06FC"/>
    <w:rsid w:val="00FC6A3E"/>
    <w:rsid w:val="00FD1A71"/>
    <w:rsid w:val="00FD47ED"/>
    <w:rsid w:val="00FD54BD"/>
    <w:rsid w:val="00FD5F9B"/>
    <w:rsid w:val="00FD77B6"/>
    <w:rsid w:val="00FE5CE2"/>
    <w:rsid w:val="00FE6E32"/>
    <w:rsid w:val="00FE76D3"/>
    <w:rsid w:val="00FF3B5F"/>
    <w:rsid w:val="00FF64C0"/>
    <w:rsid w:val="00FF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57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48"/>
  </w:style>
  <w:style w:type="paragraph" w:styleId="Footer">
    <w:name w:val="footer"/>
    <w:basedOn w:val="Normal"/>
    <w:link w:val="FooterChar"/>
    <w:uiPriority w:val="99"/>
    <w:unhideWhenUsed/>
    <w:rsid w:val="001B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48"/>
  </w:style>
  <w:style w:type="character" w:styleId="LineNumber">
    <w:name w:val="line number"/>
    <w:basedOn w:val="DefaultParagraphFont"/>
    <w:uiPriority w:val="99"/>
    <w:semiHidden/>
    <w:unhideWhenUsed/>
    <w:rsid w:val="001B0748"/>
  </w:style>
  <w:style w:type="paragraph" w:styleId="ListParagraph">
    <w:name w:val="List Paragraph"/>
    <w:aliases w:val="Footnote,Párrafo de lista1,List Paragraph1,Cuadrícula clara - Énfasis 31,Colorful List - Accent 11,List Paragraph2,Lista vistosa - Énfasis 11"/>
    <w:basedOn w:val="Normal"/>
    <w:link w:val="ListParagraphChar"/>
    <w:uiPriority w:val="34"/>
    <w:qFormat/>
    <w:rsid w:val="001B074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1B074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B0748"/>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1B0748"/>
    <w:rPr>
      <w:vertAlign w:val="superscript"/>
    </w:rPr>
  </w:style>
  <w:style w:type="character" w:styleId="Hyperlink">
    <w:name w:val="Hyperlink"/>
    <w:basedOn w:val="DefaultParagraphFont"/>
    <w:uiPriority w:val="99"/>
    <w:unhideWhenUsed/>
    <w:rsid w:val="001B0748"/>
    <w:rPr>
      <w:color w:val="0000FF" w:themeColor="hyperlink"/>
      <w:u w:val="single"/>
    </w:rPr>
  </w:style>
  <w:style w:type="character" w:styleId="Strong">
    <w:name w:val="Strong"/>
    <w:basedOn w:val="DefaultParagraphFont"/>
    <w:uiPriority w:val="22"/>
    <w:qFormat/>
    <w:rsid w:val="00E50421"/>
    <w:rPr>
      <w:b/>
      <w:bCs/>
    </w:rPr>
  </w:style>
  <w:style w:type="paragraph" w:styleId="BalloonText">
    <w:name w:val="Balloon Text"/>
    <w:basedOn w:val="Normal"/>
    <w:link w:val="BalloonTextChar"/>
    <w:uiPriority w:val="99"/>
    <w:semiHidden/>
    <w:unhideWhenUsed/>
    <w:rsid w:val="00AA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8D"/>
    <w:rPr>
      <w:rFonts w:ascii="Tahoma" w:hAnsi="Tahoma" w:cs="Tahoma"/>
      <w:sz w:val="16"/>
      <w:szCs w:val="16"/>
    </w:rPr>
  </w:style>
  <w:style w:type="character" w:styleId="CommentReference">
    <w:name w:val="annotation reference"/>
    <w:basedOn w:val="DefaultParagraphFont"/>
    <w:uiPriority w:val="99"/>
    <w:semiHidden/>
    <w:unhideWhenUsed/>
    <w:rsid w:val="00AA398D"/>
    <w:rPr>
      <w:sz w:val="16"/>
      <w:szCs w:val="16"/>
    </w:rPr>
  </w:style>
  <w:style w:type="paragraph" w:styleId="CommentText">
    <w:name w:val="annotation text"/>
    <w:basedOn w:val="Normal"/>
    <w:link w:val="CommentTextChar"/>
    <w:uiPriority w:val="99"/>
    <w:unhideWhenUsed/>
    <w:rsid w:val="00AA398D"/>
    <w:pPr>
      <w:spacing w:line="240" w:lineRule="auto"/>
    </w:pPr>
    <w:rPr>
      <w:sz w:val="20"/>
      <w:szCs w:val="20"/>
    </w:rPr>
  </w:style>
  <w:style w:type="character" w:customStyle="1" w:styleId="CommentTextChar">
    <w:name w:val="Comment Text Char"/>
    <w:basedOn w:val="DefaultParagraphFont"/>
    <w:link w:val="CommentText"/>
    <w:uiPriority w:val="99"/>
    <w:rsid w:val="00AA398D"/>
    <w:rPr>
      <w:sz w:val="20"/>
      <w:szCs w:val="20"/>
    </w:rPr>
  </w:style>
  <w:style w:type="paragraph" w:styleId="CommentSubject">
    <w:name w:val="annotation subject"/>
    <w:basedOn w:val="CommentText"/>
    <w:next w:val="CommentText"/>
    <w:link w:val="CommentSubjectChar"/>
    <w:uiPriority w:val="99"/>
    <w:semiHidden/>
    <w:unhideWhenUsed/>
    <w:rsid w:val="00AA398D"/>
    <w:rPr>
      <w:b/>
      <w:bCs/>
    </w:rPr>
  </w:style>
  <w:style w:type="character" w:customStyle="1" w:styleId="CommentSubjectChar">
    <w:name w:val="Comment Subject Char"/>
    <w:basedOn w:val="CommentTextChar"/>
    <w:link w:val="CommentSubject"/>
    <w:uiPriority w:val="99"/>
    <w:semiHidden/>
    <w:rsid w:val="00AA398D"/>
    <w:rPr>
      <w:b/>
      <w:bCs/>
      <w:sz w:val="20"/>
      <w:szCs w:val="20"/>
    </w:rPr>
  </w:style>
  <w:style w:type="paragraph" w:styleId="Revision">
    <w:name w:val="Revision"/>
    <w:hidden/>
    <w:uiPriority w:val="99"/>
    <w:semiHidden/>
    <w:rsid w:val="00AA398D"/>
    <w:pPr>
      <w:spacing w:after="0" w:line="240" w:lineRule="auto"/>
    </w:pPr>
  </w:style>
  <w:style w:type="character" w:styleId="FollowedHyperlink">
    <w:name w:val="FollowedHyperlink"/>
    <w:basedOn w:val="DefaultParagraphFont"/>
    <w:uiPriority w:val="99"/>
    <w:semiHidden/>
    <w:unhideWhenUsed/>
    <w:rsid w:val="006054B7"/>
    <w:rPr>
      <w:color w:val="800080" w:themeColor="followedHyperlink"/>
      <w:u w:val="single"/>
    </w:rPr>
  </w:style>
  <w:style w:type="character" w:customStyle="1" w:styleId="Heading1Char">
    <w:name w:val="Heading 1 Char"/>
    <w:basedOn w:val="DefaultParagraphFont"/>
    <w:link w:val="Heading1"/>
    <w:uiPriority w:val="9"/>
    <w:rsid w:val="00AF2A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2A84"/>
    <w:pPr>
      <w:outlineLvl w:val="9"/>
    </w:pPr>
    <w:rPr>
      <w:lang w:eastAsia="ja-JP"/>
    </w:rPr>
  </w:style>
  <w:style w:type="paragraph" w:styleId="TOC1">
    <w:name w:val="toc 1"/>
    <w:basedOn w:val="Normal"/>
    <w:next w:val="Normal"/>
    <w:autoRedefine/>
    <w:uiPriority w:val="39"/>
    <w:unhideWhenUsed/>
    <w:rsid w:val="00AF2A84"/>
    <w:pPr>
      <w:tabs>
        <w:tab w:val="left" w:pos="993"/>
      </w:tabs>
      <w:spacing w:after="100"/>
      <w:ind w:left="567" w:right="713"/>
    </w:pPr>
  </w:style>
  <w:style w:type="character" w:customStyle="1" w:styleId="apple-style-span">
    <w:name w:val="apple-style-span"/>
    <w:basedOn w:val="DefaultParagraphFont"/>
    <w:rsid w:val="003C4549"/>
  </w:style>
  <w:style w:type="character" w:customStyle="1" w:styleId="ListParagraphChar">
    <w:name w:val="List Paragraph Char"/>
    <w:aliases w:val="Footnote Char,Párrafo de lista1 Char,List Paragraph1 Char,Cuadrícula clara - Énfasis 31 Char,Colorful List - Accent 11 Char,List Paragraph2 Char,Lista vistosa - Énfasis 11 Char"/>
    <w:link w:val="ListParagraph"/>
    <w:uiPriority w:val="34"/>
    <w:locked/>
    <w:rsid w:val="00BE4CD2"/>
  </w:style>
  <w:style w:type="paragraph" w:customStyle="1" w:styleId="Default">
    <w:name w:val="Default"/>
    <w:rsid w:val="009A1F73"/>
    <w:pPr>
      <w:autoSpaceDE w:val="0"/>
      <w:autoSpaceDN w:val="0"/>
      <w:adjustRightInd w:val="0"/>
      <w:spacing w:after="0" w:line="240" w:lineRule="auto"/>
    </w:pPr>
    <w:rPr>
      <w:rFonts w:ascii="Verdana" w:hAnsi="Verdana" w:cs="Verdana"/>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A52B1"/>
    <w:pPr>
      <w:spacing w:after="0" w:line="240" w:lineRule="auto"/>
      <w:jc w:val="both"/>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F2A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748"/>
  </w:style>
  <w:style w:type="paragraph" w:styleId="Footer">
    <w:name w:val="footer"/>
    <w:basedOn w:val="Normal"/>
    <w:link w:val="FooterChar"/>
    <w:uiPriority w:val="99"/>
    <w:unhideWhenUsed/>
    <w:rsid w:val="001B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748"/>
  </w:style>
  <w:style w:type="character" w:styleId="LineNumber">
    <w:name w:val="line number"/>
    <w:basedOn w:val="DefaultParagraphFont"/>
    <w:uiPriority w:val="99"/>
    <w:semiHidden/>
    <w:unhideWhenUsed/>
    <w:rsid w:val="001B0748"/>
  </w:style>
  <w:style w:type="paragraph" w:styleId="ListParagraph">
    <w:name w:val="List Paragraph"/>
    <w:aliases w:val="Footnote,Párrafo de lista1,List Paragraph1,Cuadrícula clara - Énfasis 31,Colorful List - Accent 11,List Paragraph2,Lista vistosa - Énfasis 11"/>
    <w:basedOn w:val="Normal"/>
    <w:link w:val="ListParagraphChar"/>
    <w:uiPriority w:val="34"/>
    <w:qFormat/>
    <w:rsid w:val="001B0748"/>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FootnoteTextChar"/>
    <w:unhideWhenUsed/>
    <w:qFormat/>
    <w:rsid w:val="001B0748"/>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C Char"/>
    <w:basedOn w:val="DefaultParagraphFont"/>
    <w:link w:val="FootnoteText"/>
    <w:rsid w:val="001B0748"/>
    <w:rPr>
      <w:sz w:val="20"/>
      <w:szCs w:val="20"/>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link w:val="4GChar"/>
    <w:uiPriority w:val="99"/>
    <w:unhideWhenUsed/>
    <w:qFormat/>
    <w:rsid w:val="001B0748"/>
    <w:rPr>
      <w:vertAlign w:val="superscript"/>
    </w:rPr>
  </w:style>
  <w:style w:type="character" w:styleId="Hyperlink">
    <w:name w:val="Hyperlink"/>
    <w:basedOn w:val="DefaultParagraphFont"/>
    <w:uiPriority w:val="99"/>
    <w:unhideWhenUsed/>
    <w:rsid w:val="001B0748"/>
    <w:rPr>
      <w:color w:val="0000FF" w:themeColor="hyperlink"/>
      <w:u w:val="single"/>
    </w:rPr>
  </w:style>
  <w:style w:type="character" w:styleId="Strong">
    <w:name w:val="Strong"/>
    <w:basedOn w:val="DefaultParagraphFont"/>
    <w:uiPriority w:val="22"/>
    <w:qFormat/>
    <w:rsid w:val="00E50421"/>
    <w:rPr>
      <w:b/>
      <w:bCs/>
    </w:rPr>
  </w:style>
  <w:style w:type="paragraph" w:styleId="BalloonText">
    <w:name w:val="Balloon Text"/>
    <w:basedOn w:val="Normal"/>
    <w:link w:val="BalloonTextChar"/>
    <w:uiPriority w:val="99"/>
    <w:semiHidden/>
    <w:unhideWhenUsed/>
    <w:rsid w:val="00AA39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98D"/>
    <w:rPr>
      <w:rFonts w:ascii="Tahoma" w:hAnsi="Tahoma" w:cs="Tahoma"/>
      <w:sz w:val="16"/>
      <w:szCs w:val="16"/>
    </w:rPr>
  </w:style>
  <w:style w:type="character" w:styleId="CommentReference">
    <w:name w:val="annotation reference"/>
    <w:basedOn w:val="DefaultParagraphFont"/>
    <w:uiPriority w:val="99"/>
    <w:semiHidden/>
    <w:unhideWhenUsed/>
    <w:rsid w:val="00AA398D"/>
    <w:rPr>
      <w:sz w:val="16"/>
      <w:szCs w:val="16"/>
    </w:rPr>
  </w:style>
  <w:style w:type="paragraph" w:styleId="CommentText">
    <w:name w:val="annotation text"/>
    <w:basedOn w:val="Normal"/>
    <w:link w:val="CommentTextChar"/>
    <w:uiPriority w:val="99"/>
    <w:unhideWhenUsed/>
    <w:rsid w:val="00AA398D"/>
    <w:pPr>
      <w:spacing w:line="240" w:lineRule="auto"/>
    </w:pPr>
    <w:rPr>
      <w:sz w:val="20"/>
      <w:szCs w:val="20"/>
    </w:rPr>
  </w:style>
  <w:style w:type="character" w:customStyle="1" w:styleId="CommentTextChar">
    <w:name w:val="Comment Text Char"/>
    <w:basedOn w:val="DefaultParagraphFont"/>
    <w:link w:val="CommentText"/>
    <w:uiPriority w:val="99"/>
    <w:rsid w:val="00AA398D"/>
    <w:rPr>
      <w:sz w:val="20"/>
      <w:szCs w:val="20"/>
    </w:rPr>
  </w:style>
  <w:style w:type="paragraph" w:styleId="CommentSubject">
    <w:name w:val="annotation subject"/>
    <w:basedOn w:val="CommentText"/>
    <w:next w:val="CommentText"/>
    <w:link w:val="CommentSubjectChar"/>
    <w:uiPriority w:val="99"/>
    <w:semiHidden/>
    <w:unhideWhenUsed/>
    <w:rsid w:val="00AA398D"/>
    <w:rPr>
      <w:b/>
      <w:bCs/>
    </w:rPr>
  </w:style>
  <w:style w:type="character" w:customStyle="1" w:styleId="CommentSubjectChar">
    <w:name w:val="Comment Subject Char"/>
    <w:basedOn w:val="CommentTextChar"/>
    <w:link w:val="CommentSubject"/>
    <w:uiPriority w:val="99"/>
    <w:semiHidden/>
    <w:rsid w:val="00AA398D"/>
    <w:rPr>
      <w:b/>
      <w:bCs/>
      <w:sz w:val="20"/>
      <w:szCs w:val="20"/>
    </w:rPr>
  </w:style>
  <w:style w:type="paragraph" w:styleId="Revision">
    <w:name w:val="Revision"/>
    <w:hidden/>
    <w:uiPriority w:val="99"/>
    <w:semiHidden/>
    <w:rsid w:val="00AA398D"/>
    <w:pPr>
      <w:spacing w:after="0" w:line="240" w:lineRule="auto"/>
    </w:pPr>
  </w:style>
  <w:style w:type="character" w:styleId="FollowedHyperlink">
    <w:name w:val="FollowedHyperlink"/>
    <w:basedOn w:val="DefaultParagraphFont"/>
    <w:uiPriority w:val="99"/>
    <w:semiHidden/>
    <w:unhideWhenUsed/>
    <w:rsid w:val="006054B7"/>
    <w:rPr>
      <w:color w:val="800080" w:themeColor="followedHyperlink"/>
      <w:u w:val="single"/>
    </w:rPr>
  </w:style>
  <w:style w:type="character" w:customStyle="1" w:styleId="Heading1Char">
    <w:name w:val="Heading 1 Char"/>
    <w:basedOn w:val="DefaultParagraphFont"/>
    <w:link w:val="Heading1"/>
    <w:uiPriority w:val="9"/>
    <w:rsid w:val="00AF2A8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AF2A84"/>
    <w:pPr>
      <w:outlineLvl w:val="9"/>
    </w:pPr>
    <w:rPr>
      <w:lang w:eastAsia="ja-JP"/>
    </w:rPr>
  </w:style>
  <w:style w:type="paragraph" w:styleId="TOC1">
    <w:name w:val="toc 1"/>
    <w:basedOn w:val="Normal"/>
    <w:next w:val="Normal"/>
    <w:autoRedefine/>
    <w:uiPriority w:val="39"/>
    <w:unhideWhenUsed/>
    <w:rsid w:val="00AF2A84"/>
    <w:pPr>
      <w:tabs>
        <w:tab w:val="left" w:pos="993"/>
      </w:tabs>
      <w:spacing w:after="100"/>
      <w:ind w:left="567" w:right="713"/>
    </w:pPr>
  </w:style>
  <w:style w:type="character" w:customStyle="1" w:styleId="apple-style-span">
    <w:name w:val="apple-style-span"/>
    <w:basedOn w:val="DefaultParagraphFont"/>
    <w:rsid w:val="003C4549"/>
  </w:style>
  <w:style w:type="character" w:customStyle="1" w:styleId="ListParagraphChar">
    <w:name w:val="List Paragraph Char"/>
    <w:aliases w:val="Footnote Char,Párrafo de lista1 Char,List Paragraph1 Char,Cuadrícula clara - Énfasis 31 Char,Colorful List - Accent 11 Char,List Paragraph2 Char,Lista vistosa - Énfasis 11 Char"/>
    <w:link w:val="ListParagraph"/>
    <w:uiPriority w:val="34"/>
    <w:locked/>
    <w:rsid w:val="00BE4CD2"/>
  </w:style>
  <w:style w:type="paragraph" w:customStyle="1" w:styleId="Default">
    <w:name w:val="Default"/>
    <w:rsid w:val="009A1F73"/>
    <w:pPr>
      <w:autoSpaceDE w:val="0"/>
      <w:autoSpaceDN w:val="0"/>
      <w:adjustRightInd w:val="0"/>
      <w:spacing w:after="0" w:line="240" w:lineRule="auto"/>
    </w:pPr>
    <w:rPr>
      <w:rFonts w:ascii="Verdana" w:hAnsi="Verdana" w:cs="Verdana"/>
      <w:color w:val="000000"/>
      <w:sz w:val="24"/>
      <w:szCs w:val="24"/>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6A52B1"/>
    <w:pPr>
      <w:spacing w:after="0" w:line="240" w:lineRule="auto"/>
      <w:jc w:val="both"/>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021">
      <w:bodyDiv w:val="1"/>
      <w:marLeft w:val="0"/>
      <w:marRight w:val="0"/>
      <w:marTop w:val="0"/>
      <w:marBottom w:val="0"/>
      <w:divBdr>
        <w:top w:val="none" w:sz="0" w:space="0" w:color="auto"/>
        <w:left w:val="none" w:sz="0" w:space="0" w:color="auto"/>
        <w:bottom w:val="none" w:sz="0" w:space="0" w:color="auto"/>
        <w:right w:val="none" w:sz="0" w:space="0" w:color="auto"/>
      </w:divBdr>
    </w:div>
    <w:div w:id="99568591">
      <w:bodyDiv w:val="1"/>
      <w:marLeft w:val="0"/>
      <w:marRight w:val="0"/>
      <w:marTop w:val="0"/>
      <w:marBottom w:val="0"/>
      <w:divBdr>
        <w:top w:val="none" w:sz="0" w:space="0" w:color="auto"/>
        <w:left w:val="none" w:sz="0" w:space="0" w:color="auto"/>
        <w:bottom w:val="none" w:sz="0" w:space="0" w:color="auto"/>
        <w:right w:val="none" w:sz="0" w:space="0" w:color="auto"/>
      </w:divBdr>
    </w:div>
    <w:div w:id="118112584">
      <w:bodyDiv w:val="1"/>
      <w:marLeft w:val="0"/>
      <w:marRight w:val="0"/>
      <w:marTop w:val="0"/>
      <w:marBottom w:val="0"/>
      <w:divBdr>
        <w:top w:val="none" w:sz="0" w:space="0" w:color="auto"/>
        <w:left w:val="none" w:sz="0" w:space="0" w:color="auto"/>
        <w:bottom w:val="none" w:sz="0" w:space="0" w:color="auto"/>
        <w:right w:val="none" w:sz="0" w:space="0" w:color="auto"/>
      </w:divBdr>
    </w:div>
    <w:div w:id="244069374">
      <w:bodyDiv w:val="1"/>
      <w:marLeft w:val="0"/>
      <w:marRight w:val="0"/>
      <w:marTop w:val="0"/>
      <w:marBottom w:val="0"/>
      <w:divBdr>
        <w:top w:val="none" w:sz="0" w:space="0" w:color="auto"/>
        <w:left w:val="none" w:sz="0" w:space="0" w:color="auto"/>
        <w:bottom w:val="none" w:sz="0" w:space="0" w:color="auto"/>
        <w:right w:val="none" w:sz="0" w:space="0" w:color="auto"/>
      </w:divBdr>
    </w:div>
    <w:div w:id="495924289">
      <w:bodyDiv w:val="1"/>
      <w:marLeft w:val="0"/>
      <w:marRight w:val="0"/>
      <w:marTop w:val="0"/>
      <w:marBottom w:val="0"/>
      <w:divBdr>
        <w:top w:val="none" w:sz="0" w:space="0" w:color="auto"/>
        <w:left w:val="none" w:sz="0" w:space="0" w:color="auto"/>
        <w:bottom w:val="none" w:sz="0" w:space="0" w:color="auto"/>
        <w:right w:val="none" w:sz="0" w:space="0" w:color="auto"/>
      </w:divBdr>
    </w:div>
    <w:div w:id="936056372">
      <w:bodyDiv w:val="1"/>
      <w:marLeft w:val="0"/>
      <w:marRight w:val="0"/>
      <w:marTop w:val="0"/>
      <w:marBottom w:val="0"/>
      <w:divBdr>
        <w:top w:val="none" w:sz="0" w:space="0" w:color="auto"/>
        <w:left w:val="none" w:sz="0" w:space="0" w:color="auto"/>
        <w:bottom w:val="none" w:sz="0" w:space="0" w:color="auto"/>
        <w:right w:val="none" w:sz="0" w:space="0" w:color="auto"/>
      </w:divBdr>
    </w:div>
    <w:div w:id="1032925151">
      <w:bodyDiv w:val="1"/>
      <w:marLeft w:val="0"/>
      <w:marRight w:val="0"/>
      <w:marTop w:val="0"/>
      <w:marBottom w:val="0"/>
      <w:divBdr>
        <w:top w:val="none" w:sz="0" w:space="0" w:color="auto"/>
        <w:left w:val="none" w:sz="0" w:space="0" w:color="auto"/>
        <w:bottom w:val="none" w:sz="0" w:space="0" w:color="auto"/>
        <w:right w:val="none" w:sz="0" w:space="0" w:color="auto"/>
      </w:divBdr>
    </w:div>
    <w:div w:id="1150101521">
      <w:bodyDiv w:val="1"/>
      <w:marLeft w:val="0"/>
      <w:marRight w:val="0"/>
      <w:marTop w:val="0"/>
      <w:marBottom w:val="0"/>
      <w:divBdr>
        <w:top w:val="none" w:sz="0" w:space="0" w:color="auto"/>
        <w:left w:val="none" w:sz="0" w:space="0" w:color="auto"/>
        <w:bottom w:val="none" w:sz="0" w:space="0" w:color="auto"/>
        <w:right w:val="none" w:sz="0" w:space="0" w:color="auto"/>
      </w:divBdr>
    </w:div>
    <w:div w:id="1280797530">
      <w:bodyDiv w:val="1"/>
      <w:marLeft w:val="0"/>
      <w:marRight w:val="0"/>
      <w:marTop w:val="0"/>
      <w:marBottom w:val="0"/>
      <w:divBdr>
        <w:top w:val="none" w:sz="0" w:space="0" w:color="auto"/>
        <w:left w:val="none" w:sz="0" w:space="0" w:color="auto"/>
        <w:bottom w:val="none" w:sz="0" w:space="0" w:color="auto"/>
        <w:right w:val="none" w:sz="0" w:space="0" w:color="auto"/>
      </w:divBdr>
    </w:div>
    <w:div w:id="1548107449">
      <w:bodyDiv w:val="1"/>
      <w:marLeft w:val="0"/>
      <w:marRight w:val="0"/>
      <w:marTop w:val="0"/>
      <w:marBottom w:val="0"/>
      <w:divBdr>
        <w:top w:val="none" w:sz="0" w:space="0" w:color="auto"/>
        <w:left w:val="none" w:sz="0" w:space="0" w:color="auto"/>
        <w:bottom w:val="none" w:sz="0" w:space="0" w:color="auto"/>
        <w:right w:val="none" w:sz="0" w:space="0" w:color="auto"/>
      </w:divBdr>
    </w:div>
    <w:div w:id="1595430144">
      <w:bodyDiv w:val="1"/>
      <w:marLeft w:val="0"/>
      <w:marRight w:val="0"/>
      <w:marTop w:val="0"/>
      <w:marBottom w:val="0"/>
      <w:divBdr>
        <w:top w:val="none" w:sz="0" w:space="0" w:color="auto"/>
        <w:left w:val="none" w:sz="0" w:space="0" w:color="auto"/>
        <w:bottom w:val="none" w:sz="0" w:space="0" w:color="auto"/>
        <w:right w:val="none" w:sz="0" w:space="0" w:color="auto"/>
      </w:divBdr>
    </w:div>
    <w:div w:id="1642466377">
      <w:bodyDiv w:val="1"/>
      <w:marLeft w:val="0"/>
      <w:marRight w:val="0"/>
      <w:marTop w:val="0"/>
      <w:marBottom w:val="0"/>
      <w:divBdr>
        <w:top w:val="none" w:sz="0" w:space="0" w:color="auto"/>
        <w:left w:val="none" w:sz="0" w:space="0" w:color="auto"/>
        <w:bottom w:val="none" w:sz="0" w:space="0" w:color="auto"/>
        <w:right w:val="none" w:sz="0" w:space="0" w:color="auto"/>
      </w:divBdr>
    </w:div>
    <w:div w:id="2062053806">
      <w:bodyDiv w:val="1"/>
      <w:marLeft w:val="0"/>
      <w:marRight w:val="0"/>
      <w:marTop w:val="0"/>
      <w:marBottom w:val="0"/>
      <w:divBdr>
        <w:top w:val="none" w:sz="0" w:space="0" w:color="auto"/>
        <w:left w:val="none" w:sz="0" w:space="0" w:color="auto"/>
        <w:bottom w:val="none" w:sz="0" w:space="0" w:color="auto"/>
        <w:right w:val="none" w:sz="0" w:space="0" w:color="auto"/>
      </w:divBdr>
    </w:div>
    <w:div w:id="213956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corteidh.or.cr/docs/supervisiones/mozote_31_08_17.pdf" TargetMode="External"/><Relationship Id="rId2" Type="http://schemas.openxmlformats.org/officeDocument/2006/relationships/hyperlink" Target="http://www.corteidh.or.cr/docs/supervisiones/mozote_03_05_16.pdf" TargetMode="External"/><Relationship Id="rId1" Type="http://schemas.openxmlformats.org/officeDocument/2006/relationships/hyperlink" Target="http://corteidh.or.cr/docs/casos/articulos/seriec_252_esp.pdf" TargetMode="External"/><Relationship Id="rId6" Type="http://schemas.openxmlformats.org/officeDocument/2006/relationships/hyperlink" Target="https://vimeo.com/user75824120" TargetMode="External"/><Relationship Id="rId5" Type="http://schemas.openxmlformats.org/officeDocument/2006/relationships/hyperlink" Target="http://www.memoriaviva.sv/documentales/el-mozote-nunca-mas/" TargetMode="External"/><Relationship Id="rId4" Type="http://schemas.openxmlformats.org/officeDocument/2006/relationships/hyperlink" Target="http://www.corteidh.or.cr/docs/supervisiones/mozote_30_05_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220BA-9114-4B11-A75C-E45F8AA8D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10082</Words>
  <Characters>55454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65406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2018-12-21T22:41:00Z</cp:lastPrinted>
  <dcterms:created xsi:type="dcterms:W3CDTF">2018-12-21T22:41:00Z</dcterms:created>
  <dcterms:modified xsi:type="dcterms:W3CDTF">2018-12-21T22:42:00Z</dcterms:modified>
</cp:coreProperties>
</file>