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AF46A" w14:textId="77777777" w:rsidR="00DA29F8" w:rsidRDefault="00DA29F8" w:rsidP="001B0748">
      <w:pPr>
        <w:spacing w:after="0" w:line="240" w:lineRule="auto"/>
        <w:jc w:val="center"/>
        <w:rPr>
          <w:rFonts w:ascii="Verdana" w:hAnsi="Verdana"/>
          <w:b/>
          <w:sz w:val="20"/>
          <w:szCs w:val="20"/>
          <w:lang w:val="es-CR"/>
        </w:rPr>
      </w:pPr>
      <w:bookmarkStart w:id="0" w:name="_GoBack"/>
      <w:bookmarkEnd w:id="0"/>
    </w:p>
    <w:p w14:paraId="39FF678A" w14:textId="77777777" w:rsidR="00DA29F8" w:rsidRDefault="00DA29F8" w:rsidP="001B0748">
      <w:pPr>
        <w:spacing w:after="0" w:line="240" w:lineRule="auto"/>
        <w:jc w:val="center"/>
        <w:rPr>
          <w:rFonts w:ascii="Verdana" w:hAnsi="Verdana"/>
          <w:b/>
          <w:sz w:val="20"/>
          <w:szCs w:val="20"/>
          <w:lang w:val="es-CR"/>
        </w:rPr>
      </w:pPr>
    </w:p>
    <w:p w14:paraId="1633FB97" w14:textId="77777777" w:rsidR="00DA29F8" w:rsidRDefault="00DA29F8" w:rsidP="001B0748">
      <w:pPr>
        <w:spacing w:after="0" w:line="240" w:lineRule="auto"/>
        <w:jc w:val="center"/>
        <w:rPr>
          <w:rFonts w:ascii="Verdana" w:hAnsi="Verdana"/>
          <w:b/>
          <w:sz w:val="20"/>
          <w:szCs w:val="20"/>
          <w:lang w:val="es-CR"/>
        </w:rPr>
      </w:pPr>
    </w:p>
    <w:p w14:paraId="63479D41" w14:textId="77777777" w:rsidR="00DA29F8" w:rsidRDefault="00DA29F8" w:rsidP="001B0748">
      <w:pPr>
        <w:spacing w:after="0" w:line="240" w:lineRule="auto"/>
        <w:jc w:val="center"/>
        <w:rPr>
          <w:rFonts w:ascii="Verdana" w:hAnsi="Verdana"/>
          <w:b/>
          <w:sz w:val="20"/>
          <w:szCs w:val="20"/>
          <w:lang w:val="es-CR"/>
        </w:rPr>
      </w:pPr>
    </w:p>
    <w:p w14:paraId="4D68B8CE" w14:textId="77777777" w:rsidR="00DA29F8" w:rsidRDefault="00DA29F8" w:rsidP="001B0748">
      <w:pPr>
        <w:spacing w:after="0" w:line="240" w:lineRule="auto"/>
        <w:jc w:val="center"/>
        <w:rPr>
          <w:rFonts w:ascii="Verdana" w:hAnsi="Verdana"/>
          <w:b/>
          <w:sz w:val="20"/>
          <w:szCs w:val="20"/>
          <w:lang w:val="es-CR"/>
        </w:rPr>
      </w:pPr>
    </w:p>
    <w:p w14:paraId="458689C8" w14:textId="77777777" w:rsidR="00DA29F8" w:rsidRDefault="00DA29F8" w:rsidP="001B0748">
      <w:pPr>
        <w:spacing w:after="0" w:line="240" w:lineRule="auto"/>
        <w:jc w:val="center"/>
        <w:rPr>
          <w:rFonts w:ascii="Verdana" w:hAnsi="Verdana"/>
          <w:b/>
          <w:sz w:val="20"/>
          <w:szCs w:val="20"/>
          <w:lang w:val="es-CR"/>
        </w:rPr>
      </w:pPr>
    </w:p>
    <w:p w14:paraId="55609A6B" w14:textId="77777777" w:rsidR="00DA29F8" w:rsidRDefault="00DA29F8" w:rsidP="001B0748">
      <w:pPr>
        <w:spacing w:after="0" w:line="240" w:lineRule="auto"/>
        <w:jc w:val="center"/>
        <w:rPr>
          <w:rFonts w:ascii="Verdana" w:hAnsi="Verdana"/>
          <w:b/>
          <w:sz w:val="20"/>
          <w:szCs w:val="20"/>
          <w:lang w:val="es-CR"/>
        </w:rPr>
      </w:pPr>
    </w:p>
    <w:p w14:paraId="5DA5B214" w14:textId="77777777" w:rsidR="001B0748" w:rsidRPr="00E61811" w:rsidRDefault="001B0748" w:rsidP="001B0748">
      <w:pPr>
        <w:spacing w:after="0" w:line="240" w:lineRule="auto"/>
        <w:jc w:val="center"/>
        <w:rPr>
          <w:rFonts w:ascii="Verdana" w:hAnsi="Verdana"/>
          <w:b/>
          <w:sz w:val="20"/>
          <w:szCs w:val="20"/>
          <w:lang w:val="es-CR"/>
        </w:rPr>
      </w:pPr>
      <w:r w:rsidRPr="00E61811">
        <w:rPr>
          <w:rFonts w:ascii="Verdana" w:hAnsi="Verdana"/>
          <w:b/>
          <w:sz w:val="20"/>
          <w:szCs w:val="20"/>
          <w:lang w:val="es-CR"/>
        </w:rPr>
        <w:t>RESOLUCIÓN DE LA</w:t>
      </w:r>
    </w:p>
    <w:p w14:paraId="38ADA187" w14:textId="77777777" w:rsidR="001B0748" w:rsidRPr="00E61811" w:rsidRDefault="001B0748" w:rsidP="001B0748">
      <w:pPr>
        <w:spacing w:after="0" w:line="240" w:lineRule="auto"/>
        <w:jc w:val="center"/>
        <w:rPr>
          <w:rFonts w:ascii="Verdana" w:hAnsi="Verdana"/>
          <w:b/>
          <w:sz w:val="20"/>
          <w:szCs w:val="20"/>
          <w:lang w:val="es-CR"/>
        </w:rPr>
      </w:pPr>
    </w:p>
    <w:p w14:paraId="781A7FF9" w14:textId="77777777" w:rsidR="001B0748" w:rsidRPr="00E61811" w:rsidRDefault="001B0748" w:rsidP="001B0748">
      <w:pPr>
        <w:spacing w:after="0" w:line="240" w:lineRule="auto"/>
        <w:jc w:val="center"/>
        <w:rPr>
          <w:rFonts w:ascii="Verdana" w:hAnsi="Verdana"/>
          <w:b/>
          <w:sz w:val="20"/>
          <w:szCs w:val="20"/>
          <w:lang w:val="es-CR"/>
        </w:rPr>
      </w:pPr>
      <w:r w:rsidRPr="00E61811">
        <w:rPr>
          <w:rFonts w:ascii="Verdana" w:hAnsi="Verdana"/>
          <w:b/>
          <w:sz w:val="20"/>
          <w:szCs w:val="20"/>
          <w:lang w:val="es-CR"/>
        </w:rPr>
        <w:t>CORTE INTERAMERICANA DE DERECHOS HUMANOS</w:t>
      </w:r>
    </w:p>
    <w:p w14:paraId="2BAC5BAF" w14:textId="77777777" w:rsidR="001B0748" w:rsidRPr="00E61811" w:rsidRDefault="001B0748" w:rsidP="001B0748">
      <w:pPr>
        <w:spacing w:after="0" w:line="240" w:lineRule="auto"/>
        <w:jc w:val="center"/>
        <w:rPr>
          <w:rFonts w:ascii="Verdana" w:hAnsi="Verdana"/>
          <w:b/>
          <w:sz w:val="20"/>
          <w:szCs w:val="20"/>
          <w:lang w:val="es-CR"/>
        </w:rPr>
      </w:pPr>
    </w:p>
    <w:p w14:paraId="0E461587" w14:textId="14727F69" w:rsidR="001B0748" w:rsidRPr="00E61811" w:rsidRDefault="001B0748" w:rsidP="001B0748">
      <w:pPr>
        <w:spacing w:after="0" w:line="240" w:lineRule="auto"/>
        <w:jc w:val="center"/>
        <w:rPr>
          <w:rFonts w:ascii="Verdana" w:hAnsi="Verdana"/>
          <w:b/>
          <w:sz w:val="20"/>
          <w:szCs w:val="20"/>
          <w:lang w:val="es-CR"/>
        </w:rPr>
      </w:pPr>
      <w:r w:rsidRPr="00E61811">
        <w:rPr>
          <w:rFonts w:ascii="Verdana" w:hAnsi="Verdana"/>
          <w:b/>
          <w:sz w:val="20"/>
          <w:szCs w:val="20"/>
          <w:lang w:val="es-CR"/>
        </w:rPr>
        <w:t xml:space="preserve">DE </w:t>
      </w:r>
      <w:r w:rsidR="00222FF0">
        <w:rPr>
          <w:rFonts w:ascii="Verdana" w:hAnsi="Verdana"/>
          <w:b/>
          <w:sz w:val="20"/>
          <w:szCs w:val="20"/>
          <w:lang w:val="es-CR"/>
        </w:rPr>
        <w:t>31</w:t>
      </w:r>
      <w:r w:rsidRPr="00E61811">
        <w:rPr>
          <w:rFonts w:ascii="Verdana" w:hAnsi="Verdana"/>
          <w:b/>
          <w:sz w:val="20"/>
          <w:szCs w:val="20"/>
          <w:lang w:val="es-CR"/>
        </w:rPr>
        <w:t xml:space="preserve"> DE </w:t>
      </w:r>
      <w:r w:rsidR="00AA398D" w:rsidRPr="00E61811">
        <w:rPr>
          <w:rFonts w:ascii="Verdana" w:hAnsi="Verdana"/>
          <w:b/>
          <w:sz w:val="20"/>
          <w:szCs w:val="20"/>
          <w:lang w:val="es-CR"/>
        </w:rPr>
        <w:t xml:space="preserve">AGOSTO </w:t>
      </w:r>
      <w:r w:rsidRPr="00E61811">
        <w:rPr>
          <w:rFonts w:ascii="Verdana" w:hAnsi="Verdana"/>
          <w:b/>
          <w:sz w:val="20"/>
          <w:szCs w:val="20"/>
          <w:lang w:val="es-CR"/>
        </w:rPr>
        <w:t>DE 2017</w:t>
      </w:r>
    </w:p>
    <w:p w14:paraId="31B4A46D" w14:textId="77777777" w:rsidR="001B0748" w:rsidRPr="00E61811" w:rsidRDefault="001B0748" w:rsidP="001B0748">
      <w:pPr>
        <w:spacing w:after="0" w:line="240" w:lineRule="auto"/>
        <w:jc w:val="center"/>
        <w:rPr>
          <w:rFonts w:ascii="Verdana" w:hAnsi="Verdana"/>
          <w:b/>
          <w:sz w:val="20"/>
          <w:szCs w:val="20"/>
          <w:lang w:val="es-CR"/>
        </w:rPr>
      </w:pPr>
    </w:p>
    <w:p w14:paraId="7A14AEE7" w14:textId="77777777" w:rsidR="001B0748" w:rsidRPr="00E61811" w:rsidRDefault="001B0748" w:rsidP="001B0748">
      <w:pPr>
        <w:spacing w:after="0" w:line="240" w:lineRule="auto"/>
        <w:jc w:val="center"/>
        <w:rPr>
          <w:rFonts w:ascii="Verdana" w:hAnsi="Verdana"/>
          <w:b/>
          <w:sz w:val="20"/>
          <w:szCs w:val="20"/>
          <w:lang w:val="es-CR"/>
        </w:rPr>
      </w:pPr>
      <w:r w:rsidRPr="00E61811">
        <w:rPr>
          <w:rFonts w:ascii="Verdana" w:hAnsi="Verdana"/>
          <w:b/>
          <w:sz w:val="20"/>
          <w:szCs w:val="20"/>
          <w:lang w:val="es-CR"/>
        </w:rPr>
        <w:t>CASO MASACRES DE EL MOZOTE Y LUGARES ALEDAÑOS VS. EL SALVADOR</w:t>
      </w:r>
    </w:p>
    <w:p w14:paraId="0686D4CC" w14:textId="77777777" w:rsidR="001B0748" w:rsidRPr="00E61811" w:rsidRDefault="001B0748" w:rsidP="001B0748">
      <w:pPr>
        <w:spacing w:after="0" w:line="240" w:lineRule="auto"/>
        <w:jc w:val="center"/>
        <w:rPr>
          <w:rFonts w:ascii="Verdana" w:hAnsi="Verdana"/>
          <w:b/>
          <w:sz w:val="20"/>
          <w:szCs w:val="20"/>
          <w:lang w:val="es-CR"/>
        </w:rPr>
      </w:pPr>
    </w:p>
    <w:p w14:paraId="7D9E59C4" w14:textId="77777777" w:rsidR="001B0748" w:rsidRPr="00E61811" w:rsidRDefault="001B0748" w:rsidP="001B0748">
      <w:pPr>
        <w:spacing w:after="0" w:line="240" w:lineRule="auto"/>
        <w:jc w:val="center"/>
        <w:rPr>
          <w:rFonts w:ascii="Verdana" w:hAnsi="Verdana"/>
          <w:b/>
          <w:sz w:val="20"/>
          <w:szCs w:val="20"/>
          <w:lang w:val="es-CR"/>
        </w:rPr>
      </w:pPr>
      <w:r w:rsidRPr="00E61811">
        <w:rPr>
          <w:rFonts w:ascii="Verdana" w:hAnsi="Verdana"/>
          <w:b/>
          <w:sz w:val="20"/>
          <w:szCs w:val="20"/>
          <w:lang w:val="es-CR"/>
        </w:rPr>
        <w:t>SUPERVISIÓN DE CUMPLIMIENTO DE SENTENCIA</w:t>
      </w:r>
    </w:p>
    <w:p w14:paraId="3EE6B53B" w14:textId="77777777" w:rsidR="001B0748" w:rsidRPr="00E61811" w:rsidRDefault="001B0748" w:rsidP="001B0748">
      <w:pPr>
        <w:spacing w:after="0" w:line="240" w:lineRule="auto"/>
        <w:jc w:val="center"/>
        <w:rPr>
          <w:rFonts w:ascii="Verdana" w:hAnsi="Verdana"/>
          <w:b/>
          <w:sz w:val="20"/>
          <w:szCs w:val="20"/>
          <w:lang w:val="es-CR"/>
        </w:rPr>
      </w:pPr>
    </w:p>
    <w:p w14:paraId="33C36A2E" w14:textId="77777777" w:rsidR="001B0748" w:rsidRPr="00E61811" w:rsidRDefault="001B0748" w:rsidP="001B0748">
      <w:pPr>
        <w:spacing w:after="0" w:line="240" w:lineRule="auto"/>
        <w:rPr>
          <w:rFonts w:ascii="Verdana" w:hAnsi="Verdana"/>
          <w:b/>
          <w:sz w:val="20"/>
          <w:szCs w:val="20"/>
          <w:lang w:val="es-CR"/>
        </w:rPr>
      </w:pPr>
      <w:r w:rsidRPr="00E61811">
        <w:rPr>
          <w:rFonts w:ascii="Verdana" w:hAnsi="Verdana"/>
          <w:b/>
          <w:sz w:val="20"/>
          <w:szCs w:val="20"/>
          <w:lang w:val="es-CR"/>
        </w:rPr>
        <w:t>VISTO:</w:t>
      </w:r>
    </w:p>
    <w:p w14:paraId="6ACD4711" w14:textId="77777777" w:rsidR="00AA398D" w:rsidRPr="00E61811" w:rsidRDefault="00AA398D" w:rsidP="001B0748">
      <w:pPr>
        <w:spacing w:after="0" w:line="240" w:lineRule="auto"/>
        <w:rPr>
          <w:rFonts w:ascii="Verdana" w:hAnsi="Verdana"/>
          <w:b/>
          <w:sz w:val="20"/>
          <w:szCs w:val="20"/>
          <w:lang w:val="es-CR"/>
        </w:rPr>
      </w:pPr>
    </w:p>
    <w:p w14:paraId="602C47A4" w14:textId="01C5C6F7" w:rsidR="00C44789" w:rsidRPr="00E61811" w:rsidRDefault="001B0748" w:rsidP="00C44789">
      <w:pPr>
        <w:numPr>
          <w:ilvl w:val="0"/>
          <w:numId w:val="1"/>
        </w:numPr>
        <w:tabs>
          <w:tab w:val="left" w:pos="567"/>
        </w:tabs>
        <w:spacing w:after="0" w:line="240" w:lineRule="auto"/>
        <w:ind w:left="0" w:right="4" w:firstLine="0"/>
        <w:contextualSpacing/>
        <w:jc w:val="both"/>
        <w:rPr>
          <w:rFonts w:ascii="Verdana" w:hAnsi="Verdana"/>
          <w:noProof/>
          <w:sz w:val="20"/>
          <w:szCs w:val="20"/>
          <w:lang w:val="es-CR"/>
        </w:rPr>
      </w:pPr>
      <w:bookmarkStart w:id="1" w:name="_Ref492545318"/>
      <w:r w:rsidRPr="00E61811">
        <w:rPr>
          <w:rFonts w:ascii="Verdana" w:hAnsi="Verdana"/>
          <w:sz w:val="20"/>
          <w:szCs w:val="20"/>
          <w:lang w:val="es-CR"/>
        </w:rPr>
        <w:t xml:space="preserve">La Sentencia de </w:t>
      </w:r>
      <w:r w:rsidR="00246F59">
        <w:rPr>
          <w:rFonts w:ascii="Verdana" w:hAnsi="Verdana"/>
          <w:sz w:val="20"/>
          <w:szCs w:val="20"/>
          <w:lang w:val="es-CR"/>
        </w:rPr>
        <w:t>f</w:t>
      </w:r>
      <w:r w:rsidRPr="00E61811">
        <w:rPr>
          <w:rFonts w:ascii="Verdana" w:hAnsi="Verdana"/>
          <w:sz w:val="20"/>
          <w:szCs w:val="20"/>
          <w:lang w:val="es-CR"/>
        </w:rPr>
        <w:t xml:space="preserve">ondo, </w:t>
      </w:r>
      <w:r w:rsidR="00246F59">
        <w:rPr>
          <w:rFonts w:ascii="Verdana" w:hAnsi="Verdana"/>
          <w:sz w:val="20"/>
          <w:szCs w:val="20"/>
          <w:lang w:val="es-CR"/>
        </w:rPr>
        <w:t>r</w:t>
      </w:r>
      <w:r w:rsidRPr="00E61811">
        <w:rPr>
          <w:rFonts w:ascii="Verdana" w:hAnsi="Verdana"/>
          <w:sz w:val="20"/>
          <w:szCs w:val="20"/>
          <w:lang w:val="es-CR"/>
        </w:rPr>
        <w:t xml:space="preserve">eparaciones y </w:t>
      </w:r>
      <w:r w:rsidR="00246F59">
        <w:rPr>
          <w:rFonts w:ascii="Verdana" w:hAnsi="Verdana"/>
          <w:sz w:val="20"/>
          <w:szCs w:val="20"/>
          <w:lang w:val="es-CR"/>
        </w:rPr>
        <w:t>c</w:t>
      </w:r>
      <w:r w:rsidRPr="00E61811">
        <w:rPr>
          <w:rFonts w:ascii="Verdana" w:hAnsi="Verdana"/>
          <w:sz w:val="20"/>
          <w:szCs w:val="20"/>
          <w:lang w:val="es-CR"/>
        </w:rPr>
        <w:t xml:space="preserve">ostas (en adelante “la Sentencia”) </w:t>
      </w:r>
      <w:r w:rsidR="00246F59">
        <w:rPr>
          <w:rFonts w:ascii="Verdana" w:hAnsi="Verdana"/>
          <w:sz w:val="20"/>
          <w:szCs w:val="20"/>
          <w:lang w:val="es-CR"/>
        </w:rPr>
        <w:t xml:space="preserve">dictada </w:t>
      </w:r>
      <w:r w:rsidRPr="00E61811">
        <w:rPr>
          <w:rFonts w:ascii="Verdana" w:hAnsi="Verdana"/>
          <w:sz w:val="20"/>
          <w:szCs w:val="20"/>
          <w:lang w:val="es-CR"/>
        </w:rPr>
        <w:t>por la Corte Interamericana de Derechos Humanos (en adelante “la Corte Interamericana”, “la Corte” o “el Tribunal”)</w:t>
      </w:r>
      <w:r w:rsidR="00246F59">
        <w:rPr>
          <w:rFonts w:ascii="Verdana" w:hAnsi="Verdana"/>
          <w:sz w:val="20"/>
          <w:szCs w:val="20"/>
          <w:lang w:val="es-CR"/>
        </w:rPr>
        <w:t xml:space="preserve"> el 25 de octubre de 2012</w:t>
      </w:r>
      <w:r w:rsidRPr="00E61811">
        <w:rPr>
          <w:rStyle w:val="FootnoteReference"/>
          <w:rFonts w:ascii="Verdana" w:hAnsi="Verdana"/>
          <w:sz w:val="20"/>
          <w:szCs w:val="20"/>
          <w:lang w:val="es-CR"/>
        </w:rPr>
        <w:footnoteReference w:id="1"/>
      </w:r>
      <w:r w:rsidRPr="00E61811">
        <w:rPr>
          <w:rFonts w:ascii="Verdana" w:hAnsi="Verdana"/>
          <w:sz w:val="20"/>
          <w:szCs w:val="20"/>
          <w:lang w:val="es-CR"/>
        </w:rPr>
        <w:t xml:space="preserve">. </w:t>
      </w:r>
      <w:r w:rsidR="00C44789" w:rsidRPr="00E61811">
        <w:rPr>
          <w:rFonts w:ascii="Verdana" w:hAnsi="Verdana"/>
          <w:sz w:val="20"/>
          <w:szCs w:val="20"/>
          <w:lang w:val="es-CR"/>
        </w:rPr>
        <w:t>El caso se refirió a las violaciones a derechos humanos perpetradas por la Fuerza Armada salvadoreña en las masacres cometidas del 11 al 13 de diciembre de 1981 en el caserío de El Mozote y otros lugares aledaños, en el Departamento de Morazán, en el marco del conflicto armado</w:t>
      </w:r>
      <w:r w:rsidR="00DF40ED">
        <w:rPr>
          <w:rFonts w:ascii="Verdana" w:hAnsi="Verdana"/>
          <w:sz w:val="20"/>
          <w:szCs w:val="20"/>
          <w:lang w:val="es-CR"/>
        </w:rPr>
        <w:t xml:space="preserve"> interno</w:t>
      </w:r>
      <w:r w:rsidR="00C44789" w:rsidRPr="00E61811">
        <w:rPr>
          <w:rFonts w:ascii="Verdana" w:hAnsi="Verdana"/>
          <w:sz w:val="20"/>
          <w:szCs w:val="20"/>
          <w:lang w:val="es-CR"/>
        </w:rPr>
        <w:t xml:space="preserve"> salvadoreño.</w:t>
      </w:r>
      <w:r w:rsidR="00A00222">
        <w:rPr>
          <w:rFonts w:ascii="Verdana" w:hAnsi="Verdana"/>
          <w:sz w:val="20"/>
          <w:szCs w:val="20"/>
          <w:lang w:val="es-CR"/>
        </w:rPr>
        <w:t xml:space="preserve"> En dichas mas</w:t>
      </w:r>
      <w:r w:rsidR="00B93683">
        <w:rPr>
          <w:rFonts w:ascii="Verdana" w:hAnsi="Verdana"/>
          <w:sz w:val="20"/>
          <w:szCs w:val="20"/>
          <w:lang w:val="es-CR"/>
        </w:rPr>
        <w:t>acres murieron más de mil</w:t>
      </w:r>
      <w:r w:rsidR="00A00222">
        <w:rPr>
          <w:rFonts w:ascii="Verdana" w:hAnsi="Verdana"/>
          <w:sz w:val="20"/>
          <w:szCs w:val="20"/>
          <w:lang w:val="es-CR"/>
        </w:rPr>
        <w:t xml:space="preserve"> personas</w:t>
      </w:r>
      <w:r w:rsidR="00A00222">
        <w:rPr>
          <w:rStyle w:val="FootnoteReference"/>
          <w:rFonts w:ascii="Verdana" w:hAnsi="Verdana"/>
          <w:sz w:val="20"/>
          <w:szCs w:val="20"/>
          <w:lang w:val="es-CR"/>
        </w:rPr>
        <w:footnoteReference w:id="2"/>
      </w:r>
      <w:r w:rsidR="00B93683">
        <w:rPr>
          <w:rFonts w:ascii="Verdana" w:hAnsi="Verdana"/>
          <w:sz w:val="20"/>
          <w:szCs w:val="20"/>
          <w:lang w:val="es-CR"/>
        </w:rPr>
        <w:t>, en su mayoría niñas y niños.</w:t>
      </w:r>
      <w:r w:rsidR="00C44789" w:rsidRPr="00E61811">
        <w:rPr>
          <w:rFonts w:ascii="Verdana" w:hAnsi="Verdana"/>
          <w:sz w:val="20"/>
          <w:szCs w:val="20"/>
          <w:lang w:val="es-CR"/>
        </w:rPr>
        <w:t xml:space="preserve"> Igualmente, se refirió a la aprobación de una ley de amnistía y su posterior aplicación judicial a la investigación penal del presente caso de forma contraria a la obligación internacional del Estado de investigar graves violaciones a derechos humanos. </w:t>
      </w:r>
      <w:r w:rsidR="00C44789" w:rsidRPr="00E61811">
        <w:rPr>
          <w:rFonts w:ascii="Verdana" w:hAnsi="Verdana"/>
          <w:sz w:val="20"/>
          <w:szCs w:val="20"/>
          <w:lang w:val="es-MX"/>
        </w:rPr>
        <w:t xml:space="preserve">La Corte </w:t>
      </w:r>
      <w:r w:rsidR="00C44789" w:rsidRPr="00E61811">
        <w:rPr>
          <w:rFonts w:ascii="Verdana" w:hAnsi="Verdana"/>
          <w:sz w:val="20"/>
          <w:szCs w:val="20"/>
          <w:lang w:val="es-CR"/>
        </w:rPr>
        <w:t xml:space="preserve">declaró responsable </w:t>
      </w:r>
      <w:r w:rsidR="00C44789" w:rsidRPr="00E61811">
        <w:rPr>
          <w:rFonts w:ascii="Verdana" w:hAnsi="Verdana"/>
          <w:bCs/>
          <w:sz w:val="20"/>
          <w:szCs w:val="20"/>
          <w:lang w:val="es-MX"/>
        </w:rPr>
        <w:t>internacionalmente</w:t>
      </w:r>
      <w:r w:rsidR="00C44789" w:rsidRPr="00E61811">
        <w:rPr>
          <w:rFonts w:ascii="Verdana" w:hAnsi="Verdana"/>
          <w:sz w:val="20"/>
          <w:szCs w:val="20"/>
          <w:lang w:val="es-CR"/>
        </w:rPr>
        <w:t xml:space="preserve"> a la República de El Salvador (en adelante “el Estado” o “El Salvador”) </w:t>
      </w:r>
      <w:r w:rsidR="00C44789" w:rsidRPr="00E61811">
        <w:rPr>
          <w:rFonts w:ascii="Verdana" w:hAnsi="Verdana"/>
          <w:bCs/>
          <w:sz w:val="20"/>
          <w:szCs w:val="20"/>
          <w:lang w:val="es-MX"/>
        </w:rPr>
        <w:t>por la violación</w:t>
      </w:r>
      <w:r w:rsidR="00B93683">
        <w:rPr>
          <w:rFonts w:ascii="Verdana" w:hAnsi="Verdana"/>
          <w:bCs/>
          <w:sz w:val="20"/>
          <w:szCs w:val="20"/>
          <w:lang w:val="es-MX"/>
        </w:rPr>
        <w:t>, entre otros,</w:t>
      </w:r>
      <w:r w:rsidR="00C44789" w:rsidRPr="00E61811">
        <w:rPr>
          <w:rFonts w:ascii="Verdana" w:hAnsi="Verdana"/>
          <w:bCs/>
          <w:sz w:val="20"/>
          <w:szCs w:val="20"/>
          <w:lang w:val="es-MX"/>
        </w:rPr>
        <w:t xml:space="preserve"> de los derechos a la vida, a la integridad personal, </w:t>
      </w:r>
      <w:r w:rsidR="00C44789" w:rsidRPr="00E61811">
        <w:rPr>
          <w:rFonts w:ascii="Verdana" w:hAnsi="Verdana"/>
          <w:sz w:val="20"/>
          <w:szCs w:val="20"/>
          <w:lang w:val="es-CR"/>
        </w:rPr>
        <w:t xml:space="preserve">a la propiedad privada y a la libertad personal en perjuicio de víctimas ejecutadas; por la violación de la prohibición de la tortura y otros tratos crueles, inhumanos o  degradantes, así como por la violación del derecho a la vida privada, en perjuicio de las mujeres que fueron víctimas de violaciones sexuales en el caserío El Mozote; por la violación de los derechos a la integridad personal, a la vida privada y </w:t>
      </w:r>
      <w:r w:rsidR="00695B5C" w:rsidRPr="00E61811">
        <w:rPr>
          <w:rFonts w:ascii="Verdana" w:hAnsi="Verdana"/>
          <w:sz w:val="20"/>
          <w:szCs w:val="20"/>
          <w:lang w:val="es-CR"/>
        </w:rPr>
        <w:t>e</w:t>
      </w:r>
      <w:r w:rsidR="00C44789" w:rsidRPr="00E61811">
        <w:rPr>
          <w:rFonts w:ascii="Verdana" w:hAnsi="Verdana"/>
          <w:sz w:val="20"/>
          <w:szCs w:val="20"/>
          <w:lang w:val="es-CR"/>
        </w:rPr>
        <w:t xml:space="preserve">l domicilio, y a la propiedad privada en perjuicio de las víctimas sobrevivientes de las masacres; por la violación del derecho de circulación y de residencia, en perjuicio de personas que fueron forzadas a desplazarse dentro de El Salvador y hacia la República de Honduras; por la violación de los derechos a la integridad personal y a la propiedad privada en perjuicio de familiares de las víctimas ejecutadas; por la violación de los derechos a las garantías judiciales y a la protección judicial, así como por el incumplimiento de las obligaciones establecidas en los artículos 1, 6 y 8 de la Convención Interamericana para Prevenir y Sancionar la Tortura y 7.b de la Convención Interamericana para Prevenir, Sancionar y </w:t>
      </w:r>
      <w:r w:rsidR="00C44789" w:rsidRPr="00E61811">
        <w:rPr>
          <w:rFonts w:ascii="Verdana" w:hAnsi="Verdana"/>
          <w:sz w:val="20"/>
          <w:szCs w:val="20"/>
          <w:lang w:val="es-CR"/>
        </w:rPr>
        <w:lastRenderedPageBreak/>
        <w:t>Erradicar la Violencia contra la Mujer (“Convención de Belém do Pará”), en perjuicio de víctimas sobrevivientes de las masacres, así como de familiares de las víctimas ejecutadas. El Salvador efectuó una aceptación total de los hechos que configuraron las violaciones antes indicadas.</w:t>
      </w:r>
      <w:r w:rsidR="00C44789" w:rsidRPr="00E61811">
        <w:rPr>
          <w:rFonts w:ascii="Verdana" w:hAnsi="Verdana"/>
          <w:noProof/>
          <w:sz w:val="20"/>
          <w:szCs w:val="20"/>
          <w:lang w:val="es-CR"/>
        </w:rPr>
        <w:t xml:space="preserve"> </w:t>
      </w:r>
      <w:r w:rsidR="00C44789" w:rsidRPr="00E61811">
        <w:rPr>
          <w:rFonts w:ascii="Verdana" w:hAnsi="Verdana"/>
          <w:sz w:val="20"/>
          <w:szCs w:val="20"/>
          <w:lang w:val="es-CR"/>
        </w:rPr>
        <w:t xml:space="preserve">El Tribunal estableció que su Sentencia constituye </w:t>
      </w:r>
      <w:r w:rsidR="00AA398D" w:rsidRPr="00E61811">
        <w:rPr>
          <w:rFonts w:ascii="Verdana" w:hAnsi="Verdana"/>
          <w:sz w:val="20"/>
          <w:szCs w:val="20"/>
          <w:lang w:val="es-CR"/>
        </w:rPr>
        <w:t>por sí misma</w:t>
      </w:r>
      <w:r w:rsidR="00C44789" w:rsidRPr="00E61811">
        <w:rPr>
          <w:rFonts w:ascii="Verdana" w:hAnsi="Verdana"/>
          <w:sz w:val="20"/>
          <w:szCs w:val="20"/>
          <w:lang w:val="es-CR"/>
        </w:rPr>
        <w:t xml:space="preserve"> una forma de reparación y, adicionalmente, ordenó al Estado determinadas medidas de reparación (</w:t>
      </w:r>
      <w:r w:rsidR="00C44789" w:rsidRPr="00E61811">
        <w:rPr>
          <w:rFonts w:ascii="Verdana" w:hAnsi="Verdana"/>
          <w:i/>
          <w:sz w:val="20"/>
          <w:szCs w:val="20"/>
          <w:lang w:val="es-CR"/>
        </w:rPr>
        <w:t>infra</w:t>
      </w:r>
      <w:r w:rsidR="00C44789" w:rsidRPr="00E61811">
        <w:rPr>
          <w:rFonts w:ascii="Verdana" w:hAnsi="Verdana"/>
          <w:sz w:val="20"/>
          <w:szCs w:val="20"/>
          <w:lang w:val="es-CR"/>
        </w:rPr>
        <w:t xml:space="preserve"> Considerando </w:t>
      </w:r>
      <w:r w:rsidR="00DF40ED">
        <w:rPr>
          <w:rFonts w:ascii="Verdana" w:hAnsi="Verdana"/>
          <w:sz w:val="20"/>
          <w:szCs w:val="20"/>
          <w:lang w:val="es-CR"/>
        </w:rPr>
        <w:fldChar w:fldCharType="begin"/>
      </w:r>
      <w:r w:rsidR="00DF40ED">
        <w:rPr>
          <w:rFonts w:ascii="Verdana" w:hAnsi="Verdana"/>
          <w:sz w:val="20"/>
          <w:szCs w:val="20"/>
          <w:lang w:val="es-CR"/>
        </w:rPr>
        <w:instrText xml:space="preserve"> REF _Ref492543439 \r \h </w:instrText>
      </w:r>
      <w:r w:rsidR="00DF40ED">
        <w:rPr>
          <w:rFonts w:ascii="Verdana" w:hAnsi="Verdana"/>
          <w:sz w:val="20"/>
          <w:szCs w:val="20"/>
          <w:lang w:val="es-CR"/>
        </w:rPr>
      </w:r>
      <w:r w:rsidR="00DF40ED">
        <w:rPr>
          <w:rFonts w:ascii="Verdana" w:hAnsi="Verdana"/>
          <w:sz w:val="20"/>
          <w:szCs w:val="20"/>
          <w:lang w:val="es-CR"/>
        </w:rPr>
        <w:fldChar w:fldCharType="separate"/>
      </w:r>
      <w:r w:rsidR="00F96D30">
        <w:rPr>
          <w:rFonts w:ascii="Verdana" w:hAnsi="Verdana"/>
          <w:sz w:val="20"/>
          <w:szCs w:val="20"/>
          <w:lang w:val="es-CR"/>
        </w:rPr>
        <w:t>1</w:t>
      </w:r>
      <w:r w:rsidR="00DF40ED">
        <w:rPr>
          <w:rFonts w:ascii="Verdana" w:hAnsi="Verdana"/>
          <w:sz w:val="20"/>
          <w:szCs w:val="20"/>
          <w:lang w:val="es-CR"/>
        </w:rPr>
        <w:fldChar w:fldCharType="end"/>
      </w:r>
      <w:r w:rsidR="00C44789" w:rsidRPr="00E61811">
        <w:rPr>
          <w:rFonts w:ascii="Verdana" w:hAnsi="Verdana"/>
          <w:sz w:val="20"/>
          <w:szCs w:val="20"/>
          <w:lang w:val="es-CR"/>
        </w:rPr>
        <w:t>)</w:t>
      </w:r>
      <w:r w:rsidR="00C44789" w:rsidRPr="00E61811">
        <w:rPr>
          <w:rFonts w:ascii="Verdana" w:hAnsi="Verdana"/>
          <w:sz w:val="20"/>
          <w:lang w:val="es-ES"/>
        </w:rPr>
        <w:t>.</w:t>
      </w:r>
      <w:bookmarkEnd w:id="1"/>
      <w:r w:rsidR="00C44789" w:rsidRPr="00E61811">
        <w:rPr>
          <w:rFonts w:ascii="Verdana" w:hAnsi="Verdana"/>
          <w:noProof/>
          <w:sz w:val="20"/>
          <w:szCs w:val="20"/>
          <w:lang w:val="es-ES"/>
        </w:rPr>
        <w:t xml:space="preserve"> </w:t>
      </w:r>
    </w:p>
    <w:p w14:paraId="1DC55125" w14:textId="77777777" w:rsidR="006422FC" w:rsidRPr="00E61811" w:rsidRDefault="006422FC" w:rsidP="00C75E57">
      <w:pPr>
        <w:tabs>
          <w:tab w:val="left" w:pos="567"/>
        </w:tabs>
        <w:spacing w:after="0" w:line="240" w:lineRule="auto"/>
        <w:ind w:right="4"/>
        <w:contextualSpacing/>
        <w:jc w:val="both"/>
        <w:rPr>
          <w:rFonts w:ascii="Verdana" w:hAnsi="Verdana"/>
          <w:noProof/>
          <w:sz w:val="20"/>
          <w:szCs w:val="20"/>
          <w:lang w:val="es-CR"/>
        </w:rPr>
      </w:pPr>
    </w:p>
    <w:p w14:paraId="35C6C7DE" w14:textId="77777777" w:rsidR="006422FC" w:rsidRPr="00E61811" w:rsidRDefault="00C75E57" w:rsidP="00C44789">
      <w:pPr>
        <w:numPr>
          <w:ilvl w:val="0"/>
          <w:numId w:val="1"/>
        </w:numPr>
        <w:tabs>
          <w:tab w:val="left" w:pos="567"/>
        </w:tabs>
        <w:spacing w:after="0" w:line="240" w:lineRule="auto"/>
        <w:ind w:left="0" w:right="4" w:firstLine="0"/>
        <w:contextualSpacing/>
        <w:jc w:val="both"/>
        <w:rPr>
          <w:rFonts w:ascii="Verdana" w:hAnsi="Verdana"/>
          <w:noProof/>
          <w:sz w:val="20"/>
          <w:szCs w:val="20"/>
          <w:lang w:val="es-CR"/>
        </w:rPr>
      </w:pPr>
      <w:bookmarkStart w:id="2" w:name="_Ref492545367"/>
      <w:r w:rsidRPr="00E61811">
        <w:rPr>
          <w:rFonts w:ascii="Verdana" w:hAnsi="Verdana"/>
          <w:noProof/>
          <w:sz w:val="20"/>
          <w:szCs w:val="20"/>
          <w:lang w:val="es-CR"/>
        </w:rPr>
        <w:t>La Resoluci</w:t>
      </w:r>
      <w:r w:rsidR="0033374C" w:rsidRPr="00E61811">
        <w:rPr>
          <w:rFonts w:ascii="Verdana" w:hAnsi="Verdana"/>
          <w:noProof/>
          <w:sz w:val="20"/>
          <w:szCs w:val="20"/>
          <w:lang w:val="es-CR"/>
        </w:rPr>
        <w:t>ón</w:t>
      </w:r>
      <w:r w:rsidRPr="00E61811">
        <w:rPr>
          <w:rFonts w:ascii="Verdana" w:hAnsi="Verdana"/>
          <w:noProof/>
          <w:sz w:val="20"/>
          <w:szCs w:val="20"/>
          <w:lang w:val="es-CR"/>
        </w:rPr>
        <w:t xml:space="preserve"> de supervisión de cumplimiento de Sentencia emitida por la Corte Interamericana </w:t>
      </w:r>
      <w:r w:rsidR="00B2071A" w:rsidRPr="00E61811">
        <w:rPr>
          <w:rFonts w:ascii="Verdana" w:hAnsi="Verdana"/>
          <w:noProof/>
          <w:sz w:val="20"/>
          <w:szCs w:val="20"/>
          <w:lang w:val="es-CR"/>
        </w:rPr>
        <w:t>el 3 de</w:t>
      </w:r>
      <w:r w:rsidR="000508F9" w:rsidRPr="00E61811">
        <w:rPr>
          <w:rFonts w:ascii="Verdana" w:hAnsi="Verdana"/>
          <w:noProof/>
          <w:sz w:val="20"/>
          <w:szCs w:val="20"/>
          <w:lang w:val="es-CR"/>
        </w:rPr>
        <w:t xml:space="preserve"> mayo</w:t>
      </w:r>
      <w:r w:rsidRPr="00E61811">
        <w:rPr>
          <w:rFonts w:ascii="Verdana" w:hAnsi="Verdana"/>
          <w:noProof/>
          <w:sz w:val="20"/>
          <w:szCs w:val="20"/>
          <w:lang w:val="es-CR"/>
        </w:rPr>
        <w:t xml:space="preserve"> </w:t>
      </w:r>
      <w:r w:rsidR="00140E8E" w:rsidRPr="00E61811">
        <w:rPr>
          <w:rFonts w:ascii="Verdana" w:hAnsi="Verdana"/>
          <w:noProof/>
          <w:sz w:val="20"/>
          <w:szCs w:val="20"/>
          <w:lang w:val="es-CR"/>
        </w:rPr>
        <w:t xml:space="preserve">de </w:t>
      </w:r>
      <w:r w:rsidRPr="00E61811">
        <w:rPr>
          <w:rFonts w:ascii="Verdana" w:hAnsi="Verdana"/>
          <w:noProof/>
          <w:sz w:val="20"/>
          <w:szCs w:val="20"/>
          <w:lang w:val="es-CR"/>
        </w:rPr>
        <w:t>2016</w:t>
      </w:r>
      <w:r w:rsidR="00E9210D" w:rsidRPr="00E61811">
        <w:rPr>
          <w:rStyle w:val="FootnoteReference"/>
          <w:rFonts w:ascii="Verdana" w:hAnsi="Verdana"/>
          <w:noProof/>
          <w:sz w:val="20"/>
          <w:szCs w:val="20"/>
          <w:lang w:val="es-CR"/>
        </w:rPr>
        <w:footnoteReference w:id="3"/>
      </w:r>
      <w:r w:rsidR="006422FC" w:rsidRPr="00E61811">
        <w:rPr>
          <w:rFonts w:ascii="Verdana" w:hAnsi="Verdana"/>
          <w:noProof/>
          <w:sz w:val="20"/>
          <w:szCs w:val="20"/>
          <w:lang w:val="es-CR"/>
        </w:rPr>
        <w:t>.</w:t>
      </w:r>
      <w:bookmarkEnd w:id="2"/>
    </w:p>
    <w:p w14:paraId="25EE57CE" w14:textId="77777777" w:rsidR="00B2071A" w:rsidRPr="00E61811" w:rsidRDefault="00B2071A" w:rsidP="00B2071A">
      <w:pPr>
        <w:pStyle w:val="ListParagraph"/>
        <w:rPr>
          <w:rFonts w:ascii="Verdana" w:hAnsi="Verdana"/>
          <w:noProof/>
          <w:sz w:val="20"/>
          <w:szCs w:val="20"/>
          <w:lang w:val="es-CR"/>
        </w:rPr>
      </w:pPr>
    </w:p>
    <w:p w14:paraId="43AB509A" w14:textId="17C31392" w:rsidR="00B2071A" w:rsidRPr="00E61811" w:rsidRDefault="00B2071A" w:rsidP="00B2071A">
      <w:pPr>
        <w:pStyle w:val="ListParagraph"/>
        <w:numPr>
          <w:ilvl w:val="0"/>
          <w:numId w:val="1"/>
        </w:numPr>
        <w:tabs>
          <w:tab w:val="left" w:pos="0"/>
        </w:tabs>
        <w:spacing w:after="0" w:line="240" w:lineRule="auto"/>
        <w:ind w:left="0" w:right="4" w:firstLine="0"/>
        <w:jc w:val="both"/>
        <w:rPr>
          <w:rFonts w:ascii="Verdana" w:hAnsi="Verdana"/>
          <w:noProof/>
          <w:sz w:val="20"/>
          <w:szCs w:val="20"/>
          <w:lang w:val="es-CR"/>
        </w:rPr>
      </w:pPr>
      <w:bookmarkStart w:id="3" w:name="_Ref492906675"/>
      <w:r w:rsidRPr="00E61811">
        <w:rPr>
          <w:rFonts w:ascii="Verdana" w:hAnsi="Verdana"/>
          <w:noProof/>
          <w:sz w:val="20"/>
          <w:szCs w:val="20"/>
          <w:lang w:val="es-CR"/>
        </w:rPr>
        <w:t>La audiencia privada de supervisión de cumplimiento de sentencia celebrada el 3 de mayo de 201</w:t>
      </w:r>
      <w:r w:rsidR="0024770E">
        <w:rPr>
          <w:rFonts w:ascii="Verdana" w:hAnsi="Verdana"/>
          <w:noProof/>
          <w:sz w:val="20"/>
          <w:szCs w:val="20"/>
          <w:lang w:val="es-CR"/>
        </w:rPr>
        <w:t>6</w:t>
      </w:r>
      <w:r w:rsidRPr="00E61811">
        <w:rPr>
          <w:rStyle w:val="FootnoteReference"/>
          <w:rFonts w:ascii="Verdana" w:hAnsi="Verdana"/>
          <w:noProof/>
          <w:sz w:val="20"/>
          <w:szCs w:val="20"/>
          <w:lang w:val="es-CR"/>
        </w:rPr>
        <w:footnoteReference w:id="4"/>
      </w:r>
      <w:r w:rsidRPr="00E61811">
        <w:rPr>
          <w:rFonts w:ascii="Verdana" w:hAnsi="Verdana"/>
          <w:noProof/>
          <w:sz w:val="20"/>
          <w:szCs w:val="20"/>
          <w:lang w:val="es-CR"/>
        </w:rPr>
        <w:t>.</w:t>
      </w:r>
      <w:bookmarkEnd w:id="3"/>
    </w:p>
    <w:p w14:paraId="1E400AD3" w14:textId="77777777" w:rsidR="00C44789" w:rsidRPr="00E61811" w:rsidRDefault="00C44789" w:rsidP="00C44789">
      <w:pPr>
        <w:tabs>
          <w:tab w:val="left" w:pos="567"/>
        </w:tabs>
        <w:spacing w:after="0" w:line="240" w:lineRule="auto"/>
        <w:ind w:right="4"/>
        <w:contextualSpacing/>
        <w:jc w:val="both"/>
        <w:rPr>
          <w:rFonts w:ascii="Verdana" w:hAnsi="Verdana"/>
          <w:noProof/>
          <w:sz w:val="20"/>
          <w:szCs w:val="20"/>
          <w:lang w:val="es-ES"/>
        </w:rPr>
      </w:pPr>
    </w:p>
    <w:p w14:paraId="19EC0331" w14:textId="55D99851" w:rsidR="00D124CC" w:rsidRPr="00E61811" w:rsidRDefault="00CB035E" w:rsidP="000508F9">
      <w:pPr>
        <w:pStyle w:val="ListParagraph"/>
        <w:numPr>
          <w:ilvl w:val="0"/>
          <w:numId w:val="1"/>
        </w:numPr>
        <w:tabs>
          <w:tab w:val="left" w:pos="0"/>
        </w:tabs>
        <w:spacing w:after="0" w:line="240" w:lineRule="auto"/>
        <w:ind w:left="0" w:right="4" w:firstLine="0"/>
        <w:jc w:val="both"/>
        <w:rPr>
          <w:rFonts w:ascii="Verdana" w:hAnsi="Verdana"/>
          <w:noProof/>
          <w:sz w:val="20"/>
          <w:szCs w:val="20"/>
          <w:lang w:val="es-ES"/>
        </w:rPr>
      </w:pPr>
      <w:r w:rsidRPr="00E61811">
        <w:rPr>
          <w:rFonts w:ascii="Verdana" w:hAnsi="Verdana"/>
          <w:noProof/>
          <w:sz w:val="20"/>
          <w:szCs w:val="20"/>
          <w:lang w:val="es-ES"/>
        </w:rPr>
        <w:t xml:space="preserve">Los </w:t>
      </w:r>
      <w:r w:rsidR="00131238">
        <w:rPr>
          <w:rFonts w:ascii="Verdana" w:hAnsi="Verdana"/>
          <w:noProof/>
          <w:sz w:val="20"/>
          <w:szCs w:val="20"/>
          <w:lang w:val="es-ES"/>
        </w:rPr>
        <w:t>siete</w:t>
      </w:r>
      <w:r w:rsidR="00B2071A" w:rsidRPr="00E61811">
        <w:rPr>
          <w:rFonts w:ascii="Verdana" w:hAnsi="Verdana"/>
          <w:noProof/>
          <w:sz w:val="20"/>
          <w:szCs w:val="20"/>
          <w:lang w:val="es-ES"/>
        </w:rPr>
        <w:t xml:space="preserve"> </w:t>
      </w:r>
      <w:r w:rsidRPr="00E61811">
        <w:rPr>
          <w:rFonts w:ascii="Verdana" w:hAnsi="Verdana"/>
          <w:noProof/>
          <w:sz w:val="20"/>
          <w:szCs w:val="20"/>
          <w:lang w:val="es-ES"/>
        </w:rPr>
        <w:t xml:space="preserve">informes presentados por el Estado </w:t>
      </w:r>
      <w:r w:rsidR="00D4119F" w:rsidRPr="00E61811">
        <w:rPr>
          <w:rFonts w:ascii="Verdana" w:hAnsi="Verdana"/>
          <w:noProof/>
          <w:sz w:val="20"/>
          <w:szCs w:val="20"/>
          <w:lang w:val="es-ES"/>
        </w:rPr>
        <w:t xml:space="preserve">de El Salvador </w:t>
      </w:r>
      <w:r w:rsidR="00446FBB" w:rsidRPr="00E61811">
        <w:rPr>
          <w:rFonts w:ascii="Verdana" w:hAnsi="Verdana"/>
          <w:noProof/>
          <w:sz w:val="20"/>
          <w:szCs w:val="20"/>
          <w:lang w:val="es-ES"/>
        </w:rPr>
        <w:t>entre febrero de 2015 y octubre de 2016</w:t>
      </w:r>
      <w:r w:rsidR="00B2071A" w:rsidRPr="00E61811">
        <w:rPr>
          <w:rStyle w:val="FootnoteReference"/>
          <w:rFonts w:ascii="Verdana" w:hAnsi="Verdana"/>
          <w:noProof/>
          <w:sz w:val="20"/>
          <w:szCs w:val="20"/>
          <w:lang w:val="es-ES"/>
        </w:rPr>
        <w:footnoteReference w:id="5"/>
      </w:r>
      <w:r w:rsidR="00446FBB" w:rsidRPr="00E61811">
        <w:rPr>
          <w:rFonts w:ascii="Verdana" w:hAnsi="Verdana"/>
          <w:noProof/>
          <w:sz w:val="20"/>
          <w:szCs w:val="20"/>
          <w:lang w:val="es-ES"/>
        </w:rPr>
        <w:t xml:space="preserve">. </w:t>
      </w:r>
    </w:p>
    <w:p w14:paraId="0E432DAB" w14:textId="77777777" w:rsidR="00D124CC" w:rsidRPr="00E61811" w:rsidRDefault="00D124CC" w:rsidP="000508F9">
      <w:pPr>
        <w:tabs>
          <w:tab w:val="left" w:pos="567"/>
        </w:tabs>
        <w:spacing w:after="0" w:line="240" w:lineRule="auto"/>
        <w:ind w:right="4"/>
        <w:contextualSpacing/>
        <w:jc w:val="both"/>
        <w:rPr>
          <w:rFonts w:ascii="Verdana" w:hAnsi="Verdana"/>
          <w:noProof/>
          <w:sz w:val="20"/>
          <w:szCs w:val="20"/>
          <w:lang w:val="es-ES"/>
        </w:rPr>
      </w:pPr>
    </w:p>
    <w:p w14:paraId="423BBBCF" w14:textId="16EB4AF3" w:rsidR="00C44789" w:rsidRPr="00E61811" w:rsidRDefault="004820C6" w:rsidP="000508F9">
      <w:pPr>
        <w:pStyle w:val="ListParagraph"/>
        <w:numPr>
          <w:ilvl w:val="0"/>
          <w:numId w:val="1"/>
        </w:numPr>
        <w:tabs>
          <w:tab w:val="left" w:pos="567"/>
        </w:tabs>
        <w:spacing w:after="0" w:line="240" w:lineRule="auto"/>
        <w:ind w:left="0" w:right="4" w:firstLine="0"/>
        <w:jc w:val="both"/>
        <w:rPr>
          <w:rFonts w:ascii="Verdana" w:hAnsi="Verdana"/>
          <w:noProof/>
          <w:sz w:val="20"/>
          <w:szCs w:val="20"/>
          <w:lang w:val="es-ES"/>
        </w:rPr>
      </w:pPr>
      <w:r w:rsidRPr="00E61811">
        <w:rPr>
          <w:rFonts w:ascii="Verdana" w:hAnsi="Verdana"/>
          <w:noProof/>
          <w:sz w:val="20"/>
          <w:szCs w:val="20"/>
          <w:lang w:val="es-ES"/>
        </w:rPr>
        <w:t xml:space="preserve">Los </w:t>
      </w:r>
      <w:r w:rsidR="0089763B">
        <w:rPr>
          <w:rFonts w:ascii="Verdana" w:hAnsi="Verdana"/>
          <w:noProof/>
          <w:sz w:val="20"/>
          <w:szCs w:val="20"/>
          <w:lang w:val="es-ES"/>
        </w:rPr>
        <w:t>quince</w:t>
      </w:r>
      <w:r w:rsidR="0089763B" w:rsidRPr="00E61811">
        <w:rPr>
          <w:rFonts w:ascii="Verdana" w:hAnsi="Verdana"/>
          <w:noProof/>
          <w:sz w:val="20"/>
          <w:szCs w:val="20"/>
          <w:lang w:val="es-ES"/>
        </w:rPr>
        <w:t xml:space="preserve"> </w:t>
      </w:r>
      <w:r w:rsidRPr="00E61811">
        <w:rPr>
          <w:rFonts w:ascii="Verdana" w:hAnsi="Verdana"/>
          <w:noProof/>
          <w:sz w:val="20"/>
          <w:szCs w:val="20"/>
          <w:lang w:val="es-ES"/>
        </w:rPr>
        <w:t xml:space="preserve">escritos </w:t>
      </w:r>
      <w:r w:rsidR="00082EF8" w:rsidRPr="00E61811">
        <w:rPr>
          <w:rFonts w:ascii="Verdana" w:hAnsi="Verdana"/>
          <w:noProof/>
          <w:sz w:val="20"/>
          <w:szCs w:val="20"/>
          <w:lang w:val="es-ES"/>
        </w:rPr>
        <w:t>de observaciones presentados por los representantes de las víctimas</w:t>
      </w:r>
      <w:r w:rsidR="00A00222">
        <w:rPr>
          <w:rStyle w:val="FootnoteReference"/>
          <w:rFonts w:ascii="Verdana" w:hAnsi="Verdana"/>
          <w:noProof/>
          <w:sz w:val="20"/>
          <w:szCs w:val="20"/>
          <w:lang w:val="es-ES"/>
        </w:rPr>
        <w:footnoteReference w:id="6"/>
      </w:r>
      <w:r w:rsidR="00082EF8" w:rsidRPr="00E61811">
        <w:rPr>
          <w:rFonts w:ascii="Verdana" w:hAnsi="Verdana"/>
          <w:noProof/>
          <w:sz w:val="20"/>
          <w:szCs w:val="20"/>
          <w:lang w:val="es-ES"/>
        </w:rPr>
        <w:t xml:space="preserve"> (en adelante “los representantes”) </w:t>
      </w:r>
      <w:r w:rsidR="00446FBB" w:rsidRPr="00E61811">
        <w:rPr>
          <w:rFonts w:ascii="Verdana" w:hAnsi="Verdana"/>
          <w:noProof/>
          <w:sz w:val="20"/>
          <w:szCs w:val="20"/>
          <w:lang w:val="es-ES"/>
        </w:rPr>
        <w:t xml:space="preserve">entre junio de 2014 </w:t>
      </w:r>
      <w:r w:rsidR="00082EF8" w:rsidRPr="00E61811">
        <w:rPr>
          <w:rFonts w:ascii="Verdana" w:hAnsi="Verdana"/>
          <w:noProof/>
          <w:sz w:val="20"/>
          <w:szCs w:val="20"/>
          <w:lang w:val="es-ES"/>
        </w:rPr>
        <w:t xml:space="preserve">y </w:t>
      </w:r>
      <w:r w:rsidR="0089763B">
        <w:rPr>
          <w:rFonts w:ascii="Verdana" w:hAnsi="Verdana"/>
          <w:noProof/>
          <w:sz w:val="20"/>
          <w:szCs w:val="20"/>
          <w:lang w:val="es-ES"/>
        </w:rPr>
        <w:t>junio de 2017</w:t>
      </w:r>
      <w:r w:rsidR="00B2071A" w:rsidRPr="00E61811">
        <w:rPr>
          <w:rStyle w:val="FootnoteReference"/>
          <w:rFonts w:ascii="Verdana" w:hAnsi="Verdana"/>
          <w:noProof/>
          <w:sz w:val="20"/>
          <w:szCs w:val="20"/>
          <w:lang w:val="es-ES"/>
        </w:rPr>
        <w:footnoteReference w:id="7"/>
      </w:r>
      <w:r w:rsidR="00446FBB" w:rsidRPr="00E61811">
        <w:rPr>
          <w:rFonts w:ascii="Verdana" w:hAnsi="Verdana"/>
          <w:noProof/>
          <w:sz w:val="20"/>
          <w:szCs w:val="20"/>
          <w:lang w:val="es-ES"/>
        </w:rPr>
        <w:t xml:space="preserve">. </w:t>
      </w:r>
    </w:p>
    <w:p w14:paraId="08A0C101" w14:textId="77777777" w:rsidR="00C9244F" w:rsidRPr="00E61811" w:rsidRDefault="00C9244F" w:rsidP="000508F9">
      <w:pPr>
        <w:spacing w:after="0" w:line="240" w:lineRule="auto"/>
        <w:jc w:val="both"/>
        <w:rPr>
          <w:rFonts w:ascii="Verdana" w:hAnsi="Verdana"/>
          <w:b/>
          <w:sz w:val="20"/>
          <w:szCs w:val="20"/>
          <w:lang w:val="es-ES"/>
        </w:rPr>
      </w:pPr>
    </w:p>
    <w:p w14:paraId="1A18FDCF" w14:textId="1743DC50" w:rsidR="006B1C9D" w:rsidRPr="00E61811" w:rsidRDefault="00CB035E" w:rsidP="000508F9">
      <w:pPr>
        <w:pStyle w:val="ListParagraph"/>
        <w:numPr>
          <w:ilvl w:val="0"/>
          <w:numId w:val="1"/>
        </w:numPr>
        <w:spacing w:after="0" w:line="240" w:lineRule="auto"/>
        <w:ind w:left="0" w:firstLine="0"/>
        <w:jc w:val="both"/>
        <w:rPr>
          <w:rFonts w:ascii="Verdana" w:hAnsi="Verdana"/>
          <w:sz w:val="20"/>
          <w:szCs w:val="20"/>
          <w:lang w:val="es-CR"/>
        </w:rPr>
      </w:pPr>
      <w:r w:rsidRPr="00E61811">
        <w:rPr>
          <w:rFonts w:ascii="Verdana" w:hAnsi="Verdana"/>
          <w:sz w:val="20"/>
          <w:szCs w:val="20"/>
          <w:lang w:val="es-CR"/>
        </w:rPr>
        <w:t>Los</w:t>
      </w:r>
      <w:r w:rsidR="00B2071A" w:rsidRPr="00E61811">
        <w:rPr>
          <w:rFonts w:ascii="Verdana" w:hAnsi="Verdana"/>
          <w:sz w:val="20"/>
          <w:szCs w:val="20"/>
          <w:lang w:val="es-CR"/>
        </w:rPr>
        <w:t xml:space="preserve"> </w:t>
      </w:r>
      <w:r w:rsidR="00BC66ED">
        <w:rPr>
          <w:rFonts w:ascii="Verdana" w:hAnsi="Verdana"/>
          <w:sz w:val="20"/>
          <w:szCs w:val="20"/>
          <w:lang w:val="es-CR"/>
        </w:rPr>
        <w:t>cuatro</w:t>
      </w:r>
      <w:r w:rsidRPr="00E61811">
        <w:rPr>
          <w:rFonts w:ascii="Verdana" w:hAnsi="Verdana"/>
          <w:sz w:val="20"/>
          <w:szCs w:val="20"/>
          <w:lang w:val="es-CR"/>
        </w:rPr>
        <w:t xml:space="preserve"> escritos</w:t>
      </w:r>
      <w:r w:rsidR="003352F5">
        <w:rPr>
          <w:rFonts w:ascii="Verdana" w:hAnsi="Verdana"/>
          <w:sz w:val="20"/>
          <w:szCs w:val="20"/>
          <w:lang w:val="es-CR"/>
        </w:rPr>
        <w:t xml:space="preserve"> de observaciones</w:t>
      </w:r>
      <w:r w:rsidRPr="00E61811">
        <w:rPr>
          <w:rFonts w:ascii="Verdana" w:hAnsi="Verdana"/>
          <w:sz w:val="20"/>
          <w:szCs w:val="20"/>
          <w:lang w:val="es-CR"/>
        </w:rPr>
        <w:t xml:space="preserve"> </w:t>
      </w:r>
      <w:r w:rsidR="00C9244F" w:rsidRPr="00E61811">
        <w:rPr>
          <w:rFonts w:ascii="Verdana" w:hAnsi="Verdana"/>
          <w:sz w:val="20"/>
          <w:szCs w:val="20"/>
          <w:lang w:val="es-CR"/>
        </w:rPr>
        <w:t>presentado</w:t>
      </w:r>
      <w:r w:rsidRPr="00E61811">
        <w:rPr>
          <w:rFonts w:ascii="Verdana" w:hAnsi="Verdana"/>
          <w:sz w:val="20"/>
          <w:szCs w:val="20"/>
          <w:lang w:val="es-CR"/>
        </w:rPr>
        <w:t>s</w:t>
      </w:r>
      <w:r w:rsidR="00C9244F" w:rsidRPr="00E61811">
        <w:rPr>
          <w:rFonts w:ascii="Verdana" w:hAnsi="Verdana"/>
          <w:sz w:val="20"/>
          <w:szCs w:val="20"/>
          <w:lang w:val="es-CR"/>
        </w:rPr>
        <w:t xml:space="preserve"> por la Comisión Interamericana de Derechos Humanos (en adelante “la Comisión Interamericana” o “la Comisión”</w:t>
      </w:r>
      <w:r w:rsidR="00965795" w:rsidRPr="00E61811">
        <w:rPr>
          <w:rFonts w:ascii="Verdana" w:hAnsi="Verdana"/>
          <w:sz w:val="20"/>
          <w:szCs w:val="20"/>
          <w:lang w:val="es-CR"/>
        </w:rPr>
        <w:t>)</w:t>
      </w:r>
      <w:r w:rsidR="00C9244F" w:rsidRPr="00E61811">
        <w:rPr>
          <w:rFonts w:ascii="Verdana" w:hAnsi="Verdana"/>
          <w:sz w:val="20"/>
          <w:szCs w:val="20"/>
          <w:lang w:val="es-CR"/>
        </w:rPr>
        <w:t xml:space="preserve"> e</w:t>
      </w:r>
      <w:r w:rsidR="00446FBB" w:rsidRPr="00E61811">
        <w:rPr>
          <w:rFonts w:ascii="Verdana" w:hAnsi="Verdana"/>
          <w:sz w:val="20"/>
          <w:szCs w:val="20"/>
          <w:lang w:val="es-CR"/>
        </w:rPr>
        <w:t xml:space="preserve">ntre </w:t>
      </w:r>
      <w:r w:rsidR="00EB148A" w:rsidRPr="00E61811">
        <w:rPr>
          <w:rFonts w:ascii="Verdana" w:hAnsi="Verdana"/>
          <w:sz w:val="20"/>
          <w:szCs w:val="20"/>
          <w:lang w:val="es-CR"/>
        </w:rPr>
        <w:t>agosto</w:t>
      </w:r>
      <w:r w:rsidR="00EB148A" w:rsidRPr="00E61811">
        <w:rPr>
          <w:rFonts w:ascii="Verdana" w:hAnsi="Verdana"/>
          <w:b/>
          <w:sz w:val="20"/>
          <w:szCs w:val="20"/>
          <w:lang w:val="es-CR"/>
        </w:rPr>
        <w:t xml:space="preserve"> </w:t>
      </w:r>
      <w:r w:rsidR="006B1C9D" w:rsidRPr="00E61811">
        <w:rPr>
          <w:rFonts w:ascii="Verdana" w:hAnsi="Verdana"/>
          <w:sz w:val="20"/>
          <w:szCs w:val="20"/>
          <w:lang w:val="es-CR"/>
        </w:rPr>
        <w:t>de 2015</w:t>
      </w:r>
      <w:r w:rsidR="00446FBB" w:rsidRPr="00E61811">
        <w:rPr>
          <w:rFonts w:ascii="Verdana" w:hAnsi="Verdana"/>
          <w:sz w:val="20"/>
          <w:szCs w:val="20"/>
          <w:lang w:val="es-CR"/>
        </w:rPr>
        <w:t xml:space="preserve"> </w:t>
      </w:r>
      <w:r w:rsidR="006B1C9D" w:rsidRPr="00E61811">
        <w:rPr>
          <w:rFonts w:ascii="Verdana" w:hAnsi="Verdana"/>
          <w:sz w:val="20"/>
          <w:szCs w:val="20"/>
          <w:lang w:val="es-CR"/>
        </w:rPr>
        <w:t>y enero de 2017</w:t>
      </w:r>
      <w:r w:rsidR="00B2071A" w:rsidRPr="00E61811">
        <w:rPr>
          <w:rStyle w:val="FootnoteReference"/>
          <w:rFonts w:ascii="Verdana" w:hAnsi="Verdana"/>
          <w:noProof/>
          <w:sz w:val="20"/>
          <w:szCs w:val="20"/>
          <w:lang w:val="es-ES"/>
        </w:rPr>
        <w:footnoteReference w:id="8"/>
      </w:r>
      <w:r w:rsidR="00446FBB" w:rsidRPr="00E61811">
        <w:rPr>
          <w:rFonts w:ascii="Verdana" w:hAnsi="Verdana"/>
          <w:sz w:val="20"/>
          <w:szCs w:val="20"/>
          <w:lang w:val="es-CR"/>
        </w:rPr>
        <w:t>.</w:t>
      </w:r>
      <w:r w:rsidR="006B1C9D" w:rsidRPr="00E61811">
        <w:rPr>
          <w:rFonts w:ascii="Verdana" w:hAnsi="Verdana"/>
          <w:sz w:val="20"/>
          <w:szCs w:val="20"/>
          <w:lang w:val="es-CR"/>
        </w:rPr>
        <w:t xml:space="preserve"> </w:t>
      </w:r>
    </w:p>
    <w:p w14:paraId="4BCDBBC0" w14:textId="77777777" w:rsidR="005C6E62" w:rsidRPr="00E61811" w:rsidRDefault="005C6E62" w:rsidP="000508F9">
      <w:pPr>
        <w:pStyle w:val="ListParagraph"/>
        <w:jc w:val="both"/>
        <w:rPr>
          <w:rFonts w:ascii="Verdana" w:hAnsi="Verdana"/>
          <w:sz w:val="20"/>
          <w:szCs w:val="20"/>
          <w:lang w:val="es-CR"/>
        </w:rPr>
      </w:pPr>
    </w:p>
    <w:p w14:paraId="2EA88E84" w14:textId="5616192F" w:rsidR="005C6E62" w:rsidRPr="00E61811" w:rsidRDefault="00812E92" w:rsidP="000508F9">
      <w:pPr>
        <w:pStyle w:val="ListParagraph"/>
        <w:numPr>
          <w:ilvl w:val="0"/>
          <w:numId w:val="1"/>
        </w:numPr>
        <w:spacing w:after="0" w:line="240" w:lineRule="auto"/>
        <w:ind w:left="0" w:firstLine="0"/>
        <w:jc w:val="both"/>
        <w:rPr>
          <w:rFonts w:ascii="Verdana" w:hAnsi="Verdana"/>
          <w:sz w:val="20"/>
          <w:szCs w:val="20"/>
          <w:lang w:val="es-CR"/>
        </w:rPr>
      </w:pPr>
      <w:bookmarkStart w:id="4" w:name="_Ref492882021"/>
      <w:r w:rsidRPr="00E61811">
        <w:rPr>
          <w:rFonts w:ascii="Verdana" w:hAnsi="Verdana"/>
          <w:sz w:val="20"/>
          <w:szCs w:val="20"/>
          <w:lang w:val="es-CR"/>
        </w:rPr>
        <w:t>Los</w:t>
      </w:r>
      <w:r w:rsidR="005C6E62" w:rsidRPr="00E61811">
        <w:rPr>
          <w:rFonts w:ascii="Verdana" w:hAnsi="Verdana"/>
          <w:sz w:val="20"/>
          <w:szCs w:val="20"/>
          <w:lang w:val="es-CR"/>
        </w:rPr>
        <w:t xml:space="preserve"> </w:t>
      </w:r>
      <w:r w:rsidR="00BC66ED">
        <w:rPr>
          <w:rFonts w:ascii="Verdana" w:hAnsi="Verdana"/>
          <w:sz w:val="20"/>
          <w:szCs w:val="20"/>
          <w:lang w:val="es-CR"/>
        </w:rPr>
        <w:t xml:space="preserve">dos </w:t>
      </w:r>
      <w:r w:rsidR="005C6E62" w:rsidRPr="00E61811">
        <w:rPr>
          <w:rFonts w:ascii="Verdana" w:hAnsi="Verdana"/>
          <w:sz w:val="20"/>
          <w:szCs w:val="20"/>
          <w:lang w:val="es-CR"/>
        </w:rPr>
        <w:t>escrito</w:t>
      </w:r>
      <w:r w:rsidRPr="00E61811">
        <w:rPr>
          <w:rFonts w:ascii="Verdana" w:hAnsi="Verdana"/>
          <w:sz w:val="20"/>
          <w:szCs w:val="20"/>
          <w:lang w:val="es-CR"/>
        </w:rPr>
        <w:t>s</w:t>
      </w:r>
      <w:r w:rsidR="005C6E62" w:rsidRPr="00E61811">
        <w:rPr>
          <w:rFonts w:ascii="Verdana" w:hAnsi="Verdana"/>
          <w:sz w:val="20"/>
          <w:szCs w:val="20"/>
          <w:lang w:val="es-CR"/>
        </w:rPr>
        <w:t xml:space="preserve"> presentado</w:t>
      </w:r>
      <w:r w:rsidRPr="00E61811">
        <w:rPr>
          <w:rFonts w:ascii="Verdana" w:hAnsi="Verdana"/>
          <w:sz w:val="20"/>
          <w:szCs w:val="20"/>
          <w:lang w:val="es-CR"/>
        </w:rPr>
        <w:t>s</w:t>
      </w:r>
      <w:r w:rsidR="005C6E62" w:rsidRPr="00E61811">
        <w:rPr>
          <w:rFonts w:ascii="Verdana" w:hAnsi="Verdana"/>
          <w:sz w:val="20"/>
          <w:szCs w:val="20"/>
          <w:lang w:val="es-CR"/>
        </w:rPr>
        <w:t xml:space="preserve"> por la Procuraduría para la Defensa de los Derechos Humanos</w:t>
      </w:r>
      <w:r w:rsidR="00692F6C">
        <w:rPr>
          <w:rStyle w:val="FootnoteReference"/>
          <w:rFonts w:ascii="Verdana" w:hAnsi="Verdana"/>
          <w:sz w:val="20"/>
          <w:szCs w:val="20"/>
          <w:lang w:val="es-CR"/>
        </w:rPr>
        <w:footnoteReference w:id="9"/>
      </w:r>
      <w:r w:rsidRPr="00E61811">
        <w:rPr>
          <w:rFonts w:ascii="Verdana" w:hAnsi="Verdana"/>
          <w:sz w:val="20"/>
          <w:szCs w:val="20"/>
          <w:lang w:val="es-CR"/>
        </w:rPr>
        <w:t xml:space="preserve"> </w:t>
      </w:r>
      <w:r w:rsidR="00564EF5" w:rsidRPr="00E61811">
        <w:rPr>
          <w:rFonts w:ascii="Verdana" w:hAnsi="Verdana"/>
          <w:sz w:val="20"/>
          <w:szCs w:val="20"/>
          <w:lang w:val="es-CR"/>
        </w:rPr>
        <w:t xml:space="preserve">entre </w:t>
      </w:r>
      <w:r w:rsidR="005C6E62" w:rsidRPr="00E61811">
        <w:rPr>
          <w:rFonts w:ascii="Verdana" w:hAnsi="Verdana"/>
          <w:sz w:val="20"/>
          <w:szCs w:val="20"/>
          <w:lang w:val="es-CR"/>
        </w:rPr>
        <w:t>agosto</w:t>
      </w:r>
      <w:r w:rsidR="00564EF5" w:rsidRPr="00E61811">
        <w:rPr>
          <w:rFonts w:ascii="Verdana" w:hAnsi="Verdana"/>
          <w:sz w:val="20"/>
          <w:szCs w:val="20"/>
          <w:lang w:val="es-CR"/>
        </w:rPr>
        <w:t xml:space="preserve"> </w:t>
      </w:r>
      <w:r w:rsidRPr="00E61811">
        <w:rPr>
          <w:rFonts w:ascii="Verdana" w:hAnsi="Verdana"/>
          <w:sz w:val="20"/>
          <w:szCs w:val="20"/>
          <w:lang w:val="es-CR"/>
        </w:rPr>
        <w:t xml:space="preserve">y octubre </w:t>
      </w:r>
      <w:r w:rsidR="00564EF5" w:rsidRPr="00E61811">
        <w:rPr>
          <w:rFonts w:ascii="Verdana" w:hAnsi="Verdana"/>
          <w:sz w:val="20"/>
          <w:szCs w:val="20"/>
          <w:lang w:val="es-CR"/>
        </w:rPr>
        <w:t>de 2016</w:t>
      </w:r>
      <w:r w:rsidR="00B2071A" w:rsidRPr="00E61811">
        <w:rPr>
          <w:rStyle w:val="FootnoteReference"/>
          <w:rFonts w:ascii="Verdana" w:hAnsi="Verdana"/>
          <w:sz w:val="20"/>
          <w:szCs w:val="20"/>
          <w:lang w:val="es-CR"/>
        </w:rPr>
        <w:footnoteReference w:id="10"/>
      </w:r>
      <w:r w:rsidR="00564EF5" w:rsidRPr="00E61811">
        <w:rPr>
          <w:rFonts w:ascii="Verdana" w:hAnsi="Verdana"/>
          <w:sz w:val="20"/>
          <w:szCs w:val="20"/>
          <w:lang w:val="es-CR"/>
        </w:rPr>
        <w:t>.</w:t>
      </w:r>
      <w:bookmarkEnd w:id="4"/>
      <w:r w:rsidR="00564EF5" w:rsidRPr="00E61811">
        <w:rPr>
          <w:rFonts w:ascii="Verdana" w:hAnsi="Verdana"/>
          <w:sz w:val="20"/>
          <w:szCs w:val="20"/>
          <w:lang w:val="es-CR"/>
        </w:rPr>
        <w:t xml:space="preserve"> </w:t>
      </w:r>
    </w:p>
    <w:p w14:paraId="137028A9" w14:textId="77777777" w:rsidR="005C6E62" w:rsidRPr="00E61811" w:rsidRDefault="005C6E62" w:rsidP="000508F9">
      <w:pPr>
        <w:pStyle w:val="ListParagraph"/>
        <w:jc w:val="both"/>
        <w:rPr>
          <w:rFonts w:ascii="Verdana" w:hAnsi="Verdana"/>
          <w:sz w:val="20"/>
          <w:szCs w:val="20"/>
          <w:lang w:val="es-CR"/>
        </w:rPr>
      </w:pPr>
    </w:p>
    <w:p w14:paraId="50D4928B" w14:textId="2697C851" w:rsidR="005C6E62" w:rsidRPr="00E61811" w:rsidRDefault="005C6E62" w:rsidP="000508F9">
      <w:pPr>
        <w:pStyle w:val="ListParagraph"/>
        <w:numPr>
          <w:ilvl w:val="0"/>
          <w:numId w:val="1"/>
        </w:numPr>
        <w:spacing w:after="0" w:line="240" w:lineRule="auto"/>
        <w:ind w:left="0" w:firstLine="0"/>
        <w:jc w:val="both"/>
        <w:rPr>
          <w:rFonts w:ascii="Verdana" w:hAnsi="Verdana"/>
          <w:sz w:val="20"/>
          <w:szCs w:val="20"/>
          <w:lang w:val="es-CR"/>
        </w:rPr>
      </w:pPr>
      <w:bookmarkStart w:id="5" w:name="_Ref492882028"/>
      <w:r w:rsidRPr="00E61811">
        <w:rPr>
          <w:rFonts w:ascii="Verdana" w:hAnsi="Verdana"/>
          <w:sz w:val="20"/>
          <w:szCs w:val="20"/>
          <w:lang w:val="es-CR"/>
        </w:rPr>
        <w:lastRenderedPageBreak/>
        <w:t>Los</w:t>
      </w:r>
      <w:r w:rsidR="00B2071A" w:rsidRPr="00E61811">
        <w:rPr>
          <w:rFonts w:ascii="Verdana" w:hAnsi="Verdana"/>
          <w:sz w:val="20"/>
          <w:szCs w:val="20"/>
          <w:lang w:val="es-CR"/>
        </w:rPr>
        <w:t xml:space="preserve"> </w:t>
      </w:r>
      <w:r w:rsidR="00BC66ED">
        <w:rPr>
          <w:rFonts w:ascii="Verdana" w:hAnsi="Verdana"/>
          <w:sz w:val="20"/>
          <w:szCs w:val="20"/>
          <w:lang w:val="es-CR"/>
        </w:rPr>
        <w:t>seis</w:t>
      </w:r>
      <w:r w:rsidRPr="00E61811">
        <w:rPr>
          <w:rFonts w:ascii="Verdana" w:hAnsi="Verdana"/>
          <w:sz w:val="20"/>
          <w:szCs w:val="20"/>
          <w:lang w:val="es-CR"/>
        </w:rPr>
        <w:t xml:space="preserve"> escritos presentados por </w:t>
      </w:r>
      <w:r w:rsidR="00812E92" w:rsidRPr="00E61811">
        <w:rPr>
          <w:rFonts w:ascii="Verdana" w:hAnsi="Verdana"/>
          <w:sz w:val="20"/>
          <w:szCs w:val="20"/>
          <w:lang w:val="es-CR"/>
        </w:rPr>
        <w:t>el Juzgado Segundo de Primera Instancia de San Francisco</w:t>
      </w:r>
      <w:r w:rsidR="00564EF5" w:rsidRPr="00E61811">
        <w:rPr>
          <w:rFonts w:ascii="Verdana" w:hAnsi="Verdana"/>
          <w:sz w:val="20"/>
          <w:szCs w:val="20"/>
          <w:lang w:val="es-CR"/>
        </w:rPr>
        <w:t xml:space="preserve"> Gotera Morazan entre </w:t>
      </w:r>
      <w:r w:rsidR="00812E92" w:rsidRPr="00E61811">
        <w:rPr>
          <w:rFonts w:ascii="Verdana" w:hAnsi="Verdana"/>
          <w:sz w:val="20"/>
          <w:szCs w:val="20"/>
          <w:lang w:val="es-CR"/>
        </w:rPr>
        <w:t xml:space="preserve">agosto </w:t>
      </w:r>
      <w:r w:rsidR="00564EF5" w:rsidRPr="00E61811">
        <w:rPr>
          <w:rFonts w:ascii="Verdana" w:hAnsi="Verdana"/>
          <w:sz w:val="20"/>
          <w:szCs w:val="20"/>
          <w:lang w:val="es-CR"/>
        </w:rPr>
        <w:t xml:space="preserve">de 2016 </w:t>
      </w:r>
      <w:r w:rsidR="00812E92" w:rsidRPr="00E61811">
        <w:rPr>
          <w:rFonts w:ascii="Verdana" w:hAnsi="Verdana"/>
          <w:sz w:val="20"/>
          <w:szCs w:val="20"/>
          <w:lang w:val="es-CR"/>
        </w:rPr>
        <w:t>y abril de 2017</w:t>
      </w:r>
      <w:r w:rsidR="00C90F46">
        <w:rPr>
          <w:rStyle w:val="FootnoteReference"/>
          <w:rFonts w:ascii="Verdana" w:hAnsi="Verdana"/>
          <w:sz w:val="20"/>
          <w:szCs w:val="20"/>
          <w:lang w:val="es-CR"/>
        </w:rPr>
        <w:footnoteReference w:id="11"/>
      </w:r>
      <w:r w:rsidR="00812E92" w:rsidRPr="00E61811">
        <w:rPr>
          <w:rFonts w:ascii="Verdana" w:hAnsi="Verdana"/>
          <w:sz w:val="20"/>
          <w:szCs w:val="20"/>
          <w:lang w:val="es-CR"/>
        </w:rPr>
        <w:t>.</w:t>
      </w:r>
      <w:bookmarkEnd w:id="5"/>
      <w:r w:rsidR="00564EF5" w:rsidRPr="00E61811">
        <w:rPr>
          <w:rFonts w:ascii="Verdana" w:hAnsi="Verdana"/>
          <w:sz w:val="20"/>
          <w:szCs w:val="20"/>
          <w:lang w:val="es-CR"/>
        </w:rPr>
        <w:t xml:space="preserve"> </w:t>
      </w:r>
    </w:p>
    <w:p w14:paraId="0606AC5A" w14:textId="77777777" w:rsidR="00965795" w:rsidRDefault="00965795" w:rsidP="001B0748">
      <w:pPr>
        <w:spacing w:after="0" w:line="240" w:lineRule="auto"/>
        <w:rPr>
          <w:rFonts w:ascii="Verdana" w:hAnsi="Verdana"/>
          <w:sz w:val="20"/>
          <w:szCs w:val="20"/>
          <w:lang w:val="es-CR"/>
        </w:rPr>
      </w:pPr>
    </w:p>
    <w:p w14:paraId="37C74D67" w14:textId="77777777" w:rsidR="00583A07" w:rsidRPr="00E61811" w:rsidRDefault="00583A07" w:rsidP="001B0748">
      <w:pPr>
        <w:spacing w:after="0" w:line="240" w:lineRule="auto"/>
        <w:rPr>
          <w:rFonts w:ascii="Verdana" w:hAnsi="Verdana"/>
          <w:sz w:val="20"/>
          <w:szCs w:val="20"/>
          <w:lang w:val="es-CR"/>
        </w:rPr>
      </w:pPr>
    </w:p>
    <w:p w14:paraId="490EA19B" w14:textId="77777777" w:rsidR="00965795" w:rsidRPr="00E61811" w:rsidRDefault="005816CD" w:rsidP="001B0748">
      <w:pPr>
        <w:spacing w:after="0" w:line="240" w:lineRule="auto"/>
        <w:rPr>
          <w:rFonts w:ascii="Verdana" w:hAnsi="Verdana"/>
          <w:b/>
          <w:sz w:val="20"/>
          <w:szCs w:val="20"/>
          <w:lang w:val="es-CR"/>
        </w:rPr>
      </w:pPr>
      <w:r w:rsidRPr="00E61811">
        <w:rPr>
          <w:rFonts w:ascii="Verdana" w:hAnsi="Verdana"/>
          <w:b/>
          <w:sz w:val="20"/>
          <w:szCs w:val="20"/>
          <w:lang w:val="es-CR"/>
        </w:rPr>
        <w:t xml:space="preserve">CONSIDERANDO QUE: </w:t>
      </w:r>
    </w:p>
    <w:p w14:paraId="515A97E4" w14:textId="77777777" w:rsidR="005816CD" w:rsidRPr="00E61811" w:rsidRDefault="005816CD" w:rsidP="001B0748">
      <w:pPr>
        <w:spacing w:after="0" w:line="240" w:lineRule="auto"/>
        <w:rPr>
          <w:rFonts w:ascii="Verdana" w:hAnsi="Verdana"/>
          <w:b/>
          <w:sz w:val="20"/>
          <w:szCs w:val="20"/>
          <w:lang w:val="es-CR"/>
        </w:rPr>
      </w:pPr>
    </w:p>
    <w:p w14:paraId="1B81E4D7" w14:textId="0D33828E" w:rsidR="00EC0A50" w:rsidRPr="00E61811" w:rsidRDefault="005816CD" w:rsidP="005816CD">
      <w:pPr>
        <w:numPr>
          <w:ilvl w:val="0"/>
          <w:numId w:val="2"/>
        </w:numPr>
        <w:tabs>
          <w:tab w:val="left" w:pos="567"/>
        </w:tabs>
        <w:spacing w:after="0" w:line="240" w:lineRule="auto"/>
        <w:ind w:left="0" w:right="4" w:firstLine="0"/>
        <w:contextualSpacing/>
        <w:jc w:val="both"/>
        <w:rPr>
          <w:rFonts w:ascii="Verdana" w:hAnsi="Verdana"/>
          <w:sz w:val="20"/>
          <w:szCs w:val="20"/>
          <w:lang w:val="es-CR"/>
        </w:rPr>
      </w:pPr>
      <w:bookmarkStart w:id="6" w:name="_Ref492543439"/>
      <w:r w:rsidRPr="00E61811">
        <w:rPr>
          <w:rFonts w:ascii="Verdana" w:hAnsi="Verdana"/>
          <w:sz w:val="20"/>
          <w:szCs w:val="20"/>
          <w:lang w:val="es-ES"/>
        </w:rPr>
        <w:t>En el ejercicio de su función jurisdiccional de supervisar el cumplimiento de sus decisiones</w:t>
      </w:r>
      <w:r w:rsidRPr="00E61811">
        <w:rPr>
          <w:rStyle w:val="FootnoteReference"/>
          <w:rFonts w:ascii="Verdana" w:hAnsi="Verdana"/>
          <w:sz w:val="20"/>
          <w:szCs w:val="20"/>
        </w:rPr>
        <w:footnoteReference w:id="12"/>
      </w:r>
      <w:r w:rsidRPr="00E61811">
        <w:rPr>
          <w:rFonts w:ascii="Verdana" w:hAnsi="Verdana"/>
          <w:sz w:val="20"/>
          <w:szCs w:val="20"/>
          <w:lang w:val="es-ES"/>
        </w:rPr>
        <w:t xml:space="preserve">, la </w:t>
      </w:r>
      <w:r w:rsidRPr="00E61811">
        <w:rPr>
          <w:rFonts w:ascii="Verdana" w:hAnsi="Verdana"/>
          <w:noProof/>
          <w:sz w:val="20"/>
          <w:szCs w:val="20"/>
          <w:lang w:val="es-CR"/>
        </w:rPr>
        <w:t>Corte</w:t>
      </w:r>
      <w:r w:rsidRPr="00E61811">
        <w:rPr>
          <w:rFonts w:ascii="Verdana" w:hAnsi="Verdana"/>
          <w:sz w:val="20"/>
          <w:szCs w:val="20"/>
          <w:lang w:val="es-ES"/>
        </w:rPr>
        <w:t xml:space="preserve"> ha venido supervisando la ejecución de la Sentencia emitida </w:t>
      </w:r>
      <w:r w:rsidRPr="00E61811">
        <w:rPr>
          <w:rFonts w:ascii="Verdana" w:hAnsi="Verdana"/>
          <w:sz w:val="20"/>
          <w:szCs w:val="20"/>
          <w:lang w:val="es-MX"/>
        </w:rPr>
        <w:t>en el presente caso</w:t>
      </w:r>
      <w:r w:rsidRPr="00E61811">
        <w:rPr>
          <w:rFonts w:ascii="Verdana" w:hAnsi="Verdana"/>
          <w:i/>
          <w:sz w:val="20"/>
          <w:szCs w:val="20"/>
          <w:lang w:val="es-MX"/>
        </w:rPr>
        <w:t xml:space="preserve"> </w:t>
      </w:r>
      <w:r w:rsidRPr="00E61811">
        <w:rPr>
          <w:rFonts w:ascii="Verdana" w:hAnsi="Verdana"/>
          <w:sz w:val="20"/>
          <w:szCs w:val="20"/>
          <w:lang w:val="es-MX"/>
        </w:rPr>
        <w:t>hace 4 años (</w:t>
      </w:r>
      <w:r w:rsidRPr="00E61811">
        <w:rPr>
          <w:rFonts w:ascii="Verdana" w:hAnsi="Verdana"/>
          <w:i/>
          <w:sz w:val="20"/>
          <w:szCs w:val="20"/>
          <w:lang w:val="es-MX"/>
        </w:rPr>
        <w:t>supra</w:t>
      </w:r>
      <w:r w:rsidRPr="00E61811">
        <w:rPr>
          <w:rFonts w:ascii="Verdana" w:hAnsi="Verdana"/>
          <w:sz w:val="20"/>
          <w:szCs w:val="20"/>
          <w:lang w:val="es-MX"/>
        </w:rPr>
        <w:t xml:space="preserve"> Visto </w:t>
      </w:r>
      <w:r w:rsidR="00CC2F4F">
        <w:rPr>
          <w:rFonts w:ascii="Verdana" w:hAnsi="Verdana"/>
          <w:sz w:val="20"/>
          <w:szCs w:val="20"/>
          <w:lang w:val="es-MX"/>
        </w:rPr>
        <w:fldChar w:fldCharType="begin"/>
      </w:r>
      <w:r w:rsidR="00CC2F4F">
        <w:rPr>
          <w:rFonts w:ascii="Verdana" w:hAnsi="Verdana"/>
          <w:sz w:val="20"/>
          <w:szCs w:val="20"/>
          <w:lang w:val="es-MX"/>
        </w:rPr>
        <w:instrText xml:space="preserve"> REF _Ref492545318 \r \h </w:instrText>
      </w:r>
      <w:r w:rsidR="00CC2F4F">
        <w:rPr>
          <w:rFonts w:ascii="Verdana" w:hAnsi="Verdana"/>
          <w:sz w:val="20"/>
          <w:szCs w:val="20"/>
          <w:lang w:val="es-MX"/>
        </w:rPr>
      </w:r>
      <w:r w:rsidR="00CC2F4F">
        <w:rPr>
          <w:rFonts w:ascii="Verdana" w:hAnsi="Verdana"/>
          <w:sz w:val="20"/>
          <w:szCs w:val="20"/>
          <w:lang w:val="es-MX"/>
        </w:rPr>
        <w:fldChar w:fldCharType="separate"/>
      </w:r>
      <w:r w:rsidR="00F96D30">
        <w:rPr>
          <w:rFonts w:ascii="Verdana" w:hAnsi="Verdana"/>
          <w:sz w:val="20"/>
          <w:szCs w:val="20"/>
          <w:lang w:val="es-MX"/>
        </w:rPr>
        <w:t>1</w:t>
      </w:r>
      <w:r w:rsidR="00CC2F4F">
        <w:rPr>
          <w:rFonts w:ascii="Verdana" w:hAnsi="Verdana"/>
          <w:sz w:val="20"/>
          <w:szCs w:val="20"/>
          <w:lang w:val="es-MX"/>
        </w:rPr>
        <w:fldChar w:fldCharType="end"/>
      </w:r>
      <w:r w:rsidRPr="00E61811">
        <w:rPr>
          <w:rFonts w:ascii="Verdana" w:hAnsi="Verdana"/>
          <w:sz w:val="20"/>
          <w:szCs w:val="20"/>
          <w:lang w:val="es-MX"/>
        </w:rPr>
        <w:t xml:space="preserve">). </w:t>
      </w:r>
      <w:r w:rsidR="00EC0A50" w:rsidRPr="00E61811">
        <w:rPr>
          <w:rFonts w:ascii="Verdana" w:hAnsi="Verdana"/>
          <w:sz w:val="20"/>
          <w:szCs w:val="20"/>
          <w:lang w:val="es-MX"/>
        </w:rPr>
        <w:t xml:space="preserve">El Tribunal </w:t>
      </w:r>
      <w:r w:rsidR="00B2071A" w:rsidRPr="00E61811">
        <w:rPr>
          <w:rFonts w:ascii="Verdana" w:hAnsi="Verdana"/>
          <w:sz w:val="20"/>
          <w:szCs w:val="20"/>
          <w:lang w:val="es-MX"/>
        </w:rPr>
        <w:t>emitió</w:t>
      </w:r>
      <w:r w:rsidR="00EC0A50" w:rsidRPr="00E61811">
        <w:rPr>
          <w:rFonts w:ascii="Verdana" w:hAnsi="Verdana"/>
          <w:sz w:val="20"/>
          <w:szCs w:val="20"/>
          <w:lang w:val="es-MX"/>
        </w:rPr>
        <w:t xml:space="preserve"> </w:t>
      </w:r>
      <w:r w:rsidR="0033374C" w:rsidRPr="00E61811">
        <w:rPr>
          <w:rFonts w:ascii="Verdana" w:hAnsi="Verdana"/>
          <w:sz w:val="20"/>
          <w:szCs w:val="20"/>
          <w:lang w:val="es-MX"/>
        </w:rPr>
        <w:t>una R</w:t>
      </w:r>
      <w:r w:rsidR="00EC0A50" w:rsidRPr="00E61811">
        <w:rPr>
          <w:rFonts w:ascii="Verdana" w:hAnsi="Verdana"/>
          <w:sz w:val="20"/>
          <w:szCs w:val="20"/>
          <w:lang w:val="es-MX"/>
        </w:rPr>
        <w:t>esoluci</w:t>
      </w:r>
      <w:r w:rsidR="0033374C" w:rsidRPr="00E61811">
        <w:rPr>
          <w:rFonts w:ascii="Verdana" w:hAnsi="Verdana"/>
          <w:sz w:val="20"/>
          <w:szCs w:val="20"/>
          <w:lang w:val="es-MX"/>
        </w:rPr>
        <w:t>ón</w:t>
      </w:r>
      <w:r w:rsidR="00EC0A50" w:rsidRPr="00E61811">
        <w:rPr>
          <w:rFonts w:ascii="Verdana" w:hAnsi="Verdana"/>
          <w:sz w:val="20"/>
          <w:szCs w:val="20"/>
          <w:lang w:val="es-MX"/>
        </w:rPr>
        <w:t xml:space="preserve"> de supervisión de cumplimiento </w:t>
      </w:r>
      <w:r w:rsidR="0033374C" w:rsidRPr="00E61811">
        <w:rPr>
          <w:rFonts w:ascii="Verdana" w:hAnsi="Verdana"/>
          <w:sz w:val="20"/>
          <w:szCs w:val="20"/>
          <w:lang w:val="es-MX"/>
        </w:rPr>
        <w:t>en mayo</w:t>
      </w:r>
      <w:r w:rsidR="00EC0A50" w:rsidRPr="00E61811">
        <w:rPr>
          <w:rFonts w:ascii="Verdana" w:hAnsi="Verdana"/>
          <w:sz w:val="20"/>
          <w:szCs w:val="20"/>
          <w:lang w:val="es-MX"/>
        </w:rPr>
        <w:t xml:space="preserve"> 2016 (</w:t>
      </w:r>
      <w:r w:rsidR="00EC0A50" w:rsidRPr="00E61811">
        <w:rPr>
          <w:rFonts w:ascii="Verdana" w:hAnsi="Verdana"/>
          <w:i/>
          <w:sz w:val="20"/>
          <w:szCs w:val="20"/>
          <w:lang w:val="es-MX"/>
        </w:rPr>
        <w:t xml:space="preserve">supra </w:t>
      </w:r>
      <w:r w:rsidR="00EC0A50" w:rsidRPr="00E61811">
        <w:rPr>
          <w:rFonts w:ascii="Verdana" w:hAnsi="Verdana"/>
          <w:sz w:val="20"/>
          <w:szCs w:val="20"/>
          <w:lang w:val="es-MX"/>
        </w:rPr>
        <w:t xml:space="preserve">Visto </w:t>
      </w:r>
      <w:r w:rsidR="00CC2F4F">
        <w:rPr>
          <w:rFonts w:ascii="Verdana" w:hAnsi="Verdana"/>
          <w:sz w:val="20"/>
          <w:szCs w:val="20"/>
          <w:lang w:val="es-MX"/>
        </w:rPr>
        <w:fldChar w:fldCharType="begin"/>
      </w:r>
      <w:r w:rsidR="00CC2F4F">
        <w:rPr>
          <w:rFonts w:ascii="Verdana" w:hAnsi="Verdana"/>
          <w:sz w:val="20"/>
          <w:szCs w:val="20"/>
          <w:lang w:val="es-MX"/>
        </w:rPr>
        <w:instrText xml:space="preserve"> REF _Ref492545367 \r \h </w:instrText>
      </w:r>
      <w:r w:rsidR="00CC2F4F">
        <w:rPr>
          <w:rFonts w:ascii="Verdana" w:hAnsi="Verdana"/>
          <w:sz w:val="20"/>
          <w:szCs w:val="20"/>
          <w:lang w:val="es-MX"/>
        </w:rPr>
      </w:r>
      <w:r w:rsidR="00CC2F4F">
        <w:rPr>
          <w:rFonts w:ascii="Verdana" w:hAnsi="Verdana"/>
          <w:sz w:val="20"/>
          <w:szCs w:val="20"/>
          <w:lang w:val="es-MX"/>
        </w:rPr>
        <w:fldChar w:fldCharType="separate"/>
      </w:r>
      <w:r w:rsidR="00F96D30">
        <w:rPr>
          <w:rFonts w:ascii="Verdana" w:hAnsi="Verdana"/>
          <w:sz w:val="20"/>
          <w:szCs w:val="20"/>
          <w:lang w:val="es-MX"/>
        </w:rPr>
        <w:t>2</w:t>
      </w:r>
      <w:r w:rsidR="00CC2F4F">
        <w:rPr>
          <w:rFonts w:ascii="Verdana" w:hAnsi="Verdana"/>
          <w:sz w:val="20"/>
          <w:szCs w:val="20"/>
          <w:lang w:val="es-MX"/>
        </w:rPr>
        <w:fldChar w:fldCharType="end"/>
      </w:r>
      <w:r w:rsidR="00EC0A50" w:rsidRPr="00E61811">
        <w:rPr>
          <w:rFonts w:ascii="Verdana" w:hAnsi="Verdana"/>
          <w:sz w:val="20"/>
          <w:szCs w:val="20"/>
          <w:lang w:val="es-MX"/>
        </w:rPr>
        <w:t xml:space="preserve">), en la cual declaró que el Estado de El Salvador </w:t>
      </w:r>
      <w:r w:rsidR="004055D7">
        <w:rPr>
          <w:rFonts w:ascii="Verdana" w:hAnsi="Verdana"/>
          <w:sz w:val="20"/>
          <w:szCs w:val="20"/>
          <w:lang w:val="es-MX"/>
        </w:rPr>
        <w:t>dio</w:t>
      </w:r>
      <w:r w:rsidR="00EC0A50" w:rsidRPr="00E61811">
        <w:rPr>
          <w:rFonts w:ascii="Verdana" w:hAnsi="Verdana"/>
          <w:sz w:val="20"/>
          <w:szCs w:val="20"/>
          <w:lang w:val="es-MX"/>
        </w:rPr>
        <w:t xml:space="preserve"> cumplimiento total a </w:t>
      </w:r>
      <w:r w:rsidR="006054B7" w:rsidRPr="00E61811">
        <w:rPr>
          <w:rFonts w:ascii="Verdana" w:hAnsi="Verdana"/>
          <w:sz w:val="20"/>
          <w:szCs w:val="20"/>
          <w:lang w:val="es-MX"/>
        </w:rPr>
        <w:t>una medida</w:t>
      </w:r>
      <w:r w:rsidR="00EC0A50" w:rsidRPr="00E61811">
        <w:rPr>
          <w:rFonts w:ascii="Verdana" w:hAnsi="Verdana"/>
          <w:sz w:val="20"/>
          <w:szCs w:val="20"/>
          <w:lang w:val="es-MX"/>
        </w:rPr>
        <w:t xml:space="preserve"> de reparación</w:t>
      </w:r>
      <w:r w:rsidR="00EC0A50" w:rsidRPr="00E61811">
        <w:rPr>
          <w:rStyle w:val="FootnoteReference"/>
          <w:rFonts w:ascii="Verdana" w:hAnsi="Verdana"/>
          <w:sz w:val="20"/>
          <w:szCs w:val="20"/>
          <w:lang w:val="es-MX"/>
        </w:rPr>
        <w:footnoteReference w:id="13"/>
      </w:r>
      <w:r w:rsidR="00CC2F4F">
        <w:rPr>
          <w:rFonts w:ascii="Verdana" w:hAnsi="Verdana"/>
          <w:sz w:val="20"/>
          <w:szCs w:val="20"/>
          <w:lang w:val="es-MX"/>
        </w:rPr>
        <w:t xml:space="preserve"> y que se </w:t>
      </w:r>
      <w:r w:rsidR="004055D7">
        <w:rPr>
          <w:rFonts w:ascii="Verdana" w:hAnsi="Verdana"/>
          <w:sz w:val="20"/>
          <w:szCs w:val="20"/>
          <w:lang w:val="es-MX"/>
        </w:rPr>
        <w:t>encontraban</w:t>
      </w:r>
      <w:r w:rsidR="00CC2F4F">
        <w:rPr>
          <w:rFonts w:ascii="Verdana" w:hAnsi="Verdana"/>
          <w:sz w:val="20"/>
          <w:szCs w:val="20"/>
          <w:lang w:val="es-MX"/>
        </w:rPr>
        <w:t xml:space="preserve"> pendientes</w:t>
      </w:r>
      <w:r w:rsidR="00EC0A50" w:rsidRPr="00E61811">
        <w:rPr>
          <w:rFonts w:ascii="Verdana" w:hAnsi="Verdana"/>
          <w:sz w:val="20"/>
          <w:szCs w:val="20"/>
          <w:lang w:val="es-MX"/>
        </w:rPr>
        <w:t xml:space="preserve"> de cumplimiento </w:t>
      </w:r>
      <w:r w:rsidR="00B2071A" w:rsidRPr="00E61811">
        <w:rPr>
          <w:rFonts w:ascii="Verdana" w:hAnsi="Verdana"/>
          <w:sz w:val="20"/>
          <w:szCs w:val="20"/>
          <w:lang w:val="es-MX"/>
        </w:rPr>
        <w:t>doce</w:t>
      </w:r>
      <w:r w:rsidR="009C725A" w:rsidRPr="00E61811">
        <w:rPr>
          <w:rStyle w:val="FootnoteReference"/>
          <w:rFonts w:ascii="Verdana" w:hAnsi="Verdana"/>
          <w:sz w:val="20"/>
          <w:szCs w:val="20"/>
          <w:lang w:val="es-MX"/>
        </w:rPr>
        <w:footnoteReference w:id="14"/>
      </w:r>
      <w:r w:rsidR="009C725A" w:rsidRPr="00E61811">
        <w:rPr>
          <w:rFonts w:ascii="Verdana" w:hAnsi="Verdana"/>
          <w:sz w:val="20"/>
          <w:szCs w:val="20"/>
          <w:lang w:val="es-MX"/>
        </w:rPr>
        <w:t xml:space="preserve"> medidas</w:t>
      </w:r>
      <w:r w:rsidR="00EC0A50" w:rsidRPr="00E61811">
        <w:rPr>
          <w:rFonts w:ascii="Verdana" w:hAnsi="Verdana"/>
          <w:sz w:val="20"/>
          <w:szCs w:val="20"/>
          <w:lang w:val="es-MX"/>
        </w:rPr>
        <w:t>.</w:t>
      </w:r>
      <w:bookmarkEnd w:id="6"/>
      <w:r w:rsidR="008A0E74" w:rsidRPr="00E61811">
        <w:rPr>
          <w:rFonts w:ascii="Verdana" w:hAnsi="Verdana"/>
          <w:sz w:val="20"/>
          <w:szCs w:val="20"/>
          <w:lang w:val="es-MX"/>
        </w:rPr>
        <w:t xml:space="preserve"> </w:t>
      </w:r>
    </w:p>
    <w:p w14:paraId="6134CBDE" w14:textId="77777777" w:rsidR="008A0E74" w:rsidRPr="00E61811" w:rsidRDefault="008A0E74" w:rsidP="008A0E74">
      <w:pPr>
        <w:tabs>
          <w:tab w:val="left" w:pos="567"/>
        </w:tabs>
        <w:spacing w:after="0" w:line="240" w:lineRule="auto"/>
        <w:ind w:right="4"/>
        <w:contextualSpacing/>
        <w:jc w:val="both"/>
        <w:rPr>
          <w:rFonts w:ascii="Verdana" w:hAnsi="Verdana"/>
          <w:sz w:val="20"/>
          <w:szCs w:val="20"/>
          <w:lang w:val="es-MX"/>
        </w:rPr>
      </w:pPr>
    </w:p>
    <w:p w14:paraId="417DF397" w14:textId="77777777" w:rsidR="00E50421" w:rsidRPr="00E61811" w:rsidRDefault="008A0E74" w:rsidP="00932420">
      <w:pPr>
        <w:pStyle w:val="ListParagraph"/>
        <w:numPr>
          <w:ilvl w:val="0"/>
          <w:numId w:val="2"/>
        </w:numPr>
        <w:spacing w:after="0" w:line="240" w:lineRule="auto"/>
        <w:ind w:left="0" w:firstLine="0"/>
        <w:jc w:val="both"/>
        <w:rPr>
          <w:rFonts w:ascii="Times New Roman" w:hAnsi="Times New Roman"/>
          <w:sz w:val="24"/>
          <w:szCs w:val="24"/>
          <w:lang w:val="es-CR" w:eastAsia="es-CR"/>
        </w:rPr>
      </w:pPr>
      <w:r w:rsidRPr="00E61811">
        <w:rPr>
          <w:rFonts w:ascii="Verdana" w:hAnsi="Verdana"/>
          <w:sz w:val="20"/>
          <w:szCs w:val="20"/>
          <w:lang w:val="es-MX"/>
        </w:rPr>
        <w:t xml:space="preserve">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w:t>
      </w:r>
      <w:r w:rsidR="00E50421" w:rsidRPr="00E61811">
        <w:rPr>
          <w:rFonts w:ascii="Verdana" w:hAnsi="Verdana"/>
          <w:sz w:val="20"/>
          <w:szCs w:val="20"/>
          <w:lang w:val="es-MX"/>
        </w:rPr>
        <w:t>los puntos  ordenados, lo cual es fundamental para evaluar el estado de cumplimiento de la Sentencia en su conjunto</w:t>
      </w:r>
      <w:r w:rsidR="00E50421" w:rsidRPr="00E61811">
        <w:rPr>
          <w:rStyle w:val="FootnoteReference"/>
          <w:rFonts w:ascii="Verdana" w:hAnsi="Verdana"/>
          <w:sz w:val="20"/>
          <w:szCs w:val="20"/>
        </w:rPr>
        <w:footnoteReference w:id="15"/>
      </w:r>
      <w:r w:rsidR="00E50421" w:rsidRPr="00E61811">
        <w:rPr>
          <w:rFonts w:ascii="Verdana" w:hAnsi="Verdana"/>
          <w:sz w:val="20"/>
          <w:szCs w:val="20"/>
          <w:lang w:val="es-CR"/>
        </w:rPr>
        <w:t>.</w:t>
      </w:r>
      <w:r w:rsidR="00E50421" w:rsidRPr="00E61811">
        <w:rPr>
          <w:rFonts w:ascii="Times New Roman" w:hAnsi="Times New Roman"/>
          <w:sz w:val="24"/>
          <w:szCs w:val="24"/>
          <w:lang w:val="es-CR" w:eastAsia="es-CR"/>
        </w:rPr>
        <w:t xml:space="preserve"> </w:t>
      </w:r>
      <w:r w:rsidR="00E50421" w:rsidRPr="00E61811">
        <w:rPr>
          <w:rFonts w:ascii="Verdana" w:hAnsi="Verdana"/>
          <w:sz w:val="20"/>
          <w:szCs w:val="20"/>
          <w:lang w:val="es-CR"/>
        </w:rPr>
        <w:lastRenderedPageBreak/>
        <w:t>Los Estados Parte en la Convención deben garantizar el cumplimiento de las disposiciones convencionales y sus efectos propios (</w:t>
      </w:r>
      <w:r w:rsidR="00E50421" w:rsidRPr="00E61811">
        <w:rPr>
          <w:rFonts w:ascii="Verdana" w:hAnsi="Verdana"/>
          <w:i/>
          <w:sz w:val="20"/>
          <w:szCs w:val="20"/>
          <w:lang w:val="es-CR"/>
        </w:rPr>
        <w:t>effet utile</w:t>
      </w:r>
      <w:r w:rsidR="00E50421" w:rsidRPr="00E61811">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E50421" w:rsidRPr="00E61811">
        <w:rPr>
          <w:rStyle w:val="FootnoteReference"/>
          <w:rFonts w:ascii="Verdana" w:hAnsi="Verdana"/>
          <w:sz w:val="20"/>
          <w:szCs w:val="20"/>
          <w:lang w:val="es-CR"/>
        </w:rPr>
        <w:footnoteReference w:id="16"/>
      </w:r>
      <w:r w:rsidR="00E50421" w:rsidRPr="00E61811">
        <w:rPr>
          <w:rFonts w:ascii="Verdana" w:hAnsi="Verdana"/>
          <w:sz w:val="20"/>
          <w:szCs w:val="20"/>
          <w:lang w:val="es-CR"/>
        </w:rPr>
        <w:t>.</w:t>
      </w:r>
      <w:r w:rsidR="00E50421" w:rsidRPr="00E61811">
        <w:rPr>
          <w:rFonts w:ascii="Times New Roman" w:hAnsi="Times New Roman"/>
          <w:sz w:val="24"/>
          <w:szCs w:val="24"/>
          <w:lang w:val="es-CR" w:eastAsia="es-CR"/>
        </w:rPr>
        <w:t xml:space="preserve"> </w:t>
      </w:r>
    </w:p>
    <w:p w14:paraId="17F6CFEF" w14:textId="77777777" w:rsidR="00E50421" w:rsidRPr="00E61811" w:rsidRDefault="00E50421" w:rsidP="00E50421">
      <w:pPr>
        <w:spacing w:after="0" w:line="240" w:lineRule="auto"/>
        <w:jc w:val="both"/>
        <w:rPr>
          <w:rFonts w:ascii="Times New Roman" w:hAnsi="Times New Roman"/>
          <w:sz w:val="24"/>
          <w:szCs w:val="24"/>
          <w:lang w:val="es-CR" w:eastAsia="es-CR"/>
        </w:rPr>
      </w:pPr>
    </w:p>
    <w:p w14:paraId="7293C2C3" w14:textId="04D28008" w:rsidR="00E50421" w:rsidRDefault="00E50421" w:rsidP="00932420">
      <w:pPr>
        <w:pStyle w:val="ListParagraph"/>
        <w:numPr>
          <w:ilvl w:val="0"/>
          <w:numId w:val="2"/>
        </w:numPr>
        <w:spacing w:after="0" w:line="240" w:lineRule="auto"/>
        <w:ind w:left="0" w:firstLine="0"/>
        <w:jc w:val="both"/>
        <w:rPr>
          <w:rFonts w:ascii="Verdana" w:hAnsi="Verdana"/>
          <w:sz w:val="20"/>
          <w:szCs w:val="20"/>
          <w:lang w:val="es-CR" w:eastAsia="es-CR"/>
        </w:rPr>
      </w:pPr>
      <w:r w:rsidRPr="00E61811">
        <w:rPr>
          <w:rFonts w:ascii="Verdana" w:hAnsi="Verdana"/>
          <w:sz w:val="20"/>
          <w:szCs w:val="20"/>
          <w:lang w:val="es-CR" w:eastAsia="es-CR"/>
        </w:rPr>
        <w:t xml:space="preserve">La Corte </w:t>
      </w:r>
      <w:r w:rsidR="009F6E4F" w:rsidRPr="00E61811">
        <w:rPr>
          <w:rFonts w:ascii="Verdana" w:hAnsi="Verdana"/>
          <w:sz w:val="20"/>
          <w:szCs w:val="20"/>
          <w:lang w:val="es-CR" w:eastAsia="es-CR"/>
        </w:rPr>
        <w:t xml:space="preserve">se pronunciará sobre </w:t>
      </w:r>
      <w:r w:rsidRPr="00E61811">
        <w:rPr>
          <w:rFonts w:ascii="Verdana" w:hAnsi="Verdana"/>
          <w:sz w:val="20"/>
          <w:szCs w:val="20"/>
          <w:lang w:val="es-CR" w:eastAsia="es-CR"/>
        </w:rPr>
        <w:t>la</w:t>
      </w:r>
      <w:r w:rsidR="00B2071A" w:rsidRPr="00E61811">
        <w:rPr>
          <w:rFonts w:ascii="Verdana" w:hAnsi="Verdana"/>
          <w:sz w:val="20"/>
          <w:szCs w:val="20"/>
          <w:lang w:val="es-CR" w:eastAsia="es-CR"/>
        </w:rPr>
        <w:t>s</w:t>
      </w:r>
      <w:r w:rsidRPr="00E61811">
        <w:rPr>
          <w:rFonts w:ascii="Verdana" w:hAnsi="Verdana"/>
          <w:sz w:val="20"/>
          <w:szCs w:val="20"/>
          <w:lang w:val="es-CR" w:eastAsia="es-CR"/>
        </w:rPr>
        <w:t xml:space="preserve"> </w:t>
      </w:r>
      <w:r w:rsidR="009F6E4F" w:rsidRPr="00E61811">
        <w:rPr>
          <w:rFonts w:ascii="Verdana" w:hAnsi="Verdana"/>
          <w:sz w:val="20"/>
          <w:szCs w:val="20"/>
          <w:lang w:val="es-CR" w:eastAsia="es-CR"/>
        </w:rPr>
        <w:t>medida</w:t>
      </w:r>
      <w:r w:rsidR="00B2071A" w:rsidRPr="00E61811">
        <w:rPr>
          <w:rFonts w:ascii="Verdana" w:hAnsi="Verdana"/>
          <w:sz w:val="20"/>
          <w:szCs w:val="20"/>
          <w:lang w:val="es-CR" w:eastAsia="es-CR"/>
        </w:rPr>
        <w:t>s</w:t>
      </w:r>
      <w:r w:rsidR="009F6E4F" w:rsidRPr="00E61811">
        <w:rPr>
          <w:rFonts w:ascii="Verdana" w:hAnsi="Verdana"/>
          <w:sz w:val="20"/>
          <w:szCs w:val="20"/>
          <w:lang w:val="es-CR" w:eastAsia="es-CR"/>
        </w:rPr>
        <w:t xml:space="preserve"> de reparación </w:t>
      </w:r>
      <w:r w:rsidR="00B237E9" w:rsidRPr="00E61811">
        <w:rPr>
          <w:rFonts w:ascii="Verdana" w:hAnsi="Verdana"/>
          <w:sz w:val="20"/>
          <w:szCs w:val="20"/>
          <w:lang w:val="es-CR" w:eastAsia="es-CR"/>
        </w:rPr>
        <w:t>relativa</w:t>
      </w:r>
      <w:r w:rsidR="00B2071A" w:rsidRPr="00E61811">
        <w:rPr>
          <w:rFonts w:ascii="Verdana" w:hAnsi="Verdana"/>
          <w:sz w:val="20"/>
          <w:szCs w:val="20"/>
          <w:lang w:val="es-CR" w:eastAsia="es-CR"/>
        </w:rPr>
        <w:t>s</w:t>
      </w:r>
      <w:r w:rsidR="009F6E4F" w:rsidRPr="00E61811">
        <w:rPr>
          <w:rFonts w:ascii="Verdana" w:hAnsi="Verdana"/>
          <w:sz w:val="20"/>
          <w:szCs w:val="20"/>
          <w:lang w:val="es-CR" w:eastAsia="es-CR"/>
        </w:rPr>
        <w:t xml:space="preserve"> a </w:t>
      </w:r>
      <w:r w:rsidR="008F22D5" w:rsidRPr="00E61811">
        <w:rPr>
          <w:rFonts w:ascii="Verdana" w:hAnsi="Verdana"/>
          <w:sz w:val="20"/>
          <w:szCs w:val="20"/>
          <w:lang w:val="es-CR" w:eastAsia="es-CR"/>
        </w:rPr>
        <w:t>que la Ley de Amnistía General para la Consolidación de la Paz no sea un obstáculo para la investigación de los hechos del presente caso</w:t>
      </w:r>
      <w:r w:rsidR="00B2071A" w:rsidRPr="00E61811">
        <w:rPr>
          <w:rFonts w:ascii="Verdana" w:hAnsi="Verdana"/>
          <w:sz w:val="20"/>
          <w:szCs w:val="20"/>
          <w:lang w:val="es-CR" w:eastAsia="es-CR"/>
        </w:rPr>
        <w:t xml:space="preserve"> ni de otras graves violaciones a derechos humanos similares, y a la obligación de investigar, juzgar, y de ser el caso, sancionar los hechos </w:t>
      </w:r>
      <w:r w:rsidR="00A9019C">
        <w:rPr>
          <w:rFonts w:ascii="Verdana" w:hAnsi="Verdana"/>
          <w:sz w:val="20"/>
          <w:szCs w:val="20"/>
          <w:lang w:val="es-CR" w:eastAsia="es-CR"/>
        </w:rPr>
        <w:t xml:space="preserve">violatorios </w:t>
      </w:r>
      <w:r w:rsidR="00B2071A" w:rsidRPr="00E61811">
        <w:rPr>
          <w:rFonts w:ascii="Verdana" w:hAnsi="Verdana"/>
          <w:sz w:val="20"/>
          <w:szCs w:val="20"/>
          <w:lang w:val="es-CR" w:eastAsia="es-CR"/>
        </w:rPr>
        <w:t>identificados en la Sentencia</w:t>
      </w:r>
      <w:r w:rsidR="00535C68">
        <w:rPr>
          <w:rFonts w:ascii="Verdana" w:hAnsi="Verdana"/>
          <w:sz w:val="20"/>
          <w:szCs w:val="20"/>
          <w:lang w:val="es-CR" w:eastAsia="es-CR"/>
        </w:rPr>
        <w:t xml:space="preserve"> del presente caso</w:t>
      </w:r>
      <w:r w:rsidR="008F22D5" w:rsidRPr="00E61811">
        <w:rPr>
          <w:rFonts w:ascii="Verdana" w:hAnsi="Verdana"/>
          <w:sz w:val="20"/>
          <w:szCs w:val="20"/>
          <w:lang w:val="es-CR" w:eastAsia="es-CR"/>
        </w:rPr>
        <w:t>.</w:t>
      </w:r>
      <w:r w:rsidRPr="00E61811">
        <w:rPr>
          <w:rFonts w:ascii="Verdana" w:hAnsi="Verdana"/>
          <w:sz w:val="20"/>
          <w:szCs w:val="20"/>
          <w:lang w:val="es-CR" w:eastAsia="es-CR"/>
        </w:rPr>
        <w:t xml:space="preserve"> </w:t>
      </w:r>
      <w:r w:rsidR="00DE52A2" w:rsidRPr="00E61811">
        <w:rPr>
          <w:rFonts w:ascii="Verdana" w:hAnsi="Verdana"/>
          <w:sz w:val="20"/>
          <w:szCs w:val="20"/>
          <w:lang w:val="es-CR" w:eastAsia="es-CR"/>
        </w:rPr>
        <w:t>Para ello valorará,</w:t>
      </w:r>
      <w:r w:rsidR="00B80213" w:rsidRPr="00E61811">
        <w:rPr>
          <w:rFonts w:ascii="Verdana" w:hAnsi="Verdana"/>
          <w:sz w:val="20"/>
          <w:szCs w:val="20"/>
          <w:lang w:val="es-CR" w:eastAsia="es-CR"/>
        </w:rPr>
        <w:t xml:space="preserve"> además de la información y de las observaciones presentadas por las partes y la Comisión,</w:t>
      </w:r>
      <w:r w:rsidR="00DE52A2" w:rsidRPr="00E61811">
        <w:rPr>
          <w:rFonts w:ascii="Verdana" w:hAnsi="Verdana"/>
          <w:sz w:val="20"/>
          <w:szCs w:val="20"/>
          <w:lang w:val="es-CR" w:eastAsia="es-CR"/>
        </w:rPr>
        <w:t xml:space="preserve"> en la medida de lo pertinente, los informes presentados por la Procuraduría </w:t>
      </w:r>
      <w:r w:rsidR="0014551F" w:rsidRPr="00E61811">
        <w:rPr>
          <w:rFonts w:ascii="Verdana" w:hAnsi="Verdana"/>
          <w:sz w:val="20"/>
          <w:szCs w:val="20"/>
          <w:lang w:val="es-CR" w:eastAsia="es-CR"/>
        </w:rPr>
        <w:t>para la Defensa de los Derechos Humanos</w:t>
      </w:r>
      <w:r w:rsidR="00DE52A2" w:rsidRPr="00E61811">
        <w:rPr>
          <w:rFonts w:ascii="Verdana" w:hAnsi="Verdana"/>
          <w:sz w:val="20"/>
          <w:szCs w:val="20"/>
          <w:lang w:val="es-CR" w:eastAsia="es-CR"/>
        </w:rPr>
        <w:t xml:space="preserve"> </w:t>
      </w:r>
      <w:r w:rsidR="003A44F2">
        <w:rPr>
          <w:rFonts w:ascii="Verdana" w:hAnsi="Verdana"/>
          <w:sz w:val="20"/>
          <w:szCs w:val="20"/>
          <w:lang w:val="es-CR" w:eastAsia="es-CR"/>
        </w:rPr>
        <w:t>(</w:t>
      </w:r>
      <w:r w:rsidR="003A44F2" w:rsidRPr="00402A54">
        <w:rPr>
          <w:rFonts w:ascii="Verdana" w:hAnsi="Verdana"/>
          <w:i/>
          <w:sz w:val="20"/>
          <w:szCs w:val="20"/>
          <w:lang w:val="es-CR" w:eastAsia="es-CR"/>
        </w:rPr>
        <w:t>supra</w:t>
      </w:r>
      <w:r w:rsidR="003A44F2">
        <w:rPr>
          <w:rFonts w:ascii="Verdana" w:hAnsi="Verdana"/>
          <w:sz w:val="20"/>
          <w:szCs w:val="20"/>
          <w:lang w:val="es-CR" w:eastAsia="es-CR"/>
        </w:rPr>
        <w:t xml:space="preserve"> Visto </w:t>
      </w:r>
      <w:r w:rsidR="00CC60C7">
        <w:rPr>
          <w:rFonts w:ascii="Verdana" w:hAnsi="Verdana"/>
          <w:sz w:val="20"/>
          <w:szCs w:val="20"/>
          <w:lang w:val="es-CR" w:eastAsia="es-CR"/>
        </w:rPr>
        <w:fldChar w:fldCharType="begin"/>
      </w:r>
      <w:r w:rsidR="00CC60C7">
        <w:rPr>
          <w:rFonts w:ascii="Verdana" w:hAnsi="Verdana"/>
          <w:sz w:val="20"/>
          <w:szCs w:val="20"/>
          <w:lang w:val="es-CR" w:eastAsia="es-CR"/>
        </w:rPr>
        <w:instrText xml:space="preserve"> REF _Ref492882021 \r \h </w:instrText>
      </w:r>
      <w:r w:rsidR="00CC60C7">
        <w:rPr>
          <w:rFonts w:ascii="Verdana" w:hAnsi="Verdana"/>
          <w:sz w:val="20"/>
          <w:szCs w:val="20"/>
          <w:lang w:val="es-CR" w:eastAsia="es-CR"/>
        </w:rPr>
      </w:r>
      <w:r w:rsidR="00CC60C7">
        <w:rPr>
          <w:rFonts w:ascii="Verdana" w:hAnsi="Verdana"/>
          <w:sz w:val="20"/>
          <w:szCs w:val="20"/>
          <w:lang w:val="es-CR" w:eastAsia="es-CR"/>
        </w:rPr>
        <w:fldChar w:fldCharType="separate"/>
      </w:r>
      <w:r w:rsidR="00F96D30">
        <w:rPr>
          <w:rFonts w:ascii="Verdana" w:hAnsi="Verdana"/>
          <w:sz w:val="20"/>
          <w:szCs w:val="20"/>
          <w:lang w:val="es-CR" w:eastAsia="es-CR"/>
        </w:rPr>
        <w:t>7</w:t>
      </w:r>
      <w:r w:rsidR="00CC60C7">
        <w:rPr>
          <w:rFonts w:ascii="Verdana" w:hAnsi="Verdana"/>
          <w:sz w:val="20"/>
          <w:szCs w:val="20"/>
          <w:lang w:val="es-CR" w:eastAsia="es-CR"/>
        </w:rPr>
        <w:fldChar w:fldCharType="end"/>
      </w:r>
      <w:r w:rsidR="003A44F2">
        <w:rPr>
          <w:rFonts w:ascii="Verdana" w:hAnsi="Verdana"/>
          <w:sz w:val="20"/>
          <w:szCs w:val="20"/>
          <w:lang w:val="es-CR" w:eastAsia="es-CR"/>
        </w:rPr>
        <w:t xml:space="preserve">) </w:t>
      </w:r>
      <w:r w:rsidR="00DE52A2" w:rsidRPr="00E61811">
        <w:rPr>
          <w:rFonts w:ascii="Verdana" w:hAnsi="Verdana"/>
          <w:sz w:val="20"/>
          <w:szCs w:val="20"/>
          <w:lang w:val="es-CR" w:eastAsia="es-CR"/>
        </w:rPr>
        <w:t xml:space="preserve">y por el </w:t>
      </w:r>
      <w:r w:rsidR="0014551F" w:rsidRPr="00E61811">
        <w:rPr>
          <w:rFonts w:ascii="Verdana" w:hAnsi="Verdana"/>
          <w:sz w:val="20"/>
          <w:szCs w:val="20"/>
          <w:lang w:val="es-CR" w:eastAsia="es-CR"/>
        </w:rPr>
        <w:t>Juzgado Segundo de Primera Instancia</w:t>
      </w:r>
      <w:r w:rsidR="003A44F2">
        <w:rPr>
          <w:rFonts w:ascii="Verdana" w:hAnsi="Verdana"/>
          <w:sz w:val="20"/>
          <w:szCs w:val="20"/>
          <w:lang w:val="es-CR" w:eastAsia="es-CR"/>
        </w:rPr>
        <w:t xml:space="preserve"> </w:t>
      </w:r>
      <w:r w:rsidR="003A44F2" w:rsidRPr="00E61811">
        <w:rPr>
          <w:rFonts w:ascii="Verdana" w:hAnsi="Verdana"/>
          <w:sz w:val="20"/>
          <w:szCs w:val="20"/>
          <w:lang w:val="es-CR"/>
        </w:rPr>
        <w:t xml:space="preserve">de San Francisco Gotera Morazan </w:t>
      </w:r>
      <w:r w:rsidR="003A44F2">
        <w:rPr>
          <w:rFonts w:ascii="Verdana" w:hAnsi="Verdana"/>
          <w:sz w:val="20"/>
          <w:szCs w:val="20"/>
          <w:lang w:val="es-CR" w:eastAsia="es-CR"/>
        </w:rPr>
        <w:t>(</w:t>
      </w:r>
      <w:r w:rsidR="003A44F2" w:rsidRPr="00402A54">
        <w:rPr>
          <w:rFonts w:ascii="Verdana" w:hAnsi="Verdana"/>
          <w:i/>
          <w:sz w:val="20"/>
          <w:szCs w:val="20"/>
          <w:lang w:val="es-CR" w:eastAsia="es-CR"/>
        </w:rPr>
        <w:t>supra</w:t>
      </w:r>
      <w:r w:rsidR="003A44F2">
        <w:rPr>
          <w:rFonts w:ascii="Verdana" w:hAnsi="Verdana"/>
          <w:sz w:val="20"/>
          <w:szCs w:val="20"/>
          <w:lang w:val="es-CR" w:eastAsia="es-CR"/>
        </w:rPr>
        <w:t xml:space="preserve"> Visto </w:t>
      </w:r>
      <w:r w:rsidR="00CC60C7">
        <w:rPr>
          <w:rFonts w:ascii="Verdana" w:hAnsi="Verdana"/>
          <w:sz w:val="20"/>
          <w:szCs w:val="20"/>
          <w:lang w:val="es-CR" w:eastAsia="es-CR"/>
        </w:rPr>
        <w:fldChar w:fldCharType="begin"/>
      </w:r>
      <w:r w:rsidR="00CC60C7">
        <w:rPr>
          <w:rFonts w:ascii="Verdana" w:hAnsi="Verdana"/>
          <w:sz w:val="20"/>
          <w:szCs w:val="20"/>
          <w:lang w:val="es-CR" w:eastAsia="es-CR"/>
        </w:rPr>
        <w:instrText xml:space="preserve"> REF _Ref492882028 \r \h </w:instrText>
      </w:r>
      <w:r w:rsidR="00CC60C7">
        <w:rPr>
          <w:rFonts w:ascii="Verdana" w:hAnsi="Verdana"/>
          <w:sz w:val="20"/>
          <w:szCs w:val="20"/>
          <w:lang w:val="es-CR" w:eastAsia="es-CR"/>
        </w:rPr>
      </w:r>
      <w:r w:rsidR="00CC60C7">
        <w:rPr>
          <w:rFonts w:ascii="Verdana" w:hAnsi="Verdana"/>
          <w:sz w:val="20"/>
          <w:szCs w:val="20"/>
          <w:lang w:val="es-CR" w:eastAsia="es-CR"/>
        </w:rPr>
        <w:fldChar w:fldCharType="separate"/>
      </w:r>
      <w:r w:rsidR="00F96D30">
        <w:rPr>
          <w:rFonts w:ascii="Verdana" w:hAnsi="Verdana"/>
          <w:sz w:val="20"/>
          <w:szCs w:val="20"/>
          <w:lang w:val="es-CR" w:eastAsia="es-CR"/>
        </w:rPr>
        <w:t>8</w:t>
      </w:r>
      <w:r w:rsidR="00CC60C7">
        <w:rPr>
          <w:rFonts w:ascii="Verdana" w:hAnsi="Verdana"/>
          <w:sz w:val="20"/>
          <w:szCs w:val="20"/>
          <w:lang w:val="es-CR" w:eastAsia="es-CR"/>
        </w:rPr>
        <w:fldChar w:fldCharType="end"/>
      </w:r>
      <w:r w:rsidR="003A44F2">
        <w:rPr>
          <w:rFonts w:ascii="Verdana" w:hAnsi="Verdana"/>
          <w:sz w:val="20"/>
          <w:szCs w:val="20"/>
          <w:lang w:val="es-CR" w:eastAsia="es-CR"/>
        </w:rPr>
        <w:t>)</w:t>
      </w:r>
      <w:r w:rsidR="0014551F" w:rsidRPr="00E61811">
        <w:rPr>
          <w:rFonts w:ascii="Verdana" w:hAnsi="Verdana"/>
          <w:sz w:val="20"/>
          <w:szCs w:val="20"/>
          <w:lang w:val="es-CR" w:eastAsia="es-CR"/>
        </w:rPr>
        <w:t>,</w:t>
      </w:r>
      <w:r w:rsidR="00DE52A2" w:rsidRPr="00E61811">
        <w:rPr>
          <w:rFonts w:ascii="Verdana" w:hAnsi="Verdana"/>
          <w:sz w:val="20"/>
          <w:szCs w:val="20"/>
          <w:lang w:val="es-CR" w:eastAsia="es-CR"/>
        </w:rPr>
        <w:t xml:space="preserve"> respecto de la</w:t>
      </w:r>
      <w:r w:rsidR="004055D7">
        <w:rPr>
          <w:rFonts w:ascii="Verdana" w:hAnsi="Verdana"/>
          <w:sz w:val="20"/>
          <w:szCs w:val="20"/>
          <w:lang w:val="es-CR" w:eastAsia="es-CR"/>
        </w:rPr>
        <w:t>s</w:t>
      </w:r>
      <w:r w:rsidR="00DE52A2" w:rsidRPr="00E61811">
        <w:rPr>
          <w:rFonts w:ascii="Verdana" w:hAnsi="Verdana"/>
          <w:sz w:val="20"/>
          <w:szCs w:val="20"/>
          <w:lang w:val="es-CR" w:eastAsia="es-CR"/>
        </w:rPr>
        <w:t xml:space="preserve"> referida</w:t>
      </w:r>
      <w:r w:rsidR="004055D7">
        <w:rPr>
          <w:rFonts w:ascii="Verdana" w:hAnsi="Verdana"/>
          <w:sz w:val="20"/>
          <w:szCs w:val="20"/>
          <w:lang w:val="es-CR" w:eastAsia="es-CR"/>
        </w:rPr>
        <w:t>s</w:t>
      </w:r>
      <w:r w:rsidR="00DE52A2" w:rsidRPr="00E61811">
        <w:rPr>
          <w:rFonts w:ascii="Verdana" w:hAnsi="Verdana"/>
          <w:sz w:val="20"/>
          <w:szCs w:val="20"/>
          <w:lang w:val="es-CR" w:eastAsia="es-CR"/>
        </w:rPr>
        <w:t xml:space="preserve"> medida</w:t>
      </w:r>
      <w:r w:rsidR="004055D7">
        <w:rPr>
          <w:rFonts w:ascii="Verdana" w:hAnsi="Verdana"/>
          <w:sz w:val="20"/>
          <w:szCs w:val="20"/>
          <w:lang w:val="es-CR" w:eastAsia="es-CR"/>
        </w:rPr>
        <w:t>s</w:t>
      </w:r>
      <w:r w:rsidR="00DE52A2" w:rsidRPr="00E61811">
        <w:rPr>
          <w:rFonts w:ascii="Verdana" w:hAnsi="Verdana"/>
          <w:sz w:val="20"/>
          <w:szCs w:val="20"/>
          <w:lang w:val="es-CR" w:eastAsia="es-CR"/>
        </w:rPr>
        <w:t>. Ello será valorado por la Corte como “otra fuente de información” que le permita apreciar el cumplimiento de lo ordenado, conforme lo dispuesto en el artículo 69.2 de su Reglamento</w:t>
      </w:r>
      <w:r w:rsidR="0014551F" w:rsidRPr="00E61811">
        <w:rPr>
          <w:rFonts w:ascii="Verdana" w:hAnsi="Verdana"/>
          <w:sz w:val="20"/>
          <w:szCs w:val="20"/>
          <w:lang w:val="es-CR" w:eastAsia="es-CR"/>
        </w:rPr>
        <w:t xml:space="preserve"> de la Corte</w:t>
      </w:r>
      <w:r w:rsidR="00DE52A2" w:rsidRPr="00E61811">
        <w:rPr>
          <w:rFonts w:ascii="Verdana" w:hAnsi="Verdana"/>
          <w:sz w:val="20"/>
          <w:szCs w:val="20"/>
          <w:lang w:val="es-CR" w:eastAsia="es-CR"/>
        </w:rPr>
        <w:t>, y se</w:t>
      </w:r>
      <w:r w:rsidR="0014551F" w:rsidRPr="00E61811">
        <w:rPr>
          <w:rFonts w:ascii="Verdana" w:hAnsi="Verdana"/>
          <w:sz w:val="20"/>
          <w:szCs w:val="20"/>
          <w:lang w:val="es-CR" w:eastAsia="es-CR"/>
        </w:rPr>
        <w:t xml:space="preserve"> entiende que esta información</w:t>
      </w:r>
      <w:r w:rsidR="00DE52A2" w:rsidRPr="00E61811">
        <w:rPr>
          <w:rFonts w:ascii="Verdana" w:hAnsi="Verdana"/>
          <w:sz w:val="20"/>
          <w:szCs w:val="20"/>
          <w:lang w:val="es-CR" w:eastAsia="es-CR"/>
        </w:rPr>
        <w:t xml:space="preserve"> es distint</w:t>
      </w:r>
      <w:r w:rsidR="0014551F" w:rsidRPr="00E61811">
        <w:rPr>
          <w:rFonts w:ascii="Verdana" w:hAnsi="Verdana"/>
          <w:sz w:val="20"/>
          <w:szCs w:val="20"/>
          <w:lang w:val="es-CR" w:eastAsia="es-CR"/>
        </w:rPr>
        <w:t>a</w:t>
      </w:r>
      <w:r w:rsidR="00DE52A2" w:rsidRPr="00E61811">
        <w:rPr>
          <w:rFonts w:ascii="Verdana" w:hAnsi="Verdana"/>
          <w:sz w:val="20"/>
          <w:szCs w:val="20"/>
          <w:lang w:val="es-CR" w:eastAsia="es-CR"/>
        </w:rPr>
        <w:t xml:space="preserve"> a</w:t>
      </w:r>
      <w:r w:rsidR="0014551F" w:rsidRPr="00E61811">
        <w:rPr>
          <w:rFonts w:ascii="Verdana" w:hAnsi="Verdana"/>
          <w:sz w:val="20"/>
          <w:szCs w:val="20"/>
          <w:lang w:val="es-CR" w:eastAsia="es-CR"/>
        </w:rPr>
        <w:t xml:space="preserve"> </w:t>
      </w:r>
      <w:r w:rsidR="00DE52A2" w:rsidRPr="00E61811">
        <w:rPr>
          <w:rFonts w:ascii="Verdana" w:hAnsi="Verdana"/>
          <w:sz w:val="20"/>
          <w:szCs w:val="20"/>
          <w:lang w:val="es-CR" w:eastAsia="es-CR"/>
        </w:rPr>
        <w:t>l</w:t>
      </w:r>
      <w:r w:rsidR="0014551F" w:rsidRPr="00E61811">
        <w:rPr>
          <w:rFonts w:ascii="Verdana" w:hAnsi="Verdana"/>
          <w:sz w:val="20"/>
          <w:szCs w:val="20"/>
          <w:lang w:val="es-CR" w:eastAsia="es-CR"/>
        </w:rPr>
        <w:t>a</w:t>
      </w:r>
      <w:r w:rsidR="00DE52A2" w:rsidRPr="00E61811">
        <w:rPr>
          <w:rFonts w:ascii="Verdana" w:hAnsi="Verdana"/>
          <w:sz w:val="20"/>
          <w:szCs w:val="20"/>
          <w:lang w:val="es-CR" w:eastAsia="es-CR"/>
        </w:rPr>
        <w:t xml:space="preserve"> que brinda el Estado en su carácter de parte de este proceso de supervisión de cumplimiento</w:t>
      </w:r>
      <w:r w:rsidR="00B80213" w:rsidRPr="00E61811">
        <w:rPr>
          <w:rStyle w:val="FootnoteReference"/>
          <w:rFonts w:ascii="Verdana" w:hAnsi="Verdana"/>
          <w:sz w:val="20"/>
          <w:szCs w:val="20"/>
          <w:lang w:val="es-CR" w:eastAsia="es-CR"/>
        </w:rPr>
        <w:footnoteReference w:id="17"/>
      </w:r>
      <w:r w:rsidR="00DE52A2" w:rsidRPr="00E61811">
        <w:rPr>
          <w:rFonts w:ascii="Verdana" w:hAnsi="Verdana"/>
          <w:sz w:val="20"/>
          <w:szCs w:val="20"/>
          <w:lang w:val="es-CR" w:eastAsia="es-CR"/>
        </w:rPr>
        <w:t xml:space="preserve">. </w:t>
      </w:r>
      <w:r w:rsidR="009F6E4F" w:rsidRPr="00E61811">
        <w:rPr>
          <w:rFonts w:ascii="Verdana" w:hAnsi="Verdana"/>
          <w:sz w:val="20"/>
          <w:szCs w:val="20"/>
          <w:lang w:val="es-CR" w:eastAsia="es-CR"/>
        </w:rPr>
        <w:t xml:space="preserve">En una posterior resolución el Tribunal se pronunciará sobre las demás reparaciones pendientes de cumplimiento. </w:t>
      </w:r>
      <w:r w:rsidR="00AF2A84">
        <w:rPr>
          <w:rFonts w:ascii="Verdana" w:hAnsi="Verdana"/>
          <w:sz w:val="20"/>
          <w:szCs w:val="20"/>
          <w:lang w:val="es-CR" w:eastAsia="es-CR"/>
        </w:rPr>
        <w:t>La presente Resolución se estructurará en el siguiente orden:</w:t>
      </w:r>
    </w:p>
    <w:sdt>
      <w:sdtPr>
        <w:rPr>
          <w:rFonts w:asciiTheme="minorHAnsi" w:eastAsiaTheme="minorHAnsi" w:hAnsiTheme="minorHAnsi" w:cstheme="minorBidi"/>
          <w:b w:val="0"/>
          <w:bCs w:val="0"/>
          <w:color w:val="auto"/>
          <w:sz w:val="22"/>
          <w:szCs w:val="22"/>
          <w:lang w:eastAsia="en-US"/>
        </w:rPr>
        <w:id w:val="1537165706"/>
        <w:docPartObj>
          <w:docPartGallery w:val="Table of Contents"/>
          <w:docPartUnique/>
        </w:docPartObj>
      </w:sdtPr>
      <w:sdtEndPr>
        <w:rPr>
          <w:noProof/>
        </w:rPr>
      </w:sdtEndPr>
      <w:sdtContent>
        <w:p w14:paraId="059E546A" w14:textId="3D9193DB" w:rsidR="00AF2A84" w:rsidRDefault="00AF2A84">
          <w:pPr>
            <w:pStyle w:val="TOCHeading"/>
          </w:pPr>
        </w:p>
        <w:p w14:paraId="5C2FDB7E" w14:textId="77777777" w:rsidR="00AF2A84" w:rsidRPr="00AF2A84" w:rsidRDefault="00AF2A84" w:rsidP="00AF2A84">
          <w:pPr>
            <w:pStyle w:val="TOC1"/>
            <w:tabs>
              <w:tab w:val="left" w:pos="8789"/>
            </w:tabs>
            <w:ind w:right="288"/>
            <w:rPr>
              <w:noProof/>
            </w:rPr>
          </w:pPr>
          <w:r>
            <w:fldChar w:fldCharType="begin"/>
          </w:r>
          <w:r>
            <w:instrText xml:space="preserve"> TOC \o "1-3" \h \z \u </w:instrText>
          </w:r>
          <w:r>
            <w:fldChar w:fldCharType="separate"/>
          </w:r>
          <w:hyperlink w:anchor="_Toc492908836" w:history="1">
            <w:r w:rsidRPr="00AF2A84">
              <w:rPr>
                <w:rStyle w:val="Hyperlink"/>
                <w:rFonts w:ascii="Verdana" w:hAnsi="Verdana"/>
                <w:noProof/>
                <w:sz w:val="18"/>
                <w:szCs w:val="18"/>
                <w:lang w:val="es-CR"/>
              </w:rPr>
              <w:t>A.</w:t>
            </w:r>
            <w:r w:rsidRPr="00AF2A84">
              <w:rPr>
                <w:noProof/>
              </w:rPr>
              <w:tab/>
            </w:r>
            <w:r w:rsidRPr="00AF2A84">
              <w:rPr>
                <w:rStyle w:val="Hyperlink"/>
                <w:rFonts w:ascii="Verdana" w:hAnsi="Verdana"/>
                <w:noProof/>
                <w:sz w:val="18"/>
                <w:szCs w:val="18"/>
                <w:lang w:val="es-CR"/>
              </w:rPr>
              <w:t>Asegurar que la Ley de Amnistía General para la Consolidación de la Paz no sea un obstáculo para investigar los hechos</w:t>
            </w:r>
            <w:r w:rsidRPr="00AF2A84">
              <w:rPr>
                <w:noProof/>
                <w:webHidden/>
              </w:rPr>
              <w:tab/>
            </w:r>
            <w:r w:rsidRPr="00AF2A84">
              <w:rPr>
                <w:noProof/>
                <w:webHidden/>
              </w:rPr>
              <w:fldChar w:fldCharType="begin"/>
            </w:r>
            <w:r w:rsidRPr="00AF2A84">
              <w:rPr>
                <w:noProof/>
                <w:webHidden/>
              </w:rPr>
              <w:instrText xml:space="preserve"> PAGEREF _Toc492908836 \h </w:instrText>
            </w:r>
            <w:r w:rsidRPr="00AF2A84">
              <w:rPr>
                <w:noProof/>
                <w:webHidden/>
              </w:rPr>
            </w:r>
            <w:r w:rsidRPr="00AF2A84">
              <w:rPr>
                <w:noProof/>
                <w:webHidden/>
              </w:rPr>
              <w:fldChar w:fldCharType="separate"/>
            </w:r>
            <w:r w:rsidR="00F96D30">
              <w:rPr>
                <w:noProof/>
                <w:webHidden/>
              </w:rPr>
              <w:t>4</w:t>
            </w:r>
            <w:r w:rsidRPr="00AF2A84">
              <w:rPr>
                <w:noProof/>
                <w:webHidden/>
              </w:rPr>
              <w:fldChar w:fldCharType="end"/>
            </w:r>
          </w:hyperlink>
        </w:p>
        <w:p w14:paraId="33045421" w14:textId="77777777" w:rsidR="00AF2A84" w:rsidRPr="00AF2A84" w:rsidRDefault="00DC3A12" w:rsidP="00AF2A84">
          <w:pPr>
            <w:pStyle w:val="TOC1"/>
            <w:tabs>
              <w:tab w:val="left" w:pos="8789"/>
            </w:tabs>
            <w:ind w:right="288"/>
            <w:rPr>
              <w:noProof/>
            </w:rPr>
          </w:pPr>
          <w:hyperlink w:anchor="_Toc492908837" w:history="1">
            <w:r w:rsidR="00AF2A84" w:rsidRPr="00AF2A84">
              <w:rPr>
                <w:rStyle w:val="Hyperlink"/>
                <w:rFonts w:ascii="Verdana" w:hAnsi="Verdana"/>
                <w:noProof/>
                <w:sz w:val="18"/>
                <w:szCs w:val="18"/>
                <w:lang w:val="es-CR"/>
              </w:rPr>
              <w:t>B.</w:t>
            </w:r>
            <w:r w:rsidR="00AF2A84" w:rsidRPr="00AF2A84">
              <w:rPr>
                <w:noProof/>
              </w:rPr>
              <w:tab/>
            </w:r>
            <w:r w:rsidR="00AF2A84" w:rsidRPr="00AF2A84">
              <w:rPr>
                <w:rStyle w:val="Hyperlink"/>
                <w:rFonts w:ascii="Verdana" w:hAnsi="Verdana"/>
                <w:noProof/>
                <w:sz w:val="18"/>
                <w:szCs w:val="18"/>
                <w:lang w:val="es-CR"/>
              </w:rPr>
              <w:t>Obligación de investigar, juzgar y, de ser el caso, sancionar</w:t>
            </w:r>
            <w:r w:rsidR="00AF2A84" w:rsidRPr="00AF2A84">
              <w:rPr>
                <w:noProof/>
                <w:webHidden/>
              </w:rPr>
              <w:tab/>
            </w:r>
            <w:r w:rsidR="00AF2A84" w:rsidRPr="00AF2A84">
              <w:rPr>
                <w:noProof/>
                <w:webHidden/>
              </w:rPr>
              <w:fldChar w:fldCharType="begin"/>
            </w:r>
            <w:r w:rsidR="00AF2A84" w:rsidRPr="00AF2A84">
              <w:rPr>
                <w:noProof/>
                <w:webHidden/>
              </w:rPr>
              <w:instrText xml:space="preserve"> PAGEREF _Toc492908837 \h </w:instrText>
            </w:r>
            <w:r w:rsidR="00AF2A84" w:rsidRPr="00AF2A84">
              <w:rPr>
                <w:noProof/>
                <w:webHidden/>
              </w:rPr>
            </w:r>
            <w:r w:rsidR="00AF2A84" w:rsidRPr="00AF2A84">
              <w:rPr>
                <w:noProof/>
                <w:webHidden/>
              </w:rPr>
              <w:fldChar w:fldCharType="separate"/>
            </w:r>
            <w:r w:rsidR="00F96D30">
              <w:rPr>
                <w:noProof/>
                <w:webHidden/>
              </w:rPr>
              <w:t>10</w:t>
            </w:r>
            <w:r w:rsidR="00AF2A84" w:rsidRPr="00AF2A84">
              <w:rPr>
                <w:noProof/>
                <w:webHidden/>
              </w:rPr>
              <w:fldChar w:fldCharType="end"/>
            </w:r>
          </w:hyperlink>
        </w:p>
        <w:p w14:paraId="26191929" w14:textId="481C4A48" w:rsidR="00AF2A84" w:rsidRDefault="00AF2A84">
          <w:r>
            <w:rPr>
              <w:b/>
              <w:bCs/>
              <w:noProof/>
            </w:rPr>
            <w:fldChar w:fldCharType="end"/>
          </w:r>
        </w:p>
      </w:sdtContent>
    </w:sdt>
    <w:p w14:paraId="05AB9AAE" w14:textId="77777777" w:rsidR="008A0E74" w:rsidRPr="00E61811" w:rsidRDefault="0033374C" w:rsidP="00AF2A84">
      <w:pPr>
        <w:pStyle w:val="ListParagraph"/>
        <w:numPr>
          <w:ilvl w:val="0"/>
          <w:numId w:val="3"/>
        </w:numPr>
        <w:tabs>
          <w:tab w:val="left" w:pos="567"/>
        </w:tabs>
        <w:spacing w:after="0" w:line="240" w:lineRule="auto"/>
        <w:ind w:right="4"/>
        <w:jc w:val="both"/>
        <w:outlineLvl w:val="0"/>
        <w:rPr>
          <w:rFonts w:ascii="Verdana" w:hAnsi="Verdana"/>
          <w:b/>
          <w:sz w:val="20"/>
          <w:szCs w:val="20"/>
          <w:lang w:val="es-CR"/>
        </w:rPr>
      </w:pPr>
      <w:bookmarkStart w:id="7" w:name="_Toc492908836"/>
      <w:r w:rsidRPr="00E61811">
        <w:rPr>
          <w:rFonts w:ascii="Verdana" w:hAnsi="Verdana"/>
          <w:b/>
          <w:sz w:val="20"/>
          <w:szCs w:val="20"/>
          <w:lang w:val="es-CR"/>
        </w:rPr>
        <w:t xml:space="preserve">Asegurar que la </w:t>
      </w:r>
      <w:r w:rsidR="009F6E4F" w:rsidRPr="00E61811">
        <w:rPr>
          <w:rFonts w:ascii="Verdana" w:hAnsi="Verdana"/>
          <w:b/>
          <w:sz w:val="20"/>
          <w:szCs w:val="20"/>
          <w:lang w:val="es-CR"/>
        </w:rPr>
        <w:t>Ley de Amnistía General para la Consolidación de la Paz</w:t>
      </w:r>
      <w:r w:rsidRPr="00E61811">
        <w:rPr>
          <w:rFonts w:ascii="Verdana" w:hAnsi="Verdana"/>
          <w:b/>
          <w:sz w:val="20"/>
          <w:szCs w:val="20"/>
          <w:lang w:val="es-CR"/>
        </w:rPr>
        <w:t xml:space="preserve"> no sea un obstáculo para investigar los hechos</w:t>
      </w:r>
      <w:bookmarkEnd w:id="7"/>
    </w:p>
    <w:p w14:paraId="2359C700" w14:textId="77777777" w:rsidR="009F6E4F" w:rsidRDefault="009F6E4F" w:rsidP="009F6E4F">
      <w:pPr>
        <w:tabs>
          <w:tab w:val="left" w:pos="567"/>
        </w:tabs>
        <w:spacing w:after="0" w:line="240" w:lineRule="auto"/>
        <w:ind w:right="4"/>
        <w:jc w:val="both"/>
        <w:rPr>
          <w:rFonts w:ascii="Verdana" w:hAnsi="Verdana"/>
          <w:b/>
          <w:sz w:val="20"/>
          <w:szCs w:val="20"/>
          <w:lang w:val="es-CR"/>
        </w:rPr>
      </w:pPr>
    </w:p>
    <w:p w14:paraId="3910E67D" w14:textId="77777777" w:rsidR="00AF2A84" w:rsidRPr="00E61811" w:rsidRDefault="00AF2A84" w:rsidP="009F6E4F">
      <w:pPr>
        <w:tabs>
          <w:tab w:val="left" w:pos="567"/>
        </w:tabs>
        <w:spacing w:after="0" w:line="240" w:lineRule="auto"/>
        <w:ind w:right="4"/>
        <w:jc w:val="both"/>
        <w:rPr>
          <w:rFonts w:ascii="Verdana" w:hAnsi="Verdana"/>
          <w:b/>
          <w:sz w:val="20"/>
          <w:szCs w:val="20"/>
          <w:lang w:val="es-CR"/>
        </w:rPr>
      </w:pPr>
    </w:p>
    <w:p w14:paraId="463410E8" w14:textId="77777777" w:rsidR="009F6E4F" w:rsidRPr="00E61811" w:rsidRDefault="009F6E4F" w:rsidP="009F6E4F">
      <w:pPr>
        <w:tabs>
          <w:tab w:val="left" w:pos="567"/>
        </w:tabs>
        <w:spacing w:after="0" w:line="240" w:lineRule="auto"/>
        <w:ind w:right="4"/>
        <w:jc w:val="both"/>
        <w:rPr>
          <w:rFonts w:ascii="Verdana" w:hAnsi="Verdana"/>
          <w:i/>
          <w:sz w:val="20"/>
          <w:szCs w:val="20"/>
          <w:lang w:val="es-CR"/>
        </w:rPr>
      </w:pPr>
      <w:r w:rsidRPr="00E61811">
        <w:rPr>
          <w:rFonts w:ascii="Verdana" w:hAnsi="Verdana"/>
          <w:i/>
          <w:sz w:val="20"/>
          <w:szCs w:val="20"/>
          <w:lang w:val="es-CR"/>
        </w:rPr>
        <w:tab/>
        <w:t xml:space="preserve">A.1. Medida ordenada por la Corte </w:t>
      </w:r>
    </w:p>
    <w:p w14:paraId="58672D4A" w14:textId="77777777" w:rsidR="00AF2A84" w:rsidRPr="00E61811" w:rsidRDefault="00AF2A84" w:rsidP="009F6E4F">
      <w:pPr>
        <w:tabs>
          <w:tab w:val="left" w:pos="567"/>
        </w:tabs>
        <w:spacing w:after="0" w:line="240" w:lineRule="auto"/>
        <w:ind w:right="4"/>
        <w:jc w:val="both"/>
        <w:rPr>
          <w:rFonts w:ascii="Verdana" w:hAnsi="Verdana"/>
          <w:sz w:val="20"/>
          <w:szCs w:val="20"/>
          <w:lang w:val="es-CR"/>
        </w:rPr>
      </w:pPr>
    </w:p>
    <w:p w14:paraId="0E372DC5" w14:textId="3DE173EC" w:rsidR="00201008" w:rsidRPr="00E61811" w:rsidRDefault="00201008" w:rsidP="00201008">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 xml:space="preserve">La Corte consideró que </w:t>
      </w:r>
      <w:r w:rsidR="004055D7">
        <w:rPr>
          <w:rFonts w:ascii="Verdana" w:hAnsi="Verdana"/>
          <w:sz w:val="20"/>
          <w:szCs w:val="20"/>
          <w:lang w:val="es-CR"/>
        </w:rPr>
        <w:t>“</w:t>
      </w:r>
      <w:r w:rsidRPr="00E61811">
        <w:rPr>
          <w:rFonts w:ascii="Verdana" w:hAnsi="Verdana"/>
          <w:sz w:val="20"/>
          <w:szCs w:val="20"/>
          <w:lang w:val="es-CR"/>
        </w:rPr>
        <w:t xml:space="preserve">la Ley de Amnistía General para la Consolidación de la Paz ha tenido como consecuencia la instauración y perpetuación de una situación de impunidad debido a la falta de investigación, persecución, captura, enjuiciamiento y sanción de los responsables de los hechos, incumpliendo asimismo los artículos 1.1 y 2 de la Convención </w:t>
      </w:r>
      <w:r w:rsidRPr="00E61811">
        <w:rPr>
          <w:rFonts w:ascii="Verdana" w:hAnsi="Verdana"/>
          <w:sz w:val="20"/>
          <w:szCs w:val="20"/>
          <w:lang w:val="es-CR"/>
        </w:rPr>
        <w:lastRenderedPageBreak/>
        <w:t>Americana, referida esta última norma a la obligación de adecuar su derecho interno a lo previsto en ella</w:t>
      </w:r>
      <w:r w:rsidR="004055D7">
        <w:rPr>
          <w:rFonts w:ascii="Verdana" w:hAnsi="Verdana"/>
          <w:sz w:val="20"/>
          <w:szCs w:val="20"/>
          <w:lang w:val="es-CR"/>
        </w:rPr>
        <w:t>”</w:t>
      </w:r>
      <w:r w:rsidR="00FE5CE2">
        <w:rPr>
          <w:rStyle w:val="FootnoteReference"/>
          <w:rFonts w:ascii="Verdana" w:hAnsi="Verdana"/>
          <w:sz w:val="20"/>
          <w:szCs w:val="20"/>
          <w:lang w:val="es-CR"/>
        </w:rPr>
        <w:footnoteReference w:id="18"/>
      </w:r>
      <w:r w:rsidR="00F411E3" w:rsidRPr="00E61811">
        <w:rPr>
          <w:rFonts w:ascii="Verdana" w:hAnsi="Verdana"/>
          <w:sz w:val="20"/>
          <w:szCs w:val="20"/>
          <w:lang w:val="es-CR"/>
        </w:rPr>
        <w:t>.</w:t>
      </w:r>
    </w:p>
    <w:p w14:paraId="75E395DC" w14:textId="77777777" w:rsidR="00F411E3" w:rsidRPr="00E61811" w:rsidRDefault="00F411E3" w:rsidP="00F411E3">
      <w:pPr>
        <w:pStyle w:val="ListParagraph"/>
        <w:tabs>
          <w:tab w:val="left" w:pos="567"/>
        </w:tabs>
        <w:spacing w:after="0" w:line="240" w:lineRule="auto"/>
        <w:ind w:left="0" w:right="4"/>
        <w:jc w:val="both"/>
        <w:rPr>
          <w:rFonts w:ascii="Verdana" w:hAnsi="Verdana"/>
          <w:sz w:val="20"/>
          <w:szCs w:val="20"/>
          <w:lang w:val="es-CR"/>
        </w:rPr>
      </w:pPr>
    </w:p>
    <w:p w14:paraId="36F91B13" w14:textId="1607682B" w:rsidR="00F411E3" w:rsidRPr="00E61811" w:rsidRDefault="00535C68" w:rsidP="00F411E3">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8" w:name="_Ref493513441"/>
      <w:r>
        <w:rPr>
          <w:rFonts w:ascii="Verdana" w:hAnsi="Verdana"/>
          <w:sz w:val="20"/>
          <w:szCs w:val="20"/>
          <w:lang w:val="es-CR"/>
        </w:rPr>
        <w:t xml:space="preserve">En </w:t>
      </w:r>
      <w:r w:rsidR="00F411E3" w:rsidRPr="00E61811">
        <w:rPr>
          <w:rFonts w:ascii="Verdana" w:hAnsi="Verdana"/>
          <w:sz w:val="20"/>
          <w:szCs w:val="20"/>
          <w:lang w:val="es-CR"/>
        </w:rPr>
        <w:t xml:space="preserve">la Sentencia </w:t>
      </w:r>
      <w:r>
        <w:rPr>
          <w:rFonts w:ascii="Verdana" w:hAnsi="Verdana"/>
          <w:sz w:val="20"/>
          <w:szCs w:val="20"/>
          <w:lang w:val="es-CR"/>
        </w:rPr>
        <w:t xml:space="preserve">se determinó </w:t>
      </w:r>
      <w:r w:rsidR="00F411E3" w:rsidRPr="00E61811">
        <w:rPr>
          <w:rFonts w:ascii="Verdana" w:hAnsi="Verdana"/>
          <w:sz w:val="20"/>
          <w:szCs w:val="20"/>
          <w:lang w:val="es-CR"/>
        </w:rPr>
        <w:t xml:space="preserve">que la Ley de Amnistía General para la Consolidación de la Paz no cumplía con los estándares del Derecho Internacional de los Derechos Humanos y del Derecho Internacional Humanitario, por cuanto “amplió la posibilidad de impedir la investigación penal y la determinación de responsabilidades a aquellas personas que hubieran participado como autores inmediatos, mediatos o cómplices en la comisión de graves violaciones a los derechos humanos e infracciones graves del derecho internacional humanitario durante el conflicto armado interno, incluidos aquellos casos ejemplarizantes determinados por la Comisión de la Verdad”, siendo así que dicha </w:t>
      </w:r>
      <w:r w:rsidR="004055D7">
        <w:rPr>
          <w:rFonts w:ascii="Verdana" w:hAnsi="Verdana"/>
          <w:sz w:val="20"/>
          <w:szCs w:val="20"/>
          <w:lang w:val="es-CR"/>
        </w:rPr>
        <w:t>l</w:t>
      </w:r>
      <w:r w:rsidR="00F411E3" w:rsidRPr="00E61811">
        <w:rPr>
          <w:rFonts w:ascii="Verdana" w:hAnsi="Verdana"/>
          <w:sz w:val="20"/>
          <w:szCs w:val="20"/>
          <w:lang w:val="es-CR"/>
        </w:rPr>
        <w:t>ey tuvo como finalidad “amnistiar y dejar impunes la totalidad de los graves hechos delictivos contra el derecho internacional cometidos durante el conflicto armado interno”</w:t>
      </w:r>
      <w:r w:rsidR="006D7D32">
        <w:rPr>
          <w:rStyle w:val="FootnoteReference"/>
          <w:rFonts w:ascii="Verdana" w:hAnsi="Verdana"/>
          <w:sz w:val="20"/>
          <w:szCs w:val="20"/>
          <w:lang w:val="es-CR"/>
        </w:rPr>
        <w:footnoteReference w:id="19"/>
      </w:r>
      <w:r w:rsidR="00F411E3" w:rsidRPr="00E61811">
        <w:rPr>
          <w:rFonts w:ascii="Verdana" w:hAnsi="Verdana"/>
          <w:sz w:val="20"/>
          <w:szCs w:val="20"/>
          <w:lang w:val="es-CR"/>
        </w:rPr>
        <w:t>.</w:t>
      </w:r>
      <w:bookmarkEnd w:id="8"/>
    </w:p>
    <w:p w14:paraId="0D906F03" w14:textId="77777777" w:rsidR="00201008" w:rsidRPr="00E61811" w:rsidRDefault="00201008" w:rsidP="00201008">
      <w:pPr>
        <w:pStyle w:val="ListParagraph"/>
        <w:tabs>
          <w:tab w:val="left" w:pos="567"/>
        </w:tabs>
        <w:spacing w:after="0" w:line="240" w:lineRule="auto"/>
        <w:ind w:left="0" w:right="4"/>
        <w:jc w:val="both"/>
        <w:rPr>
          <w:rFonts w:ascii="Verdana" w:hAnsi="Verdana"/>
          <w:sz w:val="20"/>
          <w:szCs w:val="20"/>
          <w:lang w:val="es-CR"/>
        </w:rPr>
      </w:pPr>
    </w:p>
    <w:p w14:paraId="78FF8806" w14:textId="6C1C9B86" w:rsidR="00201008" w:rsidRPr="000C2549" w:rsidRDefault="00201008" w:rsidP="00A67806">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9" w:name="_Ref493513447"/>
      <w:r w:rsidRPr="000C2549">
        <w:rPr>
          <w:rFonts w:ascii="Verdana" w:hAnsi="Verdana"/>
          <w:sz w:val="20"/>
          <w:szCs w:val="20"/>
          <w:lang w:val="es-CR"/>
        </w:rPr>
        <w:t>Al respecto, la Ley de Amnistía General para la Consolidación de la Paz de 1993 establecía en su artículo 1 que “[s]e concede amnistía amplia, absoluta e incondicional a favor de todas las personas que en cualquier forma hayan participado en la comisión de delitos políticos, comunes conexos con éstos y en delitos comunes cometidos por un número de personas que no baje de veinte antes del primero de enero de mil novecientos noventa y dos, ya sea que contra dichas personas se hubiere dictado sentencia, se haya iniciado o no procedimiento por los mismos delitos, concediéndose esta gracia a todas las personas que hayan participado como autores inmediatos, mediatos o cómplices en los hechos delictivos antes referidos. La gracia de la amnistía se extiende a las personas a las que se refiere el artículo 6 de la Ley de Reconciliación Nacional”</w:t>
      </w:r>
      <w:r w:rsidR="006D7D32">
        <w:rPr>
          <w:rStyle w:val="FootnoteReference"/>
          <w:rFonts w:ascii="Verdana" w:hAnsi="Verdana"/>
          <w:sz w:val="20"/>
          <w:szCs w:val="20"/>
          <w:lang w:val="es-CR"/>
        </w:rPr>
        <w:footnoteReference w:id="20"/>
      </w:r>
      <w:r w:rsidRPr="000C2549">
        <w:rPr>
          <w:rFonts w:ascii="Verdana" w:hAnsi="Verdana"/>
          <w:sz w:val="20"/>
          <w:szCs w:val="20"/>
          <w:lang w:val="es-CR"/>
        </w:rPr>
        <w:t xml:space="preserve">. La Corte constató que esta </w:t>
      </w:r>
      <w:r w:rsidR="004055D7">
        <w:rPr>
          <w:rFonts w:ascii="Verdana" w:hAnsi="Verdana"/>
          <w:sz w:val="20"/>
          <w:szCs w:val="20"/>
          <w:lang w:val="es-CR"/>
        </w:rPr>
        <w:t>l</w:t>
      </w:r>
      <w:r w:rsidRPr="000C2549">
        <w:rPr>
          <w:rFonts w:ascii="Verdana" w:hAnsi="Verdana"/>
          <w:sz w:val="20"/>
          <w:szCs w:val="20"/>
          <w:lang w:val="es-CR"/>
        </w:rPr>
        <w:t xml:space="preserve">ey planteó entonces una amnistía “amplia, absoluta e incondicional”, </w:t>
      </w:r>
      <w:r w:rsidR="004055D7">
        <w:rPr>
          <w:rFonts w:ascii="Verdana" w:hAnsi="Verdana"/>
          <w:sz w:val="20"/>
          <w:szCs w:val="20"/>
          <w:lang w:val="es-CR"/>
        </w:rPr>
        <w:t>contrari</w:t>
      </w:r>
      <w:r w:rsidR="004055D7" w:rsidRPr="00E61811">
        <w:rPr>
          <w:rFonts w:ascii="Verdana" w:hAnsi="Verdana"/>
          <w:sz w:val="20"/>
          <w:szCs w:val="20"/>
          <w:lang w:val="es-CR"/>
        </w:rPr>
        <w:t>a</w:t>
      </w:r>
      <w:r w:rsidR="004055D7">
        <w:rPr>
          <w:rFonts w:ascii="Verdana" w:hAnsi="Verdana"/>
          <w:sz w:val="20"/>
          <w:szCs w:val="20"/>
          <w:lang w:val="es-CR"/>
        </w:rPr>
        <w:t xml:space="preserve"> a</w:t>
      </w:r>
      <w:r w:rsidR="004055D7" w:rsidRPr="00E61811">
        <w:rPr>
          <w:rFonts w:ascii="Verdana" w:hAnsi="Verdana"/>
          <w:sz w:val="20"/>
          <w:szCs w:val="20"/>
          <w:lang w:val="es-CR"/>
        </w:rPr>
        <w:t xml:space="preserve"> “la letra y espíritu de los Acuerdos de Paz</w:t>
      </w:r>
      <w:r w:rsidRPr="00E61811">
        <w:rPr>
          <w:rStyle w:val="FootnoteReference"/>
          <w:rFonts w:ascii="Verdana" w:hAnsi="Verdana"/>
          <w:sz w:val="20"/>
          <w:szCs w:val="20"/>
          <w:lang w:val="es-CR"/>
        </w:rPr>
        <w:footnoteReference w:id="21"/>
      </w:r>
      <w:r w:rsidRPr="000C2549">
        <w:rPr>
          <w:rFonts w:ascii="Verdana" w:hAnsi="Verdana"/>
          <w:sz w:val="20"/>
          <w:szCs w:val="20"/>
          <w:lang w:val="es-CR"/>
        </w:rPr>
        <w:t xml:space="preserve">, que prohibía las amnistías </w:t>
      </w:r>
      <w:r w:rsidR="004055D7">
        <w:rPr>
          <w:rFonts w:ascii="Verdana" w:hAnsi="Verdana"/>
          <w:sz w:val="20"/>
          <w:szCs w:val="20"/>
          <w:lang w:val="es-CR"/>
        </w:rPr>
        <w:t>a hechos de</w:t>
      </w:r>
      <w:r w:rsidRPr="000C2549">
        <w:rPr>
          <w:rFonts w:ascii="Verdana" w:hAnsi="Verdana"/>
          <w:sz w:val="20"/>
          <w:szCs w:val="20"/>
          <w:lang w:val="es-CR"/>
        </w:rPr>
        <w:t xml:space="preserve"> graves violaciones a derechos humanos y</w:t>
      </w:r>
      <w:r w:rsidR="004055D7">
        <w:rPr>
          <w:rFonts w:ascii="Verdana" w:hAnsi="Verdana"/>
          <w:sz w:val="20"/>
          <w:szCs w:val="20"/>
          <w:lang w:val="es-CR"/>
        </w:rPr>
        <w:t>,</w:t>
      </w:r>
      <w:r w:rsidRPr="000C2549">
        <w:rPr>
          <w:rFonts w:ascii="Verdana" w:hAnsi="Verdana"/>
          <w:sz w:val="20"/>
          <w:szCs w:val="20"/>
          <w:lang w:val="es-CR"/>
        </w:rPr>
        <w:t xml:space="preserve"> en consecuencia, se determinó la responsabilidad internacional del Estado</w:t>
      </w:r>
      <w:r w:rsidR="000C2549">
        <w:rPr>
          <w:rFonts w:ascii="Verdana" w:hAnsi="Verdana"/>
          <w:sz w:val="20"/>
          <w:szCs w:val="20"/>
          <w:lang w:val="es-CR"/>
        </w:rPr>
        <w:t xml:space="preserve"> por el incumplimiento de</w:t>
      </w:r>
      <w:r w:rsidR="000C2549" w:rsidRPr="000C2549">
        <w:rPr>
          <w:rFonts w:ascii="Verdana" w:hAnsi="Verdana"/>
          <w:sz w:val="20"/>
          <w:szCs w:val="20"/>
          <w:lang w:val="es-CR"/>
        </w:rPr>
        <w:t xml:space="preserve"> “la obligación internacional del Estado de investigar y sancionar las graves violaciones de derechos humanos referidas a las masacres de El Mozote y lugares aledaños, al impedir que los sobrevivientes y los familiares de las víctimas en el presente caso fueran oídos por un juez, conforme a lo señalado en el artículo 8.1 de la Convención Americana y recibieran protección judicial, según el derecho establecido en el artículo 25 del mismo instrumento”</w:t>
      </w:r>
      <w:r w:rsidR="004055D7">
        <w:rPr>
          <w:rStyle w:val="FootnoteReference"/>
          <w:rFonts w:ascii="Verdana" w:hAnsi="Verdana"/>
          <w:sz w:val="20"/>
          <w:szCs w:val="20"/>
          <w:lang w:val="es-CR"/>
        </w:rPr>
        <w:footnoteReference w:id="22"/>
      </w:r>
      <w:r w:rsidRPr="000C2549">
        <w:rPr>
          <w:rFonts w:ascii="Verdana" w:hAnsi="Verdana"/>
          <w:sz w:val="20"/>
          <w:szCs w:val="20"/>
          <w:lang w:val="es-CR"/>
        </w:rPr>
        <w:t>.</w:t>
      </w:r>
      <w:bookmarkEnd w:id="9"/>
    </w:p>
    <w:p w14:paraId="7E124862" w14:textId="77777777" w:rsidR="00161567" w:rsidRPr="00E61811" w:rsidRDefault="00161567" w:rsidP="00161567">
      <w:pPr>
        <w:pStyle w:val="ListParagraph"/>
        <w:tabs>
          <w:tab w:val="left" w:pos="567"/>
        </w:tabs>
        <w:spacing w:after="0" w:line="240" w:lineRule="auto"/>
        <w:ind w:left="0" w:right="4"/>
        <w:jc w:val="both"/>
        <w:rPr>
          <w:rFonts w:ascii="Verdana" w:hAnsi="Verdana"/>
          <w:sz w:val="20"/>
          <w:szCs w:val="20"/>
          <w:lang w:val="es-CR"/>
        </w:rPr>
      </w:pPr>
    </w:p>
    <w:p w14:paraId="1E6FE1B2" w14:textId="722BBBD5" w:rsidR="009F6E4F" w:rsidRPr="00E61811" w:rsidRDefault="009F6E4F" w:rsidP="00932420">
      <w:pPr>
        <w:pStyle w:val="ListParagraph"/>
        <w:numPr>
          <w:ilvl w:val="0"/>
          <w:numId w:val="2"/>
        </w:numPr>
        <w:tabs>
          <w:tab w:val="left" w:pos="567"/>
        </w:tabs>
        <w:spacing w:after="0" w:line="240" w:lineRule="auto"/>
        <w:ind w:left="0" w:right="4" w:firstLine="0"/>
        <w:jc w:val="both"/>
        <w:rPr>
          <w:rFonts w:ascii="Verdana" w:hAnsi="Verdana"/>
          <w:sz w:val="20"/>
          <w:szCs w:val="20"/>
          <w:lang w:val="es-CR" w:eastAsia="es-CR"/>
        </w:rPr>
      </w:pPr>
      <w:r w:rsidRPr="00E61811">
        <w:rPr>
          <w:rFonts w:ascii="Verdana" w:hAnsi="Verdana"/>
          <w:sz w:val="20"/>
          <w:szCs w:val="20"/>
          <w:lang w:val="es-CR"/>
        </w:rPr>
        <w:lastRenderedPageBreak/>
        <w:t>En el punto resolutivo cuarto y en el párrafo 318 de la Sentencia, la Corte dispuso que</w:t>
      </w:r>
      <w:r w:rsidR="00B2071A" w:rsidRPr="00E61811">
        <w:rPr>
          <w:rFonts w:ascii="Verdana" w:hAnsi="Verdana"/>
          <w:sz w:val="20"/>
          <w:szCs w:val="20"/>
          <w:lang w:val="es-CR"/>
        </w:rPr>
        <w:t>, “dado que la Le</w:t>
      </w:r>
      <w:r w:rsidR="00161567" w:rsidRPr="00E61811">
        <w:rPr>
          <w:rFonts w:ascii="Verdana" w:hAnsi="Verdana"/>
          <w:sz w:val="20"/>
          <w:szCs w:val="20"/>
          <w:lang w:val="es-CR"/>
        </w:rPr>
        <w:t>y de Amnistía General para la Consolidación de la Paz carece de efectos”, con base en las consideraciones de fondo señaladas en la misma Sentencia (</w:t>
      </w:r>
      <w:r w:rsidR="004055D7">
        <w:rPr>
          <w:rFonts w:ascii="Verdana" w:hAnsi="Verdana"/>
          <w:i/>
          <w:sz w:val="20"/>
          <w:szCs w:val="20"/>
          <w:lang w:val="es-CR"/>
        </w:rPr>
        <w:t>supra</w:t>
      </w:r>
      <w:r w:rsidR="004055D7">
        <w:rPr>
          <w:rFonts w:ascii="Verdana" w:hAnsi="Verdana"/>
          <w:sz w:val="20"/>
          <w:szCs w:val="20"/>
          <w:lang w:val="es-CR"/>
        </w:rPr>
        <w:t xml:space="preserve"> Considerandos </w:t>
      </w:r>
      <w:r w:rsidR="004055D7">
        <w:rPr>
          <w:rFonts w:ascii="Verdana" w:hAnsi="Verdana"/>
          <w:sz w:val="20"/>
          <w:szCs w:val="20"/>
          <w:lang w:val="es-CR"/>
        </w:rPr>
        <w:fldChar w:fldCharType="begin"/>
      </w:r>
      <w:r w:rsidR="004055D7">
        <w:rPr>
          <w:rFonts w:ascii="Verdana" w:hAnsi="Verdana"/>
          <w:sz w:val="20"/>
          <w:szCs w:val="20"/>
          <w:lang w:val="es-CR"/>
        </w:rPr>
        <w:instrText xml:space="preserve"> REF _Ref493513441 \r \h </w:instrText>
      </w:r>
      <w:r w:rsidR="004055D7">
        <w:rPr>
          <w:rFonts w:ascii="Verdana" w:hAnsi="Verdana"/>
          <w:sz w:val="20"/>
          <w:szCs w:val="20"/>
          <w:lang w:val="es-CR"/>
        </w:rPr>
      </w:r>
      <w:r w:rsidR="004055D7">
        <w:rPr>
          <w:rFonts w:ascii="Verdana" w:hAnsi="Verdana"/>
          <w:sz w:val="20"/>
          <w:szCs w:val="20"/>
          <w:lang w:val="es-CR"/>
        </w:rPr>
        <w:fldChar w:fldCharType="separate"/>
      </w:r>
      <w:r w:rsidR="00F96D30">
        <w:rPr>
          <w:rFonts w:ascii="Verdana" w:hAnsi="Verdana"/>
          <w:sz w:val="20"/>
          <w:szCs w:val="20"/>
          <w:lang w:val="es-CR"/>
        </w:rPr>
        <w:t>5</w:t>
      </w:r>
      <w:r w:rsidR="004055D7">
        <w:rPr>
          <w:rFonts w:ascii="Verdana" w:hAnsi="Verdana"/>
          <w:sz w:val="20"/>
          <w:szCs w:val="20"/>
          <w:lang w:val="es-CR"/>
        </w:rPr>
        <w:fldChar w:fldCharType="end"/>
      </w:r>
      <w:r w:rsidR="004055D7">
        <w:rPr>
          <w:rFonts w:ascii="Verdana" w:hAnsi="Verdana"/>
          <w:sz w:val="20"/>
          <w:szCs w:val="20"/>
          <w:lang w:val="es-CR"/>
        </w:rPr>
        <w:t xml:space="preserve"> y </w:t>
      </w:r>
      <w:r w:rsidR="004055D7">
        <w:rPr>
          <w:rFonts w:ascii="Verdana" w:hAnsi="Verdana"/>
          <w:sz w:val="20"/>
          <w:szCs w:val="20"/>
          <w:lang w:val="es-CR"/>
        </w:rPr>
        <w:fldChar w:fldCharType="begin"/>
      </w:r>
      <w:r w:rsidR="004055D7">
        <w:rPr>
          <w:rFonts w:ascii="Verdana" w:hAnsi="Verdana"/>
          <w:sz w:val="20"/>
          <w:szCs w:val="20"/>
          <w:lang w:val="es-CR"/>
        </w:rPr>
        <w:instrText xml:space="preserve"> REF _Ref493513447 \r \h </w:instrText>
      </w:r>
      <w:r w:rsidR="004055D7">
        <w:rPr>
          <w:rFonts w:ascii="Verdana" w:hAnsi="Verdana"/>
          <w:sz w:val="20"/>
          <w:szCs w:val="20"/>
          <w:lang w:val="es-CR"/>
        </w:rPr>
      </w:r>
      <w:r w:rsidR="004055D7">
        <w:rPr>
          <w:rFonts w:ascii="Verdana" w:hAnsi="Verdana"/>
          <w:sz w:val="20"/>
          <w:szCs w:val="20"/>
          <w:lang w:val="es-CR"/>
        </w:rPr>
        <w:fldChar w:fldCharType="separate"/>
      </w:r>
      <w:r w:rsidR="00F96D30">
        <w:rPr>
          <w:rFonts w:ascii="Verdana" w:hAnsi="Verdana"/>
          <w:sz w:val="20"/>
          <w:szCs w:val="20"/>
          <w:lang w:val="es-CR"/>
        </w:rPr>
        <w:t>6</w:t>
      </w:r>
      <w:r w:rsidR="004055D7">
        <w:rPr>
          <w:rFonts w:ascii="Verdana" w:hAnsi="Verdana"/>
          <w:sz w:val="20"/>
          <w:szCs w:val="20"/>
          <w:lang w:val="es-CR"/>
        </w:rPr>
        <w:fldChar w:fldCharType="end"/>
      </w:r>
      <w:r w:rsidR="004055D7">
        <w:rPr>
          <w:rFonts w:ascii="Verdana" w:hAnsi="Verdana"/>
          <w:sz w:val="20"/>
          <w:szCs w:val="20"/>
          <w:lang w:val="es-CR"/>
        </w:rPr>
        <w:t>)</w:t>
      </w:r>
      <w:r w:rsidR="00161567" w:rsidRPr="00E61811">
        <w:rPr>
          <w:rFonts w:ascii="Verdana" w:hAnsi="Verdana"/>
          <w:sz w:val="20"/>
          <w:szCs w:val="20"/>
          <w:lang w:val="es-CR"/>
        </w:rPr>
        <w:t>, El Salvador</w:t>
      </w:r>
      <w:r w:rsidRPr="00E61811">
        <w:rPr>
          <w:rFonts w:ascii="Verdana" w:hAnsi="Verdana"/>
          <w:sz w:val="20"/>
          <w:szCs w:val="20"/>
          <w:lang w:val="es-CR"/>
        </w:rPr>
        <w:t xml:space="preserve"> debía </w:t>
      </w:r>
      <w:r w:rsidRPr="00E61811">
        <w:rPr>
          <w:rFonts w:ascii="Verdana" w:hAnsi="Verdana"/>
          <w:sz w:val="20"/>
          <w:szCs w:val="20"/>
          <w:lang w:val="es-CR" w:eastAsia="es-CR"/>
        </w:rPr>
        <w:t xml:space="preserve">“[…] asegurar que </w:t>
      </w:r>
      <w:r w:rsidR="00161567" w:rsidRPr="00E61811">
        <w:rPr>
          <w:rFonts w:ascii="Verdana" w:hAnsi="Verdana"/>
          <w:sz w:val="20"/>
          <w:szCs w:val="20"/>
          <w:lang w:val="es-CR" w:eastAsia="es-CR"/>
        </w:rPr>
        <w:t>[la misma]</w:t>
      </w:r>
      <w:r w:rsidRPr="00E61811">
        <w:rPr>
          <w:rFonts w:ascii="Verdana" w:hAnsi="Verdana"/>
          <w:sz w:val="20"/>
          <w:szCs w:val="20"/>
          <w:lang w:val="es-CR" w:eastAsia="es-CR"/>
        </w:rPr>
        <w:t xml:space="preserve"> no vuelva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w:t>
      </w:r>
      <w:r w:rsidRPr="00E61811">
        <w:rPr>
          <w:rStyle w:val="FootnoteReference"/>
          <w:rFonts w:ascii="Verdana" w:hAnsi="Verdana"/>
          <w:sz w:val="20"/>
          <w:szCs w:val="20"/>
          <w:lang w:val="es-CR" w:eastAsia="es-CR"/>
        </w:rPr>
        <w:footnoteReference w:id="23"/>
      </w:r>
      <w:r w:rsidRPr="00E61811">
        <w:rPr>
          <w:rFonts w:ascii="Verdana" w:hAnsi="Verdana"/>
          <w:sz w:val="20"/>
          <w:szCs w:val="20"/>
          <w:lang w:val="es-CR" w:eastAsia="es-CR"/>
        </w:rPr>
        <w:t>”</w:t>
      </w:r>
      <w:r w:rsidR="00932420" w:rsidRPr="00E61811">
        <w:rPr>
          <w:rFonts w:ascii="Verdana" w:hAnsi="Verdana"/>
          <w:sz w:val="20"/>
          <w:szCs w:val="20"/>
          <w:lang w:val="es-CR" w:eastAsia="es-CR"/>
        </w:rPr>
        <w:t>.</w:t>
      </w:r>
    </w:p>
    <w:p w14:paraId="45323A83" w14:textId="77777777" w:rsidR="008F22D5" w:rsidRDefault="008F22D5" w:rsidP="009A27CF">
      <w:pPr>
        <w:pStyle w:val="ListParagraph"/>
        <w:tabs>
          <w:tab w:val="left" w:pos="567"/>
        </w:tabs>
        <w:spacing w:after="0" w:line="240" w:lineRule="auto"/>
        <w:ind w:left="0" w:right="4"/>
        <w:jc w:val="both"/>
        <w:rPr>
          <w:rFonts w:ascii="Verdana" w:hAnsi="Verdana"/>
          <w:sz w:val="20"/>
          <w:szCs w:val="20"/>
          <w:lang w:val="es-CR" w:eastAsia="es-CR"/>
        </w:rPr>
      </w:pPr>
    </w:p>
    <w:p w14:paraId="2970E779" w14:textId="77777777" w:rsidR="00AF2A84" w:rsidRPr="00E61811" w:rsidRDefault="00AF2A84" w:rsidP="009A27CF">
      <w:pPr>
        <w:pStyle w:val="ListParagraph"/>
        <w:tabs>
          <w:tab w:val="left" w:pos="567"/>
        </w:tabs>
        <w:spacing w:after="0" w:line="240" w:lineRule="auto"/>
        <w:ind w:left="0" w:right="4"/>
        <w:jc w:val="both"/>
        <w:rPr>
          <w:rFonts w:ascii="Verdana" w:hAnsi="Verdana"/>
          <w:sz w:val="20"/>
          <w:szCs w:val="20"/>
          <w:lang w:val="es-CR" w:eastAsia="es-CR"/>
        </w:rPr>
      </w:pPr>
    </w:p>
    <w:p w14:paraId="32FB8D0E" w14:textId="77777777" w:rsidR="00201008" w:rsidRPr="00E61811" w:rsidRDefault="00B2058A" w:rsidP="009F6E4F">
      <w:pPr>
        <w:tabs>
          <w:tab w:val="left" w:pos="567"/>
        </w:tabs>
        <w:spacing w:after="0" w:line="240" w:lineRule="auto"/>
        <w:ind w:right="4"/>
        <w:jc w:val="both"/>
        <w:rPr>
          <w:rFonts w:ascii="Verdana" w:hAnsi="Verdana"/>
          <w:i/>
          <w:sz w:val="20"/>
          <w:szCs w:val="20"/>
          <w:lang w:val="es-CR" w:eastAsia="es-CR"/>
        </w:rPr>
      </w:pPr>
      <w:r w:rsidRPr="00E61811">
        <w:rPr>
          <w:rFonts w:ascii="Verdana" w:hAnsi="Verdana"/>
          <w:i/>
          <w:sz w:val="20"/>
          <w:szCs w:val="20"/>
          <w:lang w:val="es-CR" w:eastAsia="es-CR"/>
        </w:rPr>
        <w:tab/>
      </w:r>
      <w:r w:rsidR="00201008" w:rsidRPr="00E61811">
        <w:rPr>
          <w:rFonts w:ascii="Verdana" w:hAnsi="Verdana"/>
          <w:i/>
          <w:sz w:val="20"/>
          <w:szCs w:val="20"/>
          <w:lang w:val="es-CR" w:eastAsia="es-CR"/>
        </w:rPr>
        <w:t>A.2. Supervisión realizada mediante audiencia</w:t>
      </w:r>
    </w:p>
    <w:p w14:paraId="775F2747" w14:textId="77777777" w:rsidR="00201008" w:rsidRPr="00E61811" w:rsidRDefault="00201008" w:rsidP="009F6E4F">
      <w:pPr>
        <w:tabs>
          <w:tab w:val="left" w:pos="567"/>
        </w:tabs>
        <w:spacing w:after="0" w:line="240" w:lineRule="auto"/>
        <w:ind w:right="4"/>
        <w:jc w:val="both"/>
        <w:rPr>
          <w:rFonts w:ascii="Verdana" w:hAnsi="Verdana"/>
          <w:i/>
          <w:sz w:val="20"/>
          <w:szCs w:val="20"/>
          <w:lang w:val="es-CR" w:eastAsia="es-CR"/>
        </w:rPr>
      </w:pPr>
    </w:p>
    <w:p w14:paraId="1872BCCA" w14:textId="74C62C3A" w:rsidR="00201008" w:rsidRPr="00E61811" w:rsidRDefault="00201008" w:rsidP="007A75AF">
      <w:pPr>
        <w:pStyle w:val="ListParagraph"/>
        <w:numPr>
          <w:ilvl w:val="0"/>
          <w:numId w:val="2"/>
        </w:numPr>
        <w:tabs>
          <w:tab w:val="left" w:pos="567"/>
        </w:tabs>
        <w:spacing w:after="0" w:line="240" w:lineRule="auto"/>
        <w:ind w:left="0" w:right="4" w:firstLine="0"/>
        <w:jc w:val="both"/>
        <w:rPr>
          <w:rFonts w:ascii="Verdana" w:hAnsi="Verdana"/>
          <w:i/>
          <w:sz w:val="20"/>
          <w:szCs w:val="20"/>
          <w:lang w:val="es-CR" w:eastAsia="es-CR"/>
        </w:rPr>
      </w:pPr>
      <w:r w:rsidRPr="00E61811">
        <w:rPr>
          <w:rFonts w:ascii="Verdana" w:hAnsi="Verdana"/>
          <w:sz w:val="20"/>
          <w:szCs w:val="20"/>
          <w:lang w:val="es-CR" w:eastAsia="es-CR"/>
        </w:rPr>
        <w:t>El</w:t>
      </w:r>
      <w:r w:rsidR="007A75AF">
        <w:rPr>
          <w:rFonts w:ascii="Verdana" w:hAnsi="Verdana"/>
          <w:sz w:val="20"/>
          <w:szCs w:val="20"/>
          <w:lang w:val="es-CR" w:eastAsia="es-CR"/>
        </w:rPr>
        <w:t xml:space="preserve"> 3 de mayo de 2016 se celebró una audiencia ante el pleno de la Corte</w:t>
      </w:r>
      <w:r w:rsidR="00A67806">
        <w:rPr>
          <w:rFonts w:ascii="Verdana" w:hAnsi="Verdana"/>
          <w:sz w:val="20"/>
          <w:szCs w:val="20"/>
          <w:lang w:val="es-CR" w:eastAsia="es-CR"/>
        </w:rPr>
        <w:t xml:space="preserve"> (</w:t>
      </w:r>
      <w:r w:rsidR="00A67806">
        <w:rPr>
          <w:rFonts w:ascii="Verdana" w:hAnsi="Verdana"/>
          <w:i/>
          <w:sz w:val="20"/>
          <w:szCs w:val="20"/>
          <w:lang w:val="es-CR" w:eastAsia="es-CR"/>
        </w:rPr>
        <w:t>supra</w:t>
      </w:r>
      <w:r w:rsidR="00A67806">
        <w:rPr>
          <w:rFonts w:ascii="Verdana" w:hAnsi="Verdana"/>
          <w:sz w:val="20"/>
          <w:szCs w:val="20"/>
          <w:lang w:val="es-CR" w:eastAsia="es-CR"/>
        </w:rPr>
        <w:t xml:space="preserve"> Visto </w:t>
      </w:r>
      <w:r w:rsidR="00A67806">
        <w:rPr>
          <w:rFonts w:ascii="Verdana" w:hAnsi="Verdana"/>
          <w:sz w:val="20"/>
          <w:szCs w:val="20"/>
          <w:lang w:val="es-CR" w:eastAsia="es-CR"/>
        </w:rPr>
        <w:fldChar w:fldCharType="begin"/>
      </w:r>
      <w:r w:rsidR="00A67806">
        <w:rPr>
          <w:rFonts w:ascii="Verdana" w:hAnsi="Verdana"/>
          <w:sz w:val="20"/>
          <w:szCs w:val="20"/>
          <w:lang w:val="es-CR" w:eastAsia="es-CR"/>
        </w:rPr>
        <w:instrText xml:space="preserve"> REF _Ref492906675 \r \h </w:instrText>
      </w:r>
      <w:r w:rsidR="00A67806">
        <w:rPr>
          <w:rFonts w:ascii="Verdana" w:hAnsi="Verdana"/>
          <w:sz w:val="20"/>
          <w:szCs w:val="20"/>
          <w:lang w:val="es-CR" w:eastAsia="es-CR"/>
        </w:rPr>
      </w:r>
      <w:r w:rsidR="00A67806">
        <w:rPr>
          <w:rFonts w:ascii="Verdana" w:hAnsi="Verdana"/>
          <w:sz w:val="20"/>
          <w:szCs w:val="20"/>
          <w:lang w:val="es-CR" w:eastAsia="es-CR"/>
        </w:rPr>
        <w:fldChar w:fldCharType="separate"/>
      </w:r>
      <w:r w:rsidR="00F96D30">
        <w:rPr>
          <w:rFonts w:ascii="Verdana" w:hAnsi="Verdana"/>
          <w:sz w:val="20"/>
          <w:szCs w:val="20"/>
          <w:lang w:val="es-CR" w:eastAsia="es-CR"/>
        </w:rPr>
        <w:t>3</w:t>
      </w:r>
      <w:r w:rsidR="00A67806">
        <w:rPr>
          <w:rFonts w:ascii="Verdana" w:hAnsi="Verdana"/>
          <w:sz w:val="20"/>
          <w:szCs w:val="20"/>
          <w:lang w:val="es-CR" w:eastAsia="es-CR"/>
        </w:rPr>
        <w:fldChar w:fldCharType="end"/>
      </w:r>
      <w:r w:rsidR="00A67806">
        <w:rPr>
          <w:rFonts w:ascii="Verdana" w:hAnsi="Verdana"/>
          <w:sz w:val="20"/>
          <w:szCs w:val="20"/>
          <w:lang w:val="es-CR" w:eastAsia="es-CR"/>
        </w:rPr>
        <w:t>)</w:t>
      </w:r>
      <w:r w:rsidR="007A75AF">
        <w:rPr>
          <w:rFonts w:ascii="Verdana" w:hAnsi="Verdana"/>
          <w:sz w:val="20"/>
          <w:szCs w:val="20"/>
          <w:lang w:val="es-CR" w:eastAsia="es-CR"/>
        </w:rPr>
        <w:t xml:space="preserve"> </w:t>
      </w:r>
      <w:r w:rsidRPr="00E61811">
        <w:rPr>
          <w:rFonts w:ascii="Verdana" w:hAnsi="Verdana"/>
          <w:sz w:val="20"/>
          <w:szCs w:val="20"/>
          <w:lang w:val="es-CR" w:eastAsia="es-CR"/>
        </w:rPr>
        <w:t xml:space="preserve"> con el fin de que el Estado presentara información actualizada sobre el cumplimiento de la presente medida de reparación, entre otras</w:t>
      </w:r>
      <w:r w:rsidRPr="00E61811">
        <w:rPr>
          <w:rStyle w:val="FootnoteReference"/>
          <w:rFonts w:ascii="Verdana" w:hAnsi="Verdana"/>
          <w:sz w:val="20"/>
          <w:szCs w:val="20"/>
          <w:lang w:val="es-CR" w:eastAsia="es-CR"/>
        </w:rPr>
        <w:footnoteReference w:id="24"/>
      </w:r>
      <w:r w:rsidRPr="00E61811">
        <w:rPr>
          <w:rFonts w:ascii="Verdana" w:hAnsi="Verdana"/>
          <w:sz w:val="20"/>
          <w:szCs w:val="20"/>
          <w:lang w:val="es-CR" w:eastAsia="es-CR"/>
        </w:rPr>
        <w:t>, al igual que escuchar las observaciones de los representantes de las víctimas y el parecer de la Comisión al respecto.</w:t>
      </w:r>
    </w:p>
    <w:p w14:paraId="04C15DBD" w14:textId="77777777" w:rsidR="00201008" w:rsidRPr="00E61811" w:rsidRDefault="00201008" w:rsidP="00201008">
      <w:pPr>
        <w:pStyle w:val="ListParagraph"/>
        <w:tabs>
          <w:tab w:val="left" w:pos="567"/>
        </w:tabs>
        <w:spacing w:after="0" w:line="240" w:lineRule="auto"/>
        <w:ind w:left="0" w:right="4"/>
        <w:jc w:val="both"/>
        <w:rPr>
          <w:rFonts w:ascii="Verdana" w:hAnsi="Verdana"/>
          <w:i/>
          <w:sz w:val="20"/>
          <w:szCs w:val="20"/>
          <w:lang w:val="es-CR" w:eastAsia="es-CR"/>
        </w:rPr>
      </w:pPr>
    </w:p>
    <w:p w14:paraId="65830A3A" w14:textId="1EEF0896" w:rsidR="00520502" w:rsidRPr="00402A54" w:rsidRDefault="00201008" w:rsidP="00201008">
      <w:pPr>
        <w:pStyle w:val="ListParagraph"/>
        <w:numPr>
          <w:ilvl w:val="0"/>
          <w:numId w:val="2"/>
        </w:numPr>
        <w:tabs>
          <w:tab w:val="left" w:pos="567"/>
        </w:tabs>
        <w:spacing w:after="0" w:line="240" w:lineRule="auto"/>
        <w:ind w:left="0" w:right="4" w:firstLine="0"/>
        <w:jc w:val="both"/>
        <w:rPr>
          <w:rFonts w:ascii="Verdana" w:hAnsi="Verdana"/>
          <w:i/>
          <w:sz w:val="20"/>
          <w:szCs w:val="20"/>
          <w:lang w:val="es-CR" w:eastAsia="es-CR"/>
        </w:rPr>
      </w:pPr>
      <w:r w:rsidRPr="00E61811">
        <w:rPr>
          <w:rFonts w:ascii="Verdana" w:hAnsi="Verdana"/>
          <w:sz w:val="20"/>
          <w:szCs w:val="20"/>
          <w:lang w:val="es-CR" w:eastAsia="es-CR"/>
        </w:rPr>
        <w:t xml:space="preserve">Durante la referida audiencia, los </w:t>
      </w:r>
      <w:r w:rsidRPr="00E61811">
        <w:rPr>
          <w:rFonts w:ascii="Verdana" w:hAnsi="Verdana"/>
          <w:i/>
          <w:sz w:val="20"/>
          <w:szCs w:val="20"/>
          <w:lang w:val="es-CR" w:eastAsia="es-CR"/>
        </w:rPr>
        <w:t>representantes</w:t>
      </w:r>
      <w:r w:rsidRPr="00E61811">
        <w:rPr>
          <w:rFonts w:ascii="Verdana" w:hAnsi="Verdana"/>
          <w:sz w:val="20"/>
          <w:szCs w:val="20"/>
          <w:lang w:val="es-CR" w:eastAsia="es-CR"/>
        </w:rPr>
        <w:t xml:space="preserve"> indicaron que “desde el 20 de septiembre de 2013 se encuentra pendiente de resolver un recurso de inconstitucionalidad también admitido por la Sala de lo Constitucional” en contra de la referida Ley de Amnistía. La </w:t>
      </w:r>
      <w:r w:rsidRPr="00E61811">
        <w:rPr>
          <w:rFonts w:ascii="Verdana" w:hAnsi="Verdana"/>
          <w:i/>
          <w:sz w:val="20"/>
          <w:szCs w:val="20"/>
          <w:lang w:val="es-CR" w:eastAsia="es-CR"/>
        </w:rPr>
        <w:t>Comisión</w:t>
      </w:r>
      <w:r w:rsidRPr="00E61811">
        <w:rPr>
          <w:rFonts w:ascii="Verdana" w:hAnsi="Verdana"/>
          <w:sz w:val="20"/>
          <w:szCs w:val="20"/>
          <w:lang w:val="es-CR" w:eastAsia="es-CR"/>
        </w:rPr>
        <w:t xml:space="preserve"> manifestó su preocupación con que la Sala de lo Constitucional, “por más de tres</w:t>
      </w:r>
      <w:r w:rsidR="00CD58D9">
        <w:rPr>
          <w:rFonts w:ascii="Verdana" w:hAnsi="Verdana"/>
          <w:sz w:val="20"/>
          <w:szCs w:val="20"/>
          <w:lang w:val="es-CR" w:eastAsia="es-CR"/>
        </w:rPr>
        <w:t xml:space="preserve"> años</w:t>
      </w:r>
      <w:r w:rsidR="004055D7">
        <w:rPr>
          <w:rFonts w:ascii="Verdana" w:hAnsi="Verdana"/>
          <w:sz w:val="20"/>
          <w:szCs w:val="20"/>
          <w:lang w:val="es-CR" w:eastAsia="es-CR"/>
        </w:rPr>
        <w:t>,</w:t>
      </w:r>
      <w:r w:rsidRPr="00E61811">
        <w:rPr>
          <w:rFonts w:ascii="Verdana" w:hAnsi="Verdana"/>
          <w:sz w:val="20"/>
          <w:szCs w:val="20"/>
          <w:lang w:val="es-CR" w:eastAsia="es-CR"/>
        </w:rPr>
        <w:t xml:space="preserve"> no se haya pronunciado ya cumpliendo con lo señalado por la Corte en cuanto a la inconvencionalidad de esta </w:t>
      </w:r>
      <w:r w:rsidR="004055D7">
        <w:rPr>
          <w:rFonts w:ascii="Verdana" w:hAnsi="Verdana"/>
          <w:sz w:val="20"/>
          <w:szCs w:val="20"/>
          <w:lang w:val="es-CR" w:eastAsia="es-CR"/>
        </w:rPr>
        <w:t>l</w:t>
      </w:r>
      <w:r w:rsidRPr="00E61811">
        <w:rPr>
          <w:rFonts w:ascii="Verdana" w:hAnsi="Verdana"/>
          <w:sz w:val="20"/>
          <w:szCs w:val="20"/>
          <w:lang w:val="es-CR" w:eastAsia="es-CR"/>
        </w:rPr>
        <w:t xml:space="preserve">ey”. </w:t>
      </w:r>
    </w:p>
    <w:p w14:paraId="0DA3EE3B" w14:textId="77777777" w:rsidR="00520502" w:rsidRPr="000C2549" w:rsidRDefault="00520502" w:rsidP="000C2549">
      <w:pPr>
        <w:tabs>
          <w:tab w:val="left" w:pos="567"/>
        </w:tabs>
        <w:spacing w:after="0" w:line="240" w:lineRule="auto"/>
        <w:ind w:right="4"/>
        <w:jc w:val="both"/>
        <w:rPr>
          <w:rFonts w:ascii="Verdana" w:hAnsi="Verdana"/>
          <w:sz w:val="20"/>
          <w:szCs w:val="20"/>
          <w:lang w:val="es-CR" w:eastAsia="es-CR"/>
        </w:rPr>
      </w:pPr>
    </w:p>
    <w:p w14:paraId="0935D2A9" w14:textId="614C2989" w:rsidR="00201008" w:rsidRPr="00520502" w:rsidRDefault="00201008" w:rsidP="00520502">
      <w:pPr>
        <w:pStyle w:val="ListParagraph"/>
        <w:numPr>
          <w:ilvl w:val="0"/>
          <w:numId w:val="2"/>
        </w:numPr>
        <w:tabs>
          <w:tab w:val="left" w:pos="567"/>
        </w:tabs>
        <w:spacing w:after="0" w:line="240" w:lineRule="auto"/>
        <w:ind w:left="0" w:right="4" w:firstLine="0"/>
        <w:jc w:val="both"/>
        <w:rPr>
          <w:rFonts w:ascii="Verdana" w:hAnsi="Verdana"/>
          <w:i/>
          <w:sz w:val="20"/>
          <w:szCs w:val="20"/>
          <w:lang w:val="es-CR" w:eastAsia="es-CR"/>
        </w:rPr>
      </w:pPr>
      <w:r w:rsidRPr="00E61811">
        <w:rPr>
          <w:rFonts w:ascii="Verdana" w:hAnsi="Verdana"/>
          <w:sz w:val="20"/>
          <w:szCs w:val="20"/>
          <w:lang w:val="es-CR" w:eastAsia="es-CR"/>
        </w:rPr>
        <w:t xml:space="preserve">Al finalizar la audiencia, los jueces solicitaron información específica al Estado sobre </w:t>
      </w:r>
      <w:r w:rsidR="00520502">
        <w:rPr>
          <w:rFonts w:ascii="Verdana" w:hAnsi="Verdana"/>
          <w:sz w:val="20"/>
          <w:szCs w:val="20"/>
          <w:lang w:val="es-CR" w:eastAsia="es-CR"/>
        </w:rPr>
        <w:t xml:space="preserve">las acciones tomadas para cumplir con esta medida de reparación y particularmente sobre </w:t>
      </w:r>
      <w:r w:rsidRPr="00E61811">
        <w:rPr>
          <w:rFonts w:ascii="Verdana" w:hAnsi="Verdana"/>
          <w:sz w:val="20"/>
          <w:szCs w:val="20"/>
          <w:lang w:val="es-CR" w:eastAsia="es-CR"/>
        </w:rPr>
        <w:t>el trámite de dicho recurso de inconstitucionalidad ante la Sala de lo Constitucional</w:t>
      </w:r>
      <w:r w:rsidR="004D217D">
        <w:rPr>
          <w:rFonts w:ascii="Verdana" w:hAnsi="Verdana"/>
          <w:sz w:val="20"/>
          <w:szCs w:val="20"/>
          <w:lang w:val="es-CR" w:eastAsia="es-CR"/>
        </w:rPr>
        <w:t xml:space="preserve"> </w:t>
      </w:r>
      <w:r w:rsidR="004055D7">
        <w:rPr>
          <w:rFonts w:ascii="Verdana" w:hAnsi="Verdana"/>
          <w:sz w:val="20"/>
          <w:szCs w:val="20"/>
          <w:lang w:val="es-CR" w:eastAsia="es-CR"/>
        </w:rPr>
        <w:t xml:space="preserve">de la Corte Suprema de Justicia </w:t>
      </w:r>
      <w:r w:rsidR="004D217D" w:rsidRPr="00E61811">
        <w:rPr>
          <w:rFonts w:ascii="Verdana" w:hAnsi="Verdana"/>
          <w:sz w:val="20"/>
          <w:szCs w:val="20"/>
          <w:lang w:val="es-CR"/>
        </w:rPr>
        <w:t>de El Salvador (en adelante “la Sala de lo Constitucional”)</w:t>
      </w:r>
      <w:r w:rsidRPr="00E61811">
        <w:rPr>
          <w:rFonts w:ascii="Verdana" w:hAnsi="Verdana"/>
          <w:sz w:val="20"/>
          <w:szCs w:val="20"/>
          <w:lang w:val="es-CR" w:eastAsia="es-CR"/>
        </w:rPr>
        <w:t xml:space="preserve">. </w:t>
      </w:r>
      <w:r w:rsidRPr="00520502">
        <w:rPr>
          <w:rFonts w:ascii="Verdana" w:hAnsi="Verdana"/>
          <w:sz w:val="20"/>
          <w:szCs w:val="20"/>
          <w:lang w:val="es-CR" w:eastAsia="es-CR"/>
        </w:rPr>
        <w:t>Mediante nota de Secretaría del 18 de mayo de 2016, siguiendo instrucciones del Presidente del Tribunal, se dispuso un plazo de dos meses para que el Estado presentara un informe en el que se refiriera a las preguntas y comentarios formulados por los jueces</w:t>
      </w:r>
      <w:r w:rsidR="00520502" w:rsidRPr="00520502">
        <w:rPr>
          <w:rFonts w:ascii="Verdana" w:hAnsi="Verdana"/>
          <w:sz w:val="20"/>
          <w:szCs w:val="20"/>
          <w:lang w:val="es-CR" w:eastAsia="es-CR"/>
        </w:rPr>
        <w:t xml:space="preserve"> durante dicha audiencia</w:t>
      </w:r>
      <w:r w:rsidRPr="00520502">
        <w:rPr>
          <w:rFonts w:ascii="Verdana" w:hAnsi="Verdana"/>
          <w:sz w:val="20"/>
          <w:szCs w:val="20"/>
          <w:lang w:val="es-CR" w:eastAsia="es-CR"/>
        </w:rPr>
        <w:t xml:space="preserve">. </w:t>
      </w:r>
    </w:p>
    <w:p w14:paraId="70DF5D4E" w14:textId="77777777" w:rsidR="00201008" w:rsidRPr="00E61811" w:rsidRDefault="00201008" w:rsidP="009F6E4F">
      <w:pPr>
        <w:tabs>
          <w:tab w:val="left" w:pos="567"/>
        </w:tabs>
        <w:spacing w:after="0" w:line="240" w:lineRule="auto"/>
        <w:ind w:right="4"/>
        <w:jc w:val="both"/>
        <w:rPr>
          <w:rFonts w:ascii="Verdana" w:hAnsi="Verdana"/>
          <w:sz w:val="20"/>
          <w:szCs w:val="20"/>
          <w:lang w:val="es-CR" w:eastAsia="es-CR"/>
        </w:rPr>
      </w:pPr>
    </w:p>
    <w:p w14:paraId="440B7737" w14:textId="77777777" w:rsidR="009D2D92" w:rsidRPr="00E61811" w:rsidRDefault="00201008" w:rsidP="009F6E4F">
      <w:pPr>
        <w:tabs>
          <w:tab w:val="left" w:pos="567"/>
        </w:tabs>
        <w:spacing w:after="0" w:line="240" w:lineRule="auto"/>
        <w:ind w:right="4"/>
        <w:jc w:val="both"/>
        <w:rPr>
          <w:rFonts w:ascii="Verdana" w:hAnsi="Verdana"/>
          <w:i/>
          <w:sz w:val="20"/>
          <w:szCs w:val="20"/>
          <w:lang w:val="es-CR" w:eastAsia="es-CR"/>
        </w:rPr>
      </w:pPr>
      <w:r w:rsidRPr="00E61811">
        <w:rPr>
          <w:rFonts w:ascii="Verdana" w:hAnsi="Verdana"/>
          <w:i/>
          <w:sz w:val="20"/>
          <w:szCs w:val="20"/>
          <w:lang w:val="es-CR" w:eastAsia="es-CR"/>
        </w:rPr>
        <w:tab/>
      </w:r>
      <w:r w:rsidR="008F22D5" w:rsidRPr="00E61811">
        <w:rPr>
          <w:rFonts w:ascii="Verdana" w:hAnsi="Verdana"/>
          <w:i/>
          <w:sz w:val="20"/>
          <w:szCs w:val="20"/>
          <w:lang w:val="es-CR" w:eastAsia="es-CR"/>
        </w:rPr>
        <w:t>A.</w:t>
      </w:r>
      <w:r w:rsidRPr="00E61811">
        <w:rPr>
          <w:rFonts w:ascii="Verdana" w:hAnsi="Verdana"/>
          <w:i/>
          <w:sz w:val="20"/>
          <w:szCs w:val="20"/>
          <w:lang w:val="es-CR" w:eastAsia="es-CR"/>
        </w:rPr>
        <w:t>3</w:t>
      </w:r>
      <w:r w:rsidR="008F22D5" w:rsidRPr="00E61811">
        <w:rPr>
          <w:rFonts w:ascii="Verdana" w:hAnsi="Verdana"/>
          <w:i/>
          <w:sz w:val="20"/>
          <w:szCs w:val="20"/>
          <w:lang w:val="es-CR" w:eastAsia="es-CR"/>
        </w:rPr>
        <w:t>.</w:t>
      </w:r>
      <w:r w:rsidR="00B2058A" w:rsidRPr="00E61811">
        <w:rPr>
          <w:rFonts w:ascii="Verdana" w:hAnsi="Verdana"/>
          <w:i/>
          <w:sz w:val="20"/>
          <w:szCs w:val="20"/>
          <w:lang w:val="es-CR" w:eastAsia="es-CR"/>
        </w:rPr>
        <w:t xml:space="preserve"> </w:t>
      </w:r>
      <w:r w:rsidR="009D2D92" w:rsidRPr="00E61811">
        <w:rPr>
          <w:rFonts w:ascii="Verdana" w:hAnsi="Verdana"/>
          <w:i/>
          <w:sz w:val="20"/>
          <w:szCs w:val="20"/>
          <w:lang w:val="es-CR" w:eastAsia="es-CR"/>
        </w:rPr>
        <w:t>Consideraciones de la Corte</w:t>
      </w:r>
      <w:r w:rsidR="008F22D5" w:rsidRPr="00E61811">
        <w:rPr>
          <w:rFonts w:ascii="Verdana" w:hAnsi="Verdana"/>
          <w:i/>
          <w:sz w:val="20"/>
          <w:szCs w:val="20"/>
          <w:lang w:val="es-CR" w:eastAsia="es-CR"/>
        </w:rPr>
        <w:t xml:space="preserve"> </w:t>
      </w:r>
    </w:p>
    <w:p w14:paraId="06E958D1" w14:textId="77777777" w:rsidR="009D2D92" w:rsidRPr="00E61811" w:rsidRDefault="009D2D92" w:rsidP="009F6E4F">
      <w:pPr>
        <w:tabs>
          <w:tab w:val="left" w:pos="567"/>
        </w:tabs>
        <w:spacing w:after="0" w:line="240" w:lineRule="auto"/>
        <w:ind w:right="4"/>
        <w:jc w:val="both"/>
        <w:rPr>
          <w:rFonts w:ascii="Verdana" w:hAnsi="Verdana"/>
          <w:i/>
          <w:sz w:val="20"/>
          <w:szCs w:val="20"/>
          <w:lang w:val="es-CR" w:eastAsia="es-CR"/>
        </w:rPr>
      </w:pPr>
    </w:p>
    <w:p w14:paraId="4B71AE79" w14:textId="1F8C2A7A" w:rsidR="00713C69" w:rsidRDefault="00201008" w:rsidP="00F411E3">
      <w:pPr>
        <w:pStyle w:val="ListParagraph"/>
        <w:numPr>
          <w:ilvl w:val="0"/>
          <w:numId w:val="2"/>
        </w:numPr>
        <w:tabs>
          <w:tab w:val="left" w:pos="567"/>
        </w:tabs>
        <w:spacing w:after="0" w:line="240" w:lineRule="auto"/>
        <w:ind w:left="0" w:right="4" w:firstLine="0"/>
        <w:jc w:val="both"/>
        <w:rPr>
          <w:rFonts w:ascii="Verdana" w:hAnsi="Verdana"/>
          <w:sz w:val="20"/>
          <w:szCs w:val="20"/>
          <w:lang w:val="es-CR" w:eastAsia="es-CR"/>
        </w:rPr>
      </w:pPr>
      <w:bookmarkStart w:id="10" w:name="_Ref492908637"/>
      <w:r w:rsidRPr="00E61811">
        <w:rPr>
          <w:rFonts w:ascii="Verdana" w:hAnsi="Verdana"/>
          <w:sz w:val="20"/>
          <w:szCs w:val="20"/>
          <w:lang w:val="es-CR"/>
        </w:rPr>
        <w:t>Tres meses después de la</w:t>
      </w:r>
      <w:r w:rsidR="004055D7">
        <w:rPr>
          <w:rFonts w:ascii="Verdana" w:hAnsi="Verdana"/>
          <w:sz w:val="20"/>
          <w:szCs w:val="20"/>
          <w:lang w:val="es-CR"/>
        </w:rPr>
        <w:t xml:space="preserve"> referida</w:t>
      </w:r>
      <w:r w:rsidRPr="00E61811">
        <w:rPr>
          <w:rFonts w:ascii="Verdana" w:hAnsi="Verdana"/>
          <w:sz w:val="20"/>
          <w:szCs w:val="20"/>
          <w:lang w:val="es-CR"/>
        </w:rPr>
        <w:t xml:space="preserve"> audiencia, el Estado informó y aportó copia de la </w:t>
      </w:r>
      <w:r w:rsidR="002C0393" w:rsidRPr="00E61811">
        <w:rPr>
          <w:rFonts w:ascii="Verdana" w:hAnsi="Verdana"/>
          <w:sz w:val="20"/>
          <w:szCs w:val="20"/>
          <w:lang w:val="es-CR"/>
        </w:rPr>
        <w:t xml:space="preserve">sentencia </w:t>
      </w:r>
      <w:r w:rsidR="009D2D92" w:rsidRPr="00E61811">
        <w:rPr>
          <w:rFonts w:ascii="Verdana" w:hAnsi="Verdana"/>
          <w:sz w:val="20"/>
          <w:szCs w:val="20"/>
          <w:lang w:val="es-CR"/>
        </w:rPr>
        <w:t xml:space="preserve">de 13 de julio de </w:t>
      </w:r>
      <w:r w:rsidR="002C0393" w:rsidRPr="00E61811">
        <w:rPr>
          <w:rFonts w:ascii="Verdana" w:hAnsi="Verdana"/>
          <w:sz w:val="20"/>
          <w:szCs w:val="20"/>
          <w:lang w:val="es-CR"/>
        </w:rPr>
        <w:t>2016</w:t>
      </w:r>
      <w:r w:rsidR="009D2D92" w:rsidRPr="00E61811">
        <w:rPr>
          <w:rFonts w:ascii="Verdana" w:hAnsi="Verdana"/>
          <w:sz w:val="20"/>
          <w:szCs w:val="20"/>
          <w:lang w:val="es-CR"/>
        </w:rPr>
        <w:t>,</w:t>
      </w:r>
      <w:r w:rsidRPr="00E61811">
        <w:rPr>
          <w:rFonts w:ascii="Verdana" w:hAnsi="Verdana"/>
          <w:sz w:val="20"/>
          <w:szCs w:val="20"/>
          <w:lang w:val="es-CR"/>
        </w:rPr>
        <w:t xml:space="preserve"> mediante la cual</w:t>
      </w:r>
      <w:r w:rsidR="009D2D92" w:rsidRPr="00E61811">
        <w:rPr>
          <w:rFonts w:ascii="Verdana" w:hAnsi="Verdana"/>
          <w:sz w:val="20"/>
          <w:szCs w:val="20"/>
          <w:lang w:val="es-CR"/>
        </w:rPr>
        <w:t xml:space="preserve"> la Sala de lo Constitucional declaró la inconstitucionalidad de la Ley de Amnistía General para la Consolidación de la Paz, aprobada en 1993</w:t>
      </w:r>
      <w:r w:rsidR="007179C4">
        <w:rPr>
          <w:rStyle w:val="FootnoteReference"/>
          <w:rFonts w:ascii="Verdana" w:hAnsi="Verdana"/>
          <w:sz w:val="20"/>
          <w:szCs w:val="20"/>
          <w:lang w:val="es-CR"/>
        </w:rPr>
        <w:footnoteReference w:id="25"/>
      </w:r>
      <w:r w:rsidR="009D2D92" w:rsidRPr="00E61811">
        <w:rPr>
          <w:rFonts w:ascii="Verdana" w:hAnsi="Verdana"/>
          <w:sz w:val="20"/>
          <w:szCs w:val="20"/>
          <w:lang w:val="es-CR"/>
        </w:rPr>
        <w:t>.</w:t>
      </w:r>
      <w:bookmarkEnd w:id="10"/>
      <w:r w:rsidRPr="00E61811">
        <w:rPr>
          <w:rFonts w:ascii="Verdana" w:hAnsi="Verdana"/>
          <w:sz w:val="20"/>
          <w:szCs w:val="20"/>
          <w:lang w:val="es-CR"/>
        </w:rPr>
        <w:t xml:space="preserve"> </w:t>
      </w:r>
    </w:p>
    <w:p w14:paraId="00BEBC3F" w14:textId="77777777" w:rsidR="00713C69" w:rsidRDefault="00713C69" w:rsidP="002C079C">
      <w:pPr>
        <w:pStyle w:val="ListParagraph"/>
        <w:tabs>
          <w:tab w:val="left" w:pos="567"/>
        </w:tabs>
        <w:spacing w:after="0" w:line="240" w:lineRule="auto"/>
        <w:ind w:left="0" w:right="4"/>
        <w:jc w:val="both"/>
        <w:rPr>
          <w:rFonts w:ascii="Verdana" w:hAnsi="Verdana"/>
          <w:sz w:val="20"/>
          <w:szCs w:val="20"/>
          <w:lang w:val="es-CR" w:eastAsia="es-CR"/>
        </w:rPr>
      </w:pPr>
    </w:p>
    <w:p w14:paraId="4101099D" w14:textId="2E38FDA7" w:rsidR="009D2D92" w:rsidRPr="00E61811" w:rsidRDefault="00201008" w:rsidP="00F411E3">
      <w:pPr>
        <w:pStyle w:val="ListParagraph"/>
        <w:numPr>
          <w:ilvl w:val="0"/>
          <w:numId w:val="2"/>
        </w:numPr>
        <w:tabs>
          <w:tab w:val="left" w:pos="567"/>
        </w:tabs>
        <w:spacing w:after="0" w:line="240" w:lineRule="auto"/>
        <w:ind w:left="0" w:right="4" w:firstLine="0"/>
        <w:jc w:val="both"/>
        <w:rPr>
          <w:rFonts w:ascii="Verdana" w:hAnsi="Verdana"/>
          <w:sz w:val="20"/>
          <w:szCs w:val="20"/>
          <w:lang w:val="es-CR" w:eastAsia="es-CR"/>
        </w:rPr>
      </w:pPr>
      <w:bookmarkStart w:id="11" w:name="_Ref492908047"/>
      <w:r w:rsidRPr="00E61811">
        <w:rPr>
          <w:rFonts w:ascii="Verdana" w:hAnsi="Verdana"/>
          <w:sz w:val="20"/>
          <w:szCs w:val="20"/>
          <w:lang w:val="es-CR"/>
        </w:rPr>
        <w:t>La Corte constata que</w:t>
      </w:r>
      <w:r w:rsidR="004055D7">
        <w:rPr>
          <w:rFonts w:ascii="Verdana" w:hAnsi="Verdana"/>
          <w:sz w:val="20"/>
          <w:szCs w:val="20"/>
          <w:lang w:val="es-CR"/>
        </w:rPr>
        <w:t>: (1)</w:t>
      </w:r>
      <w:r w:rsidR="00713C69">
        <w:rPr>
          <w:rFonts w:ascii="Verdana" w:hAnsi="Verdana"/>
          <w:sz w:val="20"/>
          <w:szCs w:val="20"/>
          <w:lang w:val="es-CR"/>
        </w:rPr>
        <w:t xml:space="preserve"> con dicha sentencia de la Sala de lo Constitucional</w:t>
      </w:r>
      <w:r w:rsidRPr="00E61811">
        <w:rPr>
          <w:rFonts w:ascii="Verdana" w:hAnsi="Verdana"/>
          <w:sz w:val="20"/>
          <w:szCs w:val="20"/>
          <w:lang w:val="es-CR"/>
        </w:rPr>
        <w:t xml:space="preserve"> las disposiciones relativas  a la amnistía contenidas en la Ley de Amnistía General fueron declaradas inconstitucionales; (2) dicha sentencia tiene efectos </w:t>
      </w:r>
      <w:r w:rsidRPr="00E61811">
        <w:rPr>
          <w:rFonts w:ascii="Verdana" w:hAnsi="Verdana"/>
          <w:i/>
          <w:sz w:val="20"/>
          <w:szCs w:val="20"/>
          <w:lang w:val="es-CR"/>
        </w:rPr>
        <w:t>erga omnes</w:t>
      </w:r>
      <w:r w:rsidR="00F411E3" w:rsidRPr="00E61811">
        <w:rPr>
          <w:rFonts w:ascii="Verdana" w:hAnsi="Verdana"/>
          <w:sz w:val="20"/>
          <w:szCs w:val="20"/>
          <w:lang w:val="es-CR"/>
        </w:rPr>
        <w:t xml:space="preserve">. </w:t>
      </w:r>
      <w:r w:rsidR="00F411E3" w:rsidRPr="00E61811">
        <w:rPr>
          <w:rFonts w:ascii="Verdana" w:hAnsi="Verdana"/>
          <w:sz w:val="20"/>
          <w:szCs w:val="20"/>
          <w:lang w:val="es-CR" w:eastAsia="es-CR"/>
        </w:rPr>
        <w:t>En efecto</w:t>
      </w:r>
      <w:r w:rsidR="009D2D92" w:rsidRPr="00E61811">
        <w:rPr>
          <w:rFonts w:ascii="Verdana" w:hAnsi="Verdana"/>
          <w:sz w:val="20"/>
          <w:szCs w:val="20"/>
          <w:lang w:val="es-CR"/>
        </w:rPr>
        <w:t>, la Sala dictaminó lo siguiente:</w:t>
      </w:r>
      <w:bookmarkEnd w:id="11"/>
      <w:r w:rsidR="009D2D92" w:rsidRPr="00E61811">
        <w:rPr>
          <w:rFonts w:ascii="Verdana" w:hAnsi="Verdana"/>
          <w:sz w:val="20"/>
          <w:szCs w:val="20"/>
          <w:lang w:val="es-CR"/>
        </w:rPr>
        <w:t xml:space="preserve"> </w:t>
      </w:r>
    </w:p>
    <w:p w14:paraId="5FDAB502" w14:textId="77777777" w:rsidR="009D2D92" w:rsidRPr="00E61811" w:rsidRDefault="009D2D92" w:rsidP="009D2D92">
      <w:pPr>
        <w:tabs>
          <w:tab w:val="left" w:pos="567"/>
        </w:tabs>
        <w:spacing w:after="0" w:line="240" w:lineRule="auto"/>
        <w:ind w:right="4"/>
        <w:jc w:val="both"/>
        <w:rPr>
          <w:rFonts w:ascii="Verdana" w:hAnsi="Verdana"/>
          <w:sz w:val="20"/>
          <w:szCs w:val="20"/>
          <w:lang w:val="es-CR"/>
        </w:rPr>
      </w:pPr>
    </w:p>
    <w:p w14:paraId="645EF9EC" w14:textId="77777777" w:rsidR="009D2D92" w:rsidRPr="00E61811" w:rsidRDefault="009D2D92" w:rsidP="00140E8E">
      <w:pPr>
        <w:pStyle w:val="ListParagraph"/>
        <w:numPr>
          <w:ilvl w:val="0"/>
          <w:numId w:val="7"/>
        </w:numPr>
        <w:tabs>
          <w:tab w:val="left" w:pos="720"/>
        </w:tabs>
        <w:spacing w:after="0" w:line="240" w:lineRule="auto"/>
        <w:ind w:left="720" w:right="720" w:firstLine="0"/>
        <w:jc w:val="both"/>
        <w:rPr>
          <w:rFonts w:ascii="Verdana" w:hAnsi="Verdana"/>
          <w:sz w:val="16"/>
          <w:szCs w:val="20"/>
          <w:lang w:val="es-CR"/>
        </w:rPr>
      </w:pPr>
      <w:r w:rsidRPr="00E61811">
        <w:rPr>
          <w:rFonts w:ascii="Verdana" w:hAnsi="Verdana"/>
          <w:sz w:val="16"/>
          <w:szCs w:val="20"/>
          <w:lang w:val="es-CR"/>
        </w:rPr>
        <w:t xml:space="preserve">Declárese inconstitucional, de un modo general y obligatorio, el art. 1 de la Ley de Amnistía General para la Consolidación de la Paz de 1993, en la parte que expresa: “Se concede amnistía amplia, absoluta e incondicional a favor de todas las personas que en cualquier forma </w:t>
      </w:r>
      <w:r w:rsidRPr="00E61811">
        <w:rPr>
          <w:rFonts w:ascii="Verdana" w:hAnsi="Verdana"/>
          <w:sz w:val="16"/>
          <w:szCs w:val="20"/>
          <w:lang w:val="es-CR"/>
        </w:rPr>
        <w:lastRenderedPageBreak/>
        <w:t xml:space="preserve">hayan participado en la comisión de delitos…”, porque dicha extensión objetiva y subjetiva de la amnistía es contraria al derecho de acceso a la justicia, a la tutela judicial –protección de los derechos fundamentales-, y al derecho a la reparación integral de las víctimas de crímenes de lesa humanidad y crímenes de guerra constitutivos de graves violaciones al Derecho Internacional Humanitario, pues impide el cumplimiento de las obligaciones estatales de prevención, investigación, enjuiciamiento, sanción y reparación integral, y de esa manera viola los arts. 2 inc. 1° y 144 inc. 2° Cn., en relación con los arts. 1.1 y 2 de la Convención Americana sobre Derechos Humanos , 2.2 del Pacto Internacional de Derechos Civiles y Políticos y 4 del Protocolo II de 1977, adicional a los Convenios de Ginebra del 12 de agosto de 1949, relativo a la Protección de las Víctimas de los Conflictos Armados sin Carácter Internacional. </w:t>
      </w:r>
    </w:p>
    <w:p w14:paraId="2AA6B7AA" w14:textId="77777777" w:rsidR="009D2D92" w:rsidRPr="00E61811" w:rsidRDefault="009D2D92" w:rsidP="00140E8E">
      <w:pPr>
        <w:pStyle w:val="ListParagraph"/>
        <w:numPr>
          <w:ilvl w:val="0"/>
          <w:numId w:val="7"/>
        </w:numPr>
        <w:tabs>
          <w:tab w:val="left" w:pos="720"/>
        </w:tabs>
        <w:spacing w:after="0" w:line="240" w:lineRule="auto"/>
        <w:ind w:left="720" w:right="720" w:firstLine="0"/>
        <w:jc w:val="both"/>
        <w:rPr>
          <w:rFonts w:ascii="Verdana" w:hAnsi="Verdana"/>
          <w:sz w:val="16"/>
          <w:szCs w:val="20"/>
          <w:lang w:val="es-CR"/>
        </w:rPr>
      </w:pPr>
      <w:r w:rsidRPr="00E61811">
        <w:rPr>
          <w:rFonts w:ascii="Verdana" w:hAnsi="Verdana"/>
          <w:sz w:val="16"/>
          <w:szCs w:val="20"/>
          <w:lang w:val="es-CR"/>
        </w:rPr>
        <w:t xml:space="preserve">Declárese inconstitucional, de un modo general y obligatorio, el art. 4 letra e) de la Ley de Amnistía General para la Consolidación de la Paz de 1993, en la parte que dispone: “La amnistía concedida por esta ley, extingue en todo caso la responsabilidad civil”, porque impide la reparación integral de las víctimas, particularmente el derecho a la indemnización  por daños morales reconocido en los arts. 2 inc. 3° y 144 inc. 2° Cn., en relación con los arts. 1.1 y 2 de la Convención Americana sobre Derechos Humanos. </w:t>
      </w:r>
    </w:p>
    <w:p w14:paraId="58E0C1EF" w14:textId="77777777" w:rsidR="009D2D92" w:rsidRPr="00E61811" w:rsidRDefault="009D2D92" w:rsidP="00140E8E">
      <w:pPr>
        <w:pStyle w:val="ListParagraph"/>
        <w:numPr>
          <w:ilvl w:val="0"/>
          <w:numId w:val="7"/>
        </w:numPr>
        <w:tabs>
          <w:tab w:val="left" w:pos="720"/>
        </w:tabs>
        <w:spacing w:after="0" w:line="240" w:lineRule="auto"/>
        <w:ind w:left="720" w:right="720" w:firstLine="0"/>
        <w:jc w:val="both"/>
        <w:rPr>
          <w:rFonts w:ascii="Verdana" w:hAnsi="Verdana"/>
          <w:sz w:val="16"/>
          <w:szCs w:val="20"/>
          <w:lang w:val="es-CR"/>
        </w:rPr>
      </w:pPr>
      <w:r w:rsidRPr="00E61811">
        <w:rPr>
          <w:rFonts w:ascii="Verdana" w:hAnsi="Verdana"/>
          <w:sz w:val="16"/>
          <w:szCs w:val="20"/>
          <w:lang w:val="es-CR"/>
        </w:rPr>
        <w:t xml:space="preserve">Declárese inconstitucional por conexión, de un modo general y obligatorio, el art. 6 de la Ley de Amnistía General para la Consolidación de la Paz de 1993, en la parte que deroga el inc. 1° del art. 6 de la Ley de Reconciliación Nacional de 1992, porque dicha disposición reproduce el contenido inconstitucional de la parte final del art. 1 de la Ley de Amnistía de 1993, lo cual implica una vulneración al derecho a la protección jurisdiccional y no jurisdiccional, y a las obligaciones internacionales del Estado frente a los crímenes de lesa humanidad y crímenes de guerra constitutivos de graves violaciones al Derecho Internacional Humanitario, cometidos por ambas partes. </w:t>
      </w:r>
    </w:p>
    <w:p w14:paraId="417CCB1C" w14:textId="77777777" w:rsidR="009D2D92" w:rsidRPr="00E61811" w:rsidRDefault="009D2D92" w:rsidP="00140E8E">
      <w:pPr>
        <w:pStyle w:val="ListParagraph"/>
        <w:numPr>
          <w:ilvl w:val="0"/>
          <w:numId w:val="7"/>
        </w:numPr>
        <w:tabs>
          <w:tab w:val="left" w:pos="720"/>
        </w:tabs>
        <w:spacing w:after="0" w:line="240" w:lineRule="auto"/>
        <w:ind w:left="720" w:right="720" w:firstLine="0"/>
        <w:jc w:val="both"/>
        <w:rPr>
          <w:rFonts w:ascii="Verdana" w:hAnsi="Verdana"/>
          <w:sz w:val="16"/>
          <w:szCs w:val="20"/>
          <w:lang w:val="es-CR"/>
        </w:rPr>
      </w:pPr>
      <w:r w:rsidRPr="00E61811">
        <w:rPr>
          <w:rFonts w:ascii="Verdana" w:hAnsi="Verdana"/>
          <w:sz w:val="16"/>
          <w:szCs w:val="20"/>
          <w:lang w:val="es-CR"/>
        </w:rPr>
        <w:t xml:space="preserve">Decláranse inconstitucionales por conexión, de un modo general y obligatorio, los arts. 2, 3, 4, 5 y 7 de la Ley de Amnistía General para la Consolidación de la Paz de 1993, porque se dirigían a concretizar el alcance de la amnistía que se ha determinado contraria a la Constitución, y han perdido su sentido por desaparecer su objeto. </w:t>
      </w:r>
    </w:p>
    <w:p w14:paraId="6B88D07A" w14:textId="77777777" w:rsidR="009D2D92" w:rsidRPr="00E61811" w:rsidRDefault="009D2D92" w:rsidP="00140E8E">
      <w:pPr>
        <w:pStyle w:val="ListParagraph"/>
        <w:numPr>
          <w:ilvl w:val="0"/>
          <w:numId w:val="7"/>
        </w:numPr>
        <w:tabs>
          <w:tab w:val="left" w:pos="720"/>
        </w:tabs>
        <w:spacing w:after="0" w:line="240" w:lineRule="auto"/>
        <w:ind w:left="720" w:right="720" w:firstLine="0"/>
        <w:jc w:val="both"/>
        <w:rPr>
          <w:rFonts w:ascii="Verdana" w:hAnsi="Verdana"/>
          <w:sz w:val="16"/>
          <w:szCs w:val="20"/>
          <w:lang w:val="es-CR"/>
        </w:rPr>
      </w:pPr>
      <w:r w:rsidRPr="00E61811">
        <w:rPr>
          <w:rFonts w:ascii="Verdana" w:hAnsi="Verdana"/>
          <w:sz w:val="16"/>
          <w:szCs w:val="20"/>
          <w:lang w:val="es-CR"/>
        </w:rPr>
        <w:t>Para los efectos de esta sentencia, se entenderá que:</w:t>
      </w:r>
    </w:p>
    <w:p w14:paraId="7AB2DA51" w14:textId="77777777" w:rsidR="009D2D92" w:rsidRPr="00E61811" w:rsidRDefault="009D2D92" w:rsidP="001221FD">
      <w:pPr>
        <w:pStyle w:val="ListParagraph"/>
        <w:numPr>
          <w:ilvl w:val="2"/>
          <w:numId w:val="7"/>
        </w:numPr>
        <w:tabs>
          <w:tab w:val="left" w:pos="720"/>
        </w:tabs>
        <w:spacing w:after="0" w:line="240" w:lineRule="auto"/>
        <w:ind w:right="720"/>
        <w:jc w:val="both"/>
        <w:rPr>
          <w:rFonts w:ascii="Verdana" w:hAnsi="Verdana"/>
          <w:sz w:val="16"/>
          <w:szCs w:val="20"/>
          <w:lang w:val="es-CR"/>
        </w:rPr>
      </w:pPr>
      <w:r w:rsidRPr="00E61811">
        <w:rPr>
          <w:rFonts w:ascii="Verdana" w:hAnsi="Verdana"/>
          <w:sz w:val="16"/>
          <w:szCs w:val="20"/>
          <w:lang w:val="es-CR"/>
        </w:rPr>
        <w:t xml:space="preserve">Los hechos que quedan excluidos de la amnistía son los atribuidos a ambas partes, que puedan ser calificados como crímenes de lesa humanidad y crímenes de guerra constitutivos de graves violaciones al Derecho Internacional Humanitario. Y dado que las partes en el conflicto aceptaron como excluidos de la amnistía en los Acuerdos de Paz (Capítulo I, Fuerza Armada, apartado n° 5, Superación de la Impunidad), y luego la Asamblea Legislativa consignó también como excluidos, en la Ley de Reconciliación Nacional de 1992 (art. 6)-al consignar que “no gozarán de esta gracia los graves hechos de violencia ocurridos desde el 1° de enero de 1980, cuya huella sobre la sociedad, reclama con mayor urgencia el conocimiento público de la verdad, independientemente del sector al que pertenecieren”-; en consecuencia, los hechos excluidos de la amnistía tras la finalización del conflicto armado, son los casos contenidos en el Informe de la Comisión de la Verdad, así como aquellos otros de igual o mayor gravedad y trascendencia, que pudieran ser imputados a ambas partes, y que fueran objeto de investigación y enjuiciamiento por las autoridades competentes, todos los cuales no  han prescrito. </w:t>
      </w:r>
    </w:p>
    <w:p w14:paraId="3A6E5B53" w14:textId="77777777" w:rsidR="009D2D92" w:rsidRPr="00E61811" w:rsidRDefault="009D2D92" w:rsidP="001221FD">
      <w:pPr>
        <w:pStyle w:val="ListParagraph"/>
        <w:numPr>
          <w:ilvl w:val="2"/>
          <w:numId w:val="7"/>
        </w:numPr>
        <w:tabs>
          <w:tab w:val="left" w:pos="720"/>
        </w:tabs>
        <w:spacing w:after="0" w:line="240" w:lineRule="auto"/>
        <w:ind w:right="720"/>
        <w:jc w:val="both"/>
        <w:rPr>
          <w:rFonts w:ascii="Verdana" w:hAnsi="Verdana"/>
          <w:sz w:val="16"/>
          <w:szCs w:val="20"/>
          <w:lang w:val="es-CR"/>
        </w:rPr>
      </w:pPr>
      <w:r w:rsidRPr="00E61811">
        <w:rPr>
          <w:rFonts w:ascii="Verdana" w:hAnsi="Verdana"/>
          <w:sz w:val="16"/>
          <w:szCs w:val="20"/>
          <w:lang w:val="es-CR"/>
        </w:rPr>
        <w:t xml:space="preserve">Tampoco han prescrito, y por lo tanto no gozan de amnistía y están sujetos a investigación, juzgamiento y sanción, todos los hechos sucedidos desde el 1-VI-1989 al 16-I-1992, cometidos por funcionarios públicos, civiles o militares, en los términos y condiciones que establece el art. 244 Cn. </w:t>
      </w:r>
    </w:p>
    <w:p w14:paraId="36B24968" w14:textId="77777777" w:rsidR="009D2D92" w:rsidRPr="00E61811" w:rsidRDefault="009D2D92" w:rsidP="001221FD">
      <w:pPr>
        <w:pStyle w:val="ListParagraph"/>
        <w:numPr>
          <w:ilvl w:val="2"/>
          <w:numId w:val="7"/>
        </w:numPr>
        <w:tabs>
          <w:tab w:val="left" w:pos="720"/>
        </w:tabs>
        <w:spacing w:after="0" w:line="240" w:lineRule="auto"/>
        <w:ind w:right="720"/>
        <w:jc w:val="both"/>
        <w:rPr>
          <w:rFonts w:ascii="Verdana" w:hAnsi="Verdana"/>
          <w:sz w:val="16"/>
          <w:szCs w:val="20"/>
          <w:lang w:val="es-CR"/>
        </w:rPr>
      </w:pPr>
      <w:r w:rsidRPr="00E61811">
        <w:rPr>
          <w:rFonts w:ascii="Verdana" w:hAnsi="Verdana"/>
          <w:sz w:val="16"/>
          <w:szCs w:val="20"/>
          <w:lang w:val="es-CR"/>
        </w:rPr>
        <w:t xml:space="preserve">Las expresiones invalidadas por ser inconstitucionales han sido expulsadas del ordenamiento jurídico salvadoreño y no podrán ser aplicadas por ninguna autoridad administrativa  o judicial, ni invocadas a su favor por ningún particular o servidor público, ni continuar produciendo efectos en diligencias, procedimientos, procesos o actuaciones  relativos a hechos que puedan calificarse como crímenes de lesa humanidad y crímenes de guerra constitutivos de graves violaciones al Derecho Internacional Humanitario. </w:t>
      </w:r>
    </w:p>
    <w:p w14:paraId="70B6F4D8" w14:textId="1120F649" w:rsidR="009D2D92" w:rsidRPr="00E61811" w:rsidRDefault="009D2D92" w:rsidP="001221FD">
      <w:pPr>
        <w:pStyle w:val="ListParagraph"/>
        <w:numPr>
          <w:ilvl w:val="2"/>
          <w:numId w:val="7"/>
        </w:numPr>
        <w:tabs>
          <w:tab w:val="left" w:pos="720"/>
        </w:tabs>
        <w:spacing w:after="0" w:line="240" w:lineRule="auto"/>
        <w:ind w:right="720"/>
        <w:jc w:val="both"/>
        <w:rPr>
          <w:rFonts w:ascii="Verdana" w:hAnsi="Verdana"/>
          <w:sz w:val="16"/>
          <w:szCs w:val="20"/>
          <w:lang w:val="es-CR"/>
        </w:rPr>
      </w:pPr>
      <w:r w:rsidRPr="00E61811">
        <w:rPr>
          <w:rFonts w:ascii="Verdana" w:hAnsi="Verdana"/>
          <w:sz w:val="16"/>
          <w:szCs w:val="20"/>
          <w:lang w:val="es-CR"/>
        </w:rPr>
        <w:t xml:space="preserve">No podrá invocarse el tiempo de vigencia de tales disposiciones para entorpecer, demorar o negar el ejercicio efectivo e inmediato de los derechos reconocidos en las normas constitucionales e internacionales analizadas en esta sentencia. Ninguna de esas cláusulas, ni otras semejantes, en cuanto a su contenido y </w:t>
      </w:r>
      <w:r w:rsidR="00CF7FAF">
        <w:rPr>
          <w:rFonts w:ascii="Verdana" w:hAnsi="Verdana"/>
          <w:sz w:val="16"/>
          <w:szCs w:val="20"/>
          <w:lang w:val="es-CR"/>
        </w:rPr>
        <w:t xml:space="preserve">sus </w:t>
      </w:r>
      <w:r w:rsidRPr="00E61811">
        <w:rPr>
          <w:rFonts w:ascii="Verdana" w:hAnsi="Verdana"/>
          <w:sz w:val="16"/>
          <w:szCs w:val="20"/>
          <w:lang w:val="es-CR"/>
        </w:rPr>
        <w:t>efectos, podrá volver a ser incorporada por la Asamblea Legislativa en una eventual legislación secundaria relacionada con las medidas de justicia transicional salvadoreña.</w:t>
      </w:r>
    </w:p>
    <w:p w14:paraId="35DBE90C" w14:textId="77777777" w:rsidR="009D2D92" w:rsidRPr="00E61811" w:rsidRDefault="009D2D92" w:rsidP="001221FD">
      <w:pPr>
        <w:pStyle w:val="ListParagraph"/>
        <w:numPr>
          <w:ilvl w:val="2"/>
          <w:numId w:val="7"/>
        </w:numPr>
        <w:tabs>
          <w:tab w:val="left" w:pos="720"/>
        </w:tabs>
        <w:spacing w:after="0" w:line="240" w:lineRule="auto"/>
        <w:ind w:right="720"/>
        <w:jc w:val="both"/>
        <w:rPr>
          <w:rFonts w:ascii="Verdana" w:hAnsi="Verdana"/>
          <w:sz w:val="16"/>
          <w:szCs w:val="20"/>
          <w:lang w:val="es-CR"/>
        </w:rPr>
      </w:pPr>
      <w:r w:rsidRPr="00E61811">
        <w:rPr>
          <w:rFonts w:ascii="Verdana" w:hAnsi="Verdana"/>
          <w:sz w:val="16"/>
          <w:szCs w:val="20"/>
          <w:lang w:val="es-CR"/>
        </w:rPr>
        <w:lastRenderedPageBreak/>
        <w:t xml:space="preserve">Cobra vigencia a partir de la notificación de la presente sentencia, la Ley de Reconciliación Nacional, aprobada mediante Decreto Legislativo no. 147 del 23-I-1992, en lo que no contradiga la presente sentencia. </w:t>
      </w:r>
    </w:p>
    <w:p w14:paraId="50883E76" w14:textId="77777777" w:rsidR="009D2D92" w:rsidRPr="00E61811" w:rsidRDefault="009D2D92" w:rsidP="00140E8E">
      <w:pPr>
        <w:pStyle w:val="ListParagraph"/>
        <w:numPr>
          <w:ilvl w:val="0"/>
          <w:numId w:val="7"/>
        </w:numPr>
        <w:tabs>
          <w:tab w:val="left" w:pos="720"/>
        </w:tabs>
        <w:spacing w:after="0" w:line="240" w:lineRule="auto"/>
        <w:ind w:left="720" w:right="720" w:firstLine="0"/>
        <w:jc w:val="both"/>
        <w:rPr>
          <w:rFonts w:ascii="Verdana" w:hAnsi="Verdana"/>
          <w:sz w:val="16"/>
          <w:szCs w:val="20"/>
          <w:lang w:val="es-CR"/>
        </w:rPr>
      </w:pPr>
      <w:r w:rsidRPr="00E61811">
        <w:rPr>
          <w:rFonts w:ascii="Verdana" w:hAnsi="Verdana"/>
          <w:sz w:val="16"/>
          <w:szCs w:val="20"/>
          <w:lang w:val="es-CR"/>
        </w:rPr>
        <w:t xml:space="preserve">Declárese que en los arts. 1 y 2 de la Ley de Amnistía General para la Consolidación de la Paz de 1993, no existe el motivo de inconstitucionalidad alegado, respecto a la supuesta contradicción con los arts. 12 y 131 ord. 26° Cn., pues, por una parte, la amnistía es una medida jurídica que no solo extingue la responsabilidad penal judicialmente declarada mediante una condena, sino también la acción penal en curso o incluso la que esté pendiente de ejercicio, impidiendo que una persona sea sometida a proceso. </w:t>
      </w:r>
    </w:p>
    <w:p w14:paraId="15D10B30" w14:textId="77777777" w:rsidR="009D2D92" w:rsidRPr="00E61811" w:rsidRDefault="009D2D92" w:rsidP="00140E8E">
      <w:pPr>
        <w:pStyle w:val="ListParagraph"/>
        <w:numPr>
          <w:ilvl w:val="0"/>
          <w:numId w:val="7"/>
        </w:numPr>
        <w:tabs>
          <w:tab w:val="left" w:pos="720"/>
        </w:tabs>
        <w:spacing w:after="0" w:line="240" w:lineRule="auto"/>
        <w:ind w:left="720" w:right="720" w:firstLine="0"/>
        <w:jc w:val="both"/>
        <w:rPr>
          <w:rFonts w:ascii="Verdana" w:hAnsi="Verdana"/>
          <w:sz w:val="16"/>
          <w:szCs w:val="20"/>
          <w:lang w:val="es-CR"/>
        </w:rPr>
      </w:pPr>
      <w:r w:rsidRPr="00E61811">
        <w:rPr>
          <w:rFonts w:ascii="Verdana" w:hAnsi="Verdana"/>
          <w:sz w:val="16"/>
          <w:szCs w:val="20"/>
          <w:lang w:val="es-CR"/>
        </w:rPr>
        <w:t xml:space="preserve">Sobreséese la pretensión de inconstitucionalidad planteada, en cuanto al vicio de forma, por la supuesta contradicción del procedimiento legislativo de la Ley de Amnistía General para la Consolidación de la Paz de 1993 (Decreto Legislativo n° 486, de 20-III-1993, publicado en el Diario Oficial n° 56, tomo n° 318, del 22-III-1993), con los arts. 85 y 135 Cn., debido a que la argumentación de los demandantes es insuficiente para justificar el examen constitucional de dicho procedimiento, según se ha señalado en el Considerando III de esta sentencia. </w:t>
      </w:r>
    </w:p>
    <w:p w14:paraId="0FA6ED82" w14:textId="77777777" w:rsidR="009D2D92" w:rsidRPr="00E61811" w:rsidRDefault="009D2D92" w:rsidP="009F6E4F">
      <w:pPr>
        <w:tabs>
          <w:tab w:val="left" w:pos="567"/>
        </w:tabs>
        <w:spacing w:after="0" w:line="240" w:lineRule="auto"/>
        <w:ind w:right="4"/>
        <w:jc w:val="both"/>
        <w:rPr>
          <w:rFonts w:ascii="Verdana" w:hAnsi="Verdana"/>
          <w:i/>
          <w:sz w:val="20"/>
          <w:szCs w:val="20"/>
          <w:lang w:val="es-CR" w:eastAsia="es-CR"/>
        </w:rPr>
      </w:pPr>
    </w:p>
    <w:p w14:paraId="11F24921" w14:textId="63EE46F1" w:rsidR="00B2058A" w:rsidRPr="00E61811" w:rsidRDefault="00B80213" w:rsidP="00932420">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12" w:name="_Ref492906913"/>
      <w:r w:rsidRPr="00E61811">
        <w:rPr>
          <w:rFonts w:ascii="Verdana" w:hAnsi="Verdana"/>
          <w:sz w:val="20"/>
          <w:szCs w:val="20"/>
          <w:lang w:val="es-CR"/>
        </w:rPr>
        <w:t>Sobre esta sentencia,</w:t>
      </w:r>
      <w:r w:rsidR="00283B26" w:rsidRPr="00E61811">
        <w:rPr>
          <w:rFonts w:ascii="Verdana" w:hAnsi="Verdana"/>
          <w:b/>
          <w:sz w:val="20"/>
          <w:szCs w:val="20"/>
          <w:lang w:val="es-CR"/>
        </w:rPr>
        <w:t xml:space="preserve"> </w:t>
      </w:r>
      <w:r w:rsidRPr="00E61811">
        <w:rPr>
          <w:rFonts w:ascii="Verdana" w:hAnsi="Verdana"/>
          <w:sz w:val="20"/>
          <w:szCs w:val="20"/>
          <w:lang w:val="es-CR"/>
        </w:rPr>
        <w:t xml:space="preserve">los </w:t>
      </w:r>
      <w:r w:rsidR="004055D7">
        <w:rPr>
          <w:rFonts w:ascii="Verdana" w:hAnsi="Verdana"/>
          <w:i/>
          <w:sz w:val="20"/>
          <w:szCs w:val="20"/>
          <w:lang w:val="es-CR"/>
        </w:rPr>
        <w:t>r</w:t>
      </w:r>
      <w:r w:rsidR="00283B26" w:rsidRPr="00E61811">
        <w:rPr>
          <w:rFonts w:ascii="Verdana" w:hAnsi="Verdana"/>
          <w:i/>
          <w:sz w:val="20"/>
          <w:szCs w:val="20"/>
          <w:lang w:val="es-CR"/>
        </w:rPr>
        <w:t xml:space="preserve">epresentantes </w:t>
      </w:r>
      <w:r w:rsidR="0060235A" w:rsidRPr="00E61811">
        <w:rPr>
          <w:rFonts w:ascii="Verdana" w:hAnsi="Verdana"/>
          <w:sz w:val="20"/>
          <w:szCs w:val="20"/>
          <w:lang w:val="es-CR"/>
        </w:rPr>
        <w:t>manifestaron que “celebra[ban] dicha determinación</w:t>
      </w:r>
      <w:r w:rsidR="00F411E3" w:rsidRPr="00E61811">
        <w:rPr>
          <w:rFonts w:ascii="Verdana" w:hAnsi="Verdana"/>
          <w:sz w:val="20"/>
          <w:szCs w:val="20"/>
          <w:lang w:val="es-CR"/>
        </w:rPr>
        <w:t>[, s]</w:t>
      </w:r>
      <w:r w:rsidR="0060235A" w:rsidRPr="00E61811">
        <w:rPr>
          <w:rFonts w:ascii="Verdana" w:hAnsi="Verdana"/>
          <w:sz w:val="20"/>
          <w:szCs w:val="20"/>
          <w:lang w:val="es-CR"/>
        </w:rPr>
        <w:t>in embargo, tal como lo establece la sentencia interamericana de la referencia, no basta con que se eliminen los obstáculos jurídicos para llevar a cabo las investigaciones, sino que es necesario también que los obstáculos fácticos arraigados en el aparato judicial salvadoreño sean removidos totalmente para dar pie a denuncias, investigaciones, procesamientos, sanciones de los responsables y eventualmente reparaciones para las víctimas de estos hechos atroces”</w:t>
      </w:r>
      <w:r w:rsidR="00F411E3" w:rsidRPr="00E61811">
        <w:rPr>
          <w:rFonts w:ascii="Verdana" w:hAnsi="Verdana"/>
          <w:sz w:val="20"/>
          <w:szCs w:val="20"/>
          <w:lang w:val="es-CR"/>
        </w:rPr>
        <w:t>.</w:t>
      </w:r>
      <w:r w:rsidR="0060235A" w:rsidRPr="00E61811">
        <w:rPr>
          <w:rFonts w:ascii="Verdana" w:hAnsi="Verdana"/>
          <w:sz w:val="20"/>
          <w:szCs w:val="20"/>
          <w:lang w:val="es-CR"/>
        </w:rPr>
        <w:t xml:space="preserve"> </w:t>
      </w:r>
      <w:r w:rsidR="00F411E3" w:rsidRPr="00E61811">
        <w:rPr>
          <w:rFonts w:ascii="Verdana" w:hAnsi="Verdana"/>
          <w:sz w:val="20"/>
          <w:szCs w:val="20"/>
          <w:lang w:val="es-CR"/>
        </w:rPr>
        <w:t>S</w:t>
      </w:r>
      <w:r w:rsidR="0060235A" w:rsidRPr="00E61811">
        <w:rPr>
          <w:rFonts w:ascii="Verdana" w:hAnsi="Verdana"/>
          <w:sz w:val="20"/>
          <w:szCs w:val="20"/>
          <w:lang w:val="es-CR"/>
        </w:rPr>
        <w:t>olicita</w:t>
      </w:r>
      <w:r w:rsidR="00F411E3" w:rsidRPr="00E61811">
        <w:rPr>
          <w:rFonts w:ascii="Verdana" w:hAnsi="Verdana"/>
          <w:sz w:val="20"/>
          <w:szCs w:val="20"/>
          <w:lang w:val="es-CR"/>
        </w:rPr>
        <w:t>ron</w:t>
      </w:r>
      <w:r w:rsidR="0060235A" w:rsidRPr="00E61811">
        <w:rPr>
          <w:rFonts w:ascii="Verdana" w:hAnsi="Verdana"/>
          <w:sz w:val="20"/>
          <w:szCs w:val="20"/>
          <w:lang w:val="es-CR"/>
        </w:rPr>
        <w:t xml:space="preserve"> que este Tribunal declare este punto como “parcialmente cumplido</w:t>
      </w:r>
      <w:r w:rsidR="00283B26" w:rsidRPr="00E61811">
        <w:rPr>
          <w:rFonts w:ascii="Verdana" w:hAnsi="Verdana"/>
          <w:sz w:val="20"/>
          <w:szCs w:val="20"/>
          <w:lang w:val="es-CR"/>
        </w:rPr>
        <w:t>”</w:t>
      </w:r>
      <w:r w:rsidR="00F411E3" w:rsidRPr="00E61811">
        <w:rPr>
          <w:rFonts w:ascii="Verdana" w:hAnsi="Verdana"/>
          <w:sz w:val="20"/>
          <w:szCs w:val="20"/>
          <w:lang w:val="es-CR"/>
        </w:rPr>
        <w:t>, ya que aún “permanecen pendientes las investigaciones</w:t>
      </w:r>
      <w:r w:rsidR="00B40119">
        <w:rPr>
          <w:rFonts w:ascii="Verdana" w:hAnsi="Verdana"/>
          <w:sz w:val="20"/>
          <w:szCs w:val="20"/>
          <w:lang w:val="es-CR"/>
        </w:rPr>
        <w:t>,</w:t>
      </w:r>
      <w:r w:rsidR="00F411E3" w:rsidRPr="00E61811">
        <w:rPr>
          <w:rFonts w:ascii="Verdana" w:hAnsi="Verdana"/>
          <w:sz w:val="20"/>
          <w:szCs w:val="20"/>
          <w:lang w:val="es-CR"/>
        </w:rPr>
        <w:t xml:space="preserve"> así como la identificación y sanción de responsables” por lo que “debe comprobarse que los obstáculos de facto también han sido removidos para la obtención de justicia”</w:t>
      </w:r>
      <w:r w:rsidR="00283B26" w:rsidRPr="00E61811">
        <w:rPr>
          <w:rFonts w:ascii="Verdana" w:hAnsi="Verdana"/>
          <w:sz w:val="20"/>
          <w:szCs w:val="20"/>
          <w:lang w:val="es-CR"/>
        </w:rPr>
        <w:t xml:space="preserve">. </w:t>
      </w:r>
      <w:r w:rsidR="008F22D5" w:rsidRPr="00E61811">
        <w:rPr>
          <w:rFonts w:ascii="Verdana" w:hAnsi="Verdana"/>
          <w:sz w:val="20"/>
          <w:szCs w:val="20"/>
          <w:lang w:val="es-CR"/>
        </w:rPr>
        <w:t xml:space="preserve">La </w:t>
      </w:r>
      <w:r w:rsidR="008F22D5" w:rsidRPr="00E61811">
        <w:rPr>
          <w:rFonts w:ascii="Verdana" w:hAnsi="Verdana"/>
          <w:i/>
          <w:sz w:val="20"/>
          <w:szCs w:val="20"/>
          <w:lang w:val="es-CR"/>
        </w:rPr>
        <w:t>Comisión</w:t>
      </w:r>
      <w:r w:rsidR="008F22D5" w:rsidRPr="00E61811">
        <w:rPr>
          <w:rFonts w:ascii="Verdana" w:hAnsi="Verdana"/>
          <w:sz w:val="20"/>
          <w:szCs w:val="20"/>
          <w:lang w:val="es-CR"/>
        </w:rPr>
        <w:t xml:space="preserve"> </w:t>
      </w:r>
      <w:r w:rsidR="004055D7">
        <w:rPr>
          <w:rFonts w:ascii="Verdana" w:hAnsi="Verdana"/>
          <w:sz w:val="20"/>
          <w:szCs w:val="20"/>
          <w:lang w:val="es-CR"/>
        </w:rPr>
        <w:t>sostuvo</w:t>
      </w:r>
      <w:r w:rsidR="002C0393" w:rsidRPr="00E61811">
        <w:rPr>
          <w:rFonts w:ascii="Verdana" w:hAnsi="Verdana"/>
          <w:sz w:val="20"/>
          <w:szCs w:val="20"/>
          <w:lang w:val="es-CR"/>
        </w:rPr>
        <w:t xml:space="preserve"> que “</w:t>
      </w:r>
      <w:r w:rsidR="00CB035E" w:rsidRPr="00E61811">
        <w:rPr>
          <w:rFonts w:ascii="Verdana" w:hAnsi="Verdana"/>
          <w:sz w:val="20"/>
          <w:szCs w:val="20"/>
          <w:lang w:val="es-CR"/>
        </w:rPr>
        <w:t xml:space="preserve">con esta decisión, El Salvador ha dado cumplimiento a decisiones adoptadas por el sistema interamericano de derechos humanos de la década de los noventa”, y valoró </w:t>
      </w:r>
      <w:r w:rsidR="002C0393" w:rsidRPr="00E61811">
        <w:rPr>
          <w:rFonts w:ascii="Verdana" w:hAnsi="Verdana"/>
          <w:sz w:val="20"/>
          <w:szCs w:val="20"/>
          <w:lang w:val="es-CR"/>
        </w:rPr>
        <w:t>que</w:t>
      </w:r>
      <w:r w:rsidR="005441A6" w:rsidRPr="00E61811">
        <w:rPr>
          <w:rFonts w:ascii="Verdana" w:hAnsi="Verdana"/>
          <w:sz w:val="20"/>
          <w:szCs w:val="20"/>
          <w:lang w:val="es-CR"/>
        </w:rPr>
        <w:t xml:space="preserve"> </w:t>
      </w:r>
      <w:r w:rsidR="002C0393" w:rsidRPr="00E61811">
        <w:rPr>
          <w:rFonts w:ascii="Verdana" w:hAnsi="Verdana"/>
          <w:sz w:val="20"/>
          <w:szCs w:val="20"/>
          <w:lang w:val="es-CR"/>
        </w:rPr>
        <w:t>“</w:t>
      </w:r>
      <w:r w:rsidR="005441A6" w:rsidRPr="00E61811">
        <w:rPr>
          <w:rFonts w:ascii="Verdana" w:hAnsi="Verdana"/>
          <w:sz w:val="20"/>
          <w:szCs w:val="20"/>
          <w:lang w:val="es-CR"/>
        </w:rPr>
        <w:t>por sus efectos generales garantizará que dicha ley no sea un obstáculo para la investigación de graves violaciones a derechos humanos como las declaradas en el presente caso”</w:t>
      </w:r>
      <w:r w:rsidR="00F411E3" w:rsidRPr="00E61811">
        <w:rPr>
          <w:rFonts w:ascii="Verdana" w:hAnsi="Verdana"/>
          <w:sz w:val="20"/>
          <w:szCs w:val="20"/>
          <w:lang w:val="es-CR"/>
        </w:rPr>
        <w:t xml:space="preserve">. La </w:t>
      </w:r>
      <w:r w:rsidR="00F411E3" w:rsidRPr="00E61811">
        <w:rPr>
          <w:rFonts w:ascii="Verdana" w:hAnsi="Verdana"/>
          <w:i/>
          <w:sz w:val="20"/>
          <w:szCs w:val="20"/>
          <w:lang w:val="es-CR"/>
        </w:rPr>
        <w:t>Comisión</w:t>
      </w:r>
      <w:r w:rsidR="00F411E3" w:rsidRPr="00E61811">
        <w:rPr>
          <w:rFonts w:ascii="Verdana" w:hAnsi="Verdana"/>
          <w:sz w:val="20"/>
          <w:szCs w:val="20"/>
          <w:lang w:val="es-CR"/>
        </w:rPr>
        <w:t xml:space="preserve"> indicó que quedaba “a la espera de información actualizada por parte del Estado de El Salvador en cuanto al avance en las investigaciones y el proceso penal en curso una vez que ha logrado superar el obstáculo que fue generado por la Ley de Amnistía de 1993”.</w:t>
      </w:r>
      <w:bookmarkEnd w:id="12"/>
      <w:r w:rsidR="00F411E3" w:rsidRPr="00E61811">
        <w:rPr>
          <w:rFonts w:ascii="Verdana" w:hAnsi="Verdana"/>
          <w:sz w:val="20"/>
          <w:szCs w:val="20"/>
          <w:lang w:val="es-CR"/>
        </w:rPr>
        <w:t xml:space="preserve">  </w:t>
      </w:r>
      <w:r w:rsidRPr="00E61811">
        <w:rPr>
          <w:rFonts w:ascii="Verdana" w:hAnsi="Verdana"/>
          <w:sz w:val="20"/>
          <w:szCs w:val="20"/>
          <w:lang w:val="es-CR"/>
        </w:rPr>
        <w:t xml:space="preserve"> </w:t>
      </w:r>
    </w:p>
    <w:p w14:paraId="16EC339C" w14:textId="77777777" w:rsidR="00F411E3" w:rsidRPr="00E61811" w:rsidRDefault="00F411E3" w:rsidP="00F411E3">
      <w:pPr>
        <w:pStyle w:val="ListParagraph"/>
        <w:tabs>
          <w:tab w:val="left" w:pos="567"/>
        </w:tabs>
        <w:spacing w:after="0" w:line="240" w:lineRule="auto"/>
        <w:ind w:left="0" w:right="4"/>
        <w:jc w:val="both"/>
        <w:rPr>
          <w:rFonts w:ascii="Verdana" w:hAnsi="Verdana"/>
          <w:sz w:val="20"/>
          <w:szCs w:val="20"/>
          <w:lang w:val="es-CR"/>
        </w:rPr>
      </w:pPr>
    </w:p>
    <w:p w14:paraId="7E84991F" w14:textId="7B0EAFEC" w:rsidR="00F411E3" w:rsidRPr="00E61811" w:rsidRDefault="00F411E3" w:rsidP="00F411E3">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Con relación al alegato de los representantes (</w:t>
      </w:r>
      <w:r w:rsidRPr="00E61811">
        <w:rPr>
          <w:rFonts w:ascii="Verdana" w:hAnsi="Verdana"/>
          <w:i/>
          <w:sz w:val="20"/>
          <w:szCs w:val="20"/>
          <w:lang w:val="es-CR"/>
        </w:rPr>
        <w:t>supra</w:t>
      </w:r>
      <w:r w:rsidRPr="00E61811">
        <w:rPr>
          <w:rFonts w:ascii="Verdana" w:hAnsi="Verdana"/>
          <w:sz w:val="20"/>
          <w:szCs w:val="20"/>
          <w:lang w:val="es-CR"/>
        </w:rPr>
        <w:t xml:space="preserve"> Considerando </w:t>
      </w:r>
      <w:r w:rsidR="00A67806">
        <w:rPr>
          <w:rFonts w:ascii="Verdana" w:hAnsi="Verdana"/>
          <w:sz w:val="20"/>
          <w:szCs w:val="20"/>
          <w:lang w:val="es-CR"/>
        </w:rPr>
        <w:fldChar w:fldCharType="begin"/>
      </w:r>
      <w:r w:rsidR="00A67806">
        <w:rPr>
          <w:rFonts w:ascii="Verdana" w:hAnsi="Verdana"/>
          <w:sz w:val="20"/>
          <w:szCs w:val="20"/>
          <w:lang w:val="es-CR"/>
        </w:rPr>
        <w:instrText xml:space="preserve"> REF _Ref492906913 \r \h </w:instrText>
      </w:r>
      <w:r w:rsidR="00A67806">
        <w:rPr>
          <w:rFonts w:ascii="Verdana" w:hAnsi="Verdana"/>
          <w:sz w:val="20"/>
          <w:szCs w:val="20"/>
          <w:lang w:val="es-CR"/>
        </w:rPr>
      </w:r>
      <w:r w:rsidR="00A67806">
        <w:rPr>
          <w:rFonts w:ascii="Verdana" w:hAnsi="Verdana"/>
          <w:sz w:val="20"/>
          <w:szCs w:val="20"/>
          <w:lang w:val="es-CR"/>
        </w:rPr>
        <w:fldChar w:fldCharType="separate"/>
      </w:r>
      <w:r w:rsidR="00F96D30">
        <w:rPr>
          <w:rFonts w:ascii="Verdana" w:hAnsi="Verdana"/>
          <w:sz w:val="20"/>
          <w:szCs w:val="20"/>
          <w:lang w:val="es-CR"/>
        </w:rPr>
        <w:t>13</w:t>
      </w:r>
      <w:r w:rsidR="00A67806">
        <w:rPr>
          <w:rFonts w:ascii="Verdana" w:hAnsi="Verdana"/>
          <w:sz w:val="20"/>
          <w:szCs w:val="20"/>
          <w:lang w:val="es-CR"/>
        </w:rPr>
        <w:fldChar w:fldCharType="end"/>
      </w:r>
      <w:r w:rsidRPr="00E61811">
        <w:rPr>
          <w:rFonts w:ascii="Verdana" w:hAnsi="Verdana"/>
          <w:sz w:val="20"/>
          <w:szCs w:val="20"/>
          <w:lang w:val="es-CR"/>
        </w:rPr>
        <w:t xml:space="preserve">), </w:t>
      </w:r>
      <w:r w:rsidR="00713C69">
        <w:rPr>
          <w:rFonts w:ascii="Verdana" w:hAnsi="Verdana"/>
          <w:sz w:val="20"/>
          <w:szCs w:val="20"/>
          <w:lang w:val="es-CR"/>
        </w:rPr>
        <w:t xml:space="preserve">la Corte coincide en cuanto a la importancia de que ahora que está eliminado el obstáculo jurídico de la Ley de Amnistía el proceso penal sea conducido con la debida diligencia y celeridad, pero analizará tales aspectos </w:t>
      </w:r>
      <w:r w:rsidRPr="00E61811">
        <w:rPr>
          <w:rFonts w:ascii="Verdana" w:hAnsi="Verdana"/>
          <w:sz w:val="20"/>
          <w:szCs w:val="20"/>
          <w:lang w:val="es-CR"/>
        </w:rPr>
        <w:t xml:space="preserve">en el marco de la </w:t>
      </w:r>
      <w:r w:rsidR="00713C69">
        <w:rPr>
          <w:rFonts w:ascii="Verdana" w:hAnsi="Verdana"/>
          <w:sz w:val="20"/>
          <w:szCs w:val="20"/>
          <w:lang w:val="es-CR"/>
        </w:rPr>
        <w:t xml:space="preserve">supervisión del </w:t>
      </w:r>
      <w:r w:rsidRPr="00E61811">
        <w:rPr>
          <w:rFonts w:ascii="Verdana" w:hAnsi="Verdana"/>
          <w:sz w:val="20"/>
          <w:szCs w:val="20"/>
          <w:lang w:val="es-CR"/>
        </w:rPr>
        <w:t>deber del Estado de “iniciar, impulsar, reabrir, dirigir, continuar y concluir, según corresponda, con la mayor diligencia, las investigaciones de todos los hechos que originaron las violaciones declaradas en la […] Sentencia, con el propósito de identificar, juzgar y, en su caso, sancionar a los responsables”, dispuesta en el punto resolutivo tercero de la Sentencia (</w:t>
      </w:r>
      <w:r w:rsidRPr="00E61811">
        <w:rPr>
          <w:rFonts w:ascii="Verdana" w:hAnsi="Verdana"/>
          <w:i/>
          <w:sz w:val="20"/>
          <w:szCs w:val="20"/>
          <w:lang w:val="es-CR"/>
        </w:rPr>
        <w:t>infra</w:t>
      </w:r>
      <w:r w:rsidRPr="00E61811">
        <w:rPr>
          <w:rFonts w:ascii="Verdana" w:hAnsi="Verdana"/>
          <w:sz w:val="20"/>
          <w:szCs w:val="20"/>
          <w:lang w:val="es-CR"/>
        </w:rPr>
        <w:t xml:space="preserve"> Considerandos </w:t>
      </w:r>
      <w:r w:rsidR="00A67806">
        <w:rPr>
          <w:rFonts w:ascii="Verdana" w:hAnsi="Verdana"/>
          <w:sz w:val="20"/>
          <w:szCs w:val="20"/>
          <w:lang w:val="es-CR"/>
        </w:rPr>
        <w:fldChar w:fldCharType="begin"/>
      </w:r>
      <w:r w:rsidR="00A67806">
        <w:rPr>
          <w:rFonts w:ascii="Verdana" w:hAnsi="Verdana"/>
          <w:sz w:val="20"/>
          <w:szCs w:val="20"/>
          <w:lang w:val="es-CR"/>
        </w:rPr>
        <w:instrText xml:space="preserve"> REF _Ref492906940 \r \h </w:instrText>
      </w:r>
      <w:r w:rsidR="00A67806">
        <w:rPr>
          <w:rFonts w:ascii="Verdana" w:hAnsi="Verdana"/>
          <w:sz w:val="20"/>
          <w:szCs w:val="20"/>
          <w:lang w:val="es-CR"/>
        </w:rPr>
      </w:r>
      <w:r w:rsidR="00A67806">
        <w:rPr>
          <w:rFonts w:ascii="Verdana" w:hAnsi="Verdana"/>
          <w:sz w:val="20"/>
          <w:szCs w:val="20"/>
          <w:lang w:val="es-CR"/>
        </w:rPr>
        <w:fldChar w:fldCharType="separate"/>
      </w:r>
      <w:r w:rsidR="00F96D30">
        <w:rPr>
          <w:rFonts w:ascii="Verdana" w:hAnsi="Verdana"/>
          <w:sz w:val="20"/>
          <w:szCs w:val="20"/>
          <w:lang w:val="es-CR"/>
        </w:rPr>
        <w:t>19</w:t>
      </w:r>
      <w:r w:rsidR="00A67806">
        <w:rPr>
          <w:rFonts w:ascii="Verdana" w:hAnsi="Verdana"/>
          <w:sz w:val="20"/>
          <w:szCs w:val="20"/>
          <w:lang w:val="es-CR"/>
        </w:rPr>
        <w:fldChar w:fldCharType="end"/>
      </w:r>
      <w:r w:rsidR="00A67806">
        <w:rPr>
          <w:rFonts w:ascii="Verdana" w:hAnsi="Verdana"/>
          <w:sz w:val="20"/>
          <w:szCs w:val="20"/>
          <w:lang w:val="es-CR"/>
        </w:rPr>
        <w:t xml:space="preserve"> </w:t>
      </w:r>
      <w:r w:rsidRPr="00E61811">
        <w:rPr>
          <w:rFonts w:ascii="Verdana" w:hAnsi="Verdana"/>
          <w:sz w:val="20"/>
          <w:szCs w:val="20"/>
          <w:lang w:val="es-CR"/>
        </w:rPr>
        <w:t xml:space="preserve">a </w:t>
      </w:r>
      <w:r w:rsidR="00A67806">
        <w:rPr>
          <w:rFonts w:ascii="Verdana" w:hAnsi="Verdana"/>
          <w:sz w:val="20"/>
          <w:szCs w:val="20"/>
          <w:lang w:val="es-CR"/>
        </w:rPr>
        <w:fldChar w:fldCharType="begin"/>
      </w:r>
      <w:r w:rsidR="00A67806">
        <w:rPr>
          <w:rFonts w:ascii="Verdana" w:hAnsi="Verdana"/>
          <w:sz w:val="20"/>
          <w:szCs w:val="20"/>
          <w:lang w:val="es-CR"/>
        </w:rPr>
        <w:instrText xml:space="preserve"> REF _Ref492906958 \r \h </w:instrText>
      </w:r>
      <w:r w:rsidR="00A67806">
        <w:rPr>
          <w:rFonts w:ascii="Verdana" w:hAnsi="Verdana"/>
          <w:sz w:val="20"/>
          <w:szCs w:val="20"/>
          <w:lang w:val="es-CR"/>
        </w:rPr>
      </w:r>
      <w:r w:rsidR="00A67806">
        <w:rPr>
          <w:rFonts w:ascii="Verdana" w:hAnsi="Verdana"/>
          <w:sz w:val="20"/>
          <w:szCs w:val="20"/>
          <w:lang w:val="es-CR"/>
        </w:rPr>
        <w:fldChar w:fldCharType="separate"/>
      </w:r>
      <w:r w:rsidR="00F96D30">
        <w:rPr>
          <w:rFonts w:ascii="Verdana" w:hAnsi="Verdana"/>
          <w:sz w:val="20"/>
          <w:szCs w:val="20"/>
          <w:lang w:val="es-CR"/>
        </w:rPr>
        <w:t>26</w:t>
      </w:r>
      <w:r w:rsidR="00A67806">
        <w:rPr>
          <w:rFonts w:ascii="Verdana" w:hAnsi="Verdana"/>
          <w:sz w:val="20"/>
          <w:szCs w:val="20"/>
          <w:lang w:val="es-CR"/>
        </w:rPr>
        <w:fldChar w:fldCharType="end"/>
      </w:r>
      <w:r w:rsidRPr="00E61811">
        <w:rPr>
          <w:rFonts w:ascii="Verdana" w:hAnsi="Verdana"/>
          <w:sz w:val="20"/>
          <w:szCs w:val="20"/>
          <w:lang w:val="es-CR"/>
        </w:rPr>
        <w:t>).</w:t>
      </w:r>
      <w:r w:rsidR="00713C69">
        <w:rPr>
          <w:rFonts w:ascii="Verdana" w:hAnsi="Verdana"/>
          <w:sz w:val="20"/>
          <w:szCs w:val="20"/>
          <w:lang w:val="es-CR"/>
        </w:rPr>
        <w:t xml:space="preserve"> </w:t>
      </w:r>
    </w:p>
    <w:p w14:paraId="3FF335F8" w14:textId="77777777" w:rsidR="00F411E3" w:rsidRPr="00E61811" w:rsidRDefault="00F411E3" w:rsidP="00F411E3">
      <w:pPr>
        <w:pStyle w:val="ListParagraph"/>
        <w:rPr>
          <w:rFonts w:ascii="Verdana" w:hAnsi="Verdana"/>
          <w:sz w:val="20"/>
          <w:szCs w:val="20"/>
          <w:lang w:val="es-CR"/>
        </w:rPr>
      </w:pPr>
    </w:p>
    <w:p w14:paraId="706A40BC" w14:textId="7B4CAE25" w:rsidR="00D919F4" w:rsidRPr="00E61811" w:rsidRDefault="000D470D" w:rsidP="00D919F4">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13" w:name="_Ref492906392"/>
      <w:r>
        <w:rPr>
          <w:rFonts w:ascii="Verdana" w:hAnsi="Verdana"/>
          <w:sz w:val="20"/>
          <w:szCs w:val="20"/>
          <w:lang w:val="es-CR"/>
        </w:rPr>
        <w:t xml:space="preserve">Debido a que la referida sentencia de inconstitucionalidad también </w:t>
      </w:r>
      <w:r w:rsidR="00F411E3" w:rsidRPr="00E61811">
        <w:rPr>
          <w:rFonts w:ascii="Verdana" w:hAnsi="Verdana"/>
          <w:sz w:val="20"/>
          <w:szCs w:val="20"/>
          <w:lang w:val="es-CR"/>
        </w:rPr>
        <w:t xml:space="preserve">pone en vigencia las amnistías dispuestas en la Ley de Reconciliación Nacional, la Corte estima pertinente recordar el análisis que ésta realizó en la </w:t>
      </w:r>
      <w:r w:rsidR="00BE7EF7">
        <w:rPr>
          <w:rFonts w:ascii="Verdana" w:hAnsi="Verdana"/>
          <w:sz w:val="20"/>
          <w:szCs w:val="20"/>
          <w:lang w:val="es-CR"/>
        </w:rPr>
        <w:t xml:space="preserve">Sentencia </w:t>
      </w:r>
      <w:r w:rsidR="00F411E3" w:rsidRPr="00E61811">
        <w:rPr>
          <w:rFonts w:ascii="Verdana" w:hAnsi="Verdana"/>
          <w:sz w:val="20"/>
          <w:szCs w:val="20"/>
          <w:lang w:val="es-CR"/>
        </w:rPr>
        <w:t xml:space="preserve">de fondo del caso con relación a </w:t>
      </w:r>
      <w:r w:rsidR="004055D7">
        <w:rPr>
          <w:rFonts w:ascii="Verdana" w:hAnsi="Verdana"/>
          <w:sz w:val="20"/>
          <w:szCs w:val="20"/>
          <w:lang w:val="es-CR"/>
        </w:rPr>
        <w:t>dicha</w:t>
      </w:r>
      <w:r w:rsidR="00F411E3" w:rsidRPr="00E61811">
        <w:rPr>
          <w:rFonts w:ascii="Verdana" w:hAnsi="Verdana"/>
          <w:sz w:val="20"/>
          <w:szCs w:val="20"/>
          <w:lang w:val="es-CR"/>
        </w:rPr>
        <w:t xml:space="preserve"> normativa y a</w:t>
      </w:r>
      <w:r w:rsidR="00495071">
        <w:rPr>
          <w:rFonts w:ascii="Verdana" w:hAnsi="Verdana"/>
          <w:sz w:val="20"/>
          <w:szCs w:val="20"/>
          <w:lang w:val="es-CR"/>
        </w:rPr>
        <w:t>l</w:t>
      </w:r>
      <w:r w:rsidR="00F411E3" w:rsidRPr="00E61811">
        <w:rPr>
          <w:rFonts w:ascii="Verdana" w:hAnsi="Verdana"/>
          <w:sz w:val="20"/>
          <w:szCs w:val="20"/>
          <w:lang w:val="es-CR"/>
        </w:rPr>
        <w:t xml:space="preserve"> </w:t>
      </w:r>
      <w:r w:rsidR="00495071">
        <w:rPr>
          <w:rFonts w:ascii="Verdana" w:hAnsi="Verdana"/>
          <w:sz w:val="20"/>
          <w:szCs w:val="20"/>
          <w:lang w:val="es-CR"/>
        </w:rPr>
        <w:t>A</w:t>
      </w:r>
      <w:r w:rsidR="00F411E3" w:rsidRPr="00E61811">
        <w:rPr>
          <w:rFonts w:ascii="Verdana" w:hAnsi="Verdana"/>
          <w:sz w:val="20"/>
          <w:szCs w:val="20"/>
          <w:lang w:val="es-CR"/>
        </w:rPr>
        <w:t xml:space="preserve">cuerdo de </w:t>
      </w:r>
      <w:r w:rsidR="00495071">
        <w:rPr>
          <w:rFonts w:ascii="Verdana" w:hAnsi="Verdana"/>
          <w:sz w:val="20"/>
          <w:szCs w:val="20"/>
          <w:lang w:val="es-CR"/>
        </w:rPr>
        <w:t>P</w:t>
      </w:r>
      <w:r w:rsidR="00F411E3" w:rsidRPr="00E61811">
        <w:rPr>
          <w:rFonts w:ascii="Verdana" w:hAnsi="Verdana"/>
          <w:sz w:val="20"/>
          <w:szCs w:val="20"/>
          <w:lang w:val="es-CR"/>
        </w:rPr>
        <w:t>az</w:t>
      </w:r>
      <w:r w:rsidR="00495071">
        <w:rPr>
          <w:rFonts w:ascii="Verdana" w:hAnsi="Verdana"/>
          <w:sz w:val="20"/>
          <w:szCs w:val="20"/>
          <w:lang w:val="es-CR"/>
        </w:rPr>
        <w:t xml:space="preserve"> que le precede</w:t>
      </w:r>
      <w:r w:rsidR="00F411E3" w:rsidRPr="00E61811">
        <w:rPr>
          <w:rFonts w:ascii="Verdana" w:hAnsi="Verdana"/>
          <w:sz w:val="20"/>
          <w:szCs w:val="20"/>
          <w:lang w:val="es-CR"/>
        </w:rPr>
        <w:t>, con base en el cual no estaría vigente ninguna amnistía contraria al Derecho Internacional de los Derechos Humanos ni al Derecho Internacional Humanitario.</w:t>
      </w:r>
      <w:bookmarkEnd w:id="13"/>
      <w:r w:rsidR="00F411E3" w:rsidRPr="00E61811">
        <w:rPr>
          <w:rFonts w:ascii="Verdana" w:hAnsi="Verdana"/>
          <w:sz w:val="20"/>
          <w:szCs w:val="20"/>
          <w:lang w:val="es-CR"/>
        </w:rPr>
        <w:t xml:space="preserve">  </w:t>
      </w:r>
    </w:p>
    <w:p w14:paraId="37425DBD" w14:textId="77777777" w:rsidR="006422FC" w:rsidRPr="00E61811" w:rsidRDefault="006422FC" w:rsidP="009A27CF">
      <w:pPr>
        <w:pStyle w:val="ListParagraph"/>
        <w:tabs>
          <w:tab w:val="left" w:pos="567"/>
        </w:tabs>
        <w:spacing w:after="0" w:line="240" w:lineRule="auto"/>
        <w:ind w:left="0" w:right="4"/>
        <w:jc w:val="both"/>
        <w:rPr>
          <w:rFonts w:ascii="Verdana" w:hAnsi="Verdana"/>
          <w:sz w:val="20"/>
          <w:szCs w:val="20"/>
          <w:lang w:val="es-CR"/>
        </w:rPr>
      </w:pPr>
    </w:p>
    <w:p w14:paraId="0812F5CD" w14:textId="0793E470" w:rsidR="00F411E3" w:rsidRPr="00E61811" w:rsidRDefault="00F411E3" w:rsidP="00917229">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14" w:name="_Ref492906417"/>
      <w:r w:rsidRPr="00E61811">
        <w:rPr>
          <w:rFonts w:ascii="Verdana" w:hAnsi="Verdana"/>
          <w:sz w:val="20"/>
          <w:szCs w:val="20"/>
          <w:lang w:val="es-CR"/>
        </w:rPr>
        <w:lastRenderedPageBreak/>
        <w:t>En este sentido, la Corte hizo notar en su Sentencia de fondo que</w:t>
      </w:r>
      <w:r w:rsidR="00495071">
        <w:rPr>
          <w:rFonts w:ascii="Verdana" w:hAnsi="Verdana"/>
          <w:sz w:val="20"/>
          <w:szCs w:val="20"/>
          <w:lang w:val="es-CR"/>
        </w:rPr>
        <w:t>, en consonancia con el</w:t>
      </w:r>
      <w:r w:rsidRPr="00E61811">
        <w:rPr>
          <w:rFonts w:ascii="Verdana" w:hAnsi="Verdana"/>
          <w:sz w:val="20"/>
          <w:szCs w:val="20"/>
          <w:lang w:val="es-CR"/>
        </w:rPr>
        <w:t xml:space="preserve"> artículo 6.5 del Protocolo II adicional a los Convenios de Ginebra de 1949</w:t>
      </w:r>
      <w:r w:rsidRPr="00E61811">
        <w:rPr>
          <w:rStyle w:val="FootnoteReference"/>
          <w:rFonts w:ascii="Verdana" w:hAnsi="Verdana"/>
          <w:sz w:val="20"/>
          <w:szCs w:val="20"/>
          <w:lang w:val="es-CR"/>
        </w:rPr>
        <w:footnoteReference w:id="26"/>
      </w:r>
      <w:r w:rsidR="00917229" w:rsidRPr="00E61811">
        <w:rPr>
          <w:rFonts w:ascii="Verdana" w:hAnsi="Verdana"/>
          <w:sz w:val="20"/>
          <w:szCs w:val="20"/>
          <w:lang w:val="es-CR"/>
        </w:rPr>
        <w:t>, fue diseñado el Acuerdo de Paz de 1992, que preveía el deber “a cargo del Estado de investigar y sancionar a través de ‘la actuación ejemplarizante’ de los tribunales de justicia ordinarios al menos las graves violaciones de derechos humanos que estableciera la Comisión de la Verdad, de modo tal que no quedaran impunes y se evitara su repetición”. En sentido similar fue desarrollada la Ley de Reconciliación Nacional, ahora vigente, que establecía “la gracia de la amnistía con restricciones, en tanto excluía de su aplicación a ‘las personas que, según el informe de la Comisión de la Verdad, hubieren participado en graves hechos de violencia ocurridos desde el 1º de enero de 1980, cuya huella sobre la sociedad, reclama con mayor urgencia el conocimiento público de la verdad, independientemente del sector a que pertenecieren en su caso’”.</w:t>
      </w:r>
      <w:bookmarkEnd w:id="14"/>
    </w:p>
    <w:p w14:paraId="5A6C80A7" w14:textId="77777777" w:rsidR="00F411E3" w:rsidRPr="00E61811" w:rsidRDefault="00F411E3" w:rsidP="00F411E3">
      <w:pPr>
        <w:pStyle w:val="ListParagraph"/>
        <w:rPr>
          <w:rFonts w:ascii="Verdana" w:hAnsi="Verdana"/>
          <w:sz w:val="20"/>
          <w:szCs w:val="20"/>
          <w:lang w:val="es-CR"/>
        </w:rPr>
      </w:pPr>
    </w:p>
    <w:p w14:paraId="0F9075F1" w14:textId="5D4F012E" w:rsidR="008967FE" w:rsidRPr="00E61811" w:rsidRDefault="002942C5" w:rsidP="002942C5">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Además, la Corte valora positivamente que la sentencia de la Sala de lo Constitucional contiene disposiciones que coinciden con la jurisprudencia constante de la Corte Interamericana respecto a la prohibición de otorgar amnistías u otras eximentes de responsabilidad</w:t>
      </w:r>
      <w:r w:rsidR="00C25FA0">
        <w:rPr>
          <w:rFonts w:ascii="Verdana" w:hAnsi="Verdana"/>
          <w:sz w:val="20"/>
          <w:szCs w:val="20"/>
          <w:lang w:val="es-CR"/>
        </w:rPr>
        <w:t xml:space="preserve"> ante graves violaciones a los derechos humanos</w:t>
      </w:r>
      <w:r w:rsidRPr="00E61811">
        <w:rPr>
          <w:rStyle w:val="FootnoteReference"/>
          <w:rFonts w:ascii="Verdana" w:hAnsi="Verdana"/>
          <w:sz w:val="20"/>
          <w:szCs w:val="20"/>
          <w:lang w:val="es-CR"/>
        </w:rPr>
        <w:footnoteReference w:id="27"/>
      </w:r>
      <w:r w:rsidRPr="00E61811">
        <w:rPr>
          <w:rFonts w:ascii="Verdana" w:hAnsi="Verdana"/>
          <w:sz w:val="20"/>
          <w:szCs w:val="20"/>
          <w:lang w:val="es-CR"/>
        </w:rPr>
        <w:t>. Al respecto,</w:t>
      </w:r>
      <w:r w:rsidR="0001029D" w:rsidRPr="00E61811">
        <w:rPr>
          <w:rFonts w:ascii="Verdana" w:hAnsi="Verdana"/>
          <w:sz w:val="20"/>
          <w:szCs w:val="20"/>
          <w:lang w:val="es-CR"/>
        </w:rPr>
        <w:t xml:space="preserve"> en sus razonamientos,</w:t>
      </w:r>
      <w:r w:rsidR="004055D7">
        <w:rPr>
          <w:rFonts w:ascii="Verdana" w:hAnsi="Verdana"/>
          <w:sz w:val="20"/>
          <w:szCs w:val="20"/>
          <w:lang w:val="es-CR"/>
        </w:rPr>
        <w:t xml:space="preserve"> dicho alto tribunal interno</w:t>
      </w:r>
      <w:r w:rsidR="003D3A3B" w:rsidRPr="00E61811">
        <w:rPr>
          <w:rFonts w:ascii="Verdana" w:hAnsi="Verdana"/>
          <w:sz w:val="20"/>
          <w:szCs w:val="20"/>
          <w:lang w:val="es-CR"/>
        </w:rPr>
        <w:t xml:space="preserve"> </w:t>
      </w:r>
      <w:r w:rsidR="00565D29" w:rsidRPr="00E61811">
        <w:rPr>
          <w:rFonts w:ascii="Verdana" w:hAnsi="Verdana"/>
          <w:sz w:val="20"/>
          <w:szCs w:val="20"/>
          <w:lang w:val="es-CR"/>
        </w:rPr>
        <w:t xml:space="preserve">asumió </w:t>
      </w:r>
      <w:r w:rsidR="00C25FA0">
        <w:rPr>
          <w:rFonts w:ascii="Verdana" w:hAnsi="Verdana"/>
          <w:sz w:val="20"/>
          <w:szCs w:val="20"/>
          <w:lang w:val="es-CR"/>
        </w:rPr>
        <w:t xml:space="preserve">como </w:t>
      </w:r>
      <w:r w:rsidR="00565D29" w:rsidRPr="00E61811">
        <w:rPr>
          <w:rFonts w:ascii="Verdana" w:hAnsi="Verdana"/>
          <w:sz w:val="20"/>
          <w:szCs w:val="20"/>
          <w:lang w:val="es-CR"/>
        </w:rPr>
        <w:t>propios</w:t>
      </w:r>
      <w:r w:rsidR="003D3A3B" w:rsidRPr="00E61811">
        <w:rPr>
          <w:rFonts w:ascii="Verdana" w:hAnsi="Verdana"/>
          <w:sz w:val="20"/>
          <w:szCs w:val="20"/>
          <w:lang w:val="es-CR"/>
        </w:rPr>
        <w:t xml:space="preserve"> </w:t>
      </w:r>
      <w:r w:rsidR="00C25FA0">
        <w:rPr>
          <w:rFonts w:ascii="Verdana" w:hAnsi="Verdana"/>
          <w:sz w:val="20"/>
          <w:szCs w:val="20"/>
          <w:lang w:val="es-CR"/>
        </w:rPr>
        <w:t xml:space="preserve">los </w:t>
      </w:r>
      <w:r w:rsidR="003D3A3B" w:rsidRPr="00E61811">
        <w:rPr>
          <w:rFonts w:ascii="Verdana" w:hAnsi="Verdana"/>
          <w:sz w:val="20"/>
          <w:szCs w:val="20"/>
          <w:lang w:val="es-CR"/>
        </w:rPr>
        <w:t>criterios de la Corte</w:t>
      </w:r>
      <w:r w:rsidR="00565D29" w:rsidRPr="00E61811">
        <w:rPr>
          <w:rFonts w:ascii="Verdana" w:hAnsi="Verdana"/>
          <w:sz w:val="20"/>
          <w:szCs w:val="20"/>
          <w:lang w:val="es-CR"/>
        </w:rPr>
        <w:t xml:space="preserve"> Interamericana</w:t>
      </w:r>
      <w:r w:rsidR="003D3A3B" w:rsidRPr="00E61811">
        <w:rPr>
          <w:rFonts w:ascii="Verdana" w:hAnsi="Verdana"/>
          <w:sz w:val="20"/>
          <w:szCs w:val="20"/>
          <w:lang w:val="es-CR"/>
        </w:rPr>
        <w:t xml:space="preserve"> </w:t>
      </w:r>
      <w:r w:rsidR="00565D29" w:rsidRPr="00E61811">
        <w:rPr>
          <w:rFonts w:ascii="Verdana" w:hAnsi="Verdana"/>
          <w:sz w:val="20"/>
          <w:szCs w:val="20"/>
          <w:lang w:val="es-CR"/>
        </w:rPr>
        <w:t>respecto</w:t>
      </w:r>
      <w:r w:rsidR="003D3A3B" w:rsidRPr="00E61811">
        <w:rPr>
          <w:rFonts w:ascii="Verdana" w:hAnsi="Verdana"/>
          <w:sz w:val="20"/>
          <w:szCs w:val="20"/>
          <w:lang w:val="es-CR"/>
        </w:rPr>
        <w:t xml:space="preserve"> a la prohibición de amnistías ante graves violaciones a derechos humanos</w:t>
      </w:r>
      <w:r w:rsidR="00565D29" w:rsidRPr="00E61811">
        <w:rPr>
          <w:rStyle w:val="FootnoteReference"/>
          <w:rFonts w:ascii="Verdana" w:hAnsi="Verdana"/>
          <w:sz w:val="20"/>
          <w:szCs w:val="20"/>
          <w:lang w:val="es-CR"/>
        </w:rPr>
        <w:footnoteReference w:id="28"/>
      </w:r>
      <w:r w:rsidR="00565D29" w:rsidRPr="00E61811">
        <w:rPr>
          <w:rFonts w:ascii="Verdana" w:hAnsi="Verdana"/>
          <w:sz w:val="20"/>
          <w:szCs w:val="20"/>
          <w:lang w:val="es-CR"/>
        </w:rPr>
        <w:t xml:space="preserve"> y la prohibición del Estado de que se sustraiga del deber de investigar y sancionar a los responsables</w:t>
      </w:r>
      <w:r w:rsidR="00565D29" w:rsidRPr="00E61811">
        <w:rPr>
          <w:rStyle w:val="FootnoteReference"/>
          <w:rFonts w:ascii="Verdana" w:hAnsi="Verdana"/>
          <w:sz w:val="20"/>
          <w:szCs w:val="20"/>
          <w:lang w:val="es-CR"/>
        </w:rPr>
        <w:footnoteReference w:id="29"/>
      </w:r>
      <w:r w:rsidR="00575A08" w:rsidRPr="00E61811">
        <w:rPr>
          <w:rFonts w:ascii="Verdana" w:hAnsi="Verdana"/>
          <w:sz w:val="20"/>
          <w:szCs w:val="20"/>
          <w:lang w:val="es-CR"/>
        </w:rPr>
        <w:t>.</w:t>
      </w:r>
      <w:r w:rsidR="0001029D" w:rsidRPr="00E61811">
        <w:rPr>
          <w:rFonts w:ascii="Verdana" w:hAnsi="Verdana"/>
          <w:sz w:val="20"/>
          <w:szCs w:val="20"/>
          <w:lang w:val="es-CR"/>
        </w:rPr>
        <w:t xml:space="preserve"> </w:t>
      </w:r>
      <w:r w:rsidR="00917229" w:rsidRPr="00E61811">
        <w:rPr>
          <w:rFonts w:ascii="Verdana" w:hAnsi="Verdana"/>
          <w:sz w:val="20"/>
          <w:szCs w:val="20"/>
          <w:lang w:val="es-CR"/>
        </w:rPr>
        <w:t xml:space="preserve"> </w:t>
      </w:r>
      <w:r w:rsidR="00741BC7">
        <w:rPr>
          <w:rFonts w:ascii="Verdana" w:hAnsi="Verdana"/>
          <w:sz w:val="20"/>
          <w:szCs w:val="20"/>
          <w:lang w:val="es-CR"/>
        </w:rPr>
        <w:t>L</w:t>
      </w:r>
      <w:r w:rsidR="00917229" w:rsidRPr="00E61811">
        <w:rPr>
          <w:rFonts w:ascii="Verdana" w:hAnsi="Verdana"/>
          <w:sz w:val="20"/>
          <w:szCs w:val="20"/>
          <w:lang w:val="es-CR"/>
        </w:rPr>
        <w:t xml:space="preserve">a Corte </w:t>
      </w:r>
      <w:r w:rsidR="00741BC7">
        <w:rPr>
          <w:rFonts w:ascii="Verdana" w:hAnsi="Verdana"/>
          <w:sz w:val="20"/>
          <w:szCs w:val="20"/>
          <w:lang w:val="es-CR"/>
        </w:rPr>
        <w:t xml:space="preserve">también </w:t>
      </w:r>
      <w:r w:rsidR="00917229" w:rsidRPr="00E61811">
        <w:rPr>
          <w:rFonts w:ascii="Verdana" w:hAnsi="Verdana"/>
          <w:sz w:val="20"/>
          <w:szCs w:val="20"/>
          <w:lang w:val="es-CR"/>
        </w:rPr>
        <w:t xml:space="preserve">valora positivamente </w:t>
      </w:r>
      <w:r w:rsidR="00741BC7">
        <w:rPr>
          <w:rFonts w:ascii="Verdana" w:hAnsi="Verdana"/>
          <w:sz w:val="20"/>
          <w:szCs w:val="20"/>
          <w:lang w:val="es-CR"/>
        </w:rPr>
        <w:t xml:space="preserve">que </w:t>
      </w:r>
      <w:r w:rsidR="00917229" w:rsidRPr="00E61811">
        <w:rPr>
          <w:rFonts w:ascii="Verdana" w:hAnsi="Verdana"/>
          <w:sz w:val="20"/>
          <w:szCs w:val="20"/>
          <w:lang w:val="es-CR"/>
        </w:rPr>
        <w:t xml:space="preserve">la Sala de lo Constitucional </w:t>
      </w:r>
      <w:r w:rsidR="00741BC7">
        <w:rPr>
          <w:rFonts w:ascii="Verdana" w:hAnsi="Verdana"/>
          <w:sz w:val="20"/>
          <w:szCs w:val="20"/>
          <w:lang w:val="es-CR"/>
        </w:rPr>
        <w:t xml:space="preserve">se haya ocupado de referirse al cómputo de la prescripción, al señalar que </w:t>
      </w:r>
      <w:r w:rsidR="00917229" w:rsidRPr="00E61811">
        <w:rPr>
          <w:rFonts w:ascii="Verdana" w:hAnsi="Verdana"/>
          <w:sz w:val="20"/>
          <w:szCs w:val="20"/>
          <w:lang w:val="es-CR"/>
        </w:rPr>
        <w:t>“la vigencia de la Ley de Amnistía</w:t>
      </w:r>
      <w:r w:rsidR="002A47C6">
        <w:rPr>
          <w:rFonts w:ascii="Verdana" w:hAnsi="Verdana"/>
          <w:sz w:val="20"/>
          <w:szCs w:val="20"/>
          <w:lang w:val="es-CR"/>
        </w:rPr>
        <w:t xml:space="preserve"> de 1993</w:t>
      </w:r>
      <w:r w:rsidR="00917229" w:rsidRPr="00E61811">
        <w:rPr>
          <w:rFonts w:ascii="Verdana" w:hAnsi="Verdana"/>
          <w:sz w:val="20"/>
          <w:szCs w:val="20"/>
          <w:lang w:val="es-CR"/>
        </w:rPr>
        <w:t xml:space="preserve"> hasta la fecha de notificación de [la sentencia de la Sala de lo Constitucional] es incompatible con el cómputo de los plazos de prescripción de la acción penal, de la pena o de los procedimientos que corresponden o corresponderían a tales hechos</w:t>
      </w:r>
      <w:r w:rsidRPr="00E61811">
        <w:rPr>
          <w:rFonts w:ascii="Verdana" w:hAnsi="Verdana"/>
          <w:sz w:val="20"/>
          <w:szCs w:val="20"/>
          <w:lang w:val="es-CR"/>
        </w:rPr>
        <w:t>, y que pudier</w:t>
      </w:r>
      <w:r w:rsidR="002A47C6">
        <w:rPr>
          <w:rFonts w:ascii="Verdana" w:hAnsi="Verdana"/>
          <w:sz w:val="20"/>
          <w:szCs w:val="20"/>
          <w:lang w:val="es-CR"/>
        </w:rPr>
        <w:t>a</w:t>
      </w:r>
      <w:r w:rsidRPr="00E61811">
        <w:rPr>
          <w:rFonts w:ascii="Verdana" w:hAnsi="Verdana"/>
          <w:sz w:val="20"/>
          <w:szCs w:val="20"/>
          <w:lang w:val="es-CR"/>
        </w:rPr>
        <w:t>n invocarse para impedir la investigación, enjuiciamiento y sanción o el cumplimiento de ésta en los casos en que haya sido determinada</w:t>
      </w:r>
      <w:r w:rsidR="00917229" w:rsidRPr="00E61811">
        <w:rPr>
          <w:rFonts w:ascii="Verdana" w:hAnsi="Verdana"/>
          <w:sz w:val="20"/>
          <w:szCs w:val="20"/>
          <w:lang w:val="es-CR"/>
        </w:rPr>
        <w:t>”</w:t>
      </w:r>
      <w:r w:rsidRPr="00E61811">
        <w:rPr>
          <w:rStyle w:val="FootnoteReference"/>
          <w:rFonts w:ascii="Verdana" w:hAnsi="Verdana"/>
          <w:sz w:val="20"/>
          <w:szCs w:val="20"/>
          <w:lang w:val="es-CR"/>
        </w:rPr>
        <w:footnoteReference w:id="30"/>
      </w:r>
      <w:r w:rsidR="00917229" w:rsidRPr="00E61811">
        <w:rPr>
          <w:rFonts w:ascii="Verdana" w:hAnsi="Verdana"/>
          <w:sz w:val="20"/>
          <w:szCs w:val="20"/>
          <w:lang w:val="es-CR"/>
        </w:rPr>
        <w:t>.</w:t>
      </w:r>
      <w:r w:rsidRPr="00E61811">
        <w:rPr>
          <w:rFonts w:ascii="Verdana" w:hAnsi="Verdana"/>
          <w:sz w:val="20"/>
          <w:szCs w:val="20"/>
          <w:lang w:val="es-CR"/>
        </w:rPr>
        <w:t xml:space="preserve"> </w:t>
      </w:r>
    </w:p>
    <w:p w14:paraId="340947EA" w14:textId="77777777" w:rsidR="004D26B1" w:rsidRPr="00E61811" w:rsidRDefault="004D26B1" w:rsidP="004D26B1">
      <w:pPr>
        <w:pStyle w:val="ListParagraph"/>
        <w:tabs>
          <w:tab w:val="left" w:pos="567"/>
        </w:tabs>
        <w:spacing w:after="0" w:line="240" w:lineRule="auto"/>
        <w:ind w:left="0" w:right="4"/>
        <w:jc w:val="both"/>
        <w:rPr>
          <w:rFonts w:ascii="Verdana" w:hAnsi="Verdana"/>
          <w:sz w:val="20"/>
          <w:szCs w:val="20"/>
          <w:lang w:val="es-CR"/>
        </w:rPr>
      </w:pPr>
    </w:p>
    <w:p w14:paraId="631899AC" w14:textId="779A2A55" w:rsidR="003675DF" w:rsidRPr="00E61811" w:rsidRDefault="002942C5" w:rsidP="009F6E4F">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15" w:name="_Ref492908646"/>
      <w:r w:rsidRPr="00E61811">
        <w:rPr>
          <w:rFonts w:ascii="Verdana" w:hAnsi="Verdana"/>
          <w:sz w:val="20"/>
          <w:szCs w:val="20"/>
          <w:lang w:val="es-CR"/>
        </w:rPr>
        <w:t xml:space="preserve">Teniendo en cuenta que con la emisión de la </w:t>
      </w:r>
      <w:r w:rsidR="00C25FA0">
        <w:rPr>
          <w:rFonts w:ascii="Verdana" w:hAnsi="Verdana"/>
          <w:sz w:val="20"/>
          <w:szCs w:val="20"/>
          <w:lang w:val="es-CR"/>
        </w:rPr>
        <w:t xml:space="preserve">sentencia de la </w:t>
      </w:r>
      <w:r w:rsidRPr="00E61811">
        <w:rPr>
          <w:rFonts w:ascii="Verdana" w:hAnsi="Verdana"/>
          <w:sz w:val="20"/>
          <w:szCs w:val="20"/>
          <w:lang w:val="es-CR"/>
        </w:rPr>
        <w:t>Sala de lo Constitucional se declaró la inconstitucionalidad de la Ley de Amnistía General de 1993,</w:t>
      </w:r>
      <w:r w:rsidR="004055D7">
        <w:rPr>
          <w:rFonts w:ascii="Verdana" w:hAnsi="Verdana"/>
          <w:sz w:val="20"/>
          <w:szCs w:val="20"/>
          <w:lang w:val="es-CR"/>
        </w:rPr>
        <w:t xml:space="preserve"> que impedía</w:t>
      </w:r>
      <w:r w:rsidRPr="00E61811">
        <w:rPr>
          <w:rFonts w:ascii="Verdana" w:hAnsi="Verdana"/>
          <w:sz w:val="20"/>
          <w:szCs w:val="20"/>
          <w:lang w:val="es-CR"/>
        </w:rPr>
        <w:t xml:space="preserve"> la investigación de las graves violaciones a los derechos humanos</w:t>
      </w:r>
      <w:r w:rsidR="00C25FA0">
        <w:rPr>
          <w:rFonts w:ascii="Verdana" w:hAnsi="Verdana"/>
          <w:sz w:val="20"/>
          <w:szCs w:val="20"/>
          <w:lang w:val="es-CR"/>
        </w:rPr>
        <w:t xml:space="preserve"> ocurridas durante el conflicto armado</w:t>
      </w:r>
      <w:r w:rsidRPr="00E61811">
        <w:rPr>
          <w:rFonts w:ascii="Verdana" w:hAnsi="Verdana"/>
          <w:sz w:val="20"/>
          <w:szCs w:val="20"/>
          <w:lang w:val="es-CR"/>
        </w:rPr>
        <w:t xml:space="preserve">, </w:t>
      </w:r>
      <w:r w:rsidR="00D23E15" w:rsidRPr="00E61811">
        <w:rPr>
          <w:rFonts w:ascii="Verdana" w:hAnsi="Verdana"/>
          <w:sz w:val="20"/>
          <w:szCs w:val="20"/>
          <w:lang w:val="es-CR"/>
        </w:rPr>
        <w:t xml:space="preserve">la Corte </w:t>
      </w:r>
      <w:r w:rsidR="006422FC" w:rsidRPr="00E61811">
        <w:rPr>
          <w:rFonts w:ascii="Verdana" w:hAnsi="Verdana"/>
          <w:sz w:val="20"/>
          <w:szCs w:val="20"/>
          <w:lang w:val="es-CR"/>
        </w:rPr>
        <w:t xml:space="preserve">concluye </w:t>
      </w:r>
      <w:r w:rsidR="00D23E15" w:rsidRPr="00E61811">
        <w:rPr>
          <w:rFonts w:ascii="Verdana" w:hAnsi="Verdana"/>
          <w:sz w:val="20"/>
          <w:szCs w:val="20"/>
          <w:lang w:val="es-CR"/>
        </w:rPr>
        <w:t>que El Salvador ha dado cumplimiento total a la reparación relativa a “asegurar que la Ley de Amnistía General para la Consolidación de la Paz no vuelva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w:t>
      </w:r>
      <w:r w:rsidR="00C342AF">
        <w:rPr>
          <w:rFonts w:ascii="Verdana" w:hAnsi="Verdana"/>
          <w:sz w:val="20"/>
          <w:szCs w:val="20"/>
          <w:lang w:val="es-CR"/>
        </w:rPr>
        <w:t>, ordenada en el punto resolutivo cuarto de la Sentencia</w:t>
      </w:r>
      <w:r w:rsidR="006422FC" w:rsidRPr="00E61811">
        <w:rPr>
          <w:rFonts w:ascii="Verdana" w:hAnsi="Verdana"/>
          <w:sz w:val="20"/>
          <w:szCs w:val="20"/>
          <w:lang w:val="es-CR"/>
        </w:rPr>
        <w:t>.</w:t>
      </w:r>
      <w:bookmarkEnd w:id="15"/>
      <w:r w:rsidR="00D23E15" w:rsidRPr="00E61811">
        <w:rPr>
          <w:rFonts w:ascii="Verdana" w:hAnsi="Verdana"/>
          <w:sz w:val="20"/>
          <w:szCs w:val="20"/>
          <w:lang w:val="es-CR"/>
        </w:rPr>
        <w:t xml:space="preserve"> </w:t>
      </w:r>
    </w:p>
    <w:p w14:paraId="41CC4821" w14:textId="77777777" w:rsidR="00B61F32" w:rsidRPr="00E61811" w:rsidRDefault="00B61F32" w:rsidP="009F6E4F">
      <w:pPr>
        <w:tabs>
          <w:tab w:val="left" w:pos="567"/>
        </w:tabs>
        <w:spacing w:after="0" w:line="240" w:lineRule="auto"/>
        <w:ind w:right="4"/>
        <w:jc w:val="both"/>
        <w:rPr>
          <w:rFonts w:ascii="Verdana" w:hAnsi="Verdana"/>
          <w:sz w:val="20"/>
          <w:szCs w:val="20"/>
          <w:lang w:val="es-CR"/>
        </w:rPr>
      </w:pPr>
    </w:p>
    <w:p w14:paraId="54F8025D" w14:textId="4054E3F4" w:rsidR="002942C5" w:rsidRPr="00E61811" w:rsidRDefault="002942C5" w:rsidP="00AF2A84">
      <w:pPr>
        <w:pStyle w:val="ListParagraph"/>
        <w:numPr>
          <w:ilvl w:val="0"/>
          <w:numId w:val="3"/>
        </w:numPr>
        <w:tabs>
          <w:tab w:val="left" w:pos="567"/>
        </w:tabs>
        <w:spacing w:after="0" w:line="240" w:lineRule="auto"/>
        <w:ind w:right="4"/>
        <w:jc w:val="both"/>
        <w:outlineLvl w:val="0"/>
        <w:rPr>
          <w:rFonts w:ascii="Verdana" w:hAnsi="Verdana"/>
          <w:b/>
          <w:sz w:val="20"/>
          <w:szCs w:val="20"/>
          <w:lang w:val="es-CR"/>
        </w:rPr>
      </w:pPr>
      <w:bookmarkStart w:id="16" w:name="_Toc492908837"/>
      <w:r w:rsidRPr="00E61811">
        <w:rPr>
          <w:rFonts w:ascii="Verdana" w:hAnsi="Verdana"/>
          <w:b/>
          <w:sz w:val="20"/>
          <w:szCs w:val="20"/>
          <w:lang w:val="es-CR"/>
        </w:rPr>
        <w:t xml:space="preserve">Obligación de </w:t>
      </w:r>
      <w:r w:rsidR="002A47C6">
        <w:rPr>
          <w:rFonts w:ascii="Verdana" w:hAnsi="Verdana"/>
          <w:b/>
          <w:sz w:val="20"/>
          <w:szCs w:val="20"/>
          <w:lang w:val="es-CR"/>
        </w:rPr>
        <w:t>i</w:t>
      </w:r>
      <w:r w:rsidRPr="00E61811">
        <w:rPr>
          <w:rFonts w:ascii="Verdana" w:hAnsi="Verdana"/>
          <w:b/>
          <w:sz w:val="20"/>
          <w:szCs w:val="20"/>
          <w:lang w:val="es-CR"/>
        </w:rPr>
        <w:t>nvestigar, juzgar y, de ser el caso, sancionar</w:t>
      </w:r>
      <w:bookmarkEnd w:id="16"/>
    </w:p>
    <w:p w14:paraId="497F8499" w14:textId="77777777" w:rsidR="002942C5" w:rsidRPr="00E61811" w:rsidRDefault="002942C5" w:rsidP="009F6E4F">
      <w:pPr>
        <w:tabs>
          <w:tab w:val="left" w:pos="567"/>
        </w:tabs>
        <w:spacing w:after="0" w:line="240" w:lineRule="auto"/>
        <w:ind w:right="4"/>
        <w:jc w:val="both"/>
        <w:rPr>
          <w:rFonts w:ascii="Verdana" w:hAnsi="Verdana"/>
          <w:sz w:val="20"/>
          <w:szCs w:val="20"/>
          <w:lang w:val="es-CR"/>
        </w:rPr>
      </w:pPr>
    </w:p>
    <w:p w14:paraId="3C0EC11E" w14:textId="77777777" w:rsidR="002942C5" w:rsidRPr="00E61811" w:rsidRDefault="002942C5" w:rsidP="002942C5">
      <w:pPr>
        <w:tabs>
          <w:tab w:val="left" w:pos="567"/>
        </w:tabs>
        <w:spacing w:after="0" w:line="240" w:lineRule="auto"/>
        <w:ind w:right="4"/>
        <w:jc w:val="both"/>
        <w:rPr>
          <w:rFonts w:ascii="Verdana" w:hAnsi="Verdana"/>
          <w:i/>
          <w:sz w:val="20"/>
          <w:szCs w:val="20"/>
          <w:lang w:val="es-CR"/>
        </w:rPr>
      </w:pPr>
      <w:r w:rsidRPr="00E61811">
        <w:rPr>
          <w:rFonts w:ascii="Verdana" w:hAnsi="Verdana"/>
          <w:i/>
          <w:sz w:val="20"/>
          <w:szCs w:val="20"/>
          <w:lang w:val="es-CR"/>
        </w:rPr>
        <w:tab/>
        <w:t xml:space="preserve">B.1. Medida ordenada por la Corte </w:t>
      </w:r>
    </w:p>
    <w:p w14:paraId="1D136614" w14:textId="77777777" w:rsidR="002942C5" w:rsidRPr="00E61811" w:rsidRDefault="002942C5" w:rsidP="009F6E4F">
      <w:pPr>
        <w:tabs>
          <w:tab w:val="left" w:pos="567"/>
        </w:tabs>
        <w:spacing w:after="0" w:line="240" w:lineRule="auto"/>
        <w:ind w:right="4"/>
        <w:jc w:val="both"/>
        <w:rPr>
          <w:rFonts w:ascii="Verdana" w:hAnsi="Verdana"/>
          <w:sz w:val="20"/>
          <w:szCs w:val="20"/>
          <w:lang w:val="es-CR"/>
        </w:rPr>
      </w:pPr>
    </w:p>
    <w:p w14:paraId="0C3FE05D" w14:textId="77777777" w:rsidR="002942C5" w:rsidRPr="00E61811" w:rsidRDefault="002942C5" w:rsidP="00946049">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17" w:name="_Ref492906940"/>
      <w:r w:rsidRPr="00E61811">
        <w:rPr>
          <w:rFonts w:ascii="Verdana" w:hAnsi="Verdana"/>
          <w:sz w:val="20"/>
          <w:szCs w:val="20"/>
          <w:lang w:val="es-CR"/>
        </w:rPr>
        <w:t>En el punto resolutivo tercero y en los párrafos 315 a 321 de la Sentencia, la Corte dispuso que el Estado “</w:t>
      </w:r>
      <w:r w:rsidR="00946049" w:rsidRPr="00E61811">
        <w:rPr>
          <w:rFonts w:ascii="Verdana" w:hAnsi="Verdana"/>
          <w:sz w:val="20"/>
          <w:szCs w:val="20"/>
          <w:lang w:val="es-CR"/>
        </w:rPr>
        <w:t>debe, en un plazo razonable, iniciar, impulsar, reabrir, dirigir, continuar y concluir, según corresponda, con la mayor diligencia, las investigaciones de todos los hechos que originaron las violaciones declaradas en la presente Sentencia, con el propósito de identificar, juzgar y, en su caso, sancionar a los responsables”.</w:t>
      </w:r>
      <w:bookmarkEnd w:id="17"/>
    </w:p>
    <w:p w14:paraId="098F1420" w14:textId="77777777" w:rsidR="00946049" w:rsidRPr="00E61811" w:rsidRDefault="00946049" w:rsidP="00946049">
      <w:pPr>
        <w:pStyle w:val="ListParagraph"/>
        <w:tabs>
          <w:tab w:val="left" w:pos="567"/>
        </w:tabs>
        <w:spacing w:after="0" w:line="240" w:lineRule="auto"/>
        <w:ind w:left="0" w:right="4"/>
        <w:jc w:val="both"/>
        <w:rPr>
          <w:rFonts w:ascii="Verdana" w:hAnsi="Verdana"/>
          <w:sz w:val="20"/>
          <w:szCs w:val="20"/>
          <w:lang w:val="es-CR"/>
        </w:rPr>
      </w:pPr>
    </w:p>
    <w:p w14:paraId="5103B5EA" w14:textId="514E5CEE" w:rsidR="00946049" w:rsidRPr="00E61811" w:rsidRDefault="00946049" w:rsidP="00946049">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18" w:name="_Ref492908443"/>
      <w:r w:rsidRPr="00E61811">
        <w:rPr>
          <w:rFonts w:ascii="Verdana" w:hAnsi="Verdana"/>
          <w:sz w:val="20"/>
          <w:szCs w:val="20"/>
          <w:lang w:val="es-CR"/>
        </w:rPr>
        <w:t xml:space="preserve">Al respecto, la Corte determinó que existió una violación a los derechos a las garantías judiciales y a la protección judicial </w:t>
      </w:r>
      <w:r w:rsidR="00BD4C01">
        <w:rPr>
          <w:rFonts w:ascii="Verdana" w:hAnsi="Verdana"/>
          <w:sz w:val="20"/>
          <w:szCs w:val="20"/>
          <w:lang w:val="es-CR"/>
        </w:rPr>
        <w:t xml:space="preserve">y </w:t>
      </w:r>
      <w:r w:rsidRPr="00E61811">
        <w:rPr>
          <w:rFonts w:ascii="Verdana" w:hAnsi="Verdana"/>
          <w:sz w:val="20"/>
          <w:szCs w:val="20"/>
          <w:lang w:val="es-CR"/>
        </w:rPr>
        <w:t xml:space="preserve">reiteró que “la investigación es un imperativo estatal, así como la importancia de que tales acciones se realicen conforme a los estándares internacionales”. La Corte requirió “investigar de forma efectiva todos los hechos de las masacres, incluyendo, además de las ejecuciones extrajudiciales, otras posibles graves afectaciones a la integridad personal, y en particular, los actos de tortura y las violaciones sexuales contra las mujeres, así como los desplazamientos forzados”, y que para ello, </w:t>
      </w:r>
      <w:r w:rsidR="002A47C6">
        <w:rPr>
          <w:rFonts w:ascii="Verdana" w:hAnsi="Verdana"/>
          <w:sz w:val="20"/>
          <w:szCs w:val="20"/>
          <w:lang w:val="es-CR"/>
        </w:rPr>
        <w:t>debía atender</w:t>
      </w:r>
      <w:r w:rsidRPr="00E61811">
        <w:rPr>
          <w:rFonts w:ascii="Verdana" w:hAnsi="Verdana"/>
          <w:sz w:val="20"/>
          <w:szCs w:val="20"/>
          <w:lang w:val="es-CR"/>
        </w:rPr>
        <w:t xml:space="preserve"> los siguientes criterios:</w:t>
      </w:r>
      <w:bookmarkEnd w:id="18"/>
    </w:p>
    <w:p w14:paraId="1666A4E2" w14:textId="77777777" w:rsidR="00946049" w:rsidRPr="00E61811" w:rsidRDefault="00946049" w:rsidP="00946049">
      <w:pPr>
        <w:pStyle w:val="ListParagraph"/>
        <w:rPr>
          <w:rFonts w:ascii="Verdana" w:hAnsi="Verdana"/>
          <w:sz w:val="20"/>
          <w:szCs w:val="20"/>
          <w:lang w:val="es-CR"/>
        </w:rPr>
      </w:pPr>
    </w:p>
    <w:p w14:paraId="7AD02187"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r w:rsidRPr="00E61811">
        <w:rPr>
          <w:rFonts w:ascii="Verdana" w:hAnsi="Verdana"/>
          <w:sz w:val="20"/>
          <w:szCs w:val="20"/>
          <w:lang w:val="es-CR"/>
        </w:rPr>
        <w:t xml:space="preserve">a) </w:t>
      </w:r>
      <w:r w:rsidRPr="00E61811">
        <w:rPr>
          <w:rFonts w:ascii="Verdana" w:hAnsi="Verdana"/>
          <w:sz w:val="20"/>
          <w:szCs w:val="20"/>
          <w:lang w:val="es-CR"/>
        </w:rPr>
        <w:tab/>
        <w:t xml:space="preserve">abstenerse de recurrir a figuras como la amnistía en beneficio de los autores, así como ninguna otra disposición análoga, la prescripción, irretroactividad de la ley penal, cosa juzgada, </w:t>
      </w:r>
      <w:r w:rsidRPr="00AF2A84">
        <w:rPr>
          <w:rFonts w:ascii="Verdana" w:hAnsi="Verdana"/>
          <w:i/>
          <w:sz w:val="20"/>
          <w:szCs w:val="20"/>
          <w:lang w:val="es-CR"/>
        </w:rPr>
        <w:t>ne bis in idem</w:t>
      </w:r>
      <w:r w:rsidRPr="00E61811">
        <w:rPr>
          <w:rFonts w:ascii="Verdana" w:hAnsi="Verdana"/>
          <w:sz w:val="20"/>
          <w:szCs w:val="20"/>
          <w:lang w:val="es-CR"/>
        </w:rPr>
        <w:t xml:space="preserve"> o cualquier eximente similar de responsabilidad, para excusarse de esta obligación;</w:t>
      </w:r>
    </w:p>
    <w:p w14:paraId="1DA3376C"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p>
    <w:p w14:paraId="1991FBFC"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r w:rsidRPr="00E61811">
        <w:rPr>
          <w:rFonts w:ascii="Verdana" w:hAnsi="Verdana"/>
          <w:sz w:val="20"/>
          <w:szCs w:val="20"/>
          <w:lang w:val="es-CR"/>
        </w:rPr>
        <w:t xml:space="preserve">b) </w:t>
      </w:r>
      <w:r w:rsidRPr="00E61811">
        <w:rPr>
          <w:rFonts w:ascii="Verdana" w:hAnsi="Verdana"/>
          <w:sz w:val="20"/>
          <w:szCs w:val="20"/>
          <w:lang w:val="es-CR"/>
        </w:rPr>
        <w:tab/>
        <w:t>tomar en cuenta el patrón sistemático de violaciones a derechos humanos en el contexto del conflicto armado salvadoreño, así como los operativos militares de grandes proporciones dentro de los que se enmarcaron los hechos de este caso, con el objeto de que los procesos y las investigaciones pertinentes sean conducidos en consideración de la complejidad de estos hechos y el contexto en que ocurrieron, evitando omisiones en la recolección de prueba y en el seguimiento de líneas lógicas de investigación con base en una correcta valoración de los patrones sistemáticos que dieron origen a los hechos que se investigan;</w:t>
      </w:r>
    </w:p>
    <w:p w14:paraId="107CAC8B"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p>
    <w:p w14:paraId="19F41A9A"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r w:rsidRPr="00E61811">
        <w:rPr>
          <w:rFonts w:ascii="Verdana" w:hAnsi="Verdana"/>
          <w:sz w:val="20"/>
          <w:szCs w:val="20"/>
          <w:lang w:val="es-CR"/>
        </w:rPr>
        <w:t>c)</w:t>
      </w:r>
      <w:r w:rsidRPr="00E61811">
        <w:rPr>
          <w:rFonts w:ascii="Verdana" w:hAnsi="Verdana"/>
          <w:sz w:val="20"/>
          <w:szCs w:val="20"/>
          <w:lang w:val="es-CR"/>
        </w:rPr>
        <w:tab/>
        <w:t xml:space="preserve">identificar e individualizar a todos los autores materiales e intelectuales de las masacres del presente caso. La debida diligencia en la investigación implica que todas las autoridades estatales están obligadas a colaborar en la recaudación de la prueba, por lo que deberán brindar al juez, fiscal u otra autoridad judicial toda la </w:t>
      </w:r>
      <w:r w:rsidRPr="00E61811">
        <w:rPr>
          <w:rFonts w:ascii="Verdana" w:hAnsi="Verdana"/>
          <w:sz w:val="20"/>
          <w:szCs w:val="20"/>
          <w:lang w:val="es-CR"/>
        </w:rPr>
        <w:lastRenderedPageBreak/>
        <w:t>información que requiera y abstenerse de actos que impliquen la obstrucción para la marcha del proceso investigativo;</w:t>
      </w:r>
    </w:p>
    <w:p w14:paraId="44AD5213"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p>
    <w:p w14:paraId="48326B5C"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r w:rsidRPr="00E61811">
        <w:rPr>
          <w:rFonts w:ascii="Verdana" w:hAnsi="Verdana"/>
          <w:sz w:val="20"/>
          <w:szCs w:val="20"/>
          <w:lang w:val="es-CR"/>
        </w:rPr>
        <w:t xml:space="preserve">d) </w:t>
      </w:r>
      <w:r w:rsidRPr="00E61811">
        <w:rPr>
          <w:rFonts w:ascii="Verdana" w:hAnsi="Verdana"/>
          <w:sz w:val="20"/>
          <w:szCs w:val="20"/>
          <w:lang w:val="es-CR"/>
        </w:rPr>
        <w:tab/>
        <w:t xml:space="preserve">asegurarse que las autoridades competentes realicen las investigaciones correspondientes </w:t>
      </w:r>
      <w:r w:rsidRPr="00AF2A84">
        <w:rPr>
          <w:rFonts w:ascii="Verdana" w:hAnsi="Verdana"/>
          <w:i/>
          <w:sz w:val="20"/>
          <w:szCs w:val="20"/>
          <w:lang w:val="es-CR"/>
        </w:rPr>
        <w:t>ex officio</w:t>
      </w:r>
      <w:r w:rsidRPr="00E61811">
        <w:rPr>
          <w:rFonts w:ascii="Verdana" w:hAnsi="Verdana"/>
          <w:sz w:val="20"/>
          <w:szCs w:val="20"/>
          <w:lang w:val="es-CR"/>
        </w:rPr>
        <w:t xml:space="preserve">, y que para tal efecto tengan a su alcance y utilicen todos los recursos logísticos y científicos necesarios para recabar y procesar las pruebas y, en particular, tengan las facultades para acceder a la documentación e información pertinentes para investigar los hechos denunciados y llevar a cabo con prontitud aquellas actuaciones y averiguaciones esenciales para esclarecer lo sucedido en el presente caso; </w:t>
      </w:r>
    </w:p>
    <w:p w14:paraId="514D74B3"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p>
    <w:p w14:paraId="2382CD6C"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r w:rsidRPr="00E61811">
        <w:rPr>
          <w:rFonts w:ascii="Verdana" w:hAnsi="Verdana"/>
          <w:sz w:val="20"/>
          <w:szCs w:val="20"/>
          <w:lang w:val="es-CR"/>
        </w:rPr>
        <w:t xml:space="preserve">e) </w:t>
      </w:r>
      <w:r w:rsidRPr="00E61811">
        <w:rPr>
          <w:rFonts w:ascii="Verdana" w:hAnsi="Verdana"/>
          <w:sz w:val="20"/>
          <w:szCs w:val="20"/>
          <w:lang w:val="es-CR"/>
        </w:rPr>
        <w:tab/>
        <w:t>garantizar que las investigaciones por los hechos constitutivos de las masacres del presente caso se mantengan, en todo momento, bajo conocimiento de la jurisdicción ordinaria;</w:t>
      </w:r>
    </w:p>
    <w:p w14:paraId="6C0F6C44"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p>
    <w:p w14:paraId="26B96A36" w14:textId="200CB928"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r w:rsidRPr="00E61811">
        <w:rPr>
          <w:rFonts w:ascii="Verdana" w:hAnsi="Verdana"/>
          <w:sz w:val="20"/>
          <w:szCs w:val="20"/>
          <w:lang w:val="es-CR"/>
        </w:rPr>
        <w:t>f)</w:t>
      </w:r>
      <w:r w:rsidRPr="00E61811">
        <w:rPr>
          <w:rFonts w:ascii="Verdana" w:hAnsi="Verdana"/>
          <w:sz w:val="20"/>
          <w:szCs w:val="20"/>
          <w:lang w:val="es-CR"/>
        </w:rPr>
        <w:tab/>
        <w:t>asegurarse que los distintos órganos del sistema de justicia involucrados en el caso cuenten con los recursos humanos, económicos, logísticos, científicos o de cualquier índole necesarios para desempeñar sus tareas de manera adecuada, independiente e imparcial y adoptar las medidas necesarias para garantizar que funcionarios judiciales, fiscales, investigadores y demás operadores de justicia cuenten con un sistema de seguridad y protección adecuado, tomando en cuenta las circunstancias de los casos a su cargo y el lugar donde se encuentran laborando, que les permita desempeñar sus funciones con debida diligencia, así como la protección de testigos, víctimas y familiares</w:t>
      </w:r>
      <w:r w:rsidR="004055D7">
        <w:rPr>
          <w:rFonts w:ascii="Verdana" w:hAnsi="Verdana"/>
          <w:sz w:val="20"/>
          <w:szCs w:val="20"/>
          <w:lang w:val="es-CR"/>
        </w:rPr>
        <w:t>.</w:t>
      </w:r>
      <w:r w:rsidRPr="00E61811">
        <w:rPr>
          <w:rFonts w:ascii="Verdana" w:hAnsi="Verdana"/>
          <w:sz w:val="20"/>
          <w:szCs w:val="20"/>
          <w:lang w:val="es-CR"/>
        </w:rPr>
        <w:t xml:space="preserve"> y</w:t>
      </w:r>
    </w:p>
    <w:p w14:paraId="322C56AF"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p>
    <w:p w14:paraId="6A0652D6" w14:textId="77777777" w:rsidR="00946049" w:rsidRPr="00E61811" w:rsidRDefault="00946049" w:rsidP="00946049">
      <w:pPr>
        <w:pStyle w:val="ListParagraph"/>
        <w:tabs>
          <w:tab w:val="left" w:pos="567"/>
        </w:tabs>
        <w:spacing w:after="0" w:line="240" w:lineRule="auto"/>
        <w:ind w:right="4"/>
        <w:jc w:val="both"/>
        <w:rPr>
          <w:rFonts w:ascii="Verdana" w:hAnsi="Verdana"/>
          <w:sz w:val="20"/>
          <w:szCs w:val="20"/>
          <w:lang w:val="es-CR"/>
        </w:rPr>
      </w:pPr>
      <w:r w:rsidRPr="00E61811">
        <w:rPr>
          <w:rFonts w:ascii="Verdana" w:hAnsi="Verdana"/>
          <w:sz w:val="20"/>
          <w:szCs w:val="20"/>
          <w:lang w:val="es-CR"/>
        </w:rPr>
        <w:t>g)</w:t>
      </w:r>
      <w:r w:rsidRPr="00E61811">
        <w:rPr>
          <w:rFonts w:ascii="Verdana" w:hAnsi="Verdana"/>
          <w:sz w:val="20"/>
          <w:szCs w:val="20"/>
          <w:lang w:val="es-CR"/>
        </w:rPr>
        <w:tab/>
        <w:t>asegurar el pleno acceso y capacidad de actuar de las víctimas o sus familiares en todas las etapas de la investigación y el juzgamiento de los responsables.</w:t>
      </w:r>
    </w:p>
    <w:p w14:paraId="0FA4BEBA" w14:textId="77777777" w:rsidR="002942C5" w:rsidRPr="00E61811" w:rsidRDefault="002942C5" w:rsidP="009F6E4F">
      <w:pPr>
        <w:tabs>
          <w:tab w:val="left" w:pos="567"/>
        </w:tabs>
        <w:spacing w:after="0" w:line="240" w:lineRule="auto"/>
        <w:ind w:right="4"/>
        <w:jc w:val="both"/>
        <w:rPr>
          <w:rFonts w:ascii="Verdana" w:hAnsi="Verdana"/>
          <w:sz w:val="20"/>
          <w:szCs w:val="20"/>
          <w:lang w:val="es-CR"/>
        </w:rPr>
      </w:pPr>
    </w:p>
    <w:p w14:paraId="3E359706" w14:textId="77777777" w:rsidR="00946049" w:rsidRPr="00E61811" w:rsidRDefault="00946049" w:rsidP="00946049">
      <w:pPr>
        <w:tabs>
          <w:tab w:val="left" w:pos="567"/>
        </w:tabs>
        <w:spacing w:after="0" w:line="240" w:lineRule="auto"/>
        <w:ind w:right="4"/>
        <w:jc w:val="both"/>
        <w:rPr>
          <w:rFonts w:ascii="Verdana" w:hAnsi="Verdana"/>
          <w:i/>
          <w:sz w:val="20"/>
          <w:szCs w:val="20"/>
          <w:lang w:val="es-CR" w:eastAsia="es-CR"/>
        </w:rPr>
      </w:pPr>
      <w:r w:rsidRPr="00E61811">
        <w:rPr>
          <w:rFonts w:ascii="Verdana" w:hAnsi="Verdana"/>
          <w:i/>
          <w:sz w:val="20"/>
          <w:szCs w:val="20"/>
          <w:lang w:val="es-CR" w:eastAsia="es-CR"/>
        </w:rPr>
        <w:tab/>
        <w:t xml:space="preserve">B.2. Consideraciones de la Corte </w:t>
      </w:r>
    </w:p>
    <w:p w14:paraId="28EF9686" w14:textId="77777777" w:rsidR="00946049" w:rsidRPr="00E61811" w:rsidRDefault="00946049" w:rsidP="009F6E4F">
      <w:pPr>
        <w:tabs>
          <w:tab w:val="left" w:pos="567"/>
        </w:tabs>
        <w:spacing w:after="0" w:line="240" w:lineRule="auto"/>
        <w:ind w:right="4"/>
        <w:jc w:val="both"/>
        <w:rPr>
          <w:rFonts w:ascii="Verdana" w:hAnsi="Verdana"/>
          <w:sz w:val="20"/>
          <w:szCs w:val="20"/>
          <w:lang w:val="es-CR"/>
        </w:rPr>
      </w:pPr>
    </w:p>
    <w:p w14:paraId="0A6E6840" w14:textId="77777777" w:rsidR="00946049" w:rsidRPr="00E61811" w:rsidRDefault="00CA1D81" w:rsidP="00F269E2">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r>
        <w:rPr>
          <w:rFonts w:ascii="Verdana" w:hAnsi="Verdana"/>
          <w:sz w:val="20"/>
          <w:szCs w:val="20"/>
          <w:lang w:val="es-CR"/>
        </w:rPr>
        <w:t>E</w:t>
      </w:r>
      <w:r w:rsidR="00946049" w:rsidRPr="00E61811">
        <w:rPr>
          <w:rFonts w:ascii="Verdana" w:hAnsi="Verdana"/>
          <w:sz w:val="20"/>
          <w:szCs w:val="20"/>
          <w:lang w:val="es-CR"/>
        </w:rPr>
        <w:t>n la Sentencia se constató que “[e]l 1 de septiembre de 1993 el Juzgado Segundo de Primera Instancia de San Francisco Gotera profirió decisi</w:t>
      </w:r>
      <w:r w:rsidR="00F269E2" w:rsidRPr="00E61811">
        <w:rPr>
          <w:rFonts w:ascii="Verdana" w:hAnsi="Verdana"/>
          <w:sz w:val="20"/>
          <w:szCs w:val="20"/>
          <w:lang w:val="es-CR"/>
        </w:rPr>
        <w:t>ón de sobreseimiento definitivo”, en la cual se indicó que “[e]n cuanto a la PARTICIPACIÓN de los autores intelectuales sobre quien o quienes se les imputa este delito consta en autos que se refieren a Elementos de la Fuerza Armada o del Batallón Atlacat[l], en forma colectiva, sin individualizar a determinadas personas o sea que no se han mencionado sujetos activos en dicho hecho y en vista de la LEY DE AMNISTÍA GENERAL PARA LA CONSOLIDACIÓN DE LA PAZ, […] SOBRESEESE DEFINITIVAMENTE a favor de cualquier persona que haya pertenecido al BATALLÓN ATLACAT[L] en esa época que ocurrió el hecho, por la masacre ocurrida y POSTERIORMENTE ARCHIVESE”.</w:t>
      </w:r>
    </w:p>
    <w:p w14:paraId="48A2235C" w14:textId="77777777" w:rsidR="00F269E2" w:rsidRPr="00E61811" w:rsidRDefault="00F269E2" w:rsidP="00F269E2">
      <w:pPr>
        <w:pStyle w:val="ListParagraph"/>
        <w:tabs>
          <w:tab w:val="left" w:pos="567"/>
        </w:tabs>
        <w:spacing w:after="0" w:line="240" w:lineRule="auto"/>
        <w:ind w:left="0" w:right="4"/>
        <w:jc w:val="both"/>
        <w:rPr>
          <w:rFonts w:ascii="Verdana" w:hAnsi="Verdana"/>
          <w:sz w:val="20"/>
          <w:szCs w:val="20"/>
          <w:lang w:val="es-CR"/>
        </w:rPr>
      </w:pPr>
    </w:p>
    <w:p w14:paraId="0F335E89" w14:textId="4595688D" w:rsidR="00F269E2" w:rsidRPr="00E61811" w:rsidRDefault="002436BF" w:rsidP="002436BF">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 xml:space="preserve">Con posterioridad a la Sentencia, </w:t>
      </w:r>
      <w:r w:rsidR="0077243E">
        <w:rPr>
          <w:rFonts w:ascii="Verdana" w:hAnsi="Verdana"/>
          <w:sz w:val="20"/>
          <w:szCs w:val="20"/>
          <w:lang w:val="es-CR"/>
        </w:rPr>
        <w:t xml:space="preserve">se identifica como positivo </w:t>
      </w:r>
      <w:r w:rsidRPr="00E61811">
        <w:rPr>
          <w:rFonts w:ascii="Verdana" w:hAnsi="Verdana"/>
          <w:sz w:val="20"/>
          <w:szCs w:val="20"/>
          <w:lang w:val="es-CR"/>
        </w:rPr>
        <w:t xml:space="preserve">que, en ejecución de la misma, se iniciaron investigaciones sobre los hechos de las </w:t>
      </w:r>
      <w:r w:rsidR="004055D7">
        <w:rPr>
          <w:rFonts w:ascii="Verdana" w:hAnsi="Verdana"/>
          <w:sz w:val="20"/>
          <w:szCs w:val="20"/>
          <w:lang w:val="es-CR"/>
        </w:rPr>
        <w:t>m</w:t>
      </w:r>
      <w:r w:rsidRPr="00E61811">
        <w:rPr>
          <w:rFonts w:ascii="Verdana" w:hAnsi="Verdana"/>
          <w:sz w:val="20"/>
          <w:szCs w:val="20"/>
          <w:lang w:val="es-CR"/>
        </w:rPr>
        <w:t xml:space="preserve">asacres de El Mozote. Al respecto, </w:t>
      </w:r>
      <w:r w:rsidR="00F269E2" w:rsidRPr="00E61811">
        <w:rPr>
          <w:rFonts w:ascii="Verdana" w:hAnsi="Verdana"/>
          <w:sz w:val="20"/>
          <w:szCs w:val="20"/>
          <w:lang w:val="es-CR"/>
        </w:rPr>
        <w:t xml:space="preserve">tal como lo </w:t>
      </w:r>
      <w:r w:rsidRPr="00E61811">
        <w:rPr>
          <w:rFonts w:ascii="Verdana" w:hAnsi="Verdana"/>
          <w:sz w:val="20"/>
          <w:szCs w:val="20"/>
          <w:lang w:val="es-CR"/>
        </w:rPr>
        <w:t>hizo notar el Estado durante la audiencia</w:t>
      </w:r>
      <w:r w:rsidR="004055D7">
        <w:rPr>
          <w:rFonts w:ascii="Verdana" w:hAnsi="Verdana"/>
          <w:sz w:val="20"/>
          <w:szCs w:val="20"/>
          <w:lang w:val="es-CR"/>
        </w:rPr>
        <w:t xml:space="preserve"> de supervisión</w:t>
      </w:r>
      <w:r w:rsidRPr="00E61811">
        <w:rPr>
          <w:rFonts w:ascii="Verdana" w:hAnsi="Verdana"/>
          <w:sz w:val="20"/>
          <w:szCs w:val="20"/>
          <w:lang w:val="es-CR"/>
        </w:rPr>
        <w:t xml:space="preserve"> de 2016</w:t>
      </w:r>
      <w:r w:rsidR="00F269E2" w:rsidRPr="00E61811">
        <w:rPr>
          <w:rFonts w:ascii="Verdana" w:hAnsi="Verdana"/>
          <w:sz w:val="20"/>
          <w:szCs w:val="20"/>
          <w:lang w:val="es-CR"/>
        </w:rPr>
        <w:t>,</w:t>
      </w:r>
      <w:r w:rsidRPr="00E61811">
        <w:rPr>
          <w:rFonts w:ascii="Verdana" w:hAnsi="Verdana"/>
          <w:sz w:val="20"/>
          <w:szCs w:val="20"/>
          <w:lang w:val="es-CR"/>
        </w:rPr>
        <w:t xml:space="preserve"> “no obstante que el Juzgado Segundo de primera instancia de San Francisco Gotera que diligenció el expediente judicial en el que se conoció sobre los hechos ocurridos en el Caserío del Mozote en noviembre de 1981, emitió un sobreseimiento definitivo en aplicación de la Ley de Amnistía general para la consolidación de la paz, a partir de la notificación de la sentencia de la Corte Interamericana en este caso […] se inició la investigación tomando en consideración las obligaciones que se derivan de la citada sentencia”. Sin embargo, hasta la emisión de la sentencia de la Sala de lo Constitucional, </w:t>
      </w:r>
      <w:r w:rsidR="00DD4AE4">
        <w:rPr>
          <w:rFonts w:ascii="Verdana" w:hAnsi="Verdana"/>
          <w:sz w:val="20"/>
          <w:szCs w:val="20"/>
          <w:lang w:val="es-CR"/>
        </w:rPr>
        <w:t xml:space="preserve">el proceso continuaba en etapa de investigación sin que se llegara a conclusión alguna en la misma. </w:t>
      </w:r>
    </w:p>
    <w:p w14:paraId="40BE66A4" w14:textId="77777777" w:rsidR="002436BF" w:rsidRPr="00E61811" w:rsidRDefault="002436BF" w:rsidP="002436BF">
      <w:pPr>
        <w:pStyle w:val="ListParagraph"/>
        <w:tabs>
          <w:tab w:val="left" w:pos="567"/>
        </w:tabs>
        <w:spacing w:after="0" w:line="240" w:lineRule="auto"/>
        <w:ind w:left="0" w:right="4"/>
        <w:jc w:val="both"/>
        <w:rPr>
          <w:rFonts w:ascii="Verdana" w:hAnsi="Verdana"/>
          <w:sz w:val="20"/>
          <w:szCs w:val="20"/>
          <w:lang w:val="es-CR"/>
        </w:rPr>
      </w:pPr>
    </w:p>
    <w:p w14:paraId="6374763F" w14:textId="027C9E47" w:rsidR="002942C5" w:rsidRDefault="00DD4AE4" w:rsidP="0018530D">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19" w:name="_Ref492908478"/>
      <w:r>
        <w:rPr>
          <w:rFonts w:ascii="Verdana" w:hAnsi="Verdana"/>
          <w:sz w:val="20"/>
          <w:szCs w:val="20"/>
          <w:lang w:val="es-CR"/>
        </w:rPr>
        <w:t xml:space="preserve">Adicionalmente, </w:t>
      </w:r>
      <w:r w:rsidR="002942C5" w:rsidRPr="00E61811">
        <w:rPr>
          <w:rFonts w:ascii="Verdana" w:hAnsi="Verdana"/>
          <w:sz w:val="20"/>
          <w:szCs w:val="20"/>
          <w:lang w:val="es-CR"/>
        </w:rPr>
        <w:t xml:space="preserve">la Corte </w:t>
      </w:r>
      <w:r w:rsidR="00E61811" w:rsidRPr="00E61811">
        <w:rPr>
          <w:rFonts w:ascii="Verdana" w:hAnsi="Verdana"/>
          <w:sz w:val="20"/>
          <w:szCs w:val="20"/>
          <w:lang w:val="es-CR"/>
        </w:rPr>
        <w:t>constata</w:t>
      </w:r>
      <w:r w:rsidR="002942C5" w:rsidRPr="00E61811">
        <w:rPr>
          <w:rFonts w:ascii="Verdana" w:hAnsi="Verdana"/>
          <w:sz w:val="20"/>
          <w:szCs w:val="20"/>
          <w:lang w:val="es-CR"/>
        </w:rPr>
        <w:t xml:space="preserve"> que, a raíz de la sentencia de la Sala</w:t>
      </w:r>
      <w:r w:rsidR="00FC6A3E">
        <w:rPr>
          <w:rFonts w:ascii="Verdana" w:hAnsi="Verdana"/>
          <w:sz w:val="20"/>
          <w:szCs w:val="20"/>
          <w:lang w:val="es-CR"/>
        </w:rPr>
        <w:t xml:space="preserve"> de lo Constitucional</w:t>
      </w:r>
      <w:r w:rsidR="00AF2A84">
        <w:rPr>
          <w:rFonts w:ascii="Verdana" w:hAnsi="Verdana"/>
          <w:sz w:val="20"/>
          <w:szCs w:val="20"/>
          <w:lang w:val="es-CR"/>
        </w:rPr>
        <w:t xml:space="preserve"> </w:t>
      </w:r>
      <w:r w:rsidR="004055D7">
        <w:rPr>
          <w:rFonts w:ascii="Verdana" w:hAnsi="Verdana"/>
          <w:sz w:val="20"/>
          <w:szCs w:val="20"/>
          <w:lang w:val="es-CR"/>
        </w:rPr>
        <w:t xml:space="preserve">de julio de 2016 </w:t>
      </w:r>
      <w:r w:rsidR="00AF2A84">
        <w:rPr>
          <w:rFonts w:ascii="Verdana" w:hAnsi="Verdana"/>
          <w:sz w:val="20"/>
          <w:szCs w:val="20"/>
          <w:lang w:val="es-CR"/>
        </w:rPr>
        <w:t>(</w:t>
      </w:r>
      <w:r w:rsidR="00AF2A84">
        <w:rPr>
          <w:rFonts w:ascii="Verdana" w:hAnsi="Verdana"/>
          <w:i/>
          <w:sz w:val="20"/>
          <w:szCs w:val="20"/>
          <w:lang w:val="es-CR"/>
        </w:rPr>
        <w:t>supra</w:t>
      </w:r>
      <w:r w:rsidR="00AF2A84">
        <w:rPr>
          <w:rFonts w:ascii="Verdana" w:hAnsi="Verdana"/>
          <w:sz w:val="20"/>
          <w:szCs w:val="20"/>
          <w:lang w:val="es-CR"/>
        </w:rPr>
        <w:t xml:space="preserve"> Considerando </w:t>
      </w:r>
      <w:r w:rsidR="00AF2A84">
        <w:rPr>
          <w:rFonts w:ascii="Verdana" w:hAnsi="Verdana"/>
          <w:sz w:val="20"/>
          <w:szCs w:val="20"/>
          <w:lang w:val="es-CR"/>
        </w:rPr>
        <w:fldChar w:fldCharType="begin"/>
      </w:r>
      <w:r w:rsidR="00AF2A84">
        <w:rPr>
          <w:rFonts w:ascii="Verdana" w:hAnsi="Verdana"/>
          <w:sz w:val="20"/>
          <w:szCs w:val="20"/>
          <w:lang w:val="es-CR"/>
        </w:rPr>
        <w:instrText xml:space="preserve"> REF _Ref492908047 \r \h </w:instrText>
      </w:r>
      <w:r w:rsidR="00AF2A84">
        <w:rPr>
          <w:rFonts w:ascii="Verdana" w:hAnsi="Verdana"/>
          <w:sz w:val="20"/>
          <w:szCs w:val="20"/>
          <w:lang w:val="es-CR"/>
        </w:rPr>
      </w:r>
      <w:r w:rsidR="00AF2A84">
        <w:rPr>
          <w:rFonts w:ascii="Verdana" w:hAnsi="Verdana"/>
          <w:sz w:val="20"/>
          <w:szCs w:val="20"/>
          <w:lang w:val="es-CR"/>
        </w:rPr>
        <w:fldChar w:fldCharType="separate"/>
      </w:r>
      <w:r w:rsidR="00F96D30">
        <w:rPr>
          <w:rFonts w:ascii="Verdana" w:hAnsi="Verdana"/>
          <w:sz w:val="20"/>
          <w:szCs w:val="20"/>
          <w:lang w:val="es-CR"/>
        </w:rPr>
        <w:t>12</w:t>
      </w:r>
      <w:r w:rsidR="00AF2A84">
        <w:rPr>
          <w:rFonts w:ascii="Verdana" w:hAnsi="Verdana"/>
          <w:sz w:val="20"/>
          <w:szCs w:val="20"/>
          <w:lang w:val="es-CR"/>
        </w:rPr>
        <w:fldChar w:fldCharType="end"/>
      </w:r>
      <w:r w:rsidR="00AF2A84">
        <w:rPr>
          <w:rFonts w:ascii="Verdana" w:hAnsi="Verdana"/>
          <w:sz w:val="20"/>
          <w:szCs w:val="20"/>
          <w:lang w:val="es-CR"/>
        </w:rPr>
        <w:t>)</w:t>
      </w:r>
      <w:r w:rsidR="002942C5" w:rsidRPr="00E61811">
        <w:rPr>
          <w:rFonts w:ascii="Verdana" w:hAnsi="Verdana"/>
          <w:i/>
          <w:sz w:val="20"/>
          <w:szCs w:val="20"/>
          <w:lang w:val="es-CR"/>
        </w:rPr>
        <w:t xml:space="preserve">, </w:t>
      </w:r>
      <w:r w:rsidR="002942C5" w:rsidRPr="00E61811">
        <w:rPr>
          <w:rFonts w:ascii="Verdana" w:hAnsi="Verdana"/>
          <w:sz w:val="20"/>
          <w:szCs w:val="20"/>
          <w:lang w:val="es-CR"/>
        </w:rPr>
        <w:t xml:space="preserve">el Juzgado Segundo de Primera Instancia de San Francisco Gotera, Morazán, </w:t>
      </w:r>
      <w:r w:rsidR="0094464A">
        <w:rPr>
          <w:rFonts w:ascii="Verdana" w:hAnsi="Verdana"/>
          <w:sz w:val="20"/>
          <w:szCs w:val="20"/>
          <w:lang w:val="es-CR"/>
        </w:rPr>
        <w:t xml:space="preserve">formalmente </w:t>
      </w:r>
      <w:r w:rsidR="002942C5" w:rsidRPr="00E61811">
        <w:rPr>
          <w:rFonts w:ascii="Verdana" w:hAnsi="Verdana"/>
          <w:sz w:val="20"/>
          <w:szCs w:val="20"/>
          <w:lang w:val="es-CR"/>
        </w:rPr>
        <w:t xml:space="preserve">resolvió mediante </w:t>
      </w:r>
      <w:r w:rsidR="004055D7">
        <w:rPr>
          <w:rFonts w:ascii="Verdana" w:hAnsi="Verdana"/>
          <w:sz w:val="20"/>
          <w:szCs w:val="20"/>
          <w:lang w:val="es-CR"/>
        </w:rPr>
        <w:t>resolución</w:t>
      </w:r>
      <w:r w:rsidR="002942C5" w:rsidRPr="00E61811">
        <w:rPr>
          <w:rFonts w:ascii="Verdana" w:hAnsi="Verdana"/>
          <w:sz w:val="20"/>
          <w:szCs w:val="20"/>
          <w:lang w:val="es-CR"/>
        </w:rPr>
        <w:t xml:space="preserve"> de 30 de septiembre de </w:t>
      </w:r>
      <w:r w:rsidR="004055D7">
        <w:rPr>
          <w:rFonts w:ascii="Verdana" w:hAnsi="Verdana"/>
          <w:sz w:val="20"/>
          <w:szCs w:val="20"/>
          <w:lang w:val="es-CR"/>
        </w:rPr>
        <w:t>ese año</w:t>
      </w:r>
      <w:r w:rsidR="002942C5" w:rsidRPr="00E61811">
        <w:rPr>
          <w:rFonts w:ascii="Verdana" w:hAnsi="Verdana"/>
          <w:sz w:val="20"/>
          <w:szCs w:val="20"/>
          <w:lang w:val="es-CR"/>
        </w:rPr>
        <w:t xml:space="preserve"> que se revocara “el sobreseimiento definitivo de fecha uno de septiembre de 1993 […] como consecuencia de la declaratoria de inconstitucionalidad de la Ley de Amnistía de 1993” y que se decretara “la reapertura de[l] proceso penal […</w:t>
      </w:r>
      <w:r w:rsidR="004055D7">
        <w:rPr>
          <w:rFonts w:ascii="Verdana" w:hAnsi="Verdana"/>
          <w:sz w:val="20"/>
          <w:szCs w:val="20"/>
          <w:lang w:val="es-CR"/>
        </w:rPr>
        <w:t xml:space="preserve"> </w:t>
      </w:r>
      <w:r w:rsidR="002942C5" w:rsidRPr="00E61811">
        <w:rPr>
          <w:rFonts w:ascii="Verdana" w:hAnsi="Verdana"/>
          <w:sz w:val="20"/>
          <w:szCs w:val="20"/>
          <w:lang w:val="es-CR"/>
        </w:rPr>
        <w:t>de la] ‘</w:t>
      </w:r>
      <w:r w:rsidR="002942C5" w:rsidRPr="00E61811">
        <w:rPr>
          <w:rFonts w:ascii="Verdana" w:hAnsi="Verdana"/>
          <w:i/>
          <w:sz w:val="20"/>
          <w:szCs w:val="20"/>
          <w:lang w:val="es-CR"/>
        </w:rPr>
        <w:t>Masacre de El Mozote y lugares Aledaños’</w:t>
      </w:r>
      <w:r w:rsidR="002942C5" w:rsidRPr="00E61811">
        <w:rPr>
          <w:rFonts w:ascii="Verdana" w:hAnsi="Verdana"/>
          <w:sz w:val="20"/>
          <w:szCs w:val="20"/>
          <w:lang w:val="es-CR"/>
        </w:rPr>
        <w:t>, como efecto de la declaratoria de inconstitucionalidad de la Ley de Amnistía de 1993”. Igualmente</w:t>
      </w:r>
      <w:r w:rsidR="0018530D">
        <w:rPr>
          <w:rFonts w:ascii="Verdana" w:hAnsi="Verdana"/>
          <w:sz w:val="20"/>
          <w:szCs w:val="20"/>
          <w:lang w:val="es-CR"/>
        </w:rPr>
        <w:t xml:space="preserve">, </w:t>
      </w:r>
      <w:r w:rsidR="004055D7">
        <w:rPr>
          <w:rFonts w:ascii="Verdana" w:hAnsi="Verdana"/>
          <w:sz w:val="20"/>
          <w:szCs w:val="20"/>
          <w:lang w:val="es-CR"/>
        </w:rPr>
        <w:t>ese mismo dia</w:t>
      </w:r>
      <w:r w:rsidR="0018530D">
        <w:rPr>
          <w:rFonts w:ascii="Verdana" w:hAnsi="Verdana"/>
          <w:sz w:val="20"/>
          <w:szCs w:val="20"/>
          <w:lang w:val="es-CR"/>
        </w:rPr>
        <w:t>,</w:t>
      </w:r>
      <w:r w:rsidR="002942C5" w:rsidRPr="00E61811">
        <w:rPr>
          <w:rFonts w:ascii="Verdana" w:hAnsi="Verdana"/>
          <w:sz w:val="20"/>
          <w:szCs w:val="20"/>
          <w:lang w:val="es-CR"/>
        </w:rPr>
        <w:t xml:space="preserve"> </w:t>
      </w:r>
      <w:r w:rsidR="0018530D">
        <w:rPr>
          <w:rFonts w:ascii="Verdana" w:hAnsi="Verdana"/>
          <w:sz w:val="20"/>
          <w:szCs w:val="20"/>
          <w:lang w:val="es-CR"/>
        </w:rPr>
        <w:t xml:space="preserve">el Juzgado </w:t>
      </w:r>
      <w:r w:rsidR="002942C5" w:rsidRPr="00E61811">
        <w:rPr>
          <w:rFonts w:ascii="Verdana" w:hAnsi="Verdana"/>
          <w:sz w:val="20"/>
          <w:szCs w:val="20"/>
          <w:lang w:val="es-CR"/>
        </w:rPr>
        <w:t>ordenó “la continuidad de la instrucción penal contra [diez] acusados […] así también contra otros que pudieran ser identificados durante la investigación […]”</w:t>
      </w:r>
      <w:r w:rsidR="002942C5" w:rsidRPr="00E61811">
        <w:rPr>
          <w:rStyle w:val="FootnoteReference"/>
          <w:rFonts w:ascii="Verdana" w:hAnsi="Verdana"/>
          <w:sz w:val="20"/>
          <w:szCs w:val="20"/>
          <w:lang w:val="es-CR"/>
        </w:rPr>
        <w:footnoteReference w:id="31"/>
      </w:r>
      <w:r w:rsidR="0018530D">
        <w:rPr>
          <w:rFonts w:ascii="Verdana" w:hAnsi="Verdana"/>
          <w:sz w:val="20"/>
          <w:szCs w:val="20"/>
          <w:lang w:val="es-CR"/>
        </w:rPr>
        <w:t>, en seguimiento a la acusación particular presentada por los representantes de las víctimas el</w:t>
      </w:r>
      <w:r w:rsidR="00AF2A84">
        <w:rPr>
          <w:rFonts w:ascii="Verdana" w:hAnsi="Verdana"/>
          <w:sz w:val="20"/>
          <w:szCs w:val="20"/>
          <w:lang w:val="es-CR"/>
        </w:rPr>
        <w:t xml:space="preserve"> 23 de noviembre de 2006 y que </w:t>
      </w:r>
      <w:r w:rsidR="0018530D">
        <w:rPr>
          <w:rFonts w:ascii="Verdana" w:hAnsi="Verdana"/>
          <w:sz w:val="20"/>
          <w:szCs w:val="20"/>
          <w:lang w:val="es-CR"/>
        </w:rPr>
        <w:t xml:space="preserve">no </w:t>
      </w:r>
      <w:r w:rsidR="00AF2A84">
        <w:rPr>
          <w:rFonts w:ascii="Verdana" w:hAnsi="Verdana"/>
          <w:sz w:val="20"/>
          <w:szCs w:val="20"/>
          <w:lang w:val="es-CR"/>
        </w:rPr>
        <w:t>había procedido</w:t>
      </w:r>
      <w:r w:rsidR="0018530D">
        <w:rPr>
          <w:rFonts w:ascii="Verdana" w:hAnsi="Verdana"/>
          <w:sz w:val="20"/>
          <w:szCs w:val="20"/>
          <w:lang w:val="es-CR"/>
        </w:rPr>
        <w:t xml:space="preserve"> </w:t>
      </w:r>
      <w:r w:rsidR="00AF2A84">
        <w:rPr>
          <w:rFonts w:ascii="Verdana" w:hAnsi="Verdana"/>
          <w:sz w:val="20"/>
          <w:szCs w:val="20"/>
          <w:lang w:val="es-CR"/>
        </w:rPr>
        <w:t>“</w:t>
      </w:r>
      <w:r w:rsidR="0018530D">
        <w:rPr>
          <w:rFonts w:ascii="Verdana" w:hAnsi="Verdana"/>
          <w:sz w:val="20"/>
          <w:szCs w:val="20"/>
          <w:lang w:val="es-CR"/>
        </w:rPr>
        <w:t xml:space="preserve">por encontrarse vigente la Ley de Amnistía General”. En dicha decisión, el </w:t>
      </w:r>
      <w:r w:rsidR="004055D7">
        <w:rPr>
          <w:rFonts w:ascii="Verdana" w:hAnsi="Verdana"/>
          <w:sz w:val="20"/>
          <w:szCs w:val="20"/>
          <w:lang w:val="es-CR"/>
        </w:rPr>
        <w:t>j</w:t>
      </w:r>
      <w:r w:rsidR="0018530D">
        <w:rPr>
          <w:rFonts w:ascii="Verdana" w:hAnsi="Verdana"/>
          <w:sz w:val="20"/>
          <w:szCs w:val="20"/>
          <w:lang w:val="es-CR"/>
        </w:rPr>
        <w:t>uzgado identificó como acusados al entonces Ministro de Defensa y Seguridad Pública, al Jefe del Estado Mayor Conjunto de la Fuerza Armada, a tres comandantes y otros oficiales militares. Finalmente, se constata que, mediante decisión de 1</w:t>
      </w:r>
      <w:r w:rsidR="005D0813">
        <w:rPr>
          <w:rFonts w:ascii="Verdana" w:hAnsi="Verdana"/>
          <w:sz w:val="20"/>
          <w:szCs w:val="20"/>
          <w:lang w:val="es-CR"/>
        </w:rPr>
        <w:t>0</w:t>
      </w:r>
      <w:r w:rsidR="0018530D">
        <w:rPr>
          <w:rFonts w:ascii="Verdana" w:hAnsi="Verdana"/>
          <w:sz w:val="20"/>
          <w:szCs w:val="20"/>
          <w:lang w:val="es-CR"/>
        </w:rPr>
        <w:t xml:space="preserve"> de marzo de 2017, el </w:t>
      </w:r>
      <w:r w:rsidR="004055D7">
        <w:rPr>
          <w:rFonts w:ascii="Verdana" w:hAnsi="Verdana"/>
          <w:sz w:val="20"/>
          <w:szCs w:val="20"/>
          <w:lang w:val="es-CR"/>
        </w:rPr>
        <w:t>j</w:t>
      </w:r>
      <w:r w:rsidR="0018530D">
        <w:rPr>
          <w:rFonts w:ascii="Verdana" w:hAnsi="Verdana"/>
          <w:sz w:val="20"/>
          <w:szCs w:val="20"/>
          <w:lang w:val="es-CR"/>
        </w:rPr>
        <w:t>uzgado aceptó tener por parte a los representantes de las víctimas como “acusadores particulares”,</w:t>
      </w:r>
      <w:r w:rsidR="00B542FC">
        <w:rPr>
          <w:rFonts w:ascii="Verdana" w:hAnsi="Verdana"/>
          <w:sz w:val="20"/>
          <w:szCs w:val="20"/>
          <w:lang w:val="es-CR"/>
        </w:rPr>
        <w:t xml:space="preserve"> y citó a los imputados  “a efecto de realizar acto de intimación […] con el objeto de que intervengan y sean asistidos conforme a derecho en las posteriores diligencias que deben practicarse en la sustanciación de este proceso”. Igualmente, en esa oportunidad, el </w:t>
      </w:r>
      <w:r w:rsidR="004055D7">
        <w:rPr>
          <w:rFonts w:ascii="Verdana" w:hAnsi="Verdana"/>
          <w:sz w:val="20"/>
          <w:szCs w:val="20"/>
          <w:lang w:val="es-CR"/>
        </w:rPr>
        <w:t>j</w:t>
      </w:r>
      <w:r w:rsidR="00B542FC">
        <w:rPr>
          <w:rFonts w:ascii="Verdana" w:hAnsi="Verdana"/>
          <w:sz w:val="20"/>
          <w:szCs w:val="20"/>
          <w:lang w:val="es-CR"/>
        </w:rPr>
        <w:t>uzgado se refirió a otras tres personas a quienes en la acusación particular presentada por los representantes se le</w:t>
      </w:r>
      <w:r w:rsidR="004055D7">
        <w:rPr>
          <w:rFonts w:ascii="Verdana" w:hAnsi="Verdana"/>
          <w:sz w:val="20"/>
          <w:szCs w:val="20"/>
          <w:lang w:val="es-CR"/>
        </w:rPr>
        <w:t>s</w:t>
      </w:r>
      <w:r w:rsidR="00B542FC">
        <w:rPr>
          <w:rFonts w:ascii="Verdana" w:hAnsi="Verdana"/>
          <w:sz w:val="20"/>
          <w:szCs w:val="20"/>
          <w:lang w:val="es-CR"/>
        </w:rPr>
        <w:t xml:space="preserve"> atribuían los referidos hechos pero que se encontrarían fallecidos, y solicitó las partidas de defunción de los mismos “a efecto de resolver definitivamente la situación jurídica en este proceso”</w:t>
      </w:r>
      <w:r w:rsidR="00B542FC">
        <w:rPr>
          <w:rStyle w:val="FootnoteReference"/>
          <w:rFonts w:ascii="Verdana" w:hAnsi="Verdana"/>
          <w:sz w:val="20"/>
          <w:szCs w:val="20"/>
          <w:lang w:val="es-CR"/>
        </w:rPr>
        <w:footnoteReference w:id="32"/>
      </w:r>
      <w:r w:rsidR="00B542FC">
        <w:rPr>
          <w:rFonts w:ascii="Verdana" w:hAnsi="Verdana"/>
          <w:sz w:val="20"/>
          <w:szCs w:val="20"/>
          <w:lang w:val="es-CR"/>
        </w:rPr>
        <w:t>.</w:t>
      </w:r>
      <w:bookmarkEnd w:id="19"/>
      <w:r w:rsidR="0018530D" w:rsidRPr="0018530D">
        <w:rPr>
          <w:rFonts w:ascii="Verdana" w:hAnsi="Verdana"/>
          <w:sz w:val="20"/>
          <w:szCs w:val="20"/>
          <w:lang w:val="es-CR"/>
        </w:rPr>
        <w:t xml:space="preserve"> </w:t>
      </w:r>
    </w:p>
    <w:p w14:paraId="08983259" w14:textId="77777777" w:rsidR="00B542FC" w:rsidRDefault="00B542FC" w:rsidP="00B542FC">
      <w:pPr>
        <w:pStyle w:val="ListParagraph"/>
        <w:tabs>
          <w:tab w:val="left" w:pos="567"/>
        </w:tabs>
        <w:spacing w:after="0" w:line="240" w:lineRule="auto"/>
        <w:ind w:left="0" w:right="4"/>
        <w:jc w:val="both"/>
        <w:rPr>
          <w:rFonts w:ascii="Verdana" w:hAnsi="Verdana"/>
          <w:sz w:val="20"/>
          <w:szCs w:val="20"/>
          <w:lang w:val="es-CR"/>
        </w:rPr>
      </w:pPr>
    </w:p>
    <w:p w14:paraId="4C55AA6F" w14:textId="3603DE36" w:rsidR="00B542FC" w:rsidRPr="00B542FC" w:rsidRDefault="00B542FC" w:rsidP="00B542FC">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20" w:name="_Ref492908303"/>
      <w:r w:rsidRPr="00B542FC">
        <w:rPr>
          <w:rFonts w:ascii="Verdana" w:hAnsi="Verdana"/>
          <w:sz w:val="20"/>
          <w:szCs w:val="20"/>
          <w:lang w:val="es-CR"/>
        </w:rPr>
        <w:t xml:space="preserve">Por otra parte, tanto los representantes, la Comisión, como la Procuraduría de Derechos Humanos manifestaron su inquietud sobre el extremo de la </w:t>
      </w:r>
      <w:r w:rsidR="004055D7">
        <w:rPr>
          <w:rFonts w:ascii="Verdana" w:hAnsi="Verdana"/>
          <w:sz w:val="20"/>
          <w:szCs w:val="20"/>
          <w:lang w:val="es-CR"/>
        </w:rPr>
        <w:t>referida r</w:t>
      </w:r>
      <w:r w:rsidRPr="00B542FC">
        <w:rPr>
          <w:rFonts w:ascii="Verdana" w:hAnsi="Verdana"/>
          <w:sz w:val="20"/>
          <w:szCs w:val="20"/>
          <w:lang w:val="es-CR"/>
        </w:rPr>
        <w:t>esolución de reapertura de septiembre de 2016 del Juzgado Segundo de Primera Instancia de San Francisco de Gotera</w:t>
      </w:r>
      <w:r w:rsidR="004055D7">
        <w:rPr>
          <w:rFonts w:ascii="Verdana" w:hAnsi="Verdana"/>
          <w:sz w:val="20"/>
          <w:szCs w:val="20"/>
          <w:lang w:val="es-CR"/>
        </w:rPr>
        <w:t xml:space="preserve"> (</w:t>
      </w:r>
      <w:r w:rsidR="004055D7">
        <w:rPr>
          <w:rFonts w:ascii="Verdana" w:hAnsi="Verdana"/>
          <w:i/>
          <w:sz w:val="20"/>
          <w:szCs w:val="20"/>
          <w:lang w:val="es-CR"/>
        </w:rPr>
        <w:t>supra</w:t>
      </w:r>
      <w:r w:rsidR="004055D7">
        <w:rPr>
          <w:rFonts w:ascii="Verdana" w:hAnsi="Verdana"/>
          <w:sz w:val="20"/>
          <w:szCs w:val="20"/>
          <w:lang w:val="es-CR"/>
        </w:rPr>
        <w:t xml:space="preserve"> Considerando </w:t>
      </w:r>
      <w:r w:rsidR="004055D7">
        <w:rPr>
          <w:rFonts w:ascii="Verdana" w:hAnsi="Verdana"/>
          <w:sz w:val="20"/>
          <w:szCs w:val="20"/>
          <w:lang w:val="es-CR"/>
        </w:rPr>
        <w:fldChar w:fldCharType="begin"/>
      </w:r>
      <w:r w:rsidR="004055D7">
        <w:rPr>
          <w:rFonts w:ascii="Verdana" w:hAnsi="Verdana"/>
          <w:sz w:val="20"/>
          <w:szCs w:val="20"/>
          <w:lang w:val="es-CR"/>
        </w:rPr>
        <w:instrText xml:space="preserve"> REF _Ref492908478 \r \h </w:instrText>
      </w:r>
      <w:r w:rsidR="004055D7">
        <w:rPr>
          <w:rFonts w:ascii="Verdana" w:hAnsi="Verdana"/>
          <w:sz w:val="20"/>
          <w:szCs w:val="20"/>
          <w:lang w:val="es-CR"/>
        </w:rPr>
      </w:r>
      <w:r w:rsidR="004055D7">
        <w:rPr>
          <w:rFonts w:ascii="Verdana" w:hAnsi="Verdana"/>
          <w:sz w:val="20"/>
          <w:szCs w:val="20"/>
          <w:lang w:val="es-CR"/>
        </w:rPr>
        <w:fldChar w:fldCharType="separate"/>
      </w:r>
      <w:r w:rsidR="00F96D30">
        <w:rPr>
          <w:rFonts w:ascii="Verdana" w:hAnsi="Verdana"/>
          <w:sz w:val="20"/>
          <w:szCs w:val="20"/>
          <w:lang w:val="es-CR"/>
        </w:rPr>
        <w:t>23</w:t>
      </w:r>
      <w:r w:rsidR="004055D7">
        <w:rPr>
          <w:rFonts w:ascii="Verdana" w:hAnsi="Verdana"/>
          <w:sz w:val="20"/>
          <w:szCs w:val="20"/>
          <w:lang w:val="es-CR"/>
        </w:rPr>
        <w:fldChar w:fldCharType="end"/>
      </w:r>
      <w:r w:rsidR="004055D7">
        <w:rPr>
          <w:rFonts w:ascii="Verdana" w:hAnsi="Verdana"/>
          <w:sz w:val="20"/>
          <w:szCs w:val="20"/>
          <w:lang w:val="es-CR"/>
        </w:rPr>
        <w:t>)</w:t>
      </w:r>
      <w:r w:rsidRPr="00B542FC">
        <w:rPr>
          <w:rFonts w:ascii="Verdana" w:hAnsi="Verdana"/>
          <w:sz w:val="20"/>
          <w:szCs w:val="20"/>
          <w:lang w:val="es-CR"/>
        </w:rPr>
        <w:t xml:space="preserve"> que dispone que será aplicada, a los efectos de la presente investigación, la Ley Penal y Procesal Penal de 1973, cuando consideraban que debía ser aplicado el Código Procesal Penal de 1998. Al respecto, la Corte nota qu</w:t>
      </w:r>
      <w:r w:rsidR="00B93683">
        <w:rPr>
          <w:rFonts w:ascii="Verdana" w:hAnsi="Verdana"/>
          <w:sz w:val="20"/>
          <w:szCs w:val="20"/>
          <w:lang w:val="es-CR"/>
        </w:rPr>
        <w:t>e en la referida resolución el j</w:t>
      </w:r>
      <w:r w:rsidRPr="00B542FC">
        <w:rPr>
          <w:rFonts w:ascii="Verdana" w:hAnsi="Verdana"/>
          <w:sz w:val="20"/>
          <w:szCs w:val="20"/>
          <w:lang w:val="es-CR"/>
        </w:rPr>
        <w:t xml:space="preserve">uzgado indica que “la Ley Procesal Penal aplicable a este caso es el Código Procesal Penal derogado de 1973”. </w:t>
      </w:r>
      <w:r w:rsidR="004055D7">
        <w:rPr>
          <w:rFonts w:ascii="Verdana" w:hAnsi="Verdana"/>
          <w:sz w:val="20"/>
          <w:szCs w:val="20"/>
          <w:lang w:val="es-CR"/>
        </w:rPr>
        <w:t>L</w:t>
      </w:r>
      <w:r w:rsidRPr="00B542FC">
        <w:rPr>
          <w:rFonts w:ascii="Verdana" w:hAnsi="Verdana"/>
          <w:sz w:val="20"/>
          <w:szCs w:val="20"/>
          <w:lang w:val="es-CR"/>
        </w:rPr>
        <w:t xml:space="preserve">a Procuraduría hizo notar que el artículo 453 del Código Procesal Penal de 1998 “estableció su aplicación a futuro, cualquiera que sea la fecha en que se hubiere cometido el delito, derogando la normativa procesal vigente al momento </w:t>
      </w:r>
      <w:r>
        <w:rPr>
          <w:rFonts w:ascii="Verdana" w:hAnsi="Verdana"/>
          <w:sz w:val="20"/>
          <w:szCs w:val="20"/>
          <w:lang w:val="es-CR"/>
        </w:rPr>
        <w:t>de</w:t>
      </w:r>
      <w:r w:rsidRPr="00B542FC">
        <w:rPr>
          <w:rFonts w:ascii="Verdana" w:hAnsi="Verdana"/>
          <w:sz w:val="20"/>
          <w:szCs w:val="20"/>
          <w:lang w:val="es-CR"/>
        </w:rPr>
        <w:t xml:space="preserve"> las masacres”</w:t>
      </w:r>
      <w:r w:rsidRPr="00B542FC">
        <w:rPr>
          <w:rStyle w:val="FootnoteReference"/>
          <w:rFonts w:ascii="Verdana" w:hAnsi="Verdana"/>
          <w:sz w:val="20"/>
          <w:szCs w:val="20"/>
          <w:lang w:val="es-CR"/>
        </w:rPr>
        <w:footnoteReference w:id="33"/>
      </w:r>
      <w:r w:rsidRPr="00B542FC">
        <w:rPr>
          <w:rFonts w:ascii="Verdana" w:hAnsi="Verdana"/>
          <w:sz w:val="20"/>
          <w:szCs w:val="20"/>
          <w:lang w:val="es-CR"/>
        </w:rPr>
        <w:t>.</w:t>
      </w:r>
      <w:bookmarkEnd w:id="20"/>
    </w:p>
    <w:p w14:paraId="05E93278" w14:textId="77777777" w:rsidR="00E61811" w:rsidRPr="00E61811" w:rsidRDefault="00E61811" w:rsidP="00E61811">
      <w:pPr>
        <w:pStyle w:val="ListParagraph"/>
        <w:rPr>
          <w:rFonts w:ascii="Verdana" w:hAnsi="Verdana"/>
          <w:sz w:val="20"/>
          <w:szCs w:val="20"/>
          <w:lang w:val="es-CR"/>
        </w:rPr>
      </w:pPr>
    </w:p>
    <w:p w14:paraId="5E41E86E" w14:textId="16F568A8" w:rsidR="00E61811" w:rsidRPr="00E61811" w:rsidRDefault="00E61811" w:rsidP="00E61811">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 xml:space="preserve">La Corte valora positivamente la reapertura del proceso penal, </w:t>
      </w:r>
      <w:r w:rsidR="00FC6A3E">
        <w:rPr>
          <w:rFonts w:ascii="Verdana" w:hAnsi="Verdana"/>
          <w:sz w:val="20"/>
          <w:szCs w:val="20"/>
          <w:lang w:val="es-CR"/>
        </w:rPr>
        <w:t xml:space="preserve">pero </w:t>
      </w:r>
      <w:r w:rsidRPr="00E61811">
        <w:rPr>
          <w:rFonts w:ascii="Verdana" w:hAnsi="Verdana"/>
          <w:sz w:val="20"/>
          <w:szCs w:val="20"/>
          <w:lang w:val="es-CR"/>
        </w:rPr>
        <w:t>teniendo en cuenta el alegato de los representantes (</w:t>
      </w:r>
      <w:r w:rsidRPr="00E61811">
        <w:rPr>
          <w:rFonts w:ascii="Verdana" w:hAnsi="Verdana"/>
          <w:i/>
          <w:sz w:val="20"/>
          <w:szCs w:val="20"/>
          <w:lang w:val="es-CR"/>
        </w:rPr>
        <w:t>supra</w:t>
      </w:r>
      <w:r w:rsidRPr="00E61811">
        <w:rPr>
          <w:rFonts w:ascii="Verdana" w:hAnsi="Verdana"/>
          <w:sz w:val="20"/>
          <w:szCs w:val="20"/>
          <w:lang w:val="es-CR"/>
        </w:rPr>
        <w:t xml:space="preserve"> Considerando </w:t>
      </w:r>
      <w:r w:rsidR="004055D7">
        <w:rPr>
          <w:rFonts w:ascii="Verdana" w:hAnsi="Verdana"/>
          <w:sz w:val="20"/>
          <w:szCs w:val="20"/>
          <w:lang w:val="es-CR"/>
        </w:rPr>
        <w:fldChar w:fldCharType="begin"/>
      </w:r>
      <w:r w:rsidR="004055D7">
        <w:rPr>
          <w:rFonts w:ascii="Verdana" w:hAnsi="Verdana"/>
          <w:sz w:val="20"/>
          <w:szCs w:val="20"/>
          <w:lang w:val="es-CR"/>
        </w:rPr>
        <w:instrText xml:space="preserve"> REF _Ref492906913 \r \h </w:instrText>
      </w:r>
      <w:r w:rsidR="004055D7">
        <w:rPr>
          <w:rFonts w:ascii="Verdana" w:hAnsi="Verdana"/>
          <w:sz w:val="20"/>
          <w:szCs w:val="20"/>
          <w:lang w:val="es-CR"/>
        </w:rPr>
      </w:r>
      <w:r w:rsidR="004055D7">
        <w:rPr>
          <w:rFonts w:ascii="Verdana" w:hAnsi="Verdana"/>
          <w:sz w:val="20"/>
          <w:szCs w:val="20"/>
          <w:lang w:val="es-CR"/>
        </w:rPr>
        <w:fldChar w:fldCharType="separate"/>
      </w:r>
      <w:r w:rsidR="00F96D30">
        <w:rPr>
          <w:rFonts w:ascii="Verdana" w:hAnsi="Verdana"/>
          <w:sz w:val="20"/>
          <w:szCs w:val="20"/>
          <w:lang w:val="es-CR"/>
        </w:rPr>
        <w:t>13</w:t>
      </w:r>
      <w:r w:rsidR="004055D7">
        <w:rPr>
          <w:rFonts w:ascii="Verdana" w:hAnsi="Verdana"/>
          <w:sz w:val="20"/>
          <w:szCs w:val="20"/>
          <w:lang w:val="es-CR"/>
        </w:rPr>
        <w:fldChar w:fldCharType="end"/>
      </w:r>
      <w:r w:rsidRPr="00E61811">
        <w:rPr>
          <w:rFonts w:ascii="Verdana" w:hAnsi="Verdana"/>
          <w:sz w:val="20"/>
          <w:szCs w:val="20"/>
          <w:lang w:val="es-CR"/>
        </w:rPr>
        <w:t>), nota que aún quedan pendientes</w:t>
      </w:r>
      <w:r w:rsidR="00B542FC">
        <w:rPr>
          <w:rFonts w:ascii="Verdana" w:hAnsi="Verdana"/>
          <w:sz w:val="20"/>
          <w:szCs w:val="20"/>
          <w:lang w:val="es-CR"/>
        </w:rPr>
        <w:t xml:space="preserve"> diligencias e</w:t>
      </w:r>
      <w:r w:rsidRPr="00E61811">
        <w:rPr>
          <w:rFonts w:ascii="Verdana" w:hAnsi="Verdana"/>
          <w:sz w:val="20"/>
          <w:szCs w:val="20"/>
          <w:lang w:val="es-CR"/>
        </w:rPr>
        <w:t xml:space="preserve"> investigaciones</w:t>
      </w:r>
      <w:r w:rsidR="00B542FC">
        <w:rPr>
          <w:rFonts w:ascii="Verdana" w:hAnsi="Verdana"/>
          <w:sz w:val="20"/>
          <w:szCs w:val="20"/>
          <w:lang w:val="es-CR"/>
        </w:rPr>
        <w:t xml:space="preserve"> con el fin de determinar las responsabilidades correspondientes por los hechos del presente caso</w:t>
      </w:r>
      <w:r w:rsidRPr="00E61811">
        <w:rPr>
          <w:rFonts w:ascii="Verdana" w:hAnsi="Verdana"/>
          <w:sz w:val="20"/>
          <w:szCs w:val="20"/>
          <w:lang w:val="es-CR"/>
        </w:rPr>
        <w:t xml:space="preserve">. Al respecto, la Corte considera particularmente importante que, habiéndose dado el importante avance jurídico de eliminar el obstáculo que mantenía impunes las graves violaciones a derechos humanos cometidas durante el conflicto armado en El Salvador, entre ellas las de las </w:t>
      </w:r>
      <w:r w:rsidR="004055D7">
        <w:rPr>
          <w:rFonts w:ascii="Verdana" w:hAnsi="Verdana"/>
          <w:sz w:val="20"/>
          <w:szCs w:val="20"/>
          <w:lang w:val="es-CR"/>
        </w:rPr>
        <w:t>m</w:t>
      </w:r>
      <w:r w:rsidRPr="00E61811">
        <w:rPr>
          <w:rFonts w:ascii="Verdana" w:hAnsi="Verdana"/>
          <w:sz w:val="20"/>
          <w:szCs w:val="20"/>
          <w:lang w:val="es-CR"/>
        </w:rPr>
        <w:t xml:space="preserve">asacres de El Mozote y </w:t>
      </w:r>
      <w:r w:rsidRPr="00E61811">
        <w:rPr>
          <w:rFonts w:ascii="Verdana" w:hAnsi="Verdana"/>
          <w:sz w:val="20"/>
          <w:szCs w:val="20"/>
          <w:lang w:val="es-CR"/>
        </w:rPr>
        <w:lastRenderedPageBreak/>
        <w:t xml:space="preserve">lugares aledaños, se avance con la debida diligencia con la investigación y juzgamiento de los hechos identificados en la Sentencia. </w:t>
      </w:r>
    </w:p>
    <w:p w14:paraId="217E9EB4" w14:textId="77777777" w:rsidR="00E61811" w:rsidRPr="00E61811" w:rsidRDefault="00E61811" w:rsidP="00E61811">
      <w:pPr>
        <w:pStyle w:val="ListParagraph"/>
        <w:tabs>
          <w:tab w:val="left" w:pos="567"/>
        </w:tabs>
        <w:spacing w:after="0" w:line="240" w:lineRule="auto"/>
        <w:ind w:left="0" w:right="4"/>
        <w:jc w:val="both"/>
        <w:rPr>
          <w:rFonts w:ascii="Verdana" w:hAnsi="Verdana"/>
          <w:sz w:val="20"/>
          <w:szCs w:val="20"/>
          <w:lang w:val="es-CR"/>
        </w:rPr>
      </w:pPr>
    </w:p>
    <w:p w14:paraId="119B1199" w14:textId="4EE91B86" w:rsidR="00E61811" w:rsidRPr="00E61811" w:rsidRDefault="00E61811" w:rsidP="00E61811">
      <w:pPr>
        <w:pStyle w:val="ListParagraph"/>
        <w:numPr>
          <w:ilvl w:val="0"/>
          <w:numId w:val="2"/>
        </w:numPr>
        <w:tabs>
          <w:tab w:val="left" w:pos="567"/>
        </w:tabs>
        <w:spacing w:after="0" w:line="240" w:lineRule="auto"/>
        <w:ind w:left="0" w:right="4" w:firstLine="0"/>
        <w:jc w:val="both"/>
        <w:rPr>
          <w:rFonts w:ascii="Verdana" w:hAnsi="Verdana"/>
          <w:sz w:val="20"/>
          <w:szCs w:val="20"/>
          <w:lang w:val="es-CR"/>
        </w:rPr>
      </w:pPr>
      <w:bookmarkStart w:id="21" w:name="_Ref492906958"/>
      <w:r w:rsidRPr="00E61811">
        <w:rPr>
          <w:rFonts w:ascii="Verdana" w:hAnsi="Verdana"/>
          <w:sz w:val="20"/>
          <w:szCs w:val="20"/>
          <w:lang w:val="es-CR"/>
        </w:rPr>
        <w:t>Por las razones antedichas, la Corte considera que dicha medida continúa pendiente de cumplimiento, y requiere al Estado que presente información actualizada y detallada sobre la adopción de medidas destinadas a culminar con</w:t>
      </w:r>
      <w:r w:rsidR="004055D7">
        <w:rPr>
          <w:rFonts w:ascii="Verdana" w:hAnsi="Verdana"/>
          <w:sz w:val="20"/>
          <w:szCs w:val="20"/>
          <w:lang w:val="es-CR"/>
        </w:rPr>
        <w:t xml:space="preserve"> la investigación y</w:t>
      </w:r>
      <w:r w:rsidRPr="00E61811">
        <w:rPr>
          <w:rFonts w:ascii="Verdana" w:hAnsi="Verdana"/>
          <w:sz w:val="20"/>
          <w:szCs w:val="20"/>
          <w:lang w:val="es-CR"/>
        </w:rPr>
        <w:t xml:space="preserve"> el juzgamiento de las personas que ya se encuentran en el marco del proceso penal iniciado ante el Juzgado Segundo de Primera Instancia de San Francisco de Gotera, al igual que las medidas adoptadas para continuar con la identificación y enjuiciamiento de otras posibles personas que hayan estado involucradas en los hechos concernientes a las </w:t>
      </w:r>
      <w:r w:rsidR="004055D7">
        <w:rPr>
          <w:rFonts w:ascii="Verdana" w:hAnsi="Verdana"/>
          <w:sz w:val="20"/>
          <w:szCs w:val="20"/>
          <w:lang w:val="es-CR"/>
        </w:rPr>
        <w:t>m</w:t>
      </w:r>
      <w:r w:rsidRPr="00E61811">
        <w:rPr>
          <w:rFonts w:ascii="Verdana" w:hAnsi="Verdana"/>
          <w:sz w:val="20"/>
          <w:szCs w:val="20"/>
          <w:lang w:val="es-CR"/>
        </w:rPr>
        <w:t>asacres de El Mozote y lugares aledaños, todo ello en atención a los criterios dispuestos en la Sentencia (</w:t>
      </w:r>
      <w:r w:rsidRPr="00E61811">
        <w:rPr>
          <w:rFonts w:ascii="Verdana" w:hAnsi="Verdana"/>
          <w:i/>
          <w:sz w:val="20"/>
          <w:szCs w:val="20"/>
          <w:lang w:val="es-CR"/>
        </w:rPr>
        <w:t>supra</w:t>
      </w:r>
      <w:r w:rsidRPr="00E61811">
        <w:rPr>
          <w:rFonts w:ascii="Verdana" w:hAnsi="Verdana"/>
          <w:sz w:val="20"/>
          <w:szCs w:val="20"/>
          <w:lang w:val="es-CR"/>
        </w:rPr>
        <w:t xml:space="preserve"> Considerando </w:t>
      </w:r>
      <w:r w:rsidR="00AF2A84">
        <w:rPr>
          <w:rFonts w:ascii="Verdana" w:hAnsi="Verdana"/>
          <w:sz w:val="20"/>
          <w:szCs w:val="20"/>
          <w:lang w:val="es-CR"/>
        </w:rPr>
        <w:fldChar w:fldCharType="begin"/>
      </w:r>
      <w:r w:rsidR="00AF2A84">
        <w:rPr>
          <w:rFonts w:ascii="Verdana" w:hAnsi="Verdana"/>
          <w:sz w:val="20"/>
          <w:szCs w:val="20"/>
          <w:lang w:val="es-CR"/>
        </w:rPr>
        <w:instrText xml:space="preserve"> REF _Ref492908443 \r \h </w:instrText>
      </w:r>
      <w:r w:rsidR="00AF2A84">
        <w:rPr>
          <w:rFonts w:ascii="Verdana" w:hAnsi="Verdana"/>
          <w:sz w:val="20"/>
          <w:szCs w:val="20"/>
          <w:lang w:val="es-CR"/>
        </w:rPr>
      </w:r>
      <w:r w:rsidR="00AF2A84">
        <w:rPr>
          <w:rFonts w:ascii="Verdana" w:hAnsi="Verdana"/>
          <w:sz w:val="20"/>
          <w:szCs w:val="20"/>
          <w:lang w:val="es-CR"/>
        </w:rPr>
        <w:fldChar w:fldCharType="separate"/>
      </w:r>
      <w:r w:rsidR="00F96D30">
        <w:rPr>
          <w:rFonts w:ascii="Verdana" w:hAnsi="Verdana"/>
          <w:sz w:val="20"/>
          <w:szCs w:val="20"/>
          <w:lang w:val="es-CR"/>
        </w:rPr>
        <w:t>20</w:t>
      </w:r>
      <w:r w:rsidR="00AF2A84">
        <w:rPr>
          <w:rFonts w:ascii="Verdana" w:hAnsi="Verdana"/>
          <w:sz w:val="20"/>
          <w:szCs w:val="20"/>
          <w:lang w:val="es-CR"/>
        </w:rPr>
        <w:fldChar w:fldCharType="end"/>
      </w:r>
      <w:r w:rsidRPr="00E61811">
        <w:rPr>
          <w:rFonts w:ascii="Verdana" w:hAnsi="Verdana"/>
          <w:sz w:val="20"/>
          <w:szCs w:val="20"/>
          <w:lang w:val="es-CR"/>
        </w:rPr>
        <w:t xml:space="preserve">). </w:t>
      </w:r>
      <w:r w:rsidR="00B542FC">
        <w:rPr>
          <w:rFonts w:ascii="Verdana" w:hAnsi="Verdana"/>
          <w:sz w:val="20"/>
          <w:szCs w:val="20"/>
          <w:lang w:val="es-CR"/>
        </w:rPr>
        <w:t>En este sentido, se requiere que el Estado se refiera de forma específica a las medidas que ha adoptado para dar cumplimiento a la decisión del Juzgado Segundo de Primera Instancia de San Francisco de Gotera de marzo de 2017</w:t>
      </w:r>
      <w:r w:rsidR="00AF2A84">
        <w:rPr>
          <w:rFonts w:ascii="Verdana" w:hAnsi="Verdana"/>
          <w:sz w:val="20"/>
          <w:szCs w:val="20"/>
          <w:lang w:val="es-CR"/>
        </w:rPr>
        <w:t xml:space="preserve"> (</w:t>
      </w:r>
      <w:r w:rsidR="00AF2A84">
        <w:rPr>
          <w:rFonts w:ascii="Verdana" w:hAnsi="Verdana"/>
          <w:i/>
          <w:sz w:val="20"/>
          <w:szCs w:val="20"/>
          <w:lang w:val="es-CR"/>
        </w:rPr>
        <w:t>supra</w:t>
      </w:r>
      <w:r w:rsidR="00AF2A84">
        <w:rPr>
          <w:rFonts w:ascii="Verdana" w:hAnsi="Verdana"/>
          <w:sz w:val="20"/>
          <w:szCs w:val="20"/>
          <w:lang w:val="es-CR"/>
        </w:rPr>
        <w:t xml:space="preserve"> Considerando </w:t>
      </w:r>
      <w:r w:rsidR="00AF2A84">
        <w:rPr>
          <w:rFonts w:ascii="Verdana" w:hAnsi="Verdana"/>
          <w:sz w:val="20"/>
          <w:szCs w:val="20"/>
          <w:lang w:val="es-CR"/>
        </w:rPr>
        <w:fldChar w:fldCharType="begin"/>
      </w:r>
      <w:r w:rsidR="00AF2A84">
        <w:rPr>
          <w:rFonts w:ascii="Verdana" w:hAnsi="Verdana"/>
          <w:sz w:val="20"/>
          <w:szCs w:val="20"/>
          <w:lang w:val="es-CR"/>
        </w:rPr>
        <w:instrText xml:space="preserve"> REF _Ref492908478 \r \h </w:instrText>
      </w:r>
      <w:r w:rsidR="00AF2A84">
        <w:rPr>
          <w:rFonts w:ascii="Verdana" w:hAnsi="Verdana"/>
          <w:sz w:val="20"/>
          <w:szCs w:val="20"/>
          <w:lang w:val="es-CR"/>
        </w:rPr>
      </w:r>
      <w:r w:rsidR="00AF2A84">
        <w:rPr>
          <w:rFonts w:ascii="Verdana" w:hAnsi="Verdana"/>
          <w:sz w:val="20"/>
          <w:szCs w:val="20"/>
          <w:lang w:val="es-CR"/>
        </w:rPr>
        <w:fldChar w:fldCharType="separate"/>
      </w:r>
      <w:r w:rsidR="00F96D30">
        <w:rPr>
          <w:rFonts w:ascii="Verdana" w:hAnsi="Verdana"/>
          <w:sz w:val="20"/>
          <w:szCs w:val="20"/>
          <w:lang w:val="es-CR"/>
        </w:rPr>
        <w:t>23</w:t>
      </w:r>
      <w:r w:rsidR="00AF2A84">
        <w:rPr>
          <w:rFonts w:ascii="Verdana" w:hAnsi="Verdana"/>
          <w:sz w:val="20"/>
          <w:szCs w:val="20"/>
          <w:lang w:val="es-CR"/>
        </w:rPr>
        <w:fldChar w:fldCharType="end"/>
      </w:r>
      <w:r w:rsidR="00AF2A84">
        <w:rPr>
          <w:rFonts w:ascii="Verdana" w:hAnsi="Verdana"/>
          <w:sz w:val="20"/>
          <w:szCs w:val="20"/>
          <w:lang w:val="es-CR"/>
        </w:rPr>
        <w:t>)</w:t>
      </w:r>
      <w:r w:rsidR="00B542FC">
        <w:rPr>
          <w:rFonts w:ascii="Verdana" w:hAnsi="Verdana"/>
          <w:sz w:val="20"/>
          <w:szCs w:val="20"/>
          <w:lang w:val="es-CR"/>
        </w:rPr>
        <w:t>, al igual que a las resultas de dichas diligencias.</w:t>
      </w:r>
      <w:r w:rsidRPr="00E61811">
        <w:rPr>
          <w:rFonts w:ascii="Verdana" w:hAnsi="Verdana"/>
          <w:sz w:val="20"/>
          <w:szCs w:val="20"/>
          <w:lang w:val="es-CR"/>
        </w:rPr>
        <w:t xml:space="preserve"> Igualmente, se solicita al Estado que haga referencia a los alegatos presentados por los representantes y la Comisión</w:t>
      </w:r>
      <w:r w:rsidR="007D6813">
        <w:rPr>
          <w:rFonts w:ascii="Verdana" w:hAnsi="Verdana"/>
          <w:sz w:val="20"/>
          <w:szCs w:val="20"/>
          <w:lang w:val="es-CR"/>
        </w:rPr>
        <w:t>, y</w:t>
      </w:r>
      <w:r w:rsidRPr="00E61811">
        <w:rPr>
          <w:rFonts w:ascii="Verdana" w:hAnsi="Verdana"/>
          <w:sz w:val="20"/>
          <w:szCs w:val="20"/>
          <w:lang w:val="es-CR"/>
        </w:rPr>
        <w:t>a la información proporcionada por la Procuraduría de Derechos Humanos, sobre la alegada falta de claridad de la normativa procesal penal aplicable al presente caso</w:t>
      </w:r>
      <w:r w:rsidR="00AF2A84">
        <w:rPr>
          <w:rFonts w:ascii="Verdana" w:hAnsi="Verdana"/>
          <w:sz w:val="20"/>
          <w:szCs w:val="20"/>
          <w:lang w:val="es-CR"/>
        </w:rPr>
        <w:t xml:space="preserve"> (</w:t>
      </w:r>
      <w:r w:rsidR="00AF2A84">
        <w:rPr>
          <w:rFonts w:ascii="Verdana" w:hAnsi="Verdana"/>
          <w:i/>
          <w:sz w:val="20"/>
          <w:szCs w:val="20"/>
          <w:lang w:val="es-CR"/>
        </w:rPr>
        <w:t>supra</w:t>
      </w:r>
      <w:r w:rsidR="00AF2A84">
        <w:rPr>
          <w:rFonts w:ascii="Verdana" w:hAnsi="Verdana"/>
          <w:sz w:val="20"/>
          <w:szCs w:val="20"/>
          <w:lang w:val="es-CR"/>
        </w:rPr>
        <w:t xml:space="preserve"> Considerando </w:t>
      </w:r>
      <w:r w:rsidR="00AF2A84">
        <w:rPr>
          <w:rFonts w:ascii="Verdana" w:hAnsi="Verdana"/>
          <w:sz w:val="20"/>
          <w:szCs w:val="20"/>
          <w:lang w:val="es-CR"/>
        </w:rPr>
        <w:fldChar w:fldCharType="begin"/>
      </w:r>
      <w:r w:rsidR="00AF2A84">
        <w:rPr>
          <w:rFonts w:ascii="Verdana" w:hAnsi="Verdana"/>
          <w:sz w:val="20"/>
          <w:szCs w:val="20"/>
          <w:lang w:val="es-CR"/>
        </w:rPr>
        <w:instrText xml:space="preserve"> REF _Ref492908303 \r \h </w:instrText>
      </w:r>
      <w:r w:rsidR="00AF2A84">
        <w:rPr>
          <w:rFonts w:ascii="Verdana" w:hAnsi="Verdana"/>
          <w:sz w:val="20"/>
          <w:szCs w:val="20"/>
          <w:lang w:val="es-CR"/>
        </w:rPr>
      </w:r>
      <w:r w:rsidR="00AF2A84">
        <w:rPr>
          <w:rFonts w:ascii="Verdana" w:hAnsi="Verdana"/>
          <w:sz w:val="20"/>
          <w:szCs w:val="20"/>
          <w:lang w:val="es-CR"/>
        </w:rPr>
        <w:fldChar w:fldCharType="separate"/>
      </w:r>
      <w:r w:rsidR="00F96D30">
        <w:rPr>
          <w:rFonts w:ascii="Verdana" w:hAnsi="Verdana"/>
          <w:sz w:val="20"/>
          <w:szCs w:val="20"/>
          <w:lang w:val="es-CR"/>
        </w:rPr>
        <w:t>24</w:t>
      </w:r>
      <w:r w:rsidR="00AF2A84">
        <w:rPr>
          <w:rFonts w:ascii="Verdana" w:hAnsi="Verdana"/>
          <w:sz w:val="20"/>
          <w:szCs w:val="20"/>
          <w:lang w:val="es-CR"/>
        </w:rPr>
        <w:fldChar w:fldCharType="end"/>
      </w:r>
      <w:r w:rsidR="00AF2A84">
        <w:rPr>
          <w:rFonts w:ascii="Verdana" w:hAnsi="Verdana"/>
          <w:sz w:val="20"/>
          <w:szCs w:val="20"/>
          <w:lang w:val="es-CR"/>
        </w:rPr>
        <w:t>)</w:t>
      </w:r>
      <w:r w:rsidRPr="00E61811">
        <w:rPr>
          <w:rFonts w:ascii="Verdana" w:hAnsi="Verdana"/>
          <w:sz w:val="20"/>
          <w:szCs w:val="20"/>
          <w:lang w:val="es-CR"/>
        </w:rPr>
        <w:t>.</w:t>
      </w:r>
      <w:bookmarkEnd w:id="21"/>
      <w:r w:rsidRPr="00E61811">
        <w:rPr>
          <w:rFonts w:ascii="Verdana" w:hAnsi="Verdana"/>
          <w:sz w:val="20"/>
          <w:szCs w:val="20"/>
          <w:lang w:val="es-CR"/>
        </w:rPr>
        <w:t xml:space="preserve"> </w:t>
      </w:r>
    </w:p>
    <w:p w14:paraId="04FEC286" w14:textId="77777777" w:rsidR="002942C5" w:rsidRPr="00E61811" w:rsidRDefault="002942C5" w:rsidP="009F6E4F">
      <w:pPr>
        <w:tabs>
          <w:tab w:val="left" w:pos="567"/>
        </w:tabs>
        <w:spacing w:after="0" w:line="240" w:lineRule="auto"/>
        <w:ind w:right="4"/>
        <w:jc w:val="both"/>
        <w:rPr>
          <w:rFonts w:ascii="Verdana" w:hAnsi="Verdana"/>
          <w:sz w:val="20"/>
          <w:szCs w:val="20"/>
          <w:lang w:val="es-CR"/>
        </w:rPr>
      </w:pPr>
    </w:p>
    <w:p w14:paraId="3C793B0A" w14:textId="77777777" w:rsidR="00B2058A" w:rsidRPr="00E61811" w:rsidRDefault="00B2058A" w:rsidP="009F6E4F">
      <w:pPr>
        <w:tabs>
          <w:tab w:val="left" w:pos="567"/>
        </w:tabs>
        <w:spacing w:after="0" w:line="240" w:lineRule="auto"/>
        <w:ind w:right="4"/>
        <w:jc w:val="both"/>
        <w:rPr>
          <w:rFonts w:ascii="Verdana" w:hAnsi="Verdana"/>
          <w:b/>
          <w:sz w:val="20"/>
          <w:szCs w:val="20"/>
          <w:lang w:val="es-CR"/>
        </w:rPr>
      </w:pPr>
      <w:r w:rsidRPr="00E61811">
        <w:rPr>
          <w:rFonts w:ascii="Verdana" w:hAnsi="Verdana"/>
          <w:b/>
          <w:sz w:val="20"/>
          <w:szCs w:val="20"/>
          <w:lang w:val="es-CR"/>
        </w:rPr>
        <w:t xml:space="preserve">POR TANTO: </w:t>
      </w:r>
    </w:p>
    <w:p w14:paraId="11DAB67E" w14:textId="77777777" w:rsidR="00B2058A" w:rsidRPr="00E61811" w:rsidRDefault="00B2058A" w:rsidP="009F6E4F">
      <w:pPr>
        <w:tabs>
          <w:tab w:val="left" w:pos="567"/>
        </w:tabs>
        <w:spacing w:after="0" w:line="240" w:lineRule="auto"/>
        <w:ind w:right="4"/>
        <w:jc w:val="both"/>
        <w:rPr>
          <w:rFonts w:ascii="Verdana" w:hAnsi="Verdana"/>
          <w:b/>
          <w:sz w:val="20"/>
          <w:szCs w:val="20"/>
          <w:lang w:val="es-CR"/>
        </w:rPr>
      </w:pPr>
    </w:p>
    <w:p w14:paraId="0E97BAAC" w14:textId="77777777" w:rsidR="00B2058A" w:rsidRPr="00E61811" w:rsidRDefault="00B2058A" w:rsidP="009F6E4F">
      <w:pPr>
        <w:tabs>
          <w:tab w:val="left" w:pos="567"/>
        </w:tabs>
        <w:spacing w:after="0" w:line="240" w:lineRule="auto"/>
        <w:ind w:right="4"/>
        <w:jc w:val="both"/>
        <w:rPr>
          <w:rFonts w:ascii="Verdana" w:hAnsi="Verdana"/>
          <w:b/>
          <w:sz w:val="20"/>
          <w:szCs w:val="20"/>
          <w:lang w:val="es-CR"/>
        </w:rPr>
      </w:pPr>
      <w:r w:rsidRPr="00E61811">
        <w:rPr>
          <w:rFonts w:ascii="Verdana" w:hAnsi="Verdana"/>
          <w:b/>
          <w:sz w:val="20"/>
          <w:szCs w:val="20"/>
          <w:lang w:val="es-CR"/>
        </w:rPr>
        <w:t xml:space="preserve">LA CORTE INTERAMERICANA DE DERECHOS HUMANOS, </w:t>
      </w:r>
    </w:p>
    <w:p w14:paraId="6DE1031E" w14:textId="77777777" w:rsidR="00B2058A" w:rsidRPr="00E61811" w:rsidRDefault="00B2058A" w:rsidP="009F6E4F">
      <w:pPr>
        <w:tabs>
          <w:tab w:val="left" w:pos="567"/>
        </w:tabs>
        <w:spacing w:after="0" w:line="240" w:lineRule="auto"/>
        <w:ind w:right="4"/>
        <w:jc w:val="both"/>
        <w:rPr>
          <w:rFonts w:ascii="Verdana" w:hAnsi="Verdana"/>
          <w:sz w:val="20"/>
          <w:lang w:val="es-CR"/>
        </w:rPr>
      </w:pPr>
    </w:p>
    <w:p w14:paraId="6C417D4C" w14:textId="6B6CE705" w:rsidR="00B2058A" w:rsidRPr="00E61811" w:rsidRDefault="000C5904" w:rsidP="009F6E4F">
      <w:pPr>
        <w:tabs>
          <w:tab w:val="left" w:pos="567"/>
        </w:tabs>
        <w:spacing w:after="0" w:line="240" w:lineRule="auto"/>
        <w:ind w:right="4"/>
        <w:jc w:val="both"/>
        <w:rPr>
          <w:rFonts w:ascii="Verdana" w:hAnsi="Verdana"/>
          <w:sz w:val="20"/>
          <w:lang w:val="es-CR"/>
        </w:rPr>
      </w:pPr>
      <w:r w:rsidRPr="00E61811">
        <w:rPr>
          <w:rFonts w:ascii="Verdana" w:hAnsi="Verdana"/>
          <w:sz w:val="20"/>
          <w:lang w:val="es-CR"/>
        </w:rPr>
        <w:t>e</w:t>
      </w:r>
      <w:r w:rsidR="00B2058A" w:rsidRPr="00E61811">
        <w:rPr>
          <w:rFonts w:ascii="Verdana" w:hAnsi="Verdana"/>
          <w:sz w:val="20"/>
          <w:lang w:val="es-CR"/>
        </w:rPr>
        <w:t>n el ejercicio de sus atribuciones de supervisión del cumplimiento de sus decisiones, de conformidad con los artículos 33, 62.1, 62.3, 65, 67 y 68.1 de la Convención Americana sobre Derechos Humanos, 24, 25 y 30 del Estatuto y 31.2 y 69 de su Reglamento,</w:t>
      </w:r>
    </w:p>
    <w:p w14:paraId="2770BFED" w14:textId="77777777" w:rsidR="00B2058A" w:rsidRPr="00E61811" w:rsidRDefault="00B2058A" w:rsidP="009F6E4F">
      <w:pPr>
        <w:tabs>
          <w:tab w:val="left" w:pos="567"/>
        </w:tabs>
        <w:spacing w:after="0" w:line="240" w:lineRule="auto"/>
        <w:ind w:right="4"/>
        <w:jc w:val="both"/>
        <w:rPr>
          <w:rFonts w:ascii="Verdana" w:hAnsi="Verdana"/>
          <w:sz w:val="20"/>
          <w:lang w:val="es-CR"/>
        </w:rPr>
      </w:pPr>
    </w:p>
    <w:p w14:paraId="2B7FAF8E" w14:textId="77777777" w:rsidR="00B2058A" w:rsidRPr="00E61811" w:rsidRDefault="00B2058A" w:rsidP="009F6E4F">
      <w:pPr>
        <w:tabs>
          <w:tab w:val="left" w:pos="567"/>
        </w:tabs>
        <w:spacing w:after="0" w:line="240" w:lineRule="auto"/>
        <w:ind w:right="4"/>
        <w:jc w:val="both"/>
        <w:rPr>
          <w:rFonts w:ascii="Verdana" w:hAnsi="Verdana"/>
          <w:b/>
          <w:sz w:val="20"/>
          <w:lang w:val="es-CR"/>
        </w:rPr>
      </w:pPr>
      <w:r w:rsidRPr="00E61811">
        <w:rPr>
          <w:rFonts w:ascii="Verdana" w:hAnsi="Verdana"/>
          <w:b/>
          <w:sz w:val="20"/>
          <w:lang w:val="es-CR"/>
        </w:rPr>
        <w:t>RESUELVE:</w:t>
      </w:r>
    </w:p>
    <w:p w14:paraId="5C7EA6DD" w14:textId="77777777" w:rsidR="00B2058A" w:rsidRPr="00E61811" w:rsidRDefault="00B2058A" w:rsidP="009F6E4F">
      <w:pPr>
        <w:tabs>
          <w:tab w:val="left" w:pos="567"/>
        </w:tabs>
        <w:spacing w:after="0" w:line="240" w:lineRule="auto"/>
        <w:ind w:right="4"/>
        <w:jc w:val="both"/>
        <w:rPr>
          <w:rFonts w:ascii="Verdana" w:hAnsi="Verdana"/>
          <w:b/>
          <w:sz w:val="20"/>
          <w:lang w:val="es-CR"/>
        </w:rPr>
      </w:pPr>
    </w:p>
    <w:p w14:paraId="01D442AE" w14:textId="607F4F5F" w:rsidR="00B2058A" w:rsidRPr="00E61811" w:rsidRDefault="005D6102"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 xml:space="preserve">Declarar, de conformidad con lo señalado en los Considerandos </w:t>
      </w:r>
      <w:r w:rsidR="00AF2A84">
        <w:rPr>
          <w:rFonts w:ascii="Verdana" w:hAnsi="Verdana"/>
          <w:sz w:val="20"/>
          <w:szCs w:val="20"/>
          <w:lang w:val="es-CR"/>
        </w:rPr>
        <w:fldChar w:fldCharType="begin"/>
      </w:r>
      <w:r w:rsidR="00AF2A84">
        <w:rPr>
          <w:rFonts w:ascii="Verdana" w:hAnsi="Verdana"/>
          <w:sz w:val="20"/>
          <w:szCs w:val="20"/>
          <w:lang w:val="es-CR"/>
        </w:rPr>
        <w:instrText xml:space="preserve"> REF _Ref492908637 \r \h </w:instrText>
      </w:r>
      <w:r w:rsidR="00AF2A84">
        <w:rPr>
          <w:rFonts w:ascii="Verdana" w:hAnsi="Verdana"/>
          <w:sz w:val="20"/>
          <w:szCs w:val="20"/>
          <w:lang w:val="es-CR"/>
        </w:rPr>
      </w:r>
      <w:r w:rsidR="00AF2A84">
        <w:rPr>
          <w:rFonts w:ascii="Verdana" w:hAnsi="Verdana"/>
          <w:sz w:val="20"/>
          <w:szCs w:val="20"/>
          <w:lang w:val="es-CR"/>
        </w:rPr>
        <w:fldChar w:fldCharType="separate"/>
      </w:r>
      <w:r w:rsidR="00F96D30">
        <w:rPr>
          <w:rFonts w:ascii="Verdana" w:hAnsi="Verdana"/>
          <w:sz w:val="20"/>
          <w:szCs w:val="20"/>
          <w:lang w:val="es-CR"/>
        </w:rPr>
        <w:t>11</w:t>
      </w:r>
      <w:r w:rsidR="00AF2A84">
        <w:rPr>
          <w:rFonts w:ascii="Verdana" w:hAnsi="Verdana"/>
          <w:sz w:val="20"/>
          <w:szCs w:val="20"/>
          <w:lang w:val="es-CR"/>
        </w:rPr>
        <w:fldChar w:fldCharType="end"/>
      </w:r>
      <w:r w:rsidR="00AF2A84">
        <w:rPr>
          <w:rFonts w:ascii="Verdana" w:hAnsi="Verdana"/>
          <w:sz w:val="20"/>
          <w:szCs w:val="20"/>
          <w:lang w:val="es-CR"/>
        </w:rPr>
        <w:t xml:space="preserve"> a</w:t>
      </w:r>
      <w:r w:rsidR="00CF7FAF">
        <w:rPr>
          <w:rFonts w:ascii="Verdana" w:hAnsi="Verdana"/>
          <w:sz w:val="20"/>
          <w:szCs w:val="20"/>
          <w:lang w:val="es-CR"/>
        </w:rPr>
        <w:t xml:space="preserve"> </w:t>
      </w:r>
      <w:r w:rsidR="00AF2A84">
        <w:rPr>
          <w:rFonts w:ascii="Verdana" w:hAnsi="Verdana"/>
          <w:sz w:val="20"/>
          <w:szCs w:val="20"/>
          <w:lang w:val="es-CR"/>
        </w:rPr>
        <w:fldChar w:fldCharType="begin"/>
      </w:r>
      <w:r w:rsidR="00AF2A84">
        <w:rPr>
          <w:rFonts w:ascii="Verdana" w:hAnsi="Verdana"/>
          <w:sz w:val="20"/>
          <w:szCs w:val="20"/>
          <w:lang w:val="es-CR"/>
        </w:rPr>
        <w:instrText xml:space="preserve"> REF _Ref492908646 \r \h </w:instrText>
      </w:r>
      <w:r w:rsidR="00AF2A84">
        <w:rPr>
          <w:rFonts w:ascii="Verdana" w:hAnsi="Verdana"/>
          <w:sz w:val="20"/>
          <w:szCs w:val="20"/>
          <w:lang w:val="es-CR"/>
        </w:rPr>
      </w:r>
      <w:r w:rsidR="00AF2A84">
        <w:rPr>
          <w:rFonts w:ascii="Verdana" w:hAnsi="Verdana"/>
          <w:sz w:val="20"/>
          <w:szCs w:val="20"/>
          <w:lang w:val="es-CR"/>
        </w:rPr>
        <w:fldChar w:fldCharType="separate"/>
      </w:r>
      <w:r w:rsidR="00F96D30">
        <w:rPr>
          <w:rFonts w:ascii="Verdana" w:hAnsi="Verdana"/>
          <w:sz w:val="20"/>
          <w:szCs w:val="20"/>
          <w:lang w:val="es-CR"/>
        </w:rPr>
        <w:t>18</w:t>
      </w:r>
      <w:r w:rsidR="00AF2A84">
        <w:rPr>
          <w:rFonts w:ascii="Verdana" w:hAnsi="Verdana"/>
          <w:sz w:val="20"/>
          <w:szCs w:val="20"/>
          <w:lang w:val="es-CR"/>
        </w:rPr>
        <w:fldChar w:fldCharType="end"/>
      </w:r>
      <w:r w:rsidR="00CF7FAF" w:rsidRPr="00E61811">
        <w:rPr>
          <w:rFonts w:ascii="Verdana" w:hAnsi="Verdana"/>
          <w:sz w:val="20"/>
          <w:szCs w:val="20"/>
          <w:lang w:val="es-CR"/>
        </w:rPr>
        <w:t xml:space="preserve"> </w:t>
      </w:r>
      <w:r w:rsidRPr="00E61811">
        <w:rPr>
          <w:rFonts w:ascii="Verdana" w:hAnsi="Verdana"/>
          <w:sz w:val="20"/>
          <w:szCs w:val="20"/>
          <w:lang w:val="es-CR"/>
        </w:rPr>
        <w:t>de la presente Resolución, que el Estado</w:t>
      </w:r>
      <w:r w:rsidR="009C0EA3" w:rsidRPr="00E61811">
        <w:rPr>
          <w:rFonts w:ascii="Verdana" w:hAnsi="Verdana"/>
          <w:sz w:val="20"/>
          <w:szCs w:val="20"/>
          <w:lang w:val="es-CR"/>
        </w:rPr>
        <w:t xml:space="preserve"> ha dado cumplimiento total a la medida relativa a “asegurar que la Ley de Amnistía General para la Consolidación de la Paz no vuelva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w:t>
      </w:r>
      <w:r w:rsidR="00A47332">
        <w:rPr>
          <w:rFonts w:ascii="Verdana" w:hAnsi="Verdana"/>
          <w:sz w:val="20"/>
          <w:szCs w:val="20"/>
          <w:lang w:val="es-CR"/>
        </w:rPr>
        <w:t>, ordenada en el punto resolutivo cuarto de la Sentencia</w:t>
      </w:r>
      <w:r w:rsidR="009C0EA3" w:rsidRPr="00E61811">
        <w:rPr>
          <w:rFonts w:ascii="Verdana" w:hAnsi="Verdana"/>
          <w:sz w:val="20"/>
          <w:szCs w:val="20"/>
          <w:lang w:val="es-CR"/>
        </w:rPr>
        <w:t xml:space="preserve">. </w:t>
      </w:r>
      <w:r w:rsidRPr="00E61811">
        <w:rPr>
          <w:rFonts w:ascii="Verdana" w:hAnsi="Verdana"/>
          <w:sz w:val="20"/>
          <w:szCs w:val="20"/>
          <w:lang w:val="es-CR"/>
        </w:rPr>
        <w:t xml:space="preserve"> </w:t>
      </w:r>
    </w:p>
    <w:p w14:paraId="470ED13F" w14:textId="77777777" w:rsidR="005D6102" w:rsidRPr="00E61811" w:rsidRDefault="005D6102" w:rsidP="005D6102">
      <w:pPr>
        <w:tabs>
          <w:tab w:val="left" w:pos="567"/>
        </w:tabs>
        <w:spacing w:after="0" w:line="240" w:lineRule="auto"/>
        <w:ind w:right="4"/>
        <w:jc w:val="both"/>
        <w:rPr>
          <w:rFonts w:ascii="Verdana" w:hAnsi="Verdana"/>
          <w:sz w:val="20"/>
          <w:szCs w:val="20"/>
          <w:lang w:val="es-CR"/>
        </w:rPr>
      </w:pPr>
    </w:p>
    <w:p w14:paraId="1E7E3508" w14:textId="046BF0EE" w:rsidR="006A37B5" w:rsidRPr="00E61811" w:rsidRDefault="006A37B5"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 xml:space="preserve">Mantener abierto el procedimiento de supervisión de cumplimiento de las </w:t>
      </w:r>
      <w:r w:rsidR="002C54AE" w:rsidRPr="00E61811">
        <w:rPr>
          <w:rFonts w:ascii="Verdana" w:hAnsi="Verdana"/>
          <w:sz w:val="20"/>
          <w:szCs w:val="20"/>
          <w:lang w:val="es-CR"/>
        </w:rPr>
        <w:t>siguientes</w:t>
      </w:r>
      <w:r w:rsidRPr="00E61811">
        <w:rPr>
          <w:rFonts w:ascii="Verdana" w:hAnsi="Verdana"/>
          <w:sz w:val="20"/>
          <w:szCs w:val="20"/>
          <w:lang w:val="es-CR"/>
        </w:rPr>
        <w:t xml:space="preserve"> medidas de reparación: </w:t>
      </w:r>
    </w:p>
    <w:p w14:paraId="6AC547E6" w14:textId="77777777" w:rsidR="00EC62DC" w:rsidRPr="00E61811" w:rsidRDefault="00EC62DC" w:rsidP="00EC62DC">
      <w:pPr>
        <w:pStyle w:val="ListParagraph"/>
        <w:rPr>
          <w:rFonts w:ascii="Verdana" w:hAnsi="Verdana"/>
          <w:sz w:val="20"/>
          <w:szCs w:val="20"/>
          <w:lang w:val="es-CR"/>
        </w:rPr>
      </w:pPr>
    </w:p>
    <w:p w14:paraId="2D643426" w14:textId="532E21A8" w:rsidR="00EC62DC" w:rsidRPr="00E61811" w:rsidRDefault="00A47332" w:rsidP="00EC62DC">
      <w:pPr>
        <w:pStyle w:val="ListParagraph"/>
        <w:numPr>
          <w:ilvl w:val="0"/>
          <w:numId w:val="9"/>
        </w:numPr>
        <w:tabs>
          <w:tab w:val="left" w:pos="567"/>
        </w:tabs>
        <w:spacing w:after="0" w:line="240" w:lineRule="auto"/>
        <w:ind w:right="4"/>
        <w:jc w:val="both"/>
        <w:rPr>
          <w:rFonts w:ascii="Verdana" w:hAnsi="Verdana"/>
          <w:sz w:val="20"/>
          <w:szCs w:val="20"/>
          <w:lang w:val="es-CR"/>
        </w:rPr>
      </w:pPr>
      <w:r>
        <w:rPr>
          <w:rFonts w:ascii="Verdana" w:hAnsi="Verdana"/>
          <w:sz w:val="20"/>
          <w:szCs w:val="20"/>
          <w:lang w:val="es-CR"/>
        </w:rPr>
        <w:t>c</w:t>
      </w:r>
      <w:r w:rsidR="00EC62DC" w:rsidRPr="00E61811">
        <w:rPr>
          <w:rFonts w:ascii="Verdana" w:hAnsi="Verdana"/>
          <w:sz w:val="20"/>
          <w:szCs w:val="20"/>
          <w:lang w:val="es-CR"/>
        </w:rPr>
        <w:t>ontinuar con la plena puesta en funcionamiento del “Registro Único de Víctimas y Familiares de Víctimas de Graves Violaciones a los Derechos Humanos durante la Masacre de El Mozote” y adoptar las medidas necesarias para asegurar su permanencia en el tiempo y la asignación presupuestaria para su efectivo funcionamiento</w:t>
      </w:r>
      <w:r w:rsidR="001C775E" w:rsidRPr="00E61811">
        <w:rPr>
          <w:rFonts w:ascii="Verdana" w:hAnsi="Verdana"/>
          <w:sz w:val="20"/>
          <w:szCs w:val="20"/>
          <w:lang w:val="es-CR"/>
        </w:rPr>
        <w:t xml:space="preserve"> </w:t>
      </w:r>
      <w:r w:rsidR="001C775E" w:rsidRPr="00E61811">
        <w:rPr>
          <w:rFonts w:ascii="Verdana" w:hAnsi="Verdana"/>
          <w:i/>
          <w:sz w:val="20"/>
          <w:szCs w:val="20"/>
          <w:lang w:val="es-CR"/>
        </w:rPr>
        <w:t>(punto resolutivo segundo de la Sentencia);</w:t>
      </w:r>
    </w:p>
    <w:p w14:paraId="7831575D" w14:textId="2BCE0106" w:rsidR="00FD54BD" w:rsidRPr="00E61811" w:rsidRDefault="00A47332" w:rsidP="00EC62DC">
      <w:pPr>
        <w:pStyle w:val="ListParagraph"/>
        <w:numPr>
          <w:ilvl w:val="0"/>
          <w:numId w:val="9"/>
        </w:numPr>
        <w:tabs>
          <w:tab w:val="left" w:pos="567"/>
        </w:tabs>
        <w:spacing w:after="0" w:line="240" w:lineRule="auto"/>
        <w:ind w:right="4"/>
        <w:jc w:val="both"/>
        <w:rPr>
          <w:rFonts w:ascii="Verdana" w:hAnsi="Verdana"/>
          <w:sz w:val="20"/>
          <w:szCs w:val="20"/>
          <w:lang w:val="es-CR"/>
        </w:rPr>
      </w:pPr>
      <w:r>
        <w:rPr>
          <w:rFonts w:ascii="Verdana" w:hAnsi="Verdana"/>
          <w:sz w:val="20"/>
          <w:szCs w:val="20"/>
          <w:lang w:val="es-CR"/>
        </w:rPr>
        <w:t>i</w:t>
      </w:r>
      <w:r w:rsidR="00EC62DC" w:rsidRPr="00E61811">
        <w:rPr>
          <w:rFonts w:ascii="Verdana" w:hAnsi="Verdana"/>
          <w:sz w:val="20"/>
          <w:szCs w:val="20"/>
          <w:lang w:val="es-CR"/>
        </w:rPr>
        <w:t>niciar, impulsar, reabrir, dirigir, continuar y concluir, según corresponda, con la mayor diligencia, las investigaciones de todos los hechos que originaron las violaciones declaradas en la presente Sentencia, con el propósito de identificar, juzgar y, en su caso, sancionar a los responsables</w:t>
      </w:r>
      <w:r w:rsidR="001C775E" w:rsidRPr="00E61811">
        <w:rPr>
          <w:rFonts w:ascii="Verdana" w:hAnsi="Verdana"/>
          <w:sz w:val="20"/>
          <w:szCs w:val="20"/>
          <w:lang w:val="es-CR"/>
        </w:rPr>
        <w:t xml:space="preserve"> </w:t>
      </w:r>
      <w:r w:rsidR="001C775E" w:rsidRPr="00E61811">
        <w:rPr>
          <w:rFonts w:ascii="Verdana" w:hAnsi="Verdana"/>
          <w:i/>
          <w:sz w:val="20"/>
          <w:szCs w:val="20"/>
          <w:lang w:val="es-CR"/>
        </w:rPr>
        <w:t>(punto resolutivo tercero de la Sentencia);</w:t>
      </w:r>
      <w:r w:rsidR="00EC62DC" w:rsidRPr="00E61811">
        <w:rPr>
          <w:rFonts w:ascii="Verdana" w:hAnsi="Verdana"/>
          <w:sz w:val="20"/>
          <w:szCs w:val="20"/>
          <w:lang w:val="es-CR"/>
        </w:rPr>
        <w:t xml:space="preserve"> </w:t>
      </w:r>
    </w:p>
    <w:p w14:paraId="17F18885" w14:textId="190A189A" w:rsidR="00FD54BD" w:rsidRPr="00E61811" w:rsidRDefault="00FD54BD" w:rsidP="00EC62DC">
      <w:pPr>
        <w:pStyle w:val="ListParagraph"/>
        <w:numPr>
          <w:ilvl w:val="0"/>
          <w:numId w:val="9"/>
        </w:numPr>
        <w:tabs>
          <w:tab w:val="left" w:pos="567"/>
        </w:tabs>
        <w:spacing w:after="0" w:line="240" w:lineRule="auto"/>
        <w:ind w:right="4"/>
        <w:jc w:val="both"/>
        <w:rPr>
          <w:rFonts w:ascii="Verdana" w:hAnsi="Verdana"/>
          <w:sz w:val="20"/>
          <w:szCs w:val="20"/>
          <w:lang w:val="es-CR"/>
        </w:rPr>
      </w:pPr>
      <w:r w:rsidRPr="00E61811">
        <w:rPr>
          <w:rFonts w:ascii="Verdana" w:hAnsi="Verdana"/>
          <w:sz w:val="20"/>
          <w:szCs w:val="20"/>
          <w:lang w:val="es-CR"/>
        </w:rPr>
        <w:t xml:space="preserve"> </w:t>
      </w:r>
      <w:r w:rsidRPr="00E61811">
        <w:rPr>
          <w:rFonts w:ascii="Verdana" w:hAnsi="Verdana"/>
          <w:sz w:val="20"/>
          <w:szCs w:val="20"/>
          <w:lang w:val="es-CR"/>
        </w:rPr>
        <w:tab/>
      </w:r>
      <w:r w:rsidR="00A47332">
        <w:rPr>
          <w:rFonts w:ascii="Verdana" w:hAnsi="Verdana"/>
          <w:sz w:val="20"/>
          <w:szCs w:val="20"/>
          <w:lang w:val="es-CR"/>
        </w:rPr>
        <w:t>i</w:t>
      </w:r>
      <w:r w:rsidR="00EC62DC" w:rsidRPr="00E61811">
        <w:rPr>
          <w:rFonts w:ascii="Verdana" w:hAnsi="Verdana"/>
          <w:sz w:val="20"/>
          <w:szCs w:val="20"/>
          <w:lang w:val="es-CR"/>
        </w:rPr>
        <w:t xml:space="preserve">nvestigar, por intermedio de las instituciones públicas competentes, la conducta de los funcionarios que obstaculizaron la investigación y permitieron que permaneciera </w:t>
      </w:r>
      <w:r w:rsidR="00EC62DC" w:rsidRPr="00E61811">
        <w:rPr>
          <w:rFonts w:ascii="Verdana" w:hAnsi="Verdana"/>
          <w:sz w:val="20"/>
          <w:szCs w:val="20"/>
          <w:lang w:val="es-CR"/>
        </w:rPr>
        <w:lastRenderedPageBreak/>
        <w:t>en impunidad y, luego de un debido proceso, aplicar, si es el caso, las sanciones administrativas, disciplinarias o penales correspondientes a quienes f</w:t>
      </w:r>
      <w:r w:rsidR="001C775E" w:rsidRPr="00E61811">
        <w:rPr>
          <w:rFonts w:ascii="Verdana" w:hAnsi="Verdana"/>
          <w:sz w:val="20"/>
          <w:szCs w:val="20"/>
          <w:lang w:val="es-CR"/>
        </w:rPr>
        <w:t xml:space="preserve">ueran encontrados responsables </w:t>
      </w:r>
      <w:r w:rsidR="001C775E" w:rsidRPr="00E61811">
        <w:rPr>
          <w:rFonts w:ascii="Verdana" w:hAnsi="Verdana"/>
          <w:i/>
          <w:sz w:val="20"/>
          <w:szCs w:val="20"/>
          <w:lang w:val="es-CR"/>
        </w:rPr>
        <w:t xml:space="preserve">(punto resolutivo </w:t>
      </w:r>
      <w:r w:rsidR="004B4341" w:rsidRPr="00E61811">
        <w:rPr>
          <w:rFonts w:ascii="Verdana" w:hAnsi="Verdana"/>
          <w:i/>
          <w:sz w:val="20"/>
          <w:szCs w:val="20"/>
          <w:lang w:val="es-CR"/>
        </w:rPr>
        <w:t>quinto de la Sent</w:t>
      </w:r>
      <w:r w:rsidR="001C775E" w:rsidRPr="00E61811">
        <w:rPr>
          <w:rFonts w:ascii="Verdana" w:hAnsi="Verdana"/>
          <w:i/>
          <w:sz w:val="20"/>
          <w:szCs w:val="20"/>
          <w:lang w:val="es-CR"/>
        </w:rPr>
        <w:t>e</w:t>
      </w:r>
      <w:r w:rsidR="004B4341" w:rsidRPr="00E61811">
        <w:rPr>
          <w:rFonts w:ascii="Verdana" w:hAnsi="Verdana"/>
          <w:i/>
          <w:sz w:val="20"/>
          <w:szCs w:val="20"/>
          <w:lang w:val="es-CR"/>
        </w:rPr>
        <w:t>n</w:t>
      </w:r>
      <w:r w:rsidR="001C775E" w:rsidRPr="00E61811">
        <w:rPr>
          <w:rFonts w:ascii="Verdana" w:hAnsi="Verdana"/>
          <w:i/>
          <w:sz w:val="20"/>
          <w:szCs w:val="20"/>
          <w:lang w:val="es-CR"/>
        </w:rPr>
        <w:t>cia)</w:t>
      </w:r>
      <w:r w:rsidR="001C775E" w:rsidRPr="00E61811">
        <w:rPr>
          <w:rFonts w:ascii="Verdana" w:hAnsi="Verdana"/>
          <w:sz w:val="20"/>
          <w:szCs w:val="20"/>
          <w:lang w:val="es-CR"/>
        </w:rPr>
        <w:t>;</w:t>
      </w:r>
    </w:p>
    <w:p w14:paraId="280F0200" w14:textId="335E821F" w:rsidR="00FD54BD" w:rsidRPr="00E61811" w:rsidRDefault="00A47332" w:rsidP="00EC62DC">
      <w:pPr>
        <w:pStyle w:val="ListParagraph"/>
        <w:numPr>
          <w:ilvl w:val="0"/>
          <w:numId w:val="9"/>
        </w:numPr>
        <w:tabs>
          <w:tab w:val="left" w:pos="567"/>
        </w:tabs>
        <w:spacing w:after="0" w:line="240" w:lineRule="auto"/>
        <w:ind w:right="4"/>
        <w:jc w:val="both"/>
        <w:rPr>
          <w:rFonts w:ascii="Verdana" w:hAnsi="Verdana"/>
          <w:sz w:val="20"/>
          <w:szCs w:val="20"/>
          <w:lang w:val="es-CR"/>
        </w:rPr>
      </w:pPr>
      <w:r>
        <w:rPr>
          <w:rFonts w:ascii="Verdana" w:hAnsi="Verdana"/>
          <w:sz w:val="20"/>
          <w:szCs w:val="20"/>
          <w:lang w:val="es-CR"/>
        </w:rPr>
        <w:t>l</w:t>
      </w:r>
      <w:r w:rsidR="00FD54BD" w:rsidRPr="00E61811">
        <w:rPr>
          <w:rFonts w:ascii="Verdana" w:hAnsi="Verdana"/>
          <w:sz w:val="20"/>
          <w:szCs w:val="20"/>
          <w:lang w:val="es-CR"/>
        </w:rPr>
        <w:t>l</w:t>
      </w:r>
      <w:r w:rsidR="00EC62DC" w:rsidRPr="00E61811">
        <w:rPr>
          <w:rFonts w:ascii="Verdana" w:hAnsi="Verdana"/>
          <w:sz w:val="20"/>
          <w:szCs w:val="20"/>
          <w:lang w:val="es-CR"/>
        </w:rPr>
        <w:t>evar a cabo un levantamiento de la información disponible sobre posibles sitios de inhumación o entierro a los cuales se deberá proteger para su preservación, a fin de que se inicien de manera sistemática y rigurosa, con los recursos humanos y económicos adecuados, las exhumaciones, identificación y, en su caso, entrega de los restos de las personas ejecutadas a sus familiares</w:t>
      </w:r>
      <w:r w:rsidR="00F85B84" w:rsidRPr="00E61811">
        <w:rPr>
          <w:rFonts w:ascii="Verdana" w:hAnsi="Verdana"/>
          <w:sz w:val="20"/>
          <w:szCs w:val="20"/>
          <w:lang w:val="es-CR"/>
        </w:rPr>
        <w:t xml:space="preserve"> </w:t>
      </w:r>
      <w:r w:rsidR="00F85B84" w:rsidRPr="00E61811">
        <w:rPr>
          <w:rFonts w:ascii="Verdana" w:hAnsi="Verdana"/>
          <w:i/>
          <w:sz w:val="20"/>
          <w:szCs w:val="20"/>
          <w:lang w:val="es-CR"/>
        </w:rPr>
        <w:t>(punto resolutivo sexto de la Sentencia);</w:t>
      </w:r>
      <w:r w:rsidR="00EC62DC" w:rsidRPr="00E61811">
        <w:rPr>
          <w:rFonts w:ascii="Verdana" w:hAnsi="Verdana"/>
          <w:sz w:val="20"/>
          <w:szCs w:val="20"/>
          <w:lang w:val="es-CR"/>
        </w:rPr>
        <w:t xml:space="preserve"> </w:t>
      </w:r>
    </w:p>
    <w:p w14:paraId="62CC8FDE" w14:textId="4BB29F40" w:rsidR="00FD54BD" w:rsidRPr="00E61811" w:rsidRDefault="00A47332" w:rsidP="00EC62DC">
      <w:pPr>
        <w:pStyle w:val="ListParagraph"/>
        <w:numPr>
          <w:ilvl w:val="0"/>
          <w:numId w:val="9"/>
        </w:numPr>
        <w:tabs>
          <w:tab w:val="left" w:pos="567"/>
        </w:tabs>
        <w:spacing w:after="0" w:line="240" w:lineRule="auto"/>
        <w:ind w:right="4"/>
        <w:jc w:val="both"/>
        <w:rPr>
          <w:rFonts w:ascii="Verdana" w:hAnsi="Verdana"/>
          <w:sz w:val="20"/>
          <w:szCs w:val="20"/>
          <w:lang w:val="es-CR"/>
        </w:rPr>
      </w:pPr>
      <w:r>
        <w:rPr>
          <w:rFonts w:ascii="Verdana" w:hAnsi="Verdana"/>
          <w:sz w:val="20"/>
          <w:szCs w:val="20"/>
          <w:lang w:val="es-CR"/>
        </w:rPr>
        <w:t>i</w:t>
      </w:r>
      <w:r w:rsidR="00EC62DC" w:rsidRPr="00E61811">
        <w:rPr>
          <w:rFonts w:ascii="Verdana" w:hAnsi="Verdana"/>
          <w:sz w:val="20"/>
          <w:szCs w:val="20"/>
          <w:lang w:val="es-CR"/>
        </w:rPr>
        <w:t>mplementar un programa de desarrollo a favor de las comunidades del caserío El Mozote, del cantón La Joya, de los caseríos Ranchería, Los Toriles y Jocote Amarillo, y del cantón Cerro</w:t>
      </w:r>
      <w:r w:rsidR="00F85B84" w:rsidRPr="00E61811">
        <w:rPr>
          <w:rFonts w:ascii="Verdana" w:hAnsi="Verdana"/>
          <w:sz w:val="20"/>
          <w:szCs w:val="20"/>
          <w:lang w:val="es-CR"/>
        </w:rPr>
        <w:t xml:space="preserve"> Pando </w:t>
      </w:r>
      <w:r w:rsidR="00F85B84" w:rsidRPr="00E61811">
        <w:rPr>
          <w:rFonts w:ascii="Verdana" w:hAnsi="Verdana"/>
          <w:i/>
          <w:sz w:val="20"/>
          <w:szCs w:val="20"/>
          <w:lang w:val="es-CR"/>
        </w:rPr>
        <w:t>(punto resolutivo séptimo de la Sentencia);</w:t>
      </w:r>
    </w:p>
    <w:p w14:paraId="5CB817A1" w14:textId="1E9438BD" w:rsidR="00FD54BD" w:rsidRPr="00E61811" w:rsidRDefault="00A47332" w:rsidP="00FD54BD">
      <w:pPr>
        <w:pStyle w:val="ListParagraph"/>
        <w:numPr>
          <w:ilvl w:val="0"/>
          <w:numId w:val="9"/>
        </w:numPr>
        <w:tabs>
          <w:tab w:val="left" w:pos="720"/>
        </w:tabs>
        <w:spacing w:after="0" w:line="240" w:lineRule="auto"/>
        <w:ind w:right="4"/>
        <w:jc w:val="both"/>
        <w:rPr>
          <w:rFonts w:ascii="Verdana" w:hAnsi="Verdana"/>
          <w:sz w:val="20"/>
          <w:szCs w:val="20"/>
          <w:lang w:val="es-CR"/>
        </w:rPr>
      </w:pPr>
      <w:r>
        <w:rPr>
          <w:rFonts w:ascii="Verdana" w:hAnsi="Verdana"/>
          <w:sz w:val="20"/>
          <w:szCs w:val="20"/>
          <w:lang w:val="es-CR"/>
        </w:rPr>
        <w:t>g</w:t>
      </w:r>
      <w:r w:rsidR="00EC62DC" w:rsidRPr="00E61811">
        <w:rPr>
          <w:rFonts w:ascii="Verdana" w:hAnsi="Verdana"/>
          <w:sz w:val="20"/>
          <w:szCs w:val="20"/>
          <w:lang w:val="es-CR"/>
        </w:rPr>
        <w:t>arantizar las condiciones adecuadas a fin de que las víctimas desplazadas puedan retornar a sus comunidades de origen de manera permanente, si así lo desean, así como implementar un programa habitacional en las zonas afectadas por las masacres del presente caso</w:t>
      </w:r>
      <w:r w:rsidR="00F85B84" w:rsidRPr="00E61811">
        <w:rPr>
          <w:rFonts w:ascii="Verdana" w:hAnsi="Verdana"/>
          <w:sz w:val="20"/>
          <w:szCs w:val="20"/>
          <w:lang w:val="es-CR"/>
        </w:rPr>
        <w:t xml:space="preserve"> </w:t>
      </w:r>
      <w:r w:rsidR="00F85B84" w:rsidRPr="00E61811">
        <w:rPr>
          <w:rFonts w:ascii="Verdana" w:hAnsi="Verdana"/>
          <w:i/>
          <w:sz w:val="20"/>
          <w:szCs w:val="20"/>
          <w:lang w:val="es-CR"/>
        </w:rPr>
        <w:t>(punto resolutivo octavo de la Sentencia);</w:t>
      </w:r>
      <w:r w:rsidR="00EC62DC" w:rsidRPr="00E61811">
        <w:rPr>
          <w:rFonts w:ascii="Verdana" w:hAnsi="Verdana"/>
          <w:sz w:val="20"/>
          <w:szCs w:val="20"/>
          <w:lang w:val="es-CR"/>
        </w:rPr>
        <w:t xml:space="preserve"> </w:t>
      </w:r>
    </w:p>
    <w:p w14:paraId="1D6F6F7B" w14:textId="37516003" w:rsidR="00FD54BD" w:rsidRPr="00E61811" w:rsidRDefault="00A47332" w:rsidP="00FD54BD">
      <w:pPr>
        <w:pStyle w:val="ListParagraph"/>
        <w:numPr>
          <w:ilvl w:val="0"/>
          <w:numId w:val="9"/>
        </w:numPr>
        <w:tabs>
          <w:tab w:val="left" w:pos="720"/>
        </w:tabs>
        <w:spacing w:after="0" w:line="240" w:lineRule="auto"/>
        <w:ind w:right="4"/>
        <w:jc w:val="both"/>
        <w:rPr>
          <w:rFonts w:ascii="Verdana" w:hAnsi="Verdana"/>
          <w:sz w:val="20"/>
          <w:szCs w:val="20"/>
          <w:lang w:val="es-CR"/>
        </w:rPr>
      </w:pPr>
      <w:r>
        <w:rPr>
          <w:rFonts w:ascii="Verdana" w:hAnsi="Verdana"/>
          <w:sz w:val="20"/>
          <w:szCs w:val="20"/>
          <w:lang w:val="es-CR"/>
        </w:rPr>
        <w:t>i</w:t>
      </w:r>
      <w:r w:rsidR="00EC62DC" w:rsidRPr="00E61811">
        <w:rPr>
          <w:rFonts w:ascii="Verdana" w:hAnsi="Verdana"/>
          <w:sz w:val="20"/>
          <w:szCs w:val="20"/>
          <w:lang w:val="es-CR"/>
        </w:rPr>
        <w:t>mplementar un programa de atención y tratamiento integral de la salud física, psíquica y psicosocial con carácter permanente</w:t>
      </w:r>
      <w:r w:rsidR="00F85B84" w:rsidRPr="00E61811">
        <w:rPr>
          <w:rFonts w:ascii="Verdana" w:hAnsi="Verdana"/>
          <w:sz w:val="20"/>
          <w:szCs w:val="20"/>
          <w:lang w:val="es-CR"/>
        </w:rPr>
        <w:t xml:space="preserve"> </w:t>
      </w:r>
      <w:r w:rsidR="00F85B84" w:rsidRPr="00E61811">
        <w:rPr>
          <w:rFonts w:ascii="Verdana" w:hAnsi="Verdana"/>
          <w:i/>
          <w:sz w:val="20"/>
          <w:szCs w:val="20"/>
          <w:lang w:val="es-CR"/>
        </w:rPr>
        <w:t>(punto resolutivo noveno de la Sentencia)</w:t>
      </w:r>
      <w:r w:rsidR="00FD54BD" w:rsidRPr="00E61811">
        <w:rPr>
          <w:rFonts w:ascii="Verdana" w:hAnsi="Verdana"/>
          <w:sz w:val="20"/>
          <w:szCs w:val="20"/>
          <w:lang w:val="es-CR"/>
        </w:rPr>
        <w:t xml:space="preserve">; </w:t>
      </w:r>
    </w:p>
    <w:p w14:paraId="57147C0D" w14:textId="47DD1327" w:rsidR="00FD54BD" w:rsidRPr="00E61811" w:rsidRDefault="00A47332" w:rsidP="00FD54BD">
      <w:pPr>
        <w:pStyle w:val="ListParagraph"/>
        <w:numPr>
          <w:ilvl w:val="0"/>
          <w:numId w:val="9"/>
        </w:numPr>
        <w:tabs>
          <w:tab w:val="left" w:pos="720"/>
        </w:tabs>
        <w:spacing w:after="0" w:line="240" w:lineRule="auto"/>
        <w:ind w:right="4"/>
        <w:jc w:val="both"/>
        <w:rPr>
          <w:rFonts w:ascii="Verdana" w:hAnsi="Verdana"/>
          <w:sz w:val="20"/>
          <w:szCs w:val="20"/>
          <w:lang w:val="es-CR"/>
        </w:rPr>
      </w:pPr>
      <w:r>
        <w:rPr>
          <w:rFonts w:ascii="Verdana" w:hAnsi="Verdana"/>
          <w:sz w:val="20"/>
          <w:szCs w:val="20"/>
          <w:lang w:val="es-CR"/>
        </w:rPr>
        <w:t>r</w:t>
      </w:r>
      <w:r w:rsidR="00EC62DC" w:rsidRPr="00E61811">
        <w:rPr>
          <w:rFonts w:ascii="Verdana" w:hAnsi="Verdana"/>
          <w:sz w:val="20"/>
          <w:szCs w:val="20"/>
          <w:lang w:val="es-CR"/>
        </w:rPr>
        <w:t>ealizar un audiovisual documental sobre los graves hechos cometidos en las masacres d</w:t>
      </w:r>
      <w:r w:rsidR="00F85B84" w:rsidRPr="00E61811">
        <w:rPr>
          <w:rFonts w:ascii="Verdana" w:hAnsi="Verdana"/>
          <w:sz w:val="20"/>
          <w:szCs w:val="20"/>
          <w:lang w:val="es-CR"/>
        </w:rPr>
        <w:t xml:space="preserve">e El Mozote y lugares aledaños </w:t>
      </w:r>
      <w:r w:rsidR="00F85B84" w:rsidRPr="00E61811">
        <w:rPr>
          <w:rFonts w:ascii="Verdana" w:hAnsi="Verdana"/>
          <w:i/>
          <w:sz w:val="20"/>
          <w:szCs w:val="20"/>
          <w:lang w:val="es-CR"/>
        </w:rPr>
        <w:t>(punto resolutivo decimoprimero de la Sentencia);</w:t>
      </w:r>
    </w:p>
    <w:p w14:paraId="47E7EBAB" w14:textId="0FF27FDE" w:rsidR="00FD54BD" w:rsidRPr="00E61811" w:rsidRDefault="00A47332" w:rsidP="00F85B84">
      <w:pPr>
        <w:pStyle w:val="ListParagraph"/>
        <w:numPr>
          <w:ilvl w:val="0"/>
          <w:numId w:val="9"/>
        </w:numPr>
        <w:tabs>
          <w:tab w:val="left" w:pos="720"/>
        </w:tabs>
        <w:spacing w:after="0" w:line="240" w:lineRule="auto"/>
        <w:ind w:right="4"/>
        <w:jc w:val="both"/>
        <w:rPr>
          <w:rFonts w:ascii="Verdana" w:hAnsi="Verdana"/>
          <w:sz w:val="20"/>
          <w:szCs w:val="20"/>
          <w:lang w:val="es-CR"/>
        </w:rPr>
      </w:pPr>
      <w:r>
        <w:rPr>
          <w:rFonts w:ascii="Verdana" w:hAnsi="Verdana"/>
          <w:sz w:val="20"/>
          <w:szCs w:val="20"/>
          <w:lang w:val="es-CR"/>
        </w:rPr>
        <w:t>i</w:t>
      </w:r>
      <w:r w:rsidR="00EC62DC" w:rsidRPr="00E61811">
        <w:rPr>
          <w:rFonts w:ascii="Verdana" w:hAnsi="Verdana"/>
          <w:sz w:val="20"/>
          <w:szCs w:val="20"/>
          <w:lang w:val="es-CR"/>
        </w:rPr>
        <w:t>mplementar un programa o curso permanente y obligatorio sobre derechos humanos, incluyendo la perspectiva de género y niñez, dirigido a todos los niveles jerárquicos de la Fuerza Armada de la República de El Salvador</w:t>
      </w:r>
      <w:r w:rsidR="00F85B84" w:rsidRPr="00E61811">
        <w:rPr>
          <w:rFonts w:ascii="Verdana" w:hAnsi="Verdana"/>
          <w:sz w:val="20"/>
          <w:szCs w:val="20"/>
          <w:lang w:val="es-CR"/>
        </w:rPr>
        <w:t xml:space="preserve"> </w:t>
      </w:r>
      <w:r w:rsidR="00F85B84" w:rsidRPr="00E61811">
        <w:rPr>
          <w:rFonts w:ascii="Verdana" w:hAnsi="Verdana"/>
          <w:i/>
          <w:sz w:val="20"/>
          <w:szCs w:val="20"/>
          <w:lang w:val="es-CR"/>
        </w:rPr>
        <w:t>(punto resolutivo decimosegundo de la Sentencia)</w:t>
      </w:r>
      <w:r w:rsidR="007D6813">
        <w:rPr>
          <w:rFonts w:ascii="Verdana" w:hAnsi="Verdana"/>
          <w:i/>
          <w:sz w:val="20"/>
          <w:szCs w:val="20"/>
          <w:lang w:val="es-CR"/>
        </w:rPr>
        <w:t>,</w:t>
      </w:r>
      <w:r w:rsidR="00F85B84" w:rsidRPr="00E61811">
        <w:rPr>
          <w:rFonts w:ascii="Verdana" w:hAnsi="Verdana"/>
          <w:i/>
          <w:sz w:val="20"/>
          <w:szCs w:val="20"/>
          <w:lang w:val="es-CR"/>
        </w:rPr>
        <w:t xml:space="preserve"> </w:t>
      </w:r>
      <w:r w:rsidR="00F85B84" w:rsidRPr="00E61811">
        <w:rPr>
          <w:rFonts w:ascii="Verdana" w:hAnsi="Verdana"/>
          <w:sz w:val="20"/>
          <w:szCs w:val="20"/>
          <w:lang w:val="es-CR"/>
        </w:rPr>
        <w:t>y</w:t>
      </w:r>
    </w:p>
    <w:p w14:paraId="2748DD02" w14:textId="1AC077AE" w:rsidR="00EC62DC" w:rsidRPr="00E61811" w:rsidRDefault="00A47332" w:rsidP="00FD54BD">
      <w:pPr>
        <w:pStyle w:val="ListParagraph"/>
        <w:numPr>
          <w:ilvl w:val="0"/>
          <w:numId w:val="9"/>
        </w:numPr>
        <w:tabs>
          <w:tab w:val="left" w:pos="720"/>
        </w:tabs>
        <w:spacing w:after="0" w:line="240" w:lineRule="auto"/>
        <w:ind w:right="4"/>
        <w:jc w:val="both"/>
        <w:rPr>
          <w:rFonts w:ascii="Verdana" w:hAnsi="Verdana"/>
          <w:sz w:val="20"/>
          <w:szCs w:val="20"/>
          <w:lang w:val="es-CR"/>
        </w:rPr>
      </w:pPr>
      <w:r>
        <w:rPr>
          <w:rFonts w:ascii="Verdana" w:hAnsi="Verdana"/>
          <w:sz w:val="20"/>
          <w:szCs w:val="20"/>
          <w:lang w:val="es-CR"/>
        </w:rPr>
        <w:t>p</w:t>
      </w:r>
      <w:r w:rsidR="00EC62DC" w:rsidRPr="00E61811">
        <w:rPr>
          <w:rFonts w:ascii="Verdana" w:hAnsi="Verdana"/>
          <w:sz w:val="20"/>
          <w:szCs w:val="20"/>
          <w:lang w:val="es-CR"/>
        </w:rPr>
        <w:t>agar las cantidades fijadas en los párrafos 384 y 393 de la  Sentencia por concepto de indemnizaciones por daños materiales e inmateriales, y por el reintegro de costas y gastos</w:t>
      </w:r>
      <w:r w:rsidR="00F85B84" w:rsidRPr="00E61811">
        <w:rPr>
          <w:rFonts w:ascii="Verdana" w:hAnsi="Verdana"/>
          <w:sz w:val="20"/>
          <w:szCs w:val="20"/>
          <w:lang w:val="es-CR"/>
        </w:rPr>
        <w:t xml:space="preserve"> </w:t>
      </w:r>
      <w:r w:rsidR="00F85B84" w:rsidRPr="00E61811">
        <w:rPr>
          <w:rFonts w:ascii="Verdana" w:hAnsi="Verdana"/>
          <w:i/>
          <w:sz w:val="20"/>
          <w:szCs w:val="20"/>
          <w:lang w:val="es-CR"/>
        </w:rPr>
        <w:t xml:space="preserve">(punto resolutivo decimotercero de la Sentencia). </w:t>
      </w:r>
    </w:p>
    <w:p w14:paraId="3153600F" w14:textId="77777777" w:rsidR="006A37B5" w:rsidRPr="00E61811" w:rsidRDefault="006A37B5" w:rsidP="006A37B5">
      <w:pPr>
        <w:pStyle w:val="ListParagraph"/>
        <w:rPr>
          <w:rFonts w:ascii="Verdana" w:hAnsi="Verdana"/>
          <w:sz w:val="20"/>
          <w:szCs w:val="20"/>
          <w:lang w:val="es-CR"/>
        </w:rPr>
      </w:pPr>
    </w:p>
    <w:p w14:paraId="6698DA1E" w14:textId="614C2C8E" w:rsidR="005D6102" w:rsidRPr="00E61811" w:rsidRDefault="005D6102"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 xml:space="preserve">Disponer que el Estado de El Salvador presente a la Corte Interamericana de Derechos Humanos, a más tardar el </w:t>
      </w:r>
      <w:r w:rsidR="00AF2A84">
        <w:rPr>
          <w:rFonts w:ascii="Verdana" w:hAnsi="Verdana"/>
          <w:sz w:val="20"/>
          <w:szCs w:val="20"/>
          <w:lang w:val="es-CR"/>
        </w:rPr>
        <w:t>12</w:t>
      </w:r>
      <w:r w:rsidRPr="00E61811">
        <w:rPr>
          <w:rFonts w:ascii="Verdana" w:hAnsi="Verdana"/>
          <w:sz w:val="20"/>
          <w:szCs w:val="20"/>
          <w:lang w:val="es-CR"/>
        </w:rPr>
        <w:t xml:space="preserve"> de </w:t>
      </w:r>
      <w:r w:rsidR="00AF2A84">
        <w:rPr>
          <w:rFonts w:ascii="Verdana" w:hAnsi="Verdana"/>
          <w:sz w:val="20"/>
          <w:szCs w:val="20"/>
          <w:lang w:val="es-CR"/>
        </w:rPr>
        <w:t>enero</w:t>
      </w:r>
      <w:r w:rsidRPr="00E61811">
        <w:rPr>
          <w:rFonts w:ascii="Verdana" w:hAnsi="Verdana"/>
          <w:sz w:val="20"/>
          <w:szCs w:val="20"/>
          <w:lang w:val="es-CR"/>
        </w:rPr>
        <w:t xml:space="preserve"> de 201</w:t>
      </w:r>
      <w:r w:rsidR="00AF2A84">
        <w:rPr>
          <w:rFonts w:ascii="Verdana" w:hAnsi="Verdana"/>
          <w:sz w:val="20"/>
          <w:szCs w:val="20"/>
          <w:lang w:val="es-CR"/>
        </w:rPr>
        <w:t>8</w:t>
      </w:r>
      <w:r w:rsidRPr="00E61811">
        <w:rPr>
          <w:rFonts w:ascii="Verdana" w:hAnsi="Verdana"/>
          <w:sz w:val="20"/>
          <w:szCs w:val="20"/>
          <w:lang w:val="es-CR"/>
        </w:rPr>
        <w:t xml:space="preserve">, un informe en el cual haga referencia </w:t>
      </w:r>
      <w:r w:rsidR="006A37B5" w:rsidRPr="00E61811">
        <w:rPr>
          <w:rFonts w:ascii="Verdana" w:hAnsi="Verdana"/>
          <w:sz w:val="20"/>
          <w:szCs w:val="20"/>
          <w:lang w:val="es-CR"/>
        </w:rPr>
        <w:t xml:space="preserve">a todas las medidas de reparación pendientes de cumplimiento. </w:t>
      </w:r>
    </w:p>
    <w:p w14:paraId="10F4935B" w14:textId="77777777" w:rsidR="005D6102" w:rsidRPr="00E61811" w:rsidRDefault="005D6102" w:rsidP="005D6102">
      <w:pPr>
        <w:tabs>
          <w:tab w:val="left" w:pos="567"/>
        </w:tabs>
        <w:spacing w:after="0" w:line="240" w:lineRule="auto"/>
        <w:ind w:right="4"/>
        <w:jc w:val="both"/>
        <w:rPr>
          <w:rFonts w:ascii="Verdana" w:hAnsi="Verdana"/>
          <w:sz w:val="20"/>
          <w:szCs w:val="20"/>
          <w:lang w:val="es-CR"/>
        </w:rPr>
      </w:pPr>
    </w:p>
    <w:p w14:paraId="11C5D776" w14:textId="77777777" w:rsidR="005D6102" w:rsidRPr="00E61811" w:rsidRDefault="005D6102"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Solicitar a los representantes de las víctimas y a la Comisión Interamericana de Derechos Humanos que presenten observaciones al informe del Estado mencionado en el punto resolutivo anterior, en los plazos de cuatro y seis semanas, respectivamente, contados a partir de la recepción del informe.</w:t>
      </w:r>
    </w:p>
    <w:p w14:paraId="6DE795B1" w14:textId="77777777" w:rsidR="005D6102" w:rsidRPr="00E61811" w:rsidRDefault="005D6102" w:rsidP="005D6102">
      <w:pPr>
        <w:tabs>
          <w:tab w:val="left" w:pos="567"/>
        </w:tabs>
        <w:spacing w:after="0" w:line="240" w:lineRule="auto"/>
        <w:ind w:right="4"/>
        <w:jc w:val="both"/>
        <w:rPr>
          <w:rFonts w:ascii="Verdana" w:hAnsi="Verdana"/>
          <w:sz w:val="20"/>
          <w:szCs w:val="20"/>
          <w:lang w:val="es-CR"/>
        </w:rPr>
      </w:pPr>
    </w:p>
    <w:p w14:paraId="6866A09C" w14:textId="77777777" w:rsidR="005D6102" w:rsidRDefault="005D6102"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CR"/>
        </w:rPr>
      </w:pPr>
      <w:r w:rsidRPr="00E61811">
        <w:rPr>
          <w:rFonts w:ascii="Verdana" w:hAnsi="Verdana"/>
          <w:sz w:val="20"/>
          <w:szCs w:val="20"/>
          <w:lang w:val="es-CR"/>
        </w:rPr>
        <w:t xml:space="preserve">Requerir a la Secretaría de la Corte que notifique la presente Resolución al Estado, a los representantes de las víctimas y a la Comisión Interamericana de Derechos Humanos. </w:t>
      </w:r>
    </w:p>
    <w:p w14:paraId="62055C50" w14:textId="77777777" w:rsidR="00B30F63" w:rsidRPr="00B30F63" w:rsidRDefault="00B30F63" w:rsidP="00B30F63">
      <w:pPr>
        <w:pStyle w:val="ListParagraph"/>
        <w:rPr>
          <w:rFonts w:ascii="Verdana" w:hAnsi="Verdana"/>
          <w:sz w:val="20"/>
          <w:szCs w:val="20"/>
          <w:lang w:val="es-CR"/>
        </w:rPr>
      </w:pPr>
    </w:p>
    <w:p w14:paraId="778FC855"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239E590F"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0CCB4FDF"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6EC3D30F"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6984D75D"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284700CD"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46F66F2C"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7713B563"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4A227EF7"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286DA811"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11D561F4"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3097D417" w14:textId="77777777" w:rsidR="00B30F63" w:rsidRDefault="00B30F63" w:rsidP="00B30F63">
      <w:pPr>
        <w:tabs>
          <w:tab w:val="left" w:pos="567"/>
        </w:tabs>
        <w:spacing w:after="0" w:line="240" w:lineRule="auto"/>
        <w:ind w:right="4"/>
        <w:jc w:val="both"/>
        <w:rPr>
          <w:rFonts w:ascii="Verdana" w:hAnsi="Verdana"/>
          <w:sz w:val="20"/>
          <w:szCs w:val="20"/>
          <w:lang w:val="es-CR"/>
        </w:rPr>
      </w:pPr>
    </w:p>
    <w:p w14:paraId="6871A31A" w14:textId="77777777" w:rsidR="00D97810" w:rsidRPr="00D97810" w:rsidRDefault="00D97810" w:rsidP="00D97810">
      <w:pPr>
        <w:keepNext/>
        <w:spacing w:after="0" w:line="240" w:lineRule="auto"/>
        <w:jc w:val="both"/>
        <w:outlineLvl w:val="0"/>
        <w:rPr>
          <w:rFonts w:ascii="Verdana" w:eastAsia="Times" w:hAnsi="Verdana" w:cs="Verdana"/>
          <w:b/>
          <w:bCs/>
          <w:sz w:val="20"/>
          <w:szCs w:val="20"/>
          <w:lang w:val="es-ES"/>
        </w:rPr>
      </w:pPr>
      <w:r w:rsidRPr="00D97810">
        <w:rPr>
          <w:rFonts w:ascii="Verdana" w:eastAsia="Times" w:hAnsi="Verdana" w:cs="Courier New"/>
          <w:noProof/>
          <w:sz w:val="20"/>
          <w:szCs w:val="20"/>
          <w:lang w:val="es-AR"/>
        </w:rPr>
        <w:t xml:space="preserve">Corte IDH. </w:t>
      </w:r>
      <w:r w:rsidRPr="00D97810">
        <w:rPr>
          <w:rFonts w:ascii="Verdana" w:eastAsia="Times" w:hAnsi="Verdana" w:cs="Times New Roman"/>
          <w:bCs/>
          <w:i/>
          <w:sz w:val="20"/>
          <w:szCs w:val="20"/>
          <w:lang w:val="es-CR"/>
        </w:rPr>
        <w:t>Caso Masacres de El Mozote y lugares aledaños Vs. El Salvador</w:t>
      </w:r>
      <w:r w:rsidRPr="00D97810">
        <w:rPr>
          <w:rFonts w:ascii="Verdana" w:eastAsia="Times" w:hAnsi="Verdana" w:cs="Times New Roman"/>
          <w:i/>
          <w:sz w:val="20"/>
          <w:szCs w:val="20"/>
          <w:lang w:val="es-ES"/>
        </w:rPr>
        <w:t>.</w:t>
      </w:r>
      <w:r w:rsidRPr="00D97810">
        <w:rPr>
          <w:rFonts w:ascii="Verdana" w:eastAsia="Times" w:hAnsi="Verdana" w:cs="Arial"/>
          <w:i/>
          <w:sz w:val="20"/>
          <w:szCs w:val="20"/>
          <w:lang w:val="es-CR"/>
        </w:rPr>
        <w:t xml:space="preserve"> </w:t>
      </w:r>
      <w:r w:rsidRPr="00D97810">
        <w:rPr>
          <w:rFonts w:ascii="Verdana" w:eastAsia="Times" w:hAnsi="Verdana" w:cs="Times New Roman"/>
          <w:sz w:val="20"/>
          <w:szCs w:val="20"/>
          <w:lang w:val="es-CR"/>
        </w:rPr>
        <w:t xml:space="preserve">Supervisión de cumplimiento de sentencia. </w:t>
      </w:r>
      <w:r w:rsidRPr="00D97810">
        <w:rPr>
          <w:rFonts w:ascii="Verdana" w:eastAsia="Times" w:hAnsi="Verdana" w:cs="Times New Roman"/>
          <w:sz w:val="20"/>
          <w:szCs w:val="20"/>
          <w:lang w:val="es-ES"/>
        </w:rPr>
        <w:t xml:space="preserve">Resolución de la Corte Interamericana de Derechos Humanos de </w:t>
      </w:r>
      <w:r w:rsidRPr="00D97810">
        <w:rPr>
          <w:rFonts w:ascii="Verdana" w:eastAsia="Times" w:hAnsi="Verdana" w:cs="Times New Roman"/>
          <w:sz w:val="20"/>
          <w:szCs w:val="20"/>
          <w:lang w:val="es-CR"/>
        </w:rPr>
        <w:t>31 de agosto de 2017</w:t>
      </w:r>
      <w:r w:rsidRPr="00D97810">
        <w:rPr>
          <w:rFonts w:ascii="Verdana" w:eastAsia="Times" w:hAnsi="Verdana" w:cs="Times New Roman"/>
          <w:sz w:val="20"/>
          <w:szCs w:val="20"/>
          <w:lang w:val="es-ES"/>
        </w:rPr>
        <w:t>.</w:t>
      </w:r>
    </w:p>
    <w:p w14:paraId="6A8AFB01" w14:textId="77777777" w:rsidR="00D97810" w:rsidRPr="00D97810" w:rsidRDefault="00D97810" w:rsidP="00D97810">
      <w:pPr>
        <w:spacing w:after="0" w:line="240" w:lineRule="auto"/>
        <w:jc w:val="center"/>
        <w:rPr>
          <w:rFonts w:ascii="Verdana" w:eastAsia="Times" w:hAnsi="Verdana" w:cs="Times New Roman"/>
          <w:sz w:val="20"/>
          <w:szCs w:val="20"/>
          <w:lang w:val="es-ES"/>
        </w:rPr>
      </w:pPr>
    </w:p>
    <w:p w14:paraId="658EE04D" w14:textId="77777777" w:rsidR="00D97810" w:rsidRPr="00D97810" w:rsidRDefault="00D97810" w:rsidP="00D97810">
      <w:pPr>
        <w:spacing w:after="0" w:line="240" w:lineRule="auto"/>
        <w:rPr>
          <w:rFonts w:ascii="Verdana" w:eastAsia="Calibri" w:hAnsi="Verdana" w:cs="Times New Roman"/>
          <w:b/>
          <w:i/>
          <w:sz w:val="20"/>
          <w:szCs w:val="20"/>
          <w:lang w:val="es-CR"/>
        </w:rPr>
      </w:pPr>
    </w:p>
    <w:p w14:paraId="353FCFCD" w14:textId="77777777" w:rsidR="00D97810" w:rsidRPr="00D97810" w:rsidRDefault="00D97810" w:rsidP="00D97810">
      <w:pPr>
        <w:spacing w:after="0" w:line="240" w:lineRule="auto"/>
        <w:rPr>
          <w:rFonts w:ascii="Verdana" w:eastAsia="Times" w:hAnsi="Verdana" w:cs="Times New Roman"/>
          <w:sz w:val="20"/>
          <w:szCs w:val="20"/>
          <w:lang w:val="es-MX"/>
        </w:rPr>
      </w:pPr>
    </w:p>
    <w:p w14:paraId="6C13BF8A" w14:textId="77777777" w:rsidR="00D97810" w:rsidRPr="00D97810" w:rsidRDefault="00D97810" w:rsidP="00D97810">
      <w:pPr>
        <w:spacing w:after="0" w:line="240" w:lineRule="auto"/>
        <w:jc w:val="center"/>
        <w:rPr>
          <w:rFonts w:ascii="Verdana" w:eastAsia="Times" w:hAnsi="Verdana" w:cs="Times New Roman"/>
          <w:sz w:val="20"/>
          <w:szCs w:val="20"/>
          <w:lang w:val="es-ES"/>
        </w:rPr>
      </w:pPr>
    </w:p>
    <w:p w14:paraId="4CA809B1" w14:textId="77777777" w:rsidR="00D97810" w:rsidRPr="00D97810" w:rsidRDefault="00D97810" w:rsidP="00D97810">
      <w:pPr>
        <w:spacing w:after="0" w:line="240" w:lineRule="auto"/>
        <w:jc w:val="center"/>
        <w:rPr>
          <w:rFonts w:ascii="Verdana" w:eastAsia="Times" w:hAnsi="Verdana" w:cs="Times New Roman"/>
          <w:sz w:val="20"/>
          <w:szCs w:val="20"/>
          <w:lang w:val="es-ES"/>
        </w:rPr>
      </w:pPr>
      <w:r w:rsidRPr="00D97810">
        <w:rPr>
          <w:rFonts w:ascii="Verdana" w:eastAsia="Times" w:hAnsi="Verdana" w:cs="Times New Roman"/>
          <w:sz w:val="20"/>
          <w:szCs w:val="20"/>
          <w:lang w:val="es-ES"/>
        </w:rPr>
        <w:t>Roberto F. Caldas</w:t>
      </w:r>
    </w:p>
    <w:p w14:paraId="6588AF2E" w14:textId="77777777" w:rsidR="00D97810" w:rsidRPr="00D97810" w:rsidRDefault="00D97810" w:rsidP="00D97810">
      <w:pPr>
        <w:spacing w:after="0" w:line="240" w:lineRule="auto"/>
        <w:jc w:val="center"/>
        <w:rPr>
          <w:rFonts w:ascii="Verdana" w:eastAsia="Times" w:hAnsi="Verdana" w:cs="Times New Roman"/>
          <w:sz w:val="20"/>
          <w:szCs w:val="20"/>
          <w:lang w:val="es-ES"/>
        </w:rPr>
      </w:pPr>
      <w:r w:rsidRPr="00D97810">
        <w:rPr>
          <w:rFonts w:ascii="Verdana" w:eastAsia="Times" w:hAnsi="Verdana" w:cs="Times New Roman"/>
          <w:sz w:val="20"/>
          <w:szCs w:val="20"/>
          <w:lang w:val="es-ES"/>
        </w:rPr>
        <w:t xml:space="preserve">Presidente </w:t>
      </w:r>
    </w:p>
    <w:p w14:paraId="47B5566C"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12C1377E" w14:textId="77777777" w:rsidR="00D97810" w:rsidRPr="00D97810" w:rsidRDefault="00D97810" w:rsidP="00D97810">
      <w:pPr>
        <w:tabs>
          <w:tab w:val="left" w:pos="1485"/>
        </w:tabs>
        <w:spacing w:after="0" w:line="240" w:lineRule="auto"/>
        <w:jc w:val="both"/>
        <w:rPr>
          <w:rFonts w:ascii="Verdana" w:eastAsia="Times" w:hAnsi="Verdana" w:cs="Times New Roman"/>
          <w:sz w:val="20"/>
          <w:szCs w:val="20"/>
          <w:lang w:val="es-ES"/>
        </w:rPr>
      </w:pPr>
      <w:r w:rsidRPr="00D97810">
        <w:rPr>
          <w:rFonts w:ascii="Verdana" w:eastAsia="Times" w:hAnsi="Verdana" w:cs="Times New Roman"/>
          <w:sz w:val="20"/>
          <w:szCs w:val="20"/>
          <w:lang w:val="es-ES"/>
        </w:rPr>
        <w:tab/>
      </w:r>
    </w:p>
    <w:p w14:paraId="0E05588A"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7E224CCB"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4E8FD76" w14:textId="77777777" w:rsidR="00D97810" w:rsidRPr="00D97810" w:rsidRDefault="00D97810" w:rsidP="00D97810">
      <w:pPr>
        <w:spacing w:after="0" w:line="240" w:lineRule="auto"/>
        <w:jc w:val="both"/>
        <w:rPr>
          <w:rFonts w:ascii="Verdana" w:eastAsia="Times" w:hAnsi="Verdana" w:cs="Times New Roman"/>
          <w:sz w:val="20"/>
          <w:szCs w:val="20"/>
          <w:lang w:val="es-ES"/>
        </w:rPr>
      </w:pPr>
      <w:r w:rsidRPr="00D97810">
        <w:rPr>
          <w:rFonts w:ascii="Verdana" w:eastAsia="Times" w:hAnsi="Verdana" w:cs="Times New Roman"/>
          <w:sz w:val="20"/>
          <w:szCs w:val="20"/>
          <w:lang w:val="es-ES"/>
        </w:rPr>
        <w:t>Eduardo Ferrer Mac-Gregor Poisot</w:t>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t xml:space="preserve">       Eduardo Vio Grossi</w:t>
      </w:r>
    </w:p>
    <w:p w14:paraId="79505920"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1A7828D9"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EC3C8DA"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7FD19A2"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13CD0571"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3B566C42" w14:textId="77777777" w:rsidR="00D97810" w:rsidRPr="00D97810" w:rsidRDefault="00D97810" w:rsidP="00D97810">
      <w:pPr>
        <w:spacing w:after="0" w:line="240" w:lineRule="auto"/>
        <w:jc w:val="both"/>
        <w:rPr>
          <w:rFonts w:ascii="Verdana" w:eastAsia="Times" w:hAnsi="Verdana" w:cs="Times New Roman"/>
          <w:sz w:val="20"/>
          <w:szCs w:val="20"/>
          <w:lang w:val="es-ES"/>
        </w:rPr>
      </w:pPr>
      <w:r w:rsidRPr="00D97810">
        <w:rPr>
          <w:rFonts w:ascii="Verdana" w:eastAsia="Times" w:hAnsi="Verdana" w:cs="Times New Roman"/>
          <w:sz w:val="20"/>
          <w:szCs w:val="20"/>
          <w:lang w:val="es-ES"/>
        </w:rPr>
        <w:t>Humberto Antonio Sierra Porto</w:t>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t xml:space="preserve">    Elizabeth Odio Benito </w:t>
      </w:r>
    </w:p>
    <w:p w14:paraId="7D840042"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4C0ACD7A"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55799191"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33D2561F"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273EB310"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2B683173" w14:textId="77777777" w:rsidR="00D97810" w:rsidRPr="00D97810" w:rsidRDefault="00D97810" w:rsidP="00D97810">
      <w:pPr>
        <w:spacing w:after="0" w:line="240" w:lineRule="auto"/>
        <w:rPr>
          <w:rFonts w:ascii="Verdana" w:eastAsia="Times" w:hAnsi="Verdana" w:cs="Times New Roman"/>
          <w:sz w:val="20"/>
          <w:szCs w:val="20"/>
          <w:lang w:val="es-ES"/>
        </w:rPr>
      </w:pPr>
      <w:r w:rsidRPr="00D97810">
        <w:rPr>
          <w:rFonts w:ascii="Verdana" w:eastAsia="Times" w:hAnsi="Verdana" w:cs="Times New Roman"/>
          <w:sz w:val="20"/>
          <w:szCs w:val="20"/>
          <w:lang w:val="es-ES"/>
        </w:rPr>
        <w:t xml:space="preserve">Eugenio Raúl Zaffaroni </w:t>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ES"/>
        </w:rPr>
        <w:tab/>
        <w:t xml:space="preserve">        L. Patricio Pazmiño Freire</w:t>
      </w:r>
    </w:p>
    <w:p w14:paraId="573DCAF0"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789F41EF"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10B16B7B"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17518B1" w14:textId="77777777" w:rsidR="00D97810" w:rsidRPr="00D97810" w:rsidRDefault="00D97810" w:rsidP="00D97810">
      <w:pPr>
        <w:spacing w:after="0" w:line="240" w:lineRule="auto"/>
        <w:jc w:val="both"/>
        <w:rPr>
          <w:rFonts w:ascii="Verdana" w:eastAsia="Times" w:hAnsi="Verdana" w:cs="Times New Roman"/>
          <w:sz w:val="20"/>
          <w:szCs w:val="20"/>
          <w:lang w:val="es-CR"/>
        </w:rPr>
      </w:pPr>
    </w:p>
    <w:p w14:paraId="0440EAF6"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49829CBC" w14:textId="77777777" w:rsidR="00D97810" w:rsidRPr="00D97810" w:rsidRDefault="00D97810" w:rsidP="00D97810">
      <w:pPr>
        <w:spacing w:after="0" w:line="240" w:lineRule="auto"/>
        <w:jc w:val="center"/>
        <w:rPr>
          <w:rFonts w:ascii="Verdana" w:eastAsia="Times" w:hAnsi="Verdana" w:cs="Times New Roman"/>
          <w:sz w:val="20"/>
          <w:szCs w:val="20"/>
          <w:lang w:val="es-ES"/>
        </w:rPr>
      </w:pPr>
      <w:r w:rsidRPr="00D97810">
        <w:rPr>
          <w:rFonts w:ascii="Verdana" w:eastAsia="Times" w:hAnsi="Verdana" w:cs="Times New Roman"/>
          <w:sz w:val="20"/>
          <w:szCs w:val="20"/>
          <w:lang w:val="es-ES"/>
        </w:rPr>
        <w:t>Pablo Saavedra Alessandri</w:t>
      </w:r>
    </w:p>
    <w:p w14:paraId="32C3B492" w14:textId="77777777" w:rsidR="00D97810" w:rsidRPr="00D97810" w:rsidRDefault="00D97810" w:rsidP="00D97810">
      <w:pPr>
        <w:spacing w:after="0" w:line="240" w:lineRule="auto"/>
        <w:jc w:val="center"/>
        <w:rPr>
          <w:rFonts w:ascii="Verdana" w:eastAsia="Times" w:hAnsi="Verdana" w:cs="Times New Roman"/>
          <w:sz w:val="20"/>
          <w:szCs w:val="20"/>
          <w:lang w:val="es-ES"/>
        </w:rPr>
      </w:pPr>
      <w:r w:rsidRPr="00D97810">
        <w:rPr>
          <w:rFonts w:ascii="Verdana" w:eastAsia="Times" w:hAnsi="Verdana" w:cs="Times New Roman"/>
          <w:sz w:val="20"/>
          <w:szCs w:val="20"/>
          <w:lang w:val="es-ES"/>
        </w:rPr>
        <w:t>Secretario</w:t>
      </w:r>
    </w:p>
    <w:p w14:paraId="18F32639" w14:textId="77777777" w:rsidR="00D97810" w:rsidRPr="00D97810" w:rsidRDefault="00D97810" w:rsidP="00D97810">
      <w:pPr>
        <w:spacing w:after="0" w:line="240" w:lineRule="auto"/>
        <w:rPr>
          <w:rFonts w:ascii="Verdana" w:eastAsia="Times" w:hAnsi="Verdana" w:cs="Times New Roman"/>
          <w:sz w:val="20"/>
          <w:szCs w:val="20"/>
          <w:lang w:val="es-ES"/>
        </w:rPr>
      </w:pPr>
    </w:p>
    <w:p w14:paraId="430E22BC"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105771D2"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5B651DF"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3E6F7D8D" w14:textId="77777777" w:rsidR="00D97810" w:rsidRPr="00D97810" w:rsidRDefault="00D97810" w:rsidP="00D97810">
      <w:pPr>
        <w:spacing w:after="0" w:line="240" w:lineRule="auto"/>
        <w:jc w:val="both"/>
        <w:rPr>
          <w:rFonts w:ascii="Verdana" w:eastAsia="Times" w:hAnsi="Verdana" w:cs="Times New Roman"/>
          <w:sz w:val="20"/>
          <w:szCs w:val="20"/>
          <w:lang w:val="es-ES"/>
        </w:rPr>
      </w:pPr>
      <w:r w:rsidRPr="00D97810">
        <w:rPr>
          <w:rFonts w:ascii="Verdana" w:eastAsia="Times" w:hAnsi="Verdana" w:cs="Times New Roman"/>
          <w:sz w:val="20"/>
          <w:szCs w:val="20"/>
          <w:lang w:val="es-ES"/>
        </w:rPr>
        <w:t>Comuníquese y ejecútese,</w:t>
      </w:r>
    </w:p>
    <w:p w14:paraId="56306423"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197E6B5C"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21E95754"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FC8001E"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6B94722"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CEA9ABA" w14:textId="77777777" w:rsidR="00D97810" w:rsidRPr="00D97810" w:rsidRDefault="00D97810" w:rsidP="00D97810">
      <w:pPr>
        <w:spacing w:after="0" w:line="240" w:lineRule="auto"/>
        <w:ind w:left="4956" w:firstLine="708"/>
        <w:jc w:val="center"/>
        <w:rPr>
          <w:rFonts w:ascii="Verdana" w:eastAsia="Times" w:hAnsi="Verdana" w:cs="Times New Roman"/>
          <w:sz w:val="20"/>
          <w:szCs w:val="20"/>
          <w:lang w:val="es-ES"/>
        </w:rPr>
      </w:pPr>
      <w:r w:rsidRPr="00D97810">
        <w:rPr>
          <w:rFonts w:ascii="Verdana" w:eastAsia="Times" w:hAnsi="Verdana" w:cs="Times New Roman"/>
          <w:sz w:val="20"/>
          <w:szCs w:val="20"/>
          <w:lang w:val="es-ES"/>
        </w:rPr>
        <w:t>Roberto F. Caldas</w:t>
      </w:r>
    </w:p>
    <w:p w14:paraId="1F3E8DF7" w14:textId="77777777" w:rsidR="00D97810" w:rsidRPr="00D97810" w:rsidRDefault="00D97810" w:rsidP="00D97810">
      <w:pPr>
        <w:spacing w:after="0" w:line="240" w:lineRule="auto"/>
        <w:ind w:left="4956" w:firstLine="708"/>
        <w:jc w:val="center"/>
        <w:rPr>
          <w:rFonts w:ascii="Verdana" w:eastAsia="Times" w:hAnsi="Verdana" w:cs="Times New Roman"/>
          <w:sz w:val="20"/>
          <w:szCs w:val="20"/>
          <w:lang w:val="es-ES"/>
        </w:rPr>
      </w:pPr>
      <w:r w:rsidRPr="00D97810">
        <w:rPr>
          <w:rFonts w:ascii="Verdana" w:eastAsia="Times" w:hAnsi="Verdana" w:cs="Times New Roman"/>
          <w:sz w:val="20"/>
          <w:szCs w:val="20"/>
          <w:lang w:val="es-ES"/>
        </w:rPr>
        <w:t xml:space="preserve">Presidente </w:t>
      </w:r>
    </w:p>
    <w:p w14:paraId="48D41849"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0BB47CF8"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262ADE68" w14:textId="77777777" w:rsidR="00D97810" w:rsidRPr="00D97810" w:rsidRDefault="00D97810" w:rsidP="00D97810">
      <w:pPr>
        <w:spacing w:after="0" w:line="240" w:lineRule="auto"/>
        <w:jc w:val="both"/>
        <w:rPr>
          <w:rFonts w:ascii="Verdana" w:eastAsia="Times" w:hAnsi="Verdana" w:cs="Times New Roman"/>
          <w:sz w:val="20"/>
          <w:szCs w:val="20"/>
          <w:lang w:val="es-ES"/>
        </w:rPr>
      </w:pPr>
    </w:p>
    <w:p w14:paraId="55A30AFB" w14:textId="77777777" w:rsidR="00D97810" w:rsidRPr="00D97810" w:rsidRDefault="00D97810" w:rsidP="00D97810">
      <w:pPr>
        <w:spacing w:after="0" w:line="240" w:lineRule="auto"/>
        <w:jc w:val="both"/>
        <w:rPr>
          <w:rFonts w:ascii="Verdana" w:eastAsia="Times" w:hAnsi="Verdana" w:cs="Times New Roman"/>
          <w:sz w:val="20"/>
          <w:szCs w:val="20"/>
          <w:lang w:val="es-ES"/>
        </w:rPr>
      </w:pPr>
      <w:r w:rsidRPr="00D97810">
        <w:rPr>
          <w:rFonts w:ascii="Verdana" w:eastAsia="Times" w:hAnsi="Verdana" w:cs="Times New Roman"/>
          <w:sz w:val="20"/>
          <w:szCs w:val="20"/>
          <w:lang w:val="es-ES"/>
        </w:rPr>
        <w:t>Pablo Saavedra Alessandri</w:t>
      </w:r>
    </w:p>
    <w:p w14:paraId="6AE918CC" w14:textId="77777777" w:rsidR="00D97810" w:rsidRPr="00D97810" w:rsidRDefault="00D97810" w:rsidP="00D97810">
      <w:pPr>
        <w:spacing w:after="0" w:line="240" w:lineRule="auto"/>
        <w:rPr>
          <w:rFonts w:ascii="Verdana" w:eastAsia="Times" w:hAnsi="Verdana" w:cs="Times New Roman"/>
          <w:sz w:val="20"/>
          <w:szCs w:val="20"/>
          <w:lang w:val="es-CR"/>
        </w:rPr>
      </w:pPr>
      <w:r w:rsidRPr="00D97810">
        <w:rPr>
          <w:rFonts w:ascii="Verdana" w:eastAsia="Times" w:hAnsi="Verdana" w:cs="Times New Roman"/>
          <w:sz w:val="20"/>
          <w:szCs w:val="20"/>
          <w:lang w:val="es-ES"/>
        </w:rPr>
        <w:tab/>
      </w:r>
      <w:r w:rsidRPr="00D97810">
        <w:rPr>
          <w:rFonts w:ascii="Verdana" w:eastAsia="Times" w:hAnsi="Verdana" w:cs="Times New Roman"/>
          <w:sz w:val="20"/>
          <w:szCs w:val="20"/>
          <w:lang w:val="es-CR"/>
        </w:rPr>
        <w:t>Secretario</w:t>
      </w:r>
    </w:p>
    <w:p w14:paraId="6BA70352" w14:textId="4154FB06" w:rsidR="00B30F63" w:rsidRPr="00B30F63" w:rsidRDefault="00B30F63" w:rsidP="00B30F63">
      <w:pPr>
        <w:tabs>
          <w:tab w:val="left" w:pos="567"/>
        </w:tabs>
        <w:spacing w:after="0" w:line="240" w:lineRule="auto"/>
        <w:ind w:right="4"/>
        <w:jc w:val="both"/>
        <w:rPr>
          <w:rFonts w:ascii="Verdana" w:hAnsi="Verdana"/>
          <w:sz w:val="20"/>
          <w:szCs w:val="20"/>
          <w:lang w:val="es-CR"/>
        </w:rPr>
      </w:pPr>
    </w:p>
    <w:sectPr w:rsidR="00B30F63" w:rsidRPr="00B30F63" w:rsidSect="00AF2A8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233A6" w14:textId="77777777" w:rsidR="000B4B9F" w:rsidRDefault="000B4B9F" w:rsidP="001B0748">
      <w:pPr>
        <w:spacing w:after="0" w:line="240" w:lineRule="auto"/>
      </w:pPr>
      <w:r>
        <w:separator/>
      </w:r>
    </w:p>
  </w:endnote>
  <w:endnote w:type="continuationSeparator" w:id="0">
    <w:p w14:paraId="1C3E0476" w14:textId="77777777" w:rsidR="000B4B9F" w:rsidRDefault="000B4B9F" w:rsidP="001B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B485F" w14:textId="2E167563" w:rsidR="000B4B9F" w:rsidRPr="00745074" w:rsidRDefault="000B4B9F">
    <w:pPr>
      <w:pStyle w:val="Footer"/>
      <w:jc w:val="center"/>
      <w:rPr>
        <w:rFonts w:ascii="Verdana" w:hAnsi="Verdana"/>
        <w:sz w:val="20"/>
        <w:szCs w:val="20"/>
      </w:rPr>
    </w:pPr>
  </w:p>
  <w:p w14:paraId="6724507B" w14:textId="77777777" w:rsidR="000B4B9F" w:rsidRDefault="000B4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6E059" w14:textId="77777777" w:rsidR="000B4B9F" w:rsidRDefault="000B4B9F" w:rsidP="001B0748">
      <w:pPr>
        <w:spacing w:after="0" w:line="240" w:lineRule="auto"/>
      </w:pPr>
      <w:r>
        <w:separator/>
      </w:r>
    </w:p>
  </w:footnote>
  <w:footnote w:type="continuationSeparator" w:id="0">
    <w:p w14:paraId="1331B24E" w14:textId="77777777" w:rsidR="000B4B9F" w:rsidRDefault="000B4B9F" w:rsidP="001B0748">
      <w:pPr>
        <w:spacing w:after="0" w:line="240" w:lineRule="auto"/>
      </w:pPr>
      <w:r>
        <w:continuationSeparator/>
      </w:r>
    </w:p>
  </w:footnote>
  <w:footnote w:id="1">
    <w:p w14:paraId="64EA9480" w14:textId="14442FD7" w:rsidR="000B4B9F" w:rsidRPr="00E61811" w:rsidRDefault="000B4B9F" w:rsidP="001B0748">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r>
      <w:r w:rsidRPr="00E61811">
        <w:rPr>
          <w:rFonts w:ascii="Verdana" w:hAnsi="Verdana"/>
          <w:i/>
          <w:sz w:val="16"/>
          <w:szCs w:val="16"/>
          <w:lang w:val="es-CR"/>
        </w:rPr>
        <w:t>Cfr. Caso Masacre</w:t>
      </w:r>
      <w:r w:rsidR="00DF40ED">
        <w:rPr>
          <w:rFonts w:ascii="Verdana" w:hAnsi="Verdana"/>
          <w:i/>
          <w:sz w:val="16"/>
          <w:szCs w:val="16"/>
          <w:lang w:val="es-CR"/>
        </w:rPr>
        <w:t>s</w:t>
      </w:r>
      <w:r w:rsidRPr="00E61811">
        <w:rPr>
          <w:rFonts w:ascii="Verdana" w:hAnsi="Verdana"/>
          <w:i/>
          <w:sz w:val="16"/>
          <w:szCs w:val="16"/>
          <w:lang w:val="es-CR"/>
        </w:rPr>
        <w:t xml:space="preserve"> de El Mozote y lugares aledaños Vs. El Salvador. Fondo, Reparaciones  y Costas. </w:t>
      </w:r>
      <w:r w:rsidRPr="00E61811">
        <w:rPr>
          <w:rFonts w:ascii="Verdana" w:hAnsi="Verdana"/>
          <w:sz w:val="16"/>
          <w:szCs w:val="16"/>
          <w:lang w:val="es-CR"/>
        </w:rPr>
        <w:t xml:space="preserve">Sentencia de 25 de octubre de 2012. Serie C No. 252. El texto íntegro de la Sentencia se encuentra disponible en: </w:t>
      </w:r>
      <w:hyperlink r:id="rId1" w:history="1">
        <w:r w:rsidRPr="00E61811">
          <w:rPr>
            <w:rStyle w:val="Hyperlink"/>
            <w:rFonts w:ascii="Verdana" w:hAnsi="Verdana"/>
            <w:sz w:val="16"/>
            <w:szCs w:val="16"/>
            <w:lang w:val="es-CR"/>
          </w:rPr>
          <w:t>http://corteidh.or.cr/docs/casos/articulos/seriec_252_esp.pdf</w:t>
        </w:r>
      </w:hyperlink>
      <w:r w:rsidRPr="00E61811">
        <w:rPr>
          <w:rFonts w:ascii="Verdana" w:hAnsi="Verdana"/>
          <w:sz w:val="16"/>
          <w:szCs w:val="16"/>
          <w:lang w:val="es-CR"/>
        </w:rPr>
        <w:t>. La Sentencia fue notificada al Estado el 10 de diciembre de 2012.</w:t>
      </w:r>
    </w:p>
  </w:footnote>
  <w:footnote w:id="2">
    <w:p w14:paraId="541A4711" w14:textId="523CCE5E" w:rsidR="00A00222" w:rsidRPr="00A00222" w:rsidRDefault="00A00222" w:rsidP="00B93683">
      <w:pPr>
        <w:pStyle w:val="FootnoteText"/>
        <w:jc w:val="both"/>
        <w:rPr>
          <w:lang w:val="es-CR"/>
        </w:rPr>
      </w:pPr>
      <w:r>
        <w:rPr>
          <w:rStyle w:val="FootnoteReference"/>
        </w:rPr>
        <w:footnoteRef/>
      </w:r>
      <w:r w:rsidRPr="00A00222">
        <w:rPr>
          <w:lang w:val="es-CR"/>
        </w:rPr>
        <w:t xml:space="preserve"> </w:t>
      </w:r>
      <w:r>
        <w:rPr>
          <w:lang w:val="es-CR"/>
        </w:rPr>
        <w:tab/>
      </w:r>
      <w:r w:rsidR="00B93683" w:rsidRPr="00B93683">
        <w:rPr>
          <w:rFonts w:ascii="Verdana" w:hAnsi="Verdana"/>
          <w:sz w:val="16"/>
          <w:szCs w:val="16"/>
          <w:lang w:val="es-CR"/>
        </w:rPr>
        <w:t xml:space="preserve">Según los listados de víctimas confeccionados por la Oficina de Tutela Legal del Arzobispado de San Salvador. Conforme al punto resolutivo segundo de la Sentencia, el Estado debe continuar con la </w:t>
      </w:r>
      <w:r w:rsidR="00B93683">
        <w:rPr>
          <w:rFonts w:ascii="Verdana" w:hAnsi="Verdana"/>
          <w:sz w:val="16"/>
          <w:szCs w:val="16"/>
          <w:lang w:val="es-CR"/>
        </w:rPr>
        <w:t>puesta en funcionamiento de un Registro Único de Víctimas y Familiares de Víctimas de Graves Violaciones de Derechos Humanos durante la Masacre de El</w:t>
      </w:r>
      <w:r w:rsidR="00B93683" w:rsidRPr="00B93683">
        <w:rPr>
          <w:rFonts w:ascii="Verdana" w:hAnsi="Verdana"/>
          <w:sz w:val="16"/>
          <w:szCs w:val="16"/>
          <w:lang w:val="es-CR"/>
        </w:rPr>
        <w:t xml:space="preserve"> Mozote. </w:t>
      </w:r>
      <w:r w:rsidRPr="00E61811">
        <w:rPr>
          <w:rFonts w:ascii="Verdana" w:hAnsi="Verdana"/>
          <w:i/>
          <w:sz w:val="16"/>
          <w:szCs w:val="16"/>
          <w:lang w:val="es-CR"/>
        </w:rPr>
        <w:t>Cfr. Caso Masacre</w:t>
      </w:r>
      <w:r>
        <w:rPr>
          <w:rFonts w:ascii="Verdana" w:hAnsi="Verdana"/>
          <w:i/>
          <w:sz w:val="16"/>
          <w:szCs w:val="16"/>
          <w:lang w:val="es-CR"/>
        </w:rPr>
        <w:t>s</w:t>
      </w:r>
      <w:r w:rsidRPr="00E61811">
        <w:rPr>
          <w:rFonts w:ascii="Verdana" w:hAnsi="Verdana"/>
          <w:i/>
          <w:sz w:val="16"/>
          <w:szCs w:val="16"/>
          <w:lang w:val="es-CR"/>
        </w:rPr>
        <w:t xml:space="preserve"> de El Mozote y l</w:t>
      </w:r>
      <w:r>
        <w:rPr>
          <w:rFonts w:ascii="Verdana" w:hAnsi="Verdana"/>
          <w:i/>
          <w:sz w:val="16"/>
          <w:szCs w:val="16"/>
          <w:lang w:val="es-CR"/>
        </w:rPr>
        <w:t>ugares aledaños Vs. El Salvador, supra</w:t>
      </w:r>
      <w:r w:rsidR="00B93683">
        <w:rPr>
          <w:rFonts w:ascii="Verdana" w:hAnsi="Verdana"/>
          <w:sz w:val="16"/>
          <w:szCs w:val="16"/>
          <w:lang w:val="es-CR"/>
        </w:rPr>
        <w:t xml:space="preserve"> nota 1, párrs. 97, 105, 109, </w:t>
      </w:r>
      <w:r>
        <w:rPr>
          <w:rFonts w:ascii="Verdana" w:hAnsi="Verdana"/>
          <w:sz w:val="16"/>
          <w:szCs w:val="16"/>
          <w:lang w:val="es-CR"/>
        </w:rPr>
        <w:t>112,</w:t>
      </w:r>
      <w:r w:rsidR="00B93683">
        <w:rPr>
          <w:rFonts w:ascii="Verdana" w:hAnsi="Verdana"/>
          <w:sz w:val="16"/>
          <w:szCs w:val="16"/>
          <w:lang w:val="es-CR"/>
        </w:rPr>
        <w:t xml:space="preserve"> 116, 121 y punto resolutivo segundo.</w:t>
      </w:r>
    </w:p>
  </w:footnote>
  <w:footnote w:id="3">
    <w:p w14:paraId="164FE358" w14:textId="3856F189" w:rsidR="000B4B9F" w:rsidRPr="00C81138" w:rsidRDefault="000B4B9F" w:rsidP="000620FF">
      <w:pPr>
        <w:pStyle w:val="FootnoteText"/>
        <w:jc w:val="both"/>
        <w:rPr>
          <w:rFonts w:ascii="Verdana" w:hAnsi="Verdana"/>
          <w:sz w:val="16"/>
          <w:szCs w:val="16"/>
          <w:lang w:val="es-CR"/>
        </w:rPr>
      </w:pPr>
      <w:r w:rsidRPr="00C81138">
        <w:rPr>
          <w:rStyle w:val="FootnoteReference"/>
          <w:rFonts w:ascii="Verdana" w:hAnsi="Verdana"/>
          <w:sz w:val="16"/>
          <w:szCs w:val="16"/>
        </w:rPr>
        <w:footnoteRef/>
      </w:r>
      <w:r w:rsidRPr="00C81138">
        <w:rPr>
          <w:rFonts w:ascii="Verdana" w:hAnsi="Verdana"/>
          <w:sz w:val="16"/>
          <w:szCs w:val="16"/>
          <w:lang w:val="es-CR"/>
        </w:rPr>
        <w:t xml:space="preserve"> </w:t>
      </w:r>
      <w:r w:rsidRPr="00C81138">
        <w:rPr>
          <w:rFonts w:ascii="Verdana" w:hAnsi="Verdana"/>
          <w:sz w:val="16"/>
          <w:szCs w:val="16"/>
          <w:lang w:val="es-CR"/>
        </w:rPr>
        <w:tab/>
      </w:r>
      <w:r w:rsidRPr="00C81138">
        <w:rPr>
          <w:rFonts w:ascii="Verdana" w:hAnsi="Verdana"/>
          <w:i/>
          <w:sz w:val="16"/>
          <w:szCs w:val="16"/>
          <w:lang w:val="es-CR"/>
        </w:rPr>
        <w:t>Cfr. Caso Masacre</w:t>
      </w:r>
      <w:r w:rsidR="00C81138" w:rsidRPr="00C81138">
        <w:rPr>
          <w:rFonts w:ascii="Verdana" w:hAnsi="Verdana"/>
          <w:i/>
          <w:sz w:val="16"/>
          <w:szCs w:val="16"/>
          <w:lang w:val="es-CR"/>
        </w:rPr>
        <w:t>s</w:t>
      </w:r>
      <w:r w:rsidRPr="00C81138">
        <w:rPr>
          <w:rFonts w:ascii="Verdana" w:hAnsi="Verdana"/>
          <w:i/>
          <w:sz w:val="16"/>
          <w:szCs w:val="16"/>
          <w:lang w:val="es-CR"/>
        </w:rPr>
        <w:t xml:space="preserve"> de El Mozote y lugares aledaños Vs. El Salvador. Supervisión de Cumplimiento de Sentencia. </w:t>
      </w:r>
      <w:r w:rsidRPr="00C81138">
        <w:rPr>
          <w:rFonts w:ascii="Verdana" w:hAnsi="Verdana"/>
          <w:sz w:val="16"/>
          <w:szCs w:val="16"/>
          <w:lang w:val="es-CR"/>
        </w:rPr>
        <w:t xml:space="preserve">Resolución de la Corte Interamericana de Derechos Humanos de 3 de mayo de 2016, disponible en: </w:t>
      </w:r>
      <w:hyperlink r:id="rId2" w:history="1">
        <w:r w:rsidRPr="00C81138">
          <w:rPr>
            <w:rStyle w:val="Hyperlink"/>
            <w:rFonts w:ascii="Verdana" w:hAnsi="Verdana"/>
            <w:sz w:val="16"/>
            <w:szCs w:val="16"/>
            <w:lang w:val="es-CR"/>
          </w:rPr>
          <w:t>http://www.corteidh.or.cr/docs/supervisiones/mozote_03_05_16.pdf</w:t>
        </w:r>
      </w:hyperlink>
      <w:r w:rsidRPr="00C81138">
        <w:rPr>
          <w:rFonts w:ascii="Verdana" w:hAnsi="Verdana"/>
          <w:sz w:val="16"/>
          <w:szCs w:val="16"/>
          <w:lang w:val="es-CR"/>
        </w:rPr>
        <w:t xml:space="preserve">. </w:t>
      </w:r>
    </w:p>
  </w:footnote>
  <w:footnote w:id="4">
    <w:p w14:paraId="11D16F94" w14:textId="3F46499F" w:rsidR="000B4B9F" w:rsidRPr="00A67806" w:rsidRDefault="000B4B9F" w:rsidP="00DF40ED">
      <w:pPr>
        <w:pStyle w:val="FootnoteText"/>
        <w:jc w:val="both"/>
        <w:rPr>
          <w:rFonts w:ascii="Verdana" w:hAnsi="Verdana"/>
          <w:sz w:val="16"/>
          <w:szCs w:val="16"/>
          <w:lang w:val="es-CR"/>
        </w:rPr>
      </w:pPr>
      <w:r w:rsidRPr="0024770E">
        <w:rPr>
          <w:rStyle w:val="FootnoteReference"/>
          <w:rFonts w:ascii="Verdana" w:hAnsi="Verdana"/>
          <w:sz w:val="16"/>
          <w:szCs w:val="16"/>
        </w:rPr>
        <w:footnoteRef/>
      </w:r>
      <w:r w:rsidRPr="0024770E">
        <w:rPr>
          <w:rFonts w:ascii="Verdana" w:hAnsi="Verdana"/>
          <w:sz w:val="16"/>
          <w:szCs w:val="16"/>
          <w:lang w:val="es-CR"/>
        </w:rPr>
        <w:t xml:space="preserve"> </w:t>
      </w:r>
      <w:r w:rsidRPr="0024770E">
        <w:rPr>
          <w:rFonts w:ascii="Verdana" w:hAnsi="Verdana"/>
          <w:sz w:val="16"/>
          <w:szCs w:val="16"/>
          <w:lang w:val="es-CR"/>
        </w:rPr>
        <w:tab/>
      </w:r>
      <w:r w:rsidR="00B56F80">
        <w:rPr>
          <w:rFonts w:ascii="Verdana" w:hAnsi="Verdana"/>
          <w:sz w:val="16"/>
          <w:szCs w:val="16"/>
          <w:lang w:val="es-CR"/>
        </w:rPr>
        <w:t>A esta audiencia comparecieron</w:t>
      </w:r>
      <w:r w:rsidR="000620FF">
        <w:rPr>
          <w:rFonts w:ascii="Verdana" w:hAnsi="Verdana"/>
          <w:sz w:val="16"/>
          <w:szCs w:val="16"/>
          <w:lang w:val="es-CR"/>
        </w:rPr>
        <w:t>, a) p</w:t>
      </w:r>
      <w:r w:rsidR="00B56F80">
        <w:rPr>
          <w:rFonts w:ascii="Verdana" w:hAnsi="Verdana"/>
          <w:sz w:val="16"/>
          <w:szCs w:val="16"/>
          <w:lang w:val="es-CR"/>
        </w:rPr>
        <w:t xml:space="preserve">or parte del Estado: Sebastián Vaquerano, </w:t>
      </w:r>
      <w:r w:rsidR="00C81138">
        <w:rPr>
          <w:rFonts w:ascii="Verdana" w:hAnsi="Verdana"/>
          <w:sz w:val="16"/>
          <w:szCs w:val="16"/>
          <w:lang w:val="es-CR"/>
        </w:rPr>
        <w:t>E</w:t>
      </w:r>
      <w:r w:rsidR="00B56F80">
        <w:rPr>
          <w:rFonts w:ascii="Verdana" w:hAnsi="Verdana"/>
          <w:sz w:val="16"/>
          <w:szCs w:val="16"/>
          <w:lang w:val="es-CR"/>
        </w:rPr>
        <w:t>mbajador de El Salvador en Costa Rica; Tania Camila Rosa, Directora General de Derechos Humanos de la Cancillería y Agente del Estado;  Gloria Martínez, Directora de Sistemas Internacionales de Protección de Derechos Humanos de la Cancillería;  Carlos Sáenz, Director General de Coordinación de Gobierno y Cooperación Internacional, de la Secretaría Técnica y de Planificación de Presidencia; Ivonne Argueta, Coordinadora de la Unidad de Derechos Humanos y Género de la Secretaría Técnica y de Planificación de la Presidencia; y Mabel Hernández, Subdirectora General de Estadística y Censos del Ministerio de Economía</w:t>
      </w:r>
      <w:r w:rsidR="000620FF">
        <w:rPr>
          <w:rFonts w:ascii="Verdana" w:hAnsi="Verdana"/>
          <w:sz w:val="16"/>
          <w:szCs w:val="16"/>
          <w:lang w:val="es-CR"/>
        </w:rPr>
        <w:t>; b) p</w:t>
      </w:r>
      <w:r w:rsidR="00B56F80">
        <w:rPr>
          <w:rFonts w:ascii="Verdana" w:hAnsi="Verdana"/>
          <w:sz w:val="16"/>
          <w:szCs w:val="16"/>
          <w:lang w:val="es-CR"/>
        </w:rPr>
        <w:t>or parte de las víctimas y</w:t>
      </w:r>
      <w:r w:rsidR="000620FF">
        <w:rPr>
          <w:rFonts w:ascii="Verdana" w:hAnsi="Verdana"/>
          <w:sz w:val="16"/>
          <w:szCs w:val="16"/>
          <w:lang w:val="es-CR"/>
        </w:rPr>
        <w:t xml:space="preserve"> sus</w:t>
      </w:r>
      <w:r w:rsidR="00B56F80">
        <w:rPr>
          <w:rFonts w:ascii="Verdana" w:hAnsi="Verdana"/>
          <w:sz w:val="16"/>
          <w:szCs w:val="16"/>
          <w:lang w:val="es-CR"/>
        </w:rPr>
        <w:t xml:space="preserve"> representantes: José Cruz Vigil, víctima;  Ovidio Mauricio</w:t>
      </w:r>
      <w:r w:rsidR="000620FF">
        <w:rPr>
          <w:rFonts w:ascii="Verdana" w:hAnsi="Verdana"/>
          <w:sz w:val="16"/>
          <w:szCs w:val="16"/>
          <w:lang w:val="es-CR"/>
        </w:rPr>
        <w:t xml:space="preserve"> y Wilfredo Medrano</w:t>
      </w:r>
      <w:r w:rsidR="00B56F80">
        <w:rPr>
          <w:rFonts w:ascii="Verdana" w:hAnsi="Verdana"/>
          <w:sz w:val="16"/>
          <w:szCs w:val="16"/>
          <w:lang w:val="es-CR"/>
        </w:rPr>
        <w:t xml:space="preserve"> de la Oficina de Tutela Legal Dra. María Julia Hernández; Krisia Moya de la Asociación Promotora de </w:t>
      </w:r>
      <w:r w:rsidR="00B56F80" w:rsidRPr="00A67806">
        <w:rPr>
          <w:rFonts w:ascii="Verdana" w:hAnsi="Verdana"/>
          <w:sz w:val="16"/>
          <w:szCs w:val="16"/>
          <w:lang w:val="es-CR"/>
        </w:rPr>
        <w:t xml:space="preserve">Derechos Humanos de </w:t>
      </w:r>
      <w:r w:rsidR="00C81138">
        <w:rPr>
          <w:rFonts w:ascii="Verdana" w:hAnsi="Verdana"/>
          <w:sz w:val="16"/>
          <w:szCs w:val="16"/>
          <w:lang w:val="es-CR"/>
        </w:rPr>
        <w:t>E</w:t>
      </w:r>
      <w:r w:rsidR="00B56F80" w:rsidRPr="00A67806">
        <w:rPr>
          <w:rFonts w:ascii="Verdana" w:hAnsi="Verdana"/>
          <w:sz w:val="16"/>
          <w:szCs w:val="16"/>
          <w:lang w:val="es-CR"/>
        </w:rPr>
        <w:t>l Mozote;</w:t>
      </w:r>
      <w:r w:rsidR="000620FF" w:rsidRPr="00A67806">
        <w:rPr>
          <w:rFonts w:ascii="Verdana" w:hAnsi="Verdana"/>
          <w:sz w:val="16"/>
          <w:szCs w:val="16"/>
          <w:lang w:val="es-CR"/>
        </w:rPr>
        <w:t xml:space="preserve"> y</w:t>
      </w:r>
      <w:r w:rsidR="00B56F80" w:rsidRPr="00A67806">
        <w:rPr>
          <w:rFonts w:ascii="Verdana" w:hAnsi="Verdana"/>
          <w:sz w:val="16"/>
          <w:szCs w:val="16"/>
          <w:lang w:val="es-CR"/>
        </w:rPr>
        <w:t xml:space="preserve"> Marcia Aguiluz, Valentina Ballesta, Lady Zuluaga</w:t>
      </w:r>
      <w:r w:rsidR="00C81138">
        <w:rPr>
          <w:rFonts w:ascii="Verdana" w:hAnsi="Verdana"/>
          <w:sz w:val="16"/>
          <w:szCs w:val="16"/>
          <w:lang w:val="es-CR"/>
        </w:rPr>
        <w:t>,</w:t>
      </w:r>
      <w:r w:rsidR="00B56F80" w:rsidRPr="00A67806">
        <w:rPr>
          <w:rFonts w:ascii="Verdana" w:hAnsi="Verdana"/>
          <w:sz w:val="16"/>
          <w:szCs w:val="16"/>
          <w:lang w:val="es-CR"/>
        </w:rPr>
        <w:t xml:space="preserve"> Luis Carlos B</w:t>
      </w:r>
      <w:r w:rsidR="000620FF" w:rsidRPr="00A67806">
        <w:rPr>
          <w:rFonts w:ascii="Verdana" w:hAnsi="Verdana"/>
          <w:sz w:val="16"/>
          <w:szCs w:val="16"/>
          <w:lang w:val="es-CR"/>
        </w:rPr>
        <w:t>u</w:t>
      </w:r>
      <w:r w:rsidR="00B56F80" w:rsidRPr="00A67806">
        <w:rPr>
          <w:rFonts w:ascii="Verdana" w:hAnsi="Verdana"/>
          <w:sz w:val="16"/>
          <w:szCs w:val="16"/>
          <w:lang w:val="es-CR"/>
        </w:rPr>
        <w:t>ob, Esteban Madrigal, Francisca Estuardo, Antonio Jaén, y Alina Rodríguez, de</w:t>
      </w:r>
      <w:r w:rsidR="000620FF" w:rsidRPr="00A67806">
        <w:rPr>
          <w:rFonts w:ascii="Verdana" w:hAnsi="Verdana"/>
          <w:sz w:val="16"/>
          <w:szCs w:val="16"/>
          <w:lang w:val="es-CR"/>
        </w:rPr>
        <w:t>l</w:t>
      </w:r>
      <w:r w:rsidR="00B56F80" w:rsidRPr="00A67806">
        <w:rPr>
          <w:rFonts w:ascii="Verdana" w:hAnsi="Verdana"/>
          <w:sz w:val="16"/>
          <w:szCs w:val="16"/>
          <w:lang w:val="es-CR"/>
        </w:rPr>
        <w:t xml:space="preserve"> C</w:t>
      </w:r>
      <w:r w:rsidR="000620FF" w:rsidRPr="00A67806">
        <w:rPr>
          <w:rFonts w:ascii="Verdana" w:hAnsi="Verdana"/>
          <w:sz w:val="16"/>
          <w:szCs w:val="16"/>
          <w:lang w:val="es-CR"/>
        </w:rPr>
        <w:t>entro por la Justicia y el Derecho Internacional (C</w:t>
      </w:r>
      <w:r w:rsidR="00B56F80" w:rsidRPr="00A67806">
        <w:rPr>
          <w:rFonts w:ascii="Verdana" w:hAnsi="Verdana"/>
          <w:sz w:val="16"/>
          <w:szCs w:val="16"/>
          <w:lang w:val="es-CR"/>
        </w:rPr>
        <w:t>EJIL</w:t>
      </w:r>
      <w:r w:rsidR="000620FF" w:rsidRPr="00A67806">
        <w:rPr>
          <w:rFonts w:ascii="Verdana" w:hAnsi="Verdana"/>
          <w:sz w:val="16"/>
          <w:szCs w:val="16"/>
          <w:lang w:val="es-CR"/>
        </w:rPr>
        <w:t>), y c) p</w:t>
      </w:r>
      <w:r w:rsidR="00B56F80" w:rsidRPr="00A67806">
        <w:rPr>
          <w:rFonts w:ascii="Verdana" w:hAnsi="Verdana"/>
          <w:sz w:val="16"/>
          <w:szCs w:val="16"/>
          <w:lang w:val="es-CR"/>
        </w:rPr>
        <w:t>or parte de la Comisión: Silvia Serrano Guzmán, Jorge H. Meza Flores, y Erick Acuña, asesor</w:t>
      </w:r>
      <w:r w:rsidR="000620FF" w:rsidRPr="00A67806">
        <w:rPr>
          <w:rFonts w:ascii="Verdana" w:hAnsi="Verdana"/>
          <w:sz w:val="16"/>
          <w:szCs w:val="16"/>
          <w:lang w:val="es-CR"/>
        </w:rPr>
        <w:t>es</w:t>
      </w:r>
      <w:r w:rsidR="00B56F80" w:rsidRPr="00A67806">
        <w:rPr>
          <w:rFonts w:ascii="Verdana" w:hAnsi="Verdana"/>
          <w:sz w:val="16"/>
          <w:szCs w:val="16"/>
          <w:lang w:val="es-CR"/>
        </w:rPr>
        <w:t>.</w:t>
      </w:r>
      <w:r w:rsidR="00A67806">
        <w:rPr>
          <w:rFonts w:ascii="Verdana" w:hAnsi="Verdana"/>
          <w:sz w:val="16"/>
          <w:szCs w:val="16"/>
          <w:lang w:val="es-CR"/>
        </w:rPr>
        <w:t xml:space="preserve"> En la audiencia participó el pleno de la Corte, con excepción del Presidente de la Corte, </w:t>
      </w:r>
      <w:r w:rsidR="00C81138">
        <w:rPr>
          <w:rFonts w:ascii="Verdana" w:hAnsi="Verdana"/>
          <w:sz w:val="16"/>
          <w:szCs w:val="16"/>
          <w:lang w:val="es-CR"/>
        </w:rPr>
        <w:t>J</w:t>
      </w:r>
      <w:r w:rsidR="00A67806">
        <w:rPr>
          <w:rFonts w:ascii="Verdana" w:hAnsi="Verdana"/>
          <w:sz w:val="16"/>
          <w:szCs w:val="16"/>
          <w:lang w:val="es-CR"/>
        </w:rPr>
        <w:t xml:space="preserve">uez Roberto F. Caldas, quien no participó por motivos de fuerza mayor. </w:t>
      </w:r>
    </w:p>
  </w:footnote>
  <w:footnote w:id="5">
    <w:p w14:paraId="2AB2349E" w14:textId="17B52DDA" w:rsidR="000B4B9F" w:rsidRPr="00A00222" w:rsidRDefault="000B4B9F" w:rsidP="000620FF">
      <w:pPr>
        <w:pStyle w:val="FootnoteText"/>
        <w:jc w:val="both"/>
        <w:rPr>
          <w:rFonts w:ascii="Verdana" w:hAnsi="Verdana"/>
          <w:sz w:val="16"/>
          <w:szCs w:val="16"/>
          <w:lang w:val="es-CR"/>
        </w:rPr>
      </w:pPr>
      <w:r w:rsidRPr="00A00222">
        <w:rPr>
          <w:rStyle w:val="FootnoteReference"/>
          <w:rFonts w:ascii="Verdana" w:hAnsi="Verdana"/>
          <w:sz w:val="16"/>
          <w:szCs w:val="16"/>
        </w:rPr>
        <w:footnoteRef/>
      </w:r>
      <w:r w:rsidRPr="00A00222">
        <w:rPr>
          <w:rFonts w:ascii="Verdana" w:hAnsi="Verdana"/>
          <w:sz w:val="16"/>
          <w:szCs w:val="16"/>
          <w:lang w:val="es-CR"/>
        </w:rPr>
        <w:t xml:space="preserve"> </w:t>
      </w:r>
      <w:r w:rsidRPr="00A00222">
        <w:rPr>
          <w:rFonts w:ascii="Verdana" w:hAnsi="Verdana"/>
          <w:sz w:val="16"/>
          <w:szCs w:val="16"/>
          <w:lang w:val="es-CR"/>
        </w:rPr>
        <w:tab/>
      </w:r>
      <w:r w:rsidR="0033693B" w:rsidRPr="00A00222">
        <w:rPr>
          <w:rFonts w:ascii="Verdana" w:hAnsi="Verdana"/>
          <w:sz w:val="16"/>
          <w:szCs w:val="16"/>
          <w:lang w:val="es-CR"/>
        </w:rPr>
        <w:t xml:space="preserve">Escritos de 9 </w:t>
      </w:r>
      <w:r w:rsidR="00A045F2" w:rsidRPr="00A00222">
        <w:rPr>
          <w:rFonts w:ascii="Verdana" w:hAnsi="Verdana"/>
          <w:sz w:val="16"/>
          <w:szCs w:val="16"/>
          <w:lang w:val="es-CR"/>
        </w:rPr>
        <w:t>y 16 de febrero, 12 de marzo</w:t>
      </w:r>
      <w:r w:rsidR="0089763B" w:rsidRPr="00A00222">
        <w:rPr>
          <w:rFonts w:ascii="Verdana" w:hAnsi="Verdana"/>
          <w:sz w:val="16"/>
          <w:szCs w:val="16"/>
          <w:lang w:val="es-CR"/>
        </w:rPr>
        <w:t xml:space="preserve"> </w:t>
      </w:r>
      <w:r w:rsidR="00A045F2" w:rsidRPr="00A00222">
        <w:rPr>
          <w:rFonts w:ascii="Verdana" w:hAnsi="Verdana"/>
          <w:sz w:val="16"/>
          <w:szCs w:val="16"/>
          <w:lang w:val="es-CR"/>
        </w:rPr>
        <w:t xml:space="preserve">y 25 de septiembre </w:t>
      </w:r>
      <w:r w:rsidR="0033693B" w:rsidRPr="00A00222">
        <w:rPr>
          <w:rFonts w:ascii="Verdana" w:hAnsi="Verdana"/>
          <w:sz w:val="16"/>
          <w:szCs w:val="16"/>
          <w:lang w:val="es-CR"/>
        </w:rPr>
        <w:t>de 2015,</w:t>
      </w:r>
      <w:r w:rsidR="00A045F2" w:rsidRPr="00A00222">
        <w:rPr>
          <w:rFonts w:ascii="Verdana" w:hAnsi="Verdana"/>
          <w:sz w:val="16"/>
          <w:szCs w:val="16"/>
          <w:lang w:val="es-CR"/>
        </w:rPr>
        <w:t xml:space="preserve"> </w:t>
      </w:r>
      <w:r w:rsidR="0089763B" w:rsidRPr="00A00222">
        <w:rPr>
          <w:rFonts w:ascii="Verdana" w:hAnsi="Verdana"/>
          <w:sz w:val="16"/>
          <w:szCs w:val="16"/>
          <w:lang w:val="es-CR"/>
        </w:rPr>
        <w:t xml:space="preserve">4 de mayo, </w:t>
      </w:r>
      <w:r w:rsidR="00A045F2" w:rsidRPr="00A00222">
        <w:rPr>
          <w:rFonts w:ascii="Verdana" w:hAnsi="Verdana"/>
          <w:sz w:val="16"/>
          <w:szCs w:val="16"/>
          <w:lang w:val="es-CR"/>
        </w:rPr>
        <w:t xml:space="preserve">4 de julio </w:t>
      </w:r>
      <w:r w:rsidR="0089763B" w:rsidRPr="00A00222">
        <w:rPr>
          <w:rFonts w:ascii="Verdana" w:hAnsi="Verdana"/>
          <w:sz w:val="16"/>
          <w:szCs w:val="16"/>
          <w:lang w:val="es-CR"/>
        </w:rPr>
        <w:t xml:space="preserve">y 24 de octubre </w:t>
      </w:r>
      <w:r w:rsidR="00A045F2" w:rsidRPr="00A00222">
        <w:rPr>
          <w:rFonts w:ascii="Verdana" w:hAnsi="Verdana"/>
          <w:sz w:val="16"/>
          <w:szCs w:val="16"/>
          <w:lang w:val="es-CR"/>
        </w:rPr>
        <w:t>de 2016</w:t>
      </w:r>
      <w:r w:rsidR="0089763B" w:rsidRPr="00A00222">
        <w:rPr>
          <w:rFonts w:ascii="Verdana" w:hAnsi="Verdana"/>
          <w:sz w:val="16"/>
          <w:szCs w:val="16"/>
          <w:lang w:val="es-CR"/>
        </w:rPr>
        <w:t>.</w:t>
      </w:r>
      <w:r w:rsidR="00A045F2" w:rsidRPr="00A00222">
        <w:rPr>
          <w:rFonts w:ascii="Verdana" w:hAnsi="Verdana"/>
          <w:sz w:val="16"/>
          <w:szCs w:val="16"/>
          <w:lang w:val="es-CR"/>
        </w:rPr>
        <w:t xml:space="preserve"> </w:t>
      </w:r>
    </w:p>
  </w:footnote>
  <w:footnote w:id="6">
    <w:p w14:paraId="5BA71854" w14:textId="3EA42EEC" w:rsidR="00A00222" w:rsidRPr="00A00222" w:rsidRDefault="00A00222" w:rsidP="00A00222">
      <w:pPr>
        <w:pStyle w:val="FootnoteText"/>
        <w:jc w:val="both"/>
        <w:rPr>
          <w:lang w:val="es-CR"/>
        </w:rPr>
      </w:pPr>
      <w:r w:rsidRPr="00A00222">
        <w:rPr>
          <w:rStyle w:val="FootnoteReference"/>
          <w:rFonts w:ascii="Verdana" w:hAnsi="Verdana"/>
          <w:sz w:val="16"/>
          <w:szCs w:val="16"/>
        </w:rPr>
        <w:footnoteRef/>
      </w:r>
      <w:r w:rsidRPr="00A00222">
        <w:rPr>
          <w:rFonts w:ascii="Verdana" w:hAnsi="Verdana"/>
          <w:sz w:val="16"/>
          <w:szCs w:val="16"/>
          <w:lang w:val="es-CR"/>
        </w:rPr>
        <w:t xml:space="preserve"> </w:t>
      </w:r>
      <w:r w:rsidRPr="00A00222">
        <w:rPr>
          <w:rFonts w:ascii="Verdana" w:hAnsi="Verdana"/>
          <w:sz w:val="16"/>
          <w:szCs w:val="16"/>
          <w:lang w:val="es-CR"/>
        </w:rPr>
        <w:tab/>
        <w:t>El Centro por la Justicia y el Derecho Internacional (CEJIL) y la Asociación de Derechos Humanos Tutela Legal “Dra. María Julia Hernández” representan a las víctimas en la presente etapa de supervisión de cumplimiento de Sentencia</w:t>
      </w:r>
      <w:r>
        <w:rPr>
          <w:rFonts w:ascii="Verdana" w:hAnsi="Verdana"/>
          <w:sz w:val="16"/>
          <w:szCs w:val="16"/>
          <w:lang w:val="es-CR"/>
        </w:rPr>
        <w:t>.</w:t>
      </w:r>
    </w:p>
  </w:footnote>
  <w:footnote w:id="7">
    <w:p w14:paraId="11995F8D" w14:textId="79CB3074" w:rsidR="000B4B9F" w:rsidRPr="0089763B" w:rsidRDefault="000B4B9F" w:rsidP="003352F5">
      <w:pPr>
        <w:pStyle w:val="FootnoteText"/>
        <w:jc w:val="both"/>
        <w:rPr>
          <w:rFonts w:ascii="Verdana" w:hAnsi="Verdana"/>
          <w:sz w:val="16"/>
          <w:szCs w:val="16"/>
          <w:lang w:val="es-CR"/>
        </w:rPr>
      </w:pPr>
      <w:r w:rsidRPr="0089763B">
        <w:rPr>
          <w:rStyle w:val="FootnoteReference"/>
          <w:rFonts w:ascii="Verdana" w:hAnsi="Verdana"/>
          <w:sz w:val="16"/>
          <w:szCs w:val="16"/>
        </w:rPr>
        <w:footnoteRef/>
      </w:r>
      <w:r w:rsidRPr="0089763B">
        <w:rPr>
          <w:rFonts w:ascii="Verdana" w:hAnsi="Verdana"/>
          <w:sz w:val="16"/>
          <w:szCs w:val="16"/>
          <w:lang w:val="es-CR"/>
        </w:rPr>
        <w:t xml:space="preserve"> </w:t>
      </w:r>
      <w:r w:rsidRPr="0089763B">
        <w:rPr>
          <w:rFonts w:ascii="Verdana" w:hAnsi="Verdana"/>
          <w:sz w:val="16"/>
          <w:szCs w:val="16"/>
          <w:lang w:val="es-CR"/>
        </w:rPr>
        <w:tab/>
      </w:r>
      <w:r w:rsidR="0033693B" w:rsidRPr="0089763B">
        <w:rPr>
          <w:rFonts w:ascii="Verdana" w:hAnsi="Verdana"/>
          <w:sz w:val="16"/>
          <w:szCs w:val="16"/>
          <w:lang w:val="es-CR"/>
        </w:rPr>
        <w:t xml:space="preserve">Escritos de 5 y 25 de junio de 2014, </w:t>
      </w:r>
      <w:r w:rsidR="00A045F2" w:rsidRPr="0089763B">
        <w:rPr>
          <w:rFonts w:ascii="Verdana" w:hAnsi="Verdana"/>
          <w:sz w:val="16"/>
          <w:szCs w:val="16"/>
          <w:lang w:val="es-CR"/>
        </w:rPr>
        <w:t xml:space="preserve">20 de enero, 8 y 15 de abril, 7 de mayo, 1 de junio, 15 de julio, 28 de agosto y 1 y 28 de octubre </w:t>
      </w:r>
      <w:r w:rsidR="0033693B" w:rsidRPr="0089763B">
        <w:rPr>
          <w:rFonts w:ascii="Verdana" w:hAnsi="Verdana"/>
          <w:sz w:val="16"/>
          <w:szCs w:val="16"/>
          <w:lang w:val="es-CR"/>
        </w:rPr>
        <w:t xml:space="preserve">de 2015, </w:t>
      </w:r>
      <w:r w:rsidR="00A045F2" w:rsidRPr="0089763B">
        <w:rPr>
          <w:rFonts w:ascii="Verdana" w:hAnsi="Verdana"/>
          <w:sz w:val="16"/>
          <w:szCs w:val="16"/>
          <w:lang w:val="es-CR"/>
        </w:rPr>
        <w:t xml:space="preserve">17 de febrero, 5 de agosto </w:t>
      </w:r>
      <w:r w:rsidR="0089763B" w:rsidRPr="0089763B">
        <w:rPr>
          <w:rFonts w:ascii="Verdana" w:hAnsi="Verdana"/>
          <w:sz w:val="16"/>
          <w:szCs w:val="16"/>
          <w:lang w:val="es-CR"/>
        </w:rPr>
        <w:t xml:space="preserve">y 14 de noviembre </w:t>
      </w:r>
      <w:r w:rsidR="00A045F2" w:rsidRPr="0089763B">
        <w:rPr>
          <w:rFonts w:ascii="Verdana" w:hAnsi="Verdana"/>
          <w:sz w:val="16"/>
          <w:szCs w:val="16"/>
          <w:lang w:val="es-CR"/>
        </w:rPr>
        <w:t xml:space="preserve">de 2016 y </w:t>
      </w:r>
      <w:r w:rsidR="0089763B">
        <w:rPr>
          <w:rFonts w:ascii="Verdana" w:hAnsi="Verdana"/>
          <w:sz w:val="16"/>
          <w:szCs w:val="16"/>
          <w:lang w:val="es-CR"/>
        </w:rPr>
        <w:t>20 de junio de 2017.</w:t>
      </w:r>
    </w:p>
  </w:footnote>
  <w:footnote w:id="8">
    <w:p w14:paraId="43F36902" w14:textId="030EB99F" w:rsidR="000B4B9F" w:rsidRPr="003352F5" w:rsidRDefault="000B4B9F" w:rsidP="003352F5">
      <w:pPr>
        <w:pStyle w:val="FootnoteText"/>
        <w:jc w:val="both"/>
        <w:rPr>
          <w:rFonts w:ascii="Verdana" w:hAnsi="Verdana"/>
          <w:sz w:val="16"/>
          <w:szCs w:val="16"/>
          <w:lang w:val="es-CR"/>
        </w:rPr>
      </w:pPr>
      <w:r w:rsidRPr="0089763B">
        <w:rPr>
          <w:rStyle w:val="FootnoteReference"/>
          <w:rFonts w:ascii="Verdana" w:hAnsi="Verdana"/>
          <w:sz w:val="16"/>
          <w:szCs w:val="16"/>
        </w:rPr>
        <w:footnoteRef/>
      </w:r>
      <w:r w:rsidRPr="0089763B">
        <w:rPr>
          <w:rFonts w:ascii="Verdana" w:hAnsi="Verdana"/>
          <w:sz w:val="16"/>
          <w:szCs w:val="16"/>
          <w:lang w:val="es-CR"/>
        </w:rPr>
        <w:t xml:space="preserve"> </w:t>
      </w:r>
      <w:r w:rsidRPr="0089763B">
        <w:rPr>
          <w:rFonts w:ascii="Verdana" w:hAnsi="Verdana"/>
          <w:sz w:val="16"/>
          <w:szCs w:val="16"/>
          <w:lang w:val="es-CR"/>
        </w:rPr>
        <w:tab/>
      </w:r>
      <w:r w:rsidR="00A045F2" w:rsidRPr="0089763B">
        <w:rPr>
          <w:rFonts w:ascii="Verdana" w:hAnsi="Verdana"/>
          <w:sz w:val="16"/>
          <w:szCs w:val="16"/>
          <w:lang w:val="es-CR"/>
        </w:rPr>
        <w:t xml:space="preserve">Escritos de 5 de agosto y 6 de noviembre </w:t>
      </w:r>
      <w:r w:rsidR="0089763B" w:rsidRPr="0089763B">
        <w:rPr>
          <w:rFonts w:ascii="Verdana" w:hAnsi="Verdana"/>
          <w:sz w:val="16"/>
          <w:szCs w:val="16"/>
          <w:lang w:val="es-CR"/>
        </w:rPr>
        <w:t>de 2015, 11 de octubre de 2016 y 27 de enero de 2017.</w:t>
      </w:r>
    </w:p>
  </w:footnote>
  <w:footnote w:id="9">
    <w:p w14:paraId="28D0FD23" w14:textId="4F9593E1" w:rsidR="00692F6C" w:rsidRPr="00692F6C" w:rsidRDefault="00692F6C" w:rsidP="00C81138">
      <w:pPr>
        <w:pStyle w:val="FootnoteText"/>
        <w:jc w:val="both"/>
        <w:rPr>
          <w:rFonts w:ascii="Verdana" w:hAnsi="Verdana"/>
          <w:sz w:val="16"/>
          <w:szCs w:val="16"/>
          <w:lang w:val="es-CR"/>
        </w:rPr>
      </w:pPr>
      <w:r w:rsidRPr="00692F6C">
        <w:rPr>
          <w:rStyle w:val="FootnoteReference"/>
          <w:rFonts w:ascii="Verdana" w:hAnsi="Verdana"/>
          <w:sz w:val="16"/>
          <w:szCs w:val="16"/>
        </w:rPr>
        <w:footnoteRef/>
      </w:r>
      <w:r w:rsidRPr="00692F6C">
        <w:rPr>
          <w:rFonts w:ascii="Verdana" w:hAnsi="Verdana"/>
          <w:sz w:val="16"/>
          <w:szCs w:val="16"/>
          <w:lang w:val="es-CR"/>
        </w:rPr>
        <w:t xml:space="preserve"> </w:t>
      </w:r>
      <w:r w:rsidRPr="00692F6C">
        <w:rPr>
          <w:rFonts w:ascii="Verdana" w:hAnsi="Verdana"/>
          <w:sz w:val="16"/>
          <w:szCs w:val="16"/>
          <w:lang w:val="es-CR"/>
        </w:rPr>
        <w:tab/>
        <w:t xml:space="preserve">La Procuraduría </w:t>
      </w:r>
      <w:r w:rsidR="00C81138">
        <w:rPr>
          <w:rFonts w:ascii="Verdana" w:hAnsi="Verdana"/>
          <w:sz w:val="16"/>
          <w:szCs w:val="16"/>
          <w:lang w:val="es-CR"/>
        </w:rPr>
        <w:t xml:space="preserve">para la Defensa de los Derechos Humanos es una institución pública de rango constitucional, entre cuyas facultades se encuentra “velar por el respeto y garantía de los derechos humanos” en El Salvador.  </w:t>
      </w:r>
    </w:p>
  </w:footnote>
  <w:footnote w:id="10">
    <w:p w14:paraId="6C1041D3" w14:textId="533D6775" w:rsidR="000B4B9F" w:rsidRPr="0089763B" w:rsidRDefault="000B4B9F" w:rsidP="0089763B">
      <w:pPr>
        <w:pStyle w:val="FootnoteText"/>
        <w:jc w:val="both"/>
        <w:rPr>
          <w:rFonts w:ascii="Verdana" w:hAnsi="Verdana"/>
          <w:sz w:val="16"/>
          <w:szCs w:val="16"/>
          <w:lang w:val="es-CR"/>
        </w:rPr>
      </w:pPr>
      <w:r w:rsidRPr="0089763B">
        <w:rPr>
          <w:rStyle w:val="FootnoteReference"/>
          <w:rFonts w:ascii="Verdana" w:hAnsi="Verdana"/>
          <w:sz w:val="16"/>
          <w:szCs w:val="16"/>
        </w:rPr>
        <w:footnoteRef/>
      </w:r>
      <w:r w:rsidRPr="0089763B">
        <w:rPr>
          <w:rFonts w:ascii="Verdana" w:hAnsi="Verdana"/>
          <w:sz w:val="16"/>
          <w:szCs w:val="16"/>
          <w:lang w:val="es-CR"/>
        </w:rPr>
        <w:t xml:space="preserve"> </w:t>
      </w:r>
      <w:r w:rsidRPr="0089763B">
        <w:rPr>
          <w:rFonts w:ascii="Verdana" w:hAnsi="Verdana"/>
          <w:sz w:val="16"/>
          <w:szCs w:val="16"/>
          <w:lang w:val="es-CR"/>
        </w:rPr>
        <w:tab/>
        <w:t xml:space="preserve">Los escritos se refieren al </w:t>
      </w:r>
      <w:r w:rsidR="00C81138">
        <w:rPr>
          <w:rFonts w:ascii="Verdana" w:hAnsi="Verdana"/>
          <w:sz w:val="16"/>
          <w:szCs w:val="16"/>
          <w:lang w:val="es-CR"/>
        </w:rPr>
        <w:t>“seguimiento a las medidas de reparación adoptadas por el Estado en el caso de la Masacre de El Mozote y lugares aledaños”.</w:t>
      </w:r>
      <w:r w:rsidRPr="0089763B">
        <w:rPr>
          <w:rFonts w:ascii="Verdana" w:hAnsi="Verdana"/>
          <w:sz w:val="16"/>
          <w:szCs w:val="16"/>
          <w:lang w:val="es-CR"/>
        </w:rPr>
        <w:t xml:space="preserve"> </w:t>
      </w:r>
    </w:p>
  </w:footnote>
  <w:footnote w:id="11">
    <w:p w14:paraId="75841B05" w14:textId="4595C8F8" w:rsidR="00C90F46" w:rsidRPr="003352F5" w:rsidRDefault="00C90F46" w:rsidP="003352F5">
      <w:pPr>
        <w:pStyle w:val="FootnoteText"/>
        <w:jc w:val="both"/>
        <w:rPr>
          <w:lang w:val="es-CR"/>
        </w:rPr>
      </w:pPr>
      <w:r w:rsidRPr="003352F5">
        <w:rPr>
          <w:rStyle w:val="FootnoteReference"/>
          <w:rFonts w:ascii="Verdana" w:hAnsi="Verdana"/>
          <w:sz w:val="16"/>
          <w:szCs w:val="16"/>
        </w:rPr>
        <w:footnoteRef/>
      </w:r>
      <w:r w:rsidRPr="003352F5">
        <w:rPr>
          <w:rFonts w:ascii="Verdana" w:hAnsi="Verdana"/>
          <w:sz w:val="16"/>
          <w:szCs w:val="16"/>
          <w:lang w:val="es-CR"/>
        </w:rPr>
        <w:t xml:space="preserve"> </w:t>
      </w:r>
      <w:r w:rsidRPr="003352F5">
        <w:rPr>
          <w:rFonts w:ascii="Verdana" w:hAnsi="Verdana"/>
          <w:sz w:val="16"/>
          <w:szCs w:val="16"/>
          <w:lang w:val="es-CR"/>
        </w:rPr>
        <w:tab/>
        <w:t xml:space="preserve">Escritos de </w:t>
      </w:r>
      <w:r w:rsidR="0089763B">
        <w:rPr>
          <w:rFonts w:ascii="Verdana" w:hAnsi="Verdana"/>
          <w:sz w:val="16"/>
          <w:szCs w:val="16"/>
          <w:lang w:val="es-CR"/>
        </w:rPr>
        <w:t xml:space="preserve">8 de agosto, </w:t>
      </w:r>
      <w:r w:rsidR="0089763B" w:rsidRPr="003352F5">
        <w:rPr>
          <w:rFonts w:ascii="Verdana" w:hAnsi="Verdana"/>
          <w:sz w:val="16"/>
          <w:szCs w:val="16"/>
          <w:lang w:val="es-CR"/>
        </w:rPr>
        <w:t>30 de septiembre y 5 y 12 de octubre de 2016</w:t>
      </w:r>
      <w:r w:rsidR="0089763B">
        <w:rPr>
          <w:rFonts w:ascii="Verdana" w:hAnsi="Verdana"/>
          <w:sz w:val="16"/>
          <w:szCs w:val="16"/>
          <w:lang w:val="es-CR"/>
        </w:rPr>
        <w:t xml:space="preserve"> y 20 de marzo y 27 de abril de 2017.</w:t>
      </w:r>
    </w:p>
  </w:footnote>
  <w:footnote w:id="12">
    <w:p w14:paraId="46BA1C29" w14:textId="77777777" w:rsidR="000B4B9F" w:rsidRPr="00E61811" w:rsidRDefault="000B4B9F" w:rsidP="005816CD">
      <w:pPr>
        <w:pStyle w:val="FootnoteText"/>
        <w:ind w:right="4"/>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 xml:space="preserve">Facultad que además </w:t>
      </w:r>
      <w:r w:rsidRPr="00E61811">
        <w:rPr>
          <w:rFonts w:ascii="Verdana" w:hAnsi="Verdana"/>
          <w:sz w:val="16"/>
          <w:szCs w:val="16"/>
          <w:lang w:val="es-ES"/>
        </w:rPr>
        <w:t xml:space="preserve">se desprende de lo dispuesto en los artículos 33, 62.1, 62.3 y 65 de la Convención Americana y </w:t>
      </w:r>
      <w:r w:rsidRPr="00E61811">
        <w:rPr>
          <w:rFonts w:ascii="Verdana" w:hAnsi="Verdana"/>
          <w:sz w:val="16"/>
          <w:szCs w:val="16"/>
          <w:lang w:val="es-CR"/>
        </w:rPr>
        <w:t>30 de su Estatuto y se encuentra regulada en el artículo 69 de su Reglamento.</w:t>
      </w:r>
    </w:p>
  </w:footnote>
  <w:footnote w:id="13">
    <w:p w14:paraId="6CD728EF" w14:textId="77777777" w:rsidR="000B4B9F" w:rsidRPr="00E61811" w:rsidRDefault="000B4B9F" w:rsidP="00EC0A50">
      <w:pPr>
        <w:pStyle w:val="FootnoteText"/>
        <w:jc w:val="both"/>
        <w:rPr>
          <w:rFonts w:ascii="Verdana" w:hAnsi="Verdana"/>
          <w:i/>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El Tribunal declaró que El Salvador dio cumplimiento total a la medida de reparación correspondiente a la</w:t>
      </w:r>
      <w:r w:rsidRPr="00E61811">
        <w:rPr>
          <w:rFonts w:ascii="Verdana" w:hAnsi="Verdana"/>
          <w:sz w:val="16"/>
          <w:szCs w:val="16"/>
          <w:lang w:val="es-MX"/>
        </w:rPr>
        <w:t xml:space="preserve"> publicación de la sentencia y su resumen oficial </w:t>
      </w:r>
      <w:r w:rsidRPr="00E61811">
        <w:rPr>
          <w:rFonts w:ascii="Verdana" w:hAnsi="Verdana"/>
          <w:i/>
          <w:sz w:val="16"/>
          <w:szCs w:val="16"/>
          <w:lang w:val="es-MX"/>
        </w:rPr>
        <w:t>(punto resolutivo décimo de la Sentencia).</w:t>
      </w:r>
    </w:p>
  </w:footnote>
  <w:footnote w:id="14">
    <w:p w14:paraId="154A4313" w14:textId="0C242D59" w:rsidR="000B4B9F" w:rsidRPr="00E61811" w:rsidRDefault="000B4B9F" w:rsidP="00C22979">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Las siguientes medidas se encuentran pendientes de cumplimiento: i) continuar con la plena puesta en funcionamiento del “Registro Único de Víctimas y Familiares de Víctimas de Graves Violaciones a los Derechos Humanos durante la Masacre de El Mozote” y adoptar las medidas necesarias para asegurar su permanencia en el tiempo y la asignación presupuestaria para su efectivo funcionamiento</w:t>
      </w:r>
      <w:r w:rsidR="00CC2F4F">
        <w:rPr>
          <w:rFonts w:ascii="Verdana" w:hAnsi="Verdana"/>
          <w:sz w:val="16"/>
          <w:szCs w:val="16"/>
          <w:lang w:val="es-CR"/>
        </w:rPr>
        <w:t xml:space="preserve"> (</w:t>
      </w:r>
      <w:r w:rsidR="00CC2F4F">
        <w:rPr>
          <w:rFonts w:ascii="Verdana" w:hAnsi="Verdana"/>
          <w:i/>
          <w:sz w:val="16"/>
          <w:szCs w:val="16"/>
          <w:lang w:val="es-CR"/>
        </w:rPr>
        <w:t>punto resolutivo segundo de la Sentencia</w:t>
      </w:r>
      <w:r w:rsidR="00CC2F4F">
        <w:rPr>
          <w:rFonts w:ascii="Verdana" w:hAnsi="Verdana"/>
          <w:sz w:val="16"/>
          <w:szCs w:val="16"/>
          <w:lang w:val="es-CR"/>
        </w:rPr>
        <w:t>)</w:t>
      </w:r>
      <w:r w:rsidRPr="00E61811">
        <w:rPr>
          <w:rFonts w:ascii="Verdana" w:hAnsi="Verdana"/>
          <w:sz w:val="16"/>
          <w:szCs w:val="16"/>
          <w:lang w:val="es-CR"/>
        </w:rPr>
        <w:t>; ii) iniciar, impulsar, reabrir, dirigir, continuar y concluir, según corresponda, con la mayor diligencia, las investigaciones de todos los hechos que originaron las violaciones declaradas en la presente Sentencia, con el propósito de identificar, juzgar y, en su caso, sancionar a los responsables</w:t>
      </w:r>
      <w:r w:rsidR="00CC2F4F">
        <w:rPr>
          <w:rFonts w:ascii="Verdana" w:hAnsi="Verdana"/>
          <w:sz w:val="16"/>
          <w:szCs w:val="16"/>
          <w:lang w:val="es-CR"/>
        </w:rPr>
        <w:t xml:space="preserve"> (</w:t>
      </w:r>
      <w:r w:rsidR="00CC2F4F">
        <w:rPr>
          <w:rFonts w:ascii="Verdana" w:hAnsi="Verdana"/>
          <w:i/>
          <w:sz w:val="16"/>
          <w:szCs w:val="16"/>
          <w:lang w:val="es-CR"/>
        </w:rPr>
        <w:t>punto resolutivo tercero de la Sentencia</w:t>
      </w:r>
      <w:r w:rsidR="00CC2F4F">
        <w:rPr>
          <w:rFonts w:ascii="Verdana" w:hAnsi="Verdana"/>
          <w:sz w:val="16"/>
          <w:szCs w:val="16"/>
          <w:lang w:val="es-CR"/>
        </w:rPr>
        <w:t>)</w:t>
      </w:r>
      <w:r w:rsidRPr="00E61811">
        <w:rPr>
          <w:rFonts w:ascii="Verdana" w:hAnsi="Verdana"/>
          <w:sz w:val="16"/>
          <w:szCs w:val="16"/>
          <w:lang w:val="es-CR"/>
        </w:rPr>
        <w:t>; iii) asegurar que la Ley de Amnistía General para la Consolidación de la Paz no vuelva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w:t>
      </w:r>
      <w:r w:rsidR="00CC2F4F">
        <w:rPr>
          <w:rFonts w:ascii="Verdana" w:hAnsi="Verdana"/>
          <w:sz w:val="16"/>
          <w:szCs w:val="16"/>
          <w:lang w:val="es-CR"/>
        </w:rPr>
        <w:t xml:space="preserve"> (</w:t>
      </w:r>
      <w:r w:rsidR="00CC2F4F">
        <w:rPr>
          <w:rFonts w:ascii="Verdana" w:hAnsi="Verdana"/>
          <w:i/>
          <w:sz w:val="16"/>
          <w:szCs w:val="16"/>
          <w:lang w:val="es-CR"/>
        </w:rPr>
        <w:t>punto resolutivo cuarto de la Sentencia</w:t>
      </w:r>
      <w:r w:rsidR="00CC2F4F">
        <w:rPr>
          <w:rFonts w:ascii="Verdana" w:hAnsi="Verdana"/>
          <w:sz w:val="16"/>
          <w:szCs w:val="16"/>
          <w:lang w:val="es-CR"/>
        </w:rPr>
        <w:t>)</w:t>
      </w:r>
      <w:r w:rsidRPr="00E61811">
        <w:rPr>
          <w:rFonts w:ascii="Verdana" w:hAnsi="Verdana"/>
          <w:sz w:val="16"/>
          <w:szCs w:val="16"/>
          <w:lang w:val="es-CR"/>
        </w:rPr>
        <w:t>; iv) investigar, por intermedio de las instituciones públicas competentes, la conducta de los funcionarios que obstaculizaron la investigación y permitieron que permaneciera en impunidad y, luego de un debido proceso, aplicar, si es el caso, las sanciones administrativas, disciplinarias o penales correspondientes a quienes fueran encontrados responsables</w:t>
      </w:r>
      <w:r w:rsidR="00CC2F4F">
        <w:rPr>
          <w:rFonts w:ascii="Verdana" w:hAnsi="Verdana"/>
          <w:sz w:val="16"/>
          <w:szCs w:val="16"/>
          <w:lang w:val="es-CR"/>
        </w:rPr>
        <w:t xml:space="preserve"> (</w:t>
      </w:r>
      <w:r w:rsidR="00CC2F4F">
        <w:rPr>
          <w:rFonts w:ascii="Verdana" w:hAnsi="Verdana"/>
          <w:i/>
          <w:sz w:val="16"/>
          <w:szCs w:val="16"/>
          <w:lang w:val="es-CR"/>
        </w:rPr>
        <w:t>punto resolutivo quinto de la Sentencia</w:t>
      </w:r>
      <w:r w:rsidR="00CC2F4F">
        <w:rPr>
          <w:rFonts w:ascii="Verdana" w:hAnsi="Verdana"/>
          <w:sz w:val="16"/>
          <w:szCs w:val="16"/>
          <w:lang w:val="es-CR"/>
        </w:rPr>
        <w:t>)</w:t>
      </w:r>
      <w:r w:rsidRPr="00E61811">
        <w:rPr>
          <w:rFonts w:ascii="Verdana" w:hAnsi="Verdana"/>
          <w:sz w:val="16"/>
          <w:szCs w:val="16"/>
          <w:lang w:val="es-CR"/>
        </w:rPr>
        <w:t>; v) llevar a cabo un levantamiento de la información disponible sobre posibles sitios de inhumación o entierro a los cuales se deberá proteger para su preservación, a fin de que se inicien de manera sistemática y rigurosa, con los recursos humanos y económicos adecuados, las exhumaciones, identificación y, en su caso, entrega de los restos de las personas ejecutadas a sus familiares</w:t>
      </w:r>
      <w:r w:rsidR="00CC2F4F">
        <w:rPr>
          <w:rFonts w:ascii="Verdana" w:hAnsi="Verdana"/>
          <w:sz w:val="16"/>
          <w:szCs w:val="16"/>
          <w:lang w:val="es-CR"/>
        </w:rPr>
        <w:t xml:space="preserve"> (</w:t>
      </w:r>
      <w:r w:rsidR="00CC2F4F">
        <w:rPr>
          <w:rFonts w:ascii="Verdana" w:hAnsi="Verdana"/>
          <w:i/>
          <w:sz w:val="16"/>
          <w:szCs w:val="16"/>
          <w:lang w:val="es-CR"/>
        </w:rPr>
        <w:t>punto resolutivo sexto de la Sentencia</w:t>
      </w:r>
      <w:r w:rsidR="00CC2F4F">
        <w:rPr>
          <w:rFonts w:ascii="Verdana" w:hAnsi="Verdana"/>
          <w:sz w:val="16"/>
          <w:szCs w:val="16"/>
          <w:lang w:val="es-CR"/>
        </w:rPr>
        <w:t>)</w:t>
      </w:r>
      <w:r w:rsidRPr="00E61811">
        <w:rPr>
          <w:rFonts w:ascii="Verdana" w:hAnsi="Verdana"/>
          <w:sz w:val="16"/>
          <w:szCs w:val="16"/>
          <w:lang w:val="es-CR"/>
        </w:rPr>
        <w:t>; vi) implementar un programa de desarrollo a favor de las comunidades del caserío El Mozote, del cantón La Joya, de los caseríos Ranchería, Los Toriles y Jocote Amarillo, y del cantón Cerro Pando</w:t>
      </w:r>
      <w:r w:rsidR="00CC2F4F">
        <w:rPr>
          <w:rFonts w:ascii="Verdana" w:hAnsi="Verdana"/>
          <w:sz w:val="16"/>
          <w:szCs w:val="16"/>
          <w:lang w:val="es-CR"/>
        </w:rPr>
        <w:t xml:space="preserve"> (</w:t>
      </w:r>
      <w:r w:rsidR="00CC2F4F">
        <w:rPr>
          <w:rFonts w:ascii="Verdana" w:hAnsi="Verdana"/>
          <w:i/>
          <w:sz w:val="16"/>
          <w:szCs w:val="16"/>
          <w:lang w:val="es-CR"/>
        </w:rPr>
        <w:t>punto resolutivo séptimo de la Sentencia</w:t>
      </w:r>
      <w:r w:rsidR="00CC2F4F">
        <w:rPr>
          <w:rFonts w:ascii="Verdana" w:hAnsi="Verdana"/>
          <w:sz w:val="16"/>
          <w:szCs w:val="16"/>
          <w:lang w:val="es-CR"/>
        </w:rPr>
        <w:t>)</w:t>
      </w:r>
      <w:r w:rsidRPr="00E61811">
        <w:rPr>
          <w:rFonts w:ascii="Verdana" w:hAnsi="Verdana"/>
          <w:sz w:val="16"/>
          <w:szCs w:val="16"/>
          <w:lang w:val="es-CR"/>
        </w:rPr>
        <w:t>; vii) garantizar las condiciones adecuadas a fin de que las víctimas desplazadas puedan retornar a sus comunidades de origen de manera permanente, si así lo desean, así como implementar un programa habitacional en las zonas afectadas por las masacres del presente caso</w:t>
      </w:r>
      <w:r w:rsidR="00CC2F4F">
        <w:rPr>
          <w:rFonts w:ascii="Verdana" w:hAnsi="Verdana"/>
          <w:sz w:val="16"/>
          <w:szCs w:val="16"/>
          <w:lang w:val="es-CR"/>
        </w:rPr>
        <w:t xml:space="preserve"> (</w:t>
      </w:r>
      <w:r w:rsidR="00CC2F4F">
        <w:rPr>
          <w:rFonts w:ascii="Verdana" w:hAnsi="Verdana"/>
          <w:i/>
          <w:sz w:val="16"/>
          <w:szCs w:val="16"/>
          <w:lang w:val="es-CR"/>
        </w:rPr>
        <w:t>punto resolutivo octavo de la Sentencia</w:t>
      </w:r>
      <w:r w:rsidR="00CC2F4F">
        <w:rPr>
          <w:rFonts w:ascii="Verdana" w:hAnsi="Verdana"/>
          <w:sz w:val="16"/>
          <w:szCs w:val="16"/>
          <w:lang w:val="es-CR"/>
        </w:rPr>
        <w:t>)</w:t>
      </w:r>
      <w:r w:rsidRPr="00E61811">
        <w:rPr>
          <w:rFonts w:ascii="Verdana" w:hAnsi="Verdana"/>
          <w:sz w:val="16"/>
          <w:szCs w:val="16"/>
          <w:lang w:val="es-CR"/>
        </w:rPr>
        <w:t>; viii) implementar un programa de atención y tratamiento integral de la salud física, psíquica y psicosocial con carácter permanente</w:t>
      </w:r>
      <w:r w:rsidR="00CC2F4F">
        <w:rPr>
          <w:rFonts w:ascii="Verdana" w:hAnsi="Verdana"/>
          <w:sz w:val="16"/>
          <w:szCs w:val="16"/>
          <w:lang w:val="es-CR"/>
        </w:rPr>
        <w:t xml:space="preserve"> (</w:t>
      </w:r>
      <w:r w:rsidR="00CC2F4F">
        <w:rPr>
          <w:rFonts w:ascii="Verdana" w:hAnsi="Verdana"/>
          <w:i/>
          <w:sz w:val="16"/>
          <w:szCs w:val="16"/>
          <w:lang w:val="es-CR"/>
        </w:rPr>
        <w:t>punto resolutivo noveno de la Sentencia</w:t>
      </w:r>
      <w:r w:rsidR="00CC2F4F">
        <w:rPr>
          <w:rFonts w:ascii="Verdana" w:hAnsi="Verdana"/>
          <w:sz w:val="16"/>
          <w:szCs w:val="16"/>
          <w:lang w:val="es-CR"/>
        </w:rPr>
        <w:t>)</w:t>
      </w:r>
      <w:r w:rsidRPr="00E61811">
        <w:rPr>
          <w:rFonts w:ascii="Verdana" w:hAnsi="Verdana"/>
          <w:sz w:val="16"/>
          <w:szCs w:val="16"/>
          <w:lang w:val="es-CR"/>
        </w:rPr>
        <w:t>; ix) realizar un audiovisual documental sobre los graves hechos cometidos en las masacres de El Mozote y lugares aledaños</w:t>
      </w:r>
      <w:r w:rsidR="00CC2F4F">
        <w:rPr>
          <w:rFonts w:ascii="Verdana" w:hAnsi="Verdana"/>
          <w:sz w:val="16"/>
          <w:szCs w:val="16"/>
          <w:lang w:val="es-CR"/>
        </w:rPr>
        <w:t xml:space="preserve"> (</w:t>
      </w:r>
      <w:r w:rsidR="00CC2F4F">
        <w:rPr>
          <w:rFonts w:ascii="Verdana" w:hAnsi="Verdana"/>
          <w:i/>
          <w:sz w:val="16"/>
          <w:szCs w:val="16"/>
          <w:lang w:val="es-CR"/>
        </w:rPr>
        <w:t>punto resolutivo décimo primero de la Sentencia</w:t>
      </w:r>
      <w:r w:rsidR="00CC2F4F">
        <w:rPr>
          <w:rFonts w:ascii="Verdana" w:hAnsi="Verdana"/>
          <w:sz w:val="16"/>
          <w:szCs w:val="16"/>
          <w:lang w:val="es-CR"/>
        </w:rPr>
        <w:t>)</w:t>
      </w:r>
      <w:r w:rsidRPr="00E61811">
        <w:rPr>
          <w:rFonts w:ascii="Verdana" w:hAnsi="Verdana"/>
          <w:sz w:val="16"/>
          <w:szCs w:val="16"/>
          <w:lang w:val="es-CR"/>
        </w:rPr>
        <w:t>; x) implementar un programa o curso permanente y obligatorio sobre derechos humanos, incluyendo la perspectiva de género y niñez, dirigido a todos los niveles jerárquicos de la Fuerza Armada de la República de El Salvador</w:t>
      </w:r>
      <w:r w:rsidR="00CC2F4F">
        <w:rPr>
          <w:rFonts w:ascii="Verdana" w:hAnsi="Verdana"/>
          <w:sz w:val="16"/>
          <w:szCs w:val="16"/>
          <w:lang w:val="es-CR"/>
        </w:rPr>
        <w:t xml:space="preserve"> (</w:t>
      </w:r>
      <w:r w:rsidR="00CC2F4F">
        <w:rPr>
          <w:rFonts w:ascii="Verdana" w:hAnsi="Verdana"/>
          <w:i/>
          <w:sz w:val="16"/>
          <w:szCs w:val="16"/>
          <w:lang w:val="es-CR"/>
        </w:rPr>
        <w:t>punto resolutivo décimo segundo de la Sentencia</w:t>
      </w:r>
      <w:r w:rsidR="00CC2F4F">
        <w:rPr>
          <w:rFonts w:ascii="Verdana" w:hAnsi="Verdana"/>
          <w:sz w:val="16"/>
          <w:szCs w:val="16"/>
          <w:lang w:val="es-CR"/>
        </w:rPr>
        <w:t>)</w:t>
      </w:r>
      <w:r w:rsidRPr="00E61811">
        <w:rPr>
          <w:rFonts w:ascii="Verdana" w:hAnsi="Verdana"/>
          <w:sz w:val="16"/>
          <w:szCs w:val="16"/>
          <w:lang w:val="es-CR"/>
        </w:rPr>
        <w:t>; xi) pagar las cantidades correspondientes a</w:t>
      </w:r>
      <w:r w:rsidR="004055D7">
        <w:rPr>
          <w:rFonts w:ascii="Verdana" w:hAnsi="Verdana"/>
          <w:sz w:val="16"/>
          <w:szCs w:val="16"/>
          <w:lang w:val="es-CR"/>
        </w:rPr>
        <w:t xml:space="preserve"> indemnizaciones por concepto de</w:t>
      </w:r>
      <w:r w:rsidRPr="00E61811">
        <w:rPr>
          <w:rFonts w:ascii="Verdana" w:hAnsi="Verdana"/>
          <w:sz w:val="16"/>
          <w:szCs w:val="16"/>
          <w:lang w:val="es-CR"/>
        </w:rPr>
        <w:t xml:space="preserve"> daños materiales e inmateriales</w:t>
      </w:r>
      <w:r w:rsidR="00CC2F4F">
        <w:rPr>
          <w:rFonts w:ascii="Verdana" w:hAnsi="Verdana"/>
          <w:sz w:val="16"/>
          <w:szCs w:val="16"/>
          <w:lang w:val="es-CR"/>
        </w:rPr>
        <w:t xml:space="preserve"> </w:t>
      </w:r>
      <w:r w:rsidR="00CC2F4F">
        <w:rPr>
          <w:rFonts w:ascii="Verdana" w:hAnsi="Verdana"/>
          <w:i/>
          <w:sz w:val="16"/>
          <w:szCs w:val="16"/>
          <w:lang w:val="es-CR"/>
        </w:rPr>
        <w:t>(punto resolutivo décimo tercero de la Sentencia</w:t>
      </w:r>
      <w:r w:rsidR="00CC2F4F">
        <w:rPr>
          <w:rFonts w:ascii="Verdana" w:hAnsi="Verdana"/>
          <w:sz w:val="16"/>
          <w:szCs w:val="16"/>
          <w:lang w:val="es-CR"/>
        </w:rPr>
        <w:t>)</w:t>
      </w:r>
      <w:r w:rsidRPr="00E61811">
        <w:rPr>
          <w:rFonts w:ascii="Verdana" w:hAnsi="Verdana"/>
          <w:sz w:val="16"/>
          <w:szCs w:val="16"/>
          <w:lang w:val="es-CR"/>
        </w:rPr>
        <w:t>, y xii) por el reintegro de costas y gastos</w:t>
      </w:r>
      <w:r w:rsidR="00CC2F4F">
        <w:rPr>
          <w:rFonts w:ascii="Verdana" w:hAnsi="Verdana"/>
          <w:sz w:val="16"/>
          <w:szCs w:val="16"/>
          <w:lang w:val="es-CR"/>
        </w:rPr>
        <w:t xml:space="preserve"> (</w:t>
      </w:r>
      <w:r w:rsidR="00CC2F4F">
        <w:rPr>
          <w:rFonts w:ascii="Verdana" w:hAnsi="Verdana"/>
          <w:i/>
          <w:sz w:val="16"/>
          <w:szCs w:val="16"/>
          <w:lang w:val="es-CR"/>
        </w:rPr>
        <w:t>punto resolutivo décimo tercero de la Sentencia</w:t>
      </w:r>
      <w:r w:rsidR="00CC2F4F">
        <w:rPr>
          <w:rFonts w:ascii="Verdana" w:hAnsi="Verdana"/>
          <w:sz w:val="16"/>
          <w:szCs w:val="16"/>
          <w:lang w:val="es-CR"/>
        </w:rPr>
        <w:t>)</w:t>
      </w:r>
      <w:r w:rsidRPr="00E61811">
        <w:rPr>
          <w:rFonts w:ascii="Verdana" w:hAnsi="Verdana"/>
          <w:sz w:val="16"/>
          <w:szCs w:val="16"/>
          <w:lang w:val="es-CR"/>
        </w:rPr>
        <w:t xml:space="preserve">. </w:t>
      </w:r>
    </w:p>
  </w:footnote>
  <w:footnote w:id="15">
    <w:p w14:paraId="5CFBF941" w14:textId="5CD477A9" w:rsidR="000B4B9F" w:rsidRPr="00E61811" w:rsidRDefault="000B4B9F" w:rsidP="00C22979">
      <w:pPr>
        <w:pStyle w:val="FootnoteText"/>
        <w:tabs>
          <w:tab w:val="left" w:pos="426"/>
        </w:tabs>
        <w:ind w:right="4"/>
        <w:jc w:val="both"/>
        <w:rPr>
          <w:rFonts w:ascii="Verdana" w:hAnsi="Verdana"/>
          <w:b/>
          <w:color w:val="000000"/>
          <w:sz w:val="16"/>
          <w:szCs w:val="16"/>
          <w:lang w:val="es-CR"/>
        </w:rPr>
      </w:pPr>
      <w:r w:rsidRPr="00E61811">
        <w:rPr>
          <w:rStyle w:val="FootnoteReference"/>
          <w:rFonts w:ascii="Verdana" w:hAnsi="Verdana"/>
          <w:sz w:val="16"/>
          <w:szCs w:val="16"/>
        </w:rPr>
        <w:footnoteRef/>
      </w:r>
      <w:r w:rsidRPr="00E61811">
        <w:rPr>
          <w:rFonts w:ascii="Verdana" w:hAnsi="Verdana"/>
          <w:i/>
          <w:color w:val="000000"/>
          <w:sz w:val="16"/>
          <w:szCs w:val="16"/>
          <w:lang w:val="es-AR"/>
        </w:rPr>
        <w:t xml:space="preserve"> </w:t>
      </w:r>
      <w:r w:rsidRPr="00E61811">
        <w:rPr>
          <w:rFonts w:ascii="Verdana" w:hAnsi="Verdana"/>
          <w:i/>
          <w:color w:val="000000"/>
          <w:sz w:val="16"/>
          <w:szCs w:val="16"/>
          <w:lang w:val="es-AR"/>
        </w:rPr>
        <w:tab/>
        <w:t xml:space="preserve">Cfr. Caso Cinco Pensionistas Vs. Perú. </w:t>
      </w:r>
      <w:r w:rsidRPr="00E61811">
        <w:rPr>
          <w:rFonts w:ascii="Verdana" w:hAnsi="Verdana"/>
          <w:color w:val="000000"/>
          <w:sz w:val="16"/>
          <w:szCs w:val="16"/>
          <w:lang w:val="es-AR"/>
        </w:rPr>
        <w:t xml:space="preserve">Resolución de la Corte Interamericana de Derechos Humanos de 17 de noviembre de 2004, Considerando </w:t>
      </w:r>
      <w:r w:rsidR="00CD63FD">
        <w:rPr>
          <w:rFonts w:ascii="Verdana" w:hAnsi="Verdana"/>
          <w:color w:val="000000"/>
          <w:sz w:val="16"/>
          <w:szCs w:val="16"/>
          <w:lang w:val="es-AR"/>
        </w:rPr>
        <w:t>5</w:t>
      </w:r>
      <w:r w:rsidRPr="00E61811">
        <w:rPr>
          <w:rFonts w:ascii="Verdana" w:hAnsi="Verdana"/>
          <w:color w:val="000000"/>
          <w:sz w:val="16"/>
          <w:szCs w:val="16"/>
          <w:lang w:val="es-AR"/>
        </w:rPr>
        <w:t xml:space="preserve">, y </w:t>
      </w:r>
      <w:r w:rsidR="007179C4" w:rsidRPr="007179C4">
        <w:rPr>
          <w:rFonts w:ascii="Verdana" w:hAnsi="Verdana"/>
          <w:i/>
          <w:color w:val="000000"/>
          <w:sz w:val="16"/>
          <w:szCs w:val="16"/>
          <w:lang w:val="es-AR"/>
        </w:rPr>
        <w:t xml:space="preserve">Caso Masacre de Plan de Sánchez Vs. Guatemala. Supervisión de Cumplimiento de Sentencia. </w:t>
      </w:r>
      <w:r w:rsidR="007179C4" w:rsidRPr="007179C4">
        <w:rPr>
          <w:rFonts w:ascii="Verdana" w:hAnsi="Verdana"/>
          <w:color w:val="000000"/>
          <w:sz w:val="16"/>
          <w:szCs w:val="16"/>
          <w:lang w:val="es-AR"/>
        </w:rPr>
        <w:t>Resolución de la Corte Interamericana de Derechos Humanos 25 de mayo de 2017</w:t>
      </w:r>
      <w:r w:rsidR="001B34BF" w:rsidRPr="00CC2F4F">
        <w:rPr>
          <w:rStyle w:val="Strong"/>
          <w:rFonts w:ascii="Verdana" w:hAnsi="Verdana"/>
          <w:b w:val="0"/>
          <w:color w:val="000000"/>
          <w:sz w:val="16"/>
          <w:szCs w:val="16"/>
          <w:shd w:val="clear" w:color="auto" w:fill="FFFFFF"/>
          <w:lang w:val="es-CR"/>
        </w:rPr>
        <w:t>, Considerando 2.</w:t>
      </w:r>
    </w:p>
  </w:footnote>
  <w:footnote w:id="16">
    <w:p w14:paraId="49962C26" w14:textId="3DA4FE46" w:rsidR="000B4B9F" w:rsidRPr="00E61811" w:rsidRDefault="000B4B9F" w:rsidP="00C22979">
      <w:pPr>
        <w:pStyle w:val="FootnoteText"/>
        <w:tabs>
          <w:tab w:val="left" w:pos="426"/>
        </w:tabs>
        <w:ind w:right="4"/>
        <w:jc w:val="both"/>
        <w:rPr>
          <w:rFonts w:ascii="Verdana" w:hAnsi="Verdana"/>
          <w:b/>
          <w:color w:val="000000"/>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r>
      <w:r w:rsidRPr="00E61811">
        <w:rPr>
          <w:rFonts w:ascii="Verdana" w:hAnsi="Verdana"/>
          <w:i/>
          <w:sz w:val="16"/>
          <w:szCs w:val="16"/>
          <w:lang w:val="es-CR"/>
        </w:rPr>
        <w:t>Cfr. Caso Ivcher Bronstein Vs. Perú. Competencia</w:t>
      </w:r>
      <w:r w:rsidRPr="00E61811">
        <w:rPr>
          <w:rFonts w:ascii="Verdana" w:hAnsi="Verdana"/>
          <w:sz w:val="16"/>
          <w:szCs w:val="16"/>
          <w:lang w:val="es-CR"/>
        </w:rPr>
        <w:t xml:space="preserve">. Sentencia de la Corte Interamericana de Derechos Humanos de 24 de septiembre de 1999. Serie C No. 54, párr. 37, y </w:t>
      </w:r>
      <w:r w:rsidR="007179C4" w:rsidRPr="007179C4">
        <w:rPr>
          <w:rFonts w:ascii="Verdana" w:hAnsi="Verdana"/>
          <w:i/>
          <w:color w:val="000000"/>
          <w:sz w:val="16"/>
          <w:szCs w:val="16"/>
          <w:lang w:val="es-AR"/>
        </w:rPr>
        <w:t xml:space="preserve">Caso Masacre de Plan de Sánchez Vs. Guatemala. Supervisión de Cumplimiento de Sentencia. </w:t>
      </w:r>
      <w:r w:rsidR="007179C4" w:rsidRPr="007179C4">
        <w:rPr>
          <w:rFonts w:ascii="Verdana" w:hAnsi="Verdana"/>
          <w:color w:val="000000"/>
          <w:sz w:val="16"/>
          <w:szCs w:val="16"/>
          <w:lang w:val="es-AR"/>
        </w:rPr>
        <w:t>Resolución de la Corte Interamericana de Derechos Humanos 25 de mayo de 2017</w:t>
      </w:r>
      <w:r w:rsidR="007179C4" w:rsidRPr="00CC2F4F">
        <w:rPr>
          <w:rStyle w:val="Strong"/>
          <w:rFonts w:ascii="Verdana" w:hAnsi="Verdana"/>
          <w:b w:val="0"/>
          <w:color w:val="000000"/>
          <w:sz w:val="16"/>
          <w:szCs w:val="16"/>
          <w:shd w:val="clear" w:color="auto" w:fill="FFFFFF"/>
          <w:lang w:val="es-CR"/>
        </w:rPr>
        <w:t>, Considerando 2.</w:t>
      </w:r>
    </w:p>
  </w:footnote>
  <w:footnote w:id="17">
    <w:p w14:paraId="2128791C" w14:textId="6E5947FB" w:rsidR="000B4B9F" w:rsidRPr="00E61811" w:rsidRDefault="000B4B9F" w:rsidP="00CC60C7">
      <w:pPr>
        <w:pStyle w:val="FootnoteText"/>
        <w:jc w:val="both"/>
        <w:rPr>
          <w:rFonts w:ascii="Verdana" w:hAnsi="Verdana"/>
          <w:sz w:val="16"/>
          <w:szCs w:val="16"/>
          <w:lang w:val="es-ES_tradnl"/>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ES_tradnl"/>
        </w:rPr>
        <w:tab/>
      </w:r>
      <w:r w:rsidR="0073741E" w:rsidRPr="00CC60C7">
        <w:rPr>
          <w:rFonts w:ascii="Verdana" w:hAnsi="Verdana"/>
          <w:i/>
          <w:sz w:val="16"/>
          <w:szCs w:val="16"/>
          <w:lang w:val="es-ES_tradnl"/>
        </w:rPr>
        <w:t>C</w:t>
      </w:r>
      <w:r w:rsidR="00FE5CE2">
        <w:rPr>
          <w:rFonts w:ascii="Verdana" w:hAnsi="Verdana"/>
          <w:i/>
          <w:sz w:val="16"/>
          <w:szCs w:val="16"/>
          <w:lang w:val="es-ES_tradnl"/>
        </w:rPr>
        <w:t>fr. C</w:t>
      </w:r>
      <w:r w:rsidR="0073741E" w:rsidRPr="00CC60C7">
        <w:rPr>
          <w:rFonts w:ascii="Verdana" w:hAnsi="Verdana"/>
          <w:i/>
          <w:sz w:val="16"/>
          <w:szCs w:val="16"/>
          <w:lang w:val="es-ES_tradnl"/>
        </w:rPr>
        <w:t xml:space="preserve">aso </w:t>
      </w:r>
      <w:r w:rsidRPr="00CC60C7">
        <w:rPr>
          <w:rFonts w:ascii="Verdana" w:hAnsi="Verdana"/>
          <w:i/>
          <w:sz w:val="16"/>
          <w:szCs w:val="16"/>
          <w:lang w:val="es-ES_tradnl"/>
        </w:rPr>
        <w:t>Artavia Murillo</w:t>
      </w:r>
      <w:r w:rsidR="0073741E" w:rsidRPr="00CC60C7">
        <w:rPr>
          <w:rFonts w:ascii="Verdana" w:hAnsi="Verdana"/>
          <w:i/>
          <w:sz w:val="16"/>
          <w:szCs w:val="16"/>
          <w:lang w:val="es-ES_tradnl"/>
        </w:rPr>
        <w:t xml:space="preserve"> y otros (“Fecundación In Vitro”) Vs. Costa Rica. Supervisión de Cumplimiento de Sentencia.</w:t>
      </w:r>
      <w:r w:rsidR="0073741E">
        <w:rPr>
          <w:rFonts w:ascii="Verdana" w:hAnsi="Verdana"/>
          <w:sz w:val="16"/>
          <w:szCs w:val="16"/>
          <w:lang w:val="es-ES_tradnl"/>
        </w:rPr>
        <w:t xml:space="preserve"> Resolución de la Corte Interamericana de Derechos Humanos de 26 de febrero de 2016, Considerando</w:t>
      </w:r>
      <w:r w:rsidR="00CC60C7">
        <w:rPr>
          <w:rFonts w:ascii="Verdana" w:hAnsi="Verdana"/>
          <w:sz w:val="16"/>
          <w:szCs w:val="16"/>
          <w:lang w:val="es-ES_tradnl"/>
        </w:rPr>
        <w:t xml:space="preserve"> 2</w:t>
      </w:r>
      <w:r w:rsidR="0073741E">
        <w:rPr>
          <w:rFonts w:ascii="Verdana" w:hAnsi="Verdana"/>
          <w:sz w:val="16"/>
          <w:szCs w:val="16"/>
          <w:lang w:val="es-ES_tradnl"/>
        </w:rPr>
        <w:t>;</w:t>
      </w:r>
      <w:r w:rsidRPr="00E61811">
        <w:rPr>
          <w:rFonts w:ascii="Verdana" w:hAnsi="Verdana"/>
          <w:sz w:val="16"/>
          <w:szCs w:val="16"/>
          <w:lang w:val="es-ES_tradnl"/>
        </w:rPr>
        <w:t xml:space="preserve"> </w:t>
      </w:r>
      <w:r w:rsidR="0073741E" w:rsidRPr="00CC60C7">
        <w:rPr>
          <w:rFonts w:ascii="Verdana" w:hAnsi="Verdana"/>
          <w:i/>
          <w:sz w:val="16"/>
          <w:szCs w:val="16"/>
          <w:lang w:val="es-ES_tradnl"/>
        </w:rPr>
        <w:t xml:space="preserve">Caso </w:t>
      </w:r>
      <w:r w:rsidRPr="00CC60C7">
        <w:rPr>
          <w:rFonts w:ascii="Verdana" w:hAnsi="Verdana"/>
          <w:i/>
          <w:sz w:val="16"/>
          <w:szCs w:val="16"/>
          <w:lang w:val="es-ES_tradnl"/>
        </w:rPr>
        <w:t>Penal</w:t>
      </w:r>
      <w:r w:rsidR="0073741E" w:rsidRPr="00CC60C7">
        <w:rPr>
          <w:rFonts w:ascii="Verdana" w:hAnsi="Verdana"/>
          <w:i/>
          <w:sz w:val="16"/>
          <w:szCs w:val="16"/>
          <w:lang w:val="es-ES_tradnl"/>
        </w:rPr>
        <w:t xml:space="preserve"> Miguel</w:t>
      </w:r>
      <w:r w:rsidRPr="00CC60C7">
        <w:rPr>
          <w:rFonts w:ascii="Verdana" w:hAnsi="Verdana"/>
          <w:i/>
          <w:sz w:val="16"/>
          <w:szCs w:val="16"/>
          <w:lang w:val="es-ES_tradnl"/>
        </w:rPr>
        <w:t xml:space="preserve"> Castro Castro</w:t>
      </w:r>
      <w:r w:rsidR="0073741E" w:rsidRPr="00CC60C7">
        <w:rPr>
          <w:rFonts w:ascii="Verdana" w:hAnsi="Verdana"/>
          <w:i/>
          <w:sz w:val="16"/>
          <w:szCs w:val="16"/>
          <w:lang w:val="es-ES_tradnl"/>
        </w:rPr>
        <w:t xml:space="preserve"> Vs. Perú. Supervisión de Cumplimiento de Sentencia. </w:t>
      </w:r>
      <w:r w:rsidR="0073741E">
        <w:rPr>
          <w:rFonts w:ascii="Verdana" w:hAnsi="Verdana"/>
          <w:sz w:val="16"/>
          <w:szCs w:val="16"/>
          <w:lang w:val="es-ES_tradnl"/>
        </w:rPr>
        <w:t>Resolución de la Corte Interamericana de Derechos Humanos de 9 de febrero de 2017, Considerando 3; y</w:t>
      </w:r>
      <w:r w:rsidRPr="00E61811">
        <w:rPr>
          <w:rFonts w:ascii="Verdana" w:hAnsi="Verdana"/>
          <w:sz w:val="16"/>
          <w:szCs w:val="16"/>
          <w:lang w:val="es-ES_tradnl"/>
        </w:rPr>
        <w:t xml:space="preserve"> </w:t>
      </w:r>
      <w:r w:rsidR="00CC60C7">
        <w:rPr>
          <w:rFonts w:ascii="Verdana" w:hAnsi="Verdana"/>
          <w:i/>
          <w:sz w:val="16"/>
          <w:szCs w:val="16"/>
          <w:lang w:val="es-ES_tradnl"/>
        </w:rPr>
        <w:t>Supervisión de cumplimiento de sentencias de 12 casos guatemaltecos respecto de la obligación de investigar, juzgar y de ser el caso sancionar a los responsables de las violaciones a los derechos humanos</w:t>
      </w:r>
      <w:r w:rsidR="0073741E" w:rsidRPr="00CC60C7">
        <w:rPr>
          <w:rFonts w:ascii="Verdana" w:hAnsi="Verdana"/>
          <w:i/>
          <w:sz w:val="16"/>
          <w:szCs w:val="16"/>
          <w:lang w:val="es-ES_tradnl"/>
        </w:rPr>
        <w:t xml:space="preserve">, Supervisión de Cumplimiento de Sentencia. </w:t>
      </w:r>
      <w:r w:rsidR="0073741E">
        <w:rPr>
          <w:rFonts w:ascii="Verdana" w:hAnsi="Verdana"/>
          <w:sz w:val="16"/>
          <w:szCs w:val="16"/>
          <w:lang w:val="es-ES_tradnl"/>
        </w:rPr>
        <w:t>Resolución de la Corte Interamericana de Derechos Humanos de 24 de noviembre de 2015, Considerando 31</w:t>
      </w:r>
      <w:r w:rsidRPr="00E61811">
        <w:rPr>
          <w:rFonts w:ascii="Verdana" w:hAnsi="Verdana"/>
          <w:sz w:val="16"/>
          <w:szCs w:val="16"/>
          <w:lang w:val="es-ES_tradnl"/>
        </w:rPr>
        <w:t xml:space="preserve">. </w:t>
      </w:r>
    </w:p>
  </w:footnote>
  <w:footnote w:id="18">
    <w:p w14:paraId="05B98865" w14:textId="0D28F450" w:rsidR="00FE5CE2" w:rsidRPr="00A67806" w:rsidRDefault="00FE5CE2">
      <w:pPr>
        <w:pStyle w:val="FootnoteText"/>
        <w:rPr>
          <w:lang w:val="es-CR"/>
        </w:rPr>
      </w:pPr>
      <w:r>
        <w:rPr>
          <w:rStyle w:val="FootnoteReference"/>
        </w:rPr>
        <w:footnoteRef/>
      </w:r>
      <w:r w:rsidRPr="00A67806">
        <w:rPr>
          <w:lang w:val="es-CR"/>
        </w:rPr>
        <w:t xml:space="preserve"> </w:t>
      </w:r>
      <w:r>
        <w:rPr>
          <w:lang w:val="es-CR"/>
        </w:rPr>
        <w:tab/>
      </w:r>
      <w:r w:rsidRPr="00E61811">
        <w:rPr>
          <w:rFonts w:ascii="Verdana" w:hAnsi="Verdana"/>
          <w:i/>
          <w:sz w:val="16"/>
          <w:szCs w:val="16"/>
          <w:lang w:val="es-CR"/>
        </w:rPr>
        <w:t>Cfr. Caso Masacre</w:t>
      </w:r>
      <w:r w:rsidR="004055D7">
        <w:rPr>
          <w:rFonts w:ascii="Verdana" w:hAnsi="Verdana"/>
          <w:i/>
          <w:sz w:val="16"/>
          <w:szCs w:val="16"/>
          <w:lang w:val="es-CR"/>
        </w:rPr>
        <w:t>s</w:t>
      </w:r>
      <w:r w:rsidRPr="00E61811">
        <w:rPr>
          <w:rFonts w:ascii="Verdana" w:hAnsi="Verdana"/>
          <w:i/>
          <w:sz w:val="16"/>
          <w:szCs w:val="16"/>
          <w:lang w:val="es-CR"/>
        </w:rPr>
        <w:t xml:space="preserve"> de El Mozote y lugares aledaños Vs. El Salvador</w:t>
      </w:r>
      <w:r w:rsidR="00A67806">
        <w:rPr>
          <w:rFonts w:ascii="Verdana" w:hAnsi="Verdana"/>
          <w:i/>
          <w:sz w:val="16"/>
          <w:szCs w:val="16"/>
          <w:lang w:val="es-CR"/>
        </w:rPr>
        <w:t xml:space="preserve">, supra </w:t>
      </w:r>
      <w:r w:rsidR="00A67806">
        <w:rPr>
          <w:rFonts w:ascii="Verdana" w:hAnsi="Verdana"/>
          <w:sz w:val="16"/>
          <w:szCs w:val="16"/>
          <w:lang w:val="es-CR"/>
        </w:rPr>
        <w:t>nota 1, p</w:t>
      </w:r>
      <w:r>
        <w:rPr>
          <w:rFonts w:ascii="Verdana" w:hAnsi="Verdana"/>
          <w:sz w:val="16"/>
          <w:szCs w:val="16"/>
          <w:lang w:val="es-CR"/>
        </w:rPr>
        <w:t>árr. 296.</w:t>
      </w:r>
    </w:p>
  </w:footnote>
  <w:footnote w:id="19">
    <w:p w14:paraId="466A227F" w14:textId="773150CA" w:rsidR="006D7D32" w:rsidRPr="00A67806" w:rsidRDefault="006D7D32">
      <w:pPr>
        <w:pStyle w:val="FootnoteText"/>
        <w:rPr>
          <w:lang w:val="es-CR"/>
        </w:rPr>
      </w:pPr>
      <w:r>
        <w:rPr>
          <w:rStyle w:val="FootnoteReference"/>
        </w:rPr>
        <w:footnoteRef/>
      </w:r>
      <w:r w:rsidRPr="00A67806">
        <w:rPr>
          <w:lang w:val="es-CR"/>
        </w:rPr>
        <w:t xml:space="preserve"> </w:t>
      </w:r>
      <w:r>
        <w:rPr>
          <w:lang w:val="es-CR"/>
        </w:rPr>
        <w:tab/>
      </w:r>
      <w:r w:rsidR="00A67806" w:rsidRPr="00E61811">
        <w:rPr>
          <w:rFonts w:ascii="Verdana" w:hAnsi="Verdana"/>
          <w:i/>
          <w:sz w:val="16"/>
          <w:szCs w:val="16"/>
          <w:lang w:val="es-CR"/>
        </w:rPr>
        <w:t>Cfr. Caso Masacre</w:t>
      </w:r>
      <w:r w:rsidR="004055D7">
        <w:rPr>
          <w:rFonts w:ascii="Verdana" w:hAnsi="Verdana"/>
          <w:i/>
          <w:sz w:val="16"/>
          <w:szCs w:val="16"/>
          <w:lang w:val="es-CR"/>
        </w:rPr>
        <w:t>s</w:t>
      </w:r>
      <w:r w:rsidR="00A67806" w:rsidRPr="00E61811">
        <w:rPr>
          <w:rFonts w:ascii="Verdana" w:hAnsi="Verdana"/>
          <w:i/>
          <w:sz w:val="16"/>
          <w:szCs w:val="16"/>
          <w:lang w:val="es-CR"/>
        </w:rPr>
        <w:t xml:space="preserve"> de El Mozote y lugares aledaños Vs. El Salvador</w:t>
      </w:r>
      <w:r w:rsidR="00A67806">
        <w:rPr>
          <w:rFonts w:ascii="Verdana" w:hAnsi="Verdana"/>
          <w:i/>
          <w:sz w:val="16"/>
          <w:szCs w:val="16"/>
          <w:lang w:val="es-CR"/>
        </w:rPr>
        <w:t xml:space="preserve">, supra </w:t>
      </w:r>
      <w:r w:rsidR="00A67806">
        <w:rPr>
          <w:rFonts w:ascii="Verdana" w:hAnsi="Verdana"/>
          <w:sz w:val="16"/>
          <w:szCs w:val="16"/>
          <w:lang w:val="es-CR"/>
        </w:rPr>
        <w:t>nota 1, párr</w:t>
      </w:r>
      <w:r>
        <w:rPr>
          <w:rFonts w:ascii="Verdana" w:hAnsi="Verdana"/>
          <w:sz w:val="16"/>
          <w:szCs w:val="16"/>
          <w:lang w:val="es-CR"/>
        </w:rPr>
        <w:t xml:space="preserve">. 291. </w:t>
      </w:r>
    </w:p>
  </w:footnote>
  <w:footnote w:id="20">
    <w:p w14:paraId="71A7975C" w14:textId="122F20B2" w:rsidR="006D7D32" w:rsidRPr="00A67806" w:rsidRDefault="006D7D32">
      <w:pPr>
        <w:pStyle w:val="FootnoteText"/>
        <w:rPr>
          <w:lang w:val="es-CR"/>
        </w:rPr>
      </w:pPr>
      <w:r>
        <w:rPr>
          <w:rStyle w:val="FootnoteReference"/>
        </w:rPr>
        <w:footnoteRef/>
      </w:r>
      <w:r w:rsidRPr="00A67806">
        <w:rPr>
          <w:lang w:val="es-CR"/>
        </w:rPr>
        <w:t xml:space="preserve"> </w:t>
      </w:r>
      <w:r>
        <w:rPr>
          <w:lang w:val="es-CR"/>
        </w:rPr>
        <w:tab/>
      </w:r>
      <w:r w:rsidR="00A67806" w:rsidRPr="00E61811">
        <w:rPr>
          <w:rFonts w:ascii="Verdana" w:hAnsi="Verdana"/>
          <w:i/>
          <w:sz w:val="16"/>
          <w:szCs w:val="16"/>
          <w:lang w:val="es-CR"/>
        </w:rPr>
        <w:t>Cfr. Caso Masacre</w:t>
      </w:r>
      <w:r w:rsidR="004055D7">
        <w:rPr>
          <w:rFonts w:ascii="Verdana" w:hAnsi="Verdana"/>
          <w:i/>
          <w:sz w:val="16"/>
          <w:szCs w:val="16"/>
          <w:lang w:val="es-CR"/>
        </w:rPr>
        <w:t>s</w:t>
      </w:r>
      <w:r w:rsidR="00A67806" w:rsidRPr="00E61811">
        <w:rPr>
          <w:rFonts w:ascii="Verdana" w:hAnsi="Verdana"/>
          <w:i/>
          <w:sz w:val="16"/>
          <w:szCs w:val="16"/>
          <w:lang w:val="es-CR"/>
        </w:rPr>
        <w:t xml:space="preserve"> de El Mozote y lugares aledaños Vs. El Salvador</w:t>
      </w:r>
      <w:r w:rsidR="00A67806">
        <w:rPr>
          <w:rFonts w:ascii="Verdana" w:hAnsi="Verdana"/>
          <w:i/>
          <w:sz w:val="16"/>
          <w:szCs w:val="16"/>
          <w:lang w:val="es-CR"/>
        </w:rPr>
        <w:t xml:space="preserve">, supra </w:t>
      </w:r>
      <w:r w:rsidR="00A67806">
        <w:rPr>
          <w:rFonts w:ascii="Verdana" w:hAnsi="Verdana"/>
          <w:sz w:val="16"/>
          <w:szCs w:val="16"/>
          <w:lang w:val="es-CR"/>
        </w:rPr>
        <w:t>nota 1, párr</w:t>
      </w:r>
      <w:r>
        <w:rPr>
          <w:rFonts w:ascii="Verdana" w:hAnsi="Verdana"/>
          <w:sz w:val="16"/>
          <w:szCs w:val="16"/>
          <w:lang w:val="es-CR"/>
        </w:rPr>
        <w:t>. 275.</w:t>
      </w:r>
    </w:p>
  </w:footnote>
  <w:footnote w:id="21">
    <w:p w14:paraId="28BAEFB4" w14:textId="1226646F" w:rsidR="000B4B9F" w:rsidRPr="00E61811" w:rsidRDefault="000B4B9F" w:rsidP="00201008">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El 16 de enero de 1992 se firmaron los Acuerdos de Paz en Ciudad de México. Entre los puntos de dicho acuerdo, se dispuso la creación de la Comisión de la Verdad, cuyas recomendaciones las partes se comprometieron a cumplir. Además, se estableció como objetivo la “superación de la impunidad”, en donde se reconoció “la necesidad de esclarecer y superar todo señalamiento de impunidad de oficiales de la Fuerza Armada, especialmente en casos donde esté comprometido el respeto a los derechos humanos”. Poco después de la firma de</w:t>
      </w:r>
      <w:r w:rsidR="004055D7">
        <w:rPr>
          <w:rFonts w:ascii="Verdana" w:hAnsi="Verdana"/>
          <w:sz w:val="16"/>
          <w:szCs w:val="16"/>
          <w:lang w:val="es-CR"/>
        </w:rPr>
        <w:t xml:space="preserve"> </w:t>
      </w:r>
      <w:r w:rsidRPr="00E61811">
        <w:rPr>
          <w:rFonts w:ascii="Verdana" w:hAnsi="Verdana"/>
          <w:sz w:val="16"/>
          <w:szCs w:val="16"/>
          <w:lang w:val="es-CR"/>
        </w:rPr>
        <w:t>l</w:t>
      </w:r>
      <w:r w:rsidR="004055D7">
        <w:rPr>
          <w:rFonts w:ascii="Verdana" w:hAnsi="Verdana"/>
          <w:sz w:val="16"/>
          <w:szCs w:val="16"/>
          <w:lang w:val="es-CR"/>
        </w:rPr>
        <w:t>os</w:t>
      </w:r>
      <w:r w:rsidRPr="00E61811">
        <w:rPr>
          <w:rFonts w:ascii="Verdana" w:hAnsi="Verdana"/>
          <w:sz w:val="16"/>
          <w:szCs w:val="16"/>
          <w:lang w:val="es-CR"/>
        </w:rPr>
        <w:t xml:space="preserve"> Acuerdo</w:t>
      </w:r>
      <w:r w:rsidR="004055D7">
        <w:rPr>
          <w:rFonts w:ascii="Verdana" w:hAnsi="Verdana"/>
          <w:sz w:val="16"/>
          <w:szCs w:val="16"/>
          <w:lang w:val="es-CR"/>
        </w:rPr>
        <w:t>s</w:t>
      </w:r>
      <w:r w:rsidRPr="00E61811">
        <w:rPr>
          <w:rFonts w:ascii="Verdana" w:hAnsi="Verdana"/>
          <w:sz w:val="16"/>
          <w:szCs w:val="16"/>
          <w:lang w:val="es-CR"/>
        </w:rPr>
        <w:t xml:space="preserve"> de Paz, se adoptó la “Ley de Reconciliación Nacional”. Esta </w:t>
      </w:r>
      <w:r w:rsidR="004055D7">
        <w:rPr>
          <w:rFonts w:ascii="Verdana" w:hAnsi="Verdana"/>
          <w:sz w:val="16"/>
          <w:szCs w:val="16"/>
          <w:lang w:val="es-CR"/>
        </w:rPr>
        <w:t>l</w:t>
      </w:r>
      <w:r w:rsidRPr="00E61811">
        <w:rPr>
          <w:rFonts w:ascii="Verdana" w:hAnsi="Verdana"/>
          <w:sz w:val="16"/>
          <w:szCs w:val="16"/>
          <w:lang w:val="es-CR"/>
        </w:rPr>
        <w:t>ey dispuso que se concedía amnistía a quienes hubieren “participado como autores inmediatos, mediatos o cómplices en la comisión de delitos políticos comunes conexos con éstos y en delitos comunes cometidos por un número de personas que no baje de veinte, antes del 1º de enero de 1992, exceptuándose, en todo caso, el delito común de secuestro, contemplado en el Art. 220 del Código Penal”, excluyendo a quienes “</w:t>
      </w:r>
      <w:r w:rsidR="004055D7">
        <w:rPr>
          <w:rFonts w:ascii="Verdana" w:hAnsi="Verdana"/>
          <w:sz w:val="16"/>
          <w:szCs w:val="16"/>
          <w:lang w:val="es-CR"/>
        </w:rPr>
        <w:t>[</w:t>
      </w:r>
      <w:r w:rsidRPr="00E61811">
        <w:rPr>
          <w:rFonts w:ascii="Verdana" w:hAnsi="Verdana"/>
          <w:sz w:val="16"/>
          <w:szCs w:val="16"/>
          <w:lang w:val="es-CR"/>
        </w:rPr>
        <w:t>...</w:t>
      </w:r>
      <w:r w:rsidR="004055D7">
        <w:rPr>
          <w:rFonts w:ascii="Verdana" w:hAnsi="Verdana"/>
          <w:sz w:val="16"/>
          <w:szCs w:val="16"/>
          <w:lang w:val="es-CR"/>
        </w:rPr>
        <w:t>]</w:t>
      </w:r>
      <w:r w:rsidRPr="00E61811">
        <w:rPr>
          <w:rFonts w:ascii="Verdana" w:hAnsi="Verdana"/>
          <w:sz w:val="16"/>
          <w:szCs w:val="16"/>
          <w:lang w:val="es-CR"/>
        </w:rPr>
        <w:t xml:space="preserve"> según el informe de la Comisión de la Verdad, hubieren participado en graves hechos de violencia ocurridos desde el 1º de enero de 1980, cuya huella sobre la sociedad, reclama con mayor urgencia el conocimiento público de la verdad, independientemente del sector a que pertenecieren en su caso”. La Comisión de la Verdad hizo público un informe con el resultado de sus investigaciones el 15 de marzo de 1993. Dicho informe instaba a “satisfacer los requerimientos de la justicia [los cuales] apuntan en dos direcciones. Una es la sanción a los responsables. Otra es la reparación debida a las víctimas y sus familiares”.</w:t>
      </w:r>
    </w:p>
  </w:footnote>
  <w:footnote w:id="22">
    <w:p w14:paraId="53EBF084" w14:textId="1C3263E1" w:rsidR="004055D7" w:rsidRPr="004055D7" w:rsidRDefault="004055D7">
      <w:pPr>
        <w:pStyle w:val="FootnoteText"/>
        <w:rPr>
          <w:lang w:val="es-CR"/>
        </w:rPr>
      </w:pPr>
      <w:r>
        <w:rPr>
          <w:rStyle w:val="FootnoteReference"/>
        </w:rPr>
        <w:footnoteRef/>
      </w:r>
      <w:r w:rsidRPr="004055D7">
        <w:rPr>
          <w:lang w:val="es-CR"/>
        </w:rPr>
        <w:t xml:space="preserve"> </w:t>
      </w:r>
      <w:r>
        <w:rPr>
          <w:lang w:val="es-CR"/>
        </w:rPr>
        <w:tab/>
      </w:r>
      <w:r w:rsidRPr="00E61811">
        <w:rPr>
          <w:rFonts w:ascii="Verdana" w:hAnsi="Verdana"/>
          <w:i/>
          <w:sz w:val="16"/>
          <w:szCs w:val="16"/>
          <w:lang w:val="es-CR"/>
        </w:rPr>
        <w:t>Cfr. Caso Masacre</w:t>
      </w:r>
      <w:r>
        <w:rPr>
          <w:rFonts w:ascii="Verdana" w:hAnsi="Verdana"/>
          <w:i/>
          <w:sz w:val="16"/>
          <w:szCs w:val="16"/>
          <w:lang w:val="es-CR"/>
        </w:rPr>
        <w:t>s</w:t>
      </w:r>
      <w:r w:rsidRPr="00E61811">
        <w:rPr>
          <w:rFonts w:ascii="Verdana" w:hAnsi="Verdana"/>
          <w:i/>
          <w:sz w:val="16"/>
          <w:szCs w:val="16"/>
          <w:lang w:val="es-CR"/>
        </w:rPr>
        <w:t xml:space="preserve"> de El Mozote y lugares aledaños Vs. El Salvador</w:t>
      </w:r>
      <w:r>
        <w:rPr>
          <w:rFonts w:ascii="Verdana" w:hAnsi="Verdana"/>
          <w:i/>
          <w:sz w:val="16"/>
          <w:szCs w:val="16"/>
          <w:lang w:val="es-CR"/>
        </w:rPr>
        <w:t xml:space="preserve">, supra </w:t>
      </w:r>
      <w:r>
        <w:rPr>
          <w:rFonts w:ascii="Verdana" w:hAnsi="Verdana"/>
          <w:sz w:val="16"/>
          <w:szCs w:val="16"/>
          <w:lang w:val="es-CR"/>
        </w:rPr>
        <w:t>nota 1, párr. 292.</w:t>
      </w:r>
    </w:p>
  </w:footnote>
  <w:footnote w:id="23">
    <w:p w14:paraId="268A9FA3" w14:textId="01BAC28C" w:rsidR="000B4B9F" w:rsidRPr="00E61811" w:rsidRDefault="000B4B9F" w:rsidP="00A67806">
      <w:pPr>
        <w:pStyle w:val="FootnoteText"/>
        <w:jc w:val="both"/>
        <w:rPr>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r>
      <w:r w:rsidRPr="00E61811">
        <w:rPr>
          <w:rFonts w:ascii="Verdana" w:hAnsi="Verdana"/>
          <w:i/>
          <w:sz w:val="16"/>
          <w:szCs w:val="16"/>
          <w:lang w:val="es-CR"/>
        </w:rPr>
        <w:t xml:space="preserve">Cfr. </w:t>
      </w:r>
      <w:r w:rsidRPr="004055D7">
        <w:rPr>
          <w:rFonts w:ascii="Verdana" w:hAnsi="Verdana"/>
          <w:i/>
          <w:sz w:val="16"/>
          <w:szCs w:val="16"/>
          <w:lang w:val="es-CR"/>
        </w:rPr>
        <w:t>Caso</w:t>
      </w:r>
      <w:r w:rsidRPr="00E61811">
        <w:rPr>
          <w:rFonts w:ascii="Verdana" w:hAnsi="Verdana"/>
          <w:i/>
          <w:sz w:val="16"/>
          <w:szCs w:val="16"/>
          <w:lang w:val="es-CR"/>
        </w:rPr>
        <w:t xml:space="preserve"> Masacres de El Mozote y lugares aledaños Vs. El Salvador, supra</w:t>
      </w:r>
      <w:r w:rsidRPr="00E61811">
        <w:rPr>
          <w:rFonts w:ascii="Verdana" w:hAnsi="Verdana"/>
          <w:sz w:val="16"/>
          <w:szCs w:val="16"/>
          <w:lang w:val="es-CR"/>
        </w:rPr>
        <w:t xml:space="preserve"> nota 1, </w:t>
      </w:r>
      <w:r w:rsidR="00A67806">
        <w:rPr>
          <w:rFonts w:ascii="Verdana" w:hAnsi="Verdana"/>
          <w:sz w:val="16"/>
          <w:szCs w:val="16"/>
          <w:lang w:val="es-CR"/>
        </w:rPr>
        <w:t>p</w:t>
      </w:r>
      <w:r w:rsidRPr="00E61811">
        <w:rPr>
          <w:rFonts w:ascii="Verdana" w:hAnsi="Verdana"/>
          <w:sz w:val="16"/>
          <w:szCs w:val="16"/>
          <w:lang w:val="es-CR"/>
        </w:rPr>
        <w:t xml:space="preserve">unto resolutivo </w:t>
      </w:r>
      <w:r w:rsidR="004055D7">
        <w:rPr>
          <w:rFonts w:ascii="Verdana" w:hAnsi="Verdana"/>
          <w:sz w:val="16"/>
          <w:szCs w:val="16"/>
          <w:lang w:val="es-CR"/>
        </w:rPr>
        <w:t>cuarto</w:t>
      </w:r>
      <w:r w:rsidRPr="00E61811">
        <w:rPr>
          <w:rFonts w:ascii="Verdana" w:hAnsi="Verdana"/>
          <w:sz w:val="16"/>
          <w:szCs w:val="16"/>
          <w:lang w:val="es-CR"/>
        </w:rPr>
        <w:t>.</w:t>
      </w:r>
      <w:r w:rsidRPr="00E61811">
        <w:rPr>
          <w:lang w:val="es-CR"/>
        </w:rPr>
        <w:t xml:space="preserve"> </w:t>
      </w:r>
    </w:p>
  </w:footnote>
  <w:footnote w:id="24">
    <w:p w14:paraId="2F1B027D" w14:textId="2C25AA34" w:rsidR="000B4B9F" w:rsidRPr="00E61811" w:rsidRDefault="000B4B9F">
      <w:pPr>
        <w:pStyle w:val="FootnoteText"/>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También se supervisaron en esa oportunidad las medidas dispuestas en los puntos resolutivos 2, 3, 5,</w:t>
      </w:r>
      <w:r w:rsidR="004055D7">
        <w:rPr>
          <w:rFonts w:ascii="Verdana" w:hAnsi="Verdana"/>
          <w:sz w:val="16"/>
          <w:szCs w:val="16"/>
          <w:lang w:val="es-CR"/>
        </w:rPr>
        <w:t xml:space="preserve"> </w:t>
      </w:r>
      <w:r w:rsidRPr="00E61811">
        <w:rPr>
          <w:rFonts w:ascii="Verdana" w:hAnsi="Verdana"/>
          <w:sz w:val="16"/>
          <w:szCs w:val="16"/>
          <w:lang w:val="es-CR"/>
        </w:rPr>
        <w:t>6,</w:t>
      </w:r>
      <w:r w:rsidR="004055D7">
        <w:rPr>
          <w:rFonts w:ascii="Verdana" w:hAnsi="Verdana"/>
          <w:sz w:val="16"/>
          <w:szCs w:val="16"/>
          <w:lang w:val="es-CR"/>
        </w:rPr>
        <w:t xml:space="preserve"> </w:t>
      </w:r>
      <w:r w:rsidRPr="00E61811">
        <w:rPr>
          <w:rFonts w:ascii="Verdana" w:hAnsi="Verdana"/>
          <w:sz w:val="16"/>
          <w:szCs w:val="16"/>
          <w:lang w:val="es-CR"/>
        </w:rPr>
        <w:t>7, 8 y 9</w:t>
      </w:r>
      <w:r w:rsidR="00267E1D">
        <w:rPr>
          <w:rFonts w:ascii="Verdana" w:hAnsi="Verdana"/>
          <w:sz w:val="16"/>
          <w:szCs w:val="16"/>
          <w:lang w:val="es-CR"/>
        </w:rPr>
        <w:t xml:space="preserve"> de la Sentencia</w:t>
      </w:r>
      <w:r w:rsidRPr="00E61811">
        <w:rPr>
          <w:rFonts w:ascii="Verdana" w:hAnsi="Verdana"/>
          <w:sz w:val="16"/>
          <w:szCs w:val="16"/>
          <w:lang w:val="es-CR"/>
        </w:rPr>
        <w:t xml:space="preserve"> (</w:t>
      </w:r>
      <w:r w:rsidRPr="00E61811">
        <w:rPr>
          <w:rFonts w:ascii="Verdana" w:hAnsi="Verdana"/>
          <w:i/>
          <w:sz w:val="16"/>
          <w:szCs w:val="16"/>
          <w:lang w:val="es-CR"/>
        </w:rPr>
        <w:t>supra</w:t>
      </w:r>
      <w:r w:rsidRPr="00E61811">
        <w:rPr>
          <w:rFonts w:ascii="Verdana" w:hAnsi="Verdana"/>
          <w:sz w:val="16"/>
          <w:szCs w:val="16"/>
          <w:lang w:val="es-CR"/>
        </w:rPr>
        <w:t xml:space="preserve"> Considerando </w:t>
      </w:r>
      <w:r w:rsidR="00267E1D">
        <w:rPr>
          <w:rFonts w:ascii="Verdana" w:hAnsi="Verdana"/>
          <w:sz w:val="16"/>
          <w:szCs w:val="16"/>
          <w:lang w:val="es-CR"/>
        </w:rPr>
        <w:t>1</w:t>
      </w:r>
      <w:r w:rsidRPr="00E61811">
        <w:rPr>
          <w:rFonts w:ascii="Verdana" w:hAnsi="Verdana"/>
          <w:sz w:val="16"/>
          <w:szCs w:val="16"/>
          <w:lang w:val="es-CR"/>
        </w:rPr>
        <w:t>)</w:t>
      </w:r>
      <w:r w:rsidR="00267E1D">
        <w:rPr>
          <w:rFonts w:ascii="Verdana" w:hAnsi="Verdana"/>
          <w:sz w:val="16"/>
          <w:szCs w:val="16"/>
          <w:lang w:val="es-CR"/>
        </w:rPr>
        <w:t>.</w:t>
      </w:r>
    </w:p>
  </w:footnote>
  <w:footnote w:id="25">
    <w:p w14:paraId="1FB5C6F3" w14:textId="053B3EAA" w:rsidR="007179C4" w:rsidRPr="007179C4" w:rsidRDefault="007179C4">
      <w:pPr>
        <w:pStyle w:val="FootnoteText"/>
        <w:rPr>
          <w:lang w:val="es-CR"/>
        </w:rPr>
      </w:pPr>
      <w:r>
        <w:rPr>
          <w:rStyle w:val="FootnoteReference"/>
        </w:rPr>
        <w:footnoteRef/>
      </w:r>
      <w:r w:rsidRPr="007179C4">
        <w:rPr>
          <w:lang w:val="es-CR"/>
        </w:rPr>
        <w:t xml:space="preserve"> </w:t>
      </w:r>
      <w:r>
        <w:rPr>
          <w:lang w:val="es-CR"/>
        </w:rPr>
        <w:tab/>
      </w:r>
      <w:r w:rsidRPr="00E61811">
        <w:rPr>
          <w:rFonts w:ascii="Verdana" w:hAnsi="Verdana"/>
          <w:i/>
          <w:sz w:val="16"/>
          <w:szCs w:val="16"/>
          <w:lang w:val="es-CR"/>
        </w:rPr>
        <w:t>Cfr.</w:t>
      </w:r>
      <w:r w:rsidRPr="00E61811">
        <w:rPr>
          <w:rFonts w:ascii="Verdana" w:hAnsi="Verdana"/>
          <w:sz w:val="16"/>
          <w:szCs w:val="16"/>
          <w:lang w:val="es-CR"/>
        </w:rPr>
        <w:t xml:space="preserve"> Sentencia de la Sala de lo Constitucional de El Salvador de 13 de julio de 2016</w:t>
      </w:r>
      <w:r>
        <w:rPr>
          <w:rFonts w:ascii="Verdana" w:hAnsi="Verdana"/>
          <w:sz w:val="16"/>
          <w:szCs w:val="16"/>
          <w:lang w:val="es-CR"/>
        </w:rPr>
        <w:t xml:space="preserve"> (Anexo 2 al informe estatal de agosto de 2016).</w:t>
      </w:r>
    </w:p>
  </w:footnote>
  <w:footnote w:id="26">
    <w:p w14:paraId="4EDB3866" w14:textId="27DDECBB" w:rsidR="000B4B9F" w:rsidRPr="00495071" w:rsidRDefault="000B4B9F" w:rsidP="00F411E3">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 xml:space="preserve">Dicha norma </w:t>
      </w:r>
      <w:r w:rsidR="00A67806">
        <w:rPr>
          <w:rFonts w:ascii="Verdana" w:hAnsi="Verdana"/>
          <w:sz w:val="16"/>
          <w:szCs w:val="16"/>
          <w:lang w:val="es-CR"/>
        </w:rPr>
        <w:t>dispone</w:t>
      </w:r>
      <w:r w:rsidRPr="00E61811">
        <w:rPr>
          <w:rFonts w:ascii="Verdana" w:hAnsi="Verdana"/>
          <w:sz w:val="16"/>
          <w:szCs w:val="16"/>
          <w:lang w:val="es-CR"/>
        </w:rPr>
        <w:t xml:space="preserve"> que “</w:t>
      </w:r>
      <w:r w:rsidR="00A67806">
        <w:rPr>
          <w:rFonts w:ascii="Verdana" w:hAnsi="Verdana"/>
          <w:sz w:val="16"/>
          <w:szCs w:val="16"/>
          <w:lang w:val="es-CR"/>
        </w:rPr>
        <w:t>[a]</w:t>
      </w:r>
      <w:r w:rsidRPr="00E61811">
        <w:rPr>
          <w:rFonts w:ascii="Verdana" w:hAnsi="Verdana"/>
          <w:sz w:val="16"/>
          <w:szCs w:val="16"/>
          <w:lang w:val="es-CR"/>
        </w:rPr>
        <w:t xml:space="preserve"> la cesación de las hostilidades, las autoridades en el poder procurarán conceder la amnistía más amplia posible a las personas que hayan tomado parte en el conflicto armado o que se encuentren privadas de libertad, internadas o detenidas por motivos relacionados con el conflicto armado”.</w:t>
      </w:r>
      <w:r w:rsidR="007179C4">
        <w:rPr>
          <w:rFonts w:ascii="Verdana" w:hAnsi="Verdana"/>
          <w:sz w:val="16"/>
          <w:szCs w:val="16"/>
          <w:lang w:val="es-CR"/>
        </w:rPr>
        <w:t xml:space="preserve"> </w:t>
      </w:r>
      <w:r>
        <w:rPr>
          <w:rFonts w:ascii="Verdana" w:hAnsi="Verdana"/>
          <w:sz w:val="16"/>
          <w:szCs w:val="16"/>
          <w:lang w:val="es-CR"/>
        </w:rPr>
        <w:t xml:space="preserve">La Corte indicó que esta norma se refiere </w:t>
      </w:r>
      <w:r w:rsidRPr="00561A4E">
        <w:rPr>
          <w:rFonts w:ascii="Verdana" w:hAnsi="Verdana"/>
          <w:sz w:val="16"/>
          <w:szCs w:val="16"/>
          <w:lang w:val="es-CR"/>
        </w:rPr>
        <w:t>a la obligación de procurar “amnistías amplias respecto de quienes hayan participado en el conflicto armado no internacional o se encuentren privados de libertad por razones relacionadas con el conflicto armado, siempre que no se trate de hechos que, como los del presente caso, cabrían en la categoría de crímenes de guerra  e, incluso, en la de crímenes contra la humanidad”.</w:t>
      </w:r>
    </w:p>
  </w:footnote>
  <w:footnote w:id="27">
    <w:p w14:paraId="0D2600EA" w14:textId="6A28A491" w:rsidR="000B4B9F" w:rsidRPr="00E61811" w:rsidRDefault="000B4B9F" w:rsidP="002942C5">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La Corte ha reiterado que  “son inadmisibles las disposiciones de amnistía, las disposiciones de prescripción y el establecimiento de excluyentes de responsabilidad que pretendan impedir la investigación y sanción de los responsables de las violaciones graves de los derechos humanos […]”</w:t>
      </w:r>
      <w:r w:rsidR="00A67806">
        <w:rPr>
          <w:rFonts w:ascii="Verdana" w:hAnsi="Verdana"/>
          <w:sz w:val="16"/>
          <w:szCs w:val="16"/>
          <w:lang w:val="es-CR"/>
        </w:rPr>
        <w:t xml:space="preserve">. </w:t>
      </w:r>
      <w:r w:rsidRPr="00E61811">
        <w:rPr>
          <w:rFonts w:ascii="Verdana" w:hAnsi="Verdana"/>
          <w:i/>
          <w:sz w:val="16"/>
          <w:szCs w:val="16"/>
          <w:lang w:val="es-CR"/>
        </w:rPr>
        <w:t xml:space="preserve">Cfr. Caso Barrios Altos Vs. Perú. Fondo. </w:t>
      </w:r>
      <w:r w:rsidRPr="00E61811">
        <w:rPr>
          <w:rFonts w:ascii="Verdana" w:hAnsi="Verdana"/>
          <w:sz w:val="16"/>
          <w:szCs w:val="16"/>
          <w:lang w:val="es-CR"/>
        </w:rPr>
        <w:t xml:space="preserve">Sentencia de la Corte Interamericana de Derechos Humanos de 14 de marzo de 2001. Serie C No. 75, </w:t>
      </w:r>
      <w:r w:rsidR="004055D7">
        <w:rPr>
          <w:rFonts w:ascii="Verdana" w:hAnsi="Verdana"/>
          <w:sz w:val="16"/>
          <w:szCs w:val="16"/>
          <w:lang w:val="es-CR"/>
        </w:rPr>
        <w:t>p</w:t>
      </w:r>
      <w:r w:rsidRPr="00E61811">
        <w:rPr>
          <w:rFonts w:ascii="Verdana" w:hAnsi="Verdana"/>
          <w:sz w:val="16"/>
          <w:szCs w:val="16"/>
          <w:lang w:val="es-CR"/>
        </w:rPr>
        <w:t xml:space="preserve">árr. 41 y </w:t>
      </w:r>
      <w:r w:rsidRPr="00E61811">
        <w:rPr>
          <w:rFonts w:ascii="Verdana" w:hAnsi="Verdana"/>
          <w:i/>
          <w:sz w:val="16"/>
          <w:szCs w:val="16"/>
          <w:lang w:val="es-CR"/>
        </w:rPr>
        <w:t>Caso Masacres de El Mozote y lugares aledaños Vs. El Salvador</w:t>
      </w:r>
      <w:r w:rsidR="00A67806">
        <w:rPr>
          <w:rFonts w:ascii="Verdana" w:hAnsi="Verdana"/>
          <w:i/>
          <w:sz w:val="16"/>
          <w:szCs w:val="16"/>
          <w:lang w:val="es-CR"/>
        </w:rPr>
        <w:t>,</w:t>
      </w:r>
      <w:r w:rsidRPr="00E61811">
        <w:rPr>
          <w:rFonts w:ascii="Verdana" w:hAnsi="Verdana"/>
          <w:i/>
          <w:sz w:val="16"/>
          <w:szCs w:val="16"/>
          <w:lang w:val="es-CR"/>
        </w:rPr>
        <w:t xml:space="preserve"> </w:t>
      </w:r>
      <w:r w:rsidR="00A67806">
        <w:rPr>
          <w:rFonts w:ascii="Verdana" w:hAnsi="Verdana"/>
          <w:i/>
          <w:sz w:val="16"/>
          <w:szCs w:val="16"/>
          <w:lang w:val="es-CR"/>
        </w:rPr>
        <w:t xml:space="preserve">supra </w:t>
      </w:r>
      <w:r w:rsidR="00A67806">
        <w:rPr>
          <w:rFonts w:ascii="Verdana" w:hAnsi="Verdana"/>
          <w:sz w:val="16"/>
          <w:szCs w:val="16"/>
          <w:lang w:val="es-CR"/>
        </w:rPr>
        <w:t>nota 1</w:t>
      </w:r>
      <w:r w:rsidRPr="00E61811">
        <w:rPr>
          <w:rFonts w:ascii="Verdana" w:hAnsi="Verdana"/>
          <w:sz w:val="16"/>
          <w:szCs w:val="16"/>
          <w:lang w:val="es-CR"/>
        </w:rPr>
        <w:t xml:space="preserve">, </w:t>
      </w:r>
      <w:r w:rsidR="004055D7">
        <w:rPr>
          <w:rFonts w:ascii="Verdana" w:hAnsi="Verdana"/>
          <w:sz w:val="16"/>
          <w:szCs w:val="16"/>
          <w:lang w:val="es-CR"/>
        </w:rPr>
        <w:t>p</w:t>
      </w:r>
      <w:r w:rsidRPr="00E61811">
        <w:rPr>
          <w:rFonts w:ascii="Verdana" w:hAnsi="Verdana"/>
          <w:sz w:val="16"/>
          <w:szCs w:val="16"/>
          <w:lang w:val="es-CR"/>
        </w:rPr>
        <w:t>árr. 28</w:t>
      </w:r>
      <w:r w:rsidR="00140821">
        <w:rPr>
          <w:rFonts w:ascii="Verdana" w:hAnsi="Verdana"/>
          <w:sz w:val="16"/>
          <w:szCs w:val="16"/>
          <w:lang w:val="es-CR"/>
        </w:rPr>
        <w:t>3</w:t>
      </w:r>
      <w:r w:rsidRPr="00E61811">
        <w:rPr>
          <w:rFonts w:ascii="Verdana" w:hAnsi="Verdana"/>
          <w:sz w:val="16"/>
          <w:szCs w:val="16"/>
          <w:lang w:val="es-CR"/>
        </w:rPr>
        <w:t>.</w:t>
      </w:r>
    </w:p>
  </w:footnote>
  <w:footnote w:id="28">
    <w:p w14:paraId="05FDB966" w14:textId="343E437D" w:rsidR="000B4B9F" w:rsidRPr="00E61811" w:rsidRDefault="000B4B9F" w:rsidP="00575A08">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 xml:space="preserve">La Sala </w:t>
      </w:r>
      <w:r w:rsidR="00A67806">
        <w:rPr>
          <w:rFonts w:ascii="Verdana" w:hAnsi="Verdana"/>
          <w:sz w:val="16"/>
          <w:szCs w:val="16"/>
          <w:lang w:val="es-CR"/>
        </w:rPr>
        <w:t xml:space="preserve">de lo Constitucional </w:t>
      </w:r>
      <w:r w:rsidRPr="00E61811">
        <w:rPr>
          <w:rFonts w:ascii="Verdana" w:hAnsi="Verdana"/>
          <w:sz w:val="16"/>
          <w:szCs w:val="16"/>
          <w:lang w:val="es-CR"/>
        </w:rPr>
        <w:t>reconoció que “[l]a Corte Interamericana en reiteradas sentencias ha sostenido que las ‘autoamnistías’ decretadas para favorecer la impunidad de los más graves crímenes cometidos contra la humanidad y los derechos fundamentales, no son compatibles con la Convención Americana sobre Derechos Humanos” e incluyó el párrafo 296 de la Sentencia, que dispone que la Ley de Amnistía de 1993 “[h]a tenido como consecuencia la instauración y perpetuación de una situación de impunidad debido a la falta de investigación, persecución, captura, enjuiciamiento y sanción de los responsables de los hechos […]”.</w:t>
      </w:r>
      <w:r w:rsidR="004055D7">
        <w:rPr>
          <w:rFonts w:ascii="Verdana" w:hAnsi="Verdana"/>
          <w:sz w:val="16"/>
          <w:szCs w:val="16"/>
          <w:lang w:val="es-CR"/>
        </w:rPr>
        <w:t xml:space="preserve"> </w:t>
      </w:r>
      <w:r w:rsidR="007179C4" w:rsidRPr="00E61811">
        <w:rPr>
          <w:rFonts w:ascii="Verdana" w:hAnsi="Verdana"/>
          <w:i/>
          <w:sz w:val="16"/>
          <w:szCs w:val="16"/>
          <w:lang w:val="es-CR"/>
        </w:rPr>
        <w:t>Cfr.</w:t>
      </w:r>
      <w:r w:rsidR="007179C4" w:rsidRPr="00E61811">
        <w:rPr>
          <w:rFonts w:ascii="Verdana" w:hAnsi="Verdana"/>
          <w:sz w:val="16"/>
          <w:szCs w:val="16"/>
          <w:lang w:val="es-CR"/>
        </w:rPr>
        <w:t xml:space="preserve"> Sentencia de la Sala de lo Constitucional de El Salvador de 13 de julio de 2016</w:t>
      </w:r>
      <w:r w:rsidR="007179C4">
        <w:rPr>
          <w:rFonts w:ascii="Verdana" w:hAnsi="Verdana"/>
          <w:sz w:val="16"/>
          <w:szCs w:val="16"/>
          <w:lang w:val="es-CR"/>
        </w:rPr>
        <w:t xml:space="preserve"> (Anexo 2 al informe estatal de agosto de 2016).</w:t>
      </w:r>
    </w:p>
  </w:footnote>
  <w:footnote w:id="29">
    <w:p w14:paraId="71BE2DDB" w14:textId="25FE9CD4" w:rsidR="000B4B9F" w:rsidRPr="00E61811" w:rsidRDefault="000B4B9F" w:rsidP="00575A08">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La Sala</w:t>
      </w:r>
      <w:r w:rsidR="007179C4">
        <w:rPr>
          <w:rFonts w:ascii="Verdana" w:hAnsi="Verdana"/>
          <w:sz w:val="16"/>
          <w:szCs w:val="16"/>
          <w:lang w:val="es-CR"/>
        </w:rPr>
        <w:t xml:space="preserve"> de lo Constitucional</w:t>
      </w:r>
      <w:r w:rsidRPr="00E61811">
        <w:rPr>
          <w:rFonts w:ascii="Verdana" w:hAnsi="Verdana"/>
          <w:sz w:val="16"/>
          <w:szCs w:val="16"/>
          <w:lang w:val="es-CR"/>
        </w:rPr>
        <w:t xml:space="preserve"> concluy</w:t>
      </w:r>
      <w:r w:rsidR="007179C4">
        <w:rPr>
          <w:rFonts w:ascii="Verdana" w:hAnsi="Verdana"/>
          <w:sz w:val="16"/>
          <w:szCs w:val="16"/>
          <w:lang w:val="es-CR"/>
        </w:rPr>
        <w:t>ó</w:t>
      </w:r>
      <w:r w:rsidRPr="00E61811">
        <w:rPr>
          <w:rFonts w:ascii="Verdana" w:hAnsi="Verdana"/>
          <w:sz w:val="16"/>
          <w:szCs w:val="16"/>
          <w:lang w:val="es-CR"/>
        </w:rPr>
        <w:t>, que de acuerdo a los criterios jurisprudenciales esbozados por la Corte, ésta</w:t>
      </w:r>
      <w:r>
        <w:rPr>
          <w:rFonts w:ascii="Verdana" w:hAnsi="Verdana"/>
          <w:sz w:val="16"/>
          <w:szCs w:val="16"/>
          <w:lang w:val="es-CR"/>
        </w:rPr>
        <w:t xml:space="preserve"> </w:t>
      </w:r>
      <w:r w:rsidRPr="00E61811">
        <w:rPr>
          <w:rFonts w:ascii="Verdana" w:hAnsi="Verdana"/>
          <w:sz w:val="16"/>
          <w:szCs w:val="16"/>
          <w:lang w:val="es-CR"/>
        </w:rPr>
        <w:t>“ha estimado que los Estados no pueden sustraerse del deber de investigar y sancionar a los responsables de los crímenes de lesa humanidad aplicando leyes de amnistía u otro tipo de normativa interna excluyente de responsabilidad penal”.</w:t>
      </w:r>
      <w:r w:rsidR="007179C4" w:rsidRPr="007179C4">
        <w:rPr>
          <w:rFonts w:ascii="Verdana" w:hAnsi="Verdana"/>
          <w:i/>
          <w:sz w:val="16"/>
          <w:szCs w:val="16"/>
          <w:lang w:val="es-CR"/>
        </w:rPr>
        <w:t xml:space="preserve"> </w:t>
      </w:r>
      <w:r w:rsidR="007179C4" w:rsidRPr="00E61811">
        <w:rPr>
          <w:rFonts w:ascii="Verdana" w:hAnsi="Verdana"/>
          <w:i/>
          <w:sz w:val="16"/>
          <w:szCs w:val="16"/>
          <w:lang w:val="es-CR"/>
        </w:rPr>
        <w:t>Cfr.</w:t>
      </w:r>
      <w:r w:rsidR="007179C4" w:rsidRPr="00E61811">
        <w:rPr>
          <w:rFonts w:ascii="Verdana" w:hAnsi="Verdana"/>
          <w:sz w:val="16"/>
          <w:szCs w:val="16"/>
          <w:lang w:val="es-CR"/>
        </w:rPr>
        <w:t xml:space="preserve"> Sentencia de la Sala de lo Constitucional de El Salvador de 13 de julio de 2016</w:t>
      </w:r>
      <w:r w:rsidR="007179C4">
        <w:rPr>
          <w:rFonts w:ascii="Verdana" w:hAnsi="Verdana"/>
          <w:sz w:val="16"/>
          <w:szCs w:val="16"/>
          <w:lang w:val="es-CR"/>
        </w:rPr>
        <w:t xml:space="preserve"> (Anexo 2 al informe estatal de agosto de 2016).</w:t>
      </w:r>
    </w:p>
  </w:footnote>
  <w:footnote w:id="30">
    <w:p w14:paraId="27F2266B" w14:textId="4953831B" w:rsidR="000B4B9F" w:rsidRPr="00E61811" w:rsidRDefault="000B4B9F" w:rsidP="002942C5">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t>La Sala de lo Constitucional indicó que “la aplicabilidad de los plazos de prescripción respecto a los delitos exceptuados del alcance de la amnistía, únicamente podría tener lugar durante el tiempo</w:t>
      </w:r>
      <w:r w:rsidR="002A47C6">
        <w:rPr>
          <w:rFonts w:ascii="Verdana" w:hAnsi="Verdana"/>
          <w:sz w:val="16"/>
          <w:szCs w:val="16"/>
          <w:lang w:val="es-CR"/>
        </w:rPr>
        <w:t xml:space="preserve"> en</w:t>
      </w:r>
      <w:r w:rsidRPr="00E61811">
        <w:rPr>
          <w:rFonts w:ascii="Verdana" w:hAnsi="Verdana"/>
          <w:sz w:val="16"/>
          <w:szCs w:val="16"/>
          <w:lang w:val="es-CR"/>
        </w:rPr>
        <w:t xml:space="preserve"> que haya existido una efectiva posibilidad de investigación, procesamiento, persecución o enjuiciamiento de tales delitos. Esto es así, ya que como una manifestación del principio general de justo impedimento, el cómputo de la prescripción tiene como presupuesto lógico el hecho de que, desde su inicio y durante su transcurso, exista la posibilidad efectiva de ejercicio de la acción penal correspondiente” por lo que “esos hechos tampoco podrían prescribir mientras existan impedimentos objetivos –de facto o de derecho-, que constituyan para las víctimas una imposibilidad de acceso a la justicia y obtener protección </w:t>
      </w:r>
      <w:r w:rsidR="002A47C6">
        <w:rPr>
          <w:rFonts w:ascii="Verdana" w:hAnsi="Verdana"/>
          <w:sz w:val="16"/>
          <w:szCs w:val="16"/>
          <w:lang w:val="es-CR"/>
        </w:rPr>
        <w:t>jurisdiccional</w:t>
      </w:r>
      <w:r w:rsidRPr="00E61811">
        <w:rPr>
          <w:rFonts w:ascii="Verdana" w:hAnsi="Verdana"/>
          <w:sz w:val="16"/>
          <w:szCs w:val="16"/>
          <w:lang w:val="es-CR"/>
        </w:rPr>
        <w:t>”.</w:t>
      </w:r>
      <w:r w:rsidRPr="00E61811">
        <w:rPr>
          <w:i/>
          <w:lang w:val="es-CR"/>
        </w:rPr>
        <w:t xml:space="preserve"> </w:t>
      </w:r>
      <w:r w:rsidR="007179C4" w:rsidRPr="00E61811">
        <w:rPr>
          <w:rFonts w:ascii="Verdana" w:hAnsi="Verdana"/>
          <w:i/>
          <w:sz w:val="16"/>
          <w:szCs w:val="16"/>
          <w:lang w:val="es-CR"/>
        </w:rPr>
        <w:t>Cfr.</w:t>
      </w:r>
      <w:r w:rsidR="007179C4" w:rsidRPr="00E61811">
        <w:rPr>
          <w:rFonts w:ascii="Verdana" w:hAnsi="Verdana"/>
          <w:sz w:val="16"/>
          <w:szCs w:val="16"/>
          <w:lang w:val="es-CR"/>
        </w:rPr>
        <w:t xml:space="preserve"> Sentencia de la Sala de lo Constitucional de El Salvador de 13 de julio de 2016</w:t>
      </w:r>
      <w:r w:rsidR="007179C4">
        <w:rPr>
          <w:rFonts w:ascii="Verdana" w:hAnsi="Verdana"/>
          <w:sz w:val="16"/>
          <w:szCs w:val="16"/>
          <w:lang w:val="es-CR"/>
        </w:rPr>
        <w:t xml:space="preserve"> (Anexo 2 al informe estatal de agosto de 2016).</w:t>
      </w:r>
    </w:p>
  </w:footnote>
  <w:footnote w:id="31">
    <w:p w14:paraId="0FB89417" w14:textId="331088F1" w:rsidR="000B4B9F" w:rsidRPr="00E61811" w:rsidRDefault="000B4B9F" w:rsidP="002942C5">
      <w:pPr>
        <w:pStyle w:val="FootnoteText"/>
        <w:jc w:val="both"/>
        <w:rPr>
          <w:rFonts w:ascii="Verdana" w:hAnsi="Verdana"/>
          <w:sz w:val="16"/>
          <w:szCs w:val="16"/>
          <w:lang w:val="es-CR"/>
        </w:rPr>
      </w:pPr>
      <w:r w:rsidRPr="00E61811">
        <w:rPr>
          <w:rStyle w:val="FootnoteReference"/>
          <w:rFonts w:ascii="Verdana" w:hAnsi="Verdana"/>
          <w:sz w:val="16"/>
          <w:szCs w:val="16"/>
        </w:rPr>
        <w:footnoteRef/>
      </w:r>
      <w:r w:rsidRPr="00E61811">
        <w:rPr>
          <w:rFonts w:ascii="Verdana" w:hAnsi="Verdana"/>
          <w:sz w:val="16"/>
          <w:szCs w:val="16"/>
          <w:lang w:val="es-CR"/>
        </w:rPr>
        <w:t xml:space="preserve"> </w:t>
      </w:r>
      <w:r w:rsidRPr="00E61811">
        <w:rPr>
          <w:rFonts w:ascii="Verdana" w:hAnsi="Verdana"/>
          <w:sz w:val="16"/>
          <w:szCs w:val="16"/>
          <w:lang w:val="es-CR"/>
        </w:rPr>
        <w:tab/>
      </w:r>
      <w:r w:rsidRPr="00E61811">
        <w:rPr>
          <w:rFonts w:ascii="Verdana" w:hAnsi="Verdana"/>
          <w:i/>
          <w:sz w:val="16"/>
          <w:szCs w:val="16"/>
          <w:lang w:val="es-CR"/>
        </w:rPr>
        <w:t xml:space="preserve">Cfr. Juzgado Segundo de Primera Instancia. San  Francisco Gotera, Morazán. </w:t>
      </w:r>
      <w:r w:rsidRPr="00E61811">
        <w:rPr>
          <w:rFonts w:ascii="Verdana" w:hAnsi="Verdana"/>
          <w:sz w:val="16"/>
          <w:szCs w:val="16"/>
          <w:lang w:val="es-CR"/>
        </w:rPr>
        <w:t>Resolución de 30 de septiembre de 2016</w:t>
      </w:r>
      <w:r w:rsidR="00B94341">
        <w:rPr>
          <w:rFonts w:ascii="Verdana" w:hAnsi="Verdana"/>
          <w:sz w:val="16"/>
          <w:szCs w:val="16"/>
          <w:lang w:val="es-CR"/>
        </w:rPr>
        <w:t xml:space="preserve"> (aportada por el referido juzgado mediante comunicaci</w:t>
      </w:r>
      <w:r w:rsidR="00B542FC">
        <w:rPr>
          <w:rFonts w:ascii="Verdana" w:hAnsi="Verdana"/>
          <w:sz w:val="16"/>
          <w:szCs w:val="16"/>
          <w:lang w:val="es-CR"/>
        </w:rPr>
        <w:t>ó</w:t>
      </w:r>
      <w:r w:rsidR="00B94341">
        <w:rPr>
          <w:rFonts w:ascii="Verdana" w:hAnsi="Verdana"/>
          <w:sz w:val="16"/>
          <w:szCs w:val="16"/>
          <w:lang w:val="es-CR"/>
        </w:rPr>
        <w:t xml:space="preserve">n dirigida a la Corte Interamericana el </w:t>
      </w:r>
      <w:r w:rsidR="005A0B02">
        <w:rPr>
          <w:rFonts w:ascii="Verdana" w:hAnsi="Verdana"/>
          <w:sz w:val="16"/>
          <w:szCs w:val="16"/>
          <w:lang w:val="es-CR"/>
        </w:rPr>
        <w:t>30 de septiembre de 2016).</w:t>
      </w:r>
    </w:p>
  </w:footnote>
  <w:footnote w:id="32">
    <w:p w14:paraId="33F01AC2" w14:textId="43854B58" w:rsidR="00B542FC" w:rsidRPr="00B542FC" w:rsidRDefault="00B542FC" w:rsidP="00AF2A84">
      <w:pPr>
        <w:pStyle w:val="FootnoteText"/>
        <w:jc w:val="both"/>
        <w:rPr>
          <w:lang w:val="es-CR"/>
        </w:rPr>
      </w:pPr>
      <w:r>
        <w:rPr>
          <w:rStyle w:val="FootnoteReference"/>
        </w:rPr>
        <w:footnoteRef/>
      </w:r>
      <w:r w:rsidRPr="00B542FC">
        <w:rPr>
          <w:lang w:val="es-CR"/>
        </w:rPr>
        <w:t xml:space="preserve"> </w:t>
      </w:r>
      <w:r>
        <w:rPr>
          <w:lang w:val="es-CR"/>
        </w:rPr>
        <w:tab/>
      </w:r>
      <w:r w:rsidRPr="00E61811">
        <w:rPr>
          <w:rFonts w:ascii="Verdana" w:hAnsi="Verdana"/>
          <w:i/>
          <w:sz w:val="16"/>
          <w:szCs w:val="16"/>
          <w:lang w:val="es-CR"/>
        </w:rPr>
        <w:t xml:space="preserve">Cfr. Juzgado Segundo de Primera Instancia. San  Francisco Gotera, Morazán. </w:t>
      </w:r>
      <w:r w:rsidRPr="00E61811">
        <w:rPr>
          <w:rFonts w:ascii="Verdana" w:hAnsi="Verdana"/>
          <w:sz w:val="16"/>
          <w:szCs w:val="16"/>
          <w:lang w:val="es-CR"/>
        </w:rPr>
        <w:t xml:space="preserve">Resolución de </w:t>
      </w:r>
      <w:r>
        <w:rPr>
          <w:rFonts w:ascii="Verdana" w:hAnsi="Verdana"/>
          <w:sz w:val="16"/>
          <w:szCs w:val="16"/>
          <w:lang w:val="es-CR"/>
        </w:rPr>
        <w:t>1</w:t>
      </w:r>
      <w:r w:rsidR="005D0813">
        <w:rPr>
          <w:rFonts w:ascii="Verdana" w:hAnsi="Verdana"/>
          <w:sz w:val="16"/>
          <w:szCs w:val="16"/>
          <w:lang w:val="es-CR"/>
        </w:rPr>
        <w:t>0</w:t>
      </w:r>
      <w:r w:rsidRPr="00E61811">
        <w:rPr>
          <w:rFonts w:ascii="Verdana" w:hAnsi="Verdana"/>
          <w:sz w:val="16"/>
          <w:szCs w:val="16"/>
          <w:lang w:val="es-CR"/>
        </w:rPr>
        <w:t xml:space="preserve"> de </w:t>
      </w:r>
      <w:r>
        <w:rPr>
          <w:rFonts w:ascii="Verdana" w:hAnsi="Verdana"/>
          <w:sz w:val="16"/>
          <w:szCs w:val="16"/>
          <w:lang w:val="es-CR"/>
        </w:rPr>
        <w:t>marzo</w:t>
      </w:r>
      <w:r w:rsidRPr="00E61811">
        <w:rPr>
          <w:rFonts w:ascii="Verdana" w:hAnsi="Verdana"/>
          <w:sz w:val="16"/>
          <w:szCs w:val="16"/>
          <w:lang w:val="es-CR"/>
        </w:rPr>
        <w:t xml:space="preserve"> de 201</w:t>
      </w:r>
      <w:r>
        <w:rPr>
          <w:rFonts w:ascii="Verdana" w:hAnsi="Verdana"/>
          <w:sz w:val="16"/>
          <w:szCs w:val="16"/>
          <w:lang w:val="es-CR"/>
        </w:rPr>
        <w:t>7 (aportada por el referido juzgado mediante comunicación dirigida a la Corte Interamericana el</w:t>
      </w:r>
      <w:r w:rsidR="00854CE6">
        <w:rPr>
          <w:rFonts w:ascii="Verdana" w:hAnsi="Verdana"/>
          <w:sz w:val="16"/>
          <w:szCs w:val="16"/>
          <w:lang w:val="es-CR"/>
        </w:rPr>
        <w:t xml:space="preserve"> 20 de marzo de 2017).</w:t>
      </w:r>
    </w:p>
  </w:footnote>
  <w:footnote w:id="33">
    <w:p w14:paraId="7C1545B5" w14:textId="29E1575E" w:rsidR="00B542FC" w:rsidRPr="00B542FC" w:rsidRDefault="00B542FC" w:rsidP="00AF2A84">
      <w:pPr>
        <w:pStyle w:val="FootnoteText"/>
        <w:jc w:val="both"/>
        <w:rPr>
          <w:rFonts w:ascii="Verdana" w:hAnsi="Verdana"/>
          <w:sz w:val="16"/>
          <w:szCs w:val="16"/>
          <w:lang w:val="es-CR"/>
        </w:rPr>
      </w:pPr>
      <w:r w:rsidRPr="00854CE6">
        <w:rPr>
          <w:rStyle w:val="FootnoteReference"/>
          <w:rFonts w:ascii="Verdana" w:hAnsi="Verdana"/>
          <w:sz w:val="16"/>
          <w:szCs w:val="16"/>
        </w:rPr>
        <w:footnoteRef/>
      </w:r>
      <w:r w:rsidRPr="00854CE6">
        <w:rPr>
          <w:rFonts w:ascii="Verdana" w:hAnsi="Verdana"/>
          <w:sz w:val="16"/>
          <w:szCs w:val="16"/>
          <w:lang w:val="es-CR"/>
        </w:rPr>
        <w:t xml:space="preserve"> </w:t>
      </w:r>
      <w:r w:rsidRPr="00854CE6">
        <w:rPr>
          <w:rFonts w:ascii="Verdana" w:hAnsi="Verdana"/>
          <w:sz w:val="16"/>
          <w:szCs w:val="16"/>
          <w:lang w:val="es-CR"/>
        </w:rPr>
        <w:tab/>
      </w:r>
      <w:r w:rsidR="00854CE6" w:rsidRPr="00854CE6">
        <w:rPr>
          <w:rFonts w:ascii="Verdana" w:hAnsi="Verdana"/>
          <w:i/>
          <w:sz w:val="16"/>
          <w:szCs w:val="16"/>
          <w:lang w:val="es-CR"/>
        </w:rPr>
        <w:t xml:space="preserve">Cfr. Procuraduría para la Defensa de los Derechos Humanos. </w:t>
      </w:r>
      <w:r w:rsidR="00854CE6" w:rsidRPr="00854CE6">
        <w:rPr>
          <w:rFonts w:ascii="Verdana" w:hAnsi="Verdana"/>
          <w:sz w:val="16"/>
          <w:szCs w:val="16"/>
          <w:lang w:val="es-CR"/>
        </w:rPr>
        <w:t>Informe de 26 de julio de 2016 (aportad</w:t>
      </w:r>
      <w:r w:rsidR="004055D7">
        <w:rPr>
          <w:rFonts w:ascii="Verdana" w:hAnsi="Verdana"/>
          <w:sz w:val="16"/>
          <w:szCs w:val="16"/>
          <w:lang w:val="es-CR"/>
        </w:rPr>
        <w:t>o</w:t>
      </w:r>
      <w:r w:rsidR="00854CE6" w:rsidRPr="00854CE6">
        <w:rPr>
          <w:rFonts w:ascii="Verdana" w:hAnsi="Verdana"/>
          <w:sz w:val="16"/>
          <w:szCs w:val="16"/>
          <w:lang w:val="es-CR"/>
        </w:rPr>
        <w:t xml:space="preserve"> mediante comunicación dirigida a la Corte Interamericana el 12 de agosto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22369"/>
      <w:docPartObj>
        <w:docPartGallery w:val="Page Numbers (Top of Page)"/>
        <w:docPartUnique/>
      </w:docPartObj>
    </w:sdtPr>
    <w:sdtEndPr>
      <w:rPr>
        <w:noProof/>
      </w:rPr>
    </w:sdtEndPr>
    <w:sdtContent>
      <w:p w14:paraId="3090CBEE" w14:textId="2A1B66F3" w:rsidR="00AF2A84" w:rsidRDefault="00AF2A84">
        <w:pPr>
          <w:pStyle w:val="Header"/>
          <w:jc w:val="center"/>
        </w:pPr>
        <w:r>
          <w:fldChar w:fldCharType="begin"/>
        </w:r>
        <w:r>
          <w:instrText xml:space="preserve"> PAGE   \* MERGEFORMAT </w:instrText>
        </w:r>
        <w:r>
          <w:fldChar w:fldCharType="separate"/>
        </w:r>
        <w:r w:rsidR="00DC3A12">
          <w:rPr>
            <w:noProof/>
          </w:rPr>
          <w:t>2</w:t>
        </w:r>
        <w:r>
          <w:rPr>
            <w:noProof/>
          </w:rPr>
          <w:fldChar w:fldCharType="end"/>
        </w:r>
      </w:p>
    </w:sdtContent>
  </w:sdt>
  <w:p w14:paraId="51401362" w14:textId="6E19450D" w:rsidR="000B4B9F" w:rsidRPr="001B0748" w:rsidRDefault="000B4B9F" w:rsidP="001B0748">
    <w:pPr>
      <w:pStyle w:val="Header"/>
      <w:jc w:val="right"/>
      <w:rPr>
        <w:rFonts w:ascii="Verdana" w:hAnsi="Verdana"/>
        <w:i/>
        <w:sz w:val="20"/>
        <w:szCs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F3D"/>
    <w:multiLevelType w:val="hybridMultilevel"/>
    <w:tmpl w:val="FE2C7D10"/>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96A5F18"/>
    <w:multiLevelType w:val="hybridMultilevel"/>
    <w:tmpl w:val="E6480166"/>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3584A58"/>
    <w:multiLevelType w:val="hybridMultilevel"/>
    <w:tmpl w:val="D69CC2B0"/>
    <w:lvl w:ilvl="0" w:tplc="8AB85A2E">
      <w:start w:val="1"/>
      <w:numFmt w:val="decimal"/>
      <w:lvlText w:val="%1."/>
      <w:lvlJc w:val="left"/>
      <w:pPr>
        <w:ind w:left="4500" w:hanging="360"/>
      </w:pPr>
      <w:rPr>
        <w:rFonts w:ascii="Verdana" w:hAnsi="Verdana" w:hint="default"/>
        <w:i w:val="0"/>
        <w:sz w:val="20"/>
        <w:szCs w:val="20"/>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nsid w:val="13DC077C"/>
    <w:multiLevelType w:val="hybridMultilevel"/>
    <w:tmpl w:val="A284434C"/>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4A8172D"/>
    <w:multiLevelType w:val="hybridMultilevel"/>
    <w:tmpl w:val="7AC65AE8"/>
    <w:lvl w:ilvl="0" w:tplc="D44C0F96">
      <w:start w:val="1"/>
      <w:numFmt w:val="decimal"/>
      <w:lvlText w:val="%1."/>
      <w:lvlJc w:val="left"/>
      <w:pPr>
        <w:ind w:left="450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1516893"/>
    <w:multiLevelType w:val="hybridMultilevel"/>
    <w:tmpl w:val="38D47968"/>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E761A82"/>
    <w:multiLevelType w:val="hybridMultilevel"/>
    <w:tmpl w:val="7248CFE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2163485"/>
    <w:multiLevelType w:val="hybridMultilevel"/>
    <w:tmpl w:val="178011D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56B7FBB"/>
    <w:multiLevelType w:val="hybridMultilevel"/>
    <w:tmpl w:val="6324CC1C"/>
    <w:lvl w:ilvl="0" w:tplc="63E0F68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7352514"/>
    <w:multiLevelType w:val="hybridMultilevel"/>
    <w:tmpl w:val="4FEEECBE"/>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A201A05"/>
    <w:multiLevelType w:val="hybridMultilevel"/>
    <w:tmpl w:val="99CA51F2"/>
    <w:lvl w:ilvl="0" w:tplc="140A0017">
      <w:start w:val="1"/>
      <w:numFmt w:val="lowerLetter"/>
      <w:lvlText w:val="%1)"/>
      <w:lvlJc w:val="left"/>
      <w:pPr>
        <w:ind w:left="787" w:hanging="360"/>
      </w:pPr>
    </w:lvl>
    <w:lvl w:ilvl="1" w:tplc="140A0019">
      <w:start w:val="1"/>
      <w:numFmt w:val="lowerLetter"/>
      <w:lvlText w:val="%2."/>
      <w:lvlJc w:val="left"/>
      <w:pPr>
        <w:ind w:left="1507" w:hanging="360"/>
      </w:pPr>
    </w:lvl>
    <w:lvl w:ilvl="2" w:tplc="140A001B">
      <w:start w:val="1"/>
      <w:numFmt w:val="lowerRoman"/>
      <w:lvlText w:val="%3."/>
      <w:lvlJc w:val="right"/>
      <w:pPr>
        <w:ind w:left="2227" w:hanging="180"/>
      </w:pPr>
    </w:lvl>
    <w:lvl w:ilvl="3" w:tplc="140A000F" w:tentative="1">
      <w:start w:val="1"/>
      <w:numFmt w:val="decimal"/>
      <w:lvlText w:val="%4."/>
      <w:lvlJc w:val="left"/>
      <w:pPr>
        <w:ind w:left="2947" w:hanging="360"/>
      </w:pPr>
    </w:lvl>
    <w:lvl w:ilvl="4" w:tplc="140A0019" w:tentative="1">
      <w:start w:val="1"/>
      <w:numFmt w:val="lowerLetter"/>
      <w:lvlText w:val="%5."/>
      <w:lvlJc w:val="left"/>
      <w:pPr>
        <w:ind w:left="3667" w:hanging="360"/>
      </w:pPr>
    </w:lvl>
    <w:lvl w:ilvl="5" w:tplc="140A001B" w:tentative="1">
      <w:start w:val="1"/>
      <w:numFmt w:val="lowerRoman"/>
      <w:lvlText w:val="%6."/>
      <w:lvlJc w:val="right"/>
      <w:pPr>
        <w:ind w:left="4387" w:hanging="180"/>
      </w:pPr>
    </w:lvl>
    <w:lvl w:ilvl="6" w:tplc="140A000F" w:tentative="1">
      <w:start w:val="1"/>
      <w:numFmt w:val="decimal"/>
      <w:lvlText w:val="%7."/>
      <w:lvlJc w:val="left"/>
      <w:pPr>
        <w:ind w:left="5107" w:hanging="360"/>
      </w:pPr>
    </w:lvl>
    <w:lvl w:ilvl="7" w:tplc="140A0019" w:tentative="1">
      <w:start w:val="1"/>
      <w:numFmt w:val="lowerLetter"/>
      <w:lvlText w:val="%8."/>
      <w:lvlJc w:val="left"/>
      <w:pPr>
        <w:ind w:left="5827" w:hanging="360"/>
      </w:pPr>
    </w:lvl>
    <w:lvl w:ilvl="8" w:tplc="140A001B" w:tentative="1">
      <w:start w:val="1"/>
      <w:numFmt w:val="lowerRoman"/>
      <w:lvlText w:val="%9."/>
      <w:lvlJc w:val="right"/>
      <w:pPr>
        <w:ind w:left="6547" w:hanging="180"/>
      </w:pPr>
    </w:lvl>
  </w:abstractNum>
  <w:abstractNum w:abstractNumId="11">
    <w:nsid w:val="41FA49CC"/>
    <w:multiLevelType w:val="hybridMultilevel"/>
    <w:tmpl w:val="CB7257CA"/>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2BD19AA"/>
    <w:multiLevelType w:val="hybridMultilevel"/>
    <w:tmpl w:val="A648AC3E"/>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8216DC7"/>
    <w:multiLevelType w:val="hybridMultilevel"/>
    <w:tmpl w:val="4692D27A"/>
    <w:lvl w:ilvl="0" w:tplc="3C0E511E">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nsid w:val="50E22CF2"/>
    <w:multiLevelType w:val="hybridMultilevel"/>
    <w:tmpl w:val="E312E04E"/>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1C4029C"/>
    <w:multiLevelType w:val="hybridMultilevel"/>
    <w:tmpl w:val="9FD09AC4"/>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6716A72"/>
    <w:multiLevelType w:val="hybridMultilevel"/>
    <w:tmpl w:val="01A2DF10"/>
    <w:lvl w:ilvl="0" w:tplc="140A0015">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7">
    <w:nsid w:val="5D541866"/>
    <w:multiLevelType w:val="hybridMultilevel"/>
    <w:tmpl w:val="7B1418B8"/>
    <w:lvl w:ilvl="0" w:tplc="3C0E511E">
      <w:start w:val="1"/>
      <w:numFmt w:val="decimal"/>
      <w:lvlText w:val="%1."/>
      <w:lvlJc w:val="left"/>
      <w:pPr>
        <w:ind w:left="1287"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F6D743F"/>
    <w:multiLevelType w:val="hybridMultilevel"/>
    <w:tmpl w:val="A6AA73D2"/>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7346ADC"/>
    <w:multiLevelType w:val="hybridMultilevel"/>
    <w:tmpl w:val="B440A898"/>
    <w:lvl w:ilvl="0" w:tplc="0A782304">
      <w:start w:val="1"/>
      <w:numFmt w:val="lowerLetter"/>
      <w:lvlText w:val="%1)"/>
      <w:lvlJc w:val="left"/>
      <w:pPr>
        <w:ind w:left="930" w:hanging="36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20">
    <w:nsid w:val="77CE72E7"/>
    <w:multiLevelType w:val="hybridMultilevel"/>
    <w:tmpl w:val="B7CEC7BC"/>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BD733FC"/>
    <w:multiLevelType w:val="hybridMultilevel"/>
    <w:tmpl w:val="1F9A99F0"/>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7"/>
  </w:num>
  <w:num w:numId="5">
    <w:abstractNumId w:val="4"/>
  </w:num>
  <w:num w:numId="6">
    <w:abstractNumId w:val="19"/>
  </w:num>
  <w:num w:numId="7">
    <w:abstractNumId w:val="10"/>
  </w:num>
  <w:num w:numId="8">
    <w:abstractNumId w:val="6"/>
  </w:num>
  <w:num w:numId="9">
    <w:abstractNumId w:val="20"/>
  </w:num>
  <w:num w:numId="10">
    <w:abstractNumId w:val="9"/>
  </w:num>
  <w:num w:numId="11">
    <w:abstractNumId w:val="14"/>
  </w:num>
  <w:num w:numId="12">
    <w:abstractNumId w:val="0"/>
  </w:num>
  <w:num w:numId="13">
    <w:abstractNumId w:val="12"/>
  </w:num>
  <w:num w:numId="14">
    <w:abstractNumId w:val="3"/>
  </w:num>
  <w:num w:numId="15">
    <w:abstractNumId w:val="15"/>
  </w:num>
  <w:num w:numId="16">
    <w:abstractNumId w:val="18"/>
  </w:num>
  <w:num w:numId="17">
    <w:abstractNumId w:val="21"/>
  </w:num>
  <w:num w:numId="18">
    <w:abstractNumId w:val="1"/>
  </w:num>
  <w:num w:numId="19">
    <w:abstractNumId w:val="11"/>
  </w:num>
  <w:num w:numId="20">
    <w:abstractNumId w:val="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48"/>
    <w:rsid w:val="0001029D"/>
    <w:rsid w:val="00044861"/>
    <w:rsid w:val="000508F9"/>
    <w:rsid w:val="00050C97"/>
    <w:rsid w:val="000620FF"/>
    <w:rsid w:val="00063916"/>
    <w:rsid w:val="000672EA"/>
    <w:rsid w:val="0007221C"/>
    <w:rsid w:val="00072E53"/>
    <w:rsid w:val="0007325F"/>
    <w:rsid w:val="000748AA"/>
    <w:rsid w:val="00077666"/>
    <w:rsid w:val="00082EF8"/>
    <w:rsid w:val="00084299"/>
    <w:rsid w:val="000852CB"/>
    <w:rsid w:val="00095015"/>
    <w:rsid w:val="000A0732"/>
    <w:rsid w:val="000B4B9F"/>
    <w:rsid w:val="000B4CB3"/>
    <w:rsid w:val="000C2549"/>
    <w:rsid w:val="000C4DD0"/>
    <w:rsid w:val="000C5904"/>
    <w:rsid w:val="000D470D"/>
    <w:rsid w:val="000D6BB5"/>
    <w:rsid w:val="00103CD8"/>
    <w:rsid w:val="001221FD"/>
    <w:rsid w:val="00131238"/>
    <w:rsid w:val="00133AAF"/>
    <w:rsid w:val="00140821"/>
    <w:rsid w:val="00140E8E"/>
    <w:rsid w:val="0014551F"/>
    <w:rsid w:val="00161567"/>
    <w:rsid w:val="00167249"/>
    <w:rsid w:val="00170CCF"/>
    <w:rsid w:val="00171719"/>
    <w:rsid w:val="0018530D"/>
    <w:rsid w:val="00191944"/>
    <w:rsid w:val="001A6468"/>
    <w:rsid w:val="001B0748"/>
    <w:rsid w:val="001B34BF"/>
    <w:rsid w:val="001C775E"/>
    <w:rsid w:val="001F3B4C"/>
    <w:rsid w:val="001F42FF"/>
    <w:rsid w:val="00201008"/>
    <w:rsid w:val="002122AD"/>
    <w:rsid w:val="00221214"/>
    <w:rsid w:val="00222FF0"/>
    <w:rsid w:val="002245EF"/>
    <w:rsid w:val="00241BDD"/>
    <w:rsid w:val="002436BF"/>
    <w:rsid w:val="00246F59"/>
    <w:rsid w:val="0024770E"/>
    <w:rsid w:val="00261D46"/>
    <w:rsid w:val="00267E1D"/>
    <w:rsid w:val="00272CA8"/>
    <w:rsid w:val="002833C4"/>
    <w:rsid w:val="00283B26"/>
    <w:rsid w:val="002942C5"/>
    <w:rsid w:val="00297779"/>
    <w:rsid w:val="002A07E7"/>
    <w:rsid w:val="002A1060"/>
    <w:rsid w:val="002A47C6"/>
    <w:rsid w:val="002B24CE"/>
    <w:rsid w:val="002B62D8"/>
    <w:rsid w:val="002C0393"/>
    <w:rsid w:val="002C079C"/>
    <w:rsid w:val="002C54AE"/>
    <w:rsid w:val="002C7255"/>
    <w:rsid w:val="002D52C5"/>
    <w:rsid w:val="002F51BD"/>
    <w:rsid w:val="00303058"/>
    <w:rsid w:val="00307E86"/>
    <w:rsid w:val="0031375B"/>
    <w:rsid w:val="00315E88"/>
    <w:rsid w:val="003214A9"/>
    <w:rsid w:val="00321F24"/>
    <w:rsid w:val="0033374C"/>
    <w:rsid w:val="003352F5"/>
    <w:rsid w:val="0033693B"/>
    <w:rsid w:val="00341A60"/>
    <w:rsid w:val="0035565C"/>
    <w:rsid w:val="0036116B"/>
    <w:rsid w:val="003641DE"/>
    <w:rsid w:val="003675DF"/>
    <w:rsid w:val="003751E3"/>
    <w:rsid w:val="00385FE5"/>
    <w:rsid w:val="00393E88"/>
    <w:rsid w:val="00395644"/>
    <w:rsid w:val="003A44F2"/>
    <w:rsid w:val="003A698E"/>
    <w:rsid w:val="003B732D"/>
    <w:rsid w:val="003D3A3B"/>
    <w:rsid w:val="00402A54"/>
    <w:rsid w:val="004055D7"/>
    <w:rsid w:val="004149A0"/>
    <w:rsid w:val="00425F5F"/>
    <w:rsid w:val="00432C03"/>
    <w:rsid w:val="00446FBB"/>
    <w:rsid w:val="00455840"/>
    <w:rsid w:val="004634CF"/>
    <w:rsid w:val="004820C6"/>
    <w:rsid w:val="0048245F"/>
    <w:rsid w:val="0048263C"/>
    <w:rsid w:val="00495071"/>
    <w:rsid w:val="004A5B58"/>
    <w:rsid w:val="004B4341"/>
    <w:rsid w:val="004C018C"/>
    <w:rsid w:val="004D217D"/>
    <w:rsid w:val="004D26B1"/>
    <w:rsid w:val="004E130E"/>
    <w:rsid w:val="004F7B93"/>
    <w:rsid w:val="005019E5"/>
    <w:rsid w:val="0050590D"/>
    <w:rsid w:val="00520502"/>
    <w:rsid w:val="0052777C"/>
    <w:rsid w:val="0053494F"/>
    <w:rsid w:val="00535C68"/>
    <w:rsid w:val="005441A6"/>
    <w:rsid w:val="00561A4E"/>
    <w:rsid w:val="00563FD6"/>
    <w:rsid w:val="00564EF5"/>
    <w:rsid w:val="00565D29"/>
    <w:rsid w:val="00575A08"/>
    <w:rsid w:val="00580A56"/>
    <w:rsid w:val="005816CD"/>
    <w:rsid w:val="00583A07"/>
    <w:rsid w:val="00593D43"/>
    <w:rsid w:val="005A0B02"/>
    <w:rsid w:val="005B3072"/>
    <w:rsid w:val="005C6E62"/>
    <w:rsid w:val="005C7EF7"/>
    <w:rsid w:val="005D00D2"/>
    <w:rsid w:val="005D0813"/>
    <w:rsid w:val="005D0B21"/>
    <w:rsid w:val="005D6102"/>
    <w:rsid w:val="005E7ACF"/>
    <w:rsid w:val="0060235A"/>
    <w:rsid w:val="006054B7"/>
    <w:rsid w:val="00620904"/>
    <w:rsid w:val="00640B4B"/>
    <w:rsid w:val="006422FC"/>
    <w:rsid w:val="00645DCB"/>
    <w:rsid w:val="006476BD"/>
    <w:rsid w:val="00656940"/>
    <w:rsid w:val="0066383E"/>
    <w:rsid w:val="00665006"/>
    <w:rsid w:val="00673184"/>
    <w:rsid w:val="006867F9"/>
    <w:rsid w:val="00692F6C"/>
    <w:rsid w:val="00695B5C"/>
    <w:rsid w:val="006A299A"/>
    <w:rsid w:val="006A37B5"/>
    <w:rsid w:val="006B1C9D"/>
    <w:rsid w:val="006C0815"/>
    <w:rsid w:val="006D7D32"/>
    <w:rsid w:val="007047DD"/>
    <w:rsid w:val="00713C69"/>
    <w:rsid w:val="007179C4"/>
    <w:rsid w:val="00721589"/>
    <w:rsid w:val="00732EEA"/>
    <w:rsid w:val="0073741E"/>
    <w:rsid w:val="00740D97"/>
    <w:rsid w:val="00741BC7"/>
    <w:rsid w:val="00742139"/>
    <w:rsid w:val="00745074"/>
    <w:rsid w:val="0075121F"/>
    <w:rsid w:val="0077243E"/>
    <w:rsid w:val="00772C00"/>
    <w:rsid w:val="0077526A"/>
    <w:rsid w:val="007857EA"/>
    <w:rsid w:val="00796005"/>
    <w:rsid w:val="007A75AF"/>
    <w:rsid w:val="007C0C49"/>
    <w:rsid w:val="007C715D"/>
    <w:rsid w:val="007D6813"/>
    <w:rsid w:val="007E2E78"/>
    <w:rsid w:val="00812E92"/>
    <w:rsid w:val="00854CE6"/>
    <w:rsid w:val="008967FE"/>
    <w:rsid w:val="0089763B"/>
    <w:rsid w:val="008A0697"/>
    <w:rsid w:val="008A0E74"/>
    <w:rsid w:val="008A24B6"/>
    <w:rsid w:val="008A672F"/>
    <w:rsid w:val="008B32B8"/>
    <w:rsid w:val="008B5E7A"/>
    <w:rsid w:val="008F22D5"/>
    <w:rsid w:val="00917229"/>
    <w:rsid w:val="009206E2"/>
    <w:rsid w:val="00932420"/>
    <w:rsid w:val="0094464A"/>
    <w:rsid w:val="00946049"/>
    <w:rsid w:val="00950128"/>
    <w:rsid w:val="00965795"/>
    <w:rsid w:val="00966DFC"/>
    <w:rsid w:val="009736FA"/>
    <w:rsid w:val="0098054A"/>
    <w:rsid w:val="009A136E"/>
    <w:rsid w:val="009A27CF"/>
    <w:rsid w:val="009C0EA3"/>
    <w:rsid w:val="009C1C89"/>
    <w:rsid w:val="009C725A"/>
    <w:rsid w:val="009D2D92"/>
    <w:rsid w:val="009F6E4F"/>
    <w:rsid w:val="00A00222"/>
    <w:rsid w:val="00A007D7"/>
    <w:rsid w:val="00A04452"/>
    <w:rsid w:val="00A045F2"/>
    <w:rsid w:val="00A072C7"/>
    <w:rsid w:val="00A3746D"/>
    <w:rsid w:val="00A47061"/>
    <w:rsid w:val="00A47332"/>
    <w:rsid w:val="00A511B9"/>
    <w:rsid w:val="00A67806"/>
    <w:rsid w:val="00A74A64"/>
    <w:rsid w:val="00A9019C"/>
    <w:rsid w:val="00AA398D"/>
    <w:rsid w:val="00AB42A2"/>
    <w:rsid w:val="00AD54C9"/>
    <w:rsid w:val="00AE40BA"/>
    <w:rsid w:val="00AE7555"/>
    <w:rsid w:val="00AE7563"/>
    <w:rsid w:val="00AF2A84"/>
    <w:rsid w:val="00AF39BF"/>
    <w:rsid w:val="00B04177"/>
    <w:rsid w:val="00B2058A"/>
    <w:rsid w:val="00B2071A"/>
    <w:rsid w:val="00B237E9"/>
    <w:rsid w:val="00B30F63"/>
    <w:rsid w:val="00B3439F"/>
    <w:rsid w:val="00B36E23"/>
    <w:rsid w:val="00B40119"/>
    <w:rsid w:val="00B542FC"/>
    <w:rsid w:val="00B56F80"/>
    <w:rsid w:val="00B61F32"/>
    <w:rsid w:val="00B80213"/>
    <w:rsid w:val="00B93683"/>
    <w:rsid w:val="00B94341"/>
    <w:rsid w:val="00B94463"/>
    <w:rsid w:val="00B96763"/>
    <w:rsid w:val="00B97339"/>
    <w:rsid w:val="00BC17DF"/>
    <w:rsid w:val="00BC66ED"/>
    <w:rsid w:val="00BD4C01"/>
    <w:rsid w:val="00BE34FF"/>
    <w:rsid w:val="00BE7EF7"/>
    <w:rsid w:val="00C03007"/>
    <w:rsid w:val="00C117CC"/>
    <w:rsid w:val="00C22979"/>
    <w:rsid w:val="00C25FA0"/>
    <w:rsid w:val="00C33629"/>
    <w:rsid w:val="00C342AF"/>
    <w:rsid w:val="00C35BED"/>
    <w:rsid w:val="00C44789"/>
    <w:rsid w:val="00C46515"/>
    <w:rsid w:val="00C72B71"/>
    <w:rsid w:val="00C738BD"/>
    <w:rsid w:val="00C75E57"/>
    <w:rsid w:val="00C81138"/>
    <w:rsid w:val="00C863F4"/>
    <w:rsid w:val="00C90F46"/>
    <w:rsid w:val="00C9244F"/>
    <w:rsid w:val="00C962EC"/>
    <w:rsid w:val="00C96E3C"/>
    <w:rsid w:val="00CA1D81"/>
    <w:rsid w:val="00CA2A4D"/>
    <w:rsid w:val="00CB035E"/>
    <w:rsid w:val="00CB7997"/>
    <w:rsid w:val="00CB7A61"/>
    <w:rsid w:val="00CC2F4F"/>
    <w:rsid w:val="00CC60C7"/>
    <w:rsid w:val="00CD58D9"/>
    <w:rsid w:val="00CD63FD"/>
    <w:rsid w:val="00CF6276"/>
    <w:rsid w:val="00CF7FAF"/>
    <w:rsid w:val="00D0079E"/>
    <w:rsid w:val="00D0659F"/>
    <w:rsid w:val="00D10E2B"/>
    <w:rsid w:val="00D124CC"/>
    <w:rsid w:val="00D23E15"/>
    <w:rsid w:val="00D263D9"/>
    <w:rsid w:val="00D26AF2"/>
    <w:rsid w:val="00D35F25"/>
    <w:rsid w:val="00D4119F"/>
    <w:rsid w:val="00D43D5C"/>
    <w:rsid w:val="00D4449D"/>
    <w:rsid w:val="00D66395"/>
    <w:rsid w:val="00D856CF"/>
    <w:rsid w:val="00D8734F"/>
    <w:rsid w:val="00D919F4"/>
    <w:rsid w:val="00D97810"/>
    <w:rsid w:val="00DA29F8"/>
    <w:rsid w:val="00DA5F5E"/>
    <w:rsid w:val="00DC3A12"/>
    <w:rsid w:val="00DD4AE4"/>
    <w:rsid w:val="00DE52A2"/>
    <w:rsid w:val="00DF40ED"/>
    <w:rsid w:val="00E226AE"/>
    <w:rsid w:val="00E41BB1"/>
    <w:rsid w:val="00E44727"/>
    <w:rsid w:val="00E50421"/>
    <w:rsid w:val="00E525B2"/>
    <w:rsid w:val="00E61811"/>
    <w:rsid w:val="00E63E6D"/>
    <w:rsid w:val="00E86BA6"/>
    <w:rsid w:val="00E9210D"/>
    <w:rsid w:val="00E92153"/>
    <w:rsid w:val="00EB148A"/>
    <w:rsid w:val="00EC0A50"/>
    <w:rsid w:val="00EC62DC"/>
    <w:rsid w:val="00F06A4A"/>
    <w:rsid w:val="00F07CA6"/>
    <w:rsid w:val="00F23CAF"/>
    <w:rsid w:val="00F269E2"/>
    <w:rsid w:val="00F3073D"/>
    <w:rsid w:val="00F411E3"/>
    <w:rsid w:val="00F42F39"/>
    <w:rsid w:val="00F529D8"/>
    <w:rsid w:val="00F72565"/>
    <w:rsid w:val="00F7326E"/>
    <w:rsid w:val="00F85B84"/>
    <w:rsid w:val="00F85BEC"/>
    <w:rsid w:val="00F96D30"/>
    <w:rsid w:val="00FC6A3E"/>
    <w:rsid w:val="00FD54BD"/>
    <w:rsid w:val="00FD77B6"/>
    <w:rsid w:val="00FE5CE2"/>
    <w:rsid w:val="00FE6E32"/>
    <w:rsid w:val="00FE76D3"/>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4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48"/>
  </w:style>
  <w:style w:type="paragraph" w:styleId="Footer">
    <w:name w:val="footer"/>
    <w:basedOn w:val="Normal"/>
    <w:link w:val="FooterChar"/>
    <w:uiPriority w:val="99"/>
    <w:unhideWhenUsed/>
    <w:rsid w:val="001B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48"/>
  </w:style>
  <w:style w:type="character" w:styleId="LineNumber">
    <w:name w:val="line number"/>
    <w:basedOn w:val="DefaultParagraphFont"/>
    <w:uiPriority w:val="99"/>
    <w:semiHidden/>
    <w:unhideWhenUsed/>
    <w:rsid w:val="001B0748"/>
  </w:style>
  <w:style w:type="paragraph" w:styleId="ListParagraph">
    <w:name w:val="List Paragraph"/>
    <w:basedOn w:val="Normal"/>
    <w:uiPriority w:val="34"/>
    <w:qFormat/>
    <w:rsid w:val="001B074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1B074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B0748"/>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nhideWhenUsed/>
    <w:qFormat/>
    <w:rsid w:val="001B0748"/>
    <w:rPr>
      <w:vertAlign w:val="superscript"/>
    </w:rPr>
  </w:style>
  <w:style w:type="character" w:styleId="Hyperlink">
    <w:name w:val="Hyperlink"/>
    <w:basedOn w:val="DefaultParagraphFont"/>
    <w:uiPriority w:val="99"/>
    <w:unhideWhenUsed/>
    <w:rsid w:val="001B0748"/>
    <w:rPr>
      <w:color w:val="0000FF" w:themeColor="hyperlink"/>
      <w:u w:val="single"/>
    </w:rPr>
  </w:style>
  <w:style w:type="character" w:styleId="Strong">
    <w:name w:val="Strong"/>
    <w:basedOn w:val="DefaultParagraphFont"/>
    <w:uiPriority w:val="22"/>
    <w:qFormat/>
    <w:rsid w:val="00E50421"/>
    <w:rPr>
      <w:b/>
      <w:bCs/>
    </w:rPr>
  </w:style>
  <w:style w:type="paragraph" w:styleId="BalloonText">
    <w:name w:val="Balloon Text"/>
    <w:basedOn w:val="Normal"/>
    <w:link w:val="BalloonTextChar"/>
    <w:uiPriority w:val="99"/>
    <w:semiHidden/>
    <w:unhideWhenUsed/>
    <w:rsid w:val="00AA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8D"/>
    <w:rPr>
      <w:rFonts w:ascii="Tahoma" w:hAnsi="Tahoma" w:cs="Tahoma"/>
      <w:sz w:val="16"/>
      <w:szCs w:val="16"/>
    </w:rPr>
  </w:style>
  <w:style w:type="character" w:styleId="CommentReference">
    <w:name w:val="annotation reference"/>
    <w:basedOn w:val="DefaultParagraphFont"/>
    <w:uiPriority w:val="99"/>
    <w:semiHidden/>
    <w:unhideWhenUsed/>
    <w:rsid w:val="00AA398D"/>
    <w:rPr>
      <w:sz w:val="16"/>
      <w:szCs w:val="16"/>
    </w:rPr>
  </w:style>
  <w:style w:type="paragraph" w:styleId="CommentText">
    <w:name w:val="annotation text"/>
    <w:basedOn w:val="Normal"/>
    <w:link w:val="CommentTextChar"/>
    <w:uiPriority w:val="99"/>
    <w:unhideWhenUsed/>
    <w:rsid w:val="00AA398D"/>
    <w:pPr>
      <w:spacing w:line="240" w:lineRule="auto"/>
    </w:pPr>
    <w:rPr>
      <w:sz w:val="20"/>
      <w:szCs w:val="20"/>
    </w:rPr>
  </w:style>
  <w:style w:type="character" w:customStyle="1" w:styleId="CommentTextChar">
    <w:name w:val="Comment Text Char"/>
    <w:basedOn w:val="DefaultParagraphFont"/>
    <w:link w:val="CommentText"/>
    <w:uiPriority w:val="99"/>
    <w:rsid w:val="00AA398D"/>
    <w:rPr>
      <w:sz w:val="20"/>
      <w:szCs w:val="20"/>
    </w:rPr>
  </w:style>
  <w:style w:type="paragraph" w:styleId="CommentSubject">
    <w:name w:val="annotation subject"/>
    <w:basedOn w:val="CommentText"/>
    <w:next w:val="CommentText"/>
    <w:link w:val="CommentSubjectChar"/>
    <w:uiPriority w:val="99"/>
    <w:semiHidden/>
    <w:unhideWhenUsed/>
    <w:rsid w:val="00AA398D"/>
    <w:rPr>
      <w:b/>
      <w:bCs/>
    </w:rPr>
  </w:style>
  <w:style w:type="character" w:customStyle="1" w:styleId="CommentSubjectChar">
    <w:name w:val="Comment Subject Char"/>
    <w:basedOn w:val="CommentTextChar"/>
    <w:link w:val="CommentSubject"/>
    <w:uiPriority w:val="99"/>
    <w:semiHidden/>
    <w:rsid w:val="00AA398D"/>
    <w:rPr>
      <w:b/>
      <w:bCs/>
      <w:sz w:val="20"/>
      <w:szCs w:val="20"/>
    </w:rPr>
  </w:style>
  <w:style w:type="paragraph" w:styleId="Revision">
    <w:name w:val="Revision"/>
    <w:hidden/>
    <w:uiPriority w:val="99"/>
    <w:semiHidden/>
    <w:rsid w:val="00AA398D"/>
    <w:pPr>
      <w:spacing w:after="0" w:line="240" w:lineRule="auto"/>
    </w:pPr>
  </w:style>
  <w:style w:type="character" w:styleId="FollowedHyperlink">
    <w:name w:val="FollowedHyperlink"/>
    <w:basedOn w:val="DefaultParagraphFont"/>
    <w:uiPriority w:val="99"/>
    <w:semiHidden/>
    <w:unhideWhenUsed/>
    <w:rsid w:val="006054B7"/>
    <w:rPr>
      <w:color w:val="800080" w:themeColor="followedHyperlink"/>
      <w:u w:val="single"/>
    </w:rPr>
  </w:style>
  <w:style w:type="character" w:customStyle="1" w:styleId="Heading1Char">
    <w:name w:val="Heading 1 Char"/>
    <w:basedOn w:val="DefaultParagraphFont"/>
    <w:link w:val="Heading1"/>
    <w:uiPriority w:val="9"/>
    <w:rsid w:val="00AF2A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2A84"/>
    <w:pPr>
      <w:outlineLvl w:val="9"/>
    </w:pPr>
    <w:rPr>
      <w:lang w:eastAsia="ja-JP"/>
    </w:rPr>
  </w:style>
  <w:style w:type="paragraph" w:styleId="TOC1">
    <w:name w:val="toc 1"/>
    <w:basedOn w:val="Normal"/>
    <w:next w:val="Normal"/>
    <w:autoRedefine/>
    <w:uiPriority w:val="39"/>
    <w:unhideWhenUsed/>
    <w:rsid w:val="00AF2A84"/>
    <w:pPr>
      <w:tabs>
        <w:tab w:val="left" w:pos="993"/>
      </w:tabs>
      <w:spacing w:after="100"/>
      <w:ind w:left="567" w:right="7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48"/>
  </w:style>
  <w:style w:type="paragraph" w:styleId="Footer">
    <w:name w:val="footer"/>
    <w:basedOn w:val="Normal"/>
    <w:link w:val="FooterChar"/>
    <w:uiPriority w:val="99"/>
    <w:unhideWhenUsed/>
    <w:rsid w:val="001B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48"/>
  </w:style>
  <w:style w:type="character" w:styleId="LineNumber">
    <w:name w:val="line number"/>
    <w:basedOn w:val="DefaultParagraphFont"/>
    <w:uiPriority w:val="99"/>
    <w:semiHidden/>
    <w:unhideWhenUsed/>
    <w:rsid w:val="001B0748"/>
  </w:style>
  <w:style w:type="paragraph" w:styleId="ListParagraph">
    <w:name w:val="List Paragraph"/>
    <w:basedOn w:val="Normal"/>
    <w:uiPriority w:val="34"/>
    <w:qFormat/>
    <w:rsid w:val="001B074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1B074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B0748"/>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nhideWhenUsed/>
    <w:qFormat/>
    <w:rsid w:val="001B0748"/>
    <w:rPr>
      <w:vertAlign w:val="superscript"/>
    </w:rPr>
  </w:style>
  <w:style w:type="character" w:styleId="Hyperlink">
    <w:name w:val="Hyperlink"/>
    <w:basedOn w:val="DefaultParagraphFont"/>
    <w:uiPriority w:val="99"/>
    <w:unhideWhenUsed/>
    <w:rsid w:val="001B0748"/>
    <w:rPr>
      <w:color w:val="0000FF" w:themeColor="hyperlink"/>
      <w:u w:val="single"/>
    </w:rPr>
  </w:style>
  <w:style w:type="character" w:styleId="Strong">
    <w:name w:val="Strong"/>
    <w:basedOn w:val="DefaultParagraphFont"/>
    <w:uiPriority w:val="22"/>
    <w:qFormat/>
    <w:rsid w:val="00E50421"/>
    <w:rPr>
      <w:b/>
      <w:bCs/>
    </w:rPr>
  </w:style>
  <w:style w:type="paragraph" w:styleId="BalloonText">
    <w:name w:val="Balloon Text"/>
    <w:basedOn w:val="Normal"/>
    <w:link w:val="BalloonTextChar"/>
    <w:uiPriority w:val="99"/>
    <w:semiHidden/>
    <w:unhideWhenUsed/>
    <w:rsid w:val="00AA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8D"/>
    <w:rPr>
      <w:rFonts w:ascii="Tahoma" w:hAnsi="Tahoma" w:cs="Tahoma"/>
      <w:sz w:val="16"/>
      <w:szCs w:val="16"/>
    </w:rPr>
  </w:style>
  <w:style w:type="character" w:styleId="CommentReference">
    <w:name w:val="annotation reference"/>
    <w:basedOn w:val="DefaultParagraphFont"/>
    <w:uiPriority w:val="99"/>
    <w:semiHidden/>
    <w:unhideWhenUsed/>
    <w:rsid w:val="00AA398D"/>
    <w:rPr>
      <w:sz w:val="16"/>
      <w:szCs w:val="16"/>
    </w:rPr>
  </w:style>
  <w:style w:type="paragraph" w:styleId="CommentText">
    <w:name w:val="annotation text"/>
    <w:basedOn w:val="Normal"/>
    <w:link w:val="CommentTextChar"/>
    <w:uiPriority w:val="99"/>
    <w:unhideWhenUsed/>
    <w:rsid w:val="00AA398D"/>
    <w:pPr>
      <w:spacing w:line="240" w:lineRule="auto"/>
    </w:pPr>
    <w:rPr>
      <w:sz w:val="20"/>
      <w:szCs w:val="20"/>
    </w:rPr>
  </w:style>
  <w:style w:type="character" w:customStyle="1" w:styleId="CommentTextChar">
    <w:name w:val="Comment Text Char"/>
    <w:basedOn w:val="DefaultParagraphFont"/>
    <w:link w:val="CommentText"/>
    <w:uiPriority w:val="99"/>
    <w:rsid w:val="00AA398D"/>
    <w:rPr>
      <w:sz w:val="20"/>
      <w:szCs w:val="20"/>
    </w:rPr>
  </w:style>
  <w:style w:type="paragraph" w:styleId="CommentSubject">
    <w:name w:val="annotation subject"/>
    <w:basedOn w:val="CommentText"/>
    <w:next w:val="CommentText"/>
    <w:link w:val="CommentSubjectChar"/>
    <w:uiPriority w:val="99"/>
    <w:semiHidden/>
    <w:unhideWhenUsed/>
    <w:rsid w:val="00AA398D"/>
    <w:rPr>
      <w:b/>
      <w:bCs/>
    </w:rPr>
  </w:style>
  <w:style w:type="character" w:customStyle="1" w:styleId="CommentSubjectChar">
    <w:name w:val="Comment Subject Char"/>
    <w:basedOn w:val="CommentTextChar"/>
    <w:link w:val="CommentSubject"/>
    <w:uiPriority w:val="99"/>
    <w:semiHidden/>
    <w:rsid w:val="00AA398D"/>
    <w:rPr>
      <w:b/>
      <w:bCs/>
      <w:sz w:val="20"/>
      <w:szCs w:val="20"/>
    </w:rPr>
  </w:style>
  <w:style w:type="paragraph" w:styleId="Revision">
    <w:name w:val="Revision"/>
    <w:hidden/>
    <w:uiPriority w:val="99"/>
    <w:semiHidden/>
    <w:rsid w:val="00AA398D"/>
    <w:pPr>
      <w:spacing w:after="0" w:line="240" w:lineRule="auto"/>
    </w:pPr>
  </w:style>
  <w:style w:type="character" w:styleId="FollowedHyperlink">
    <w:name w:val="FollowedHyperlink"/>
    <w:basedOn w:val="DefaultParagraphFont"/>
    <w:uiPriority w:val="99"/>
    <w:semiHidden/>
    <w:unhideWhenUsed/>
    <w:rsid w:val="006054B7"/>
    <w:rPr>
      <w:color w:val="800080" w:themeColor="followedHyperlink"/>
      <w:u w:val="single"/>
    </w:rPr>
  </w:style>
  <w:style w:type="character" w:customStyle="1" w:styleId="Heading1Char">
    <w:name w:val="Heading 1 Char"/>
    <w:basedOn w:val="DefaultParagraphFont"/>
    <w:link w:val="Heading1"/>
    <w:uiPriority w:val="9"/>
    <w:rsid w:val="00AF2A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2A84"/>
    <w:pPr>
      <w:outlineLvl w:val="9"/>
    </w:pPr>
    <w:rPr>
      <w:lang w:eastAsia="ja-JP"/>
    </w:rPr>
  </w:style>
  <w:style w:type="paragraph" w:styleId="TOC1">
    <w:name w:val="toc 1"/>
    <w:basedOn w:val="Normal"/>
    <w:next w:val="Normal"/>
    <w:autoRedefine/>
    <w:uiPriority w:val="39"/>
    <w:unhideWhenUsed/>
    <w:rsid w:val="00AF2A84"/>
    <w:pPr>
      <w:tabs>
        <w:tab w:val="left" w:pos="993"/>
      </w:tabs>
      <w:spacing w:after="100"/>
      <w:ind w:left="567" w:right="7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5151">
      <w:bodyDiv w:val="1"/>
      <w:marLeft w:val="0"/>
      <w:marRight w:val="0"/>
      <w:marTop w:val="0"/>
      <w:marBottom w:val="0"/>
      <w:divBdr>
        <w:top w:val="none" w:sz="0" w:space="0" w:color="auto"/>
        <w:left w:val="none" w:sz="0" w:space="0" w:color="auto"/>
        <w:bottom w:val="none" w:sz="0" w:space="0" w:color="auto"/>
        <w:right w:val="none" w:sz="0" w:space="0" w:color="auto"/>
      </w:divBdr>
    </w:div>
    <w:div w:id="1280797530">
      <w:bodyDiv w:val="1"/>
      <w:marLeft w:val="0"/>
      <w:marRight w:val="0"/>
      <w:marTop w:val="0"/>
      <w:marBottom w:val="0"/>
      <w:divBdr>
        <w:top w:val="none" w:sz="0" w:space="0" w:color="auto"/>
        <w:left w:val="none" w:sz="0" w:space="0" w:color="auto"/>
        <w:bottom w:val="none" w:sz="0" w:space="0" w:color="auto"/>
        <w:right w:val="none" w:sz="0" w:space="0" w:color="auto"/>
      </w:divBdr>
    </w:div>
    <w:div w:id="1595430144">
      <w:bodyDiv w:val="1"/>
      <w:marLeft w:val="0"/>
      <w:marRight w:val="0"/>
      <w:marTop w:val="0"/>
      <w:marBottom w:val="0"/>
      <w:divBdr>
        <w:top w:val="none" w:sz="0" w:space="0" w:color="auto"/>
        <w:left w:val="none" w:sz="0" w:space="0" w:color="auto"/>
        <w:bottom w:val="none" w:sz="0" w:space="0" w:color="auto"/>
        <w:right w:val="none" w:sz="0" w:space="0" w:color="auto"/>
      </w:divBdr>
    </w:div>
    <w:div w:id="16424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supervisiones/mozote_03_05_16.pdf" TargetMode="External"/><Relationship Id="rId1" Type="http://schemas.openxmlformats.org/officeDocument/2006/relationships/hyperlink" Target="http://corteidh.or.cr/docs/casos/articulos/seriec_252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C2FF-2FDE-4A2B-A743-409D0578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6416</Words>
  <Characters>35293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2017-09-20T23:06:00Z</cp:lastPrinted>
  <dcterms:created xsi:type="dcterms:W3CDTF">2017-09-20T23:34:00Z</dcterms:created>
  <dcterms:modified xsi:type="dcterms:W3CDTF">2017-09-20T23:34:00Z</dcterms:modified>
</cp:coreProperties>
</file>