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10B8A" w14:textId="77777777" w:rsidR="009F16AE" w:rsidRDefault="009F16AE" w:rsidP="001E5411">
      <w:pPr>
        <w:spacing w:after="0" w:line="240" w:lineRule="auto"/>
        <w:jc w:val="center"/>
        <w:rPr>
          <w:rFonts w:ascii="Verdana" w:hAnsi="Verdana"/>
          <w:b/>
          <w:sz w:val="20"/>
          <w:szCs w:val="20"/>
          <w:lang w:val="es-CR"/>
        </w:rPr>
      </w:pPr>
    </w:p>
    <w:p w14:paraId="4F0420AD" w14:textId="77777777" w:rsidR="000445BF" w:rsidRDefault="000445BF" w:rsidP="001E5411">
      <w:pPr>
        <w:spacing w:after="0" w:line="240" w:lineRule="auto"/>
        <w:jc w:val="center"/>
        <w:rPr>
          <w:rFonts w:ascii="Verdana" w:hAnsi="Verdana"/>
          <w:b/>
          <w:sz w:val="20"/>
          <w:szCs w:val="20"/>
          <w:lang w:val="es-CR"/>
        </w:rPr>
      </w:pPr>
    </w:p>
    <w:p w14:paraId="540AC5BA" w14:textId="77777777" w:rsidR="009F16AE" w:rsidRDefault="009F16AE" w:rsidP="001E5411">
      <w:pPr>
        <w:spacing w:after="0" w:line="240" w:lineRule="auto"/>
        <w:jc w:val="center"/>
        <w:rPr>
          <w:rFonts w:ascii="Verdana" w:hAnsi="Verdana"/>
          <w:b/>
          <w:sz w:val="20"/>
          <w:szCs w:val="20"/>
          <w:lang w:val="es-CR"/>
        </w:rPr>
      </w:pPr>
    </w:p>
    <w:p w14:paraId="3C5047A3" w14:textId="77777777" w:rsidR="009F16AE" w:rsidRDefault="009F16AE" w:rsidP="001E5411">
      <w:pPr>
        <w:spacing w:after="0" w:line="240" w:lineRule="auto"/>
        <w:jc w:val="center"/>
        <w:rPr>
          <w:rFonts w:ascii="Verdana" w:hAnsi="Verdana"/>
          <w:b/>
          <w:sz w:val="20"/>
          <w:szCs w:val="20"/>
          <w:lang w:val="es-CR"/>
        </w:rPr>
      </w:pPr>
    </w:p>
    <w:p w14:paraId="6ED91499" w14:textId="77777777" w:rsidR="009F16AE" w:rsidRDefault="009F16AE" w:rsidP="001E5411">
      <w:pPr>
        <w:spacing w:after="0" w:line="240" w:lineRule="auto"/>
        <w:jc w:val="center"/>
        <w:rPr>
          <w:rFonts w:ascii="Verdana" w:hAnsi="Verdana"/>
          <w:b/>
          <w:sz w:val="20"/>
          <w:szCs w:val="20"/>
          <w:lang w:val="es-CR"/>
        </w:rPr>
      </w:pPr>
    </w:p>
    <w:p w14:paraId="18F8305D" w14:textId="77777777" w:rsidR="009F16AE" w:rsidRDefault="009F16AE" w:rsidP="001E5411">
      <w:pPr>
        <w:spacing w:after="0" w:line="240" w:lineRule="auto"/>
        <w:jc w:val="center"/>
        <w:rPr>
          <w:rFonts w:ascii="Verdana" w:hAnsi="Verdana"/>
          <w:b/>
          <w:sz w:val="20"/>
          <w:szCs w:val="20"/>
          <w:lang w:val="es-CR"/>
        </w:rPr>
      </w:pPr>
    </w:p>
    <w:p w14:paraId="04642027" w14:textId="77777777" w:rsidR="000E1545" w:rsidRDefault="000E1545" w:rsidP="001E5411">
      <w:pPr>
        <w:spacing w:after="0" w:line="240" w:lineRule="auto"/>
        <w:jc w:val="center"/>
        <w:rPr>
          <w:rFonts w:ascii="Verdana" w:hAnsi="Verdana"/>
          <w:b/>
          <w:sz w:val="20"/>
          <w:szCs w:val="20"/>
          <w:lang w:val="es-CR"/>
        </w:rPr>
      </w:pPr>
    </w:p>
    <w:p w14:paraId="10322CC5" w14:textId="77777777" w:rsidR="006A759B"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RESOLUCIÓN DE LA</w:t>
      </w:r>
    </w:p>
    <w:p w14:paraId="6FEC48AC" w14:textId="77777777" w:rsidR="001E5411" w:rsidRDefault="001E5411" w:rsidP="001E5411">
      <w:pPr>
        <w:spacing w:after="0" w:line="240" w:lineRule="auto"/>
        <w:jc w:val="center"/>
        <w:rPr>
          <w:rFonts w:ascii="Verdana" w:hAnsi="Verdana"/>
          <w:b/>
          <w:sz w:val="20"/>
          <w:szCs w:val="20"/>
          <w:lang w:val="es-CR"/>
        </w:rPr>
      </w:pPr>
    </w:p>
    <w:p w14:paraId="56ACD6C9" w14:textId="6777EAC1"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r w:rsidR="000445BF">
        <w:rPr>
          <w:rStyle w:val="FootnoteReference"/>
          <w:rFonts w:ascii="Verdana" w:hAnsi="Verdana"/>
          <w:b/>
          <w:sz w:val="20"/>
          <w:szCs w:val="20"/>
          <w:lang w:val="es-CR"/>
        </w:rPr>
        <w:footnoteReference w:customMarkFollows="1" w:id="1"/>
        <w:t>*</w:t>
      </w:r>
    </w:p>
    <w:p w14:paraId="3FB8B0DD" w14:textId="77777777" w:rsidR="001E5411" w:rsidRDefault="001E5411" w:rsidP="001E5411">
      <w:pPr>
        <w:spacing w:after="0" w:line="240" w:lineRule="auto"/>
        <w:jc w:val="center"/>
        <w:rPr>
          <w:rFonts w:ascii="Verdana" w:hAnsi="Verdana"/>
          <w:b/>
          <w:sz w:val="20"/>
          <w:szCs w:val="20"/>
          <w:lang w:val="es-CR"/>
        </w:rPr>
      </w:pPr>
    </w:p>
    <w:p w14:paraId="2B65F1F1" w14:textId="2C256EA5"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0445BF">
        <w:rPr>
          <w:rFonts w:ascii="Verdana" w:hAnsi="Verdana"/>
          <w:b/>
          <w:sz w:val="20"/>
          <w:szCs w:val="20"/>
          <w:lang w:val="es-CR"/>
        </w:rPr>
        <w:t>26</w:t>
      </w:r>
      <w:r>
        <w:rPr>
          <w:rFonts w:ascii="Verdana" w:hAnsi="Verdana"/>
          <w:b/>
          <w:sz w:val="20"/>
          <w:szCs w:val="20"/>
          <w:lang w:val="es-CR"/>
        </w:rPr>
        <w:t xml:space="preserve"> DE </w:t>
      </w:r>
      <w:r w:rsidR="00573A1B">
        <w:rPr>
          <w:rFonts w:ascii="Verdana" w:hAnsi="Verdana"/>
          <w:b/>
          <w:sz w:val="20"/>
          <w:szCs w:val="20"/>
          <w:lang w:val="es-CR"/>
        </w:rPr>
        <w:t>SEPTIEMBRE</w:t>
      </w:r>
      <w:r w:rsidR="0070201A">
        <w:rPr>
          <w:rFonts w:ascii="Verdana" w:hAnsi="Verdana"/>
          <w:b/>
          <w:sz w:val="20"/>
          <w:szCs w:val="20"/>
          <w:lang w:val="es-CR"/>
        </w:rPr>
        <w:t xml:space="preserve"> </w:t>
      </w:r>
      <w:r>
        <w:rPr>
          <w:rFonts w:ascii="Verdana" w:hAnsi="Verdana"/>
          <w:b/>
          <w:sz w:val="20"/>
          <w:szCs w:val="20"/>
          <w:lang w:val="es-CR"/>
        </w:rPr>
        <w:t>DE 201</w:t>
      </w:r>
      <w:r w:rsidR="0070201A">
        <w:rPr>
          <w:rFonts w:ascii="Verdana" w:hAnsi="Verdana"/>
          <w:b/>
          <w:sz w:val="20"/>
          <w:szCs w:val="20"/>
          <w:lang w:val="es-CR"/>
        </w:rPr>
        <w:t>8</w:t>
      </w:r>
    </w:p>
    <w:p w14:paraId="00FF745C" w14:textId="77777777" w:rsidR="001E5411" w:rsidRDefault="001E5411" w:rsidP="001E5411">
      <w:pPr>
        <w:spacing w:after="0" w:line="240" w:lineRule="auto"/>
        <w:jc w:val="center"/>
        <w:rPr>
          <w:rFonts w:ascii="Verdana" w:hAnsi="Verdana"/>
          <w:b/>
          <w:sz w:val="20"/>
          <w:szCs w:val="20"/>
          <w:lang w:val="es-CR"/>
        </w:rPr>
      </w:pPr>
    </w:p>
    <w:p w14:paraId="631F9DAD"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 xml:space="preserve">CASO </w:t>
      </w:r>
      <w:r w:rsidR="00AB0FAA">
        <w:rPr>
          <w:rFonts w:ascii="Verdana" w:hAnsi="Verdana"/>
          <w:b/>
          <w:sz w:val="20"/>
          <w:szCs w:val="20"/>
          <w:lang w:val="es-CR"/>
        </w:rPr>
        <w:t>TRABAJADORES CESADOS DE PETROPERÚ</w:t>
      </w:r>
      <w:r w:rsidR="004C57EF">
        <w:rPr>
          <w:rFonts w:ascii="Verdana" w:hAnsi="Verdana"/>
          <w:b/>
          <w:sz w:val="20"/>
          <w:szCs w:val="20"/>
          <w:lang w:val="es-CR"/>
        </w:rPr>
        <w:t xml:space="preserve"> Y OTROS </w:t>
      </w:r>
      <w:r>
        <w:rPr>
          <w:rFonts w:ascii="Verdana" w:hAnsi="Verdana"/>
          <w:b/>
          <w:sz w:val="20"/>
          <w:szCs w:val="20"/>
          <w:lang w:val="es-CR"/>
        </w:rPr>
        <w:t xml:space="preserve">VS. </w:t>
      </w:r>
      <w:r w:rsidR="00AB0FAA">
        <w:rPr>
          <w:rFonts w:ascii="Verdana" w:hAnsi="Verdana"/>
          <w:b/>
          <w:sz w:val="20"/>
          <w:szCs w:val="20"/>
          <w:lang w:val="es-CR"/>
        </w:rPr>
        <w:t>PERÚ</w:t>
      </w:r>
    </w:p>
    <w:p w14:paraId="4EF0CECA" w14:textId="77777777" w:rsidR="001E5411" w:rsidRDefault="001E5411" w:rsidP="001E5411">
      <w:pPr>
        <w:spacing w:after="0" w:line="240" w:lineRule="auto"/>
        <w:jc w:val="center"/>
        <w:rPr>
          <w:rFonts w:ascii="Verdana" w:hAnsi="Verdana"/>
          <w:b/>
          <w:sz w:val="20"/>
          <w:szCs w:val="20"/>
          <w:lang w:val="es-CR"/>
        </w:rPr>
      </w:pPr>
    </w:p>
    <w:p w14:paraId="0739F1A1"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54F76396" w14:textId="77777777" w:rsidR="001E5411" w:rsidRDefault="001E5411" w:rsidP="001E5411">
      <w:pPr>
        <w:spacing w:after="0" w:line="240" w:lineRule="auto"/>
        <w:rPr>
          <w:rFonts w:ascii="Verdana" w:hAnsi="Verdana"/>
          <w:b/>
          <w:sz w:val="20"/>
          <w:szCs w:val="20"/>
          <w:lang w:val="es-CR"/>
        </w:rPr>
      </w:pPr>
    </w:p>
    <w:p w14:paraId="31B450E1" w14:textId="77777777" w:rsidR="001E5411" w:rsidRDefault="001E5411" w:rsidP="001E5411">
      <w:pPr>
        <w:spacing w:after="0" w:line="240" w:lineRule="auto"/>
        <w:rPr>
          <w:rFonts w:ascii="Verdana" w:hAnsi="Verdana"/>
          <w:b/>
          <w:sz w:val="20"/>
          <w:szCs w:val="20"/>
          <w:lang w:val="es-CR"/>
        </w:rPr>
      </w:pPr>
      <w:r>
        <w:rPr>
          <w:rFonts w:ascii="Verdana" w:hAnsi="Verdana"/>
          <w:b/>
          <w:sz w:val="20"/>
          <w:szCs w:val="20"/>
          <w:lang w:val="es-CR"/>
        </w:rPr>
        <w:t>VISTO:</w:t>
      </w:r>
    </w:p>
    <w:p w14:paraId="6D8F83FA" w14:textId="77777777" w:rsidR="001E5411" w:rsidRDefault="001E5411" w:rsidP="001E5411">
      <w:pPr>
        <w:spacing w:after="0" w:line="240" w:lineRule="auto"/>
        <w:rPr>
          <w:rFonts w:ascii="Verdana" w:hAnsi="Verdana"/>
          <w:sz w:val="20"/>
          <w:szCs w:val="20"/>
          <w:lang w:val="es-CR"/>
        </w:rPr>
      </w:pPr>
    </w:p>
    <w:p w14:paraId="35C70F86" w14:textId="575E3BAB" w:rsidR="00B30A18" w:rsidRDefault="00B30A18" w:rsidP="003557DD">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La Sentencia de </w:t>
      </w:r>
      <w:r w:rsidR="00E5313B">
        <w:rPr>
          <w:rFonts w:ascii="Verdana" w:hAnsi="Verdana"/>
          <w:sz w:val="20"/>
          <w:szCs w:val="20"/>
          <w:lang w:val="es-CR"/>
        </w:rPr>
        <w:t xml:space="preserve">excepciones preliminares, </w:t>
      </w:r>
      <w:r>
        <w:rPr>
          <w:rFonts w:ascii="Verdana" w:hAnsi="Verdana"/>
          <w:sz w:val="20"/>
          <w:szCs w:val="20"/>
          <w:lang w:val="es-CR"/>
        </w:rPr>
        <w:t xml:space="preserve">fondo, reparaciones y costas dictada por la Corte Interamericana de Derechos Humanos (en adelante “la Corte”, “la Corte Interamericana” o “el Tribunal”) el </w:t>
      </w:r>
      <w:r w:rsidR="00B75009">
        <w:rPr>
          <w:rFonts w:ascii="Verdana" w:hAnsi="Verdana"/>
          <w:sz w:val="20"/>
          <w:szCs w:val="20"/>
          <w:lang w:val="es-CR"/>
        </w:rPr>
        <w:t>2</w:t>
      </w:r>
      <w:r w:rsidR="00AB0FAA">
        <w:rPr>
          <w:rFonts w:ascii="Verdana" w:hAnsi="Verdana"/>
          <w:sz w:val="20"/>
          <w:szCs w:val="20"/>
          <w:lang w:val="es-CR"/>
        </w:rPr>
        <w:t>3</w:t>
      </w:r>
      <w:r>
        <w:rPr>
          <w:rFonts w:ascii="Verdana" w:hAnsi="Verdana"/>
          <w:sz w:val="20"/>
          <w:szCs w:val="20"/>
          <w:lang w:val="es-CR"/>
        </w:rPr>
        <w:t xml:space="preserve"> de </w:t>
      </w:r>
      <w:r w:rsidR="00AB0FAA">
        <w:rPr>
          <w:rFonts w:ascii="Verdana" w:hAnsi="Verdana"/>
          <w:sz w:val="20"/>
          <w:szCs w:val="20"/>
          <w:lang w:val="es-CR"/>
        </w:rPr>
        <w:t>noviembre</w:t>
      </w:r>
      <w:r w:rsidR="003360C4">
        <w:rPr>
          <w:rFonts w:ascii="Verdana" w:hAnsi="Verdana"/>
          <w:sz w:val="20"/>
          <w:szCs w:val="20"/>
          <w:lang w:val="es-CR"/>
        </w:rPr>
        <w:t xml:space="preserve"> de 201</w:t>
      </w:r>
      <w:r w:rsidR="00B75009">
        <w:rPr>
          <w:rFonts w:ascii="Verdana" w:hAnsi="Verdana"/>
          <w:sz w:val="20"/>
          <w:szCs w:val="20"/>
          <w:lang w:val="es-CR"/>
        </w:rPr>
        <w:t>7</w:t>
      </w:r>
      <w:r>
        <w:rPr>
          <w:rStyle w:val="FootnoteReference"/>
          <w:rFonts w:ascii="Verdana" w:hAnsi="Verdana"/>
          <w:sz w:val="20"/>
          <w:szCs w:val="20"/>
          <w:lang w:val="es-CR"/>
        </w:rPr>
        <w:footnoteReference w:id="2"/>
      </w:r>
      <w:r>
        <w:rPr>
          <w:rFonts w:ascii="Verdana" w:hAnsi="Verdana"/>
          <w:sz w:val="20"/>
          <w:szCs w:val="20"/>
          <w:lang w:val="es-CR"/>
        </w:rPr>
        <w:t>.</w:t>
      </w:r>
      <w:r w:rsidR="00385150">
        <w:rPr>
          <w:rFonts w:ascii="Verdana" w:hAnsi="Verdana"/>
          <w:sz w:val="20"/>
          <w:szCs w:val="20"/>
          <w:lang w:val="es-CR"/>
        </w:rPr>
        <w:t xml:space="preserve"> En dicha Sentencia, la Corte</w:t>
      </w:r>
      <w:r w:rsidR="00782BD1">
        <w:rPr>
          <w:rFonts w:ascii="Verdana" w:hAnsi="Verdana"/>
          <w:sz w:val="20"/>
          <w:szCs w:val="20"/>
          <w:lang w:val="es-CR"/>
        </w:rPr>
        <w:t xml:space="preserve"> </w:t>
      </w:r>
      <w:r w:rsidR="00385150">
        <w:rPr>
          <w:rFonts w:ascii="Verdana" w:hAnsi="Verdana"/>
          <w:sz w:val="20"/>
          <w:szCs w:val="20"/>
          <w:lang w:val="es-CR"/>
        </w:rPr>
        <w:t>declaró la responsabilidad internacional de</w:t>
      </w:r>
      <w:r w:rsidR="00F4300A">
        <w:rPr>
          <w:rFonts w:ascii="Verdana" w:hAnsi="Verdana"/>
          <w:sz w:val="20"/>
          <w:szCs w:val="20"/>
          <w:lang w:val="es-CR"/>
        </w:rPr>
        <w:t>l Estado de</w:t>
      </w:r>
      <w:r w:rsidR="00AB0FAA">
        <w:rPr>
          <w:rFonts w:ascii="Verdana" w:hAnsi="Verdana"/>
          <w:sz w:val="20"/>
          <w:szCs w:val="20"/>
          <w:lang w:val="es-CR"/>
        </w:rPr>
        <w:t>l Perú</w:t>
      </w:r>
      <w:r w:rsidR="00F4300A">
        <w:rPr>
          <w:rFonts w:ascii="Verdana" w:hAnsi="Verdana"/>
          <w:sz w:val="20"/>
          <w:szCs w:val="20"/>
          <w:lang w:val="es-CR"/>
        </w:rPr>
        <w:t xml:space="preserve"> (en adelante “el Estado” o “</w:t>
      </w:r>
      <w:r w:rsidR="00AB0FAA">
        <w:rPr>
          <w:rFonts w:ascii="Verdana" w:hAnsi="Verdana"/>
          <w:sz w:val="20"/>
          <w:szCs w:val="20"/>
          <w:lang w:val="es-CR"/>
        </w:rPr>
        <w:t>Perú</w:t>
      </w:r>
      <w:r w:rsidR="00F4300A">
        <w:rPr>
          <w:rFonts w:ascii="Verdana" w:hAnsi="Verdana"/>
          <w:sz w:val="20"/>
          <w:szCs w:val="20"/>
          <w:lang w:val="es-CR"/>
        </w:rPr>
        <w:t xml:space="preserve">”) </w:t>
      </w:r>
      <w:r w:rsidR="00AB0FAA">
        <w:rPr>
          <w:rFonts w:ascii="Verdana" w:hAnsi="Verdana"/>
          <w:sz w:val="20"/>
          <w:szCs w:val="20"/>
          <w:lang w:val="es-CR"/>
        </w:rPr>
        <w:t xml:space="preserve">por la violación a los derechos a las garantías judiciales y la protección judicial, así como el derecho al trabajo, en perjuicio de 85 trabajadores de la empresa Petróleos del Perú (en adelante “Petroperú”), 25 trabajadores de la Empresa Nacional de Puertos (en adelante “Enapu”), 39 trabajadores del Ministerio de Educación </w:t>
      </w:r>
      <w:r w:rsidR="006343DA">
        <w:rPr>
          <w:rFonts w:ascii="Verdana" w:hAnsi="Verdana"/>
          <w:sz w:val="20"/>
          <w:szCs w:val="20"/>
          <w:lang w:val="es-CR"/>
        </w:rPr>
        <w:t xml:space="preserve">(en adelante “Minedu”) </w:t>
      </w:r>
      <w:r w:rsidR="00AB0FAA">
        <w:rPr>
          <w:rFonts w:ascii="Verdana" w:hAnsi="Verdana"/>
          <w:sz w:val="20"/>
          <w:szCs w:val="20"/>
          <w:lang w:val="es-CR"/>
        </w:rPr>
        <w:t>y 15 trabajadores del Ministerio de Economía y Finanzas (en adelante “MEF”), con motivo de la falta de respuesta judicial adecuada y efectiva ante sus ceses colectivos ocurridos en la década de los noventa</w:t>
      </w:r>
      <w:r w:rsidR="008265EE">
        <w:rPr>
          <w:rFonts w:ascii="Verdana" w:hAnsi="Verdana"/>
          <w:sz w:val="20"/>
          <w:szCs w:val="20"/>
          <w:lang w:val="es-CR"/>
        </w:rPr>
        <w:t xml:space="preserve"> con base en el Decreto Ley No. 26120 de 30 de diciembre de 1992</w:t>
      </w:r>
      <w:r w:rsidR="00AB0FAA">
        <w:rPr>
          <w:rFonts w:ascii="Verdana" w:hAnsi="Verdana"/>
          <w:sz w:val="20"/>
          <w:szCs w:val="20"/>
          <w:lang w:val="es-CR"/>
        </w:rPr>
        <w:t xml:space="preserve">, en el marco de diversos procesos de </w:t>
      </w:r>
      <w:r w:rsidR="006343DA">
        <w:rPr>
          <w:rFonts w:ascii="Verdana" w:hAnsi="Verdana"/>
          <w:sz w:val="20"/>
          <w:szCs w:val="20"/>
          <w:lang w:val="es-CR"/>
        </w:rPr>
        <w:t xml:space="preserve">racionalización y </w:t>
      </w:r>
      <w:r w:rsidR="00AB0FAA">
        <w:rPr>
          <w:rFonts w:ascii="Verdana" w:hAnsi="Verdana"/>
          <w:sz w:val="20"/>
          <w:szCs w:val="20"/>
          <w:lang w:val="es-CR"/>
        </w:rPr>
        <w:t xml:space="preserve">evaluación </w:t>
      </w:r>
      <w:r w:rsidR="008265EE">
        <w:rPr>
          <w:rFonts w:ascii="Verdana" w:hAnsi="Verdana"/>
          <w:sz w:val="20"/>
          <w:szCs w:val="20"/>
          <w:lang w:val="es-CR"/>
        </w:rPr>
        <w:t xml:space="preserve">de </w:t>
      </w:r>
      <w:r w:rsidR="00AB0FAA">
        <w:rPr>
          <w:rFonts w:ascii="Verdana" w:hAnsi="Verdana"/>
          <w:sz w:val="20"/>
          <w:szCs w:val="20"/>
          <w:lang w:val="es-CR"/>
        </w:rPr>
        <w:t xml:space="preserve">personal llevados a cabo por las entidades públicas en las que laboraban. </w:t>
      </w:r>
      <w:r w:rsidR="00D15FE7">
        <w:rPr>
          <w:rFonts w:ascii="Verdana" w:hAnsi="Verdana"/>
          <w:sz w:val="20"/>
          <w:szCs w:val="20"/>
          <w:lang w:val="es-CR"/>
        </w:rPr>
        <w:t xml:space="preserve">El </w:t>
      </w:r>
      <w:r w:rsidR="00F71C32">
        <w:rPr>
          <w:rFonts w:ascii="Verdana" w:hAnsi="Verdana"/>
          <w:sz w:val="20"/>
          <w:szCs w:val="20"/>
          <w:lang w:val="es-CR"/>
        </w:rPr>
        <w:t xml:space="preserve">Tribunal estableció </w:t>
      </w:r>
      <w:r w:rsidR="00AB0FAA">
        <w:rPr>
          <w:rFonts w:ascii="Verdana" w:hAnsi="Verdana"/>
          <w:sz w:val="20"/>
          <w:szCs w:val="20"/>
          <w:lang w:val="es-CR"/>
        </w:rPr>
        <w:t xml:space="preserve">que </w:t>
      </w:r>
      <w:r w:rsidR="00F71C32">
        <w:rPr>
          <w:rFonts w:ascii="Verdana" w:hAnsi="Verdana"/>
          <w:sz w:val="20"/>
          <w:szCs w:val="20"/>
          <w:lang w:val="es-CR"/>
        </w:rPr>
        <w:t>su Sentencia constitu</w:t>
      </w:r>
      <w:r w:rsidR="00AB0FAA">
        <w:rPr>
          <w:rFonts w:ascii="Verdana" w:hAnsi="Verdana"/>
          <w:sz w:val="20"/>
          <w:szCs w:val="20"/>
          <w:lang w:val="es-CR"/>
        </w:rPr>
        <w:t>ía</w:t>
      </w:r>
      <w:r w:rsidR="00F71C32">
        <w:rPr>
          <w:rFonts w:ascii="Verdana" w:hAnsi="Verdana"/>
          <w:sz w:val="20"/>
          <w:szCs w:val="20"/>
          <w:lang w:val="es-CR"/>
        </w:rPr>
        <w:t xml:space="preserve"> por sí misma una forma de reparación y</w:t>
      </w:r>
      <w:r w:rsidR="008D23B4">
        <w:rPr>
          <w:rFonts w:ascii="Verdana" w:hAnsi="Verdana"/>
          <w:sz w:val="20"/>
          <w:szCs w:val="20"/>
          <w:lang w:val="es-CR"/>
        </w:rPr>
        <w:t xml:space="preserve"> </w:t>
      </w:r>
      <w:r w:rsidR="00F71C32">
        <w:rPr>
          <w:rFonts w:ascii="Verdana" w:hAnsi="Verdana"/>
          <w:sz w:val="20"/>
          <w:szCs w:val="20"/>
          <w:lang w:val="es-CR"/>
        </w:rPr>
        <w:t xml:space="preserve">ordenó al Estado </w:t>
      </w:r>
      <w:r w:rsidR="008D23B4">
        <w:rPr>
          <w:rFonts w:ascii="Verdana" w:hAnsi="Verdana"/>
          <w:sz w:val="20"/>
          <w:szCs w:val="20"/>
          <w:lang w:val="es-CR"/>
        </w:rPr>
        <w:t xml:space="preserve">la adopción de </w:t>
      </w:r>
      <w:r w:rsidR="00F71C32">
        <w:rPr>
          <w:rFonts w:ascii="Verdana" w:hAnsi="Verdana"/>
          <w:sz w:val="20"/>
          <w:szCs w:val="20"/>
          <w:lang w:val="es-CR"/>
        </w:rPr>
        <w:t xml:space="preserve">medidas </w:t>
      </w:r>
      <w:r w:rsidR="008D23B4">
        <w:rPr>
          <w:rFonts w:ascii="Verdana" w:hAnsi="Verdana"/>
          <w:sz w:val="20"/>
          <w:szCs w:val="20"/>
          <w:lang w:val="es-CR"/>
        </w:rPr>
        <w:t xml:space="preserve">adicionales </w:t>
      </w:r>
      <w:r w:rsidR="00F71C32">
        <w:rPr>
          <w:rFonts w:ascii="Verdana" w:hAnsi="Verdana"/>
          <w:sz w:val="20"/>
          <w:szCs w:val="20"/>
          <w:lang w:val="es-CR"/>
        </w:rPr>
        <w:t>de reparación (</w:t>
      </w:r>
      <w:r w:rsidR="00D379DE">
        <w:rPr>
          <w:rFonts w:ascii="Verdana" w:hAnsi="Verdana"/>
          <w:i/>
          <w:sz w:val="20"/>
          <w:szCs w:val="20"/>
          <w:lang w:val="es-CR"/>
        </w:rPr>
        <w:t>infra</w:t>
      </w:r>
      <w:r w:rsidR="00F71C32">
        <w:rPr>
          <w:rFonts w:ascii="Verdana" w:hAnsi="Verdana"/>
          <w:i/>
          <w:sz w:val="20"/>
          <w:szCs w:val="20"/>
          <w:lang w:val="es-CR"/>
        </w:rPr>
        <w:t xml:space="preserve"> </w:t>
      </w:r>
      <w:r w:rsidR="00F71C32">
        <w:rPr>
          <w:rFonts w:ascii="Verdana" w:hAnsi="Verdana"/>
          <w:sz w:val="20"/>
          <w:szCs w:val="20"/>
          <w:lang w:val="es-CR"/>
        </w:rPr>
        <w:t xml:space="preserve">Considerando </w:t>
      </w:r>
      <w:r w:rsidR="00D379DE">
        <w:rPr>
          <w:rFonts w:ascii="Verdana" w:hAnsi="Verdana"/>
          <w:sz w:val="20"/>
          <w:szCs w:val="20"/>
          <w:lang w:val="es-CR"/>
        </w:rPr>
        <w:t>1</w:t>
      </w:r>
      <w:r w:rsidR="00F71C32">
        <w:rPr>
          <w:rFonts w:ascii="Verdana" w:hAnsi="Verdana"/>
          <w:sz w:val="20"/>
          <w:szCs w:val="20"/>
          <w:lang w:val="es-CR"/>
        </w:rPr>
        <w:t xml:space="preserve">). </w:t>
      </w:r>
    </w:p>
    <w:p w14:paraId="30AB4B57" w14:textId="77777777" w:rsidR="000119AE" w:rsidRPr="000119AE" w:rsidRDefault="000119AE" w:rsidP="000119AE">
      <w:pPr>
        <w:spacing w:after="0" w:line="240" w:lineRule="auto"/>
        <w:jc w:val="both"/>
        <w:rPr>
          <w:rFonts w:ascii="Verdana" w:hAnsi="Verdana"/>
          <w:sz w:val="20"/>
          <w:szCs w:val="20"/>
          <w:lang w:val="es-CR"/>
        </w:rPr>
      </w:pPr>
    </w:p>
    <w:p w14:paraId="36762345" w14:textId="55E74FC3" w:rsidR="00171509" w:rsidRPr="00171509" w:rsidRDefault="00242C20" w:rsidP="00171509">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Los</w:t>
      </w:r>
      <w:r w:rsidR="00AB0FAA">
        <w:rPr>
          <w:rFonts w:ascii="Verdana" w:hAnsi="Verdana"/>
          <w:sz w:val="20"/>
          <w:szCs w:val="20"/>
          <w:lang w:val="es-CR"/>
        </w:rPr>
        <w:t xml:space="preserve"> escrito</w:t>
      </w:r>
      <w:r>
        <w:rPr>
          <w:rFonts w:ascii="Verdana" w:hAnsi="Verdana"/>
          <w:sz w:val="20"/>
          <w:szCs w:val="20"/>
          <w:lang w:val="es-CR"/>
        </w:rPr>
        <w:t>s</w:t>
      </w:r>
      <w:r w:rsidR="00F71C32">
        <w:rPr>
          <w:rFonts w:ascii="Verdana" w:hAnsi="Verdana"/>
          <w:sz w:val="20"/>
          <w:szCs w:val="20"/>
          <w:lang w:val="es-CR"/>
        </w:rPr>
        <w:t xml:space="preserve"> presentado</w:t>
      </w:r>
      <w:r>
        <w:rPr>
          <w:rFonts w:ascii="Verdana" w:hAnsi="Verdana"/>
          <w:sz w:val="20"/>
          <w:szCs w:val="20"/>
          <w:lang w:val="es-CR"/>
        </w:rPr>
        <w:t>s</w:t>
      </w:r>
      <w:r w:rsidR="00AB0FAA">
        <w:rPr>
          <w:rFonts w:ascii="Verdana" w:hAnsi="Verdana"/>
          <w:sz w:val="20"/>
          <w:szCs w:val="20"/>
          <w:lang w:val="es-CR"/>
        </w:rPr>
        <w:t xml:space="preserve"> por el Estado del Perú </w:t>
      </w:r>
      <w:r w:rsidR="00F71C32">
        <w:rPr>
          <w:rFonts w:ascii="Verdana" w:hAnsi="Verdana"/>
          <w:sz w:val="20"/>
          <w:szCs w:val="20"/>
          <w:lang w:val="es-CR"/>
        </w:rPr>
        <w:t>el</w:t>
      </w:r>
      <w:r w:rsidR="00BE1A2F">
        <w:rPr>
          <w:rFonts w:ascii="Verdana" w:hAnsi="Verdana"/>
          <w:sz w:val="20"/>
          <w:szCs w:val="20"/>
          <w:lang w:val="es-CR"/>
        </w:rPr>
        <w:t xml:space="preserve"> </w:t>
      </w:r>
      <w:r w:rsidR="00AB0FAA">
        <w:rPr>
          <w:rFonts w:ascii="Verdana" w:hAnsi="Verdana"/>
          <w:sz w:val="20"/>
          <w:szCs w:val="20"/>
          <w:lang w:val="es-CR"/>
        </w:rPr>
        <w:t>23</w:t>
      </w:r>
      <w:r w:rsidR="00F2322B">
        <w:rPr>
          <w:rFonts w:ascii="Verdana" w:hAnsi="Verdana"/>
          <w:sz w:val="20"/>
          <w:szCs w:val="20"/>
          <w:lang w:val="es-CR"/>
        </w:rPr>
        <w:t xml:space="preserve"> de </w:t>
      </w:r>
      <w:r w:rsidR="00AB0FAA">
        <w:rPr>
          <w:rFonts w:ascii="Verdana" w:hAnsi="Verdana"/>
          <w:sz w:val="20"/>
          <w:szCs w:val="20"/>
          <w:lang w:val="es-CR"/>
        </w:rPr>
        <w:t>marzo</w:t>
      </w:r>
      <w:r>
        <w:rPr>
          <w:rFonts w:ascii="Verdana" w:hAnsi="Verdana"/>
          <w:sz w:val="20"/>
          <w:szCs w:val="20"/>
          <w:lang w:val="es-CR"/>
        </w:rPr>
        <w:t xml:space="preserve"> y el 28 de junio</w:t>
      </w:r>
      <w:r w:rsidR="00F71C32">
        <w:rPr>
          <w:rFonts w:ascii="Verdana" w:hAnsi="Verdana"/>
          <w:sz w:val="20"/>
          <w:szCs w:val="20"/>
          <w:lang w:val="es-CR"/>
        </w:rPr>
        <w:t xml:space="preserve"> </w:t>
      </w:r>
      <w:r w:rsidR="00BE1A2F">
        <w:rPr>
          <w:rFonts w:ascii="Verdana" w:hAnsi="Verdana"/>
          <w:sz w:val="20"/>
          <w:szCs w:val="20"/>
          <w:lang w:val="es-CR"/>
        </w:rPr>
        <w:t>de 201</w:t>
      </w:r>
      <w:r w:rsidR="00F2322B">
        <w:rPr>
          <w:rFonts w:ascii="Verdana" w:hAnsi="Verdana"/>
          <w:sz w:val="20"/>
          <w:szCs w:val="20"/>
          <w:lang w:val="es-CR"/>
        </w:rPr>
        <w:t>8</w:t>
      </w:r>
      <w:r w:rsidR="00BE1A2F">
        <w:rPr>
          <w:rFonts w:ascii="Verdana" w:hAnsi="Verdana"/>
          <w:sz w:val="20"/>
          <w:szCs w:val="20"/>
          <w:lang w:val="es-CR"/>
        </w:rPr>
        <w:t>.</w:t>
      </w:r>
      <w:r w:rsidR="00481A61">
        <w:rPr>
          <w:rFonts w:ascii="Verdana" w:hAnsi="Verdana"/>
          <w:sz w:val="20"/>
          <w:szCs w:val="20"/>
          <w:lang w:val="es-CR"/>
        </w:rPr>
        <w:t xml:space="preserve"> </w:t>
      </w:r>
      <w:r w:rsidR="003557DD">
        <w:rPr>
          <w:rFonts w:ascii="Verdana" w:hAnsi="Verdana"/>
          <w:b/>
          <w:sz w:val="20"/>
          <w:szCs w:val="20"/>
          <w:lang w:val="es-CR"/>
        </w:rPr>
        <w:t xml:space="preserve">  </w:t>
      </w:r>
    </w:p>
    <w:p w14:paraId="6D33DFA9" w14:textId="77777777" w:rsidR="00171509" w:rsidRPr="00171509" w:rsidRDefault="00171509" w:rsidP="00171509">
      <w:pPr>
        <w:pStyle w:val="ListParagraph"/>
        <w:rPr>
          <w:rFonts w:ascii="Verdana" w:hAnsi="Verdana"/>
          <w:sz w:val="20"/>
          <w:szCs w:val="20"/>
          <w:lang w:val="es-CR"/>
        </w:rPr>
      </w:pPr>
    </w:p>
    <w:p w14:paraId="7A184F2D" w14:textId="0ED561C5" w:rsidR="00F71C32" w:rsidRPr="004269FE" w:rsidRDefault="00BE18EB" w:rsidP="00F71C32">
      <w:pPr>
        <w:pStyle w:val="ListParagraph"/>
        <w:numPr>
          <w:ilvl w:val="0"/>
          <w:numId w:val="1"/>
        </w:numPr>
        <w:spacing w:after="0" w:line="240" w:lineRule="auto"/>
        <w:ind w:left="0" w:firstLine="0"/>
        <w:jc w:val="both"/>
        <w:rPr>
          <w:rFonts w:ascii="Verdana" w:hAnsi="Verdana"/>
          <w:sz w:val="20"/>
          <w:szCs w:val="20"/>
          <w:lang w:val="es-CR"/>
        </w:rPr>
      </w:pPr>
      <w:r w:rsidRPr="00C06145">
        <w:rPr>
          <w:rFonts w:ascii="Verdana" w:hAnsi="Verdana"/>
          <w:sz w:val="20"/>
          <w:szCs w:val="20"/>
          <w:lang w:val="es-CR"/>
        </w:rPr>
        <w:t xml:space="preserve">Los </w:t>
      </w:r>
      <w:r w:rsidR="00FA5C64">
        <w:rPr>
          <w:rFonts w:ascii="Verdana" w:hAnsi="Verdana"/>
          <w:sz w:val="20"/>
          <w:szCs w:val="20"/>
          <w:lang w:val="es-CR"/>
        </w:rPr>
        <w:t>tres</w:t>
      </w:r>
      <w:r w:rsidR="00F25D95">
        <w:rPr>
          <w:rFonts w:ascii="Verdana" w:hAnsi="Verdana"/>
          <w:sz w:val="20"/>
          <w:szCs w:val="20"/>
          <w:lang w:val="es-CR"/>
        </w:rPr>
        <w:t xml:space="preserve"> </w:t>
      </w:r>
      <w:r w:rsidRPr="00C06145">
        <w:rPr>
          <w:rFonts w:ascii="Verdana" w:hAnsi="Verdana"/>
          <w:sz w:val="20"/>
          <w:szCs w:val="20"/>
          <w:lang w:val="es-CR"/>
        </w:rPr>
        <w:t xml:space="preserve">escritos </w:t>
      </w:r>
      <w:r w:rsidR="008B53AB">
        <w:rPr>
          <w:rFonts w:ascii="Verdana" w:hAnsi="Verdana"/>
          <w:sz w:val="20"/>
          <w:szCs w:val="20"/>
          <w:lang w:val="es-CR"/>
        </w:rPr>
        <w:t xml:space="preserve">de observaciones </w:t>
      </w:r>
      <w:r w:rsidRPr="00C06145">
        <w:rPr>
          <w:rFonts w:ascii="Verdana" w:hAnsi="Verdana"/>
          <w:sz w:val="20"/>
          <w:szCs w:val="20"/>
          <w:lang w:val="es-CR"/>
        </w:rPr>
        <w:t xml:space="preserve">presentados </w:t>
      </w:r>
      <w:r w:rsidR="00F71C32" w:rsidRPr="00C06145">
        <w:rPr>
          <w:rFonts w:ascii="Verdana" w:hAnsi="Verdana"/>
          <w:sz w:val="20"/>
          <w:szCs w:val="20"/>
          <w:lang w:val="es-CR"/>
        </w:rPr>
        <w:t xml:space="preserve">por </w:t>
      </w:r>
      <w:r w:rsidR="002E6999">
        <w:rPr>
          <w:rFonts w:ascii="Verdana" w:hAnsi="Verdana"/>
          <w:sz w:val="20"/>
          <w:szCs w:val="20"/>
          <w:lang w:val="es-CR"/>
        </w:rPr>
        <w:t>la in</w:t>
      </w:r>
      <w:r w:rsidR="000445BF">
        <w:rPr>
          <w:rFonts w:ascii="Verdana" w:hAnsi="Verdana"/>
          <w:sz w:val="20"/>
          <w:szCs w:val="20"/>
          <w:lang w:val="es-CR"/>
        </w:rPr>
        <w:t>t</w:t>
      </w:r>
      <w:r w:rsidR="002E6999">
        <w:rPr>
          <w:rFonts w:ascii="Verdana" w:hAnsi="Verdana"/>
          <w:sz w:val="20"/>
          <w:szCs w:val="20"/>
          <w:lang w:val="es-CR"/>
        </w:rPr>
        <w:t xml:space="preserve">erviniente común </w:t>
      </w:r>
      <w:r w:rsidR="006062AC">
        <w:rPr>
          <w:rFonts w:ascii="Verdana" w:hAnsi="Verdana"/>
          <w:sz w:val="20"/>
          <w:szCs w:val="20"/>
          <w:lang w:val="es-CR"/>
        </w:rPr>
        <w:t>Carolina Loayza</w:t>
      </w:r>
      <w:r w:rsidR="0006283C">
        <w:rPr>
          <w:rStyle w:val="FootnoteReference"/>
          <w:rFonts w:ascii="Verdana" w:hAnsi="Verdana"/>
          <w:sz w:val="20"/>
          <w:szCs w:val="20"/>
          <w:lang w:val="es-CR"/>
        </w:rPr>
        <w:footnoteReference w:id="3"/>
      </w:r>
      <w:r w:rsidR="006062AC">
        <w:rPr>
          <w:rFonts w:ascii="Verdana" w:hAnsi="Verdana"/>
          <w:sz w:val="20"/>
          <w:szCs w:val="20"/>
          <w:lang w:val="es-CR"/>
        </w:rPr>
        <w:t xml:space="preserve">, y </w:t>
      </w:r>
      <w:r w:rsidR="002E6999">
        <w:rPr>
          <w:rFonts w:ascii="Verdana" w:hAnsi="Verdana"/>
          <w:sz w:val="20"/>
          <w:szCs w:val="20"/>
          <w:lang w:val="es-CR"/>
        </w:rPr>
        <w:t xml:space="preserve">por los intervinientes comunes </w:t>
      </w:r>
      <w:r w:rsidR="006062AC">
        <w:rPr>
          <w:rFonts w:ascii="Verdana" w:hAnsi="Verdana"/>
          <w:sz w:val="20"/>
          <w:szCs w:val="20"/>
          <w:lang w:val="es-CR"/>
        </w:rPr>
        <w:t xml:space="preserve">Manuel E. Paiba Cossios y Gregorio Paredes </w:t>
      </w:r>
      <w:r w:rsidR="006062AC">
        <w:rPr>
          <w:rFonts w:ascii="Verdana" w:hAnsi="Verdana"/>
          <w:sz w:val="20"/>
          <w:szCs w:val="20"/>
          <w:lang w:val="es-CR"/>
        </w:rPr>
        <w:lastRenderedPageBreak/>
        <w:t>Chipana</w:t>
      </w:r>
      <w:r w:rsidR="0006283C">
        <w:rPr>
          <w:rStyle w:val="FootnoteReference"/>
          <w:rFonts w:ascii="Verdana" w:hAnsi="Verdana"/>
          <w:sz w:val="20"/>
          <w:szCs w:val="20"/>
          <w:lang w:val="es-CR"/>
        </w:rPr>
        <w:footnoteReference w:id="4"/>
      </w:r>
      <w:r w:rsidR="00227136" w:rsidRPr="00C06145">
        <w:rPr>
          <w:rFonts w:ascii="Verdana" w:hAnsi="Verdana"/>
          <w:sz w:val="20"/>
          <w:szCs w:val="20"/>
          <w:lang w:val="es-CR"/>
        </w:rPr>
        <w:t xml:space="preserve"> </w:t>
      </w:r>
      <w:r w:rsidR="00C06145" w:rsidRPr="00C06145">
        <w:rPr>
          <w:rFonts w:ascii="Verdana" w:hAnsi="Verdana"/>
          <w:sz w:val="20"/>
          <w:szCs w:val="20"/>
          <w:lang w:val="es-CR"/>
        </w:rPr>
        <w:t xml:space="preserve">(en adelante “los </w:t>
      </w:r>
      <w:r w:rsidR="00CB4347">
        <w:rPr>
          <w:rFonts w:ascii="Verdana" w:hAnsi="Verdana"/>
          <w:sz w:val="20"/>
          <w:szCs w:val="20"/>
          <w:lang w:val="es-CR"/>
        </w:rPr>
        <w:t>intervinientes comunes</w:t>
      </w:r>
      <w:r w:rsidR="00DE2B8E">
        <w:rPr>
          <w:rFonts w:ascii="Verdana" w:hAnsi="Verdana"/>
          <w:sz w:val="20"/>
          <w:szCs w:val="20"/>
          <w:lang w:val="es-CR"/>
        </w:rPr>
        <w:t>”</w:t>
      </w:r>
      <w:r w:rsidR="00C06145" w:rsidRPr="00C06145">
        <w:rPr>
          <w:rFonts w:ascii="Verdana" w:hAnsi="Verdana"/>
          <w:sz w:val="20"/>
          <w:szCs w:val="20"/>
          <w:lang w:val="es-CR"/>
        </w:rPr>
        <w:t xml:space="preserve">) </w:t>
      </w:r>
      <w:r w:rsidR="00C06145" w:rsidRPr="00C06145">
        <w:rPr>
          <w:rFonts w:ascii="Verdana" w:hAnsi="Verdana"/>
          <w:sz w:val="20"/>
          <w:lang w:val="es-CR"/>
        </w:rPr>
        <w:t xml:space="preserve">entre </w:t>
      </w:r>
      <w:r w:rsidR="001F2C7D">
        <w:rPr>
          <w:rFonts w:ascii="Verdana" w:hAnsi="Verdana"/>
          <w:sz w:val="20"/>
          <w:lang w:val="es-CR"/>
        </w:rPr>
        <w:t>abril</w:t>
      </w:r>
      <w:r w:rsidR="00C06145" w:rsidRPr="00C06145">
        <w:rPr>
          <w:rFonts w:ascii="Verdana" w:hAnsi="Verdana"/>
          <w:sz w:val="20"/>
          <w:lang w:val="es-CR"/>
        </w:rPr>
        <w:t xml:space="preserve"> y </w:t>
      </w:r>
      <w:r w:rsidR="00FA5C64">
        <w:rPr>
          <w:rFonts w:ascii="Verdana" w:hAnsi="Verdana"/>
          <w:sz w:val="20"/>
          <w:lang w:val="es-CR"/>
        </w:rPr>
        <w:t>julio</w:t>
      </w:r>
      <w:r w:rsidR="00C06145" w:rsidRPr="00C06145">
        <w:rPr>
          <w:rFonts w:ascii="Verdana" w:hAnsi="Verdana"/>
          <w:sz w:val="20"/>
          <w:lang w:val="es-CR"/>
        </w:rPr>
        <w:t xml:space="preserve"> de 2018</w:t>
      </w:r>
      <w:r w:rsidR="00F25D95">
        <w:rPr>
          <w:rStyle w:val="FootnoteReference"/>
          <w:rFonts w:ascii="Verdana" w:hAnsi="Verdana"/>
          <w:sz w:val="20"/>
          <w:lang w:val="es-CR"/>
        </w:rPr>
        <w:footnoteReference w:id="5"/>
      </w:r>
      <w:r w:rsidR="00C06145" w:rsidRPr="00C06145">
        <w:rPr>
          <w:rFonts w:ascii="Verdana" w:hAnsi="Verdana"/>
          <w:sz w:val="20"/>
          <w:lang w:val="es-CR"/>
        </w:rPr>
        <w:t xml:space="preserve">. </w:t>
      </w:r>
      <w:r w:rsidR="00F2322B" w:rsidRPr="00C06145">
        <w:rPr>
          <w:rFonts w:ascii="Verdana" w:hAnsi="Verdana"/>
          <w:sz w:val="20"/>
          <w:lang w:val="es-CR"/>
        </w:rPr>
        <w:t xml:space="preserve"> </w:t>
      </w:r>
      <w:r w:rsidR="00200C32">
        <w:rPr>
          <w:rFonts w:ascii="Verdana" w:hAnsi="Verdana"/>
          <w:sz w:val="20"/>
          <w:lang w:val="es-CR"/>
        </w:rPr>
        <w:t>L</w:t>
      </w:r>
      <w:r w:rsidR="00AC069B">
        <w:rPr>
          <w:rFonts w:ascii="Verdana" w:hAnsi="Verdana"/>
          <w:sz w:val="20"/>
          <w:lang w:val="es-CR"/>
        </w:rPr>
        <w:t>a</w:t>
      </w:r>
      <w:r w:rsidR="00200C32">
        <w:rPr>
          <w:rFonts w:ascii="Verdana" w:hAnsi="Verdana"/>
          <w:sz w:val="20"/>
          <w:lang w:val="es-CR"/>
        </w:rPr>
        <w:t xml:space="preserve"> interviniente com</w:t>
      </w:r>
      <w:r w:rsidR="00AC069B">
        <w:rPr>
          <w:rFonts w:ascii="Verdana" w:hAnsi="Verdana"/>
          <w:sz w:val="20"/>
          <w:lang w:val="es-CR"/>
        </w:rPr>
        <w:t>ú</w:t>
      </w:r>
      <w:r w:rsidR="00200C32">
        <w:rPr>
          <w:rFonts w:ascii="Verdana" w:hAnsi="Verdana"/>
          <w:sz w:val="20"/>
          <w:lang w:val="es-CR"/>
        </w:rPr>
        <w:t>n de un tercer grupo de víctimas</w:t>
      </w:r>
      <w:r w:rsidR="00200C32">
        <w:rPr>
          <w:rStyle w:val="FootnoteReference"/>
          <w:rFonts w:ascii="Verdana" w:hAnsi="Verdana"/>
          <w:sz w:val="20"/>
          <w:szCs w:val="20"/>
          <w:lang w:val="es-CR"/>
        </w:rPr>
        <w:footnoteReference w:id="6"/>
      </w:r>
      <w:r w:rsidR="00200C32">
        <w:rPr>
          <w:rFonts w:ascii="Verdana" w:hAnsi="Verdana"/>
          <w:sz w:val="20"/>
          <w:lang w:val="es-CR"/>
        </w:rPr>
        <w:t xml:space="preserve"> no present</w:t>
      </w:r>
      <w:r w:rsidR="00AC069B">
        <w:rPr>
          <w:rFonts w:ascii="Verdana" w:hAnsi="Verdana"/>
          <w:sz w:val="20"/>
          <w:lang w:val="es-CR"/>
        </w:rPr>
        <w:t>ó</w:t>
      </w:r>
      <w:r w:rsidR="00200C32">
        <w:rPr>
          <w:rFonts w:ascii="Verdana" w:hAnsi="Verdana"/>
          <w:sz w:val="20"/>
          <w:lang w:val="es-CR"/>
        </w:rPr>
        <w:t xml:space="preserve"> observaciones.</w:t>
      </w:r>
    </w:p>
    <w:p w14:paraId="11A26A0F" w14:textId="77777777" w:rsidR="004269FE" w:rsidRPr="004269FE" w:rsidRDefault="004269FE" w:rsidP="004269FE">
      <w:pPr>
        <w:pStyle w:val="ListParagraph"/>
        <w:rPr>
          <w:rFonts w:ascii="Verdana" w:hAnsi="Verdana"/>
          <w:sz w:val="20"/>
          <w:szCs w:val="20"/>
          <w:lang w:val="es-CR"/>
        </w:rPr>
      </w:pPr>
    </w:p>
    <w:p w14:paraId="1ECB8CE8" w14:textId="4CD5E096" w:rsidR="004269FE" w:rsidRPr="00C06145" w:rsidRDefault="004269FE" w:rsidP="00F71C32">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El escrito de observaciones presentado por la Comisión Interamericana de Derechos Humanos el 31 de agosto de 2018. </w:t>
      </w:r>
    </w:p>
    <w:p w14:paraId="01E95064" w14:textId="77777777" w:rsidR="00C06145" w:rsidRPr="00C06145" w:rsidRDefault="00C06145" w:rsidP="00C06145">
      <w:pPr>
        <w:pStyle w:val="ListParagraph"/>
        <w:spacing w:after="0" w:line="240" w:lineRule="auto"/>
        <w:ind w:left="0"/>
        <w:jc w:val="both"/>
        <w:rPr>
          <w:rFonts w:ascii="Verdana" w:hAnsi="Verdana"/>
          <w:sz w:val="20"/>
          <w:szCs w:val="20"/>
          <w:lang w:val="es-CR"/>
        </w:rPr>
      </w:pPr>
    </w:p>
    <w:p w14:paraId="6EBDB0F7" w14:textId="77777777" w:rsidR="00BD0976" w:rsidRDefault="00BD0976" w:rsidP="00BD0976">
      <w:pPr>
        <w:spacing w:after="0" w:line="240" w:lineRule="auto"/>
        <w:jc w:val="both"/>
        <w:rPr>
          <w:rFonts w:ascii="Verdana" w:hAnsi="Verdana"/>
          <w:sz w:val="20"/>
          <w:szCs w:val="20"/>
          <w:lang w:val="es-CR"/>
        </w:rPr>
      </w:pPr>
      <w:r>
        <w:rPr>
          <w:rFonts w:ascii="Verdana" w:hAnsi="Verdana"/>
          <w:b/>
          <w:sz w:val="20"/>
          <w:szCs w:val="20"/>
          <w:lang w:val="es-CR"/>
        </w:rPr>
        <w:t>CONSIDERANDO QUE:</w:t>
      </w:r>
    </w:p>
    <w:p w14:paraId="7E3AED1D" w14:textId="77777777" w:rsidR="00BD0976" w:rsidRDefault="00BD0976" w:rsidP="00BD0976">
      <w:pPr>
        <w:spacing w:after="0" w:line="240" w:lineRule="auto"/>
        <w:jc w:val="both"/>
        <w:rPr>
          <w:rFonts w:ascii="Verdana" w:hAnsi="Verdana"/>
          <w:sz w:val="20"/>
          <w:szCs w:val="20"/>
          <w:lang w:val="es-CR"/>
        </w:rPr>
      </w:pPr>
    </w:p>
    <w:p w14:paraId="35A76C58" w14:textId="68023875" w:rsidR="005C0773" w:rsidRPr="00985839" w:rsidRDefault="00BD0976" w:rsidP="00985839">
      <w:pPr>
        <w:pStyle w:val="ListParagraph"/>
        <w:numPr>
          <w:ilvl w:val="0"/>
          <w:numId w:val="2"/>
        </w:numPr>
        <w:spacing w:line="240" w:lineRule="auto"/>
        <w:ind w:left="0" w:firstLine="0"/>
        <w:jc w:val="both"/>
        <w:rPr>
          <w:rFonts w:ascii="Verdana" w:hAnsi="Verdana"/>
          <w:sz w:val="20"/>
          <w:szCs w:val="20"/>
          <w:lang w:val="es-CR"/>
        </w:rPr>
      </w:pPr>
      <w:r w:rsidRPr="00985839">
        <w:rPr>
          <w:rFonts w:ascii="Verdana" w:hAnsi="Verdana"/>
          <w:sz w:val="20"/>
          <w:szCs w:val="20"/>
          <w:lang w:val="es-CR"/>
        </w:rPr>
        <w:t>En el ejercicio de su función jurisdiccional de supervisar el cumplimiento de sus decisiones</w:t>
      </w:r>
      <w:r>
        <w:rPr>
          <w:rStyle w:val="FootnoteReference"/>
          <w:rFonts w:ascii="Verdana" w:hAnsi="Verdana"/>
          <w:lang w:val="es-CR"/>
        </w:rPr>
        <w:footnoteReference w:id="7"/>
      </w:r>
      <w:r w:rsidRPr="00985839">
        <w:rPr>
          <w:rFonts w:ascii="Verdana" w:hAnsi="Verdana"/>
          <w:sz w:val="20"/>
          <w:szCs w:val="20"/>
          <w:lang w:val="es-CR"/>
        </w:rPr>
        <w:t xml:space="preserve">, la Corte ha venido supervisando la ejecución de la Sentencia emitida en el presente caso </w:t>
      </w:r>
      <w:r w:rsidR="00BE1A2F" w:rsidRPr="00985839">
        <w:rPr>
          <w:rFonts w:ascii="Verdana" w:hAnsi="Verdana"/>
          <w:sz w:val="20"/>
          <w:szCs w:val="20"/>
          <w:lang w:val="es-CR"/>
        </w:rPr>
        <w:t xml:space="preserve">en </w:t>
      </w:r>
      <w:r w:rsidR="00C06145">
        <w:rPr>
          <w:rFonts w:ascii="Verdana" w:hAnsi="Verdana"/>
          <w:sz w:val="20"/>
          <w:szCs w:val="20"/>
          <w:lang w:val="es-CR"/>
        </w:rPr>
        <w:t>noviembre</w:t>
      </w:r>
      <w:r w:rsidR="00CE325D">
        <w:rPr>
          <w:rFonts w:ascii="Verdana" w:hAnsi="Verdana"/>
          <w:sz w:val="20"/>
          <w:szCs w:val="20"/>
          <w:lang w:val="es-CR"/>
        </w:rPr>
        <w:t xml:space="preserve"> de 2017</w:t>
      </w:r>
      <w:r w:rsidRPr="00985839">
        <w:rPr>
          <w:rFonts w:ascii="Verdana" w:hAnsi="Verdana"/>
          <w:sz w:val="20"/>
          <w:szCs w:val="20"/>
          <w:lang w:val="es-CR"/>
        </w:rPr>
        <w:t xml:space="preserve"> (</w:t>
      </w:r>
      <w:r w:rsidRPr="00985839">
        <w:rPr>
          <w:rFonts w:ascii="Verdana" w:hAnsi="Verdana"/>
          <w:i/>
          <w:sz w:val="20"/>
          <w:szCs w:val="20"/>
          <w:lang w:val="es-CR"/>
        </w:rPr>
        <w:t xml:space="preserve">supra </w:t>
      </w:r>
      <w:r w:rsidRPr="00985839">
        <w:rPr>
          <w:rFonts w:ascii="Verdana" w:hAnsi="Verdana"/>
          <w:sz w:val="20"/>
          <w:szCs w:val="20"/>
          <w:lang w:val="es-CR"/>
        </w:rPr>
        <w:t xml:space="preserve">Visto 1). </w:t>
      </w:r>
      <w:r w:rsidR="005C0773" w:rsidRPr="00985839">
        <w:rPr>
          <w:rFonts w:ascii="Verdana" w:hAnsi="Verdana"/>
          <w:sz w:val="20"/>
          <w:szCs w:val="20"/>
          <w:lang w:val="es-CR"/>
        </w:rPr>
        <w:t xml:space="preserve">En la Sentencia, la Corte ordenó al Estado las siguientes medidas de reparación: a) </w:t>
      </w:r>
      <w:r w:rsidR="003B7708">
        <w:rPr>
          <w:rFonts w:ascii="Verdana" w:hAnsi="Verdana"/>
          <w:sz w:val="20"/>
          <w:szCs w:val="20"/>
          <w:lang w:val="es-CR"/>
        </w:rPr>
        <w:t xml:space="preserve">realizar las publicaciones </w:t>
      </w:r>
      <w:r w:rsidR="00C13271">
        <w:rPr>
          <w:rFonts w:ascii="Verdana" w:hAnsi="Verdana"/>
          <w:sz w:val="20"/>
          <w:szCs w:val="20"/>
          <w:lang w:val="es-CR"/>
        </w:rPr>
        <w:t xml:space="preserve">de </w:t>
      </w:r>
      <w:r w:rsidR="003B7708">
        <w:rPr>
          <w:rFonts w:ascii="Verdana" w:hAnsi="Verdana"/>
          <w:sz w:val="20"/>
          <w:szCs w:val="20"/>
          <w:lang w:val="es-CR"/>
        </w:rPr>
        <w:t>la Sentencia</w:t>
      </w:r>
      <w:r w:rsidR="002D241B">
        <w:rPr>
          <w:rFonts w:ascii="Verdana" w:hAnsi="Verdana"/>
          <w:sz w:val="20"/>
          <w:szCs w:val="20"/>
          <w:lang w:val="es-CR"/>
        </w:rPr>
        <w:t xml:space="preserve"> </w:t>
      </w:r>
      <w:r w:rsidR="003B7708">
        <w:rPr>
          <w:rFonts w:ascii="Verdana" w:hAnsi="Verdana"/>
          <w:sz w:val="20"/>
          <w:szCs w:val="20"/>
          <w:lang w:val="es-CR"/>
        </w:rPr>
        <w:t>(</w:t>
      </w:r>
      <w:r w:rsidR="003B7708">
        <w:rPr>
          <w:rFonts w:ascii="Verdana" w:hAnsi="Verdana"/>
          <w:i/>
          <w:sz w:val="20"/>
          <w:szCs w:val="20"/>
          <w:lang w:val="es-CR"/>
        </w:rPr>
        <w:t xml:space="preserve">infra </w:t>
      </w:r>
      <w:r w:rsidR="003B7708">
        <w:rPr>
          <w:rFonts w:ascii="Verdana" w:hAnsi="Verdana"/>
          <w:sz w:val="20"/>
          <w:szCs w:val="20"/>
          <w:lang w:val="es-CR"/>
        </w:rPr>
        <w:t xml:space="preserve">Considerando </w:t>
      </w:r>
      <w:r w:rsidR="00F0337C">
        <w:rPr>
          <w:rFonts w:ascii="Verdana" w:hAnsi="Verdana"/>
          <w:sz w:val="20"/>
          <w:szCs w:val="20"/>
          <w:lang w:val="es-CR"/>
        </w:rPr>
        <w:fldChar w:fldCharType="begin"/>
      </w:r>
      <w:r w:rsidR="00F0337C">
        <w:rPr>
          <w:rFonts w:ascii="Verdana" w:hAnsi="Verdana"/>
          <w:sz w:val="20"/>
          <w:szCs w:val="20"/>
          <w:lang w:val="es-CR"/>
        </w:rPr>
        <w:instrText xml:space="preserve"> REF _Ref525290676 \r \h </w:instrText>
      </w:r>
      <w:r w:rsidR="00F0337C">
        <w:rPr>
          <w:rFonts w:ascii="Verdana" w:hAnsi="Verdana"/>
          <w:sz w:val="20"/>
          <w:szCs w:val="20"/>
          <w:lang w:val="es-CR"/>
        </w:rPr>
      </w:r>
      <w:r w:rsidR="00F0337C">
        <w:rPr>
          <w:rFonts w:ascii="Verdana" w:hAnsi="Verdana"/>
          <w:sz w:val="20"/>
          <w:szCs w:val="20"/>
          <w:lang w:val="es-CR"/>
        </w:rPr>
        <w:fldChar w:fldCharType="separate"/>
      </w:r>
      <w:r w:rsidR="00CC4A3C">
        <w:rPr>
          <w:rFonts w:ascii="Verdana" w:hAnsi="Verdana"/>
          <w:sz w:val="20"/>
          <w:szCs w:val="20"/>
          <w:lang w:val="es-CR"/>
        </w:rPr>
        <w:t>4</w:t>
      </w:r>
      <w:r w:rsidR="00F0337C">
        <w:rPr>
          <w:rFonts w:ascii="Verdana" w:hAnsi="Verdana"/>
          <w:sz w:val="20"/>
          <w:szCs w:val="20"/>
          <w:lang w:val="es-CR"/>
        </w:rPr>
        <w:fldChar w:fldCharType="end"/>
      </w:r>
      <w:r w:rsidR="003B7708">
        <w:rPr>
          <w:rFonts w:ascii="Verdana" w:hAnsi="Verdana"/>
          <w:sz w:val="20"/>
          <w:szCs w:val="20"/>
          <w:lang w:val="es-CR"/>
        </w:rPr>
        <w:t>), y</w:t>
      </w:r>
      <w:r w:rsidR="002D241B">
        <w:rPr>
          <w:rFonts w:ascii="Verdana" w:hAnsi="Verdana"/>
          <w:sz w:val="20"/>
          <w:szCs w:val="20"/>
          <w:lang w:val="es-CR"/>
        </w:rPr>
        <w:t xml:space="preserve"> b</w:t>
      </w:r>
      <w:r w:rsidR="003B7708">
        <w:rPr>
          <w:rFonts w:ascii="Verdana" w:hAnsi="Verdana"/>
          <w:sz w:val="20"/>
          <w:szCs w:val="20"/>
          <w:lang w:val="es-CR"/>
        </w:rPr>
        <w:t xml:space="preserve">) </w:t>
      </w:r>
      <w:r w:rsidR="002D241B">
        <w:rPr>
          <w:rFonts w:ascii="Verdana" w:hAnsi="Verdana"/>
          <w:sz w:val="20"/>
          <w:szCs w:val="20"/>
          <w:lang w:val="es-CR"/>
        </w:rPr>
        <w:t>pagar la</w:t>
      </w:r>
      <w:r w:rsidR="00F0337C">
        <w:rPr>
          <w:rFonts w:ascii="Verdana" w:hAnsi="Verdana"/>
          <w:sz w:val="20"/>
          <w:szCs w:val="20"/>
          <w:lang w:val="es-CR"/>
        </w:rPr>
        <w:t>s</w:t>
      </w:r>
      <w:r w:rsidR="002D241B">
        <w:rPr>
          <w:rFonts w:ascii="Verdana" w:hAnsi="Verdana"/>
          <w:sz w:val="20"/>
          <w:szCs w:val="20"/>
          <w:lang w:val="es-CR"/>
        </w:rPr>
        <w:t xml:space="preserve"> cantid</w:t>
      </w:r>
      <w:r w:rsidR="003B7708">
        <w:rPr>
          <w:rFonts w:ascii="Verdana" w:hAnsi="Verdana"/>
          <w:sz w:val="20"/>
          <w:szCs w:val="20"/>
          <w:lang w:val="es-CR"/>
        </w:rPr>
        <w:t>ad</w:t>
      </w:r>
      <w:r w:rsidR="00F0337C">
        <w:rPr>
          <w:rFonts w:ascii="Verdana" w:hAnsi="Verdana"/>
          <w:sz w:val="20"/>
          <w:szCs w:val="20"/>
          <w:lang w:val="es-CR"/>
        </w:rPr>
        <w:t>es</w:t>
      </w:r>
      <w:r w:rsidR="003B7708">
        <w:rPr>
          <w:rFonts w:ascii="Verdana" w:hAnsi="Verdana"/>
          <w:sz w:val="20"/>
          <w:szCs w:val="20"/>
          <w:lang w:val="es-CR"/>
        </w:rPr>
        <w:t xml:space="preserve"> fijada</w:t>
      </w:r>
      <w:r w:rsidR="00F0337C">
        <w:rPr>
          <w:rFonts w:ascii="Verdana" w:hAnsi="Verdana"/>
          <w:sz w:val="20"/>
          <w:szCs w:val="20"/>
          <w:lang w:val="es-CR"/>
        </w:rPr>
        <w:t>s</w:t>
      </w:r>
      <w:r w:rsidR="003B7708">
        <w:rPr>
          <w:rFonts w:ascii="Verdana" w:hAnsi="Verdana"/>
          <w:sz w:val="20"/>
          <w:szCs w:val="20"/>
          <w:lang w:val="es-CR"/>
        </w:rPr>
        <w:t xml:space="preserve"> en </w:t>
      </w:r>
      <w:r w:rsidR="00CB4347">
        <w:rPr>
          <w:rFonts w:ascii="Verdana" w:hAnsi="Verdana"/>
          <w:sz w:val="20"/>
          <w:szCs w:val="20"/>
          <w:lang w:val="es-CR"/>
        </w:rPr>
        <w:t>los</w:t>
      </w:r>
      <w:r w:rsidR="003B7708">
        <w:rPr>
          <w:rFonts w:ascii="Verdana" w:hAnsi="Verdana"/>
          <w:sz w:val="20"/>
          <w:szCs w:val="20"/>
          <w:lang w:val="es-CR"/>
        </w:rPr>
        <w:t xml:space="preserve"> párrafos 218, 222</w:t>
      </w:r>
      <w:r w:rsidR="00CB4347">
        <w:rPr>
          <w:rFonts w:ascii="Verdana" w:hAnsi="Verdana"/>
          <w:sz w:val="20"/>
          <w:szCs w:val="20"/>
          <w:lang w:val="es-CR"/>
        </w:rPr>
        <w:t>,</w:t>
      </w:r>
      <w:r w:rsidR="003B7708">
        <w:rPr>
          <w:rFonts w:ascii="Verdana" w:hAnsi="Verdana"/>
          <w:sz w:val="20"/>
          <w:szCs w:val="20"/>
          <w:lang w:val="es-CR"/>
        </w:rPr>
        <w:t xml:space="preserve"> 228</w:t>
      </w:r>
      <w:r w:rsidR="00CB4347">
        <w:rPr>
          <w:rFonts w:ascii="Verdana" w:hAnsi="Verdana"/>
          <w:sz w:val="20"/>
          <w:szCs w:val="20"/>
          <w:lang w:val="es-CR"/>
        </w:rPr>
        <w:t>, 238 y 245</w:t>
      </w:r>
      <w:r w:rsidR="002D241B">
        <w:rPr>
          <w:rFonts w:ascii="Verdana" w:hAnsi="Verdana"/>
          <w:sz w:val="20"/>
          <w:szCs w:val="20"/>
          <w:lang w:val="es-CR"/>
        </w:rPr>
        <w:t xml:space="preserve"> de la</w:t>
      </w:r>
      <w:r w:rsidR="004A7B77">
        <w:rPr>
          <w:rFonts w:ascii="Verdana" w:hAnsi="Verdana"/>
          <w:sz w:val="20"/>
          <w:szCs w:val="20"/>
          <w:lang w:val="es-CR"/>
        </w:rPr>
        <w:t xml:space="preserve"> </w:t>
      </w:r>
      <w:r w:rsidR="002D241B">
        <w:rPr>
          <w:rFonts w:ascii="Verdana" w:hAnsi="Verdana"/>
          <w:sz w:val="20"/>
          <w:szCs w:val="20"/>
          <w:lang w:val="es-CR"/>
        </w:rPr>
        <w:t xml:space="preserve">Sentencia por concepto de indemnizaciones por daños </w:t>
      </w:r>
      <w:r w:rsidR="003B7708">
        <w:rPr>
          <w:rFonts w:ascii="Verdana" w:hAnsi="Verdana"/>
          <w:sz w:val="20"/>
          <w:szCs w:val="20"/>
          <w:lang w:val="es-CR"/>
        </w:rPr>
        <w:t xml:space="preserve">materiales e </w:t>
      </w:r>
      <w:r w:rsidR="002D241B">
        <w:rPr>
          <w:rFonts w:ascii="Verdana" w:hAnsi="Verdana"/>
          <w:sz w:val="20"/>
          <w:szCs w:val="20"/>
          <w:lang w:val="es-CR"/>
        </w:rPr>
        <w:t>inmateriales y por el reintegro de costas y gastos</w:t>
      </w:r>
      <w:r w:rsidR="00CB4347">
        <w:rPr>
          <w:rFonts w:ascii="Verdana" w:hAnsi="Verdana"/>
          <w:sz w:val="20"/>
          <w:szCs w:val="20"/>
          <w:lang w:val="es-CR"/>
        </w:rPr>
        <w:t xml:space="preserve"> y</w:t>
      </w:r>
      <w:r w:rsidR="003B7708">
        <w:rPr>
          <w:rFonts w:ascii="Verdana" w:hAnsi="Verdana"/>
          <w:sz w:val="20"/>
          <w:szCs w:val="20"/>
          <w:lang w:val="es-CR"/>
        </w:rPr>
        <w:t xml:space="preserve"> al Fondo de Asistencia Legal de Víctimas</w:t>
      </w:r>
      <w:r w:rsidR="00CB4347">
        <w:rPr>
          <w:rFonts w:ascii="Verdana" w:hAnsi="Verdana"/>
          <w:sz w:val="20"/>
          <w:szCs w:val="20"/>
          <w:lang w:val="es-CR"/>
        </w:rPr>
        <w:t xml:space="preserve"> (</w:t>
      </w:r>
      <w:r w:rsidR="00CB4347">
        <w:rPr>
          <w:rFonts w:ascii="Verdana" w:hAnsi="Verdana"/>
          <w:i/>
          <w:sz w:val="20"/>
          <w:szCs w:val="20"/>
          <w:lang w:val="es-CR"/>
        </w:rPr>
        <w:t>punto dispositivo noveno de la Sentencia</w:t>
      </w:r>
      <w:r w:rsidR="00CB4347">
        <w:rPr>
          <w:rFonts w:ascii="Verdana" w:hAnsi="Verdana"/>
          <w:sz w:val="20"/>
          <w:szCs w:val="20"/>
          <w:lang w:val="es-CR"/>
        </w:rPr>
        <w:t>)</w:t>
      </w:r>
      <w:r w:rsidR="002D241B">
        <w:rPr>
          <w:rFonts w:ascii="Verdana" w:hAnsi="Verdana"/>
          <w:sz w:val="20"/>
          <w:szCs w:val="20"/>
          <w:lang w:val="es-CR"/>
        </w:rPr>
        <w:t xml:space="preserve">. </w:t>
      </w:r>
    </w:p>
    <w:p w14:paraId="72F43AB7" w14:textId="77777777" w:rsidR="005C0773" w:rsidRDefault="005C0773" w:rsidP="005C0773">
      <w:pPr>
        <w:pStyle w:val="ListParagraph"/>
        <w:spacing w:line="240" w:lineRule="auto"/>
        <w:ind w:left="0"/>
        <w:jc w:val="both"/>
        <w:rPr>
          <w:rFonts w:ascii="Verdana" w:hAnsi="Verdana"/>
          <w:sz w:val="20"/>
          <w:szCs w:val="20"/>
          <w:lang w:val="es-CR"/>
        </w:rPr>
      </w:pPr>
    </w:p>
    <w:p w14:paraId="1E7D7B04" w14:textId="77777777" w:rsidR="00B50C62" w:rsidRDefault="002D241B" w:rsidP="00B50C62">
      <w:pPr>
        <w:pStyle w:val="ListParagraph"/>
        <w:numPr>
          <w:ilvl w:val="0"/>
          <w:numId w:val="2"/>
        </w:numPr>
        <w:spacing w:line="240" w:lineRule="auto"/>
        <w:ind w:left="0" w:firstLine="0"/>
        <w:jc w:val="both"/>
        <w:rPr>
          <w:rFonts w:ascii="Verdana" w:hAnsi="Verdana"/>
          <w:sz w:val="20"/>
          <w:szCs w:val="20"/>
          <w:lang w:val="es-CR"/>
        </w:rPr>
      </w:pPr>
      <w:r w:rsidRPr="00226C10">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FootnoteReference"/>
          <w:rFonts w:ascii="Verdana" w:hAnsi="Verdana"/>
          <w:lang w:val="es-CR"/>
        </w:rPr>
        <w:footnoteReference w:id="8"/>
      </w:r>
      <w:r w:rsidRPr="00226C10">
        <w:rPr>
          <w:rFonts w:ascii="Verdana" w:hAnsi="Verdana"/>
          <w:sz w:val="20"/>
          <w:szCs w:val="20"/>
          <w:lang w:val="es-CR"/>
        </w:rPr>
        <w:t>. Los Estados Parte en la Convención deben garantizar el cumplimiento de las disposiciones convencionales y sus efectos propios (</w:t>
      </w:r>
      <w:r w:rsidRPr="00226C10">
        <w:rPr>
          <w:rFonts w:ascii="Verdana" w:hAnsi="Verdana"/>
          <w:i/>
          <w:sz w:val="20"/>
          <w:szCs w:val="20"/>
          <w:lang w:val="es-CR"/>
        </w:rPr>
        <w:t>effet utile</w:t>
      </w:r>
      <w:r w:rsidRPr="00226C10">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lang w:val="es-CR"/>
        </w:rPr>
        <w:footnoteReference w:id="9"/>
      </w:r>
      <w:r>
        <w:rPr>
          <w:rFonts w:ascii="Verdana" w:hAnsi="Verdana"/>
          <w:sz w:val="20"/>
          <w:szCs w:val="20"/>
          <w:lang w:val="es-CR"/>
        </w:rPr>
        <w:t>.</w:t>
      </w:r>
      <w:r w:rsidR="00120F28" w:rsidRPr="00005A12">
        <w:rPr>
          <w:rFonts w:ascii="Verdana" w:hAnsi="Verdana"/>
          <w:sz w:val="20"/>
          <w:szCs w:val="20"/>
          <w:lang w:val="es-CR"/>
        </w:rPr>
        <w:t xml:space="preserve"> </w:t>
      </w:r>
    </w:p>
    <w:p w14:paraId="4EE4F7BB" w14:textId="77777777" w:rsidR="00005A12" w:rsidRPr="00005A12" w:rsidRDefault="00005A12" w:rsidP="00005A12">
      <w:pPr>
        <w:pStyle w:val="ListParagraph"/>
        <w:spacing w:line="240" w:lineRule="auto"/>
        <w:ind w:left="0"/>
        <w:jc w:val="both"/>
        <w:rPr>
          <w:rFonts w:ascii="Verdana" w:hAnsi="Verdana"/>
          <w:sz w:val="20"/>
          <w:szCs w:val="20"/>
          <w:lang w:val="es-CR"/>
        </w:rPr>
      </w:pPr>
    </w:p>
    <w:p w14:paraId="4100B260" w14:textId="15AD3D81" w:rsidR="00DC4FAC" w:rsidRPr="003004AD" w:rsidRDefault="003004AD" w:rsidP="00DC4FAC">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La Corte se pronunciará sobre la</w:t>
      </w:r>
      <w:r w:rsidR="00C13271">
        <w:rPr>
          <w:rFonts w:ascii="Verdana" w:hAnsi="Verdana"/>
          <w:sz w:val="20"/>
          <w:szCs w:val="20"/>
          <w:lang w:val="es-CR"/>
        </w:rPr>
        <w:t>s</w:t>
      </w:r>
      <w:r>
        <w:rPr>
          <w:rFonts w:ascii="Verdana" w:hAnsi="Verdana"/>
          <w:sz w:val="20"/>
          <w:szCs w:val="20"/>
          <w:lang w:val="es-CR"/>
        </w:rPr>
        <w:t xml:space="preserve"> medida</w:t>
      </w:r>
      <w:r w:rsidR="00C13271">
        <w:rPr>
          <w:rFonts w:ascii="Verdana" w:hAnsi="Verdana"/>
          <w:sz w:val="20"/>
          <w:szCs w:val="20"/>
          <w:lang w:val="es-CR"/>
        </w:rPr>
        <w:t>s</w:t>
      </w:r>
      <w:r>
        <w:rPr>
          <w:rFonts w:ascii="Verdana" w:hAnsi="Verdana"/>
          <w:sz w:val="20"/>
          <w:szCs w:val="20"/>
          <w:lang w:val="es-CR"/>
        </w:rPr>
        <w:t xml:space="preserve"> relativa</w:t>
      </w:r>
      <w:r w:rsidR="00C13271">
        <w:rPr>
          <w:rFonts w:ascii="Verdana" w:hAnsi="Verdana"/>
          <w:sz w:val="20"/>
          <w:szCs w:val="20"/>
          <w:lang w:val="es-CR"/>
        </w:rPr>
        <w:t>s</w:t>
      </w:r>
      <w:r>
        <w:rPr>
          <w:rFonts w:ascii="Verdana" w:hAnsi="Verdana"/>
          <w:sz w:val="20"/>
          <w:szCs w:val="20"/>
          <w:lang w:val="es-CR"/>
        </w:rPr>
        <w:t xml:space="preserve"> a realizar las publicaciones </w:t>
      </w:r>
      <w:r w:rsidR="004A7B77">
        <w:rPr>
          <w:rFonts w:ascii="Verdana" w:hAnsi="Verdana"/>
          <w:sz w:val="20"/>
          <w:szCs w:val="20"/>
          <w:lang w:val="es-CR"/>
        </w:rPr>
        <w:t xml:space="preserve">de </w:t>
      </w:r>
      <w:r>
        <w:rPr>
          <w:rFonts w:ascii="Verdana" w:hAnsi="Verdana"/>
          <w:sz w:val="20"/>
          <w:szCs w:val="20"/>
          <w:lang w:val="es-CR"/>
        </w:rPr>
        <w:t>la Sentencia</w:t>
      </w:r>
      <w:r w:rsidR="00C13271">
        <w:rPr>
          <w:rFonts w:ascii="Verdana" w:hAnsi="Verdana"/>
          <w:sz w:val="20"/>
          <w:szCs w:val="20"/>
          <w:lang w:val="es-CR"/>
        </w:rPr>
        <w:t xml:space="preserve"> y su resumen oficial</w:t>
      </w:r>
      <w:r>
        <w:rPr>
          <w:rFonts w:ascii="Verdana" w:hAnsi="Verdana"/>
          <w:sz w:val="20"/>
          <w:szCs w:val="20"/>
          <w:lang w:val="es-CR"/>
        </w:rPr>
        <w:t>. Aún no ha vencido el plazo de un año, contado a partir de la notificación de la Sentencia, para que el Estado presente su primer informe sobre el cumplimiento de la</w:t>
      </w:r>
      <w:r w:rsidR="004A7B77">
        <w:rPr>
          <w:rFonts w:ascii="Verdana" w:hAnsi="Verdana"/>
          <w:sz w:val="20"/>
          <w:szCs w:val="20"/>
          <w:lang w:val="es-CR"/>
        </w:rPr>
        <w:t>s</w:t>
      </w:r>
      <w:r>
        <w:rPr>
          <w:rFonts w:ascii="Verdana" w:hAnsi="Verdana"/>
          <w:sz w:val="20"/>
          <w:szCs w:val="20"/>
          <w:lang w:val="es-CR"/>
        </w:rPr>
        <w:t xml:space="preserve"> </w:t>
      </w:r>
      <w:r w:rsidR="005A7F87">
        <w:rPr>
          <w:rFonts w:ascii="Verdana" w:hAnsi="Verdana"/>
          <w:sz w:val="20"/>
          <w:szCs w:val="20"/>
          <w:lang w:val="es-CR"/>
        </w:rPr>
        <w:t>otra</w:t>
      </w:r>
      <w:r w:rsidR="004A7B77">
        <w:rPr>
          <w:rFonts w:ascii="Verdana" w:hAnsi="Verdana"/>
          <w:sz w:val="20"/>
          <w:szCs w:val="20"/>
          <w:lang w:val="es-CR"/>
        </w:rPr>
        <w:t>s</w:t>
      </w:r>
      <w:r>
        <w:rPr>
          <w:rFonts w:ascii="Verdana" w:hAnsi="Verdana"/>
          <w:sz w:val="20"/>
          <w:szCs w:val="20"/>
          <w:lang w:val="es-CR"/>
        </w:rPr>
        <w:t xml:space="preserve"> medida</w:t>
      </w:r>
      <w:r w:rsidR="004A7B77">
        <w:rPr>
          <w:rFonts w:ascii="Verdana" w:hAnsi="Verdana"/>
          <w:sz w:val="20"/>
          <w:szCs w:val="20"/>
          <w:lang w:val="es-CR"/>
        </w:rPr>
        <w:t>s</w:t>
      </w:r>
      <w:r>
        <w:rPr>
          <w:rFonts w:ascii="Verdana" w:hAnsi="Verdana"/>
          <w:sz w:val="20"/>
          <w:szCs w:val="20"/>
          <w:lang w:val="es-CR"/>
        </w:rPr>
        <w:t xml:space="preserve"> dispuesta</w:t>
      </w:r>
      <w:r w:rsidR="004A7B77">
        <w:rPr>
          <w:rFonts w:ascii="Verdana" w:hAnsi="Verdana"/>
          <w:sz w:val="20"/>
          <w:szCs w:val="20"/>
          <w:lang w:val="es-CR"/>
        </w:rPr>
        <w:t>s</w:t>
      </w:r>
      <w:r>
        <w:rPr>
          <w:rFonts w:ascii="Verdana" w:hAnsi="Verdana"/>
          <w:sz w:val="20"/>
          <w:szCs w:val="20"/>
          <w:lang w:val="es-CR"/>
        </w:rPr>
        <w:t xml:space="preserve"> en la</w:t>
      </w:r>
      <w:r w:rsidR="00C13271">
        <w:rPr>
          <w:rFonts w:ascii="Verdana" w:hAnsi="Verdana"/>
          <w:sz w:val="20"/>
          <w:szCs w:val="20"/>
          <w:lang w:val="es-CR"/>
        </w:rPr>
        <w:t xml:space="preserve"> misma</w:t>
      </w:r>
      <w:r>
        <w:rPr>
          <w:rStyle w:val="FootnoteReference"/>
          <w:rFonts w:ascii="Verdana" w:hAnsi="Verdana"/>
          <w:sz w:val="20"/>
          <w:szCs w:val="20"/>
          <w:lang w:val="es-CR"/>
        </w:rPr>
        <w:footnoteReference w:id="10"/>
      </w:r>
      <w:r>
        <w:rPr>
          <w:rFonts w:ascii="Verdana" w:hAnsi="Verdana"/>
          <w:sz w:val="20"/>
          <w:szCs w:val="20"/>
          <w:lang w:val="es-CR"/>
        </w:rPr>
        <w:t>.</w:t>
      </w:r>
      <w:r w:rsidR="00163A9C" w:rsidRPr="003004AD">
        <w:rPr>
          <w:rFonts w:ascii="Verdana" w:hAnsi="Verdana"/>
          <w:sz w:val="20"/>
          <w:szCs w:val="20"/>
          <w:lang w:val="es-CR"/>
        </w:rPr>
        <w:t xml:space="preserve"> </w:t>
      </w:r>
    </w:p>
    <w:p w14:paraId="7C33A156" w14:textId="77777777" w:rsidR="00481A61" w:rsidRDefault="00481A61" w:rsidP="00B7283B">
      <w:pPr>
        <w:spacing w:after="0" w:line="240" w:lineRule="auto"/>
        <w:rPr>
          <w:rFonts w:ascii="Verdana" w:hAnsi="Verdana"/>
          <w:i/>
          <w:sz w:val="20"/>
          <w:szCs w:val="20"/>
          <w:lang w:val="es-CR"/>
        </w:rPr>
      </w:pPr>
    </w:p>
    <w:p w14:paraId="63C15594" w14:textId="3F1D28D9" w:rsidR="003004AD" w:rsidRDefault="003004AD" w:rsidP="00481A61">
      <w:pPr>
        <w:spacing w:after="0" w:line="240" w:lineRule="auto"/>
        <w:ind w:left="360" w:firstLine="360"/>
        <w:rPr>
          <w:rFonts w:ascii="Verdana" w:hAnsi="Verdana"/>
          <w:i/>
          <w:sz w:val="20"/>
          <w:szCs w:val="20"/>
          <w:lang w:val="es-CR"/>
        </w:rPr>
      </w:pPr>
      <w:r>
        <w:rPr>
          <w:rFonts w:ascii="Verdana" w:hAnsi="Verdana"/>
          <w:i/>
          <w:sz w:val="20"/>
          <w:szCs w:val="20"/>
          <w:lang w:val="es-CR"/>
        </w:rPr>
        <w:t>A. Medida ordenada por la Corte</w:t>
      </w:r>
    </w:p>
    <w:p w14:paraId="0AFCF9FE" w14:textId="77777777" w:rsidR="00481A61" w:rsidRDefault="00481A61" w:rsidP="00481A61">
      <w:pPr>
        <w:spacing w:after="0" w:line="240" w:lineRule="auto"/>
        <w:ind w:left="360" w:firstLine="360"/>
        <w:rPr>
          <w:rFonts w:ascii="Verdana" w:hAnsi="Verdana"/>
          <w:i/>
          <w:sz w:val="20"/>
          <w:szCs w:val="20"/>
          <w:lang w:val="es-CR"/>
        </w:rPr>
      </w:pPr>
    </w:p>
    <w:p w14:paraId="260F35FB" w14:textId="540F714D" w:rsidR="00F2322B" w:rsidRDefault="00F2322B" w:rsidP="00481A61">
      <w:pPr>
        <w:pStyle w:val="ListParagraph"/>
        <w:numPr>
          <w:ilvl w:val="0"/>
          <w:numId w:val="2"/>
        </w:numPr>
        <w:spacing w:after="0" w:line="240" w:lineRule="auto"/>
        <w:ind w:left="0" w:firstLine="0"/>
        <w:jc w:val="both"/>
        <w:rPr>
          <w:rFonts w:ascii="Verdana" w:hAnsi="Verdana"/>
          <w:sz w:val="20"/>
          <w:szCs w:val="20"/>
          <w:lang w:val="es-CR"/>
        </w:rPr>
      </w:pPr>
      <w:bookmarkStart w:id="0" w:name="_Ref525290676"/>
      <w:r>
        <w:rPr>
          <w:rFonts w:ascii="Verdana" w:hAnsi="Verdana"/>
          <w:sz w:val="20"/>
          <w:szCs w:val="20"/>
          <w:lang w:val="es-CR"/>
        </w:rPr>
        <w:t xml:space="preserve">En el punto resolutivo </w:t>
      </w:r>
      <w:r w:rsidR="004959E0">
        <w:rPr>
          <w:rFonts w:ascii="Verdana" w:hAnsi="Verdana"/>
          <w:sz w:val="20"/>
          <w:szCs w:val="20"/>
          <w:lang w:val="es-CR"/>
        </w:rPr>
        <w:t>octavo</w:t>
      </w:r>
      <w:r>
        <w:rPr>
          <w:rFonts w:ascii="Verdana" w:hAnsi="Verdana"/>
          <w:sz w:val="20"/>
          <w:szCs w:val="20"/>
          <w:lang w:val="es-CR"/>
        </w:rPr>
        <w:t xml:space="preserve"> y en el párrafo 21</w:t>
      </w:r>
      <w:r w:rsidR="004959E0">
        <w:rPr>
          <w:rFonts w:ascii="Verdana" w:hAnsi="Verdana"/>
          <w:sz w:val="20"/>
          <w:szCs w:val="20"/>
          <w:lang w:val="es-CR"/>
        </w:rPr>
        <w:t>1</w:t>
      </w:r>
      <w:r>
        <w:rPr>
          <w:rFonts w:ascii="Verdana" w:hAnsi="Verdana"/>
          <w:sz w:val="20"/>
          <w:szCs w:val="20"/>
          <w:lang w:val="es-CR"/>
        </w:rPr>
        <w:t xml:space="preserve"> de la Senten</w:t>
      </w:r>
      <w:r w:rsidR="004959E0">
        <w:rPr>
          <w:rFonts w:ascii="Verdana" w:hAnsi="Verdana"/>
          <w:sz w:val="20"/>
          <w:szCs w:val="20"/>
          <w:lang w:val="es-CR"/>
        </w:rPr>
        <w:t xml:space="preserve">cia, la Corte ordenó al Estado </w:t>
      </w:r>
      <w:r>
        <w:rPr>
          <w:rFonts w:ascii="Verdana" w:hAnsi="Verdana"/>
          <w:sz w:val="20"/>
          <w:szCs w:val="20"/>
          <w:lang w:val="es-CR"/>
        </w:rPr>
        <w:t>publicar</w:t>
      </w:r>
      <w:r w:rsidR="005A7F87">
        <w:rPr>
          <w:rFonts w:ascii="Verdana" w:hAnsi="Verdana"/>
          <w:sz w:val="20"/>
          <w:szCs w:val="20"/>
          <w:lang w:val="es-CR"/>
        </w:rPr>
        <w:t>, en el plazo de seis meses desde la notificación de la Sentencia,</w:t>
      </w:r>
      <w:r w:rsidR="004959E0">
        <w:rPr>
          <w:rFonts w:ascii="Verdana" w:hAnsi="Verdana"/>
          <w:sz w:val="20"/>
          <w:szCs w:val="20"/>
          <w:lang w:val="es-CR"/>
        </w:rPr>
        <w:t xml:space="preserve"> “a) el resumen oficial de la […] Sentencia elaborado por la Corte, por una sola vez, en el Diario Oficial en un tamaño de letra legible y adecuado; b) el resumen oficial de la […] Sentencia </w:t>
      </w:r>
      <w:r w:rsidR="004959E0">
        <w:rPr>
          <w:rFonts w:ascii="Verdana" w:hAnsi="Verdana"/>
          <w:sz w:val="20"/>
          <w:szCs w:val="20"/>
          <w:lang w:val="es-CR"/>
        </w:rPr>
        <w:lastRenderedPageBreak/>
        <w:t>elaborado por la Corte, por una sola vez, en un diario de amplia circulación a nivel nacional</w:t>
      </w:r>
      <w:r>
        <w:rPr>
          <w:rFonts w:ascii="Verdana" w:hAnsi="Verdana"/>
          <w:sz w:val="20"/>
          <w:szCs w:val="20"/>
          <w:lang w:val="es-CR"/>
        </w:rPr>
        <w:t xml:space="preserve">, en un tamaño de letra legible y </w:t>
      </w:r>
      <w:r w:rsidR="004959E0">
        <w:rPr>
          <w:rFonts w:ascii="Verdana" w:hAnsi="Verdana"/>
          <w:sz w:val="20"/>
          <w:szCs w:val="20"/>
          <w:lang w:val="es-CR"/>
        </w:rPr>
        <w:t>adecuado</w:t>
      </w:r>
      <w:r w:rsidR="00490C49">
        <w:rPr>
          <w:rFonts w:ascii="Verdana" w:hAnsi="Verdana"/>
          <w:sz w:val="20"/>
          <w:szCs w:val="20"/>
          <w:lang w:val="es-CR"/>
        </w:rPr>
        <w:t>;</w:t>
      </w:r>
      <w:r w:rsidR="004959E0">
        <w:rPr>
          <w:rFonts w:ascii="Verdana" w:hAnsi="Verdana"/>
          <w:sz w:val="20"/>
          <w:szCs w:val="20"/>
          <w:lang w:val="es-CR"/>
        </w:rPr>
        <w:t xml:space="preserve"> </w:t>
      </w:r>
      <w:r>
        <w:rPr>
          <w:rFonts w:ascii="Verdana" w:hAnsi="Verdana"/>
          <w:sz w:val="20"/>
          <w:szCs w:val="20"/>
          <w:lang w:val="es-CR"/>
        </w:rPr>
        <w:t xml:space="preserve">y </w:t>
      </w:r>
      <w:r w:rsidR="004959E0">
        <w:rPr>
          <w:rFonts w:ascii="Verdana" w:hAnsi="Verdana"/>
          <w:sz w:val="20"/>
          <w:szCs w:val="20"/>
          <w:lang w:val="es-CR"/>
        </w:rPr>
        <w:t>c</w:t>
      </w:r>
      <w:r>
        <w:rPr>
          <w:rFonts w:ascii="Verdana" w:hAnsi="Verdana"/>
          <w:sz w:val="20"/>
          <w:szCs w:val="20"/>
          <w:lang w:val="es-CR"/>
        </w:rPr>
        <w:t xml:space="preserve">) la […] Sentencia en su integridad, disponible al menos por un </w:t>
      </w:r>
      <w:r w:rsidRPr="00CF5C0E">
        <w:rPr>
          <w:rFonts w:ascii="Verdana" w:hAnsi="Verdana"/>
          <w:sz w:val="20"/>
          <w:szCs w:val="20"/>
          <w:lang w:val="es-CR"/>
        </w:rPr>
        <w:t xml:space="preserve">período de un año, en un sitio web oficial del </w:t>
      </w:r>
      <w:r w:rsidR="004959E0" w:rsidRPr="00CF5C0E">
        <w:rPr>
          <w:rFonts w:ascii="Verdana" w:hAnsi="Verdana"/>
          <w:sz w:val="20"/>
          <w:szCs w:val="20"/>
          <w:lang w:val="es-CR"/>
        </w:rPr>
        <w:t>Ministerio de Justicia, de manera accesible al público</w:t>
      </w:r>
      <w:r w:rsidRPr="00CF5C0E">
        <w:rPr>
          <w:rFonts w:ascii="Verdana" w:hAnsi="Verdana"/>
          <w:sz w:val="20"/>
          <w:szCs w:val="20"/>
          <w:lang w:val="es-CR"/>
        </w:rPr>
        <w:t>”.</w:t>
      </w:r>
      <w:bookmarkEnd w:id="0"/>
      <w:r w:rsidR="00CF5C0E" w:rsidRPr="00CF5C0E">
        <w:rPr>
          <w:rFonts w:ascii="Verdana" w:hAnsi="Verdana"/>
          <w:sz w:val="20"/>
          <w:szCs w:val="20"/>
          <w:lang w:val="es-CR"/>
        </w:rPr>
        <w:t xml:space="preserve"> </w:t>
      </w:r>
      <w:r w:rsidR="00CF5C0E" w:rsidRPr="00CF5C0E">
        <w:rPr>
          <w:rFonts w:ascii="Verdana" w:hAnsi="Verdana"/>
          <w:color w:val="000000"/>
          <w:sz w:val="20"/>
          <w:szCs w:val="20"/>
          <w:lang w:val="es-CR"/>
        </w:rPr>
        <w:t>Asimismo, se le requirió “informar de forma inmediata […] una vez que proceda a realizar cada una de las publicaciones dispuestas, independientemente del plazo de un año para presentar su primer informe”.</w:t>
      </w:r>
    </w:p>
    <w:p w14:paraId="30969435" w14:textId="77777777" w:rsidR="005A7F87" w:rsidRDefault="005A7F87" w:rsidP="00F2322B">
      <w:pPr>
        <w:spacing w:after="0" w:line="240" w:lineRule="auto"/>
        <w:jc w:val="both"/>
        <w:rPr>
          <w:rFonts w:ascii="Verdana" w:hAnsi="Verdana"/>
          <w:sz w:val="20"/>
          <w:szCs w:val="20"/>
          <w:lang w:val="es-CR"/>
        </w:rPr>
      </w:pPr>
    </w:p>
    <w:p w14:paraId="1BC08DAC" w14:textId="7C87AB41" w:rsidR="00F2322B" w:rsidRPr="00F2322B" w:rsidRDefault="005F715F" w:rsidP="00F2322B">
      <w:pPr>
        <w:ind w:left="360" w:firstLine="360"/>
        <w:rPr>
          <w:rFonts w:ascii="Verdana" w:hAnsi="Verdana"/>
          <w:sz w:val="20"/>
          <w:szCs w:val="20"/>
          <w:lang w:val="es-CR"/>
        </w:rPr>
      </w:pPr>
      <w:r>
        <w:rPr>
          <w:rFonts w:ascii="Verdana" w:hAnsi="Verdana"/>
          <w:i/>
          <w:sz w:val="20"/>
          <w:szCs w:val="20"/>
          <w:lang w:val="es-CR"/>
        </w:rPr>
        <w:t>B.</w:t>
      </w:r>
      <w:r w:rsidR="00F2322B">
        <w:rPr>
          <w:rFonts w:ascii="Verdana" w:hAnsi="Verdana"/>
          <w:i/>
          <w:sz w:val="20"/>
          <w:szCs w:val="20"/>
          <w:lang w:val="es-CR"/>
        </w:rPr>
        <w:t xml:space="preserve"> Consideraciones de la Corte</w:t>
      </w:r>
    </w:p>
    <w:p w14:paraId="4539CD5E" w14:textId="42F895FF" w:rsidR="00D31337" w:rsidRDefault="002D2549" w:rsidP="00F2322B">
      <w:pPr>
        <w:pStyle w:val="ListParagraph"/>
        <w:numPr>
          <w:ilvl w:val="0"/>
          <w:numId w:val="2"/>
        </w:numPr>
        <w:spacing w:after="0" w:line="240" w:lineRule="auto"/>
        <w:ind w:left="0" w:firstLine="0"/>
        <w:jc w:val="both"/>
        <w:rPr>
          <w:rFonts w:ascii="Verdana" w:hAnsi="Verdana"/>
          <w:sz w:val="20"/>
          <w:szCs w:val="20"/>
          <w:lang w:val="es-CR"/>
        </w:rPr>
      </w:pPr>
      <w:r w:rsidRPr="00242C20">
        <w:rPr>
          <w:rFonts w:ascii="Verdana" w:hAnsi="Verdana"/>
          <w:sz w:val="20"/>
          <w:szCs w:val="20"/>
          <w:lang w:val="es-CR"/>
        </w:rPr>
        <w:t xml:space="preserve">Con base en </w:t>
      </w:r>
      <w:r w:rsidR="00242C20" w:rsidRPr="00242C20">
        <w:rPr>
          <w:rFonts w:ascii="Verdana" w:hAnsi="Verdana"/>
          <w:sz w:val="20"/>
          <w:szCs w:val="20"/>
          <w:lang w:val="es-CR"/>
        </w:rPr>
        <w:t>los</w:t>
      </w:r>
      <w:r w:rsidRPr="00242C20">
        <w:rPr>
          <w:rFonts w:ascii="Verdana" w:hAnsi="Verdana"/>
          <w:sz w:val="20"/>
          <w:szCs w:val="20"/>
          <w:lang w:val="es-CR"/>
        </w:rPr>
        <w:t xml:space="preserve"> </w:t>
      </w:r>
      <w:r w:rsidR="00406D9D" w:rsidRPr="00242C20">
        <w:rPr>
          <w:rFonts w:ascii="Verdana" w:hAnsi="Verdana"/>
          <w:sz w:val="20"/>
          <w:szCs w:val="20"/>
          <w:lang w:val="es-CR"/>
        </w:rPr>
        <w:t xml:space="preserve">ejemplares originales </w:t>
      </w:r>
      <w:r w:rsidRPr="00242C20">
        <w:rPr>
          <w:rFonts w:ascii="Verdana" w:hAnsi="Verdana"/>
          <w:sz w:val="20"/>
          <w:szCs w:val="20"/>
          <w:lang w:val="es-CR"/>
        </w:rPr>
        <w:t>aportados por el Estado, en su</w:t>
      </w:r>
      <w:r w:rsidR="00242C20" w:rsidRPr="00242C20">
        <w:rPr>
          <w:rFonts w:ascii="Verdana" w:hAnsi="Verdana"/>
          <w:sz w:val="20"/>
          <w:szCs w:val="20"/>
          <w:lang w:val="es-CR"/>
        </w:rPr>
        <w:t>s</w:t>
      </w:r>
      <w:r w:rsidR="004959E0" w:rsidRPr="00242C20">
        <w:rPr>
          <w:rFonts w:ascii="Verdana" w:hAnsi="Verdana"/>
          <w:sz w:val="20"/>
          <w:szCs w:val="20"/>
          <w:lang w:val="es-CR"/>
        </w:rPr>
        <w:t xml:space="preserve"> informe</w:t>
      </w:r>
      <w:r w:rsidR="00242C20" w:rsidRPr="00242C20">
        <w:rPr>
          <w:rFonts w:ascii="Verdana" w:hAnsi="Verdana"/>
          <w:sz w:val="20"/>
          <w:szCs w:val="20"/>
          <w:lang w:val="es-CR"/>
        </w:rPr>
        <w:t>s</w:t>
      </w:r>
      <w:r w:rsidRPr="00242C20">
        <w:rPr>
          <w:rFonts w:ascii="Verdana" w:hAnsi="Verdana"/>
          <w:sz w:val="20"/>
          <w:szCs w:val="20"/>
          <w:lang w:val="es-CR"/>
        </w:rPr>
        <w:t xml:space="preserve"> de </w:t>
      </w:r>
      <w:r w:rsidR="004959E0" w:rsidRPr="00242C20">
        <w:rPr>
          <w:rFonts w:ascii="Verdana" w:hAnsi="Verdana"/>
          <w:sz w:val="20"/>
          <w:szCs w:val="20"/>
          <w:lang w:val="es-CR"/>
        </w:rPr>
        <w:t>marzo</w:t>
      </w:r>
      <w:r w:rsidR="00242C20" w:rsidRPr="00242C20">
        <w:rPr>
          <w:rFonts w:ascii="Verdana" w:hAnsi="Verdana"/>
          <w:sz w:val="20"/>
          <w:szCs w:val="20"/>
          <w:lang w:val="es-CR"/>
        </w:rPr>
        <w:t xml:space="preserve"> y junio</w:t>
      </w:r>
      <w:r w:rsidRPr="00242C20">
        <w:rPr>
          <w:rFonts w:ascii="Verdana" w:hAnsi="Verdana"/>
          <w:sz w:val="20"/>
          <w:szCs w:val="20"/>
          <w:lang w:val="es-CR"/>
        </w:rPr>
        <w:t xml:space="preserve"> de 2</w:t>
      </w:r>
      <w:r w:rsidR="00C21DE3" w:rsidRPr="00242C20">
        <w:rPr>
          <w:rFonts w:ascii="Verdana" w:hAnsi="Verdana"/>
          <w:sz w:val="20"/>
          <w:szCs w:val="20"/>
          <w:lang w:val="es-CR"/>
        </w:rPr>
        <w:t>0</w:t>
      </w:r>
      <w:r w:rsidRPr="00242C20">
        <w:rPr>
          <w:rFonts w:ascii="Verdana" w:hAnsi="Verdana"/>
          <w:sz w:val="20"/>
          <w:szCs w:val="20"/>
          <w:lang w:val="es-CR"/>
        </w:rPr>
        <w:t xml:space="preserve">18, este Tribunal constata </w:t>
      </w:r>
      <w:r w:rsidR="00F2322B" w:rsidRPr="00242C20">
        <w:rPr>
          <w:rFonts w:ascii="Verdana" w:hAnsi="Verdana"/>
          <w:sz w:val="20"/>
          <w:szCs w:val="20"/>
          <w:lang w:val="es-CR"/>
        </w:rPr>
        <w:t xml:space="preserve">que </w:t>
      </w:r>
      <w:r w:rsidR="00DE104E" w:rsidRPr="00242C20">
        <w:rPr>
          <w:rFonts w:ascii="Verdana" w:hAnsi="Verdana"/>
          <w:sz w:val="20"/>
          <w:szCs w:val="20"/>
          <w:lang w:val="es-CR"/>
        </w:rPr>
        <w:t>Perú</w:t>
      </w:r>
      <w:r w:rsidR="00F2322B" w:rsidRPr="00242C20">
        <w:rPr>
          <w:rFonts w:ascii="Verdana" w:hAnsi="Verdana"/>
          <w:sz w:val="20"/>
          <w:szCs w:val="20"/>
          <w:lang w:val="es-CR"/>
        </w:rPr>
        <w:t xml:space="preserve"> </w:t>
      </w:r>
      <w:r w:rsidRPr="00242C20">
        <w:rPr>
          <w:rFonts w:ascii="Verdana" w:hAnsi="Verdana"/>
          <w:sz w:val="20"/>
          <w:szCs w:val="20"/>
          <w:lang w:val="es-CR"/>
        </w:rPr>
        <w:t xml:space="preserve">publicó el </w:t>
      </w:r>
      <w:r w:rsidR="00DE104E" w:rsidRPr="00242C20">
        <w:rPr>
          <w:rFonts w:ascii="Verdana" w:hAnsi="Verdana"/>
          <w:sz w:val="20"/>
          <w:szCs w:val="20"/>
          <w:lang w:val="es-CR"/>
        </w:rPr>
        <w:t>19</w:t>
      </w:r>
      <w:r w:rsidRPr="00242C20">
        <w:rPr>
          <w:rFonts w:ascii="Verdana" w:hAnsi="Verdana"/>
          <w:sz w:val="20"/>
          <w:szCs w:val="20"/>
          <w:lang w:val="es-CR"/>
        </w:rPr>
        <w:t xml:space="preserve"> de </w:t>
      </w:r>
      <w:r w:rsidR="00DE104E" w:rsidRPr="00242C20">
        <w:rPr>
          <w:rFonts w:ascii="Verdana" w:hAnsi="Verdana"/>
          <w:sz w:val="20"/>
          <w:szCs w:val="20"/>
          <w:lang w:val="es-CR"/>
        </w:rPr>
        <w:t>enero de 2018</w:t>
      </w:r>
      <w:r w:rsidRPr="00242C20">
        <w:rPr>
          <w:rFonts w:ascii="Verdana" w:hAnsi="Verdana"/>
          <w:sz w:val="20"/>
          <w:szCs w:val="20"/>
          <w:lang w:val="es-CR"/>
        </w:rPr>
        <w:t xml:space="preserve"> </w:t>
      </w:r>
      <w:r w:rsidR="00F2322B" w:rsidRPr="00242C20">
        <w:rPr>
          <w:rFonts w:ascii="Verdana" w:hAnsi="Verdana"/>
          <w:sz w:val="20"/>
          <w:szCs w:val="20"/>
          <w:lang w:val="es-CR"/>
        </w:rPr>
        <w:t>el resumen de la Sentencia en el Diario Oficial</w:t>
      </w:r>
      <w:r w:rsidR="00F2322B" w:rsidRPr="00242C20">
        <w:rPr>
          <w:rStyle w:val="FootnoteReference"/>
          <w:rFonts w:ascii="Verdana" w:hAnsi="Verdana"/>
          <w:sz w:val="20"/>
          <w:szCs w:val="20"/>
          <w:lang w:val="es-CR"/>
        </w:rPr>
        <w:footnoteReference w:id="11"/>
      </w:r>
      <w:r w:rsidR="00F66865" w:rsidRPr="00242C20">
        <w:rPr>
          <w:rFonts w:ascii="Verdana" w:hAnsi="Verdana"/>
          <w:sz w:val="20"/>
          <w:szCs w:val="20"/>
          <w:lang w:val="es-CR"/>
        </w:rPr>
        <w:t>,</w:t>
      </w:r>
      <w:r w:rsidR="00F2322B" w:rsidRPr="00242C20">
        <w:rPr>
          <w:rFonts w:ascii="Verdana" w:hAnsi="Verdana"/>
          <w:sz w:val="20"/>
          <w:szCs w:val="20"/>
          <w:lang w:val="es-CR"/>
        </w:rPr>
        <w:t xml:space="preserve"> </w:t>
      </w:r>
      <w:r w:rsidRPr="00242C20">
        <w:rPr>
          <w:rFonts w:ascii="Verdana" w:hAnsi="Verdana"/>
          <w:sz w:val="20"/>
          <w:szCs w:val="20"/>
          <w:lang w:val="es-CR"/>
        </w:rPr>
        <w:t>y el 2</w:t>
      </w:r>
      <w:r w:rsidR="00DE104E" w:rsidRPr="00242C20">
        <w:rPr>
          <w:rFonts w:ascii="Verdana" w:hAnsi="Verdana"/>
          <w:sz w:val="20"/>
          <w:szCs w:val="20"/>
          <w:lang w:val="es-CR"/>
        </w:rPr>
        <w:t>8</w:t>
      </w:r>
      <w:r w:rsidRPr="00242C20">
        <w:rPr>
          <w:rFonts w:ascii="Verdana" w:hAnsi="Verdana"/>
          <w:sz w:val="20"/>
          <w:szCs w:val="20"/>
          <w:lang w:val="es-CR"/>
        </w:rPr>
        <w:t xml:space="preserve"> de </w:t>
      </w:r>
      <w:r w:rsidR="00DE104E" w:rsidRPr="00242C20">
        <w:rPr>
          <w:rFonts w:ascii="Verdana" w:hAnsi="Verdana"/>
          <w:sz w:val="20"/>
          <w:szCs w:val="20"/>
          <w:lang w:val="es-CR"/>
        </w:rPr>
        <w:t>febrero</w:t>
      </w:r>
      <w:r w:rsidRPr="00242C20">
        <w:rPr>
          <w:rFonts w:ascii="Verdana" w:hAnsi="Verdana"/>
          <w:sz w:val="20"/>
          <w:szCs w:val="20"/>
          <w:lang w:val="es-CR"/>
        </w:rPr>
        <w:t xml:space="preserve"> de 2018 el resumen de la Sentencia en el diario de circulación</w:t>
      </w:r>
      <w:r w:rsidR="00DE104E" w:rsidRPr="00242C20">
        <w:rPr>
          <w:rFonts w:ascii="Verdana" w:hAnsi="Verdana"/>
          <w:sz w:val="20"/>
          <w:szCs w:val="20"/>
          <w:lang w:val="es-CR"/>
        </w:rPr>
        <w:t xml:space="preserve"> nacional</w:t>
      </w:r>
      <w:r w:rsidRPr="00242C20">
        <w:rPr>
          <w:rFonts w:ascii="Verdana" w:hAnsi="Verdana"/>
          <w:sz w:val="20"/>
          <w:szCs w:val="20"/>
          <w:lang w:val="es-CR"/>
        </w:rPr>
        <w:t xml:space="preserve"> “</w:t>
      </w:r>
      <w:r w:rsidR="00DE104E" w:rsidRPr="00242C20">
        <w:rPr>
          <w:rFonts w:ascii="Verdana" w:hAnsi="Verdana"/>
          <w:sz w:val="20"/>
          <w:szCs w:val="20"/>
          <w:lang w:val="es-CR"/>
        </w:rPr>
        <w:t>La República</w:t>
      </w:r>
      <w:r w:rsidRPr="00242C20">
        <w:rPr>
          <w:rFonts w:ascii="Verdana" w:hAnsi="Verdana"/>
          <w:sz w:val="20"/>
          <w:szCs w:val="20"/>
          <w:lang w:val="es-CR"/>
        </w:rPr>
        <w:t>”</w:t>
      </w:r>
      <w:r w:rsidRPr="00242C20">
        <w:rPr>
          <w:rStyle w:val="FootnoteReference"/>
          <w:rFonts w:ascii="Verdana" w:hAnsi="Verdana"/>
          <w:sz w:val="20"/>
          <w:szCs w:val="20"/>
          <w:lang w:val="es-CR"/>
        </w:rPr>
        <w:footnoteReference w:id="12"/>
      </w:r>
      <w:r w:rsidR="00DE104E" w:rsidRPr="00242C20">
        <w:rPr>
          <w:rFonts w:ascii="Verdana" w:hAnsi="Verdana"/>
          <w:sz w:val="20"/>
          <w:szCs w:val="20"/>
          <w:lang w:val="es-CR"/>
        </w:rPr>
        <w:t xml:space="preserve">. </w:t>
      </w:r>
    </w:p>
    <w:p w14:paraId="169FF6F5" w14:textId="77777777" w:rsidR="00D31337" w:rsidRDefault="00D31337" w:rsidP="000935B2">
      <w:pPr>
        <w:pStyle w:val="ListParagraph"/>
        <w:spacing w:after="0" w:line="240" w:lineRule="auto"/>
        <w:ind w:left="0"/>
        <w:jc w:val="both"/>
        <w:rPr>
          <w:rFonts w:ascii="Verdana" w:hAnsi="Verdana"/>
          <w:sz w:val="20"/>
          <w:szCs w:val="20"/>
          <w:lang w:val="es-CR"/>
        </w:rPr>
      </w:pPr>
    </w:p>
    <w:p w14:paraId="22D8D338" w14:textId="35FC7719" w:rsidR="00242C20" w:rsidRPr="00242C20" w:rsidRDefault="00406D9D" w:rsidP="00D31337">
      <w:pPr>
        <w:pStyle w:val="ListParagraph"/>
        <w:numPr>
          <w:ilvl w:val="0"/>
          <w:numId w:val="2"/>
        </w:numPr>
        <w:spacing w:after="0" w:line="240" w:lineRule="auto"/>
        <w:ind w:left="0" w:firstLine="0"/>
        <w:jc w:val="both"/>
        <w:rPr>
          <w:rFonts w:ascii="Verdana" w:hAnsi="Verdana"/>
          <w:sz w:val="20"/>
          <w:szCs w:val="20"/>
          <w:lang w:val="es-CR"/>
        </w:rPr>
      </w:pPr>
      <w:r w:rsidRPr="00242C20">
        <w:rPr>
          <w:rFonts w:ascii="Verdana" w:hAnsi="Verdana"/>
          <w:sz w:val="20"/>
          <w:szCs w:val="20"/>
          <w:lang w:val="es-CR"/>
        </w:rPr>
        <w:t xml:space="preserve">Al respecto, la </w:t>
      </w:r>
      <w:r w:rsidRPr="00242C20">
        <w:rPr>
          <w:rFonts w:ascii="Verdana" w:hAnsi="Verdana"/>
          <w:i/>
          <w:sz w:val="20"/>
          <w:szCs w:val="20"/>
          <w:lang w:val="es-CR"/>
        </w:rPr>
        <w:t>interviniente común Carolina Loayza</w:t>
      </w:r>
      <w:r w:rsidR="00FA5C64" w:rsidRPr="000935B2">
        <w:rPr>
          <w:rFonts w:ascii="Verdana" w:hAnsi="Verdana"/>
          <w:sz w:val="20"/>
          <w:szCs w:val="20"/>
          <w:lang w:val="es-CR"/>
        </w:rPr>
        <w:t>,</w:t>
      </w:r>
      <w:r w:rsidR="00FA5C64">
        <w:rPr>
          <w:rFonts w:ascii="Verdana" w:hAnsi="Verdana"/>
          <w:b/>
          <w:sz w:val="20"/>
          <w:szCs w:val="20"/>
          <w:lang w:val="es-CR"/>
        </w:rPr>
        <w:t xml:space="preserve"> </w:t>
      </w:r>
      <w:r w:rsidR="00FA5C64">
        <w:rPr>
          <w:rFonts w:ascii="Verdana" w:hAnsi="Verdana"/>
          <w:sz w:val="20"/>
          <w:szCs w:val="20"/>
          <w:lang w:val="es-CR"/>
        </w:rPr>
        <w:t xml:space="preserve">en sus observaciones de </w:t>
      </w:r>
      <w:r w:rsidR="00490C49">
        <w:rPr>
          <w:rFonts w:ascii="Verdana" w:hAnsi="Verdana"/>
          <w:sz w:val="20"/>
          <w:szCs w:val="20"/>
          <w:lang w:val="es-CR"/>
        </w:rPr>
        <w:t xml:space="preserve">abril </w:t>
      </w:r>
      <w:r w:rsidR="00FA5C64">
        <w:rPr>
          <w:rFonts w:ascii="Verdana" w:hAnsi="Verdana"/>
          <w:sz w:val="20"/>
          <w:szCs w:val="20"/>
          <w:lang w:val="es-CR"/>
        </w:rPr>
        <w:t>de 2018,</w:t>
      </w:r>
      <w:r w:rsidRPr="00242C20">
        <w:rPr>
          <w:rFonts w:ascii="Verdana" w:hAnsi="Verdana"/>
          <w:sz w:val="20"/>
          <w:szCs w:val="20"/>
          <w:lang w:val="es-CR"/>
        </w:rPr>
        <w:t xml:space="preserve"> indicó que dichas publicaciones “ha[n] sido efectuad[as] en una cuarta parte de la página del medio de comunicación; y, el tamaño de la</w:t>
      </w:r>
      <w:r w:rsidR="00490C49">
        <w:rPr>
          <w:rFonts w:ascii="Verdana" w:hAnsi="Verdana"/>
          <w:sz w:val="20"/>
          <w:szCs w:val="20"/>
          <w:lang w:val="es-CR"/>
        </w:rPr>
        <w:t>s</w:t>
      </w:r>
      <w:r w:rsidRPr="00242C20">
        <w:rPr>
          <w:rFonts w:ascii="Verdana" w:hAnsi="Verdana"/>
          <w:sz w:val="20"/>
          <w:szCs w:val="20"/>
          <w:lang w:val="es-CR"/>
        </w:rPr>
        <w:t xml:space="preserve"> letra</w:t>
      </w:r>
      <w:r w:rsidR="00490C49">
        <w:rPr>
          <w:rFonts w:ascii="Verdana" w:hAnsi="Verdana"/>
          <w:sz w:val="20"/>
          <w:szCs w:val="20"/>
          <w:lang w:val="es-CR"/>
        </w:rPr>
        <w:t>s</w:t>
      </w:r>
      <w:r w:rsidRPr="00242C20">
        <w:rPr>
          <w:rFonts w:ascii="Verdana" w:hAnsi="Verdana"/>
          <w:sz w:val="20"/>
          <w:szCs w:val="20"/>
          <w:lang w:val="es-CR"/>
        </w:rPr>
        <w:t xml:space="preserve"> es menor en comparación a</w:t>
      </w:r>
      <w:r w:rsidR="00490C49">
        <w:rPr>
          <w:rFonts w:ascii="Verdana" w:hAnsi="Verdana"/>
          <w:sz w:val="20"/>
          <w:szCs w:val="20"/>
          <w:lang w:val="es-CR"/>
        </w:rPr>
        <w:t xml:space="preserve"> </w:t>
      </w:r>
      <w:r w:rsidRPr="00242C20">
        <w:rPr>
          <w:rFonts w:ascii="Verdana" w:hAnsi="Verdana"/>
          <w:sz w:val="20"/>
          <w:szCs w:val="20"/>
          <w:lang w:val="es-CR"/>
        </w:rPr>
        <w:t>l</w:t>
      </w:r>
      <w:r w:rsidR="00490C49">
        <w:rPr>
          <w:rFonts w:ascii="Verdana" w:hAnsi="Verdana"/>
          <w:sz w:val="20"/>
          <w:szCs w:val="20"/>
          <w:lang w:val="es-CR"/>
        </w:rPr>
        <w:t>a</w:t>
      </w:r>
      <w:r w:rsidRPr="00242C20">
        <w:rPr>
          <w:rFonts w:ascii="Verdana" w:hAnsi="Verdana"/>
          <w:sz w:val="20"/>
          <w:szCs w:val="20"/>
          <w:lang w:val="es-CR"/>
        </w:rPr>
        <w:t xml:space="preserve"> utilizada en una publicación regular del medio de comunicación, lo que dificulta su lectura y comprensión”</w:t>
      </w:r>
      <w:r w:rsidR="00FA5C64">
        <w:rPr>
          <w:rStyle w:val="FootnoteReference"/>
          <w:rFonts w:ascii="Verdana" w:hAnsi="Verdana"/>
          <w:sz w:val="20"/>
          <w:szCs w:val="20"/>
          <w:lang w:val="es-CR"/>
        </w:rPr>
        <w:footnoteReference w:id="13"/>
      </w:r>
      <w:r w:rsidRPr="00242C20">
        <w:rPr>
          <w:rFonts w:ascii="Verdana" w:hAnsi="Verdana"/>
          <w:sz w:val="20"/>
          <w:szCs w:val="20"/>
          <w:lang w:val="es-CR"/>
        </w:rPr>
        <w:t xml:space="preserve">. </w:t>
      </w:r>
      <w:r w:rsidR="00D31337">
        <w:rPr>
          <w:rFonts w:ascii="Verdana" w:hAnsi="Verdana"/>
          <w:sz w:val="20"/>
          <w:szCs w:val="20"/>
          <w:lang w:val="es-CR"/>
        </w:rPr>
        <w:t>Al respecto</w:t>
      </w:r>
      <w:r w:rsidR="001D60CA" w:rsidRPr="00242C20">
        <w:rPr>
          <w:rFonts w:ascii="Verdana" w:hAnsi="Verdana"/>
          <w:sz w:val="20"/>
          <w:szCs w:val="20"/>
          <w:lang w:val="es-CR"/>
        </w:rPr>
        <w:t>, de la revisión de</w:t>
      </w:r>
      <w:r w:rsidRPr="00242C20">
        <w:rPr>
          <w:rFonts w:ascii="Verdana" w:hAnsi="Verdana"/>
          <w:sz w:val="20"/>
          <w:szCs w:val="20"/>
          <w:lang w:val="es-CR"/>
        </w:rPr>
        <w:t xml:space="preserve"> </w:t>
      </w:r>
      <w:r w:rsidR="001D60CA" w:rsidRPr="00242C20">
        <w:rPr>
          <w:rFonts w:ascii="Verdana" w:hAnsi="Verdana"/>
          <w:sz w:val="20"/>
          <w:szCs w:val="20"/>
          <w:lang w:val="es-CR"/>
        </w:rPr>
        <w:t>l</w:t>
      </w:r>
      <w:r w:rsidRPr="00242C20">
        <w:rPr>
          <w:rFonts w:ascii="Verdana" w:hAnsi="Verdana"/>
          <w:sz w:val="20"/>
          <w:szCs w:val="20"/>
          <w:lang w:val="es-CR"/>
        </w:rPr>
        <w:t>os</w:t>
      </w:r>
      <w:r w:rsidR="001D60CA" w:rsidRPr="00242C20">
        <w:rPr>
          <w:rFonts w:ascii="Verdana" w:hAnsi="Verdana"/>
          <w:sz w:val="20"/>
          <w:szCs w:val="20"/>
          <w:lang w:val="es-CR"/>
        </w:rPr>
        <w:t xml:space="preserve"> ejemplar</w:t>
      </w:r>
      <w:r w:rsidRPr="00242C20">
        <w:rPr>
          <w:rFonts w:ascii="Verdana" w:hAnsi="Verdana"/>
          <w:sz w:val="20"/>
          <w:szCs w:val="20"/>
          <w:lang w:val="es-CR"/>
        </w:rPr>
        <w:t>es</w:t>
      </w:r>
      <w:r w:rsidR="001D60CA" w:rsidRPr="00242C20">
        <w:rPr>
          <w:rFonts w:ascii="Verdana" w:hAnsi="Verdana"/>
          <w:sz w:val="20"/>
          <w:szCs w:val="20"/>
          <w:lang w:val="es-CR"/>
        </w:rPr>
        <w:t xml:space="preserve"> aportado</w:t>
      </w:r>
      <w:r w:rsidRPr="00242C20">
        <w:rPr>
          <w:rFonts w:ascii="Verdana" w:hAnsi="Verdana"/>
          <w:sz w:val="20"/>
          <w:szCs w:val="20"/>
          <w:lang w:val="es-CR"/>
        </w:rPr>
        <w:t>s</w:t>
      </w:r>
      <w:r w:rsidR="001D60CA" w:rsidRPr="00242C20">
        <w:rPr>
          <w:rFonts w:ascii="Verdana" w:hAnsi="Verdana"/>
          <w:sz w:val="20"/>
          <w:szCs w:val="20"/>
          <w:lang w:val="es-CR"/>
        </w:rPr>
        <w:t xml:space="preserve"> por el Estado</w:t>
      </w:r>
      <w:r w:rsidR="00F25D95" w:rsidRPr="00242C20">
        <w:rPr>
          <w:rFonts w:ascii="Verdana" w:hAnsi="Verdana"/>
          <w:sz w:val="20"/>
          <w:szCs w:val="20"/>
          <w:lang w:val="es-CR"/>
        </w:rPr>
        <w:t>,</w:t>
      </w:r>
      <w:r w:rsidR="001D60CA" w:rsidRPr="00242C20">
        <w:rPr>
          <w:rFonts w:ascii="Verdana" w:hAnsi="Verdana"/>
          <w:sz w:val="20"/>
          <w:szCs w:val="20"/>
          <w:lang w:val="es-CR"/>
        </w:rPr>
        <w:t xml:space="preserve"> la Corte encuentra que </w:t>
      </w:r>
      <w:r w:rsidR="00F25D95" w:rsidRPr="00242C20">
        <w:rPr>
          <w:rFonts w:ascii="Verdana" w:hAnsi="Verdana"/>
          <w:sz w:val="20"/>
          <w:szCs w:val="20"/>
          <w:lang w:val="es-CR"/>
        </w:rPr>
        <w:t>ambas publicaciones son</w:t>
      </w:r>
      <w:r w:rsidR="001D60CA" w:rsidRPr="00242C20">
        <w:rPr>
          <w:rFonts w:ascii="Verdana" w:hAnsi="Verdana"/>
          <w:sz w:val="20"/>
          <w:szCs w:val="20"/>
          <w:lang w:val="es-CR"/>
        </w:rPr>
        <w:t xml:space="preserve"> legible</w:t>
      </w:r>
      <w:r w:rsidR="00F25D95" w:rsidRPr="00242C20">
        <w:rPr>
          <w:rFonts w:ascii="Verdana" w:hAnsi="Verdana"/>
          <w:sz w:val="20"/>
          <w:szCs w:val="20"/>
          <w:lang w:val="es-CR"/>
        </w:rPr>
        <w:t>s</w:t>
      </w:r>
      <w:r w:rsidR="00BF2A07">
        <w:rPr>
          <w:rStyle w:val="FootnoteReference"/>
          <w:rFonts w:ascii="Verdana" w:hAnsi="Verdana"/>
          <w:sz w:val="20"/>
          <w:szCs w:val="20"/>
          <w:lang w:val="es-CR"/>
        </w:rPr>
        <w:footnoteReference w:id="14"/>
      </w:r>
      <w:r w:rsidR="001D60CA" w:rsidRPr="00242C20">
        <w:rPr>
          <w:rFonts w:ascii="Verdana" w:hAnsi="Verdana"/>
          <w:sz w:val="20"/>
          <w:szCs w:val="20"/>
          <w:lang w:val="es-CR"/>
        </w:rPr>
        <w:t>.</w:t>
      </w:r>
      <w:r w:rsidR="00242C20" w:rsidRPr="00242C20">
        <w:rPr>
          <w:rFonts w:ascii="Verdana" w:hAnsi="Verdana"/>
          <w:sz w:val="20"/>
          <w:szCs w:val="20"/>
          <w:lang w:val="es-CR"/>
        </w:rPr>
        <w:t xml:space="preserve"> </w:t>
      </w:r>
    </w:p>
    <w:p w14:paraId="732BCD47" w14:textId="77777777" w:rsidR="00242C20" w:rsidRPr="00242C20" w:rsidRDefault="00242C20" w:rsidP="00242C20">
      <w:pPr>
        <w:pStyle w:val="ListParagraph"/>
        <w:rPr>
          <w:rFonts w:ascii="Verdana" w:hAnsi="Verdana"/>
          <w:sz w:val="20"/>
          <w:szCs w:val="20"/>
          <w:lang w:val="es-CR"/>
        </w:rPr>
      </w:pPr>
    </w:p>
    <w:p w14:paraId="726F1700" w14:textId="7AB1820F" w:rsidR="00406D9D" w:rsidRPr="00242C20" w:rsidRDefault="00CF5C0E" w:rsidP="00F2322B">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La Corte también constata que fue efectuada </w:t>
      </w:r>
      <w:r w:rsidR="00F2322B" w:rsidRPr="00242C20">
        <w:rPr>
          <w:rFonts w:ascii="Verdana" w:hAnsi="Verdana"/>
          <w:sz w:val="20"/>
          <w:szCs w:val="20"/>
          <w:lang w:val="es-CR"/>
        </w:rPr>
        <w:t>la publicación de l</w:t>
      </w:r>
      <w:r w:rsidR="00F66865" w:rsidRPr="00242C20">
        <w:rPr>
          <w:rFonts w:ascii="Verdana" w:hAnsi="Verdana"/>
          <w:sz w:val="20"/>
          <w:szCs w:val="20"/>
          <w:lang w:val="es-CR"/>
        </w:rPr>
        <w:t xml:space="preserve">a Sentencia </w:t>
      </w:r>
      <w:r w:rsidR="002D2549" w:rsidRPr="00242C20">
        <w:rPr>
          <w:rFonts w:ascii="Verdana" w:hAnsi="Verdana"/>
          <w:sz w:val="20"/>
          <w:szCs w:val="20"/>
          <w:lang w:val="es-CR"/>
        </w:rPr>
        <w:t xml:space="preserve">de manera íntegra en </w:t>
      </w:r>
      <w:r w:rsidR="001D60CA" w:rsidRPr="00242C20">
        <w:rPr>
          <w:rFonts w:ascii="Verdana" w:hAnsi="Verdana"/>
          <w:sz w:val="20"/>
          <w:szCs w:val="20"/>
          <w:lang w:val="es-CR"/>
        </w:rPr>
        <w:t>el</w:t>
      </w:r>
      <w:r w:rsidR="002D2549" w:rsidRPr="00242C20">
        <w:rPr>
          <w:rFonts w:ascii="Verdana" w:hAnsi="Verdana"/>
          <w:sz w:val="20"/>
          <w:szCs w:val="20"/>
          <w:lang w:val="es-CR"/>
        </w:rPr>
        <w:t xml:space="preserve"> sitio </w:t>
      </w:r>
      <w:r w:rsidR="002D2549" w:rsidRPr="00242C20">
        <w:rPr>
          <w:rFonts w:ascii="Verdana" w:hAnsi="Verdana"/>
          <w:i/>
          <w:sz w:val="20"/>
          <w:szCs w:val="20"/>
          <w:lang w:val="es-CR"/>
        </w:rPr>
        <w:t xml:space="preserve">web </w:t>
      </w:r>
      <w:r w:rsidR="002D2549" w:rsidRPr="00242C20">
        <w:rPr>
          <w:rFonts w:ascii="Verdana" w:hAnsi="Verdana"/>
          <w:sz w:val="20"/>
          <w:szCs w:val="20"/>
          <w:lang w:val="es-CR"/>
        </w:rPr>
        <w:t xml:space="preserve">oficial </w:t>
      </w:r>
      <w:r w:rsidR="001D60CA" w:rsidRPr="00242C20">
        <w:rPr>
          <w:rFonts w:ascii="Verdana" w:hAnsi="Verdana"/>
          <w:sz w:val="20"/>
          <w:szCs w:val="20"/>
          <w:lang w:val="es-CR"/>
        </w:rPr>
        <w:t>del Ministerio de Justicia</w:t>
      </w:r>
      <w:r w:rsidR="00F2322B">
        <w:rPr>
          <w:rStyle w:val="FootnoteReference"/>
          <w:rFonts w:ascii="Verdana" w:hAnsi="Verdana"/>
          <w:sz w:val="20"/>
          <w:szCs w:val="20"/>
          <w:lang w:val="es-CR"/>
        </w:rPr>
        <w:footnoteReference w:id="15"/>
      </w:r>
      <w:r w:rsidR="001D60CA" w:rsidRPr="00242C20">
        <w:rPr>
          <w:rFonts w:ascii="Verdana" w:hAnsi="Verdana"/>
          <w:sz w:val="20"/>
          <w:szCs w:val="20"/>
          <w:lang w:val="es-CR"/>
        </w:rPr>
        <w:t xml:space="preserve"> desde, al menos, el 23 de marzo de 2018, </w:t>
      </w:r>
      <w:r w:rsidR="009C539F" w:rsidRPr="00242C20">
        <w:rPr>
          <w:rFonts w:ascii="Verdana" w:hAnsi="Verdana"/>
          <w:sz w:val="20"/>
          <w:szCs w:val="20"/>
          <w:lang w:val="es-CR"/>
        </w:rPr>
        <w:t xml:space="preserve">fecha en la que </w:t>
      </w:r>
      <w:r>
        <w:rPr>
          <w:rFonts w:ascii="Verdana" w:hAnsi="Verdana"/>
          <w:sz w:val="20"/>
          <w:szCs w:val="20"/>
          <w:lang w:val="es-CR"/>
        </w:rPr>
        <w:t xml:space="preserve">el Estado </w:t>
      </w:r>
      <w:r w:rsidR="009C539F" w:rsidRPr="00242C20">
        <w:rPr>
          <w:rFonts w:ascii="Verdana" w:hAnsi="Verdana"/>
          <w:sz w:val="20"/>
          <w:szCs w:val="20"/>
          <w:lang w:val="es-CR"/>
        </w:rPr>
        <w:t xml:space="preserve">comunicó a la Corte sobre la publicación de la Sentencia. </w:t>
      </w:r>
    </w:p>
    <w:p w14:paraId="2AD23EBB" w14:textId="77777777" w:rsidR="00406D9D" w:rsidRPr="00242C20" w:rsidRDefault="00406D9D" w:rsidP="00242C20">
      <w:pPr>
        <w:pStyle w:val="ListParagraph"/>
        <w:rPr>
          <w:rFonts w:ascii="Verdana" w:hAnsi="Verdana"/>
          <w:sz w:val="20"/>
          <w:szCs w:val="20"/>
          <w:lang w:val="es-CR"/>
        </w:rPr>
      </w:pPr>
    </w:p>
    <w:p w14:paraId="5EBD5CC8" w14:textId="3E63C76A" w:rsidR="00F2322B" w:rsidRPr="00242C20" w:rsidRDefault="00406D9D" w:rsidP="00406D9D">
      <w:pPr>
        <w:pStyle w:val="ListParagraph"/>
        <w:numPr>
          <w:ilvl w:val="0"/>
          <w:numId w:val="2"/>
        </w:numPr>
        <w:spacing w:after="0" w:line="240" w:lineRule="auto"/>
        <w:ind w:left="0" w:firstLine="0"/>
        <w:jc w:val="both"/>
        <w:rPr>
          <w:rFonts w:ascii="Verdana" w:hAnsi="Verdana"/>
          <w:sz w:val="20"/>
          <w:szCs w:val="20"/>
          <w:lang w:val="es-CR"/>
        </w:rPr>
      </w:pPr>
      <w:r w:rsidRPr="00406D9D">
        <w:rPr>
          <w:rFonts w:ascii="Verdana" w:hAnsi="Verdana"/>
          <w:sz w:val="20"/>
          <w:szCs w:val="20"/>
          <w:lang w:val="es-CR"/>
        </w:rPr>
        <w:t xml:space="preserve"> </w:t>
      </w:r>
      <w:r w:rsidRPr="00242C20">
        <w:rPr>
          <w:rFonts w:ascii="Verdana" w:hAnsi="Verdana"/>
          <w:sz w:val="20"/>
          <w:szCs w:val="20"/>
          <w:lang w:val="es-CR"/>
        </w:rPr>
        <w:t xml:space="preserve">Los </w:t>
      </w:r>
      <w:r w:rsidRPr="00242C20">
        <w:rPr>
          <w:rFonts w:ascii="Verdana" w:hAnsi="Verdana"/>
          <w:i/>
          <w:sz w:val="20"/>
          <w:szCs w:val="20"/>
          <w:lang w:val="es-CR"/>
        </w:rPr>
        <w:t>intervinientes comunes Manuel Paiba y Gregorio Paredes</w:t>
      </w:r>
      <w:r w:rsidRPr="00242C20">
        <w:rPr>
          <w:rFonts w:ascii="Verdana" w:hAnsi="Verdana"/>
          <w:sz w:val="20"/>
          <w:szCs w:val="20"/>
          <w:lang w:val="es-CR"/>
        </w:rPr>
        <w:t xml:space="preserve"> objetaron que se declare el cumplimiento de la medida, ya que consideran que la “página en varias oportunidades está saturada y no se puede visualizar de manera adecuada, situación que debe ser corregida a efectos de que la Sentencia […] sea visualizada por el público en general y/o los interesados, de manera permanente sin ninguna dificultad”</w:t>
      </w:r>
      <w:r w:rsidR="00DC5E61">
        <w:rPr>
          <w:rFonts w:ascii="Verdana" w:hAnsi="Verdana"/>
          <w:sz w:val="20"/>
          <w:szCs w:val="20"/>
          <w:lang w:val="es-CR"/>
        </w:rPr>
        <w:t xml:space="preserve">. Manifestaron </w:t>
      </w:r>
      <w:r w:rsidRPr="00242C20">
        <w:rPr>
          <w:rFonts w:ascii="Verdana" w:hAnsi="Verdana"/>
          <w:sz w:val="20"/>
          <w:szCs w:val="20"/>
          <w:lang w:val="es-CR"/>
        </w:rPr>
        <w:t>que “si bien se ha cumplido con hacer</w:t>
      </w:r>
      <w:r w:rsidR="00CF5C0E">
        <w:rPr>
          <w:rFonts w:ascii="Verdana" w:hAnsi="Verdana"/>
          <w:sz w:val="20"/>
          <w:szCs w:val="20"/>
          <w:lang w:val="es-CR"/>
        </w:rPr>
        <w:t xml:space="preserve"> las publicaciones, considera[n]</w:t>
      </w:r>
      <w:r w:rsidRPr="00242C20">
        <w:rPr>
          <w:rFonts w:ascii="Verdana" w:hAnsi="Verdana"/>
          <w:sz w:val="20"/>
          <w:szCs w:val="20"/>
          <w:lang w:val="es-CR"/>
        </w:rPr>
        <w:t xml:space="preserve"> que no es viable que se cierre el punto 8 de la parte Resolutiva […] hasta que el Estado peruano cumpla con hacer efectivas todas las reparaciones”. Al respecto, tras la revisión del enlace proporcionado por el Estado, la Corte no observó limitaciones en el acceso y visualización a la publicación de la Sentencia, por lo que desestima dicha objeción</w:t>
      </w:r>
      <w:r w:rsidR="000935B2">
        <w:rPr>
          <w:rFonts w:ascii="Verdana" w:hAnsi="Verdana"/>
          <w:sz w:val="20"/>
          <w:szCs w:val="20"/>
          <w:lang w:val="es-CR"/>
        </w:rPr>
        <w:t xml:space="preserve">, pero insta al Estado </w:t>
      </w:r>
      <w:r w:rsidR="00DC5E61">
        <w:rPr>
          <w:rFonts w:ascii="Verdana" w:hAnsi="Verdana"/>
          <w:sz w:val="20"/>
          <w:szCs w:val="20"/>
          <w:lang w:val="es-CR"/>
        </w:rPr>
        <w:t xml:space="preserve">a revisar </w:t>
      </w:r>
      <w:r w:rsidR="000935B2">
        <w:rPr>
          <w:rFonts w:ascii="Verdana" w:hAnsi="Verdana"/>
          <w:sz w:val="20"/>
          <w:szCs w:val="20"/>
          <w:lang w:val="es-CR"/>
        </w:rPr>
        <w:t>periódicamente</w:t>
      </w:r>
      <w:r w:rsidR="00DC5E61">
        <w:rPr>
          <w:rFonts w:ascii="Verdana" w:hAnsi="Verdana"/>
          <w:sz w:val="20"/>
          <w:szCs w:val="20"/>
          <w:lang w:val="es-CR"/>
        </w:rPr>
        <w:t xml:space="preserve"> que la página no presente dificultades para la consulta adecuada de la Sentencia</w:t>
      </w:r>
      <w:r w:rsidRPr="00242C20">
        <w:rPr>
          <w:rFonts w:ascii="Verdana" w:hAnsi="Verdana"/>
          <w:sz w:val="20"/>
          <w:szCs w:val="20"/>
          <w:lang w:val="es-CR"/>
        </w:rPr>
        <w:t>. En consecuencia, l</w:t>
      </w:r>
      <w:r w:rsidR="00F2322B" w:rsidRPr="00242C20">
        <w:rPr>
          <w:rFonts w:ascii="Verdana" w:hAnsi="Verdana"/>
          <w:sz w:val="20"/>
          <w:szCs w:val="20"/>
          <w:lang w:val="es-CR"/>
        </w:rPr>
        <w:t xml:space="preserve">a Corte considera que el Estado ha dado cumplimiento a esta medida y deberá continuar garantizando la preservación de la publicación en la referida </w:t>
      </w:r>
      <w:r w:rsidR="00F2322B" w:rsidRPr="00242C20">
        <w:rPr>
          <w:rFonts w:ascii="Verdana" w:hAnsi="Verdana"/>
          <w:sz w:val="20"/>
          <w:szCs w:val="20"/>
          <w:lang w:val="es-CR"/>
        </w:rPr>
        <w:lastRenderedPageBreak/>
        <w:t xml:space="preserve">página web al menos hasta el </w:t>
      </w:r>
      <w:r w:rsidR="009C539F" w:rsidRPr="00242C20">
        <w:rPr>
          <w:rFonts w:ascii="Verdana" w:hAnsi="Verdana"/>
          <w:sz w:val="20"/>
          <w:szCs w:val="20"/>
          <w:lang w:val="es-CR"/>
        </w:rPr>
        <w:t>23 de marzo</w:t>
      </w:r>
      <w:r w:rsidR="00F2322B" w:rsidRPr="00242C20">
        <w:rPr>
          <w:rFonts w:ascii="Verdana" w:hAnsi="Verdana"/>
          <w:sz w:val="20"/>
          <w:szCs w:val="20"/>
          <w:lang w:val="es-CR"/>
        </w:rPr>
        <w:t xml:space="preserve"> de 201</w:t>
      </w:r>
      <w:r w:rsidR="002D2549" w:rsidRPr="00242C20">
        <w:rPr>
          <w:rFonts w:ascii="Verdana" w:hAnsi="Verdana"/>
          <w:sz w:val="20"/>
          <w:szCs w:val="20"/>
          <w:lang w:val="es-CR"/>
        </w:rPr>
        <w:t>9</w:t>
      </w:r>
      <w:r w:rsidR="00F2322B" w:rsidRPr="00242C20">
        <w:rPr>
          <w:rFonts w:ascii="Verdana" w:hAnsi="Verdana"/>
          <w:sz w:val="20"/>
          <w:szCs w:val="20"/>
          <w:lang w:val="es-CR"/>
        </w:rPr>
        <w:t>, debido a que la misma debe estar disponible al menos por un año</w:t>
      </w:r>
      <w:r w:rsidR="008A1933" w:rsidRPr="00242C20">
        <w:rPr>
          <w:rStyle w:val="FootnoteReference"/>
          <w:rFonts w:ascii="Verdana" w:hAnsi="Verdana"/>
          <w:sz w:val="20"/>
          <w:szCs w:val="20"/>
          <w:lang w:val="es-CR"/>
        </w:rPr>
        <w:footnoteReference w:id="16"/>
      </w:r>
      <w:r w:rsidR="00F2322B" w:rsidRPr="00242C20">
        <w:rPr>
          <w:rFonts w:ascii="Verdana" w:hAnsi="Verdana"/>
          <w:sz w:val="20"/>
          <w:szCs w:val="20"/>
          <w:lang w:val="es-CR"/>
        </w:rPr>
        <w:t>.</w:t>
      </w:r>
    </w:p>
    <w:p w14:paraId="219D3E1F" w14:textId="77777777" w:rsidR="00F2322B" w:rsidRDefault="00F2322B" w:rsidP="00F2322B">
      <w:pPr>
        <w:pStyle w:val="ListParagraph"/>
        <w:spacing w:after="0" w:line="240" w:lineRule="auto"/>
        <w:ind w:left="0"/>
        <w:jc w:val="both"/>
        <w:rPr>
          <w:rFonts w:ascii="Verdana" w:hAnsi="Verdana"/>
          <w:sz w:val="20"/>
          <w:szCs w:val="20"/>
          <w:lang w:val="es-CR"/>
        </w:rPr>
      </w:pPr>
    </w:p>
    <w:p w14:paraId="28650075" w14:textId="624B8FFA" w:rsidR="00A26125" w:rsidRPr="009C539F" w:rsidRDefault="00F2322B" w:rsidP="00171509">
      <w:pPr>
        <w:pStyle w:val="ListParagraph"/>
        <w:numPr>
          <w:ilvl w:val="0"/>
          <w:numId w:val="2"/>
        </w:numPr>
        <w:spacing w:after="0" w:line="240" w:lineRule="auto"/>
        <w:ind w:left="0" w:firstLine="0"/>
        <w:jc w:val="both"/>
        <w:rPr>
          <w:rFonts w:ascii="Verdana" w:hAnsi="Verdana"/>
          <w:sz w:val="20"/>
          <w:szCs w:val="20"/>
          <w:lang w:val="es-CR"/>
        </w:rPr>
      </w:pPr>
      <w:r w:rsidRPr="00F2322B">
        <w:rPr>
          <w:rFonts w:ascii="Verdana" w:hAnsi="Verdana"/>
          <w:sz w:val="20"/>
          <w:szCs w:val="20"/>
          <w:lang w:val="es-CR"/>
        </w:rPr>
        <w:t>En consecuencia, la Corte considera que, dentro del plazo otorgado para ello, el Esta</w:t>
      </w:r>
      <w:r w:rsidR="008A1933">
        <w:rPr>
          <w:rFonts w:ascii="Verdana" w:hAnsi="Verdana"/>
          <w:sz w:val="20"/>
          <w:szCs w:val="20"/>
          <w:lang w:val="es-CR"/>
        </w:rPr>
        <w:t xml:space="preserve">do dio cumplimiento </w:t>
      </w:r>
      <w:r w:rsidR="00C21DE3">
        <w:rPr>
          <w:rFonts w:ascii="Verdana" w:hAnsi="Verdana"/>
          <w:sz w:val="20"/>
          <w:szCs w:val="20"/>
          <w:lang w:val="es-CR"/>
        </w:rPr>
        <w:t>total</w:t>
      </w:r>
      <w:r w:rsidR="008A1933">
        <w:rPr>
          <w:rFonts w:ascii="Verdana" w:hAnsi="Verdana"/>
          <w:sz w:val="20"/>
          <w:szCs w:val="20"/>
          <w:lang w:val="es-CR"/>
        </w:rPr>
        <w:t xml:space="preserve"> al</w:t>
      </w:r>
      <w:r w:rsidR="00C21DE3">
        <w:rPr>
          <w:rFonts w:ascii="Verdana" w:hAnsi="Verdana"/>
          <w:sz w:val="20"/>
          <w:szCs w:val="20"/>
          <w:lang w:val="es-CR"/>
        </w:rPr>
        <w:t xml:space="preserve"> punto resolutivo </w:t>
      </w:r>
      <w:r w:rsidR="00A84178">
        <w:rPr>
          <w:rFonts w:ascii="Verdana" w:hAnsi="Verdana"/>
          <w:sz w:val="20"/>
          <w:szCs w:val="20"/>
          <w:lang w:val="es-CR"/>
        </w:rPr>
        <w:t>octavo</w:t>
      </w:r>
      <w:r w:rsidR="00C21DE3">
        <w:rPr>
          <w:rFonts w:ascii="Verdana" w:hAnsi="Verdana"/>
          <w:sz w:val="20"/>
          <w:szCs w:val="20"/>
          <w:lang w:val="es-CR"/>
        </w:rPr>
        <w:t xml:space="preserve"> de la Sentencia, correspondiente a publicar: </w:t>
      </w:r>
      <w:r w:rsidR="009C539F">
        <w:rPr>
          <w:rFonts w:ascii="Verdana" w:hAnsi="Verdana"/>
          <w:sz w:val="20"/>
          <w:szCs w:val="20"/>
          <w:lang w:val="es-CR"/>
        </w:rPr>
        <w:t xml:space="preserve">a) el resumen oficial de la Sentencia elaborado por la Corte, por una sola vez, en el Diario Oficial en un tamaño de letra legible y adecuado; b) el resumen oficial de la  Sentencia elaborado por la Corte, por una sola vez, en un diario de amplia circulación a nivel nacional, en un tamaño de letra legible y adecuado, y c) la Sentencia en su integridad, disponible al menos por </w:t>
      </w:r>
      <w:r w:rsidR="00D65612">
        <w:rPr>
          <w:rFonts w:ascii="Verdana" w:hAnsi="Verdana"/>
          <w:sz w:val="20"/>
          <w:szCs w:val="20"/>
          <w:lang w:val="es-CR"/>
        </w:rPr>
        <w:t xml:space="preserve">el </w:t>
      </w:r>
      <w:r w:rsidR="009C539F">
        <w:rPr>
          <w:rFonts w:ascii="Verdana" w:hAnsi="Verdana"/>
          <w:sz w:val="20"/>
          <w:szCs w:val="20"/>
          <w:lang w:val="es-CR"/>
        </w:rPr>
        <w:t xml:space="preserve">período de un año, en un sitio </w:t>
      </w:r>
      <w:r w:rsidR="009C539F" w:rsidRPr="00050030">
        <w:rPr>
          <w:rFonts w:ascii="Verdana" w:hAnsi="Verdana"/>
          <w:i/>
          <w:sz w:val="20"/>
          <w:szCs w:val="20"/>
          <w:lang w:val="es-CR"/>
        </w:rPr>
        <w:t>web</w:t>
      </w:r>
      <w:r w:rsidR="009C539F">
        <w:rPr>
          <w:rFonts w:ascii="Verdana" w:hAnsi="Verdana"/>
          <w:sz w:val="20"/>
          <w:szCs w:val="20"/>
          <w:lang w:val="es-CR"/>
        </w:rPr>
        <w:t xml:space="preserve"> oficial del Ministerio de Justicia, de manera accesible al público</w:t>
      </w:r>
      <w:r w:rsidR="00F25D95">
        <w:rPr>
          <w:rFonts w:ascii="Verdana" w:hAnsi="Verdana"/>
          <w:sz w:val="20"/>
          <w:szCs w:val="20"/>
          <w:lang w:val="es-CR"/>
        </w:rPr>
        <w:t>.</w:t>
      </w:r>
    </w:p>
    <w:p w14:paraId="45CF5023" w14:textId="77777777" w:rsidR="00520405" w:rsidRDefault="00520405" w:rsidP="000E24F5">
      <w:pPr>
        <w:spacing w:after="0" w:line="240" w:lineRule="auto"/>
        <w:jc w:val="both"/>
        <w:rPr>
          <w:rFonts w:ascii="Verdana" w:hAnsi="Verdana"/>
          <w:sz w:val="20"/>
          <w:lang w:val="es-CR"/>
        </w:rPr>
      </w:pPr>
    </w:p>
    <w:p w14:paraId="3D73E9F0" w14:textId="77777777" w:rsidR="00B94A45" w:rsidRPr="00D33461" w:rsidRDefault="00B94A45" w:rsidP="000E24F5">
      <w:pPr>
        <w:spacing w:after="0" w:line="240" w:lineRule="auto"/>
        <w:jc w:val="both"/>
        <w:rPr>
          <w:rFonts w:ascii="Verdana" w:hAnsi="Verdana"/>
          <w:sz w:val="20"/>
          <w:lang w:val="es-CR"/>
        </w:rPr>
      </w:pPr>
    </w:p>
    <w:p w14:paraId="3D421B11" w14:textId="77777777" w:rsidR="000E24F5" w:rsidRDefault="000E24F5" w:rsidP="000E24F5">
      <w:pPr>
        <w:spacing w:after="0" w:line="240" w:lineRule="auto"/>
        <w:jc w:val="both"/>
        <w:rPr>
          <w:rFonts w:ascii="Verdana" w:hAnsi="Verdana"/>
          <w:b/>
          <w:sz w:val="20"/>
          <w:lang w:val="es-CR"/>
        </w:rPr>
      </w:pPr>
      <w:r>
        <w:rPr>
          <w:rFonts w:ascii="Verdana" w:hAnsi="Verdana"/>
          <w:b/>
          <w:sz w:val="20"/>
          <w:lang w:val="es-CR"/>
        </w:rPr>
        <w:t>POR TANTO:</w:t>
      </w:r>
    </w:p>
    <w:p w14:paraId="56BCD50F" w14:textId="77777777" w:rsidR="00A86E25" w:rsidRDefault="00A86E25" w:rsidP="000E24F5">
      <w:pPr>
        <w:spacing w:after="0" w:line="240" w:lineRule="auto"/>
        <w:jc w:val="both"/>
        <w:rPr>
          <w:rFonts w:ascii="Verdana" w:hAnsi="Verdana"/>
          <w:b/>
          <w:sz w:val="20"/>
          <w:lang w:val="es-CR"/>
        </w:rPr>
      </w:pPr>
    </w:p>
    <w:p w14:paraId="2C15388A" w14:textId="77777777" w:rsidR="00F25D95" w:rsidRDefault="00F25D95" w:rsidP="000E24F5">
      <w:pPr>
        <w:spacing w:after="0" w:line="240" w:lineRule="auto"/>
        <w:jc w:val="both"/>
        <w:rPr>
          <w:rFonts w:ascii="Verdana" w:hAnsi="Verdana"/>
          <w:b/>
          <w:sz w:val="20"/>
          <w:lang w:val="es-CR"/>
        </w:rPr>
      </w:pPr>
      <w:r>
        <w:rPr>
          <w:rFonts w:ascii="Verdana" w:hAnsi="Verdana"/>
          <w:b/>
          <w:sz w:val="20"/>
          <w:lang w:val="es-CR"/>
        </w:rPr>
        <w:t>LA CORTE INTERAMERICANA DE DERECHOS HUMANOS,</w:t>
      </w:r>
    </w:p>
    <w:p w14:paraId="4526C60C" w14:textId="77777777" w:rsidR="000E24F5" w:rsidRDefault="000E24F5" w:rsidP="000E24F5">
      <w:pPr>
        <w:spacing w:after="0" w:line="240" w:lineRule="auto"/>
        <w:jc w:val="both"/>
        <w:rPr>
          <w:rFonts w:ascii="Verdana" w:hAnsi="Verdana"/>
          <w:b/>
          <w:sz w:val="20"/>
          <w:lang w:val="es-CR"/>
        </w:rPr>
      </w:pPr>
    </w:p>
    <w:p w14:paraId="7B8891DF" w14:textId="2546962A" w:rsidR="000E24F5" w:rsidRDefault="000E24F5" w:rsidP="000E24F5">
      <w:pPr>
        <w:spacing w:after="0" w:line="240" w:lineRule="auto"/>
        <w:jc w:val="both"/>
        <w:rPr>
          <w:rFonts w:ascii="Verdana" w:hAnsi="Verdana"/>
          <w:sz w:val="20"/>
          <w:lang w:val="es-CR"/>
        </w:rPr>
      </w:pPr>
      <w:r>
        <w:rPr>
          <w:rFonts w:ascii="Verdana" w:hAnsi="Verdana"/>
          <w:sz w:val="20"/>
          <w:lang w:val="es-CR"/>
        </w:rPr>
        <w:t>en el ejercicio de sus atribuciones de supervisión de</w:t>
      </w:r>
      <w:r w:rsidR="00A86E25">
        <w:rPr>
          <w:rFonts w:ascii="Verdana" w:hAnsi="Verdana"/>
          <w:sz w:val="20"/>
          <w:lang w:val="es-CR"/>
        </w:rPr>
        <w:t>l</w:t>
      </w:r>
      <w:r>
        <w:rPr>
          <w:rFonts w:ascii="Verdana" w:hAnsi="Verdana"/>
          <w:sz w:val="20"/>
          <w:lang w:val="es-CR"/>
        </w:rPr>
        <w:t xml:space="preserve"> cumplimiento de sus decisiones, de conformidad con los artículos 33, 62.1, 62.3, 65 y 67 y 68.1 de la Convención Americana sobre Derechos Humanos, 24, 25 y 30 del Estatuto y 31.2 y 69 de su Reglamento,</w:t>
      </w:r>
    </w:p>
    <w:p w14:paraId="41511E35" w14:textId="77777777" w:rsidR="000E24F5" w:rsidRDefault="000E24F5" w:rsidP="000E24F5">
      <w:pPr>
        <w:spacing w:after="0" w:line="240" w:lineRule="auto"/>
        <w:jc w:val="both"/>
        <w:rPr>
          <w:rFonts w:ascii="Verdana" w:hAnsi="Verdana"/>
          <w:sz w:val="20"/>
          <w:lang w:val="es-CR"/>
        </w:rPr>
      </w:pPr>
    </w:p>
    <w:p w14:paraId="6000BD61" w14:textId="77777777" w:rsidR="000E24F5" w:rsidRDefault="000E24F5" w:rsidP="000E24F5">
      <w:pPr>
        <w:spacing w:after="0" w:line="240" w:lineRule="auto"/>
        <w:jc w:val="both"/>
        <w:rPr>
          <w:rFonts w:ascii="Verdana" w:hAnsi="Verdana"/>
          <w:b/>
          <w:sz w:val="20"/>
          <w:lang w:val="es-CR"/>
        </w:rPr>
      </w:pPr>
      <w:r>
        <w:rPr>
          <w:rFonts w:ascii="Verdana" w:hAnsi="Verdana"/>
          <w:b/>
          <w:sz w:val="20"/>
          <w:lang w:val="es-CR"/>
        </w:rPr>
        <w:t>RESUELVE:</w:t>
      </w:r>
    </w:p>
    <w:p w14:paraId="176E222F" w14:textId="77777777" w:rsidR="000E24F5" w:rsidRDefault="000E24F5" w:rsidP="000E24F5">
      <w:pPr>
        <w:spacing w:after="0" w:line="240" w:lineRule="auto"/>
        <w:jc w:val="both"/>
        <w:rPr>
          <w:rFonts w:ascii="Verdana" w:hAnsi="Verdana"/>
          <w:b/>
          <w:sz w:val="20"/>
          <w:lang w:val="es-CR"/>
        </w:rPr>
      </w:pPr>
    </w:p>
    <w:p w14:paraId="772226C9" w14:textId="07DF62E9" w:rsidR="00C21DE3" w:rsidRDefault="000E24F5" w:rsidP="005E70CB">
      <w:pPr>
        <w:pStyle w:val="ListParagraph"/>
        <w:numPr>
          <w:ilvl w:val="0"/>
          <w:numId w:val="17"/>
        </w:numPr>
        <w:spacing w:after="0" w:line="240" w:lineRule="auto"/>
        <w:ind w:left="0" w:firstLine="0"/>
        <w:jc w:val="both"/>
        <w:rPr>
          <w:rFonts w:ascii="Verdana" w:hAnsi="Verdana"/>
          <w:sz w:val="20"/>
          <w:lang w:val="es-CR"/>
        </w:rPr>
      </w:pPr>
      <w:r w:rsidRPr="00CA70D7">
        <w:rPr>
          <w:rFonts w:ascii="Verdana" w:hAnsi="Verdana"/>
          <w:sz w:val="20"/>
          <w:lang w:val="es-CR"/>
        </w:rPr>
        <w:t xml:space="preserve">Declarar, de conformidad con lo señalado en la parte considerativa de la presente Resolución, </w:t>
      </w:r>
      <w:r w:rsidR="007B7292" w:rsidRPr="00CA70D7">
        <w:rPr>
          <w:rFonts w:ascii="Verdana" w:hAnsi="Verdana"/>
          <w:sz w:val="20"/>
          <w:lang w:val="es-CR"/>
        </w:rPr>
        <w:t xml:space="preserve">que </w:t>
      </w:r>
      <w:r w:rsidR="00F2322B" w:rsidRPr="00CA70D7">
        <w:rPr>
          <w:rFonts w:ascii="Verdana" w:hAnsi="Verdana"/>
          <w:sz w:val="20"/>
          <w:lang w:val="es-CR"/>
        </w:rPr>
        <w:t xml:space="preserve">el Estado ha dado cumplimiento </w:t>
      </w:r>
      <w:r w:rsidR="00C21DE3">
        <w:rPr>
          <w:rFonts w:ascii="Verdana" w:hAnsi="Verdana"/>
          <w:sz w:val="20"/>
          <w:lang w:val="es-CR"/>
        </w:rPr>
        <w:t>total</w:t>
      </w:r>
      <w:r w:rsidR="00F2322B" w:rsidRPr="00CA70D7">
        <w:rPr>
          <w:rFonts w:ascii="Verdana" w:hAnsi="Verdana"/>
          <w:sz w:val="20"/>
          <w:lang w:val="es-CR"/>
        </w:rPr>
        <w:t xml:space="preserve"> a la</w:t>
      </w:r>
      <w:r w:rsidR="00F25D95">
        <w:rPr>
          <w:rFonts w:ascii="Verdana" w:hAnsi="Verdana"/>
          <w:sz w:val="20"/>
          <w:lang w:val="es-CR"/>
        </w:rPr>
        <w:t xml:space="preserve"> medida de reparación correspondiente a publicar “</w:t>
      </w:r>
      <w:r w:rsidR="00F25D95">
        <w:rPr>
          <w:rFonts w:ascii="Verdana" w:hAnsi="Verdana"/>
          <w:sz w:val="20"/>
          <w:szCs w:val="20"/>
          <w:lang w:val="es-CR"/>
        </w:rPr>
        <w:t>a) el resumen oficial de la […] Sentencia elaborado por la Corte, por una sola vez, en el Diario Oficial en un tamaño de letra legible y adecuado; b) el resumen oficial de la […] Sentencia elaborado por la Corte, por una sola vez, en un diario de amplia circulación a nivel nacional, en un tamaño de letra legible y adecuado</w:t>
      </w:r>
      <w:r w:rsidR="00F0337C">
        <w:rPr>
          <w:rFonts w:ascii="Verdana" w:hAnsi="Verdana"/>
          <w:sz w:val="20"/>
          <w:szCs w:val="20"/>
          <w:lang w:val="es-CR"/>
        </w:rPr>
        <w:t>;</w:t>
      </w:r>
      <w:r w:rsidR="00F25D95">
        <w:rPr>
          <w:rFonts w:ascii="Verdana" w:hAnsi="Verdana"/>
          <w:sz w:val="20"/>
          <w:szCs w:val="20"/>
          <w:lang w:val="es-CR"/>
        </w:rPr>
        <w:t xml:space="preserve"> y c) la […] Sentencia en su integridad, disponible al menos por un período de un año, en un sitio web oficial del Ministerio de Justicia, de manera accesible al público” (</w:t>
      </w:r>
      <w:r w:rsidR="00F25D95">
        <w:rPr>
          <w:rFonts w:ascii="Verdana" w:hAnsi="Verdana"/>
          <w:i/>
          <w:sz w:val="20"/>
          <w:szCs w:val="20"/>
          <w:lang w:val="es-CR"/>
        </w:rPr>
        <w:t>punto resolutivo octavo de la Sentencia</w:t>
      </w:r>
      <w:r w:rsidR="00F25D95">
        <w:rPr>
          <w:rFonts w:ascii="Verdana" w:hAnsi="Verdana"/>
          <w:sz w:val="20"/>
          <w:szCs w:val="20"/>
          <w:lang w:val="es-CR"/>
        </w:rPr>
        <w:t xml:space="preserve">). </w:t>
      </w:r>
    </w:p>
    <w:p w14:paraId="7436D252" w14:textId="77777777" w:rsidR="00C21DE3" w:rsidRDefault="00C21DE3" w:rsidP="00C21DE3">
      <w:pPr>
        <w:pStyle w:val="ListParagraph"/>
        <w:spacing w:after="0" w:line="240" w:lineRule="auto"/>
        <w:ind w:left="0"/>
        <w:jc w:val="both"/>
        <w:rPr>
          <w:rFonts w:ascii="Verdana" w:hAnsi="Verdana"/>
          <w:sz w:val="20"/>
          <w:lang w:val="es-CR"/>
        </w:rPr>
      </w:pPr>
    </w:p>
    <w:p w14:paraId="762F83CE" w14:textId="4E9AF7AA" w:rsidR="005E70CB" w:rsidRDefault="00CA70D7" w:rsidP="00F25D95">
      <w:pPr>
        <w:pStyle w:val="ListParagraph"/>
        <w:numPr>
          <w:ilvl w:val="0"/>
          <w:numId w:val="17"/>
        </w:numPr>
        <w:spacing w:after="0" w:line="240" w:lineRule="auto"/>
        <w:ind w:left="0" w:firstLine="0"/>
        <w:jc w:val="both"/>
        <w:rPr>
          <w:rFonts w:ascii="Verdana" w:hAnsi="Verdana"/>
          <w:sz w:val="20"/>
          <w:szCs w:val="20"/>
          <w:lang w:val="es-CR"/>
        </w:rPr>
      </w:pPr>
      <w:r w:rsidRPr="00F25D95">
        <w:rPr>
          <w:rFonts w:ascii="Verdana" w:hAnsi="Verdana"/>
          <w:sz w:val="20"/>
          <w:szCs w:val="20"/>
          <w:lang w:val="es-CR"/>
        </w:rPr>
        <w:t>Mantener abierto el procedimiento de supervisión de cumplimiento de la</w:t>
      </w:r>
      <w:r w:rsidR="00CF5C0E">
        <w:rPr>
          <w:rFonts w:ascii="Verdana" w:hAnsi="Verdana"/>
          <w:sz w:val="20"/>
          <w:szCs w:val="20"/>
          <w:lang w:val="es-CR"/>
        </w:rPr>
        <w:t>s</w:t>
      </w:r>
      <w:r w:rsidRPr="00F25D95">
        <w:rPr>
          <w:rFonts w:ascii="Verdana" w:hAnsi="Verdana"/>
          <w:sz w:val="20"/>
          <w:szCs w:val="20"/>
          <w:lang w:val="es-CR"/>
        </w:rPr>
        <w:t xml:space="preserve"> medida</w:t>
      </w:r>
      <w:r w:rsidR="00CF5C0E">
        <w:rPr>
          <w:rFonts w:ascii="Verdana" w:hAnsi="Verdana"/>
          <w:sz w:val="20"/>
          <w:szCs w:val="20"/>
          <w:lang w:val="es-CR"/>
        </w:rPr>
        <w:t>s</w:t>
      </w:r>
      <w:r w:rsidRPr="00F25D95">
        <w:rPr>
          <w:rFonts w:ascii="Verdana" w:hAnsi="Verdana"/>
          <w:sz w:val="20"/>
          <w:szCs w:val="20"/>
          <w:lang w:val="es-CR"/>
        </w:rPr>
        <w:t xml:space="preserve"> de reparación</w:t>
      </w:r>
      <w:r w:rsidR="00F25D95" w:rsidRPr="00F25D95">
        <w:rPr>
          <w:rFonts w:ascii="Verdana" w:hAnsi="Verdana"/>
          <w:sz w:val="20"/>
          <w:szCs w:val="20"/>
          <w:lang w:val="es-CR"/>
        </w:rPr>
        <w:t xml:space="preserve"> relativa</w:t>
      </w:r>
      <w:r w:rsidR="00CF5C0E">
        <w:rPr>
          <w:rFonts w:ascii="Verdana" w:hAnsi="Verdana"/>
          <w:sz w:val="20"/>
          <w:szCs w:val="20"/>
          <w:lang w:val="es-CR"/>
        </w:rPr>
        <w:t>s</w:t>
      </w:r>
      <w:r w:rsidR="00F25D95" w:rsidRPr="00F25D95">
        <w:rPr>
          <w:rFonts w:ascii="Verdana" w:hAnsi="Verdana"/>
          <w:sz w:val="20"/>
          <w:szCs w:val="20"/>
          <w:lang w:val="es-CR"/>
        </w:rPr>
        <w:t xml:space="preserve"> a “pagar las cantidades fijadas en los párrafos 218, 222 y 228 de la […] Sentencia, por concepto de indemnizaciones por daños materiales e inmateriales y por el reintegro de costas y gastos, así como el reintegro al Fondo de Asistencia Legal de Víctimas, en los términos de los párrafos 238 y 245 del </w:t>
      </w:r>
      <w:r w:rsidR="00F25D95">
        <w:rPr>
          <w:rFonts w:ascii="Verdana" w:hAnsi="Verdana"/>
          <w:sz w:val="20"/>
          <w:szCs w:val="20"/>
          <w:lang w:val="es-CR"/>
        </w:rPr>
        <w:t>[…]</w:t>
      </w:r>
      <w:r w:rsidR="00F25D95" w:rsidRPr="00F25D95">
        <w:rPr>
          <w:rFonts w:ascii="Verdana" w:hAnsi="Verdana"/>
          <w:sz w:val="20"/>
          <w:szCs w:val="20"/>
          <w:lang w:val="es-CR"/>
        </w:rPr>
        <w:t xml:space="preserve"> Fallo</w:t>
      </w:r>
      <w:r w:rsidR="00F25D95">
        <w:rPr>
          <w:rFonts w:ascii="Verdana" w:hAnsi="Verdana"/>
          <w:sz w:val="20"/>
          <w:szCs w:val="20"/>
          <w:lang w:val="es-CR"/>
        </w:rPr>
        <w:t xml:space="preserve">” </w:t>
      </w:r>
      <w:r w:rsidR="00C21DE3" w:rsidRPr="00F25D95">
        <w:rPr>
          <w:rFonts w:ascii="Verdana" w:hAnsi="Verdana"/>
          <w:sz w:val="20"/>
          <w:szCs w:val="20"/>
          <w:lang w:val="es-CR"/>
        </w:rPr>
        <w:t>(</w:t>
      </w:r>
      <w:r w:rsidR="00C21DE3" w:rsidRPr="00F25D95">
        <w:rPr>
          <w:rFonts w:ascii="Verdana" w:hAnsi="Verdana"/>
          <w:i/>
          <w:sz w:val="20"/>
          <w:szCs w:val="20"/>
          <w:lang w:val="es-CR"/>
        </w:rPr>
        <w:t xml:space="preserve">punto resolutivo </w:t>
      </w:r>
      <w:r w:rsidR="00F25D95">
        <w:rPr>
          <w:rFonts w:ascii="Verdana" w:hAnsi="Verdana"/>
          <w:i/>
          <w:sz w:val="20"/>
          <w:szCs w:val="20"/>
          <w:lang w:val="es-CR"/>
        </w:rPr>
        <w:t>noveno</w:t>
      </w:r>
      <w:r w:rsidR="00C21DE3" w:rsidRPr="00F25D95">
        <w:rPr>
          <w:rFonts w:ascii="Verdana" w:hAnsi="Verdana"/>
          <w:i/>
          <w:sz w:val="20"/>
          <w:szCs w:val="20"/>
          <w:lang w:val="es-CR"/>
        </w:rPr>
        <w:t xml:space="preserve"> de la Sentencia</w:t>
      </w:r>
      <w:r w:rsidR="00C21DE3" w:rsidRPr="00F25D95">
        <w:rPr>
          <w:rFonts w:ascii="Verdana" w:hAnsi="Verdana"/>
          <w:sz w:val="20"/>
          <w:szCs w:val="20"/>
          <w:lang w:val="es-CR"/>
        </w:rPr>
        <w:t>)</w:t>
      </w:r>
      <w:r w:rsidR="005E70CB" w:rsidRPr="00F25D95">
        <w:rPr>
          <w:rFonts w:ascii="Verdana" w:hAnsi="Verdana"/>
          <w:sz w:val="20"/>
          <w:szCs w:val="20"/>
          <w:lang w:val="es-CR"/>
        </w:rPr>
        <w:t>.</w:t>
      </w:r>
    </w:p>
    <w:p w14:paraId="590DCB19" w14:textId="77777777" w:rsidR="000445BF" w:rsidRPr="00050030" w:rsidRDefault="000445BF" w:rsidP="00050030">
      <w:pPr>
        <w:pStyle w:val="ListParagraph"/>
        <w:rPr>
          <w:rFonts w:ascii="Verdana" w:hAnsi="Verdana"/>
          <w:sz w:val="20"/>
          <w:szCs w:val="20"/>
          <w:lang w:val="es-CR"/>
        </w:rPr>
      </w:pPr>
    </w:p>
    <w:p w14:paraId="4EC790E0" w14:textId="26270B78" w:rsidR="000445BF" w:rsidRPr="00050030" w:rsidRDefault="000445BF" w:rsidP="000445BF">
      <w:pPr>
        <w:pStyle w:val="ListParagraph"/>
        <w:numPr>
          <w:ilvl w:val="0"/>
          <w:numId w:val="17"/>
        </w:numPr>
        <w:spacing w:after="0" w:line="240" w:lineRule="auto"/>
        <w:ind w:left="0" w:firstLine="0"/>
        <w:jc w:val="both"/>
        <w:rPr>
          <w:rFonts w:ascii="Verdana" w:hAnsi="Verdana"/>
          <w:sz w:val="18"/>
          <w:lang w:val="es-CR"/>
        </w:rPr>
      </w:pPr>
      <w:r w:rsidRPr="00050030">
        <w:rPr>
          <w:rFonts w:ascii="Verdana" w:hAnsi="Verdana"/>
          <w:sz w:val="20"/>
          <w:lang w:val="es-CR"/>
        </w:rPr>
        <w:t xml:space="preserve">Recordar al Estado que, de conformidad con el punto resolutivo 10 de la Sentencia, el 20 de diciembre de 2018 </w:t>
      </w:r>
      <w:r w:rsidR="005F02CE">
        <w:rPr>
          <w:rFonts w:ascii="Verdana" w:hAnsi="Verdana"/>
          <w:sz w:val="20"/>
          <w:lang w:val="es-CR"/>
        </w:rPr>
        <w:t xml:space="preserve">vence el plazo de un año para que remita </w:t>
      </w:r>
      <w:r w:rsidRPr="00050030">
        <w:rPr>
          <w:rFonts w:ascii="Verdana" w:hAnsi="Verdana"/>
          <w:sz w:val="20"/>
          <w:lang w:val="es-CR"/>
        </w:rPr>
        <w:t>su primer informe sobre el cumplimiento de las medidas señaladas en el punto resolutivo 2 de la presente Resolución.</w:t>
      </w:r>
    </w:p>
    <w:p w14:paraId="17E064F5" w14:textId="77777777" w:rsidR="005E70CB" w:rsidRPr="005E70CB" w:rsidRDefault="005E70CB" w:rsidP="005E70CB">
      <w:pPr>
        <w:pStyle w:val="ListParagraph"/>
        <w:rPr>
          <w:rFonts w:ascii="Verdana" w:hAnsi="Verdana"/>
          <w:sz w:val="20"/>
          <w:szCs w:val="20"/>
          <w:lang w:val="es-CR"/>
        </w:rPr>
      </w:pPr>
    </w:p>
    <w:p w14:paraId="168DCCDE" w14:textId="48AE8279" w:rsidR="00CA70D7" w:rsidRPr="0063491F" w:rsidRDefault="005E70CB" w:rsidP="000E24F5">
      <w:pPr>
        <w:pStyle w:val="ListParagraph"/>
        <w:numPr>
          <w:ilvl w:val="0"/>
          <w:numId w:val="17"/>
        </w:numPr>
        <w:spacing w:after="0" w:line="240" w:lineRule="auto"/>
        <w:ind w:left="0" w:firstLine="0"/>
        <w:jc w:val="both"/>
        <w:rPr>
          <w:rFonts w:ascii="Verdana" w:hAnsi="Verdana"/>
          <w:sz w:val="20"/>
          <w:lang w:val="es-CR"/>
        </w:rPr>
      </w:pPr>
      <w:r w:rsidRPr="005E70CB">
        <w:rPr>
          <w:rFonts w:ascii="Verdana" w:hAnsi="Verdana"/>
          <w:sz w:val="20"/>
          <w:szCs w:val="20"/>
          <w:lang w:val="es-CR"/>
        </w:rPr>
        <w:t xml:space="preserve">Requerir a la Secretaría de la Corte que notifique la presente Resolución al Estado, a los </w:t>
      </w:r>
      <w:r w:rsidR="00DC5E61">
        <w:rPr>
          <w:rFonts w:ascii="Verdana" w:hAnsi="Verdana"/>
          <w:sz w:val="20"/>
          <w:szCs w:val="20"/>
          <w:lang w:val="es-CR"/>
        </w:rPr>
        <w:t xml:space="preserve">intervinientes comunes </w:t>
      </w:r>
      <w:r w:rsidRPr="005E70CB">
        <w:rPr>
          <w:rFonts w:ascii="Verdana" w:hAnsi="Verdana"/>
          <w:sz w:val="20"/>
          <w:szCs w:val="20"/>
          <w:lang w:val="es-CR"/>
        </w:rPr>
        <w:t>representantes de las víctimas y a la Comisión Interamericana de Derechos Humanos.</w:t>
      </w:r>
    </w:p>
    <w:p w14:paraId="1830D774" w14:textId="77777777" w:rsidR="0063491F" w:rsidRPr="0063491F" w:rsidRDefault="0063491F" w:rsidP="0063491F">
      <w:pPr>
        <w:rPr>
          <w:rFonts w:ascii="Verdana" w:hAnsi="Verdana"/>
          <w:sz w:val="20"/>
          <w:lang w:val="es-CR"/>
        </w:rPr>
      </w:pPr>
    </w:p>
    <w:p w14:paraId="35CC079D" w14:textId="77777777" w:rsidR="0063491F" w:rsidRPr="009318AC" w:rsidRDefault="0063491F" w:rsidP="0063491F">
      <w:pPr>
        <w:keepNext/>
        <w:jc w:val="both"/>
        <w:outlineLvl w:val="0"/>
        <w:rPr>
          <w:rFonts w:ascii="Verdana" w:hAnsi="Verdana" w:cs="Verdana"/>
          <w:b/>
          <w:bCs/>
          <w:sz w:val="20"/>
          <w:lang w:val="es-ES"/>
        </w:rPr>
      </w:pPr>
      <w:r>
        <w:rPr>
          <w:rFonts w:ascii="Verdana" w:hAnsi="Verdana" w:cs="Courier New"/>
          <w:noProof/>
          <w:sz w:val="20"/>
          <w:lang w:val="es-AR"/>
        </w:rPr>
        <w:t xml:space="preserve">Corte IDH. </w:t>
      </w:r>
      <w:r w:rsidRPr="006218C0">
        <w:rPr>
          <w:rFonts w:ascii="Verdana" w:hAnsi="Verdana"/>
          <w:bCs/>
          <w:i/>
          <w:sz w:val="20"/>
          <w:lang w:val="es-CR"/>
        </w:rPr>
        <w:t>Caso Trabajadores Cesados de Petroperú</w:t>
      </w:r>
      <w:r>
        <w:rPr>
          <w:rFonts w:ascii="Verdana" w:hAnsi="Verdana"/>
          <w:bCs/>
          <w:i/>
          <w:sz w:val="20"/>
          <w:lang w:val="es-CR"/>
        </w:rPr>
        <w:t xml:space="preserve"> y otros V</w:t>
      </w:r>
      <w:r w:rsidRPr="006218C0">
        <w:rPr>
          <w:rFonts w:ascii="Verdana" w:hAnsi="Verdana"/>
          <w:bCs/>
          <w:i/>
          <w:sz w:val="20"/>
          <w:lang w:val="es-CR"/>
        </w:rPr>
        <w:t>s. Perú</w:t>
      </w:r>
      <w:r>
        <w:rPr>
          <w:rFonts w:ascii="Verdana" w:hAnsi="Verdana"/>
          <w:i/>
          <w:sz w:val="20"/>
          <w:lang w:val="es-ES"/>
        </w:rPr>
        <w:t>.</w:t>
      </w:r>
      <w:r>
        <w:rPr>
          <w:rFonts w:ascii="Verdana" w:hAnsi="Verdana" w:cs="Arial"/>
          <w:i/>
          <w:sz w:val="20"/>
          <w:lang w:val="es-CR"/>
        </w:rPr>
        <w:t xml:space="preserve"> </w:t>
      </w:r>
      <w:r>
        <w:rPr>
          <w:rFonts w:ascii="Verdana" w:hAnsi="Verdana"/>
          <w:sz w:val="20"/>
          <w:lang w:val="es-CR"/>
        </w:rPr>
        <w:t xml:space="preserve">Supervisión de cumplimiento de sentencia. </w:t>
      </w:r>
      <w:r>
        <w:rPr>
          <w:rFonts w:ascii="Verdana" w:hAnsi="Verdana"/>
          <w:sz w:val="20"/>
          <w:lang w:val="es-ES"/>
        </w:rPr>
        <w:t>Resolución</w:t>
      </w:r>
      <w:r w:rsidRPr="008C6E98">
        <w:rPr>
          <w:rFonts w:ascii="Verdana" w:hAnsi="Verdana"/>
          <w:sz w:val="20"/>
          <w:lang w:val="es-ES"/>
        </w:rPr>
        <w:t xml:space="preserve"> de la Corte Interamericana de Derechos </w:t>
      </w:r>
      <w:r w:rsidRPr="002638F5">
        <w:rPr>
          <w:rFonts w:ascii="Verdana" w:hAnsi="Verdana"/>
          <w:sz w:val="20"/>
          <w:lang w:val="es-ES"/>
        </w:rPr>
        <w:t xml:space="preserve">Humanos </w:t>
      </w:r>
      <w:r w:rsidRPr="00202F00">
        <w:rPr>
          <w:rFonts w:ascii="Verdana" w:hAnsi="Verdana"/>
          <w:sz w:val="20"/>
          <w:lang w:val="es-ES"/>
        </w:rPr>
        <w:t>de 26</w:t>
      </w:r>
      <w:r w:rsidRPr="00202F00">
        <w:rPr>
          <w:rFonts w:ascii="Verdana" w:hAnsi="Verdana"/>
          <w:sz w:val="20"/>
          <w:lang w:val="es-CR"/>
        </w:rPr>
        <w:t xml:space="preserve"> de septiembre</w:t>
      </w:r>
      <w:r w:rsidRPr="002638F5">
        <w:rPr>
          <w:rFonts w:ascii="Verdana" w:hAnsi="Verdana"/>
          <w:sz w:val="20"/>
          <w:lang w:val="es-CR"/>
        </w:rPr>
        <w:t xml:space="preserve"> de 2018</w:t>
      </w:r>
      <w:r w:rsidRPr="002638F5">
        <w:rPr>
          <w:rFonts w:ascii="Verdana" w:hAnsi="Verdana"/>
          <w:sz w:val="20"/>
          <w:lang w:val="es-ES"/>
        </w:rPr>
        <w:t>.</w:t>
      </w:r>
      <w:r>
        <w:rPr>
          <w:rFonts w:ascii="Verdana" w:hAnsi="Verdana"/>
          <w:sz w:val="20"/>
          <w:lang w:val="es-ES"/>
        </w:rPr>
        <w:t xml:space="preserve"> </w:t>
      </w:r>
    </w:p>
    <w:p w14:paraId="6B7CCAEA" w14:textId="77777777" w:rsidR="0063491F" w:rsidRDefault="0063491F" w:rsidP="0063491F">
      <w:pPr>
        <w:rPr>
          <w:rFonts w:ascii="Verdana" w:hAnsi="Verdana"/>
          <w:sz w:val="20"/>
          <w:lang w:val="es-ES"/>
        </w:rPr>
      </w:pPr>
    </w:p>
    <w:p w14:paraId="2D816427" w14:textId="77777777" w:rsidR="0063491F" w:rsidRDefault="0063491F" w:rsidP="0063491F">
      <w:pPr>
        <w:jc w:val="center"/>
        <w:rPr>
          <w:rFonts w:ascii="Verdana" w:hAnsi="Verdana"/>
          <w:sz w:val="20"/>
          <w:lang w:val="pt-BR"/>
        </w:rPr>
      </w:pPr>
      <w:r w:rsidRPr="00D0325C">
        <w:rPr>
          <w:rFonts w:ascii="Verdana" w:hAnsi="Verdana"/>
          <w:sz w:val="20"/>
          <w:lang w:val="pt-BR"/>
        </w:rPr>
        <w:t xml:space="preserve">Eduardo Ferrer Mac-Gregor Poisot </w:t>
      </w:r>
    </w:p>
    <w:p w14:paraId="3B38BDCE" w14:textId="6F7B8A6D" w:rsidR="0063491F" w:rsidRDefault="0063491F" w:rsidP="0063491F">
      <w:pPr>
        <w:jc w:val="center"/>
        <w:rPr>
          <w:rFonts w:ascii="Verdana" w:hAnsi="Verdana"/>
          <w:sz w:val="20"/>
          <w:lang w:val="pt-BR"/>
        </w:rPr>
      </w:pPr>
      <w:r w:rsidRPr="00D0325C">
        <w:rPr>
          <w:rFonts w:ascii="Verdana" w:hAnsi="Verdana"/>
          <w:sz w:val="20"/>
          <w:lang w:val="pt-BR"/>
        </w:rPr>
        <w:t>Presidente</w:t>
      </w:r>
    </w:p>
    <w:p w14:paraId="0AD6497A" w14:textId="77777777" w:rsidR="0063491F" w:rsidRPr="00CC275C" w:rsidRDefault="0063491F" w:rsidP="0063491F">
      <w:pPr>
        <w:jc w:val="both"/>
        <w:rPr>
          <w:rFonts w:ascii="Verdana" w:hAnsi="Verdana"/>
          <w:sz w:val="20"/>
          <w:lang w:val="pt-BR"/>
        </w:rPr>
      </w:pPr>
    </w:p>
    <w:p w14:paraId="59CD854A" w14:textId="77777777" w:rsidR="0063491F" w:rsidRPr="00CC275C" w:rsidRDefault="0063491F" w:rsidP="0063491F">
      <w:pPr>
        <w:jc w:val="both"/>
        <w:rPr>
          <w:rFonts w:ascii="Verdana" w:hAnsi="Verdana"/>
          <w:sz w:val="20"/>
          <w:lang w:val="pt-BR"/>
        </w:rPr>
      </w:pPr>
    </w:p>
    <w:p w14:paraId="3C7F5C06" w14:textId="77777777" w:rsidR="0063491F" w:rsidRPr="00CC275C" w:rsidRDefault="0063491F" w:rsidP="0063491F">
      <w:pPr>
        <w:rPr>
          <w:rFonts w:ascii="Verdana" w:hAnsi="Verdana"/>
          <w:sz w:val="20"/>
          <w:lang w:val="pt-BR"/>
        </w:rPr>
      </w:pPr>
      <w:r w:rsidRPr="00CC275C">
        <w:rPr>
          <w:rFonts w:ascii="Verdana" w:hAnsi="Verdana"/>
          <w:sz w:val="20"/>
          <w:lang w:val="pt-BR"/>
        </w:rPr>
        <w:t>Eduardo Vio Grossi</w:t>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CC275C">
        <w:rPr>
          <w:rFonts w:ascii="Verdana" w:hAnsi="Verdana"/>
          <w:sz w:val="20"/>
          <w:lang w:val="pt-BR"/>
        </w:rPr>
        <w:t>Humberto Antonio Sierra Porto</w:t>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p>
    <w:p w14:paraId="3C63656F" w14:textId="77777777" w:rsidR="0063491F" w:rsidRPr="00CC275C" w:rsidRDefault="0063491F" w:rsidP="0063491F">
      <w:pPr>
        <w:jc w:val="both"/>
        <w:rPr>
          <w:rFonts w:ascii="Verdana" w:hAnsi="Verdana"/>
          <w:sz w:val="20"/>
          <w:lang w:val="pt-BR"/>
        </w:rPr>
      </w:pPr>
    </w:p>
    <w:p w14:paraId="4C373987" w14:textId="77777777" w:rsidR="0063491F" w:rsidRPr="00CC275C" w:rsidRDefault="0063491F" w:rsidP="0063491F">
      <w:pPr>
        <w:jc w:val="both"/>
        <w:rPr>
          <w:rFonts w:ascii="Verdana" w:hAnsi="Verdana"/>
          <w:sz w:val="20"/>
          <w:lang w:val="pt-BR"/>
        </w:rPr>
      </w:pPr>
    </w:p>
    <w:p w14:paraId="7DA6C096" w14:textId="77777777" w:rsidR="0063491F" w:rsidRPr="00CC275C" w:rsidRDefault="0063491F" w:rsidP="0063491F">
      <w:pPr>
        <w:rPr>
          <w:rFonts w:ascii="Verdana" w:hAnsi="Verdana"/>
          <w:sz w:val="20"/>
          <w:lang w:val="pt-BR"/>
        </w:rPr>
      </w:pPr>
      <w:r w:rsidRPr="00CC275C">
        <w:rPr>
          <w:rFonts w:ascii="Verdana" w:hAnsi="Verdana"/>
          <w:sz w:val="20"/>
          <w:lang w:val="pt-BR"/>
        </w:rPr>
        <w:t xml:space="preserve">Eugenio Raúl Zaffaroni </w:t>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t xml:space="preserve">        L. Patricio Pazmiño Freire</w:t>
      </w:r>
    </w:p>
    <w:p w14:paraId="36D2370C" w14:textId="77777777" w:rsidR="0063491F" w:rsidRPr="00CC275C" w:rsidRDefault="0063491F" w:rsidP="0063491F">
      <w:pPr>
        <w:jc w:val="both"/>
        <w:rPr>
          <w:rFonts w:ascii="Verdana" w:hAnsi="Verdana"/>
          <w:sz w:val="20"/>
          <w:lang w:val="pt-BR"/>
        </w:rPr>
      </w:pPr>
    </w:p>
    <w:p w14:paraId="39969583" w14:textId="77777777" w:rsidR="0063491F" w:rsidRPr="00CC275C" w:rsidRDefault="0063491F" w:rsidP="0063491F">
      <w:pPr>
        <w:jc w:val="both"/>
        <w:rPr>
          <w:rFonts w:ascii="Verdana" w:hAnsi="Verdana"/>
          <w:sz w:val="20"/>
          <w:lang w:val="pt-BR"/>
        </w:rPr>
      </w:pPr>
    </w:p>
    <w:p w14:paraId="60F2875F" w14:textId="77777777" w:rsidR="0063491F" w:rsidRPr="00CC275C" w:rsidRDefault="0063491F" w:rsidP="0063491F">
      <w:pPr>
        <w:jc w:val="center"/>
        <w:rPr>
          <w:rFonts w:ascii="Verdana" w:hAnsi="Verdana"/>
          <w:sz w:val="20"/>
          <w:lang w:val="pt-BR"/>
        </w:rPr>
      </w:pPr>
      <w:r w:rsidRPr="00CC275C">
        <w:rPr>
          <w:rFonts w:ascii="Verdana" w:hAnsi="Verdana"/>
          <w:sz w:val="20"/>
          <w:lang w:val="pt-BR"/>
        </w:rPr>
        <w:t>Pablo Saavedra Alessandri</w:t>
      </w:r>
    </w:p>
    <w:p w14:paraId="53403DF9" w14:textId="77777777" w:rsidR="0063491F" w:rsidRPr="00CC275C" w:rsidRDefault="0063491F" w:rsidP="0063491F">
      <w:pPr>
        <w:jc w:val="center"/>
        <w:rPr>
          <w:rFonts w:ascii="Verdana" w:hAnsi="Verdana"/>
          <w:sz w:val="20"/>
          <w:lang w:val="pt-BR"/>
        </w:rPr>
      </w:pPr>
      <w:r w:rsidRPr="00CC275C">
        <w:rPr>
          <w:rFonts w:ascii="Verdana" w:hAnsi="Verdana"/>
          <w:sz w:val="20"/>
          <w:lang w:val="pt-BR"/>
        </w:rPr>
        <w:t>Secretario</w:t>
      </w:r>
    </w:p>
    <w:p w14:paraId="3189DFD1" w14:textId="77777777" w:rsidR="0063491F" w:rsidRPr="00CC275C" w:rsidRDefault="0063491F" w:rsidP="0063491F">
      <w:pPr>
        <w:rPr>
          <w:rFonts w:ascii="Verdana" w:hAnsi="Verdana"/>
          <w:sz w:val="20"/>
          <w:lang w:val="pt-BR"/>
        </w:rPr>
      </w:pPr>
    </w:p>
    <w:p w14:paraId="115C1E22" w14:textId="77777777" w:rsidR="0063491F" w:rsidRPr="00CC275C" w:rsidRDefault="0063491F" w:rsidP="0063491F">
      <w:pPr>
        <w:pStyle w:val="FootnoteText"/>
        <w:rPr>
          <w:rFonts w:ascii="Verdana" w:hAnsi="Verdana"/>
          <w:lang w:val="pt-BR"/>
        </w:rPr>
      </w:pPr>
    </w:p>
    <w:p w14:paraId="15FCC397" w14:textId="77777777" w:rsidR="0063491F" w:rsidRPr="00CC275C" w:rsidRDefault="0063491F" w:rsidP="0063491F">
      <w:pPr>
        <w:jc w:val="both"/>
        <w:rPr>
          <w:rFonts w:ascii="Verdana" w:hAnsi="Verdana"/>
          <w:sz w:val="20"/>
          <w:lang w:val="pt-BR"/>
        </w:rPr>
      </w:pPr>
      <w:r w:rsidRPr="00CC275C">
        <w:rPr>
          <w:rFonts w:ascii="Verdana" w:hAnsi="Verdana"/>
          <w:sz w:val="20"/>
          <w:lang w:val="pt-BR"/>
        </w:rPr>
        <w:t>Comuníquese y ejecútese,</w:t>
      </w:r>
    </w:p>
    <w:p w14:paraId="66952B3A" w14:textId="77777777" w:rsidR="0063491F" w:rsidRPr="00CC275C" w:rsidRDefault="0063491F" w:rsidP="0063491F">
      <w:pPr>
        <w:jc w:val="both"/>
        <w:rPr>
          <w:rFonts w:ascii="Verdana" w:hAnsi="Verdana"/>
          <w:sz w:val="20"/>
          <w:lang w:val="pt-BR"/>
        </w:rPr>
      </w:pPr>
    </w:p>
    <w:p w14:paraId="03A8371A" w14:textId="77777777" w:rsidR="0063491F" w:rsidRDefault="0063491F" w:rsidP="0063491F">
      <w:pPr>
        <w:ind w:left="4956"/>
        <w:jc w:val="center"/>
        <w:rPr>
          <w:rFonts w:ascii="Verdana" w:hAnsi="Verdana"/>
          <w:sz w:val="20"/>
          <w:lang w:val="pt-BR"/>
        </w:rPr>
      </w:pPr>
      <w:r w:rsidRPr="00D0325C">
        <w:rPr>
          <w:rFonts w:ascii="Verdana" w:hAnsi="Verdana"/>
          <w:sz w:val="20"/>
          <w:lang w:val="pt-BR"/>
        </w:rPr>
        <w:t xml:space="preserve">Eduardo Ferrer Mac-Gregor Poisot </w:t>
      </w:r>
    </w:p>
    <w:p w14:paraId="5DAF55DD" w14:textId="717A7866" w:rsidR="0063491F" w:rsidRPr="00CC275C" w:rsidRDefault="0063491F" w:rsidP="0063491F">
      <w:pPr>
        <w:ind w:left="4956"/>
        <w:jc w:val="center"/>
        <w:rPr>
          <w:rFonts w:ascii="Verdana" w:hAnsi="Verdana"/>
          <w:sz w:val="20"/>
          <w:lang w:val="pt-BR"/>
        </w:rPr>
      </w:pPr>
      <w:r w:rsidRPr="00D0325C">
        <w:rPr>
          <w:rFonts w:ascii="Verdana" w:hAnsi="Verdana"/>
          <w:sz w:val="20"/>
          <w:lang w:val="pt-BR"/>
        </w:rPr>
        <w:t>Presidente</w:t>
      </w:r>
      <w:bookmarkStart w:id="1" w:name="_GoBack"/>
      <w:bookmarkEnd w:id="1"/>
    </w:p>
    <w:p w14:paraId="2A7DDD3F" w14:textId="77777777" w:rsidR="0063491F" w:rsidRPr="00CC275C" w:rsidRDefault="0063491F" w:rsidP="0063491F">
      <w:pPr>
        <w:jc w:val="both"/>
        <w:rPr>
          <w:rFonts w:ascii="Verdana" w:hAnsi="Verdana"/>
          <w:sz w:val="20"/>
          <w:lang w:val="pt-BR"/>
        </w:rPr>
      </w:pPr>
    </w:p>
    <w:p w14:paraId="399D8B2F" w14:textId="77777777" w:rsidR="0063491F" w:rsidRPr="004B7A1D" w:rsidRDefault="0063491F" w:rsidP="0063491F">
      <w:pPr>
        <w:jc w:val="both"/>
        <w:rPr>
          <w:rFonts w:ascii="Verdana" w:hAnsi="Verdana"/>
          <w:sz w:val="20"/>
          <w:lang w:val="es-ES"/>
        </w:rPr>
      </w:pPr>
      <w:r w:rsidRPr="004B7A1D">
        <w:rPr>
          <w:rFonts w:ascii="Verdana" w:hAnsi="Verdana"/>
          <w:sz w:val="20"/>
          <w:lang w:val="es-ES"/>
        </w:rPr>
        <w:t>Pablo Saavedra Alessandri</w:t>
      </w:r>
    </w:p>
    <w:p w14:paraId="6BF166FC" w14:textId="77777777" w:rsidR="0063491F" w:rsidRPr="004B7A1D" w:rsidRDefault="0063491F" w:rsidP="0063491F">
      <w:pPr>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p w14:paraId="2708B461" w14:textId="77777777" w:rsidR="0063491F" w:rsidRPr="004B7A1D" w:rsidRDefault="0063491F" w:rsidP="0063491F">
      <w:pPr>
        <w:jc w:val="center"/>
        <w:rPr>
          <w:rFonts w:ascii="Verdana" w:hAnsi="Verdana"/>
          <w:sz w:val="20"/>
          <w:lang w:val="es-CR"/>
        </w:rPr>
      </w:pPr>
    </w:p>
    <w:p w14:paraId="3CC622C6" w14:textId="77777777" w:rsidR="0063491F" w:rsidRPr="00242C20" w:rsidRDefault="0063491F" w:rsidP="0063491F">
      <w:pPr>
        <w:pStyle w:val="ListParagraph"/>
        <w:spacing w:after="0" w:line="240" w:lineRule="auto"/>
        <w:ind w:left="0"/>
        <w:jc w:val="both"/>
        <w:rPr>
          <w:rFonts w:ascii="Verdana" w:hAnsi="Verdana"/>
          <w:sz w:val="20"/>
          <w:lang w:val="es-CR"/>
        </w:rPr>
      </w:pPr>
    </w:p>
    <w:sectPr w:rsidR="0063491F" w:rsidRPr="00242C20" w:rsidSect="0087493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A73BC" w14:textId="77777777" w:rsidR="001F16BA" w:rsidRDefault="001F16BA" w:rsidP="001E5411">
      <w:pPr>
        <w:spacing w:after="0" w:line="240" w:lineRule="auto"/>
      </w:pPr>
      <w:r>
        <w:separator/>
      </w:r>
    </w:p>
  </w:endnote>
  <w:endnote w:type="continuationSeparator" w:id="0">
    <w:p w14:paraId="2DCFBA04" w14:textId="77777777" w:rsidR="001F16BA" w:rsidRDefault="001F16BA" w:rsidP="001E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EDC8" w14:textId="68BF2FCB" w:rsidR="00874933" w:rsidRDefault="00874933">
    <w:pPr>
      <w:pStyle w:val="Footer"/>
      <w:jc w:val="center"/>
    </w:pPr>
  </w:p>
  <w:p w14:paraId="54DCC178" w14:textId="77777777" w:rsidR="00874933" w:rsidRDefault="00874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F32EF" w14:textId="77777777" w:rsidR="001F16BA" w:rsidRDefault="001F16BA" w:rsidP="001E5411">
      <w:pPr>
        <w:spacing w:after="0" w:line="240" w:lineRule="auto"/>
      </w:pPr>
      <w:r>
        <w:separator/>
      </w:r>
    </w:p>
  </w:footnote>
  <w:footnote w:type="continuationSeparator" w:id="0">
    <w:p w14:paraId="55C3CEE9" w14:textId="77777777" w:rsidR="001F16BA" w:rsidRDefault="001F16BA" w:rsidP="001E5411">
      <w:pPr>
        <w:spacing w:after="0" w:line="240" w:lineRule="auto"/>
      </w:pPr>
      <w:r>
        <w:continuationSeparator/>
      </w:r>
    </w:p>
  </w:footnote>
  <w:footnote w:id="1">
    <w:p w14:paraId="7E75EDCA" w14:textId="467BDFE6" w:rsidR="000445BF" w:rsidRPr="000445BF" w:rsidRDefault="000445BF">
      <w:pPr>
        <w:pStyle w:val="FootnoteText"/>
        <w:rPr>
          <w:rFonts w:ascii="Verdana" w:hAnsi="Verdana"/>
          <w:sz w:val="16"/>
          <w:szCs w:val="16"/>
          <w:lang w:val="es-CR"/>
        </w:rPr>
      </w:pPr>
      <w:r w:rsidRPr="000445BF">
        <w:rPr>
          <w:rStyle w:val="FootnoteReference"/>
          <w:rFonts w:ascii="Verdana" w:hAnsi="Verdana"/>
          <w:sz w:val="16"/>
          <w:szCs w:val="16"/>
          <w:lang w:val="es-CR"/>
        </w:rPr>
        <w:t>*</w:t>
      </w:r>
      <w:r w:rsidRPr="000445BF">
        <w:rPr>
          <w:rFonts w:ascii="Verdana" w:hAnsi="Verdana"/>
          <w:sz w:val="16"/>
          <w:szCs w:val="16"/>
          <w:lang w:val="es-CR"/>
        </w:rPr>
        <w:t xml:space="preserve"> </w:t>
      </w:r>
      <w:r w:rsidRPr="000445BF">
        <w:rPr>
          <w:rFonts w:ascii="Verdana" w:hAnsi="Verdana"/>
          <w:sz w:val="16"/>
          <w:szCs w:val="16"/>
          <w:lang w:val="es-CR"/>
        </w:rPr>
        <w:tab/>
        <w:t>La Jueza Elizabeth Odio Benito no asistió al 127º Período Ordinario de Sesiones de la Corte Interamericana por motivos de fuerza mayor, lo cual fue aceptado por el Pleno. Por esa razón no participó en la deliberación y firma de esta Resolución.</w:t>
      </w:r>
    </w:p>
  </w:footnote>
  <w:footnote w:id="2">
    <w:p w14:paraId="68D2946A" w14:textId="77777777" w:rsidR="001F16BA" w:rsidRPr="000445BF" w:rsidRDefault="001F16BA" w:rsidP="00B84117">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r>
      <w:r w:rsidRPr="000445BF">
        <w:rPr>
          <w:rFonts w:ascii="Verdana" w:hAnsi="Verdana"/>
          <w:i/>
          <w:sz w:val="16"/>
          <w:szCs w:val="16"/>
          <w:lang w:val="es-CR"/>
        </w:rPr>
        <w:t xml:space="preserve">Cfr. Caso Trabajadores Cesados de Petroperú y otros Vs. Perú. Excepciones Preliminares, Fondo, Reparaciones y Costas. </w:t>
      </w:r>
      <w:r w:rsidRPr="000445BF">
        <w:rPr>
          <w:rFonts w:ascii="Verdana" w:hAnsi="Verdana"/>
          <w:sz w:val="16"/>
          <w:szCs w:val="16"/>
          <w:lang w:val="es-CR"/>
        </w:rPr>
        <w:t xml:space="preserve">Sentencia de 23 de noviembre de 2017. Serie C No. 344. El texto íntegro de la Sentencia se encuentra disponible en: </w:t>
      </w:r>
      <w:hyperlink r:id="rId1" w:history="1">
        <w:r w:rsidRPr="000445BF">
          <w:rPr>
            <w:rStyle w:val="Hyperlink"/>
            <w:rFonts w:ascii="Verdana" w:hAnsi="Verdana"/>
            <w:sz w:val="16"/>
            <w:szCs w:val="16"/>
            <w:lang w:val="es-CR"/>
          </w:rPr>
          <w:t>http://www.corteidh.or.cr/docs/casos/articulos/seriec_339_esp.pdf</w:t>
        </w:r>
      </w:hyperlink>
      <w:r w:rsidRPr="000445BF">
        <w:rPr>
          <w:rFonts w:ascii="Verdana" w:hAnsi="Verdana"/>
          <w:sz w:val="16"/>
          <w:szCs w:val="16"/>
          <w:lang w:val="es-CR"/>
        </w:rPr>
        <w:t>. La Sentencia fue notificada al Estado el 20 de diciembre de 2017.</w:t>
      </w:r>
    </w:p>
  </w:footnote>
  <w:footnote w:id="3">
    <w:p w14:paraId="71949B9E" w14:textId="609EAA6F" w:rsidR="001F16BA" w:rsidRPr="000445BF" w:rsidRDefault="001F16BA" w:rsidP="00242C20">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t xml:space="preserve">La interviniente común Carolina Loayza </w:t>
      </w:r>
      <w:r w:rsidR="001F2C7D">
        <w:rPr>
          <w:rFonts w:ascii="Verdana" w:hAnsi="Verdana"/>
          <w:sz w:val="16"/>
          <w:szCs w:val="16"/>
          <w:lang w:val="es-CR"/>
        </w:rPr>
        <w:t>“</w:t>
      </w:r>
      <w:r w:rsidRPr="000445BF">
        <w:rPr>
          <w:rFonts w:ascii="Verdana" w:hAnsi="Verdana"/>
          <w:sz w:val="16"/>
          <w:szCs w:val="16"/>
          <w:lang w:val="es-CR"/>
        </w:rPr>
        <w:t>representa a la totalidad de las víctimas de MEF y ENAPU</w:t>
      </w:r>
      <w:r w:rsidR="001F2C7D">
        <w:rPr>
          <w:rFonts w:ascii="Verdana" w:hAnsi="Verdana"/>
          <w:sz w:val="16"/>
          <w:szCs w:val="16"/>
          <w:lang w:val="es-CR"/>
        </w:rPr>
        <w:t>”</w:t>
      </w:r>
      <w:r w:rsidRPr="000445BF">
        <w:rPr>
          <w:rFonts w:ascii="Verdana" w:hAnsi="Verdana"/>
          <w:sz w:val="16"/>
          <w:szCs w:val="16"/>
          <w:lang w:val="es-CR"/>
        </w:rPr>
        <w:t xml:space="preserve">, y a </w:t>
      </w:r>
      <w:r w:rsidR="000445BF" w:rsidRPr="000445BF">
        <w:rPr>
          <w:rFonts w:ascii="Verdana" w:hAnsi="Verdana"/>
          <w:sz w:val="16"/>
          <w:szCs w:val="16"/>
          <w:lang w:val="es-CR"/>
        </w:rPr>
        <w:t>53</w:t>
      </w:r>
      <w:r w:rsidRPr="000445BF">
        <w:rPr>
          <w:rFonts w:ascii="Verdana" w:hAnsi="Verdana"/>
          <w:sz w:val="16"/>
          <w:szCs w:val="16"/>
          <w:lang w:val="es-CR"/>
        </w:rPr>
        <w:t xml:space="preserve"> trabajadores de Petroperú.</w:t>
      </w:r>
      <w:r w:rsidR="000445BF">
        <w:rPr>
          <w:rFonts w:ascii="Verdana" w:hAnsi="Verdana"/>
          <w:sz w:val="16"/>
          <w:szCs w:val="16"/>
          <w:lang w:val="es-CR"/>
        </w:rPr>
        <w:t xml:space="preserve"> </w:t>
      </w:r>
    </w:p>
  </w:footnote>
  <w:footnote w:id="4">
    <w:p w14:paraId="6D22F8ED" w14:textId="6FA862D2" w:rsidR="001F16BA" w:rsidRPr="000445BF" w:rsidRDefault="001F16BA" w:rsidP="00242C20">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t xml:space="preserve">Los intervinientes comunes Gregorio Paredes y Manuel </w:t>
      </w:r>
      <w:r w:rsidR="00AC069B" w:rsidRPr="000445BF">
        <w:rPr>
          <w:rFonts w:ascii="Verdana" w:hAnsi="Verdana"/>
          <w:sz w:val="16"/>
          <w:szCs w:val="16"/>
          <w:lang w:val="es-CR"/>
        </w:rPr>
        <w:t xml:space="preserve">E. </w:t>
      </w:r>
      <w:r w:rsidRPr="000445BF">
        <w:rPr>
          <w:rFonts w:ascii="Verdana" w:hAnsi="Verdana"/>
          <w:sz w:val="16"/>
          <w:szCs w:val="16"/>
          <w:lang w:val="es-CR"/>
        </w:rPr>
        <w:t>Paiba</w:t>
      </w:r>
      <w:r w:rsidR="00AC069B" w:rsidRPr="000445BF">
        <w:rPr>
          <w:rFonts w:ascii="Verdana" w:hAnsi="Verdana"/>
          <w:sz w:val="16"/>
          <w:szCs w:val="16"/>
          <w:lang w:val="es-CR"/>
        </w:rPr>
        <w:t xml:space="preserve"> Cossios</w:t>
      </w:r>
      <w:r w:rsidRPr="000445BF">
        <w:rPr>
          <w:rFonts w:ascii="Verdana" w:hAnsi="Verdana"/>
          <w:sz w:val="16"/>
          <w:szCs w:val="16"/>
          <w:lang w:val="es-CR"/>
        </w:rPr>
        <w:t xml:space="preserve"> </w:t>
      </w:r>
      <w:r w:rsidR="001F2C7D">
        <w:rPr>
          <w:rFonts w:ascii="Verdana" w:hAnsi="Verdana"/>
          <w:sz w:val="16"/>
          <w:szCs w:val="16"/>
          <w:lang w:val="es-CR"/>
        </w:rPr>
        <w:t>“</w:t>
      </w:r>
      <w:r w:rsidRPr="000445BF">
        <w:rPr>
          <w:rFonts w:ascii="Verdana" w:hAnsi="Verdana"/>
          <w:sz w:val="16"/>
          <w:szCs w:val="16"/>
          <w:lang w:val="es-CR"/>
        </w:rPr>
        <w:t>representan a la totalidad de las víctimas del MEF</w:t>
      </w:r>
      <w:r w:rsidR="001F2C7D">
        <w:rPr>
          <w:rFonts w:ascii="Verdana" w:hAnsi="Verdana"/>
          <w:sz w:val="16"/>
          <w:szCs w:val="16"/>
          <w:lang w:val="es-CR"/>
        </w:rPr>
        <w:t>”</w:t>
      </w:r>
      <w:r w:rsidRPr="000445BF">
        <w:rPr>
          <w:rFonts w:ascii="Verdana" w:hAnsi="Verdana"/>
          <w:sz w:val="16"/>
          <w:szCs w:val="16"/>
          <w:lang w:val="es-CR"/>
        </w:rPr>
        <w:t xml:space="preserve">. </w:t>
      </w:r>
    </w:p>
  </w:footnote>
  <w:footnote w:id="5">
    <w:p w14:paraId="383C0EF6" w14:textId="41FD5398" w:rsidR="001F16BA" w:rsidRPr="000445BF" w:rsidRDefault="001F16BA" w:rsidP="00F25D95">
      <w:pPr>
        <w:pStyle w:val="FootnoteText"/>
        <w:jc w:val="both"/>
        <w:rPr>
          <w:rFonts w:ascii="Verdana" w:hAnsi="Verdana"/>
          <w:b/>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t>Escritos de 26 de abril,</w:t>
      </w:r>
      <w:r w:rsidR="00AC069B" w:rsidRPr="000445BF">
        <w:rPr>
          <w:rFonts w:ascii="Verdana" w:hAnsi="Verdana"/>
          <w:sz w:val="16"/>
          <w:szCs w:val="16"/>
          <w:lang w:val="es-CR"/>
        </w:rPr>
        <w:t xml:space="preserve"> </w:t>
      </w:r>
      <w:r w:rsidRPr="000445BF">
        <w:rPr>
          <w:rFonts w:ascii="Verdana" w:hAnsi="Verdana"/>
          <w:sz w:val="16"/>
          <w:szCs w:val="16"/>
          <w:lang w:val="es-CR"/>
        </w:rPr>
        <w:t xml:space="preserve">3 de mayo y 13 de julio de 2018. </w:t>
      </w:r>
    </w:p>
  </w:footnote>
  <w:footnote w:id="6">
    <w:p w14:paraId="263866CC" w14:textId="17269FEA" w:rsidR="00200C32" w:rsidRPr="000445BF" w:rsidRDefault="00200C32" w:rsidP="00200C32">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t xml:space="preserve">Un tercer grupo de víctimas es representado por la interviniente común Roxana Palomino Mayta. Dicho grupo está compuesto por </w:t>
      </w:r>
      <w:r w:rsidR="001F2C7D">
        <w:rPr>
          <w:rFonts w:ascii="Verdana" w:hAnsi="Verdana"/>
          <w:sz w:val="16"/>
          <w:szCs w:val="16"/>
          <w:lang w:val="es-CR"/>
        </w:rPr>
        <w:t>32</w:t>
      </w:r>
      <w:r w:rsidRPr="000445BF">
        <w:rPr>
          <w:rFonts w:ascii="Verdana" w:hAnsi="Verdana"/>
          <w:sz w:val="16"/>
          <w:szCs w:val="16"/>
          <w:lang w:val="es-CR"/>
        </w:rPr>
        <w:t xml:space="preserve"> trabajadores de Petroperú</w:t>
      </w:r>
      <w:r w:rsidR="001F2C7D">
        <w:rPr>
          <w:rFonts w:ascii="Verdana" w:hAnsi="Verdana"/>
          <w:sz w:val="16"/>
          <w:szCs w:val="16"/>
          <w:lang w:val="es-CR"/>
        </w:rPr>
        <w:t>.</w:t>
      </w:r>
      <w:r w:rsidRPr="000445BF">
        <w:rPr>
          <w:rFonts w:ascii="Verdana" w:hAnsi="Verdana"/>
          <w:sz w:val="16"/>
          <w:szCs w:val="16"/>
          <w:lang w:val="es-CR"/>
        </w:rPr>
        <w:t xml:space="preserve"> </w:t>
      </w:r>
    </w:p>
  </w:footnote>
  <w:footnote w:id="7">
    <w:p w14:paraId="7316D466" w14:textId="77777777" w:rsidR="001F16BA" w:rsidRPr="000445BF" w:rsidRDefault="001F16BA" w:rsidP="006A700C">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t xml:space="preserve">Facultad que además se desprende de lo dispuesto en los artículos 33, 62.1, 62.3 y 65 de la Convención Americana y 30 de su Estatuto y se encuentra regulada en el artículo 69 de su Reglamento. </w:t>
      </w:r>
    </w:p>
  </w:footnote>
  <w:footnote w:id="8">
    <w:p w14:paraId="4DDF2F83" w14:textId="6C55E4D1" w:rsidR="001F16BA" w:rsidRPr="000445BF" w:rsidRDefault="001F16BA" w:rsidP="002D241B">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r>
      <w:r w:rsidRPr="000445BF">
        <w:rPr>
          <w:rFonts w:ascii="Verdana" w:hAnsi="Verdana"/>
          <w:i/>
          <w:sz w:val="16"/>
          <w:szCs w:val="16"/>
          <w:lang w:val="es-CR"/>
        </w:rPr>
        <w:t>Cfr. Caso Cinco Pensionistas Vs. Perú. Supervisión de Cumplimiento de Sentencia.</w:t>
      </w:r>
      <w:r w:rsidRPr="000445BF">
        <w:rPr>
          <w:rFonts w:ascii="Verdana" w:hAnsi="Verdana"/>
          <w:sz w:val="16"/>
          <w:szCs w:val="16"/>
          <w:lang w:val="es-CR"/>
        </w:rPr>
        <w:t xml:space="preserve"> Resolución de la Corte Interamericana de Derechos Humanos de 17 de noviembre de 2004, Considerando 5, y </w:t>
      </w:r>
      <w:r w:rsidRPr="000445BF">
        <w:rPr>
          <w:rFonts w:ascii="Verdana" w:hAnsi="Verdana"/>
          <w:i/>
          <w:sz w:val="16"/>
          <w:szCs w:val="16"/>
          <w:lang w:val="es-CR"/>
        </w:rPr>
        <w:t>Caso Masacres de</w:t>
      </w:r>
      <w:r w:rsidR="00F0337C" w:rsidRPr="000445BF">
        <w:rPr>
          <w:rFonts w:ascii="Verdana" w:hAnsi="Verdana"/>
          <w:i/>
          <w:sz w:val="16"/>
          <w:szCs w:val="16"/>
          <w:lang w:val="es-CR"/>
        </w:rPr>
        <w:t xml:space="preserve"> El Mozote y lugares aledaños</w:t>
      </w:r>
      <w:r w:rsidRPr="000445BF">
        <w:rPr>
          <w:rFonts w:ascii="Verdana" w:hAnsi="Verdana"/>
          <w:i/>
          <w:sz w:val="16"/>
          <w:szCs w:val="16"/>
          <w:lang w:val="es-CR"/>
        </w:rPr>
        <w:t xml:space="preserve"> Vs. </w:t>
      </w:r>
      <w:r w:rsidR="00F0337C" w:rsidRPr="000445BF">
        <w:rPr>
          <w:rFonts w:ascii="Verdana" w:hAnsi="Verdana"/>
          <w:i/>
          <w:sz w:val="16"/>
          <w:szCs w:val="16"/>
          <w:lang w:val="es-CR"/>
        </w:rPr>
        <w:t>El Salvador</w:t>
      </w:r>
      <w:r w:rsidRPr="000445BF">
        <w:rPr>
          <w:rFonts w:ascii="Verdana" w:hAnsi="Verdana"/>
          <w:i/>
          <w:sz w:val="16"/>
          <w:szCs w:val="16"/>
          <w:lang w:val="es-CR"/>
        </w:rPr>
        <w:t>. Supervisión de Cumplimiento de Sentencia.</w:t>
      </w:r>
      <w:r w:rsidRPr="000445BF">
        <w:rPr>
          <w:rFonts w:ascii="Verdana" w:hAnsi="Verdana"/>
          <w:sz w:val="16"/>
          <w:szCs w:val="16"/>
          <w:lang w:val="es-CR"/>
        </w:rPr>
        <w:t xml:space="preserve"> Resolución de la Corte Interamericana de Derechos Humanos </w:t>
      </w:r>
      <w:r w:rsidR="00F0337C" w:rsidRPr="000445BF">
        <w:rPr>
          <w:rFonts w:ascii="Verdana" w:hAnsi="Verdana"/>
          <w:sz w:val="16"/>
          <w:szCs w:val="16"/>
          <w:lang w:val="es-CR"/>
        </w:rPr>
        <w:t xml:space="preserve">30 </w:t>
      </w:r>
      <w:r w:rsidRPr="000445BF">
        <w:rPr>
          <w:rFonts w:ascii="Verdana" w:hAnsi="Verdana"/>
          <w:sz w:val="16"/>
          <w:szCs w:val="16"/>
          <w:lang w:val="es-CR"/>
        </w:rPr>
        <w:t>de ma</w:t>
      </w:r>
      <w:r w:rsidR="00F0337C" w:rsidRPr="000445BF">
        <w:rPr>
          <w:rFonts w:ascii="Verdana" w:hAnsi="Verdana"/>
          <w:sz w:val="16"/>
          <w:szCs w:val="16"/>
          <w:lang w:val="es-CR"/>
        </w:rPr>
        <w:t>y</w:t>
      </w:r>
      <w:r w:rsidRPr="000445BF">
        <w:rPr>
          <w:rFonts w:ascii="Verdana" w:hAnsi="Verdana"/>
          <w:sz w:val="16"/>
          <w:szCs w:val="16"/>
          <w:lang w:val="es-CR"/>
        </w:rPr>
        <w:t>o de 2018, Considerando 2.</w:t>
      </w:r>
    </w:p>
  </w:footnote>
  <w:footnote w:id="9">
    <w:p w14:paraId="062E8225" w14:textId="5CD50535" w:rsidR="001F16BA" w:rsidRPr="000445BF" w:rsidRDefault="001F16BA" w:rsidP="002D241B">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r>
      <w:r w:rsidRPr="000445BF">
        <w:rPr>
          <w:rFonts w:ascii="Verdana" w:hAnsi="Verdana"/>
          <w:i/>
          <w:sz w:val="16"/>
          <w:szCs w:val="16"/>
          <w:lang w:val="es-CR"/>
        </w:rPr>
        <w:t>Cfr. Caso Ivcher Bronstein Vs. Perú. Competencia.</w:t>
      </w:r>
      <w:r w:rsidRPr="000445BF">
        <w:rPr>
          <w:rFonts w:ascii="Verdana" w:hAnsi="Verdana"/>
          <w:sz w:val="16"/>
          <w:szCs w:val="16"/>
          <w:lang w:val="es-CR"/>
        </w:rPr>
        <w:t xml:space="preserve"> Sentencia de la Corte Interamericana de Derechos Humanos de 24 de septiembre de 1999. Serie C No. 54, párr. 37, y </w:t>
      </w:r>
      <w:r w:rsidRPr="000445BF">
        <w:rPr>
          <w:rFonts w:ascii="Verdana" w:hAnsi="Verdana"/>
          <w:i/>
          <w:sz w:val="16"/>
          <w:szCs w:val="16"/>
          <w:lang w:val="es-CR"/>
        </w:rPr>
        <w:t xml:space="preserve">Caso Masacres de </w:t>
      </w:r>
      <w:r w:rsidR="00F0337C" w:rsidRPr="000445BF">
        <w:rPr>
          <w:rFonts w:ascii="Verdana" w:hAnsi="Verdana"/>
          <w:i/>
          <w:sz w:val="16"/>
          <w:szCs w:val="16"/>
          <w:lang w:val="es-CR"/>
        </w:rPr>
        <w:t>El Mozote y lugares aledaños</w:t>
      </w:r>
      <w:r w:rsidRPr="000445BF">
        <w:rPr>
          <w:rFonts w:ascii="Verdana" w:hAnsi="Verdana"/>
          <w:i/>
          <w:sz w:val="16"/>
          <w:szCs w:val="16"/>
          <w:lang w:val="es-CR"/>
        </w:rPr>
        <w:t xml:space="preserve"> Vs. </w:t>
      </w:r>
      <w:r w:rsidR="00F0337C" w:rsidRPr="000445BF">
        <w:rPr>
          <w:rFonts w:ascii="Verdana" w:hAnsi="Verdana"/>
          <w:i/>
          <w:sz w:val="16"/>
          <w:szCs w:val="16"/>
          <w:lang w:val="es-CR"/>
        </w:rPr>
        <w:t>El Salvador</w:t>
      </w:r>
      <w:r w:rsidR="00C13271">
        <w:rPr>
          <w:rFonts w:ascii="Verdana" w:hAnsi="Verdana"/>
          <w:i/>
          <w:sz w:val="16"/>
          <w:szCs w:val="16"/>
          <w:lang w:val="es-CR"/>
        </w:rPr>
        <w:t xml:space="preserve">, supra </w:t>
      </w:r>
      <w:r w:rsidR="00C13271" w:rsidRPr="00C13271">
        <w:rPr>
          <w:rFonts w:ascii="Verdana" w:hAnsi="Verdana"/>
          <w:sz w:val="16"/>
          <w:szCs w:val="16"/>
          <w:lang w:val="es-CR"/>
        </w:rPr>
        <w:t>nota 7</w:t>
      </w:r>
      <w:r w:rsidRPr="00C13271">
        <w:rPr>
          <w:rFonts w:ascii="Verdana" w:hAnsi="Verdana"/>
          <w:sz w:val="16"/>
          <w:szCs w:val="16"/>
          <w:lang w:val="es-CR"/>
        </w:rPr>
        <w:t>,</w:t>
      </w:r>
      <w:r w:rsidRPr="000445BF">
        <w:rPr>
          <w:rFonts w:ascii="Verdana" w:hAnsi="Verdana"/>
          <w:sz w:val="16"/>
          <w:szCs w:val="16"/>
          <w:lang w:val="es-CR"/>
        </w:rPr>
        <w:t xml:space="preserve"> Considerando 2.</w:t>
      </w:r>
    </w:p>
  </w:footnote>
  <w:footnote w:id="10">
    <w:p w14:paraId="414378D8" w14:textId="77777777" w:rsidR="001F16BA" w:rsidRPr="000445BF" w:rsidRDefault="001F16BA" w:rsidP="003004AD">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t xml:space="preserve">El plazo para que el Estado presente su primer informe vence el 20 de diciembre de 2018. </w:t>
      </w:r>
    </w:p>
  </w:footnote>
  <w:footnote w:id="11">
    <w:p w14:paraId="547FC12C" w14:textId="24B38B61" w:rsidR="001F16BA" w:rsidRPr="000445BF" w:rsidRDefault="001F16BA" w:rsidP="00F2322B">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r>
      <w:r w:rsidRPr="000445BF">
        <w:rPr>
          <w:rFonts w:ascii="Verdana" w:hAnsi="Verdana"/>
          <w:i/>
          <w:sz w:val="16"/>
          <w:szCs w:val="16"/>
          <w:lang w:val="es-CR"/>
        </w:rPr>
        <w:t xml:space="preserve">Cfr. </w:t>
      </w:r>
      <w:r w:rsidR="00CF5C0E">
        <w:rPr>
          <w:rFonts w:ascii="Verdana" w:hAnsi="Verdana"/>
          <w:sz w:val="16"/>
          <w:szCs w:val="16"/>
          <w:lang w:val="es-CR"/>
        </w:rPr>
        <w:t>Ejemplar</w:t>
      </w:r>
      <w:r w:rsidRPr="000445BF">
        <w:rPr>
          <w:rFonts w:ascii="Verdana" w:hAnsi="Verdana"/>
          <w:sz w:val="16"/>
          <w:szCs w:val="16"/>
          <w:lang w:val="es-CR"/>
        </w:rPr>
        <w:t xml:space="preserve"> del diario oficial “El Peruano” de 19 de enero de 2018, pág. 4 (Anexo 1 al informe </w:t>
      </w:r>
      <w:r w:rsidR="00490C49" w:rsidRPr="000445BF">
        <w:rPr>
          <w:rFonts w:ascii="Verdana" w:hAnsi="Verdana"/>
          <w:sz w:val="16"/>
          <w:szCs w:val="16"/>
          <w:lang w:val="es-CR"/>
        </w:rPr>
        <w:t xml:space="preserve">presentado por </w:t>
      </w:r>
      <w:r w:rsidRPr="000445BF">
        <w:rPr>
          <w:rFonts w:ascii="Verdana" w:hAnsi="Verdana"/>
          <w:sz w:val="16"/>
          <w:szCs w:val="16"/>
          <w:lang w:val="es-CR"/>
        </w:rPr>
        <w:t>el Estado e</w:t>
      </w:r>
      <w:r w:rsidR="00B7283B">
        <w:rPr>
          <w:rFonts w:ascii="Verdana" w:hAnsi="Verdana"/>
          <w:sz w:val="16"/>
          <w:szCs w:val="16"/>
          <w:lang w:val="es-CR"/>
        </w:rPr>
        <w:t>l</w:t>
      </w:r>
      <w:r w:rsidRPr="000445BF">
        <w:rPr>
          <w:rFonts w:ascii="Verdana" w:hAnsi="Verdana"/>
          <w:sz w:val="16"/>
          <w:szCs w:val="16"/>
          <w:lang w:val="es-CR"/>
        </w:rPr>
        <w:t xml:space="preserve"> 23 de marzo de 2018). </w:t>
      </w:r>
      <w:r w:rsidRPr="000445BF">
        <w:rPr>
          <w:rFonts w:ascii="Verdana" w:hAnsi="Verdana"/>
          <w:sz w:val="16"/>
          <w:szCs w:val="16"/>
          <w:lang w:val="es-CR"/>
        </w:rPr>
        <w:tab/>
      </w:r>
    </w:p>
  </w:footnote>
  <w:footnote w:id="12">
    <w:p w14:paraId="4422927F" w14:textId="115E0933" w:rsidR="001F16BA" w:rsidRPr="000445BF" w:rsidRDefault="001F16BA" w:rsidP="002D2549">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r>
      <w:r w:rsidRPr="000445BF">
        <w:rPr>
          <w:rFonts w:ascii="Verdana" w:hAnsi="Verdana"/>
          <w:i/>
          <w:sz w:val="16"/>
          <w:szCs w:val="16"/>
          <w:lang w:val="es-CR"/>
        </w:rPr>
        <w:t xml:space="preserve">Cfr. </w:t>
      </w:r>
      <w:r w:rsidR="00CF5C0E">
        <w:rPr>
          <w:rFonts w:ascii="Verdana" w:hAnsi="Verdana"/>
          <w:sz w:val="16"/>
          <w:szCs w:val="16"/>
          <w:lang w:val="es-CR"/>
        </w:rPr>
        <w:t>Ejemplar</w:t>
      </w:r>
      <w:r w:rsidR="00CF5C0E" w:rsidRPr="000445BF">
        <w:rPr>
          <w:rFonts w:ascii="Verdana" w:hAnsi="Verdana"/>
          <w:sz w:val="16"/>
          <w:szCs w:val="16"/>
          <w:lang w:val="es-CR"/>
        </w:rPr>
        <w:t xml:space="preserve"> </w:t>
      </w:r>
      <w:r w:rsidRPr="000445BF">
        <w:rPr>
          <w:rFonts w:ascii="Verdana" w:hAnsi="Verdana"/>
          <w:sz w:val="16"/>
          <w:szCs w:val="16"/>
          <w:lang w:val="es-CR"/>
        </w:rPr>
        <w:t xml:space="preserve">del periódico “La República” de 28 de febrero de 2018, pág. 11 (Anexo 2 al informe presentado por el Estado el 23 de marzo de 2018). </w:t>
      </w:r>
    </w:p>
  </w:footnote>
  <w:footnote w:id="13">
    <w:p w14:paraId="7D5ADFFC" w14:textId="3E56D163" w:rsidR="001F16BA" w:rsidRPr="000445BF" w:rsidRDefault="001F16BA" w:rsidP="00FA5C64">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t>En sus</w:t>
      </w:r>
      <w:r w:rsidR="00CF5C0E">
        <w:rPr>
          <w:rFonts w:ascii="Verdana" w:hAnsi="Verdana"/>
          <w:sz w:val="16"/>
          <w:szCs w:val="16"/>
          <w:lang w:val="es-CR"/>
        </w:rPr>
        <w:t xml:space="preserve"> observaciones de julio de 2018</w:t>
      </w:r>
      <w:r w:rsidRPr="000445BF">
        <w:rPr>
          <w:rFonts w:ascii="Verdana" w:hAnsi="Verdana"/>
          <w:sz w:val="16"/>
          <w:szCs w:val="16"/>
          <w:lang w:val="es-CR"/>
        </w:rPr>
        <w:t xml:space="preserve"> añadió que “</w:t>
      </w:r>
      <w:r w:rsidR="00D65612" w:rsidRPr="000445BF">
        <w:rPr>
          <w:rFonts w:ascii="Verdana" w:hAnsi="Verdana"/>
          <w:sz w:val="16"/>
          <w:szCs w:val="16"/>
          <w:lang w:val="es-CR"/>
        </w:rPr>
        <w:t>[c]</w:t>
      </w:r>
      <w:r w:rsidRPr="000445BF">
        <w:rPr>
          <w:rFonts w:ascii="Verdana" w:hAnsi="Verdana"/>
          <w:sz w:val="16"/>
          <w:szCs w:val="16"/>
          <w:lang w:val="es-CR"/>
        </w:rPr>
        <w:t>asi todos requieren de anteojos de medida para poder leer, que no siempre ha sido renovada para darle una visión de calidad, y al ser las letras de la publicación diminutas no pueden tener la satisfacción de leer la sentencia de la Honorable Corte, las veces que ellas quisieran”.</w:t>
      </w:r>
    </w:p>
  </w:footnote>
  <w:footnote w:id="14">
    <w:p w14:paraId="224FBC30" w14:textId="099CFD28" w:rsidR="001F16BA" w:rsidRPr="000445BF" w:rsidRDefault="001F16BA" w:rsidP="00242C20">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r>
      <w:r w:rsidRPr="000445BF">
        <w:rPr>
          <w:rFonts w:ascii="Verdana" w:hAnsi="Verdana"/>
          <w:i/>
          <w:sz w:val="16"/>
          <w:szCs w:val="16"/>
          <w:lang w:val="es-CR"/>
        </w:rPr>
        <w:t xml:space="preserve">Cfr. </w:t>
      </w:r>
      <w:r w:rsidR="00E037B6" w:rsidRPr="00E037B6">
        <w:rPr>
          <w:rFonts w:ascii="Verdana" w:hAnsi="Verdana"/>
          <w:i/>
          <w:sz w:val="16"/>
          <w:szCs w:val="16"/>
          <w:lang w:val="es-CR"/>
        </w:rPr>
        <w:t>Caso García Cruz y Sánchez Silvestre Vs. México. Supervisión de Cumplimiento de Sentencia</w:t>
      </w:r>
      <w:r w:rsidR="00E037B6" w:rsidRPr="00E037B6">
        <w:rPr>
          <w:rFonts w:ascii="Verdana" w:hAnsi="Verdana"/>
          <w:sz w:val="16"/>
          <w:szCs w:val="16"/>
          <w:lang w:val="es-CR"/>
        </w:rPr>
        <w:t>. Resolución de la Corte Interamericana de Derechos Humanos de 1 de septiembre de 2016</w:t>
      </w:r>
      <w:r w:rsidR="00E037B6">
        <w:rPr>
          <w:rFonts w:ascii="Verdana" w:hAnsi="Verdana"/>
          <w:i/>
          <w:sz w:val="16"/>
          <w:szCs w:val="16"/>
          <w:lang w:val="es-CR"/>
        </w:rPr>
        <w:t xml:space="preserve">, </w:t>
      </w:r>
      <w:r w:rsidR="00E037B6" w:rsidRPr="00E037B6">
        <w:rPr>
          <w:rFonts w:ascii="Verdana" w:hAnsi="Verdana"/>
          <w:sz w:val="16"/>
          <w:szCs w:val="16"/>
          <w:lang w:val="es-CR"/>
        </w:rPr>
        <w:t>Considerando</w:t>
      </w:r>
      <w:r w:rsidR="00CF5C0E">
        <w:rPr>
          <w:rFonts w:ascii="Verdana" w:hAnsi="Verdana"/>
          <w:sz w:val="16"/>
          <w:szCs w:val="16"/>
          <w:lang w:val="es-CR"/>
        </w:rPr>
        <w:t xml:space="preserve"> 33,</w:t>
      </w:r>
      <w:r w:rsidR="00E037B6">
        <w:rPr>
          <w:rFonts w:ascii="Verdana" w:hAnsi="Verdana"/>
          <w:i/>
          <w:sz w:val="16"/>
          <w:szCs w:val="16"/>
          <w:lang w:val="es-CR"/>
        </w:rPr>
        <w:t xml:space="preserve"> y </w:t>
      </w:r>
      <w:r w:rsidRPr="000445BF">
        <w:rPr>
          <w:rFonts w:ascii="Verdana" w:hAnsi="Verdana"/>
          <w:i/>
          <w:sz w:val="16"/>
          <w:szCs w:val="16"/>
          <w:lang w:val="es-CR"/>
        </w:rPr>
        <w:t xml:space="preserve">Caso I.V. Vs. Bolivia. Supervisión de Cumplimiento de Sentencia. </w:t>
      </w:r>
      <w:r w:rsidRPr="000445BF">
        <w:rPr>
          <w:rFonts w:ascii="Verdana" w:hAnsi="Verdana"/>
          <w:sz w:val="16"/>
          <w:szCs w:val="16"/>
          <w:lang w:val="es-CR"/>
        </w:rPr>
        <w:t xml:space="preserve">Resolución de la Corte Interamericana de Derechos Humanos de 14 de noviembre de 2017, Considerando 7. </w:t>
      </w:r>
    </w:p>
  </w:footnote>
  <w:footnote w:id="15">
    <w:p w14:paraId="67F337CE" w14:textId="7054AA9B" w:rsidR="001F16BA" w:rsidRPr="000445BF" w:rsidRDefault="001F16BA" w:rsidP="001D60CA">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r>
      <w:r w:rsidRPr="000445BF">
        <w:rPr>
          <w:rFonts w:ascii="Verdana" w:hAnsi="Verdana"/>
          <w:i/>
          <w:sz w:val="16"/>
          <w:szCs w:val="16"/>
          <w:lang w:val="es-CR"/>
        </w:rPr>
        <w:t xml:space="preserve">Cfr. </w:t>
      </w:r>
      <w:r w:rsidRPr="000445BF">
        <w:rPr>
          <w:rFonts w:ascii="Verdana" w:hAnsi="Verdana"/>
          <w:sz w:val="16"/>
          <w:szCs w:val="16"/>
          <w:lang w:val="es-CR"/>
        </w:rPr>
        <w:t xml:space="preserve">Página Web del Ministerio de Justicia y Derechos Humanos (enlace al documento indicado por el Estado en su comunicación de 23 de marzo de 2018 disponible en: </w:t>
      </w:r>
      <w:hyperlink r:id="rId2" w:history="1">
        <w:r w:rsidRPr="000445BF">
          <w:rPr>
            <w:rStyle w:val="Hyperlink"/>
            <w:rFonts w:ascii="Verdana" w:hAnsi="Verdana"/>
            <w:sz w:val="16"/>
            <w:szCs w:val="16"/>
            <w:lang w:val="es-CR"/>
          </w:rPr>
          <w:t>https://www.minjus.gob.pe/sentencia-caso-trabajadores-cesados-de-petroperu-del-ministerio-de-educacion-del-ministerio-de-economia-y-finanzas-y-de-la- empresa-nacional-de-puertos-vs-peru/</w:t>
        </w:r>
      </w:hyperlink>
      <w:r w:rsidRPr="000445BF">
        <w:rPr>
          <w:rFonts w:ascii="Verdana" w:hAnsi="Verdana"/>
          <w:sz w:val="16"/>
          <w:szCs w:val="16"/>
          <w:lang w:val="es-CR"/>
        </w:rPr>
        <w:t>, última consulta el 2</w:t>
      </w:r>
      <w:r w:rsidR="00CF5C0E">
        <w:rPr>
          <w:rFonts w:ascii="Verdana" w:hAnsi="Verdana"/>
          <w:sz w:val="16"/>
          <w:szCs w:val="16"/>
          <w:lang w:val="es-CR"/>
        </w:rPr>
        <w:t>6</w:t>
      </w:r>
      <w:r w:rsidRPr="000445BF">
        <w:rPr>
          <w:rFonts w:ascii="Verdana" w:hAnsi="Verdana"/>
          <w:sz w:val="16"/>
          <w:szCs w:val="16"/>
          <w:lang w:val="es-CR"/>
        </w:rPr>
        <w:t xml:space="preserve"> de </w:t>
      </w:r>
      <w:r w:rsidR="00D65612" w:rsidRPr="000445BF">
        <w:rPr>
          <w:rFonts w:ascii="Verdana" w:hAnsi="Verdana"/>
          <w:sz w:val="16"/>
          <w:szCs w:val="16"/>
          <w:lang w:val="es-CR"/>
        </w:rPr>
        <w:t xml:space="preserve">septiembre </w:t>
      </w:r>
      <w:r w:rsidRPr="000445BF">
        <w:rPr>
          <w:rFonts w:ascii="Verdana" w:hAnsi="Verdana"/>
          <w:sz w:val="16"/>
          <w:szCs w:val="16"/>
          <w:lang w:val="es-CR"/>
        </w:rPr>
        <w:t>de 2018).</w:t>
      </w:r>
    </w:p>
  </w:footnote>
  <w:footnote w:id="16">
    <w:p w14:paraId="78B0C6C7" w14:textId="77777777" w:rsidR="001F16BA" w:rsidRPr="000445BF" w:rsidRDefault="001F16BA" w:rsidP="002D2549">
      <w:pPr>
        <w:pStyle w:val="FootnoteText"/>
        <w:jc w:val="both"/>
        <w:rPr>
          <w:rFonts w:ascii="Verdana" w:hAnsi="Verdana"/>
          <w:sz w:val="16"/>
          <w:szCs w:val="16"/>
          <w:lang w:val="es-CR"/>
        </w:rPr>
      </w:pPr>
      <w:r w:rsidRPr="000445BF">
        <w:rPr>
          <w:rStyle w:val="FootnoteReference"/>
          <w:rFonts w:ascii="Verdana" w:hAnsi="Verdana"/>
          <w:sz w:val="16"/>
          <w:szCs w:val="16"/>
        </w:rPr>
        <w:footnoteRef/>
      </w:r>
      <w:r w:rsidRPr="000445BF">
        <w:rPr>
          <w:rFonts w:ascii="Verdana" w:hAnsi="Verdana"/>
          <w:sz w:val="16"/>
          <w:szCs w:val="16"/>
          <w:lang w:val="es-CR"/>
        </w:rPr>
        <w:t xml:space="preserve"> </w:t>
      </w:r>
      <w:r w:rsidRPr="000445BF">
        <w:rPr>
          <w:rFonts w:ascii="Verdana" w:hAnsi="Verdana"/>
          <w:sz w:val="16"/>
          <w:szCs w:val="16"/>
          <w:lang w:val="es-CR"/>
        </w:rPr>
        <w:tab/>
      </w:r>
      <w:r w:rsidRPr="000445BF">
        <w:rPr>
          <w:rFonts w:ascii="Verdana" w:hAnsi="Verdana"/>
          <w:i/>
          <w:sz w:val="16"/>
          <w:szCs w:val="16"/>
          <w:lang w:val="es-CR"/>
        </w:rPr>
        <w:t>Cfr. Caso Familia Pacheco Tineo Vs. Bolivia. Supervisión de Cumplimiento de Sentencia.</w:t>
      </w:r>
      <w:r w:rsidRPr="000445BF">
        <w:rPr>
          <w:rFonts w:ascii="Verdana" w:hAnsi="Verdana"/>
          <w:sz w:val="16"/>
          <w:szCs w:val="16"/>
          <w:lang w:val="es-CR"/>
        </w:rPr>
        <w:t xml:space="preserve"> Resolución de la Corte Interamericana de Derechos Humanos de 17 de abril de 2015, Considerando 9, y </w:t>
      </w:r>
      <w:r w:rsidRPr="000445BF">
        <w:rPr>
          <w:rFonts w:ascii="Verdana" w:hAnsi="Verdana"/>
          <w:i/>
          <w:sz w:val="16"/>
          <w:szCs w:val="16"/>
          <w:lang w:val="es-CR"/>
        </w:rPr>
        <w:t>Caso Andrade Salmón Vs. Bolivia. Supervisión de Cumplimiento de Sentencia.</w:t>
      </w:r>
      <w:r w:rsidRPr="000445BF">
        <w:rPr>
          <w:rFonts w:ascii="Verdana" w:hAnsi="Verdana"/>
          <w:sz w:val="16"/>
          <w:szCs w:val="16"/>
          <w:lang w:val="es-CR"/>
        </w:rPr>
        <w:t xml:space="preserve"> Resolución de la Corte Interamericana de Derechos Humanos de 5 de febrero de 2018, Considerando 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786205"/>
      <w:docPartObj>
        <w:docPartGallery w:val="Page Numbers (Top of Page)"/>
        <w:docPartUnique/>
      </w:docPartObj>
    </w:sdtPr>
    <w:sdtEndPr>
      <w:rPr>
        <w:noProof/>
      </w:rPr>
    </w:sdtEndPr>
    <w:sdtContent>
      <w:p w14:paraId="5E718AF9" w14:textId="030A1AFD" w:rsidR="00874933" w:rsidRDefault="000E2FBB">
        <w:pPr>
          <w:pStyle w:val="Header"/>
          <w:jc w:val="center"/>
        </w:pPr>
        <w:r>
          <w:t>-</w:t>
        </w:r>
        <w:r w:rsidR="00874933">
          <w:fldChar w:fldCharType="begin"/>
        </w:r>
        <w:r w:rsidR="00874933">
          <w:instrText xml:space="preserve"> PAGE   \* MERGEFORMAT </w:instrText>
        </w:r>
        <w:r w:rsidR="00874933">
          <w:fldChar w:fldCharType="separate"/>
        </w:r>
        <w:r w:rsidR="00CC4A3C">
          <w:rPr>
            <w:noProof/>
          </w:rPr>
          <w:t>5</w:t>
        </w:r>
        <w:r w:rsidR="00874933">
          <w:rPr>
            <w:noProof/>
          </w:rPr>
          <w:fldChar w:fldCharType="end"/>
        </w:r>
        <w:r>
          <w:rPr>
            <w:noProof/>
          </w:rPr>
          <w:t>-</w:t>
        </w:r>
      </w:p>
    </w:sdtContent>
  </w:sdt>
  <w:p w14:paraId="5CAE46BC" w14:textId="77777777" w:rsidR="001F16BA" w:rsidRPr="001E5411" w:rsidRDefault="001F16BA">
    <w:pPr>
      <w:pStyle w:val="Head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00F7"/>
    <w:multiLevelType w:val="hybridMultilevel"/>
    <w:tmpl w:val="C2D88B78"/>
    <w:lvl w:ilvl="0" w:tplc="FE6E581C">
      <w:start w:val="1"/>
      <w:numFmt w:val="lowerLetter"/>
      <w:lvlText w:val="%1)"/>
      <w:lvlJc w:val="left"/>
      <w:pPr>
        <w:ind w:left="1080" w:hanging="360"/>
      </w:pPr>
      <w:rPr>
        <w:rFonts w:ascii="Verdana" w:hAnsi="Verdana" w:hint="default"/>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046B2D65"/>
    <w:multiLevelType w:val="hybridMultilevel"/>
    <w:tmpl w:val="75D02A0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ACB3B95"/>
    <w:multiLevelType w:val="hybridMultilevel"/>
    <w:tmpl w:val="0AF499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EBD1220"/>
    <w:multiLevelType w:val="multilevel"/>
    <w:tmpl w:val="75D02A0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0B48C0"/>
    <w:multiLevelType w:val="hybridMultilevel"/>
    <w:tmpl w:val="D248D410"/>
    <w:lvl w:ilvl="0" w:tplc="CD56E2C8">
      <w:numFmt w:val="bullet"/>
      <w:lvlText w:val="-"/>
      <w:lvlJc w:val="left"/>
      <w:pPr>
        <w:ind w:left="720" w:hanging="360"/>
      </w:pPr>
      <w:rPr>
        <w:rFonts w:ascii="Verdana" w:eastAsiaTheme="minorHAnsi" w:hAnsi="Verdana"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6ED3B8B"/>
    <w:multiLevelType w:val="hybridMultilevel"/>
    <w:tmpl w:val="2474B8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889790B"/>
    <w:multiLevelType w:val="hybridMultilevel"/>
    <w:tmpl w:val="3B069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779EB"/>
    <w:multiLevelType w:val="hybridMultilevel"/>
    <w:tmpl w:val="8474D1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7C30D17"/>
    <w:multiLevelType w:val="hybridMultilevel"/>
    <w:tmpl w:val="DF9C03D0"/>
    <w:lvl w:ilvl="0" w:tplc="140A0015">
      <w:start w:val="1"/>
      <w:numFmt w:val="upp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291677D0"/>
    <w:multiLevelType w:val="hybridMultilevel"/>
    <w:tmpl w:val="C3982E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CBC6D7E"/>
    <w:multiLevelType w:val="hybridMultilevel"/>
    <w:tmpl w:val="7416E5C6"/>
    <w:lvl w:ilvl="0" w:tplc="7AF6A3C2">
      <w:start w:val="1"/>
      <w:numFmt w:val="decimal"/>
      <w:lvlText w:val="%1."/>
      <w:lvlJc w:val="left"/>
      <w:pPr>
        <w:ind w:left="720" w:hanging="360"/>
      </w:pPr>
      <w:rPr>
        <w:rFonts w:ascii="Verdana" w:eastAsiaTheme="minorHAnsi" w:hAnsi="Verdana"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13B6759"/>
    <w:multiLevelType w:val="hybridMultilevel"/>
    <w:tmpl w:val="2474B8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CF36D00"/>
    <w:multiLevelType w:val="hybridMultilevel"/>
    <w:tmpl w:val="BE22D5E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B2977ED"/>
    <w:multiLevelType w:val="hybridMultilevel"/>
    <w:tmpl w:val="1042059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nsid w:val="5D11103A"/>
    <w:multiLevelType w:val="hybridMultilevel"/>
    <w:tmpl w:val="0DD8535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608C38E4"/>
    <w:multiLevelType w:val="hybridMultilevel"/>
    <w:tmpl w:val="D98A45B2"/>
    <w:lvl w:ilvl="0" w:tplc="140A000F">
      <w:start w:val="1"/>
      <w:numFmt w:val="decimal"/>
      <w:lvlText w:val="%1."/>
      <w:lvlJc w:val="left"/>
      <w:pPr>
        <w:ind w:left="720" w:hanging="360"/>
      </w:pPr>
    </w:lvl>
    <w:lvl w:ilvl="1" w:tplc="7F5EB592">
      <w:start w:val="1"/>
      <w:numFmt w:val="decimal"/>
      <w:lvlText w:val="%2."/>
      <w:lvlJc w:val="left"/>
      <w:pPr>
        <w:ind w:left="1440" w:hanging="360"/>
      </w:pPr>
      <w:rPr>
        <w:rFonts w:ascii="Verdana" w:eastAsiaTheme="minorHAnsi" w:hAnsi="Verdana" w:cstheme="minorBidi"/>
      </w:rPr>
    </w:lvl>
    <w:lvl w:ilvl="2" w:tplc="228A6F6A">
      <w:start w:val="1"/>
      <w:numFmt w:val="lowerLetter"/>
      <w:lvlText w:val="%3)"/>
      <w:lvlJc w:val="left"/>
      <w:pPr>
        <w:ind w:left="2340" w:hanging="36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nsid w:val="659E2883"/>
    <w:multiLevelType w:val="hybridMultilevel"/>
    <w:tmpl w:val="58F06782"/>
    <w:lvl w:ilvl="0" w:tplc="5CDCCD30">
      <w:start w:val="1"/>
      <w:numFmt w:val="upperLetter"/>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7BFD7622"/>
    <w:multiLevelType w:val="hybridMultilevel"/>
    <w:tmpl w:val="74BE1B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7C6458CB"/>
    <w:multiLevelType w:val="hybridMultilevel"/>
    <w:tmpl w:val="51B874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17"/>
  </w:num>
  <w:num w:numId="4">
    <w:abstractNumId w:val="14"/>
  </w:num>
  <w:num w:numId="5">
    <w:abstractNumId w:val="7"/>
  </w:num>
  <w:num w:numId="6">
    <w:abstractNumId w:val="0"/>
  </w:num>
  <w:num w:numId="7">
    <w:abstractNumId w:val="18"/>
  </w:num>
  <w:num w:numId="8">
    <w:abstractNumId w:val="9"/>
  </w:num>
  <w:num w:numId="9">
    <w:abstractNumId w:val="4"/>
  </w:num>
  <w:num w:numId="10">
    <w:abstractNumId w:val="11"/>
  </w:num>
  <w:num w:numId="11">
    <w:abstractNumId w:val="5"/>
  </w:num>
  <w:num w:numId="12">
    <w:abstractNumId w:val="6"/>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11"/>
    <w:rsid w:val="0000584D"/>
    <w:rsid w:val="00005A12"/>
    <w:rsid w:val="00007617"/>
    <w:rsid w:val="000119AE"/>
    <w:rsid w:val="000164B0"/>
    <w:rsid w:val="00035F60"/>
    <w:rsid w:val="000445BF"/>
    <w:rsid w:val="00050030"/>
    <w:rsid w:val="0005071E"/>
    <w:rsid w:val="00055E2C"/>
    <w:rsid w:val="000626DE"/>
    <w:rsid w:val="0006283C"/>
    <w:rsid w:val="000666F2"/>
    <w:rsid w:val="00072E53"/>
    <w:rsid w:val="00084F6E"/>
    <w:rsid w:val="000935B2"/>
    <w:rsid w:val="000A497C"/>
    <w:rsid w:val="000A7D0F"/>
    <w:rsid w:val="000A7DB5"/>
    <w:rsid w:val="000C5C4E"/>
    <w:rsid w:val="000C7780"/>
    <w:rsid w:val="000D6292"/>
    <w:rsid w:val="000E1545"/>
    <w:rsid w:val="000E24F5"/>
    <w:rsid w:val="000E2FBB"/>
    <w:rsid w:val="000F1F75"/>
    <w:rsid w:val="00120F28"/>
    <w:rsid w:val="00131DEF"/>
    <w:rsid w:val="00135176"/>
    <w:rsid w:val="00136710"/>
    <w:rsid w:val="00145185"/>
    <w:rsid w:val="001458FF"/>
    <w:rsid w:val="00152FED"/>
    <w:rsid w:val="0015444B"/>
    <w:rsid w:val="00160EBD"/>
    <w:rsid w:val="001617CA"/>
    <w:rsid w:val="00163A9C"/>
    <w:rsid w:val="00164AFB"/>
    <w:rsid w:val="001675CC"/>
    <w:rsid w:val="00171509"/>
    <w:rsid w:val="00175A08"/>
    <w:rsid w:val="001A24CD"/>
    <w:rsid w:val="001B19DD"/>
    <w:rsid w:val="001B377F"/>
    <w:rsid w:val="001C5D0E"/>
    <w:rsid w:val="001D60CA"/>
    <w:rsid w:val="001D6996"/>
    <w:rsid w:val="001D75A0"/>
    <w:rsid w:val="001E5411"/>
    <w:rsid w:val="001E58B8"/>
    <w:rsid w:val="001F16BA"/>
    <w:rsid w:val="001F2C7D"/>
    <w:rsid w:val="00200C32"/>
    <w:rsid w:val="002044DC"/>
    <w:rsid w:val="0022077F"/>
    <w:rsid w:val="00221273"/>
    <w:rsid w:val="00225FAE"/>
    <w:rsid w:val="00226819"/>
    <w:rsid w:val="00227136"/>
    <w:rsid w:val="00242C20"/>
    <w:rsid w:val="00244730"/>
    <w:rsid w:val="002468E1"/>
    <w:rsid w:val="00284438"/>
    <w:rsid w:val="00290862"/>
    <w:rsid w:val="00290E64"/>
    <w:rsid w:val="002B0D48"/>
    <w:rsid w:val="002C2648"/>
    <w:rsid w:val="002D241B"/>
    <w:rsid w:val="002D2549"/>
    <w:rsid w:val="002D3796"/>
    <w:rsid w:val="002D6662"/>
    <w:rsid w:val="002E4F71"/>
    <w:rsid w:val="002E6999"/>
    <w:rsid w:val="002E761A"/>
    <w:rsid w:val="002F798E"/>
    <w:rsid w:val="003004AD"/>
    <w:rsid w:val="0031183D"/>
    <w:rsid w:val="00321AC3"/>
    <w:rsid w:val="0032502F"/>
    <w:rsid w:val="00327F13"/>
    <w:rsid w:val="003306D1"/>
    <w:rsid w:val="003360C4"/>
    <w:rsid w:val="00351CA3"/>
    <w:rsid w:val="003557DD"/>
    <w:rsid w:val="00372C9D"/>
    <w:rsid w:val="00376369"/>
    <w:rsid w:val="0037775A"/>
    <w:rsid w:val="00381B53"/>
    <w:rsid w:val="00382CBF"/>
    <w:rsid w:val="00385150"/>
    <w:rsid w:val="003A1A47"/>
    <w:rsid w:val="003B7708"/>
    <w:rsid w:val="003C1789"/>
    <w:rsid w:val="003D4ED5"/>
    <w:rsid w:val="003D6064"/>
    <w:rsid w:val="003E1D74"/>
    <w:rsid w:val="003E3571"/>
    <w:rsid w:val="003E3C0F"/>
    <w:rsid w:val="003E5640"/>
    <w:rsid w:val="003F1360"/>
    <w:rsid w:val="003F20D2"/>
    <w:rsid w:val="003F3FCF"/>
    <w:rsid w:val="003F40CC"/>
    <w:rsid w:val="003F7D97"/>
    <w:rsid w:val="00403BF9"/>
    <w:rsid w:val="00405517"/>
    <w:rsid w:val="00406D9D"/>
    <w:rsid w:val="00417280"/>
    <w:rsid w:val="004269FE"/>
    <w:rsid w:val="004420DE"/>
    <w:rsid w:val="00447F88"/>
    <w:rsid w:val="00456029"/>
    <w:rsid w:val="0045616E"/>
    <w:rsid w:val="00460D33"/>
    <w:rsid w:val="004612B4"/>
    <w:rsid w:val="00467100"/>
    <w:rsid w:val="00471663"/>
    <w:rsid w:val="00477D39"/>
    <w:rsid w:val="00481A61"/>
    <w:rsid w:val="00482C5D"/>
    <w:rsid w:val="00485D8D"/>
    <w:rsid w:val="00490C49"/>
    <w:rsid w:val="004916F0"/>
    <w:rsid w:val="00494A37"/>
    <w:rsid w:val="00495654"/>
    <w:rsid w:val="004959E0"/>
    <w:rsid w:val="004A7B77"/>
    <w:rsid w:val="004B6328"/>
    <w:rsid w:val="004B7F6B"/>
    <w:rsid w:val="004C57EF"/>
    <w:rsid w:val="004C5E76"/>
    <w:rsid w:val="004D43EB"/>
    <w:rsid w:val="004E7B33"/>
    <w:rsid w:val="004F637D"/>
    <w:rsid w:val="00502488"/>
    <w:rsid w:val="00520405"/>
    <w:rsid w:val="00520742"/>
    <w:rsid w:val="00521BA7"/>
    <w:rsid w:val="00521D13"/>
    <w:rsid w:val="00546EEE"/>
    <w:rsid w:val="005470AD"/>
    <w:rsid w:val="00571B77"/>
    <w:rsid w:val="00573397"/>
    <w:rsid w:val="00573A1B"/>
    <w:rsid w:val="0057445F"/>
    <w:rsid w:val="005A7F87"/>
    <w:rsid w:val="005C0773"/>
    <w:rsid w:val="005C68F7"/>
    <w:rsid w:val="005E0056"/>
    <w:rsid w:val="005E134F"/>
    <w:rsid w:val="005E70CB"/>
    <w:rsid w:val="005F02CE"/>
    <w:rsid w:val="005F6B82"/>
    <w:rsid w:val="005F715F"/>
    <w:rsid w:val="006051A8"/>
    <w:rsid w:val="006062AC"/>
    <w:rsid w:val="00607342"/>
    <w:rsid w:val="006343DA"/>
    <w:rsid w:val="0063491F"/>
    <w:rsid w:val="00650ED9"/>
    <w:rsid w:val="006A700C"/>
    <w:rsid w:val="006A759B"/>
    <w:rsid w:val="006B388E"/>
    <w:rsid w:val="006C356C"/>
    <w:rsid w:val="006C5E2A"/>
    <w:rsid w:val="006C6CC5"/>
    <w:rsid w:val="006D5B4C"/>
    <w:rsid w:val="006D7217"/>
    <w:rsid w:val="006D73CF"/>
    <w:rsid w:val="006E1CEA"/>
    <w:rsid w:val="006F4500"/>
    <w:rsid w:val="0070201A"/>
    <w:rsid w:val="007133F4"/>
    <w:rsid w:val="007166A2"/>
    <w:rsid w:val="0074011F"/>
    <w:rsid w:val="00741EE4"/>
    <w:rsid w:val="00742524"/>
    <w:rsid w:val="00767961"/>
    <w:rsid w:val="00774A78"/>
    <w:rsid w:val="00781EF7"/>
    <w:rsid w:val="00782BD1"/>
    <w:rsid w:val="00792A07"/>
    <w:rsid w:val="00794BF2"/>
    <w:rsid w:val="007A7F8E"/>
    <w:rsid w:val="007B1852"/>
    <w:rsid w:val="007B1CBB"/>
    <w:rsid w:val="007B6324"/>
    <w:rsid w:val="007B68AD"/>
    <w:rsid w:val="007B6AF5"/>
    <w:rsid w:val="007B7292"/>
    <w:rsid w:val="007D510E"/>
    <w:rsid w:val="007E1C52"/>
    <w:rsid w:val="007E3DAE"/>
    <w:rsid w:val="007E49E7"/>
    <w:rsid w:val="007F2CA4"/>
    <w:rsid w:val="00801A17"/>
    <w:rsid w:val="00802B6A"/>
    <w:rsid w:val="00806444"/>
    <w:rsid w:val="008265EE"/>
    <w:rsid w:val="00861154"/>
    <w:rsid w:val="00865B96"/>
    <w:rsid w:val="0087187A"/>
    <w:rsid w:val="00874933"/>
    <w:rsid w:val="00876249"/>
    <w:rsid w:val="00881B96"/>
    <w:rsid w:val="00896291"/>
    <w:rsid w:val="008A1933"/>
    <w:rsid w:val="008B46D3"/>
    <w:rsid w:val="008B4BAC"/>
    <w:rsid w:val="008B53AB"/>
    <w:rsid w:val="008D23B4"/>
    <w:rsid w:val="008E0C4D"/>
    <w:rsid w:val="008E44A2"/>
    <w:rsid w:val="00902667"/>
    <w:rsid w:val="00921789"/>
    <w:rsid w:val="00923AEB"/>
    <w:rsid w:val="0093781B"/>
    <w:rsid w:val="00954D55"/>
    <w:rsid w:val="00962494"/>
    <w:rsid w:val="00967A8F"/>
    <w:rsid w:val="0097377E"/>
    <w:rsid w:val="00974D95"/>
    <w:rsid w:val="00976E63"/>
    <w:rsid w:val="00985839"/>
    <w:rsid w:val="00993505"/>
    <w:rsid w:val="009949F3"/>
    <w:rsid w:val="0099549D"/>
    <w:rsid w:val="009B53B2"/>
    <w:rsid w:val="009B5EDF"/>
    <w:rsid w:val="009C07D1"/>
    <w:rsid w:val="009C539F"/>
    <w:rsid w:val="009D77F2"/>
    <w:rsid w:val="009F16AE"/>
    <w:rsid w:val="009F2E9B"/>
    <w:rsid w:val="009F54EE"/>
    <w:rsid w:val="00A0280C"/>
    <w:rsid w:val="00A035DD"/>
    <w:rsid w:val="00A04452"/>
    <w:rsid w:val="00A04659"/>
    <w:rsid w:val="00A26125"/>
    <w:rsid w:val="00A349B4"/>
    <w:rsid w:val="00A362F3"/>
    <w:rsid w:val="00A50D22"/>
    <w:rsid w:val="00A5546E"/>
    <w:rsid w:val="00A573BF"/>
    <w:rsid w:val="00A6598D"/>
    <w:rsid w:val="00A84178"/>
    <w:rsid w:val="00A86E25"/>
    <w:rsid w:val="00A94D9E"/>
    <w:rsid w:val="00AA3E3F"/>
    <w:rsid w:val="00AA479F"/>
    <w:rsid w:val="00AB0FAA"/>
    <w:rsid w:val="00AB1DC9"/>
    <w:rsid w:val="00AB5096"/>
    <w:rsid w:val="00AC069B"/>
    <w:rsid w:val="00AC4E92"/>
    <w:rsid w:val="00B1544D"/>
    <w:rsid w:val="00B228B5"/>
    <w:rsid w:val="00B26560"/>
    <w:rsid w:val="00B302AE"/>
    <w:rsid w:val="00B30A18"/>
    <w:rsid w:val="00B46BAC"/>
    <w:rsid w:val="00B479D6"/>
    <w:rsid w:val="00B50C62"/>
    <w:rsid w:val="00B52C54"/>
    <w:rsid w:val="00B52E84"/>
    <w:rsid w:val="00B540F6"/>
    <w:rsid w:val="00B62BAC"/>
    <w:rsid w:val="00B717CC"/>
    <w:rsid w:val="00B7283B"/>
    <w:rsid w:val="00B72B59"/>
    <w:rsid w:val="00B75009"/>
    <w:rsid w:val="00B84117"/>
    <w:rsid w:val="00B91666"/>
    <w:rsid w:val="00B9171C"/>
    <w:rsid w:val="00B9267A"/>
    <w:rsid w:val="00B94A45"/>
    <w:rsid w:val="00BD0976"/>
    <w:rsid w:val="00BD5B17"/>
    <w:rsid w:val="00BE18EB"/>
    <w:rsid w:val="00BE1A2F"/>
    <w:rsid w:val="00BE3306"/>
    <w:rsid w:val="00BE4905"/>
    <w:rsid w:val="00BF2A07"/>
    <w:rsid w:val="00C06145"/>
    <w:rsid w:val="00C125DB"/>
    <w:rsid w:val="00C13271"/>
    <w:rsid w:val="00C218A1"/>
    <w:rsid w:val="00C21DE3"/>
    <w:rsid w:val="00C502B5"/>
    <w:rsid w:val="00C55B8B"/>
    <w:rsid w:val="00C57858"/>
    <w:rsid w:val="00C67516"/>
    <w:rsid w:val="00C74A3F"/>
    <w:rsid w:val="00C84E43"/>
    <w:rsid w:val="00CA2B2F"/>
    <w:rsid w:val="00CA70D7"/>
    <w:rsid w:val="00CB4347"/>
    <w:rsid w:val="00CB5421"/>
    <w:rsid w:val="00CC4A3C"/>
    <w:rsid w:val="00CC56CA"/>
    <w:rsid w:val="00CD267B"/>
    <w:rsid w:val="00CD7FE1"/>
    <w:rsid w:val="00CE20CB"/>
    <w:rsid w:val="00CE325D"/>
    <w:rsid w:val="00CF0D67"/>
    <w:rsid w:val="00CF5C0E"/>
    <w:rsid w:val="00D065CF"/>
    <w:rsid w:val="00D0726E"/>
    <w:rsid w:val="00D15FE7"/>
    <w:rsid w:val="00D16D21"/>
    <w:rsid w:val="00D3062E"/>
    <w:rsid w:val="00D31337"/>
    <w:rsid w:val="00D33461"/>
    <w:rsid w:val="00D379DE"/>
    <w:rsid w:val="00D37CCE"/>
    <w:rsid w:val="00D41674"/>
    <w:rsid w:val="00D56CA3"/>
    <w:rsid w:val="00D65612"/>
    <w:rsid w:val="00D80AE5"/>
    <w:rsid w:val="00D8135C"/>
    <w:rsid w:val="00D91870"/>
    <w:rsid w:val="00D92D8C"/>
    <w:rsid w:val="00DA044D"/>
    <w:rsid w:val="00DA3803"/>
    <w:rsid w:val="00DA78E0"/>
    <w:rsid w:val="00DB785F"/>
    <w:rsid w:val="00DC2A52"/>
    <w:rsid w:val="00DC4FAC"/>
    <w:rsid w:val="00DC50FA"/>
    <w:rsid w:val="00DC5E61"/>
    <w:rsid w:val="00DC6DD3"/>
    <w:rsid w:val="00DE104E"/>
    <w:rsid w:val="00DE24EC"/>
    <w:rsid w:val="00DE2B8E"/>
    <w:rsid w:val="00DF4236"/>
    <w:rsid w:val="00DF4963"/>
    <w:rsid w:val="00DF5BE7"/>
    <w:rsid w:val="00E037B6"/>
    <w:rsid w:val="00E121E4"/>
    <w:rsid w:val="00E12F56"/>
    <w:rsid w:val="00E2290C"/>
    <w:rsid w:val="00E468AF"/>
    <w:rsid w:val="00E5313B"/>
    <w:rsid w:val="00E6041C"/>
    <w:rsid w:val="00E74D45"/>
    <w:rsid w:val="00E75A49"/>
    <w:rsid w:val="00E96DB8"/>
    <w:rsid w:val="00EA41EF"/>
    <w:rsid w:val="00EA42CF"/>
    <w:rsid w:val="00EF1C88"/>
    <w:rsid w:val="00EF1FD3"/>
    <w:rsid w:val="00F0337C"/>
    <w:rsid w:val="00F16BA6"/>
    <w:rsid w:val="00F2322B"/>
    <w:rsid w:val="00F23386"/>
    <w:rsid w:val="00F25D95"/>
    <w:rsid w:val="00F32C3E"/>
    <w:rsid w:val="00F4300A"/>
    <w:rsid w:val="00F4633C"/>
    <w:rsid w:val="00F47D6F"/>
    <w:rsid w:val="00F530D0"/>
    <w:rsid w:val="00F60787"/>
    <w:rsid w:val="00F64BBD"/>
    <w:rsid w:val="00F66865"/>
    <w:rsid w:val="00F71C32"/>
    <w:rsid w:val="00F7783B"/>
    <w:rsid w:val="00F85462"/>
    <w:rsid w:val="00F9508B"/>
    <w:rsid w:val="00F97167"/>
    <w:rsid w:val="00FA3B2C"/>
    <w:rsid w:val="00FA4472"/>
    <w:rsid w:val="00FA5C64"/>
    <w:rsid w:val="00FD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D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30A18"/>
    <w:rPr>
      <w:sz w:val="20"/>
      <w:szCs w:val="20"/>
    </w:rPr>
  </w:style>
  <w:style w:type="character" w:styleId="FootnoteReference">
    <w:name w:val="footnote reference"/>
    <w:basedOn w:val="DefaultParagraphFont"/>
    <w:uiPriority w:val="99"/>
    <w:semiHidden/>
    <w:unhideWhenUsed/>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paragraph" w:styleId="BalloonText">
    <w:name w:val="Balloon Text"/>
    <w:basedOn w:val="Normal"/>
    <w:link w:val="BalloonTextChar"/>
    <w:uiPriority w:val="99"/>
    <w:semiHidden/>
    <w:unhideWhenUsed/>
    <w:rsid w:val="007020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1A"/>
    <w:rPr>
      <w:sz w:val="18"/>
      <w:szCs w:val="18"/>
    </w:rPr>
  </w:style>
  <w:style w:type="paragraph" w:styleId="CommentText">
    <w:name w:val="annotation text"/>
    <w:basedOn w:val="Normal"/>
    <w:link w:val="CommentTextChar"/>
    <w:uiPriority w:val="99"/>
    <w:semiHidden/>
    <w:unhideWhenUsed/>
    <w:rsid w:val="0070201A"/>
    <w:pPr>
      <w:spacing w:line="240" w:lineRule="auto"/>
    </w:pPr>
    <w:rPr>
      <w:sz w:val="24"/>
      <w:szCs w:val="24"/>
    </w:rPr>
  </w:style>
  <w:style w:type="character" w:customStyle="1" w:styleId="CommentTextChar">
    <w:name w:val="Comment Text Char"/>
    <w:basedOn w:val="DefaultParagraphFont"/>
    <w:link w:val="CommentText"/>
    <w:uiPriority w:val="99"/>
    <w:semiHidden/>
    <w:rsid w:val="0070201A"/>
    <w:rPr>
      <w:sz w:val="24"/>
      <w:szCs w:val="24"/>
    </w:rPr>
  </w:style>
  <w:style w:type="paragraph" w:styleId="CommentSubject">
    <w:name w:val="annotation subject"/>
    <w:basedOn w:val="CommentText"/>
    <w:next w:val="CommentText"/>
    <w:link w:val="CommentSubjectChar"/>
    <w:uiPriority w:val="99"/>
    <w:semiHidden/>
    <w:unhideWhenUsed/>
    <w:rsid w:val="0070201A"/>
    <w:rPr>
      <w:b/>
      <w:bCs/>
      <w:sz w:val="20"/>
      <w:szCs w:val="20"/>
    </w:rPr>
  </w:style>
  <w:style w:type="character" w:customStyle="1" w:styleId="CommentSubjectChar">
    <w:name w:val="Comment Subject Char"/>
    <w:basedOn w:val="CommentTextChar"/>
    <w:link w:val="CommentSubject"/>
    <w:uiPriority w:val="99"/>
    <w:semiHidden/>
    <w:rsid w:val="0070201A"/>
    <w:rPr>
      <w:b/>
      <w:bCs/>
      <w:sz w:val="20"/>
      <w:szCs w:val="20"/>
    </w:rPr>
  </w:style>
  <w:style w:type="paragraph" w:styleId="Revision">
    <w:name w:val="Revision"/>
    <w:hidden/>
    <w:uiPriority w:val="99"/>
    <w:semiHidden/>
    <w:rsid w:val="00CB5421"/>
    <w:pPr>
      <w:spacing w:after="0" w:line="240" w:lineRule="auto"/>
    </w:pPr>
  </w:style>
  <w:style w:type="character" w:customStyle="1" w:styleId="Heading1Char">
    <w:name w:val="Heading 1 Char"/>
    <w:basedOn w:val="DefaultParagraphFont"/>
    <w:link w:val="Heading1"/>
    <w:uiPriority w:val="9"/>
    <w:rsid w:val="003004A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2322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30A18"/>
    <w:rPr>
      <w:sz w:val="20"/>
      <w:szCs w:val="20"/>
    </w:rPr>
  </w:style>
  <w:style w:type="character" w:styleId="FootnoteReference">
    <w:name w:val="footnote reference"/>
    <w:basedOn w:val="DefaultParagraphFont"/>
    <w:uiPriority w:val="99"/>
    <w:semiHidden/>
    <w:unhideWhenUsed/>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paragraph" w:styleId="BalloonText">
    <w:name w:val="Balloon Text"/>
    <w:basedOn w:val="Normal"/>
    <w:link w:val="BalloonTextChar"/>
    <w:uiPriority w:val="99"/>
    <w:semiHidden/>
    <w:unhideWhenUsed/>
    <w:rsid w:val="007020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1A"/>
    <w:rPr>
      <w:sz w:val="18"/>
      <w:szCs w:val="18"/>
    </w:rPr>
  </w:style>
  <w:style w:type="paragraph" w:styleId="CommentText">
    <w:name w:val="annotation text"/>
    <w:basedOn w:val="Normal"/>
    <w:link w:val="CommentTextChar"/>
    <w:uiPriority w:val="99"/>
    <w:semiHidden/>
    <w:unhideWhenUsed/>
    <w:rsid w:val="0070201A"/>
    <w:pPr>
      <w:spacing w:line="240" w:lineRule="auto"/>
    </w:pPr>
    <w:rPr>
      <w:sz w:val="24"/>
      <w:szCs w:val="24"/>
    </w:rPr>
  </w:style>
  <w:style w:type="character" w:customStyle="1" w:styleId="CommentTextChar">
    <w:name w:val="Comment Text Char"/>
    <w:basedOn w:val="DefaultParagraphFont"/>
    <w:link w:val="CommentText"/>
    <w:uiPriority w:val="99"/>
    <w:semiHidden/>
    <w:rsid w:val="0070201A"/>
    <w:rPr>
      <w:sz w:val="24"/>
      <w:szCs w:val="24"/>
    </w:rPr>
  </w:style>
  <w:style w:type="paragraph" w:styleId="CommentSubject">
    <w:name w:val="annotation subject"/>
    <w:basedOn w:val="CommentText"/>
    <w:next w:val="CommentText"/>
    <w:link w:val="CommentSubjectChar"/>
    <w:uiPriority w:val="99"/>
    <w:semiHidden/>
    <w:unhideWhenUsed/>
    <w:rsid w:val="0070201A"/>
    <w:rPr>
      <w:b/>
      <w:bCs/>
      <w:sz w:val="20"/>
      <w:szCs w:val="20"/>
    </w:rPr>
  </w:style>
  <w:style w:type="character" w:customStyle="1" w:styleId="CommentSubjectChar">
    <w:name w:val="Comment Subject Char"/>
    <w:basedOn w:val="CommentTextChar"/>
    <w:link w:val="CommentSubject"/>
    <w:uiPriority w:val="99"/>
    <w:semiHidden/>
    <w:rsid w:val="0070201A"/>
    <w:rPr>
      <w:b/>
      <w:bCs/>
      <w:sz w:val="20"/>
      <w:szCs w:val="20"/>
    </w:rPr>
  </w:style>
  <w:style w:type="paragraph" w:styleId="Revision">
    <w:name w:val="Revision"/>
    <w:hidden/>
    <w:uiPriority w:val="99"/>
    <w:semiHidden/>
    <w:rsid w:val="00CB5421"/>
    <w:pPr>
      <w:spacing w:after="0" w:line="240" w:lineRule="auto"/>
    </w:pPr>
  </w:style>
  <w:style w:type="character" w:customStyle="1" w:styleId="Heading1Char">
    <w:name w:val="Heading 1 Char"/>
    <w:basedOn w:val="DefaultParagraphFont"/>
    <w:link w:val="Heading1"/>
    <w:uiPriority w:val="9"/>
    <w:rsid w:val="003004A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2322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1893">
      <w:bodyDiv w:val="1"/>
      <w:marLeft w:val="0"/>
      <w:marRight w:val="0"/>
      <w:marTop w:val="0"/>
      <w:marBottom w:val="0"/>
      <w:divBdr>
        <w:top w:val="none" w:sz="0" w:space="0" w:color="auto"/>
        <w:left w:val="none" w:sz="0" w:space="0" w:color="auto"/>
        <w:bottom w:val="none" w:sz="0" w:space="0" w:color="auto"/>
        <w:right w:val="none" w:sz="0" w:space="0" w:color="auto"/>
      </w:divBdr>
    </w:div>
    <w:div w:id="40254181">
      <w:bodyDiv w:val="1"/>
      <w:marLeft w:val="0"/>
      <w:marRight w:val="0"/>
      <w:marTop w:val="0"/>
      <w:marBottom w:val="0"/>
      <w:divBdr>
        <w:top w:val="none" w:sz="0" w:space="0" w:color="auto"/>
        <w:left w:val="none" w:sz="0" w:space="0" w:color="auto"/>
        <w:bottom w:val="none" w:sz="0" w:space="0" w:color="auto"/>
        <w:right w:val="none" w:sz="0" w:space="0" w:color="auto"/>
      </w:divBdr>
    </w:div>
    <w:div w:id="76245363">
      <w:bodyDiv w:val="1"/>
      <w:marLeft w:val="0"/>
      <w:marRight w:val="0"/>
      <w:marTop w:val="0"/>
      <w:marBottom w:val="0"/>
      <w:divBdr>
        <w:top w:val="none" w:sz="0" w:space="0" w:color="auto"/>
        <w:left w:val="none" w:sz="0" w:space="0" w:color="auto"/>
        <w:bottom w:val="none" w:sz="0" w:space="0" w:color="auto"/>
        <w:right w:val="none" w:sz="0" w:space="0" w:color="auto"/>
      </w:divBdr>
    </w:div>
    <w:div w:id="444811573">
      <w:bodyDiv w:val="1"/>
      <w:marLeft w:val="0"/>
      <w:marRight w:val="0"/>
      <w:marTop w:val="0"/>
      <w:marBottom w:val="0"/>
      <w:divBdr>
        <w:top w:val="none" w:sz="0" w:space="0" w:color="auto"/>
        <w:left w:val="none" w:sz="0" w:space="0" w:color="auto"/>
        <w:bottom w:val="none" w:sz="0" w:space="0" w:color="auto"/>
        <w:right w:val="none" w:sz="0" w:space="0" w:color="auto"/>
      </w:divBdr>
    </w:div>
    <w:div w:id="1468473428">
      <w:bodyDiv w:val="1"/>
      <w:marLeft w:val="0"/>
      <w:marRight w:val="0"/>
      <w:marTop w:val="0"/>
      <w:marBottom w:val="0"/>
      <w:divBdr>
        <w:top w:val="none" w:sz="0" w:space="0" w:color="auto"/>
        <w:left w:val="none" w:sz="0" w:space="0" w:color="auto"/>
        <w:bottom w:val="none" w:sz="0" w:space="0" w:color="auto"/>
        <w:right w:val="none" w:sz="0" w:space="0" w:color="auto"/>
      </w:divBdr>
    </w:div>
    <w:div w:id="1609771291">
      <w:bodyDiv w:val="1"/>
      <w:marLeft w:val="0"/>
      <w:marRight w:val="0"/>
      <w:marTop w:val="0"/>
      <w:marBottom w:val="0"/>
      <w:divBdr>
        <w:top w:val="none" w:sz="0" w:space="0" w:color="auto"/>
        <w:left w:val="none" w:sz="0" w:space="0" w:color="auto"/>
        <w:bottom w:val="none" w:sz="0" w:space="0" w:color="auto"/>
        <w:right w:val="none" w:sz="0" w:space="0" w:color="auto"/>
      </w:divBdr>
    </w:div>
    <w:div w:id="1670788675">
      <w:bodyDiv w:val="1"/>
      <w:marLeft w:val="0"/>
      <w:marRight w:val="0"/>
      <w:marTop w:val="0"/>
      <w:marBottom w:val="0"/>
      <w:divBdr>
        <w:top w:val="none" w:sz="0" w:space="0" w:color="auto"/>
        <w:left w:val="none" w:sz="0" w:space="0" w:color="auto"/>
        <w:bottom w:val="none" w:sz="0" w:space="0" w:color="auto"/>
        <w:right w:val="none" w:sz="0" w:space="0" w:color="auto"/>
      </w:divBdr>
    </w:div>
    <w:div w:id="1975521338">
      <w:bodyDiv w:val="1"/>
      <w:marLeft w:val="0"/>
      <w:marRight w:val="0"/>
      <w:marTop w:val="0"/>
      <w:marBottom w:val="0"/>
      <w:divBdr>
        <w:top w:val="none" w:sz="0" w:space="0" w:color="auto"/>
        <w:left w:val="none" w:sz="0" w:space="0" w:color="auto"/>
        <w:bottom w:val="none" w:sz="0" w:space="0" w:color="auto"/>
        <w:right w:val="none" w:sz="0" w:space="0" w:color="auto"/>
      </w:divBdr>
    </w:div>
    <w:div w:id="20184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injus.gob.pe/sentencia-caso-trabajadores-cesados-de-petroperu-del-ministerio-de-educacion-del-ministerio-de-economia-y-finanzas-y-de-la-%20empresa-nacional-de-puertos-vs-peru/" TargetMode="External"/><Relationship Id="rId1" Type="http://schemas.openxmlformats.org/officeDocument/2006/relationships/hyperlink" Target="http://www.corteidh.or.cr/docs/casos/articulos/seriec_339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7C62-9340-42A1-A692-4F2751ED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8788</Characters>
  <Application>Microsoft Office Word</Application>
  <DocSecurity>4</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2018-10-30T17:22:00Z</cp:lastPrinted>
  <dcterms:created xsi:type="dcterms:W3CDTF">2018-10-30T17:31:00Z</dcterms:created>
  <dcterms:modified xsi:type="dcterms:W3CDTF">2018-10-30T17:31:00Z</dcterms:modified>
</cp:coreProperties>
</file>