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63DBA" w14:textId="77777777" w:rsidR="009F16AE" w:rsidRPr="00AB3657" w:rsidRDefault="009F16AE" w:rsidP="00967A71">
      <w:pPr>
        <w:spacing w:after="240" w:line="240" w:lineRule="auto"/>
        <w:jc w:val="center"/>
        <w:rPr>
          <w:rFonts w:ascii="Verdana" w:hAnsi="Verdana"/>
          <w:b/>
          <w:sz w:val="16"/>
          <w:szCs w:val="16"/>
          <w:lang w:val="es-CR"/>
        </w:rPr>
      </w:pPr>
      <w:bookmarkStart w:id="0" w:name="_GoBack"/>
      <w:bookmarkEnd w:id="0"/>
    </w:p>
    <w:p w14:paraId="6CC0E2F1" w14:textId="77777777" w:rsidR="00BA4CA6" w:rsidRPr="00AB3657" w:rsidRDefault="00BA4CA6" w:rsidP="00967A71">
      <w:pPr>
        <w:spacing w:after="240" w:line="240" w:lineRule="auto"/>
        <w:jc w:val="center"/>
        <w:rPr>
          <w:rFonts w:ascii="Verdana" w:hAnsi="Verdana"/>
          <w:b/>
          <w:sz w:val="16"/>
          <w:szCs w:val="16"/>
          <w:lang w:val="es-CR"/>
        </w:rPr>
      </w:pPr>
    </w:p>
    <w:p w14:paraId="1A1B89B4" w14:textId="77777777" w:rsidR="000E1545" w:rsidRDefault="000E1545" w:rsidP="00967A71">
      <w:pPr>
        <w:spacing w:after="240" w:line="240" w:lineRule="auto"/>
        <w:jc w:val="center"/>
        <w:rPr>
          <w:rFonts w:ascii="Verdana" w:hAnsi="Verdana"/>
          <w:b/>
          <w:sz w:val="16"/>
          <w:szCs w:val="16"/>
          <w:lang w:val="es-CR"/>
        </w:rPr>
      </w:pPr>
    </w:p>
    <w:p w14:paraId="35C2F828" w14:textId="77777777" w:rsidR="005C60E3" w:rsidRDefault="005C60E3" w:rsidP="00967A71">
      <w:pPr>
        <w:spacing w:after="240" w:line="240" w:lineRule="auto"/>
        <w:jc w:val="center"/>
        <w:rPr>
          <w:rFonts w:ascii="Verdana" w:hAnsi="Verdana"/>
          <w:b/>
          <w:sz w:val="16"/>
          <w:szCs w:val="16"/>
          <w:lang w:val="es-CR"/>
        </w:rPr>
      </w:pPr>
    </w:p>
    <w:p w14:paraId="1FB3EB26" w14:textId="77777777" w:rsidR="005C60E3" w:rsidRPr="00AB3657" w:rsidRDefault="005C60E3" w:rsidP="00F856B8">
      <w:pPr>
        <w:spacing w:after="120" w:line="240" w:lineRule="auto"/>
        <w:jc w:val="center"/>
        <w:rPr>
          <w:rFonts w:ascii="Verdana" w:hAnsi="Verdana"/>
          <w:b/>
          <w:sz w:val="16"/>
          <w:szCs w:val="16"/>
          <w:lang w:val="es-CR"/>
        </w:rPr>
      </w:pPr>
    </w:p>
    <w:p w14:paraId="2D7E76F7" w14:textId="77777777" w:rsidR="002F04AF" w:rsidRDefault="001E5411" w:rsidP="00F856B8">
      <w:pPr>
        <w:spacing w:after="120" w:line="240" w:lineRule="auto"/>
        <w:jc w:val="center"/>
        <w:rPr>
          <w:rFonts w:ascii="Verdana" w:hAnsi="Verdana"/>
          <w:b/>
          <w:sz w:val="20"/>
          <w:szCs w:val="20"/>
          <w:lang w:val="es-CR"/>
        </w:rPr>
      </w:pPr>
      <w:r>
        <w:rPr>
          <w:rFonts w:ascii="Verdana" w:hAnsi="Verdana"/>
          <w:b/>
          <w:sz w:val="20"/>
          <w:szCs w:val="20"/>
          <w:lang w:val="es-CR"/>
        </w:rPr>
        <w:t>RESOLUCIÓN DE LA</w:t>
      </w:r>
    </w:p>
    <w:p w14:paraId="67A69A86" w14:textId="77777777" w:rsidR="001E5411" w:rsidRPr="00AB3657" w:rsidRDefault="001E5411" w:rsidP="00F856B8">
      <w:pPr>
        <w:spacing w:after="120" w:line="240" w:lineRule="auto"/>
        <w:jc w:val="center"/>
        <w:rPr>
          <w:rFonts w:ascii="Verdana" w:hAnsi="Verdana"/>
          <w:b/>
          <w:sz w:val="16"/>
          <w:szCs w:val="16"/>
          <w:lang w:val="es-CR"/>
        </w:rPr>
      </w:pPr>
    </w:p>
    <w:p w14:paraId="7D82FABD" w14:textId="50E01CA2" w:rsidR="001E5411" w:rsidRDefault="001E5411" w:rsidP="00F856B8">
      <w:pPr>
        <w:spacing w:after="120" w:line="240" w:lineRule="auto"/>
        <w:jc w:val="center"/>
        <w:rPr>
          <w:rFonts w:ascii="Verdana" w:hAnsi="Verdana"/>
          <w:b/>
          <w:sz w:val="20"/>
          <w:szCs w:val="20"/>
          <w:lang w:val="es-CR"/>
        </w:rPr>
      </w:pPr>
      <w:r>
        <w:rPr>
          <w:rFonts w:ascii="Verdana" w:hAnsi="Verdana"/>
          <w:b/>
          <w:sz w:val="20"/>
          <w:szCs w:val="20"/>
          <w:lang w:val="es-CR"/>
        </w:rPr>
        <w:t>CORTE INTERAMERICANA DE DERECHOS HUMANOS</w:t>
      </w:r>
      <w:r w:rsidR="00935B21">
        <w:rPr>
          <w:rStyle w:val="FootnoteReference"/>
          <w:rFonts w:ascii="Verdana" w:hAnsi="Verdana"/>
          <w:b/>
          <w:sz w:val="20"/>
          <w:lang w:val="es-MX"/>
        </w:rPr>
        <w:footnoteReference w:customMarkFollows="1" w:id="1"/>
        <w:t>*</w:t>
      </w:r>
    </w:p>
    <w:p w14:paraId="24DA32BA" w14:textId="77777777" w:rsidR="001E5411" w:rsidRPr="00AB3657" w:rsidRDefault="001E5411" w:rsidP="00F856B8">
      <w:pPr>
        <w:spacing w:after="120" w:line="240" w:lineRule="auto"/>
        <w:jc w:val="center"/>
        <w:rPr>
          <w:rFonts w:ascii="Verdana" w:hAnsi="Verdana"/>
          <w:b/>
          <w:sz w:val="16"/>
          <w:szCs w:val="16"/>
          <w:lang w:val="es-CR"/>
        </w:rPr>
      </w:pPr>
    </w:p>
    <w:p w14:paraId="61D8CC08" w14:textId="480596B2" w:rsidR="001E5411" w:rsidRDefault="001E5411" w:rsidP="00F856B8">
      <w:pPr>
        <w:spacing w:after="120" w:line="240" w:lineRule="auto"/>
        <w:jc w:val="center"/>
        <w:rPr>
          <w:rFonts w:ascii="Verdana" w:hAnsi="Verdana"/>
          <w:b/>
          <w:sz w:val="20"/>
          <w:szCs w:val="20"/>
          <w:lang w:val="es-CR"/>
        </w:rPr>
      </w:pPr>
      <w:r>
        <w:rPr>
          <w:rFonts w:ascii="Verdana" w:hAnsi="Verdana"/>
          <w:b/>
          <w:sz w:val="20"/>
          <w:szCs w:val="20"/>
          <w:lang w:val="es-CR"/>
        </w:rPr>
        <w:t xml:space="preserve">DE </w:t>
      </w:r>
      <w:r w:rsidR="005C60E3">
        <w:rPr>
          <w:rFonts w:ascii="Verdana" w:hAnsi="Verdana"/>
          <w:b/>
          <w:sz w:val="20"/>
          <w:szCs w:val="20"/>
          <w:lang w:val="es-CR"/>
        </w:rPr>
        <w:t>26</w:t>
      </w:r>
      <w:r>
        <w:rPr>
          <w:rFonts w:ascii="Verdana" w:hAnsi="Verdana"/>
          <w:b/>
          <w:sz w:val="20"/>
          <w:szCs w:val="20"/>
          <w:lang w:val="es-CR"/>
        </w:rPr>
        <w:t xml:space="preserve"> DE </w:t>
      </w:r>
      <w:r w:rsidR="00854911">
        <w:rPr>
          <w:rFonts w:ascii="Verdana" w:hAnsi="Verdana"/>
          <w:b/>
          <w:sz w:val="20"/>
          <w:szCs w:val="20"/>
          <w:lang w:val="es-CR"/>
        </w:rPr>
        <w:t>SEPTIEMBRE</w:t>
      </w:r>
      <w:r w:rsidR="00761555">
        <w:rPr>
          <w:rFonts w:ascii="Verdana" w:hAnsi="Verdana"/>
          <w:b/>
          <w:sz w:val="20"/>
          <w:szCs w:val="20"/>
          <w:lang w:val="es-CR"/>
        </w:rPr>
        <w:t xml:space="preserve"> DE 2018</w:t>
      </w:r>
    </w:p>
    <w:p w14:paraId="55182D2A" w14:textId="77777777" w:rsidR="001E5411" w:rsidRPr="00AB3657" w:rsidRDefault="001E5411" w:rsidP="00F856B8">
      <w:pPr>
        <w:spacing w:after="120" w:line="240" w:lineRule="auto"/>
        <w:jc w:val="center"/>
        <w:rPr>
          <w:rFonts w:ascii="Verdana" w:hAnsi="Verdana"/>
          <w:b/>
          <w:sz w:val="16"/>
          <w:szCs w:val="16"/>
          <w:lang w:val="es-CR"/>
        </w:rPr>
      </w:pPr>
    </w:p>
    <w:p w14:paraId="1B89916E" w14:textId="732A94B1" w:rsidR="001E5411" w:rsidRDefault="001E5411" w:rsidP="00F856B8">
      <w:pPr>
        <w:spacing w:after="120" w:line="240" w:lineRule="auto"/>
        <w:jc w:val="center"/>
        <w:rPr>
          <w:rFonts w:ascii="Verdana" w:hAnsi="Verdana"/>
          <w:b/>
          <w:sz w:val="20"/>
          <w:szCs w:val="20"/>
          <w:lang w:val="es-CR"/>
        </w:rPr>
      </w:pPr>
      <w:r>
        <w:rPr>
          <w:rFonts w:ascii="Verdana" w:hAnsi="Verdana"/>
          <w:b/>
          <w:sz w:val="20"/>
          <w:szCs w:val="20"/>
          <w:lang w:val="es-CR"/>
        </w:rPr>
        <w:t>CASO</w:t>
      </w:r>
      <w:r w:rsidR="0098684E">
        <w:rPr>
          <w:rFonts w:ascii="Verdana" w:hAnsi="Verdana"/>
          <w:b/>
          <w:sz w:val="20"/>
          <w:szCs w:val="20"/>
          <w:lang w:val="es-CR"/>
        </w:rPr>
        <w:t xml:space="preserve"> POLLO RIVERA Y OTROS Y </w:t>
      </w:r>
      <w:r w:rsidR="001E7D37">
        <w:rPr>
          <w:rFonts w:ascii="Verdana" w:hAnsi="Verdana"/>
          <w:b/>
          <w:sz w:val="20"/>
          <w:szCs w:val="20"/>
          <w:lang w:val="es-CR"/>
        </w:rPr>
        <w:t xml:space="preserve">CASO </w:t>
      </w:r>
      <w:r w:rsidR="0098684E">
        <w:rPr>
          <w:rFonts w:ascii="Verdana" w:hAnsi="Verdana"/>
          <w:b/>
          <w:sz w:val="20"/>
          <w:szCs w:val="20"/>
          <w:lang w:val="es-CR"/>
        </w:rPr>
        <w:t xml:space="preserve">LAGOS DEL CAMPO </w:t>
      </w:r>
      <w:r>
        <w:rPr>
          <w:rFonts w:ascii="Verdana" w:hAnsi="Verdana"/>
          <w:b/>
          <w:sz w:val="20"/>
          <w:szCs w:val="20"/>
          <w:lang w:val="es-CR"/>
        </w:rPr>
        <w:t xml:space="preserve">VS. </w:t>
      </w:r>
      <w:r w:rsidR="00C475D7">
        <w:rPr>
          <w:rFonts w:ascii="Verdana" w:hAnsi="Verdana"/>
          <w:b/>
          <w:sz w:val="20"/>
          <w:szCs w:val="20"/>
          <w:lang w:val="es-CR"/>
        </w:rPr>
        <w:t>PERÚ</w:t>
      </w:r>
    </w:p>
    <w:p w14:paraId="079CF564" w14:textId="77777777" w:rsidR="001E5411" w:rsidRPr="00AB3657" w:rsidRDefault="001E5411" w:rsidP="00F856B8">
      <w:pPr>
        <w:spacing w:after="120" w:line="240" w:lineRule="auto"/>
        <w:jc w:val="center"/>
        <w:rPr>
          <w:rFonts w:ascii="Verdana" w:hAnsi="Verdana"/>
          <w:b/>
          <w:sz w:val="16"/>
          <w:szCs w:val="16"/>
          <w:lang w:val="es-CR"/>
        </w:rPr>
      </w:pPr>
    </w:p>
    <w:p w14:paraId="2B7EBB4C" w14:textId="77777777" w:rsidR="001E5411" w:rsidRDefault="001E5411" w:rsidP="00F856B8">
      <w:pPr>
        <w:spacing w:after="120" w:line="240" w:lineRule="auto"/>
        <w:jc w:val="center"/>
        <w:rPr>
          <w:rFonts w:ascii="Verdana" w:hAnsi="Verdana"/>
          <w:b/>
          <w:sz w:val="20"/>
          <w:szCs w:val="20"/>
          <w:lang w:val="es-CR"/>
        </w:rPr>
      </w:pPr>
      <w:r>
        <w:rPr>
          <w:rFonts w:ascii="Verdana" w:hAnsi="Verdana"/>
          <w:b/>
          <w:sz w:val="20"/>
          <w:szCs w:val="20"/>
          <w:lang w:val="es-CR"/>
        </w:rPr>
        <w:t>SUPERVISIÓN DE CUMPLIMIENTO DE SENTENCIA</w:t>
      </w:r>
    </w:p>
    <w:p w14:paraId="37E40E67" w14:textId="77777777" w:rsidR="001E5411" w:rsidRPr="00AB3657" w:rsidRDefault="001E5411" w:rsidP="00967A71">
      <w:pPr>
        <w:spacing w:after="240" w:line="240" w:lineRule="auto"/>
        <w:rPr>
          <w:rFonts w:ascii="Verdana" w:hAnsi="Verdana"/>
          <w:b/>
          <w:sz w:val="16"/>
          <w:szCs w:val="16"/>
          <w:lang w:val="es-CR"/>
        </w:rPr>
      </w:pPr>
    </w:p>
    <w:p w14:paraId="43095D4F" w14:textId="77777777" w:rsidR="001E5411" w:rsidRDefault="001E5411" w:rsidP="00967A71">
      <w:pPr>
        <w:spacing w:after="240" w:line="240" w:lineRule="auto"/>
        <w:rPr>
          <w:rFonts w:ascii="Verdana" w:hAnsi="Verdana"/>
          <w:b/>
          <w:sz w:val="20"/>
          <w:szCs w:val="20"/>
          <w:lang w:val="es-CR"/>
        </w:rPr>
      </w:pPr>
      <w:r>
        <w:rPr>
          <w:rFonts w:ascii="Verdana" w:hAnsi="Verdana"/>
          <w:b/>
          <w:sz w:val="20"/>
          <w:szCs w:val="20"/>
          <w:lang w:val="es-CR"/>
        </w:rPr>
        <w:t>VISTO:</w:t>
      </w:r>
    </w:p>
    <w:p w14:paraId="594D7C02" w14:textId="77777777" w:rsidR="001E5411" w:rsidRPr="00AB3657" w:rsidRDefault="001E5411" w:rsidP="00967A71">
      <w:pPr>
        <w:spacing w:after="240" w:line="240" w:lineRule="auto"/>
        <w:rPr>
          <w:rFonts w:ascii="Verdana" w:hAnsi="Verdana"/>
          <w:sz w:val="16"/>
          <w:szCs w:val="16"/>
          <w:lang w:val="es-CR"/>
        </w:rPr>
      </w:pPr>
    </w:p>
    <w:p w14:paraId="0C9B508A" w14:textId="22803449" w:rsidR="00B30A18" w:rsidRPr="006B130B" w:rsidRDefault="00B30A18" w:rsidP="00967A71">
      <w:pPr>
        <w:pStyle w:val="ListParagraph"/>
        <w:numPr>
          <w:ilvl w:val="0"/>
          <w:numId w:val="1"/>
        </w:numPr>
        <w:spacing w:after="240" w:line="240" w:lineRule="auto"/>
        <w:ind w:left="0" w:firstLine="0"/>
        <w:jc w:val="both"/>
        <w:rPr>
          <w:lang w:val="es-CR"/>
        </w:rPr>
      </w:pPr>
      <w:bookmarkStart w:id="1" w:name="_Ref504381338"/>
      <w:r w:rsidRPr="00D87FA1">
        <w:rPr>
          <w:rFonts w:ascii="Verdana" w:hAnsi="Verdana"/>
          <w:sz w:val="20"/>
          <w:szCs w:val="20"/>
          <w:lang w:val="es-CR"/>
        </w:rPr>
        <w:t>La</w:t>
      </w:r>
      <w:r w:rsidR="00C475D7" w:rsidRPr="00D87FA1">
        <w:rPr>
          <w:rFonts w:ascii="Verdana" w:hAnsi="Verdana"/>
          <w:sz w:val="20"/>
          <w:szCs w:val="20"/>
          <w:lang w:val="es-CR"/>
        </w:rPr>
        <w:t>s</w:t>
      </w:r>
      <w:r w:rsidRPr="00D87FA1">
        <w:rPr>
          <w:rFonts w:ascii="Verdana" w:hAnsi="Verdana"/>
          <w:sz w:val="20"/>
          <w:szCs w:val="20"/>
          <w:lang w:val="es-CR"/>
        </w:rPr>
        <w:t xml:space="preserve"> Sentencia</w:t>
      </w:r>
      <w:r w:rsidR="00C475D7" w:rsidRPr="00D87FA1">
        <w:rPr>
          <w:rFonts w:ascii="Verdana" w:hAnsi="Verdana"/>
          <w:sz w:val="20"/>
          <w:szCs w:val="20"/>
          <w:lang w:val="es-CR"/>
        </w:rPr>
        <w:t xml:space="preserve">s emitidas por la Corte Interamericana de Derechos Humanos (en adelante “la Corte Interamericana”, “la Corte” o “el Tribunal”) el 21 de octubre de 2016 en el caso </w:t>
      </w:r>
      <w:r w:rsidR="00C475D7" w:rsidRPr="00D87FA1">
        <w:rPr>
          <w:rFonts w:ascii="Verdana" w:hAnsi="Verdana"/>
          <w:i/>
          <w:sz w:val="20"/>
          <w:szCs w:val="20"/>
          <w:lang w:val="es-CR"/>
        </w:rPr>
        <w:t>Pollo Rivera y otros</w:t>
      </w:r>
      <w:r w:rsidR="00C475D7" w:rsidRPr="00D87FA1">
        <w:rPr>
          <w:rStyle w:val="FootnoteReference"/>
          <w:rFonts w:ascii="Verdana" w:hAnsi="Verdana"/>
          <w:sz w:val="20"/>
          <w:szCs w:val="20"/>
          <w:lang w:val="es-CR"/>
        </w:rPr>
        <w:footnoteReference w:id="2"/>
      </w:r>
      <w:r w:rsidR="00C475D7" w:rsidRPr="00D87FA1">
        <w:rPr>
          <w:rFonts w:ascii="Verdana" w:hAnsi="Verdana"/>
          <w:i/>
          <w:sz w:val="20"/>
          <w:szCs w:val="20"/>
          <w:lang w:val="es-CR"/>
        </w:rPr>
        <w:t xml:space="preserve"> </w:t>
      </w:r>
      <w:r w:rsidR="0098684E" w:rsidRPr="00D87FA1">
        <w:rPr>
          <w:rFonts w:ascii="Verdana" w:hAnsi="Verdana"/>
          <w:sz w:val="20"/>
          <w:szCs w:val="20"/>
          <w:lang w:val="es-CR"/>
        </w:rPr>
        <w:t xml:space="preserve">y el 31 de agosto de 2017 en el caso </w:t>
      </w:r>
      <w:r w:rsidR="0098684E" w:rsidRPr="00D87FA1">
        <w:rPr>
          <w:rFonts w:ascii="Verdana" w:hAnsi="Verdana"/>
          <w:i/>
          <w:sz w:val="20"/>
          <w:szCs w:val="20"/>
          <w:lang w:val="es-CR"/>
        </w:rPr>
        <w:t>Lagos del Campo</w:t>
      </w:r>
      <w:r w:rsidR="0098684E" w:rsidRPr="00D87FA1">
        <w:rPr>
          <w:rStyle w:val="FootnoteReference"/>
          <w:rFonts w:ascii="Verdana" w:hAnsi="Verdana"/>
          <w:sz w:val="20"/>
          <w:szCs w:val="20"/>
          <w:lang w:val="es-CR"/>
        </w:rPr>
        <w:footnoteReference w:id="3"/>
      </w:r>
      <w:r w:rsidR="0098684E" w:rsidRPr="00D87FA1">
        <w:rPr>
          <w:rFonts w:ascii="Verdana" w:hAnsi="Verdana"/>
          <w:sz w:val="20"/>
          <w:szCs w:val="20"/>
          <w:lang w:val="es-CR"/>
        </w:rPr>
        <w:t xml:space="preserve"> </w:t>
      </w:r>
      <w:r w:rsidR="00C475D7" w:rsidRPr="00D87FA1">
        <w:rPr>
          <w:rFonts w:ascii="Verdana" w:hAnsi="Verdana"/>
          <w:sz w:val="20"/>
          <w:szCs w:val="20"/>
          <w:lang w:val="es-CR"/>
        </w:rPr>
        <w:t>(en adelante “los dos casos”), ambos contra la República del Perú (en adelante “el Estado” o “</w:t>
      </w:r>
      <w:r w:rsidR="00893C87">
        <w:rPr>
          <w:rFonts w:ascii="Verdana" w:hAnsi="Verdana"/>
          <w:sz w:val="20"/>
          <w:szCs w:val="20"/>
          <w:lang w:val="es-CR"/>
        </w:rPr>
        <w:t xml:space="preserve">el </w:t>
      </w:r>
      <w:r w:rsidR="00C475D7" w:rsidRPr="00D87FA1">
        <w:rPr>
          <w:rFonts w:ascii="Verdana" w:hAnsi="Verdana"/>
          <w:sz w:val="20"/>
          <w:szCs w:val="20"/>
          <w:lang w:val="es-CR"/>
        </w:rPr>
        <w:t>Perú</w:t>
      </w:r>
      <w:r w:rsidR="00073E1F" w:rsidRPr="00D87FA1">
        <w:rPr>
          <w:rFonts w:ascii="Verdana" w:hAnsi="Verdana"/>
          <w:sz w:val="20"/>
          <w:szCs w:val="20"/>
          <w:lang w:val="es-CR"/>
        </w:rPr>
        <w:t xml:space="preserve">”). </w:t>
      </w:r>
      <w:r w:rsidR="0098684E" w:rsidRPr="00D87FA1">
        <w:rPr>
          <w:rFonts w:ascii="Verdana" w:hAnsi="Verdana"/>
          <w:sz w:val="20"/>
          <w:szCs w:val="20"/>
          <w:lang w:val="es-CR"/>
        </w:rPr>
        <w:t xml:space="preserve">En </w:t>
      </w:r>
      <w:r w:rsidR="00A97234" w:rsidRPr="00D87FA1">
        <w:rPr>
          <w:rFonts w:ascii="Verdana" w:hAnsi="Verdana"/>
          <w:sz w:val="20"/>
          <w:szCs w:val="20"/>
          <w:lang w:val="es-CR"/>
        </w:rPr>
        <w:t>la Sentencia del</w:t>
      </w:r>
      <w:r w:rsidR="0098684E" w:rsidRPr="00D87FA1">
        <w:rPr>
          <w:rFonts w:ascii="Verdana" w:hAnsi="Verdana"/>
          <w:sz w:val="20"/>
          <w:szCs w:val="20"/>
          <w:lang w:val="es-CR"/>
        </w:rPr>
        <w:t xml:space="preserve"> caso </w:t>
      </w:r>
      <w:r w:rsidR="0098684E" w:rsidRPr="00D87FA1">
        <w:rPr>
          <w:rFonts w:ascii="Verdana" w:hAnsi="Verdana"/>
          <w:i/>
          <w:sz w:val="20"/>
          <w:szCs w:val="20"/>
          <w:lang w:val="es-CR"/>
        </w:rPr>
        <w:t xml:space="preserve">Pollo Rivera y otros, </w:t>
      </w:r>
      <w:r w:rsidR="0098684E" w:rsidRPr="00D87FA1">
        <w:rPr>
          <w:rFonts w:ascii="Verdana" w:hAnsi="Verdana"/>
          <w:sz w:val="20"/>
          <w:szCs w:val="20"/>
          <w:lang w:val="es-CR"/>
        </w:rPr>
        <w:t xml:space="preserve">la Corte determinó </w:t>
      </w:r>
      <w:r w:rsidR="00546BE5" w:rsidRPr="00D87FA1">
        <w:rPr>
          <w:rFonts w:ascii="Verdana" w:hAnsi="Verdana"/>
          <w:sz w:val="20"/>
          <w:szCs w:val="20"/>
          <w:lang w:val="es-CR"/>
        </w:rPr>
        <w:t xml:space="preserve">la responsabilidad internacional del Estado </w:t>
      </w:r>
      <w:r w:rsidR="00B70835" w:rsidRPr="00D87FA1">
        <w:rPr>
          <w:rFonts w:ascii="Verdana" w:hAnsi="Verdana"/>
          <w:sz w:val="20"/>
          <w:szCs w:val="20"/>
          <w:lang w:val="es-CR"/>
        </w:rPr>
        <w:t>por los hechos</w:t>
      </w:r>
      <w:r w:rsidR="009058D6" w:rsidRPr="00D87FA1">
        <w:rPr>
          <w:rFonts w:ascii="Verdana" w:hAnsi="Verdana"/>
          <w:sz w:val="20"/>
          <w:szCs w:val="20"/>
          <w:lang w:val="es-CR"/>
        </w:rPr>
        <w:t xml:space="preserve"> cometidos </w:t>
      </w:r>
      <w:r w:rsidR="00893C87" w:rsidRPr="00D87FA1">
        <w:rPr>
          <w:rFonts w:ascii="Verdana" w:hAnsi="Verdana"/>
          <w:sz w:val="20"/>
          <w:szCs w:val="20"/>
          <w:lang w:val="es-CR"/>
        </w:rPr>
        <w:t>entre 1992 y 1994 y en el 20</w:t>
      </w:r>
      <w:r w:rsidR="00893C87">
        <w:rPr>
          <w:rFonts w:ascii="Verdana" w:hAnsi="Verdana"/>
          <w:sz w:val="20"/>
          <w:szCs w:val="20"/>
          <w:lang w:val="es-CR"/>
        </w:rPr>
        <w:t>0</w:t>
      </w:r>
      <w:r w:rsidR="00893C87" w:rsidRPr="00D87FA1">
        <w:rPr>
          <w:rFonts w:ascii="Verdana" w:hAnsi="Verdana"/>
          <w:sz w:val="20"/>
          <w:szCs w:val="20"/>
          <w:lang w:val="es-CR"/>
        </w:rPr>
        <w:t>3</w:t>
      </w:r>
      <w:r w:rsidR="00893C87">
        <w:rPr>
          <w:rFonts w:ascii="Verdana" w:hAnsi="Verdana"/>
          <w:sz w:val="20"/>
          <w:szCs w:val="20"/>
          <w:lang w:val="es-CR"/>
        </w:rPr>
        <w:t xml:space="preserve"> </w:t>
      </w:r>
      <w:r w:rsidR="009058D6" w:rsidRPr="00D87FA1">
        <w:rPr>
          <w:rFonts w:ascii="Verdana" w:hAnsi="Verdana"/>
          <w:sz w:val="20"/>
          <w:szCs w:val="20"/>
          <w:lang w:val="es-CR"/>
        </w:rPr>
        <w:t>contra el señor Luis William</w:t>
      </w:r>
      <w:r w:rsidR="0034151F">
        <w:rPr>
          <w:rFonts w:ascii="Verdana" w:hAnsi="Verdana"/>
          <w:sz w:val="20"/>
          <w:szCs w:val="20"/>
          <w:lang w:val="es-CR"/>
        </w:rPr>
        <w:t>s</w:t>
      </w:r>
      <w:r w:rsidR="009058D6" w:rsidRPr="00D87FA1">
        <w:rPr>
          <w:rFonts w:ascii="Verdana" w:hAnsi="Verdana"/>
          <w:sz w:val="20"/>
          <w:szCs w:val="20"/>
          <w:lang w:val="es-CR"/>
        </w:rPr>
        <w:t xml:space="preserve"> Pollo Rivera</w:t>
      </w:r>
      <w:r w:rsidR="00893C87">
        <w:rPr>
          <w:rFonts w:ascii="Verdana" w:hAnsi="Verdana"/>
          <w:sz w:val="20"/>
          <w:szCs w:val="20"/>
          <w:lang w:val="es-CR"/>
        </w:rPr>
        <w:t>,</w:t>
      </w:r>
      <w:r w:rsidR="009058D6" w:rsidRPr="00D87FA1" w:rsidDel="009058D6">
        <w:rPr>
          <w:rFonts w:ascii="Verdana" w:hAnsi="Verdana"/>
          <w:sz w:val="20"/>
          <w:szCs w:val="20"/>
          <w:lang w:val="es-CR"/>
        </w:rPr>
        <w:t xml:space="preserve"> </w:t>
      </w:r>
      <w:r w:rsidR="00893C87">
        <w:rPr>
          <w:rFonts w:ascii="Verdana" w:hAnsi="Verdana"/>
          <w:sz w:val="20"/>
          <w:szCs w:val="20"/>
          <w:lang w:val="es-CR"/>
        </w:rPr>
        <w:t>quien era médico de profesión,</w:t>
      </w:r>
      <w:r w:rsidR="00B70835" w:rsidRPr="00D87FA1">
        <w:rPr>
          <w:rFonts w:ascii="Verdana" w:hAnsi="Verdana"/>
          <w:sz w:val="20"/>
          <w:szCs w:val="20"/>
          <w:lang w:val="es-CR"/>
        </w:rPr>
        <w:t xml:space="preserve"> en el marco de procesos penales por delitos de traición a la patria, terrorismo y colaboración con el terrorismo. El señor Pollo Rivera </w:t>
      </w:r>
      <w:r w:rsidR="0094293A">
        <w:rPr>
          <w:rFonts w:ascii="Verdana" w:hAnsi="Verdana"/>
          <w:sz w:val="20"/>
          <w:szCs w:val="20"/>
          <w:lang w:val="es-CR"/>
        </w:rPr>
        <w:t>estuvo detenido en</w:t>
      </w:r>
      <w:r w:rsidR="00B70835" w:rsidRPr="00D87FA1">
        <w:rPr>
          <w:rFonts w:ascii="Verdana" w:hAnsi="Verdana"/>
          <w:sz w:val="20"/>
          <w:szCs w:val="20"/>
          <w:lang w:val="es-CR"/>
        </w:rPr>
        <w:t xml:space="preserve"> prisión preventiva de forma violatoria a la libertad personal; fue </w:t>
      </w:r>
      <w:r w:rsidR="00BA4CA6" w:rsidRPr="00D87FA1">
        <w:rPr>
          <w:rFonts w:ascii="Verdana" w:hAnsi="Verdana"/>
          <w:sz w:val="20"/>
          <w:szCs w:val="20"/>
          <w:lang w:val="es-CR"/>
        </w:rPr>
        <w:t>sometido a actos de tortura y otros tratos crueles, inhumanos y degradantes</w:t>
      </w:r>
      <w:r w:rsidR="0094293A">
        <w:rPr>
          <w:rFonts w:ascii="Verdana" w:hAnsi="Verdana"/>
          <w:sz w:val="20"/>
          <w:szCs w:val="20"/>
          <w:lang w:val="es-CR"/>
        </w:rPr>
        <w:t>,</w:t>
      </w:r>
      <w:r w:rsidR="00BA4CA6" w:rsidRPr="00D87FA1">
        <w:rPr>
          <w:rFonts w:ascii="Verdana" w:hAnsi="Verdana"/>
          <w:sz w:val="20"/>
          <w:szCs w:val="20"/>
          <w:lang w:val="es-CR"/>
        </w:rPr>
        <w:t xml:space="preserve"> </w:t>
      </w:r>
      <w:r w:rsidR="00B70835" w:rsidRPr="00D87FA1">
        <w:rPr>
          <w:rFonts w:ascii="Verdana" w:hAnsi="Verdana"/>
          <w:sz w:val="20"/>
          <w:szCs w:val="20"/>
          <w:lang w:val="es-CR"/>
        </w:rPr>
        <w:t xml:space="preserve">y </w:t>
      </w:r>
      <w:r w:rsidR="00BA4CA6" w:rsidRPr="00D87FA1">
        <w:rPr>
          <w:rFonts w:ascii="Verdana" w:hAnsi="Verdana"/>
          <w:sz w:val="20"/>
          <w:szCs w:val="20"/>
          <w:lang w:val="es-CR"/>
        </w:rPr>
        <w:t xml:space="preserve">fue </w:t>
      </w:r>
      <w:r w:rsidR="00B70835" w:rsidRPr="00D87FA1">
        <w:rPr>
          <w:rFonts w:ascii="Verdana" w:hAnsi="Verdana"/>
          <w:sz w:val="20"/>
          <w:szCs w:val="20"/>
          <w:lang w:val="es-CR"/>
        </w:rPr>
        <w:t>juzgado sin respeto a las garantías judiciales de</w:t>
      </w:r>
      <w:r w:rsidR="0094293A">
        <w:rPr>
          <w:rFonts w:ascii="Verdana" w:hAnsi="Verdana"/>
          <w:sz w:val="20"/>
          <w:szCs w:val="20"/>
          <w:lang w:val="es-CR"/>
        </w:rPr>
        <w:t>l derecho a ser juzgado por un</w:t>
      </w:r>
      <w:r w:rsidR="00B70835" w:rsidRPr="00D87FA1">
        <w:rPr>
          <w:rFonts w:ascii="Verdana" w:hAnsi="Verdana"/>
          <w:sz w:val="20"/>
          <w:szCs w:val="20"/>
          <w:lang w:val="es-CR"/>
        </w:rPr>
        <w:t xml:space="preserve"> tribunal competente, independiente e imparcial, derecho de defensa, presunc</w:t>
      </w:r>
      <w:r w:rsidR="00CF7589">
        <w:rPr>
          <w:rFonts w:ascii="Verdana" w:hAnsi="Verdana"/>
          <w:sz w:val="20"/>
          <w:szCs w:val="20"/>
          <w:lang w:val="es-CR"/>
        </w:rPr>
        <w:t xml:space="preserve">ión de inocencia, entre otras. </w:t>
      </w:r>
      <w:r w:rsidR="00B70835" w:rsidRPr="00D87FA1">
        <w:rPr>
          <w:rFonts w:ascii="Verdana" w:hAnsi="Verdana"/>
          <w:sz w:val="20"/>
          <w:szCs w:val="20"/>
          <w:lang w:val="es-CR"/>
        </w:rPr>
        <w:t xml:space="preserve">Además, </w:t>
      </w:r>
      <w:r w:rsidR="0094293A">
        <w:rPr>
          <w:rFonts w:ascii="Verdana" w:hAnsi="Verdana"/>
          <w:sz w:val="20"/>
          <w:szCs w:val="20"/>
          <w:lang w:val="es-CR"/>
        </w:rPr>
        <w:t>el Tribunal</w:t>
      </w:r>
      <w:r w:rsidR="00B70835" w:rsidRPr="00D87FA1">
        <w:rPr>
          <w:rFonts w:ascii="Verdana" w:hAnsi="Verdana"/>
          <w:sz w:val="20"/>
          <w:szCs w:val="20"/>
          <w:lang w:val="es-CR"/>
        </w:rPr>
        <w:t xml:space="preserve"> determinó que </w:t>
      </w:r>
      <w:r w:rsidR="00AD1B0F" w:rsidRPr="00D87FA1">
        <w:rPr>
          <w:rFonts w:ascii="Verdana" w:hAnsi="Verdana"/>
          <w:sz w:val="20"/>
          <w:szCs w:val="20"/>
          <w:lang w:val="es-CR"/>
        </w:rPr>
        <w:t>Perú</w:t>
      </w:r>
      <w:r w:rsidR="00B70835" w:rsidRPr="00D87FA1">
        <w:rPr>
          <w:rFonts w:ascii="Verdana" w:hAnsi="Verdana"/>
          <w:sz w:val="20"/>
          <w:szCs w:val="20"/>
          <w:lang w:val="es-CR"/>
        </w:rPr>
        <w:t xml:space="preserve"> violó el principio de legalidad </w:t>
      </w:r>
      <w:r w:rsidR="00AD1B0F" w:rsidRPr="00D87FA1">
        <w:rPr>
          <w:rFonts w:ascii="Verdana" w:hAnsi="Verdana"/>
          <w:sz w:val="20"/>
          <w:szCs w:val="20"/>
          <w:lang w:val="es-CR"/>
        </w:rPr>
        <w:t xml:space="preserve">por haber criminalizado el acto médico, que no sólo es un acto esencialmente lícito sino que es un deber de un médico el prestarlo. Asimismo, se declaró </w:t>
      </w:r>
      <w:r w:rsidR="00BA4CA6" w:rsidRPr="00D87FA1">
        <w:rPr>
          <w:rFonts w:ascii="Verdana" w:hAnsi="Verdana"/>
          <w:sz w:val="20"/>
          <w:szCs w:val="20"/>
          <w:lang w:val="es-CR"/>
        </w:rPr>
        <w:t xml:space="preserve">la violación a la integridad personal </w:t>
      </w:r>
      <w:r w:rsidR="00BA4CA6" w:rsidRPr="00D87FA1">
        <w:rPr>
          <w:rFonts w:ascii="Verdana" w:hAnsi="Verdana"/>
          <w:sz w:val="20"/>
          <w:szCs w:val="20"/>
          <w:lang w:val="es-CR"/>
        </w:rPr>
        <w:lastRenderedPageBreak/>
        <w:t xml:space="preserve">en perjuicio de </w:t>
      </w:r>
      <w:r w:rsidR="00983D72" w:rsidRPr="00D87FA1">
        <w:rPr>
          <w:rFonts w:ascii="Verdana" w:hAnsi="Verdana"/>
          <w:sz w:val="20"/>
          <w:szCs w:val="20"/>
          <w:lang w:val="es-CR"/>
        </w:rPr>
        <w:t>ocho</w:t>
      </w:r>
      <w:r w:rsidR="00BA4CA6" w:rsidRPr="00D87FA1">
        <w:rPr>
          <w:rFonts w:ascii="Verdana" w:hAnsi="Verdana"/>
          <w:sz w:val="20"/>
          <w:szCs w:val="20"/>
          <w:lang w:val="es-CR"/>
        </w:rPr>
        <w:t xml:space="preserve"> familiares</w:t>
      </w:r>
      <w:r w:rsidR="00AD1B0F" w:rsidRPr="00D87FA1">
        <w:rPr>
          <w:rFonts w:ascii="Verdana" w:hAnsi="Verdana"/>
          <w:sz w:val="20"/>
          <w:szCs w:val="20"/>
          <w:lang w:val="es-CR"/>
        </w:rPr>
        <w:t xml:space="preserve"> del señor Pollo Rivera</w:t>
      </w:r>
      <w:r w:rsidR="00BA4CA6" w:rsidRPr="00D87FA1">
        <w:rPr>
          <w:rStyle w:val="FootnoteReference"/>
          <w:rFonts w:ascii="Verdana" w:hAnsi="Verdana"/>
          <w:sz w:val="20"/>
          <w:szCs w:val="20"/>
          <w:lang w:val="es-CR"/>
        </w:rPr>
        <w:footnoteReference w:id="4"/>
      </w:r>
      <w:r w:rsidR="00546BE5" w:rsidRPr="00D87FA1">
        <w:rPr>
          <w:rFonts w:ascii="Verdana" w:hAnsi="Verdana"/>
          <w:sz w:val="20"/>
          <w:szCs w:val="20"/>
          <w:lang w:val="es-CR"/>
        </w:rPr>
        <w:t xml:space="preserve">. </w:t>
      </w:r>
      <w:r w:rsidR="0098684E" w:rsidRPr="00D87FA1">
        <w:rPr>
          <w:rFonts w:ascii="Verdana" w:hAnsi="Verdana"/>
          <w:sz w:val="20"/>
          <w:szCs w:val="20"/>
          <w:lang w:val="es-CR"/>
        </w:rPr>
        <w:t>Por otro lado, e</w:t>
      </w:r>
      <w:r w:rsidR="00073E1F" w:rsidRPr="00D87FA1">
        <w:rPr>
          <w:rFonts w:ascii="Verdana" w:hAnsi="Verdana"/>
          <w:sz w:val="20"/>
          <w:szCs w:val="20"/>
          <w:lang w:val="es-CR"/>
        </w:rPr>
        <w:t xml:space="preserve">n </w:t>
      </w:r>
      <w:r w:rsidR="00481626" w:rsidRPr="00D87FA1">
        <w:rPr>
          <w:rFonts w:ascii="Verdana" w:hAnsi="Verdana"/>
          <w:sz w:val="20"/>
          <w:szCs w:val="20"/>
          <w:lang w:val="es-CR"/>
        </w:rPr>
        <w:t>la Sentencia d</w:t>
      </w:r>
      <w:r w:rsidR="00073E1F" w:rsidRPr="00D87FA1">
        <w:rPr>
          <w:rFonts w:ascii="Verdana" w:hAnsi="Verdana"/>
          <w:sz w:val="20"/>
          <w:szCs w:val="20"/>
          <w:lang w:val="es-CR"/>
        </w:rPr>
        <w:t xml:space="preserve">el caso </w:t>
      </w:r>
      <w:r w:rsidR="00D141F2" w:rsidRPr="00D87FA1">
        <w:rPr>
          <w:rFonts w:ascii="Verdana" w:hAnsi="Verdana"/>
          <w:i/>
          <w:sz w:val="20"/>
          <w:szCs w:val="20"/>
          <w:lang w:val="es-CR"/>
        </w:rPr>
        <w:t xml:space="preserve">Lagos del Campo, </w:t>
      </w:r>
      <w:r w:rsidR="00D141F2" w:rsidRPr="00D87FA1">
        <w:rPr>
          <w:rFonts w:ascii="Verdana" w:hAnsi="Verdana"/>
          <w:sz w:val="20"/>
          <w:szCs w:val="20"/>
          <w:lang w:val="es-CR"/>
        </w:rPr>
        <w:t xml:space="preserve">la Corte determinó que </w:t>
      </w:r>
      <w:r w:rsidR="0094293A">
        <w:rPr>
          <w:rFonts w:ascii="Verdana" w:hAnsi="Verdana"/>
          <w:sz w:val="20"/>
          <w:szCs w:val="20"/>
          <w:lang w:val="es-CR"/>
        </w:rPr>
        <w:t>en razón del despido del señor Alfredo Lagos del Campo</w:t>
      </w:r>
      <w:r w:rsidR="00D141F2" w:rsidRPr="00D87FA1">
        <w:rPr>
          <w:rFonts w:ascii="Verdana" w:hAnsi="Verdana"/>
          <w:sz w:val="20"/>
          <w:szCs w:val="20"/>
          <w:lang w:val="es-CR"/>
        </w:rPr>
        <w:t xml:space="preserve"> por declaraciones realizadas en su calidad de representante de </w:t>
      </w:r>
      <w:r w:rsidR="005250E9" w:rsidRPr="00D87FA1">
        <w:rPr>
          <w:rFonts w:ascii="Verdana" w:hAnsi="Verdana"/>
          <w:sz w:val="20"/>
          <w:szCs w:val="20"/>
          <w:lang w:val="es-CR"/>
        </w:rPr>
        <w:t>un grupo de</w:t>
      </w:r>
      <w:r w:rsidR="00D141F2" w:rsidRPr="00D87FA1">
        <w:rPr>
          <w:rFonts w:ascii="Verdana" w:hAnsi="Verdana"/>
          <w:sz w:val="20"/>
          <w:szCs w:val="20"/>
          <w:lang w:val="es-CR"/>
        </w:rPr>
        <w:t xml:space="preserve"> trabajadores</w:t>
      </w:r>
      <w:r w:rsidR="009227AE" w:rsidRPr="00D87FA1">
        <w:rPr>
          <w:rFonts w:ascii="Verdana" w:hAnsi="Verdana"/>
          <w:sz w:val="20"/>
          <w:szCs w:val="20"/>
          <w:lang w:val="es-CR"/>
        </w:rPr>
        <w:t xml:space="preserve"> y que se referían a información de interés público</w:t>
      </w:r>
      <w:r w:rsidR="0094293A">
        <w:rPr>
          <w:rFonts w:ascii="Verdana" w:hAnsi="Verdana"/>
          <w:sz w:val="20"/>
          <w:szCs w:val="20"/>
          <w:lang w:val="es-CR"/>
        </w:rPr>
        <w:t xml:space="preserve">, el Estado </w:t>
      </w:r>
      <w:r w:rsidR="0094293A" w:rsidRPr="0094293A">
        <w:rPr>
          <w:rFonts w:ascii="Verdana" w:hAnsi="Verdana"/>
          <w:sz w:val="20"/>
          <w:szCs w:val="20"/>
          <w:lang w:val="es-CR"/>
        </w:rPr>
        <w:t>vulneró sus de</w:t>
      </w:r>
      <w:r w:rsidR="0094293A">
        <w:rPr>
          <w:rFonts w:ascii="Verdana" w:hAnsi="Verdana"/>
          <w:sz w:val="20"/>
          <w:szCs w:val="20"/>
          <w:lang w:val="es-CR"/>
        </w:rPr>
        <w:t xml:space="preserve">rechos a la estabilidad laboral, </w:t>
      </w:r>
      <w:r w:rsidR="0094293A" w:rsidRPr="0094293A">
        <w:rPr>
          <w:rFonts w:ascii="Verdana" w:hAnsi="Verdana"/>
          <w:sz w:val="20"/>
          <w:szCs w:val="20"/>
          <w:lang w:val="es-CR"/>
        </w:rPr>
        <w:t>a la libertad de expresión</w:t>
      </w:r>
      <w:r w:rsidR="0094293A">
        <w:rPr>
          <w:rFonts w:ascii="Verdana" w:hAnsi="Verdana"/>
          <w:sz w:val="20"/>
          <w:szCs w:val="20"/>
          <w:lang w:val="es-CR"/>
        </w:rPr>
        <w:t xml:space="preserve"> y al </w:t>
      </w:r>
      <w:r w:rsidR="0094293A" w:rsidRPr="0094293A">
        <w:rPr>
          <w:rFonts w:ascii="Verdana" w:hAnsi="Verdana"/>
          <w:sz w:val="20"/>
          <w:szCs w:val="20"/>
          <w:lang w:val="es-CR"/>
        </w:rPr>
        <w:t>derecho de asociación</w:t>
      </w:r>
      <w:r w:rsidR="0094293A">
        <w:rPr>
          <w:rFonts w:ascii="Verdana" w:hAnsi="Verdana"/>
          <w:sz w:val="20"/>
          <w:szCs w:val="20"/>
          <w:lang w:val="es-CR"/>
        </w:rPr>
        <w:t>.</w:t>
      </w:r>
      <w:r w:rsidR="00AA24D0">
        <w:rPr>
          <w:rFonts w:ascii="Verdana" w:hAnsi="Verdana"/>
          <w:sz w:val="20"/>
          <w:szCs w:val="20"/>
          <w:lang w:val="es-CR"/>
        </w:rPr>
        <w:t xml:space="preserve"> El Tribunal también</w:t>
      </w:r>
      <w:r w:rsidR="00FC5789" w:rsidRPr="00AA24D0">
        <w:rPr>
          <w:rFonts w:ascii="Verdana" w:hAnsi="Verdana"/>
          <w:sz w:val="20"/>
          <w:szCs w:val="20"/>
          <w:lang w:val="es-CR"/>
        </w:rPr>
        <w:t xml:space="preserve"> consideró que el Estado viol</w:t>
      </w:r>
      <w:r w:rsidR="00702056" w:rsidRPr="00AA24D0">
        <w:rPr>
          <w:rFonts w:ascii="Verdana" w:hAnsi="Verdana"/>
          <w:sz w:val="20"/>
          <w:szCs w:val="20"/>
          <w:lang w:val="es-CR"/>
        </w:rPr>
        <w:t>ó</w:t>
      </w:r>
      <w:r w:rsidR="00FC5789" w:rsidRPr="00AA24D0">
        <w:rPr>
          <w:rFonts w:ascii="Verdana" w:hAnsi="Verdana"/>
          <w:sz w:val="20"/>
          <w:szCs w:val="20"/>
          <w:lang w:val="es-CR"/>
        </w:rPr>
        <w:t xml:space="preserve"> </w:t>
      </w:r>
      <w:r w:rsidR="00AA24D0">
        <w:rPr>
          <w:rFonts w:ascii="Verdana" w:hAnsi="Verdana"/>
          <w:sz w:val="20"/>
          <w:szCs w:val="20"/>
          <w:lang w:val="es-CR"/>
        </w:rPr>
        <w:t>lo</w:t>
      </w:r>
      <w:r w:rsidR="00AA24D0" w:rsidRPr="00AA24D0">
        <w:rPr>
          <w:rFonts w:ascii="Verdana" w:hAnsi="Verdana"/>
          <w:sz w:val="20"/>
          <w:szCs w:val="20"/>
          <w:lang w:val="es-CR"/>
        </w:rPr>
        <w:t>s derechos a la protección judicial y las</w:t>
      </w:r>
      <w:r w:rsidR="00AA24D0">
        <w:rPr>
          <w:rFonts w:ascii="Verdana" w:hAnsi="Verdana"/>
          <w:sz w:val="20"/>
          <w:szCs w:val="20"/>
          <w:lang w:val="es-CR"/>
        </w:rPr>
        <w:t xml:space="preserve"> </w:t>
      </w:r>
      <w:r w:rsidR="00AA24D0" w:rsidRPr="00AA24D0">
        <w:rPr>
          <w:rFonts w:ascii="Verdana" w:hAnsi="Verdana"/>
          <w:sz w:val="20"/>
          <w:szCs w:val="20"/>
          <w:lang w:val="es-CR"/>
        </w:rPr>
        <w:t>garantías judiciales</w:t>
      </w:r>
      <w:r w:rsidR="00AA24D0">
        <w:rPr>
          <w:rFonts w:ascii="Verdana" w:hAnsi="Verdana"/>
          <w:sz w:val="20"/>
          <w:szCs w:val="20"/>
          <w:lang w:val="es-CR"/>
        </w:rPr>
        <w:t xml:space="preserve"> del señor Lagos</w:t>
      </w:r>
      <w:r w:rsidR="00C034A8" w:rsidRPr="00D87FA1">
        <w:rPr>
          <w:rStyle w:val="FootnoteReference"/>
          <w:rFonts w:ascii="Verdana" w:hAnsi="Verdana"/>
          <w:sz w:val="20"/>
          <w:szCs w:val="20"/>
          <w:lang w:val="es-CR"/>
        </w:rPr>
        <w:footnoteReference w:id="5"/>
      </w:r>
      <w:r w:rsidR="00FC5789" w:rsidRPr="00AA24D0">
        <w:rPr>
          <w:rFonts w:ascii="Verdana" w:hAnsi="Verdana"/>
          <w:sz w:val="20"/>
          <w:szCs w:val="20"/>
          <w:lang w:val="es-CR"/>
        </w:rPr>
        <w:t xml:space="preserve">. </w:t>
      </w:r>
      <w:r w:rsidR="00F71C32" w:rsidRPr="00AA24D0">
        <w:rPr>
          <w:rFonts w:ascii="Verdana" w:hAnsi="Verdana"/>
          <w:sz w:val="20"/>
          <w:szCs w:val="20"/>
          <w:lang w:val="es-CR"/>
        </w:rPr>
        <w:t xml:space="preserve">El Tribunal estableció </w:t>
      </w:r>
      <w:r w:rsidR="007D2AB0" w:rsidRPr="00AA24D0">
        <w:rPr>
          <w:rFonts w:ascii="Verdana" w:hAnsi="Verdana"/>
          <w:sz w:val="20"/>
          <w:szCs w:val="20"/>
          <w:lang w:val="es-CR"/>
        </w:rPr>
        <w:t xml:space="preserve">en ambas Sentencias </w:t>
      </w:r>
      <w:r w:rsidR="00F71C32" w:rsidRPr="00AA24D0">
        <w:rPr>
          <w:rFonts w:ascii="Verdana" w:hAnsi="Verdana"/>
          <w:sz w:val="20"/>
          <w:szCs w:val="20"/>
          <w:lang w:val="es-CR"/>
        </w:rPr>
        <w:t>que</w:t>
      </w:r>
      <w:r w:rsidR="007D2AB0" w:rsidRPr="00AA24D0">
        <w:rPr>
          <w:rFonts w:ascii="Verdana" w:hAnsi="Verdana"/>
          <w:sz w:val="20"/>
          <w:szCs w:val="20"/>
          <w:lang w:val="es-CR"/>
        </w:rPr>
        <w:t xml:space="preserve"> éstas</w:t>
      </w:r>
      <w:r w:rsidR="00F71C32" w:rsidRPr="00AA24D0">
        <w:rPr>
          <w:rFonts w:ascii="Verdana" w:hAnsi="Verdana"/>
          <w:sz w:val="20"/>
          <w:szCs w:val="20"/>
          <w:lang w:val="es-CR"/>
        </w:rPr>
        <w:t xml:space="preserve"> constitu</w:t>
      </w:r>
      <w:r w:rsidR="007D2AB0" w:rsidRPr="00AA24D0">
        <w:rPr>
          <w:rFonts w:ascii="Verdana" w:hAnsi="Verdana"/>
          <w:sz w:val="20"/>
          <w:szCs w:val="20"/>
          <w:lang w:val="es-CR"/>
        </w:rPr>
        <w:t>ían</w:t>
      </w:r>
      <w:r w:rsidR="00F71C32" w:rsidRPr="00AA24D0">
        <w:rPr>
          <w:rFonts w:ascii="Verdana" w:hAnsi="Verdana"/>
          <w:sz w:val="20"/>
          <w:szCs w:val="20"/>
          <w:lang w:val="es-CR"/>
        </w:rPr>
        <w:t xml:space="preserve"> por sí misma</w:t>
      </w:r>
      <w:r w:rsidR="007D2AB0" w:rsidRPr="00AA24D0">
        <w:rPr>
          <w:rFonts w:ascii="Verdana" w:hAnsi="Verdana"/>
          <w:sz w:val="20"/>
          <w:szCs w:val="20"/>
          <w:lang w:val="es-CR"/>
        </w:rPr>
        <w:t>s</w:t>
      </w:r>
      <w:r w:rsidR="00F71C32" w:rsidRPr="00AA24D0">
        <w:rPr>
          <w:rFonts w:ascii="Verdana" w:hAnsi="Verdana"/>
          <w:sz w:val="20"/>
          <w:szCs w:val="20"/>
          <w:lang w:val="es-CR"/>
        </w:rPr>
        <w:t xml:space="preserve"> una forma de reparación y ordenó al Estado </w:t>
      </w:r>
      <w:r w:rsidR="00CF7589" w:rsidRPr="00AA24D0">
        <w:rPr>
          <w:rFonts w:ascii="Verdana" w:hAnsi="Verdana"/>
          <w:sz w:val="20"/>
          <w:szCs w:val="20"/>
          <w:lang w:val="es-CR"/>
        </w:rPr>
        <w:t xml:space="preserve">la adopción de </w:t>
      </w:r>
      <w:r w:rsidR="00F71C32" w:rsidRPr="00AA24D0">
        <w:rPr>
          <w:rFonts w:ascii="Verdana" w:hAnsi="Verdana"/>
          <w:sz w:val="20"/>
          <w:szCs w:val="20"/>
          <w:lang w:val="es-CR"/>
        </w:rPr>
        <w:t xml:space="preserve">medidas </w:t>
      </w:r>
      <w:r w:rsidR="00CF7589" w:rsidRPr="00AA24D0">
        <w:rPr>
          <w:rFonts w:ascii="Verdana" w:hAnsi="Verdana"/>
          <w:sz w:val="20"/>
          <w:szCs w:val="20"/>
          <w:lang w:val="es-CR"/>
        </w:rPr>
        <w:t xml:space="preserve">adicionales </w:t>
      </w:r>
      <w:r w:rsidR="00F71C32" w:rsidRPr="00AA24D0">
        <w:rPr>
          <w:rFonts w:ascii="Verdana" w:hAnsi="Verdana"/>
          <w:sz w:val="20"/>
          <w:szCs w:val="20"/>
          <w:lang w:val="es-CR"/>
        </w:rPr>
        <w:t>de reparación (</w:t>
      </w:r>
      <w:r w:rsidR="00396968" w:rsidRPr="00AA24D0">
        <w:rPr>
          <w:rFonts w:ascii="Verdana" w:hAnsi="Verdana"/>
          <w:i/>
          <w:sz w:val="20"/>
          <w:szCs w:val="20"/>
          <w:lang w:val="es-CR"/>
        </w:rPr>
        <w:t>infra</w:t>
      </w:r>
      <w:r w:rsidR="00F71C32" w:rsidRPr="00AA24D0">
        <w:rPr>
          <w:rFonts w:ascii="Verdana" w:hAnsi="Verdana"/>
          <w:i/>
          <w:sz w:val="20"/>
          <w:szCs w:val="20"/>
          <w:lang w:val="es-CR"/>
        </w:rPr>
        <w:t xml:space="preserve"> </w:t>
      </w:r>
      <w:r w:rsidR="00F71C32" w:rsidRPr="00AA24D0">
        <w:rPr>
          <w:rFonts w:ascii="Verdana" w:hAnsi="Verdana"/>
          <w:sz w:val="20"/>
          <w:szCs w:val="20"/>
          <w:lang w:val="es-CR"/>
        </w:rPr>
        <w:t xml:space="preserve">Considerando </w:t>
      </w:r>
      <w:r w:rsidR="00291668" w:rsidRPr="00AA24D0">
        <w:rPr>
          <w:rFonts w:ascii="Verdana" w:hAnsi="Verdana"/>
          <w:sz w:val="20"/>
          <w:szCs w:val="20"/>
          <w:lang w:val="es-CR"/>
        </w:rPr>
        <w:fldChar w:fldCharType="begin"/>
      </w:r>
      <w:r w:rsidR="00291668" w:rsidRPr="00AA24D0">
        <w:rPr>
          <w:rFonts w:ascii="Verdana" w:hAnsi="Verdana"/>
          <w:sz w:val="20"/>
          <w:szCs w:val="20"/>
          <w:lang w:val="es-CR"/>
        </w:rPr>
        <w:instrText xml:space="preserve"> REF _Ref504381323 \r \h </w:instrText>
      </w:r>
      <w:r w:rsidR="00D87FA1" w:rsidRPr="00AA24D0">
        <w:rPr>
          <w:rFonts w:ascii="Verdana" w:hAnsi="Verdana"/>
          <w:sz w:val="20"/>
          <w:szCs w:val="20"/>
          <w:lang w:val="es-CR"/>
        </w:rPr>
        <w:instrText xml:space="preserve"> \* MERGEFORMAT </w:instrText>
      </w:r>
      <w:r w:rsidR="00291668" w:rsidRPr="00AA24D0">
        <w:rPr>
          <w:rFonts w:ascii="Verdana" w:hAnsi="Verdana"/>
          <w:sz w:val="20"/>
          <w:szCs w:val="20"/>
          <w:lang w:val="es-CR"/>
        </w:rPr>
      </w:r>
      <w:r w:rsidR="00291668" w:rsidRPr="00AA24D0">
        <w:rPr>
          <w:rFonts w:ascii="Verdana" w:hAnsi="Verdana"/>
          <w:sz w:val="20"/>
          <w:szCs w:val="20"/>
          <w:lang w:val="es-CR"/>
        </w:rPr>
        <w:fldChar w:fldCharType="separate"/>
      </w:r>
      <w:r w:rsidR="00DA5AF0">
        <w:rPr>
          <w:rFonts w:ascii="Verdana" w:hAnsi="Verdana"/>
          <w:sz w:val="20"/>
          <w:szCs w:val="20"/>
          <w:lang w:val="es-CR"/>
        </w:rPr>
        <w:t>1</w:t>
      </w:r>
      <w:r w:rsidR="00291668" w:rsidRPr="00AA24D0">
        <w:rPr>
          <w:rFonts w:ascii="Verdana" w:hAnsi="Verdana"/>
          <w:sz w:val="20"/>
          <w:szCs w:val="20"/>
          <w:lang w:val="es-CR"/>
        </w:rPr>
        <w:fldChar w:fldCharType="end"/>
      </w:r>
      <w:r w:rsidR="00F71C32" w:rsidRPr="00AA24D0">
        <w:rPr>
          <w:rFonts w:ascii="Verdana" w:hAnsi="Verdana"/>
          <w:sz w:val="20"/>
          <w:szCs w:val="20"/>
          <w:lang w:val="es-CR"/>
        </w:rPr>
        <w:t>).</w:t>
      </w:r>
      <w:bookmarkEnd w:id="1"/>
      <w:r w:rsidR="00F71C32" w:rsidRPr="00AA24D0">
        <w:rPr>
          <w:rFonts w:ascii="Verdana" w:hAnsi="Verdana"/>
          <w:sz w:val="20"/>
          <w:szCs w:val="20"/>
          <w:lang w:val="es-CR"/>
        </w:rPr>
        <w:t xml:space="preserve"> </w:t>
      </w:r>
    </w:p>
    <w:p w14:paraId="02CA7AA2" w14:textId="77777777" w:rsidR="008C7788" w:rsidRPr="00AB3657" w:rsidRDefault="008C7788" w:rsidP="00967A71">
      <w:pPr>
        <w:pStyle w:val="ListParagraph"/>
        <w:spacing w:after="240" w:line="240" w:lineRule="auto"/>
        <w:ind w:left="0"/>
        <w:jc w:val="both"/>
        <w:rPr>
          <w:rFonts w:ascii="Verdana" w:hAnsi="Verdana"/>
          <w:sz w:val="16"/>
          <w:szCs w:val="16"/>
          <w:lang w:val="es-CR"/>
        </w:rPr>
      </w:pPr>
    </w:p>
    <w:p w14:paraId="2D38C1FD" w14:textId="02FA50F1" w:rsidR="003557DD" w:rsidRPr="001D400B" w:rsidRDefault="00F71C32" w:rsidP="00967A71">
      <w:pPr>
        <w:pStyle w:val="ListParagraph"/>
        <w:numPr>
          <w:ilvl w:val="0"/>
          <w:numId w:val="1"/>
        </w:numPr>
        <w:spacing w:after="240" w:line="240" w:lineRule="auto"/>
        <w:ind w:left="0" w:firstLine="0"/>
        <w:jc w:val="both"/>
        <w:rPr>
          <w:rFonts w:ascii="Verdana" w:hAnsi="Verdana"/>
          <w:b/>
          <w:sz w:val="20"/>
          <w:szCs w:val="20"/>
          <w:lang w:val="es-CR"/>
        </w:rPr>
      </w:pPr>
      <w:r>
        <w:rPr>
          <w:rFonts w:ascii="Verdana" w:hAnsi="Verdana"/>
          <w:sz w:val="20"/>
          <w:szCs w:val="20"/>
          <w:lang w:val="es-CR"/>
        </w:rPr>
        <w:t xml:space="preserve">Los </w:t>
      </w:r>
      <w:r w:rsidR="00AB3657">
        <w:rPr>
          <w:rFonts w:ascii="Verdana" w:hAnsi="Verdana"/>
          <w:sz w:val="20"/>
          <w:szCs w:val="20"/>
          <w:lang w:val="es-CR"/>
        </w:rPr>
        <w:t>siete</w:t>
      </w:r>
      <w:r>
        <w:rPr>
          <w:rFonts w:ascii="Verdana" w:hAnsi="Verdana"/>
          <w:sz w:val="20"/>
          <w:szCs w:val="20"/>
          <w:lang w:val="es-CR"/>
        </w:rPr>
        <w:t xml:space="preserve"> inform</w:t>
      </w:r>
      <w:r w:rsidR="00384B83">
        <w:rPr>
          <w:rFonts w:ascii="Verdana" w:hAnsi="Verdana"/>
          <w:sz w:val="20"/>
          <w:szCs w:val="20"/>
          <w:lang w:val="es-CR"/>
        </w:rPr>
        <w:t>es presentados por el Estado de</w:t>
      </w:r>
      <w:r w:rsidR="00FE0F95">
        <w:rPr>
          <w:rFonts w:ascii="Verdana" w:hAnsi="Verdana"/>
          <w:sz w:val="20"/>
          <w:szCs w:val="20"/>
          <w:lang w:val="es-CR"/>
        </w:rPr>
        <w:t>l</w:t>
      </w:r>
      <w:r w:rsidR="00384B83">
        <w:rPr>
          <w:rFonts w:ascii="Verdana" w:hAnsi="Verdana"/>
          <w:sz w:val="20"/>
          <w:szCs w:val="20"/>
          <w:lang w:val="es-CR"/>
        </w:rPr>
        <w:t xml:space="preserve"> Perú </w:t>
      </w:r>
      <w:r>
        <w:rPr>
          <w:rFonts w:ascii="Verdana" w:hAnsi="Verdana"/>
          <w:sz w:val="20"/>
          <w:szCs w:val="20"/>
          <w:lang w:val="es-CR"/>
        </w:rPr>
        <w:t>e</w:t>
      </w:r>
      <w:r w:rsidR="00761555">
        <w:rPr>
          <w:rFonts w:ascii="Verdana" w:hAnsi="Verdana"/>
          <w:sz w:val="20"/>
          <w:szCs w:val="20"/>
          <w:lang w:val="es-CR"/>
        </w:rPr>
        <w:t>n</w:t>
      </w:r>
      <w:r w:rsidR="001D400B">
        <w:rPr>
          <w:rFonts w:ascii="Verdana" w:hAnsi="Verdana"/>
          <w:sz w:val="20"/>
          <w:szCs w:val="20"/>
          <w:lang w:val="es-CR"/>
        </w:rPr>
        <w:t>tre</w:t>
      </w:r>
      <w:r w:rsidR="00761555">
        <w:rPr>
          <w:rFonts w:ascii="Verdana" w:hAnsi="Verdana"/>
          <w:sz w:val="20"/>
          <w:szCs w:val="20"/>
          <w:lang w:val="es-CR"/>
        </w:rPr>
        <w:t xml:space="preserve"> </w:t>
      </w:r>
      <w:r w:rsidR="003F0971">
        <w:rPr>
          <w:rFonts w:ascii="Verdana" w:hAnsi="Verdana"/>
          <w:sz w:val="20"/>
          <w:szCs w:val="20"/>
          <w:lang w:val="es-CR"/>
        </w:rPr>
        <w:t>diciembre de 2016</w:t>
      </w:r>
      <w:r w:rsidR="00384B83">
        <w:rPr>
          <w:rFonts w:ascii="Verdana" w:hAnsi="Verdana"/>
          <w:sz w:val="20"/>
          <w:szCs w:val="20"/>
          <w:lang w:val="es-CR"/>
        </w:rPr>
        <w:t xml:space="preserve"> y </w:t>
      </w:r>
      <w:r w:rsidR="003F0971">
        <w:rPr>
          <w:rFonts w:ascii="Verdana" w:hAnsi="Verdana"/>
          <w:sz w:val="20"/>
          <w:szCs w:val="20"/>
          <w:lang w:val="es-CR"/>
        </w:rPr>
        <w:t>julio de 2018</w:t>
      </w:r>
      <w:r w:rsidR="001D400B">
        <w:rPr>
          <w:rFonts w:ascii="Verdana" w:hAnsi="Verdana"/>
          <w:sz w:val="20"/>
          <w:szCs w:val="20"/>
          <w:lang w:val="es-CR"/>
        </w:rPr>
        <w:t xml:space="preserve"> en el caso </w:t>
      </w:r>
      <w:r w:rsidR="001D400B">
        <w:rPr>
          <w:rFonts w:ascii="Verdana" w:hAnsi="Verdana"/>
          <w:i/>
          <w:sz w:val="20"/>
          <w:szCs w:val="20"/>
          <w:lang w:val="es-CR"/>
        </w:rPr>
        <w:t>Pollo Rivera y otros</w:t>
      </w:r>
      <w:r w:rsidR="001D400B" w:rsidRPr="003D315A">
        <w:rPr>
          <w:rStyle w:val="FootnoteReference"/>
          <w:rFonts w:ascii="Verdana" w:hAnsi="Verdana"/>
          <w:sz w:val="20"/>
          <w:szCs w:val="20"/>
          <w:lang w:val="es-CR"/>
        </w:rPr>
        <w:footnoteReference w:id="6"/>
      </w:r>
      <w:r w:rsidR="0098684E">
        <w:rPr>
          <w:rFonts w:ascii="Verdana" w:hAnsi="Verdana"/>
          <w:i/>
          <w:sz w:val="20"/>
          <w:szCs w:val="20"/>
          <w:lang w:val="es-CR"/>
        </w:rPr>
        <w:t xml:space="preserve"> </w:t>
      </w:r>
      <w:r w:rsidR="0098684E">
        <w:rPr>
          <w:rFonts w:ascii="Verdana" w:hAnsi="Verdana"/>
          <w:sz w:val="20"/>
          <w:szCs w:val="20"/>
          <w:lang w:val="es-CR"/>
        </w:rPr>
        <w:t xml:space="preserve">y en el caso </w:t>
      </w:r>
      <w:r w:rsidR="0098684E">
        <w:rPr>
          <w:rFonts w:ascii="Verdana" w:hAnsi="Verdana"/>
          <w:i/>
          <w:sz w:val="20"/>
          <w:szCs w:val="20"/>
          <w:lang w:val="es-CR"/>
        </w:rPr>
        <w:t>Lagos del Campo</w:t>
      </w:r>
      <w:r w:rsidR="0098684E">
        <w:rPr>
          <w:rStyle w:val="FootnoteReference"/>
          <w:rFonts w:ascii="Verdana" w:hAnsi="Verdana"/>
          <w:sz w:val="20"/>
          <w:szCs w:val="20"/>
          <w:lang w:val="es-CR"/>
        </w:rPr>
        <w:footnoteReference w:id="7"/>
      </w:r>
      <w:r w:rsidR="00761555">
        <w:rPr>
          <w:rFonts w:ascii="Verdana" w:hAnsi="Verdana"/>
          <w:sz w:val="20"/>
          <w:szCs w:val="20"/>
          <w:lang w:val="es-CR"/>
        </w:rPr>
        <w:t>.</w:t>
      </w:r>
      <w:r w:rsidR="003557DD">
        <w:rPr>
          <w:rFonts w:ascii="Verdana" w:hAnsi="Verdana"/>
          <w:b/>
          <w:sz w:val="20"/>
          <w:szCs w:val="20"/>
          <w:lang w:val="es-CR"/>
        </w:rPr>
        <w:t xml:space="preserve"> </w:t>
      </w:r>
    </w:p>
    <w:p w14:paraId="4FDC22D2" w14:textId="77777777" w:rsidR="00AB3657" w:rsidRPr="00AB3657" w:rsidRDefault="00AB3657" w:rsidP="00967A71">
      <w:pPr>
        <w:pStyle w:val="ListParagraph"/>
        <w:spacing w:after="240" w:line="240" w:lineRule="auto"/>
        <w:ind w:left="0"/>
        <w:jc w:val="both"/>
        <w:rPr>
          <w:rFonts w:ascii="Verdana" w:hAnsi="Verdana"/>
          <w:sz w:val="16"/>
          <w:szCs w:val="16"/>
          <w:lang w:val="es-CR"/>
        </w:rPr>
      </w:pPr>
    </w:p>
    <w:p w14:paraId="6A5171AC" w14:textId="2469A11A" w:rsidR="00F71C32" w:rsidRDefault="001D400B" w:rsidP="00967A71">
      <w:pPr>
        <w:pStyle w:val="ListParagraph"/>
        <w:numPr>
          <w:ilvl w:val="0"/>
          <w:numId w:val="1"/>
        </w:numPr>
        <w:spacing w:after="240" w:line="240" w:lineRule="auto"/>
        <w:ind w:left="0" w:firstLine="0"/>
        <w:jc w:val="both"/>
        <w:rPr>
          <w:rFonts w:ascii="Verdana" w:hAnsi="Verdana"/>
          <w:sz w:val="20"/>
          <w:szCs w:val="20"/>
          <w:lang w:val="es-CR"/>
        </w:rPr>
      </w:pPr>
      <w:r>
        <w:rPr>
          <w:rFonts w:ascii="Verdana" w:hAnsi="Verdana"/>
          <w:sz w:val="20"/>
          <w:szCs w:val="20"/>
          <w:lang w:val="es-CR"/>
        </w:rPr>
        <w:t>Los</w:t>
      </w:r>
      <w:r w:rsidR="00BE1A2F">
        <w:rPr>
          <w:rFonts w:ascii="Verdana" w:hAnsi="Verdana"/>
          <w:sz w:val="20"/>
          <w:szCs w:val="20"/>
          <w:lang w:val="es-CR"/>
        </w:rPr>
        <w:t xml:space="preserve"> </w:t>
      </w:r>
      <w:r w:rsidR="00E316C9">
        <w:rPr>
          <w:rFonts w:ascii="Verdana" w:hAnsi="Verdana"/>
          <w:sz w:val="20"/>
          <w:szCs w:val="20"/>
          <w:lang w:val="es-CR"/>
        </w:rPr>
        <w:t>ocho</w:t>
      </w:r>
      <w:r w:rsidR="004F45D8">
        <w:rPr>
          <w:rFonts w:ascii="Verdana" w:hAnsi="Verdana"/>
          <w:sz w:val="20"/>
          <w:szCs w:val="20"/>
          <w:lang w:val="es-CR"/>
        </w:rPr>
        <w:t xml:space="preserve"> </w:t>
      </w:r>
      <w:r w:rsidR="00BE1A2F">
        <w:rPr>
          <w:rFonts w:ascii="Verdana" w:hAnsi="Verdana"/>
          <w:sz w:val="20"/>
          <w:szCs w:val="20"/>
          <w:lang w:val="es-CR"/>
        </w:rPr>
        <w:t>e</w:t>
      </w:r>
      <w:r w:rsidR="00F71C32">
        <w:rPr>
          <w:rFonts w:ascii="Verdana" w:hAnsi="Verdana"/>
          <w:sz w:val="20"/>
          <w:szCs w:val="20"/>
          <w:lang w:val="es-CR"/>
        </w:rPr>
        <w:t>scrito</w:t>
      </w:r>
      <w:r>
        <w:rPr>
          <w:rFonts w:ascii="Verdana" w:hAnsi="Verdana"/>
          <w:sz w:val="20"/>
          <w:szCs w:val="20"/>
          <w:lang w:val="es-CR"/>
        </w:rPr>
        <w:t>s</w:t>
      </w:r>
      <w:r w:rsidR="00F71C32">
        <w:rPr>
          <w:rFonts w:ascii="Verdana" w:hAnsi="Verdana"/>
          <w:sz w:val="20"/>
          <w:szCs w:val="20"/>
          <w:lang w:val="es-CR"/>
        </w:rPr>
        <w:t xml:space="preserve"> de observaciones presentado</w:t>
      </w:r>
      <w:r>
        <w:rPr>
          <w:rFonts w:ascii="Verdana" w:hAnsi="Verdana"/>
          <w:sz w:val="20"/>
          <w:szCs w:val="20"/>
          <w:lang w:val="es-CR"/>
        </w:rPr>
        <w:t>s</w:t>
      </w:r>
      <w:r w:rsidR="00C61EE8">
        <w:rPr>
          <w:rFonts w:ascii="Verdana" w:hAnsi="Verdana"/>
          <w:sz w:val="20"/>
          <w:szCs w:val="20"/>
          <w:lang w:val="es-CR"/>
        </w:rPr>
        <w:t xml:space="preserve"> </w:t>
      </w:r>
      <w:r w:rsidR="00F71C32">
        <w:rPr>
          <w:rFonts w:ascii="Verdana" w:hAnsi="Verdana"/>
          <w:sz w:val="20"/>
          <w:szCs w:val="20"/>
          <w:lang w:val="es-CR"/>
        </w:rPr>
        <w:t xml:space="preserve">por </w:t>
      </w:r>
      <w:r w:rsidR="00227136">
        <w:rPr>
          <w:rFonts w:ascii="Verdana" w:hAnsi="Verdana"/>
          <w:sz w:val="20"/>
          <w:szCs w:val="20"/>
          <w:lang w:val="es-CR"/>
        </w:rPr>
        <w:t>l</w:t>
      </w:r>
      <w:r w:rsidR="00260D49">
        <w:rPr>
          <w:rFonts w:ascii="Verdana" w:hAnsi="Verdana"/>
          <w:sz w:val="20"/>
          <w:szCs w:val="20"/>
          <w:lang w:val="es-CR"/>
        </w:rPr>
        <w:t>os</w:t>
      </w:r>
      <w:r w:rsidR="00227136">
        <w:rPr>
          <w:rFonts w:ascii="Verdana" w:hAnsi="Verdana"/>
          <w:sz w:val="20"/>
          <w:szCs w:val="20"/>
          <w:lang w:val="es-CR"/>
        </w:rPr>
        <w:t xml:space="preserve"> </w:t>
      </w:r>
      <w:r w:rsidR="00C61EE8">
        <w:rPr>
          <w:rFonts w:ascii="Verdana" w:hAnsi="Verdana"/>
          <w:sz w:val="20"/>
          <w:szCs w:val="20"/>
          <w:lang w:val="es-CR"/>
        </w:rPr>
        <w:t>intervinientes comunes</w:t>
      </w:r>
      <w:r w:rsidR="00C61EE8" w:rsidRPr="00C61EE8">
        <w:rPr>
          <w:rStyle w:val="FootnoteReference"/>
          <w:rFonts w:ascii="Verdana" w:hAnsi="Verdana"/>
          <w:sz w:val="20"/>
          <w:szCs w:val="20"/>
          <w:lang w:val="es-CR"/>
        </w:rPr>
        <w:footnoteReference w:id="8"/>
      </w:r>
      <w:r w:rsidR="00C61EE8">
        <w:rPr>
          <w:rFonts w:ascii="Verdana" w:hAnsi="Verdana"/>
          <w:sz w:val="20"/>
          <w:szCs w:val="20"/>
          <w:lang w:val="es-CR"/>
        </w:rPr>
        <w:t xml:space="preserve"> del caso </w:t>
      </w:r>
      <w:r w:rsidR="00C61EE8">
        <w:rPr>
          <w:rFonts w:ascii="Verdana" w:hAnsi="Verdana"/>
          <w:i/>
          <w:sz w:val="20"/>
          <w:szCs w:val="20"/>
          <w:lang w:val="es-CR"/>
        </w:rPr>
        <w:t>Pollo Rivera y otros</w:t>
      </w:r>
      <w:r w:rsidR="00C61EE8" w:rsidRPr="00C61EE8">
        <w:rPr>
          <w:rStyle w:val="FootnoteReference"/>
          <w:rFonts w:ascii="Verdana" w:hAnsi="Verdana"/>
          <w:sz w:val="20"/>
          <w:szCs w:val="20"/>
          <w:lang w:val="es-CR"/>
        </w:rPr>
        <w:footnoteReference w:id="9"/>
      </w:r>
      <w:r w:rsidR="00C61EE8">
        <w:rPr>
          <w:rFonts w:ascii="Verdana" w:hAnsi="Verdana"/>
          <w:sz w:val="20"/>
          <w:szCs w:val="20"/>
          <w:lang w:val="es-CR"/>
        </w:rPr>
        <w:t xml:space="preserve"> y lo</w:t>
      </w:r>
      <w:r w:rsidR="003D4B08">
        <w:rPr>
          <w:rFonts w:ascii="Verdana" w:hAnsi="Verdana"/>
          <w:sz w:val="20"/>
          <w:szCs w:val="20"/>
          <w:lang w:val="es-CR"/>
        </w:rPr>
        <w:t>s representantes de la víctima</w:t>
      </w:r>
      <w:r w:rsidR="00C61EE8">
        <w:rPr>
          <w:rStyle w:val="FootnoteReference"/>
          <w:rFonts w:ascii="Verdana" w:hAnsi="Verdana"/>
          <w:sz w:val="20"/>
          <w:szCs w:val="20"/>
          <w:lang w:val="es-CR"/>
        </w:rPr>
        <w:footnoteReference w:id="10"/>
      </w:r>
      <w:r w:rsidR="00C61EE8">
        <w:rPr>
          <w:rFonts w:ascii="Verdana" w:hAnsi="Verdana"/>
          <w:sz w:val="20"/>
          <w:szCs w:val="20"/>
          <w:lang w:val="es-CR"/>
        </w:rPr>
        <w:t xml:space="preserve"> del caso </w:t>
      </w:r>
      <w:r w:rsidR="00C61EE8">
        <w:rPr>
          <w:rFonts w:ascii="Verdana" w:hAnsi="Verdana"/>
          <w:i/>
          <w:sz w:val="20"/>
          <w:szCs w:val="20"/>
          <w:lang w:val="es-CR"/>
        </w:rPr>
        <w:t>Lagos del Campo</w:t>
      </w:r>
      <w:r w:rsidR="00C61EE8" w:rsidRPr="00C61EE8">
        <w:rPr>
          <w:rStyle w:val="FootnoteReference"/>
          <w:rFonts w:ascii="Verdana" w:hAnsi="Verdana"/>
          <w:sz w:val="20"/>
          <w:szCs w:val="20"/>
          <w:lang w:val="es-CR"/>
        </w:rPr>
        <w:footnoteReference w:id="11"/>
      </w:r>
      <w:r w:rsidR="00C61EE8">
        <w:rPr>
          <w:rFonts w:ascii="Verdana" w:hAnsi="Verdana"/>
          <w:i/>
          <w:sz w:val="20"/>
          <w:szCs w:val="20"/>
          <w:lang w:val="es-CR"/>
        </w:rPr>
        <w:t xml:space="preserve"> </w:t>
      </w:r>
      <w:r w:rsidR="00C61EE8">
        <w:rPr>
          <w:rFonts w:ascii="Verdana" w:hAnsi="Verdana"/>
          <w:sz w:val="20"/>
          <w:szCs w:val="20"/>
          <w:lang w:val="es-CR"/>
        </w:rPr>
        <w:t xml:space="preserve">entre </w:t>
      </w:r>
      <w:r w:rsidR="004F45D8">
        <w:rPr>
          <w:rFonts w:ascii="Verdana" w:hAnsi="Verdana"/>
          <w:sz w:val="20"/>
          <w:szCs w:val="20"/>
          <w:lang w:val="es-CR"/>
        </w:rPr>
        <w:t>febrero de 2017</w:t>
      </w:r>
      <w:r w:rsidR="00C61EE8">
        <w:rPr>
          <w:rFonts w:ascii="Verdana" w:hAnsi="Verdana"/>
          <w:sz w:val="20"/>
          <w:szCs w:val="20"/>
          <w:lang w:val="es-CR"/>
        </w:rPr>
        <w:t xml:space="preserve"> y </w:t>
      </w:r>
      <w:r w:rsidR="00E316C9">
        <w:rPr>
          <w:rFonts w:ascii="Verdana" w:hAnsi="Verdana"/>
          <w:sz w:val="20"/>
          <w:szCs w:val="20"/>
          <w:lang w:val="es-CR"/>
        </w:rPr>
        <w:t>junio</w:t>
      </w:r>
      <w:r w:rsidR="00C61EE8">
        <w:rPr>
          <w:rFonts w:ascii="Verdana" w:hAnsi="Verdana"/>
          <w:sz w:val="20"/>
          <w:szCs w:val="20"/>
          <w:lang w:val="es-CR"/>
        </w:rPr>
        <w:t xml:space="preserve"> de 2018</w:t>
      </w:r>
      <w:r w:rsidR="00260D49">
        <w:rPr>
          <w:rFonts w:ascii="Verdana" w:hAnsi="Verdana"/>
          <w:i/>
          <w:sz w:val="20"/>
          <w:szCs w:val="20"/>
          <w:lang w:val="es-CR"/>
        </w:rPr>
        <w:t>.</w:t>
      </w:r>
    </w:p>
    <w:p w14:paraId="11E101F7" w14:textId="77777777" w:rsidR="00AB3657" w:rsidRPr="00AB3657" w:rsidRDefault="00AB3657" w:rsidP="00967A71">
      <w:pPr>
        <w:pStyle w:val="ListParagraph"/>
        <w:spacing w:after="240" w:line="240" w:lineRule="auto"/>
        <w:ind w:left="0"/>
        <w:jc w:val="both"/>
        <w:rPr>
          <w:rFonts w:ascii="Verdana" w:hAnsi="Verdana"/>
          <w:sz w:val="16"/>
          <w:szCs w:val="16"/>
          <w:lang w:val="es-CR"/>
        </w:rPr>
      </w:pPr>
    </w:p>
    <w:p w14:paraId="21D4E610" w14:textId="2F1D2509" w:rsidR="00F71C32" w:rsidRDefault="001D400B" w:rsidP="00967A71">
      <w:pPr>
        <w:pStyle w:val="ListParagraph"/>
        <w:numPr>
          <w:ilvl w:val="0"/>
          <w:numId w:val="1"/>
        </w:numPr>
        <w:spacing w:after="240" w:line="240" w:lineRule="auto"/>
        <w:ind w:left="0" w:firstLine="0"/>
        <w:jc w:val="both"/>
        <w:rPr>
          <w:rFonts w:ascii="Verdana" w:hAnsi="Verdana"/>
          <w:sz w:val="20"/>
          <w:szCs w:val="20"/>
          <w:lang w:val="es-CR"/>
        </w:rPr>
      </w:pPr>
      <w:r>
        <w:rPr>
          <w:rFonts w:ascii="Verdana" w:hAnsi="Verdana"/>
          <w:sz w:val="20"/>
          <w:szCs w:val="20"/>
          <w:lang w:val="es-CR"/>
        </w:rPr>
        <w:t xml:space="preserve">Los </w:t>
      </w:r>
      <w:r w:rsidR="00E316C9">
        <w:rPr>
          <w:rFonts w:ascii="Verdana" w:hAnsi="Verdana"/>
          <w:sz w:val="20"/>
          <w:szCs w:val="20"/>
          <w:lang w:val="es-CR"/>
        </w:rPr>
        <w:t>cuatro</w:t>
      </w:r>
      <w:r w:rsidR="00FE15B5">
        <w:rPr>
          <w:rFonts w:ascii="Verdana" w:hAnsi="Verdana"/>
          <w:sz w:val="20"/>
          <w:szCs w:val="20"/>
          <w:lang w:val="es-CR"/>
        </w:rPr>
        <w:t xml:space="preserve"> </w:t>
      </w:r>
      <w:r>
        <w:rPr>
          <w:rFonts w:ascii="Verdana" w:hAnsi="Verdana"/>
          <w:sz w:val="20"/>
          <w:szCs w:val="20"/>
          <w:lang w:val="es-CR"/>
        </w:rPr>
        <w:t>escritos</w:t>
      </w:r>
      <w:r w:rsidR="00F71C32">
        <w:rPr>
          <w:rFonts w:ascii="Verdana" w:hAnsi="Verdana"/>
          <w:sz w:val="20"/>
          <w:szCs w:val="20"/>
          <w:lang w:val="es-CR"/>
        </w:rPr>
        <w:t xml:space="preserve"> de observaciones presentado</w:t>
      </w:r>
      <w:r>
        <w:rPr>
          <w:rFonts w:ascii="Verdana" w:hAnsi="Verdana"/>
          <w:sz w:val="20"/>
          <w:szCs w:val="20"/>
          <w:lang w:val="es-CR"/>
        </w:rPr>
        <w:t>s</w:t>
      </w:r>
      <w:r w:rsidR="00F71C32">
        <w:rPr>
          <w:rFonts w:ascii="Verdana" w:hAnsi="Verdana"/>
          <w:sz w:val="20"/>
          <w:szCs w:val="20"/>
          <w:lang w:val="es-CR"/>
        </w:rPr>
        <w:t xml:space="preserve"> por la Comisión Interamericana de Derechos Humanos (en adelante “la Comisión Int</w:t>
      </w:r>
      <w:r>
        <w:rPr>
          <w:rFonts w:ascii="Verdana" w:hAnsi="Verdana"/>
          <w:sz w:val="20"/>
          <w:szCs w:val="20"/>
          <w:lang w:val="es-CR"/>
        </w:rPr>
        <w:t xml:space="preserve">eramericana” o “la Comisión”) entre </w:t>
      </w:r>
      <w:r w:rsidR="00184ECF">
        <w:rPr>
          <w:rFonts w:ascii="Verdana" w:hAnsi="Verdana"/>
          <w:sz w:val="20"/>
          <w:szCs w:val="20"/>
          <w:lang w:val="es-CR"/>
        </w:rPr>
        <w:t>abril de 2017</w:t>
      </w:r>
      <w:r>
        <w:rPr>
          <w:rFonts w:ascii="Verdana" w:hAnsi="Verdana"/>
          <w:sz w:val="20"/>
          <w:szCs w:val="20"/>
          <w:lang w:val="es-CR"/>
        </w:rPr>
        <w:t xml:space="preserve"> y </w:t>
      </w:r>
      <w:r w:rsidR="00184ECF">
        <w:rPr>
          <w:rFonts w:ascii="Verdana" w:hAnsi="Verdana"/>
          <w:sz w:val="20"/>
          <w:szCs w:val="20"/>
          <w:lang w:val="es-CR"/>
        </w:rPr>
        <w:t>junio de 2018</w:t>
      </w:r>
      <w:r>
        <w:rPr>
          <w:rFonts w:ascii="Verdana" w:hAnsi="Verdana"/>
          <w:sz w:val="20"/>
          <w:szCs w:val="20"/>
          <w:lang w:val="es-CR"/>
        </w:rPr>
        <w:t xml:space="preserve"> en el caso </w:t>
      </w:r>
      <w:r>
        <w:rPr>
          <w:rFonts w:ascii="Verdana" w:hAnsi="Verdana"/>
          <w:i/>
          <w:sz w:val="20"/>
          <w:szCs w:val="20"/>
          <w:lang w:val="es-CR"/>
        </w:rPr>
        <w:t>Pollo Rivera y otros</w:t>
      </w:r>
      <w:r w:rsidR="00260D49" w:rsidRPr="003D315A">
        <w:rPr>
          <w:rStyle w:val="FootnoteReference"/>
          <w:rFonts w:ascii="Verdana" w:hAnsi="Verdana"/>
          <w:sz w:val="20"/>
          <w:szCs w:val="20"/>
          <w:lang w:val="es-CR"/>
        </w:rPr>
        <w:footnoteReference w:id="12"/>
      </w:r>
      <w:r w:rsidR="0098684E">
        <w:rPr>
          <w:rFonts w:ascii="Verdana" w:hAnsi="Verdana"/>
          <w:i/>
          <w:sz w:val="20"/>
          <w:szCs w:val="20"/>
          <w:lang w:val="es-CR"/>
        </w:rPr>
        <w:t xml:space="preserve"> </w:t>
      </w:r>
      <w:r w:rsidR="0098684E">
        <w:rPr>
          <w:rFonts w:ascii="Verdana" w:hAnsi="Verdana"/>
          <w:sz w:val="20"/>
          <w:szCs w:val="20"/>
          <w:lang w:val="es-CR"/>
        </w:rPr>
        <w:t xml:space="preserve">y en el caso </w:t>
      </w:r>
      <w:r w:rsidR="0098684E">
        <w:rPr>
          <w:rFonts w:ascii="Verdana" w:hAnsi="Verdana"/>
          <w:i/>
          <w:sz w:val="20"/>
          <w:szCs w:val="20"/>
          <w:lang w:val="es-CR"/>
        </w:rPr>
        <w:t>Lagos del Campo</w:t>
      </w:r>
      <w:r w:rsidR="0098684E" w:rsidRPr="003D315A">
        <w:rPr>
          <w:rStyle w:val="FootnoteReference"/>
          <w:rFonts w:ascii="Verdana" w:hAnsi="Verdana"/>
          <w:sz w:val="20"/>
          <w:szCs w:val="20"/>
          <w:lang w:val="es-CR"/>
        </w:rPr>
        <w:footnoteReference w:id="13"/>
      </w:r>
      <w:r>
        <w:rPr>
          <w:rFonts w:ascii="Verdana" w:hAnsi="Verdana"/>
          <w:i/>
          <w:sz w:val="20"/>
          <w:szCs w:val="20"/>
          <w:lang w:val="es-CR"/>
        </w:rPr>
        <w:t>.</w:t>
      </w:r>
      <w:r w:rsidR="004E6612">
        <w:rPr>
          <w:rFonts w:ascii="Verdana" w:hAnsi="Verdana"/>
          <w:b/>
          <w:sz w:val="20"/>
          <w:szCs w:val="20"/>
          <w:lang w:val="es-CR"/>
        </w:rPr>
        <w:t xml:space="preserve"> </w:t>
      </w:r>
    </w:p>
    <w:p w14:paraId="7F8AAD6E" w14:textId="77777777" w:rsidR="00BD0976" w:rsidRPr="00AB3657" w:rsidRDefault="00BD0976" w:rsidP="00967A71">
      <w:pPr>
        <w:spacing w:after="240" w:line="240" w:lineRule="auto"/>
        <w:jc w:val="both"/>
        <w:rPr>
          <w:rFonts w:ascii="Verdana" w:hAnsi="Verdana"/>
          <w:sz w:val="16"/>
          <w:szCs w:val="16"/>
          <w:lang w:val="es-CR"/>
        </w:rPr>
      </w:pPr>
    </w:p>
    <w:p w14:paraId="062C48F4" w14:textId="77777777" w:rsidR="00BD0976" w:rsidRDefault="00BD0976" w:rsidP="00967A71">
      <w:pPr>
        <w:spacing w:after="240" w:line="240" w:lineRule="auto"/>
        <w:jc w:val="both"/>
        <w:rPr>
          <w:rFonts w:ascii="Verdana" w:hAnsi="Verdana"/>
          <w:sz w:val="20"/>
          <w:szCs w:val="20"/>
          <w:lang w:val="es-CR"/>
        </w:rPr>
      </w:pPr>
      <w:r>
        <w:rPr>
          <w:rFonts w:ascii="Verdana" w:hAnsi="Verdana"/>
          <w:b/>
          <w:sz w:val="20"/>
          <w:szCs w:val="20"/>
          <w:lang w:val="es-CR"/>
        </w:rPr>
        <w:t>CONSIDERANDO QUE:</w:t>
      </w:r>
    </w:p>
    <w:p w14:paraId="6BF77302" w14:textId="77777777" w:rsidR="00BD0976" w:rsidRPr="00AB3657" w:rsidRDefault="00BD0976" w:rsidP="00967A71">
      <w:pPr>
        <w:spacing w:after="240" w:line="240" w:lineRule="auto"/>
        <w:jc w:val="both"/>
        <w:rPr>
          <w:rFonts w:ascii="Verdana" w:hAnsi="Verdana"/>
          <w:sz w:val="16"/>
          <w:szCs w:val="16"/>
          <w:lang w:val="es-CR"/>
        </w:rPr>
      </w:pPr>
    </w:p>
    <w:p w14:paraId="6CE1CD80" w14:textId="0E35E553" w:rsidR="002303F1" w:rsidRPr="00A84C71" w:rsidRDefault="00BD0976" w:rsidP="00967A71">
      <w:pPr>
        <w:pStyle w:val="ListParagraph"/>
        <w:numPr>
          <w:ilvl w:val="0"/>
          <w:numId w:val="2"/>
        </w:numPr>
        <w:spacing w:after="240" w:line="240" w:lineRule="auto"/>
        <w:ind w:left="0" w:firstLine="0"/>
        <w:jc w:val="both"/>
        <w:rPr>
          <w:rFonts w:ascii="Verdana" w:hAnsi="Verdana"/>
          <w:sz w:val="20"/>
          <w:szCs w:val="20"/>
          <w:lang w:val="es-CR"/>
        </w:rPr>
      </w:pPr>
      <w:bookmarkStart w:id="2" w:name="_Ref504381323"/>
      <w:r w:rsidRPr="002303F1">
        <w:rPr>
          <w:rFonts w:ascii="Verdana" w:hAnsi="Verdana"/>
          <w:sz w:val="20"/>
          <w:szCs w:val="20"/>
          <w:lang w:val="es-CR"/>
        </w:rPr>
        <w:t>En el ejercicio de su función jurisdiccional de supervisar el cumplimiento de sus decisiones</w:t>
      </w:r>
      <w:r w:rsidRPr="00E8194E">
        <w:rPr>
          <w:rStyle w:val="FootnoteReference"/>
          <w:rFonts w:ascii="Verdana" w:hAnsi="Verdana"/>
          <w:sz w:val="20"/>
          <w:szCs w:val="20"/>
          <w:lang w:val="es-CR"/>
        </w:rPr>
        <w:footnoteReference w:id="14"/>
      </w:r>
      <w:r w:rsidRPr="002303F1">
        <w:rPr>
          <w:rFonts w:ascii="Verdana" w:hAnsi="Verdana"/>
          <w:sz w:val="20"/>
          <w:szCs w:val="20"/>
          <w:lang w:val="es-CR"/>
        </w:rPr>
        <w:t>, la Corte ha venido supervisando la ejecución de la</w:t>
      </w:r>
      <w:r w:rsidR="00260D49">
        <w:rPr>
          <w:rFonts w:ascii="Verdana" w:hAnsi="Verdana"/>
          <w:sz w:val="20"/>
          <w:szCs w:val="20"/>
          <w:lang w:val="es-CR"/>
        </w:rPr>
        <w:t>s</w:t>
      </w:r>
      <w:r w:rsidRPr="002303F1">
        <w:rPr>
          <w:rFonts w:ascii="Verdana" w:hAnsi="Verdana"/>
          <w:sz w:val="20"/>
          <w:szCs w:val="20"/>
          <w:lang w:val="es-CR"/>
        </w:rPr>
        <w:t xml:space="preserve"> Sentencia</w:t>
      </w:r>
      <w:r w:rsidR="00260D49">
        <w:rPr>
          <w:rFonts w:ascii="Verdana" w:hAnsi="Verdana"/>
          <w:sz w:val="20"/>
          <w:szCs w:val="20"/>
          <w:lang w:val="es-CR"/>
        </w:rPr>
        <w:t>s</w:t>
      </w:r>
      <w:r w:rsidRPr="002303F1">
        <w:rPr>
          <w:rFonts w:ascii="Verdana" w:hAnsi="Verdana"/>
          <w:sz w:val="20"/>
          <w:szCs w:val="20"/>
          <w:lang w:val="es-CR"/>
        </w:rPr>
        <w:t xml:space="preserve"> </w:t>
      </w:r>
      <w:r w:rsidR="008B54C2">
        <w:rPr>
          <w:rFonts w:ascii="Verdana" w:hAnsi="Verdana"/>
          <w:sz w:val="20"/>
          <w:szCs w:val="20"/>
          <w:lang w:val="es-CR"/>
        </w:rPr>
        <w:t>d</w:t>
      </w:r>
      <w:r w:rsidR="0086725E">
        <w:rPr>
          <w:rFonts w:ascii="Verdana" w:hAnsi="Verdana"/>
          <w:sz w:val="20"/>
          <w:szCs w:val="20"/>
          <w:lang w:val="es-CR"/>
        </w:rPr>
        <w:t xml:space="preserve">el caso </w:t>
      </w:r>
      <w:r w:rsidR="0086725E">
        <w:rPr>
          <w:rFonts w:ascii="Verdana" w:hAnsi="Verdana"/>
          <w:i/>
          <w:sz w:val="20"/>
          <w:szCs w:val="20"/>
          <w:lang w:val="es-CR"/>
        </w:rPr>
        <w:t>Pollo Rivera y otros</w:t>
      </w:r>
      <w:r w:rsidR="0086725E">
        <w:rPr>
          <w:rFonts w:ascii="Verdana" w:hAnsi="Verdana"/>
          <w:sz w:val="20"/>
          <w:szCs w:val="20"/>
          <w:lang w:val="es-CR"/>
        </w:rPr>
        <w:t xml:space="preserve"> y </w:t>
      </w:r>
      <w:r w:rsidR="008B54C2">
        <w:rPr>
          <w:rFonts w:ascii="Verdana" w:hAnsi="Verdana"/>
          <w:sz w:val="20"/>
          <w:szCs w:val="20"/>
          <w:lang w:val="es-CR"/>
        </w:rPr>
        <w:t>d</w:t>
      </w:r>
      <w:r w:rsidRPr="002303F1">
        <w:rPr>
          <w:rFonts w:ascii="Verdana" w:hAnsi="Verdana"/>
          <w:sz w:val="20"/>
          <w:szCs w:val="20"/>
          <w:lang w:val="es-CR"/>
        </w:rPr>
        <w:t xml:space="preserve">el </w:t>
      </w:r>
      <w:r w:rsidR="00260D49">
        <w:rPr>
          <w:rFonts w:ascii="Verdana" w:hAnsi="Verdana"/>
          <w:sz w:val="20"/>
          <w:szCs w:val="20"/>
          <w:lang w:val="es-CR"/>
        </w:rPr>
        <w:t xml:space="preserve">caso </w:t>
      </w:r>
      <w:r w:rsidR="00260D49">
        <w:rPr>
          <w:rFonts w:ascii="Verdana" w:hAnsi="Verdana"/>
          <w:i/>
          <w:sz w:val="20"/>
          <w:szCs w:val="20"/>
          <w:lang w:val="es-CR"/>
        </w:rPr>
        <w:t>L</w:t>
      </w:r>
      <w:r w:rsidR="0086725E">
        <w:rPr>
          <w:rFonts w:ascii="Verdana" w:hAnsi="Verdana"/>
          <w:i/>
          <w:sz w:val="20"/>
          <w:szCs w:val="20"/>
          <w:lang w:val="es-CR"/>
        </w:rPr>
        <w:t>agos del Campo</w:t>
      </w:r>
      <w:r w:rsidR="00260D49">
        <w:rPr>
          <w:rFonts w:ascii="Verdana" w:hAnsi="Verdana"/>
          <w:i/>
          <w:sz w:val="20"/>
          <w:szCs w:val="20"/>
          <w:lang w:val="es-CR"/>
        </w:rPr>
        <w:t xml:space="preserve">, </w:t>
      </w:r>
      <w:r w:rsidR="00260D49">
        <w:rPr>
          <w:rFonts w:ascii="Verdana" w:hAnsi="Verdana"/>
          <w:sz w:val="20"/>
          <w:szCs w:val="20"/>
          <w:lang w:val="es-CR"/>
        </w:rPr>
        <w:t xml:space="preserve">ambos contra Perú, </w:t>
      </w:r>
      <w:r w:rsidR="008B54C2" w:rsidRPr="002303F1">
        <w:rPr>
          <w:rFonts w:ascii="Verdana" w:hAnsi="Verdana"/>
          <w:sz w:val="20"/>
          <w:szCs w:val="20"/>
          <w:lang w:val="es-CR"/>
        </w:rPr>
        <w:t>emitida</w:t>
      </w:r>
      <w:r w:rsidR="008B54C2">
        <w:rPr>
          <w:rFonts w:ascii="Verdana" w:hAnsi="Verdana"/>
          <w:sz w:val="20"/>
          <w:szCs w:val="20"/>
          <w:lang w:val="es-CR"/>
        </w:rPr>
        <w:t>s</w:t>
      </w:r>
      <w:r w:rsidR="008B54C2" w:rsidRPr="002303F1">
        <w:rPr>
          <w:rFonts w:ascii="Verdana" w:hAnsi="Verdana"/>
          <w:sz w:val="20"/>
          <w:szCs w:val="20"/>
          <w:lang w:val="es-CR"/>
        </w:rPr>
        <w:t xml:space="preserve"> </w:t>
      </w:r>
      <w:r w:rsidR="00260D49">
        <w:rPr>
          <w:rFonts w:ascii="Verdana" w:hAnsi="Verdana"/>
          <w:sz w:val="20"/>
          <w:szCs w:val="20"/>
          <w:lang w:val="es-CR"/>
        </w:rPr>
        <w:t>respectivamente en octubre de 2016</w:t>
      </w:r>
      <w:r w:rsidRPr="002303F1">
        <w:rPr>
          <w:rFonts w:ascii="Verdana" w:hAnsi="Verdana"/>
          <w:sz w:val="20"/>
          <w:szCs w:val="20"/>
          <w:lang w:val="es-CR"/>
        </w:rPr>
        <w:t xml:space="preserve"> </w:t>
      </w:r>
      <w:r w:rsidR="0086725E">
        <w:rPr>
          <w:rFonts w:ascii="Verdana" w:hAnsi="Verdana"/>
          <w:sz w:val="20"/>
          <w:szCs w:val="20"/>
          <w:lang w:val="es-CR"/>
        </w:rPr>
        <w:t xml:space="preserve">y en agosto de 2017 </w:t>
      </w:r>
      <w:r w:rsidRPr="002303F1">
        <w:rPr>
          <w:rFonts w:ascii="Verdana" w:hAnsi="Verdana"/>
          <w:sz w:val="20"/>
          <w:szCs w:val="20"/>
          <w:lang w:val="es-CR"/>
        </w:rPr>
        <w:t>(</w:t>
      </w:r>
      <w:r w:rsidRPr="002303F1">
        <w:rPr>
          <w:rFonts w:ascii="Verdana" w:hAnsi="Verdana"/>
          <w:i/>
          <w:sz w:val="20"/>
          <w:szCs w:val="20"/>
          <w:lang w:val="es-CR"/>
        </w:rPr>
        <w:t xml:space="preserve">supra </w:t>
      </w:r>
      <w:r w:rsidRPr="002303F1">
        <w:rPr>
          <w:rFonts w:ascii="Verdana" w:hAnsi="Verdana"/>
          <w:sz w:val="20"/>
          <w:szCs w:val="20"/>
          <w:lang w:val="es-CR"/>
        </w:rPr>
        <w:t xml:space="preserve">Visto </w:t>
      </w:r>
      <w:r w:rsidR="00B208BB" w:rsidRPr="002303F1">
        <w:rPr>
          <w:rFonts w:ascii="Verdana" w:hAnsi="Verdana"/>
          <w:sz w:val="20"/>
          <w:szCs w:val="20"/>
          <w:lang w:val="es-CR"/>
        </w:rPr>
        <w:fldChar w:fldCharType="begin"/>
      </w:r>
      <w:r w:rsidR="00B208BB" w:rsidRPr="002303F1">
        <w:rPr>
          <w:rFonts w:ascii="Verdana" w:hAnsi="Verdana"/>
          <w:sz w:val="20"/>
          <w:szCs w:val="20"/>
          <w:lang w:val="es-CR"/>
        </w:rPr>
        <w:instrText xml:space="preserve"> REF _Ref504381338 \r \h </w:instrText>
      </w:r>
      <w:r w:rsidR="00B208BB" w:rsidRPr="002303F1">
        <w:rPr>
          <w:rFonts w:ascii="Verdana" w:hAnsi="Verdana"/>
          <w:sz w:val="20"/>
          <w:szCs w:val="20"/>
          <w:lang w:val="es-CR"/>
        </w:rPr>
      </w:r>
      <w:r w:rsidR="00B208BB" w:rsidRPr="002303F1">
        <w:rPr>
          <w:rFonts w:ascii="Verdana" w:hAnsi="Verdana"/>
          <w:sz w:val="20"/>
          <w:szCs w:val="20"/>
          <w:lang w:val="es-CR"/>
        </w:rPr>
        <w:fldChar w:fldCharType="separate"/>
      </w:r>
      <w:r w:rsidR="00DA5AF0">
        <w:rPr>
          <w:rFonts w:ascii="Verdana" w:hAnsi="Verdana"/>
          <w:sz w:val="20"/>
          <w:szCs w:val="20"/>
          <w:lang w:val="es-CR"/>
        </w:rPr>
        <w:t>1</w:t>
      </w:r>
      <w:r w:rsidR="00B208BB" w:rsidRPr="002303F1">
        <w:rPr>
          <w:rFonts w:ascii="Verdana" w:hAnsi="Verdana"/>
          <w:sz w:val="20"/>
          <w:szCs w:val="20"/>
          <w:lang w:val="es-CR"/>
        </w:rPr>
        <w:fldChar w:fldCharType="end"/>
      </w:r>
      <w:r w:rsidRPr="002303F1">
        <w:rPr>
          <w:rFonts w:ascii="Verdana" w:hAnsi="Verdana"/>
          <w:sz w:val="20"/>
          <w:szCs w:val="20"/>
          <w:lang w:val="es-CR"/>
        </w:rPr>
        <w:t xml:space="preserve">). </w:t>
      </w:r>
      <w:r w:rsidR="000155FA">
        <w:rPr>
          <w:rFonts w:ascii="Verdana" w:hAnsi="Verdana"/>
          <w:sz w:val="20"/>
          <w:szCs w:val="20"/>
          <w:lang w:val="es-CR"/>
        </w:rPr>
        <w:t>E</w:t>
      </w:r>
      <w:r w:rsidR="008C7788">
        <w:rPr>
          <w:rFonts w:ascii="Verdana" w:hAnsi="Verdana"/>
          <w:sz w:val="20"/>
          <w:szCs w:val="20"/>
          <w:lang w:val="es-CR"/>
        </w:rPr>
        <w:t xml:space="preserve">n </w:t>
      </w:r>
      <w:r w:rsidR="006976F9">
        <w:rPr>
          <w:rFonts w:ascii="Verdana" w:hAnsi="Verdana"/>
          <w:sz w:val="20"/>
          <w:szCs w:val="20"/>
          <w:lang w:val="es-CR"/>
        </w:rPr>
        <w:t xml:space="preserve">la </w:t>
      </w:r>
      <w:r w:rsidR="008B54C2">
        <w:rPr>
          <w:rFonts w:ascii="Verdana" w:hAnsi="Verdana"/>
          <w:sz w:val="20"/>
          <w:szCs w:val="20"/>
          <w:lang w:val="es-CR"/>
        </w:rPr>
        <w:t>S</w:t>
      </w:r>
      <w:r w:rsidR="006976F9">
        <w:rPr>
          <w:rFonts w:ascii="Verdana" w:hAnsi="Verdana"/>
          <w:sz w:val="20"/>
          <w:szCs w:val="20"/>
          <w:lang w:val="es-CR"/>
        </w:rPr>
        <w:t>entencia d</w:t>
      </w:r>
      <w:r w:rsidR="008C7788">
        <w:rPr>
          <w:rFonts w:ascii="Verdana" w:hAnsi="Verdana"/>
          <w:sz w:val="20"/>
          <w:szCs w:val="20"/>
          <w:lang w:val="es-CR"/>
        </w:rPr>
        <w:t xml:space="preserve">el caso </w:t>
      </w:r>
      <w:r w:rsidR="008C7788">
        <w:rPr>
          <w:rFonts w:ascii="Verdana" w:hAnsi="Verdana"/>
          <w:i/>
          <w:sz w:val="20"/>
          <w:szCs w:val="20"/>
          <w:lang w:val="es-CR"/>
        </w:rPr>
        <w:t xml:space="preserve">Pollo Rivera </w:t>
      </w:r>
      <w:r w:rsidR="008C7788">
        <w:rPr>
          <w:rFonts w:ascii="Verdana" w:hAnsi="Verdana"/>
          <w:i/>
          <w:sz w:val="20"/>
          <w:szCs w:val="20"/>
          <w:lang w:val="es-CR"/>
        </w:rPr>
        <w:lastRenderedPageBreak/>
        <w:t>y otros</w:t>
      </w:r>
      <w:r w:rsidR="006976F9">
        <w:rPr>
          <w:rFonts w:ascii="Verdana" w:hAnsi="Verdana"/>
          <w:sz w:val="20"/>
          <w:szCs w:val="20"/>
          <w:lang w:val="es-CR"/>
        </w:rPr>
        <w:t xml:space="preserve"> el Tribunal </w:t>
      </w:r>
      <w:r w:rsidR="008C7788">
        <w:rPr>
          <w:rFonts w:ascii="Verdana" w:hAnsi="Verdana"/>
          <w:sz w:val="20"/>
          <w:szCs w:val="20"/>
          <w:lang w:val="es-CR"/>
        </w:rPr>
        <w:t>dispuso</w:t>
      </w:r>
      <w:r w:rsidR="00260D49">
        <w:rPr>
          <w:rFonts w:ascii="Verdana" w:hAnsi="Verdana"/>
          <w:sz w:val="20"/>
          <w:szCs w:val="20"/>
          <w:lang w:val="es-CR"/>
        </w:rPr>
        <w:t xml:space="preserve"> cuatro medidas de reparación</w:t>
      </w:r>
      <w:r w:rsidR="00260D49" w:rsidRPr="00E8194E">
        <w:rPr>
          <w:rStyle w:val="FootnoteReference"/>
          <w:rFonts w:ascii="Verdana" w:hAnsi="Verdana"/>
          <w:sz w:val="20"/>
          <w:szCs w:val="20"/>
          <w:lang w:val="es-CR"/>
        </w:rPr>
        <w:footnoteReference w:id="15"/>
      </w:r>
      <w:r w:rsidR="006976F9">
        <w:rPr>
          <w:rFonts w:ascii="Verdana" w:hAnsi="Verdana"/>
          <w:sz w:val="20"/>
          <w:szCs w:val="20"/>
          <w:lang w:val="es-CR"/>
        </w:rPr>
        <w:t xml:space="preserve">, </w:t>
      </w:r>
      <w:r w:rsidR="008B54C2">
        <w:rPr>
          <w:rFonts w:ascii="Verdana" w:hAnsi="Verdana"/>
          <w:sz w:val="20"/>
          <w:szCs w:val="20"/>
          <w:lang w:val="es-CR"/>
        </w:rPr>
        <w:t xml:space="preserve">y </w:t>
      </w:r>
      <w:r w:rsidR="006976F9">
        <w:rPr>
          <w:rFonts w:ascii="Verdana" w:hAnsi="Verdana"/>
          <w:sz w:val="20"/>
          <w:szCs w:val="20"/>
          <w:lang w:val="es-CR"/>
        </w:rPr>
        <w:t>en la Sentencia d</w:t>
      </w:r>
      <w:r w:rsidR="000155FA">
        <w:rPr>
          <w:rFonts w:ascii="Verdana" w:hAnsi="Verdana"/>
          <w:sz w:val="20"/>
          <w:szCs w:val="20"/>
          <w:lang w:val="es-CR"/>
        </w:rPr>
        <w:t xml:space="preserve">el caso </w:t>
      </w:r>
      <w:r w:rsidR="000155FA" w:rsidRPr="008C7788">
        <w:rPr>
          <w:rFonts w:ascii="Verdana" w:hAnsi="Verdana"/>
          <w:i/>
          <w:sz w:val="20"/>
          <w:szCs w:val="20"/>
          <w:lang w:val="es-CR"/>
        </w:rPr>
        <w:t>Lagos del Campo</w:t>
      </w:r>
      <w:r w:rsidR="000155FA" w:rsidRPr="002303F1">
        <w:rPr>
          <w:rFonts w:ascii="Verdana" w:hAnsi="Verdana"/>
          <w:sz w:val="20"/>
          <w:szCs w:val="20"/>
          <w:lang w:val="es-CR"/>
        </w:rPr>
        <w:t xml:space="preserve"> la Corte dispuso </w:t>
      </w:r>
      <w:r w:rsidR="008B54C2">
        <w:rPr>
          <w:rFonts w:ascii="Verdana" w:hAnsi="Verdana"/>
          <w:sz w:val="20"/>
          <w:szCs w:val="20"/>
          <w:lang w:val="es-CR"/>
        </w:rPr>
        <w:t>tres</w:t>
      </w:r>
      <w:r w:rsidR="000155FA" w:rsidRPr="002303F1">
        <w:rPr>
          <w:rFonts w:ascii="Verdana" w:hAnsi="Verdana"/>
          <w:sz w:val="20"/>
          <w:szCs w:val="20"/>
          <w:lang w:val="es-CR"/>
        </w:rPr>
        <w:t xml:space="preserve"> medidas de reparación</w:t>
      </w:r>
      <w:r w:rsidR="000155FA" w:rsidRPr="006976F9">
        <w:rPr>
          <w:rStyle w:val="FootnoteReference"/>
          <w:rFonts w:ascii="Verdana" w:hAnsi="Verdana"/>
          <w:sz w:val="20"/>
          <w:szCs w:val="20"/>
          <w:lang w:val="es-CR"/>
        </w:rPr>
        <w:footnoteReference w:id="16"/>
      </w:r>
      <w:r w:rsidR="000155FA">
        <w:rPr>
          <w:rFonts w:ascii="Verdana" w:hAnsi="Verdana"/>
          <w:sz w:val="20"/>
          <w:szCs w:val="20"/>
          <w:lang w:val="es-CR"/>
        </w:rPr>
        <w:t>.</w:t>
      </w:r>
      <w:r w:rsidR="00A84C71">
        <w:rPr>
          <w:rFonts w:ascii="Verdana" w:hAnsi="Verdana"/>
          <w:sz w:val="20"/>
          <w:szCs w:val="20"/>
          <w:lang w:val="es-CR"/>
        </w:rPr>
        <w:t xml:space="preserve"> </w:t>
      </w:r>
      <w:r w:rsidR="00A84C71" w:rsidRPr="00A84C71">
        <w:rPr>
          <w:rFonts w:ascii="Verdana" w:hAnsi="Verdana"/>
          <w:sz w:val="20"/>
          <w:szCs w:val="20"/>
          <w:lang w:val="es-CR"/>
        </w:rPr>
        <w:t>Mediante una Resolución de 30 de mayo de 2018, la Corte determinó que el Estado había dado cumplimiento al reintegro al Fondo de Asistencia Legal de Víctimas ordenado en las Sentencias de ambos casos</w:t>
      </w:r>
      <w:r w:rsidR="00A84C71">
        <w:rPr>
          <w:rStyle w:val="FootnoteReference"/>
          <w:rFonts w:ascii="Verdana" w:hAnsi="Verdana"/>
          <w:sz w:val="20"/>
          <w:szCs w:val="20"/>
          <w:lang w:val="es-CR"/>
        </w:rPr>
        <w:footnoteReference w:id="17"/>
      </w:r>
      <w:r w:rsidR="00A84C71" w:rsidRPr="00A84C71">
        <w:rPr>
          <w:rFonts w:ascii="Verdana" w:hAnsi="Verdana"/>
          <w:sz w:val="20"/>
          <w:szCs w:val="20"/>
          <w:lang w:val="es-CR"/>
        </w:rPr>
        <w:t>.</w:t>
      </w:r>
    </w:p>
    <w:bookmarkEnd w:id="2"/>
    <w:p w14:paraId="279AA485" w14:textId="5785B7E4" w:rsidR="00763AFC" w:rsidRPr="00AB3657" w:rsidRDefault="00763AFC" w:rsidP="002303F1">
      <w:pPr>
        <w:pStyle w:val="ListParagraph"/>
        <w:spacing w:line="240" w:lineRule="auto"/>
        <w:ind w:left="0"/>
        <w:jc w:val="both"/>
        <w:rPr>
          <w:rFonts w:ascii="Verdana" w:hAnsi="Verdana"/>
          <w:sz w:val="16"/>
          <w:szCs w:val="16"/>
          <w:lang w:val="es-CR"/>
        </w:rPr>
      </w:pPr>
    </w:p>
    <w:p w14:paraId="72A65A94" w14:textId="70FF8175" w:rsidR="00B50C62" w:rsidRDefault="00BD0976" w:rsidP="00B50C62">
      <w:pPr>
        <w:pStyle w:val="ListParagraph"/>
        <w:numPr>
          <w:ilvl w:val="0"/>
          <w:numId w:val="2"/>
        </w:numPr>
        <w:spacing w:line="240" w:lineRule="auto"/>
        <w:ind w:left="0" w:firstLine="0"/>
        <w:jc w:val="both"/>
        <w:rPr>
          <w:rFonts w:ascii="Verdana" w:hAnsi="Verdana"/>
          <w:sz w:val="20"/>
          <w:szCs w:val="20"/>
          <w:lang w:val="es-CR"/>
        </w:rPr>
      </w:pPr>
      <w:r w:rsidRPr="00763AFC">
        <w:rPr>
          <w:rFonts w:ascii="Verdana" w:hAnsi="Verdana"/>
          <w:sz w:val="20"/>
          <w:szCs w:val="20"/>
          <w:lang w:val="es-CR"/>
        </w:rPr>
        <w:t>D</w:t>
      </w:r>
      <w:r w:rsidRPr="00C956BF">
        <w:rPr>
          <w:rFonts w:ascii="Verdana" w:hAnsi="Verdana"/>
          <w:i/>
          <w:sz w:val="20"/>
          <w:szCs w:val="20"/>
          <w:lang w:val="es-CR"/>
        </w:rPr>
        <w:t>e</w:t>
      </w:r>
      <w:r>
        <w:rPr>
          <w:rFonts w:ascii="Verdana" w:hAnsi="Verdana"/>
          <w:sz w:val="20"/>
          <w:szCs w:val="20"/>
          <w:lang w:val="es-CR"/>
        </w:rPr>
        <w:t xml:space="preserve"> conformidad con lo establecido en el artículo 68.1 de la Convención Americana</w:t>
      </w:r>
      <w:r w:rsidR="00020F31">
        <w:rPr>
          <w:rFonts w:ascii="Verdana" w:hAnsi="Verdana"/>
          <w:sz w:val="20"/>
          <w:szCs w:val="20"/>
          <w:lang w:val="es-CR"/>
        </w:rPr>
        <w:t xml:space="preserve"> sobre Derechos </w:t>
      </w:r>
      <w:proofErr w:type="spellStart"/>
      <w:r w:rsidR="00020F31">
        <w:rPr>
          <w:rFonts w:ascii="Verdana" w:hAnsi="Verdana"/>
          <w:sz w:val="20"/>
          <w:szCs w:val="20"/>
          <w:lang w:val="es-CR"/>
        </w:rPr>
        <w:t>Humaons</w:t>
      </w:r>
      <w:proofErr w:type="spellEnd"/>
      <w:r w:rsidR="00020F31">
        <w:rPr>
          <w:rFonts w:ascii="Verdana" w:hAnsi="Verdana"/>
          <w:sz w:val="20"/>
          <w:szCs w:val="20"/>
          <w:lang w:val="es-CR"/>
        </w:rPr>
        <w:t xml:space="preserve"> (en adelante “la Convención”)</w:t>
      </w:r>
      <w:r>
        <w:rPr>
          <w:rFonts w:ascii="Verdana" w:hAnsi="Verdana"/>
          <w:sz w:val="20"/>
          <w:szCs w:val="20"/>
          <w:lang w:val="es-CR"/>
        </w:rPr>
        <w:t>, “[l]os Estados Partes en la Convención se comprometen a cumplir la decisión de la Corte en todo caso en que sean partes”. Esta obligación incluye el deber del Estado de informar a la Corte sobre las medidas adoptadas para cumplir cada uno de los puntos ordenados por ésta, lo cual es fundamental para evaluar el estado de cumplimiento de la Sentencia en su conjunto</w:t>
      </w:r>
      <w:r w:rsidR="00BD1E56">
        <w:rPr>
          <w:rStyle w:val="FootnoteReference"/>
          <w:rFonts w:ascii="Verdana" w:hAnsi="Verdana"/>
          <w:sz w:val="20"/>
          <w:szCs w:val="20"/>
          <w:lang w:val="es-CR"/>
        </w:rPr>
        <w:footnoteReference w:id="18"/>
      </w:r>
      <w:r>
        <w:rPr>
          <w:rFonts w:ascii="Verdana" w:hAnsi="Verdana"/>
          <w:sz w:val="20"/>
          <w:szCs w:val="20"/>
          <w:lang w:val="es-CR"/>
        </w:rPr>
        <w:t xml:space="preserve">. Los Estados Parte en la Convención deben garantizar el cumplimiento de las disposiciones convencionales y sus efectos propios </w:t>
      </w:r>
      <w:r w:rsidR="005F6AC5">
        <w:rPr>
          <w:rFonts w:ascii="Verdana" w:hAnsi="Verdana"/>
          <w:sz w:val="20"/>
          <w:szCs w:val="20"/>
          <w:lang w:val="es-CR"/>
        </w:rPr>
        <w:t>(</w:t>
      </w:r>
      <w:r w:rsidR="005F6AC5">
        <w:rPr>
          <w:rFonts w:ascii="Verdana" w:hAnsi="Verdana"/>
          <w:i/>
          <w:sz w:val="20"/>
          <w:szCs w:val="20"/>
          <w:lang w:val="es-CR"/>
        </w:rPr>
        <w:t>effet utile</w:t>
      </w:r>
      <w:r w:rsidR="005F6AC5">
        <w:rPr>
          <w:rFonts w:ascii="Verdana" w:hAnsi="Verdana"/>
          <w:sz w:val="20"/>
          <w:szCs w:val="20"/>
          <w:lang w:val="es-CR"/>
        </w:rPr>
        <w:t>)</w:t>
      </w:r>
      <w:r w:rsidR="005F6AC5">
        <w:rPr>
          <w:rFonts w:ascii="Verdana" w:hAnsi="Verdana"/>
          <w:i/>
          <w:sz w:val="20"/>
          <w:szCs w:val="20"/>
          <w:lang w:val="es-CR"/>
        </w:rPr>
        <w:t xml:space="preserve"> </w:t>
      </w:r>
      <w:r>
        <w:rPr>
          <w:rFonts w:ascii="Verdana" w:hAnsi="Verdana"/>
          <w:sz w:val="20"/>
          <w:szCs w:val="20"/>
          <w:lang w:val="es-CR"/>
        </w:rPr>
        <w:t>en el plano de sus respectivos derechos internos. Estas obligaciones deben ser interpretadas y aplicadas de manera que la garantía protegida sea verdaderamente práctica y eficaz, teniendo presente la naturaleza especial de los tratados de derechos humanos</w:t>
      </w:r>
      <w:r>
        <w:rPr>
          <w:rStyle w:val="FootnoteReference"/>
          <w:rFonts w:ascii="Verdana" w:hAnsi="Verdana"/>
          <w:lang w:val="es-CR"/>
        </w:rPr>
        <w:footnoteReference w:id="19"/>
      </w:r>
      <w:r>
        <w:rPr>
          <w:rFonts w:ascii="Verdana" w:hAnsi="Verdana"/>
          <w:sz w:val="20"/>
          <w:szCs w:val="20"/>
          <w:lang w:val="es-CR"/>
        </w:rPr>
        <w:t>.</w:t>
      </w:r>
    </w:p>
    <w:p w14:paraId="72EDDEEB" w14:textId="77777777" w:rsidR="00B50C62" w:rsidRPr="00AB3657" w:rsidRDefault="00B50C62" w:rsidP="00B50C62">
      <w:pPr>
        <w:pStyle w:val="ListParagraph"/>
        <w:spacing w:line="240" w:lineRule="auto"/>
        <w:ind w:left="0"/>
        <w:jc w:val="both"/>
        <w:rPr>
          <w:rFonts w:ascii="Verdana" w:hAnsi="Verdana"/>
          <w:sz w:val="16"/>
          <w:szCs w:val="16"/>
          <w:lang w:val="es-CR"/>
        </w:rPr>
      </w:pPr>
    </w:p>
    <w:p w14:paraId="7EE81152" w14:textId="53A92C33" w:rsidR="00467E3F" w:rsidRPr="00251F72" w:rsidRDefault="00B50C62" w:rsidP="00AB3657">
      <w:pPr>
        <w:pStyle w:val="ListParagraph"/>
        <w:numPr>
          <w:ilvl w:val="0"/>
          <w:numId w:val="2"/>
        </w:numPr>
        <w:spacing w:after="0" w:line="240" w:lineRule="auto"/>
        <w:ind w:left="0" w:firstLine="0"/>
        <w:jc w:val="both"/>
        <w:rPr>
          <w:rFonts w:ascii="Verdana" w:hAnsi="Verdana"/>
          <w:i/>
          <w:sz w:val="16"/>
          <w:szCs w:val="16"/>
          <w:lang w:val="es-CR"/>
        </w:rPr>
      </w:pPr>
      <w:r w:rsidRPr="00B50C62">
        <w:rPr>
          <w:rFonts w:ascii="Verdana" w:hAnsi="Verdana"/>
          <w:sz w:val="20"/>
          <w:szCs w:val="20"/>
          <w:lang w:val="es-CR"/>
        </w:rPr>
        <w:t xml:space="preserve">En la presente Resolución, </w:t>
      </w:r>
      <w:r w:rsidR="003E3ED7">
        <w:rPr>
          <w:rFonts w:ascii="Verdana" w:hAnsi="Verdana"/>
          <w:sz w:val="20"/>
          <w:szCs w:val="20"/>
          <w:lang w:val="es-CR"/>
        </w:rPr>
        <w:t>la Corte se pronunciará únicamente sobre la</w:t>
      </w:r>
      <w:r w:rsidR="00F554AE">
        <w:rPr>
          <w:rFonts w:ascii="Verdana" w:hAnsi="Verdana"/>
          <w:sz w:val="20"/>
          <w:szCs w:val="20"/>
          <w:lang w:val="es-CR"/>
        </w:rPr>
        <w:t>s</w:t>
      </w:r>
      <w:r w:rsidR="003E3ED7">
        <w:rPr>
          <w:rFonts w:ascii="Verdana" w:hAnsi="Verdana"/>
          <w:sz w:val="20"/>
          <w:szCs w:val="20"/>
          <w:lang w:val="es-CR"/>
        </w:rPr>
        <w:t xml:space="preserve"> medida</w:t>
      </w:r>
      <w:r w:rsidR="00F554AE">
        <w:rPr>
          <w:rFonts w:ascii="Verdana" w:hAnsi="Verdana"/>
          <w:sz w:val="20"/>
          <w:szCs w:val="20"/>
          <w:lang w:val="es-CR"/>
        </w:rPr>
        <w:t>s</w:t>
      </w:r>
      <w:r w:rsidR="003E3ED7">
        <w:rPr>
          <w:rFonts w:ascii="Verdana" w:hAnsi="Verdana"/>
          <w:sz w:val="20"/>
          <w:szCs w:val="20"/>
          <w:lang w:val="es-CR"/>
        </w:rPr>
        <w:t xml:space="preserve"> relativa</w:t>
      </w:r>
      <w:r w:rsidR="00F554AE">
        <w:rPr>
          <w:rFonts w:ascii="Verdana" w:hAnsi="Verdana"/>
          <w:sz w:val="20"/>
          <w:szCs w:val="20"/>
          <w:lang w:val="es-CR"/>
        </w:rPr>
        <w:t>s</w:t>
      </w:r>
      <w:r w:rsidR="003E3ED7">
        <w:rPr>
          <w:rFonts w:ascii="Verdana" w:hAnsi="Verdana"/>
          <w:sz w:val="20"/>
          <w:szCs w:val="20"/>
          <w:lang w:val="es-CR"/>
        </w:rPr>
        <w:t xml:space="preserve"> a </w:t>
      </w:r>
      <w:r w:rsidR="005764B9">
        <w:rPr>
          <w:rFonts w:ascii="Verdana" w:hAnsi="Verdana"/>
          <w:sz w:val="20"/>
          <w:szCs w:val="20"/>
          <w:lang w:val="es-CR"/>
        </w:rPr>
        <w:t xml:space="preserve">realizar </w:t>
      </w:r>
      <w:r w:rsidR="003E3ED7">
        <w:rPr>
          <w:rFonts w:ascii="Verdana" w:hAnsi="Verdana"/>
          <w:sz w:val="20"/>
          <w:szCs w:val="20"/>
          <w:lang w:val="es-CR"/>
        </w:rPr>
        <w:t>la</w:t>
      </w:r>
      <w:r w:rsidR="005764B9">
        <w:rPr>
          <w:rFonts w:ascii="Verdana" w:hAnsi="Verdana"/>
          <w:sz w:val="20"/>
          <w:szCs w:val="20"/>
          <w:lang w:val="es-CR"/>
        </w:rPr>
        <w:t xml:space="preserve"> publicac</w:t>
      </w:r>
      <w:r w:rsidR="005F6AC5">
        <w:rPr>
          <w:rFonts w:ascii="Verdana" w:hAnsi="Verdana"/>
          <w:sz w:val="20"/>
          <w:szCs w:val="20"/>
          <w:lang w:val="es-CR"/>
        </w:rPr>
        <w:t>ión y difusión</w:t>
      </w:r>
      <w:r w:rsidR="005764B9">
        <w:rPr>
          <w:rFonts w:ascii="Verdana" w:hAnsi="Verdana"/>
          <w:sz w:val="20"/>
          <w:szCs w:val="20"/>
          <w:lang w:val="es-CR"/>
        </w:rPr>
        <w:t xml:space="preserve"> </w:t>
      </w:r>
      <w:r w:rsidR="005C7EF8">
        <w:rPr>
          <w:rFonts w:ascii="Verdana" w:hAnsi="Verdana"/>
          <w:sz w:val="20"/>
          <w:szCs w:val="20"/>
          <w:lang w:val="es-CR"/>
        </w:rPr>
        <w:t xml:space="preserve">de </w:t>
      </w:r>
      <w:r w:rsidR="003E3ED7">
        <w:rPr>
          <w:rFonts w:ascii="Verdana" w:hAnsi="Verdana"/>
          <w:sz w:val="20"/>
          <w:szCs w:val="20"/>
          <w:lang w:val="es-CR"/>
        </w:rPr>
        <w:t>la</w:t>
      </w:r>
      <w:r w:rsidR="005250E9">
        <w:rPr>
          <w:rFonts w:ascii="Verdana" w:hAnsi="Verdana"/>
          <w:sz w:val="20"/>
          <w:szCs w:val="20"/>
          <w:lang w:val="es-CR"/>
        </w:rPr>
        <w:t>s</w:t>
      </w:r>
      <w:r w:rsidR="003E3ED7">
        <w:rPr>
          <w:rFonts w:ascii="Verdana" w:hAnsi="Verdana"/>
          <w:sz w:val="20"/>
          <w:szCs w:val="20"/>
          <w:lang w:val="es-CR"/>
        </w:rPr>
        <w:t xml:space="preserve"> Sentencia</w:t>
      </w:r>
      <w:r w:rsidR="005764B9">
        <w:rPr>
          <w:rFonts w:ascii="Verdana" w:hAnsi="Verdana"/>
          <w:sz w:val="20"/>
          <w:szCs w:val="20"/>
          <w:lang w:val="es-CR"/>
        </w:rPr>
        <w:t>s</w:t>
      </w:r>
      <w:r w:rsidR="005250E9">
        <w:rPr>
          <w:rFonts w:ascii="Verdana" w:hAnsi="Verdana"/>
          <w:sz w:val="20"/>
          <w:szCs w:val="20"/>
          <w:lang w:val="es-CR"/>
        </w:rPr>
        <w:t xml:space="preserve"> </w:t>
      </w:r>
      <w:r w:rsidR="005764B9">
        <w:rPr>
          <w:rFonts w:ascii="Verdana" w:hAnsi="Verdana"/>
          <w:sz w:val="20"/>
          <w:szCs w:val="20"/>
          <w:lang w:val="es-CR"/>
        </w:rPr>
        <w:t>de ambos</w:t>
      </w:r>
      <w:r w:rsidR="005250E9">
        <w:rPr>
          <w:rFonts w:ascii="Verdana" w:hAnsi="Verdana"/>
          <w:sz w:val="20"/>
          <w:szCs w:val="20"/>
          <w:lang w:val="es-CR"/>
        </w:rPr>
        <w:t xml:space="preserve"> casos</w:t>
      </w:r>
      <w:r w:rsidR="005764B9">
        <w:rPr>
          <w:rFonts w:ascii="Verdana" w:hAnsi="Verdana"/>
          <w:sz w:val="20"/>
          <w:szCs w:val="20"/>
          <w:lang w:val="es-CR"/>
        </w:rPr>
        <w:t xml:space="preserve"> (</w:t>
      </w:r>
      <w:r w:rsidR="005764B9">
        <w:rPr>
          <w:rFonts w:ascii="Verdana" w:hAnsi="Verdana"/>
          <w:i/>
          <w:sz w:val="20"/>
          <w:szCs w:val="20"/>
          <w:lang w:val="es-CR"/>
        </w:rPr>
        <w:t xml:space="preserve">infra </w:t>
      </w:r>
      <w:r w:rsidR="005764B9">
        <w:rPr>
          <w:rFonts w:ascii="Verdana" w:hAnsi="Verdana"/>
          <w:sz w:val="20"/>
          <w:szCs w:val="20"/>
          <w:lang w:val="es-CR"/>
        </w:rPr>
        <w:t>Considerando 4)</w:t>
      </w:r>
      <w:r w:rsidR="003E3ED7">
        <w:rPr>
          <w:rFonts w:ascii="Verdana" w:hAnsi="Verdana"/>
          <w:sz w:val="20"/>
          <w:szCs w:val="20"/>
          <w:lang w:val="es-CR"/>
        </w:rPr>
        <w:t xml:space="preserve">. En </w:t>
      </w:r>
      <w:r w:rsidR="00F25DEA">
        <w:rPr>
          <w:rFonts w:ascii="Verdana" w:hAnsi="Verdana"/>
          <w:sz w:val="20"/>
          <w:szCs w:val="20"/>
          <w:lang w:val="es-CR"/>
        </w:rPr>
        <w:t>posteriores resoluciones</w:t>
      </w:r>
      <w:r w:rsidR="0018015E">
        <w:rPr>
          <w:rFonts w:ascii="Verdana" w:hAnsi="Verdana"/>
          <w:sz w:val="20"/>
          <w:szCs w:val="20"/>
          <w:lang w:val="es-CR"/>
        </w:rPr>
        <w:t>,</w:t>
      </w:r>
      <w:r w:rsidR="003E3ED7">
        <w:rPr>
          <w:rFonts w:ascii="Verdana" w:hAnsi="Verdana"/>
          <w:sz w:val="20"/>
          <w:szCs w:val="20"/>
          <w:lang w:val="es-CR"/>
        </w:rPr>
        <w:t xml:space="preserve"> el Tribunal se pronunciará sobre las demás medidas de reparación. </w:t>
      </w:r>
    </w:p>
    <w:p w14:paraId="33B8127B" w14:textId="16EB4AB1" w:rsidR="00B50C62" w:rsidRPr="00AB3657" w:rsidRDefault="00B50C62" w:rsidP="00967A71">
      <w:pPr>
        <w:spacing w:after="240" w:line="240" w:lineRule="auto"/>
        <w:jc w:val="both"/>
        <w:rPr>
          <w:rFonts w:ascii="Verdana" w:hAnsi="Verdana"/>
          <w:sz w:val="16"/>
          <w:szCs w:val="16"/>
          <w:lang w:val="es-CR"/>
        </w:rPr>
      </w:pPr>
    </w:p>
    <w:p w14:paraId="37A9D30C" w14:textId="5B9D2032" w:rsidR="00B50C62" w:rsidRDefault="002B506D" w:rsidP="00967A71">
      <w:pPr>
        <w:spacing w:after="240" w:line="240" w:lineRule="auto"/>
        <w:ind w:firstLine="360"/>
        <w:jc w:val="both"/>
        <w:rPr>
          <w:rFonts w:ascii="Verdana" w:hAnsi="Verdana"/>
          <w:i/>
          <w:sz w:val="20"/>
          <w:szCs w:val="20"/>
          <w:lang w:val="es-CR"/>
        </w:rPr>
      </w:pPr>
      <w:r>
        <w:rPr>
          <w:rFonts w:ascii="Verdana" w:hAnsi="Verdana"/>
          <w:i/>
          <w:sz w:val="20"/>
          <w:szCs w:val="20"/>
          <w:lang w:val="es-CR"/>
        </w:rPr>
        <w:t>A.</w:t>
      </w:r>
      <w:r w:rsidR="00B50C62">
        <w:rPr>
          <w:rFonts w:ascii="Verdana" w:hAnsi="Verdana"/>
          <w:i/>
          <w:sz w:val="20"/>
          <w:szCs w:val="20"/>
          <w:lang w:val="es-CR"/>
        </w:rPr>
        <w:t xml:space="preserve"> Medida</w:t>
      </w:r>
      <w:r w:rsidR="000163A7">
        <w:rPr>
          <w:rFonts w:ascii="Verdana" w:hAnsi="Verdana"/>
          <w:i/>
          <w:sz w:val="20"/>
          <w:szCs w:val="20"/>
          <w:lang w:val="es-CR"/>
        </w:rPr>
        <w:t>s</w:t>
      </w:r>
      <w:r w:rsidR="00B50C62">
        <w:rPr>
          <w:rFonts w:ascii="Verdana" w:hAnsi="Verdana"/>
          <w:i/>
          <w:sz w:val="20"/>
          <w:szCs w:val="20"/>
          <w:lang w:val="es-CR"/>
        </w:rPr>
        <w:t xml:space="preserve"> ordenada</w:t>
      </w:r>
      <w:r w:rsidR="000163A7">
        <w:rPr>
          <w:rFonts w:ascii="Verdana" w:hAnsi="Verdana"/>
          <w:i/>
          <w:sz w:val="20"/>
          <w:szCs w:val="20"/>
          <w:lang w:val="es-CR"/>
        </w:rPr>
        <w:t>s</w:t>
      </w:r>
      <w:r w:rsidR="00B50C62">
        <w:rPr>
          <w:rFonts w:ascii="Verdana" w:hAnsi="Verdana"/>
          <w:i/>
          <w:sz w:val="20"/>
          <w:szCs w:val="20"/>
          <w:lang w:val="es-CR"/>
        </w:rPr>
        <w:t xml:space="preserve"> por la Corte</w:t>
      </w:r>
    </w:p>
    <w:p w14:paraId="09124F73" w14:textId="77777777" w:rsidR="00284438" w:rsidRPr="00AB3657" w:rsidRDefault="00284438" w:rsidP="00967A71">
      <w:pPr>
        <w:spacing w:after="240" w:line="240" w:lineRule="auto"/>
        <w:jc w:val="both"/>
        <w:rPr>
          <w:rFonts w:ascii="Verdana" w:hAnsi="Verdana"/>
          <w:i/>
          <w:sz w:val="16"/>
          <w:szCs w:val="16"/>
          <w:lang w:val="es-CR"/>
        </w:rPr>
      </w:pPr>
    </w:p>
    <w:p w14:paraId="63342FB4" w14:textId="470B731C" w:rsidR="00D32826" w:rsidRPr="00415197" w:rsidRDefault="0086725E" w:rsidP="00967A71">
      <w:pPr>
        <w:pStyle w:val="ListParagraph"/>
        <w:numPr>
          <w:ilvl w:val="0"/>
          <w:numId w:val="2"/>
        </w:numPr>
        <w:spacing w:after="240" w:line="240" w:lineRule="auto"/>
        <w:ind w:left="0" w:firstLine="0"/>
        <w:jc w:val="both"/>
        <w:rPr>
          <w:rFonts w:ascii="Verdana" w:hAnsi="Verdana"/>
          <w:sz w:val="20"/>
          <w:szCs w:val="20"/>
          <w:lang w:val="es-CR"/>
        </w:rPr>
      </w:pPr>
      <w:bookmarkStart w:id="3" w:name="_Ref504381360"/>
      <w:r>
        <w:rPr>
          <w:rFonts w:ascii="Verdana" w:hAnsi="Verdana"/>
          <w:sz w:val="20"/>
          <w:szCs w:val="20"/>
          <w:lang w:val="es-CR"/>
        </w:rPr>
        <w:t xml:space="preserve">En el punto </w:t>
      </w:r>
      <w:r w:rsidR="005764B9">
        <w:rPr>
          <w:rFonts w:ascii="Verdana" w:hAnsi="Verdana"/>
          <w:sz w:val="20"/>
          <w:szCs w:val="20"/>
          <w:lang w:val="es-CR"/>
        </w:rPr>
        <w:t>dispositivo</w:t>
      </w:r>
      <w:r>
        <w:rPr>
          <w:rFonts w:ascii="Verdana" w:hAnsi="Verdana"/>
          <w:sz w:val="20"/>
          <w:szCs w:val="20"/>
          <w:lang w:val="es-CR"/>
        </w:rPr>
        <w:t xml:space="preserve"> octavo y en el párrafo 279 de la Sentencia del caso </w:t>
      </w:r>
      <w:r>
        <w:rPr>
          <w:rFonts w:ascii="Verdana" w:hAnsi="Verdana"/>
          <w:i/>
          <w:sz w:val="20"/>
          <w:szCs w:val="20"/>
          <w:lang w:val="es-CR"/>
        </w:rPr>
        <w:t>Pollo Rivera y otros,</w:t>
      </w:r>
      <w:r>
        <w:rPr>
          <w:rFonts w:ascii="Verdana" w:hAnsi="Verdana"/>
          <w:sz w:val="20"/>
          <w:szCs w:val="20"/>
          <w:lang w:val="es-CR"/>
        </w:rPr>
        <w:t xml:space="preserve"> </w:t>
      </w:r>
      <w:r w:rsidR="005F6AC5">
        <w:rPr>
          <w:rFonts w:ascii="Verdana" w:hAnsi="Verdana"/>
          <w:sz w:val="20"/>
          <w:szCs w:val="20"/>
          <w:lang w:val="es-CR"/>
        </w:rPr>
        <w:t>el Tribunal</w:t>
      </w:r>
      <w:r>
        <w:rPr>
          <w:rFonts w:ascii="Verdana" w:hAnsi="Verdana"/>
          <w:sz w:val="20"/>
          <w:szCs w:val="20"/>
          <w:lang w:val="es-CR"/>
        </w:rPr>
        <w:t xml:space="preserve"> dispuso que el Estado debía</w:t>
      </w:r>
      <w:r w:rsidR="00D741E8">
        <w:rPr>
          <w:rFonts w:ascii="Verdana" w:hAnsi="Verdana"/>
          <w:sz w:val="20"/>
          <w:szCs w:val="20"/>
          <w:lang w:val="es-CR"/>
        </w:rPr>
        <w:t xml:space="preserve"> </w:t>
      </w:r>
      <w:r>
        <w:rPr>
          <w:rFonts w:ascii="Verdana" w:hAnsi="Verdana"/>
          <w:sz w:val="20"/>
          <w:szCs w:val="20"/>
          <w:lang w:val="es-CR"/>
        </w:rPr>
        <w:t xml:space="preserve">publicar: “a) el resumen oficial de la […] Sentencia elaborado por la Corte, por una </w:t>
      </w:r>
      <w:r w:rsidR="005F6AC5">
        <w:rPr>
          <w:rFonts w:ascii="Verdana" w:hAnsi="Verdana"/>
          <w:sz w:val="20"/>
          <w:szCs w:val="20"/>
          <w:lang w:val="es-CR"/>
        </w:rPr>
        <w:t>sola vez, en el diario oficial ‘El Peruano’</w:t>
      </w:r>
      <w:r>
        <w:rPr>
          <w:rFonts w:ascii="Verdana" w:hAnsi="Verdana"/>
          <w:sz w:val="20"/>
          <w:szCs w:val="20"/>
          <w:lang w:val="es-CR"/>
        </w:rPr>
        <w:t xml:space="preserve"> y en un diario de amplia circulación a nivel nacional; b) la […] Sentencia en su integridad, disponible al menos por un período de un año, en un sitio web oficial del Poder Ejecutivo y del Poder Judicial, de manera accesible al público”. Asimismo, e</w:t>
      </w:r>
      <w:r w:rsidR="00284438">
        <w:rPr>
          <w:rFonts w:ascii="Verdana" w:hAnsi="Verdana"/>
          <w:sz w:val="20"/>
          <w:szCs w:val="20"/>
          <w:lang w:val="es-CR"/>
        </w:rPr>
        <w:t xml:space="preserve">n el punto </w:t>
      </w:r>
      <w:r w:rsidR="00D741E8">
        <w:rPr>
          <w:rFonts w:ascii="Verdana" w:hAnsi="Verdana"/>
          <w:sz w:val="20"/>
          <w:szCs w:val="20"/>
          <w:lang w:val="es-CR"/>
        </w:rPr>
        <w:t>dispositivo</w:t>
      </w:r>
      <w:r w:rsidR="00284438">
        <w:rPr>
          <w:rFonts w:ascii="Verdana" w:hAnsi="Verdana"/>
          <w:sz w:val="20"/>
          <w:szCs w:val="20"/>
          <w:lang w:val="es-CR"/>
        </w:rPr>
        <w:t xml:space="preserve"> </w:t>
      </w:r>
      <w:r w:rsidR="00D3062E">
        <w:rPr>
          <w:rFonts w:ascii="Verdana" w:hAnsi="Verdana"/>
          <w:sz w:val="20"/>
          <w:szCs w:val="20"/>
          <w:lang w:val="es-CR"/>
        </w:rPr>
        <w:t xml:space="preserve">décimo </w:t>
      </w:r>
      <w:r w:rsidR="00284438">
        <w:rPr>
          <w:rFonts w:ascii="Verdana" w:hAnsi="Verdana"/>
          <w:sz w:val="20"/>
          <w:szCs w:val="20"/>
          <w:lang w:val="es-CR"/>
        </w:rPr>
        <w:t>y en</w:t>
      </w:r>
      <w:r w:rsidR="00D3062E">
        <w:rPr>
          <w:rFonts w:ascii="Verdana" w:hAnsi="Verdana"/>
          <w:sz w:val="20"/>
          <w:szCs w:val="20"/>
          <w:lang w:val="es-CR"/>
        </w:rPr>
        <w:t xml:space="preserve"> el</w:t>
      </w:r>
      <w:r w:rsidR="00284438">
        <w:rPr>
          <w:rFonts w:ascii="Verdana" w:hAnsi="Verdana"/>
          <w:sz w:val="20"/>
          <w:szCs w:val="20"/>
          <w:lang w:val="es-CR"/>
        </w:rPr>
        <w:t xml:space="preserve"> párrafo</w:t>
      </w:r>
      <w:r w:rsidR="00D3062E">
        <w:rPr>
          <w:rFonts w:ascii="Verdana" w:hAnsi="Verdana"/>
          <w:sz w:val="20"/>
          <w:szCs w:val="20"/>
          <w:lang w:val="es-CR"/>
        </w:rPr>
        <w:t xml:space="preserve"> 2</w:t>
      </w:r>
      <w:r w:rsidR="00D30FE4">
        <w:rPr>
          <w:rFonts w:ascii="Verdana" w:hAnsi="Verdana"/>
          <w:sz w:val="20"/>
          <w:szCs w:val="20"/>
          <w:lang w:val="es-CR"/>
        </w:rPr>
        <w:t>0</w:t>
      </w:r>
      <w:r w:rsidR="00D741E8">
        <w:rPr>
          <w:rFonts w:ascii="Verdana" w:hAnsi="Verdana"/>
          <w:sz w:val="20"/>
          <w:szCs w:val="20"/>
          <w:lang w:val="es-CR"/>
        </w:rPr>
        <w:t>0</w:t>
      </w:r>
      <w:r w:rsidR="00284438">
        <w:rPr>
          <w:rFonts w:ascii="Verdana" w:hAnsi="Verdana"/>
          <w:sz w:val="20"/>
          <w:szCs w:val="20"/>
          <w:lang w:val="es-CR"/>
        </w:rPr>
        <w:t xml:space="preserve"> de la Sentencia</w:t>
      </w:r>
      <w:r w:rsidR="00D30FE4">
        <w:rPr>
          <w:rFonts w:ascii="Verdana" w:hAnsi="Verdana"/>
          <w:sz w:val="20"/>
          <w:szCs w:val="20"/>
          <w:lang w:val="es-CR"/>
        </w:rPr>
        <w:t xml:space="preserve"> del caso </w:t>
      </w:r>
      <w:r w:rsidR="00D30FE4">
        <w:rPr>
          <w:rFonts w:ascii="Verdana" w:hAnsi="Verdana"/>
          <w:i/>
          <w:sz w:val="20"/>
          <w:szCs w:val="20"/>
          <w:lang w:val="es-CR"/>
        </w:rPr>
        <w:t>Lagos del Campo</w:t>
      </w:r>
      <w:r w:rsidR="00284438">
        <w:rPr>
          <w:rFonts w:ascii="Verdana" w:hAnsi="Verdana"/>
          <w:sz w:val="20"/>
          <w:szCs w:val="20"/>
          <w:lang w:val="es-CR"/>
        </w:rPr>
        <w:t>,</w:t>
      </w:r>
      <w:r w:rsidR="00D30FE4">
        <w:rPr>
          <w:rFonts w:ascii="Verdana" w:hAnsi="Verdana"/>
          <w:sz w:val="20"/>
          <w:szCs w:val="20"/>
          <w:lang w:val="es-CR"/>
        </w:rPr>
        <w:t xml:space="preserve"> </w:t>
      </w:r>
      <w:r w:rsidR="005F6AC5">
        <w:rPr>
          <w:rFonts w:ascii="Verdana" w:hAnsi="Verdana"/>
          <w:sz w:val="20"/>
          <w:szCs w:val="20"/>
          <w:lang w:val="es-CR"/>
        </w:rPr>
        <w:t>el Tribunal</w:t>
      </w:r>
      <w:r w:rsidR="00284438">
        <w:rPr>
          <w:rFonts w:ascii="Verdana" w:hAnsi="Verdana"/>
          <w:sz w:val="20"/>
          <w:szCs w:val="20"/>
          <w:lang w:val="es-CR"/>
        </w:rPr>
        <w:t xml:space="preserve"> </w:t>
      </w:r>
      <w:r w:rsidR="00D30FE4">
        <w:rPr>
          <w:rFonts w:ascii="Verdana" w:hAnsi="Verdana"/>
          <w:sz w:val="20"/>
          <w:szCs w:val="20"/>
          <w:lang w:val="es-CR"/>
        </w:rPr>
        <w:t>ordenó al Estado publicar</w:t>
      </w:r>
      <w:r w:rsidR="00284438">
        <w:rPr>
          <w:rFonts w:ascii="Verdana" w:hAnsi="Verdana"/>
          <w:sz w:val="20"/>
          <w:szCs w:val="20"/>
          <w:lang w:val="es-CR"/>
        </w:rPr>
        <w:t>, “</w:t>
      </w:r>
      <w:r w:rsidR="00D3062E">
        <w:rPr>
          <w:rFonts w:ascii="Verdana" w:hAnsi="Verdana"/>
          <w:sz w:val="20"/>
          <w:szCs w:val="20"/>
          <w:lang w:val="es-CR"/>
        </w:rPr>
        <w:t xml:space="preserve">a) el resumen oficial de la </w:t>
      </w:r>
      <w:r w:rsidR="00243225">
        <w:rPr>
          <w:rFonts w:ascii="Verdana" w:hAnsi="Verdana"/>
          <w:sz w:val="20"/>
          <w:szCs w:val="20"/>
          <w:lang w:val="es-CR"/>
        </w:rPr>
        <w:t xml:space="preserve">[…] </w:t>
      </w:r>
      <w:r w:rsidR="00D3062E">
        <w:rPr>
          <w:rFonts w:ascii="Verdana" w:hAnsi="Verdana"/>
          <w:sz w:val="20"/>
          <w:szCs w:val="20"/>
          <w:lang w:val="es-CR"/>
        </w:rPr>
        <w:t>Sentencia elaborado por la Corte, por una sola vez, en el Diario Oficial</w:t>
      </w:r>
      <w:r w:rsidR="00E35F2D">
        <w:rPr>
          <w:rFonts w:ascii="Verdana" w:hAnsi="Verdana"/>
          <w:sz w:val="20"/>
          <w:szCs w:val="20"/>
          <w:lang w:val="es-CR"/>
        </w:rPr>
        <w:t xml:space="preserve"> en un tamaño de letra legible y adecuado</w:t>
      </w:r>
      <w:r w:rsidR="00D3062E">
        <w:rPr>
          <w:rFonts w:ascii="Verdana" w:hAnsi="Verdana"/>
          <w:sz w:val="20"/>
          <w:szCs w:val="20"/>
          <w:lang w:val="es-CR"/>
        </w:rPr>
        <w:t xml:space="preserve">; b) el resumen oficial </w:t>
      </w:r>
      <w:r w:rsidR="00D3062E">
        <w:rPr>
          <w:rFonts w:ascii="Verdana" w:hAnsi="Verdana"/>
          <w:sz w:val="20"/>
          <w:szCs w:val="20"/>
          <w:lang w:val="es-CR"/>
        </w:rPr>
        <w:lastRenderedPageBreak/>
        <w:t>de la Sentencia elaborado por la Corte, por una sola vez, en un diario de amplia circulación nacional</w:t>
      </w:r>
      <w:r w:rsidR="00D30FE4">
        <w:rPr>
          <w:rFonts w:ascii="Verdana" w:hAnsi="Verdana"/>
          <w:sz w:val="20"/>
          <w:szCs w:val="20"/>
          <w:lang w:val="es-CR"/>
        </w:rPr>
        <w:t xml:space="preserve"> en un tamaño de letra legible y adecuado</w:t>
      </w:r>
      <w:r w:rsidR="00D3062E">
        <w:rPr>
          <w:rFonts w:ascii="Verdana" w:hAnsi="Verdana"/>
          <w:sz w:val="20"/>
          <w:szCs w:val="20"/>
          <w:lang w:val="es-CR"/>
        </w:rPr>
        <w:t xml:space="preserve">, y c) la </w:t>
      </w:r>
      <w:r w:rsidR="00243225">
        <w:rPr>
          <w:rFonts w:ascii="Verdana" w:hAnsi="Verdana"/>
          <w:sz w:val="20"/>
          <w:szCs w:val="20"/>
          <w:lang w:val="es-CR"/>
        </w:rPr>
        <w:t xml:space="preserve">[…] </w:t>
      </w:r>
      <w:r w:rsidR="00D3062E">
        <w:rPr>
          <w:rFonts w:ascii="Verdana" w:hAnsi="Verdana"/>
          <w:sz w:val="20"/>
          <w:szCs w:val="20"/>
          <w:lang w:val="es-CR"/>
        </w:rPr>
        <w:t xml:space="preserve">Sentencia en su integridad, disponible por </w:t>
      </w:r>
      <w:r w:rsidR="00243225">
        <w:rPr>
          <w:rFonts w:ascii="Verdana" w:hAnsi="Verdana"/>
          <w:sz w:val="20"/>
          <w:szCs w:val="20"/>
          <w:lang w:val="es-CR"/>
        </w:rPr>
        <w:t xml:space="preserve">un </w:t>
      </w:r>
      <w:r w:rsidR="00D3062E">
        <w:rPr>
          <w:rFonts w:ascii="Verdana" w:hAnsi="Verdana"/>
          <w:sz w:val="20"/>
          <w:szCs w:val="20"/>
          <w:lang w:val="es-CR"/>
        </w:rPr>
        <w:t xml:space="preserve">período de un año, en </w:t>
      </w:r>
      <w:r w:rsidR="00D30FE4">
        <w:rPr>
          <w:rFonts w:ascii="Verdana" w:hAnsi="Verdana"/>
          <w:sz w:val="20"/>
          <w:szCs w:val="20"/>
          <w:lang w:val="es-CR"/>
        </w:rPr>
        <w:t>un sitio web oficial, de manera accesible al público y desde la página de inicio del sitio web</w:t>
      </w:r>
      <w:r w:rsidR="004E6612">
        <w:rPr>
          <w:rFonts w:ascii="Verdana" w:hAnsi="Verdana"/>
          <w:sz w:val="20"/>
          <w:szCs w:val="20"/>
          <w:lang w:val="es-CR"/>
        </w:rPr>
        <w:t>”. Para cumplir con dicha</w:t>
      </w:r>
      <w:r w:rsidR="008A3D50">
        <w:rPr>
          <w:rFonts w:ascii="Verdana" w:hAnsi="Verdana"/>
          <w:sz w:val="20"/>
          <w:szCs w:val="20"/>
          <w:lang w:val="es-CR"/>
        </w:rPr>
        <w:t>s</w:t>
      </w:r>
      <w:r w:rsidR="004E6612">
        <w:rPr>
          <w:rFonts w:ascii="Verdana" w:hAnsi="Verdana"/>
          <w:sz w:val="20"/>
          <w:szCs w:val="20"/>
          <w:lang w:val="es-CR"/>
        </w:rPr>
        <w:t xml:space="preserve"> medida</w:t>
      </w:r>
      <w:r w:rsidR="008A3D50">
        <w:rPr>
          <w:rFonts w:ascii="Verdana" w:hAnsi="Verdana"/>
          <w:sz w:val="20"/>
          <w:szCs w:val="20"/>
          <w:lang w:val="es-CR"/>
        </w:rPr>
        <w:t>s</w:t>
      </w:r>
      <w:r w:rsidR="004E6612">
        <w:rPr>
          <w:rFonts w:ascii="Verdana" w:hAnsi="Verdana"/>
          <w:sz w:val="20"/>
          <w:szCs w:val="20"/>
          <w:lang w:val="es-CR"/>
        </w:rPr>
        <w:t xml:space="preserve">, </w:t>
      </w:r>
      <w:r w:rsidR="008A3D50">
        <w:rPr>
          <w:rFonts w:ascii="Verdana" w:hAnsi="Verdana"/>
          <w:sz w:val="20"/>
          <w:szCs w:val="20"/>
          <w:lang w:val="es-CR"/>
        </w:rPr>
        <w:t xml:space="preserve">en ambas Sentencias </w:t>
      </w:r>
      <w:r w:rsidR="004E6612">
        <w:rPr>
          <w:rFonts w:ascii="Verdana" w:hAnsi="Verdana"/>
          <w:sz w:val="20"/>
          <w:szCs w:val="20"/>
          <w:lang w:val="es-CR"/>
        </w:rPr>
        <w:t xml:space="preserve">la Corte otorgó un plazo de seis meses a partir de </w:t>
      </w:r>
      <w:r w:rsidR="008A3D50">
        <w:rPr>
          <w:rFonts w:ascii="Verdana" w:hAnsi="Verdana"/>
          <w:sz w:val="20"/>
          <w:szCs w:val="20"/>
          <w:lang w:val="es-CR"/>
        </w:rPr>
        <w:t>su</w:t>
      </w:r>
      <w:r w:rsidR="004E6612">
        <w:rPr>
          <w:rFonts w:ascii="Verdana" w:hAnsi="Verdana"/>
          <w:sz w:val="20"/>
          <w:szCs w:val="20"/>
          <w:lang w:val="es-CR"/>
        </w:rPr>
        <w:t xml:space="preserve"> notificación.</w:t>
      </w:r>
      <w:bookmarkEnd w:id="3"/>
      <w:r w:rsidR="004E6612">
        <w:rPr>
          <w:rFonts w:ascii="Verdana" w:hAnsi="Verdana"/>
          <w:sz w:val="20"/>
          <w:szCs w:val="20"/>
          <w:lang w:val="es-CR"/>
        </w:rPr>
        <w:t xml:space="preserve"> </w:t>
      </w:r>
    </w:p>
    <w:p w14:paraId="5370873D" w14:textId="77777777" w:rsidR="002B506D" w:rsidRPr="00AB3657" w:rsidRDefault="002B506D" w:rsidP="00967A71">
      <w:pPr>
        <w:spacing w:after="240" w:line="240" w:lineRule="auto"/>
        <w:jc w:val="both"/>
        <w:rPr>
          <w:rFonts w:ascii="Verdana" w:hAnsi="Verdana"/>
          <w:sz w:val="16"/>
          <w:szCs w:val="16"/>
          <w:lang w:val="es-CR"/>
        </w:rPr>
      </w:pPr>
    </w:p>
    <w:p w14:paraId="37D2FBAE" w14:textId="24E7B7CB" w:rsidR="00284438" w:rsidRDefault="008A3D50" w:rsidP="00967A71">
      <w:pPr>
        <w:spacing w:after="240" w:line="240" w:lineRule="auto"/>
        <w:ind w:left="360"/>
        <w:jc w:val="both"/>
        <w:rPr>
          <w:rFonts w:ascii="Verdana" w:hAnsi="Verdana"/>
          <w:i/>
          <w:sz w:val="20"/>
          <w:szCs w:val="20"/>
          <w:lang w:val="es-CR"/>
        </w:rPr>
      </w:pPr>
      <w:r>
        <w:rPr>
          <w:rFonts w:ascii="Verdana" w:hAnsi="Verdana"/>
          <w:i/>
          <w:sz w:val="20"/>
          <w:szCs w:val="20"/>
          <w:lang w:val="es-CR"/>
        </w:rPr>
        <w:t>B.</w:t>
      </w:r>
      <w:r w:rsidR="00284438">
        <w:rPr>
          <w:rFonts w:ascii="Verdana" w:hAnsi="Verdana"/>
          <w:i/>
          <w:sz w:val="20"/>
          <w:szCs w:val="20"/>
          <w:lang w:val="es-CR"/>
        </w:rPr>
        <w:t xml:space="preserve"> Consideraciones de la Corte</w:t>
      </w:r>
    </w:p>
    <w:p w14:paraId="33BF68E8" w14:textId="77777777" w:rsidR="002B506D" w:rsidRDefault="002B506D" w:rsidP="00967A71">
      <w:pPr>
        <w:pStyle w:val="ListParagraph"/>
        <w:spacing w:after="240" w:line="240" w:lineRule="auto"/>
        <w:ind w:left="0"/>
        <w:jc w:val="both"/>
        <w:rPr>
          <w:rFonts w:ascii="Verdana" w:hAnsi="Verdana"/>
          <w:sz w:val="20"/>
          <w:szCs w:val="20"/>
          <w:lang w:val="es-CR"/>
        </w:rPr>
      </w:pPr>
    </w:p>
    <w:p w14:paraId="0CE44430" w14:textId="2181D016" w:rsidR="001F431B" w:rsidRDefault="00A72709" w:rsidP="00967A71">
      <w:pPr>
        <w:pStyle w:val="ListParagraph"/>
        <w:numPr>
          <w:ilvl w:val="0"/>
          <w:numId w:val="2"/>
        </w:numPr>
        <w:spacing w:after="240" w:line="240" w:lineRule="auto"/>
        <w:ind w:left="0" w:firstLine="0"/>
        <w:jc w:val="both"/>
        <w:rPr>
          <w:rFonts w:ascii="Verdana" w:hAnsi="Verdana"/>
          <w:sz w:val="20"/>
          <w:szCs w:val="20"/>
          <w:lang w:val="es-CR"/>
        </w:rPr>
      </w:pPr>
      <w:r>
        <w:rPr>
          <w:rFonts w:ascii="Verdana" w:hAnsi="Verdana"/>
          <w:sz w:val="20"/>
          <w:szCs w:val="20"/>
          <w:lang w:val="es-CR"/>
        </w:rPr>
        <w:t>La Corte ha constatado, con base en la información</w:t>
      </w:r>
      <w:r w:rsidR="00FF64D8">
        <w:rPr>
          <w:rFonts w:ascii="Verdana" w:hAnsi="Verdana"/>
          <w:sz w:val="20"/>
          <w:szCs w:val="20"/>
          <w:lang w:val="es-CR"/>
        </w:rPr>
        <w:t xml:space="preserve"> </w:t>
      </w:r>
      <w:r w:rsidR="002B506D">
        <w:rPr>
          <w:rFonts w:ascii="Verdana" w:hAnsi="Verdana"/>
          <w:sz w:val="20"/>
          <w:szCs w:val="20"/>
          <w:lang w:val="es-CR"/>
        </w:rPr>
        <w:t>aportada</w:t>
      </w:r>
      <w:r>
        <w:rPr>
          <w:rFonts w:ascii="Verdana" w:hAnsi="Verdana"/>
          <w:sz w:val="20"/>
          <w:szCs w:val="20"/>
          <w:lang w:val="es-CR"/>
        </w:rPr>
        <w:t xml:space="preserve"> por e</w:t>
      </w:r>
      <w:r w:rsidR="00035F60">
        <w:rPr>
          <w:rFonts w:ascii="Verdana" w:hAnsi="Verdana"/>
          <w:sz w:val="20"/>
          <w:szCs w:val="20"/>
          <w:lang w:val="es-CR"/>
        </w:rPr>
        <w:t>l Estado</w:t>
      </w:r>
      <w:r w:rsidR="002B506D">
        <w:rPr>
          <w:rStyle w:val="FootnoteReference"/>
          <w:rFonts w:ascii="Verdana" w:hAnsi="Verdana"/>
          <w:sz w:val="20"/>
          <w:szCs w:val="20"/>
          <w:lang w:val="es-CR"/>
        </w:rPr>
        <w:footnoteReference w:id="20"/>
      </w:r>
      <w:r w:rsidR="002B506D">
        <w:rPr>
          <w:rFonts w:ascii="Verdana" w:hAnsi="Verdana"/>
          <w:sz w:val="20"/>
          <w:szCs w:val="20"/>
          <w:lang w:val="es-CR"/>
        </w:rPr>
        <w:t xml:space="preserve">, </w:t>
      </w:r>
      <w:r w:rsidR="009F4E3E">
        <w:rPr>
          <w:rFonts w:ascii="Verdana" w:hAnsi="Verdana"/>
          <w:sz w:val="20"/>
          <w:szCs w:val="20"/>
          <w:lang w:val="es-CR"/>
        </w:rPr>
        <w:t xml:space="preserve">y tomando en cuenta la conformidad manifestada </w:t>
      </w:r>
      <w:r w:rsidR="002B506D">
        <w:rPr>
          <w:rFonts w:ascii="Verdana" w:hAnsi="Verdana"/>
          <w:sz w:val="20"/>
          <w:szCs w:val="20"/>
          <w:lang w:val="es-CR"/>
        </w:rPr>
        <w:t>por</w:t>
      </w:r>
      <w:r w:rsidR="001B0E7C">
        <w:rPr>
          <w:rFonts w:ascii="Verdana" w:hAnsi="Verdana"/>
          <w:sz w:val="20"/>
          <w:szCs w:val="20"/>
          <w:lang w:val="es-CR"/>
        </w:rPr>
        <w:t xml:space="preserve"> </w:t>
      </w:r>
      <w:r w:rsidR="00FC2E72">
        <w:rPr>
          <w:rFonts w:ascii="Verdana" w:hAnsi="Verdana"/>
          <w:sz w:val="20"/>
          <w:szCs w:val="20"/>
          <w:lang w:val="es-CR"/>
        </w:rPr>
        <w:t>l</w:t>
      </w:r>
      <w:r w:rsidR="007E4CD4">
        <w:rPr>
          <w:rFonts w:ascii="Verdana" w:hAnsi="Verdana"/>
          <w:sz w:val="20"/>
          <w:szCs w:val="20"/>
          <w:lang w:val="es-CR"/>
        </w:rPr>
        <w:t>os</w:t>
      </w:r>
      <w:r w:rsidR="0063324D">
        <w:rPr>
          <w:rFonts w:ascii="Verdana" w:hAnsi="Verdana"/>
          <w:sz w:val="20"/>
          <w:szCs w:val="20"/>
          <w:lang w:val="es-CR"/>
        </w:rPr>
        <w:t xml:space="preserve"> intervinientes comunes del caso </w:t>
      </w:r>
      <w:r w:rsidR="0063324D" w:rsidRPr="0063324D">
        <w:rPr>
          <w:rFonts w:ascii="Verdana" w:hAnsi="Verdana"/>
          <w:i/>
          <w:sz w:val="20"/>
          <w:szCs w:val="20"/>
          <w:lang w:val="es-CR"/>
        </w:rPr>
        <w:t>Pollo Rivera</w:t>
      </w:r>
      <w:r w:rsidR="0063324D">
        <w:rPr>
          <w:rFonts w:ascii="Verdana" w:hAnsi="Verdana"/>
          <w:i/>
          <w:sz w:val="20"/>
          <w:szCs w:val="20"/>
          <w:lang w:val="es-CR"/>
        </w:rPr>
        <w:t xml:space="preserve"> y otros</w:t>
      </w:r>
      <w:r w:rsidR="0063324D">
        <w:rPr>
          <w:rStyle w:val="FootnoteReference"/>
          <w:rFonts w:ascii="Verdana" w:hAnsi="Verdana"/>
          <w:sz w:val="20"/>
          <w:szCs w:val="20"/>
          <w:lang w:val="es-CR"/>
        </w:rPr>
        <w:footnoteReference w:id="21"/>
      </w:r>
      <w:r w:rsidR="00704846">
        <w:rPr>
          <w:rFonts w:ascii="Verdana" w:hAnsi="Verdana"/>
          <w:sz w:val="20"/>
          <w:szCs w:val="20"/>
          <w:lang w:val="es-CR"/>
        </w:rPr>
        <w:t xml:space="preserve"> y</w:t>
      </w:r>
      <w:r w:rsidR="0063324D">
        <w:rPr>
          <w:rFonts w:ascii="Verdana" w:hAnsi="Verdana"/>
          <w:sz w:val="20"/>
          <w:szCs w:val="20"/>
          <w:lang w:val="es-CR"/>
        </w:rPr>
        <w:t xml:space="preserve"> los</w:t>
      </w:r>
      <w:r w:rsidR="001B0E7C">
        <w:rPr>
          <w:rFonts w:ascii="Verdana" w:hAnsi="Verdana"/>
          <w:sz w:val="20"/>
          <w:szCs w:val="20"/>
          <w:lang w:val="es-CR"/>
        </w:rPr>
        <w:t xml:space="preserve"> representante</w:t>
      </w:r>
      <w:r w:rsidR="007E4CD4">
        <w:rPr>
          <w:rFonts w:ascii="Verdana" w:hAnsi="Verdana"/>
          <w:sz w:val="20"/>
          <w:szCs w:val="20"/>
          <w:lang w:val="es-CR"/>
        </w:rPr>
        <w:t>s</w:t>
      </w:r>
      <w:r w:rsidR="0063324D">
        <w:rPr>
          <w:rFonts w:ascii="Verdana" w:hAnsi="Verdana"/>
          <w:sz w:val="20"/>
          <w:szCs w:val="20"/>
          <w:lang w:val="es-CR"/>
        </w:rPr>
        <w:t xml:space="preserve"> del caso </w:t>
      </w:r>
      <w:r w:rsidR="0063324D">
        <w:rPr>
          <w:rFonts w:ascii="Verdana" w:hAnsi="Verdana"/>
          <w:i/>
          <w:sz w:val="20"/>
          <w:szCs w:val="20"/>
          <w:lang w:val="es-CR"/>
        </w:rPr>
        <w:t>Lagos del Campo</w:t>
      </w:r>
      <w:r w:rsidR="001B0E7C">
        <w:rPr>
          <w:rStyle w:val="FootnoteReference"/>
          <w:rFonts w:ascii="Verdana" w:hAnsi="Verdana"/>
          <w:sz w:val="20"/>
          <w:szCs w:val="20"/>
          <w:lang w:val="es-CR"/>
        </w:rPr>
        <w:footnoteReference w:id="22"/>
      </w:r>
      <w:r w:rsidR="00704846">
        <w:rPr>
          <w:rFonts w:ascii="Verdana" w:hAnsi="Verdana"/>
          <w:sz w:val="20"/>
          <w:szCs w:val="20"/>
          <w:lang w:val="es-CR"/>
        </w:rPr>
        <w:t>, así como</w:t>
      </w:r>
      <w:r w:rsidR="00B63EAD">
        <w:rPr>
          <w:rFonts w:ascii="Verdana" w:hAnsi="Verdana"/>
          <w:sz w:val="20"/>
          <w:szCs w:val="20"/>
          <w:lang w:val="es-CR"/>
        </w:rPr>
        <w:t xml:space="preserve"> el parecer</w:t>
      </w:r>
      <w:r w:rsidR="005250E9">
        <w:rPr>
          <w:rFonts w:ascii="Verdana" w:hAnsi="Verdana"/>
          <w:sz w:val="20"/>
          <w:szCs w:val="20"/>
          <w:lang w:val="es-CR"/>
        </w:rPr>
        <w:t xml:space="preserve"> </w:t>
      </w:r>
      <w:r w:rsidR="009F4E3E">
        <w:rPr>
          <w:rFonts w:ascii="Verdana" w:hAnsi="Verdana"/>
          <w:sz w:val="20"/>
          <w:szCs w:val="20"/>
          <w:lang w:val="es-CR"/>
        </w:rPr>
        <w:t xml:space="preserve">de </w:t>
      </w:r>
      <w:r w:rsidR="005250E9">
        <w:rPr>
          <w:rFonts w:ascii="Verdana" w:hAnsi="Verdana"/>
          <w:sz w:val="20"/>
          <w:szCs w:val="20"/>
          <w:lang w:val="es-CR"/>
        </w:rPr>
        <w:t>la Comisión</w:t>
      </w:r>
      <w:r w:rsidR="005250E9">
        <w:rPr>
          <w:rStyle w:val="FootnoteReference"/>
          <w:rFonts w:ascii="Verdana" w:hAnsi="Verdana"/>
          <w:sz w:val="20"/>
          <w:szCs w:val="20"/>
          <w:lang w:val="es-CR"/>
        </w:rPr>
        <w:footnoteReference w:id="23"/>
      </w:r>
      <w:r w:rsidR="00035F60">
        <w:rPr>
          <w:rFonts w:ascii="Verdana" w:hAnsi="Verdana"/>
          <w:sz w:val="20"/>
          <w:szCs w:val="20"/>
          <w:lang w:val="es-CR"/>
        </w:rPr>
        <w:t xml:space="preserve">, </w:t>
      </w:r>
      <w:r w:rsidR="001B0E7C">
        <w:rPr>
          <w:rFonts w:ascii="Verdana" w:hAnsi="Verdana"/>
          <w:sz w:val="20"/>
          <w:szCs w:val="20"/>
          <w:lang w:val="es-CR"/>
        </w:rPr>
        <w:t xml:space="preserve">que </w:t>
      </w:r>
      <w:r w:rsidR="00FF64D8">
        <w:rPr>
          <w:rFonts w:ascii="Verdana" w:hAnsi="Verdana"/>
          <w:sz w:val="20"/>
          <w:szCs w:val="20"/>
          <w:lang w:val="es-CR"/>
        </w:rPr>
        <w:t xml:space="preserve">el </w:t>
      </w:r>
      <w:r w:rsidR="007E4CD4">
        <w:rPr>
          <w:rFonts w:ascii="Verdana" w:hAnsi="Verdana"/>
          <w:sz w:val="20"/>
          <w:szCs w:val="20"/>
          <w:lang w:val="es-CR"/>
        </w:rPr>
        <w:t>Perú</w:t>
      </w:r>
      <w:r w:rsidR="001B0E7C">
        <w:rPr>
          <w:rFonts w:ascii="Verdana" w:hAnsi="Verdana"/>
          <w:sz w:val="20"/>
          <w:szCs w:val="20"/>
          <w:lang w:val="es-CR"/>
        </w:rPr>
        <w:t xml:space="preserve"> dio cumplimiento</w:t>
      </w:r>
      <w:r w:rsidR="0018015E">
        <w:rPr>
          <w:rFonts w:ascii="Verdana" w:hAnsi="Verdana"/>
          <w:sz w:val="20"/>
          <w:szCs w:val="20"/>
          <w:lang w:val="es-CR"/>
        </w:rPr>
        <w:t xml:space="preserve"> </w:t>
      </w:r>
      <w:r w:rsidR="001B0E7C">
        <w:rPr>
          <w:rFonts w:ascii="Verdana" w:hAnsi="Verdana"/>
          <w:sz w:val="20"/>
          <w:szCs w:val="20"/>
          <w:lang w:val="es-CR"/>
        </w:rPr>
        <w:t>a la medida relativa a publicar el resumen</w:t>
      </w:r>
      <w:r w:rsidR="00FF64D8">
        <w:rPr>
          <w:rFonts w:ascii="Verdana" w:hAnsi="Verdana"/>
          <w:sz w:val="20"/>
          <w:szCs w:val="20"/>
          <w:lang w:val="es-CR"/>
        </w:rPr>
        <w:t xml:space="preserve"> oficial</w:t>
      </w:r>
      <w:r w:rsidR="001B0E7C">
        <w:rPr>
          <w:rFonts w:ascii="Verdana" w:hAnsi="Verdana"/>
          <w:sz w:val="20"/>
          <w:szCs w:val="20"/>
          <w:lang w:val="es-CR"/>
        </w:rPr>
        <w:t xml:space="preserve"> de </w:t>
      </w:r>
      <w:r w:rsidR="00C938BA">
        <w:rPr>
          <w:rFonts w:ascii="Verdana" w:hAnsi="Verdana"/>
          <w:sz w:val="20"/>
          <w:szCs w:val="20"/>
          <w:lang w:val="es-CR"/>
        </w:rPr>
        <w:t>ambas</w:t>
      </w:r>
      <w:r w:rsidR="001B0E7C">
        <w:rPr>
          <w:rFonts w:ascii="Verdana" w:hAnsi="Verdana"/>
          <w:sz w:val="20"/>
          <w:szCs w:val="20"/>
          <w:lang w:val="es-CR"/>
        </w:rPr>
        <w:t xml:space="preserve"> Sentencia</w:t>
      </w:r>
      <w:r w:rsidR="00C938BA">
        <w:rPr>
          <w:rFonts w:ascii="Verdana" w:hAnsi="Verdana"/>
          <w:sz w:val="20"/>
          <w:szCs w:val="20"/>
          <w:lang w:val="es-CR"/>
        </w:rPr>
        <w:t>s</w:t>
      </w:r>
      <w:r w:rsidR="001B0E7C">
        <w:rPr>
          <w:rFonts w:ascii="Verdana" w:hAnsi="Verdana"/>
          <w:sz w:val="20"/>
          <w:szCs w:val="20"/>
          <w:lang w:val="es-CR"/>
        </w:rPr>
        <w:t xml:space="preserve"> en el Diario Oficial</w:t>
      </w:r>
      <w:r w:rsidR="00163DC5">
        <w:rPr>
          <w:rFonts w:ascii="Verdana" w:hAnsi="Verdana"/>
          <w:sz w:val="20"/>
          <w:szCs w:val="20"/>
          <w:lang w:val="es-CR"/>
        </w:rPr>
        <w:t xml:space="preserve"> “El Peruano”</w:t>
      </w:r>
      <w:r w:rsidR="001B0E7C">
        <w:rPr>
          <w:rFonts w:ascii="Verdana" w:hAnsi="Verdana"/>
          <w:sz w:val="20"/>
          <w:szCs w:val="20"/>
          <w:lang w:val="es-CR"/>
        </w:rPr>
        <w:t xml:space="preserve"> y en diario</w:t>
      </w:r>
      <w:r w:rsidR="004F469C">
        <w:rPr>
          <w:rFonts w:ascii="Verdana" w:hAnsi="Verdana"/>
          <w:sz w:val="20"/>
          <w:szCs w:val="20"/>
          <w:lang w:val="es-CR"/>
        </w:rPr>
        <w:t>s</w:t>
      </w:r>
      <w:r w:rsidR="001B0E7C">
        <w:rPr>
          <w:rFonts w:ascii="Verdana" w:hAnsi="Verdana"/>
          <w:sz w:val="20"/>
          <w:szCs w:val="20"/>
          <w:lang w:val="es-CR"/>
        </w:rPr>
        <w:t xml:space="preserve"> de amplia circulación nacional. </w:t>
      </w:r>
      <w:r w:rsidR="00247565">
        <w:rPr>
          <w:rFonts w:ascii="Verdana" w:hAnsi="Verdana"/>
          <w:sz w:val="20"/>
          <w:szCs w:val="20"/>
          <w:lang w:val="es-CR"/>
        </w:rPr>
        <w:t>Salvo la publicación en</w:t>
      </w:r>
      <w:r w:rsidR="007E4CD4">
        <w:rPr>
          <w:rFonts w:ascii="Verdana" w:hAnsi="Verdana"/>
          <w:sz w:val="20"/>
          <w:szCs w:val="20"/>
          <w:lang w:val="es-CR"/>
        </w:rPr>
        <w:t xml:space="preserve"> </w:t>
      </w:r>
      <w:r w:rsidR="00247565">
        <w:rPr>
          <w:rFonts w:ascii="Verdana" w:hAnsi="Verdana"/>
          <w:sz w:val="20"/>
          <w:szCs w:val="20"/>
          <w:lang w:val="es-CR"/>
        </w:rPr>
        <w:t>un</w:t>
      </w:r>
      <w:r w:rsidR="007E4CD4">
        <w:rPr>
          <w:rFonts w:ascii="Verdana" w:hAnsi="Verdana"/>
          <w:sz w:val="20"/>
          <w:szCs w:val="20"/>
          <w:lang w:val="es-CR"/>
        </w:rPr>
        <w:t xml:space="preserve"> diario de amplia circulación nacional </w:t>
      </w:r>
      <w:r w:rsidR="00247565">
        <w:rPr>
          <w:rFonts w:ascii="Verdana" w:hAnsi="Verdana"/>
          <w:sz w:val="20"/>
          <w:szCs w:val="20"/>
          <w:lang w:val="es-CR"/>
        </w:rPr>
        <w:t xml:space="preserve">del caso </w:t>
      </w:r>
      <w:r w:rsidR="00247565" w:rsidRPr="002B506D">
        <w:rPr>
          <w:rFonts w:ascii="Verdana" w:hAnsi="Verdana"/>
          <w:i/>
          <w:sz w:val="20"/>
          <w:szCs w:val="20"/>
          <w:lang w:val="es-CR"/>
        </w:rPr>
        <w:t>Pollo Rivera y otros</w:t>
      </w:r>
      <w:r w:rsidR="00247565">
        <w:rPr>
          <w:rFonts w:ascii="Verdana" w:hAnsi="Verdana"/>
          <w:sz w:val="20"/>
          <w:szCs w:val="20"/>
          <w:lang w:val="es-CR"/>
        </w:rPr>
        <w:t xml:space="preserve">, este Tribunal reconoce </w:t>
      </w:r>
      <w:r w:rsidR="000D2AC9">
        <w:rPr>
          <w:rFonts w:ascii="Verdana" w:hAnsi="Verdana"/>
          <w:sz w:val="20"/>
          <w:szCs w:val="20"/>
          <w:lang w:val="es-CR"/>
        </w:rPr>
        <w:t xml:space="preserve">positivamente </w:t>
      </w:r>
      <w:r w:rsidR="00247565">
        <w:rPr>
          <w:rFonts w:ascii="Verdana" w:hAnsi="Verdana"/>
          <w:sz w:val="20"/>
          <w:szCs w:val="20"/>
          <w:lang w:val="es-CR"/>
        </w:rPr>
        <w:t xml:space="preserve">que las otras referidas publicaciones </w:t>
      </w:r>
      <w:r w:rsidR="007E4CD4">
        <w:rPr>
          <w:rFonts w:ascii="Verdana" w:hAnsi="Verdana"/>
          <w:sz w:val="20"/>
          <w:szCs w:val="20"/>
          <w:lang w:val="es-CR"/>
        </w:rPr>
        <w:t>fue</w:t>
      </w:r>
      <w:r w:rsidR="00247565">
        <w:rPr>
          <w:rFonts w:ascii="Verdana" w:hAnsi="Verdana"/>
          <w:sz w:val="20"/>
          <w:szCs w:val="20"/>
          <w:lang w:val="es-CR"/>
        </w:rPr>
        <w:t>ron</w:t>
      </w:r>
      <w:r w:rsidR="007E4CD4">
        <w:rPr>
          <w:rFonts w:ascii="Verdana" w:hAnsi="Verdana"/>
          <w:sz w:val="20"/>
          <w:szCs w:val="20"/>
          <w:lang w:val="es-CR"/>
        </w:rPr>
        <w:t xml:space="preserve"> realizada</w:t>
      </w:r>
      <w:r w:rsidR="00247565">
        <w:rPr>
          <w:rFonts w:ascii="Verdana" w:hAnsi="Verdana"/>
          <w:sz w:val="20"/>
          <w:szCs w:val="20"/>
          <w:lang w:val="es-CR"/>
        </w:rPr>
        <w:t>s</w:t>
      </w:r>
      <w:r w:rsidR="007E4CD4">
        <w:rPr>
          <w:rFonts w:ascii="Verdana" w:hAnsi="Verdana"/>
          <w:sz w:val="20"/>
          <w:szCs w:val="20"/>
          <w:lang w:val="es-CR"/>
        </w:rPr>
        <w:t xml:space="preserve"> </w:t>
      </w:r>
      <w:r w:rsidR="00247565">
        <w:rPr>
          <w:rFonts w:ascii="Verdana" w:hAnsi="Verdana"/>
          <w:sz w:val="20"/>
          <w:szCs w:val="20"/>
          <w:lang w:val="es-CR"/>
        </w:rPr>
        <w:t>dentro</w:t>
      </w:r>
      <w:r w:rsidR="007E4CD4">
        <w:rPr>
          <w:rFonts w:ascii="Verdana" w:hAnsi="Verdana"/>
          <w:sz w:val="20"/>
          <w:szCs w:val="20"/>
          <w:lang w:val="es-CR"/>
        </w:rPr>
        <w:t xml:space="preserve"> del plazo otorgado en la Sentencia</w:t>
      </w:r>
      <w:r w:rsidR="007E4CD4">
        <w:rPr>
          <w:rStyle w:val="FootnoteReference"/>
          <w:rFonts w:ascii="Verdana" w:hAnsi="Verdana"/>
          <w:sz w:val="20"/>
          <w:szCs w:val="20"/>
          <w:lang w:val="es-CR"/>
        </w:rPr>
        <w:footnoteReference w:id="24"/>
      </w:r>
      <w:r w:rsidR="007E4CD4">
        <w:rPr>
          <w:rFonts w:ascii="Verdana" w:hAnsi="Verdana"/>
          <w:sz w:val="20"/>
          <w:szCs w:val="20"/>
          <w:lang w:val="es-CR"/>
        </w:rPr>
        <w:t xml:space="preserve">. </w:t>
      </w:r>
    </w:p>
    <w:p w14:paraId="47B78EC8" w14:textId="77777777" w:rsidR="001F431B" w:rsidRPr="00AB3657" w:rsidRDefault="001F431B" w:rsidP="00967A71">
      <w:pPr>
        <w:pStyle w:val="ListParagraph"/>
        <w:spacing w:after="240" w:line="240" w:lineRule="auto"/>
        <w:ind w:left="0"/>
        <w:jc w:val="both"/>
        <w:rPr>
          <w:rFonts w:ascii="Verdana" w:hAnsi="Verdana"/>
          <w:sz w:val="16"/>
          <w:szCs w:val="16"/>
          <w:lang w:val="es-CR"/>
        </w:rPr>
      </w:pPr>
    </w:p>
    <w:p w14:paraId="3BEC64A0" w14:textId="22EFBDDE" w:rsidR="0018015E" w:rsidRDefault="001B0E7C" w:rsidP="00967A71">
      <w:pPr>
        <w:pStyle w:val="ListParagraph"/>
        <w:numPr>
          <w:ilvl w:val="0"/>
          <w:numId w:val="2"/>
        </w:numPr>
        <w:tabs>
          <w:tab w:val="left" w:pos="0"/>
        </w:tabs>
        <w:spacing w:after="240" w:line="240" w:lineRule="auto"/>
        <w:ind w:left="0" w:firstLine="0"/>
        <w:jc w:val="both"/>
        <w:rPr>
          <w:rFonts w:ascii="Verdana" w:hAnsi="Verdana"/>
          <w:sz w:val="20"/>
          <w:szCs w:val="20"/>
          <w:lang w:val="es-CR"/>
        </w:rPr>
      </w:pPr>
      <w:r w:rsidRPr="00B37723">
        <w:rPr>
          <w:rFonts w:ascii="Verdana" w:hAnsi="Verdana"/>
          <w:sz w:val="20"/>
          <w:szCs w:val="20"/>
          <w:lang w:val="es-CR"/>
        </w:rPr>
        <w:t>En lo que respecta a la publicación de la Sentencia</w:t>
      </w:r>
      <w:r w:rsidR="004F469C">
        <w:rPr>
          <w:rFonts w:ascii="Verdana" w:hAnsi="Verdana"/>
          <w:sz w:val="20"/>
          <w:szCs w:val="20"/>
          <w:lang w:val="es-CR"/>
        </w:rPr>
        <w:t xml:space="preserve"> en internet,</w:t>
      </w:r>
      <w:r w:rsidRPr="00B37723">
        <w:rPr>
          <w:rFonts w:ascii="Verdana" w:hAnsi="Verdana"/>
          <w:sz w:val="20"/>
          <w:szCs w:val="20"/>
          <w:lang w:val="es-CR"/>
        </w:rPr>
        <w:t xml:space="preserve"> </w:t>
      </w:r>
      <w:r w:rsidR="006E6866">
        <w:rPr>
          <w:rFonts w:ascii="Verdana" w:hAnsi="Verdana"/>
          <w:sz w:val="20"/>
          <w:szCs w:val="20"/>
          <w:lang w:val="es-CR"/>
        </w:rPr>
        <w:t>el Tribunal constató</w:t>
      </w:r>
      <w:r w:rsidRPr="00B37723">
        <w:rPr>
          <w:rFonts w:ascii="Verdana" w:hAnsi="Verdana"/>
          <w:sz w:val="20"/>
          <w:szCs w:val="20"/>
          <w:lang w:val="es-CR"/>
        </w:rPr>
        <w:t xml:space="preserve"> que </w:t>
      </w:r>
      <w:r w:rsidR="001F431B" w:rsidRPr="00B37723">
        <w:rPr>
          <w:rFonts w:ascii="Verdana" w:hAnsi="Verdana"/>
          <w:sz w:val="20"/>
          <w:szCs w:val="20"/>
          <w:lang w:val="es-CR"/>
        </w:rPr>
        <w:t xml:space="preserve">en el caso </w:t>
      </w:r>
      <w:r w:rsidR="001F431B" w:rsidRPr="00B37723">
        <w:rPr>
          <w:rFonts w:ascii="Verdana" w:hAnsi="Verdana"/>
          <w:i/>
          <w:sz w:val="20"/>
          <w:szCs w:val="20"/>
          <w:lang w:val="es-CR"/>
        </w:rPr>
        <w:t xml:space="preserve">Pollo Rivera y otros </w:t>
      </w:r>
      <w:r w:rsidR="001F431B" w:rsidRPr="00B37723">
        <w:rPr>
          <w:rFonts w:ascii="Verdana" w:hAnsi="Verdana"/>
          <w:sz w:val="20"/>
          <w:szCs w:val="20"/>
          <w:lang w:val="es-CR"/>
        </w:rPr>
        <w:t>fue publicada en la página web del Ministerio de Justicia y Derechos Humanos</w:t>
      </w:r>
      <w:r w:rsidR="00716370">
        <w:rPr>
          <w:rStyle w:val="FootnoteReference"/>
          <w:rFonts w:ascii="Verdana" w:hAnsi="Verdana"/>
          <w:sz w:val="20"/>
          <w:szCs w:val="20"/>
          <w:lang w:val="es-CR"/>
        </w:rPr>
        <w:footnoteReference w:id="25"/>
      </w:r>
      <w:r w:rsidR="0021315C">
        <w:rPr>
          <w:rFonts w:ascii="Verdana" w:hAnsi="Verdana"/>
          <w:sz w:val="20"/>
          <w:szCs w:val="20"/>
          <w:lang w:val="es-CR"/>
        </w:rPr>
        <w:t xml:space="preserve"> y </w:t>
      </w:r>
      <w:r w:rsidR="001F431B" w:rsidRPr="00B37723">
        <w:rPr>
          <w:rFonts w:ascii="Verdana" w:hAnsi="Verdana"/>
          <w:sz w:val="20"/>
          <w:szCs w:val="20"/>
          <w:lang w:val="es-CR"/>
        </w:rPr>
        <w:t>en la página web del Poder Judicial del Perú</w:t>
      </w:r>
      <w:r w:rsidR="001F431B">
        <w:rPr>
          <w:rStyle w:val="FootnoteReference"/>
          <w:rFonts w:ascii="Verdana" w:hAnsi="Verdana"/>
          <w:sz w:val="20"/>
          <w:szCs w:val="20"/>
          <w:lang w:val="es-CR"/>
        </w:rPr>
        <w:footnoteReference w:id="26"/>
      </w:r>
      <w:r w:rsidR="00247565">
        <w:rPr>
          <w:rFonts w:ascii="Verdana" w:hAnsi="Verdana"/>
          <w:sz w:val="20"/>
          <w:szCs w:val="20"/>
          <w:lang w:val="es-CR"/>
        </w:rPr>
        <w:t xml:space="preserve">, </w:t>
      </w:r>
      <w:r w:rsidR="0021315C">
        <w:rPr>
          <w:rFonts w:ascii="Verdana" w:hAnsi="Verdana"/>
          <w:sz w:val="20"/>
          <w:szCs w:val="20"/>
          <w:lang w:val="es-CR"/>
        </w:rPr>
        <w:t>así como que</w:t>
      </w:r>
      <w:r w:rsidR="00247565">
        <w:rPr>
          <w:rFonts w:ascii="Verdana" w:hAnsi="Verdana"/>
          <w:sz w:val="20"/>
          <w:szCs w:val="20"/>
          <w:lang w:val="es-CR"/>
        </w:rPr>
        <w:t xml:space="preserve"> la </w:t>
      </w:r>
      <w:r w:rsidR="00247565">
        <w:rPr>
          <w:rFonts w:ascii="Verdana" w:hAnsi="Verdana"/>
          <w:sz w:val="20"/>
          <w:szCs w:val="20"/>
          <w:lang w:val="es-CR"/>
        </w:rPr>
        <w:lastRenderedPageBreak/>
        <w:t xml:space="preserve">primera de dichas publicaciones </w:t>
      </w:r>
      <w:r w:rsidR="0021315C">
        <w:rPr>
          <w:rFonts w:ascii="Verdana" w:hAnsi="Verdana"/>
          <w:sz w:val="20"/>
          <w:szCs w:val="20"/>
          <w:lang w:val="es-CR"/>
        </w:rPr>
        <w:t xml:space="preserve">se realizó </w:t>
      </w:r>
      <w:r w:rsidR="00247565">
        <w:rPr>
          <w:rFonts w:ascii="Verdana" w:hAnsi="Verdana"/>
          <w:sz w:val="20"/>
          <w:szCs w:val="20"/>
          <w:lang w:val="es-CR"/>
        </w:rPr>
        <w:t>dentro del plazo establecido en la Sentencia</w:t>
      </w:r>
      <w:r w:rsidR="00247565">
        <w:rPr>
          <w:rStyle w:val="FootnoteReference"/>
          <w:rFonts w:ascii="Verdana" w:hAnsi="Verdana"/>
          <w:sz w:val="20"/>
          <w:szCs w:val="20"/>
          <w:lang w:val="es-CR"/>
        </w:rPr>
        <w:footnoteReference w:id="27"/>
      </w:r>
      <w:r w:rsidR="001F431B" w:rsidRPr="00B37723">
        <w:rPr>
          <w:rFonts w:ascii="Verdana" w:hAnsi="Verdana"/>
          <w:sz w:val="20"/>
          <w:szCs w:val="20"/>
          <w:lang w:val="es-CR"/>
        </w:rPr>
        <w:t xml:space="preserve">. </w:t>
      </w:r>
      <w:r w:rsidR="00942431">
        <w:rPr>
          <w:rFonts w:ascii="Verdana" w:hAnsi="Verdana"/>
          <w:sz w:val="20"/>
          <w:szCs w:val="20"/>
          <w:lang w:val="es-CR"/>
        </w:rPr>
        <w:t>Si bien el representante de las víctimas</w:t>
      </w:r>
      <w:r w:rsidR="00247565">
        <w:rPr>
          <w:rFonts w:ascii="Verdana" w:hAnsi="Verdana"/>
          <w:sz w:val="20"/>
          <w:szCs w:val="20"/>
          <w:lang w:val="es-CR"/>
        </w:rPr>
        <w:t>, señor Coello Cruz,</w:t>
      </w:r>
      <w:r w:rsidR="00942431">
        <w:rPr>
          <w:rFonts w:ascii="Verdana" w:hAnsi="Verdana"/>
          <w:sz w:val="20"/>
          <w:szCs w:val="20"/>
          <w:lang w:val="es-CR"/>
        </w:rPr>
        <w:t xml:space="preserve"> presentó en febrero de 2017 una objeción respecto a la publicación </w:t>
      </w:r>
      <w:r w:rsidR="00247565">
        <w:rPr>
          <w:rFonts w:ascii="Verdana" w:hAnsi="Verdana"/>
          <w:sz w:val="20"/>
          <w:szCs w:val="20"/>
          <w:lang w:val="es-CR"/>
        </w:rPr>
        <w:t xml:space="preserve">de la Sentencia </w:t>
      </w:r>
      <w:r w:rsidR="00942431">
        <w:rPr>
          <w:rFonts w:ascii="Verdana" w:hAnsi="Verdana"/>
          <w:sz w:val="20"/>
          <w:szCs w:val="20"/>
          <w:lang w:val="es-CR"/>
        </w:rPr>
        <w:t>en la página web del referido Ministerio, en enero de 2018 manifestó su conformidad con la misma</w:t>
      </w:r>
      <w:r w:rsidR="00942431">
        <w:rPr>
          <w:rStyle w:val="FootnoteReference"/>
          <w:rFonts w:ascii="Verdana" w:hAnsi="Verdana"/>
          <w:sz w:val="20"/>
          <w:szCs w:val="20"/>
          <w:lang w:val="es-CR"/>
        </w:rPr>
        <w:footnoteReference w:id="28"/>
      </w:r>
      <w:r w:rsidR="00942431">
        <w:rPr>
          <w:rFonts w:ascii="Verdana" w:hAnsi="Verdana"/>
          <w:sz w:val="20"/>
          <w:szCs w:val="20"/>
          <w:lang w:val="es-CR"/>
        </w:rPr>
        <w:t xml:space="preserve">. </w:t>
      </w:r>
      <w:r w:rsidR="00247565">
        <w:rPr>
          <w:rFonts w:ascii="Verdana" w:hAnsi="Verdana"/>
          <w:sz w:val="20"/>
          <w:szCs w:val="20"/>
          <w:lang w:val="es-CR"/>
        </w:rPr>
        <w:t>Asimismo, los defensores interamericanos reconocieron el cumplimiento de las referidas publicaciones</w:t>
      </w:r>
      <w:r w:rsidR="001F431B">
        <w:rPr>
          <w:rStyle w:val="FootnoteReference"/>
          <w:rFonts w:ascii="Verdana" w:hAnsi="Verdana"/>
          <w:sz w:val="20"/>
          <w:szCs w:val="20"/>
          <w:lang w:val="es-CR"/>
        </w:rPr>
        <w:footnoteReference w:id="29"/>
      </w:r>
      <w:r w:rsidR="001F431B" w:rsidRPr="00B37723">
        <w:rPr>
          <w:rFonts w:ascii="Verdana" w:hAnsi="Verdana"/>
          <w:sz w:val="20"/>
          <w:szCs w:val="20"/>
          <w:lang w:val="es-CR"/>
        </w:rPr>
        <w:t xml:space="preserve">. </w:t>
      </w:r>
    </w:p>
    <w:p w14:paraId="498DFDF8" w14:textId="77777777" w:rsidR="00AB3657" w:rsidRPr="00AB3657" w:rsidRDefault="00AB3657" w:rsidP="00967A71">
      <w:pPr>
        <w:pStyle w:val="ListParagraph"/>
        <w:tabs>
          <w:tab w:val="left" w:pos="0"/>
        </w:tabs>
        <w:spacing w:after="240" w:line="240" w:lineRule="auto"/>
        <w:ind w:left="0"/>
        <w:jc w:val="both"/>
        <w:rPr>
          <w:rFonts w:ascii="Verdana" w:hAnsi="Verdana"/>
          <w:sz w:val="16"/>
          <w:szCs w:val="16"/>
          <w:lang w:val="es-CR"/>
        </w:rPr>
      </w:pPr>
    </w:p>
    <w:p w14:paraId="15540924" w14:textId="09ADDED4" w:rsidR="00C05E90" w:rsidRPr="00EA7DD3" w:rsidRDefault="00B37723" w:rsidP="00967A71">
      <w:pPr>
        <w:pStyle w:val="ListParagraph"/>
        <w:numPr>
          <w:ilvl w:val="0"/>
          <w:numId w:val="2"/>
        </w:numPr>
        <w:tabs>
          <w:tab w:val="left" w:pos="0"/>
        </w:tabs>
        <w:spacing w:after="240" w:line="240" w:lineRule="auto"/>
        <w:ind w:left="0" w:firstLine="0"/>
        <w:jc w:val="both"/>
        <w:rPr>
          <w:rFonts w:ascii="Verdana" w:hAnsi="Verdana"/>
          <w:sz w:val="20"/>
          <w:szCs w:val="20"/>
          <w:lang w:val="es-CR"/>
        </w:rPr>
      </w:pPr>
      <w:r w:rsidRPr="00B37723">
        <w:rPr>
          <w:rFonts w:ascii="Verdana" w:hAnsi="Verdana"/>
          <w:sz w:val="20"/>
          <w:szCs w:val="20"/>
          <w:lang w:val="es-CR"/>
        </w:rPr>
        <w:t xml:space="preserve">En el caso </w:t>
      </w:r>
      <w:r w:rsidRPr="00B37723">
        <w:rPr>
          <w:rFonts w:ascii="Verdana" w:hAnsi="Verdana"/>
          <w:i/>
          <w:sz w:val="20"/>
          <w:szCs w:val="20"/>
          <w:lang w:val="es-CR"/>
        </w:rPr>
        <w:t xml:space="preserve">Lagos del Campo, </w:t>
      </w:r>
      <w:r w:rsidRPr="00B37723">
        <w:rPr>
          <w:rFonts w:ascii="Verdana" w:hAnsi="Verdana"/>
          <w:sz w:val="20"/>
          <w:szCs w:val="20"/>
          <w:lang w:val="es-CR"/>
        </w:rPr>
        <w:t xml:space="preserve">la Corte observa que </w:t>
      </w:r>
      <w:r w:rsidR="00CD4AF1">
        <w:rPr>
          <w:rFonts w:ascii="Verdana" w:hAnsi="Verdana"/>
          <w:sz w:val="20"/>
          <w:szCs w:val="20"/>
          <w:lang w:val="es-CR"/>
        </w:rPr>
        <w:t>la Sentencia</w:t>
      </w:r>
      <w:r w:rsidRPr="00B37723">
        <w:rPr>
          <w:rFonts w:ascii="Verdana" w:hAnsi="Verdana"/>
          <w:sz w:val="20"/>
          <w:szCs w:val="20"/>
          <w:lang w:val="es-CR"/>
        </w:rPr>
        <w:t xml:space="preserve"> fue </w:t>
      </w:r>
      <w:r w:rsidR="001C0D51" w:rsidRPr="00B37723">
        <w:rPr>
          <w:rFonts w:ascii="Verdana" w:hAnsi="Verdana"/>
          <w:sz w:val="20"/>
          <w:szCs w:val="20"/>
          <w:lang w:val="es-CR"/>
        </w:rPr>
        <w:t>publicada</w:t>
      </w:r>
      <w:r w:rsidR="00CD4AF1">
        <w:rPr>
          <w:rFonts w:ascii="Verdana" w:hAnsi="Verdana"/>
          <w:sz w:val="20"/>
          <w:szCs w:val="20"/>
          <w:lang w:val="es-CR"/>
        </w:rPr>
        <w:t>, en su integridad,</w:t>
      </w:r>
      <w:r w:rsidR="001B0E7C" w:rsidRPr="00B37723">
        <w:rPr>
          <w:rFonts w:ascii="Verdana" w:hAnsi="Verdana"/>
          <w:sz w:val="20"/>
          <w:szCs w:val="20"/>
          <w:lang w:val="es-CR"/>
        </w:rPr>
        <w:t xml:space="preserve"> en la página </w:t>
      </w:r>
      <w:r w:rsidR="00B15975">
        <w:rPr>
          <w:rFonts w:ascii="Verdana" w:hAnsi="Verdana"/>
          <w:sz w:val="20"/>
          <w:szCs w:val="20"/>
          <w:lang w:val="es-CR"/>
        </w:rPr>
        <w:t xml:space="preserve">web </w:t>
      </w:r>
      <w:r w:rsidR="001B0E7C" w:rsidRPr="00B37723">
        <w:rPr>
          <w:rFonts w:ascii="Verdana" w:hAnsi="Verdana"/>
          <w:sz w:val="20"/>
          <w:szCs w:val="20"/>
          <w:lang w:val="es-CR"/>
        </w:rPr>
        <w:t>de</w:t>
      </w:r>
      <w:r w:rsidR="00672F19" w:rsidRPr="00B37723">
        <w:rPr>
          <w:rFonts w:ascii="Verdana" w:hAnsi="Verdana"/>
          <w:sz w:val="20"/>
          <w:szCs w:val="20"/>
          <w:lang w:val="es-CR"/>
        </w:rPr>
        <w:t>l Ministerio de Justicia y Derechos Humanos</w:t>
      </w:r>
      <w:r w:rsidR="00B15975">
        <w:rPr>
          <w:rFonts w:ascii="Verdana" w:hAnsi="Verdana"/>
          <w:sz w:val="20"/>
          <w:szCs w:val="20"/>
          <w:lang w:val="es-CR"/>
        </w:rPr>
        <w:t>, dentro del plazo establecido en dicho fallo</w:t>
      </w:r>
      <w:r w:rsidR="001B0E7C">
        <w:rPr>
          <w:rStyle w:val="FootnoteReference"/>
          <w:rFonts w:ascii="Verdana" w:hAnsi="Verdana"/>
          <w:sz w:val="20"/>
          <w:szCs w:val="20"/>
          <w:lang w:val="es-CR"/>
        </w:rPr>
        <w:footnoteReference w:id="30"/>
      </w:r>
      <w:r w:rsidR="001B0E7C" w:rsidRPr="00B37723">
        <w:rPr>
          <w:rFonts w:ascii="Verdana" w:hAnsi="Verdana"/>
          <w:sz w:val="20"/>
          <w:szCs w:val="20"/>
          <w:lang w:val="es-CR"/>
        </w:rPr>
        <w:t xml:space="preserve">. </w:t>
      </w:r>
      <w:r w:rsidRPr="00B37723">
        <w:rPr>
          <w:rFonts w:ascii="Verdana" w:hAnsi="Verdana"/>
          <w:sz w:val="20"/>
          <w:szCs w:val="20"/>
          <w:lang w:val="es-CR"/>
        </w:rPr>
        <w:t xml:space="preserve">Los representantes, por su parte, consideraron que “[l]a publicación en el portal web del Ministerio de Justicia y Derechos Humanos se encuentra en un enlace que no es </w:t>
      </w:r>
      <w:r w:rsidR="00AF6AB3">
        <w:rPr>
          <w:rFonts w:ascii="Verdana" w:hAnsi="Verdana"/>
          <w:sz w:val="20"/>
          <w:szCs w:val="20"/>
          <w:lang w:val="es-CR"/>
        </w:rPr>
        <w:t xml:space="preserve">[…] </w:t>
      </w:r>
      <w:r w:rsidRPr="00B37723">
        <w:rPr>
          <w:rFonts w:ascii="Verdana" w:hAnsi="Verdana"/>
          <w:sz w:val="20"/>
          <w:szCs w:val="20"/>
          <w:lang w:val="es-CR"/>
        </w:rPr>
        <w:t xml:space="preserve">accesible al público y no se ubica </w:t>
      </w:r>
      <w:r w:rsidR="00AF6AB3">
        <w:rPr>
          <w:rFonts w:ascii="Verdana" w:hAnsi="Verdana"/>
          <w:sz w:val="20"/>
          <w:szCs w:val="20"/>
          <w:lang w:val="es-CR"/>
        </w:rPr>
        <w:t xml:space="preserve">[…] </w:t>
      </w:r>
      <w:r w:rsidRPr="00B37723">
        <w:rPr>
          <w:rFonts w:ascii="Verdana" w:hAnsi="Verdana"/>
          <w:sz w:val="20"/>
          <w:szCs w:val="20"/>
          <w:lang w:val="es-CR"/>
        </w:rPr>
        <w:t xml:space="preserve">desde la página de inicio de dicho portal web, por lo que la mencionada publicación no cumple los preceptos señalados expresamente en la </w:t>
      </w:r>
      <w:r w:rsidR="00E35F2D">
        <w:rPr>
          <w:rFonts w:ascii="Verdana" w:hAnsi="Verdana"/>
          <w:sz w:val="20"/>
          <w:szCs w:val="20"/>
          <w:lang w:val="es-CR"/>
        </w:rPr>
        <w:t>[S]</w:t>
      </w:r>
      <w:r w:rsidRPr="00B37723">
        <w:rPr>
          <w:rFonts w:ascii="Verdana" w:hAnsi="Verdana"/>
          <w:sz w:val="20"/>
          <w:szCs w:val="20"/>
          <w:lang w:val="es-CR"/>
        </w:rPr>
        <w:t>entencia de la Corte”</w:t>
      </w:r>
      <w:r>
        <w:rPr>
          <w:rFonts w:ascii="Verdana" w:hAnsi="Verdana"/>
          <w:sz w:val="20"/>
          <w:szCs w:val="20"/>
          <w:lang w:val="es-CR"/>
        </w:rPr>
        <w:t xml:space="preserve">. </w:t>
      </w:r>
      <w:r w:rsidR="00E37C0E" w:rsidRPr="00E37C0E">
        <w:rPr>
          <w:rFonts w:ascii="Verdana" w:hAnsi="Verdana"/>
          <w:sz w:val="20"/>
          <w:szCs w:val="20"/>
          <w:lang w:val="es-CR"/>
        </w:rPr>
        <w:t xml:space="preserve">Esta Corte constata, tal como lo hizo notar </w:t>
      </w:r>
      <w:r w:rsidR="00E37C0E">
        <w:rPr>
          <w:rFonts w:ascii="Verdana" w:hAnsi="Verdana"/>
          <w:sz w:val="20"/>
          <w:szCs w:val="20"/>
          <w:lang w:val="es-CR"/>
        </w:rPr>
        <w:t>l</w:t>
      </w:r>
      <w:r w:rsidR="001B0E7C" w:rsidRPr="00B37723">
        <w:rPr>
          <w:rFonts w:ascii="Verdana" w:hAnsi="Verdana"/>
          <w:sz w:val="20"/>
          <w:szCs w:val="20"/>
          <w:lang w:val="es-CR"/>
        </w:rPr>
        <w:t xml:space="preserve">a </w:t>
      </w:r>
      <w:r>
        <w:rPr>
          <w:rFonts w:ascii="Verdana" w:hAnsi="Verdana"/>
          <w:sz w:val="20"/>
          <w:szCs w:val="20"/>
          <w:lang w:val="es-CR"/>
        </w:rPr>
        <w:t>Comisión</w:t>
      </w:r>
      <w:r w:rsidR="0018015E">
        <w:rPr>
          <w:rFonts w:ascii="Verdana" w:hAnsi="Verdana"/>
          <w:sz w:val="20"/>
          <w:szCs w:val="20"/>
          <w:lang w:val="es-CR"/>
        </w:rPr>
        <w:t xml:space="preserve"> </w:t>
      </w:r>
      <w:r w:rsidR="00E37C0E">
        <w:rPr>
          <w:rFonts w:ascii="Verdana" w:hAnsi="Verdana"/>
          <w:sz w:val="20"/>
          <w:szCs w:val="20"/>
          <w:lang w:val="es-CR"/>
        </w:rPr>
        <w:t xml:space="preserve">en sus observaciones, </w:t>
      </w:r>
      <w:r w:rsidR="0018015E">
        <w:rPr>
          <w:rFonts w:ascii="Verdana" w:hAnsi="Verdana"/>
          <w:sz w:val="20"/>
          <w:szCs w:val="20"/>
          <w:lang w:val="es-CR"/>
        </w:rPr>
        <w:t xml:space="preserve">que </w:t>
      </w:r>
      <w:r>
        <w:rPr>
          <w:rFonts w:ascii="Verdana" w:hAnsi="Verdana"/>
          <w:sz w:val="20"/>
          <w:szCs w:val="20"/>
          <w:lang w:val="es-CR"/>
        </w:rPr>
        <w:t xml:space="preserve">en la página de inicio del sitio web del Ministerio de Justicia y Derechos Humanos </w:t>
      </w:r>
      <w:r w:rsidR="00C477AD">
        <w:rPr>
          <w:rFonts w:ascii="Verdana" w:hAnsi="Verdana"/>
          <w:sz w:val="20"/>
          <w:szCs w:val="20"/>
          <w:lang w:val="es-CR"/>
        </w:rPr>
        <w:t>existe un enlace denominado “</w:t>
      </w:r>
      <w:r>
        <w:rPr>
          <w:rFonts w:ascii="Verdana" w:hAnsi="Verdana"/>
          <w:sz w:val="20"/>
          <w:szCs w:val="20"/>
          <w:lang w:val="es-CR"/>
        </w:rPr>
        <w:t>Sentencias publicadas por mandato de la Corte Interamericana de Derechos Humanos</w:t>
      </w:r>
      <w:r w:rsidR="00C477AD">
        <w:rPr>
          <w:rFonts w:ascii="Verdana" w:hAnsi="Verdana"/>
          <w:sz w:val="20"/>
          <w:szCs w:val="20"/>
          <w:lang w:val="es-CR"/>
        </w:rPr>
        <w:t>”</w:t>
      </w:r>
      <w:r>
        <w:rPr>
          <w:rFonts w:ascii="Verdana" w:hAnsi="Verdana"/>
          <w:sz w:val="20"/>
          <w:szCs w:val="20"/>
          <w:lang w:val="es-CR"/>
        </w:rPr>
        <w:t>,</w:t>
      </w:r>
      <w:r w:rsidR="00C477AD">
        <w:rPr>
          <w:rFonts w:ascii="Verdana" w:hAnsi="Verdana"/>
          <w:sz w:val="20"/>
          <w:szCs w:val="20"/>
          <w:lang w:val="es-CR"/>
        </w:rPr>
        <w:t xml:space="preserve"> el cua</w:t>
      </w:r>
      <w:r w:rsidR="005B0306">
        <w:rPr>
          <w:rFonts w:ascii="Verdana" w:hAnsi="Verdana"/>
          <w:sz w:val="20"/>
          <w:szCs w:val="20"/>
          <w:lang w:val="es-CR"/>
        </w:rPr>
        <w:t>l permite un fácil acceso a la S</w:t>
      </w:r>
      <w:r w:rsidR="00C477AD">
        <w:rPr>
          <w:rFonts w:ascii="Verdana" w:hAnsi="Verdana"/>
          <w:sz w:val="20"/>
          <w:szCs w:val="20"/>
          <w:lang w:val="es-CR"/>
        </w:rPr>
        <w:t>entencia de este caso</w:t>
      </w:r>
      <w:r w:rsidR="00CF7589">
        <w:rPr>
          <w:rFonts w:ascii="Verdana" w:hAnsi="Verdana"/>
          <w:sz w:val="20"/>
          <w:szCs w:val="20"/>
          <w:lang w:val="es-CR"/>
        </w:rPr>
        <w:t>.</w:t>
      </w:r>
      <w:r>
        <w:rPr>
          <w:rFonts w:ascii="Verdana" w:hAnsi="Verdana"/>
          <w:sz w:val="20"/>
          <w:szCs w:val="20"/>
          <w:lang w:val="es-CR"/>
        </w:rPr>
        <w:t xml:space="preserve"> </w:t>
      </w:r>
      <w:r w:rsidR="00C477AD">
        <w:rPr>
          <w:rFonts w:ascii="Verdana" w:hAnsi="Verdana"/>
          <w:sz w:val="20"/>
          <w:szCs w:val="20"/>
          <w:lang w:val="es-CR"/>
        </w:rPr>
        <w:t>P</w:t>
      </w:r>
      <w:r w:rsidR="00C05E90">
        <w:rPr>
          <w:rFonts w:ascii="Verdana" w:hAnsi="Verdana"/>
          <w:sz w:val="20"/>
          <w:szCs w:val="20"/>
          <w:lang w:val="es-CR"/>
        </w:rPr>
        <w:t xml:space="preserve">or </w:t>
      </w:r>
      <w:r w:rsidR="00C477AD">
        <w:rPr>
          <w:rFonts w:ascii="Verdana" w:hAnsi="Verdana"/>
          <w:sz w:val="20"/>
          <w:szCs w:val="20"/>
          <w:lang w:val="es-CR"/>
        </w:rPr>
        <w:t xml:space="preserve">ello, se </w:t>
      </w:r>
      <w:r w:rsidR="00C05E90">
        <w:rPr>
          <w:rFonts w:ascii="Verdana" w:hAnsi="Verdana"/>
          <w:sz w:val="20"/>
          <w:szCs w:val="20"/>
          <w:lang w:val="es-CR"/>
        </w:rPr>
        <w:t xml:space="preserve">desestima la objeción planteada por </w:t>
      </w:r>
      <w:r w:rsidR="0086725E">
        <w:rPr>
          <w:rFonts w:ascii="Verdana" w:hAnsi="Verdana"/>
          <w:sz w:val="20"/>
          <w:szCs w:val="20"/>
          <w:lang w:val="es-CR"/>
        </w:rPr>
        <w:t>los representantes</w:t>
      </w:r>
      <w:r w:rsidR="00C05E90">
        <w:rPr>
          <w:rFonts w:ascii="Verdana" w:hAnsi="Verdana"/>
          <w:sz w:val="20"/>
          <w:szCs w:val="20"/>
          <w:lang w:val="es-CR"/>
        </w:rPr>
        <w:t>.</w:t>
      </w:r>
      <w:r w:rsidR="008D5BE7">
        <w:rPr>
          <w:rFonts w:ascii="Verdana" w:hAnsi="Verdana"/>
          <w:sz w:val="20"/>
          <w:szCs w:val="20"/>
          <w:lang w:val="es-CR"/>
        </w:rPr>
        <w:t xml:space="preserve"> </w:t>
      </w:r>
      <w:r w:rsidR="00550925">
        <w:rPr>
          <w:rFonts w:ascii="Verdana" w:hAnsi="Verdana"/>
          <w:sz w:val="20"/>
          <w:szCs w:val="20"/>
          <w:lang w:val="es-CR"/>
        </w:rPr>
        <w:t xml:space="preserve">El Perú </w:t>
      </w:r>
      <w:r w:rsidR="00550925" w:rsidRPr="00B37723">
        <w:rPr>
          <w:rFonts w:ascii="Verdana" w:hAnsi="Verdana"/>
          <w:sz w:val="20"/>
          <w:szCs w:val="20"/>
          <w:lang w:val="es-CR"/>
        </w:rPr>
        <w:t xml:space="preserve">debe mantener </w:t>
      </w:r>
      <w:r w:rsidR="00550925">
        <w:rPr>
          <w:rFonts w:ascii="Verdana" w:hAnsi="Verdana"/>
          <w:sz w:val="20"/>
          <w:szCs w:val="20"/>
          <w:lang w:val="es-CR"/>
        </w:rPr>
        <w:t>la</w:t>
      </w:r>
      <w:r w:rsidR="00550925" w:rsidRPr="00B37723">
        <w:rPr>
          <w:rFonts w:ascii="Verdana" w:hAnsi="Verdana"/>
          <w:sz w:val="20"/>
          <w:szCs w:val="20"/>
          <w:lang w:val="es-CR"/>
        </w:rPr>
        <w:t xml:space="preserve"> difusión</w:t>
      </w:r>
      <w:r w:rsidR="00550925">
        <w:rPr>
          <w:rFonts w:ascii="Verdana" w:hAnsi="Verdana"/>
          <w:sz w:val="20"/>
          <w:szCs w:val="20"/>
          <w:lang w:val="es-CR"/>
        </w:rPr>
        <w:t xml:space="preserve"> de la Sentencia en la referida página web</w:t>
      </w:r>
      <w:r w:rsidR="00550925" w:rsidRPr="00B37723">
        <w:rPr>
          <w:rFonts w:ascii="Verdana" w:hAnsi="Verdana"/>
          <w:sz w:val="20"/>
          <w:szCs w:val="20"/>
          <w:lang w:val="es-CR"/>
        </w:rPr>
        <w:t xml:space="preserve"> al menos hasta el 18 de diciembre de 2018, debido a que indicó el enlace a dicha publicación el 18 de diciembre de 2017, y la misma debe estar disponible al menos un año</w:t>
      </w:r>
      <w:r w:rsidR="00550925">
        <w:rPr>
          <w:rStyle w:val="FootnoteReference"/>
          <w:rFonts w:ascii="Verdana" w:hAnsi="Verdana"/>
          <w:sz w:val="20"/>
          <w:szCs w:val="20"/>
          <w:lang w:val="es-CR"/>
        </w:rPr>
        <w:footnoteReference w:id="31"/>
      </w:r>
      <w:r w:rsidR="00550925" w:rsidRPr="00B37723">
        <w:rPr>
          <w:rFonts w:ascii="Verdana" w:hAnsi="Verdana"/>
          <w:sz w:val="20"/>
          <w:szCs w:val="20"/>
          <w:lang w:val="es-CR"/>
        </w:rPr>
        <w:t>.</w:t>
      </w:r>
    </w:p>
    <w:p w14:paraId="5CA950C7" w14:textId="7C651DDB" w:rsidR="0038539C" w:rsidRPr="00AB3657" w:rsidRDefault="002E3B59" w:rsidP="00967A71">
      <w:pPr>
        <w:pStyle w:val="ListParagraph"/>
        <w:spacing w:after="240" w:line="240" w:lineRule="auto"/>
        <w:ind w:left="0"/>
        <w:jc w:val="both"/>
        <w:rPr>
          <w:rFonts w:ascii="Verdana" w:hAnsi="Verdana"/>
          <w:sz w:val="16"/>
          <w:szCs w:val="16"/>
          <w:lang w:val="es-CR"/>
        </w:rPr>
      </w:pPr>
      <w:r w:rsidDel="002E3B59">
        <w:rPr>
          <w:rFonts w:ascii="Verdana" w:hAnsi="Verdana"/>
          <w:sz w:val="20"/>
          <w:szCs w:val="20"/>
          <w:lang w:val="es-CR"/>
        </w:rPr>
        <w:t xml:space="preserve"> </w:t>
      </w:r>
    </w:p>
    <w:p w14:paraId="1D38166E" w14:textId="1A85D2C8" w:rsidR="00BC0C03" w:rsidRPr="0086725E" w:rsidRDefault="00AF6AB3" w:rsidP="00967A71">
      <w:pPr>
        <w:pStyle w:val="ListParagraph"/>
        <w:numPr>
          <w:ilvl w:val="0"/>
          <w:numId w:val="2"/>
        </w:numPr>
        <w:tabs>
          <w:tab w:val="left" w:pos="0"/>
        </w:tabs>
        <w:spacing w:after="240" w:line="240" w:lineRule="auto"/>
        <w:ind w:left="0" w:firstLine="0"/>
        <w:jc w:val="both"/>
        <w:rPr>
          <w:rFonts w:ascii="Verdana" w:hAnsi="Verdana"/>
          <w:b/>
          <w:sz w:val="20"/>
          <w:lang w:val="es-CR"/>
        </w:rPr>
      </w:pPr>
      <w:r>
        <w:rPr>
          <w:rFonts w:ascii="Verdana" w:hAnsi="Verdana"/>
          <w:sz w:val="20"/>
          <w:szCs w:val="20"/>
          <w:lang w:val="es-CR"/>
        </w:rPr>
        <w:t>Por tanto</w:t>
      </w:r>
      <w:r w:rsidR="001B0E7C" w:rsidRPr="0086725E">
        <w:rPr>
          <w:rFonts w:ascii="Verdana" w:hAnsi="Verdana"/>
          <w:sz w:val="20"/>
          <w:szCs w:val="20"/>
          <w:lang w:val="es-CR"/>
        </w:rPr>
        <w:t xml:space="preserve">, la Corte considera que el Estado dio cumplimiento total a las medidas de publicación </w:t>
      </w:r>
      <w:r w:rsidR="005B0306">
        <w:rPr>
          <w:rFonts w:ascii="Verdana" w:hAnsi="Verdana"/>
          <w:sz w:val="20"/>
          <w:szCs w:val="20"/>
          <w:lang w:val="es-CR"/>
        </w:rPr>
        <w:t xml:space="preserve">y difusión </w:t>
      </w:r>
      <w:r w:rsidR="00B37B23" w:rsidRPr="0086725E">
        <w:rPr>
          <w:rFonts w:ascii="Verdana" w:hAnsi="Verdana"/>
          <w:sz w:val="20"/>
          <w:szCs w:val="20"/>
          <w:lang w:val="es-CR"/>
        </w:rPr>
        <w:t>de la</w:t>
      </w:r>
      <w:r w:rsidR="005B0306">
        <w:rPr>
          <w:rFonts w:ascii="Verdana" w:hAnsi="Verdana"/>
          <w:sz w:val="20"/>
          <w:szCs w:val="20"/>
          <w:lang w:val="es-CR"/>
        </w:rPr>
        <w:t>s</w:t>
      </w:r>
      <w:r w:rsidR="00B37B23" w:rsidRPr="0086725E">
        <w:rPr>
          <w:rFonts w:ascii="Verdana" w:hAnsi="Verdana"/>
          <w:sz w:val="20"/>
          <w:szCs w:val="20"/>
          <w:lang w:val="es-CR"/>
        </w:rPr>
        <w:t xml:space="preserve"> Sentencia</w:t>
      </w:r>
      <w:r w:rsidR="00933CBD">
        <w:rPr>
          <w:rFonts w:ascii="Verdana" w:hAnsi="Verdana"/>
          <w:sz w:val="20"/>
          <w:szCs w:val="20"/>
          <w:lang w:val="es-CR"/>
        </w:rPr>
        <w:t>s</w:t>
      </w:r>
      <w:r w:rsidR="006B1290">
        <w:rPr>
          <w:rFonts w:ascii="Verdana" w:hAnsi="Verdana"/>
          <w:sz w:val="20"/>
          <w:szCs w:val="20"/>
          <w:lang w:val="es-CR"/>
        </w:rPr>
        <w:t xml:space="preserve"> ordenada</w:t>
      </w:r>
      <w:r w:rsidR="00933CBD">
        <w:rPr>
          <w:rFonts w:ascii="Verdana" w:hAnsi="Verdana"/>
          <w:sz w:val="20"/>
          <w:szCs w:val="20"/>
          <w:lang w:val="es-CR"/>
        </w:rPr>
        <w:t>s</w:t>
      </w:r>
      <w:r w:rsidR="001B0E7C" w:rsidRPr="0086725E">
        <w:rPr>
          <w:rFonts w:ascii="Verdana" w:hAnsi="Verdana"/>
          <w:sz w:val="20"/>
          <w:szCs w:val="20"/>
          <w:lang w:val="es-CR"/>
        </w:rPr>
        <w:t xml:space="preserve"> </w:t>
      </w:r>
      <w:r w:rsidR="0086725E" w:rsidRPr="0086725E">
        <w:rPr>
          <w:rFonts w:ascii="Verdana" w:hAnsi="Verdana"/>
          <w:sz w:val="20"/>
          <w:szCs w:val="20"/>
          <w:lang w:val="es-CR"/>
        </w:rPr>
        <w:t xml:space="preserve">en el punto </w:t>
      </w:r>
      <w:r w:rsidR="00FE6076">
        <w:rPr>
          <w:rFonts w:ascii="Verdana" w:hAnsi="Verdana"/>
          <w:sz w:val="20"/>
          <w:szCs w:val="20"/>
          <w:lang w:val="es-CR"/>
        </w:rPr>
        <w:t>dispositivo</w:t>
      </w:r>
      <w:r w:rsidR="0086725E" w:rsidRPr="0086725E">
        <w:rPr>
          <w:rFonts w:ascii="Verdana" w:hAnsi="Verdana"/>
          <w:sz w:val="20"/>
          <w:szCs w:val="20"/>
          <w:lang w:val="es-CR"/>
        </w:rPr>
        <w:t xml:space="preserve"> octavo de la Sentencia </w:t>
      </w:r>
      <w:r w:rsidR="00550925">
        <w:rPr>
          <w:rFonts w:ascii="Verdana" w:hAnsi="Verdana"/>
          <w:sz w:val="20"/>
          <w:szCs w:val="20"/>
          <w:lang w:val="es-CR"/>
        </w:rPr>
        <w:t xml:space="preserve">del caso </w:t>
      </w:r>
      <w:r w:rsidR="0086725E" w:rsidRPr="0086725E">
        <w:rPr>
          <w:rFonts w:ascii="Verdana" w:hAnsi="Verdana"/>
          <w:i/>
          <w:sz w:val="20"/>
          <w:szCs w:val="20"/>
          <w:lang w:val="es-CR"/>
        </w:rPr>
        <w:t>Pollo Rivera y otros</w:t>
      </w:r>
      <w:r w:rsidR="0086725E" w:rsidRPr="0086725E">
        <w:rPr>
          <w:rFonts w:ascii="Verdana" w:hAnsi="Verdana"/>
          <w:sz w:val="20"/>
          <w:szCs w:val="20"/>
          <w:lang w:val="es-CR"/>
        </w:rPr>
        <w:t xml:space="preserve"> y </w:t>
      </w:r>
      <w:r w:rsidR="001B0E7C" w:rsidRPr="0086725E">
        <w:rPr>
          <w:rFonts w:ascii="Verdana" w:hAnsi="Verdana"/>
          <w:sz w:val="20"/>
          <w:szCs w:val="20"/>
          <w:lang w:val="es-CR"/>
        </w:rPr>
        <w:t xml:space="preserve">en el punto </w:t>
      </w:r>
      <w:r w:rsidR="00FE6076">
        <w:rPr>
          <w:rFonts w:ascii="Verdana" w:hAnsi="Verdana"/>
          <w:sz w:val="20"/>
          <w:szCs w:val="20"/>
          <w:lang w:val="es-CR"/>
        </w:rPr>
        <w:t>dispositivo</w:t>
      </w:r>
      <w:r w:rsidR="001B0E7C" w:rsidRPr="0086725E">
        <w:rPr>
          <w:rFonts w:ascii="Verdana" w:hAnsi="Verdana"/>
          <w:sz w:val="20"/>
          <w:szCs w:val="20"/>
          <w:lang w:val="es-CR"/>
        </w:rPr>
        <w:t xml:space="preserve"> décimo de la Sentencia</w:t>
      </w:r>
      <w:r w:rsidR="009F2C6A" w:rsidRPr="0086725E">
        <w:rPr>
          <w:rFonts w:ascii="Verdana" w:hAnsi="Verdana"/>
          <w:sz w:val="20"/>
          <w:szCs w:val="20"/>
          <w:lang w:val="es-CR"/>
        </w:rPr>
        <w:t xml:space="preserve"> </w:t>
      </w:r>
      <w:r w:rsidR="00550925">
        <w:rPr>
          <w:rFonts w:ascii="Verdana" w:hAnsi="Verdana"/>
          <w:sz w:val="20"/>
          <w:szCs w:val="20"/>
          <w:lang w:val="es-CR"/>
        </w:rPr>
        <w:t xml:space="preserve">del caso </w:t>
      </w:r>
      <w:r w:rsidR="009F2C6A" w:rsidRPr="0086725E">
        <w:rPr>
          <w:rFonts w:ascii="Verdana" w:hAnsi="Verdana"/>
          <w:i/>
          <w:sz w:val="20"/>
          <w:szCs w:val="20"/>
          <w:lang w:val="es-CR"/>
        </w:rPr>
        <w:t>Lagos del Campo</w:t>
      </w:r>
      <w:r w:rsidR="0086725E">
        <w:rPr>
          <w:rFonts w:ascii="Verdana" w:hAnsi="Verdana"/>
          <w:sz w:val="20"/>
          <w:szCs w:val="20"/>
          <w:lang w:val="es-CR"/>
        </w:rPr>
        <w:t xml:space="preserve">. </w:t>
      </w:r>
    </w:p>
    <w:p w14:paraId="0369FC16" w14:textId="77777777" w:rsidR="00D32826" w:rsidRDefault="00D32826" w:rsidP="00967A71">
      <w:pPr>
        <w:pStyle w:val="ListParagraph"/>
        <w:spacing w:after="240" w:line="240" w:lineRule="auto"/>
        <w:ind w:left="0"/>
        <w:jc w:val="both"/>
        <w:rPr>
          <w:rFonts w:ascii="Verdana" w:hAnsi="Verdana"/>
          <w:b/>
          <w:sz w:val="16"/>
          <w:szCs w:val="16"/>
          <w:lang w:val="es-CR"/>
        </w:rPr>
      </w:pPr>
    </w:p>
    <w:p w14:paraId="1AF40A84" w14:textId="77777777" w:rsidR="00933CBD" w:rsidRDefault="00933CBD" w:rsidP="00967A71">
      <w:pPr>
        <w:pStyle w:val="ListParagraph"/>
        <w:spacing w:after="240" w:line="240" w:lineRule="auto"/>
        <w:ind w:left="0"/>
        <w:jc w:val="both"/>
        <w:rPr>
          <w:rFonts w:ascii="Verdana" w:hAnsi="Verdana"/>
          <w:b/>
          <w:sz w:val="16"/>
          <w:szCs w:val="16"/>
          <w:lang w:val="es-CR"/>
        </w:rPr>
      </w:pPr>
    </w:p>
    <w:p w14:paraId="1F4424D9" w14:textId="77777777" w:rsidR="00933CBD" w:rsidRPr="00AB3657" w:rsidRDefault="00933CBD" w:rsidP="00967A71">
      <w:pPr>
        <w:pStyle w:val="ListParagraph"/>
        <w:spacing w:after="240" w:line="240" w:lineRule="auto"/>
        <w:ind w:left="0"/>
        <w:jc w:val="both"/>
        <w:rPr>
          <w:rFonts w:ascii="Verdana" w:hAnsi="Verdana"/>
          <w:b/>
          <w:sz w:val="16"/>
          <w:szCs w:val="16"/>
          <w:lang w:val="es-CR"/>
        </w:rPr>
      </w:pPr>
    </w:p>
    <w:p w14:paraId="0BC14738" w14:textId="0332BC46" w:rsidR="000E24F5" w:rsidRDefault="00007DD9" w:rsidP="00967A71">
      <w:pPr>
        <w:spacing w:after="240" w:line="240" w:lineRule="auto"/>
        <w:jc w:val="both"/>
        <w:rPr>
          <w:rFonts w:ascii="Verdana" w:hAnsi="Verdana"/>
          <w:b/>
          <w:sz w:val="20"/>
          <w:lang w:val="es-CR"/>
        </w:rPr>
      </w:pPr>
      <w:r>
        <w:rPr>
          <w:rFonts w:ascii="Verdana" w:hAnsi="Verdana"/>
          <w:b/>
          <w:sz w:val="20"/>
          <w:lang w:val="es-CR"/>
        </w:rPr>
        <w:lastRenderedPageBreak/>
        <w:t>POR TANTO</w:t>
      </w:r>
    </w:p>
    <w:p w14:paraId="4C6D8885" w14:textId="77777777" w:rsidR="00007DD9" w:rsidRPr="00007DD9" w:rsidRDefault="00007DD9" w:rsidP="00967A71">
      <w:pPr>
        <w:spacing w:after="240" w:line="240" w:lineRule="auto"/>
        <w:jc w:val="both"/>
        <w:rPr>
          <w:rFonts w:ascii="Verdana" w:hAnsi="Verdana"/>
          <w:b/>
          <w:sz w:val="16"/>
          <w:szCs w:val="16"/>
          <w:lang w:val="es-CR"/>
        </w:rPr>
      </w:pPr>
    </w:p>
    <w:p w14:paraId="211B2DEA" w14:textId="2ABD1B16" w:rsidR="00007DD9" w:rsidRDefault="00007DD9" w:rsidP="00967A71">
      <w:pPr>
        <w:spacing w:after="240" w:line="240" w:lineRule="auto"/>
        <w:jc w:val="both"/>
        <w:rPr>
          <w:rFonts w:ascii="Verdana" w:hAnsi="Verdana"/>
          <w:b/>
          <w:sz w:val="20"/>
          <w:lang w:val="es-CR"/>
        </w:rPr>
      </w:pPr>
      <w:r>
        <w:rPr>
          <w:rFonts w:ascii="Verdana" w:hAnsi="Verdana"/>
          <w:b/>
          <w:sz w:val="20"/>
          <w:lang w:val="es-CR"/>
        </w:rPr>
        <w:t>LA CORTE INTERAMERICANA DE DERECHOS HUMANOS</w:t>
      </w:r>
    </w:p>
    <w:p w14:paraId="10D5DDE1" w14:textId="77777777" w:rsidR="000E24F5" w:rsidRPr="00AB3657" w:rsidRDefault="000E24F5" w:rsidP="00967A71">
      <w:pPr>
        <w:spacing w:after="240" w:line="240" w:lineRule="auto"/>
        <w:jc w:val="both"/>
        <w:rPr>
          <w:rFonts w:ascii="Verdana" w:hAnsi="Verdana"/>
          <w:b/>
          <w:sz w:val="16"/>
          <w:szCs w:val="16"/>
          <w:lang w:val="es-CR"/>
        </w:rPr>
      </w:pPr>
    </w:p>
    <w:p w14:paraId="77ADAC7E" w14:textId="66A4646D" w:rsidR="000E24F5" w:rsidRDefault="000E24F5" w:rsidP="00967A71">
      <w:pPr>
        <w:spacing w:after="240" w:line="240" w:lineRule="auto"/>
        <w:jc w:val="both"/>
        <w:rPr>
          <w:rFonts w:ascii="Verdana" w:hAnsi="Verdana"/>
          <w:sz w:val="20"/>
          <w:lang w:val="es-CR"/>
        </w:rPr>
      </w:pPr>
      <w:r>
        <w:rPr>
          <w:rFonts w:ascii="Verdana" w:hAnsi="Verdana"/>
          <w:sz w:val="20"/>
          <w:lang w:val="es-CR"/>
        </w:rPr>
        <w:t>en el ejercicio de sus atribuciones de supervisión de</w:t>
      </w:r>
      <w:r w:rsidR="00291668">
        <w:rPr>
          <w:rFonts w:ascii="Verdana" w:hAnsi="Verdana"/>
          <w:sz w:val="20"/>
          <w:lang w:val="es-CR"/>
        </w:rPr>
        <w:t>l</w:t>
      </w:r>
      <w:r>
        <w:rPr>
          <w:rFonts w:ascii="Verdana" w:hAnsi="Verdana"/>
          <w:sz w:val="20"/>
          <w:lang w:val="es-CR"/>
        </w:rPr>
        <w:t xml:space="preserve"> cumplimiento de sus decisiones, de conformidad con lo</w:t>
      </w:r>
      <w:r w:rsidR="006B1290">
        <w:rPr>
          <w:rFonts w:ascii="Verdana" w:hAnsi="Verdana"/>
          <w:sz w:val="20"/>
          <w:lang w:val="es-CR"/>
        </w:rPr>
        <w:t>s artículos 33, 62.1, 62.3, 65,</w:t>
      </w:r>
      <w:r>
        <w:rPr>
          <w:rFonts w:ascii="Verdana" w:hAnsi="Verdana"/>
          <w:sz w:val="20"/>
          <w:lang w:val="es-CR"/>
        </w:rPr>
        <w:t xml:space="preserve"> 67 y 68.1 de la Convención Americana sobre Derechos Humanos, 24, 25 y 30 del Estatuto y 31.2 y 69 de su Reglamento,</w:t>
      </w:r>
    </w:p>
    <w:p w14:paraId="19F0D6B4" w14:textId="77777777" w:rsidR="004978BC" w:rsidRDefault="004978BC" w:rsidP="00967A71">
      <w:pPr>
        <w:spacing w:after="240" w:line="240" w:lineRule="auto"/>
        <w:jc w:val="both"/>
        <w:rPr>
          <w:rFonts w:ascii="Verdana" w:hAnsi="Verdana"/>
          <w:sz w:val="20"/>
          <w:lang w:val="es-CR"/>
        </w:rPr>
      </w:pPr>
    </w:p>
    <w:p w14:paraId="34F80C65" w14:textId="77777777" w:rsidR="000E24F5" w:rsidRDefault="000E24F5" w:rsidP="00967A71">
      <w:pPr>
        <w:spacing w:after="240" w:line="240" w:lineRule="auto"/>
        <w:jc w:val="both"/>
        <w:rPr>
          <w:rFonts w:ascii="Verdana" w:hAnsi="Verdana"/>
          <w:b/>
          <w:sz w:val="20"/>
          <w:lang w:val="es-CR"/>
        </w:rPr>
      </w:pPr>
      <w:r>
        <w:rPr>
          <w:rFonts w:ascii="Verdana" w:hAnsi="Verdana"/>
          <w:b/>
          <w:sz w:val="20"/>
          <w:lang w:val="es-CR"/>
        </w:rPr>
        <w:t>RESUELVE:</w:t>
      </w:r>
    </w:p>
    <w:p w14:paraId="2B0053A9" w14:textId="77777777" w:rsidR="000E24F5" w:rsidRDefault="000E24F5" w:rsidP="00967A71">
      <w:pPr>
        <w:spacing w:after="240" w:line="240" w:lineRule="auto"/>
        <w:jc w:val="both"/>
        <w:rPr>
          <w:rFonts w:ascii="Verdana" w:hAnsi="Verdana"/>
          <w:b/>
          <w:sz w:val="20"/>
          <w:lang w:val="es-CR"/>
        </w:rPr>
      </w:pPr>
    </w:p>
    <w:p w14:paraId="4696537C" w14:textId="0C29D86C" w:rsidR="000E24F5" w:rsidRDefault="000E24F5" w:rsidP="00967A71">
      <w:pPr>
        <w:pStyle w:val="ListParagraph"/>
        <w:numPr>
          <w:ilvl w:val="0"/>
          <w:numId w:val="5"/>
        </w:numPr>
        <w:spacing w:after="240" w:line="240" w:lineRule="auto"/>
        <w:ind w:left="0" w:firstLine="0"/>
        <w:jc w:val="both"/>
        <w:rPr>
          <w:rFonts w:ascii="Verdana" w:hAnsi="Verdana"/>
          <w:sz w:val="20"/>
          <w:lang w:val="es-CR"/>
        </w:rPr>
      </w:pPr>
      <w:r>
        <w:rPr>
          <w:rFonts w:ascii="Verdana" w:hAnsi="Verdana"/>
          <w:sz w:val="20"/>
          <w:lang w:val="es-CR"/>
        </w:rPr>
        <w:t xml:space="preserve">Declarar, de conformidad con lo señalado en </w:t>
      </w:r>
      <w:r w:rsidR="00D572B5">
        <w:rPr>
          <w:rFonts w:ascii="Verdana" w:hAnsi="Verdana"/>
          <w:sz w:val="20"/>
          <w:lang w:val="es-CR"/>
        </w:rPr>
        <w:t>los Considerandos</w:t>
      </w:r>
      <w:r w:rsidR="00CF56E4">
        <w:rPr>
          <w:rFonts w:ascii="Verdana" w:hAnsi="Verdana"/>
          <w:sz w:val="20"/>
          <w:lang w:val="es-CR"/>
        </w:rPr>
        <w:t xml:space="preserve"> </w:t>
      </w:r>
      <w:r w:rsidR="000652B7">
        <w:rPr>
          <w:rFonts w:ascii="Verdana" w:hAnsi="Verdana"/>
          <w:sz w:val="20"/>
          <w:lang w:val="es-CR"/>
        </w:rPr>
        <w:t xml:space="preserve">5 a </w:t>
      </w:r>
      <w:r w:rsidR="00E35F2D">
        <w:rPr>
          <w:rFonts w:ascii="Verdana" w:hAnsi="Verdana"/>
          <w:sz w:val="20"/>
          <w:lang w:val="es-CR"/>
        </w:rPr>
        <w:t>8</w:t>
      </w:r>
      <w:r w:rsidR="008D5BE7">
        <w:rPr>
          <w:rFonts w:ascii="Verdana" w:hAnsi="Verdana"/>
          <w:sz w:val="20"/>
          <w:lang w:val="es-CR"/>
        </w:rPr>
        <w:t xml:space="preserve"> </w:t>
      </w:r>
      <w:r>
        <w:rPr>
          <w:rFonts w:ascii="Verdana" w:hAnsi="Verdana"/>
          <w:sz w:val="20"/>
          <w:lang w:val="es-CR"/>
        </w:rPr>
        <w:t>de la presente Resolución, que el Estado ha dado cumplimiento total a la</w:t>
      </w:r>
      <w:r w:rsidR="000E1B5E">
        <w:rPr>
          <w:rFonts w:ascii="Verdana" w:hAnsi="Verdana"/>
          <w:sz w:val="20"/>
          <w:lang w:val="es-CR"/>
        </w:rPr>
        <w:t>s</w:t>
      </w:r>
      <w:r w:rsidR="008D5BE7">
        <w:rPr>
          <w:rFonts w:ascii="Verdana" w:hAnsi="Verdana"/>
          <w:sz w:val="20"/>
          <w:lang w:val="es-CR"/>
        </w:rPr>
        <w:t xml:space="preserve"> </w:t>
      </w:r>
      <w:r>
        <w:rPr>
          <w:rFonts w:ascii="Verdana" w:hAnsi="Verdana"/>
          <w:sz w:val="20"/>
          <w:lang w:val="es-CR"/>
        </w:rPr>
        <w:t>medida</w:t>
      </w:r>
      <w:r w:rsidR="000E1B5E">
        <w:rPr>
          <w:rFonts w:ascii="Verdana" w:hAnsi="Verdana"/>
          <w:sz w:val="20"/>
          <w:lang w:val="es-CR"/>
        </w:rPr>
        <w:t>s</w:t>
      </w:r>
      <w:r w:rsidR="008D5BE7">
        <w:rPr>
          <w:rFonts w:ascii="Verdana" w:hAnsi="Verdana"/>
          <w:sz w:val="20"/>
          <w:lang w:val="es-CR"/>
        </w:rPr>
        <w:t xml:space="preserve"> de reparación relativa</w:t>
      </w:r>
      <w:r w:rsidR="000E1B5E">
        <w:rPr>
          <w:rFonts w:ascii="Verdana" w:hAnsi="Verdana"/>
          <w:sz w:val="20"/>
          <w:lang w:val="es-CR"/>
        </w:rPr>
        <w:t xml:space="preserve">s a </w:t>
      </w:r>
      <w:r w:rsidR="006B1290">
        <w:rPr>
          <w:rFonts w:ascii="Verdana" w:hAnsi="Verdana"/>
          <w:sz w:val="20"/>
          <w:lang w:val="es-CR"/>
        </w:rPr>
        <w:t>la publicación y difusión</w:t>
      </w:r>
      <w:r w:rsidR="000E1B5E">
        <w:rPr>
          <w:rFonts w:ascii="Verdana" w:hAnsi="Verdana"/>
          <w:sz w:val="20"/>
          <w:lang w:val="es-CR"/>
        </w:rPr>
        <w:t xml:space="preserve"> </w:t>
      </w:r>
      <w:r w:rsidR="0074192B">
        <w:rPr>
          <w:rFonts w:ascii="Verdana" w:hAnsi="Verdana"/>
          <w:sz w:val="20"/>
          <w:lang w:val="es-CR"/>
        </w:rPr>
        <w:t xml:space="preserve">de </w:t>
      </w:r>
      <w:r w:rsidR="000E1B5E">
        <w:rPr>
          <w:rFonts w:ascii="Verdana" w:hAnsi="Verdana"/>
          <w:sz w:val="20"/>
          <w:lang w:val="es-CR"/>
        </w:rPr>
        <w:t>las Sentencias de ambos</w:t>
      </w:r>
      <w:r w:rsidR="008D5BE7">
        <w:rPr>
          <w:rFonts w:ascii="Verdana" w:hAnsi="Verdana"/>
          <w:sz w:val="20"/>
          <w:lang w:val="es-CR"/>
        </w:rPr>
        <w:t xml:space="preserve"> casos (</w:t>
      </w:r>
      <w:r w:rsidR="008D5BE7">
        <w:rPr>
          <w:rFonts w:ascii="Verdana" w:hAnsi="Verdana"/>
          <w:i/>
          <w:sz w:val="20"/>
          <w:lang w:val="es-CR"/>
        </w:rPr>
        <w:t xml:space="preserve">punto </w:t>
      </w:r>
      <w:r w:rsidR="007D22ED">
        <w:rPr>
          <w:rFonts w:ascii="Verdana" w:hAnsi="Verdana"/>
          <w:i/>
          <w:sz w:val="20"/>
          <w:lang w:val="es-CR"/>
        </w:rPr>
        <w:t>dispositivo</w:t>
      </w:r>
      <w:r w:rsidR="008D5BE7">
        <w:rPr>
          <w:rFonts w:ascii="Verdana" w:hAnsi="Verdana"/>
          <w:i/>
          <w:sz w:val="20"/>
          <w:lang w:val="es-CR"/>
        </w:rPr>
        <w:t xml:space="preserve"> octavo de</w:t>
      </w:r>
      <w:r w:rsidR="0074192B">
        <w:rPr>
          <w:rFonts w:ascii="Verdana" w:hAnsi="Verdana"/>
          <w:i/>
          <w:sz w:val="20"/>
          <w:lang w:val="es-CR"/>
        </w:rPr>
        <w:t xml:space="preserve"> </w:t>
      </w:r>
      <w:r w:rsidR="008D5BE7">
        <w:rPr>
          <w:rFonts w:ascii="Verdana" w:hAnsi="Verdana"/>
          <w:i/>
          <w:sz w:val="20"/>
          <w:lang w:val="es-CR"/>
        </w:rPr>
        <w:t>l</w:t>
      </w:r>
      <w:r w:rsidR="0074192B">
        <w:rPr>
          <w:rFonts w:ascii="Verdana" w:hAnsi="Verdana"/>
          <w:i/>
          <w:sz w:val="20"/>
          <w:lang w:val="es-CR"/>
        </w:rPr>
        <w:t>a Sentencia del</w:t>
      </w:r>
      <w:r w:rsidR="008D5BE7">
        <w:rPr>
          <w:rFonts w:ascii="Verdana" w:hAnsi="Verdana"/>
          <w:i/>
          <w:sz w:val="20"/>
          <w:lang w:val="es-CR"/>
        </w:rPr>
        <w:t xml:space="preserve"> caso Pollo Rivera y otros</w:t>
      </w:r>
      <w:r w:rsidR="0086725E">
        <w:rPr>
          <w:rFonts w:ascii="Verdana" w:hAnsi="Verdana"/>
          <w:i/>
          <w:sz w:val="20"/>
          <w:lang w:val="es-CR"/>
        </w:rPr>
        <w:t xml:space="preserve"> </w:t>
      </w:r>
      <w:r w:rsidR="0086725E">
        <w:rPr>
          <w:rFonts w:ascii="Verdana" w:hAnsi="Verdana"/>
          <w:sz w:val="20"/>
          <w:lang w:val="es-CR"/>
        </w:rPr>
        <w:t xml:space="preserve">y </w:t>
      </w:r>
      <w:r w:rsidR="0086725E">
        <w:rPr>
          <w:rFonts w:ascii="Verdana" w:hAnsi="Verdana"/>
          <w:i/>
          <w:sz w:val="20"/>
          <w:lang w:val="es-CR"/>
        </w:rPr>
        <w:t xml:space="preserve">punto </w:t>
      </w:r>
      <w:r w:rsidR="007D22ED">
        <w:rPr>
          <w:rFonts w:ascii="Verdana" w:hAnsi="Verdana"/>
          <w:i/>
          <w:sz w:val="20"/>
          <w:lang w:val="es-CR"/>
        </w:rPr>
        <w:t>dispositivo</w:t>
      </w:r>
      <w:r w:rsidR="0086725E">
        <w:rPr>
          <w:rFonts w:ascii="Verdana" w:hAnsi="Verdana"/>
          <w:i/>
          <w:sz w:val="20"/>
          <w:lang w:val="es-CR"/>
        </w:rPr>
        <w:t xml:space="preserve"> décimo </w:t>
      </w:r>
      <w:r w:rsidR="0074192B">
        <w:rPr>
          <w:rFonts w:ascii="Verdana" w:hAnsi="Verdana"/>
          <w:i/>
          <w:sz w:val="20"/>
          <w:lang w:val="es-CR"/>
        </w:rPr>
        <w:t xml:space="preserve">de la Sentencia </w:t>
      </w:r>
      <w:r w:rsidR="0086725E">
        <w:rPr>
          <w:rFonts w:ascii="Verdana" w:hAnsi="Verdana"/>
          <w:i/>
          <w:sz w:val="20"/>
          <w:lang w:val="es-CR"/>
        </w:rPr>
        <w:t>del caso Lagos del Campo</w:t>
      </w:r>
      <w:r w:rsidR="008D5BE7">
        <w:rPr>
          <w:rFonts w:ascii="Verdana" w:hAnsi="Verdana"/>
          <w:sz w:val="20"/>
          <w:lang w:val="es-CR"/>
        </w:rPr>
        <w:t xml:space="preserve">). </w:t>
      </w:r>
    </w:p>
    <w:p w14:paraId="100D94C4" w14:textId="77777777" w:rsidR="000E24F5" w:rsidRDefault="000E24F5" w:rsidP="00967A71">
      <w:pPr>
        <w:spacing w:after="240" w:line="240" w:lineRule="auto"/>
        <w:jc w:val="both"/>
        <w:rPr>
          <w:rFonts w:ascii="Verdana" w:hAnsi="Verdana"/>
          <w:sz w:val="20"/>
          <w:lang w:val="es-CR"/>
        </w:rPr>
      </w:pPr>
    </w:p>
    <w:p w14:paraId="1A81D141" w14:textId="13003EC7" w:rsidR="008D5BE7" w:rsidRDefault="008D5BE7" w:rsidP="00967A71">
      <w:pPr>
        <w:pStyle w:val="ListParagraph"/>
        <w:numPr>
          <w:ilvl w:val="0"/>
          <w:numId w:val="5"/>
        </w:numPr>
        <w:spacing w:after="240" w:line="240" w:lineRule="auto"/>
        <w:ind w:left="0" w:firstLine="0"/>
        <w:jc w:val="both"/>
        <w:rPr>
          <w:rFonts w:ascii="Verdana" w:hAnsi="Verdana"/>
          <w:sz w:val="20"/>
          <w:lang w:val="es-CR"/>
        </w:rPr>
      </w:pPr>
      <w:r>
        <w:rPr>
          <w:rFonts w:ascii="Verdana" w:hAnsi="Verdana"/>
          <w:sz w:val="20"/>
          <w:lang w:val="es-CR"/>
        </w:rPr>
        <w:t xml:space="preserve">Mantener abierto el procedimiento de supervisión de cumplimiento respecto de las siguientes medidas de reparación ordenadas en </w:t>
      </w:r>
      <w:r w:rsidR="00AC4147">
        <w:rPr>
          <w:rFonts w:ascii="Verdana" w:hAnsi="Verdana"/>
          <w:sz w:val="20"/>
          <w:lang w:val="es-CR"/>
        </w:rPr>
        <w:t>la Sentencia d</w:t>
      </w:r>
      <w:r>
        <w:rPr>
          <w:rFonts w:ascii="Verdana" w:hAnsi="Verdana"/>
          <w:sz w:val="20"/>
          <w:lang w:val="es-CR"/>
        </w:rPr>
        <w:t xml:space="preserve">el caso </w:t>
      </w:r>
      <w:r>
        <w:rPr>
          <w:rFonts w:ascii="Verdana" w:hAnsi="Verdana"/>
          <w:i/>
          <w:sz w:val="20"/>
          <w:lang w:val="es-CR"/>
        </w:rPr>
        <w:t>Pollo Rivera y otros</w:t>
      </w:r>
      <w:r w:rsidRPr="000E24F5">
        <w:rPr>
          <w:rFonts w:ascii="Verdana" w:hAnsi="Verdana"/>
          <w:sz w:val="20"/>
          <w:lang w:val="es-CR"/>
        </w:rPr>
        <w:t>:</w:t>
      </w:r>
    </w:p>
    <w:p w14:paraId="1F21BC69" w14:textId="77777777" w:rsidR="008D5BE7" w:rsidRDefault="008D5BE7" w:rsidP="00967A71">
      <w:pPr>
        <w:pStyle w:val="ListParagraph"/>
        <w:spacing w:after="240" w:line="240" w:lineRule="auto"/>
        <w:ind w:left="0"/>
        <w:jc w:val="both"/>
        <w:rPr>
          <w:rFonts w:ascii="Verdana" w:hAnsi="Verdana"/>
          <w:sz w:val="20"/>
          <w:lang w:val="es-CR"/>
        </w:rPr>
      </w:pPr>
    </w:p>
    <w:p w14:paraId="6C45C73B" w14:textId="4E96EA2A" w:rsidR="008D5BE7" w:rsidRDefault="00187207" w:rsidP="00967A71">
      <w:pPr>
        <w:pStyle w:val="ListParagraph"/>
        <w:numPr>
          <w:ilvl w:val="0"/>
          <w:numId w:val="14"/>
        </w:numPr>
        <w:spacing w:after="240" w:line="240" w:lineRule="auto"/>
        <w:jc w:val="both"/>
        <w:rPr>
          <w:rFonts w:ascii="Verdana" w:hAnsi="Verdana"/>
          <w:sz w:val="20"/>
          <w:lang w:val="es-CR"/>
        </w:rPr>
      </w:pPr>
      <w:r w:rsidRPr="00187207">
        <w:rPr>
          <w:rFonts w:ascii="Verdana" w:hAnsi="Verdana"/>
          <w:sz w:val="20"/>
          <w:lang w:val="es-CR"/>
        </w:rPr>
        <w:t>continuar y concluir, con la debida diligencia y en un plazo razonable, la investigación actualmente en curso por los hechos de tortura y otros tratos crueles, inhumanos o degradantes sufridos por el señor Pollo Rivera y, de ser procedente, procesar y, en su caso, sancionar a los responsables</w:t>
      </w:r>
      <w:r>
        <w:rPr>
          <w:rFonts w:ascii="Verdana" w:hAnsi="Verdana"/>
          <w:sz w:val="20"/>
          <w:lang w:val="es-CR"/>
        </w:rPr>
        <w:t xml:space="preserve"> (</w:t>
      </w:r>
      <w:r>
        <w:rPr>
          <w:rFonts w:ascii="Verdana" w:hAnsi="Verdana"/>
          <w:i/>
          <w:sz w:val="20"/>
          <w:lang w:val="es-CR"/>
        </w:rPr>
        <w:t xml:space="preserve">punto </w:t>
      </w:r>
      <w:r w:rsidR="007D22ED">
        <w:rPr>
          <w:rFonts w:ascii="Verdana" w:hAnsi="Verdana"/>
          <w:i/>
          <w:sz w:val="20"/>
          <w:lang w:val="es-CR"/>
        </w:rPr>
        <w:t>dispositivo</w:t>
      </w:r>
      <w:r>
        <w:rPr>
          <w:rFonts w:ascii="Verdana" w:hAnsi="Verdana"/>
          <w:i/>
          <w:sz w:val="20"/>
          <w:lang w:val="es-CR"/>
        </w:rPr>
        <w:t xml:space="preserve"> séptimo de la Sentencia</w:t>
      </w:r>
      <w:r w:rsidR="00C24FE5">
        <w:rPr>
          <w:rFonts w:ascii="Verdana" w:hAnsi="Verdana"/>
          <w:sz w:val="20"/>
          <w:lang w:val="es-CR"/>
        </w:rPr>
        <w:t>);</w:t>
      </w:r>
    </w:p>
    <w:p w14:paraId="747DB3C8" w14:textId="28F16D64" w:rsidR="00C24FE5" w:rsidRDefault="00187207" w:rsidP="00967A71">
      <w:pPr>
        <w:pStyle w:val="ListParagraph"/>
        <w:numPr>
          <w:ilvl w:val="0"/>
          <w:numId w:val="14"/>
        </w:numPr>
        <w:spacing w:after="240" w:line="240" w:lineRule="auto"/>
        <w:jc w:val="both"/>
        <w:rPr>
          <w:rFonts w:ascii="Verdana" w:hAnsi="Verdana"/>
          <w:sz w:val="20"/>
          <w:lang w:val="es-CR"/>
        </w:rPr>
      </w:pPr>
      <w:r w:rsidRPr="00187207">
        <w:rPr>
          <w:rFonts w:ascii="Verdana" w:hAnsi="Verdana"/>
          <w:sz w:val="20"/>
          <w:lang w:val="es-CR"/>
        </w:rPr>
        <w:t xml:space="preserve">pagar las cantidades fijadas en la Sentencia por indemnizaciones por </w:t>
      </w:r>
      <w:r w:rsidR="005F58C9">
        <w:rPr>
          <w:rFonts w:ascii="Verdana" w:hAnsi="Verdana"/>
          <w:sz w:val="20"/>
          <w:lang w:val="es-CR"/>
        </w:rPr>
        <w:t xml:space="preserve">concepto de </w:t>
      </w:r>
      <w:r w:rsidRPr="00187207">
        <w:rPr>
          <w:rFonts w:ascii="Verdana" w:hAnsi="Verdana"/>
          <w:sz w:val="20"/>
          <w:lang w:val="es-CR"/>
        </w:rPr>
        <w:t>daños materiales e inmateriales</w:t>
      </w:r>
      <w:r w:rsidR="00C24FE5">
        <w:rPr>
          <w:rFonts w:ascii="Verdana" w:hAnsi="Verdana"/>
          <w:sz w:val="20"/>
          <w:lang w:val="es-CR"/>
        </w:rPr>
        <w:t xml:space="preserve"> (</w:t>
      </w:r>
      <w:r w:rsidR="00C24FE5">
        <w:rPr>
          <w:rFonts w:ascii="Verdana" w:hAnsi="Verdana"/>
          <w:i/>
          <w:sz w:val="20"/>
          <w:lang w:val="es-CR"/>
        </w:rPr>
        <w:t>punto dispositivo noveno de la Sentencia</w:t>
      </w:r>
      <w:r w:rsidR="00C24FE5">
        <w:rPr>
          <w:rFonts w:ascii="Verdana" w:hAnsi="Verdana"/>
          <w:sz w:val="20"/>
          <w:lang w:val="es-CR"/>
        </w:rPr>
        <w:t xml:space="preserve">), </w:t>
      </w:r>
      <w:r w:rsidR="00675124" w:rsidRPr="00675124">
        <w:rPr>
          <w:rFonts w:ascii="Verdana" w:hAnsi="Verdana"/>
          <w:sz w:val="20"/>
          <w:lang w:val="es-CR"/>
        </w:rPr>
        <w:t xml:space="preserve">y </w:t>
      </w:r>
    </w:p>
    <w:p w14:paraId="6AAFA21E" w14:textId="2747FC93" w:rsidR="00187207" w:rsidRPr="00187207" w:rsidRDefault="00C24FE5" w:rsidP="00967A71">
      <w:pPr>
        <w:pStyle w:val="ListParagraph"/>
        <w:numPr>
          <w:ilvl w:val="0"/>
          <w:numId w:val="14"/>
        </w:numPr>
        <w:spacing w:after="240" w:line="240" w:lineRule="auto"/>
        <w:jc w:val="both"/>
        <w:rPr>
          <w:rFonts w:ascii="Verdana" w:hAnsi="Verdana"/>
          <w:sz w:val="20"/>
          <w:lang w:val="es-CR"/>
        </w:rPr>
      </w:pPr>
      <w:r>
        <w:rPr>
          <w:rFonts w:ascii="Verdana" w:hAnsi="Verdana"/>
          <w:sz w:val="20"/>
          <w:lang w:val="es-CR"/>
        </w:rPr>
        <w:t xml:space="preserve">pagar las cantidades fijadas en la Sentencia </w:t>
      </w:r>
      <w:r w:rsidR="00675124" w:rsidRPr="00675124">
        <w:rPr>
          <w:rFonts w:ascii="Verdana" w:hAnsi="Verdana"/>
          <w:sz w:val="20"/>
          <w:lang w:val="es-CR"/>
        </w:rPr>
        <w:t>por el reintegro de costas y gastos</w:t>
      </w:r>
      <w:r w:rsidR="00187207">
        <w:rPr>
          <w:rFonts w:ascii="Verdana" w:hAnsi="Verdana"/>
          <w:sz w:val="20"/>
          <w:lang w:val="es-CR"/>
        </w:rPr>
        <w:t xml:space="preserve"> (</w:t>
      </w:r>
      <w:r w:rsidR="00187207">
        <w:rPr>
          <w:rFonts w:ascii="Verdana" w:hAnsi="Verdana"/>
          <w:i/>
          <w:sz w:val="20"/>
          <w:lang w:val="es-CR"/>
        </w:rPr>
        <w:t xml:space="preserve">punto </w:t>
      </w:r>
      <w:r w:rsidR="007D22ED">
        <w:rPr>
          <w:rFonts w:ascii="Verdana" w:hAnsi="Verdana"/>
          <w:i/>
          <w:sz w:val="20"/>
          <w:lang w:val="es-CR"/>
        </w:rPr>
        <w:t>dispositivo</w:t>
      </w:r>
      <w:r w:rsidR="00187207">
        <w:rPr>
          <w:rFonts w:ascii="Verdana" w:hAnsi="Verdana"/>
          <w:i/>
          <w:sz w:val="20"/>
          <w:lang w:val="es-CR"/>
        </w:rPr>
        <w:t xml:space="preserve"> noveno de la Sentencia</w:t>
      </w:r>
      <w:r w:rsidR="00187207">
        <w:rPr>
          <w:rFonts w:ascii="Verdana" w:hAnsi="Verdana"/>
          <w:sz w:val="20"/>
          <w:lang w:val="es-CR"/>
        </w:rPr>
        <w:t xml:space="preserve">). </w:t>
      </w:r>
    </w:p>
    <w:p w14:paraId="4BF92063" w14:textId="77777777" w:rsidR="008D5BE7" w:rsidRDefault="008D5BE7" w:rsidP="00967A71">
      <w:pPr>
        <w:pStyle w:val="ListParagraph"/>
        <w:spacing w:after="240" w:line="240" w:lineRule="auto"/>
        <w:ind w:left="0"/>
        <w:jc w:val="both"/>
        <w:rPr>
          <w:rFonts w:ascii="Verdana" w:hAnsi="Verdana"/>
          <w:sz w:val="20"/>
          <w:lang w:val="es-CR"/>
        </w:rPr>
      </w:pPr>
    </w:p>
    <w:p w14:paraId="01A1292E" w14:textId="77777777" w:rsidR="00F856B8" w:rsidRPr="006D684B" w:rsidRDefault="00F856B8" w:rsidP="00967A71">
      <w:pPr>
        <w:pStyle w:val="ListParagraph"/>
        <w:spacing w:after="240" w:line="240" w:lineRule="auto"/>
        <w:ind w:left="0"/>
        <w:jc w:val="both"/>
        <w:rPr>
          <w:rFonts w:ascii="Verdana" w:hAnsi="Verdana"/>
          <w:sz w:val="20"/>
          <w:lang w:val="es-CR"/>
        </w:rPr>
      </w:pPr>
    </w:p>
    <w:p w14:paraId="345072A7" w14:textId="0EA8F22C" w:rsidR="0086725E" w:rsidRDefault="0086725E" w:rsidP="00967A71">
      <w:pPr>
        <w:pStyle w:val="ListParagraph"/>
        <w:numPr>
          <w:ilvl w:val="0"/>
          <w:numId w:val="5"/>
        </w:numPr>
        <w:spacing w:after="240" w:line="240" w:lineRule="auto"/>
        <w:ind w:left="0" w:firstLine="0"/>
        <w:jc w:val="both"/>
        <w:rPr>
          <w:rFonts w:ascii="Verdana" w:hAnsi="Verdana"/>
          <w:sz w:val="20"/>
          <w:lang w:val="es-CR"/>
        </w:rPr>
      </w:pPr>
      <w:r w:rsidRPr="00187207">
        <w:rPr>
          <w:rFonts w:ascii="Verdana" w:hAnsi="Verdana"/>
          <w:sz w:val="20"/>
          <w:lang w:val="es-CR"/>
        </w:rPr>
        <w:t>Mantener abierto el procedimiento de supervisión de cumplimiento respecto de la</w:t>
      </w:r>
      <w:r w:rsidR="00E80E96">
        <w:rPr>
          <w:rFonts w:ascii="Verdana" w:hAnsi="Verdana"/>
          <w:sz w:val="20"/>
          <w:lang w:val="es-CR"/>
        </w:rPr>
        <w:t>s</w:t>
      </w:r>
      <w:r w:rsidRPr="00187207">
        <w:rPr>
          <w:rFonts w:ascii="Verdana" w:hAnsi="Verdana"/>
          <w:sz w:val="20"/>
          <w:lang w:val="es-CR"/>
        </w:rPr>
        <w:t xml:space="preserve"> medida</w:t>
      </w:r>
      <w:r w:rsidR="00E80E96">
        <w:rPr>
          <w:rFonts w:ascii="Verdana" w:hAnsi="Verdana"/>
          <w:sz w:val="20"/>
          <w:lang w:val="es-CR"/>
        </w:rPr>
        <w:t>s</w:t>
      </w:r>
      <w:r w:rsidRPr="00187207">
        <w:rPr>
          <w:rFonts w:ascii="Verdana" w:hAnsi="Verdana"/>
          <w:sz w:val="20"/>
          <w:lang w:val="es-CR"/>
        </w:rPr>
        <w:t xml:space="preserve"> de reparación</w:t>
      </w:r>
      <w:r>
        <w:rPr>
          <w:rFonts w:ascii="Verdana" w:hAnsi="Verdana"/>
          <w:sz w:val="20"/>
          <w:lang w:val="es-CR"/>
        </w:rPr>
        <w:t xml:space="preserve"> ordenada</w:t>
      </w:r>
      <w:r w:rsidR="00E80E96">
        <w:rPr>
          <w:rFonts w:ascii="Verdana" w:hAnsi="Verdana"/>
          <w:sz w:val="20"/>
          <w:lang w:val="es-CR"/>
        </w:rPr>
        <w:t>s</w:t>
      </w:r>
      <w:r w:rsidRPr="00187207">
        <w:rPr>
          <w:rFonts w:ascii="Verdana" w:hAnsi="Verdana"/>
          <w:sz w:val="20"/>
          <w:lang w:val="es-CR"/>
        </w:rPr>
        <w:t xml:space="preserve"> en </w:t>
      </w:r>
      <w:r w:rsidR="00AC4147">
        <w:rPr>
          <w:rFonts w:ascii="Verdana" w:hAnsi="Verdana"/>
          <w:sz w:val="20"/>
          <w:lang w:val="es-CR"/>
        </w:rPr>
        <w:t>la Sentencia d</w:t>
      </w:r>
      <w:r w:rsidRPr="00187207">
        <w:rPr>
          <w:rFonts w:ascii="Verdana" w:hAnsi="Verdana"/>
          <w:sz w:val="20"/>
          <w:lang w:val="es-CR"/>
        </w:rPr>
        <w:t xml:space="preserve">el caso </w:t>
      </w:r>
      <w:r w:rsidRPr="00187207">
        <w:rPr>
          <w:rFonts w:ascii="Verdana" w:hAnsi="Verdana"/>
          <w:i/>
          <w:sz w:val="20"/>
          <w:lang w:val="es-CR"/>
        </w:rPr>
        <w:t>Lagos del Campo</w:t>
      </w:r>
      <w:r w:rsidRPr="00187207">
        <w:rPr>
          <w:rFonts w:ascii="Verdana" w:hAnsi="Verdana"/>
          <w:sz w:val="20"/>
          <w:lang w:val="es-CR"/>
        </w:rPr>
        <w:t xml:space="preserve">, relativa a “pagar las cantidades fijadas en </w:t>
      </w:r>
      <w:r w:rsidR="007F37DE">
        <w:rPr>
          <w:rFonts w:ascii="Verdana" w:hAnsi="Verdana"/>
          <w:sz w:val="20"/>
          <w:lang w:val="es-CR"/>
        </w:rPr>
        <w:t xml:space="preserve">[… la] </w:t>
      </w:r>
      <w:r w:rsidRPr="00187207">
        <w:rPr>
          <w:rFonts w:ascii="Verdana" w:hAnsi="Verdana"/>
          <w:sz w:val="20"/>
          <w:lang w:val="es-CR"/>
        </w:rPr>
        <w:t>Sentencia, por concepto de compensación por daño material e inmaterial y por el reintegro de costas y gastos</w:t>
      </w:r>
      <w:r>
        <w:rPr>
          <w:rFonts w:ascii="Verdana" w:hAnsi="Verdana"/>
          <w:sz w:val="20"/>
          <w:lang w:val="es-CR"/>
        </w:rPr>
        <w:t>” (</w:t>
      </w:r>
      <w:r>
        <w:rPr>
          <w:rFonts w:ascii="Verdana" w:hAnsi="Verdana"/>
          <w:i/>
          <w:sz w:val="20"/>
          <w:lang w:val="es-CR"/>
        </w:rPr>
        <w:t xml:space="preserve">punto </w:t>
      </w:r>
      <w:r w:rsidR="007D22ED">
        <w:rPr>
          <w:rFonts w:ascii="Verdana" w:hAnsi="Verdana"/>
          <w:i/>
          <w:sz w:val="20"/>
          <w:lang w:val="es-CR"/>
        </w:rPr>
        <w:t>dispositivo</w:t>
      </w:r>
      <w:r>
        <w:rPr>
          <w:rFonts w:ascii="Verdana" w:hAnsi="Verdana"/>
          <w:i/>
          <w:sz w:val="20"/>
          <w:lang w:val="es-CR"/>
        </w:rPr>
        <w:t xml:space="preserve"> décimo primero de la Sentencia</w:t>
      </w:r>
      <w:r>
        <w:rPr>
          <w:rFonts w:ascii="Verdana" w:hAnsi="Verdana"/>
          <w:sz w:val="20"/>
          <w:lang w:val="es-CR"/>
        </w:rPr>
        <w:t>).</w:t>
      </w:r>
    </w:p>
    <w:p w14:paraId="1AA483DA" w14:textId="77777777" w:rsidR="0086725E" w:rsidRDefault="0086725E" w:rsidP="00967A71">
      <w:pPr>
        <w:pStyle w:val="ListParagraph"/>
        <w:spacing w:after="240" w:line="240" w:lineRule="auto"/>
        <w:ind w:left="0"/>
        <w:jc w:val="both"/>
        <w:rPr>
          <w:rFonts w:ascii="Verdana" w:hAnsi="Verdana"/>
          <w:sz w:val="20"/>
          <w:lang w:val="es-CR"/>
        </w:rPr>
      </w:pPr>
    </w:p>
    <w:p w14:paraId="1EB57D6A" w14:textId="77777777" w:rsidR="00F856B8" w:rsidRDefault="00F856B8" w:rsidP="00967A71">
      <w:pPr>
        <w:pStyle w:val="ListParagraph"/>
        <w:spacing w:after="240" w:line="240" w:lineRule="auto"/>
        <w:ind w:left="0"/>
        <w:jc w:val="both"/>
        <w:rPr>
          <w:rFonts w:ascii="Verdana" w:hAnsi="Verdana"/>
          <w:sz w:val="20"/>
          <w:lang w:val="es-CR"/>
        </w:rPr>
      </w:pPr>
    </w:p>
    <w:p w14:paraId="7726E08D" w14:textId="60678146" w:rsidR="008D0338" w:rsidRDefault="000E24F5" w:rsidP="00967A71">
      <w:pPr>
        <w:pStyle w:val="ListParagraph"/>
        <w:numPr>
          <w:ilvl w:val="0"/>
          <w:numId w:val="5"/>
        </w:numPr>
        <w:spacing w:after="240" w:line="240" w:lineRule="auto"/>
        <w:ind w:left="0" w:firstLine="0"/>
        <w:jc w:val="both"/>
        <w:rPr>
          <w:rFonts w:ascii="Verdana" w:hAnsi="Verdana"/>
          <w:sz w:val="20"/>
          <w:lang w:val="es-CR"/>
        </w:rPr>
      </w:pPr>
      <w:r>
        <w:rPr>
          <w:rFonts w:ascii="Verdana" w:hAnsi="Verdana"/>
          <w:sz w:val="20"/>
          <w:lang w:val="es-CR"/>
        </w:rPr>
        <w:t>Requerir a la Secretaría de la Corte que notifique la presente Resolución al Estado, a</w:t>
      </w:r>
      <w:r w:rsidR="008D5BE7">
        <w:rPr>
          <w:rFonts w:ascii="Verdana" w:hAnsi="Verdana"/>
          <w:sz w:val="20"/>
          <w:lang w:val="es-CR"/>
        </w:rPr>
        <w:t xml:space="preserve"> </w:t>
      </w:r>
      <w:r w:rsidR="007D22ED">
        <w:rPr>
          <w:rFonts w:ascii="Verdana" w:hAnsi="Verdana"/>
          <w:sz w:val="20"/>
          <w:lang w:val="es-CR"/>
        </w:rPr>
        <w:t xml:space="preserve">los intervinientes comunes del caso </w:t>
      </w:r>
      <w:r w:rsidR="007D22ED">
        <w:rPr>
          <w:rFonts w:ascii="Verdana" w:hAnsi="Verdana"/>
          <w:i/>
          <w:sz w:val="20"/>
          <w:lang w:val="es-CR"/>
        </w:rPr>
        <w:t xml:space="preserve">Pollo Rivera y otros </w:t>
      </w:r>
      <w:r w:rsidR="007D22ED">
        <w:rPr>
          <w:rFonts w:ascii="Verdana" w:hAnsi="Verdana"/>
          <w:sz w:val="20"/>
          <w:lang w:val="es-CR"/>
        </w:rPr>
        <w:t xml:space="preserve">y a </w:t>
      </w:r>
      <w:r>
        <w:rPr>
          <w:rFonts w:ascii="Verdana" w:hAnsi="Verdana"/>
          <w:sz w:val="20"/>
          <w:lang w:val="es-CR"/>
        </w:rPr>
        <w:t>l</w:t>
      </w:r>
      <w:r w:rsidR="008D5BE7">
        <w:rPr>
          <w:rFonts w:ascii="Verdana" w:hAnsi="Verdana"/>
          <w:sz w:val="20"/>
          <w:lang w:val="es-CR"/>
        </w:rPr>
        <w:t>os</w:t>
      </w:r>
      <w:r>
        <w:rPr>
          <w:rFonts w:ascii="Verdana" w:hAnsi="Verdana"/>
          <w:sz w:val="20"/>
          <w:lang w:val="es-CR"/>
        </w:rPr>
        <w:t xml:space="preserve"> representante</w:t>
      </w:r>
      <w:r w:rsidR="008D5BE7">
        <w:rPr>
          <w:rFonts w:ascii="Verdana" w:hAnsi="Verdana"/>
          <w:sz w:val="20"/>
          <w:lang w:val="es-CR"/>
        </w:rPr>
        <w:t>s</w:t>
      </w:r>
      <w:r>
        <w:rPr>
          <w:rFonts w:ascii="Verdana" w:hAnsi="Verdana"/>
          <w:sz w:val="20"/>
          <w:lang w:val="es-CR"/>
        </w:rPr>
        <w:t xml:space="preserve"> de la víctima</w:t>
      </w:r>
      <w:r w:rsidR="007D22ED">
        <w:rPr>
          <w:rFonts w:ascii="Verdana" w:hAnsi="Verdana"/>
          <w:sz w:val="20"/>
          <w:lang w:val="es-CR"/>
        </w:rPr>
        <w:t xml:space="preserve"> del caso </w:t>
      </w:r>
      <w:r w:rsidR="007D22ED">
        <w:rPr>
          <w:rFonts w:ascii="Verdana" w:hAnsi="Verdana"/>
          <w:i/>
          <w:sz w:val="20"/>
          <w:lang w:val="es-CR"/>
        </w:rPr>
        <w:t>Lagos del Campo</w:t>
      </w:r>
      <w:r>
        <w:rPr>
          <w:rFonts w:ascii="Verdana" w:hAnsi="Verdana"/>
          <w:sz w:val="20"/>
          <w:lang w:val="es-CR"/>
        </w:rPr>
        <w:t xml:space="preserve"> y a la Comisión Interamericana de Derechos Humanos. </w:t>
      </w:r>
    </w:p>
    <w:p w14:paraId="139BF089" w14:textId="21ED7C0E" w:rsidR="000E24F5" w:rsidRDefault="000E24F5" w:rsidP="008D0338">
      <w:pPr>
        <w:rPr>
          <w:rFonts w:ascii="Verdana" w:hAnsi="Verdana"/>
          <w:sz w:val="20"/>
          <w:lang w:val="es-CR"/>
        </w:rPr>
      </w:pPr>
    </w:p>
    <w:p w14:paraId="759AC57C" w14:textId="77777777" w:rsidR="00351A2A" w:rsidRDefault="00351A2A" w:rsidP="008D0338">
      <w:pPr>
        <w:rPr>
          <w:rFonts w:ascii="Verdana" w:hAnsi="Verdana"/>
          <w:sz w:val="20"/>
          <w:lang w:val="es-CR"/>
        </w:rPr>
      </w:pPr>
    </w:p>
    <w:p w14:paraId="1371DC8E" w14:textId="77777777" w:rsidR="00351A2A" w:rsidRPr="009318AC" w:rsidRDefault="00351A2A" w:rsidP="00351A2A">
      <w:pPr>
        <w:keepNext/>
        <w:jc w:val="both"/>
        <w:outlineLvl w:val="0"/>
        <w:rPr>
          <w:rFonts w:ascii="Verdana" w:hAnsi="Verdana" w:cs="Verdana"/>
          <w:b/>
          <w:bCs/>
          <w:sz w:val="20"/>
          <w:lang w:val="es-ES"/>
        </w:rPr>
      </w:pPr>
      <w:r>
        <w:rPr>
          <w:rFonts w:ascii="Verdana" w:hAnsi="Verdana" w:cs="Courier New"/>
          <w:noProof/>
          <w:sz w:val="20"/>
          <w:lang w:val="es-AR"/>
        </w:rPr>
        <w:lastRenderedPageBreak/>
        <w:t xml:space="preserve">Corte IDH. </w:t>
      </w:r>
      <w:r w:rsidRPr="00D01C91">
        <w:rPr>
          <w:rFonts w:ascii="Verdana" w:hAnsi="Verdana" w:cs="Courier New"/>
          <w:i/>
          <w:noProof/>
          <w:sz w:val="20"/>
          <w:lang w:val="es-AR"/>
        </w:rPr>
        <w:t>Caso</w:t>
      </w:r>
      <w:r>
        <w:rPr>
          <w:rFonts w:ascii="Verdana" w:hAnsi="Verdana" w:cs="Courier New"/>
          <w:i/>
          <w:noProof/>
          <w:sz w:val="20"/>
          <w:lang w:val="es-AR"/>
        </w:rPr>
        <w:t>s</w:t>
      </w:r>
      <w:r>
        <w:rPr>
          <w:rFonts w:ascii="Verdana" w:hAnsi="Verdana" w:cs="Courier New"/>
          <w:noProof/>
          <w:sz w:val="20"/>
          <w:lang w:val="es-AR"/>
        </w:rPr>
        <w:t xml:space="preserve"> </w:t>
      </w:r>
      <w:r>
        <w:rPr>
          <w:rFonts w:ascii="Verdana" w:hAnsi="Verdana"/>
          <w:i/>
          <w:iCs/>
          <w:color w:val="000000"/>
          <w:sz w:val="20"/>
          <w:lang w:val="es-CR"/>
        </w:rPr>
        <w:t xml:space="preserve">Pollo Rivera y otros y </w:t>
      </w:r>
      <w:r w:rsidRPr="005F3F1B">
        <w:rPr>
          <w:rFonts w:ascii="Verdana" w:hAnsi="Verdana"/>
          <w:i/>
          <w:iCs/>
          <w:color w:val="000000"/>
          <w:sz w:val="20"/>
          <w:lang w:val="es-CR"/>
        </w:rPr>
        <w:t xml:space="preserve">Lagos del Campo </w:t>
      </w:r>
      <w:r w:rsidRPr="00D01C91">
        <w:rPr>
          <w:rFonts w:ascii="Verdana" w:hAnsi="Verdana"/>
          <w:i/>
          <w:iCs/>
          <w:color w:val="000000"/>
          <w:sz w:val="20"/>
          <w:lang w:val="es-CR"/>
        </w:rPr>
        <w:t>Vs. Perú</w:t>
      </w:r>
      <w:r>
        <w:rPr>
          <w:rFonts w:ascii="Verdana" w:hAnsi="Verdana"/>
          <w:sz w:val="20"/>
          <w:lang w:val="es-CR"/>
        </w:rPr>
        <w:t xml:space="preserve">. Supervisión de Cumplimiento de </w:t>
      </w:r>
      <w:r w:rsidRPr="00B63518">
        <w:rPr>
          <w:rFonts w:ascii="Verdana" w:hAnsi="Verdana"/>
          <w:sz w:val="20"/>
          <w:lang w:val="es-CR"/>
        </w:rPr>
        <w:t>S</w:t>
      </w:r>
      <w:r>
        <w:rPr>
          <w:rFonts w:ascii="Verdana" w:hAnsi="Verdana"/>
          <w:sz w:val="20"/>
          <w:lang w:val="es-CR"/>
        </w:rPr>
        <w:t>entencia</w:t>
      </w:r>
      <w:r w:rsidRPr="00EB2580">
        <w:rPr>
          <w:rFonts w:ascii="Verdana" w:hAnsi="Verdana"/>
          <w:sz w:val="20"/>
          <w:lang w:val="es-CR"/>
        </w:rPr>
        <w:t>.</w:t>
      </w:r>
      <w:r>
        <w:rPr>
          <w:rFonts w:ascii="Verdana" w:hAnsi="Verdana"/>
          <w:sz w:val="20"/>
          <w:lang w:val="es-CR"/>
        </w:rPr>
        <w:t xml:space="preserve"> </w:t>
      </w:r>
      <w:r>
        <w:rPr>
          <w:rFonts w:ascii="Verdana" w:hAnsi="Verdana"/>
          <w:sz w:val="20"/>
          <w:lang w:val="es-ES"/>
        </w:rPr>
        <w:t>Resolución</w:t>
      </w:r>
      <w:r w:rsidRPr="008C6E98">
        <w:rPr>
          <w:rFonts w:ascii="Verdana" w:hAnsi="Verdana"/>
          <w:sz w:val="20"/>
          <w:lang w:val="es-ES"/>
        </w:rPr>
        <w:t xml:space="preserve"> de la Corte Interamericana de Derechos Humanos</w:t>
      </w:r>
      <w:r>
        <w:rPr>
          <w:rFonts w:ascii="Verdana" w:hAnsi="Verdana"/>
          <w:sz w:val="20"/>
          <w:lang w:val="es-ES"/>
        </w:rPr>
        <w:t xml:space="preserve"> de </w:t>
      </w:r>
      <w:r w:rsidRPr="00BD2283">
        <w:rPr>
          <w:rFonts w:ascii="Verdana" w:hAnsi="Verdana"/>
          <w:sz w:val="20"/>
          <w:lang w:val="es-ES"/>
        </w:rPr>
        <w:t>26</w:t>
      </w:r>
      <w:r w:rsidRPr="00831AC2">
        <w:rPr>
          <w:rFonts w:ascii="Verdana" w:hAnsi="Verdana"/>
          <w:sz w:val="20"/>
          <w:lang w:val="es-CR"/>
        </w:rPr>
        <w:t xml:space="preserve"> de </w:t>
      </w:r>
      <w:r>
        <w:rPr>
          <w:rFonts w:ascii="Verdana" w:hAnsi="Verdana"/>
          <w:sz w:val="20"/>
          <w:lang w:val="es-CR"/>
        </w:rPr>
        <w:t>septiembre</w:t>
      </w:r>
      <w:r w:rsidRPr="00831AC2">
        <w:rPr>
          <w:rFonts w:ascii="Verdana" w:hAnsi="Verdana"/>
          <w:sz w:val="20"/>
          <w:lang w:val="es-CR"/>
        </w:rPr>
        <w:t xml:space="preserve"> de 201</w:t>
      </w:r>
      <w:r>
        <w:rPr>
          <w:rFonts w:ascii="Verdana" w:hAnsi="Verdana"/>
          <w:sz w:val="20"/>
          <w:lang w:val="es-CR"/>
        </w:rPr>
        <w:t>8</w:t>
      </w:r>
      <w:r>
        <w:rPr>
          <w:rFonts w:ascii="Verdana" w:hAnsi="Verdana"/>
          <w:sz w:val="20"/>
          <w:lang w:val="es-ES"/>
        </w:rPr>
        <w:t xml:space="preserve">. </w:t>
      </w:r>
    </w:p>
    <w:p w14:paraId="73E384FF" w14:textId="77777777" w:rsidR="00351A2A" w:rsidRDefault="00351A2A" w:rsidP="00351A2A">
      <w:pPr>
        <w:rPr>
          <w:rFonts w:ascii="Verdana" w:hAnsi="Verdana"/>
          <w:sz w:val="20"/>
          <w:lang w:val="es-ES"/>
        </w:rPr>
      </w:pPr>
    </w:p>
    <w:p w14:paraId="7A721C26" w14:textId="77777777" w:rsidR="00351A2A" w:rsidRDefault="00351A2A" w:rsidP="00351A2A">
      <w:pPr>
        <w:jc w:val="center"/>
        <w:rPr>
          <w:rFonts w:ascii="Verdana" w:hAnsi="Verdana"/>
          <w:sz w:val="20"/>
          <w:lang w:val="pt-BR"/>
        </w:rPr>
      </w:pPr>
      <w:r w:rsidRPr="00D0325C">
        <w:rPr>
          <w:rFonts w:ascii="Verdana" w:hAnsi="Verdana"/>
          <w:sz w:val="20"/>
          <w:lang w:val="pt-BR"/>
        </w:rPr>
        <w:t xml:space="preserve">Eduardo Ferrer Mac-Gregor Poisot </w:t>
      </w:r>
    </w:p>
    <w:p w14:paraId="06AEE534" w14:textId="77777777" w:rsidR="00351A2A" w:rsidRPr="00D0325C" w:rsidRDefault="00351A2A" w:rsidP="00351A2A">
      <w:pPr>
        <w:jc w:val="center"/>
        <w:rPr>
          <w:rFonts w:ascii="Verdana" w:hAnsi="Verdana"/>
          <w:sz w:val="20"/>
          <w:lang w:val="pt-BR"/>
        </w:rPr>
      </w:pPr>
      <w:r w:rsidRPr="00D0325C">
        <w:rPr>
          <w:rFonts w:ascii="Verdana" w:hAnsi="Verdana"/>
          <w:sz w:val="20"/>
          <w:lang w:val="pt-BR"/>
        </w:rPr>
        <w:t>Presidente</w:t>
      </w:r>
    </w:p>
    <w:p w14:paraId="61476FF5" w14:textId="77777777" w:rsidR="00351A2A" w:rsidRPr="00CC275C" w:rsidRDefault="00351A2A" w:rsidP="00351A2A">
      <w:pPr>
        <w:jc w:val="both"/>
        <w:rPr>
          <w:rFonts w:ascii="Verdana" w:hAnsi="Verdana"/>
          <w:sz w:val="20"/>
          <w:lang w:val="pt-BR"/>
        </w:rPr>
      </w:pPr>
    </w:p>
    <w:p w14:paraId="0C9EE33F" w14:textId="77777777" w:rsidR="00351A2A" w:rsidRPr="00CC275C" w:rsidRDefault="00351A2A" w:rsidP="00351A2A">
      <w:pPr>
        <w:jc w:val="both"/>
        <w:rPr>
          <w:rFonts w:ascii="Verdana" w:hAnsi="Verdana"/>
          <w:sz w:val="20"/>
          <w:lang w:val="pt-BR"/>
        </w:rPr>
      </w:pPr>
    </w:p>
    <w:p w14:paraId="2D656CB9" w14:textId="110C9856" w:rsidR="00351A2A" w:rsidRPr="00CC275C" w:rsidRDefault="00351A2A" w:rsidP="00351A2A">
      <w:pPr>
        <w:rPr>
          <w:rFonts w:ascii="Verdana" w:hAnsi="Verdana"/>
          <w:sz w:val="20"/>
          <w:lang w:val="pt-BR"/>
        </w:rPr>
      </w:pPr>
      <w:r w:rsidRPr="00CC275C">
        <w:rPr>
          <w:rFonts w:ascii="Verdana" w:hAnsi="Verdana"/>
          <w:sz w:val="20"/>
          <w:lang w:val="pt-BR"/>
        </w:rPr>
        <w:t>Eduardo Vio Grossi</w:t>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sidRPr="00CC275C">
        <w:rPr>
          <w:rFonts w:ascii="Verdana" w:hAnsi="Verdana"/>
          <w:sz w:val="20"/>
          <w:lang w:val="pt-BR"/>
        </w:rPr>
        <w:t>Humberto Antonio Sierra Porto</w:t>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r>
    </w:p>
    <w:p w14:paraId="2708C71B" w14:textId="77777777" w:rsidR="00351A2A" w:rsidRPr="00CC275C" w:rsidRDefault="00351A2A" w:rsidP="00351A2A">
      <w:pPr>
        <w:jc w:val="both"/>
        <w:rPr>
          <w:rFonts w:ascii="Verdana" w:hAnsi="Verdana"/>
          <w:sz w:val="20"/>
          <w:lang w:val="pt-BR"/>
        </w:rPr>
      </w:pPr>
    </w:p>
    <w:p w14:paraId="16CB1EBE" w14:textId="77777777" w:rsidR="00351A2A" w:rsidRPr="00CC275C" w:rsidRDefault="00351A2A" w:rsidP="00351A2A">
      <w:pPr>
        <w:rPr>
          <w:rFonts w:ascii="Verdana" w:hAnsi="Verdana"/>
          <w:sz w:val="20"/>
          <w:lang w:val="pt-BR"/>
        </w:rPr>
      </w:pPr>
      <w:r w:rsidRPr="00CC275C">
        <w:rPr>
          <w:rFonts w:ascii="Verdana" w:hAnsi="Verdana"/>
          <w:sz w:val="20"/>
          <w:lang w:val="pt-BR"/>
        </w:rPr>
        <w:t xml:space="preserve">Eugenio Raúl Zaffaroni </w:t>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t xml:space="preserve">        L. Patricio Pazmiño Freire</w:t>
      </w:r>
    </w:p>
    <w:p w14:paraId="4E8D700B" w14:textId="77777777" w:rsidR="00351A2A" w:rsidRPr="00CC275C" w:rsidRDefault="00351A2A" w:rsidP="00351A2A">
      <w:pPr>
        <w:jc w:val="both"/>
        <w:rPr>
          <w:rFonts w:ascii="Verdana" w:hAnsi="Verdana"/>
          <w:sz w:val="20"/>
          <w:lang w:val="pt-BR"/>
        </w:rPr>
      </w:pPr>
    </w:p>
    <w:p w14:paraId="2310438B" w14:textId="77777777" w:rsidR="00351A2A" w:rsidRPr="00CC275C" w:rsidRDefault="00351A2A" w:rsidP="00351A2A">
      <w:pPr>
        <w:jc w:val="both"/>
        <w:rPr>
          <w:rFonts w:ascii="Verdana" w:hAnsi="Verdana"/>
          <w:sz w:val="20"/>
          <w:lang w:val="pt-BR"/>
        </w:rPr>
      </w:pPr>
    </w:p>
    <w:p w14:paraId="41FBF467" w14:textId="77777777" w:rsidR="00351A2A" w:rsidRPr="00CC275C" w:rsidRDefault="00351A2A" w:rsidP="00351A2A">
      <w:pPr>
        <w:jc w:val="center"/>
        <w:rPr>
          <w:rFonts w:ascii="Verdana" w:hAnsi="Verdana"/>
          <w:sz w:val="20"/>
          <w:lang w:val="pt-BR"/>
        </w:rPr>
      </w:pPr>
      <w:r w:rsidRPr="00CC275C">
        <w:rPr>
          <w:rFonts w:ascii="Verdana" w:hAnsi="Verdana"/>
          <w:sz w:val="20"/>
          <w:lang w:val="pt-BR"/>
        </w:rPr>
        <w:t>Pablo Saavedra Alessandri</w:t>
      </w:r>
    </w:p>
    <w:p w14:paraId="79DBE323" w14:textId="77777777" w:rsidR="00351A2A" w:rsidRPr="00CC275C" w:rsidRDefault="00351A2A" w:rsidP="00351A2A">
      <w:pPr>
        <w:jc w:val="center"/>
        <w:rPr>
          <w:rFonts w:ascii="Verdana" w:hAnsi="Verdana"/>
          <w:sz w:val="20"/>
          <w:lang w:val="pt-BR"/>
        </w:rPr>
      </w:pPr>
      <w:r w:rsidRPr="00CC275C">
        <w:rPr>
          <w:rFonts w:ascii="Verdana" w:hAnsi="Verdana"/>
          <w:sz w:val="20"/>
          <w:lang w:val="pt-BR"/>
        </w:rPr>
        <w:t>Secretario</w:t>
      </w:r>
    </w:p>
    <w:p w14:paraId="70FF0262" w14:textId="77777777" w:rsidR="00351A2A" w:rsidRPr="00CC275C" w:rsidRDefault="00351A2A" w:rsidP="00351A2A">
      <w:pPr>
        <w:rPr>
          <w:rFonts w:ascii="Verdana" w:hAnsi="Verdana"/>
          <w:sz w:val="20"/>
          <w:lang w:val="pt-BR"/>
        </w:rPr>
      </w:pPr>
    </w:p>
    <w:p w14:paraId="020B66A9" w14:textId="77777777" w:rsidR="00351A2A" w:rsidRPr="00CC275C" w:rsidRDefault="00351A2A" w:rsidP="00351A2A">
      <w:pPr>
        <w:pStyle w:val="FootnoteText"/>
        <w:rPr>
          <w:rFonts w:ascii="Verdana" w:hAnsi="Verdana"/>
          <w:lang w:val="pt-BR"/>
        </w:rPr>
      </w:pPr>
    </w:p>
    <w:p w14:paraId="0A6E1B05" w14:textId="77777777" w:rsidR="00351A2A" w:rsidRPr="00CC275C" w:rsidRDefault="00351A2A" w:rsidP="00351A2A">
      <w:pPr>
        <w:jc w:val="both"/>
        <w:rPr>
          <w:rFonts w:ascii="Verdana" w:hAnsi="Verdana"/>
          <w:sz w:val="20"/>
          <w:lang w:val="pt-BR"/>
        </w:rPr>
      </w:pPr>
      <w:r w:rsidRPr="00CC275C">
        <w:rPr>
          <w:rFonts w:ascii="Verdana" w:hAnsi="Verdana"/>
          <w:sz w:val="20"/>
          <w:lang w:val="pt-BR"/>
        </w:rPr>
        <w:t>Comuníquese y ejecútese,</w:t>
      </w:r>
    </w:p>
    <w:p w14:paraId="32252943" w14:textId="77777777" w:rsidR="00351A2A" w:rsidRPr="00CC275C" w:rsidRDefault="00351A2A" w:rsidP="00351A2A">
      <w:pPr>
        <w:jc w:val="both"/>
        <w:rPr>
          <w:rFonts w:ascii="Verdana" w:hAnsi="Verdana"/>
          <w:sz w:val="20"/>
          <w:lang w:val="pt-BR"/>
        </w:rPr>
      </w:pPr>
    </w:p>
    <w:p w14:paraId="56ACB64C" w14:textId="77777777" w:rsidR="00351A2A" w:rsidRDefault="00351A2A" w:rsidP="00351A2A">
      <w:pPr>
        <w:ind w:left="4956"/>
        <w:jc w:val="center"/>
        <w:rPr>
          <w:rFonts w:ascii="Verdana" w:hAnsi="Verdana"/>
          <w:sz w:val="20"/>
          <w:lang w:val="pt-BR"/>
        </w:rPr>
      </w:pPr>
      <w:r w:rsidRPr="00D0325C">
        <w:rPr>
          <w:rFonts w:ascii="Verdana" w:hAnsi="Verdana"/>
          <w:sz w:val="20"/>
          <w:lang w:val="pt-BR"/>
        </w:rPr>
        <w:t xml:space="preserve">Eduardo Ferrer Mac-Gregor Poisot </w:t>
      </w:r>
    </w:p>
    <w:p w14:paraId="3ADA5BF9" w14:textId="77777777" w:rsidR="00351A2A" w:rsidRPr="00D0325C" w:rsidRDefault="00351A2A" w:rsidP="00351A2A">
      <w:pPr>
        <w:ind w:left="4956"/>
        <w:jc w:val="center"/>
        <w:rPr>
          <w:rFonts w:ascii="Verdana" w:hAnsi="Verdana"/>
          <w:sz w:val="20"/>
          <w:lang w:val="pt-BR"/>
        </w:rPr>
      </w:pPr>
      <w:r w:rsidRPr="00D0325C">
        <w:rPr>
          <w:rFonts w:ascii="Verdana" w:hAnsi="Verdana"/>
          <w:sz w:val="20"/>
          <w:lang w:val="pt-BR"/>
        </w:rPr>
        <w:t>Presidente</w:t>
      </w:r>
    </w:p>
    <w:p w14:paraId="6EC20E43" w14:textId="77777777" w:rsidR="00351A2A" w:rsidRPr="00CC275C" w:rsidRDefault="00351A2A" w:rsidP="00351A2A">
      <w:pPr>
        <w:jc w:val="both"/>
        <w:rPr>
          <w:rFonts w:ascii="Verdana" w:hAnsi="Verdana"/>
          <w:sz w:val="20"/>
          <w:lang w:val="pt-BR"/>
        </w:rPr>
      </w:pPr>
    </w:p>
    <w:p w14:paraId="25AA202B" w14:textId="77777777" w:rsidR="00351A2A" w:rsidRPr="00CC275C" w:rsidRDefault="00351A2A" w:rsidP="00351A2A">
      <w:pPr>
        <w:jc w:val="both"/>
        <w:rPr>
          <w:rFonts w:ascii="Verdana" w:hAnsi="Verdana"/>
          <w:sz w:val="20"/>
          <w:lang w:val="pt-BR"/>
        </w:rPr>
      </w:pPr>
    </w:p>
    <w:p w14:paraId="0AA0E6D1" w14:textId="77777777" w:rsidR="00351A2A" w:rsidRPr="004B7A1D" w:rsidRDefault="00351A2A" w:rsidP="00351A2A">
      <w:pPr>
        <w:jc w:val="both"/>
        <w:rPr>
          <w:rFonts w:ascii="Verdana" w:hAnsi="Verdana"/>
          <w:sz w:val="20"/>
          <w:lang w:val="es-ES"/>
        </w:rPr>
      </w:pPr>
      <w:r w:rsidRPr="004B7A1D">
        <w:rPr>
          <w:rFonts w:ascii="Verdana" w:hAnsi="Verdana"/>
          <w:sz w:val="20"/>
          <w:lang w:val="es-ES"/>
        </w:rPr>
        <w:t>Pablo Saavedra Alessandri</w:t>
      </w:r>
    </w:p>
    <w:p w14:paraId="59C3A78E" w14:textId="77777777" w:rsidR="00351A2A" w:rsidRPr="004B7A1D" w:rsidRDefault="00351A2A" w:rsidP="00351A2A">
      <w:pPr>
        <w:rPr>
          <w:rFonts w:ascii="Verdana" w:hAnsi="Verdana"/>
          <w:sz w:val="20"/>
          <w:lang w:val="es-CR"/>
        </w:rPr>
      </w:pPr>
      <w:r w:rsidRPr="004B7A1D">
        <w:rPr>
          <w:rFonts w:ascii="Verdana" w:hAnsi="Verdana"/>
          <w:sz w:val="20"/>
          <w:lang w:val="es-ES"/>
        </w:rPr>
        <w:tab/>
      </w:r>
      <w:r w:rsidRPr="004B7A1D">
        <w:rPr>
          <w:rFonts w:ascii="Verdana" w:hAnsi="Verdana"/>
          <w:sz w:val="20"/>
          <w:lang w:val="es-CR"/>
        </w:rPr>
        <w:t>Secretario</w:t>
      </w:r>
    </w:p>
    <w:p w14:paraId="41FFE54D" w14:textId="77777777" w:rsidR="00351A2A" w:rsidRPr="004B7A1D" w:rsidRDefault="00351A2A" w:rsidP="00351A2A">
      <w:pPr>
        <w:jc w:val="center"/>
        <w:rPr>
          <w:rFonts w:ascii="Verdana" w:hAnsi="Verdana"/>
          <w:sz w:val="20"/>
          <w:lang w:val="es-CR"/>
        </w:rPr>
      </w:pPr>
    </w:p>
    <w:p w14:paraId="4D972AE5" w14:textId="77777777" w:rsidR="00351A2A" w:rsidRPr="001901D0" w:rsidRDefault="00351A2A" w:rsidP="008D0338">
      <w:pPr>
        <w:rPr>
          <w:rFonts w:ascii="Verdana" w:hAnsi="Verdana"/>
          <w:sz w:val="20"/>
          <w:lang w:val="es-CR"/>
        </w:rPr>
      </w:pPr>
    </w:p>
    <w:sectPr w:rsidR="00351A2A" w:rsidRPr="001901D0" w:rsidSect="00E92BF7">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B6AF9" w14:textId="77777777" w:rsidR="006B1290" w:rsidRDefault="006B1290" w:rsidP="001E5411">
      <w:pPr>
        <w:spacing w:after="0" w:line="240" w:lineRule="auto"/>
      </w:pPr>
      <w:r>
        <w:separator/>
      </w:r>
    </w:p>
  </w:endnote>
  <w:endnote w:type="continuationSeparator" w:id="0">
    <w:p w14:paraId="230AA3C7" w14:textId="77777777" w:rsidR="006B1290" w:rsidRDefault="006B1290" w:rsidP="001E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08029" w14:textId="17490D01" w:rsidR="006B1290" w:rsidRDefault="006B1290">
    <w:pPr>
      <w:pStyle w:val="Footer"/>
      <w:jc w:val="center"/>
    </w:pPr>
  </w:p>
  <w:p w14:paraId="1591903A" w14:textId="77777777" w:rsidR="006B1290" w:rsidRDefault="006B1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7B42C" w14:textId="77777777" w:rsidR="006B1290" w:rsidRDefault="006B1290" w:rsidP="001E5411">
      <w:pPr>
        <w:spacing w:after="0" w:line="240" w:lineRule="auto"/>
      </w:pPr>
      <w:r>
        <w:separator/>
      </w:r>
    </w:p>
  </w:footnote>
  <w:footnote w:type="continuationSeparator" w:id="0">
    <w:p w14:paraId="6B98B66C" w14:textId="77777777" w:rsidR="006B1290" w:rsidRDefault="006B1290" w:rsidP="001E5411">
      <w:pPr>
        <w:spacing w:after="0" w:line="240" w:lineRule="auto"/>
      </w:pPr>
      <w:r>
        <w:continuationSeparator/>
      </w:r>
    </w:p>
  </w:footnote>
  <w:footnote w:id="1">
    <w:p w14:paraId="40B764E5" w14:textId="67B8E848" w:rsidR="006B1290" w:rsidRPr="005C60E3" w:rsidRDefault="006B1290" w:rsidP="00B22AD9">
      <w:pPr>
        <w:pStyle w:val="FootnoteText"/>
        <w:jc w:val="both"/>
        <w:rPr>
          <w:rFonts w:ascii="Verdana" w:hAnsi="Verdana"/>
          <w:sz w:val="16"/>
          <w:szCs w:val="16"/>
          <w:lang w:val="es-CR"/>
        </w:rPr>
      </w:pPr>
      <w:r w:rsidRPr="005C60E3">
        <w:rPr>
          <w:rFonts w:ascii="Verdana" w:hAnsi="Verdana"/>
          <w:sz w:val="16"/>
          <w:szCs w:val="16"/>
          <w:lang w:val="es-CR"/>
        </w:rPr>
        <w:t>*</w:t>
      </w:r>
      <w:r w:rsidRPr="005C60E3">
        <w:rPr>
          <w:rFonts w:ascii="Verdana" w:hAnsi="Verdana"/>
          <w:sz w:val="16"/>
          <w:szCs w:val="16"/>
          <w:lang w:val="es-CR"/>
        </w:rPr>
        <w:tab/>
        <w:t>La Jueza Elizabeth Odio Benito no asistió al 127º Período Ordinario de Sesiones de la Corte Interamericana por motivos de fuerza mayor, lo cual fue aceptado por el Pleno. Por esa razón no participó en la deliberación y firma de esta Resolución</w:t>
      </w:r>
    </w:p>
  </w:footnote>
  <w:footnote w:id="2">
    <w:p w14:paraId="54FD3929" w14:textId="4C472C04" w:rsidR="006B1290" w:rsidRPr="00E672B3"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r>
      <w:r w:rsidRPr="00B22AD9">
        <w:rPr>
          <w:rFonts w:ascii="Verdana" w:hAnsi="Verdana"/>
          <w:i/>
          <w:sz w:val="16"/>
          <w:szCs w:val="16"/>
          <w:lang w:val="es-CR"/>
        </w:rPr>
        <w:t>Cfr. Caso Pollo Rivera y otros Vs. Perú. Fondo, Reparaciones y Costas.</w:t>
      </w:r>
      <w:r w:rsidRPr="00B22AD9">
        <w:rPr>
          <w:rFonts w:ascii="Verdana" w:hAnsi="Verdana"/>
          <w:sz w:val="16"/>
          <w:szCs w:val="16"/>
          <w:lang w:val="es-CR"/>
        </w:rPr>
        <w:t xml:space="preserve"> Sentencia de 21 de octubre de 2016. Serie C No. 319. El texto íntegro de la Sentencia se encuentra disponible en: </w:t>
      </w:r>
      <w:r w:rsidR="00D93A3E">
        <w:fldChar w:fldCharType="begin"/>
      </w:r>
      <w:r w:rsidR="00D93A3E" w:rsidRPr="00D93A3E">
        <w:rPr>
          <w:lang w:val="es-CR"/>
        </w:rPr>
        <w:instrText xml:space="preserve"> HYPERLINK "http://www.corteidh.or.cr/docs/casos/articulos/seriec_319_esp.pdf" </w:instrText>
      </w:r>
      <w:r w:rsidR="00D93A3E">
        <w:fldChar w:fldCharType="separate"/>
      </w:r>
      <w:r w:rsidRPr="00B22AD9">
        <w:rPr>
          <w:rStyle w:val="Hyperlink"/>
          <w:rFonts w:ascii="Verdana" w:hAnsi="Verdana"/>
          <w:sz w:val="16"/>
          <w:szCs w:val="16"/>
          <w:lang w:val="es-CR"/>
        </w:rPr>
        <w:t>http://www.corteidh.or.cr/docs/casos/articulos/seriec_319_esp.pdf</w:t>
      </w:r>
      <w:r w:rsidR="00D93A3E">
        <w:rPr>
          <w:rStyle w:val="Hyperlink"/>
          <w:rFonts w:ascii="Verdana" w:hAnsi="Verdana"/>
          <w:sz w:val="16"/>
          <w:szCs w:val="16"/>
          <w:lang w:val="es-CR"/>
        </w:rPr>
        <w:fldChar w:fldCharType="end"/>
      </w:r>
      <w:r w:rsidRPr="00B22AD9">
        <w:rPr>
          <w:rFonts w:ascii="Verdana" w:hAnsi="Verdana"/>
          <w:sz w:val="16"/>
          <w:szCs w:val="16"/>
          <w:lang w:val="es-CR"/>
        </w:rPr>
        <w:t>. La Sentencia fue notificada al Estado el 9 de diciembre de 2016.</w:t>
      </w:r>
      <w:r>
        <w:rPr>
          <w:rFonts w:ascii="Verdana" w:hAnsi="Verdana"/>
          <w:sz w:val="16"/>
          <w:szCs w:val="16"/>
          <w:lang w:val="es-CR"/>
        </w:rPr>
        <w:t xml:space="preserve"> Asimismo ver: </w:t>
      </w:r>
      <w:r w:rsidRPr="00E672B3">
        <w:rPr>
          <w:rFonts w:ascii="Verdana" w:hAnsi="Verdana"/>
          <w:i/>
          <w:sz w:val="16"/>
          <w:szCs w:val="16"/>
          <w:lang w:val="es-CR"/>
        </w:rPr>
        <w:t xml:space="preserve">Caso Pollo Rivera y otros Vs. Perú. Solicitud de Interpretación de la Sentencia de Fondo, Reparaciones y Costas. </w:t>
      </w:r>
      <w:r w:rsidRPr="00E672B3">
        <w:rPr>
          <w:rFonts w:ascii="Verdana" w:hAnsi="Verdana"/>
          <w:sz w:val="16"/>
          <w:szCs w:val="16"/>
          <w:lang w:val="es-CR"/>
        </w:rPr>
        <w:t>Sentencia de 25 de mayo de 2017. Serie C No. 335.</w:t>
      </w:r>
      <w:r>
        <w:rPr>
          <w:rFonts w:ascii="Verdana" w:hAnsi="Verdana"/>
          <w:sz w:val="16"/>
          <w:szCs w:val="16"/>
          <w:lang w:val="es-CR"/>
        </w:rPr>
        <w:t xml:space="preserve"> </w:t>
      </w:r>
      <w:r w:rsidRPr="00B22AD9">
        <w:rPr>
          <w:rFonts w:ascii="Verdana" w:hAnsi="Verdana"/>
          <w:sz w:val="16"/>
          <w:szCs w:val="16"/>
          <w:lang w:val="es-CR"/>
        </w:rPr>
        <w:t>El texto íntegro se encuentra disponible en:</w:t>
      </w:r>
      <w:r>
        <w:rPr>
          <w:rFonts w:ascii="Verdana" w:hAnsi="Verdana"/>
          <w:sz w:val="16"/>
          <w:szCs w:val="16"/>
          <w:lang w:val="es-CR"/>
        </w:rPr>
        <w:t xml:space="preserve"> </w:t>
      </w:r>
      <w:hyperlink r:id="rId1" w:history="1">
        <w:r w:rsidRPr="00F53ED5">
          <w:rPr>
            <w:rStyle w:val="Hyperlink"/>
            <w:rFonts w:ascii="Verdana" w:hAnsi="Verdana"/>
            <w:sz w:val="16"/>
            <w:szCs w:val="16"/>
            <w:lang w:val="es-CR"/>
          </w:rPr>
          <w:t>http://www.corteidh.or.cr/docs/casos/articulos/seriec_335_esp.pdf</w:t>
        </w:r>
      </w:hyperlink>
      <w:r>
        <w:rPr>
          <w:rFonts w:ascii="Verdana" w:hAnsi="Verdana"/>
          <w:sz w:val="16"/>
          <w:szCs w:val="16"/>
          <w:lang w:val="es-CR"/>
        </w:rPr>
        <w:t xml:space="preserve">. </w:t>
      </w:r>
    </w:p>
  </w:footnote>
  <w:footnote w:id="3">
    <w:p w14:paraId="3120BB0F" w14:textId="77777777"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r>
      <w:r w:rsidRPr="00B22AD9">
        <w:rPr>
          <w:rFonts w:ascii="Verdana" w:hAnsi="Verdana"/>
          <w:i/>
          <w:sz w:val="16"/>
          <w:szCs w:val="16"/>
          <w:lang w:val="es-CR"/>
        </w:rPr>
        <w:t>Cfr. Caso Lagos del Campo Vs. Perú. Excepciones Preliminares, Fondo, Reparaciones y Costas</w:t>
      </w:r>
      <w:r w:rsidRPr="00B22AD9">
        <w:rPr>
          <w:rFonts w:ascii="Verdana" w:hAnsi="Verdana"/>
          <w:sz w:val="16"/>
          <w:szCs w:val="16"/>
          <w:lang w:val="es-CR"/>
        </w:rPr>
        <w:t xml:space="preserve">. Sentencia de 31 de agosto de 2017. Serie C No. 340. El texto íntegro de la Sentencia se encuentra disponible en: </w:t>
      </w:r>
      <w:hyperlink r:id="rId2" w:history="1">
        <w:r w:rsidRPr="00B22AD9">
          <w:rPr>
            <w:rStyle w:val="Hyperlink"/>
            <w:rFonts w:ascii="Verdana" w:hAnsi="Verdana"/>
            <w:sz w:val="16"/>
            <w:szCs w:val="16"/>
            <w:lang w:val="es-CR"/>
          </w:rPr>
          <w:t>http://www.corteidh.or.cr/docs/casos/articulos/seriec_340_esp.pdf</w:t>
        </w:r>
      </w:hyperlink>
      <w:r w:rsidRPr="00B22AD9">
        <w:rPr>
          <w:rFonts w:ascii="Verdana" w:hAnsi="Verdana"/>
          <w:sz w:val="16"/>
          <w:szCs w:val="16"/>
          <w:lang w:val="es-CR"/>
        </w:rPr>
        <w:t xml:space="preserve">. La Sentencia fue notificada al Estado el 13 de noviembre de 2017. </w:t>
      </w:r>
    </w:p>
  </w:footnote>
  <w:footnote w:id="4">
    <w:p w14:paraId="35B027C2" w14:textId="232FFA47"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 xml:space="preserve">Dichos familiares son: María Asunción Rivera Sono, Eugenia Luz Del Pino Cenzano, Juan Manuel, María Eugenia y Luis Eduardo Pollo Del Pino, Luz María Regina Pollo Rivera, María Mercedes Ricse Dionisio y Milagros de Jesús Pollo Ricse. </w:t>
      </w:r>
      <w:r w:rsidRPr="00B22AD9">
        <w:rPr>
          <w:rFonts w:ascii="Verdana" w:hAnsi="Verdana"/>
          <w:i/>
          <w:sz w:val="16"/>
          <w:szCs w:val="16"/>
          <w:lang w:val="es-CR"/>
        </w:rPr>
        <w:t xml:space="preserve">Cfr. Caso Pollo Rivera y otros Vs. Perú, supra </w:t>
      </w:r>
      <w:r w:rsidRPr="00B22AD9">
        <w:rPr>
          <w:rFonts w:ascii="Verdana" w:hAnsi="Verdana"/>
          <w:sz w:val="16"/>
          <w:szCs w:val="16"/>
          <w:lang w:val="es-CR"/>
        </w:rPr>
        <w:t>nota 1, párr. 271.</w:t>
      </w:r>
    </w:p>
  </w:footnote>
  <w:footnote w:id="5">
    <w:p w14:paraId="6E8416EA" w14:textId="6393CBF1" w:rsidR="006B1290" w:rsidRPr="00C034A8" w:rsidRDefault="006B1290" w:rsidP="00AA24D0">
      <w:pPr>
        <w:pStyle w:val="FootnoteText"/>
        <w:jc w:val="both"/>
        <w:rPr>
          <w:rFonts w:ascii="Verdana" w:hAnsi="Verdana"/>
          <w:sz w:val="16"/>
          <w:szCs w:val="16"/>
          <w:lang w:val="es-CR"/>
        </w:rPr>
      </w:pPr>
      <w:r w:rsidRPr="00C034A8">
        <w:rPr>
          <w:rStyle w:val="FootnoteReference"/>
          <w:rFonts w:ascii="Verdana" w:hAnsi="Verdana"/>
          <w:sz w:val="16"/>
          <w:szCs w:val="16"/>
        </w:rPr>
        <w:footnoteRef/>
      </w:r>
      <w:r w:rsidRPr="00C034A8">
        <w:rPr>
          <w:rFonts w:ascii="Verdana" w:hAnsi="Verdana"/>
          <w:sz w:val="16"/>
          <w:szCs w:val="16"/>
          <w:lang w:val="es-CR"/>
        </w:rPr>
        <w:t xml:space="preserve"> </w:t>
      </w:r>
      <w:r w:rsidRPr="00C034A8">
        <w:rPr>
          <w:rFonts w:ascii="Verdana" w:hAnsi="Verdana"/>
          <w:sz w:val="16"/>
          <w:szCs w:val="16"/>
          <w:lang w:val="es-CR"/>
        </w:rPr>
        <w:tab/>
      </w:r>
      <w:r>
        <w:rPr>
          <w:rFonts w:ascii="Verdana" w:hAnsi="Verdana"/>
          <w:sz w:val="16"/>
          <w:szCs w:val="16"/>
          <w:lang w:val="es-CR"/>
        </w:rPr>
        <w:t xml:space="preserve">Respecto a dichas violaciones, la Corte estableció </w:t>
      </w:r>
      <w:r w:rsidRPr="00AA24D0">
        <w:rPr>
          <w:rFonts w:ascii="Verdana" w:hAnsi="Verdana"/>
          <w:sz w:val="16"/>
          <w:szCs w:val="16"/>
          <w:lang w:val="es-CR"/>
        </w:rPr>
        <w:t>que: i) en el proceso de segunda instancia no se valoraron los alegatos</w:t>
      </w:r>
      <w:r>
        <w:rPr>
          <w:rFonts w:ascii="Verdana" w:hAnsi="Verdana"/>
          <w:sz w:val="16"/>
          <w:szCs w:val="16"/>
          <w:lang w:val="es-CR"/>
        </w:rPr>
        <w:t xml:space="preserve"> </w:t>
      </w:r>
      <w:r w:rsidRPr="00AA24D0">
        <w:rPr>
          <w:rFonts w:ascii="Verdana" w:hAnsi="Verdana"/>
          <w:sz w:val="16"/>
          <w:szCs w:val="16"/>
          <w:lang w:val="es-CR"/>
        </w:rPr>
        <w:t>de defensa de la víctima, lo cual no fue corregido en las diversas instancias; ii) el primer</w:t>
      </w:r>
      <w:r>
        <w:rPr>
          <w:rFonts w:ascii="Verdana" w:hAnsi="Verdana"/>
          <w:sz w:val="16"/>
          <w:szCs w:val="16"/>
          <w:lang w:val="es-CR"/>
        </w:rPr>
        <w:t xml:space="preserve"> </w:t>
      </w:r>
      <w:r w:rsidRPr="00AA24D0">
        <w:rPr>
          <w:rFonts w:ascii="Verdana" w:hAnsi="Verdana"/>
          <w:sz w:val="16"/>
          <w:szCs w:val="16"/>
          <w:lang w:val="es-CR"/>
        </w:rPr>
        <w:t xml:space="preserve">recurso de nulidad fue conocido y denegado por el mismo </w:t>
      </w:r>
      <w:r w:rsidR="00020F31">
        <w:rPr>
          <w:rFonts w:ascii="Verdana" w:hAnsi="Verdana"/>
          <w:sz w:val="16"/>
          <w:szCs w:val="16"/>
          <w:lang w:val="es-CR"/>
        </w:rPr>
        <w:t>t</w:t>
      </w:r>
      <w:r w:rsidRPr="00AA24D0">
        <w:rPr>
          <w:rFonts w:ascii="Verdana" w:hAnsi="Verdana"/>
          <w:sz w:val="16"/>
          <w:szCs w:val="16"/>
          <w:lang w:val="es-CR"/>
        </w:rPr>
        <w:t xml:space="preserve">ribunal que avaló el despido; iii) </w:t>
      </w:r>
      <w:r w:rsidR="00020F31">
        <w:rPr>
          <w:rFonts w:ascii="Verdana" w:hAnsi="Verdana"/>
          <w:sz w:val="16"/>
          <w:szCs w:val="16"/>
          <w:lang w:val="es-CR"/>
        </w:rPr>
        <w:t xml:space="preserve">la sentencia que resolvió </w:t>
      </w:r>
      <w:r w:rsidRPr="00AA24D0">
        <w:rPr>
          <w:rFonts w:ascii="Verdana" w:hAnsi="Verdana"/>
          <w:sz w:val="16"/>
          <w:szCs w:val="16"/>
          <w:lang w:val="es-CR"/>
        </w:rPr>
        <w:t>el</w:t>
      </w:r>
      <w:r>
        <w:rPr>
          <w:rFonts w:ascii="Verdana" w:hAnsi="Verdana"/>
          <w:sz w:val="16"/>
          <w:szCs w:val="16"/>
          <w:lang w:val="es-CR"/>
        </w:rPr>
        <w:t xml:space="preserve"> </w:t>
      </w:r>
      <w:r w:rsidRPr="00AA24D0">
        <w:rPr>
          <w:rFonts w:ascii="Verdana" w:hAnsi="Verdana"/>
          <w:sz w:val="16"/>
          <w:szCs w:val="16"/>
          <w:lang w:val="es-CR"/>
        </w:rPr>
        <w:t>recurso de amparo no se pronunció sobre los derechos sustantivos alegados</w:t>
      </w:r>
      <w:r>
        <w:rPr>
          <w:rFonts w:ascii="Verdana" w:hAnsi="Verdana"/>
          <w:sz w:val="16"/>
          <w:szCs w:val="16"/>
          <w:lang w:val="es-CR"/>
        </w:rPr>
        <w:t xml:space="preserve"> </w:t>
      </w:r>
      <w:r w:rsidRPr="00AA24D0">
        <w:rPr>
          <w:rFonts w:ascii="Verdana" w:hAnsi="Verdana"/>
          <w:sz w:val="16"/>
          <w:szCs w:val="16"/>
          <w:lang w:val="es-CR"/>
        </w:rPr>
        <w:t>por el señor Lagos del Campo, al considerar que era cosa juzgada, y iv) se le exigió que</w:t>
      </w:r>
      <w:r>
        <w:rPr>
          <w:rFonts w:ascii="Verdana" w:hAnsi="Verdana"/>
          <w:sz w:val="16"/>
          <w:szCs w:val="16"/>
          <w:lang w:val="es-CR"/>
        </w:rPr>
        <w:t xml:space="preserve"> </w:t>
      </w:r>
      <w:r w:rsidRPr="00AA24D0">
        <w:rPr>
          <w:rFonts w:ascii="Verdana" w:hAnsi="Verdana"/>
          <w:sz w:val="16"/>
          <w:szCs w:val="16"/>
          <w:lang w:val="es-CR"/>
        </w:rPr>
        <w:t>agotará un recurso que a la época de los hechos era ilusorio.</w:t>
      </w:r>
    </w:p>
  </w:footnote>
  <w:footnote w:id="6">
    <w:p w14:paraId="2E7B928A" w14:textId="2863970E"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Escritos de 12 de diciembre de 2016, 30 de diciembre de 2016, 18 de agosto de 2017,</w:t>
      </w:r>
      <w:r w:rsidRPr="00B22AD9">
        <w:rPr>
          <w:rFonts w:ascii="Verdana" w:hAnsi="Verdana"/>
          <w:b/>
          <w:sz w:val="16"/>
          <w:szCs w:val="16"/>
          <w:lang w:val="es-CR"/>
        </w:rPr>
        <w:t xml:space="preserve"> </w:t>
      </w:r>
      <w:r w:rsidRPr="00B22AD9">
        <w:rPr>
          <w:rFonts w:ascii="Verdana" w:hAnsi="Verdana"/>
          <w:sz w:val="16"/>
          <w:szCs w:val="16"/>
          <w:lang w:val="es-CR"/>
        </w:rPr>
        <w:t xml:space="preserve">12 de diciembre de 2017 y 23 de julio de 2018. </w:t>
      </w:r>
    </w:p>
  </w:footnote>
  <w:footnote w:id="7">
    <w:p w14:paraId="180445BF" w14:textId="448E8D91"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Escritos de 18 de diciembre de 2017 y 2</w:t>
      </w:r>
      <w:r>
        <w:rPr>
          <w:rFonts w:ascii="Verdana" w:hAnsi="Verdana"/>
          <w:sz w:val="16"/>
          <w:szCs w:val="16"/>
          <w:lang w:val="es-CR"/>
        </w:rPr>
        <w:t>3</w:t>
      </w:r>
      <w:r w:rsidRPr="00B22AD9">
        <w:rPr>
          <w:rFonts w:ascii="Verdana" w:hAnsi="Verdana"/>
          <w:sz w:val="16"/>
          <w:szCs w:val="16"/>
          <w:lang w:val="es-CR"/>
        </w:rPr>
        <w:t xml:space="preserve"> de julio de 2018. </w:t>
      </w:r>
    </w:p>
  </w:footnote>
  <w:footnote w:id="8">
    <w:p w14:paraId="7637A6D4" w14:textId="0ABE1052"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 xml:space="preserve">En el caso </w:t>
      </w:r>
      <w:r w:rsidRPr="00B22AD9">
        <w:rPr>
          <w:rFonts w:ascii="Verdana" w:hAnsi="Verdana"/>
          <w:i/>
          <w:sz w:val="16"/>
          <w:szCs w:val="16"/>
          <w:lang w:val="es-CR"/>
        </w:rPr>
        <w:t>Pollo Rivera y otros</w:t>
      </w:r>
      <w:r w:rsidRPr="00B22AD9">
        <w:rPr>
          <w:rFonts w:ascii="Verdana" w:hAnsi="Verdana"/>
          <w:sz w:val="16"/>
          <w:szCs w:val="16"/>
          <w:lang w:val="es-CR"/>
        </w:rPr>
        <w:t xml:space="preserve"> fueron designados dos intervinientes comunes: a) los defensores interamericanos Carlos Eduardo Barros da Silva y Lisy Bogado, quienes representan a las víctimas de la familia Silva Pollo y de la familia Pollo del Pino, y b) los señores Andrés Coello Cruz y Manuel Andrés Coello Cáceres, quienes representan a las víctimas María Mercedes Ricse Dionisio y Milagros de Jesús Pollo Ricse.</w:t>
      </w:r>
    </w:p>
  </w:footnote>
  <w:footnote w:id="9">
    <w:p w14:paraId="1816E7DF" w14:textId="5AE8F8D5"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t>Escritos de 6 de febrero, 13 de febrero y</w:t>
      </w:r>
      <w:r w:rsidRPr="00B22AD9">
        <w:rPr>
          <w:rFonts w:ascii="Verdana" w:hAnsi="Verdana"/>
          <w:sz w:val="16"/>
          <w:szCs w:val="16"/>
          <w:lang w:val="es-CR"/>
        </w:rPr>
        <w:t xml:space="preserve"> 20 de octubre de 2017, </w:t>
      </w:r>
      <w:r>
        <w:rPr>
          <w:rFonts w:ascii="Verdana" w:hAnsi="Verdana"/>
          <w:sz w:val="16"/>
          <w:szCs w:val="16"/>
          <w:lang w:val="es-CR"/>
        </w:rPr>
        <w:t xml:space="preserve">así como </w:t>
      </w:r>
      <w:r w:rsidRPr="00B22AD9">
        <w:rPr>
          <w:rFonts w:ascii="Verdana" w:hAnsi="Verdana"/>
          <w:sz w:val="16"/>
          <w:szCs w:val="16"/>
          <w:lang w:val="es-CR"/>
        </w:rPr>
        <w:t>18 de enero</w:t>
      </w:r>
      <w:r>
        <w:rPr>
          <w:rFonts w:ascii="Verdana" w:hAnsi="Verdana"/>
          <w:sz w:val="16"/>
          <w:szCs w:val="16"/>
          <w:lang w:val="es-CR"/>
        </w:rPr>
        <w:t>,</w:t>
      </w:r>
      <w:r w:rsidRPr="00B22AD9">
        <w:rPr>
          <w:rFonts w:ascii="Verdana" w:hAnsi="Verdana"/>
          <w:sz w:val="16"/>
          <w:szCs w:val="16"/>
          <w:lang w:val="es-CR"/>
        </w:rPr>
        <w:t xml:space="preserve"> 2</w:t>
      </w:r>
      <w:r>
        <w:rPr>
          <w:rFonts w:ascii="Verdana" w:hAnsi="Verdana"/>
          <w:sz w:val="16"/>
          <w:szCs w:val="16"/>
          <w:lang w:val="es-CR"/>
        </w:rPr>
        <w:t xml:space="preserve">2 de enero, 31 de mayo y 12 de junio </w:t>
      </w:r>
      <w:r w:rsidRPr="00B22AD9">
        <w:rPr>
          <w:rFonts w:ascii="Verdana" w:hAnsi="Verdana"/>
          <w:sz w:val="16"/>
          <w:szCs w:val="16"/>
          <w:lang w:val="es-CR"/>
        </w:rPr>
        <w:t>de 2018.</w:t>
      </w:r>
    </w:p>
  </w:footnote>
  <w:footnote w:id="10">
    <w:p w14:paraId="2BBF3F42" w14:textId="366C7103"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 xml:space="preserve">La víctima del caso </w:t>
      </w:r>
      <w:r w:rsidRPr="00B22AD9">
        <w:rPr>
          <w:rFonts w:ascii="Verdana" w:hAnsi="Verdana"/>
          <w:i/>
          <w:sz w:val="16"/>
          <w:szCs w:val="16"/>
          <w:lang w:val="es-CR"/>
        </w:rPr>
        <w:t>Lagos del Campo</w:t>
      </w:r>
      <w:r w:rsidRPr="00B22AD9">
        <w:rPr>
          <w:rFonts w:ascii="Verdana" w:hAnsi="Verdana"/>
          <w:sz w:val="16"/>
          <w:szCs w:val="16"/>
          <w:lang w:val="es-CR"/>
        </w:rPr>
        <w:t xml:space="preserve"> es representada por la organización no gubernamental Asociación Pro Derechos Humanos (APRODEH). </w:t>
      </w:r>
    </w:p>
  </w:footnote>
  <w:footnote w:id="11">
    <w:p w14:paraId="67482CB5" w14:textId="29BE10DB"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Escrito de 22 de febrero de 2018.</w:t>
      </w:r>
    </w:p>
  </w:footnote>
  <w:footnote w:id="12">
    <w:p w14:paraId="589D9EE9" w14:textId="5F464905"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 xml:space="preserve">Escritos de 5 de abril </w:t>
      </w:r>
      <w:r>
        <w:rPr>
          <w:rFonts w:ascii="Verdana" w:hAnsi="Verdana"/>
          <w:sz w:val="16"/>
          <w:szCs w:val="16"/>
          <w:lang w:val="es-CR"/>
        </w:rPr>
        <w:t>y 26 de diciembre de 2017, así como 15 de junio de 2018.</w:t>
      </w:r>
    </w:p>
  </w:footnote>
  <w:footnote w:id="13">
    <w:p w14:paraId="14E4B203" w14:textId="03687517"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 xml:space="preserve">Escrito de 15 de junio de 2018. </w:t>
      </w:r>
    </w:p>
  </w:footnote>
  <w:footnote w:id="14">
    <w:p w14:paraId="1B7A0EAA" w14:textId="77777777"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 xml:space="preserve">Facultad que además se desprende de lo dispuesto en los artículos 33, 62.1, 62.3 y 65 de la Convención Americana y 30 de su Estatuto y se encuentra regulada en el artículo 69 de su Reglamento. </w:t>
      </w:r>
    </w:p>
  </w:footnote>
  <w:footnote w:id="15">
    <w:p w14:paraId="5CBF1ABD" w14:textId="3BEDA0CA"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 xml:space="preserve">Las medidas ordenadas en la Sentencia del caso </w:t>
      </w:r>
      <w:r w:rsidRPr="00B22AD9">
        <w:rPr>
          <w:rFonts w:ascii="Verdana" w:hAnsi="Verdana"/>
          <w:i/>
          <w:sz w:val="16"/>
          <w:szCs w:val="16"/>
          <w:lang w:val="es-CR"/>
        </w:rPr>
        <w:t>Pollo Rivera y otros</w:t>
      </w:r>
      <w:r w:rsidRPr="00B22AD9">
        <w:rPr>
          <w:rFonts w:ascii="Verdana" w:hAnsi="Verdana"/>
          <w:sz w:val="16"/>
          <w:szCs w:val="16"/>
          <w:lang w:val="es-CR"/>
        </w:rPr>
        <w:t xml:space="preserve"> son: a) continuar y concluir la investigación en curso por los hechos de tortura y otros tratos crueles, inhumanos o degradantes sufridos por el señor Pollo Rivera y, de ser procedente, procesar y, en su caso, sancionar a los responsables (punto dispositivo séptimo de la Sentencia); b) realizar la</w:t>
      </w:r>
      <w:r>
        <w:rPr>
          <w:rFonts w:ascii="Verdana" w:hAnsi="Verdana"/>
          <w:sz w:val="16"/>
          <w:szCs w:val="16"/>
          <w:lang w:val="es-CR"/>
        </w:rPr>
        <w:t xml:space="preserve"> publicación y difusión de </w:t>
      </w:r>
      <w:r w:rsidRPr="00B22AD9">
        <w:rPr>
          <w:rFonts w:ascii="Verdana" w:hAnsi="Verdana"/>
          <w:sz w:val="16"/>
          <w:szCs w:val="16"/>
          <w:lang w:val="es-CR"/>
        </w:rPr>
        <w:t>la Sentencia (punto dispositivo octavo de la Sentencia</w:t>
      </w:r>
      <w:r w:rsidRPr="00B22AD9">
        <w:rPr>
          <w:rFonts w:ascii="Verdana" w:hAnsi="Verdana"/>
          <w:i/>
          <w:sz w:val="16"/>
          <w:szCs w:val="16"/>
          <w:lang w:val="es-CR"/>
        </w:rPr>
        <w:t>)</w:t>
      </w:r>
      <w:r w:rsidRPr="00B22AD9">
        <w:rPr>
          <w:rFonts w:ascii="Verdana" w:hAnsi="Verdana"/>
          <w:sz w:val="16"/>
          <w:szCs w:val="16"/>
          <w:lang w:val="es-CR"/>
        </w:rPr>
        <w:t>; c) pagar las cantidades fijadas por concepto de indemnizaciones por daños materiales e inmateriales (punto dispositivo noveno de la Sentencia), y d) realizar el reintegro de costas y gastos (punto dispositivo noveno de la Sentencia).</w:t>
      </w:r>
    </w:p>
  </w:footnote>
  <w:footnote w:id="16">
    <w:p w14:paraId="78D91CF5" w14:textId="6CAD43FD"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 xml:space="preserve">Las medidas ordenadas en la Sentencia del caso </w:t>
      </w:r>
      <w:r w:rsidRPr="00B22AD9">
        <w:rPr>
          <w:rFonts w:ascii="Verdana" w:hAnsi="Verdana"/>
          <w:i/>
          <w:sz w:val="16"/>
          <w:szCs w:val="16"/>
          <w:lang w:val="es-CR"/>
        </w:rPr>
        <w:t>Lagos del Campo</w:t>
      </w:r>
      <w:r w:rsidRPr="00B22AD9">
        <w:rPr>
          <w:rFonts w:ascii="Verdana" w:hAnsi="Verdana"/>
          <w:sz w:val="16"/>
          <w:szCs w:val="16"/>
          <w:lang w:val="es-CR"/>
        </w:rPr>
        <w:t xml:space="preserve"> son: a) realizar </w:t>
      </w:r>
      <w:r>
        <w:rPr>
          <w:rFonts w:ascii="Verdana" w:hAnsi="Verdana"/>
          <w:sz w:val="16"/>
          <w:szCs w:val="16"/>
          <w:lang w:val="es-CR"/>
        </w:rPr>
        <w:t>la publicación y difusión de</w:t>
      </w:r>
      <w:r w:rsidRPr="00B22AD9">
        <w:rPr>
          <w:rFonts w:ascii="Verdana" w:hAnsi="Verdana"/>
          <w:sz w:val="16"/>
          <w:szCs w:val="16"/>
          <w:lang w:val="es-CR"/>
        </w:rPr>
        <w:t xml:space="preserve"> la Sentencia (punto dispositivo décimo de la Sentencia</w:t>
      </w:r>
      <w:r w:rsidRPr="00B22AD9">
        <w:rPr>
          <w:rFonts w:ascii="Verdana" w:hAnsi="Verdana"/>
          <w:i/>
          <w:sz w:val="16"/>
          <w:szCs w:val="16"/>
          <w:lang w:val="es-CR"/>
        </w:rPr>
        <w:t>)</w:t>
      </w:r>
      <w:r w:rsidRPr="00B22AD9">
        <w:rPr>
          <w:rFonts w:ascii="Verdana" w:hAnsi="Verdana"/>
          <w:sz w:val="16"/>
          <w:szCs w:val="16"/>
          <w:lang w:val="es-CR"/>
        </w:rPr>
        <w:t>;</w:t>
      </w:r>
      <w:r w:rsidRPr="00B22AD9">
        <w:rPr>
          <w:rFonts w:ascii="Verdana" w:hAnsi="Verdana"/>
          <w:i/>
          <w:sz w:val="16"/>
          <w:szCs w:val="16"/>
          <w:lang w:val="es-CR"/>
        </w:rPr>
        <w:t xml:space="preserve"> </w:t>
      </w:r>
      <w:r w:rsidRPr="00B22AD9">
        <w:rPr>
          <w:rFonts w:ascii="Verdana" w:hAnsi="Verdana"/>
          <w:sz w:val="16"/>
          <w:szCs w:val="16"/>
          <w:lang w:val="es-CR"/>
        </w:rPr>
        <w:t>b) pagar las cantidades fijadas por concepto de indemnización por daño</w:t>
      </w:r>
      <w:r>
        <w:rPr>
          <w:rFonts w:ascii="Verdana" w:hAnsi="Verdana"/>
          <w:sz w:val="16"/>
          <w:szCs w:val="16"/>
          <w:lang w:val="es-CR"/>
        </w:rPr>
        <w:t>s</w:t>
      </w:r>
      <w:r w:rsidRPr="00B22AD9">
        <w:rPr>
          <w:rFonts w:ascii="Verdana" w:hAnsi="Verdana"/>
          <w:sz w:val="16"/>
          <w:szCs w:val="16"/>
          <w:lang w:val="es-CR"/>
        </w:rPr>
        <w:t xml:space="preserve"> material</w:t>
      </w:r>
      <w:r>
        <w:rPr>
          <w:rFonts w:ascii="Verdana" w:hAnsi="Verdana"/>
          <w:sz w:val="16"/>
          <w:szCs w:val="16"/>
          <w:lang w:val="es-CR"/>
        </w:rPr>
        <w:t>es</w:t>
      </w:r>
      <w:r w:rsidRPr="00B22AD9">
        <w:rPr>
          <w:rFonts w:ascii="Verdana" w:hAnsi="Verdana"/>
          <w:sz w:val="16"/>
          <w:szCs w:val="16"/>
          <w:lang w:val="es-CR"/>
        </w:rPr>
        <w:t xml:space="preserve"> e inmaterial</w:t>
      </w:r>
      <w:r>
        <w:rPr>
          <w:rFonts w:ascii="Verdana" w:hAnsi="Verdana"/>
          <w:sz w:val="16"/>
          <w:szCs w:val="16"/>
          <w:lang w:val="es-CR"/>
        </w:rPr>
        <w:t>es</w:t>
      </w:r>
      <w:r w:rsidRPr="00B22AD9">
        <w:rPr>
          <w:rFonts w:ascii="Verdana" w:hAnsi="Verdana"/>
          <w:sz w:val="16"/>
          <w:szCs w:val="16"/>
          <w:lang w:val="es-CR"/>
        </w:rPr>
        <w:t xml:space="preserve"> (punto dispositivo décimo primero de la Sentencia), y c) realizar el reintegro de costas y gastos (punto dispositivo décimo primero de la Sentencia). </w:t>
      </w:r>
    </w:p>
  </w:footnote>
  <w:footnote w:id="17">
    <w:p w14:paraId="4FB73EAA" w14:textId="77777777" w:rsidR="00A84C71" w:rsidRPr="00B22AD9" w:rsidRDefault="00A84C71" w:rsidP="00A84C71">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r>
      <w:r w:rsidRPr="00B22AD9">
        <w:rPr>
          <w:rFonts w:ascii="Verdana" w:hAnsi="Verdana"/>
          <w:i/>
          <w:sz w:val="16"/>
          <w:szCs w:val="16"/>
          <w:lang w:val="es-CR"/>
        </w:rPr>
        <w:t xml:space="preserve">Cfr. Casos Pollo Rivera y otros y Lagos del Campo Vs. Perú. Reintegro al Fondo de Asistencia Legal de Víctimas. </w:t>
      </w:r>
      <w:r w:rsidRPr="00B22AD9">
        <w:rPr>
          <w:rFonts w:ascii="Verdana" w:hAnsi="Verdana"/>
          <w:sz w:val="16"/>
          <w:szCs w:val="16"/>
          <w:lang w:val="es-CR"/>
        </w:rPr>
        <w:t xml:space="preserve">Resolución de la Corte Interamericana de Derechos Humanos de 30 de mayo de 2018, disponible en: </w:t>
      </w:r>
      <w:hyperlink r:id="rId3" w:history="1">
        <w:r w:rsidRPr="00B22AD9">
          <w:rPr>
            <w:rStyle w:val="Hyperlink"/>
            <w:rFonts w:ascii="Verdana" w:hAnsi="Verdana"/>
            <w:sz w:val="16"/>
            <w:szCs w:val="16"/>
            <w:lang w:val="es-CR"/>
          </w:rPr>
          <w:t>http://www.corteidh.or.cr/docs/asuntos/pollo_lagos_fv_18.pdf</w:t>
        </w:r>
      </w:hyperlink>
      <w:r w:rsidRPr="00B22AD9">
        <w:rPr>
          <w:rFonts w:ascii="Verdana" w:hAnsi="Verdana"/>
          <w:sz w:val="16"/>
          <w:szCs w:val="16"/>
          <w:lang w:val="es-CR"/>
        </w:rPr>
        <w:t xml:space="preserve">. </w:t>
      </w:r>
    </w:p>
  </w:footnote>
  <w:footnote w:id="18">
    <w:p w14:paraId="04F48942" w14:textId="0E4A9AB2"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r>
      <w:r w:rsidRPr="00B22AD9">
        <w:rPr>
          <w:rFonts w:ascii="Verdana" w:hAnsi="Verdana"/>
          <w:i/>
          <w:sz w:val="16"/>
          <w:szCs w:val="16"/>
          <w:lang w:val="es-CR"/>
        </w:rPr>
        <w:t xml:space="preserve">Cfr. Caso Cinco Pensionistas Vs. Perú. Supervisión de Cumplimiento de Sentencia. </w:t>
      </w:r>
      <w:r w:rsidRPr="00B22AD9">
        <w:rPr>
          <w:rFonts w:ascii="Verdana" w:hAnsi="Verdana"/>
          <w:sz w:val="16"/>
          <w:szCs w:val="16"/>
          <w:lang w:val="es-CR"/>
        </w:rPr>
        <w:t xml:space="preserve">Resolución de la Corte Interamericana de Derechos Humanos de 17 de noviembre de 2004, Considerando 5, y </w:t>
      </w:r>
      <w:r w:rsidRPr="00C61C3D">
        <w:rPr>
          <w:rFonts w:ascii="Verdana" w:hAnsi="Verdana"/>
          <w:i/>
          <w:sz w:val="16"/>
          <w:szCs w:val="16"/>
          <w:lang w:val="es-CR"/>
        </w:rPr>
        <w:t xml:space="preserve">Caso Barrios Altos y Caso La Cantuta Vs. Perú. Supervisión de Cumplimiento de Sentencia. </w:t>
      </w:r>
      <w:r w:rsidRPr="00C61C3D">
        <w:rPr>
          <w:rFonts w:ascii="Verdana" w:hAnsi="Verdana"/>
          <w:sz w:val="16"/>
          <w:szCs w:val="16"/>
          <w:lang w:val="es-CR"/>
        </w:rPr>
        <w:t>Resolución de la Corte Interamericana de Derechos Humanos de 30 de mayo de 2018</w:t>
      </w:r>
      <w:r>
        <w:rPr>
          <w:rFonts w:ascii="Verdana" w:hAnsi="Verdana"/>
          <w:sz w:val="16"/>
          <w:szCs w:val="16"/>
          <w:lang w:val="es-CR"/>
        </w:rPr>
        <w:t>,</w:t>
      </w:r>
      <w:r w:rsidRPr="00B22AD9">
        <w:rPr>
          <w:rFonts w:ascii="Verdana" w:hAnsi="Verdana"/>
          <w:sz w:val="16"/>
          <w:szCs w:val="16"/>
          <w:lang w:val="es-CR"/>
        </w:rPr>
        <w:t xml:space="preserve"> Considerando 2.</w:t>
      </w:r>
    </w:p>
  </w:footnote>
  <w:footnote w:id="19">
    <w:p w14:paraId="34914C27" w14:textId="2F9ED14E"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r>
      <w:r w:rsidRPr="00B22AD9">
        <w:rPr>
          <w:rFonts w:ascii="Verdana" w:hAnsi="Verdana"/>
          <w:i/>
          <w:sz w:val="16"/>
          <w:szCs w:val="16"/>
          <w:lang w:val="es-CR"/>
        </w:rPr>
        <w:t xml:space="preserve">Cfr. Caso Ivcher Bronstein Vs. Perú. Competencia. </w:t>
      </w:r>
      <w:r w:rsidRPr="00B22AD9">
        <w:rPr>
          <w:rFonts w:ascii="Verdana" w:hAnsi="Verdana"/>
          <w:sz w:val="16"/>
          <w:szCs w:val="16"/>
          <w:lang w:val="es-CR"/>
        </w:rPr>
        <w:t>Sentencia de 24 de septiembre de</w:t>
      </w:r>
      <w:r>
        <w:rPr>
          <w:rFonts w:ascii="Verdana" w:hAnsi="Verdana"/>
          <w:sz w:val="16"/>
          <w:szCs w:val="16"/>
          <w:lang w:val="es-CR"/>
        </w:rPr>
        <w:t xml:space="preserve"> 1999</w:t>
      </w:r>
      <w:r w:rsidRPr="00B22AD9">
        <w:rPr>
          <w:rFonts w:ascii="Verdana" w:hAnsi="Verdana"/>
          <w:sz w:val="16"/>
          <w:szCs w:val="16"/>
          <w:lang w:val="es-CR"/>
        </w:rPr>
        <w:t xml:space="preserve">. Serie C No 54, párr. 37, y </w:t>
      </w:r>
      <w:r w:rsidRPr="00C61C3D">
        <w:rPr>
          <w:rFonts w:ascii="Verdana" w:hAnsi="Verdana"/>
          <w:i/>
          <w:sz w:val="16"/>
          <w:szCs w:val="16"/>
          <w:lang w:val="es-CR"/>
        </w:rPr>
        <w:t>Caso Barrios A</w:t>
      </w:r>
      <w:r w:rsidR="00F554AE">
        <w:rPr>
          <w:rFonts w:ascii="Verdana" w:hAnsi="Verdana"/>
          <w:i/>
          <w:sz w:val="16"/>
          <w:szCs w:val="16"/>
          <w:lang w:val="es-CR"/>
        </w:rPr>
        <w:t>ltos y Caso La Cantuta Vs. Perú</w:t>
      </w:r>
      <w:r w:rsidRPr="00B22AD9">
        <w:rPr>
          <w:rFonts w:ascii="Verdana" w:hAnsi="Verdana"/>
          <w:sz w:val="16"/>
          <w:szCs w:val="16"/>
          <w:lang w:val="es-CR"/>
        </w:rPr>
        <w:t>,</w:t>
      </w:r>
      <w:r w:rsidR="00F554AE">
        <w:rPr>
          <w:rFonts w:ascii="Verdana" w:hAnsi="Verdana"/>
          <w:sz w:val="16"/>
          <w:szCs w:val="16"/>
          <w:lang w:val="es-CR"/>
        </w:rPr>
        <w:t xml:space="preserve"> </w:t>
      </w:r>
      <w:r w:rsidR="00F554AE">
        <w:rPr>
          <w:rFonts w:ascii="Verdana" w:hAnsi="Verdana"/>
          <w:i/>
          <w:sz w:val="16"/>
          <w:szCs w:val="16"/>
          <w:lang w:val="es-CR"/>
        </w:rPr>
        <w:t>supra</w:t>
      </w:r>
      <w:r w:rsidR="00F554AE">
        <w:rPr>
          <w:rFonts w:ascii="Verdana" w:hAnsi="Verdana"/>
          <w:sz w:val="16"/>
          <w:szCs w:val="16"/>
          <w:lang w:val="es-CR"/>
        </w:rPr>
        <w:t xml:space="preserve"> nota 17,</w:t>
      </w:r>
      <w:r w:rsidRPr="00B22AD9">
        <w:rPr>
          <w:rFonts w:ascii="Verdana" w:hAnsi="Verdana"/>
          <w:sz w:val="16"/>
          <w:szCs w:val="16"/>
          <w:lang w:val="es-CR"/>
        </w:rPr>
        <w:t xml:space="preserve"> Considerando 2.</w:t>
      </w:r>
    </w:p>
  </w:footnote>
  <w:footnote w:id="20">
    <w:p w14:paraId="017AA95A" w14:textId="77777777"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r>
      <w:r w:rsidRPr="00B22AD9">
        <w:rPr>
          <w:rFonts w:ascii="Verdana" w:hAnsi="Verdana"/>
          <w:i/>
          <w:sz w:val="16"/>
          <w:szCs w:val="16"/>
          <w:lang w:val="es-CR"/>
        </w:rPr>
        <w:t xml:space="preserve">Cfr. </w:t>
      </w:r>
      <w:r w:rsidRPr="00B22AD9">
        <w:rPr>
          <w:rFonts w:ascii="Verdana" w:hAnsi="Verdana"/>
          <w:sz w:val="16"/>
          <w:szCs w:val="16"/>
          <w:lang w:val="es-CR"/>
        </w:rPr>
        <w:t xml:space="preserve">Copia del Diario Oficial “El Peruano” de 29 de diciembre de 2016 con la publicación del resumen oficial de la Sentencia emitida para el caso </w:t>
      </w:r>
      <w:r w:rsidRPr="00B22AD9">
        <w:rPr>
          <w:rFonts w:ascii="Verdana" w:hAnsi="Verdana"/>
          <w:i/>
          <w:sz w:val="16"/>
          <w:szCs w:val="16"/>
          <w:lang w:val="es-CR"/>
        </w:rPr>
        <w:t>Pollo Rivera y otros</w:t>
      </w:r>
      <w:r w:rsidRPr="00B22AD9">
        <w:rPr>
          <w:rFonts w:ascii="Verdana" w:hAnsi="Verdana"/>
          <w:sz w:val="16"/>
          <w:szCs w:val="16"/>
          <w:lang w:val="es-CR"/>
        </w:rPr>
        <w:t xml:space="preserve">, pág. 20 (anexo al informe presentado por el Estado el 30 de diciembre de 2016); original del Diario Oficial “El Peruano” de 23 de noviembre de 2017 con la publicación del resumen oficial de la Sentencia emitida para el caso </w:t>
      </w:r>
      <w:r w:rsidRPr="00B22AD9">
        <w:rPr>
          <w:rFonts w:ascii="Verdana" w:hAnsi="Verdana"/>
          <w:i/>
          <w:sz w:val="16"/>
          <w:szCs w:val="16"/>
          <w:lang w:val="es-CR"/>
        </w:rPr>
        <w:t>Lagos del Campo</w:t>
      </w:r>
      <w:r w:rsidRPr="00B22AD9">
        <w:rPr>
          <w:rFonts w:ascii="Verdana" w:hAnsi="Verdana"/>
          <w:sz w:val="16"/>
          <w:szCs w:val="16"/>
          <w:lang w:val="es-CR"/>
        </w:rPr>
        <w:t xml:space="preserve">, pág. 2 (anexo al informe presentado por el Estado el 18 de diciembre de 2017); original del diario “La República” de 18 de agosto de 2017 con la publicación del resumen oficial de la Sentencia emitida para el caso </w:t>
      </w:r>
      <w:r w:rsidRPr="00B22AD9">
        <w:rPr>
          <w:rFonts w:ascii="Verdana" w:hAnsi="Verdana"/>
          <w:i/>
          <w:sz w:val="16"/>
          <w:szCs w:val="16"/>
          <w:lang w:val="es-CR"/>
        </w:rPr>
        <w:t>Pollo Rivera y otros</w:t>
      </w:r>
      <w:r w:rsidRPr="00B22AD9">
        <w:rPr>
          <w:rFonts w:ascii="Verdana" w:hAnsi="Verdana"/>
          <w:sz w:val="16"/>
          <w:szCs w:val="16"/>
          <w:lang w:val="es-CR"/>
        </w:rPr>
        <w:t xml:space="preserve">, pág. 20 (anexo al informe presentado por el Estado el 18 de agosto de 2017), y original del diario “Expreso” de 14 de diciembre de 2017 con la publicación del resumen oficial de la Sentencia emitida para el caso </w:t>
      </w:r>
      <w:r w:rsidRPr="00B22AD9">
        <w:rPr>
          <w:rFonts w:ascii="Verdana" w:hAnsi="Verdana"/>
          <w:i/>
          <w:sz w:val="16"/>
          <w:szCs w:val="16"/>
          <w:lang w:val="es-CR"/>
        </w:rPr>
        <w:t>Lagos del Campo</w:t>
      </w:r>
      <w:r w:rsidRPr="00B22AD9">
        <w:rPr>
          <w:rFonts w:ascii="Verdana" w:hAnsi="Verdana"/>
          <w:sz w:val="16"/>
          <w:szCs w:val="16"/>
          <w:lang w:val="es-CR"/>
        </w:rPr>
        <w:t>, pág. 5 (anexo al informe presentado por el Estado el 18 de diciembre de 2017)</w:t>
      </w:r>
      <w:r w:rsidRPr="00B22AD9">
        <w:rPr>
          <w:rFonts w:ascii="Verdana" w:hAnsi="Verdana"/>
          <w:i/>
          <w:sz w:val="16"/>
          <w:szCs w:val="16"/>
          <w:lang w:val="es-CR"/>
        </w:rPr>
        <w:t>.</w:t>
      </w:r>
    </w:p>
  </w:footnote>
  <w:footnote w:id="21">
    <w:p w14:paraId="44374967" w14:textId="71350CFD"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 xml:space="preserve">Los defensores interamericanos indicaron en febrero de 2017 que la “publicación [… del] resumen de la [S]entencia en [el] Diario ‘El Peruano’” fue “debidamente realizad[a]”. Asimismo, en octubre de 2017 mostraron su conformidad respecto </w:t>
      </w:r>
      <w:r>
        <w:rPr>
          <w:rFonts w:ascii="Verdana" w:hAnsi="Verdana"/>
          <w:sz w:val="16"/>
          <w:szCs w:val="16"/>
          <w:lang w:val="es-CR"/>
        </w:rPr>
        <w:t xml:space="preserve">a </w:t>
      </w:r>
      <w:r w:rsidRPr="00B22AD9">
        <w:rPr>
          <w:rFonts w:ascii="Verdana" w:hAnsi="Verdana"/>
          <w:sz w:val="16"/>
          <w:szCs w:val="16"/>
          <w:lang w:val="es-CR"/>
        </w:rPr>
        <w:t xml:space="preserve">“la publicación del resumen oficial de la [S]entencia en [el] diario de amplia circulación nacional ‘Diario de la República’”. </w:t>
      </w:r>
      <w:r w:rsidRPr="00B22AD9">
        <w:rPr>
          <w:rFonts w:ascii="Verdana" w:hAnsi="Verdana"/>
          <w:i/>
          <w:sz w:val="16"/>
          <w:szCs w:val="16"/>
          <w:lang w:val="es-CR"/>
        </w:rPr>
        <w:t xml:space="preserve">Cfr. </w:t>
      </w:r>
      <w:r w:rsidRPr="00B22AD9">
        <w:rPr>
          <w:rFonts w:ascii="Verdana" w:hAnsi="Verdana"/>
          <w:sz w:val="16"/>
          <w:szCs w:val="16"/>
          <w:lang w:val="es-CR"/>
        </w:rPr>
        <w:t xml:space="preserve">Escritos de observaciones de los defensores interamericanos de 6 de febrero de 2017 y 20 de octubre de 2017. Por otra parte, el representante Coello Cruz señaló en febrero de 2017 y enero de 2018 que “el Estado Peruano ha cumplido con [la] publicación en el Boletín Oficial del diario ‘El Peruano [… y] con la publicación de la Sentencia de la Corte en un diario de gran circulación nacional y difusión en el Perú”, indicando que “La República” es uno de los diarios “de mayor difusión en el Perú”. </w:t>
      </w:r>
      <w:r w:rsidRPr="00B22AD9">
        <w:rPr>
          <w:rFonts w:ascii="Verdana" w:hAnsi="Verdana"/>
          <w:i/>
          <w:sz w:val="16"/>
          <w:szCs w:val="16"/>
          <w:lang w:val="es-CR"/>
        </w:rPr>
        <w:t xml:space="preserve">Cfr. </w:t>
      </w:r>
      <w:r w:rsidRPr="00B22AD9">
        <w:rPr>
          <w:rFonts w:ascii="Verdana" w:hAnsi="Verdana"/>
          <w:sz w:val="16"/>
          <w:szCs w:val="16"/>
          <w:lang w:val="es-CR"/>
        </w:rPr>
        <w:t>Escritos de observaciones de los representantes de las víctimas de 13 de febrero de 2017 y 18 de enero de 2018.</w:t>
      </w:r>
    </w:p>
  </w:footnote>
  <w:footnote w:id="22">
    <w:p w14:paraId="45234E15" w14:textId="19008400"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Los representantes de la víctima indicaron en febrero de 2018 que el Estado “publicó de manera oportuna el resumen oficial de la [S</w:t>
      </w:r>
      <w:r>
        <w:rPr>
          <w:rFonts w:ascii="Verdana" w:hAnsi="Verdana"/>
          <w:sz w:val="16"/>
          <w:szCs w:val="16"/>
          <w:lang w:val="es-CR"/>
        </w:rPr>
        <w:t>entencia] en el diario oficial ‘El Peruano’</w:t>
      </w:r>
      <w:r w:rsidRPr="00B22AD9">
        <w:rPr>
          <w:rFonts w:ascii="Verdana" w:hAnsi="Verdana"/>
          <w:sz w:val="16"/>
          <w:szCs w:val="16"/>
          <w:lang w:val="es-CR"/>
        </w:rPr>
        <w:t xml:space="preserve">, así como en un diario de circulación nacional”. </w:t>
      </w:r>
      <w:r w:rsidRPr="00B22AD9">
        <w:rPr>
          <w:rFonts w:ascii="Verdana" w:hAnsi="Verdana"/>
          <w:i/>
          <w:sz w:val="16"/>
          <w:szCs w:val="16"/>
          <w:lang w:val="es-CR"/>
        </w:rPr>
        <w:t xml:space="preserve">Cfr. </w:t>
      </w:r>
      <w:r w:rsidRPr="00B22AD9">
        <w:rPr>
          <w:rFonts w:ascii="Verdana" w:hAnsi="Verdana"/>
          <w:sz w:val="16"/>
          <w:szCs w:val="16"/>
          <w:lang w:val="es-CR"/>
        </w:rPr>
        <w:t>Escrito de observaciones de los representantes de la víctima de 22 de febrero de 2018.</w:t>
      </w:r>
      <w:r w:rsidRPr="00B22AD9">
        <w:rPr>
          <w:rFonts w:ascii="Verdana" w:hAnsi="Verdana"/>
          <w:b/>
          <w:sz w:val="16"/>
          <w:szCs w:val="16"/>
          <w:lang w:val="es-CR"/>
        </w:rPr>
        <w:t xml:space="preserve"> </w:t>
      </w:r>
    </w:p>
  </w:footnote>
  <w:footnote w:id="23">
    <w:p w14:paraId="32930C50" w14:textId="4DD145B5" w:rsidR="006B1290" w:rsidRPr="00B22AD9" w:rsidRDefault="006B1290" w:rsidP="00B22AD9">
      <w:pPr>
        <w:pStyle w:val="FootnoteText"/>
        <w:jc w:val="both"/>
        <w:rPr>
          <w:rFonts w:ascii="Verdana" w:hAnsi="Verdana"/>
          <w:b/>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 xml:space="preserve">En abril y diciembre de 2017 la Comisión “tom[ó] nota” de la información presentada por el Estado respecto de las referidas publicaciones del resumen oficial de la Sentencia del caso </w:t>
      </w:r>
      <w:r w:rsidRPr="00B22AD9">
        <w:rPr>
          <w:rFonts w:ascii="Verdana" w:hAnsi="Verdana"/>
          <w:i/>
          <w:sz w:val="16"/>
          <w:szCs w:val="16"/>
          <w:lang w:val="es-CR"/>
        </w:rPr>
        <w:t>Pollo Rivera y otros.</w:t>
      </w:r>
      <w:r w:rsidRPr="00B22AD9">
        <w:rPr>
          <w:rFonts w:ascii="Verdana" w:hAnsi="Verdana"/>
          <w:sz w:val="16"/>
          <w:szCs w:val="16"/>
          <w:lang w:val="es-CR"/>
        </w:rPr>
        <w:t xml:space="preserve"> </w:t>
      </w:r>
      <w:r w:rsidRPr="00B22AD9">
        <w:rPr>
          <w:rFonts w:ascii="Verdana" w:hAnsi="Verdana"/>
          <w:i/>
          <w:sz w:val="16"/>
          <w:szCs w:val="16"/>
          <w:lang w:val="es-CR"/>
        </w:rPr>
        <w:t xml:space="preserve">Cfr. </w:t>
      </w:r>
      <w:r w:rsidRPr="00B22AD9">
        <w:rPr>
          <w:rFonts w:ascii="Verdana" w:hAnsi="Verdana"/>
          <w:sz w:val="16"/>
          <w:szCs w:val="16"/>
          <w:lang w:val="es-CR"/>
        </w:rPr>
        <w:t>Escritos de observaciones de la Comisión Interamericana de 5 de abril y 26 de diciembre de 2017.</w:t>
      </w:r>
      <w:r w:rsidRPr="00B22AD9">
        <w:rPr>
          <w:rFonts w:ascii="Verdana" w:hAnsi="Verdana"/>
          <w:b/>
          <w:sz w:val="16"/>
          <w:szCs w:val="16"/>
          <w:lang w:val="es-CR"/>
        </w:rPr>
        <w:t xml:space="preserve"> </w:t>
      </w:r>
      <w:r w:rsidRPr="00B22AD9">
        <w:rPr>
          <w:rFonts w:ascii="Verdana" w:hAnsi="Verdana"/>
          <w:sz w:val="16"/>
          <w:szCs w:val="16"/>
          <w:lang w:val="es-CR"/>
        </w:rPr>
        <w:t xml:space="preserve">Por otro lado, en junio de 2018 la Comisión observó para el caso </w:t>
      </w:r>
      <w:r w:rsidRPr="00B22AD9">
        <w:rPr>
          <w:rFonts w:ascii="Verdana" w:hAnsi="Verdana"/>
          <w:i/>
          <w:sz w:val="16"/>
          <w:szCs w:val="16"/>
          <w:lang w:val="es-CR"/>
        </w:rPr>
        <w:t xml:space="preserve">Lagos del Campo </w:t>
      </w:r>
      <w:r w:rsidRPr="00B22AD9">
        <w:rPr>
          <w:rFonts w:ascii="Verdana" w:hAnsi="Verdana"/>
          <w:sz w:val="16"/>
          <w:szCs w:val="16"/>
          <w:lang w:val="es-CR"/>
        </w:rPr>
        <w:t>que “ambas partes están de acuerdo que se ha</w:t>
      </w:r>
      <w:r>
        <w:rPr>
          <w:rFonts w:ascii="Verdana" w:hAnsi="Verdana"/>
          <w:sz w:val="16"/>
          <w:szCs w:val="16"/>
          <w:lang w:val="es-CR"/>
        </w:rPr>
        <w:t>[n]</w:t>
      </w:r>
      <w:r w:rsidRPr="00B22AD9">
        <w:rPr>
          <w:rFonts w:ascii="Verdana" w:hAnsi="Verdana"/>
          <w:sz w:val="16"/>
          <w:szCs w:val="16"/>
          <w:lang w:val="es-CR"/>
        </w:rPr>
        <w:t xml:space="preserve"> cumplido</w:t>
      </w:r>
      <w:r>
        <w:rPr>
          <w:rFonts w:ascii="Verdana" w:hAnsi="Verdana"/>
          <w:sz w:val="16"/>
          <w:szCs w:val="16"/>
          <w:lang w:val="es-CR"/>
        </w:rPr>
        <w:t>” las referidas publicaciones</w:t>
      </w:r>
      <w:r w:rsidR="00AA5828">
        <w:rPr>
          <w:rFonts w:ascii="Verdana" w:hAnsi="Verdana"/>
          <w:sz w:val="16"/>
          <w:szCs w:val="16"/>
          <w:lang w:val="es-CR"/>
        </w:rPr>
        <w:t>.</w:t>
      </w:r>
    </w:p>
  </w:footnote>
  <w:footnote w:id="24">
    <w:p w14:paraId="481F60E8" w14:textId="2C5F8A8D"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 xml:space="preserve">En el caso </w:t>
      </w:r>
      <w:r w:rsidRPr="00B22AD9">
        <w:rPr>
          <w:rFonts w:ascii="Verdana" w:hAnsi="Verdana"/>
          <w:i/>
          <w:sz w:val="16"/>
          <w:szCs w:val="16"/>
          <w:lang w:val="es-CR"/>
        </w:rPr>
        <w:t>Pollo Rivera y otros</w:t>
      </w:r>
      <w:r w:rsidRPr="00B22AD9">
        <w:rPr>
          <w:rFonts w:ascii="Verdana" w:hAnsi="Verdana"/>
          <w:sz w:val="16"/>
          <w:szCs w:val="16"/>
          <w:lang w:val="es-CR"/>
        </w:rPr>
        <w:t xml:space="preserve"> la publicación del resumen oficial de la Sentencia en el diario de amplia circulación “La República” se realizó el 23 de noviembre de 2017, siendo el 12 de junio de ese mismo año el vencimiento del plazo de seis meses otorgado por la Corte en la Sentencia. </w:t>
      </w:r>
    </w:p>
  </w:footnote>
  <w:footnote w:id="25">
    <w:p w14:paraId="3F9469BE" w14:textId="7DB4F777"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00AA5828">
        <w:rPr>
          <w:rFonts w:ascii="Verdana" w:hAnsi="Verdana"/>
          <w:sz w:val="16"/>
          <w:szCs w:val="16"/>
          <w:lang w:val="es-CR"/>
        </w:rPr>
        <w:t xml:space="preserve"> </w:t>
      </w:r>
      <w:r w:rsidR="00AA5828">
        <w:rPr>
          <w:rFonts w:ascii="Verdana" w:hAnsi="Verdana"/>
          <w:sz w:val="16"/>
          <w:szCs w:val="16"/>
          <w:lang w:val="es-CR"/>
        </w:rPr>
        <w:tab/>
        <w:t>El 12 de</w:t>
      </w:r>
      <w:r w:rsidRPr="00B22AD9">
        <w:rPr>
          <w:rFonts w:ascii="Verdana" w:hAnsi="Verdana"/>
          <w:sz w:val="16"/>
          <w:szCs w:val="16"/>
          <w:lang w:val="es-CR"/>
        </w:rPr>
        <w:t xml:space="preserve"> diciembre de 2016 el Estado comunicó que la Sentencia del caso fue publicada “en el portal web oficial del Ministerio de Justicia y Derechos Humanos” y que la misma “se puede apreciar en el siguiente enlace: </w:t>
      </w:r>
      <w:hyperlink r:id="rId4" w:history="1">
        <w:r w:rsidRPr="00B22AD9">
          <w:rPr>
            <w:rStyle w:val="Hyperlink"/>
            <w:rFonts w:ascii="Verdana" w:hAnsi="Verdana"/>
            <w:sz w:val="16"/>
            <w:szCs w:val="16"/>
            <w:lang w:val="es-CR"/>
          </w:rPr>
          <w:t>http://www.minjus.gob.pe/sentencias-publicadas-corteidh/</w:t>
        </w:r>
      </w:hyperlink>
      <w:r w:rsidRPr="00B22AD9">
        <w:rPr>
          <w:rFonts w:ascii="Verdana" w:hAnsi="Verdana"/>
          <w:sz w:val="16"/>
          <w:szCs w:val="16"/>
          <w:lang w:val="es-CR"/>
        </w:rPr>
        <w:t xml:space="preserve">”. </w:t>
      </w:r>
      <w:r w:rsidR="002D3A65">
        <w:rPr>
          <w:rFonts w:ascii="Verdana" w:hAnsi="Verdana"/>
          <w:sz w:val="16"/>
          <w:szCs w:val="16"/>
          <w:lang w:val="es-CR"/>
        </w:rPr>
        <w:t>A la fecha de la presente Resolución, e</w:t>
      </w:r>
      <w:r w:rsidRPr="00B22AD9">
        <w:rPr>
          <w:rFonts w:ascii="Verdana" w:hAnsi="Verdana"/>
          <w:sz w:val="16"/>
          <w:szCs w:val="16"/>
          <w:lang w:val="es-CR"/>
        </w:rPr>
        <w:t xml:space="preserve">n dicho enlace </w:t>
      </w:r>
      <w:r w:rsidR="002D3A65">
        <w:rPr>
          <w:rFonts w:ascii="Verdana" w:hAnsi="Verdana"/>
          <w:sz w:val="16"/>
          <w:szCs w:val="16"/>
          <w:lang w:val="es-CR"/>
        </w:rPr>
        <w:t>se encontraba</w:t>
      </w:r>
      <w:r w:rsidRPr="00B22AD9">
        <w:rPr>
          <w:rFonts w:ascii="Verdana" w:hAnsi="Verdana"/>
          <w:sz w:val="16"/>
          <w:szCs w:val="16"/>
          <w:lang w:val="es-CR"/>
        </w:rPr>
        <w:t xml:space="preserve"> disponible la referida publicación (última consulta el </w:t>
      </w:r>
      <w:r w:rsidR="00AA5828">
        <w:rPr>
          <w:rFonts w:ascii="Verdana" w:hAnsi="Verdana"/>
          <w:sz w:val="16"/>
          <w:szCs w:val="16"/>
          <w:lang w:val="es-CR"/>
        </w:rPr>
        <w:t>26</w:t>
      </w:r>
      <w:r w:rsidRPr="00B22AD9">
        <w:rPr>
          <w:rFonts w:ascii="Verdana" w:hAnsi="Verdana"/>
          <w:sz w:val="16"/>
          <w:szCs w:val="16"/>
          <w:lang w:val="es-CR"/>
        </w:rPr>
        <w:t xml:space="preserve"> de </w:t>
      </w:r>
      <w:r w:rsidR="00AA5828">
        <w:rPr>
          <w:rFonts w:ascii="Verdana" w:hAnsi="Verdana"/>
          <w:sz w:val="16"/>
          <w:szCs w:val="16"/>
          <w:lang w:val="es-CR"/>
        </w:rPr>
        <w:t>septiembre</w:t>
      </w:r>
      <w:r w:rsidRPr="00B22AD9">
        <w:rPr>
          <w:rFonts w:ascii="Verdana" w:hAnsi="Verdana"/>
          <w:sz w:val="16"/>
          <w:szCs w:val="16"/>
          <w:lang w:val="es-CR"/>
        </w:rPr>
        <w:t xml:space="preserve"> de 2018). </w:t>
      </w:r>
      <w:r w:rsidRPr="00B22AD9">
        <w:rPr>
          <w:rFonts w:ascii="Verdana" w:hAnsi="Verdana"/>
          <w:i/>
          <w:sz w:val="16"/>
          <w:szCs w:val="16"/>
          <w:lang w:val="es-CR"/>
        </w:rPr>
        <w:t>Cfr.</w:t>
      </w:r>
      <w:r w:rsidRPr="00B22AD9">
        <w:rPr>
          <w:rFonts w:ascii="Verdana" w:hAnsi="Verdana"/>
          <w:sz w:val="16"/>
          <w:szCs w:val="16"/>
          <w:lang w:val="es-CR"/>
        </w:rPr>
        <w:t xml:space="preserve"> Informe presentado por el Estado el 12 de diciembre de 2016.</w:t>
      </w:r>
    </w:p>
  </w:footnote>
  <w:footnote w:id="26">
    <w:p w14:paraId="58128060" w14:textId="52A434C1"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 xml:space="preserve">En agosto de 2017, el Estado informó que la Sentencia de fondo reparaciones y costas, así como la Sentencia de Interpretación, fueron publicadas “en el portal web del Poder Judicial” y que las mismas, “se puede[n] apreciar en el siguiente enlace: </w:t>
      </w:r>
      <w:hyperlink r:id="rId5" w:history="1">
        <w:r w:rsidRPr="00B22AD9">
          <w:rPr>
            <w:rStyle w:val="Hyperlink"/>
            <w:rFonts w:ascii="Verdana" w:hAnsi="Verdana"/>
            <w:sz w:val="16"/>
            <w:szCs w:val="16"/>
            <w:lang w:val="es-CR"/>
          </w:rPr>
          <w:t>https://www.pj.gob.pe/wps/wcm/connect/97d3440041c0b973836bf749cfca7f5d/SENTENCIA-E-INTERPRETACI%C3</w:t>
        </w:r>
      </w:hyperlink>
      <w:r w:rsidRPr="00B22AD9">
        <w:rPr>
          <w:rFonts w:ascii="Verdana" w:hAnsi="Verdana"/>
          <w:sz w:val="16"/>
          <w:szCs w:val="16"/>
          <w:lang w:val="es-CR"/>
        </w:rPr>
        <w:t xml:space="preserve"> </w:t>
      </w:r>
      <w:r w:rsidRPr="00B22AD9">
        <w:rPr>
          <w:rFonts w:ascii="Verdana" w:hAnsi="Verdana"/>
          <w:color w:val="0000FF"/>
          <w:sz w:val="16"/>
          <w:szCs w:val="16"/>
          <w:u w:val="single"/>
          <w:lang w:val="es-CR"/>
        </w:rPr>
        <w:t>%93N-CIDH-FONDO-POLLO-RIVERA.pdf?MOD=AJPERES&amp;CACHEID=97d3440041c0b973836bf749cfca7f5d</w:t>
      </w:r>
      <w:r w:rsidRPr="00B22AD9">
        <w:rPr>
          <w:rFonts w:ascii="Verdana" w:hAnsi="Verdana"/>
          <w:sz w:val="16"/>
          <w:szCs w:val="16"/>
          <w:lang w:val="es-CR"/>
        </w:rPr>
        <w:t xml:space="preserve">”. </w:t>
      </w:r>
      <w:r w:rsidR="002D3A65">
        <w:rPr>
          <w:rFonts w:ascii="Verdana" w:hAnsi="Verdana"/>
          <w:sz w:val="16"/>
          <w:szCs w:val="16"/>
          <w:lang w:val="es-CR"/>
        </w:rPr>
        <w:t>A la fecha de la presente Resolución, e</w:t>
      </w:r>
      <w:r w:rsidR="002D3A65" w:rsidRPr="00B22AD9">
        <w:rPr>
          <w:rFonts w:ascii="Verdana" w:hAnsi="Verdana"/>
          <w:sz w:val="16"/>
          <w:szCs w:val="16"/>
          <w:lang w:val="es-CR"/>
        </w:rPr>
        <w:t xml:space="preserve">n dicho enlace </w:t>
      </w:r>
      <w:r w:rsidR="002D3A65">
        <w:rPr>
          <w:rFonts w:ascii="Verdana" w:hAnsi="Verdana"/>
          <w:sz w:val="16"/>
          <w:szCs w:val="16"/>
          <w:lang w:val="es-CR"/>
        </w:rPr>
        <w:t>se encontraba</w:t>
      </w:r>
      <w:r w:rsidR="002D3A65" w:rsidRPr="00B22AD9">
        <w:rPr>
          <w:rFonts w:ascii="Verdana" w:hAnsi="Verdana"/>
          <w:sz w:val="16"/>
          <w:szCs w:val="16"/>
          <w:lang w:val="es-CR"/>
        </w:rPr>
        <w:t xml:space="preserve"> disponible la referida publicación</w:t>
      </w:r>
      <w:r w:rsidRPr="00B22AD9">
        <w:rPr>
          <w:rFonts w:ascii="Verdana" w:hAnsi="Verdana"/>
          <w:sz w:val="16"/>
          <w:szCs w:val="16"/>
          <w:lang w:val="es-CR"/>
        </w:rPr>
        <w:t xml:space="preserve"> (última consulta el </w:t>
      </w:r>
      <w:r w:rsidR="00956CDE">
        <w:rPr>
          <w:rFonts w:ascii="Verdana" w:hAnsi="Verdana"/>
          <w:sz w:val="16"/>
          <w:szCs w:val="16"/>
          <w:lang w:val="es-CR"/>
        </w:rPr>
        <w:t>26 de septiembre</w:t>
      </w:r>
      <w:r w:rsidRPr="00B22AD9">
        <w:rPr>
          <w:rFonts w:ascii="Verdana" w:hAnsi="Verdana"/>
          <w:sz w:val="16"/>
          <w:szCs w:val="16"/>
          <w:lang w:val="es-CR"/>
        </w:rPr>
        <w:t xml:space="preserve"> de 2018). </w:t>
      </w:r>
      <w:r w:rsidRPr="00B22AD9">
        <w:rPr>
          <w:rFonts w:ascii="Verdana" w:hAnsi="Verdana"/>
          <w:i/>
          <w:sz w:val="16"/>
          <w:szCs w:val="16"/>
          <w:lang w:val="es-CR"/>
        </w:rPr>
        <w:t>Cfr.</w:t>
      </w:r>
      <w:r>
        <w:rPr>
          <w:rFonts w:ascii="Verdana" w:hAnsi="Verdana"/>
          <w:sz w:val="16"/>
          <w:szCs w:val="16"/>
          <w:lang w:val="es-CR"/>
        </w:rPr>
        <w:t xml:space="preserve"> Informe presentado</w:t>
      </w:r>
      <w:r w:rsidRPr="00B22AD9">
        <w:rPr>
          <w:rFonts w:ascii="Verdana" w:hAnsi="Verdana"/>
          <w:sz w:val="16"/>
          <w:szCs w:val="16"/>
          <w:lang w:val="es-CR"/>
        </w:rPr>
        <w:t xml:space="preserve"> por el Estado el 18 de </w:t>
      </w:r>
      <w:r>
        <w:rPr>
          <w:rFonts w:ascii="Verdana" w:hAnsi="Verdana"/>
          <w:sz w:val="16"/>
          <w:szCs w:val="16"/>
          <w:lang w:val="es-CR"/>
        </w:rPr>
        <w:t>agosto</w:t>
      </w:r>
      <w:r w:rsidRPr="00B22AD9">
        <w:rPr>
          <w:rFonts w:ascii="Verdana" w:hAnsi="Verdana"/>
          <w:sz w:val="16"/>
          <w:szCs w:val="16"/>
          <w:lang w:val="es-CR"/>
        </w:rPr>
        <w:t xml:space="preserve"> de 2017.</w:t>
      </w:r>
    </w:p>
  </w:footnote>
  <w:footnote w:id="27">
    <w:p w14:paraId="71C7F6E1" w14:textId="096BAFA7"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 xml:space="preserve">La publicación de la Sentencia en su integridad en la página web del Poder Judicial del Perú fue comunicada a esta Corte el 18 de agosto de 2017, siendo el 12 de junio de ese mismo año el vencimiento del plazo de seis meses otorgado por la Corte en la Sentencia. </w:t>
      </w:r>
      <w:r>
        <w:rPr>
          <w:rFonts w:ascii="Verdana" w:hAnsi="Verdana"/>
          <w:i/>
          <w:sz w:val="16"/>
          <w:szCs w:val="16"/>
          <w:lang w:val="es-CR"/>
        </w:rPr>
        <w:t xml:space="preserve">Cfr. </w:t>
      </w:r>
      <w:r>
        <w:rPr>
          <w:rFonts w:ascii="Verdana" w:hAnsi="Verdana"/>
          <w:sz w:val="16"/>
          <w:szCs w:val="16"/>
          <w:lang w:val="es-CR"/>
        </w:rPr>
        <w:t>Informe presentado por el Estado el 18 de agosto de 2017.</w:t>
      </w:r>
    </w:p>
  </w:footnote>
  <w:footnote w:id="28">
    <w:p w14:paraId="595D6708" w14:textId="4049D174" w:rsidR="006B1290" w:rsidRPr="00B22AD9" w:rsidRDefault="006B1290" w:rsidP="00B22AD9">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El representante Coello Cruz indicó en febrero de 2017 que si bien la Sentencia había sido publicada en la página web del Ministerio de Justicia y Derechos Humanos, “[era] lamentable que no se pu[diese] acceder a dicha [S]entencia de manera directa desde el menú principal de la página”, en tanto el acceso a la misma estaba ubicada en los “ítem[es] denominados “servicios al ciudadano” o “enlaces de interés”. No obstante ello, en enero de 2018 dicho r</w:t>
      </w:r>
      <w:r>
        <w:rPr>
          <w:rFonts w:ascii="Verdana" w:hAnsi="Verdana"/>
          <w:sz w:val="16"/>
          <w:szCs w:val="16"/>
          <w:lang w:val="es-CR"/>
        </w:rPr>
        <w:t>epresentante señaló que “se p[od</w:t>
      </w:r>
      <w:r w:rsidRPr="00B22AD9">
        <w:rPr>
          <w:rFonts w:ascii="Verdana" w:hAnsi="Verdana"/>
          <w:sz w:val="16"/>
          <w:szCs w:val="16"/>
          <w:lang w:val="es-CR"/>
        </w:rPr>
        <w:t xml:space="preserve">ía] acceder a dicha [S]entencia en [el] link de búsqueda anotando los apellidos del Dr. Pollo Rivera [y que,] en consecuencia[,] consider[ó] que el Estado Peruano ha cumplido en esta publicación”. </w:t>
      </w:r>
      <w:r w:rsidRPr="00B22AD9">
        <w:rPr>
          <w:rFonts w:ascii="Verdana" w:hAnsi="Verdana"/>
          <w:i/>
          <w:sz w:val="16"/>
          <w:szCs w:val="16"/>
          <w:lang w:val="es-CR"/>
        </w:rPr>
        <w:t xml:space="preserve">Cfr. </w:t>
      </w:r>
      <w:r w:rsidRPr="00B22AD9">
        <w:rPr>
          <w:rFonts w:ascii="Verdana" w:hAnsi="Verdana"/>
          <w:sz w:val="16"/>
          <w:szCs w:val="16"/>
          <w:lang w:val="es-CR"/>
        </w:rPr>
        <w:t>Escritos de observaciones de los representantes de las víctimas de 13 de febrero de 2017 y 18 de enero de 2018.</w:t>
      </w:r>
    </w:p>
  </w:footnote>
  <w:footnote w:id="29">
    <w:p w14:paraId="5956B177" w14:textId="3FDC3BEF" w:rsidR="006B1290" w:rsidRPr="00B22AD9" w:rsidRDefault="006B1290" w:rsidP="00B22AD9">
      <w:pPr>
        <w:pStyle w:val="FootnoteText"/>
        <w:jc w:val="both"/>
        <w:rPr>
          <w:rFonts w:ascii="Verdana" w:hAnsi="Verdana"/>
          <w:b/>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 xml:space="preserve">En febrero y octubre de 2017, así como en enero de 2018, los defensores interamericanos manifestaron su conformidad con la publicación de la Sentencia, en su integridad, en las páginas web del Ministerio de Justicia y Derechos Humanos y del Poder Judicial, señalando que la referida reparación “tuvo su cumplimiento integral por el Estado peruano”. </w:t>
      </w:r>
      <w:r w:rsidRPr="00B22AD9">
        <w:rPr>
          <w:rFonts w:ascii="Verdana" w:hAnsi="Verdana"/>
          <w:i/>
          <w:sz w:val="16"/>
          <w:szCs w:val="16"/>
          <w:lang w:val="es-CR"/>
        </w:rPr>
        <w:t xml:space="preserve">Cfr. </w:t>
      </w:r>
      <w:r w:rsidRPr="00B22AD9">
        <w:rPr>
          <w:rFonts w:ascii="Verdana" w:hAnsi="Verdana"/>
          <w:sz w:val="16"/>
          <w:szCs w:val="16"/>
          <w:lang w:val="es-CR"/>
        </w:rPr>
        <w:t xml:space="preserve">Escritos de observaciones de 6 de febrero y 20 de octubre de 2017 y 22 de enero de 2018. </w:t>
      </w:r>
    </w:p>
  </w:footnote>
  <w:footnote w:id="30">
    <w:p w14:paraId="2BC1A1FE" w14:textId="4EF7B905" w:rsidR="006B1290" w:rsidRPr="00B22AD9" w:rsidRDefault="006B1290" w:rsidP="00B22AD9">
      <w:pPr>
        <w:pStyle w:val="FootnoteText"/>
        <w:jc w:val="both"/>
        <w:rPr>
          <w:rFonts w:ascii="Verdana" w:hAnsi="Verdana"/>
          <w:b/>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es-CR"/>
        </w:rPr>
        <w:t xml:space="preserve"> </w:t>
      </w:r>
      <w:r w:rsidRPr="00B22AD9">
        <w:rPr>
          <w:rFonts w:ascii="Verdana" w:hAnsi="Verdana"/>
          <w:sz w:val="16"/>
          <w:szCs w:val="16"/>
          <w:lang w:val="es-CR"/>
        </w:rPr>
        <w:tab/>
        <w:t xml:space="preserve">En diciembre de 2017, el Perú indicó que “realizó [la] publicación [de la Sentencia] en el portal web del Ministerio de Justicia y Derechos Humanos. La publicación se realizó el 17 de noviembre de 2017 y se encuentra en el siguiente enlace: </w:t>
      </w:r>
      <w:hyperlink r:id="rId6" w:history="1">
        <w:r w:rsidRPr="00B22AD9">
          <w:rPr>
            <w:rStyle w:val="Hyperlink"/>
            <w:rFonts w:ascii="Verdana" w:hAnsi="Verdana"/>
            <w:sz w:val="16"/>
            <w:szCs w:val="16"/>
            <w:lang w:val="es-CR"/>
          </w:rPr>
          <w:t>https://www.minjus.gob.pe/sentencias-publicadas-corteidh/</w:t>
        </w:r>
      </w:hyperlink>
      <w:r w:rsidRPr="00B22AD9">
        <w:rPr>
          <w:rFonts w:ascii="Verdana" w:hAnsi="Verdana"/>
          <w:sz w:val="16"/>
          <w:szCs w:val="16"/>
          <w:lang w:val="es-CR"/>
        </w:rPr>
        <w:t xml:space="preserve">”. </w:t>
      </w:r>
      <w:r w:rsidR="00933CBD">
        <w:rPr>
          <w:rFonts w:ascii="Verdana" w:hAnsi="Verdana"/>
          <w:sz w:val="16"/>
          <w:szCs w:val="16"/>
          <w:lang w:val="es-CR"/>
        </w:rPr>
        <w:t>A la fecha de la presente Resolución, e</w:t>
      </w:r>
      <w:r w:rsidR="00933CBD" w:rsidRPr="00B22AD9">
        <w:rPr>
          <w:rFonts w:ascii="Verdana" w:hAnsi="Verdana"/>
          <w:sz w:val="16"/>
          <w:szCs w:val="16"/>
          <w:lang w:val="es-CR"/>
        </w:rPr>
        <w:t xml:space="preserve">n dicho enlace </w:t>
      </w:r>
      <w:r w:rsidR="00933CBD">
        <w:rPr>
          <w:rFonts w:ascii="Verdana" w:hAnsi="Verdana"/>
          <w:sz w:val="16"/>
          <w:szCs w:val="16"/>
          <w:lang w:val="es-CR"/>
        </w:rPr>
        <w:t>se encontraba</w:t>
      </w:r>
      <w:r w:rsidR="00933CBD" w:rsidRPr="00B22AD9">
        <w:rPr>
          <w:rFonts w:ascii="Verdana" w:hAnsi="Verdana"/>
          <w:sz w:val="16"/>
          <w:szCs w:val="16"/>
          <w:lang w:val="es-CR"/>
        </w:rPr>
        <w:t xml:space="preserve"> disponible la referida publicación (última consulta el </w:t>
      </w:r>
      <w:r w:rsidR="00933CBD">
        <w:rPr>
          <w:rFonts w:ascii="Verdana" w:hAnsi="Verdana"/>
          <w:sz w:val="16"/>
          <w:szCs w:val="16"/>
          <w:lang w:val="es-CR"/>
        </w:rPr>
        <w:t>26 de septiembre</w:t>
      </w:r>
      <w:r w:rsidR="00933CBD" w:rsidRPr="00B22AD9">
        <w:rPr>
          <w:rFonts w:ascii="Verdana" w:hAnsi="Verdana"/>
          <w:sz w:val="16"/>
          <w:szCs w:val="16"/>
          <w:lang w:val="es-CR"/>
        </w:rPr>
        <w:t xml:space="preserve"> de 2018).</w:t>
      </w:r>
      <w:r w:rsidR="00933CBD">
        <w:rPr>
          <w:rFonts w:ascii="Verdana" w:hAnsi="Verdana"/>
          <w:sz w:val="16"/>
          <w:szCs w:val="16"/>
          <w:lang w:val="es-CR"/>
        </w:rPr>
        <w:t xml:space="preserve"> </w:t>
      </w:r>
      <w:r w:rsidRPr="00B22AD9">
        <w:rPr>
          <w:rFonts w:ascii="Verdana" w:hAnsi="Verdana"/>
          <w:i/>
          <w:sz w:val="16"/>
          <w:szCs w:val="16"/>
          <w:lang w:val="es-CR"/>
        </w:rPr>
        <w:t xml:space="preserve">Cfr. </w:t>
      </w:r>
      <w:r w:rsidRPr="00B22AD9">
        <w:rPr>
          <w:rFonts w:ascii="Verdana" w:hAnsi="Verdana"/>
          <w:sz w:val="16"/>
          <w:szCs w:val="16"/>
          <w:lang w:val="es-CR"/>
        </w:rPr>
        <w:t>Informe presentado por el Estado el 18 de diciembre de 2017.</w:t>
      </w:r>
    </w:p>
  </w:footnote>
  <w:footnote w:id="31">
    <w:p w14:paraId="6565A696" w14:textId="77777777" w:rsidR="006B1290" w:rsidRPr="00B22AD9" w:rsidRDefault="006B1290" w:rsidP="00550925">
      <w:pPr>
        <w:pStyle w:val="FootnoteText"/>
        <w:jc w:val="both"/>
        <w:rPr>
          <w:rFonts w:ascii="Verdana" w:hAnsi="Verdana"/>
          <w:sz w:val="16"/>
          <w:szCs w:val="16"/>
          <w:lang w:val="es-CR"/>
        </w:rPr>
      </w:pPr>
      <w:r w:rsidRPr="00B22AD9">
        <w:rPr>
          <w:rStyle w:val="FootnoteReference"/>
          <w:rFonts w:ascii="Verdana" w:hAnsi="Verdana"/>
          <w:sz w:val="16"/>
          <w:szCs w:val="16"/>
        </w:rPr>
        <w:footnoteRef/>
      </w:r>
      <w:r w:rsidRPr="00B22AD9">
        <w:rPr>
          <w:rFonts w:ascii="Verdana" w:hAnsi="Verdana"/>
          <w:sz w:val="16"/>
          <w:szCs w:val="16"/>
          <w:lang w:val="pt-BR"/>
        </w:rPr>
        <w:t xml:space="preserve"> </w:t>
      </w:r>
      <w:r w:rsidRPr="00B22AD9">
        <w:rPr>
          <w:rFonts w:ascii="Verdana" w:hAnsi="Verdana"/>
          <w:sz w:val="16"/>
          <w:szCs w:val="16"/>
          <w:lang w:val="pt-BR"/>
        </w:rPr>
        <w:tab/>
      </w:r>
      <w:r w:rsidRPr="00B22AD9">
        <w:rPr>
          <w:rFonts w:ascii="Verdana" w:hAnsi="Verdana"/>
          <w:i/>
          <w:sz w:val="16"/>
          <w:szCs w:val="16"/>
          <w:lang w:val="pt-BR"/>
        </w:rPr>
        <w:t xml:space="preserve">Cfr. Caso Familia Pacheco Tineo Vs. </w:t>
      </w:r>
      <w:r w:rsidRPr="00B22AD9">
        <w:rPr>
          <w:rFonts w:ascii="Verdana" w:hAnsi="Verdana"/>
          <w:i/>
          <w:sz w:val="16"/>
          <w:szCs w:val="16"/>
          <w:lang w:val="es-CR"/>
        </w:rPr>
        <w:t>Bolivia</w:t>
      </w:r>
      <w:r w:rsidRPr="00B22AD9">
        <w:rPr>
          <w:rFonts w:ascii="Verdana" w:hAnsi="Verdana"/>
          <w:sz w:val="16"/>
          <w:szCs w:val="16"/>
          <w:lang w:val="es-CR"/>
        </w:rPr>
        <w:t xml:space="preserve">. Supervisión de Cumplimiento de Sentencia. Resolución de la Corte Interamericana de Derechos Humanos de 17 de abril de 2015, Considerando 9, y </w:t>
      </w:r>
      <w:r w:rsidRPr="00B22AD9">
        <w:rPr>
          <w:rFonts w:ascii="Verdana" w:hAnsi="Verdana"/>
          <w:i/>
          <w:sz w:val="16"/>
          <w:szCs w:val="16"/>
          <w:lang w:val="es-CR"/>
        </w:rPr>
        <w:t>Caso Andrade Salmón Vs. Bolivia. Supervisión de Cumplimiento de Sentencia.</w:t>
      </w:r>
      <w:r w:rsidRPr="00B22AD9">
        <w:rPr>
          <w:rFonts w:ascii="Verdana" w:hAnsi="Verdana"/>
          <w:sz w:val="16"/>
          <w:szCs w:val="16"/>
          <w:lang w:val="es-CR"/>
        </w:rPr>
        <w:t xml:space="preserve"> Resolución de la Corte Interamericana de Derechos Humanos de 5 de febrero de 2018, Considerando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46EA" w14:textId="40FBDE2B" w:rsidR="006B1290" w:rsidRDefault="006B1290" w:rsidP="003B24B0">
    <w:pPr>
      <w:pStyle w:val="Header"/>
      <w:jc w:val="center"/>
    </w:pPr>
    <w:r>
      <w:t xml:space="preserve">- </w:t>
    </w:r>
    <w:sdt>
      <w:sdtPr>
        <w:id w:val="-8125617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93A3E">
          <w:rPr>
            <w:noProof/>
          </w:rPr>
          <w:t>7</w:t>
        </w:r>
        <w:r>
          <w:rPr>
            <w:noProof/>
          </w:rPr>
          <w:fldChar w:fldCharType="end"/>
        </w:r>
        <w:r>
          <w:rPr>
            <w:noProof/>
          </w:rPr>
          <w:t xml:space="preserve"> -</w:t>
        </w:r>
      </w:sdtContent>
    </w:sdt>
  </w:p>
  <w:p w14:paraId="452B4DEF" w14:textId="77777777" w:rsidR="006B1290" w:rsidRDefault="006B1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4D8AB" w14:textId="684D20AA" w:rsidR="006B1290" w:rsidRPr="005C60E3" w:rsidRDefault="006B1290" w:rsidP="005C60E3">
    <w:pPr>
      <w:pStyle w:val="Header"/>
      <w:jc w:val="right"/>
      <w:rPr>
        <w:rFonts w:ascii="Verdana" w:hAnsi="Verdana"/>
        <w:b/>
        <w:i/>
        <w:sz w:val="20"/>
        <w:szCs w:val="20"/>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78B"/>
    <w:multiLevelType w:val="hybridMultilevel"/>
    <w:tmpl w:val="D8549D0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2BB00F7"/>
    <w:multiLevelType w:val="hybridMultilevel"/>
    <w:tmpl w:val="C2D88B78"/>
    <w:lvl w:ilvl="0" w:tplc="FE6E581C">
      <w:start w:val="1"/>
      <w:numFmt w:val="lowerLetter"/>
      <w:lvlText w:val="%1)"/>
      <w:lvlJc w:val="left"/>
      <w:pPr>
        <w:ind w:left="1080" w:hanging="360"/>
      </w:pPr>
      <w:rPr>
        <w:rFonts w:ascii="Verdana" w:hAnsi="Verdana" w:hint="default"/>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nsid w:val="046B2D65"/>
    <w:multiLevelType w:val="hybridMultilevel"/>
    <w:tmpl w:val="C18A76CC"/>
    <w:lvl w:ilvl="0" w:tplc="153AABAE">
      <w:start w:val="1"/>
      <w:numFmt w:val="decimal"/>
      <w:lvlText w:val="%1."/>
      <w:lvlJc w:val="left"/>
      <w:pPr>
        <w:ind w:left="720" w:hanging="360"/>
      </w:pPr>
      <w:rPr>
        <w:rFonts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99C446F"/>
    <w:multiLevelType w:val="hybridMultilevel"/>
    <w:tmpl w:val="0CA8F61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ACB3B95"/>
    <w:multiLevelType w:val="hybridMultilevel"/>
    <w:tmpl w:val="C4F44742"/>
    <w:lvl w:ilvl="0" w:tplc="363AD2F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B402EE5"/>
    <w:multiLevelType w:val="hybridMultilevel"/>
    <w:tmpl w:val="8872F2FA"/>
    <w:lvl w:ilvl="0" w:tplc="F02C5462">
      <w:start w:val="1"/>
      <w:numFmt w:val="bullet"/>
      <w:lvlText w:val="-"/>
      <w:lvlJc w:val="left"/>
      <w:pPr>
        <w:ind w:left="1080" w:hanging="360"/>
      </w:pPr>
      <w:rPr>
        <w:rFonts w:ascii="Calibri" w:eastAsiaTheme="minorHAnsi" w:hAnsi="Calibri" w:cstheme="minorBid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nsid w:val="279779EB"/>
    <w:multiLevelType w:val="hybridMultilevel"/>
    <w:tmpl w:val="8474D1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91677D0"/>
    <w:multiLevelType w:val="hybridMultilevel"/>
    <w:tmpl w:val="C3982EA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3C7132E"/>
    <w:multiLevelType w:val="hybridMultilevel"/>
    <w:tmpl w:val="727A171C"/>
    <w:lvl w:ilvl="0" w:tplc="D6669D42">
      <w:start w:val="1"/>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3EFF7F1E"/>
    <w:multiLevelType w:val="hybridMultilevel"/>
    <w:tmpl w:val="4F168C9C"/>
    <w:lvl w:ilvl="0" w:tplc="55806DD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4B751C6"/>
    <w:multiLevelType w:val="hybridMultilevel"/>
    <w:tmpl w:val="4F168C9C"/>
    <w:lvl w:ilvl="0" w:tplc="55806DD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5D11103A"/>
    <w:multiLevelType w:val="hybridMultilevel"/>
    <w:tmpl w:val="0DD8535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AA32ADB"/>
    <w:multiLevelType w:val="hybridMultilevel"/>
    <w:tmpl w:val="E1BC73B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762952BE"/>
    <w:multiLevelType w:val="hybridMultilevel"/>
    <w:tmpl w:val="4FC467F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7BFD7622"/>
    <w:multiLevelType w:val="hybridMultilevel"/>
    <w:tmpl w:val="74BE1B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7C6458CB"/>
    <w:multiLevelType w:val="hybridMultilevel"/>
    <w:tmpl w:val="51B8746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2"/>
  </w:num>
  <w:num w:numId="3">
    <w:abstractNumId w:val="14"/>
  </w:num>
  <w:num w:numId="4">
    <w:abstractNumId w:val="11"/>
  </w:num>
  <w:num w:numId="5">
    <w:abstractNumId w:val="6"/>
  </w:num>
  <w:num w:numId="6">
    <w:abstractNumId w:val="1"/>
  </w:num>
  <w:num w:numId="7">
    <w:abstractNumId w:val="15"/>
  </w:num>
  <w:num w:numId="8">
    <w:abstractNumId w:val="7"/>
  </w:num>
  <w:num w:numId="9">
    <w:abstractNumId w:val="0"/>
  </w:num>
  <w:num w:numId="10">
    <w:abstractNumId w:val="10"/>
  </w:num>
  <w:num w:numId="11">
    <w:abstractNumId w:val="12"/>
  </w:num>
  <w:num w:numId="12">
    <w:abstractNumId w:val="9"/>
  </w:num>
  <w:num w:numId="13">
    <w:abstractNumId w:val="3"/>
  </w:num>
  <w:num w:numId="14">
    <w:abstractNumId w:val="1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11"/>
    <w:rsid w:val="00000A87"/>
    <w:rsid w:val="00001333"/>
    <w:rsid w:val="000021E1"/>
    <w:rsid w:val="00007DD9"/>
    <w:rsid w:val="000119AE"/>
    <w:rsid w:val="00012091"/>
    <w:rsid w:val="000155FA"/>
    <w:rsid w:val="000163A7"/>
    <w:rsid w:val="00020F31"/>
    <w:rsid w:val="00034CC9"/>
    <w:rsid w:val="00035F60"/>
    <w:rsid w:val="00040673"/>
    <w:rsid w:val="00046013"/>
    <w:rsid w:val="00062390"/>
    <w:rsid w:val="000646BF"/>
    <w:rsid w:val="000652B7"/>
    <w:rsid w:val="00065EDB"/>
    <w:rsid w:val="00070850"/>
    <w:rsid w:val="00072E53"/>
    <w:rsid w:val="00073E1F"/>
    <w:rsid w:val="000A497C"/>
    <w:rsid w:val="000A4D17"/>
    <w:rsid w:val="000B73C8"/>
    <w:rsid w:val="000C2854"/>
    <w:rsid w:val="000C4189"/>
    <w:rsid w:val="000C5C4E"/>
    <w:rsid w:val="000D2AC9"/>
    <w:rsid w:val="000D6292"/>
    <w:rsid w:val="000D78F1"/>
    <w:rsid w:val="000E1545"/>
    <w:rsid w:val="000E1B5E"/>
    <w:rsid w:val="000E24F5"/>
    <w:rsid w:val="000E6FBC"/>
    <w:rsid w:val="00105F4F"/>
    <w:rsid w:val="00112ADB"/>
    <w:rsid w:val="001212BE"/>
    <w:rsid w:val="00123A5F"/>
    <w:rsid w:val="001257C8"/>
    <w:rsid w:val="00135176"/>
    <w:rsid w:val="00136710"/>
    <w:rsid w:val="00141D1B"/>
    <w:rsid w:val="0014437C"/>
    <w:rsid w:val="00153A8E"/>
    <w:rsid w:val="00163DC5"/>
    <w:rsid w:val="00175FC1"/>
    <w:rsid w:val="0018015E"/>
    <w:rsid w:val="00182358"/>
    <w:rsid w:val="00184ECF"/>
    <w:rsid w:val="00187207"/>
    <w:rsid w:val="001913F2"/>
    <w:rsid w:val="001A0A5F"/>
    <w:rsid w:val="001B0E7C"/>
    <w:rsid w:val="001B31C4"/>
    <w:rsid w:val="001C0D51"/>
    <w:rsid w:val="001D0D92"/>
    <w:rsid w:val="001D400B"/>
    <w:rsid w:val="001D6CB2"/>
    <w:rsid w:val="001E5411"/>
    <w:rsid w:val="001E58B8"/>
    <w:rsid w:val="001E7D37"/>
    <w:rsid w:val="001F431B"/>
    <w:rsid w:val="0021315C"/>
    <w:rsid w:val="002140B5"/>
    <w:rsid w:val="002235D2"/>
    <w:rsid w:val="00227136"/>
    <w:rsid w:val="002303F1"/>
    <w:rsid w:val="0023789D"/>
    <w:rsid w:val="002428E8"/>
    <w:rsid w:val="00243225"/>
    <w:rsid w:val="00246397"/>
    <w:rsid w:val="002466DF"/>
    <w:rsid w:val="00247565"/>
    <w:rsid w:val="00251F72"/>
    <w:rsid w:val="00260D49"/>
    <w:rsid w:val="00263DA8"/>
    <w:rsid w:val="00284438"/>
    <w:rsid w:val="00290E64"/>
    <w:rsid w:val="00291668"/>
    <w:rsid w:val="00292E15"/>
    <w:rsid w:val="00296F5A"/>
    <w:rsid w:val="002B2E3A"/>
    <w:rsid w:val="002B506D"/>
    <w:rsid w:val="002C308D"/>
    <w:rsid w:val="002C4504"/>
    <w:rsid w:val="002D3A65"/>
    <w:rsid w:val="002E33FF"/>
    <w:rsid w:val="002E3B59"/>
    <w:rsid w:val="002F04AF"/>
    <w:rsid w:val="0030123E"/>
    <w:rsid w:val="00310E95"/>
    <w:rsid w:val="00315EE5"/>
    <w:rsid w:val="00320C88"/>
    <w:rsid w:val="003360C4"/>
    <w:rsid w:val="00336C10"/>
    <w:rsid w:val="00337182"/>
    <w:rsid w:val="0034151F"/>
    <w:rsid w:val="00344277"/>
    <w:rsid w:val="0034577D"/>
    <w:rsid w:val="00351A2A"/>
    <w:rsid w:val="0035506E"/>
    <w:rsid w:val="003557DD"/>
    <w:rsid w:val="00362FAA"/>
    <w:rsid w:val="00382CBF"/>
    <w:rsid w:val="003838B7"/>
    <w:rsid w:val="00384B83"/>
    <w:rsid w:val="00385150"/>
    <w:rsid w:val="0038539C"/>
    <w:rsid w:val="00396968"/>
    <w:rsid w:val="003A0848"/>
    <w:rsid w:val="003A4891"/>
    <w:rsid w:val="003B24B0"/>
    <w:rsid w:val="003B3673"/>
    <w:rsid w:val="003B4006"/>
    <w:rsid w:val="003C0597"/>
    <w:rsid w:val="003C27D7"/>
    <w:rsid w:val="003D0F57"/>
    <w:rsid w:val="003D315A"/>
    <w:rsid w:val="003D4B08"/>
    <w:rsid w:val="003E3ED7"/>
    <w:rsid w:val="003E5640"/>
    <w:rsid w:val="003F0971"/>
    <w:rsid w:val="003F20D2"/>
    <w:rsid w:val="003F3FCF"/>
    <w:rsid w:val="00403728"/>
    <w:rsid w:val="00403BF9"/>
    <w:rsid w:val="00415197"/>
    <w:rsid w:val="004213B9"/>
    <w:rsid w:val="00447F88"/>
    <w:rsid w:val="00456029"/>
    <w:rsid w:val="004612B4"/>
    <w:rsid w:val="00467E3F"/>
    <w:rsid w:val="00480A0E"/>
    <w:rsid w:val="00481626"/>
    <w:rsid w:val="00484466"/>
    <w:rsid w:val="004861E6"/>
    <w:rsid w:val="004978BC"/>
    <w:rsid w:val="004C6180"/>
    <w:rsid w:val="004D2147"/>
    <w:rsid w:val="004D362B"/>
    <w:rsid w:val="004E6612"/>
    <w:rsid w:val="004F3A3B"/>
    <w:rsid w:val="004F45D8"/>
    <w:rsid w:val="004F469C"/>
    <w:rsid w:val="00510BD2"/>
    <w:rsid w:val="00511B35"/>
    <w:rsid w:val="0051670E"/>
    <w:rsid w:val="005242BF"/>
    <w:rsid w:val="005250E9"/>
    <w:rsid w:val="0053588B"/>
    <w:rsid w:val="00546BE5"/>
    <w:rsid w:val="00550925"/>
    <w:rsid w:val="0056306A"/>
    <w:rsid w:val="0057445F"/>
    <w:rsid w:val="005764B9"/>
    <w:rsid w:val="00580194"/>
    <w:rsid w:val="00582A1D"/>
    <w:rsid w:val="00590630"/>
    <w:rsid w:val="00596AF0"/>
    <w:rsid w:val="005A4A37"/>
    <w:rsid w:val="005A5B0A"/>
    <w:rsid w:val="005A7ADD"/>
    <w:rsid w:val="005B0306"/>
    <w:rsid w:val="005C0934"/>
    <w:rsid w:val="005C60E3"/>
    <w:rsid w:val="005C68F7"/>
    <w:rsid w:val="005C7EF8"/>
    <w:rsid w:val="005E134F"/>
    <w:rsid w:val="005F07EE"/>
    <w:rsid w:val="005F2DD5"/>
    <w:rsid w:val="005F58C9"/>
    <w:rsid w:val="005F6AC5"/>
    <w:rsid w:val="006070FE"/>
    <w:rsid w:val="006252AD"/>
    <w:rsid w:val="0063324D"/>
    <w:rsid w:val="006375F1"/>
    <w:rsid w:val="006440E4"/>
    <w:rsid w:val="006545B3"/>
    <w:rsid w:val="00664005"/>
    <w:rsid w:val="00664728"/>
    <w:rsid w:val="00672F19"/>
    <w:rsid w:val="00675124"/>
    <w:rsid w:val="0068017E"/>
    <w:rsid w:val="00695CC7"/>
    <w:rsid w:val="006976F9"/>
    <w:rsid w:val="006A700C"/>
    <w:rsid w:val="006B0C69"/>
    <w:rsid w:val="006B1290"/>
    <w:rsid w:val="006B130B"/>
    <w:rsid w:val="006B388E"/>
    <w:rsid w:val="006C5E2A"/>
    <w:rsid w:val="006C6C46"/>
    <w:rsid w:val="006C6CC5"/>
    <w:rsid w:val="006D6744"/>
    <w:rsid w:val="006D6795"/>
    <w:rsid w:val="006E6866"/>
    <w:rsid w:val="006F162E"/>
    <w:rsid w:val="00702056"/>
    <w:rsid w:val="00704846"/>
    <w:rsid w:val="00707348"/>
    <w:rsid w:val="00716370"/>
    <w:rsid w:val="007300CF"/>
    <w:rsid w:val="0074011F"/>
    <w:rsid w:val="007404A5"/>
    <w:rsid w:val="0074192B"/>
    <w:rsid w:val="00752AEF"/>
    <w:rsid w:val="0075428B"/>
    <w:rsid w:val="00761555"/>
    <w:rsid w:val="00761C96"/>
    <w:rsid w:val="00763AFC"/>
    <w:rsid w:val="00765EB0"/>
    <w:rsid w:val="007667B4"/>
    <w:rsid w:val="0076680D"/>
    <w:rsid w:val="00767961"/>
    <w:rsid w:val="00782BD1"/>
    <w:rsid w:val="007907C3"/>
    <w:rsid w:val="007948E5"/>
    <w:rsid w:val="007B1CBB"/>
    <w:rsid w:val="007B6AF5"/>
    <w:rsid w:val="007B6B8C"/>
    <w:rsid w:val="007C6093"/>
    <w:rsid w:val="007C6608"/>
    <w:rsid w:val="007C67B0"/>
    <w:rsid w:val="007D22ED"/>
    <w:rsid w:val="007D2AB0"/>
    <w:rsid w:val="007E0A0A"/>
    <w:rsid w:val="007E4CD4"/>
    <w:rsid w:val="007E70AC"/>
    <w:rsid w:val="007F37DE"/>
    <w:rsid w:val="007F6E82"/>
    <w:rsid w:val="00807282"/>
    <w:rsid w:val="0081206D"/>
    <w:rsid w:val="00832BDB"/>
    <w:rsid w:val="008430D4"/>
    <w:rsid w:val="00854911"/>
    <w:rsid w:val="008558D1"/>
    <w:rsid w:val="0086725E"/>
    <w:rsid w:val="008679B3"/>
    <w:rsid w:val="00867A5F"/>
    <w:rsid w:val="00873E0C"/>
    <w:rsid w:val="00876249"/>
    <w:rsid w:val="00886884"/>
    <w:rsid w:val="00893C87"/>
    <w:rsid w:val="008A3BED"/>
    <w:rsid w:val="008A3D50"/>
    <w:rsid w:val="008A58A0"/>
    <w:rsid w:val="008B54C2"/>
    <w:rsid w:val="008C1B8C"/>
    <w:rsid w:val="008C7788"/>
    <w:rsid w:val="008D0338"/>
    <w:rsid w:val="008D1D1A"/>
    <w:rsid w:val="008D5BE7"/>
    <w:rsid w:val="008E2B9A"/>
    <w:rsid w:val="008E404C"/>
    <w:rsid w:val="008F2E96"/>
    <w:rsid w:val="008F4559"/>
    <w:rsid w:val="00905598"/>
    <w:rsid w:val="009058D6"/>
    <w:rsid w:val="009137B7"/>
    <w:rsid w:val="009227AE"/>
    <w:rsid w:val="00933CBD"/>
    <w:rsid w:val="00935B21"/>
    <w:rsid w:val="00936B43"/>
    <w:rsid w:val="009372E9"/>
    <w:rsid w:val="00942431"/>
    <w:rsid w:val="0094293A"/>
    <w:rsid w:val="0094684F"/>
    <w:rsid w:val="00956CDE"/>
    <w:rsid w:val="00966BC0"/>
    <w:rsid w:val="00967A71"/>
    <w:rsid w:val="00967DBE"/>
    <w:rsid w:val="00983D72"/>
    <w:rsid w:val="00986841"/>
    <w:rsid w:val="0098684E"/>
    <w:rsid w:val="00993505"/>
    <w:rsid w:val="009A1644"/>
    <w:rsid w:val="009B5EDF"/>
    <w:rsid w:val="009C0250"/>
    <w:rsid w:val="009D4BEB"/>
    <w:rsid w:val="009D5C60"/>
    <w:rsid w:val="009F0C65"/>
    <w:rsid w:val="009F16AE"/>
    <w:rsid w:val="009F2C6A"/>
    <w:rsid w:val="009F4E3E"/>
    <w:rsid w:val="009F711D"/>
    <w:rsid w:val="00A04452"/>
    <w:rsid w:val="00A14BF8"/>
    <w:rsid w:val="00A16314"/>
    <w:rsid w:val="00A22404"/>
    <w:rsid w:val="00A2451F"/>
    <w:rsid w:val="00A33C5C"/>
    <w:rsid w:val="00A347C5"/>
    <w:rsid w:val="00A362F3"/>
    <w:rsid w:val="00A461A7"/>
    <w:rsid w:val="00A5546E"/>
    <w:rsid w:val="00A700B4"/>
    <w:rsid w:val="00A70DE6"/>
    <w:rsid w:val="00A72709"/>
    <w:rsid w:val="00A75E3B"/>
    <w:rsid w:val="00A768F4"/>
    <w:rsid w:val="00A84C71"/>
    <w:rsid w:val="00A87C79"/>
    <w:rsid w:val="00A97234"/>
    <w:rsid w:val="00AA24D0"/>
    <w:rsid w:val="00AA5828"/>
    <w:rsid w:val="00AA7F17"/>
    <w:rsid w:val="00AB3657"/>
    <w:rsid w:val="00AC4147"/>
    <w:rsid w:val="00AD1B0F"/>
    <w:rsid w:val="00AD2674"/>
    <w:rsid w:val="00AF1DC9"/>
    <w:rsid w:val="00AF6AB3"/>
    <w:rsid w:val="00AF6D97"/>
    <w:rsid w:val="00B14BBD"/>
    <w:rsid w:val="00B15975"/>
    <w:rsid w:val="00B208BB"/>
    <w:rsid w:val="00B22AD9"/>
    <w:rsid w:val="00B26560"/>
    <w:rsid w:val="00B302AE"/>
    <w:rsid w:val="00B30A18"/>
    <w:rsid w:val="00B37723"/>
    <w:rsid w:val="00B37B23"/>
    <w:rsid w:val="00B40B69"/>
    <w:rsid w:val="00B479D6"/>
    <w:rsid w:val="00B50C62"/>
    <w:rsid w:val="00B51CCF"/>
    <w:rsid w:val="00B60687"/>
    <w:rsid w:val="00B63EAD"/>
    <w:rsid w:val="00B70268"/>
    <w:rsid w:val="00B70835"/>
    <w:rsid w:val="00B717CC"/>
    <w:rsid w:val="00B71C18"/>
    <w:rsid w:val="00B76214"/>
    <w:rsid w:val="00B82D00"/>
    <w:rsid w:val="00B84117"/>
    <w:rsid w:val="00B91666"/>
    <w:rsid w:val="00B94509"/>
    <w:rsid w:val="00BA4CA6"/>
    <w:rsid w:val="00BB3CCC"/>
    <w:rsid w:val="00BB6DF3"/>
    <w:rsid w:val="00BC0C03"/>
    <w:rsid w:val="00BC1A94"/>
    <w:rsid w:val="00BC46DC"/>
    <w:rsid w:val="00BD0976"/>
    <w:rsid w:val="00BD1E56"/>
    <w:rsid w:val="00BE1920"/>
    <w:rsid w:val="00BE1A2F"/>
    <w:rsid w:val="00BE3306"/>
    <w:rsid w:val="00BE51B1"/>
    <w:rsid w:val="00C0181A"/>
    <w:rsid w:val="00C034A8"/>
    <w:rsid w:val="00C03503"/>
    <w:rsid w:val="00C05E90"/>
    <w:rsid w:val="00C07A5E"/>
    <w:rsid w:val="00C161DB"/>
    <w:rsid w:val="00C211FE"/>
    <w:rsid w:val="00C24FE5"/>
    <w:rsid w:val="00C34B0B"/>
    <w:rsid w:val="00C34C75"/>
    <w:rsid w:val="00C374FE"/>
    <w:rsid w:val="00C46E3A"/>
    <w:rsid w:val="00C475D7"/>
    <w:rsid w:val="00C477AD"/>
    <w:rsid w:val="00C502B5"/>
    <w:rsid w:val="00C53A19"/>
    <w:rsid w:val="00C55617"/>
    <w:rsid w:val="00C55B8B"/>
    <w:rsid w:val="00C61C3D"/>
    <w:rsid w:val="00C61EE8"/>
    <w:rsid w:val="00C72610"/>
    <w:rsid w:val="00C76CA4"/>
    <w:rsid w:val="00C87B55"/>
    <w:rsid w:val="00C87E08"/>
    <w:rsid w:val="00C938BA"/>
    <w:rsid w:val="00C94117"/>
    <w:rsid w:val="00C956BF"/>
    <w:rsid w:val="00C971DE"/>
    <w:rsid w:val="00CA6C72"/>
    <w:rsid w:val="00CB7D38"/>
    <w:rsid w:val="00CC102D"/>
    <w:rsid w:val="00CD4AF1"/>
    <w:rsid w:val="00CF56E4"/>
    <w:rsid w:val="00CF7589"/>
    <w:rsid w:val="00CF7FC1"/>
    <w:rsid w:val="00D00179"/>
    <w:rsid w:val="00D02AE5"/>
    <w:rsid w:val="00D02FE8"/>
    <w:rsid w:val="00D0726E"/>
    <w:rsid w:val="00D141F2"/>
    <w:rsid w:val="00D16D21"/>
    <w:rsid w:val="00D22A67"/>
    <w:rsid w:val="00D241C1"/>
    <w:rsid w:val="00D25569"/>
    <w:rsid w:val="00D3062E"/>
    <w:rsid w:val="00D30FE4"/>
    <w:rsid w:val="00D32826"/>
    <w:rsid w:val="00D4450A"/>
    <w:rsid w:val="00D44755"/>
    <w:rsid w:val="00D45677"/>
    <w:rsid w:val="00D572B5"/>
    <w:rsid w:val="00D64DBF"/>
    <w:rsid w:val="00D741E8"/>
    <w:rsid w:val="00D85682"/>
    <w:rsid w:val="00D85CF9"/>
    <w:rsid w:val="00D87FA1"/>
    <w:rsid w:val="00D91870"/>
    <w:rsid w:val="00D93A3E"/>
    <w:rsid w:val="00D93C6C"/>
    <w:rsid w:val="00D960C3"/>
    <w:rsid w:val="00DA3822"/>
    <w:rsid w:val="00DA5AF0"/>
    <w:rsid w:val="00DB0E4F"/>
    <w:rsid w:val="00DB351D"/>
    <w:rsid w:val="00DF4963"/>
    <w:rsid w:val="00DF75BB"/>
    <w:rsid w:val="00E2614B"/>
    <w:rsid w:val="00E31150"/>
    <w:rsid w:val="00E316C9"/>
    <w:rsid w:val="00E35F2D"/>
    <w:rsid w:val="00E37C0E"/>
    <w:rsid w:val="00E5277F"/>
    <w:rsid w:val="00E534C4"/>
    <w:rsid w:val="00E53B22"/>
    <w:rsid w:val="00E6006B"/>
    <w:rsid w:val="00E672B3"/>
    <w:rsid w:val="00E74D45"/>
    <w:rsid w:val="00E75815"/>
    <w:rsid w:val="00E80231"/>
    <w:rsid w:val="00E80E96"/>
    <w:rsid w:val="00E8194E"/>
    <w:rsid w:val="00E87526"/>
    <w:rsid w:val="00E9191B"/>
    <w:rsid w:val="00E92BF7"/>
    <w:rsid w:val="00EA42CF"/>
    <w:rsid w:val="00EA7DD3"/>
    <w:rsid w:val="00EB30C6"/>
    <w:rsid w:val="00EC5BDC"/>
    <w:rsid w:val="00EC6737"/>
    <w:rsid w:val="00ED630C"/>
    <w:rsid w:val="00EF3CE6"/>
    <w:rsid w:val="00F00218"/>
    <w:rsid w:val="00F002F3"/>
    <w:rsid w:val="00F00C02"/>
    <w:rsid w:val="00F0722B"/>
    <w:rsid w:val="00F25DEA"/>
    <w:rsid w:val="00F36513"/>
    <w:rsid w:val="00F5021C"/>
    <w:rsid w:val="00F54BEA"/>
    <w:rsid w:val="00F554AE"/>
    <w:rsid w:val="00F67142"/>
    <w:rsid w:val="00F70455"/>
    <w:rsid w:val="00F71C32"/>
    <w:rsid w:val="00F74D3E"/>
    <w:rsid w:val="00F83BE5"/>
    <w:rsid w:val="00F8523E"/>
    <w:rsid w:val="00F856B8"/>
    <w:rsid w:val="00F96057"/>
    <w:rsid w:val="00F97167"/>
    <w:rsid w:val="00FA0D4D"/>
    <w:rsid w:val="00FA4E82"/>
    <w:rsid w:val="00FC0972"/>
    <w:rsid w:val="00FC16AE"/>
    <w:rsid w:val="00FC2E72"/>
    <w:rsid w:val="00FC5498"/>
    <w:rsid w:val="00FC5789"/>
    <w:rsid w:val="00FE0F95"/>
    <w:rsid w:val="00FE11B2"/>
    <w:rsid w:val="00FE15B5"/>
    <w:rsid w:val="00FE6076"/>
    <w:rsid w:val="00FF1A9B"/>
    <w:rsid w:val="00FF6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B52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0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11"/>
  </w:style>
  <w:style w:type="paragraph" w:styleId="Footer">
    <w:name w:val="footer"/>
    <w:basedOn w:val="Normal"/>
    <w:link w:val="FooterChar"/>
    <w:uiPriority w:val="99"/>
    <w:unhideWhenUsed/>
    <w:rsid w:val="001E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11"/>
  </w:style>
  <w:style w:type="character" w:styleId="LineNumber">
    <w:name w:val="line number"/>
    <w:basedOn w:val="DefaultParagraphFont"/>
    <w:uiPriority w:val="99"/>
    <w:semiHidden/>
    <w:unhideWhenUsed/>
    <w:rsid w:val="001E5411"/>
  </w:style>
  <w:style w:type="paragraph" w:styleId="ListParagraph">
    <w:name w:val="List Paragraph"/>
    <w:basedOn w:val="Normal"/>
    <w:uiPriority w:val="34"/>
    <w:qFormat/>
    <w:rsid w:val="00B30A1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B30A1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B30A18"/>
    <w:rPr>
      <w:sz w:val="20"/>
      <w:szCs w:val="20"/>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basedOn w:val="DefaultParagraphFont"/>
    <w:unhideWhenUsed/>
    <w:qFormat/>
    <w:rsid w:val="00B30A18"/>
    <w:rPr>
      <w:vertAlign w:val="superscript"/>
    </w:rPr>
  </w:style>
  <w:style w:type="character" w:styleId="Hyperlink">
    <w:name w:val="Hyperlink"/>
    <w:basedOn w:val="DefaultParagraphFont"/>
    <w:uiPriority w:val="99"/>
    <w:unhideWhenUsed/>
    <w:rsid w:val="00B30A18"/>
    <w:rPr>
      <w:color w:val="0000FF" w:themeColor="hyperlink"/>
      <w:u w:val="single"/>
    </w:rPr>
  </w:style>
  <w:style w:type="character" w:styleId="FollowedHyperlink">
    <w:name w:val="FollowedHyperlink"/>
    <w:basedOn w:val="DefaultParagraphFont"/>
    <w:uiPriority w:val="99"/>
    <w:semiHidden/>
    <w:unhideWhenUsed/>
    <w:rsid w:val="00136710"/>
    <w:rPr>
      <w:color w:val="800080" w:themeColor="followedHyperlink"/>
      <w:u w:val="single"/>
    </w:rPr>
  </w:style>
  <w:style w:type="character" w:styleId="CommentReference">
    <w:name w:val="annotation reference"/>
    <w:basedOn w:val="DefaultParagraphFont"/>
    <w:uiPriority w:val="99"/>
    <w:semiHidden/>
    <w:unhideWhenUsed/>
    <w:rsid w:val="00F54BEA"/>
    <w:rPr>
      <w:sz w:val="16"/>
      <w:szCs w:val="16"/>
    </w:rPr>
  </w:style>
  <w:style w:type="paragraph" w:styleId="CommentText">
    <w:name w:val="annotation text"/>
    <w:basedOn w:val="Normal"/>
    <w:link w:val="CommentTextChar"/>
    <w:uiPriority w:val="99"/>
    <w:semiHidden/>
    <w:unhideWhenUsed/>
    <w:rsid w:val="00F54BEA"/>
    <w:pPr>
      <w:spacing w:line="240" w:lineRule="auto"/>
    </w:pPr>
    <w:rPr>
      <w:sz w:val="20"/>
      <w:szCs w:val="20"/>
    </w:rPr>
  </w:style>
  <w:style w:type="character" w:customStyle="1" w:styleId="CommentTextChar">
    <w:name w:val="Comment Text Char"/>
    <w:basedOn w:val="DefaultParagraphFont"/>
    <w:link w:val="CommentText"/>
    <w:uiPriority w:val="99"/>
    <w:semiHidden/>
    <w:rsid w:val="00F54BEA"/>
    <w:rPr>
      <w:sz w:val="20"/>
      <w:szCs w:val="20"/>
    </w:rPr>
  </w:style>
  <w:style w:type="paragraph" w:styleId="CommentSubject">
    <w:name w:val="annotation subject"/>
    <w:basedOn w:val="CommentText"/>
    <w:next w:val="CommentText"/>
    <w:link w:val="CommentSubjectChar"/>
    <w:uiPriority w:val="99"/>
    <w:semiHidden/>
    <w:unhideWhenUsed/>
    <w:rsid w:val="00F54BEA"/>
    <w:rPr>
      <w:b/>
      <w:bCs/>
    </w:rPr>
  </w:style>
  <w:style w:type="character" w:customStyle="1" w:styleId="CommentSubjectChar">
    <w:name w:val="Comment Subject Char"/>
    <w:basedOn w:val="CommentTextChar"/>
    <w:link w:val="CommentSubject"/>
    <w:uiPriority w:val="99"/>
    <w:semiHidden/>
    <w:rsid w:val="00F54BEA"/>
    <w:rPr>
      <w:b/>
      <w:bCs/>
      <w:sz w:val="20"/>
      <w:szCs w:val="20"/>
    </w:rPr>
  </w:style>
  <w:style w:type="paragraph" w:styleId="BalloonText">
    <w:name w:val="Balloon Text"/>
    <w:basedOn w:val="Normal"/>
    <w:link w:val="BalloonTextChar"/>
    <w:uiPriority w:val="99"/>
    <w:semiHidden/>
    <w:unhideWhenUsed/>
    <w:rsid w:val="00F5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BEA"/>
    <w:rPr>
      <w:rFonts w:ascii="Tahoma" w:hAnsi="Tahoma" w:cs="Tahoma"/>
      <w:sz w:val="16"/>
      <w:szCs w:val="16"/>
    </w:rPr>
  </w:style>
  <w:style w:type="character" w:customStyle="1" w:styleId="Heading1Char">
    <w:name w:val="Heading 1 Char"/>
    <w:basedOn w:val="DefaultParagraphFont"/>
    <w:link w:val="Heading1"/>
    <w:uiPriority w:val="9"/>
    <w:rsid w:val="00F00C02"/>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A72709"/>
    <w:pPr>
      <w:spacing w:after="100"/>
    </w:pPr>
  </w:style>
  <w:style w:type="paragraph" w:styleId="Revision">
    <w:name w:val="Revision"/>
    <w:hidden/>
    <w:uiPriority w:val="99"/>
    <w:semiHidden/>
    <w:rsid w:val="00B762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0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11"/>
  </w:style>
  <w:style w:type="paragraph" w:styleId="Footer">
    <w:name w:val="footer"/>
    <w:basedOn w:val="Normal"/>
    <w:link w:val="FooterChar"/>
    <w:uiPriority w:val="99"/>
    <w:unhideWhenUsed/>
    <w:rsid w:val="001E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11"/>
  </w:style>
  <w:style w:type="character" w:styleId="LineNumber">
    <w:name w:val="line number"/>
    <w:basedOn w:val="DefaultParagraphFont"/>
    <w:uiPriority w:val="99"/>
    <w:semiHidden/>
    <w:unhideWhenUsed/>
    <w:rsid w:val="001E5411"/>
  </w:style>
  <w:style w:type="paragraph" w:styleId="ListParagraph">
    <w:name w:val="List Paragraph"/>
    <w:basedOn w:val="Normal"/>
    <w:uiPriority w:val="34"/>
    <w:qFormat/>
    <w:rsid w:val="00B30A1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B30A1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B30A18"/>
    <w:rPr>
      <w:sz w:val="20"/>
      <w:szCs w:val="20"/>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basedOn w:val="DefaultParagraphFont"/>
    <w:unhideWhenUsed/>
    <w:qFormat/>
    <w:rsid w:val="00B30A18"/>
    <w:rPr>
      <w:vertAlign w:val="superscript"/>
    </w:rPr>
  </w:style>
  <w:style w:type="character" w:styleId="Hyperlink">
    <w:name w:val="Hyperlink"/>
    <w:basedOn w:val="DefaultParagraphFont"/>
    <w:uiPriority w:val="99"/>
    <w:unhideWhenUsed/>
    <w:rsid w:val="00B30A18"/>
    <w:rPr>
      <w:color w:val="0000FF" w:themeColor="hyperlink"/>
      <w:u w:val="single"/>
    </w:rPr>
  </w:style>
  <w:style w:type="character" w:styleId="FollowedHyperlink">
    <w:name w:val="FollowedHyperlink"/>
    <w:basedOn w:val="DefaultParagraphFont"/>
    <w:uiPriority w:val="99"/>
    <w:semiHidden/>
    <w:unhideWhenUsed/>
    <w:rsid w:val="00136710"/>
    <w:rPr>
      <w:color w:val="800080" w:themeColor="followedHyperlink"/>
      <w:u w:val="single"/>
    </w:rPr>
  </w:style>
  <w:style w:type="character" w:styleId="CommentReference">
    <w:name w:val="annotation reference"/>
    <w:basedOn w:val="DefaultParagraphFont"/>
    <w:uiPriority w:val="99"/>
    <w:semiHidden/>
    <w:unhideWhenUsed/>
    <w:rsid w:val="00F54BEA"/>
    <w:rPr>
      <w:sz w:val="16"/>
      <w:szCs w:val="16"/>
    </w:rPr>
  </w:style>
  <w:style w:type="paragraph" w:styleId="CommentText">
    <w:name w:val="annotation text"/>
    <w:basedOn w:val="Normal"/>
    <w:link w:val="CommentTextChar"/>
    <w:uiPriority w:val="99"/>
    <w:semiHidden/>
    <w:unhideWhenUsed/>
    <w:rsid w:val="00F54BEA"/>
    <w:pPr>
      <w:spacing w:line="240" w:lineRule="auto"/>
    </w:pPr>
    <w:rPr>
      <w:sz w:val="20"/>
      <w:szCs w:val="20"/>
    </w:rPr>
  </w:style>
  <w:style w:type="character" w:customStyle="1" w:styleId="CommentTextChar">
    <w:name w:val="Comment Text Char"/>
    <w:basedOn w:val="DefaultParagraphFont"/>
    <w:link w:val="CommentText"/>
    <w:uiPriority w:val="99"/>
    <w:semiHidden/>
    <w:rsid w:val="00F54BEA"/>
    <w:rPr>
      <w:sz w:val="20"/>
      <w:szCs w:val="20"/>
    </w:rPr>
  </w:style>
  <w:style w:type="paragraph" w:styleId="CommentSubject">
    <w:name w:val="annotation subject"/>
    <w:basedOn w:val="CommentText"/>
    <w:next w:val="CommentText"/>
    <w:link w:val="CommentSubjectChar"/>
    <w:uiPriority w:val="99"/>
    <w:semiHidden/>
    <w:unhideWhenUsed/>
    <w:rsid w:val="00F54BEA"/>
    <w:rPr>
      <w:b/>
      <w:bCs/>
    </w:rPr>
  </w:style>
  <w:style w:type="character" w:customStyle="1" w:styleId="CommentSubjectChar">
    <w:name w:val="Comment Subject Char"/>
    <w:basedOn w:val="CommentTextChar"/>
    <w:link w:val="CommentSubject"/>
    <w:uiPriority w:val="99"/>
    <w:semiHidden/>
    <w:rsid w:val="00F54BEA"/>
    <w:rPr>
      <w:b/>
      <w:bCs/>
      <w:sz w:val="20"/>
      <w:szCs w:val="20"/>
    </w:rPr>
  </w:style>
  <w:style w:type="paragraph" w:styleId="BalloonText">
    <w:name w:val="Balloon Text"/>
    <w:basedOn w:val="Normal"/>
    <w:link w:val="BalloonTextChar"/>
    <w:uiPriority w:val="99"/>
    <w:semiHidden/>
    <w:unhideWhenUsed/>
    <w:rsid w:val="00F5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BEA"/>
    <w:rPr>
      <w:rFonts w:ascii="Tahoma" w:hAnsi="Tahoma" w:cs="Tahoma"/>
      <w:sz w:val="16"/>
      <w:szCs w:val="16"/>
    </w:rPr>
  </w:style>
  <w:style w:type="character" w:customStyle="1" w:styleId="Heading1Char">
    <w:name w:val="Heading 1 Char"/>
    <w:basedOn w:val="DefaultParagraphFont"/>
    <w:link w:val="Heading1"/>
    <w:uiPriority w:val="9"/>
    <w:rsid w:val="00F00C02"/>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A72709"/>
    <w:pPr>
      <w:spacing w:after="100"/>
    </w:pPr>
  </w:style>
  <w:style w:type="paragraph" w:styleId="Revision">
    <w:name w:val="Revision"/>
    <w:hidden/>
    <w:uiPriority w:val="99"/>
    <w:semiHidden/>
    <w:rsid w:val="00B762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00012">
      <w:bodyDiv w:val="1"/>
      <w:marLeft w:val="0"/>
      <w:marRight w:val="0"/>
      <w:marTop w:val="0"/>
      <w:marBottom w:val="0"/>
      <w:divBdr>
        <w:top w:val="none" w:sz="0" w:space="0" w:color="auto"/>
        <w:left w:val="none" w:sz="0" w:space="0" w:color="auto"/>
        <w:bottom w:val="none" w:sz="0" w:space="0" w:color="auto"/>
        <w:right w:val="none" w:sz="0" w:space="0" w:color="auto"/>
      </w:divBdr>
      <w:divsChild>
        <w:div w:id="515271024">
          <w:marLeft w:val="0"/>
          <w:marRight w:val="0"/>
          <w:marTop w:val="0"/>
          <w:marBottom w:val="0"/>
          <w:divBdr>
            <w:top w:val="none" w:sz="0" w:space="0" w:color="auto"/>
            <w:left w:val="none" w:sz="0" w:space="0" w:color="auto"/>
            <w:bottom w:val="none" w:sz="0" w:space="0" w:color="auto"/>
            <w:right w:val="none" w:sz="0" w:space="0" w:color="auto"/>
          </w:divBdr>
          <w:divsChild>
            <w:div w:id="159078687">
              <w:marLeft w:val="0"/>
              <w:marRight w:val="0"/>
              <w:marTop w:val="0"/>
              <w:marBottom w:val="0"/>
              <w:divBdr>
                <w:top w:val="none" w:sz="0" w:space="0" w:color="auto"/>
                <w:left w:val="none" w:sz="0" w:space="0" w:color="auto"/>
                <w:bottom w:val="none" w:sz="0" w:space="0" w:color="auto"/>
                <w:right w:val="none" w:sz="0" w:space="0" w:color="auto"/>
              </w:divBdr>
              <w:divsChild>
                <w:div w:id="3722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73412">
      <w:bodyDiv w:val="1"/>
      <w:marLeft w:val="0"/>
      <w:marRight w:val="0"/>
      <w:marTop w:val="0"/>
      <w:marBottom w:val="0"/>
      <w:divBdr>
        <w:top w:val="none" w:sz="0" w:space="0" w:color="auto"/>
        <w:left w:val="none" w:sz="0" w:space="0" w:color="auto"/>
        <w:bottom w:val="none" w:sz="0" w:space="0" w:color="auto"/>
        <w:right w:val="none" w:sz="0" w:space="0" w:color="auto"/>
      </w:divBdr>
    </w:div>
    <w:div w:id="835731266">
      <w:bodyDiv w:val="1"/>
      <w:marLeft w:val="0"/>
      <w:marRight w:val="0"/>
      <w:marTop w:val="0"/>
      <w:marBottom w:val="0"/>
      <w:divBdr>
        <w:top w:val="none" w:sz="0" w:space="0" w:color="auto"/>
        <w:left w:val="none" w:sz="0" w:space="0" w:color="auto"/>
        <w:bottom w:val="none" w:sz="0" w:space="0" w:color="auto"/>
        <w:right w:val="none" w:sz="0" w:space="0" w:color="auto"/>
      </w:divBdr>
      <w:divsChild>
        <w:div w:id="829518670">
          <w:marLeft w:val="0"/>
          <w:marRight w:val="0"/>
          <w:marTop w:val="0"/>
          <w:marBottom w:val="0"/>
          <w:divBdr>
            <w:top w:val="none" w:sz="0" w:space="0" w:color="auto"/>
            <w:left w:val="none" w:sz="0" w:space="0" w:color="auto"/>
            <w:bottom w:val="none" w:sz="0" w:space="0" w:color="auto"/>
            <w:right w:val="none" w:sz="0" w:space="0" w:color="auto"/>
          </w:divBdr>
          <w:divsChild>
            <w:div w:id="730273421">
              <w:marLeft w:val="0"/>
              <w:marRight w:val="0"/>
              <w:marTop w:val="0"/>
              <w:marBottom w:val="0"/>
              <w:divBdr>
                <w:top w:val="none" w:sz="0" w:space="0" w:color="auto"/>
                <w:left w:val="none" w:sz="0" w:space="0" w:color="auto"/>
                <w:bottom w:val="none" w:sz="0" w:space="0" w:color="auto"/>
                <w:right w:val="none" w:sz="0" w:space="0" w:color="auto"/>
              </w:divBdr>
              <w:divsChild>
                <w:div w:id="18275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asuntos/pollo_lagos_fv_18.pdf" TargetMode="External"/><Relationship Id="rId2" Type="http://schemas.openxmlformats.org/officeDocument/2006/relationships/hyperlink" Target="http://www.corteidh.or.cr/docs/casos/articulos/seriec_340_esp.pdf" TargetMode="External"/><Relationship Id="rId1" Type="http://schemas.openxmlformats.org/officeDocument/2006/relationships/hyperlink" Target="http://www.corteidh.or.cr/docs/casos/articulos/seriec_335_esp.pdf" TargetMode="External"/><Relationship Id="rId6" Type="http://schemas.openxmlformats.org/officeDocument/2006/relationships/hyperlink" Target="https://www.minjus.gob.pe/sentencias-publicadas-corteidh/" TargetMode="External"/><Relationship Id="rId5" Type="http://schemas.openxmlformats.org/officeDocument/2006/relationships/hyperlink" Target="https://www.pj.gob.pe/wps/wcm/connect/97d3440041c0b973836bf749cfca7f5d/SENTENCIA-E-INTERPRETACI%C3" TargetMode="External"/><Relationship Id="rId4" Type="http://schemas.openxmlformats.org/officeDocument/2006/relationships/hyperlink" Target="http://www.minjus.gob.pe/sentencias-publicadas-cortei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96E2C-28B7-444B-AE5B-5565D073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1821</Words>
  <Characters>10017</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cp:lastPrinted>2018-11-20T15:33:00Z</cp:lastPrinted>
  <dcterms:created xsi:type="dcterms:W3CDTF">2018-11-20T15:51:00Z</dcterms:created>
  <dcterms:modified xsi:type="dcterms:W3CDTF">2018-11-20T15:51:00Z</dcterms:modified>
</cp:coreProperties>
</file>