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35159" w14:textId="77777777" w:rsidR="00671120" w:rsidRPr="00B06955" w:rsidRDefault="00671120" w:rsidP="00B06955">
      <w:pPr>
        <w:spacing w:after="0"/>
        <w:jc w:val="center"/>
        <w:rPr>
          <w:rFonts w:ascii="Verdana" w:hAnsi="Verdana"/>
          <w:b/>
          <w:sz w:val="20"/>
          <w:szCs w:val="20"/>
          <w:lang w:val="es-CO"/>
        </w:rPr>
      </w:pPr>
      <w:bookmarkStart w:id="0" w:name="_GoBack"/>
      <w:bookmarkEnd w:id="0"/>
    </w:p>
    <w:p w14:paraId="4A14B406" w14:textId="77777777" w:rsidR="00671120" w:rsidRPr="00B06955" w:rsidRDefault="00671120" w:rsidP="00B06955">
      <w:pPr>
        <w:spacing w:after="0"/>
        <w:jc w:val="center"/>
        <w:rPr>
          <w:rFonts w:ascii="Verdana" w:hAnsi="Verdana"/>
          <w:b/>
          <w:sz w:val="20"/>
          <w:szCs w:val="20"/>
          <w:lang w:val="es-CR"/>
        </w:rPr>
      </w:pPr>
    </w:p>
    <w:p w14:paraId="174B2B37" w14:textId="77777777" w:rsidR="00671120" w:rsidRPr="00B06955" w:rsidRDefault="00671120" w:rsidP="00B06955">
      <w:pPr>
        <w:spacing w:after="0"/>
        <w:jc w:val="center"/>
        <w:rPr>
          <w:rFonts w:ascii="Verdana" w:hAnsi="Verdana"/>
          <w:b/>
          <w:sz w:val="20"/>
          <w:szCs w:val="20"/>
          <w:lang w:val="es-CR"/>
        </w:rPr>
      </w:pPr>
    </w:p>
    <w:p w14:paraId="39C59913" w14:textId="77777777" w:rsidR="00671120" w:rsidRPr="00B06955" w:rsidRDefault="00671120" w:rsidP="00B06955">
      <w:pPr>
        <w:spacing w:after="0"/>
        <w:jc w:val="center"/>
        <w:rPr>
          <w:rFonts w:ascii="Verdana" w:hAnsi="Verdana"/>
          <w:b/>
          <w:sz w:val="20"/>
          <w:szCs w:val="20"/>
          <w:lang w:val="es-CR"/>
        </w:rPr>
      </w:pPr>
    </w:p>
    <w:p w14:paraId="6C8E3B4D" w14:textId="77777777" w:rsidR="00671120" w:rsidRPr="00B06955" w:rsidRDefault="00671120" w:rsidP="00B06955">
      <w:pPr>
        <w:spacing w:after="0"/>
        <w:jc w:val="center"/>
        <w:rPr>
          <w:rFonts w:ascii="Verdana" w:hAnsi="Verdana"/>
          <w:b/>
          <w:sz w:val="20"/>
          <w:szCs w:val="20"/>
          <w:lang w:val="es-CR"/>
        </w:rPr>
      </w:pPr>
    </w:p>
    <w:p w14:paraId="2785EB2A" w14:textId="77777777" w:rsidR="0099578D" w:rsidRPr="00B06955" w:rsidRDefault="0099578D" w:rsidP="00B06955">
      <w:pPr>
        <w:spacing w:after="0"/>
        <w:jc w:val="center"/>
        <w:rPr>
          <w:rFonts w:ascii="Verdana" w:hAnsi="Verdana"/>
          <w:b/>
          <w:sz w:val="20"/>
          <w:szCs w:val="20"/>
          <w:lang w:val="es-CR"/>
        </w:rPr>
      </w:pPr>
    </w:p>
    <w:p w14:paraId="579B7D34" w14:textId="77777777" w:rsidR="0099578D" w:rsidRPr="00B06955" w:rsidRDefault="0099578D" w:rsidP="00B06955">
      <w:pPr>
        <w:spacing w:after="0"/>
        <w:jc w:val="center"/>
        <w:rPr>
          <w:rFonts w:ascii="Verdana" w:hAnsi="Verdana"/>
          <w:b/>
          <w:sz w:val="20"/>
          <w:szCs w:val="20"/>
          <w:lang w:val="es-CR"/>
        </w:rPr>
      </w:pPr>
    </w:p>
    <w:p w14:paraId="031F10A8" w14:textId="77777777" w:rsidR="00F56ACD" w:rsidRPr="00B06955" w:rsidRDefault="00745AE4" w:rsidP="00B06955">
      <w:pPr>
        <w:spacing w:after="0"/>
        <w:jc w:val="center"/>
        <w:rPr>
          <w:rFonts w:ascii="Verdana" w:hAnsi="Verdana"/>
          <w:b/>
          <w:sz w:val="20"/>
          <w:szCs w:val="20"/>
          <w:lang w:val="es-CR"/>
        </w:rPr>
      </w:pPr>
      <w:r w:rsidRPr="00B06955">
        <w:rPr>
          <w:rFonts w:ascii="Verdana" w:hAnsi="Verdana"/>
          <w:b/>
          <w:sz w:val="20"/>
          <w:szCs w:val="20"/>
          <w:lang w:val="es-CR"/>
        </w:rPr>
        <w:t xml:space="preserve">RESOLUCIÓN DE LA </w:t>
      </w:r>
    </w:p>
    <w:p w14:paraId="59CEAB8F" w14:textId="77777777" w:rsidR="00FF7EEA" w:rsidRPr="00B06955" w:rsidRDefault="00745AE4" w:rsidP="00B06955">
      <w:pPr>
        <w:spacing w:after="0"/>
        <w:jc w:val="center"/>
        <w:rPr>
          <w:rFonts w:ascii="Verdana" w:hAnsi="Verdana"/>
          <w:b/>
          <w:smallCaps/>
          <w:sz w:val="20"/>
          <w:szCs w:val="20"/>
          <w:lang w:val="es-CR"/>
        </w:rPr>
      </w:pPr>
      <w:r w:rsidRPr="00B06955">
        <w:rPr>
          <w:rFonts w:ascii="Verdana" w:hAnsi="Verdana"/>
          <w:b/>
          <w:sz w:val="20"/>
          <w:szCs w:val="20"/>
          <w:lang w:val="es-CR"/>
        </w:rPr>
        <w:t>CORTE INTERAMERICANA DE DERECHOS HUMANOS</w:t>
      </w:r>
      <w:r w:rsidR="00FF7EEA" w:rsidRPr="00B06955">
        <w:rPr>
          <w:rStyle w:val="Refdenotaalpie"/>
          <w:rFonts w:ascii="Verdana" w:hAnsi="Verdana"/>
          <w:b/>
          <w:smallCaps/>
          <w:sz w:val="20"/>
          <w:szCs w:val="20"/>
          <w:lang w:val="es-CR"/>
        </w:rPr>
        <w:t xml:space="preserve"> </w:t>
      </w:r>
    </w:p>
    <w:p w14:paraId="6898856F" w14:textId="77777777" w:rsidR="00AD4184" w:rsidRPr="00B06955" w:rsidRDefault="00AD4184" w:rsidP="00B06955">
      <w:pPr>
        <w:spacing w:after="0"/>
        <w:jc w:val="center"/>
        <w:rPr>
          <w:rFonts w:ascii="Verdana" w:hAnsi="Verdana"/>
          <w:b/>
          <w:sz w:val="20"/>
          <w:szCs w:val="20"/>
          <w:lang w:val="es-CR"/>
        </w:rPr>
      </w:pPr>
    </w:p>
    <w:p w14:paraId="3E43E72A" w14:textId="06E9A4BC" w:rsidR="00745AE4" w:rsidRPr="00B06955" w:rsidRDefault="00671120" w:rsidP="00B06955">
      <w:pPr>
        <w:spacing w:after="0"/>
        <w:jc w:val="center"/>
        <w:rPr>
          <w:rFonts w:ascii="Verdana" w:hAnsi="Verdana"/>
          <w:b/>
          <w:sz w:val="20"/>
          <w:szCs w:val="20"/>
          <w:lang w:val="es-CR"/>
        </w:rPr>
      </w:pPr>
      <w:r w:rsidRPr="00B06955">
        <w:rPr>
          <w:rFonts w:ascii="Verdana" w:hAnsi="Verdana"/>
          <w:b/>
          <w:sz w:val="20"/>
          <w:szCs w:val="20"/>
          <w:lang w:val="es-CR"/>
        </w:rPr>
        <w:t xml:space="preserve">DE </w:t>
      </w:r>
      <w:r w:rsidR="005D279B">
        <w:rPr>
          <w:rFonts w:ascii="Verdana" w:hAnsi="Verdana"/>
          <w:b/>
          <w:sz w:val="20"/>
          <w:szCs w:val="20"/>
          <w:lang w:val="es-CR"/>
        </w:rPr>
        <w:t>14</w:t>
      </w:r>
      <w:r w:rsidR="00745AE4" w:rsidRPr="00B06955">
        <w:rPr>
          <w:rFonts w:ascii="Verdana" w:hAnsi="Verdana"/>
          <w:b/>
          <w:sz w:val="20"/>
          <w:szCs w:val="20"/>
          <w:lang w:val="es-CR"/>
        </w:rPr>
        <w:t xml:space="preserve"> DE </w:t>
      </w:r>
      <w:r w:rsidR="00B951C0">
        <w:rPr>
          <w:rFonts w:ascii="Verdana" w:hAnsi="Verdana"/>
          <w:b/>
          <w:sz w:val="20"/>
          <w:szCs w:val="20"/>
          <w:lang w:val="es-CR"/>
        </w:rPr>
        <w:t>MAYO</w:t>
      </w:r>
      <w:r w:rsidR="00745AE4" w:rsidRPr="00B06955">
        <w:rPr>
          <w:rFonts w:ascii="Verdana" w:hAnsi="Verdana"/>
          <w:b/>
          <w:sz w:val="20"/>
          <w:szCs w:val="20"/>
          <w:lang w:val="es-CR"/>
        </w:rPr>
        <w:t xml:space="preserve"> DE </w:t>
      </w:r>
      <w:r w:rsidR="00507E83" w:rsidRPr="00B06955">
        <w:rPr>
          <w:rFonts w:ascii="Verdana" w:hAnsi="Verdana"/>
          <w:b/>
          <w:sz w:val="20"/>
          <w:szCs w:val="20"/>
          <w:lang w:val="es-CR"/>
        </w:rPr>
        <w:t>2019</w:t>
      </w:r>
    </w:p>
    <w:p w14:paraId="4E08090E" w14:textId="77777777" w:rsidR="00AD4184" w:rsidRPr="00B06955" w:rsidRDefault="00AD4184" w:rsidP="00B06955">
      <w:pPr>
        <w:spacing w:after="0"/>
        <w:jc w:val="center"/>
        <w:rPr>
          <w:rFonts w:ascii="Verdana" w:hAnsi="Verdana"/>
          <w:b/>
          <w:sz w:val="20"/>
          <w:szCs w:val="20"/>
          <w:lang w:val="es-CR"/>
        </w:rPr>
      </w:pPr>
    </w:p>
    <w:p w14:paraId="25502CEA" w14:textId="77777777" w:rsidR="00507E83" w:rsidRPr="00B06955" w:rsidRDefault="00745AE4" w:rsidP="00B06955">
      <w:pPr>
        <w:spacing w:after="0"/>
        <w:jc w:val="center"/>
        <w:rPr>
          <w:rFonts w:ascii="Verdana" w:hAnsi="Verdana"/>
          <w:b/>
          <w:i/>
          <w:sz w:val="20"/>
          <w:szCs w:val="20"/>
          <w:lang w:val="es-CR"/>
        </w:rPr>
      </w:pPr>
      <w:r w:rsidRPr="00B06955">
        <w:rPr>
          <w:rFonts w:ascii="Verdana" w:hAnsi="Verdana"/>
          <w:b/>
          <w:i/>
          <w:sz w:val="20"/>
          <w:szCs w:val="20"/>
          <w:lang w:val="es-CR"/>
        </w:rPr>
        <w:t xml:space="preserve">CASO </w:t>
      </w:r>
      <w:r w:rsidR="00507E83" w:rsidRPr="00B06955">
        <w:rPr>
          <w:rFonts w:ascii="Verdana" w:hAnsi="Verdana"/>
          <w:b/>
          <w:i/>
          <w:sz w:val="20"/>
          <w:szCs w:val="20"/>
          <w:lang w:val="es-CR"/>
        </w:rPr>
        <w:t xml:space="preserve">COMUNIDAD GARÍFUNA DE PUNTA PIEDRA Y SUS MIEMBROS </w:t>
      </w:r>
    </w:p>
    <w:p w14:paraId="0FD7C3C9" w14:textId="77777777" w:rsidR="00745AE4" w:rsidRPr="00B06955" w:rsidRDefault="00745AE4" w:rsidP="00B06955">
      <w:pPr>
        <w:spacing w:after="0"/>
        <w:jc w:val="center"/>
        <w:rPr>
          <w:rFonts w:ascii="Verdana" w:hAnsi="Verdana"/>
          <w:b/>
          <w:i/>
          <w:sz w:val="20"/>
          <w:szCs w:val="20"/>
          <w:lang w:val="es-CR"/>
        </w:rPr>
      </w:pPr>
      <w:r w:rsidRPr="00B06955">
        <w:rPr>
          <w:rFonts w:ascii="Verdana" w:hAnsi="Verdana"/>
          <w:b/>
          <w:i/>
          <w:sz w:val="20"/>
          <w:szCs w:val="20"/>
          <w:lang w:val="es-CR"/>
        </w:rPr>
        <w:t xml:space="preserve">VS. </w:t>
      </w:r>
      <w:r w:rsidR="00507E83" w:rsidRPr="00B06955">
        <w:rPr>
          <w:rFonts w:ascii="Verdana" w:hAnsi="Verdana"/>
          <w:b/>
          <w:i/>
          <w:sz w:val="20"/>
          <w:szCs w:val="20"/>
          <w:lang w:val="es-CR"/>
        </w:rPr>
        <w:t>HONDURAS</w:t>
      </w:r>
    </w:p>
    <w:p w14:paraId="637EA107" w14:textId="77777777" w:rsidR="00AD4184" w:rsidRPr="00B06955" w:rsidRDefault="00AD4184" w:rsidP="00B06955">
      <w:pPr>
        <w:spacing w:after="0"/>
        <w:jc w:val="center"/>
        <w:rPr>
          <w:rFonts w:ascii="Verdana" w:hAnsi="Verdana"/>
          <w:b/>
          <w:sz w:val="20"/>
          <w:szCs w:val="20"/>
          <w:lang w:val="es-CR"/>
        </w:rPr>
      </w:pPr>
    </w:p>
    <w:p w14:paraId="0BF46D6D" w14:textId="77777777" w:rsidR="00745AE4" w:rsidRPr="00B06955" w:rsidRDefault="00745AE4" w:rsidP="00B06955">
      <w:pPr>
        <w:spacing w:after="0"/>
        <w:jc w:val="center"/>
        <w:rPr>
          <w:rFonts w:ascii="Verdana" w:hAnsi="Verdana"/>
          <w:b/>
          <w:sz w:val="20"/>
          <w:szCs w:val="20"/>
          <w:lang w:val="es-CR"/>
        </w:rPr>
      </w:pPr>
      <w:r w:rsidRPr="00B06955">
        <w:rPr>
          <w:rFonts w:ascii="Verdana" w:hAnsi="Verdana"/>
          <w:b/>
          <w:sz w:val="20"/>
          <w:szCs w:val="20"/>
          <w:lang w:val="es-CR"/>
        </w:rPr>
        <w:t>SUPERVISIÓN DE CUMPLIMIENTO DE SENTENCIA</w:t>
      </w:r>
    </w:p>
    <w:p w14:paraId="3B16A6F2" w14:textId="77777777" w:rsidR="00AD4184" w:rsidRPr="00B06955" w:rsidRDefault="00AD4184" w:rsidP="00B06955">
      <w:pPr>
        <w:spacing w:before="120" w:after="120"/>
        <w:jc w:val="both"/>
        <w:rPr>
          <w:rFonts w:ascii="Verdana" w:hAnsi="Verdana"/>
          <w:b/>
          <w:sz w:val="20"/>
          <w:szCs w:val="20"/>
          <w:lang w:val="es-CR"/>
        </w:rPr>
      </w:pPr>
    </w:p>
    <w:p w14:paraId="6F0F5C2A" w14:textId="77777777" w:rsidR="00CD4DDE" w:rsidRPr="00B06955" w:rsidRDefault="005A1B3D" w:rsidP="00B06955">
      <w:pPr>
        <w:spacing w:before="120" w:after="120"/>
        <w:jc w:val="both"/>
        <w:rPr>
          <w:rFonts w:ascii="Verdana" w:hAnsi="Verdana"/>
          <w:b/>
          <w:sz w:val="20"/>
          <w:szCs w:val="20"/>
          <w:lang w:val="es-CR"/>
        </w:rPr>
      </w:pPr>
      <w:r w:rsidRPr="00B06955">
        <w:rPr>
          <w:rFonts w:ascii="Verdana" w:hAnsi="Verdana"/>
          <w:b/>
          <w:sz w:val="20"/>
          <w:szCs w:val="20"/>
          <w:lang w:val="es-CR"/>
        </w:rPr>
        <w:t>VISTO:</w:t>
      </w:r>
      <w:r w:rsidR="006D19D6" w:rsidRPr="00B06955">
        <w:rPr>
          <w:rFonts w:ascii="Verdana" w:hAnsi="Verdana"/>
          <w:b/>
          <w:sz w:val="20"/>
          <w:szCs w:val="20"/>
          <w:lang w:val="es-CR"/>
        </w:rPr>
        <w:t xml:space="preserve"> </w:t>
      </w:r>
    </w:p>
    <w:p w14:paraId="3B4FB7AF" w14:textId="29EFDDB4" w:rsidR="00FF7EEA" w:rsidRPr="00B06955" w:rsidRDefault="005A1B3D" w:rsidP="00B06955">
      <w:pPr>
        <w:pStyle w:val="Prrafodelista"/>
        <w:numPr>
          <w:ilvl w:val="0"/>
          <w:numId w:val="1"/>
        </w:numPr>
        <w:spacing w:before="120" w:after="120"/>
        <w:ind w:left="0" w:firstLine="0"/>
        <w:contextualSpacing w:val="0"/>
        <w:jc w:val="both"/>
        <w:rPr>
          <w:rFonts w:ascii="Verdana" w:hAnsi="Verdana"/>
          <w:color w:val="000000"/>
          <w:sz w:val="20"/>
          <w:szCs w:val="20"/>
          <w:shd w:val="clear" w:color="auto" w:fill="FFFFFF"/>
          <w:lang w:val="es-CR"/>
        </w:rPr>
      </w:pPr>
      <w:r w:rsidRPr="00B06955">
        <w:rPr>
          <w:rFonts w:ascii="Verdana" w:hAnsi="Verdana"/>
          <w:sz w:val="20"/>
          <w:szCs w:val="20"/>
          <w:lang w:val="es-CR"/>
        </w:rPr>
        <w:t>La Sentencia</w:t>
      </w:r>
      <w:r w:rsidR="00425DDC" w:rsidRPr="00B06955">
        <w:rPr>
          <w:rFonts w:ascii="Verdana" w:hAnsi="Verdana"/>
          <w:sz w:val="20"/>
          <w:szCs w:val="20"/>
          <w:lang w:val="es-CR"/>
        </w:rPr>
        <w:t xml:space="preserve"> de excepciones preliminares, fondo, reparaciones y costas (en adelante “la Sentencia” dictada por </w:t>
      </w:r>
      <w:r w:rsidR="00507E83" w:rsidRPr="00B06955">
        <w:rPr>
          <w:rFonts w:ascii="Verdana" w:hAnsi="Verdana"/>
          <w:sz w:val="20"/>
          <w:szCs w:val="20"/>
          <w:lang w:val="es-CR"/>
        </w:rPr>
        <w:t xml:space="preserve">la Corte Interamericana de Derechos Humanos (en adelante “la Corte Interamericana”, “la Corte” o “el Tribunal”) el </w:t>
      </w:r>
      <w:r w:rsidR="00191A48" w:rsidRPr="00B06955">
        <w:rPr>
          <w:rFonts w:ascii="Verdana" w:hAnsi="Verdana"/>
          <w:sz w:val="20"/>
          <w:szCs w:val="20"/>
          <w:lang w:val="es-CR"/>
        </w:rPr>
        <w:t xml:space="preserve">8 de </w:t>
      </w:r>
      <w:r w:rsidR="00183D92">
        <w:rPr>
          <w:rFonts w:ascii="Verdana" w:hAnsi="Verdana"/>
          <w:sz w:val="20"/>
          <w:szCs w:val="20"/>
          <w:lang w:val="es-CR"/>
        </w:rPr>
        <w:t>octubre de 2015</w:t>
      </w:r>
      <w:r w:rsidR="00425DDC" w:rsidRPr="00B06955">
        <w:rPr>
          <w:rStyle w:val="Refdenotaalpie"/>
          <w:rFonts w:ascii="Verdana" w:hAnsi="Verdana"/>
          <w:sz w:val="20"/>
          <w:szCs w:val="20"/>
          <w:lang w:val="es-CR"/>
        </w:rPr>
        <w:footnoteReference w:id="1"/>
      </w:r>
      <w:r w:rsidR="00425DDC" w:rsidRPr="00B06955">
        <w:rPr>
          <w:rFonts w:ascii="Verdana" w:hAnsi="Verdana"/>
          <w:sz w:val="20"/>
          <w:szCs w:val="20"/>
          <w:lang w:val="es-CR"/>
        </w:rPr>
        <w:t>.</w:t>
      </w:r>
      <w:r w:rsidR="001D5633" w:rsidRPr="00B06955">
        <w:rPr>
          <w:rFonts w:ascii="Verdana" w:hAnsi="Verdana"/>
          <w:sz w:val="20"/>
          <w:szCs w:val="20"/>
          <w:lang w:val="es-CR"/>
        </w:rPr>
        <w:t xml:space="preserve"> </w:t>
      </w:r>
      <w:r w:rsidR="00425DDC" w:rsidRPr="00B06955">
        <w:rPr>
          <w:rFonts w:ascii="Verdana" w:hAnsi="Verdana"/>
          <w:sz w:val="20"/>
          <w:szCs w:val="20"/>
          <w:lang w:val="es-CR"/>
        </w:rPr>
        <w:t xml:space="preserve">La Corte declaró la responsabilidad internacional de la </w:t>
      </w:r>
      <w:r w:rsidR="001D5633" w:rsidRPr="00B06955">
        <w:rPr>
          <w:rFonts w:ascii="Verdana" w:hAnsi="Verdana"/>
          <w:sz w:val="20"/>
          <w:szCs w:val="20"/>
          <w:lang w:val="es-CR"/>
        </w:rPr>
        <w:t>República de Honduras (en adelante “el Estado” u “Honduras”)</w:t>
      </w:r>
      <w:r w:rsidR="00552919" w:rsidRPr="00B06955">
        <w:rPr>
          <w:rFonts w:ascii="Verdana" w:hAnsi="Verdana"/>
          <w:sz w:val="20"/>
          <w:szCs w:val="20"/>
          <w:lang w:val="es-CR"/>
        </w:rPr>
        <w:t xml:space="preserve"> por la violación al derecho a la propiedad colectiva en virtud de la falta de garantía del uso y goce del territorio de la Comunidad Garífuna de Punta Piedra, a través de su saneamiento y la falta de adopción de medidas de derecho interno a fin de garantizar el derecho a la consulta e identidad cultural. </w:t>
      </w:r>
      <w:r w:rsidR="00580DDE" w:rsidRPr="00B06955">
        <w:rPr>
          <w:rFonts w:ascii="Verdana" w:hAnsi="Verdana"/>
          <w:sz w:val="20"/>
          <w:szCs w:val="20"/>
          <w:lang w:val="es-CR"/>
        </w:rPr>
        <w:t>Asimismo, el Tribunal declaró la responsabilidad internacional del Estado por la violación de los derechos a la protección judicial y garantías judiciales, debido a que los recursos dispuestos no fueron efectivos para la protección de los derechos alegados, en perjuicio de la Comunidad Garífuna de Punta Piedra y sus miembros.</w:t>
      </w:r>
      <w:r w:rsidR="00E04760" w:rsidRPr="00B06955">
        <w:rPr>
          <w:rFonts w:ascii="Verdana" w:hAnsi="Verdana"/>
          <w:sz w:val="20"/>
          <w:szCs w:val="20"/>
          <w:lang w:val="es-CR"/>
        </w:rPr>
        <w:t xml:space="preserve"> </w:t>
      </w:r>
      <w:r w:rsidR="00236C4D" w:rsidRPr="00B06955">
        <w:rPr>
          <w:rFonts w:ascii="Verdana" w:hAnsi="Verdana"/>
          <w:sz w:val="20"/>
          <w:szCs w:val="20"/>
          <w:lang w:val="es-CR"/>
        </w:rPr>
        <w:t>La Corte estable</w:t>
      </w:r>
      <w:r w:rsidR="00157974" w:rsidRPr="00B06955">
        <w:rPr>
          <w:rFonts w:ascii="Verdana" w:hAnsi="Verdana"/>
          <w:sz w:val="20"/>
          <w:szCs w:val="20"/>
          <w:lang w:val="es-CR"/>
        </w:rPr>
        <w:t xml:space="preserve">ció que </w:t>
      </w:r>
      <w:r w:rsidR="00425DDC" w:rsidRPr="00B06955">
        <w:rPr>
          <w:rFonts w:ascii="Verdana" w:hAnsi="Verdana"/>
          <w:sz w:val="20"/>
          <w:szCs w:val="20"/>
          <w:lang w:val="es-CR"/>
        </w:rPr>
        <w:t>su</w:t>
      </w:r>
      <w:r w:rsidR="00157974" w:rsidRPr="00B06955">
        <w:rPr>
          <w:rFonts w:ascii="Verdana" w:hAnsi="Verdana"/>
          <w:sz w:val="20"/>
          <w:szCs w:val="20"/>
          <w:lang w:val="es-CR"/>
        </w:rPr>
        <w:t xml:space="preserve"> Sentencia</w:t>
      </w:r>
      <w:r w:rsidR="00E04760" w:rsidRPr="00B06955">
        <w:rPr>
          <w:rFonts w:ascii="Verdana" w:hAnsi="Verdana"/>
          <w:sz w:val="20"/>
          <w:szCs w:val="20"/>
          <w:lang w:val="es-CR"/>
        </w:rPr>
        <w:t xml:space="preserve"> </w:t>
      </w:r>
      <w:r w:rsidR="00157974" w:rsidRPr="00B06955">
        <w:rPr>
          <w:rFonts w:ascii="Verdana" w:hAnsi="Verdana"/>
          <w:sz w:val="20"/>
          <w:szCs w:val="20"/>
          <w:lang w:val="es-CR"/>
        </w:rPr>
        <w:t>constituye</w:t>
      </w:r>
      <w:r w:rsidR="00236C4D" w:rsidRPr="00B06955">
        <w:rPr>
          <w:rFonts w:ascii="Verdana" w:hAnsi="Verdana"/>
          <w:sz w:val="20"/>
          <w:szCs w:val="20"/>
          <w:lang w:val="es-CR"/>
        </w:rPr>
        <w:t xml:space="preserve"> </w:t>
      </w:r>
      <w:r w:rsidR="00E71DB0" w:rsidRPr="00B06955">
        <w:rPr>
          <w:rFonts w:ascii="Verdana" w:hAnsi="Verdana"/>
          <w:sz w:val="20"/>
          <w:szCs w:val="20"/>
          <w:lang w:val="es-CR"/>
        </w:rPr>
        <w:t>por sí misma</w:t>
      </w:r>
      <w:r w:rsidR="00236C4D" w:rsidRPr="00B06955">
        <w:rPr>
          <w:rFonts w:ascii="Verdana" w:hAnsi="Verdana"/>
          <w:sz w:val="20"/>
          <w:szCs w:val="20"/>
          <w:lang w:val="es-CR"/>
        </w:rPr>
        <w:t xml:space="preserve"> una forma de reparación y, ad</w:t>
      </w:r>
      <w:r w:rsidR="00E04760" w:rsidRPr="00B06955">
        <w:rPr>
          <w:rFonts w:ascii="Verdana" w:hAnsi="Verdana"/>
          <w:sz w:val="20"/>
          <w:szCs w:val="20"/>
          <w:lang w:val="es-CR"/>
        </w:rPr>
        <w:t>icionalmente</w:t>
      </w:r>
      <w:r w:rsidR="00236C4D" w:rsidRPr="00B06955">
        <w:rPr>
          <w:rFonts w:ascii="Verdana" w:hAnsi="Verdana"/>
          <w:sz w:val="20"/>
          <w:szCs w:val="20"/>
          <w:lang w:val="es-CR"/>
        </w:rPr>
        <w:t>, ordenó al Estado</w:t>
      </w:r>
      <w:r w:rsidR="00425DDC" w:rsidRPr="00B06955">
        <w:rPr>
          <w:rFonts w:ascii="Verdana" w:hAnsi="Verdana"/>
          <w:sz w:val="20"/>
          <w:szCs w:val="20"/>
          <w:lang w:val="es-CR"/>
        </w:rPr>
        <w:t xml:space="preserve"> la adopción de</w:t>
      </w:r>
      <w:r w:rsidR="00236C4D" w:rsidRPr="00B06955">
        <w:rPr>
          <w:rFonts w:ascii="Verdana" w:hAnsi="Verdana"/>
          <w:sz w:val="20"/>
          <w:szCs w:val="20"/>
          <w:lang w:val="es-CR"/>
        </w:rPr>
        <w:t xml:space="preserve"> determinadas medidas de reparación (</w:t>
      </w:r>
      <w:r w:rsidR="00236C4D" w:rsidRPr="00B06955">
        <w:rPr>
          <w:rFonts w:ascii="Verdana" w:hAnsi="Verdana"/>
          <w:i/>
          <w:sz w:val="20"/>
          <w:szCs w:val="20"/>
          <w:lang w:val="es-CR"/>
        </w:rPr>
        <w:t xml:space="preserve">infra </w:t>
      </w:r>
      <w:r w:rsidR="00236C4D" w:rsidRPr="00B06955">
        <w:rPr>
          <w:rFonts w:ascii="Verdana" w:hAnsi="Verdana"/>
          <w:sz w:val="20"/>
          <w:szCs w:val="20"/>
          <w:lang w:val="es-CR"/>
        </w:rPr>
        <w:t>Considerando</w:t>
      </w:r>
      <w:r w:rsidR="00165767">
        <w:rPr>
          <w:rFonts w:ascii="Verdana" w:hAnsi="Verdana"/>
          <w:sz w:val="20"/>
          <w:szCs w:val="20"/>
          <w:lang w:val="es-CR"/>
        </w:rPr>
        <w:t>s</w:t>
      </w:r>
      <w:r w:rsidR="00236C4D" w:rsidRPr="00B06955">
        <w:rPr>
          <w:rFonts w:ascii="Verdana" w:hAnsi="Verdana"/>
          <w:sz w:val="20"/>
          <w:szCs w:val="20"/>
          <w:lang w:val="es-CR"/>
        </w:rPr>
        <w:t xml:space="preserve"> 1</w:t>
      </w:r>
      <w:r w:rsidR="00165767">
        <w:rPr>
          <w:rFonts w:ascii="Verdana" w:hAnsi="Verdana"/>
          <w:sz w:val="20"/>
          <w:szCs w:val="20"/>
          <w:lang w:val="es-CR"/>
        </w:rPr>
        <w:t xml:space="preserve"> y 3</w:t>
      </w:r>
      <w:r w:rsidR="00236C4D" w:rsidRPr="00B06955">
        <w:rPr>
          <w:rFonts w:ascii="Verdana" w:hAnsi="Verdana"/>
          <w:sz w:val="20"/>
          <w:szCs w:val="20"/>
          <w:lang w:val="es-CR"/>
        </w:rPr>
        <w:t>).</w:t>
      </w:r>
      <w:r w:rsidR="008D1D36" w:rsidRPr="00B06955">
        <w:rPr>
          <w:rFonts w:ascii="Verdana" w:hAnsi="Verdana"/>
          <w:sz w:val="20"/>
          <w:szCs w:val="20"/>
          <w:lang w:val="es-CR"/>
        </w:rPr>
        <w:t xml:space="preserve"> </w:t>
      </w:r>
    </w:p>
    <w:p w14:paraId="7C469B4C" w14:textId="4E2E0E57" w:rsidR="00E410FD" w:rsidRPr="00B06955" w:rsidRDefault="00E410FD" w:rsidP="00B06955">
      <w:pPr>
        <w:pStyle w:val="Prrafodelista"/>
        <w:numPr>
          <w:ilvl w:val="0"/>
          <w:numId w:val="1"/>
        </w:numPr>
        <w:spacing w:before="120" w:after="120"/>
        <w:ind w:left="0" w:firstLine="0"/>
        <w:contextualSpacing w:val="0"/>
        <w:jc w:val="both"/>
        <w:rPr>
          <w:rFonts w:ascii="Verdana" w:hAnsi="Verdana"/>
          <w:color w:val="000000"/>
          <w:sz w:val="20"/>
          <w:szCs w:val="20"/>
          <w:shd w:val="clear" w:color="auto" w:fill="FFFFFF"/>
          <w:lang w:val="es-CR"/>
        </w:rPr>
      </w:pPr>
      <w:r w:rsidRPr="00B06955">
        <w:rPr>
          <w:rFonts w:ascii="Verdana" w:hAnsi="Verdana"/>
          <w:sz w:val="20"/>
          <w:szCs w:val="20"/>
          <w:lang w:val="es-CR"/>
        </w:rPr>
        <w:t xml:space="preserve">Los </w:t>
      </w:r>
      <w:r w:rsidR="00420AA7">
        <w:rPr>
          <w:rFonts w:ascii="Verdana" w:hAnsi="Verdana"/>
          <w:sz w:val="20"/>
          <w:szCs w:val="20"/>
          <w:lang w:val="es-CR"/>
        </w:rPr>
        <w:t>seis</w:t>
      </w:r>
      <w:r w:rsidRPr="00B06955">
        <w:rPr>
          <w:rFonts w:ascii="Verdana" w:hAnsi="Verdana"/>
          <w:sz w:val="20"/>
          <w:szCs w:val="20"/>
          <w:lang w:val="es-CR"/>
        </w:rPr>
        <w:t xml:space="preserve"> informes presentados por el Estado entre </w:t>
      </w:r>
      <w:r w:rsidR="00244A31" w:rsidRPr="00B06955">
        <w:rPr>
          <w:rFonts w:ascii="Verdana" w:hAnsi="Verdana"/>
          <w:sz w:val="20"/>
          <w:szCs w:val="20"/>
          <w:lang w:val="es-CR"/>
        </w:rPr>
        <w:t>diciembre</w:t>
      </w:r>
      <w:r w:rsidRPr="00B06955">
        <w:rPr>
          <w:rFonts w:ascii="Verdana" w:hAnsi="Verdana"/>
          <w:sz w:val="20"/>
          <w:szCs w:val="20"/>
          <w:lang w:val="es-CR"/>
        </w:rPr>
        <w:t xml:space="preserve"> de</w:t>
      </w:r>
      <w:r w:rsidR="00244A31" w:rsidRPr="00B06955">
        <w:rPr>
          <w:rFonts w:ascii="Verdana" w:hAnsi="Verdana"/>
          <w:sz w:val="20"/>
          <w:szCs w:val="20"/>
          <w:lang w:val="es-CR"/>
        </w:rPr>
        <w:t xml:space="preserve"> 2016</w:t>
      </w:r>
      <w:r w:rsidRPr="00B06955">
        <w:rPr>
          <w:rFonts w:ascii="Verdana" w:hAnsi="Verdana"/>
          <w:sz w:val="20"/>
          <w:szCs w:val="20"/>
          <w:lang w:val="es-CR"/>
        </w:rPr>
        <w:t xml:space="preserve"> y</w:t>
      </w:r>
      <w:r w:rsidR="00244A31" w:rsidRPr="00B06955">
        <w:rPr>
          <w:rFonts w:ascii="Verdana" w:hAnsi="Verdana"/>
          <w:sz w:val="20"/>
          <w:szCs w:val="20"/>
          <w:lang w:val="es-CR"/>
        </w:rPr>
        <w:t xml:space="preserve"> </w:t>
      </w:r>
      <w:r w:rsidR="00420AA7">
        <w:rPr>
          <w:rFonts w:ascii="Verdana" w:hAnsi="Verdana"/>
          <w:sz w:val="20"/>
          <w:szCs w:val="20"/>
          <w:lang w:val="es-CR"/>
        </w:rPr>
        <w:t>abril de 2019</w:t>
      </w:r>
      <w:r w:rsidRPr="00B06955">
        <w:rPr>
          <w:rStyle w:val="Refdenotaalpie"/>
          <w:rFonts w:ascii="Verdana" w:hAnsi="Verdana"/>
          <w:color w:val="000000"/>
          <w:sz w:val="20"/>
          <w:szCs w:val="20"/>
          <w:shd w:val="clear" w:color="auto" w:fill="FFFFFF"/>
          <w:lang w:val="es-CR"/>
        </w:rPr>
        <w:footnoteReference w:id="2"/>
      </w:r>
      <w:r w:rsidR="00244A31" w:rsidRPr="00B06955">
        <w:rPr>
          <w:rFonts w:ascii="Verdana" w:hAnsi="Verdana"/>
          <w:sz w:val="20"/>
          <w:szCs w:val="20"/>
          <w:lang w:val="es-CR"/>
        </w:rPr>
        <w:t>.</w:t>
      </w:r>
    </w:p>
    <w:p w14:paraId="3BC0B3F0" w14:textId="77777777" w:rsidR="00E96F7A" w:rsidRPr="00B06955" w:rsidRDefault="00E96F7A" w:rsidP="00B06955">
      <w:pPr>
        <w:pStyle w:val="Prrafodelista"/>
        <w:numPr>
          <w:ilvl w:val="0"/>
          <w:numId w:val="1"/>
        </w:numPr>
        <w:spacing w:before="120" w:after="120"/>
        <w:ind w:left="0" w:firstLine="0"/>
        <w:contextualSpacing w:val="0"/>
        <w:jc w:val="both"/>
        <w:rPr>
          <w:rFonts w:ascii="Verdana" w:hAnsi="Verdana"/>
          <w:color w:val="000000"/>
          <w:sz w:val="20"/>
          <w:szCs w:val="20"/>
          <w:shd w:val="clear" w:color="auto" w:fill="FFFFFF"/>
          <w:lang w:val="es-CR"/>
        </w:rPr>
      </w:pPr>
      <w:r w:rsidRPr="00B06955">
        <w:rPr>
          <w:rFonts w:ascii="Verdana" w:hAnsi="Verdana"/>
          <w:color w:val="000000"/>
          <w:sz w:val="20"/>
          <w:szCs w:val="20"/>
          <w:shd w:val="clear" w:color="auto" w:fill="FFFFFF"/>
          <w:lang w:val="es-CR"/>
        </w:rPr>
        <w:t xml:space="preserve">Los </w:t>
      </w:r>
      <w:r w:rsidR="00E169B9" w:rsidRPr="00B06955">
        <w:rPr>
          <w:rFonts w:ascii="Verdana" w:hAnsi="Verdana"/>
          <w:sz w:val="20"/>
          <w:szCs w:val="20"/>
          <w:lang w:val="es-CR"/>
        </w:rPr>
        <w:t xml:space="preserve">seis </w:t>
      </w:r>
      <w:r w:rsidRPr="00B06955">
        <w:rPr>
          <w:rFonts w:ascii="Verdana" w:hAnsi="Verdana"/>
          <w:color w:val="000000"/>
          <w:sz w:val="20"/>
          <w:szCs w:val="20"/>
          <w:shd w:val="clear" w:color="auto" w:fill="FFFFFF"/>
          <w:lang w:val="es-CR"/>
        </w:rPr>
        <w:t xml:space="preserve">escritos de observaciones presentados por </w:t>
      </w:r>
      <w:r w:rsidR="00244A31" w:rsidRPr="00B06955">
        <w:rPr>
          <w:rFonts w:ascii="Verdana" w:hAnsi="Verdana"/>
          <w:color w:val="000000"/>
          <w:sz w:val="20"/>
          <w:szCs w:val="20"/>
          <w:shd w:val="clear" w:color="auto" w:fill="FFFFFF"/>
          <w:lang w:val="es-CR"/>
        </w:rPr>
        <w:t>los</w:t>
      </w:r>
      <w:r w:rsidRPr="00B06955">
        <w:rPr>
          <w:rFonts w:ascii="Verdana" w:hAnsi="Verdana"/>
          <w:color w:val="000000"/>
          <w:sz w:val="20"/>
          <w:szCs w:val="20"/>
          <w:shd w:val="clear" w:color="auto" w:fill="FFFFFF"/>
          <w:lang w:val="es-CR"/>
        </w:rPr>
        <w:t xml:space="preserve"> representante</w:t>
      </w:r>
      <w:r w:rsidR="00244A31" w:rsidRPr="00B06955">
        <w:rPr>
          <w:rFonts w:ascii="Verdana" w:hAnsi="Verdana"/>
          <w:color w:val="000000"/>
          <w:sz w:val="20"/>
          <w:szCs w:val="20"/>
          <w:shd w:val="clear" w:color="auto" w:fill="FFFFFF"/>
          <w:lang w:val="es-CR"/>
        </w:rPr>
        <w:t>s</w:t>
      </w:r>
      <w:r w:rsidRPr="00B06955">
        <w:rPr>
          <w:rFonts w:ascii="Verdana" w:hAnsi="Verdana"/>
          <w:color w:val="000000"/>
          <w:sz w:val="20"/>
          <w:szCs w:val="20"/>
          <w:shd w:val="clear" w:color="auto" w:fill="FFFFFF"/>
          <w:lang w:val="es-CR"/>
        </w:rPr>
        <w:t xml:space="preserve"> de la</w:t>
      </w:r>
      <w:r w:rsidR="00244A31" w:rsidRPr="00B06955">
        <w:rPr>
          <w:rFonts w:ascii="Verdana" w:hAnsi="Verdana"/>
          <w:color w:val="000000"/>
          <w:sz w:val="20"/>
          <w:szCs w:val="20"/>
          <w:shd w:val="clear" w:color="auto" w:fill="FFFFFF"/>
          <w:lang w:val="es-CR"/>
        </w:rPr>
        <w:t>s</w:t>
      </w:r>
      <w:r w:rsidRPr="00B06955">
        <w:rPr>
          <w:rFonts w:ascii="Verdana" w:hAnsi="Verdana"/>
          <w:color w:val="000000"/>
          <w:sz w:val="20"/>
          <w:szCs w:val="20"/>
          <w:shd w:val="clear" w:color="auto" w:fill="FFFFFF"/>
          <w:lang w:val="es-CR"/>
        </w:rPr>
        <w:t xml:space="preserve"> víctima</w:t>
      </w:r>
      <w:r w:rsidR="00244A31" w:rsidRPr="00B06955">
        <w:rPr>
          <w:rFonts w:ascii="Verdana" w:hAnsi="Verdana"/>
          <w:color w:val="000000"/>
          <w:sz w:val="20"/>
          <w:szCs w:val="20"/>
          <w:shd w:val="clear" w:color="auto" w:fill="FFFFFF"/>
          <w:lang w:val="es-CR"/>
        </w:rPr>
        <w:t>s</w:t>
      </w:r>
      <w:r w:rsidRPr="00B06955">
        <w:rPr>
          <w:rFonts w:ascii="Verdana" w:hAnsi="Verdana"/>
          <w:color w:val="000000"/>
          <w:sz w:val="20"/>
          <w:szCs w:val="20"/>
          <w:shd w:val="clear" w:color="auto" w:fill="FFFFFF"/>
          <w:lang w:val="es-CR"/>
        </w:rPr>
        <w:t xml:space="preserve"> (en adelante “</w:t>
      </w:r>
      <w:r w:rsidR="00244A31" w:rsidRPr="00B06955">
        <w:rPr>
          <w:rFonts w:ascii="Verdana" w:hAnsi="Verdana"/>
          <w:color w:val="000000"/>
          <w:sz w:val="20"/>
          <w:szCs w:val="20"/>
          <w:shd w:val="clear" w:color="auto" w:fill="FFFFFF"/>
          <w:lang w:val="es-CR"/>
        </w:rPr>
        <w:t xml:space="preserve">los </w:t>
      </w:r>
      <w:r w:rsidRPr="00B06955">
        <w:rPr>
          <w:rFonts w:ascii="Verdana" w:hAnsi="Verdana"/>
          <w:color w:val="000000"/>
          <w:sz w:val="20"/>
          <w:szCs w:val="20"/>
          <w:shd w:val="clear" w:color="auto" w:fill="FFFFFF"/>
          <w:lang w:val="es-CR"/>
        </w:rPr>
        <w:t>representantes”)</w:t>
      </w:r>
      <w:r w:rsidRPr="00B06955">
        <w:rPr>
          <w:rStyle w:val="Refdenotaalpie"/>
          <w:rFonts w:ascii="Verdana" w:hAnsi="Verdana"/>
          <w:color w:val="000000"/>
          <w:sz w:val="20"/>
          <w:szCs w:val="20"/>
          <w:shd w:val="clear" w:color="auto" w:fill="FFFFFF"/>
          <w:lang w:val="es-CR"/>
        </w:rPr>
        <w:footnoteReference w:id="3"/>
      </w:r>
      <w:r w:rsidRPr="00B06955">
        <w:rPr>
          <w:rFonts w:ascii="Verdana" w:hAnsi="Verdana"/>
          <w:color w:val="000000"/>
          <w:sz w:val="20"/>
          <w:szCs w:val="20"/>
          <w:shd w:val="clear" w:color="auto" w:fill="FFFFFF"/>
          <w:lang w:val="es-CR"/>
        </w:rPr>
        <w:t xml:space="preserve"> entre</w:t>
      </w:r>
      <w:r w:rsidR="00244A31" w:rsidRPr="00B06955">
        <w:rPr>
          <w:rFonts w:ascii="Verdana" w:hAnsi="Verdana"/>
          <w:color w:val="000000"/>
          <w:sz w:val="20"/>
          <w:szCs w:val="20"/>
          <w:shd w:val="clear" w:color="auto" w:fill="FFFFFF"/>
          <w:lang w:val="es-CR"/>
        </w:rPr>
        <w:t xml:space="preserve"> julio de 2017 y mayo de 2018</w:t>
      </w:r>
      <w:r w:rsidR="00072210" w:rsidRPr="00B06955">
        <w:rPr>
          <w:rStyle w:val="Refdenotaalpie"/>
          <w:rFonts w:ascii="Verdana" w:hAnsi="Verdana"/>
          <w:color w:val="000000"/>
          <w:sz w:val="20"/>
          <w:szCs w:val="20"/>
          <w:shd w:val="clear" w:color="auto" w:fill="FFFFFF"/>
          <w:lang w:val="es-CR"/>
        </w:rPr>
        <w:footnoteReference w:id="4"/>
      </w:r>
      <w:r w:rsidRPr="00B06955">
        <w:rPr>
          <w:rFonts w:ascii="Verdana" w:hAnsi="Verdana"/>
          <w:color w:val="000000"/>
          <w:sz w:val="20"/>
          <w:szCs w:val="20"/>
          <w:shd w:val="clear" w:color="auto" w:fill="FFFFFF"/>
          <w:lang w:val="es-CR"/>
        </w:rPr>
        <w:t>.</w:t>
      </w:r>
    </w:p>
    <w:p w14:paraId="6AC3C571" w14:textId="5A586DA2" w:rsidR="00F90AD1" w:rsidRPr="00B06955" w:rsidRDefault="00E96F7A" w:rsidP="00B06955">
      <w:pPr>
        <w:pStyle w:val="Prrafodelista"/>
        <w:numPr>
          <w:ilvl w:val="0"/>
          <w:numId w:val="1"/>
        </w:numPr>
        <w:spacing w:before="120" w:after="120"/>
        <w:ind w:left="0" w:firstLine="0"/>
        <w:contextualSpacing w:val="0"/>
        <w:jc w:val="both"/>
        <w:rPr>
          <w:rFonts w:ascii="Verdana" w:hAnsi="Verdana"/>
          <w:color w:val="000000"/>
          <w:sz w:val="20"/>
          <w:szCs w:val="20"/>
          <w:shd w:val="clear" w:color="auto" w:fill="FFFFFF"/>
          <w:lang w:val="es-CR"/>
        </w:rPr>
      </w:pPr>
      <w:r w:rsidRPr="00B06955">
        <w:rPr>
          <w:rFonts w:ascii="Verdana" w:hAnsi="Verdana"/>
          <w:color w:val="000000"/>
          <w:sz w:val="20"/>
          <w:szCs w:val="20"/>
          <w:shd w:val="clear" w:color="auto" w:fill="FFFFFF"/>
          <w:lang w:val="es-CR"/>
        </w:rPr>
        <w:lastRenderedPageBreak/>
        <w:t xml:space="preserve">Los </w:t>
      </w:r>
      <w:r w:rsidR="00BC4FDC" w:rsidRPr="00B06955">
        <w:rPr>
          <w:rFonts w:ascii="Verdana" w:hAnsi="Verdana"/>
          <w:color w:val="000000"/>
          <w:sz w:val="20"/>
          <w:szCs w:val="20"/>
          <w:shd w:val="clear" w:color="auto" w:fill="FFFFFF"/>
          <w:lang w:val="es-CR"/>
        </w:rPr>
        <w:t>dos</w:t>
      </w:r>
      <w:r w:rsidR="00F90AD1" w:rsidRPr="00B06955">
        <w:rPr>
          <w:rFonts w:ascii="Verdana" w:hAnsi="Verdana"/>
          <w:color w:val="000000"/>
          <w:sz w:val="20"/>
          <w:szCs w:val="20"/>
          <w:shd w:val="clear" w:color="auto" w:fill="FFFFFF"/>
          <w:lang w:val="es-CR"/>
        </w:rPr>
        <w:t xml:space="preserve"> escrito</w:t>
      </w:r>
      <w:r w:rsidRPr="00B06955">
        <w:rPr>
          <w:rFonts w:ascii="Verdana" w:hAnsi="Verdana"/>
          <w:color w:val="000000"/>
          <w:sz w:val="20"/>
          <w:szCs w:val="20"/>
          <w:shd w:val="clear" w:color="auto" w:fill="FFFFFF"/>
          <w:lang w:val="es-CR"/>
        </w:rPr>
        <w:t>s</w:t>
      </w:r>
      <w:r w:rsidR="00F90AD1" w:rsidRPr="00B06955">
        <w:rPr>
          <w:rFonts w:ascii="Verdana" w:hAnsi="Verdana"/>
          <w:color w:val="000000"/>
          <w:sz w:val="20"/>
          <w:szCs w:val="20"/>
          <w:shd w:val="clear" w:color="auto" w:fill="FFFFFF"/>
          <w:lang w:val="es-CR"/>
        </w:rPr>
        <w:t xml:space="preserve"> de observaciones presentado</w:t>
      </w:r>
      <w:r w:rsidRPr="00B06955">
        <w:rPr>
          <w:rFonts w:ascii="Verdana" w:hAnsi="Verdana"/>
          <w:color w:val="000000"/>
          <w:sz w:val="20"/>
          <w:szCs w:val="20"/>
          <w:shd w:val="clear" w:color="auto" w:fill="FFFFFF"/>
          <w:lang w:val="es-CR"/>
        </w:rPr>
        <w:t>s</w:t>
      </w:r>
      <w:r w:rsidR="00F90AD1" w:rsidRPr="00B06955">
        <w:rPr>
          <w:rFonts w:ascii="Verdana" w:hAnsi="Verdana"/>
          <w:color w:val="000000"/>
          <w:sz w:val="20"/>
          <w:szCs w:val="20"/>
          <w:shd w:val="clear" w:color="auto" w:fill="FFFFFF"/>
          <w:lang w:val="es-CR"/>
        </w:rPr>
        <w:t xml:space="preserve"> por la Comisión Interamericana de Derechos Humanos (en adelante “la Comisión</w:t>
      </w:r>
      <w:r w:rsidR="00157974" w:rsidRPr="00B06955">
        <w:rPr>
          <w:rFonts w:ascii="Verdana" w:hAnsi="Verdana"/>
          <w:color w:val="000000"/>
          <w:sz w:val="20"/>
          <w:szCs w:val="20"/>
          <w:shd w:val="clear" w:color="auto" w:fill="FFFFFF"/>
          <w:lang w:val="es-CR"/>
        </w:rPr>
        <w:t xml:space="preserve"> Interamericana</w:t>
      </w:r>
      <w:r w:rsidR="00F90AD1" w:rsidRPr="00B06955">
        <w:rPr>
          <w:rFonts w:ascii="Verdana" w:hAnsi="Verdana"/>
          <w:color w:val="000000"/>
          <w:sz w:val="20"/>
          <w:szCs w:val="20"/>
          <w:shd w:val="clear" w:color="auto" w:fill="FFFFFF"/>
          <w:lang w:val="es-CR"/>
        </w:rPr>
        <w:t>”</w:t>
      </w:r>
      <w:r w:rsidR="00157974" w:rsidRPr="00B06955">
        <w:rPr>
          <w:rFonts w:ascii="Verdana" w:hAnsi="Verdana"/>
          <w:color w:val="000000"/>
          <w:sz w:val="20"/>
          <w:szCs w:val="20"/>
          <w:shd w:val="clear" w:color="auto" w:fill="FFFFFF"/>
          <w:lang w:val="es-CR"/>
        </w:rPr>
        <w:t xml:space="preserve"> o “la Comisión”</w:t>
      </w:r>
      <w:r w:rsidR="0072546D" w:rsidRPr="00B06955">
        <w:rPr>
          <w:rFonts w:ascii="Verdana" w:hAnsi="Verdana"/>
          <w:color w:val="000000"/>
          <w:sz w:val="20"/>
          <w:szCs w:val="20"/>
          <w:shd w:val="clear" w:color="auto" w:fill="FFFFFF"/>
          <w:lang w:val="es-CR"/>
        </w:rPr>
        <w:t xml:space="preserve">) </w:t>
      </w:r>
      <w:r w:rsidR="0039318F">
        <w:rPr>
          <w:rFonts w:ascii="Verdana" w:hAnsi="Verdana"/>
          <w:color w:val="000000"/>
          <w:sz w:val="20"/>
          <w:szCs w:val="20"/>
          <w:shd w:val="clear" w:color="auto" w:fill="FFFFFF"/>
          <w:lang w:val="es-CR"/>
        </w:rPr>
        <w:t>el 19 de</w:t>
      </w:r>
      <w:r w:rsidR="00072210" w:rsidRPr="00B06955">
        <w:rPr>
          <w:rFonts w:ascii="Verdana" w:hAnsi="Verdana"/>
          <w:color w:val="000000"/>
          <w:sz w:val="20"/>
          <w:szCs w:val="20"/>
          <w:shd w:val="clear" w:color="auto" w:fill="FFFFFF"/>
          <w:lang w:val="es-CR"/>
        </w:rPr>
        <w:t xml:space="preserve"> </w:t>
      </w:r>
      <w:r w:rsidR="00935407" w:rsidRPr="00B06955">
        <w:rPr>
          <w:rFonts w:ascii="Verdana" w:hAnsi="Verdana"/>
          <w:sz w:val="20"/>
          <w:szCs w:val="20"/>
          <w:lang w:val="es-CR"/>
        </w:rPr>
        <w:t xml:space="preserve">mayo de 2017 y </w:t>
      </w:r>
      <w:r w:rsidR="0039318F">
        <w:rPr>
          <w:rFonts w:ascii="Verdana" w:hAnsi="Verdana"/>
          <w:sz w:val="20"/>
          <w:szCs w:val="20"/>
          <w:lang w:val="es-CR"/>
        </w:rPr>
        <w:t xml:space="preserve">el 18 de </w:t>
      </w:r>
      <w:r w:rsidR="00935407" w:rsidRPr="00B06955">
        <w:rPr>
          <w:rFonts w:ascii="Verdana" w:hAnsi="Verdana"/>
          <w:sz w:val="20"/>
          <w:szCs w:val="20"/>
          <w:lang w:val="es-CR"/>
        </w:rPr>
        <w:t>julio de 2018</w:t>
      </w:r>
      <w:r w:rsidR="00072210" w:rsidRPr="00B06955">
        <w:rPr>
          <w:rFonts w:ascii="Verdana" w:hAnsi="Verdana"/>
          <w:color w:val="000000"/>
          <w:sz w:val="20"/>
          <w:szCs w:val="20"/>
          <w:shd w:val="clear" w:color="auto" w:fill="FFFFFF"/>
          <w:lang w:val="es-CR"/>
        </w:rPr>
        <w:t>.</w:t>
      </w:r>
    </w:p>
    <w:p w14:paraId="737A7649" w14:textId="18C9937E" w:rsidR="000B01FF" w:rsidRPr="00B06955" w:rsidRDefault="007C2A0A" w:rsidP="00B06955">
      <w:pPr>
        <w:pStyle w:val="Prrafodelista"/>
        <w:numPr>
          <w:ilvl w:val="0"/>
          <w:numId w:val="1"/>
        </w:numPr>
        <w:spacing w:before="120" w:after="120"/>
        <w:ind w:left="0" w:firstLine="0"/>
        <w:contextualSpacing w:val="0"/>
        <w:jc w:val="both"/>
        <w:rPr>
          <w:rFonts w:ascii="Verdana" w:hAnsi="Verdana"/>
          <w:b/>
          <w:color w:val="000000"/>
          <w:sz w:val="20"/>
          <w:szCs w:val="20"/>
          <w:shd w:val="clear" w:color="auto" w:fill="FFFFFF"/>
          <w:lang w:val="es-CR"/>
        </w:rPr>
      </w:pPr>
      <w:r w:rsidRPr="00B06955">
        <w:rPr>
          <w:rFonts w:ascii="Verdana" w:hAnsi="Verdana"/>
          <w:sz w:val="20"/>
          <w:szCs w:val="20"/>
          <w:lang w:val="es-CR"/>
        </w:rPr>
        <w:t xml:space="preserve">La audiencia privada </w:t>
      </w:r>
      <w:r>
        <w:rPr>
          <w:rFonts w:ascii="Verdana" w:hAnsi="Verdana"/>
          <w:sz w:val="20"/>
          <w:szCs w:val="20"/>
          <w:lang w:val="es-CR"/>
        </w:rPr>
        <w:t xml:space="preserve">conjunta para los casos </w:t>
      </w:r>
      <w:r>
        <w:rPr>
          <w:rFonts w:ascii="Verdana" w:hAnsi="Verdana"/>
          <w:i/>
          <w:sz w:val="20"/>
          <w:szCs w:val="20"/>
          <w:lang w:val="es-CR"/>
        </w:rPr>
        <w:t xml:space="preserve">Comunidad Garífuna Triunfo de la Cruz y sus miembros Vs. Honduras </w:t>
      </w:r>
      <w:r>
        <w:rPr>
          <w:rFonts w:ascii="Verdana" w:hAnsi="Verdana"/>
          <w:sz w:val="20"/>
          <w:szCs w:val="20"/>
          <w:lang w:val="es-CR"/>
        </w:rPr>
        <w:t xml:space="preserve">y </w:t>
      </w:r>
      <w:r>
        <w:rPr>
          <w:rFonts w:ascii="Verdana" w:hAnsi="Verdana"/>
          <w:i/>
          <w:sz w:val="20"/>
          <w:szCs w:val="20"/>
          <w:lang w:val="es-CR"/>
        </w:rPr>
        <w:t>Comunidad Garífuna de Punta Piedra y sus miembros Vs. Honduras</w:t>
      </w:r>
      <w:r w:rsidRPr="00B06955">
        <w:rPr>
          <w:rFonts w:ascii="Verdana" w:hAnsi="Verdana"/>
          <w:sz w:val="20"/>
          <w:szCs w:val="20"/>
          <w:lang w:val="es-CR"/>
        </w:rPr>
        <w:t xml:space="preserve"> sobre supervisión de cumplimiento de Sentencia</w:t>
      </w:r>
      <w:r w:rsidR="000B01FF" w:rsidRPr="00B06955">
        <w:rPr>
          <w:rStyle w:val="Refdenotaalpie"/>
          <w:rFonts w:ascii="Verdana" w:hAnsi="Verdana"/>
          <w:sz w:val="20"/>
          <w:szCs w:val="20"/>
          <w:lang w:val="es-CR"/>
        </w:rPr>
        <w:footnoteReference w:id="5"/>
      </w:r>
      <w:r w:rsidR="00C93475" w:rsidRPr="00B06955">
        <w:rPr>
          <w:rFonts w:ascii="Verdana" w:hAnsi="Verdana"/>
          <w:sz w:val="20"/>
          <w:szCs w:val="20"/>
          <w:lang w:val="es-CR"/>
        </w:rPr>
        <w:t xml:space="preserve">, celebrada el </w:t>
      </w:r>
      <w:r w:rsidR="00507E83" w:rsidRPr="00B06955">
        <w:rPr>
          <w:rFonts w:ascii="Verdana" w:hAnsi="Verdana"/>
          <w:sz w:val="20"/>
          <w:szCs w:val="20"/>
          <w:lang w:val="es-CR"/>
        </w:rPr>
        <w:t>29</w:t>
      </w:r>
      <w:r w:rsidR="000B01FF" w:rsidRPr="00B06955">
        <w:rPr>
          <w:rFonts w:ascii="Verdana" w:hAnsi="Verdana"/>
          <w:sz w:val="20"/>
          <w:szCs w:val="20"/>
          <w:lang w:val="es-CR"/>
        </w:rPr>
        <w:t xml:space="preserve"> de </w:t>
      </w:r>
      <w:r w:rsidR="00507E83" w:rsidRPr="00B06955">
        <w:rPr>
          <w:rFonts w:ascii="Verdana" w:hAnsi="Verdana"/>
          <w:sz w:val="20"/>
          <w:szCs w:val="20"/>
          <w:lang w:val="es-CR"/>
        </w:rPr>
        <w:t>noviembre</w:t>
      </w:r>
      <w:r w:rsidR="000B01FF" w:rsidRPr="00B06955">
        <w:rPr>
          <w:rFonts w:ascii="Verdana" w:hAnsi="Verdana"/>
          <w:sz w:val="20"/>
          <w:szCs w:val="20"/>
          <w:lang w:val="es-CR"/>
        </w:rPr>
        <w:t xml:space="preserve"> de </w:t>
      </w:r>
      <w:r w:rsidR="00507E83" w:rsidRPr="00B06955">
        <w:rPr>
          <w:rFonts w:ascii="Verdana" w:hAnsi="Verdana"/>
          <w:sz w:val="20"/>
          <w:szCs w:val="20"/>
          <w:lang w:val="es-CR"/>
        </w:rPr>
        <w:t>2018</w:t>
      </w:r>
      <w:r w:rsidR="000B01FF" w:rsidRPr="00B06955">
        <w:rPr>
          <w:rFonts w:ascii="Verdana" w:hAnsi="Verdana"/>
          <w:sz w:val="20"/>
          <w:szCs w:val="20"/>
          <w:lang w:val="es-CR"/>
        </w:rPr>
        <w:t xml:space="preserve"> en</w:t>
      </w:r>
      <w:r w:rsidR="00507E83" w:rsidRPr="00B06955">
        <w:rPr>
          <w:rFonts w:ascii="Verdana" w:hAnsi="Verdana"/>
          <w:sz w:val="20"/>
          <w:szCs w:val="20"/>
          <w:lang w:val="es-CR"/>
        </w:rPr>
        <w:t xml:space="preserve"> la sede del Tribunal durante el 128° Período Ordinario de Sesiones</w:t>
      </w:r>
      <w:r w:rsidR="00F55F82" w:rsidRPr="00B06955">
        <w:rPr>
          <w:rStyle w:val="Refdenotaalpie"/>
          <w:rFonts w:ascii="Verdana" w:hAnsi="Verdana"/>
          <w:sz w:val="20"/>
          <w:szCs w:val="20"/>
          <w:lang w:val="es-CR"/>
        </w:rPr>
        <w:footnoteReference w:id="6"/>
      </w:r>
      <w:r w:rsidR="00C93475" w:rsidRPr="00B06955">
        <w:rPr>
          <w:rFonts w:ascii="Verdana" w:hAnsi="Verdana"/>
          <w:sz w:val="20"/>
          <w:szCs w:val="20"/>
          <w:lang w:val="es-CR"/>
        </w:rPr>
        <w:t>.</w:t>
      </w:r>
    </w:p>
    <w:p w14:paraId="3C18C07C" w14:textId="77777777" w:rsidR="009356FF" w:rsidRPr="00B06955" w:rsidRDefault="009356FF" w:rsidP="00B06955">
      <w:pPr>
        <w:pStyle w:val="Prrafodelista"/>
        <w:numPr>
          <w:ilvl w:val="0"/>
          <w:numId w:val="1"/>
        </w:numPr>
        <w:spacing w:before="120" w:after="120"/>
        <w:ind w:left="0" w:firstLine="0"/>
        <w:contextualSpacing w:val="0"/>
        <w:jc w:val="both"/>
        <w:rPr>
          <w:rFonts w:ascii="Verdana" w:hAnsi="Verdana"/>
          <w:b/>
          <w:color w:val="000000"/>
          <w:sz w:val="20"/>
          <w:szCs w:val="20"/>
          <w:shd w:val="clear" w:color="auto" w:fill="FFFFFF"/>
          <w:lang w:val="es-CR"/>
        </w:rPr>
      </w:pPr>
      <w:bookmarkStart w:id="1" w:name="_Ref12546750"/>
      <w:r w:rsidRPr="00B06955">
        <w:rPr>
          <w:rFonts w:ascii="Verdana" w:hAnsi="Verdana"/>
          <w:sz w:val="20"/>
          <w:szCs w:val="20"/>
          <w:lang w:val="es-CR"/>
        </w:rPr>
        <w:t>La información aportada por el Estado durante la audiencia privada sobre supervisi</w:t>
      </w:r>
      <w:r w:rsidR="00571328" w:rsidRPr="00B06955">
        <w:rPr>
          <w:rFonts w:ascii="Verdana" w:hAnsi="Verdana"/>
          <w:sz w:val="20"/>
          <w:szCs w:val="20"/>
          <w:lang w:val="es-CR"/>
        </w:rPr>
        <w:t>ón de cumplimiento de Sentencia.</w:t>
      </w:r>
      <w:bookmarkEnd w:id="1"/>
      <w:r w:rsidR="00571328" w:rsidRPr="00B06955">
        <w:rPr>
          <w:rFonts w:ascii="Verdana" w:hAnsi="Verdana"/>
          <w:sz w:val="20"/>
          <w:szCs w:val="20"/>
          <w:lang w:val="es-CR"/>
        </w:rPr>
        <w:t xml:space="preserve"> </w:t>
      </w:r>
    </w:p>
    <w:p w14:paraId="1C9D3987" w14:textId="77777777" w:rsidR="00342BD7" w:rsidRPr="00B06955" w:rsidRDefault="00443D74" w:rsidP="00B06955">
      <w:pPr>
        <w:pStyle w:val="Prrafodelista"/>
        <w:numPr>
          <w:ilvl w:val="0"/>
          <w:numId w:val="1"/>
        </w:numPr>
        <w:spacing w:before="120" w:after="120"/>
        <w:ind w:left="0" w:firstLine="0"/>
        <w:contextualSpacing w:val="0"/>
        <w:jc w:val="both"/>
        <w:rPr>
          <w:rFonts w:ascii="Verdana" w:hAnsi="Verdana"/>
          <w:b/>
          <w:color w:val="000000"/>
          <w:sz w:val="20"/>
          <w:szCs w:val="20"/>
          <w:shd w:val="clear" w:color="auto" w:fill="FFFFFF"/>
          <w:lang w:val="es-CR"/>
        </w:rPr>
      </w:pPr>
      <w:r w:rsidRPr="00B06955">
        <w:rPr>
          <w:rFonts w:ascii="Verdana" w:hAnsi="Verdana"/>
          <w:b/>
          <w:i/>
          <w:color w:val="00B050"/>
          <w:sz w:val="20"/>
          <w:szCs w:val="20"/>
          <w:lang w:val="es-CR"/>
        </w:rPr>
        <w:t xml:space="preserve"> </w:t>
      </w:r>
      <w:r w:rsidR="00342BD7" w:rsidRPr="00B06955">
        <w:rPr>
          <w:rFonts w:ascii="Verdana" w:hAnsi="Verdana"/>
          <w:sz w:val="20"/>
          <w:szCs w:val="20"/>
          <w:lang w:val="es-CR"/>
        </w:rPr>
        <w:t xml:space="preserve">La Resolución emitida por la Corte el </w:t>
      </w:r>
      <w:r w:rsidR="00935407" w:rsidRPr="00B06955">
        <w:rPr>
          <w:rFonts w:ascii="Verdana" w:hAnsi="Verdana"/>
          <w:sz w:val="20"/>
          <w:szCs w:val="20"/>
          <w:lang w:val="es-CR"/>
        </w:rPr>
        <w:t>1</w:t>
      </w:r>
      <w:r w:rsidR="00342BD7" w:rsidRPr="00B06955">
        <w:rPr>
          <w:rFonts w:ascii="Verdana" w:hAnsi="Verdana"/>
          <w:sz w:val="20"/>
          <w:szCs w:val="20"/>
          <w:lang w:val="es-CR"/>
        </w:rPr>
        <w:t xml:space="preserve"> de </w:t>
      </w:r>
      <w:r w:rsidR="00935407" w:rsidRPr="00B06955">
        <w:rPr>
          <w:rFonts w:ascii="Verdana" w:hAnsi="Verdana"/>
          <w:sz w:val="20"/>
          <w:szCs w:val="20"/>
          <w:lang w:val="es-CR"/>
        </w:rPr>
        <w:t>septiembre</w:t>
      </w:r>
      <w:r w:rsidR="00342BD7" w:rsidRPr="00B06955">
        <w:rPr>
          <w:rFonts w:ascii="Verdana" w:hAnsi="Verdana"/>
          <w:sz w:val="20"/>
          <w:szCs w:val="20"/>
          <w:lang w:val="es-CR"/>
        </w:rPr>
        <w:t xml:space="preserve"> de </w:t>
      </w:r>
      <w:r w:rsidR="00935407" w:rsidRPr="00B06955">
        <w:rPr>
          <w:rFonts w:ascii="Verdana" w:hAnsi="Verdana"/>
          <w:sz w:val="20"/>
          <w:szCs w:val="20"/>
          <w:lang w:val="es-CR"/>
        </w:rPr>
        <w:t>2016</w:t>
      </w:r>
      <w:r w:rsidR="00342BD7" w:rsidRPr="00B06955">
        <w:rPr>
          <w:rFonts w:ascii="Verdana" w:hAnsi="Verdana"/>
          <w:sz w:val="20"/>
          <w:szCs w:val="20"/>
          <w:lang w:val="es-CR"/>
        </w:rPr>
        <w:t xml:space="preserve"> sobre el reintegro realizado por el Estado al Fondo de Asistencia Legal de Víctimas de la Corte</w:t>
      </w:r>
      <w:r w:rsidR="00342BD7" w:rsidRPr="00B06955">
        <w:rPr>
          <w:rStyle w:val="Refdenotaalpie"/>
          <w:rFonts w:ascii="Verdana" w:eastAsia="Times New Roman" w:hAnsi="Verdana"/>
          <w:sz w:val="20"/>
          <w:szCs w:val="20"/>
          <w:lang w:val="es-CO"/>
        </w:rPr>
        <w:footnoteReference w:id="7"/>
      </w:r>
      <w:r w:rsidR="00342BD7" w:rsidRPr="00B06955">
        <w:rPr>
          <w:rFonts w:ascii="Verdana" w:hAnsi="Verdana"/>
          <w:sz w:val="20"/>
          <w:szCs w:val="20"/>
          <w:lang w:val="es-CR"/>
        </w:rPr>
        <w:t>.</w:t>
      </w:r>
    </w:p>
    <w:p w14:paraId="56B4B9C5" w14:textId="77777777" w:rsidR="00253240" w:rsidRPr="00B06955" w:rsidRDefault="005921C0" w:rsidP="00B06955">
      <w:pPr>
        <w:spacing w:before="120" w:after="120"/>
        <w:jc w:val="both"/>
        <w:rPr>
          <w:rFonts w:ascii="Verdana" w:hAnsi="Verdana"/>
          <w:b/>
          <w:sz w:val="20"/>
          <w:szCs w:val="20"/>
          <w:lang w:val="es-MX"/>
        </w:rPr>
      </w:pPr>
      <w:r w:rsidRPr="00B06955">
        <w:rPr>
          <w:rFonts w:ascii="Verdana" w:hAnsi="Verdana"/>
          <w:b/>
          <w:sz w:val="20"/>
          <w:szCs w:val="20"/>
          <w:lang w:val="es-CR"/>
        </w:rPr>
        <w:t>C</w:t>
      </w:r>
      <w:r w:rsidR="008F5FD0" w:rsidRPr="00B06955">
        <w:rPr>
          <w:rFonts w:ascii="Verdana" w:hAnsi="Verdana"/>
          <w:b/>
          <w:sz w:val="20"/>
          <w:szCs w:val="20"/>
          <w:lang w:val="es-MX"/>
        </w:rPr>
        <w:t xml:space="preserve">ONSIDERANDO QUE: </w:t>
      </w:r>
    </w:p>
    <w:p w14:paraId="6E47B093" w14:textId="3705B385" w:rsidR="002B625E" w:rsidRPr="00B06955" w:rsidRDefault="008F5FD0" w:rsidP="00B06955">
      <w:pPr>
        <w:pStyle w:val="Prrafodelista"/>
        <w:numPr>
          <w:ilvl w:val="0"/>
          <w:numId w:val="2"/>
        </w:numPr>
        <w:spacing w:before="120" w:after="120"/>
        <w:ind w:left="0" w:firstLine="0"/>
        <w:contextualSpacing w:val="0"/>
        <w:jc w:val="both"/>
        <w:rPr>
          <w:rFonts w:ascii="Verdana" w:hAnsi="Verdana"/>
          <w:b/>
          <w:sz w:val="20"/>
          <w:szCs w:val="20"/>
          <w:lang w:val="es-MX"/>
        </w:rPr>
      </w:pPr>
      <w:r w:rsidRPr="00B06955">
        <w:rPr>
          <w:rFonts w:ascii="Verdana" w:hAnsi="Verdana"/>
          <w:sz w:val="20"/>
          <w:szCs w:val="20"/>
          <w:lang w:val="es-CR"/>
        </w:rPr>
        <w:t xml:space="preserve">En el ejercicio de </w:t>
      </w:r>
      <w:r w:rsidRPr="00B06955">
        <w:rPr>
          <w:rFonts w:ascii="Verdana" w:hAnsi="Verdana"/>
          <w:sz w:val="20"/>
          <w:szCs w:val="20"/>
          <w:lang w:val="es-ES"/>
        </w:rPr>
        <w:t xml:space="preserve">su función jurisdiccional de </w:t>
      </w:r>
      <w:r w:rsidRPr="00B06955">
        <w:rPr>
          <w:rFonts w:ascii="Verdana" w:hAnsi="Verdana"/>
          <w:sz w:val="20"/>
          <w:szCs w:val="20"/>
          <w:lang w:val="es-CR"/>
        </w:rPr>
        <w:t>supervisar el cumplimiento de sus decisiones</w:t>
      </w:r>
      <w:r w:rsidRPr="00B06955">
        <w:rPr>
          <w:rStyle w:val="Refdenotaalpie"/>
          <w:rFonts w:ascii="Verdana" w:hAnsi="Verdana"/>
          <w:sz w:val="20"/>
          <w:szCs w:val="20"/>
        </w:rPr>
        <w:footnoteReference w:id="8"/>
      </w:r>
      <w:r w:rsidRPr="00B06955">
        <w:rPr>
          <w:rFonts w:ascii="Verdana" w:hAnsi="Verdana"/>
          <w:sz w:val="20"/>
          <w:szCs w:val="20"/>
          <w:lang w:val="es-CR"/>
        </w:rPr>
        <w:t xml:space="preserve">, la Corte ha venido </w:t>
      </w:r>
      <w:r w:rsidR="00253240" w:rsidRPr="00B06955">
        <w:rPr>
          <w:rFonts w:ascii="Verdana" w:hAnsi="Verdana"/>
          <w:sz w:val="20"/>
          <w:szCs w:val="20"/>
          <w:lang w:val="es-CR"/>
        </w:rPr>
        <w:t>supervisando</w:t>
      </w:r>
      <w:r w:rsidRPr="00B06955">
        <w:rPr>
          <w:rFonts w:ascii="Verdana" w:hAnsi="Verdana"/>
          <w:sz w:val="20"/>
          <w:szCs w:val="20"/>
          <w:lang w:val="es-CR"/>
        </w:rPr>
        <w:t xml:space="preserve"> la ejecución de la</w:t>
      </w:r>
      <w:r w:rsidR="002E0B7D" w:rsidRPr="00B06955">
        <w:rPr>
          <w:rFonts w:ascii="Verdana" w:hAnsi="Verdana"/>
          <w:sz w:val="20"/>
          <w:szCs w:val="20"/>
          <w:lang w:val="es-CR"/>
        </w:rPr>
        <w:t xml:space="preserve"> referida</w:t>
      </w:r>
      <w:r w:rsidRPr="00B06955">
        <w:rPr>
          <w:rFonts w:ascii="Verdana" w:hAnsi="Verdana"/>
          <w:sz w:val="20"/>
          <w:szCs w:val="20"/>
          <w:lang w:val="es-CR"/>
        </w:rPr>
        <w:t xml:space="preserve"> Sentencia emitida </w:t>
      </w:r>
      <w:r w:rsidRPr="00B06955">
        <w:rPr>
          <w:rFonts w:ascii="Verdana" w:hAnsi="Verdana"/>
          <w:sz w:val="20"/>
          <w:szCs w:val="20"/>
          <w:lang w:val="es-MX"/>
        </w:rPr>
        <w:t xml:space="preserve">en el </w:t>
      </w:r>
      <w:r w:rsidR="008D4CDC" w:rsidRPr="00B06955">
        <w:rPr>
          <w:rFonts w:ascii="Verdana" w:hAnsi="Verdana"/>
          <w:sz w:val="20"/>
          <w:szCs w:val="20"/>
          <w:lang w:val="es-MX"/>
        </w:rPr>
        <w:t>2015</w:t>
      </w:r>
      <w:r w:rsidR="00975B02" w:rsidRPr="00B06955">
        <w:rPr>
          <w:rFonts w:ascii="Verdana" w:hAnsi="Verdana"/>
          <w:sz w:val="20"/>
          <w:szCs w:val="20"/>
          <w:lang w:val="es-MX"/>
        </w:rPr>
        <w:t xml:space="preserve"> </w:t>
      </w:r>
      <w:r w:rsidRPr="00B06955">
        <w:rPr>
          <w:rFonts w:ascii="Verdana" w:hAnsi="Verdana"/>
          <w:sz w:val="20"/>
          <w:szCs w:val="20"/>
          <w:lang w:val="es-MX"/>
        </w:rPr>
        <w:t>(</w:t>
      </w:r>
      <w:r w:rsidRPr="00B06955">
        <w:rPr>
          <w:rFonts w:ascii="Verdana" w:hAnsi="Verdana"/>
          <w:i/>
          <w:sz w:val="20"/>
          <w:szCs w:val="20"/>
          <w:lang w:val="es-MX"/>
        </w:rPr>
        <w:t>supra</w:t>
      </w:r>
      <w:r w:rsidRPr="00B06955">
        <w:rPr>
          <w:rFonts w:ascii="Verdana" w:hAnsi="Verdana"/>
          <w:sz w:val="20"/>
          <w:szCs w:val="20"/>
          <w:lang w:val="es-MX"/>
        </w:rPr>
        <w:t xml:space="preserve"> Visto </w:t>
      </w:r>
      <w:r w:rsidR="008E283B" w:rsidRPr="00B06955">
        <w:rPr>
          <w:rFonts w:ascii="Verdana" w:hAnsi="Verdana"/>
          <w:sz w:val="20"/>
          <w:szCs w:val="20"/>
          <w:lang w:val="es-MX"/>
        </w:rPr>
        <w:t xml:space="preserve">1). </w:t>
      </w:r>
      <w:r w:rsidR="00975B02" w:rsidRPr="00B06955">
        <w:rPr>
          <w:rFonts w:ascii="Verdana" w:hAnsi="Verdana"/>
          <w:sz w:val="20"/>
          <w:szCs w:val="20"/>
          <w:lang w:val="es-CR"/>
        </w:rPr>
        <w:t xml:space="preserve">En </w:t>
      </w:r>
      <w:r w:rsidR="002E0B7D" w:rsidRPr="00B06955">
        <w:rPr>
          <w:rFonts w:ascii="Verdana" w:hAnsi="Verdana"/>
          <w:sz w:val="20"/>
          <w:szCs w:val="20"/>
          <w:lang w:val="es-CR"/>
        </w:rPr>
        <w:t>dicho fallo</w:t>
      </w:r>
      <w:r w:rsidR="00975B02" w:rsidRPr="00B06955">
        <w:rPr>
          <w:rFonts w:ascii="Verdana" w:hAnsi="Verdana"/>
          <w:sz w:val="20"/>
          <w:szCs w:val="20"/>
          <w:lang w:val="es-CR"/>
        </w:rPr>
        <w:t xml:space="preserve"> la Corte dispuso </w:t>
      </w:r>
      <w:r w:rsidR="002E0B7D" w:rsidRPr="00B06955">
        <w:rPr>
          <w:rFonts w:ascii="Verdana" w:hAnsi="Verdana"/>
          <w:sz w:val="20"/>
          <w:szCs w:val="20"/>
          <w:lang w:val="es-CR"/>
        </w:rPr>
        <w:t>nueve</w:t>
      </w:r>
      <w:r w:rsidR="00975B02" w:rsidRPr="00B06955">
        <w:rPr>
          <w:rFonts w:ascii="Verdana" w:hAnsi="Verdana"/>
          <w:sz w:val="20"/>
          <w:szCs w:val="20"/>
          <w:lang w:val="es-CR"/>
        </w:rPr>
        <w:t xml:space="preserve"> medidas de reparación</w:t>
      </w:r>
      <w:r w:rsidR="005B5A58">
        <w:rPr>
          <w:rFonts w:ascii="Verdana" w:hAnsi="Verdana"/>
          <w:sz w:val="20"/>
          <w:szCs w:val="20"/>
          <w:lang w:val="es-CR"/>
        </w:rPr>
        <w:t xml:space="preserve"> (</w:t>
      </w:r>
      <w:r w:rsidR="005B5A58" w:rsidRPr="001D15E7">
        <w:rPr>
          <w:rFonts w:ascii="Verdana" w:hAnsi="Verdana"/>
          <w:i/>
          <w:sz w:val="20"/>
          <w:szCs w:val="20"/>
          <w:lang w:val="es-CR"/>
        </w:rPr>
        <w:t>infra</w:t>
      </w:r>
      <w:r w:rsidR="00104E9E">
        <w:rPr>
          <w:rFonts w:ascii="Verdana" w:hAnsi="Verdana"/>
          <w:sz w:val="20"/>
          <w:szCs w:val="20"/>
          <w:lang w:val="es-CR"/>
        </w:rPr>
        <w:t xml:space="preserve"> Considerando</w:t>
      </w:r>
      <w:r w:rsidR="005B5A58">
        <w:rPr>
          <w:rFonts w:ascii="Verdana" w:hAnsi="Verdana"/>
          <w:sz w:val="20"/>
          <w:szCs w:val="20"/>
          <w:lang w:val="es-CR"/>
        </w:rPr>
        <w:t xml:space="preserve"> </w:t>
      </w:r>
      <w:r w:rsidR="00104E9E">
        <w:rPr>
          <w:rFonts w:ascii="Verdana" w:hAnsi="Verdana"/>
          <w:sz w:val="20"/>
          <w:szCs w:val="20"/>
          <w:lang w:val="es-CR"/>
        </w:rPr>
        <w:t>3)</w:t>
      </w:r>
      <w:r w:rsidR="002E0B7D" w:rsidRPr="00B06955">
        <w:rPr>
          <w:rFonts w:ascii="Verdana" w:hAnsi="Verdana"/>
          <w:sz w:val="20"/>
          <w:szCs w:val="20"/>
          <w:lang w:val="es-CR"/>
        </w:rPr>
        <w:t>.</w:t>
      </w:r>
    </w:p>
    <w:p w14:paraId="4F4DFAD3" w14:textId="77777777" w:rsidR="00253240" w:rsidRPr="00B06955" w:rsidRDefault="0028181B" w:rsidP="00B06955">
      <w:pPr>
        <w:pStyle w:val="Prrafodelista"/>
        <w:numPr>
          <w:ilvl w:val="0"/>
          <w:numId w:val="2"/>
        </w:numPr>
        <w:spacing w:before="120" w:after="120"/>
        <w:ind w:left="0" w:firstLine="0"/>
        <w:contextualSpacing w:val="0"/>
        <w:jc w:val="both"/>
        <w:rPr>
          <w:rFonts w:ascii="Verdana" w:hAnsi="Verdana"/>
          <w:b/>
          <w:sz w:val="20"/>
          <w:szCs w:val="20"/>
          <w:lang w:val="es-MX"/>
        </w:rPr>
      </w:pPr>
      <w:r w:rsidRPr="00B06955">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sidR="005923F4" w:rsidRPr="00B06955">
        <w:rPr>
          <w:rStyle w:val="Refdenotaalpie"/>
          <w:rFonts w:ascii="Verdana" w:hAnsi="Verdana"/>
          <w:sz w:val="20"/>
          <w:szCs w:val="20"/>
        </w:rPr>
        <w:footnoteReference w:id="9"/>
      </w:r>
      <w:r w:rsidR="005923F4" w:rsidRPr="00B06955">
        <w:rPr>
          <w:rFonts w:ascii="Verdana" w:hAnsi="Verdana"/>
          <w:sz w:val="20"/>
          <w:szCs w:val="20"/>
          <w:lang w:val="es-CR"/>
        </w:rPr>
        <w:t>.</w:t>
      </w:r>
      <w:r w:rsidR="006A08FC" w:rsidRPr="00B06955">
        <w:rPr>
          <w:rFonts w:ascii="Verdana" w:hAnsi="Verdana"/>
          <w:sz w:val="20"/>
          <w:szCs w:val="20"/>
          <w:lang w:val="es-CR"/>
        </w:rPr>
        <w:t xml:space="preserve"> </w:t>
      </w:r>
      <w:r w:rsidR="00FB3834" w:rsidRPr="00B06955">
        <w:rPr>
          <w:rFonts w:ascii="Verdana" w:hAnsi="Verdana"/>
          <w:sz w:val="20"/>
          <w:szCs w:val="20"/>
          <w:lang w:val="es-CR"/>
        </w:rPr>
        <w:t>Los Estados Parte en la Convención deben garantizar el cumplimiento de las disposiciones convencionales y sus efectos propios (</w:t>
      </w:r>
      <w:proofErr w:type="spellStart"/>
      <w:r w:rsidR="00FB3834" w:rsidRPr="00B06955">
        <w:rPr>
          <w:rFonts w:ascii="Verdana" w:hAnsi="Verdana"/>
          <w:i/>
          <w:sz w:val="20"/>
          <w:szCs w:val="20"/>
          <w:lang w:val="es-CR"/>
        </w:rPr>
        <w:t>effet</w:t>
      </w:r>
      <w:proofErr w:type="spellEnd"/>
      <w:r w:rsidR="00FB3834" w:rsidRPr="00B06955">
        <w:rPr>
          <w:rFonts w:ascii="Verdana" w:hAnsi="Verdana"/>
          <w:i/>
          <w:sz w:val="20"/>
          <w:szCs w:val="20"/>
          <w:lang w:val="es-CR"/>
        </w:rPr>
        <w:t xml:space="preserve"> </w:t>
      </w:r>
      <w:proofErr w:type="spellStart"/>
      <w:r w:rsidR="00FB3834" w:rsidRPr="00B06955">
        <w:rPr>
          <w:rFonts w:ascii="Verdana" w:hAnsi="Verdana"/>
          <w:i/>
          <w:sz w:val="20"/>
          <w:szCs w:val="20"/>
          <w:lang w:val="es-CR"/>
        </w:rPr>
        <w:t>utile</w:t>
      </w:r>
      <w:proofErr w:type="spellEnd"/>
      <w:r w:rsidR="00FB3834" w:rsidRPr="00B06955">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sidR="00FB3834" w:rsidRPr="00B06955">
        <w:rPr>
          <w:rStyle w:val="Refdenotaalpie"/>
          <w:rFonts w:ascii="Verdana" w:hAnsi="Verdana"/>
          <w:sz w:val="20"/>
          <w:szCs w:val="20"/>
          <w:lang w:val="es-CR"/>
        </w:rPr>
        <w:footnoteReference w:id="10"/>
      </w:r>
      <w:r w:rsidR="00FB3834" w:rsidRPr="00B06955">
        <w:rPr>
          <w:rFonts w:ascii="Verdana" w:hAnsi="Verdana"/>
          <w:sz w:val="20"/>
          <w:szCs w:val="20"/>
          <w:lang w:val="es-CR"/>
        </w:rPr>
        <w:t>.</w:t>
      </w:r>
    </w:p>
    <w:p w14:paraId="7D9C6191" w14:textId="77777777" w:rsidR="00F35D06" w:rsidRPr="00B06955" w:rsidRDefault="00F7406C" w:rsidP="00B06955">
      <w:pPr>
        <w:pStyle w:val="Prrafodelista"/>
        <w:numPr>
          <w:ilvl w:val="0"/>
          <w:numId w:val="3"/>
        </w:numPr>
        <w:spacing w:before="120" w:after="120"/>
        <w:ind w:left="0" w:hanging="11"/>
        <w:contextualSpacing w:val="0"/>
        <w:jc w:val="both"/>
        <w:rPr>
          <w:rFonts w:ascii="Verdana" w:hAnsi="Verdana"/>
          <w:sz w:val="20"/>
          <w:szCs w:val="20"/>
          <w:lang w:val="es-CR"/>
        </w:rPr>
      </w:pPr>
      <w:r w:rsidRPr="00B06955">
        <w:rPr>
          <w:rFonts w:ascii="Verdana" w:hAnsi="Verdana"/>
          <w:sz w:val="20"/>
          <w:szCs w:val="20"/>
          <w:lang w:val="es-CR"/>
        </w:rPr>
        <w:lastRenderedPageBreak/>
        <w:t xml:space="preserve">La Corte se pronunciará sobre </w:t>
      </w:r>
      <w:r w:rsidR="00EB698E" w:rsidRPr="00B06955">
        <w:rPr>
          <w:rFonts w:ascii="Verdana" w:hAnsi="Verdana"/>
          <w:sz w:val="20"/>
          <w:szCs w:val="20"/>
          <w:lang w:val="es-CR"/>
        </w:rPr>
        <w:t xml:space="preserve">todas </w:t>
      </w:r>
      <w:r w:rsidRPr="00B06955">
        <w:rPr>
          <w:rFonts w:ascii="Verdana" w:hAnsi="Verdana"/>
          <w:sz w:val="20"/>
          <w:szCs w:val="20"/>
          <w:lang w:val="es-CR"/>
        </w:rPr>
        <w:t xml:space="preserve">las medidas de reparación </w:t>
      </w:r>
      <w:r w:rsidR="00EB698E" w:rsidRPr="00B06955">
        <w:rPr>
          <w:rFonts w:ascii="Verdana" w:hAnsi="Verdana"/>
          <w:sz w:val="20"/>
          <w:szCs w:val="20"/>
          <w:lang w:val="es-CR"/>
        </w:rPr>
        <w:t>pendientes de cumplimiento</w:t>
      </w:r>
      <w:r w:rsidRPr="00B06955">
        <w:rPr>
          <w:rFonts w:ascii="Verdana" w:hAnsi="Verdana"/>
          <w:sz w:val="20"/>
          <w:szCs w:val="20"/>
          <w:lang w:val="es-CR"/>
        </w:rPr>
        <w:t xml:space="preserve">. </w:t>
      </w:r>
      <w:r w:rsidR="00FC5CBC" w:rsidRPr="00B06955">
        <w:rPr>
          <w:rFonts w:ascii="Verdana" w:hAnsi="Verdana"/>
          <w:sz w:val="20"/>
          <w:szCs w:val="20"/>
          <w:lang w:val="es-MX"/>
        </w:rPr>
        <w:t xml:space="preserve">El Tribunal estructurará sus consideraciones en el siguiente orden: </w:t>
      </w:r>
    </w:p>
    <w:p w14:paraId="7357ED9C" w14:textId="6E0FC33F" w:rsidR="00D61607" w:rsidRPr="006708FF" w:rsidRDefault="00890911" w:rsidP="006708FF">
      <w:pPr>
        <w:pStyle w:val="TDC1"/>
        <w:rPr>
          <w:rFonts w:ascii="Verdana" w:eastAsia="MS Mincho" w:hAnsi="Verdana"/>
          <w:noProof/>
          <w:sz w:val="20"/>
          <w:szCs w:val="20"/>
        </w:rPr>
      </w:pPr>
      <w:r w:rsidRPr="006708FF">
        <w:rPr>
          <w:rFonts w:ascii="Verdana" w:hAnsi="Verdana"/>
          <w:sz w:val="20"/>
          <w:szCs w:val="20"/>
          <w:lang w:val="es-CR"/>
        </w:rPr>
        <w:fldChar w:fldCharType="begin"/>
      </w:r>
      <w:r w:rsidRPr="006708FF">
        <w:rPr>
          <w:rFonts w:ascii="Verdana" w:hAnsi="Verdana"/>
          <w:sz w:val="20"/>
          <w:szCs w:val="20"/>
          <w:lang w:val="es-CR"/>
        </w:rPr>
        <w:instrText xml:space="preserve"> TOC \o "1-1" \h \z \u </w:instrText>
      </w:r>
      <w:r w:rsidRPr="006708FF">
        <w:rPr>
          <w:rFonts w:ascii="Verdana" w:hAnsi="Verdana"/>
          <w:sz w:val="20"/>
          <w:szCs w:val="20"/>
          <w:lang w:val="es-CR"/>
        </w:rPr>
        <w:fldChar w:fldCharType="separate"/>
      </w:r>
      <w:hyperlink w:anchor="_Toc1737132" w:history="1">
        <w:r w:rsidR="00D61607" w:rsidRPr="006708FF">
          <w:rPr>
            <w:rStyle w:val="Hipervnculo"/>
            <w:rFonts w:ascii="Verdana" w:hAnsi="Verdana"/>
            <w:i/>
            <w:noProof/>
            <w:color w:val="auto"/>
            <w:sz w:val="20"/>
            <w:szCs w:val="20"/>
            <w:lang w:val="es-MX"/>
          </w:rPr>
          <w:t>A.</w:t>
        </w:r>
        <w:r w:rsidR="00D61607" w:rsidRPr="006708FF">
          <w:rPr>
            <w:rFonts w:ascii="Verdana" w:eastAsia="MS Mincho" w:hAnsi="Verdana"/>
            <w:noProof/>
            <w:sz w:val="20"/>
            <w:szCs w:val="20"/>
          </w:rPr>
          <w:tab/>
        </w:r>
        <w:r w:rsidR="00D61607" w:rsidRPr="006708FF">
          <w:rPr>
            <w:rStyle w:val="Hipervnculo"/>
            <w:rFonts w:ascii="Verdana" w:hAnsi="Verdana"/>
            <w:i/>
            <w:noProof/>
            <w:color w:val="auto"/>
            <w:sz w:val="20"/>
            <w:szCs w:val="20"/>
            <w:lang w:val="es-MX"/>
          </w:rPr>
          <w:t>Garantizar el uso y goce, a través del saneamiento, de las tierras tradicionales tituladas a favor de la Comunidad Garífuna de Punta Piedra</w:t>
        </w:r>
        <w:r w:rsidR="00D61607" w:rsidRPr="006708FF">
          <w:rPr>
            <w:rFonts w:ascii="Verdana" w:hAnsi="Verdana"/>
            <w:noProof/>
            <w:webHidden/>
            <w:sz w:val="20"/>
            <w:szCs w:val="20"/>
          </w:rPr>
          <w:tab/>
        </w:r>
        <w:r w:rsidR="00D61607" w:rsidRPr="006708FF">
          <w:rPr>
            <w:rStyle w:val="Hipervnculo"/>
            <w:rFonts w:ascii="Verdana" w:hAnsi="Verdana"/>
            <w:noProof/>
            <w:color w:val="auto"/>
            <w:sz w:val="20"/>
            <w:szCs w:val="20"/>
          </w:rPr>
          <w:fldChar w:fldCharType="begin"/>
        </w:r>
        <w:r w:rsidR="00D61607" w:rsidRPr="006708FF">
          <w:rPr>
            <w:rFonts w:ascii="Verdana" w:hAnsi="Verdana"/>
            <w:noProof/>
            <w:webHidden/>
            <w:sz w:val="20"/>
            <w:szCs w:val="20"/>
          </w:rPr>
          <w:instrText xml:space="preserve"> PAGEREF _Toc1737132 \h </w:instrText>
        </w:r>
        <w:r w:rsidR="00D61607" w:rsidRPr="006708FF">
          <w:rPr>
            <w:rStyle w:val="Hipervnculo"/>
            <w:rFonts w:ascii="Verdana" w:hAnsi="Verdana"/>
            <w:noProof/>
            <w:color w:val="auto"/>
            <w:sz w:val="20"/>
            <w:szCs w:val="20"/>
          </w:rPr>
        </w:r>
        <w:r w:rsidR="00D61607" w:rsidRPr="006708FF">
          <w:rPr>
            <w:rStyle w:val="Hipervnculo"/>
            <w:rFonts w:ascii="Verdana" w:hAnsi="Verdana"/>
            <w:noProof/>
            <w:color w:val="auto"/>
            <w:sz w:val="20"/>
            <w:szCs w:val="20"/>
          </w:rPr>
          <w:fldChar w:fldCharType="separate"/>
        </w:r>
        <w:r w:rsidR="00D11D5D">
          <w:rPr>
            <w:rFonts w:ascii="Verdana" w:hAnsi="Verdana"/>
            <w:noProof/>
            <w:webHidden/>
            <w:sz w:val="20"/>
            <w:szCs w:val="20"/>
          </w:rPr>
          <w:t>3</w:t>
        </w:r>
        <w:r w:rsidR="00D61607" w:rsidRPr="006708FF">
          <w:rPr>
            <w:rStyle w:val="Hipervnculo"/>
            <w:rFonts w:ascii="Verdana" w:hAnsi="Verdana"/>
            <w:noProof/>
            <w:color w:val="auto"/>
            <w:sz w:val="20"/>
            <w:szCs w:val="20"/>
          </w:rPr>
          <w:fldChar w:fldCharType="end"/>
        </w:r>
      </w:hyperlink>
    </w:p>
    <w:p w14:paraId="0F437648" w14:textId="0F052CE7" w:rsidR="00D61607" w:rsidRPr="006708FF" w:rsidRDefault="00D40C6F" w:rsidP="006708FF">
      <w:pPr>
        <w:pStyle w:val="TDC1"/>
        <w:rPr>
          <w:rFonts w:ascii="Verdana" w:eastAsia="MS Mincho" w:hAnsi="Verdana"/>
          <w:noProof/>
          <w:sz w:val="20"/>
          <w:szCs w:val="20"/>
        </w:rPr>
      </w:pPr>
      <w:hyperlink w:anchor="_Toc1737133" w:history="1">
        <w:r w:rsidR="00D61607" w:rsidRPr="006708FF">
          <w:rPr>
            <w:rStyle w:val="Hipervnculo"/>
            <w:rFonts w:ascii="Verdana" w:hAnsi="Verdana"/>
            <w:i/>
            <w:noProof/>
            <w:color w:val="auto"/>
            <w:sz w:val="20"/>
            <w:szCs w:val="20"/>
            <w:lang w:val="es-MX"/>
          </w:rPr>
          <w:t>B.</w:t>
        </w:r>
        <w:r w:rsidR="00D61607" w:rsidRPr="006708FF">
          <w:rPr>
            <w:rFonts w:ascii="Verdana" w:eastAsia="MS Mincho" w:hAnsi="Verdana"/>
            <w:noProof/>
            <w:sz w:val="20"/>
            <w:szCs w:val="20"/>
          </w:rPr>
          <w:tab/>
        </w:r>
        <w:r w:rsidR="00D61607" w:rsidRPr="006708FF">
          <w:rPr>
            <w:rStyle w:val="Hipervnculo"/>
            <w:rFonts w:ascii="Verdana" w:hAnsi="Verdana"/>
            <w:i/>
            <w:noProof/>
            <w:color w:val="auto"/>
            <w:sz w:val="20"/>
            <w:szCs w:val="20"/>
            <w:lang w:val="es-MX"/>
          </w:rPr>
          <w:t>Hacer cesar cualquier actividad respecto del proyecto de exploración Punta Piedra II que no haya sido previamente consultada</w:t>
        </w:r>
        <w:r w:rsidR="00D61607" w:rsidRPr="006708FF">
          <w:rPr>
            <w:rFonts w:ascii="Verdana" w:hAnsi="Verdana"/>
            <w:noProof/>
            <w:webHidden/>
            <w:sz w:val="20"/>
            <w:szCs w:val="20"/>
          </w:rPr>
          <w:tab/>
        </w:r>
        <w:r w:rsidR="00D61607" w:rsidRPr="006708FF">
          <w:rPr>
            <w:rStyle w:val="Hipervnculo"/>
            <w:rFonts w:ascii="Verdana" w:hAnsi="Verdana"/>
            <w:noProof/>
            <w:color w:val="auto"/>
            <w:sz w:val="20"/>
            <w:szCs w:val="20"/>
          </w:rPr>
          <w:fldChar w:fldCharType="begin"/>
        </w:r>
        <w:r w:rsidR="00D61607" w:rsidRPr="006708FF">
          <w:rPr>
            <w:rFonts w:ascii="Verdana" w:hAnsi="Verdana"/>
            <w:noProof/>
            <w:webHidden/>
            <w:sz w:val="20"/>
            <w:szCs w:val="20"/>
          </w:rPr>
          <w:instrText xml:space="preserve"> PAGEREF _Toc1737133 \h </w:instrText>
        </w:r>
        <w:r w:rsidR="00D61607" w:rsidRPr="006708FF">
          <w:rPr>
            <w:rStyle w:val="Hipervnculo"/>
            <w:rFonts w:ascii="Verdana" w:hAnsi="Verdana"/>
            <w:noProof/>
            <w:color w:val="auto"/>
            <w:sz w:val="20"/>
            <w:szCs w:val="20"/>
          </w:rPr>
        </w:r>
        <w:r w:rsidR="00D61607" w:rsidRPr="006708FF">
          <w:rPr>
            <w:rStyle w:val="Hipervnculo"/>
            <w:rFonts w:ascii="Verdana" w:hAnsi="Verdana"/>
            <w:noProof/>
            <w:color w:val="auto"/>
            <w:sz w:val="20"/>
            <w:szCs w:val="20"/>
          </w:rPr>
          <w:fldChar w:fldCharType="separate"/>
        </w:r>
        <w:r w:rsidR="00D11D5D">
          <w:rPr>
            <w:rFonts w:ascii="Verdana" w:hAnsi="Verdana"/>
            <w:noProof/>
            <w:webHidden/>
            <w:sz w:val="20"/>
            <w:szCs w:val="20"/>
          </w:rPr>
          <w:t>8</w:t>
        </w:r>
        <w:r w:rsidR="00D61607" w:rsidRPr="006708FF">
          <w:rPr>
            <w:rStyle w:val="Hipervnculo"/>
            <w:rFonts w:ascii="Verdana" w:hAnsi="Verdana"/>
            <w:noProof/>
            <w:color w:val="auto"/>
            <w:sz w:val="20"/>
            <w:szCs w:val="20"/>
          </w:rPr>
          <w:fldChar w:fldCharType="end"/>
        </w:r>
      </w:hyperlink>
    </w:p>
    <w:p w14:paraId="2A1D5E55" w14:textId="6FF54359" w:rsidR="00D61607" w:rsidRPr="006708FF" w:rsidRDefault="00D40C6F" w:rsidP="006708FF">
      <w:pPr>
        <w:pStyle w:val="TDC1"/>
        <w:rPr>
          <w:rFonts w:ascii="Verdana" w:eastAsia="MS Mincho" w:hAnsi="Verdana"/>
          <w:noProof/>
          <w:sz w:val="20"/>
          <w:szCs w:val="20"/>
        </w:rPr>
      </w:pPr>
      <w:hyperlink w:anchor="_Toc1737134" w:history="1">
        <w:r w:rsidR="00D61607" w:rsidRPr="006708FF">
          <w:rPr>
            <w:rStyle w:val="Hipervnculo"/>
            <w:rFonts w:ascii="Verdana" w:hAnsi="Verdana"/>
            <w:i/>
            <w:noProof/>
            <w:color w:val="auto"/>
            <w:sz w:val="20"/>
            <w:szCs w:val="20"/>
            <w:lang w:val="es-MX"/>
          </w:rPr>
          <w:t>C.</w:t>
        </w:r>
        <w:r w:rsidR="00D61607" w:rsidRPr="006708FF">
          <w:rPr>
            <w:rFonts w:ascii="Verdana" w:eastAsia="MS Mincho" w:hAnsi="Verdana"/>
            <w:noProof/>
            <w:sz w:val="20"/>
            <w:szCs w:val="20"/>
          </w:rPr>
          <w:tab/>
        </w:r>
        <w:r w:rsidR="00D61607" w:rsidRPr="006708FF">
          <w:rPr>
            <w:rStyle w:val="Hipervnculo"/>
            <w:rFonts w:ascii="Verdana" w:hAnsi="Verdana"/>
            <w:i/>
            <w:noProof/>
            <w:color w:val="auto"/>
            <w:sz w:val="20"/>
            <w:szCs w:val="20"/>
            <w:lang w:val="es-MX"/>
          </w:rPr>
          <w:t>Crear un fondo de desarrollo comunitario a favor de los miembros de la Comunidad</w:t>
        </w:r>
        <w:r w:rsidR="00D61607" w:rsidRPr="006708FF">
          <w:rPr>
            <w:rFonts w:ascii="Verdana" w:hAnsi="Verdana"/>
            <w:noProof/>
            <w:webHidden/>
            <w:sz w:val="20"/>
            <w:szCs w:val="20"/>
          </w:rPr>
          <w:tab/>
        </w:r>
        <w:r w:rsidR="00D61607" w:rsidRPr="006708FF">
          <w:rPr>
            <w:rStyle w:val="Hipervnculo"/>
            <w:rFonts w:ascii="Verdana" w:hAnsi="Verdana"/>
            <w:noProof/>
            <w:color w:val="auto"/>
            <w:sz w:val="20"/>
            <w:szCs w:val="20"/>
          </w:rPr>
          <w:fldChar w:fldCharType="begin"/>
        </w:r>
        <w:r w:rsidR="00D61607" w:rsidRPr="006708FF">
          <w:rPr>
            <w:rFonts w:ascii="Verdana" w:hAnsi="Verdana"/>
            <w:noProof/>
            <w:webHidden/>
            <w:sz w:val="20"/>
            <w:szCs w:val="20"/>
          </w:rPr>
          <w:instrText xml:space="preserve"> PAGEREF _Toc1737134 \h </w:instrText>
        </w:r>
        <w:r w:rsidR="00D61607" w:rsidRPr="006708FF">
          <w:rPr>
            <w:rStyle w:val="Hipervnculo"/>
            <w:rFonts w:ascii="Verdana" w:hAnsi="Verdana"/>
            <w:noProof/>
            <w:color w:val="auto"/>
            <w:sz w:val="20"/>
            <w:szCs w:val="20"/>
          </w:rPr>
        </w:r>
        <w:r w:rsidR="00D61607" w:rsidRPr="006708FF">
          <w:rPr>
            <w:rStyle w:val="Hipervnculo"/>
            <w:rFonts w:ascii="Verdana" w:hAnsi="Verdana"/>
            <w:noProof/>
            <w:color w:val="auto"/>
            <w:sz w:val="20"/>
            <w:szCs w:val="20"/>
          </w:rPr>
          <w:fldChar w:fldCharType="separate"/>
        </w:r>
        <w:r w:rsidR="00D11D5D">
          <w:rPr>
            <w:rFonts w:ascii="Verdana" w:hAnsi="Verdana"/>
            <w:noProof/>
            <w:webHidden/>
            <w:sz w:val="20"/>
            <w:szCs w:val="20"/>
          </w:rPr>
          <w:t>9</w:t>
        </w:r>
        <w:r w:rsidR="00D61607" w:rsidRPr="006708FF">
          <w:rPr>
            <w:rStyle w:val="Hipervnculo"/>
            <w:rFonts w:ascii="Verdana" w:hAnsi="Verdana"/>
            <w:noProof/>
            <w:color w:val="auto"/>
            <w:sz w:val="20"/>
            <w:szCs w:val="20"/>
          </w:rPr>
          <w:fldChar w:fldCharType="end"/>
        </w:r>
      </w:hyperlink>
    </w:p>
    <w:p w14:paraId="43B8A2DE" w14:textId="4F2F642D" w:rsidR="00D61607" w:rsidRPr="006708FF" w:rsidRDefault="00D40C6F" w:rsidP="006708FF">
      <w:pPr>
        <w:pStyle w:val="TDC1"/>
        <w:rPr>
          <w:rFonts w:ascii="Verdana" w:eastAsia="MS Mincho" w:hAnsi="Verdana"/>
          <w:noProof/>
          <w:sz w:val="20"/>
          <w:szCs w:val="20"/>
        </w:rPr>
      </w:pPr>
      <w:hyperlink w:anchor="_Toc1737135" w:history="1">
        <w:r w:rsidR="00D61607" w:rsidRPr="006708FF">
          <w:rPr>
            <w:rStyle w:val="Hipervnculo"/>
            <w:rFonts w:ascii="Verdana" w:hAnsi="Verdana"/>
            <w:i/>
            <w:noProof/>
            <w:color w:val="auto"/>
            <w:sz w:val="20"/>
            <w:szCs w:val="20"/>
            <w:lang w:val="es-MX"/>
          </w:rPr>
          <w:t>D.</w:t>
        </w:r>
        <w:r w:rsidR="00D61607" w:rsidRPr="006708FF">
          <w:rPr>
            <w:rFonts w:ascii="Verdana" w:eastAsia="MS Mincho" w:hAnsi="Verdana"/>
            <w:noProof/>
            <w:sz w:val="20"/>
            <w:szCs w:val="20"/>
          </w:rPr>
          <w:tab/>
        </w:r>
        <w:r w:rsidR="00D61607" w:rsidRPr="006708FF">
          <w:rPr>
            <w:rStyle w:val="Hipervnculo"/>
            <w:rFonts w:ascii="Verdana" w:hAnsi="Verdana"/>
            <w:i/>
            <w:noProof/>
            <w:color w:val="auto"/>
            <w:sz w:val="20"/>
            <w:szCs w:val="20"/>
            <w:lang w:val="es-MX"/>
          </w:rPr>
          <w:t>Poner en marcha los mecanismos necesarios para la coordinación entre instituciones con el fin de lograr efectividad de las medidas ordenadas</w:t>
        </w:r>
        <w:r w:rsidR="00D61607" w:rsidRPr="006708FF">
          <w:rPr>
            <w:rFonts w:ascii="Verdana" w:hAnsi="Verdana"/>
            <w:noProof/>
            <w:webHidden/>
            <w:sz w:val="20"/>
            <w:szCs w:val="20"/>
          </w:rPr>
          <w:tab/>
        </w:r>
        <w:r w:rsidR="00D61607" w:rsidRPr="006708FF">
          <w:rPr>
            <w:rStyle w:val="Hipervnculo"/>
            <w:rFonts w:ascii="Verdana" w:hAnsi="Verdana"/>
            <w:noProof/>
            <w:color w:val="auto"/>
            <w:sz w:val="20"/>
            <w:szCs w:val="20"/>
          </w:rPr>
          <w:fldChar w:fldCharType="begin"/>
        </w:r>
        <w:r w:rsidR="00D61607" w:rsidRPr="006708FF">
          <w:rPr>
            <w:rFonts w:ascii="Verdana" w:hAnsi="Verdana"/>
            <w:noProof/>
            <w:webHidden/>
            <w:sz w:val="20"/>
            <w:szCs w:val="20"/>
          </w:rPr>
          <w:instrText xml:space="preserve"> PAGEREF _Toc1737135 \h </w:instrText>
        </w:r>
        <w:r w:rsidR="00D61607" w:rsidRPr="006708FF">
          <w:rPr>
            <w:rStyle w:val="Hipervnculo"/>
            <w:rFonts w:ascii="Verdana" w:hAnsi="Verdana"/>
            <w:noProof/>
            <w:color w:val="auto"/>
            <w:sz w:val="20"/>
            <w:szCs w:val="20"/>
          </w:rPr>
        </w:r>
        <w:r w:rsidR="00D61607" w:rsidRPr="006708FF">
          <w:rPr>
            <w:rStyle w:val="Hipervnculo"/>
            <w:rFonts w:ascii="Verdana" w:hAnsi="Verdana"/>
            <w:noProof/>
            <w:color w:val="auto"/>
            <w:sz w:val="20"/>
            <w:szCs w:val="20"/>
          </w:rPr>
          <w:fldChar w:fldCharType="separate"/>
        </w:r>
        <w:r w:rsidR="00D11D5D">
          <w:rPr>
            <w:rFonts w:ascii="Verdana" w:hAnsi="Verdana"/>
            <w:noProof/>
            <w:webHidden/>
            <w:sz w:val="20"/>
            <w:szCs w:val="20"/>
          </w:rPr>
          <w:t>11</w:t>
        </w:r>
        <w:r w:rsidR="00D61607" w:rsidRPr="006708FF">
          <w:rPr>
            <w:rStyle w:val="Hipervnculo"/>
            <w:rFonts w:ascii="Verdana" w:hAnsi="Verdana"/>
            <w:noProof/>
            <w:color w:val="auto"/>
            <w:sz w:val="20"/>
            <w:szCs w:val="20"/>
          </w:rPr>
          <w:fldChar w:fldCharType="end"/>
        </w:r>
      </w:hyperlink>
    </w:p>
    <w:p w14:paraId="1D4CFD23" w14:textId="2135C34E" w:rsidR="00D61607" w:rsidRPr="006708FF" w:rsidRDefault="00D40C6F" w:rsidP="006708FF">
      <w:pPr>
        <w:pStyle w:val="TDC1"/>
        <w:rPr>
          <w:rFonts w:ascii="Verdana" w:eastAsia="MS Mincho" w:hAnsi="Verdana"/>
          <w:noProof/>
          <w:sz w:val="20"/>
          <w:szCs w:val="20"/>
        </w:rPr>
      </w:pPr>
      <w:hyperlink w:anchor="_Toc1737136" w:history="1">
        <w:r w:rsidR="00D61607" w:rsidRPr="006708FF">
          <w:rPr>
            <w:rStyle w:val="Hipervnculo"/>
            <w:rFonts w:ascii="Verdana" w:hAnsi="Verdana"/>
            <w:i/>
            <w:noProof/>
            <w:color w:val="auto"/>
            <w:sz w:val="20"/>
            <w:szCs w:val="20"/>
            <w:lang w:val="es-MX"/>
          </w:rPr>
          <w:t>E.</w:t>
        </w:r>
        <w:r w:rsidR="00D61607" w:rsidRPr="006708FF">
          <w:rPr>
            <w:rFonts w:ascii="Verdana" w:eastAsia="MS Mincho" w:hAnsi="Verdana"/>
            <w:noProof/>
            <w:sz w:val="20"/>
            <w:szCs w:val="20"/>
          </w:rPr>
          <w:tab/>
        </w:r>
        <w:r w:rsidR="00D61607" w:rsidRPr="006708FF">
          <w:rPr>
            <w:rStyle w:val="Hipervnculo"/>
            <w:rFonts w:ascii="Verdana" w:hAnsi="Verdana"/>
            <w:i/>
            <w:noProof/>
            <w:color w:val="auto"/>
            <w:sz w:val="20"/>
            <w:szCs w:val="20"/>
            <w:lang w:val="es-MX"/>
          </w:rPr>
          <w:t>Publicación y difusión de la sentencia</w:t>
        </w:r>
        <w:r w:rsidR="00D61607" w:rsidRPr="006708FF">
          <w:rPr>
            <w:rFonts w:ascii="Verdana" w:hAnsi="Verdana"/>
            <w:noProof/>
            <w:webHidden/>
            <w:sz w:val="20"/>
            <w:szCs w:val="20"/>
          </w:rPr>
          <w:tab/>
        </w:r>
        <w:r w:rsidR="00D61607" w:rsidRPr="006708FF">
          <w:rPr>
            <w:rStyle w:val="Hipervnculo"/>
            <w:rFonts w:ascii="Verdana" w:hAnsi="Verdana"/>
            <w:noProof/>
            <w:color w:val="auto"/>
            <w:sz w:val="20"/>
            <w:szCs w:val="20"/>
          </w:rPr>
          <w:fldChar w:fldCharType="begin"/>
        </w:r>
        <w:r w:rsidR="00D61607" w:rsidRPr="006708FF">
          <w:rPr>
            <w:rFonts w:ascii="Verdana" w:hAnsi="Verdana"/>
            <w:noProof/>
            <w:webHidden/>
            <w:sz w:val="20"/>
            <w:szCs w:val="20"/>
          </w:rPr>
          <w:instrText xml:space="preserve"> PAGEREF _Toc1737136 \h </w:instrText>
        </w:r>
        <w:r w:rsidR="00D61607" w:rsidRPr="006708FF">
          <w:rPr>
            <w:rStyle w:val="Hipervnculo"/>
            <w:rFonts w:ascii="Verdana" w:hAnsi="Verdana"/>
            <w:noProof/>
            <w:color w:val="auto"/>
            <w:sz w:val="20"/>
            <w:szCs w:val="20"/>
          </w:rPr>
        </w:r>
        <w:r w:rsidR="00D61607" w:rsidRPr="006708FF">
          <w:rPr>
            <w:rStyle w:val="Hipervnculo"/>
            <w:rFonts w:ascii="Verdana" w:hAnsi="Verdana"/>
            <w:noProof/>
            <w:color w:val="auto"/>
            <w:sz w:val="20"/>
            <w:szCs w:val="20"/>
          </w:rPr>
          <w:fldChar w:fldCharType="separate"/>
        </w:r>
        <w:r w:rsidR="00D11D5D">
          <w:rPr>
            <w:rFonts w:ascii="Verdana" w:hAnsi="Verdana"/>
            <w:noProof/>
            <w:webHidden/>
            <w:sz w:val="20"/>
            <w:szCs w:val="20"/>
          </w:rPr>
          <w:t>13</w:t>
        </w:r>
        <w:r w:rsidR="00D61607" w:rsidRPr="006708FF">
          <w:rPr>
            <w:rStyle w:val="Hipervnculo"/>
            <w:rFonts w:ascii="Verdana" w:hAnsi="Verdana"/>
            <w:noProof/>
            <w:color w:val="auto"/>
            <w:sz w:val="20"/>
            <w:szCs w:val="20"/>
          </w:rPr>
          <w:fldChar w:fldCharType="end"/>
        </w:r>
      </w:hyperlink>
    </w:p>
    <w:p w14:paraId="2D97DD11" w14:textId="5808B422" w:rsidR="00D61607" w:rsidRPr="006708FF" w:rsidRDefault="00D40C6F" w:rsidP="006708FF">
      <w:pPr>
        <w:pStyle w:val="TDC1"/>
        <w:rPr>
          <w:rFonts w:ascii="Verdana" w:eastAsia="MS Mincho" w:hAnsi="Verdana"/>
          <w:noProof/>
          <w:sz w:val="20"/>
          <w:szCs w:val="20"/>
        </w:rPr>
      </w:pPr>
      <w:hyperlink w:anchor="_Toc1737137" w:history="1">
        <w:r w:rsidR="00D61607" w:rsidRPr="006708FF">
          <w:rPr>
            <w:rStyle w:val="Hipervnculo"/>
            <w:rFonts w:ascii="Verdana" w:hAnsi="Verdana"/>
            <w:i/>
            <w:noProof/>
            <w:color w:val="auto"/>
            <w:sz w:val="20"/>
            <w:szCs w:val="20"/>
            <w:lang w:val="es-MX"/>
          </w:rPr>
          <w:t>F.</w:t>
        </w:r>
        <w:r w:rsidR="00D61607" w:rsidRPr="006708FF">
          <w:rPr>
            <w:rFonts w:ascii="Verdana" w:eastAsia="MS Mincho" w:hAnsi="Verdana"/>
            <w:noProof/>
            <w:sz w:val="20"/>
            <w:szCs w:val="20"/>
          </w:rPr>
          <w:tab/>
        </w:r>
        <w:r w:rsidR="00D61607" w:rsidRPr="006708FF">
          <w:rPr>
            <w:rStyle w:val="Hipervnculo"/>
            <w:rFonts w:ascii="Verdana" w:hAnsi="Verdana"/>
            <w:i/>
            <w:noProof/>
            <w:color w:val="auto"/>
            <w:sz w:val="20"/>
            <w:szCs w:val="20"/>
            <w:lang w:val="es-MX"/>
          </w:rPr>
          <w:t xml:space="preserve">Adoptar las medidas suficientes y necesarias, a fin de que las disposiciones reglamentarias sobre minería no menoscaben el derecho </w:t>
        </w:r>
        <w:r w:rsidR="00F75039" w:rsidRPr="006708FF">
          <w:rPr>
            <w:rStyle w:val="Hipervnculo"/>
            <w:rFonts w:ascii="Verdana" w:hAnsi="Verdana"/>
            <w:i/>
            <w:noProof/>
            <w:color w:val="auto"/>
            <w:sz w:val="20"/>
            <w:szCs w:val="20"/>
            <w:lang w:val="es-MX"/>
          </w:rPr>
          <w:t xml:space="preserve">a </w:t>
        </w:r>
        <w:r w:rsidR="00D61607" w:rsidRPr="006708FF">
          <w:rPr>
            <w:rStyle w:val="Hipervnculo"/>
            <w:rFonts w:ascii="Verdana" w:hAnsi="Verdana"/>
            <w:i/>
            <w:noProof/>
            <w:color w:val="auto"/>
            <w:sz w:val="20"/>
            <w:szCs w:val="20"/>
            <w:lang w:val="es-MX"/>
          </w:rPr>
          <w:t>la consulta</w:t>
        </w:r>
        <w:r w:rsidR="00D61607" w:rsidRPr="006708FF">
          <w:rPr>
            <w:rFonts w:ascii="Verdana" w:hAnsi="Verdana"/>
            <w:noProof/>
            <w:webHidden/>
            <w:sz w:val="20"/>
            <w:szCs w:val="20"/>
          </w:rPr>
          <w:tab/>
        </w:r>
        <w:r w:rsidR="00D61607" w:rsidRPr="006708FF">
          <w:rPr>
            <w:rStyle w:val="Hipervnculo"/>
            <w:rFonts w:ascii="Verdana" w:hAnsi="Verdana"/>
            <w:noProof/>
            <w:color w:val="auto"/>
            <w:sz w:val="20"/>
            <w:szCs w:val="20"/>
          </w:rPr>
          <w:fldChar w:fldCharType="begin"/>
        </w:r>
        <w:r w:rsidR="00D61607" w:rsidRPr="006708FF">
          <w:rPr>
            <w:rFonts w:ascii="Verdana" w:hAnsi="Verdana"/>
            <w:noProof/>
            <w:webHidden/>
            <w:sz w:val="20"/>
            <w:szCs w:val="20"/>
          </w:rPr>
          <w:instrText xml:space="preserve"> PAGEREF _Toc1737137 \h </w:instrText>
        </w:r>
        <w:r w:rsidR="00D61607" w:rsidRPr="006708FF">
          <w:rPr>
            <w:rStyle w:val="Hipervnculo"/>
            <w:rFonts w:ascii="Verdana" w:hAnsi="Verdana"/>
            <w:noProof/>
            <w:color w:val="auto"/>
            <w:sz w:val="20"/>
            <w:szCs w:val="20"/>
          </w:rPr>
        </w:r>
        <w:r w:rsidR="00D61607" w:rsidRPr="006708FF">
          <w:rPr>
            <w:rStyle w:val="Hipervnculo"/>
            <w:rFonts w:ascii="Verdana" w:hAnsi="Verdana"/>
            <w:noProof/>
            <w:color w:val="auto"/>
            <w:sz w:val="20"/>
            <w:szCs w:val="20"/>
          </w:rPr>
          <w:fldChar w:fldCharType="separate"/>
        </w:r>
        <w:r w:rsidR="00D11D5D">
          <w:rPr>
            <w:rFonts w:ascii="Verdana" w:hAnsi="Verdana"/>
            <w:noProof/>
            <w:webHidden/>
            <w:sz w:val="20"/>
            <w:szCs w:val="20"/>
          </w:rPr>
          <w:t>16</w:t>
        </w:r>
        <w:r w:rsidR="00D61607" w:rsidRPr="006708FF">
          <w:rPr>
            <w:rStyle w:val="Hipervnculo"/>
            <w:rFonts w:ascii="Verdana" w:hAnsi="Verdana"/>
            <w:noProof/>
            <w:color w:val="auto"/>
            <w:sz w:val="20"/>
            <w:szCs w:val="20"/>
          </w:rPr>
          <w:fldChar w:fldCharType="end"/>
        </w:r>
      </w:hyperlink>
    </w:p>
    <w:p w14:paraId="3608953E" w14:textId="71A60E53" w:rsidR="00D61607" w:rsidRPr="006708FF" w:rsidRDefault="00D40C6F" w:rsidP="006708FF">
      <w:pPr>
        <w:pStyle w:val="TDC1"/>
        <w:rPr>
          <w:rFonts w:ascii="Verdana" w:eastAsia="MS Mincho" w:hAnsi="Verdana"/>
          <w:noProof/>
          <w:sz w:val="20"/>
          <w:szCs w:val="20"/>
        </w:rPr>
      </w:pPr>
      <w:hyperlink w:anchor="_Toc1737138" w:history="1">
        <w:r w:rsidR="00D61607" w:rsidRPr="006708FF">
          <w:rPr>
            <w:rStyle w:val="Hipervnculo"/>
            <w:rFonts w:ascii="Verdana" w:hAnsi="Verdana"/>
            <w:i/>
            <w:noProof/>
            <w:color w:val="auto"/>
            <w:sz w:val="20"/>
            <w:szCs w:val="20"/>
            <w:lang w:val="es-MX"/>
          </w:rPr>
          <w:t>G.</w:t>
        </w:r>
        <w:r w:rsidR="00D61607" w:rsidRPr="006708FF">
          <w:rPr>
            <w:rFonts w:ascii="Verdana" w:eastAsia="MS Mincho" w:hAnsi="Verdana"/>
            <w:noProof/>
            <w:sz w:val="20"/>
            <w:szCs w:val="20"/>
          </w:rPr>
          <w:tab/>
        </w:r>
        <w:r w:rsidR="00722ED1" w:rsidRPr="006708FF">
          <w:rPr>
            <w:rStyle w:val="Hipervnculo"/>
            <w:rFonts w:ascii="Verdana" w:hAnsi="Verdana"/>
            <w:i/>
            <w:noProof/>
            <w:color w:val="auto"/>
            <w:sz w:val="20"/>
            <w:szCs w:val="20"/>
            <w:lang w:val="es-MX"/>
          </w:rPr>
          <w:t>Crear</w:t>
        </w:r>
        <w:r w:rsidR="00D61607" w:rsidRPr="006708FF">
          <w:rPr>
            <w:rStyle w:val="Hipervnculo"/>
            <w:rFonts w:ascii="Verdana" w:hAnsi="Verdana"/>
            <w:i/>
            <w:noProof/>
            <w:color w:val="auto"/>
            <w:sz w:val="20"/>
            <w:szCs w:val="20"/>
            <w:lang w:val="es-MX"/>
          </w:rPr>
          <w:t xml:space="preserve"> mecanismos adecuados para regular su sistema de Registro de Propiedad</w:t>
        </w:r>
        <w:r w:rsidR="00D61607" w:rsidRPr="006708FF">
          <w:rPr>
            <w:rFonts w:ascii="Verdana" w:hAnsi="Verdana"/>
            <w:noProof/>
            <w:webHidden/>
            <w:sz w:val="20"/>
            <w:szCs w:val="20"/>
          </w:rPr>
          <w:tab/>
        </w:r>
        <w:r w:rsidR="00D61607" w:rsidRPr="006708FF">
          <w:rPr>
            <w:rStyle w:val="Hipervnculo"/>
            <w:rFonts w:ascii="Verdana" w:hAnsi="Verdana"/>
            <w:noProof/>
            <w:color w:val="auto"/>
            <w:sz w:val="20"/>
            <w:szCs w:val="20"/>
          </w:rPr>
          <w:fldChar w:fldCharType="begin"/>
        </w:r>
        <w:r w:rsidR="00D61607" w:rsidRPr="006708FF">
          <w:rPr>
            <w:rFonts w:ascii="Verdana" w:hAnsi="Verdana"/>
            <w:noProof/>
            <w:webHidden/>
            <w:sz w:val="20"/>
            <w:szCs w:val="20"/>
          </w:rPr>
          <w:instrText xml:space="preserve"> PAGEREF _Toc1737138 \h </w:instrText>
        </w:r>
        <w:r w:rsidR="00D61607" w:rsidRPr="006708FF">
          <w:rPr>
            <w:rStyle w:val="Hipervnculo"/>
            <w:rFonts w:ascii="Verdana" w:hAnsi="Verdana"/>
            <w:noProof/>
            <w:color w:val="auto"/>
            <w:sz w:val="20"/>
            <w:szCs w:val="20"/>
          </w:rPr>
        </w:r>
        <w:r w:rsidR="00D61607" w:rsidRPr="006708FF">
          <w:rPr>
            <w:rStyle w:val="Hipervnculo"/>
            <w:rFonts w:ascii="Verdana" w:hAnsi="Verdana"/>
            <w:noProof/>
            <w:color w:val="auto"/>
            <w:sz w:val="20"/>
            <w:szCs w:val="20"/>
          </w:rPr>
          <w:fldChar w:fldCharType="separate"/>
        </w:r>
        <w:r w:rsidR="00D11D5D">
          <w:rPr>
            <w:rFonts w:ascii="Verdana" w:hAnsi="Verdana"/>
            <w:noProof/>
            <w:webHidden/>
            <w:sz w:val="20"/>
            <w:szCs w:val="20"/>
          </w:rPr>
          <w:t>19</w:t>
        </w:r>
        <w:r w:rsidR="00D61607" w:rsidRPr="006708FF">
          <w:rPr>
            <w:rStyle w:val="Hipervnculo"/>
            <w:rFonts w:ascii="Verdana" w:hAnsi="Verdana"/>
            <w:noProof/>
            <w:color w:val="auto"/>
            <w:sz w:val="20"/>
            <w:szCs w:val="20"/>
          </w:rPr>
          <w:fldChar w:fldCharType="end"/>
        </w:r>
      </w:hyperlink>
    </w:p>
    <w:p w14:paraId="02522A9E" w14:textId="7DDA97CF" w:rsidR="00D61607" w:rsidRPr="006708FF" w:rsidRDefault="00D40C6F" w:rsidP="006708FF">
      <w:pPr>
        <w:pStyle w:val="TDC1"/>
        <w:rPr>
          <w:rFonts w:ascii="Verdana" w:eastAsia="MS Mincho" w:hAnsi="Verdana"/>
          <w:noProof/>
          <w:sz w:val="20"/>
          <w:szCs w:val="20"/>
        </w:rPr>
      </w:pPr>
      <w:hyperlink w:anchor="_Toc1737139" w:history="1">
        <w:r w:rsidR="00D61607" w:rsidRPr="006708FF">
          <w:rPr>
            <w:rStyle w:val="Hipervnculo"/>
            <w:rFonts w:ascii="Verdana" w:hAnsi="Verdana"/>
            <w:i/>
            <w:noProof/>
            <w:color w:val="auto"/>
            <w:sz w:val="20"/>
            <w:szCs w:val="20"/>
            <w:lang w:val="es-MX"/>
          </w:rPr>
          <w:t>H.</w:t>
        </w:r>
        <w:r w:rsidR="00D61607" w:rsidRPr="006708FF">
          <w:rPr>
            <w:rFonts w:ascii="Verdana" w:eastAsia="MS Mincho" w:hAnsi="Verdana"/>
            <w:noProof/>
            <w:sz w:val="20"/>
            <w:szCs w:val="20"/>
          </w:rPr>
          <w:tab/>
        </w:r>
        <w:r w:rsidR="00F75093" w:rsidRPr="006708FF">
          <w:rPr>
            <w:rStyle w:val="Hipervnculo"/>
            <w:rFonts w:ascii="Verdana" w:hAnsi="Verdana"/>
            <w:i/>
            <w:noProof/>
            <w:color w:val="auto"/>
            <w:sz w:val="20"/>
            <w:szCs w:val="20"/>
            <w:lang w:val="es-MX"/>
          </w:rPr>
          <w:t xml:space="preserve">Continuar y concluir </w:t>
        </w:r>
        <w:r w:rsidR="00D61607" w:rsidRPr="006708FF">
          <w:rPr>
            <w:rStyle w:val="Hipervnculo"/>
            <w:rFonts w:ascii="Verdana" w:hAnsi="Verdana"/>
            <w:i/>
            <w:noProof/>
            <w:color w:val="auto"/>
            <w:sz w:val="20"/>
            <w:szCs w:val="20"/>
            <w:lang w:val="es-MX"/>
          </w:rPr>
          <w:t>la investigación por la muerte de Félix Ordóñez Suazo y demás denuncias interpuestas en la jurisdicción interna, y en su caso, sancionar a los responsables</w:t>
        </w:r>
        <w:r w:rsidR="00D61607" w:rsidRPr="006708FF">
          <w:rPr>
            <w:rFonts w:ascii="Verdana" w:hAnsi="Verdana"/>
            <w:noProof/>
            <w:webHidden/>
            <w:sz w:val="20"/>
            <w:szCs w:val="20"/>
          </w:rPr>
          <w:tab/>
        </w:r>
        <w:r w:rsidR="00D61607" w:rsidRPr="006708FF">
          <w:rPr>
            <w:rStyle w:val="Hipervnculo"/>
            <w:rFonts w:ascii="Verdana" w:hAnsi="Verdana"/>
            <w:noProof/>
            <w:color w:val="auto"/>
            <w:sz w:val="20"/>
            <w:szCs w:val="20"/>
          </w:rPr>
          <w:fldChar w:fldCharType="begin"/>
        </w:r>
        <w:r w:rsidR="00D61607" w:rsidRPr="006708FF">
          <w:rPr>
            <w:rFonts w:ascii="Verdana" w:hAnsi="Verdana"/>
            <w:noProof/>
            <w:webHidden/>
            <w:sz w:val="20"/>
            <w:szCs w:val="20"/>
          </w:rPr>
          <w:instrText xml:space="preserve"> PAGEREF _Toc1737139 \h </w:instrText>
        </w:r>
        <w:r w:rsidR="00D61607" w:rsidRPr="006708FF">
          <w:rPr>
            <w:rStyle w:val="Hipervnculo"/>
            <w:rFonts w:ascii="Verdana" w:hAnsi="Verdana"/>
            <w:noProof/>
            <w:color w:val="auto"/>
            <w:sz w:val="20"/>
            <w:szCs w:val="20"/>
          </w:rPr>
        </w:r>
        <w:r w:rsidR="00D61607" w:rsidRPr="006708FF">
          <w:rPr>
            <w:rStyle w:val="Hipervnculo"/>
            <w:rFonts w:ascii="Verdana" w:hAnsi="Verdana"/>
            <w:noProof/>
            <w:color w:val="auto"/>
            <w:sz w:val="20"/>
            <w:szCs w:val="20"/>
          </w:rPr>
          <w:fldChar w:fldCharType="separate"/>
        </w:r>
        <w:r w:rsidR="00D11D5D">
          <w:rPr>
            <w:rFonts w:ascii="Verdana" w:hAnsi="Verdana"/>
            <w:noProof/>
            <w:webHidden/>
            <w:sz w:val="20"/>
            <w:szCs w:val="20"/>
          </w:rPr>
          <w:t>20</w:t>
        </w:r>
        <w:r w:rsidR="00D61607" w:rsidRPr="006708FF">
          <w:rPr>
            <w:rStyle w:val="Hipervnculo"/>
            <w:rFonts w:ascii="Verdana" w:hAnsi="Verdana"/>
            <w:noProof/>
            <w:color w:val="auto"/>
            <w:sz w:val="20"/>
            <w:szCs w:val="20"/>
          </w:rPr>
          <w:fldChar w:fldCharType="end"/>
        </w:r>
      </w:hyperlink>
    </w:p>
    <w:p w14:paraId="2539A0A1" w14:textId="5B10E27A" w:rsidR="00D61607" w:rsidRPr="006708FF" w:rsidRDefault="00D40C6F" w:rsidP="006708FF">
      <w:pPr>
        <w:pStyle w:val="TDC1"/>
        <w:rPr>
          <w:rFonts w:ascii="Verdana" w:eastAsia="MS Mincho" w:hAnsi="Verdana"/>
          <w:noProof/>
          <w:sz w:val="20"/>
          <w:szCs w:val="20"/>
        </w:rPr>
      </w:pPr>
      <w:hyperlink w:anchor="_Toc1737140" w:history="1">
        <w:r w:rsidR="00D61607" w:rsidRPr="006708FF">
          <w:rPr>
            <w:rStyle w:val="Hipervnculo"/>
            <w:rFonts w:ascii="Verdana" w:hAnsi="Verdana"/>
            <w:i/>
            <w:noProof/>
            <w:color w:val="auto"/>
            <w:sz w:val="20"/>
            <w:szCs w:val="20"/>
            <w:lang w:val="es-MX"/>
          </w:rPr>
          <w:t>I.</w:t>
        </w:r>
        <w:r w:rsidR="00D61607" w:rsidRPr="006708FF">
          <w:rPr>
            <w:rFonts w:ascii="Verdana" w:eastAsia="MS Mincho" w:hAnsi="Verdana"/>
            <w:noProof/>
            <w:sz w:val="20"/>
            <w:szCs w:val="20"/>
          </w:rPr>
          <w:tab/>
        </w:r>
        <w:r w:rsidR="00D61607" w:rsidRPr="006708FF">
          <w:rPr>
            <w:rStyle w:val="Hipervnculo"/>
            <w:rFonts w:ascii="Verdana" w:hAnsi="Verdana"/>
            <w:i/>
            <w:noProof/>
            <w:color w:val="auto"/>
            <w:sz w:val="20"/>
            <w:szCs w:val="20"/>
            <w:lang w:val="es-MX"/>
          </w:rPr>
          <w:t xml:space="preserve">Reintegrar </w:t>
        </w:r>
        <w:r w:rsidR="00515B8B" w:rsidRPr="006708FF">
          <w:rPr>
            <w:rStyle w:val="Hipervnculo"/>
            <w:rFonts w:ascii="Verdana" w:hAnsi="Verdana"/>
            <w:i/>
            <w:noProof/>
            <w:color w:val="auto"/>
            <w:sz w:val="20"/>
            <w:szCs w:val="20"/>
            <w:lang w:val="es-MX"/>
          </w:rPr>
          <w:t>la cantidad dispues</w:t>
        </w:r>
        <w:r w:rsidR="00F75093" w:rsidRPr="006708FF">
          <w:rPr>
            <w:rStyle w:val="Hipervnculo"/>
            <w:rFonts w:ascii="Verdana" w:hAnsi="Verdana"/>
            <w:i/>
            <w:noProof/>
            <w:color w:val="auto"/>
            <w:sz w:val="20"/>
            <w:szCs w:val="20"/>
            <w:lang w:val="es-MX"/>
          </w:rPr>
          <w:t>ta</w:t>
        </w:r>
        <w:r w:rsidR="00515B8B" w:rsidRPr="006708FF">
          <w:rPr>
            <w:rStyle w:val="Hipervnculo"/>
            <w:rFonts w:ascii="Verdana" w:hAnsi="Verdana"/>
            <w:i/>
            <w:noProof/>
            <w:color w:val="auto"/>
            <w:sz w:val="20"/>
            <w:szCs w:val="20"/>
            <w:lang w:val="es-MX"/>
          </w:rPr>
          <w:t xml:space="preserve"> </w:t>
        </w:r>
        <w:r w:rsidR="00D61607" w:rsidRPr="006708FF">
          <w:rPr>
            <w:rStyle w:val="Hipervnculo"/>
            <w:rFonts w:ascii="Verdana" w:hAnsi="Verdana"/>
            <w:i/>
            <w:noProof/>
            <w:color w:val="auto"/>
            <w:sz w:val="20"/>
            <w:szCs w:val="20"/>
            <w:lang w:val="es-MX"/>
          </w:rPr>
          <w:t>por concepto de cos</w:t>
        </w:r>
        <w:r w:rsidR="00515B8B" w:rsidRPr="006708FF">
          <w:rPr>
            <w:rStyle w:val="Hipervnculo"/>
            <w:rFonts w:ascii="Verdana" w:hAnsi="Verdana"/>
            <w:i/>
            <w:noProof/>
            <w:color w:val="auto"/>
            <w:sz w:val="20"/>
            <w:szCs w:val="20"/>
            <w:lang w:val="es-MX"/>
          </w:rPr>
          <w:t>t</w:t>
        </w:r>
        <w:r w:rsidR="00D61607" w:rsidRPr="006708FF">
          <w:rPr>
            <w:rStyle w:val="Hipervnculo"/>
            <w:rFonts w:ascii="Verdana" w:hAnsi="Verdana"/>
            <w:i/>
            <w:noProof/>
            <w:color w:val="auto"/>
            <w:sz w:val="20"/>
            <w:szCs w:val="20"/>
            <w:lang w:val="es-MX"/>
          </w:rPr>
          <w:t>as y gastos</w:t>
        </w:r>
        <w:r w:rsidR="00D61607" w:rsidRPr="006708FF">
          <w:rPr>
            <w:rFonts w:ascii="Verdana" w:hAnsi="Verdana"/>
            <w:noProof/>
            <w:webHidden/>
            <w:sz w:val="20"/>
            <w:szCs w:val="20"/>
          </w:rPr>
          <w:tab/>
        </w:r>
        <w:r w:rsidR="00D61607" w:rsidRPr="006708FF">
          <w:rPr>
            <w:rStyle w:val="Hipervnculo"/>
            <w:rFonts w:ascii="Verdana" w:hAnsi="Verdana"/>
            <w:noProof/>
            <w:color w:val="auto"/>
            <w:sz w:val="20"/>
            <w:szCs w:val="20"/>
          </w:rPr>
          <w:fldChar w:fldCharType="begin"/>
        </w:r>
        <w:r w:rsidR="00D61607" w:rsidRPr="006708FF">
          <w:rPr>
            <w:rFonts w:ascii="Verdana" w:hAnsi="Verdana"/>
            <w:noProof/>
            <w:webHidden/>
            <w:sz w:val="20"/>
            <w:szCs w:val="20"/>
          </w:rPr>
          <w:instrText xml:space="preserve"> PAGEREF _Toc1737140 \h </w:instrText>
        </w:r>
        <w:r w:rsidR="00D61607" w:rsidRPr="006708FF">
          <w:rPr>
            <w:rStyle w:val="Hipervnculo"/>
            <w:rFonts w:ascii="Verdana" w:hAnsi="Verdana"/>
            <w:noProof/>
            <w:color w:val="auto"/>
            <w:sz w:val="20"/>
            <w:szCs w:val="20"/>
          </w:rPr>
        </w:r>
        <w:r w:rsidR="00D61607" w:rsidRPr="006708FF">
          <w:rPr>
            <w:rStyle w:val="Hipervnculo"/>
            <w:rFonts w:ascii="Verdana" w:hAnsi="Verdana"/>
            <w:noProof/>
            <w:color w:val="auto"/>
            <w:sz w:val="20"/>
            <w:szCs w:val="20"/>
          </w:rPr>
          <w:fldChar w:fldCharType="separate"/>
        </w:r>
        <w:r w:rsidR="00D11D5D">
          <w:rPr>
            <w:rFonts w:ascii="Verdana" w:hAnsi="Verdana"/>
            <w:noProof/>
            <w:webHidden/>
            <w:sz w:val="20"/>
            <w:szCs w:val="20"/>
          </w:rPr>
          <w:t>22</w:t>
        </w:r>
        <w:r w:rsidR="00D61607" w:rsidRPr="006708FF">
          <w:rPr>
            <w:rStyle w:val="Hipervnculo"/>
            <w:rFonts w:ascii="Verdana" w:hAnsi="Verdana"/>
            <w:noProof/>
            <w:color w:val="auto"/>
            <w:sz w:val="20"/>
            <w:szCs w:val="20"/>
          </w:rPr>
          <w:fldChar w:fldCharType="end"/>
        </w:r>
      </w:hyperlink>
    </w:p>
    <w:p w14:paraId="2ED400EE" w14:textId="77777777" w:rsidR="00890911" w:rsidRPr="006708FF" w:rsidRDefault="00890911" w:rsidP="006708FF">
      <w:pPr>
        <w:pStyle w:val="Prrafodelista"/>
        <w:spacing w:before="120" w:after="120"/>
        <w:ind w:left="360"/>
        <w:contextualSpacing w:val="0"/>
        <w:jc w:val="both"/>
        <w:rPr>
          <w:rFonts w:ascii="Verdana" w:hAnsi="Verdana"/>
          <w:sz w:val="20"/>
          <w:szCs w:val="20"/>
          <w:lang w:val="es-CR"/>
        </w:rPr>
      </w:pPr>
      <w:r w:rsidRPr="006708FF">
        <w:rPr>
          <w:rFonts w:ascii="Verdana" w:hAnsi="Verdana"/>
          <w:sz w:val="20"/>
          <w:szCs w:val="20"/>
          <w:lang w:val="es-CR"/>
        </w:rPr>
        <w:fldChar w:fldCharType="end"/>
      </w:r>
    </w:p>
    <w:p w14:paraId="16347D09" w14:textId="43B7378F" w:rsidR="00B06955" w:rsidRDefault="00B06955" w:rsidP="00B06955">
      <w:pPr>
        <w:pStyle w:val="Prrafodelista"/>
        <w:numPr>
          <w:ilvl w:val="0"/>
          <w:numId w:val="6"/>
        </w:numPr>
        <w:spacing w:before="120" w:after="120"/>
        <w:jc w:val="both"/>
        <w:outlineLvl w:val="0"/>
        <w:rPr>
          <w:rFonts w:ascii="Verdana" w:hAnsi="Verdana"/>
          <w:b/>
          <w:i/>
          <w:sz w:val="20"/>
          <w:szCs w:val="20"/>
          <w:lang w:val="es-MX"/>
        </w:rPr>
      </w:pPr>
      <w:bookmarkStart w:id="2" w:name="_Toc1737132"/>
      <w:r w:rsidRPr="00B06955">
        <w:rPr>
          <w:rFonts w:ascii="Verdana" w:hAnsi="Verdana"/>
          <w:b/>
          <w:i/>
          <w:sz w:val="20"/>
          <w:szCs w:val="20"/>
          <w:lang w:val="es-MX"/>
        </w:rPr>
        <w:t xml:space="preserve">Garantizar el uso y goce, a través del saneamiento, de las tierras tradicionales </w:t>
      </w:r>
      <w:r w:rsidR="002E32DF">
        <w:rPr>
          <w:rFonts w:ascii="Verdana" w:hAnsi="Verdana"/>
          <w:b/>
          <w:i/>
          <w:sz w:val="20"/>
          <w:szCs w:val="20"/>
          <w:lang w:val="es-MX"/>
        </w:rPr>
        <w:t xml:space="preserve">tituladas a favor de </w:t>
      </w:r>
      <w:r w:rsidRPr="00B06955">
        <w:rPr>
          <w:rFonts w:ascii="Verdana" w:hAnsi="Verdana"/>
          <w:b/>
          <w:i/>
          <w:sz w:val="20"/>
          <w:szCs w:val="20"/>
          <w:lang w:val="es-MX"/>
        </w:rPr>
        <w:t>la Comunidad Garífuna de Punta Piedra</w:t>
      </w:r>
      <w:bookmarkEnd w:id="2"/>
    </w:p>
    <w:p w14:paraId="76AD7C30" w14:textId="77777777" w:rsidR="00A60C3F" w:rsidRPr="00D61607" w:rsidRDefault="00482518" w:rsidP="00D61607">
      <w:pPr>
        <w:pStyle w:val="Prrafodelista"/>
        <w:spacing w:before="120" w:after="120"/>
        <w:contextualSpacing w:val="0"/>
        <w:jc w:val="both"/>
        <w:rPr>
          <w:rFonts w:ascii="Verdana" w:hAnsi="Verdana"/>
          <w:i/>
          <w:sz w:val="20"/>
          <w:szCs w:val="20"/>
          <w:lang w:val="es-MX"/>
        </w:rPr>
      </w:pPr>
      <w:r>
        <w:rPr>
          <w:rFonts w:ascii="Verdana" w:hAnsi="Verdana"/>
          <w:b/>
          <w:i/>
          <w:sz w:val="20"/>
          <w:szCs w:val="20"/>
          <w:lang w:val="es-MX"/>
        </w:rPr>
        <w:br/>
      </w:r>
      <w:r w:rsidR="00A60C3F">
        <w:rPr>
          <w:rFonts w:ascii="Verdana" w:hAnsi="Verdana"/>
          <w:i/>
          <w:sz w:val="20"/>
          <w:szCs w:val="20"/>
          <w:lang w:val="es-MX"/>
        </w:rPr>
        <w:t>A</w:t>
      </w:r>
      <w:r w:rsidR="00A60C3F" w:rsidRPr="00B06955">
        <w:rPr>
          <w:rFonts w:ascii="Verdana" w:hAnsi="Verdana"/>
          <w:i/>
          <w:sz w:val="20"/>
          <w:szCs w:val="20"/>
          <w:lang w:val="es-MX"/>
        </w:rPr>
        <w:t xml:space="preserve">.1. Medida ordenada por la Corte </w:t>
      </w:r>
    </w:p>
    <w:p w14:paraId="788226EF" w14:textId="77777777" w:rsidR="001A0956" w:rsidRPr="006E265B" w:rsidRDefault="001A0956" w:rsidP="001A0956">
      <w:pPr>
        <w:pStyle w:val="Prrafodelista"/>
        <w:numPr>
          <w:ilvl w:val="0"/>
          <w:numId w:val="3"/>
        </w:numPr>
        <w:tabs>
          <w:tab w:val="left" w:pos="680"/>
        </w:tabs>
        <w:spacing w:before="60" w:after="60"/>
        <w:ind w:left="0" w:hanging="11"/>
        <w:contextualSpacing w:val="0"/>
        <w:jc w:val="both"/>
        <w:rPr>
          <w:rFonts w:ascii="Verdana" w:hAnsi="Verdana"/>
          <w:sz w:val="20"/>
          <w:szCs w:val="20"/>
          <w:lang w:val="es-MX"/>
        </w:rPr>
      </w:pPr>
      <w:bookmarkStart w:id="3" w:name="_Ref12522769"/>
      <w:r w:rsidRPr="00B06955">
        <w:rPr>
          <w:rFonts w:ascii="Verdana" w:hAnsi="Verdana"/>
          <w:sz w:val="20"/>
          <w:szCs w:val="20"/>
          <w:lang w:val="es-MX"/>
        </w:rPr>
        <w:t xml:space="preserve">En el punto resolutivo </w:t>
      </w:r>
      <w:r>
        <w:rPr>
          <w:rFonts w:ascii="Verdana" w:hAnsi="Verdana"/>
          <w:sz w:val="20"/>
          <w:szCs w:val="20"/>
          <w:lang w:val="es-MX"/>
        </w:rPr>
        <w:t>10</w:t>
      </w:r>
      <w:r w:rsidRPr="00B06955">
        <w:rPr>
          <w:rFonts w:ascii="Verdana" w:hAnsi="Verdana"/>
          <w:sz w:val="20"/>
          <w:szCs w:val="20"/>
          <w:lang w:val="es-MX"/>
        </w:rPr>
        <w:t xml:space="preserve"> y en los párrafos </w:t>
      </w:r>
      <w:r>
        <w:rPr>
          <w:rFonts w:ascii="Verdana" w:hAnsi="Verdana"/>
          <w:sz w:val="20"/>
          <w:szCs w:val="20"/>
          <w:lang w:val="es-MX"/>
        </w:rPr>
        <w:t>322 a 326</w:t>
      </w:r>
      <w:r w:rsidRPr="00B06955">
        <w:rPr>
          <w:rFonts w:ascii="Verdana" w:hAnsi="Verdana"/>
          <w:sz w:val="20"/>
          <w:szCs w:val="20"/>
          <w:lang w:val="es-MX"/>
        </w:rPr>
        <w:t xml:space="preserve"> de la Sentencia, la Corte dispuso que </w:t>
      </w:r>
      <w:r>
        <w:rPr>
          <w:rFonts w:ascii="Verdana" w:hAnsi="Verdana"/>
          <w:sz w:val="20"/>
          <w:szCs w:val="20"/>
          <w:lang w:val="es-MX"/>
        </w:rPr>
        <w:t>el Estado debía “[g]</w:t>
      </w:r>
      <w:proofErr w:type="spellStart"/>
      <w:r w:rsidRPr="00F74801">
        <w:rPr>
          <w:rFonts w:ascii="Verdana" w:hAnsi="Verdana"/>
          <w:sz w:val="20"/>
          <w:szCs w:val="20"/>
          <w:lang w:val="es-MX"/>
        </w:rPr>
        <w:t>arantizar</w:t>
      </w:r>
      <w:proofErr w:type="spellEnd"/>
      <w:r w:rsidRPr="00F74801">
        <w:rPr>
          <w:rFonts w:ascii="Verdana" w:hAnsi="Verdana"/>
          <w:sz w:val="20"/>
          <w:szCs w:val="20"/>
          <w:lang w:val="es-MX"/>
        </w:rPr>
        <w:t xml:space="preserve"> el uso y goce, a través </w:t>
      </w:r>
      <w:r>
        <w:rPr>
          <w:rFonts w:ascii="Verdana" w:hAnsi="Verdana"/>
          <w:sz w:val="20"/>
          <w:szCs w:val="20"/>
          <w:lang w:val="es-MX"/>
        </w:rPr>
        <w:t xml:space="preserve">del saneamiento, de las tierras </w:t>
      </w:r>
      <w:r w:rsidRPr="00F74801">
        <w:rPr>
          <w:rFonts w:ascii="Verdana" w:hAnsi="Verdana"/>
          <w:sz w:val="20"/>
          <w:szCs w:val="20"/>
          <w:lang w:val="es-MX"/>
        </w:rPr>
        <w:t>tradicionales que</w:t>
      </w:r>
      <w:r>
        <w:rPr>
          <w:rFonts w:ascii="Verdana" w:hAnsi="Verdana"/>
          <w:sz w:val="20"/>
          <w:szCs w:val="20"/>
          <w:lang w:val="es-MX"/>
        </w:rPr>
        <w:t xml:space="preserve"> </w:t>
      </w:r>
      <w:r w:rsidRPr="00F74801">
        <w:rPr>
          <w:rFonts w:ascii="Verdana" w:hAnsi="Verdana"/>
          <w:sz w:val="20"/>
          <w:szCs w:val="20"/>
          <w:lang w:val="es-MX"/>
        </w:rPr>
        <w:t>fueron tituladas por el Estado a favor de la Comunidad Garífuna de Punta Piedra,</w:t>
      </w:r>
      <w:r>
        <w:rPr>
          <w:rFonts w:ascii="Verdana" w:hAnsi="Verdana"/>
          <w:sz w:val="20"/>
          <w:szCs w:val="20"/>
          <w:lang w:val="es-MX"/>
        </w:rPr>
        <w:t xml:space="preserve"> </w:t>
      </w:r>
      <w:r w:rsidRPr="00F74801">
        <w:rPr>
          <w:rFonts w:ascii="Verdana" w:hAnsi="Verdana"/>
          <w:sz w:val="20"/>
          <w:szCs w:val="20"/>
          <w:lang w:val="es-MX"/>
        </w:rPr>
        <w:t>llevando a cabo dicha obligación de oficio y con extrema diligencia</w:t>
      </w:r>
      <w:r>
        <w:rPr>
          <w:rFonts w:ascii="Verdana" w:hAnsi="Verdana"/>
          <w:sz w:val="20"/>
          <w:szCs w:val="20"/>
          <w:lang w:val="es-MX"/>
        </w:rPr>
        <w:t>”</w:t>
      </w:r>
      <w:r w:rsidRPr="00F74801">
        <w:rPr>
          <w:rFonts w:ascii="Verdana" w:hAnsi="Verdana"/>
          <w:sz w:val="20"/>
          <w:szCs w:val="20"/>
          <w:lang w:val="es-MX"/>
        </w:rPr>
        <w:t xml:space="preserve">. </w:t>
      </w:r>
      <w:r>
        <w:rPr>
          <w:rFonts w:ascii="Verdana" w:hAnsi="Verdana"/>
          <w:sz w:val="20"/>
          <w:szCs w:val="20"/>
          <w:lang w:val="es-MX"/>
        </w:rPr>
        <w:t>Al respecto, precisó que el Estado debía “</w:t>
      </w:r>
      <w:r w:rsidRPr="006E265B">
        <w:rPr>
          <w:rFonts w:ascii="Verdana" w:hAnsi="Verdana"/>
          <w:sz w:val="20"/>
          <w:szCs w:val="20"/>
          <w:lang w:val="es-AR"/>
        </w:rPr>
        <w:t>remover cualquier tipo de obstáculo o interferencia sobre el territorio en cuestión</w:t>
      </w:r>
      <w:r>
        <w:rPr>
          <w:rFonts w:ascii="Verdana" w:hAnsi="Verdana"/>
          <w:sz w:val="20"/>
          <w:szCs w:val="20"/>
          <w:lang w:val="es-AR"/>
        </w:rPr>
        <w:t xml:space="preserve"> […] </w:t>
      </w:r>
      <w:r w:rsidRPr="006E265B">
        <w:rPr>
          <w:rFonts w:ascii="Verdana" w:hAnsi="Verdana"/>
          <w:sz w:val="20"/>
          <w:szCs w:val="20"/>
          <w:lang w:val="es-AR"/>
        </w:rPr>
        <w:t>a través de garantizar el dominio pleno y efectivo de los miembros de la Comunidad de Punta Piedra como legítimos propietarios, y de ser</w:t>
      </w:r>
      <w:r>
        <w:rPr>
          <w:rFonts w:ascii="Verdana" w:hAnsi="Verdana"/>
          <w:sz w:val="20"/>
          <w:szCs w:val="20"/>
          <w:lang w:val="es-AR"/>
        </w:rPr>
        <w:t xml:space="preserve"> </w:t>
      </w:r>
      <w:r w:rsidRPr="006E265B">
        <w:rPr>
          <w:rFonts w:ascii="Verdana" w:hAnsi="Verdana"/>
          <w:sz w:val="20"/>
          <w:szCs w:val="20"/>
          <w:lang w:val="es-AR"/>
        </w:rPr>
        <w:t>procedente y según lo acordado, mediante el pago de mejoras y la reubicación, con las debidas garantías, de los terceros ocupantes</w:t>
      </w:r>
      <w:r>
        <w:rPr>
          <w:rFonts w:ascii="Verdana" w:hAnsi="Verdana"/>
          <w:sz w:val="20"/>
          <w:szCs w:val="20"/>
          <w:lang w:val="es-AR"/>
        </w:rPr>
        <w:t>”. En particular, este Tribunal ordenó que el Estado debía realizar las siguientes acciones:</w:t>
      </w:r>
      <w:bookmarkEnd w:id="3"/>
    </w:p>
    <w:p w14:paraId="341C9570" w14:textId="77777777" w:rsidR="001A0956" w:rsidRPr="006E265B" w:rsidRDefault="001A0956" w:rsidP="001A0956">
      <w:pPr>
        <w:pStyle w:val="Prrafodelista"/>
        <w:tabs>
          <w:tab w:val="left" w:pos="680"/>
        </w:tabs>
        <w:spacing w:before="60" w:after="60"/>
        <w:ind w:left="850" w:right="619"/>
        <w:contextualSpacing w:val="0"/>
        <w:jc w:val="both"/>
        <w:rPr>
          <w:rFonts w:ascii="Verdana" w:hAnsi="Verdana"/>
          <w:sz w:val="18"/>
          <w:szCs w:val="20"/>
          <w:lang w:val="es-AR"/>
        </w:rPr>
      </w:pPr>
      <w:r w:rsidRPr="006E265B">
        <w:rPr>
          <w:rFonts w:ascii="Verdana" w:hAnsi="Verdana"/>
          <w:sz w:val="18"/>
          <w:szCs w:val="20"/>
          <w:lang w:val="es-AR"/>
        </w:rPr>
        <w:t xml:space="preserve">a) adoptar todas las medidas administrativas, legislativas, financieras y de recursos humanos necesarias para restituir de manera integral a la Comunidad de Punta Piedra su territorio titulado, garantizando su uso y goce pacífico de manera plena y efectiva, en el plazo no mayor a 30 meses, a partir de la notificación de la presente Sentencia. </w:t>
      </w:r>
    </w:p>
    <w:p w14:paraId="479DB1D8" w14:textId="77777777" w:rsidR="001A0956" w:rsidRPr="006E265B" w:rsidRDefault="001A0956" w:rsidP="001A0956">
      <w:pPr>
        <w:pStyle w:val="Prrafodelista"/>
        <w:tabs>
          <w:tab w:val="left" w:pos="680"/>
        </w:tabs>
        <w:spacing w:before="60" w:after="60"/>
        <w:ind w:left="850" w:right="619"/>
        <w:contextualSpacing w:val="0"/>
        <w:jc w:val="both"/>
        <w:rPr>
          <w:rFonts w:ascii="Verdana" w:hAnsi="Verdana"/>
          <w:sz w:val="18"/>
          <w:szCs w:val="20"/>
          <w:lang w:val="es-AR"/>
        </w:rPr>
      </w:pPr>
      <w:r w:rsidRPr="006E265B">
        <w:rPr>
          <w:rFonts w:ascii="Verdana" w:hAnsi="Verdana"/>
          <w:sz w:val="18"/>
          <w:szCs w:val="20"/>
          <w:lang w:val="es-AR"/>
        </w:rPr>
        <w:lastRenderedPageBreak/>
        <w:t xml:space="preserve">b) garantizar de manera inmediata y efectiva que el territorio que actualmente se encuentra en posesión de la Comunidad de Punta Piedra, no sufra ninguna intrusión, expansión adicional, interferencia o afectación de parte de terceros o agentes del Estado que pueda menoscabar la existencia, el valor, el uso o el goce de su territorio. </w:t>
      </w:r>
    </w:p>
    <w:p w14:paraId="42C35DD1" w14:textId="77777777" w:rsidR="003E4E90" w:rsidRDefault="001A0956" w:rsidP="001A0956">
      <w:pPr>
        <w:pStyle w:val="Prrafodelista"/>
        <w:tabs>
          <w:tab w:val="left" w:pos="680"/>
        </w:tabs>
        <w:spacing w:before="60" w:after="60"/>
        <w:ind w:left="850" w:right="619"/>
        <w:contextualSpacing w:val="0"/>
        <w:jc w:val="both"/>
        <w:rPr>
          <w:rFonts w:ascii="Verdana" w:hAnsi="Verdana"/>
          <w:sz w:val="18"/>
          <w:szCs w:val="20"/>
          <w:lang w:val="es-AR"/>
        </w:rPr>
      </w:pPr>
      <w:r w:rsidRPr="006E265B">
        <w:rPr>
          <w:rFonts w:ascii="Verdana" w:hAnsi="Verdana"/>
          <w:sz w:val="18"/>
          <w:szCs w:val="20"/>
          <w:lang w:val="es-AR"/>
        </w:rPr>
        <w:t xml:space="preserve">c) proceder con el pago de mejoras y la reubicación de los terceros pobladores con las debidas garantías, en el plazo no mayor a dos años posteriores a la notificación del presente Fallo. </w:t>
      </w:r>
    </w:p>
    <w:p w14:paraId="07BC823D" w14:textId="77777777" w:rsidR="00A60C3F" w:rsidRDefault="001A0956" w:rsidP="001A0956">
      <w:pPr>
        <w:pStyle w:val="Prrafodelista"/>
        <w:tabs>
          <w:tab w:val="left" w:pos="680"/>
        </w:tabs>
        <w:spacing w:before="60" w:after="60"/>
        <w:ind w:left="850" w:right="619"/>
        <w:contextualSpacing w:val="0"/>
        <w:jc w:val="both"/>
        <w:rPr>
          <w:rFonts w:ascii="Verdana" w:hAnsi="Verdana"/>
          <w:sz w:val="20"/>
          <w:szCs w:val="20"/>
          <w:lang w:val="es-MX"/>
        </w:rPr>
      </w:pPr>
      <w:r w:rsidRPr="006E265B">
        <w:rPr>
          <w:rFonts w:ascii="Verdana" w:hAnsi="Verdana"/>
          <w:sz w:val="18"/>
          <w:szCs w:val="20"/>
          <w:lang w:val="es-AR"/>
        </w:rPr>
        <w:t>d) en el supuesto que se acredite la existencia de títulos legítimos de propiedad en la Aldea de Río Miel, anteriores a la entrega del segundo título a la Comunidad de Punta Piedra, conforme a la jurisprudencia de la Corte, el Estado deberá valorar la posibilidad de su compra o la expropiación de esas tierras, por razones de utilidad pública o interés socia</w:t>
      </w:r>
      <w:r>
        <w:rPr>
          <w:rFonts w:ascii="Verdana" w:hAnsi="Verdana"/>
          <w:sz w:val="18"/>
          <w:szCs w:val="20"/>
          <w:lang w:val="es-AR"/>
        </w:rPr>
        <w:t>l.</w:t>
      </w:r>
      <w:r w:rsidR="00A60C3F" w:rsidRPr="00B06955">
        <w:rPr>
          <w:rFonts w:ascii="Verdana" w:hAnsi="Verdana"/>
          <w:sz w:val="20"/>
          <w:szCs w:val="20"/>
          <w:lang w:val="es-MX"/>
        </w:rPr>
        <w:t xml:space="preserve"> </w:t>
      </w:r>
    </w:p>
    <w:p w14:paraId="41CF20F2" w14:textId="37769C73" w:rsidR="00176B06" w:rsidRPr="00176B06" w:rsidRDefault="00176B06" w:rsidP="00176B06">
      <w:pPr>
        <w:pStyle w:val="Prrafodelista"/>
        <w:numPr>
          <w:ilvl w:val="0"/>
          <w:numId w:val="3"/>
        </w:numPr>
        <w:tabs>
          <w:tab w:val="left" w:pos="680"/>
        </w:tabs>
        <w:spacing w:before="60" w:after="60"/>
        <w:ind w:left="0" w:hanging="11"/>
        <w:contextualSpacing w:val="0"/>
        <w:jc w:val="both"/>
        <w:rPr>
          <w:rFonts w:ascii="Verdana" w:hAnsi="Verdana"/>
          <w:sz w:val="20"/>
          <w:szCs w:val="20"/>
          <w:lang w:val="es-AR"/>
        </w:rPr>
      </w:pPr>
      <w:bookmarkStart w:id="4" w:name="_Ref12522755"/>
      <w:r w:rsidRPr="00176B06">
        <w:rPr>
          <w:rFonts w:ascii="Verdana" w:hAnsi="Verdana"/>
          <w:sz w:val="20"/>
          <w:szCs w:val="20"/>
          <w:lang w:val="es-MX"/>
        </w:rPr>
        <w:t>Asimismo</w:t>
      </w:r>
      <w:r w:rsidRPr="00176B06">
        <w:rPr>
          <w:rFonts w:ascii="Verdana" w:hAnsi="Verdana"/>
          <w:sz w:val="20"/>
          <w:szCs w:val="20"/>
          <w:lang w:val="es-AR"/>
        </w:rPr>
        <w:t xml:space="preserve">, la Corte </w:t>
      </w:r>
      <w:r>
        <w:rPr>
          <w:rFonts w:ascii="Verdana" w:hAnsi="Verdana"/>
          <w:sz w:val="20"/>
          <w:szCs w:val="20"/>
          <w:lang w:val="es-AR"/>
        </w:rPr>
        <w:t>determinó que “[s]</w:t>
      </w:r>
      <w:r w:rsidRPr="00176B06">
        <w:rPr>
          <w:rFonts w:ascii="Verdana" w:hAnsi="Verdana"/>
          <w:sz w:val="20"/>
          <w:szCs w:val="20"/>
          <w:lang w:val="es-AR"/>
        </w:rPr>
        <w:t>i por moti</w:t>
      </w:r>
      <w:r>
        <w:rPr>
          <w:rFonts w:ascii="Verdana" w:hAnsi="Verdana"/>
          <w:sz w:val="20"/>
          <w:szCs w:val="20"/>
          <w:lang w:val="es-AR"/>
        </w:rPr>
        <w:t>vos objetivos y fundamentados</w:t>
      </w:r>
      <w:r w:rsidRPr="00176B06">
        <w:rPr>
          <w:rFonts w:ascii="Verdana" w:hAnsi="Verdana"/>
          <w:sz w:val="20"/>
          <w:szCs w:val="20"/>
          <w:lang w:val="es-AR"/>
        </w:rPr>
        <w:t xml:space="preserve"> se impidiera el reintegro total o parcial del territorio ocupado por terceros</w:t>
      </w:r>
      <w:r>
        <w:rPr>
          <w:rFonts w:ascii="Verdana" w:hAnsi="Verdana"/>
          <w:sz w:val="20"/>
          <w:szCs w:val="20"/>
          <w:lang w:val="es-AR"/>
        </w:rPr>
        <w:t>”, el Estado debía</w:t>
      </w:r>
      <w:r w:rsidRPr="00176B06">
        <w:rPr>
          <w:rFonts w:ascii="Verdana" w:hAnsi="Verdana"/>
          <w:sz w:val="20"/>
          <w:szCs w:val="20"/>
          <w:lang w:val="es-AR"/>
        </w:rPr>
        <w:t xml:space="preserve"> </w:t>
      </w:r>
      <w:r>
        <w:rPr>
          <w:rFonts w:ascii="Verdana" w:hAnsi="Verdana"/>
          <w:sz w:val="20"/>
          <w:szCs w:val="20"/>
          <w:lang w:val="es-AR"/>
        </w:rPr>
        <w:t>“</w:t>
      </w:r>
      <w:r w:rsidRPr="00176B06">
        <w:rPr>
          <w:rFonts w:ascii="Verdana" w:hAnsi="Verdana"/>
          <w:sz w:val="20"/>
          <w:szCs w:val="20"/>
          <w:lang w:val="es-AR"/>
        </w:rPr>
        <w:t>de manera excepcional, ofrecer a la Comunidad de Punta Piedra tierras alternativas, de la misma o mayor calidad física, las cuales deberán de ser contiguas a su territorio titulado, libre de cualquier vicio material o formal y debidamente tituladas en su favor</w:t>
      </w:r>
      <w:r>
        <w:rPr>
          <w:rFonts w:ascii="Verdana" w:hAnsi="Verdana"/>
          <w:sz w:val="20"/>
          <w:szCs w:val="20"/>
          <w:lang w:val="es-AR"/>
        </w:rPr>
        <w:t>”</w:t>
      </w:r>
      <w:r w:rsidRPr="00176B06">
        <w:rPr>
          <w:rFonts w:ascii="Verdana" w:hAnsi="Verdana"/>
          <w:sz w:val="20"/>
          <w:szCs w:val="20"/>
          <w:lang w:val="es-AR"/>
        </w:rPr>
        <w:t xml:space="preserve">. </w:t>
      </w:r>
      <w:r>
        <w:rPr>
          <w:rFonts w:ascii="Verdana" w:hAnsi="Verdana"/>
          <w:sz w:val="20"/>
          <w:szCs w:val="20"/>
          <w:lang w:val="es-AR"/>
        </w:rPr>
        <w:t>Dichas tierras debían ser “</w:t>
      </w:r>
      <w:r w:rsidRPr="00176B06">
        <w:rPr>
          <w:rFonts w:ascii="Verdana" w:hAnsi="Verdana"/>
          <w:sz w:val="20"/>
          <w:szCs w:val="20"/>
          <w:lang w:val="es-AR"/>
        </w:rPr>
        <w:t>electas de manera consensuada con la Comunidad de Punta Piedra, conforme a sus propias formas de consulta y decisió</w:t>
      </w:r>
      <w:r>
        <w:rPr>
          <w:rFonts w:ascii="Verdana" w:hAnsi="Verdana"/>
          <w:sz w:val="20"/>
          <w:szCs w:val="20"/>
          <w:lang w:val="es-AR"/>
        </w:rPr>
        <w:t>n, valores, usos y costumbres”</w:t>
      </w:r>
      <w:r w:rsidRPr="00176B06">
        <w:rPr>
          <w:rFonts w:ascii="Verdana" w:hAnsi="Verdana"/>
          <w:sz w:val="20"/>
          <w:szCs w:val="20"/>
          <w:lang w:val="es-AR"/>
        </w:rPr>
        <w:t xml:space="preserve">. </w:t>
      </w:r>
      <w:r>
        <w:rPr>
          <w:rFonts w:ascii="Verdana" w:hAnsi="Verdana"/>
          <w:sz w:val="20"/>
          <w:szCs w:val="20"/>
          <w:lang w:val="es-AR"/>
        </w:rPr>
        <w:t xml:space="preserve">Esta medida debía ser ejecutada en el plazo </w:t>
      </w:r>
      <w:r w:rsidRPr="00176B06">
        <w:rPr>
          <w:rFonts w:ascii="Verdana" w:hAnsi="Verdana"/>
          <w:sz w:val="20"/>
          <w:szCs w:val="20"/>
          <w:lang w:val="es-AR"/>
        </w:rPr>
        <w:t>de un año contado a partir de la notificación de voluntad de la Comunidad de Punta Piedra.</w:t>
      </w:r>
      <w:bookmarkEnd w:id="4"/>
      <w:r w:rsidRPr="00176B06">
        <w:rPr>
          <w:rFonts w:ascii="Verdana" w:hAnsi="Verdana"/>
          <w:sz w:val="20"/>
          <w:szCs w:val="20"/>
          <w:lang w:val="es-AR"/>
        </w:rPr>
        <w:t xml:space="preserve"> </w:t>
      </w:r>
    </w:p>
    <w:p w14:paraId="65DD1EAC" w14:textId="77777777" w:rsidR="00A60C3F" w:rsidRPr="00B06955" w:rsidRDefault="00A60C3F" w:rsidP="00A60C3F">
      <w:pPr>
        <w:pStyle w:val="Prrafodelista"/>
        <w:rPr>
          <w:rFonts w:ascii="Verdana" w:hAnsi="Verdana"/>
          <w:sz w:val="20"/>
          <w:szCs w:val="20"/>
          <w:lang w:val="es-MX"/>
        </w:rPr>
      </w:pPr>
    </w:p>
    <w:p w14:paraId="6EEE9562" w14:textId="77777777" w:rsidR="00281C11" w:rsidRPr="007D6457" w:rsidRDefault="00A60C3F" w:rsidP="007D6457">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A</w:t>
      </w:r>
      <w:r w:rsidRPr="00B06955">
        <w:rPr>
          <w:rFonts w:ascii="Verdana" w:hAnsi="Verdana"/>
          <w:i/>
          <w:sz w:val="20"/>
          <w:szCs w:val="20"/>
          <w:lang w:val="es-MX"/>
        </w:rPr>
        <w:t xml:space="preserve">.2. </w:t>
      </w:r>
      <w:r w:rsidR="00281C11">
        <w:rPr>
          <w:rFonts w:ascii="Verdana" w:hAnsi="Verdana"/>
          <w:i/>
          <w:sz w:val="20"/>
          <w:szCs w:val="20"/>
          <w:lang w:val="es-MX"/>
        </w:rPr>
        <w:t>Consideraciones de la Corte</w:t>
      </w:r>
      <w:r w:rsidRPr="00B06955">
        <w:rPr>
          <w:rFonts w:ascii="Verdana" w:hAnsi="Verdana"/>
          <w:i/>
          <w:sz w:val="20"/>
          <w:szCs w:val="20"/>
          <w:lang w:val="es-MX"/>
        </w:rPr>
        <w:t xml:space="preserve"> </w:t>
      </w:r>
      <w:r w:rsidR="001013B7">
        <w:rPr>
          <w:rFonts w:ascii="Verdana" w:hAnsi="Verdana"/>
          <w:sz w:val="20"/>
          <w:szCs w:val="20"/>
          <w:lang w:val="es-MX"/>
        </w:rPr>
        <w:t xml:space="preserve">                                                                                                                                                                                                                                                          </w:t>
      </w:r>
    </w:p>
    <w:p w14:paraId="51E5B5D4" w14:textId="4E02C20F" w:rsidR="00281C11" w:rsidRDefault="00925E42" w:rsidP="003D55FD">
      <w:pPr>
        <w:pStyle w:val="Prrafodelista"/>
        <w:numPr>
          <w:ilvl w:val="0"/>
          <w:numId w:val="3"/>
        </w:numPr>
        <w:tabs>
          <w:tab w:val="left" w:pos="680"/>
        </w:tabs>
        <w:spacing w:before="60" w:after="60"/>
        <w:ind w:left="0" w:hanging="11"/>
        <w:contextualSpacing w:val="0"/>
        <w:jc w:val="both"/>
        <w:rPr>
          <w:rFonts w:ascii="Verdana" w:hAnsi="Verdana"/>
          <w:sz w:val="20"/>
          <w:szCs w:val="20"/>
          <w:lang w:val="es-MX"/>
        </w:rPr>
      </w:pPr>
      <w:bookmarkStart w:id="5" w:name="_Ref12527014"/>
      <w:r>
        <w:rPr>
          <w:rFonts w:ascii="Verdana" w:hAnsi="Verdana"/>
          <w:sz w:val="20"/>
          <w:szCs w:val="20"/>
          <w:lang w:val="es-MX"/>
        </w:rPr>
        <w:t xml:space="preserve">A partir de la información </w:t>
      </w:r>
      <w:r w:rsidRPr="003D55FD">
        <w:rPr>
          <w:rFonts w:ascii="Verdana" w:hAnsi="Verdana"/>
          <w:sz w:val="20"/>
          <w:szCs w:val="20"/>
          <w:lang w:val="es-AR"/>
        </w:rPr>
        <w:t>aportada</w:t>
      </w:r>
      <w:r>
        <w:rPr>
          <w:rFonts w:ascii="Verdana" w:hAnsi="Verdana"/>
          <w:sz w:val="20"/>
          <w:szCs w:val="20"/>
          <w:lang w:val="es-MX"/>
        </w:rPr>
        <w:t xml:space="preserve"> por el Estado</w:t>
      </w:r>
      <w:r w:rsidR="00783249">
        <w:rPr>
          <w:rStyle w:val="Refdenotaalpie"/>
          <w:rFonts w:ascii="Verdana" w:hAnsi="Verdana"/>
          <w:sz w:val="20"/>
          <w:szCs w:val="20"/>
          <w:lang w:val="es-MX"/>
        </w:rPr>
        <w:footnoteReference w:id="11"/>
      </w:r>
      <w:r>
        <w:rPr>
          <w:rFonts w:ascii="Verdana" w:hAnsi="Verdana"/>
          <w:sz w:val="20"/>
          <w:szCs w:val="20"/>
          <w:lang w:val="es-MX"/>
        </w:rPr>
        <w:t xml:space="preserve"> y de las observaciones de los representantes y la Comisión, este Tribunal constata que </w:t>
      </w:r>
      <w:r w:rsidR="003D55FD">
        <w:rPr>
          <w:rFonts w:ascii="Verdana" w:hAnsi="Verdana"/>
          <w:sz w:val="20"/>
          <w:szCs w:val="20"/>
          <w:lang w:val="es-MX"/>
        </w:rPr>
        <w:t>Honduras</w:t>
      </w:r>
      <w:r>
        <w:rPr>
          <w:rFonts w:ascii="Verdana" w:hAnsi="Verdana"/>
          <w:sz w:val="20"/>
          <w:szCs w:val="20"/>
          <w:lang w:val="es-MX"/>
        </w:rPr>
        <w:t xml:space="preserve"> ha </w:t>
      </w:r>
      <w:r w:rsidR="00CF6CF8">
        <w:rPr>
          <w:rFonts w:ascii="Verdana" w:hAnsi="Verdana"/>
          <w:sz w:val="20"/>
          <w:szCs w:val="20"/>
          <w:lang w:val="es-MX"/>
        </w:rPr>
        <w:t>realizado</w:t>
      </w:r>
      <w:r>
        <w:rPr>
          <w:rFonts w:ascii="Verdana" w:hAnsi="Verdana"/>
          <w:sz w:val="20"/>
          <w:szCs w:val="20"/>
          <w:lang w:val="es-MX"/>
        </w:rPr>
        <w:t xml:space="preserve"> las siguientes </w:t>
      </w:r>
      <w:r w:rsidR="00CF6CF8">
        <w:rPr>
          <w:rFonts w:ascii="Verdana" w:hAnsi="Verdana"/>
          <w:sz w:val="20"/>
          <w:szCs w:val="20"/>
          <w:lang w:val="es-MX"/>
        </w:rPr>
        <w:t>acciones</w:t>
      </w:r>
      <w:r>
        <w:rPr>
          <w:rFonts w:ascii="Verdana" w:hAnsi="Verdana"/>
          <w:sz w:val="20"/>
          <w:szCs w:val="20"/>
          <w:lang w:val="es-MX"/>
        </w:rPr>
        <w:t>:</w:t>
      </w:r>
      <w:bookmarkEnd w:id="5"/>
    </w:p>
    <w:p w14:paraId="747D6F23" w14:textId="5968BBCA" w:rsidR="00925E42" w:rsidRPr="00CF6CF8" w:rsidRDefault="00925E42" w:rsidP="00925E42">
      <w:pPr>
        <w:pStyle w:val="Prrafodelista"/>
        <w:numPr>
          <w:ilvl w:val="0"/>
          <w:numId w:val="16"/>
        </w:numPr>
        <w:spacing w:before="120" w:after="0"/>
        <w:contextualSpacing w:val="0"/>
        <w:jc w:val="both"/>
        <w:rPr>
          <w:rFonts w:ascii="Verdana" w:hAnsi="Verdana"/>
          <w:sz w:val="20"/>
          <w:szCs w:val="20"/>
          <w:lang w:val="es-MX"/>
        </w:rPr>
      </w:pPr>
      <w:bookmarkStart w:id="6" w:name="_Ref12528095"/>
      <w:r>
        <w:rPr>
          <w:rFonts w:ascii="Verdana" w:hAnsi="Verdana"/>
          <w:sz w:val="20"/>
          <w:szCs w:val="20"/>
          <w:lang w:val="es-MX"/>
        </w:rPr>
        <w:t xml:space="preserve">El 20 de diciembre de 2016, </w:t>
      </w:r>
      <w:r w:rsidR="005604AE">
        <w:rPr>
          <w:rFonts w:ascii="Verdana" w:hAnsi="Verdana"/>
          <w:sz w:val="20"/>
          <w:szCs w:val="20"/>
          <w:lang w:val="es-MX"/>
        </w:rPr>
        <w:t xml:space="preserve">informó que </w:t>
      </w:r>
      <w:r>
        <w:rPr>
          <w:rFonts w:ascii="Verdana" w:hAnsi="Verdana"/>
          <w:sz w:val="20"/>
          <w:szCs w:val="20"/>
          <w:lang w:val="es-MX"/>
        </w:rPr>
        <w:t>mediante un Acuerdo Ejecutivo del Presidente de la República, creó una “</w:t>
      </w:r>
      <w:r w:rsidRPr="001A0956">
        <w:rPr>
          <w:rFonts w:ascii="Verdana" w:hAnsi="Verdana"/>
          <w:sz w:val="20"/>
          <w:szCs w:val="20"/>
          <w:lang w:val="es-CR"/>
        </w:rPr>
        <w:t>Comisión Interinstitucional para el Cumplimiento de las Sentencias Inter</w:t>
      </w:r>
      <w:r w:rsidR="003E4E90">
        <w:rPr>
          <w:rFonts w:ascii="Verdana" w:hAnsi="Verdana"/>
          <w:sz w:val="20"/>
          <w:szCs w:val="20"/>
          <w:lang w:val="es-CR"/>
        </w:rPr>
        <w:t>nacionales” (</w:t>
      </w:r>
      <w:r w:rsidR="003A761B">
        <w:rPr>
          <w:rFonts w:ascii="Verdana" w:hAnsi="Verdana"/>
          <w:sz w:val="20"/>
          <w:szCs w:val="20"/>
          <w:lang w:val="es-CR"/>
        </w:rPr>
        <w:t>en adelante, “</w:t>
      </w:r>
      <w:r w:rsidR="003E4E90">
        <w:rPr>
          <w:rFonts w:ascii="Verdana" w:hAnsi="Verdana"/>
          <w:sz w:val="20"/>
          <w:szCs w:val="20"/>
          <w:lang w:val="es-CR"/>
        </w:rPr>
        <w:t>CICSI</w:t>
      </w:r>
      <w:r w:rsidR="003A761B">
        <w:rPr>
          <w:rFonts w:ascii="Verdana" w:hAnsi="Verdana"/>
          <w:sz w:val="20"/>
          <w:szCs w:val="20"/>
          <w:lang w:val="es-CR"/>
        </w:rPr>
        <w:t>” o “Comisión Interinstitucional”</w:t>
      </w:r>
      <w:r w:rsidR="003E4E90">
        <w:rPr>
          <w:rFonts w:ascii="Verdana" w:hAnsi="Verdana"/>
          <w:sz w:val="20"/>
          <w:szCs w:val="20"/>
          <w:lang w:val="es-CR"/>
        </w:rPr>
        <w:t xml:space="preserve">)  emitidas por esta Corte en los casos </w:t>
      </w:r>
      <w:r w:rsidR="003E4E90" w:rsidRPr="003E4E90">
        <w:rPr>
          <w:rFonts w:ascii="Verdana" w:hAnsi="Verdana"/>
          <w:i/>
          <w:sz w:val="20"/>
          <w:szCs w:val="20"/>
          <w:lang w:val="es-CR"/>
        </w:rPr>
        <w:t>Comunidad Garífuna Triunfo de la Cruz y sus miembros Vs. Honduras</w:t>
      </w:r>
      <w:r w:rsidR="003E4E90">
        <w:rPr>
          <w:rFonts w:ascii="Verdana" w:hAnsi="Verdana"/>
          <w:sz w:val="20"/>
          <w:szCs w:val="20"/>
          <w:lang w:val="es-CR"/>
        </w:rPr>
        <w:t xml:space="preserve"> y </w:t>
      </w:r>
      <w:r w:rsidR="003E4E90" w:rsidRPr="003E4E90">
        <w:rPr>
          <w:rFonts w:ascii="Verdana" w:hAnsi="Verdana"/>
          <w:i/>
          <w:sz w:val="20"/>
          <w:szCs w:val="20"/>
          <w:lang w:val="es-CR"/>
        </w:rPr>
        <w:t>Comunidad Garífuna de Punta Piedra y sus miembros Vs. Honduras</w:t>
      </w:r>
      <w:r w:rsidR="00742030">
        <w:rPr>
          <w:rFonts w:ascii="Verdana" w:hAnsi="Verdana"/>
          <w:sz w:val="20"/>
          <w:szCs w:val="20"/>
          <w:lang w:val="es-CR"/>
        </w:rPr>
        <w:t xml:space="preserve"> (</w:t>
      </w:r>
      <w:r w:rsidR="00742030">
        <w:rPr>
          <w:rFonts w:ascii="Verdana" w:hAnsi="Verdana"/>
          <w:i/>
          <w:sz w:val="20"/>
          <w:szCs w:val="20"/>
          <w:lang w:val="es-CR"/>
        </w:rPr>
        <w:t xml:space="preserve">infra </w:t>
      </w:r>
      <w:r w:rsidR="00742030">
        <w:rPr>
          <w:rFonts w:ascii="Verdana" w:hAnsi="Verdana"/>
          <w:sz w:val="20"/>
          <w:szCs w:val="20"/>
          <w:lang w:val="es-CR"/>
        </w:rPr>
        <w:t xml:space="preserve">Considerandos </w:t>
      </w:r>
      <w:r w:rsidR="003A761B">
        <w:rPr>
          <w:rFonts w:ascii="Verdana" w:hAnsi="Verdana"/>
          <w:sz w:val="20"/>
          <w:szCs w:val="20"/>
          <w:lang w:val="es-CR"/>
        </w:rPr>
        <w:fldChar w:fldCharType="begin"/>
      </w:r>
      <w:r w:rsidR="003A761B">
        <w:rPr>
          <w:rFonts w:ascii="Verdana" w:hAnsi="Verdana"/>
          <w:sz w:val="20"/>
          <w:szCs w:val="20"/>
          <w:lang w:val="es-CR"/>
        </w:rPr>
        <w:instrText xml:space="preserve"> REF _Ref12457398 \r \h </w:instrText>
      </w:r>
      <w:r w:rsidR="003A761B">
        <w:rPr>
          <w:rFonts w:ascii="Verdana" w:hAnsi="Verdana"/>
          <w:sz w:val="20"/>
          <w:szCs w:val="20"/>
          <w:lang w:val="es-CR"/>
        </w:rPr>
      </w:r>
      <w:r w:rsidR="003A761B">
        <w:rPr>
          <w:rFonts w:ascii="Verdana" w:hAnsi="Verdana"/>
          <w:sz w:val="20"/>
          <w:szCs w:val="20"/>
          <w:lang w:val="es-CR"/>
        </w:rPr>
        <w:fldChar w:fldCharType="separate"/>
      </w:r>
      <w:r w:rsidR="00D11D5D">
        <w:rPr>
          <w:rFonts w:ascii="Verdana" w:hAnsi="Verdana"/>
          <w:sz w:val="20"/>
          <w:szCs w:val="20"/>
          <w:lang w:val="es-CR"/>
        </w:rPr>
        <w:t>26</w:t>
      </w:r>
      <w:r w:rsidR="003A761B">
        <w:rPr>
          <w:rFonts w:ascii="Verdana" w:hAnsi="Verdana"/>
          <w:sz w:val="20"/>
          <w:szCs w:val="20"/>
          <w:lang w:val="es-CR"/>
        </w:rPr>
        <w:fldChar w:fldCharType="end"/>
      </w:r>
      <w:r w:rsidR="005604AE">
        <w:rPr>
          <w:rFonts w:ascii="Verdana" w:hAnsi="Verdana"/>
          <w:sz w:val="20"/>
          <w:szCs w:val="20"/>
          <w:lang w:val="es-CR"/>
        </w:rPr>
        <w:t xml:space="preserve"> y</w:t>
      </w:r>
      <w:r w:rsidR="003A761B">
        <w:rPr>
          <w:rFonts w:ascii="Verdana" w:hAnsi="Verdana"/>
          <w:sz w:val="20"/>
          <w:szCs w:val="20"/>
          <w:lang w:val="es-CR"/>
        </w:rPr>
        <w:t xml:space="preserve"> </w:t>
      </w:r>
      <w:r w:rsidR="003A761B">
        <w:rPr>
          <w:rFonts w:ascii="Verdana" w:hAnsi="Verdana"/>
          <w:sz w:val="20"/>
          <w:szCs w:val="20"/>
          <w:lang w:val="es-CR"/>
        </w:rPr>
        <w:fldChar w:fldCharType="begin"/>
      </w:r>
      <w:r w:rsidR="003A761B">
        <w:rPr>
          <w:rFonts w:ascii="Verdana" w:hAnsi="Verdana"/>
          <w:sz w:val="20"/>
          <w:szCs w:val="20"/>
          <w:lang w:val="es-CR"/>
        </w:rPr>
        <w:instrText xml:space="preserve"> REF _Ref12457414 \r \h </w:instrText>
      </w:r>
      <w:r w:rsidR="003A761B">
        <w:rPr>
          <w:rFonts w:ascii="Verdana" w:hAnsi="Verdana"/>
          <w:sz w:val="20"/>
          <w:szCs w:val="20"/>
          <w:lang w:val="es-CR"/>
        </w:rPr>
      </w:r>
      <w:r w:rsidR="003A761B">
        <w:rPr>
          <w:rFonts w:ascii="Verdana" w:hAnsi="Verdana"/>
          <w:sz w:val="20"/>
          <w:szCs w:val="20"/>
          <w:lang w:val="es-CR"/>
        </w:rPr>
        <w:fldChar w:fldCharType="separate"/>
      </w:r>
      <w:r w:rsidR="00D11D5D">
        <w:rPr>
          <w:rFonts w:ascii="Verdana" w:hAnsi="Verdana"/>
          <w:sz w:val="20"/>
          <w:szCs w:val="20"/>
          <w:lang w:val="es-CR"/>
        </w:rPr>
        <w:t>27</w:t>
      </w:r>
      <w:r w:rsidR="003A761B">
        <w:rPr>
          <w:rFonts w:ascii="Verdana" w:hAnsi="Verdana"/>
          <w:sz w:val="20"/>
          <w:szCs w:val="20"/>
          <w:lang w:val="es-CR"/>
        </w:rPr>
        <w:fldChar w:fldCharType="end"/>
      </w:r>
      <w:r w:rsidR="00742030">
        <w:rPr>
          <w:rFonts w:ascii="Verdana" w:hAnsi="Verdana"/>
          <w:sz w:val="20"/>
          <w:szCs w:val="20"/>
          <w:lang w:val="es-CR"/>
        </w:rPr>
        <w:t>)</w:t>
      </w:r>
      <w:r w:rsidR="00193F1B" w:rsidRPr="0004740A">
        <w:rPr>
          <w:rFonts w:ascii="Verdana" w:hAnsi="Verdana"/>
          <w:sz w:val="20"/>
          <w:szCs w:val="20"/>
          <w:lang w:val="es-CR"/>
        </w:rPr>
        <w:t>.</w:t>
      </w:r>
      <w:bookmarkEnd w:id="6"/>
    </w:p>
    <w:p w14:paraId="0B1D8BDA" w14:textId="518E2FF9" w:rsidR="0004740A" w:rsidRPr="00925E42" w:rsidRDefault="00CF6CF8" w:rsidP="0004740A">
      <w:pPr>
        <w:pStyle w:val="Prrafodelista"/>
        <w:numPr>
          <w:ilvl w:val="0"/>
          <w:numId w:val="16"/>
        </w:numPr>
        <w:spacing w:before="120" w:after="0"/>
        <w:contextualSpacing w:val="0"/>
        <w:jc w:val="both"/>
        <w:rPr>
          <w:rFonts w:ascii="Verdana" w:hAnsi="Verdana"/>
          <w:sz w:val="20"/>
          <w:szCs w:val="20"/>
          <w:lang w:val="es-MX"/>
        </w:rPr>
      </w:pPr>
      <w:r>
        <w:rPr>
          <w:rFonts w:ascii="Verdana" w:hAnsi="Verdana"/>
          <w:sz w:val="20"/>
          <w:szCs w:val="20"/>
          <w:lang w:val="es-CR"/>
        </w:rPr>
        <w:t xml:space="preserve">En mayo de 2017, la </w:t>
      </w:r>
      <w:r w:rsidR="003A761B">
        <w:rPr>
          <w:rFonts w:ascii="Verdana" w:hAnsi="Verdana"/>
          <w:sz w:val="20"/>
          <w:szCs w:val="20"/>
          <w:lang w:val="es-CR"/>
        </w:rPr>
        <w:t>Comisión Interinstitucional</w:t>
      </w:r>
      <w:r>
        <w:rPr>
          <w:rFonts w:ascii="Verdana" w:hAnsi="Verdana"/>
          <w:sz w:val="20"/>
          <w:szCs w:val="20"/>
          <w:lang w:val="es-CR"/>
        </w:rPr>
        <w:t xml:space="preserve"> se reunió con los miembros de la Comunidad de Punta Piedra y sus representantes a los fines de presentar una “primera propuesta de plan de trabajo desarrollada en la primera Reunión Ordinaria de la CICSI”, producto de la cual se obtuvo un cronograma d</w:t>
      </w:r>
      <w:r w:rsidR="007F6E0A">
        <w:rPr>
          <w:rFonts w:ascii="Verdana" w:hAnsi="Verdana"/>
          <w:sz w:val="20"/>
          <w:szCs w:val="20"/>
          <w:lang w:val="es-CR"/>
        </w:rPr>
        <w:t>e actividades para el año 2017.</w:t>
      </w:r>
      <w:r>
        <w:rPr>
          <w:rFonts w:ascii="Verdana" w:hAnsi="Verdana"/>
          <w:b/>
          <w:sz w:val="20"/>
          <w:szCs w:val="20"/>
          <w:lang w:val="es-CR"/>
        </w:rPr>
        <w:t xml:space="preserve"> </w:t>
      </w:r>
      <w:r w:rsidR="0004740A">
        <w:rPr>
          <w:rFonts w:ascii="Verdana" w:hAnsi="Verdana"/>
          <w:sz w:val="20"/>
          <w:szCs w:val="20"/>
          <w:lang w:val="es-CR"/>
        </w:rPr>
        <w:t xml:space="preserve">En diciembre de 2017, el Estado presentó ante esta Corte “un nuevo Plan de Trabajo con proyección al 2018”. Finalmente, </w:t>
      </w:r>
      <w:r w:rsidR="0004740A" w:rsidRPr="0004740A">
        <w:rPr>
          <w:rFonts w:ascii="Verdana" w:hAnsi="Verdana"/>
          <w:sz w:val="20"/>
          <w:szCs w:val="20"/>
          <w:lang w:val="es-CR"/>
        </w:rPr>
        <w:t>en la audiencia privada celebrada el 29 de noviembre de 2018, el Estado informó que había desarrollado un nuevo plan de trabajo con pro</w:t>
      </w:r>
      <w:r w:rsidR="00D158D1">
        <w:rPr>
          <w:rFonts w:ascii="Verdana" w:hAnsi="Verdana"/>
          <w:sz w:val="20"/>
          <w:szCs w:val="20"/>
          <w:lang w:val="es-CR"/>
        </w:rPr>
        <w:t>y</w:t>
      </w:r>
      <w:r w:rsidR="0004740A" w:rsidRPr="0004740A">
        <w:rPr>
          <w:rFonts w:ascii="Verdana" w:hAnsi="Verdana"/>
          <w:sz w:val="20"/>
          <w:szCs w:val="20"/>
          <w:lang w:val="es-CR"/>
        </w:rPr>
        <w:t>ección hasta el año 2020, mismo que no ha podido cumplirse de manera integral”</w:t>
      </w:r>
      <w:r w:rsidR="007F6E0A">
        <w:rPr>
          <w:rFonts w:ascii="Verdana" w:hAnsi="Verdana"/>
          <w:sz w:val="20"/>
          <w:szCs w:val="20"/>
          <w:lang w:val="es-CR"/>
        </w:rPr>
        <w:t>.</w:t>
      </w:r>
    </w:p>
    <w:p w14:paraId="272C1942" w14:textId="29BA5840" w:rsidR="005761B7" w:rsidRPr="00F566A4" w:rsidRDefault="00F566A4" w:rsidP="00F566A4">
      <w:pPr>
        <w:pStyle w:val="Prrafodelista"/>
        <w:numPr>
          <w:ilvl w:val="0"/>
          <w:numId w:val="16"/>
        </w:numPr>
        <w:spacing w:before="120" w:after="0"/>
        <w:contextualSpacing w:val="0"/>
        <w:jc w:val="both"/>
        <w:rPr>
          <w:rFonts w:ascii="Verdana" w:hAnsi="Verdana"/>
          <w:sz w:val="20"/>
          <w:szCs w:val="20"/>
          <w:lang w:val="es-MX"/>
        </w:rPr>
      </w:pPr>
      <w:r>
        <w:rPr>
          <w:rFonts w:ascii="Verdana" w:hAnsi="Verdana"/>
          <w:sz w:val="20"/>
          <w:szCs w:val="20"/>
          <w:lang w:val="es-MX"/>
        </w:rPr>
        <w:lastRenderedPageBreak/>
        <w:t>Paralelamente, e</w:t>
      </w:r>
      <w:r w:rsidR="00D679CE" w:rsidRPr="00D679CE">
        <w:rPr>
          <w:rFonts w:ascii="Verdana" w:hAnsi="Verdana"/>
          <w:sz w:val="20"/>
          <w:szCs w:val="20"/>
          <w:lang w:val="es-MX"/>
        </w:rPr>
        <w:t xml:space="preserve">n mayo de 2017, la CICSI se reunió </w:t>
      </w:r>
      <w:r w:rsidR="00CF6CF8" w:rsidRPr="00D679CE">
        <w:rPr>
          <w:rFonts w:ascii="Verdana" w:hAnsi="Verdana"/>
          <w:sz w:val="20"/>
          <w:szCs w:val="20"/>
          <w:lang w:val="es-CR"/>
        </w:rPr>
        <w:t>con los poblador</w:t>
      </w:r>
      <w:r w:rsidR="00106F18">
        <w:rPr>
          <w:rFonts w:ascii="Verdana" w:hAnsi="Verdana"/>
          <w:sz w:val="20"/>
          <w:szCs w:val="20"/>
          <w:lang w:val="es-CR"/>
        </w:rPr>
        <w:t>es de la c</w:t>
      </w:r>
      <w:r>
        <w:rPr>
          <w:rFonts w:ascii="Verdana" w:hAnsi="Verdana"/>
          <w:sz w:val="20"/>
          <w:szCs w:val="20"/>
          <w:lang w:val="es-CR"/>
        </w:rPr>
        <w:t>omunidad de Río Miel, donde</w:t>
      </w:r>
      <w:r w:rsidR="00D679CE" w:rsidRPr="00D679CE">
        <w:rPr>
          <w:rFonts w:ascii="Verdana" w:hAnsi="Verdana"/>
          <w:sz w:val="20"/>
          <w:szCs w:val="20"/>
          <w:lang w:val="es-CR"/>
        </w:rPr>
        <w:t xml:space="preserve"> acordaron</w:t>
      </w:r>
      <w:r w:rsidR="00CF6CF8" w:rsidRPr="00D679CE">
        <w:rPr>
          <w:rFonts w:ascii="Verdana" w:hAnsi="Verdana"/>
          <w:sz w:val="20"/>
          <w:szCs w:val="20"/>
          <w:lang w:val="es-CR"/>
        </w:rPr>
        <w:t xml:space="preserve"> la “formación de una comisión de delegados de la Comunidad de Río Miel”, quienes “expresaron nuevamente su n</w:t>
      </w:r>
      <w:r w:rsidR="00EF6907">
        <w:rPr>
          <w:rFonts w:ascii="Verdana" w:hAnsi="Verdana"/>
          <w:sz w:val="20"/>
          <w:szCs w:val="20"/>
          <w:lang w:val="es-CR"/>
        </w:rPr>
        <w:t>egativa a dejar [las] tierras”.</w:t>
      </w:r>
      <w:r w:rsidR="00D679CE" w:rsidRPr="00D679CE">
        <w:rPr>
          <w:rFonts w:ascii="Verdana" w:hAnsi="Verdana"/>
          <w:b/>
          <w:sz w:val="20"/>
          <w:szCs w:val="20"/>
          <w:lang w:val="es-CR"/>
        </w:rPr>
        <w:t xml:space="preserve"> </w:t>
      </w:r>
      <w:r w:rsidR="005761B7" w:rsidRPr="00F566A4">
        <w:rPr>
          <w:rFonts w:ascii="Verdana" w:hAnsi="Verdana"/>
          <w:sz w:val="20"/>
          <w:szCs w:val="20"/>
          <w:lang w:val="es-CR"/>
        </w:rPr>
        <w:t xml:space="preserve">En julio de 2017 el Estado se reunió con </w:t>
      </w:r>
      <w:r>
        <w:rPr>
          <w:rFonts w:ascii="Verdana" w:hAnsi="Verdana"/>
          <w:sz w:val="20"/>
          <w:szCs w:val="20"/>
          <w:lang w:val="es-CR"/>
        </w:rPr>
        <w:t>dichos</w:t>
      </w:r>
      <w:r w:rsidR="005761B7" w:rsidRPr="00F566A4">
        <w:rPr>
          <w:rFonts w:ascii="Verdana" w:hAnsi="Verdana"/>
          <w:sz w:val="20"/>
          <w:szCs w:val="20"/>
          <w:lang w:val="es-CR"/>
        </w:rPr>
        <w:t xml:space="preserve"> líderes a los fines de comunicarles que peritos del Instituto Nacional Agrario</w:t>
      </w:r>
      <w:r w:rsidR="00CF5BD1" w:rsidRPr="00F566A4">
        <w:rPr>
          <w:rFonts w:ascii="Verdana" w:hAnsi="Verdana"/>
          <w:sz w:val="20"/>
          <w:szCs w:val="20"/>
          <w:lang w:val="es-CR"/>
        </w:rPr>
        <w:t xml:space="preserve"> iniciarían las tareas de valoración de mejoras, </w:t>
      </w:r>
      <w:r>
        <w:rPr>
          <w:rFonts w:ascii="Verdana" w:hAnsi="Verdana"/>
          <w:sz w:val="20"/>
          <w:szCs w:val="20"/>
          <w:lang w:val="es-CR"/>
        </w:rPr>
        <w:t xml:space="preserve">a lo cual </w:t>
      </w:r>
      <w:r w:rsidR="00A5091E">
        <w:rPr>
          <w:rFonts w:ascii="Verdana" w:hAnsi="Verdana"/>
          <w:sz w:val="20"/>
          <w:szCs w:val="20"/>
          <w:lang w:val="es-CR"/>
        </w:rPr>
        <w:t>la</w:t>
      </w:r>
      <w:r>
        <w:rPr>
          <w:rFonts w:ascii="Verdana" w:hAnsi="Verdana"/>
          <w:sz w:val="20"/>
          <w:szCs w:val="20"/>
          <w:lang w:val="es-CR"/>
        </w:rPr>
        <w:t xml:space="preserve"> Comunidad se negó.</w:t>
      </w:r>
      <w:r w:rsidR="00CF5BD1" w:rsidRPr="00F566A4">
        <w:rPr>
          <w:rFonts w:ascii="Verdana" w:hAnsi="Verdana"/>
          <w:sz w:val="20"/>
          <w:szCs w:val="20"/>
          <w:lang w:val="es-CR"/>
        </w:rPr>
        <w:t xml:space="preserve"> El Estado ha informado en varias ocasiones que no ha sido posible realizar dicho avalúo </w:t>
      </w:r>
      <w:r w:rsidR="00CF5BD1" w:rsidRPr="00F566A4">
        <w:rPr>
          <w:rFonts w:ascii="Verdana" w:hAnsi="Verdana" w:cs="TrebuchetMS"/>
          <w:sz w:val="20"/>
          <w:szCs w:val="20"/>
          <w:lang w:val="es-AR"/>
        </w:rPr>
        <w:t xml:space="preserve">en tanto </w:t>
      </w:r>
      <w:r w:rsidR="00CF5BD1" w:rsidRPr="00F566A4">
        <w:rPr>
          <w:rFonts w:ascii="Verdana" w:hAnsi="Verdana"/>
          <w:sz w:val="20"/>
          <w:szCs w:val="20"/>
          <w:lang w:val="es-MX"/>
        </w:rPr>
        <w:t xml:space="preserve">los pobladores </w:t>
      </w:r>
      <w:r w:rsidR="00424023">
        <w:rPr>
          <w:rFonts w:ascii="Verdana" w:hAnsi="Verdana"/>
          <w:sz w:val="20"/>
          <w:szCs w:val="20"/>
          <w:lang w:val="es-MX"/>
        </w:rPr>
        <w:t>tenían</w:t>
      </w:r>
      <w:r w:rsidR="00CF5BD1" w:rsidRPr="00F566A4">
        <w:rPr>
          <w:rFonts w:ascii="Verdana" w:hAnsi="Verdana"/>
          <w:sz w:val="20"/>
          <w:szCs w:val="20"/>
          <w:lang w:val="es-MX"/>
        </w:rPr>
        <w:t xml:space="preserve"> una “actitud hostil” que no había permitido “el ingreso pacífico de los técnicos del Instituto Nacional Agra</w:t>
      </w:r>
      <w:r w:rsidR="00424023">
        <w:rPr>
          <w:rFonts w:ascii="Verdana" w:hAnsi="Verdana"/>
          <w:sz w:val="20"/>
          <w:szCs w:val="20"/>
          <w:lang w:val="es-MX"/>
        </w:rPr>
        <w:t>rio para que realicen su labor”</w:t>
      </w:r>
      <w:r w:rsidR="00CF5BD1" w:rsidRPr="00F566A4">
        <w:rPr>
          <w:rFonts w:ascii="Verdana" w:hAnsi="Verdana"/>
          <w:sz w:val="20"/>
          <w:szCs w:val="20"/>
          <w:lang w:val="es-MX"/>
        </w:rPr>
        <w:t xml:space="preserve"> </w:t>
      </w:r>
      <w:r w:rsidR="00742030">
        <w:rPr>
          <w:rFonts w:ascii="Verdana" w:hAnsi="Verdana"/>
          <w:sz w:val="20"/>
          <w:szCs w:val="20"/>
          <w:lang w:val="es-MX"/>
        </w:rPr>
        <w:t>sin ponerl</w:t>
      </w:r>
      <w:r w:rsidR="00424023">
        <w:rPr>
          <w:rFonts w:ascii="Verdana" w:hAnsi="Verdana"/>
          <w:sz w:val="20"/>
          <w:szCs w:val="20"/>
          <w:lang w:val="es-MX"/>
        </w:rPr>
        <w:t>os en peligro</w:t>
      </w:r>
      <w:r w:rsidR="00424023">
        <w:rPr>
          <w:rStyle w:val="Refdenotaalpie"/>
          <w:rFonts w:ascii="Verdana" w:hAnsi="Verdana"/>
          <w:sz w:val="20"/>
          <w:szCs w:val="20"/>
          <w:lang w:val="es-MX"/>
        </w:rPr>
        <w:footnoteReference w:id="12"/>
      </w:r>
      <w:r w:rsidR="00825C6C">
        <w:rPr>
          <w:rFonts w:ascii="Verdana" w:hAnsi="Verdana"/>
          <w:sz w:val="20"/>
          <w:szCs w:val="20"/>
          <w:lang w:val="es-MX"/>
        </w:rPr>
        <w:t>.</w:t>
      </w:r>
    </w:p>
    <w:p w14:paraId="078AE0AC" w14:textId="17EA1ECE" w:rsidR="0004740A" w:rsidRPr="002B7C0D" w:rsidRDefault="0004740A" w:rsidP="00B37944">
      <w:pPr>
        <w:pStyle w:val="Prrafodelista"/>
        <w:numPr>
          <w:ilvl w:val="0"/>
          <w:numId w:val="16"/>
        </w:numPr>
        <w:spacing w:before="120" w:after="0"/>
        <w:contextualSpacing w:val="0"/>
        <w:jc w:val="both"/>
        <w:rPr>
          <w:rFonts w:ascii="Verdana" w:hAnsi="Verdana"/>
          <w:sz w:val="20"/>
          <w:szCs w:val="20"/>
          <w:lang w:val="es-MX"/>
        </w:rPr>
      </w:pPr>
      <w:bookmarkStart w:id="7" w:name="_Ref12527032"/>
      <w:r w:rsidRPr="002B7C0D">
        <w:rPr>
          <w:rFonts w:ascii="Verdana" w:hAnsi="Verdana"/>
          <w:sz w:val="20"/>
          <w:szCs w:val="20"/>
          <w:lang w:val="es-CR"/>
        </w:rPr>
        <w:t>En febrero de 2018, el Estado informó que la CICSI le había</w:t>
      </w:r>
      <w:r w:rsidR="00106F18">
        <w:rPr>
          <w:rFonts w:ascii="Verdana" w:hAnsi="Verdana"/>
          <w:sz w:val="20"/>
          <w:szCs w:val="20"/>
          <w:lang w:val="es-CR"/>
        </w:rPr>
        <w:t xml:space="preserve"> solicitado al Patronato de la c</w:t>
      </w:r>
      <w:r w:rsidRPr="002B7C0D">
        <w:rPr>
          <w:rFonts w:ascii="Verdana" w:hAnsi="Verdana"/>
          <w:sz w:val="20"/>
          <w:szCs w:val="20"/>
          <w:lang w:val="es-CR"/>
        </w:rPr>
        <w:t xml:space="preserve">omunidad de Río Miel “el </w:t>
      </w:r>
      <w:r w:rsidRPr="002B7C0D">
        <w:rPr>
          <w:rFonts w:ascii="Verdana" w:hAnsi="Verdana"/>
          <w:sz w:val="20"/>
          <w:szCs w:val="20"/>
          <w:lang w:val="es-MX"/>
        </w:rPr>
        <w:t>nombramiento</w:t>
      </w:r>
      <w:r w:rsidRPr="002B7C0D">
        <w:rPr>
          <w:rFonts w:ascii="Verdana" w:hAnsi="Verdana"/>
          <w:sz w:val="20"/>
          <w:szCs w:val="20"/>
          <w:lang w:val="es-CR"/>
        </w:rPr>
        <w:t xml:space="preserve"> de un apoderado legal con el objeto de que formalicen su oposición a su reasentamiento […] tomando en consideración […] que alegan tener títulos de propiedad aunado al fuerte arraigo que manifiestan tener sobre estas tierras”. </w:t>
      </w:r>
      <w:r w:rsidR="00742030" w:rsidRPr="002B7C0D">
        <w:rPr>
          <w:rFonts w:ascii="Verdana" w:hAnsi="Verdana"/>
          <w:sz w:val="20"/>
          <w:szCs w:val="20"/>
          <w:lang w:val="es-CR"/>
        </w:rPr>
        <w:t xml:space="preserve">Con respecto a este punto, el Estado aportó “escrituras públicas de compraventa otorgadas en su mayoría por la Alcaldía Municipal de </w:t>
      </w:r>
      <w:proofErr w:type="spellStart"/>
      <w:r w:rsidR="00742030" w:rsidRPr="002B7C0D">
        <w:rPr>
          <w:rFonts w:ascii="Verdana" w:hAnsi="Verdana"/>
          <w:sz w:val="20"/>
          <w:szCs w:val="20"/>
          <w:lang w:val="es-CR"/>
        </w:rPr>
        <w:t>Iriona</w:t>
      </w:r>
      <w:proofErr w:type="spellEnd"/>
      <w:r w:rsidR="00742030" w:rsidRPr="002B7C0D">
        <w:rPr>
          <w:rFonts w:ascii="Verdana" w:hAnsi="Verdana"/>
          <w:sz w:val="20"/>
          <w:szCs w:val="20"/>
          <w:lang w:val="es-CR"/>
        </w:rPr>
        <w:t xml:space="preserve">” y “recibos de pago por impuesto de bienes entregados en la Corporación Municipal de </w:t>
      </w:r>
      <w:proofErr w:type="spellStart"/>
      <w:r w:rsidR="00742030" w:rsidRPr="002B7C0D">
        <w:rPr>
          <w:rFonts w:ascii="Verdana" w:hAnsi="Verdana"/>
          <w:sz w:val="20"/>
          <w:szCs w:val="20"/>
          <w:lang w:val="es-CR"/>
        </w:rPr>
        <w:t>Iriona</w:t>
      </w:r>
      <w:proofErr w:type="spellEnd"/>
      <w:r w:rsidR="00742030" w:rsidRPr="002B7C0D">
        <w:rPr>
          <w:rFonts w:ascii="Verdana" w:hAnsi="Verdana"/>
          <w:sz w:val="20"/>
          <w:szCs w:val="20"/>
          <w:lang w:val="es-CR"/>
        </w:rPr>
        <w:t>”, entregados al Instituto Nacional Agrario por el Patronato Pro Mejoramiento de Río Miel</w:t>
      </w:r>
      <w:r w:rsidR="00742030" w:rsidRPr="002B7C0D">
        <w:rPr>
          <w:rStyle w:val="Refdenotaalpie"/>
          <w:rFonts w:ascii="Verdana" w:hAnsi="Verdana"/>
          <w:sz w:val="20"/>
          <w:szCs w:val="20"/>
          <w:lang w:val="es-CR"/>
        </w:rPr>
        <w:footnoteReference w:id="13"/>
      </w:r>
      <w:r w:rsidR="00742030" w:rsidRPr="002B7C0D">
        <w:rPr>
          <w:rFonts w:ascii="Verdana" w:hAnsi="Verdana"/>
          <w:sz w:val="20"/>
          <w:szCs w:val="20"/>
          <w:lang w:val="es-CR"/>
        </w:rPr>
        <w:t>.</w:t>
      </w:r>
      <w:bookmarkEnd w:id="7"/>
      <w:r w:rsidR="00742030" w:rsidRPr="002B7C0D">
        <w:rPr>
          <w:rFonts w:ascii="Verdana" w:hAnsi="Verdana"/>
          <w:sz w:val="20"/>
          <w:szCs w:val="20"/>
          <w:lang w:val="es-CR"/>
        </w:rPr>
        <w:t xml:space="preserve"> </w:t>
      </w:r>
    </w:p>
    <w:p w14:paraId="75D9DBFB" w14:textId="09EEE4BB" w:rsidR="00D679CE" w:rsidRPr="00CC0024" w:rsidRDefault="00D74CBC" w:rsidP="007D6457">
      <w:pPr>
        <w:pStyle w:val="Prrafodelista"/>
        <w:numPr>
          <w:ilvl w:val="0"/>
          <w:numId w:val="3"/>
        </w:numPr>
        <w:tabs>
          <w:tab w:val="left" w:pos="680"/>
        </w:tabs>
        <w:spacing w:before="60" w:after="60"/>
        <w:ind w:left="0" w:hanging="11"/>
        <w:contextualSpacing w:val="0"/>
        <w:jc w:val="both"/>
        <w:rPr>
          <w:rFonts w:ascii="Verdana" w:hAnsi="Verdana" w:cs="TrebuchetMS"/>
          <w:sz w:val="20"/>
          <w:szCs w:val="20"/>
          <w:lang w:val="es-AR"/>
        </w:rPr>
      </w:pPr>
      <w:r w:rsidRPr="00CC0024">
        <w:rPr>
          <w:rFonts w:ascii="Verdana" w:hAnsi="Verdana"/>
          <w:sz w:val="20"/>
          <w:szCs w:val="20"/>
          <w:lang w:val="es-MX"/>
        </w:rPr>
        <w:t xml:space="preserve">Los representantes </w:t>
      </w:r>
      <w:r w:rsidR="00574146">
        <w:rPr>
          <w:rFonts w:ascii="Verdana" w:hAnsi="Verdana"/>
          <w:sz w:val="20"/>
          <w:szCs w:val="20"/>
          <w:lang w:val="es-MX"/>
        </w:rPr>
        <w:t xml:space="preserve">de las víctimas </w:t>
      </w:r>
      <w:r w:rsidRPr="00CC0024">
        <w:rPr>
          <w:rFonts w:ascii="Verdana" w:hAnsi="Verdana"/>
          <w:sz w:val="20"/>
          <w:szCs w:val="20"/>
          <w:lang w:val="es-MX"/>
        </w:rPr>
        <w:t>señalaron que “</w:t>
      </w:r>
      <w:r w:rsidRPr="00CC0024">
        <w:rPr>
          <w:rFonts w:ascii="Verdana" w:hAnsi="Verdana" w:cs="TrebuchetMS"/>
          <w:sz w:val="20"/>
          <w:szCs w:val="20"/>
          <w:lang w:val="es-AR"/>
        </w:rPr>
        <w:t xml:space="preserve">la comunidad aún no goza ni usa su territorio”. Objetaron que </w:t>
      </w:r>
      <w:r w:rsidRPr="00CC0024">
        <w:rPr>
          <w:rFonts w:ascii="Verdana" w:hAnsi="Verdana"/>
          <w:sz w:val="20"/>
          <w:szCs w:val="20"/>
          <w:lang w:val="es-AR"/>
        </w:rPr>
        <w:t>“</w:t>
      </w:r>
      <w:r w:rsidRPr="00CC0024">
        <w:rPr>
          <w:rFonts w:ascii="Verdana" w:hAnsi="Verdana" w:cs="TrebuchetMS"/>
          <w:sz w:val="20"/>
          <w:szCs w:val="20"/>
          <w:lang w:val="es-AR"/>
        </w:rPr>
        <w:t>el Estado no habría cumplido con el presupuesto de inmediatez y extre</w:t>
      </w:r>
      <w:r w:rsidR="00E76ECA">
        <w:rPr>
          <w:rFonts w:ascii="Verdana" w:hAnsi="Verdana" w:cs="TrebuchetMS"/>
          <w:sz w:val="20"/>
          <w:szCs w:val="20"/>
          <w:lang w:val="es-AR"/>
        </w:rPr>
        <w:t>ma diligencia que imponía la s</w:t>
      </w:r>
      <w:r w:rsidRPr="00CC0024">
        <w:rPr>
          <w:rFonts w:ascii="Verdana" w:hAnsi="Verdana" w:cs="TrebuchetMS"/>
          <w:sz w:val="20"/>
          <w:szCs w:val="20"/>
          <w:lang w:val="es-AR"/>
        </w:rPr>
        <w:t xml:space="preserve">entencia”, pues </w:t>
      </w:r>
      <w:r w:rsidRPr="00CC0024">
        <w:rPr>
          <w:rFonts w:ascii="Verdana" w:hAnsi="Verdana"/>
          <w:sz w:val="20"/>
          <w:szCs w:val="20"/>
          <w:lang w:val="es-MX"/>
        </w:rPr>
        <w:t xml:space="preserve">no se habían llevado a cabo las actividades programadas y </w:t>
      </w:r>
      <w:r w:rsidRPr="00CC0024">
        <w:rPr>
          <w:rFonts w:ascii="Verdana" w:hAnsi="Verdana" w:cs="URWBookmanL-Ligh"/>
          <w:color w:val="00000A"/>
          <w:sz w:val="20"/>
          <w:szCs w:val="20"/>
          <w:lang w:val="es-AR"/>
        </w:rPr>
        <w:t xml:space="preserve">se </w:t>
      </w:r>
      <w:r w:rsidRPr="00CC0024">
        <w:rPr>
          <w:rFonts w:ascii="Verdana" w:hAnsi="Verdana"/>
          <w:sz w:val="20"/>
          <w:szCs w:val="20"/>
          <w:lang w:val="es-MX"/>
        </w:rPr>
        <w:t>habían</w:t>
      </w:r>
      <w:r w:rsidRPr="00CC0024">
        <w:rPr>
          <w:rFonts w:ascii="Verdana" w:hAnsi="Verdana" w:cs="URWBookmanL-Ligh"/>
          <w:color w:val="00000A"/>
          <w:sz w:val="20"/>
          <w:szCs w:val="20"/>
          <w:lang w:val="es-AR"/>
        </w:rPr>
        <w:t xml:space="preserve"> superado los “plazos razonables para realizar el saneamiento”, sin que hubiera “avances significativos”</w:t>
      </w:r>
      <w:r w:rsidRPr="00CC0024">
        <w:rPr>
          <w:rStyle w:val="Refdenotaalpie"/>
          <w:rFonts w:ascii="Verdana" w:hAnsi="Verdana" w:cs="URWBookmanL-Ligh"/>
          <w:color w:val="00000A"/>
          <w:sz w:val="20"/>
          <w:szCs w:val="20"/>
          <w:lang w:val="es-AR"/>
        </w:rPr>
        <w:footnoteReference w:id="14"/>
      </w:r>
      <w:r w:rsidRPr="00CC0024">
        <w:rPr>
          <w:rFonts w:ascii="Verdana" w:hAnsi="Verdana" w:cs="URWBookmanL-Ligh"/>
          <w:color w:val="00000A"/>
          <w:sz w:val="20"/>
          <w:szCs w:val="20"/>
          <w:lang w:val="es-AR"/>
        </w:rPr>
        <w:t>.</w:t>
      </w:r>
      <w:r w:rsidRPr="00CC0024">
        <w:rPr>
          <w:rFonts w:ascii="Verdana" w:hAnsi="Verdana" w:cs="TrebuchetMS"/>
          <w:sz w:val="20"/>
          <w:szCs w:val="20"/>
          <w:lang w:val="es-AR"/>
        </w:rPr>
        <w:t xml:space="preserve"> </w:t>
      </w:r>
      <w:r w:rsidR="00D679CE" w:rsidRPr="00CC0024">
        <w:rPr>
          <w:rFonts w:ascii="Verdana" w:hAnsi="Verdana"/>
          <w:sz w:val="20"/>
          <w:szCs w:val="20"/>
          <w:lang w:val="es-MX"/>
        </w:rPr>
        <w:t xml:space="preserve">La Comisión observó que </w:t>
      </w:r>
      <w:r w:rsidR="00A5452D" w:rsidRPr="00CC0024">
        <w:rPr>
          <w:rFonts w:ascii="Verdana" w:hAnsi="Verdana"/>
          <w:sz w:val="20"/>
          <w:szCs w:val="20"/>
          <w:lang w:val="es-MX"/>
        </w:rPr>
        <w:t>si bien la CICSI podía “constituir un paso favorable hacia el cumplimiento”</w:t>
      </w:r>
      <w:r w:rsidR="00D158D1">
        <w:rPr>
          <w:rStyle w:val="Refdenotaalpie"/>
          <w:rFonts w:ascii="Verdana" w:hAnsi="Verdana"/>
          <w:sz w:val="20"/>
          <w:szCs w:val="20"/>
          <w:lang w:val="es-MX"/>
        </w:rPr>
        <w:footnoteReference w:id="15"/>
      </w:r>
      <w:r w:rsidR="00A5452D" w:rsidRPr="00CC0024">
        <w:rPr>
          <w:rFonts w:ascii="Verdana" w:hAnsi="Verdana"/>
          <w:sz w:val="20"/>
          <w:szCs w:val="20"/>
          <w:lang w:val="es-MX"/>
        </w:rPr>
        <w:t xml:space="preserve">, </w:t>
      </w:r>
      <w:r w:rsidR="009D5B5E" w:rsidRPr="00CC0024">
        <w:rPr>
          <w:rFonts w:ascii="Verdana" w:hAnsi="Verdana" w:cs="URWBookmanL-Ligh"/>
          <w:color w:val="00000A"/>
          <w:sz w:val="20"/>
          <w:szCs w:val="20"/>
          <w:lang w:val="es-AR"/>
        </w:rPr>
        <w:t>el Estado había realizado “medidas de carácter procedimental</w:t>
      </w:r>
      <w:r w:rsidR="00CF0FC3" w:rsidRPr="00CC0024">
        <w:rPr>
          <w:rFonts w:ascii="Verdana" w:hAnsi="Verdana" w:cs="URWBookmanL-Ligh"/>
          <w:color w:val="00000A"/>
          <w:sz w:val="20"/>
          <w:szCs w:val="20"/>
          <w:lang w:val="es-AR"/>
        </w:rPr>
        <w:t xml:space="preserve">” y </w:t>
      </w:r>
      <w:r w:rsidR="009D5B5E" w:rsidRPr="00CC0024">
        <w:rPr>
          <w:rFonts w:ascii="Verdana" w:hAnsi="Verdana" w:cs="URWBookmanL-Ligh"/>
          <w:color w:val="00000A"/>
          <w:sz w:val="20"/>
          <w:szCs w:val="20"/>
          <w:lang w:val="es-AR"/>
        </w:rPr>
        <w:t>persistía “un retraso en el cumplimiento concreto de varias de dichas obligaciones, sin que registren avances sustanciales”</w:t>
      </w:r>
      <w:r w:rsidR="00D158D1">
        <w:rPr>
          <w:rStyle w:val="Refdenotaalpie"/>
          <w:rFonts w:ascii="Verdana" w:hAnsi="Verdana" w:cs="URWBookmanL-Ligh"/>
          <w:color w:val="00000A"/>
          <w:sz w:val="20"/>
          <w:szCs w:val="20"/>
          <w:lang w:val="es-AR"/>
        </w:rPr>
        <w:footnoteReference w:id="16"/>
      </w:r>
      <w:r w:rsidR="000E5F99">
        <w:rPr>
          <w:rFonts w:ascii="Verdana" w:hAnsi="Verdana" w:cs="URWBookmanL-Ligh"/>
          <w:color w:val="00000A"/>
          <w:sz w:val="20"/>
          <w:szCs w:val="20"/>
          <w:lang w:val="es-AR"/>
        </w:rPr>
        <w:t>.</w:t>
      </w:r>
    </w:p>
    <w:p w14:paraId="76C64BAE" w14:textId="6C022299" w:rsidR="002F6D7C" w:rsidRDefault="002F6D7C" w:rsidP="002F6D7C">
      <w:pPr>
        <w:pStyle w:val="Prrafodelista"/>
        <w:numPr>
          <w:ilvl w:val="0"/>
          <w:numId w:val="3"/>
        </w:numPr>
        <w:tabs>
          <w:tab w:val="left" w:pos="680"/>
        </w:tabs>
        <w:spacing w:before="60" w:after="60"/>
        <w:ind w:left="0" w:hanging="11"/>
        <w:contextualSpacing w:val="0"/>
        <w:jc w:val="both"/>
        <w:rPr>
          <w:rFonts w:ascii="Verdana" w:hAnsi="Verdana"/>
          <w:sz w:val="20"/>
          <w:szCs w:val="20"/>
          <w:lang w:val="es-MX"/>
        </w:rPr>
      </w:pPr>
      <w:r>
        <w:rPr>
          <w:rFonts w:ascii="Verdana" w:hAnsi="Verdana"/>
          <w:sz w:val="20"/>
          <w:szCs w:val="20"/>
          <w:lang w:val="es-AR"/>
        </w:rPr>
        <w:t xml:space="preserve">En la audiencia privada celebrada el 29 de noviembre de 2018, </w:t>
      </w:r>
      <w:r w:rsidR="004C0F49">
        <w:rPr>
          <w:rFonts w:ascii="Verdana" w:hAnsi="Verdana"/>
          <w:sz w:val="20"/>
          <w:szCs w:val="20"/>
          <w:lang w:val="es-AR"/>
        </w:rPr>
        <w:t>el</w:t>
      </w:r>
      <w:r w:rsidR="00D679CE">
        <w:rPr>
          <w:rFonts w:ascii="Verdana" w:hAnsi="Verdana"/>
          <w:sz w:val="20"/>
          <w:szCs w:val="20"/>
          <w:lang w:val="es-MX"/>
        </w:rPr>
        <w:t xml:space="preserve"> Estado reconoci</w:t>
      </w:r>
      <w:r w:rsidR="00CF0FC3">
        <w:rPr>
          <w:rFonts w:ascii="Verdana" w:hAnsi="Verdana"/>
          <w:sz w:val="20"/>
          <w:szCs w:val="20"/>
          <w:lang w:val="es-MX"/>
        </w:rPr>
        <w:t>ó la existencia de un “</w:t>
      </w:r>
      <w:r w:rsidR="00CF0FC3" w:rsidRPr="002F6D7C">
        <w:rPr>
          <w:rFonts w:ascii="Verdana" w:hAnsi="Verdana" w:cs="TrebuchetMS"/>
          <w:sz w:val="20"/>
          <w:szCs w:val="20"/>
          <w:lang w:val="es-AR"/>
        </w:rPr>
        <w:t>retraso</w:t>
      </w:r>
      <w:r w:rsidR="00CF0FC3">
        <w:rPr>
          <w:rFonts w:ascii="Verdana" w:hAnsi="Verdana"/>
          <w:sz w:val="20"/>
          <w:szCs w:val="20"/>
          <w:lang w:val="es-MX"/>
        </w:rPr>
        <w:t xml:space="preserve"> considerable en el cumplimiento”</w:t>
      </w:r>
      <w:r w:rsidR="00E37E1C">
        <w:rPr>
          <w:rFonts w:ascii="Verdana" w:hAnsi="Verdana"/>
          <w:sz w:val="20"/>
          <w:szCs w:val="20"/>
          <w:lang w:val="es-MX"/>
        </w:rPr>
        <w:t>,</w:t>
      </w:r>
      <w:r w:rsidR="006D22D1">
        <w:rPr>
          <w:rFonts w:ascii="Verdana" w:hAnsi="Verdana"/>
          <w:sz w:val="20"/>
          <w:szCs w:val="20"/>
          <w:lang w:val="es-MX"/>
        </w:rPr>
        <w:t xml:space="preserve"> </w:t>
      </w:r>
      <w:r>
        <w:rPr>
          <w:rFonts w:ascii="Verdana" w:hAnsi="Verdana"/>
          <w:sz w:val="20"/>
          <w:szCs w:val="20"/>
          <w:lang w:val="es-MX"/>
        </w:rPr>
        <w:t xml:space="preserve">el cual obedecía a la negativa de los pobladores de Río Miel de permitir los avalúos. </w:t>
      </w:r>
      <w:r w:rsidR="00424023">
        <w:rPr>
          <w:rFonts w:ascii="Verdana" w:hAnsi="Verdana"/>
          <w:sz w:val="20"/>
          <w:szCs w:val="20"/>
          <w:lang w:val="es-MX"/>
        </w:rPr>
        <w:t xml:space="preserve">Al respecto, </w:t>
      </w:r>
      <w:r w:rsidR="004C2F9A">
        <w:rPr>
          <w:rFonts w:ascii="Verdana" w:hAnsi="Verdana"/>
          <w:sz w:val="20"/>
          <w:szCs w:val="20"/>
          <w:lang w:val="es-MX"/>
        </w:rPr>
        <w:t xml:space="preserve">indicó que, </w:t>
      </w:r>
      <w:r w:rsidR="00424023">
        <w:rPr>
          <w:rFonts w:ascii="Verdana" w:hAnsi="Verdana"/>
          <w:sz w:val="20"/>
          <w:szCs w:val="20"/>
          <w:lang w:val="es-MX"/>
        </w:rPr>
        <w:t>“</w:t>
      </w:r>
      <w:r w:rsidR="00424023" w:rsidRPr="00424023">
        <w:rPr>
          <w:rFonts w:ascii="Verdana" w:hAnsi="Verdana"/>
          <w:sz w:val="20"/>
          <w:szCs w:val="20"/>
          <w:lang w:val="es-MX"/>
        </w:rPr>
        <w:t>en aras de cumplir con sus obligaciones</w:t>
      </w:r>
      <w:r w:rsidR="00424023">
        <w:rPr>
          <w:rFonts w:ascii="Verdana" w:hAnsi="Verdana"/>
          <w:sz w:val="20"/>
          <w:szCs w:val="20"/>
          <w:lang w:val="es-MX"/>
        </w:rPr>
        <w:t xml:space="preserve">”, </w:t>
      </w:r>
      <w:r w:rsidR="007E2042">
        <w:rPr>
          <w:rFonts w:ascii="Verdana" w:hAnsi="Verdana"/>
          <w:sz w:val="20"/>
          <w:szCs w:val="20"/>
          <w:lang w:val="es-MX"/>
        </w:rPr>
        <w:t>sometí</w:t>
      </w:r>
      <w:r w:rsidR="004C2F9A">
        <w:rPr>
          <w:rFonts w:ascii="Verdana" w:hAnsi="Verdana"/>
          <w:sz w:val="20"/>
          <w:szCs w:val="20"/>
          <w:lang w:val="es-MX"/>
        </w:rPr>
        <w:t>a</w:t>
      </w:r>
      <w:r w:rsidR="00424023">
        <w:rPr>
          <w:rFonts w:ascii="Verdana" w:hAnsi="Verdana"/>
          <w:sz w:val="20"/>
          <w:szCs w:val="20"/>
          <w:lang w:val="es-MX"/>
        </w:rPr>
        <w:t xml:space="preserve"> a consideración de la Corte y los representantes “</w:t>
      </w:r>
      <w:r w:rsidR="00424023" w:rsidRPr="00424023">
        <w:rPr>
          <w:rFonts w:ascii="Verdana" w:hAnsi="Verdana"/>
          <w:sz w:val="20"/>
          <w:szCs w:val="20"/>
          <w:lang w:val="es-MX"/>
        </w:rPr>
        <w:t>el ofrecimiento de tierras alternativas</w:t>
      </w:r>
      <w:r w:rsidR="00424023">
        <w:rPr>
          <w:rFonts w:ascii="Verdana" w:hAnsi="Verdana"/>
          <w:sz w:val="20"/>
          <w:szCs w:val="20"/>
          <w:lang w:val="es-MX"/>
        </w:rPr>
        <w:t xml:space="preserve"> […]</w:t>
      </w:r>
      <w:r w:rsidR="00424023" w:rsidRPr="00424023">
        <w:rPr>
          <w:rFonts w:ascii="Verdana" w:hAnsi="Verdana"/>
          <w:sz w:val="20"/>
          <w:szCs w:val="20"/>
          <w:lang w:val="es-MX"/>
        </w:rPr>
        <w:t xml:space="preserve"> en los </w:t>
      </w:r>
      <w:r w:rsidR="00424023">
        <w:rPr>
          <w:rFonts w:ascii="Verdana" w:hAnsi="Verdana"/>
          <w:sz w:val="20"/>
          <w:szCs w:val="20"/>
          <w:lang w:val="es-MX"/>
        </w:rPr>
        <w:t>términos del párrafo 325 de la S</w:t>
      </w:r>
      <w:r w:rsidR="00424023" w:rsidRPr="00424023">
        <w:rPr>
          <w:rFonts w:ascii="Verdana" w:hAnsi="Verdana"/>
          <w:sz w:val="20"/>
          <w:szCs w:val="20"/>
          <w:lang w:val="es-MX"/>
        </w:rPr>
        <w:t>entenci</w:t>
      </w:r>
      <w:r w:rsidR="006D22D1">
        <w:rPr>
          <w:rFonts w:ascii="Verdana" w:hAnsi="Verdana"/>
          <w:sz w:val="20"/>
          <w:szCs w:val="20"/>
          <w:lang w:val="es-MX"/>
        </w:rPr>
        <w:t>a”</w:t>
      </w:r>
      <w:r w:rsidR="00826A06">
        <w:rPr>
          <w:rFonts w:ascii="Verdana" w:hAnsi="Verdana"/>
          <w:sz w:val="20"/>
          <w:szCs w:val="20"/>
          <w:lang w:val="es-MX"/>
        </w:rPr>
        <w:t xml:space="preserve"> (</w:t>
      </w:r>
      <w:r w:rsidR="00826A06">
        <w:rPr>
          <w:rFonts w:ascii="Verdana" w:hAnsi="Verdana"/>
          <w:i/>
          <w:sz w:val="20"/>
          <w:szCs w:val="20"/>
          <w:lang w:val="es-MX"/>
        </w:rPr>
        <w:t xml:space="preserve">supra </w:t>
      </w:r>
      <w:r w:rsidR="00826A06">
        <w:rPr>
          <w:rFonts w:ascii="Verdana" w:hAnsi="Verdana"/>
          <w:sz w:val="20"/>
          <w:szCs w:val="20"/>
          <w:lang w:val="es-MX"/>
        </w:rPr>
        <w:t xml:space="preserve">Considerando </w:t>
      </w:r>
      <w:r w:rsidR="00826A06">
        <w:rPr>
          <w:rFonts w:ascii="Verdana" w:hAnsi="Verdana"/>
          <w:sz w:val="20"/>
          <w:szCs w:val="20"/>
          <w:lang w:val="es-MX"/>
        </w:rPr>
        <w:fldChar w:fldCharType="begin"/>
      </w:r>
      <w:r w:rsidR="00826A06">
        <w:rPr>
          <w:rFonts w:ascii="Verdana" w:hAnsi="Verdana"/>
          <w:sz w:val="20"/>
          <w:szCs w:val="20"/>
          <w:lang w:val="es-MX"/>
        </w:rPr>
        <w:instrText xml:space="preserve"> REF _Ref12522755 \r \h </w:instrText>
      </w:r>
      <w:r w:rsidR="00826A06">
        <w:rPr>
          <w:rFonts w:ascii="Verdana" w:hAnsi="Verdana"/>
          <w:sz w:val="20"/>
          <w:szCs w:val="20"/>
          <w:lang w:val="es-MX"/>
        </w:rPr>
      </w:r>
      <w:r w:rsidR="00826A06">
        <w:rPr>
          <w:rFonts w:ascii="Verdana" w:hAnsi="Verdana"/>
          <w:sz w:val="20"/>
          <w:szCs w:val="20"/>
          <w:lang w:val="es-MX"/>
        </w:rPr>
        <w:fldChar w:fldCharType="separate"/>
      </w:r>
      <w:r w:rsidR="00D11D5D">
        <w:rPr>
          <w:rFonts w:ascii="Verdana" w:hAnsi="Verdana"/>
          <w:sz w:val="20"/>
          <w:szCs w:val="20"/>
          <w:lang w:val="es-MX"/>
        </w:rPr>
        <w:t>5</w:t>
      </w:r>
      <w:r w:rsidR="00826A06">
        <w:rPr>
          <w:rFonts w:ascii="Verdana" w:hAnsi="Verdana"/>
          <w:sz w:val="20"/>
          <w:szCs w:val="20"/>
          <w:lang w:val="es-MX"/>
        </w:rPr>
        <w:fldChar w:fldCharType="end"/>
      </w:r>
      <w:r w:rsidR="00826A06">
        <w:rPr>
          <w:rFonts w:ascii="Verdana" w:hAnsi="Verdana"/>
          <w:sz w:val="20"/>
          <w:szCs w:val="20"/>
          <w:lang w:val="es-MX"/>
        </w:rPr>
        <w:t>)</w:t>
      </w:r>
      <w:r w:rsidR="00424023">
        <w:rPr>
          <w:rFonts w:ascii="Verdana" w:hAnsi="Verdana" w:cs="URWBookmanL-Ligh"/>
          <w:color w:val="00000A"/>
          <w:sz w:val="20"/>
          <w:szCs w:val="20"/>
          <w:lang w:val="es-CR"/>
        </w:rPr>
        <w:t>.</w:t>
      </w:r>
      <w:r w:rsidR="00F909C3">
        <w:rPr>
          <w:rFonts w:ascii="Verdana" w:hAnsi="Verdana" w:cs="URWBookmanL-Ligh"/>
          <w:color w:val="00000A"/>
          <w:sz w:val="20"/>
          <w:szCs w:val="20"/>
          <w:lang w:val="es-CR"/>
        </w:rPr>
        <w:t xml:space="preserve"> Asimismo, reiteró su voluntad de solucionar la situación de manera pacífica y requirió a la Corte que “</w:t>
      </w:r>
      <w:r w:rsidR="00F909C3">
        <w:rPr>
          <w:rFonts w:ascii="Verdana" w:hAnsi="Verdana" w:cs="TrebuchetMS"/>
          <w:sz w:val="20"/>
          <w:szCs w:val="20"/>
          <w:lang w:val="es-CR"/>
        </w:rPr>
        <w:t>[e]</w:t>
      </w:r>
      <w:r w:rsidR="00F909C3" w:rsidRPr="004C0F49">
        <w:rPr>
          <w:rFonts w:ascii="Verdana" w:hAnsi="Verdana" w:cs="TrebuchetMS"/>
          <w:sz w:val="20"/>
          <w:szCs w:val="20"/>
          <w:lang w:val="es-CR"/>
        </w:rPr>
        <w:t xml:space="preserve">n vista de la complejidad que </w:t>
      </w:r>
      <w:r w:rsidR="00F909C3">
        <w:rPr>
          <w:rFonts w:ascii="Verdana" w:hAnsi="Verdana" w:cs="TrebuchetMS"/>
          <w:sz w:val="20"/>
          <w:szCs w:val="20"/>
          <w:lang w:val="es-CR"/>
        </w:rPr>
        <w:t xml:space="preserve">se </w:t>
      </w:r>
      <w:r w:rsidR="00F909C3" w:rsidRPr="004C0F49">
        <w:rPr>
          <w:rFonts w:ascii="Verdana" w:hAnsi="Verdana" w:cs="TrebuchetMS"/>
          <w:sz w:val="20"/>
          <w:szCs w:val="20"/>
          <w:lang w:val="es-CR"/>
        </w:rPr>
        <w:t xml:space="preserve">presenta, </w:t>
      </w:r>
      <w:r w:rsidR="00F909C3">
        <w:rPr>
          <w:rFonts w:ascii="Verdana" w:hAnsi="Verdana" w:cs="TrebuchetMS"/>
          <w:sz w:val="20"/>
          <w:szCs w:val="20"/>
          <w:lang w:val="es-CR"/>
        </w:rPr>
        <w:t>[..]</w:t>
      </w:r>
      <w:r w:rsidR="00F909C3" w:rsidRPr="004C0F49">
        <w:rPr>
          <w:rFonts w:ascii="Verdana" w:hAnsi="Verdana" w:cs="TrebuchetMS"/>
          <w:sz w:val="20"/>
          <w:szCs w:val="20"/>
          <w:lang w:val="es-CR"/>
        </w:rPr>
        <w:t xml:space="preserve"> indique </w:t>
      </w:r>
      <w:r w:rsidR="00F909C3" w:rsidRPr="004C0F49">
        <w:rPr>
          <w:rFonts w:ascii="Verdana" w:hAnsi="Verdana" w:cs="TrebuchetMS"/>
          <w:sz w:val="20"/>
          <w:szCs w:val="20"/>
          <w:lang w:val="es-CR"/>
        </w:rPr>
        <w:lastRenderedPageBreak/>
        <w:t xml:space="preserve">líneas o sugerencias que el Estado de Honduras pueda seguir para dar cumplimiento a la reubicación de la comunidad de Río Miel </w:t>
      </w:r>
      <w:r w:rsidR="00F909C3">
        <w:rPr>
          <w:rFonts w:ascii="Verdana" w:hAnsi="Verdana" w:cs="TrebuchetMS"/>
          <w:sz w:val="20"/>
          <w:szCs w:val="20"/>
          <w:lang w:val="es-CR"/>
        </w:rPr>
        <w:t>[…]</w:t>
      </w:r>
      <w:r w:rsidR="00F909C3" w:rsidRPr="004C0F49">
        <w:rPr>
          <w:rFonts w:ascii="Verdana" w:hAnsi="Verdana" w:cs="TrebuchetMS"/>
          <w:sz w:val="20"/>
          <w:szCs w:val="20"/>
          <w:lang w:val="es-CR"/>
        </w:rPr>
        <w:t xml:space="preserve"> que </w:t>
      </w:r>
      <w:r w:rsidR="00E76ECA">
        <w:rPr>
          <w:rFonts w:ascii="Verdana" w:hAnsi="Verdana" w:cs="TrebuchetMS"/>
          <w:sz w:val="20"/>
          <w:szCs w:val="20"/>
          <w:lang w:val="es-CR"/>
        </w:rPr>
        <w:t>[…] permita ejecutar la s</w:t>
      </w:r>
      <w:r w:rsidR="00F909C3" w:rsidRPr="004C0F49">
        <w:rPr>
          <w:rFonts w:ascii="Verdana" w:hAnsi="Verdana" w:cs="TrebuchetMS"/>
          <w:sz w:val="20"/>
          <w:szCs w:val="20"/>
          <w:lang w:val="es-CR"/>
        </w:rPr>
        <w:t xml:space="preserve">entencia sin llegar al uso de medidas </w:t>
      </w:r>
      <w:r w:rsidR="00677CFD">
        <w:rPr>
          <w:rFonts w:ascii="Verdana" w:hAnsi="Verdana" w:cs="TrebuchetMS"/>
          <w:sz w:val="20"/>
          <w:szCs w:val="20"/>
          <w:lang w:val="es-CR"/>
        </w:rPr>
        <w:t>coercitivas</w:t>
      </w:r>
      <w:r w:rsidR="00F909C3">
        <w:rPr>
          <w:rFonts w:ascii="Verdana" w:hAnsi="Verdana" w:cs="TrebuchetMS"/>
          <w:sz w:val="20"/>
          <w:szCs w:val="20"/>
          <w:lang w:val="es-CR"/>
        </w:rPr>
        <w:t>”</w:t>
      </w:r>
      <w:r w:rsidR="007E2042">
        <w:rPr>
          <w:rStyle w:val="Refdenotaalpie"/>
          <w:rFonts w:ascii="Verdana" w:hAnsi="Verdana" w:cs="TrebuchetMS"/>
          <w:sz w:val="20"/>
          <w:szCs w:val="20"/>
          <w:lang w:val="es-CR"/>
        </w:rPr>
        <w:footnoteReference w:id="17"/>
      </w:r>
      <w:r w:rsidR="00F909C3" w:rsidRPr="004C0F49">
        <w:rPr>
          <w:rFonts w:ascii="Verdana" w:hAnsi="Verdana" w:cs="TrebuchetMS"/>
          <w:sz w:val="20"/>
          <w:szCs w:val="20"/>
          <w:lang w:val="es-CR"/>
        </w:rPr>
        <w:t>.</w:t>
      </w:r>
    </w:p>
    <w:p w14:paraId="53F845F0" w14:textId="1456CFF9" w:rsidR="007D143F" w:rsidRPr="00C85CE2" w:rsidRDefault="00B37944" w:rsidP="00883945">
      <w:pPr>
        <w:pStyle w:val="Prrafodelista"/>
        <w:numPr>
          <w:ilvl w:val="0"/>
          <w:numId w:val="3"/>
        </w:numPr>
        <w:tabs>
          <w:tab w:val="left" w:pos="680"/>
        </w:tabs>
        <w:spacing w:before="60" w:after="60"/>
        <w:ind w:left="0" w:hanging="11"/>
        <w:contextualSpacing w:val="0"/>
        <w:jc w:val="both"/>
        <w:rPr>
          <w:rFonts w:ascii="Verdana" w:hAnsi="Verdana"/>
          <w:sz w:val="20"/>
          <w:szCs w:val="20"/>
          <w:lang w:val="es-ES"/>
        </w:rPr>
      </w:pPr>
      <w:r w:rsidRPr="007D143F">
        <w:rPr>
          <w:rFonts w:ascii="Verdana" w:hAnsi="Verdana"/>
          <w:sz w:val="20"/>
          <w:szCs w:val="20"/>
          <w:lang w:val="es-MX"/>
        </w:rPr>
        <w:t xml:space="preserve">Los representantes </w:t>
      </w:r>
      <w:r w:rsidRPr="007D143F">
        <w:rPr>
          <w:rFonts w:ascii="Verdana" w:hAnsi="Verdana"/>
          <w:sz w:val="20"/>
          <w:szCs w:val="20"/>
          <w:lang w:val="es-AR"/>
        </w:rPr>
        <w:t>rechazaron</w:t>
      </w:r>
      <w:r w:rsidRPr="007D143F">
        <w:rPr>
          <w:rFonts w:ascii="Verdana" w:hAnsi="Verdana"/>
          <w:sz w:val="20"/>
          <w:szCs w:val="20"/>
          <w:lang w:val="es-MX"/>
        </w:rPr>
        <w:t xml:space="preserve"> el ofrec</w:t>
      </w:r>
      <w:r w:rsidR="007D143F" w:rsidRPr="007D143F">
        <w:rPr>
          <w:rFonts w:ascii="Verdana" w:hAnsi="Verdana"/>
          <w:sz w:val="20"/>
          <w:szCs w:val="20"/>
          <w:lang w:val="es-MX"/>
        </w:rPr>
        <w:t>imiento de tierras alternativas</w:t>
      </w:r>
      <w:r w:rsidR="00D162A2">
        <w:rPr>
          <w:rFonts w:ascii="Verdana" w:hAnsi="Verdana"/>
          <w:sz w:val="20"/>
          <w:szCs w:val="20"/>
          <w:lang w:val="es-MX"/>
        </w:rPr>
        <w:t>, en tanto el Estado no había planteado “</w:t>
      </w:r>
      <w:r w:rsidR="00D162A2" w:rsidRPr="00D162A2">
        <w:rPr>
          <w:rFonts w:ascii="Verdana" w:hAnsi="Verdana"/>
          <w:sz w:val="20"/>
          <w:szCs w:val="20"/>
          <w:lang w:val="es-CR"/>
        </w:rPr>
        <w:t>una posición con elementos objetivos</w:t>
      </w:r>
      <w:r w:rsidR="00D162A2">
        <w:rPr>
          <w:rFonts w:ascii="Verdana" w:hAnsi="Verdana"/>
          <w:sz w:val="20"/>
          <w:szCs w:val="20"/>
          <w:lang w:val="es-CR"/>
        </w:rPr>
        <w:t>” que lo justificara</w:t>
      </w:r>
      <w:r w:rsidR="002439DC">
        <w:rPr>
          <w:rFonts w:ascii="Verdana" w:hAnsi="Verdana"/>
          <w:sz w:val="20"/>
          <w:szCs w:val="20"/>
          <w:lang w:val="es-CR"/>
        </w:rPr>
        <w:t>,</w:t>
      </w:r>
      <w:r w:rsidR="00C85CE2">
        <w:rPr>
          <w:rFonts w:ascii="Verdana" w:hAnsi="Verdana"/>
          <w:sz w:val="20"/>
          <w:szCs w:val="20"/>
          <w:lang w:val="es-CR"/>
        </w:rPr>
        <w:t xml:space="preserve"> y</w:t>
      </w:r>
      <w:r w:rsidR="002439DC">
        <w:rPr>
          <w:rFonts w:ascii="Verdana" w:hAnsi="Verdana"/>
          <w:sz w:val="20"/>
          <w:szCs w:val="20"/>
          <w:lang w:val="es-CR"/>
        </w:rPr>
        <w:t xml:space="preserve"> porque</w:t>
      </w:r>
      <w:r w:rsidR="00C85CE2">
        <w:rPr>
          <w:rFonts w:ascii="Verdana" w:hAnsi="Verdana"/>
          <w:sz w:val="20"/>
          <w:szCs w:val="20"/>
          <w:lang w:val="es-CR"/>
        </w:rPr>
        <w:t xml:space="preserve"> generaría “c</w:t>
      </w:r>
      <w:r w:rsidR="002439DC">
        <w:rPr>
          <w:rFonts w:ascii="Verdana" w:hAnsi="Verdana"/>
          <w:sz w:val="20"/>
          <w:szCs w:val="20"/>
          <w:lang w:val="es-CR"/>
        </w:rPr>
        <w:t>r</w:t>
      </w:r>
      <w:r w:rsidR="00C85CE2">
        <w:rPr>
          <w:rFonts w:ascii="Verdana" w:hAnsi="Verdana"/>
          <w:sz w:val="20"/>
          <w:szCs w:val="20"/>
          <w:lang w:val="es-CR"/>
        </w:rPr>
        <w:t>ispación en las comunidades”</w:t>
      </w:r>
      <w:r w:rsidR="002439DC">
        <w:rPr>
          <w:rStyle w:val="Refdenotaalpie"/>
          <w:rFonts w:ascii="Verdana" w:hAnsi="Verdana"/>
          <w:sz w:val="20"/>
          <w:szCs w:val="20"/>
          <w:lang w:val="es-CR"/>
        </w:rPr>
        <w:footnoteReference w:id="18"/>
      </w:r>
      <w:r w:rsidR="00C85CE2">
        <w:rPr>
          <w:rFonts w:ascii="Verdana" w:hAnsi="Verdana"/>
          <w:sz w:val="20"/>
          <w:szCs w:val="20"/>
          <w:lang w:val="es-CR"/>
        </w:rPr>
        <w:t>.</w:t>
      </w:r>
      <w:r w:rsidR="006D22D1">
        <w:rPr>
          <w:rFonts w:ascii="Verdana" w:hAnsi="Verdana"/>
          <w:sz w:val="20"/>
          <w:szCs w:val="20"/>
          <w:lang w:val="es-MX"/>
        </w:rPr>
        <w:t xml:space="preserve"> </w:t>
      </w:r>
      <w:r w:rsidR="00C85CE2">
        <w:rPr>
          <w:rFonts w:ascii="Verdana" w:hAnsi="Verdana"/>
          <w:sz w:val="20"/>
          <w:szCs w:val="20"/>
          <w:lang w:val="es-MX"/>
        </w:rPr>
        <w:t>Consideraron</w:t>
      </w:r>
      <w:r w:rsidR="007D143F" w:rsidRPr="007D143F">
        <w:rPr>
          <w:rFonts w:ascii="Verdana" w:hAnsi="Verdana"/>
          <w:sz w:val="20"/>
          <w:szCs w:val="20"/>
          <w:lang w:val="es-MX"/>
        </w:rPr>
        <w:t xml:space="preserve"> que “</w:t>
      </w:r>
      <w:r w:rsidR="007D143F" w:rsidRPr="007D143F">
        <w:rPr>
          <w:rFonts w:ascii="Verdana" w:hAnsi="Verdana"/>
          <w:sz w:val="20"/>
          <w:szCs w:val="20"/>
          <w:lang w:val="es-AR"/>
        </w:rPr>
        <w:t xml:space="preserve">las alegaciones sobre la negativa de </w:t>
      </w:r>
      <w:r w:rsidR="007D143F" w:rsidRPr="00883945">
        <w:rPr>
          <w:rFonts w:ascii="Verdana" w:hAnsi="Verdana"/>
          <w:sz w:val="20"/>
          <w:szCs w:val="20"/>
          <w:lang w:val="es-MX"/>
        </w:rPr>
        <w:t>los</w:t>
      </w:r>
      <w:r w:rsidR="007D143F" w:rsidRPr="007D143F">
        <w:rPr>
          <w:rFonts w:ascii="Verdana" w:hAnsi="Verdana"/>
          <w:sz w:val="20"/>
          <w:szCs w:val="20"/>
          <w:lang w:val="es-AR"/>
        </w:rPr>
        <w:t xml:space="preserve"> pobladores de Río Miel a ser indemnizados, a permitir el ingreso de funcionarios del INA y a ser trasladados</w:t>
      </w:r>
      <w:r w:rsidR="00C85CE2">
        <w:rPr>
          <w:rFonts w:ascii="Verdana" w:hAnsi="Verdana"/>
          <w:sz w:val="20"/>
          <w:szCs w:val="20"/>
          <w:lang w:val="es-AR"/>
        </w:rPr>
        <w:t>”</w:t>
      </w:r>
      <w:r w:rsidR="007D143F" w:rsidRPr="007D143F">
        <w:rPr>
          <w:rFonts w:ascii="Verdana" w:hAnsi="Verdana"/>
          <w:sz w:val="20"/>
          <w:szCs w:val="20"/>
          <w:lang w:val="es-AR"/>
        </w:rPr>
        <w:t xml:space="preserve"> </w:t>
      </w:r>
      <w:r w:rsidR="00C85CE2">
        <w:rPr>
          <w:rFonts w:ascii="Verdana" w:hAnsi="Verdana"/>
          <w:sz w:val="20"/>
          <w:szCs w:val="20"/>
          <w:lang w:val="es-AR"/>
        </w:rPr>
        <w:t>evidencian</w:t>
      </w:r>
      <w:r w:rsidR="007D143F" w:rsidRPr="007D143F">
        <w:rPr>
          <w:rFonts w:ascii="Verdana" w:hAnsi="Verdana"/>
          <w:sz w:val="20"/>
          <w:szCs w:val="20"/>
          <w:lang w:val="es-AR"/>
        </w:rPr>
        <w:t xml:space="preserve"> un </w:t>
      </w:r>
      <w:r w:rsidR="00C85CE2">
        <w:rPr>
          <w:rFonts w:ascii="Verdana" w:hAnsi="Verdana"/>
          <w:sz w:val="20"/>
          <w:szCs w:val="20"/>
          <w:lang w:val="es-AR"/>
        </w:rPr>
        <w:t>“</w:t>
      </w:r>
      <w:r w:rsidR="007D143F" w:rsidRPr="007D143F">
        <w:rPr>
          <w:rFonts w:ascii="Verdana" w:hAnsi="Verdana" w:cs="URWBookmanL-Ligh"/>
          <w:color w:val="00000A"/>
          <w:sz w:val="20"/>
          <w:szCs w:val="20"/>
          <w:lang w:val="es-AR"/>
        </w:rPr>
        <w:t>incumplimiento […]</w:t>
      </w:r>
      <w:r w:rsidR="007D143F">
        <w:rPr>
          <w:rFonts w:ascii="Verdana" w:hAnsi="Verdana" w:cs="URWBookmanL-Ligh"/>
          <w:color w:val="00000A"/>
          <w:sz w:val="20"/>
          <w:szCs w:val="20"/>
          <w:lang w:val="es-AR"/>
        </w:rPr>
        <w:t xml:space="preserve"> </w:t>
      </w:r>
      <w:r w:rsidR="007D143F" w:rsidRPr="007D143F">
        <w:rPr>
          <w:rFonts w:ascii="Verdana" w:hAnsi="Verdana" w:cs="URWBookmanL-Ligh"/>
          <w:color w:val="00000A"/>
          <w:sz w:val="20"/>
          <w:szCs w:val="20"/>
          <w:lang w:val="es-AR"/>
        </w:rPr>
        <w:t>deliberado”, en tanto es “el Estado quien tiene la potestad de imperio y el monopolio del poder coercit</w:t>
      </w:r>
      <w:r w:rsidR="003066CF">
        <w:rPr>
          <w:rFonts w:ascii="Verdana" w:hAnsi="Verdana" w:cs="URWBookmanL-Ligh"/>
          <w:color w:val="00000A"/>
          <w:sz w:val="20"/>
          <w:szCs w:val="20"/>
          <w:lang w:val="es-AR"/>
        </w:rPr>
        <w:t>ivo para</w:t>
      </w:r>
      <w:r w:rsidR="00E76ECA">
        <w:rPr>
          <w:rFonts w:ascii="Verdana" w:hAnsi="Verdana" w:cs="URWBookmanL-Ligh"/>
          <w:color w:val="00000A"/>
          <w:sz w:val="20"/>
          <w:szCs w:val="20"/>
          <w:lang w:val="es-AR"/>
        </w:rPr>
        <w:t xml:space="preserve"> hacer cumplir […] la s</w:t>
      </w:r>
      <w:r w:rsidR="003066CF">
        <w:rPr>
          <w:rFonts w:ascii="Verdana" w:hAnsi="Verdana" w:cs="URWBookmanL-Ligh"/>
          <w:color w:val="00000A"/>
          <w:sz w:val="20"/>
          <w:szCs w:val="20"/>
          <w:lang w:val="es-AR"/>
        </w:rPr>
        <w:t>entencia</w:t>
      </w:r>
      <w:r w:rsidR="007D143F" w:rsidRPr="007D143F">
        <w:rPr>
          <w:rFonts w:ascii="Verdana" w:hAnsi="Verdana" w:cs="URWBookmanL-Ligh"/>
          <w:color w:val="00000A"/>
          <w:sz w:val="20"/>
          <w:szCs w:val="20"/>
          <w:lang w:val="es-AR"/>
        </w:rPr>
        <w:t xml:space="preserve">”. </w:t>
      </w:r>
      <w:r w:rsidR="007D143F">
        <w:rPr>
          <w:rFonts w:ascii="Verdana" w:hAnsi="Verdana"/>
          <w:sz w:val="20"/>
          <w:szCs w:val="20"/>
          <w:lang w:val="es-AR"/>
        </w:rPr>
        <w:t xml:space="preserve">Agregaron que </w:t>
      </w:r>
      <w:r w:rsidR="0005164A" w:rsidRPr="00A02AC4">
        <w:rPr>
          <w:rFonts w:ascii="Verdana" w:hAnsi="Verdana" w:cs="URWBookmanL-Ligh"/>
          <w:color w:val="00000A"/>
          <w:sz w:val="20"/>
          <w:szCs w:val="20"/>
          <w:lang w:val="es-AR"/>
        </w:rPr>
        <w:t>“[l]a alegada garantía y respeto de derechos de propiedad, garantías judiciales y protección judicial en favor de los colonos de Río Miel</w:t>
      </w:r>
      <w:r w:rsidR="0005164A">
        <w:rPr>
          <w:rFonts w:ascii="Verdana" w:hAnsi="Verdana" w:cs="URWBookmanL-Ligh"/>
          <w:color w:val="00000A"/>
          <w:sz w:val="20"/>
          <w:szCs w:val="20"/>
          <w:lang w:val="es-AR"/>
        </w:rPr>
        <w:t xml:space="preserve">” debía ser resuelta, en todo caso, </w:t>
      </w:r>
      <w:r w:rsidR="0057682C" w:rsidRPr="003066CF">
        <w:rPr>
          <w:rFonts w:ascii="Verdana" w:hAnsi="Verdana" w:cs="URWBookmanL-Ligh"/>
          <w:color w:val="00000A"/>
          <w:sz w:val="20"/>
          <w:szCs w:val="20"/>
          <w:lang w:val="es-AR"/>
        </w:rPr>
        <w:t>“</w:t>
      </w:r>
      <w:proofErr w:type="spellStart"/>
      <w:proofErr w:type="gramStart"/>
      <w:r w:rsidR="0057682C" w:rsidRPr="003066CF">
        <w:rPr>
          <w:rFonts w:ascii="Verdana" w:hAnsi="Verdana" w:cs="URWBookmanL-Ligh"/>
          <w:color w:val="00000A"/>
          <w:sz w:val="20"/>
          <w:szCs w:val="20"/>
          <w:lang w:val="es-AR"/>
        </w:rPr>
        <w:t>acud</w:t>
      </w:r>
      <w:proofErr w:type="spellEnd"/>
      <w:r w:rsidR="0057682C" w:rsidRPr="003066CF">
        <w:rPr>
          <w:rFonts w:ascii="Verdana" w:hAnsi="Verdana" w:cs="URWBookmanL-Ligh"/>
          <w:color w:val="00000A"/>
          <w:sz w:val="20"/>
          <w:szCs w:val="20"/>
          <w:lang w:val="es-AR"/>
        </w:rPr>
        <w:t>[</w:t>
      </w:r>
      <w:proofErr w:type="spellStart"/>
      <w:proofErr w:type="gramEnd"/>
      <w:r w:rsidR="0057682C" w:rsidRPr="003066CF">
        <w:rPr>
          <w:rFonts w:ascii="Verdana" w:hAnsi="Verdana" w:cs="URWBookmanL-Ligh"/>
          <w:color w:val="00000A"/>
          <w:sz w:val="20"/>
          <w:szCs w:val="20"/>
          <w:lang w:val="es-AR"/>
        </w:rPr>
        <w:t>iendo</w:t>
      </w:r>
      <w:proofErr w:type="spellEnd"/>
      <w:r w:rsidR="0057682C" w:rsidRPr="003066CF">
        <w:rPr>
          <w:rFonts w:ascii="Verdana" w:hAnsi="Verdana" w:cs="URWBookmanL-Ligh"/>
          <w:color w:val="00000A"/>
          <w:sz w:val="20"/>
          <w:szCs w:val="20"/>
          <w:lang w:val="es-AR"/>
        </w:rPr>
        <w:t xml:space="preserve"> a los estándares interamericanos</w:t>
      </w:r>
      <w:r w:rsidR="0057682C" w:rsidRPr="003066CF">
        <w:rPr>
          <w:rStyle w:val="Refdenotaalpie"/>
          <w:rFonts w:ascii="Verdana" w:hAnsi="Verdana" w:cs="URWBookmanL-Ligh"/>
          <w:color w:val="00000A"/>
          <w:sz w:val="20"/>
          <w:szCs w:val="20"/>
          <w:lang w:val="es-AR"/>
        </w:rPr>
        <w:footnoteReference w:id="19"/>
      </w:r>
      <w:r w:rsidR="0057682C" w:rsidRPr="003066CF">
        <w:rPr>
          <w:rFonts w:ascii="Verdana" w:hAnsi="Verdana" w:cs="URWBookmanL-Ligh"/>
          <w:color w:val="00000A"/>
          <w:sz w:val="20"/>
          <w:szCs w:val="20"/>
          <w:lang w:val="es-AR"/>
        </w:rPr>
        <w:t xml:space="preserve"> […] </w:t>
      </w:r>
      <w:r w:rsidR="007D143F" w:rsidRPr="003066CF">
        <w:rPr>
          <w:rFonts w:ascii="Verdana" w:hAnsi="Verdana" w:cs="URWBookmanL-Ligh"/>
          <w:color w:val="00000A"/>
          <w:sz w:val="20"/>
          <w:szCs w:val="20"/>
          <w:lang w:val="es-AR"/>
        </w:rPr>
        <w:t>en favor de la comunidad Garífuna y no</w:t>
      </w:r>
      <w:r w:rsidR="007D143F" w:rsidRPr="00C85CE2">
        <w:rPr>
          <w:rFonts w:ascii="Verdana" w:hAnsi="Verdana" w:cs="URWBookmanL-Ligh"/>
          <w:color w:val="00000A"/>
          <w:sz w:val="20"/>
          <w:szCs w:val="20"/>
          <w:lang w:val="es-AR"/>
        </w:rPr>
        <w:t xml:space="preserve"> al revés como lo pretende el Estado”</w:t>
      </w:r>
      <w:r w:rsidR="002439DC">
        <w:rPr>
          <w:rStyle w:val="Refdenotaalpie"/>
          <w:rFonts w:ascii="Verdana" w:hAnsi="Verdana"/>
          <w:sz w:val="20"/>
          <w:szCs w:val="20"/>
          <w:lang w:val="es-CR"/>
        </w:rPr>
        <w:footnoteReference w:id="20"/>
      </w:r>
      <w:r w:rsidR="007D143F" w:rsidRPr="00C85CE2">
        <w:rPr>
          <w:rFonts w:ascii="Verdana" w:hAnsi="Verdana" w:cs="URWBookmanL-Ligh"/>
          <w:color w:val="00000A"/>
          <w:sz w:val="20"/>
          <w:szCs w:val="20"/>
          <w:lang w:val="es-AR"/>
        </w:rPr>
        <w:t>.</w:t>
      </w:r>
      <w:r w:rsidR="0005164A">
        <w:rPr>
          <w:rFonts w:ascii="Verdana" w:hAnsi="Verdana" w:cs="URWBookmanL-Ligh"/>
          <w:color w:val="00000A"/>
          <w:sz w:val="20"/>
          <w:szCs w:val="20"/>
          <w:lang w:val="es-AR"/>
        </w:rPr>
        <w:t xml:space="preserve"> La Comisión </w:t>
      </w:r>
      <w:r w:rsidR="00C85CE2">
        <w:rPr>
          <w:rFonts w:ascii="Verdana" w:hAnsi="Verdana" w:cs="URWBookmanL-Ligh"/>
          <w:color w:val="00000A"/>
          <w:sz w:val="20"/>
          <w:szCs w:val="20"/>
          <w:lang w:val="es-AR"/>
        </w:rPr>
        <w:t>recalcó “</w:t>
      </w:r>
      <w:r w:rsidR="00C85CE2" w:rsidRPr="00C85CE2">
        <w:rPr>
          <w:rFonts w:ascii="Verdana" w:hAnsi="Verdana" w:cs="URWBookmanL-Ligh"/>
          <w:color w:val="00000A"/>
          <w:sz w:val="20"/>
          <w:szCs w:val="20"/>
          <w:lang w:val="es-CR"/>
        </w:rPr>
        <w:t>la extrema diligencia que la Corte solicit</w:t>
      </w:r>
      <w:r w:rsidR="005A1DB0">
        <w:rPr>
          <w:rFonts w:ascii="Verdana" w:hAnsi="Verdana" w:cs="URWBookmanL-Ligh"/>
          <w:color w:val="00000A"/>
          <w:sz w:val="20"/>
          <w:szCs w:val="20"/>
          <w:lang w:val="es-CR"/>
        </w:rPr>
        <w:t>ó</w:t>
      </w:r>
      <w:r w:rsidR="00C85CE2" w:rsidRPr="00C85CE2">
        <w:rPr>
          <w:rFonts w:ascii="Verdana" w:hAnsi="Verdana" w:cs="URWBookmanL-Ligh"/>
          <w:color w:val="00000A"/>
          <w:sz w:val="20"/>
          <w:szCs w:val="20"/>
          <w:lang w:val="es-CR"/>
        </w:rPr>
        <w:t xml:space="preserve"> en el cumplimiento de esta medida</w:t>
      </w:r>
      <w:r w:rsidR="00C85CE2">
        <w:rPr>
          <w:rFonts w:ascii="Verdana" w:hAnsi="Verdana" w:cs="URWBookmanL-Ligh"/>
          <w:color w:val="00000A"/>
          <w:sz w:val="20"/>
          <w:szCs w:val="20"/>
          <w:lang w:val="es-CR"/>
        </w:rPr>
        <w:t>” y que se trataba de una medida de cesación, cuyo “</w:t>
      </w:r>
      <w:r w:rsidR="00C85CE2" w:rsidRPr="00C85CE2">
        <w:rPr>
          <w:rFonts w:ascii="Verdana" w:hAnsi="Verdana" w:cs="URWBookmanL-Ligh"/>
          <w:color w:val="00000A"/>
          <w:sz w:val="20"/>
          <w:szCs w:val="20"/>
          <w:lang w:val="es-CR"/>
        </w:rPr>
        <w:t>incumplimiento genera la postergación en el goce y el disfrute del derecho</w:t>
      </w:r>
      <w:r w:rsidR="00C85CE2">
        <w:rPr>
          <w:rFonts w:ascii="Verdana" w:hAnsi="Verdana" w:cs="URWBookmanL-Ligh"/>
          <w:color w:val="00000A"/>
          <w:sz w:val="20"/>
          <w:szCs w:val="20"/>
          <w:lang w:val="es-CR"/>
        </w:rPr>
        <w:t>”, por lo que mientras no se cumpla con este punto</w:t>
      </w:r>
      <w:r w:rsidR="0039117C">
        <w:rPr>
          <w:rFonts w:ascii="Verdana" w:hAnsi="Verdana" w:cs="URWBookmanL-Ligh"/>
          <w:color w:val="00000A"/>
          <w:sz w:val="20"/>
          <w:szCs w:val="20"/>
          <w:lang w:val="es-CR"/>
        </w:rPr>
        <w:t>,</w:t>
      </w:r>
      <w:r w:rsidR="00C85CE2">
        <w:rPr>
          <w:rFonts w:ascii="Verdana" w:hAnsi="Verdana" w:cs="URWBookmanL-Ligh"/>
          <w:color w:val="00000A"/>
          <w:sz w:val="20"/>
          <w:szCs w:val="20"/>
          <w:lang w:val="es-CR"/>
        </w:rPr>
        <w:t xml:space="preserve"> “</w:t>
      </w:r>
      <w:r w:rsidR="00C85CE2" w:rsidRPr="00C85CE2">
        <w:rPr>
          <w:rFonts w:ascii="Verdana" w:hAnsi="Verdana" w:cs="URWBookmanL-Ligh"/>
          <w:color w:val="00000A"/>
          <w:sz w:val="20"/>
          <w:szCs w:val="20"/>
          <w:lang w:val="es-CR"/>
        </w:rPr>
        <w:t xml:space="preserve">la vulneración </w:t>
      </w:r>
      <w:proofErr w:type="gramStart"/>
      <w:r w:rsidR="00C85CE2" w:rsidRPr="00C85CE2">
        <w:rPr>
          <w:rFonts w:ascii="Verdana" w:hAnsi="Verdana" w:cs="URWBookmanL-Ligh"/>
          <w:color w:val="00000A"/>
          <w:sz w:val="20"/>
          <w:szCs w:val="20"/>
          <w:lang w:val="es-CR"/>
        </w:rPr>
        <w:t>de los derecho</w:t>
      </w:r>
      <w:proofErr w:type="gramEnd"/>
      <w:r w:rsidR="00C85CE2" w:rsidRPr="00C85CE2">
        <w:rPr>
          <w:rFonts w:ascii="Verdana" w:hAnsi="Verdana" w:cs="URWBookmanL-Ligh"/>
          <w:color w:val="00000A"/>
          <w:sz w:val="20"/>
          <w:szCs w:val="20"/>
          <w:lang w:val="es-CR"/>
        </w:rPr>
        <w:t xml:space="preserve"> a la propiedad contin</w:t>
      </w:r>
      <w:r w:rsidR="0039117C">
        <w:rPr>
          <w:rFonts w:ascii="Verdana" w:hAnsi="Verdana" w:cs="URWBookmanL-Ligh"/>
          <w:color w:val="00000A"/>
          <w:sz w:val="20"/>
          <w:szCs w:val="20"/>
          <w:lang w:val="es-CR"/>
        </w:rPr>
        <w:t>ú</w:t>
      </w:r>
      <w:r w:rsidR="00C85CE2" w:rsidRPr="00C85CE2">
        <w:rPr>
          <w:rFonts w:ascii="Verdana" w:hAnsi="Verdana" w:cs="URWBookmanL-Ligh"/>
          <w:color w:val="00000A"/>
          <w:sz w:val="20"/>
          <w:szCs w:val="20"/>
          <w:lang w:val="es-CR"/>
        </w:rPr>
        <w:t>a</w:t>
      </w:r>
      <w:r w:rsidR="00C85CE2">
        <w:rPr>
          <w:rFonts w:ascii="Verdana" w:hAnsi="Verdana" w:cs="URWBookmanL-Ligh"/>
          <w:color w:val="00000A"/>
          <w:sz w:val="20"/>
          <w:szCs w:val="20"/>
          <w:lang w:val="es-CR"/>
        </w:rPr>
        <w:t>”</w:t>
      </w:r>
      <w:r w:rsidR="00051A70">
        <w:rPr>
          <w:rFonts w:ascii="Verdana" w:hAnsi="Verdana" w:cs="URWBookmanL-Ligh"/>
          <w:color w:val="00000A"/>
          <w:sz w:val="20"/>
          <w:szCs w:val="20"/>
          <w:lang w:val="es-CR"/>
        </w:rPr>
        <w:t>.</w:t>
      </w:r>
      <w:r w:rsidR="00883945">
        <w:rPr>
          <w:rFonts w:ascii="Verdana" w:hAnsi="Verdana" w:cs="URWBookmanL-Ligh"/>
          <w:color w:val="00000A"/>
          <w:sz w:val="20"/>
          <w:szCs w:val="20"/>
          <w:lang w:val="es-CR"/>
        </w:rPr>
        <w:t xml:space="preserve"> </w:t>
      </w:r>
      <w:r w:rsidR="00051A70">
        <w:rPr>
          <w:rFonts w:ascii="Verdana" w:hAnsi="Verdana" w:cs="URWBookmanL-Ligh"/>
          <w:color w:val="00000A"/>
          <w:sz w:val="20"/>
          <w:szCs w:val="20"/>
          <w:lang w:val="es-CR"/>
        </w:rPr>
        <w:t>A</w:t>
      </w:r>
      <w:r w:rsidR="00883945">
        <w:rPr>
          <w:rFonts w:ascii="Verdana" w:hAnsi="Verdana" w:cs="URWBookmanL-Ligh"/>
          <w:color w:val="00000A"/>
          <w:sz w:val="20"/>
          <w:szCs w:val="20"/>
          <w:lang w:val="es-CR"/>
        </w:rPr>
        <w:t>gregó que</w:t>
      </w:r>
      <w:r w:rsidR="00C85CE2">
        <w:rPr>
          <w:rFonts w:ascii="Verdana" w:hAnsi="Verdana" w:cs="URWBookmanL-Ligh"/>
          <w:color w:val="00000A"/>
          <w:sz w:val="20"/>
          <w:szCs w:val="20"/>
          <w:lang w:val="es-CR"/>
        </w:rPr>
        <w:t xml:space="preserve"> </w:t>
      </w:r>
      <w:r w:rsidR="00883945">
        <w:rPr>
          <w:rFonts w:ascii="Verdana" w:hAnsi="Verdana"/>
          <w:sz w:val="20"/>
          <w:szCs w:val="20"/>
          <w:lang w:val="es-CR"/>
        </w:rPr>
        <w:t>“</w:t>
      </w:r>
      <w:r w:rsidR="00883945" w:rsidRPr="00C85CE2">
        <w:rPr>
          <w:rFonts w:ascii="Verdana" w:hAnsi="Verdana"/>
          <w:sz w:val="20"/>
          <w:szCs w:val="20"/>
          <w:lang w:val="es-CR"/>
        </w:rPr>
        <w:t xml:space="preserve">activar los mecanismos excepcionales de cumplimiento, </w:t>
      </w:r>
      <w:r w:rsidR="00883945">
        <w:rPr>
          <w:rFonts w:ascii="Verdana" w:hAnsi="Verdana"/>
          <w:sz w:val="20"/>
          <w:szCs w:val="20"/>
          <w:lang w:val="es-CR"/>
        </w:rPr>
        <w:t>[…]</w:t>
      </w:r>
      <w:r w:rsidR="00883945" w:rsidRPr="00C85CE2">
        <w:rPr>
          <w:rFonts w:ascii="Verdana" w:hAnsi="Verdana"/>
          <w:sz w:val="20"/>
          <w:szCs w:val="20"/>
          <w:lang w:val="es-CR"/>
        </w:rPr>
        <w:t xml:space="preserve"> no puede descansar en la onerosidad </w:t>
      </w:r>
      <w:r w:rsidR="00883945">
        <w:rPr>
          <w:rFonts w:ascii="Verdana" w:hAnsi="Verdana"/>
          <w:sz w:val="20"/>
          <w:szCs w:val="20"/>
          <w:lang w:val="es-CR"/>
        </w:rPr>
        <w:t>[…]</w:t>
      </w:r>
      <w:r w:rsidR="00883945" w:rsidRPr="00C85CE2">
        <w:rPr>
          <w:rFonts w:ascii="Verdana" w:hAnsi="Verdana"/>
          <w:sz w:val="20"/>
          <w:szCs w:val="20"/>
          <w:lang w:val="es-CR"/>
        </w:rPr>
        <w:t xml:space="preserve"> o </w:t>
      </w:r>
      <w:r w:rsidR="00883945">
        <w:rPr>
          <w:rFonts w:ascii="Verdana" w:hAnsi="Verdana"/>
          <w:sz w:val="20"/>
          <w:szCs w:val="20"/>
          <w:lang w:val="es-CR"/>
        </w:rPr>
        <w:t>[…]</w:t>
      </w:r>
      <w:r w:rsidR="00883945" w:rsidRPr="00C85CE2">
        <w:rPr>
          <w:rFonts w:ascii="Verdana" w:hAnsi="Verdana"/>
          <w:sz w:val="20"/>
          <w:szCs w:val="20"/>
          <w:lang w:val="es-CR"/>
        </w:rPr>
        <w:t xml:space="preserve"> dificultad de la medida, sino en el real agotamiento acompañado de la comunidad, de que no hay otra alternativa posible</w:t>
      </w:r>
      <w:r w:rsidR="00883945">
        <w:rPr>
          <w:rFonts w:ascii="Verdana" w:hAnsi="Verdana"/>
          <w:sz w:val="20"/>
          <w:szCs w:val="20"/>
          <w:lang w:val="es-CR"/>
        </w:rPr>
        <w:t>, l</w:t>
      </w:r>
      <w:r w:rsidR="00883945" w:rsidRPr="00C85CE2">
        <w:rPr>
          <w:rFonts w:ascii="Verdana" w:hAnsi="Verdana"/>
          <w:sz w:val="20"/>
          <w:szCs w:val="20"/>
          <w:lang w:val="es-CR"/>
        </w:rPr>
        <w:t>o que no se desprende de la información aportada</w:t>
      </w:r>
      <w:r w:rsidR="00883945">
        <w:rPr>
          <w:rFonts w:ascii="Verdana" w:hAnsi="Verdana"/>
          <w:sz w:val="20"/>
          <w:szCs w:val="20"/>
          <w:lang w:val="es-CR"/>
        </w:rPr>
        <w:t>”</w:t>
      </w:r>
      <w:r w:rsidR="00051A70">
        <w:rPr>
          <w:rStyle w:val="Refdenotaalpie"/>
          <w:rFonts w:ascii="Verdana" w:hAnsi="Verdana"/>
          <w:sz w:val="20"/>
          <w:szCs w:val="20"/>
          <w:lang w:val="es-CR"/>
        </w:rPr>
        <w:footnoteReference w:id="21"/>
      </w:r>
      <w:r w:rsidR="0039117C">
        <w:rPr>
          <w:rFonts w:ascii="Verdana" w:hAnsi="Verdana"/>
          <w:sz w:val="20"/>
          <w:szCs w:val="20"/>
          <w:lang w:val="es-CR"/>
        </w:rPr>
        <w:t>.</w:t>
      </w:r>
    </w:p>
    <w:p w14:paraId="2F59B474" w14:textId="7BF04651" w:rsidR="00D50024" w:rsidRPr="00036F3F" w:rsidRDefault="00D50024" w:rsidP="00036F3F">
      <w:pPr>
        <w:pStyle w:val="Prrafodelista"/>
        <w:numPr>
          <w:ilvl w:val="0"/>
          <w:numId w:val="3"/>
        </w:numPr>
        <w:tabs>
          <w:tab w:val="left" w:pos="680"/>
        </w:tabs>
        <w:spacing w:before="60" w:after="60"/>
        <w:ind w:left="0" w:hanging="11"/>
        <w:contextualSpacing w:val="0"/>
        <w:jc w:val="both"/>
        <w:rPr>
          <w:lang w:val="es-ES"/>
        </w:rPr>
      </w:pPr>
      <w:r>
        <w:rPr>
          <w:rFonts w:ascii="Verdana" w:hAnsi="Verdana"/>
          <w:sz w:val="20"/>
          <w:szCs w:val="20"/>
          <w:lang w:val="es-MX"/>
        </w:rPr>
        <w:t>La Corte recuerda que en la Sentencia declaró q</w:t>
      </w:r>
      <w:proofErr w:type="spellStart"/>
      <w:r w:rsidRPr="00D50024">
        <w:rPr>
          <w:rFonts w:ascii="Verdana" w:hAnsi="Verdana"/>
          <w:sz w:val="20"/>
          <w:szCs w:val="20"/>
          <w:lang w:val="es-ES"/>
        </w:rPr>
        <w:t>ue</w:t>
      </w:r>
      <w:proofErr w:type="spellEnd"/>
      <w:r w:rsidRPr="00D50024">
        <w:rPr>
          <w:rFonts w:ascii="Verdana" w:hAnsi="Verdana"/>
          <w:sz w:val="20"/>
          <w:szCs w:val="20"/>
          <w:lang w:val="es-ES"/>
        </w:rPr>
        <w:t xml:space="preserve"> Honduras </w:t>
      </w:r>
      <w:proofErr w:type="spellStart"/>
      <w:r w:rsidRPr="00D50024">
        <w:rPr>
          <w:rFonts w:ascii="Verdana" w:hAnsi="Verdana"/>
          <w:sz w:val="20"/>
          <w:szCs w:val="20"/>
          <w:lang w:val="es-ES"/>
        </w:rPr>
        <w:t>había</w:t>
      </w:r>
      <w:proofErr w:type="spellEnd"/>
      <w:r w:rsidRPr="00D50024">
        <w:rPr>
          <w:rFonts w:ascii="Verdana" w:hAnsi="Verdana"/>
          <w:sz w:val="20"/>
          <w:szCs w:val="20"/>
          <w:lang w:val="es-ES"/>
        </w:rPr>
        <w:t xml:space="preserve"> incurrido en responsabilidad internacional </w:t>
      </w:r>
      <w:r w:rsidR="00036F3F">
        <w:rPr>
          <w:rFonts w:ascii="Verdana" w:hAnsi="Verdana"/>
          <w:sz w:val="20"/>
          <w:szCs w:val="20"/>
          <w:lang w:val="es-ES"/>
        </w:rPr>
        <w:t>“</w:t>
      </w:r>
      <w:r w:rsidR="00036F3F" w:rsidRPr="00036F3F">
        <w:rPr>
          <w:rFonts w:ascii="Verdana" w:hAnsi="Verdana"/>
          <w:sz w:val="20"/>
          <w:szCs w:val="20"/>
          <w:lang w:val="es-ES"/>
        </w:rPr>
        <w:t xml:space="preserve">con motivo del incumplimiento en garantizar el uso y goce de la propiedad comunal, a </w:t>
      </w:r>
      <w:proofErr w:type="spellStart"/>
      <w:r w:rsidR="00036F3F" w:rsidRPr="00036F3F">
        <w:rPr>
          <w:rFonts w:ascii="Verdana" w:hAnsi="Verdana"/>
          <w:sz w:val="20"/>
          <w:szCs w:val="20"/>
          <w:lang w:val="es-ES"/>
        </w:rPr>
        <w:t>través</w:t>
      </w:r>
      <w:proofErr w:type="spellEnd"/>
      <w:r w:rsidR="00036F3F" w:rsidRPr="00036F3F">
        <w:rPr>
          <w:rFonts w:ascii="Verdana" w:hAnsi="Verdana"/>
          <w:sz w:val="20"/>
          <w:szCs w:val="20"/>
          <w:lang w:val="es-ES"/>
        </w:rPr>
        <w:t xml:space="preserve"> del saneamiento respectivo, </w:t>
      </w:r>
      <w:proofErr w:type="spellStart"/>
      <w:r w:rsidR="00036F3F" w:rsidRPr="00036F3F">
        <w:rPr>
          <w:rFonts w:ascii="Verdana" w:hAnsi="Verdana"/>
          <w:sz w:val="20"/>
          <w:szCs w:val="20"/>
          <w:lang w:val="es-ES"/>
        </w:rPr>
        <w:t>asi</w:t>
      </w:r>
      <w:proofErr w:type="spellEnd"/>
      <w:r w:rsidR="00036F3F" w:rsidRPr="00036F3F">
        <w:rPr>
          <w:rFonts w:ascii="Verdana" w:hAnsi="Verdana"/>
          <w:sz w:val="20"/>
          <w:szCs w:val="20"/>
          <w:lang w:val="es-ES"/>
        </w:rPr>
        <w:t xml:space="preserve">́ como por el incumplimiento en la </w:t>
      </w:r>
      <w:proofErr w:type="spellStart"/>
      <w:r w:rsidR="00036F3F" w:rsidRPr="00036F3F">
        <w:rPr>
          <w:rFonts w:ascii="Verdana" w:hAnsi="Verdana"/>
          <w:sz w:val="20"/>
          <w:szCs w:val="20"/>
          <w:lang w:val="es-ES"/>
        </w:rPr>
        <w:t>ejecución</w:t>
      </w:r>
      <w:proofErr w:type="spellEnd"/>
      <w:r w:rsidR="00036F3F" w:rsidRPr="00036F3F">
        <w:rPr>
          <w:rFonts w:ascii="Verdana" w:hAnsi="Verdana"/>
          <w:sz w:val="20"/>
          <w:szCs w:val="20"/>
          <w:lang w:val="es-ES"/>
        </w:rPr>
        <w:t xml:space="preserve"> de los acuerdos alcanzados </w:t>
      </w:r>
      <w:r w:rsidR="00036F3F">
        <w:rPr>
          <w:rFonts w:ascii="Verdana" w:hAnsi="Verdana"/>
          <w:sz w:val="20"/>
          <w:szCs w:val="20"/>
          <w:lang w:val="es-ES"/>
        </w:rPr>
        <w:t>[…]</w:t>
      </w:r>
      <w:r w:rsidR="00036F3F" w:rsidRPr="00036F3F">
        <w:rPr>
          <w:rFonts w:ascii="Verdana" w:hAnsi="Verdana"/>
          <w:sz w:val="20"/>
          <w:szCs w:val="20"/>
          <w:lang w:val="es-ES"/>
        </w:rPr>
        <w:t xml:space="preserve">, por lo que dichas omisiones </w:t>
      </w:r>
      <w:r w:rsidR="00036F3F" w:rsidRPr="00036F3F">
        <w:rPr>
          <w:rFonts w:ascii="Verdana" w:hAnsi="Verdana"/>
          <w:sz w:val="20"/>
          <w:szCs w:val="20"/>
          <w:lang w:val="es-CR"/>
        </w:rPr>
        <w:t>permitieron</w:t>
      </w:r>
      <w:r w:rsidR="00036F3F" w:rsidRPr="00036F3F">
        <w:rPr>
          <w:rFonts w:ascii="Verdana" w:hAnsi="Verdana"/>
          <w:sz w:val="20"/>
          <w:szCs w:val="20"/>
          <w:lang w:val="es-ES"/>
        </w:rPr>
        <w:t xml:space="preserve"> el incremento progresivo de la </w:t>
      </w:r>
      <w:proofErr w:type="spellStart"/>
      <w:r w:rsidR="00036F3F" w:rsidRPr="00036F3F">
        <w:rPr>
          <w:rFonts w:ascii="Verdana" w:hAnsi="Verdana"/>
          <w:sz w:val="20"/>
          <w:szCs w:val="20"/>
          <w:lang w:val="es-ES"/>
        </w:rPr>
        <w:t>ocupación</w:t>
      </w:r>
      <w:proofErr w:type="spellEnd"/>
      <w:r w:rsidR="00036F3F" w:rsidRPr="00036F3F">
        <w:rPr>
          <w:rFonts w:ascii="Verdana" w:hAnsi="Verdana"/>
          <w:sz w:val="20"/>
          <w:szCs w:val="20"/>
          <w:lang w:val="es-ES"/>
        </w:rPr>
        <w:t xml:space="preserve"> del territorio comunal, privando a la Comunidad de Punta Piedra del uso y goce efectivo y </w:t>
      </w:r>
      <w:proofErr w:type="spellStart"/>
      <w:r w:rsidR="00036F3F" w:rsidRPr="00036F3F">
        <w:rPr>
          <w:rFonts w:ascii="Verdana" w:hAnsi="Verdana"/>
          <w:sz w:val="20"/>
          <w:szCs w:val="20"/>
          <w:lang w:val="es-ES"/>
        </w:rPr>
        <w:t>pacífico</w:t>
      </w:r>
      <w:proofErr w:type="spellEnd"/>
      <w:r w:rsidR="00036F3F" w:rsidRPr="00036F3F">
        <w:rPr>
          <w:rFonts w:ascii="Verdana" w:hAnsi="Verdana"/>
          <w:sz w:val="20"/>
          <w:szCs w:val="20"/>
          <w:lang w:val="es-ES"/>
        </w:rPr>
        <w:t xml:space="preserve"> de su territorio</w:t>
      </w:r>
      <w:r w:rsidR="00036F3F">
        <w:rPr>
          <w:rFonts w:ascii="Verdana" w:hAnsi="Verdana"/>
          <w:sz w:val="20"/>
          <w:szCs w:val="20"/>
          <w:lang w:val="es-ES"/>
        </w:rPr>
        <w:t>”</w:t>
      </w:r>
      <w:r w:rsidR="00C25CEA">
        <w:rPr>
          <w:rStyle w:val="Refdenotaalpie"/>
          <w:rFonts w:ascii="Verdana" w:hAnsi="Verdana"/>
          <w:sz w:val="20"/>
          <w:szCs w:val="20"/>
          <w:lang w:val="es-ES"/>
        </w:rPr>
        <w:footnoteReference w:id="22"/>
      </w:r>
      <w:r w:rsidR="00036F3F">
        <w:rPr>
          <w:rFonts w:ascii="Verdana" w:hAnsi="Verdana"/>
          <w:sz w:val="20"/>
          <w:szCs w:val="20"/>
          <w:lang w:val="es-ES"/>
        </w:rPr>
        <w:t>.</w:t>
      </w:r>
      <w:r w:rsidR="00036F3F" w:rsidRPr="00036F3F">
        <w:rPr>
          <w:rFonts w:ascii="Verdana" w:hAnsi="Verdana"/>
          <w:sz w:val="20"/>
          <w:szCs w:val="20"/>
          <w:lang w:val="es-ES"/>
        </w:rPr>
        <w:t xml:space="preserve"> </w:t>
      </w:r>
      <w:r w:rsidRPr="00036F3F">
        <w:rPr>
          <w:rFonts w:ascii="Verdana" w:hAnsi="Verdana"/>
          <w:sz w:val="20"/>
          <w:szCs w:val="20"/>
          <w:lang w:val="es-ES"/>
        </w:rPr>
        <w:t xml:space="preserve">Por la naturaleza de las referidas violaciones, al momento de ordenar la respectiva </w:t>
      </w:r>
      <w:proofErr w:type="spellStart"/>
      <w:r w:rsidRPr="00036F3F">
        <w:rPr>
          <w:rFonts w:ascii="Verdana" w:hAnsi="Verdana"/>
          <w:sz w:val="20"/>
          <w:szCs w:val="20"/>
          <w:lang w:val="es-ES"/>
        </w:rPr>
        <w:t>reparación</w:t>
      </w:r>
      <w:proofErr w:type="spellEnd"/>
      <w:r w:rsidRPr="00036F3F">
        <w:rPr>
          <w:rFonts w:ascii="Verdana" w:hAnsi="Verdana"/>
          <w:sz w:val="20"/>
          <w:szCs w:val="20"/>
          <w:lang w:val="es-ES"/>
        </w:rPr>
        <w:t xml:space="preserve"> en la Sentencia, el Tribunal ponderó que esta fuese una medida de </w:t>
      </w:r>
      <w:proofErr w:type="spellStart"/>
      <w:r w:rsidRPr="00036F3F">
        <w:rPr>
          <w:rFonts w:ascii="Verdana" w:hAnsi="Verdana"/>
          <w:sz w:val="20"/>
          <w:szCs w:val="20"/>
          <w:lang w:val="es-ES"/>
        </w:rPr>
        <w:t>restitución</w:t>
      </w:r>
      <w:proofErr w:type="spellEnd"/>
      <w:r w:rsidRPr="00036F3F">
        <w:rPr>
          <w:rFonts w:ascii="Verdana" w:hAnsi="Verdana"/>
          <w:sz w:val="20"/>
          <w:szCs w:val="20"/>
          <w:lang w:val="es-ES"/>
        </w:rPr>
        <w:t xml:space="preserve"> que restableciera a las </w:t>
      </w:r>
      <w:proofErr w:type="spellStart"/>
      <w:r w:rsidRPr="00036F3F">
        <w:rPr>
          <w:rFonts w:ascii="Verdana" w:hAnsi="Verdana"/>
          <w:sz w:val="20"/>
          <w:szCs w:val="20"/>
          <w:lang w:val="es-ES"/>
        </w:rPr>
        <w:t>víctimas</w:t>
      </w:r>
      <w:proofErr w:type="spellEnd"/>
      <w:r w:rsidRPr="00036F3F">
        <w:rPr>
          <w:rFonts w:ascii="Verdana" w:hAnsi="Verdana"/>
          <w:sz w:val="20"/>
          <w:szCs w:val="20"/>
          <w:lang w:val="es-ES"/>
        </w:rPr>
        <w:t xml:space="preserve"> a la </w:t>
      </w:r>
      <w:proofErr w:type="spellStart"/>
      <w:r w:rsidRPr="00036F3F">
        <w:rPr>
          <w:rFonts w:ascii="Verdana" w:hAnsi="Verdana"/>
          <w:sz w:val="20"/>
          <w:szCs w:val="20"/>
          <w:lang w:val="es-ES"/>
        </w:rPr>
        <w:t>situación</w:t>
      </w:r>
      <w:proofErr w:type="spellEnd"/>
      <w:r w:rsidRPr="00036F3F">
        <w:rPr>
          <w:rFonts w:ascii="Verdana" w:hAnsi="Verdana"/>
          <w:sz w:val="20"/>
          <w:szCs w:val="20"/>
          <w:lang w:val="es-ES"/>
        </w:rPr>
        <w:t xml:space="preserve"> de </w:t>
      </w:r>
      <w:proofErr w:type="spellStart"/>
      <w:r w:rsidRPr="00036F3F">
        <w:rPr>
          <w:rFonts w:ascii="Verdana" w:hAnsi="Verdana"/>
          <w:sz w:val="20"/>
          <w:szCs w:val="20"/>
          <w:lang w:val="es-ES"/>
        </w:rPr>
        <w:t>protección</w:t>
      </w:r>
      <w:proofErr w:type="spellEnd"/>
      <w:r w:rsidRPr="00036F3F">
        <w:rPr>
          <w:rFonts w:ascii="Verdana" w:hAnsi="Verdana"/>
          <w:sz w:val="20"/>
          <w:szCs w:val="20"/>
          <w:lang w:val="es-ES"/>
        </w:rPr>
        <w:t xml:space="preserve"> a sus derechos humanos que </w:t>
      </w:r>
      <w:proofErr w:type="spellStart"/>
      <w:r w:rsidRPr="00036F3F">
        <w:rPr>
          <w:rFonts w:ascii="Verdana" w:hAnsi="Verdana"/>
          <w:sz w:val="20"/>
          <w:szCs w:val="20"/>
          <w:lang w:val="es-ES"/>
        </w:rPr>
        <w:t>existía</w:t>
      </w:r>
      <w:proofErr w:type="spellEnd"/>
      <w:r w:rsidRPr="00036F3F">
        <w:rPr>
          <w:rFonts w:ascii="Verdana" w:hAnsi="Verdana"/>
          <w:sz w:val="20"/>
          <w:szCs w:val="20"/>
          <w:lang w:val="es-ES"/>
        </w:rPr>
        <w:t xml:space="preserve"> antes de que ocurrieran las referidas </w:t>
      </w:r>
      <w:r w:rsidR="009C774E">
        <w:rPr>
          <w:rFonts w:ascii="Verdana" w:hAnsi="Verdana"/>
          <w:sz w:val="20"/>
          <w:szCs w:val="20"/>
          <w:lang w:val="es-ES"/>
        </w:rPr>
        <w:t>violaciones</w:t>
      </w:r>
      <w:r w:rsidRPr="00036F3F">
        <w:rPr>
          <w:rFonts w:ascii="Verdana" w:hAnsi="Verdana"/>
          <w:sz w:val="20"/>
          <w:szCs w:val="20"/>
          <w:lang w:val="es-ES"/>
        </w:rPr>
        <w:t>:</w:t>
      </w:r>
    </w:p>
    <w:p w14:paraId="2C1C55AC" w14:textId="1775969E" w:rsidR="00036F3F" w:rsidRPr="00036F3F" w:rsidRDefault="00036F3F" w:rsidP="0094542A">
      <w:pPr>
        <w:pStyle w:val="Prrafodelista"/>
        <w:tabs>
          <w:tab w:val="left" w:pos="680"/>
        </w:tabs>
        <w:spacing w:before="60" w:after="60"/>
        <w:ind w:left="850" w:right="619"/>
        <w:contextualSpacing w:val="0"/>
        <w:jc w:val="both"/>
        <w:rPr>
          <w:rFonts w:ascii="Times New Roman" w:hAnsi="Times New Roman"/>
          <w:szCs w:val="24"/>
          <w:lang w:val="es-ES"/>
        </w:rPr>
      </w:pPr>
      <w:r w:rsidRPr="00036F3F">
        <w:rPr>
          <w:rFonts w:ascii="Verdana" w:hAnsi="Verdana"/>
          <w:sz w:val="18"/>
          <w:szCs w:val="20"/>
          <w:lang w:val="es-ES"/>
        </w:rPr>
        <w:t xml:space="preserve">La Corte establece que a fin de lograr una </w:t>
      </w:r>
      <w:proofErr w:type="spellStart"/>
      <w:r w:rsidRPr="00036F3F">
        <w:rPr>
          <w:rFonts w:ascii="Verdana" w:hAnsi="Verdana"/>
          <w:sz w:val="18"/>
          <w:szCs w:val="20"/>
          <w:lang w:val="es-ES"/>
        </w:rPr>
        <w:t>reparación</w:t>
      </w:r>
      <w:proofErr w:type="spellEnd"/>
      <w:r w:rsidRPr="00036F3F">
        <w:rPr>
          <w:rFonts w:ascii="Verdana" w:hAnsi="Verdana"/>
          <w:sz w:val="18"/>
          <w:szCs w:val="20"/>
          <w:lang w:val="es-ES"/>
        </w:rPr>
        <w:t xml:space="preserve"> integral de las violaciones acreditadas, a </w:t>
      </w:r>
      <w:proofErr w:type="spellStart"/>
      <w:r w:rsidRPr="00036F3F">
        <w:rPr>
          <w:rFonts w:ascii="Verdana" w:hAnsi="Verdana"/>
          <w:sz w:val="18"/>
          <w:szCs w:val="20"/>
          <w:lang w:val="es-ES"/>
        </w:rPr>
        <w:t>través</w:t>
      </w:r>
      <w:proofErr w:type="spellEnd"/>
      <w:r w:rsidRPr="00036F3F">
        <w:rPr>
          <w:rFonts w:ascii="Verdana" w:hAnsi="Verdana"/>
          <w:sz w:val="18"/>
          <w:szCs w:val="20"/>
          <w:lang w:val="es-ES"/>
        </w:rPr>
        <w:t xml:space="preserve"> de la </w:t>
      </w:r>
      <w:proofErr w:type="spellStart"/>
      <w:r w:rsidRPr="00036F3F">
        <w:rPr>
          <w:rFonts w:ascii="Verdana" w:hAnsi="Verdana"/>
          <w:sz w:val="18"/>
          <w:szCs w:val="20"/>
          <w:lang w:val="es-ES"/>
        </w:rPr>
        <w:t>restitución</w:t>
      </w:r>
      <w:proofErr w:type="spellEnd"/>
      <w:r w:rsidRPr="00036F3F">
        <w:rPr>
          <w:rFonts w:ascii="Verdana" w:hAnsi="Verdana"/>
          <w:sz w:val="18"/>
          <w:szCs w:val="20"/>
          <w:lang w:val="es-ES"/>
        </w:rPr>
        <w:t xml:space="preserve"> de los derechos conculcados, corresponde al Estado realizar el saneamiento de las tierras tradicionales que fueron tituladas por el Estado en favor de la Comunidad de Punta Piedra y hacer efectiva la </w:t>
      </w:r>
      <w:proofErr w:type="spellStart"/>
      <w:r w:rsidRPr="00036F3F">
        <w:rPr>
          <w:rFonts w:ascii="Verdana" w:hAnsi="Verdana"/>
          <w:sz w:val="18"/>
          <w:szCs w:val="20"/>
          <w:lang w:val="es-ES"/>
        </w:rPr>
        <w:t>implementación</w:t>
      </w:r>
      <w:proofErr w:type="spellEnd"/>
      <w:r w:rsidRPr="00036F3F">
        <w:rPr>
          <w:rFonts w:ascii="Verdana" w:hAnsi="Verdana"/>
          <w:sz w:val="18"/>
          <w:szCs w:val="20"/>
          <w:lang w:val="es-ES"/>
        </w:rPr>
        <w:t xml:space="preserve"> de los acuerdos alcanzados</w:t>
      </w:r>
      <w:r w:rsidR="00C25CEA">
        <w:rPr>
          <w:rStyle w:val="Refdenotaalpie"/>
          <w:rFonts w:ascii="Verdana" w:hAnsi="Verdana"/>
          <w:sz w:val="18"/>
          <w:szCs w:val="20"/>
          <w:lang w:val="es-ES"/>
        </w:rPr>
        <w:footnoteReference w:id="23"/>
      </w:r>
      <w:r w:rsidRPr="00036F3F">
        <w:rPr>
          <w:rFonts w:ascii="Verdana" w:hAnsi="Verdana"/>
          <w:sz w:val="18"/>
          <w:szCs w:val="20"/>
          <w:lang w:val="es-ES"/>
        </w:rPr>
        <w:t xml:space="preserve">. </w:t>
      </w:r>
    </w:p>
    <w:p w14:paraId="2B87BC4E" w14:textId="0A804388" w:rsidR="00C25CEA" w:rsidRPr="00C25CEA" w:rsidRDefault="00036F3F" w:rsidP="00C25CEA">
      <w:pPr>
        <w:pStyle w:val="Prrafodelista"/>
        <w:numPr>
          <w:ilvl w:val="0"/>
          <w:numId w:val="3"/>
        </w:numPr>
        <w:tabs>
          <w:tab w:val="left" w:pos="680"/>
        </w:tabs>
        <w:spacing w:before="60" w:after="60"/>
        <w:ind w:left="0" w:hanging="11"/>
        <w:contextualSpacing w:val="0"/>
        <w:jc w:val="both"/>
        <w:rPr>
          <w:rFonts w:ascii="Verdana" w:hAnsi="Verdana"/>
          <w:sz w:val="20"/>
          <w:szCs w:val="20"/>
          <w:lang w:val="es-ES"/>
        </w:rPr>
      </w:pPr>
      <w:r w:rsidRPr="00036F3F">
        <w:rPr>
          <w:rFonts w:ascii="Verdana" w:hAnsi="Verdana"/>
          <w:sz w:val="20"/>
          <w:szCs w:val="20"/>
          <w:lang w:val="es-ES"/>
        </w:rPr>
        <w:lastRenderedPageBreak/>
        <w:t xml:space="preserve">En este sentido, la medida de </w:t>
      </w:r>
      <w:r w:rsidR="00826A06" w:rsidRPr="00036F3F">
        <w:rPr>
          <w:rFonts w:ascii="Verdana" w:hAnsi="Verdana"/>
          <w:sz w:val="20"/>
          <w:szCs w:val="20"/>
          <w:lang w:val="es-ES"/>
        </w:rPr>
        <w:t>restitución</w:t>
      </w:r>
      <w:r w:rsidRPr="00036F3F">
        <w:rPr>
          <w:rFonts w:ascii="Verdana" w:hAnsi="Verdana"/>
          <w:sz w:val="20"/>
          <w:szCs w:val="20"/>
          <w:lang w:val="es-ES"/>
        </w:rPr>
        <w:t xml:space="preserve"> constituye la principal </w:t>
      </w:r>
      <w:proofErr w:type="spellStart"/>
      <w:r w:rsidRPr="00036F3F">
        <w:rPr>
          <w:rFonts w:ascii="Verdana" w:hAnsi="Verdana"/>
          <w:sz w:val="20"/>
          <w:szCs w:val="20"/>
          <w:lang w:val="es-ES"/>
        </w:rPr>
        <w:t>reparación</w:t>
      </w:r>
      <w:proofErr w:type="spellEnd"/>
      <w:r w:rsidRPr="00036F3F">
        <w:rPr>
          <w:rFonts w:ascii="Verdana" w:hAnsi="Verdana"/>
          <w:sz w:val="20"/>
          <w:szCs w:val="20"/>
          <w:lang w:val="es-ES"/>
        </w:rPr>
        <w:t xml:space="preserve"> de las violaciones constatadas en la Sentencia</w:t>
      </w:r>
      <w:r>
        <w:rPr>
          <w:rFonts w:ascii="Verdana" w:hAnsi="Verdana"/>
          <w:sz w:val="20"/>
          <w:szCs w:val="20"/>
          <w:lang w:val="es-ES"/>
        </w:rPr>
        <w:t>: que el Estado remueva cualquier obstáculo o interferencia sobre el uso y goce del territorio titulado a favor de la Comunidad Garífuna de Punta Piedra a través del saneamiento (</w:t>
      </w:r>
      <w:r>
        <w:rPr>
          <w:rFonts w:ascii="Verdana" w:hAnsi="Verdana"/>
          <w:i/>
          <w:sz w:val="20"/>
          <w:szCs w:val="20"/>
          <w:lang w:val="es-ES"/>
        </w:rPr>
        <w:t xml:space="preserve">supra </w:t>
      </w:r>
      <w:r>
        <w:rPr>
          <w:rFonts w:ascii="Verdana" w:hAnsi="Verdana"/>
          <w:sz w:val="20"/>
          <w:szCs w:val="20"/>
          <w:lang w:val="es-ES"/>
        </w:rPr>
        <w:t xml:space="preserve">Considerando </w:t>
      </w:r>
      <w:r w:rsidR="00826A06">
        <w:rPr>
          <w:rFonts w:ascii="Verdana" w:hAnsi="Verdana"/>
          <w:sz w:val="20"/>
          <w:szCs w:val="20"/>
          <w:lang w:val="es-ES"/>
        </w:rPr>
        <w:fldChar w:fldCharType="begin"/>
      </w:r>
      <w:r w:rsidR="00826A06">
        <w:rPr>
          <w:rFonts w:ascii="Verdana" w:hAnsi="Verdana"/>
          <w:sz w:val="20"/>
          <w:szCs w:val="20"/>
          <w:lang w:val="es-ES"/>
        </w:rPr>
        <w:instrText xml:space="preserve"> REF _Ref12522769 \r \h </w:instrText>
      </w:r>
      <w:r w:rsidR="00826A06">
        <w:rPr>
          <w:rFonts w:ascii="Verdana" w:hAnsi="Verdana"/>
          <w:sz w:val="20"/>
          <w:szCs w:val="20"/>
          <w:lang w:val="es-ES"/>
        </w:rPr>
      </w:r>
      <w:r w:rsidR="00826A06">
        <w:rPr>
          <w:rFonts w:ascii="Verdana" w:hAnsi="Verdana"/>
          <w:sz w:val="20"/>
          <w:szCs w:val="20"/>
          <w:lang w:val="es-ES"/>
        </w:rPr>
        <w:fldChar w:fldCharType="separate"/>
      </w:r>
      <w:r w:rsidR="00D11D5D">
        <w:rPr>
          <w:rFonts w:ascii="Verdana" w:hAnsi="Verdana"/>
          <w:sz w:val="20"/>
          <w:szCs w:val="20"/>
          <w:lang w:val="es-ES"/>
        </w:rPr>
        <w:t>4</w:t>
      </w:r>
      <w:r w:rsidR="00826A06">
        <w:rPr>
          <w:rFonts w:ascii="Verdana" w:hAnsi="Verdana"/>
          <w:sz w:val="20"/>
          <w:szCs w:val="20"/>
          <w:lang w:val="es-ES"/>
        </w:rPr>
        <w:fldChar w:fldCharType="end"/>
      </w:r>
      <w:r>
        <w:rPr>
          <w:rFonts w:ascii="Verdana" w:hAnsi="Verdana"/>
          <w:sz w:val="20"/>
          <w:szCs w:val="20"/>
          <w:lang w:val="es-ES"/>
        </w:rPr>
        <w:t xml:space="preserve">). Únicamente en caso que “por motivos objetivos y fundamentados” no fuera posible el reintegro del territorio ocupado, </w:t>
      </w:r>
      <w:r w:rsidR="00C25CEA">
        <w:rPr>
          <w:rFonts w:ascii="Verdana" w:hAnsi="Verdana"/>
          <w:sz w:val="20"/>
          <w:szCs w:val="20"/>
          <w:lang w:val="es-ES"/>
        </w:rPr>
        <w:t>el Estado debería ofrecer “de manera excepcional” a la Comunidad de Punta Piedra “</w:t>
      </w:r>
      <w:r w:rsidR="00C25CEA" w:rsidRPr="00C25CEA">
        <w:rPr>
          <w:rFonts w:ascii="Verdana" w:hAnsi="Verdana"/>
          <w:sz w:val="20"/>
          <w:szCs w:val="20"/>
          <w:lang w:val="es-ES"/>
        </w:rPr>
        <w:t xml:space="preserve">tierras alternativas, de la misma o mayor calidad </w:t>
      </w:r>
      <w:proofErr w:type="spellStart"/>
      <w:r w:rsidR="00C25CEA" w:rsidRPr="00C25CEA">
        <w:rPr>
          <w:rFonts w:ascii="Verdana" w:hAnsi="Verdana"/>
          <w:sz w:val="20"/>
          <w:szCs w:val="20"/>
          <w:lang w:val="es-ES"/>
        </w:rPr>
        <w:t>física</w:t>
      </w:r>
      <w:proofErr w:type="spellEnd"/>
      <w:r w:rsidR="00C25CEA" w:rsidRPr="00C25CEA">
        <w:rPr>
          <w:rFonts w:ascii="Verdana" w:hAnsi="Verdana"/>
          <w:sz w:val="20"/>
          <w:szCs w:val="20"/>
          <w:lang w:val="es-ES"/>
        </w:rPr>
        <w:t xml:space="preserve">, las cuales </w:t>
      </w:r>
      <w:proofErr w:type="spellStart"/>
      <w:r w:rsidR="00C25CEA" w:rsidRPr="00C25CEA">
        <w:rPr>
          <w:rFonts w:ascii="Verdana" w:hAnsi="Verdana"/>
          <w:sz w:val="20"/>
          <w:szCs w:val="20"/>
          <w:lang w:val="es-ES"/>
        </w:rPr>
        <w:t>deberán</w:t>
      </w:r>
      <w:proofErr w:type="spellEnd"/>
      <w:r w:rsidR="00C25CEA" w:rsidRPr="00C25CEA">
        <w:rPr>
          <w:rFonts w:ascii="Verdana" w:hAnsi="Verdana"/>
          <w:sz w:val="20"/>
          <w:szCs w:val="20"/>
          <w:lang w:val="es-ES"/>
        </w:rPr>
        <w:t xml:space="preserve"> de ser contiguas a su territorio titulado, libre de cualquier vicio material o formal y debidamente tituladas en su favor</w:t>
      </w:r>
      <w:r w:rsidR="00C25CEA">
        <w:rPr>
          <w:rFonts w:ascii="Verdana" w:hAnsi="Verdana"/>
          <w:sz w:val="20"/>
          <w:szCs w:val="20"/>
          <w:lang w:val="es-ES"/>
        </w:rPr>
        <w:t>”</w:t>
      </w:r>
      <w:r w:rsidR="00C25CEA">
        <w:rPr>
          <w:rStyle w:val="Refdenotaalpie"/>
          <w:rFonts w:ascii="Verdana" w:hAnsi="Verdana"/>
          <w:sz w:val="20"/>
          <w:szCs w:val="20"/>
          <w:lang w:val="es-ES"/>
        </w:rPr>
        <w:footnoteReference w:id="24"/>
      </w:r>
      <w:r w:rsidR="00C25CEA" w:rsidRPr="00C25CEA">
        <w:rPr>
          <w:rFonts w:ascii="Verdana" w:hAnsi="Verdana"/>
          <w:sz w:val="20"/>
          <w:szCs w:val="20"/>
          <w:lang w:val="es-ES"/>
        </w:rPr>
        <w:t>.</w:t>
      </w:r>
      <w:r w:rsidR="00C25CEA">
        <w:rPr>
          <w:rFonts w:ascii="Verdana" w:hAnsi="Verdana"/>
          <w:sz w:val="20"/>
          <w:szCs w:val="20"/>
          <w:lang w:val="es-ES"/>
        </w:rPr>
        <w:t xml:space="preserve"> Es decir, e</w:t>
      </w:r>
      <w:r w:rsidR="00C25CEA" w:rsidRPr="00C25CEA">
        <w:rPr>
          <w:rFonts w:ascii="Verdana" w:hAnsi="Verdana"/>
          <w:sz w:val="20"/>
          <w:szCs w:val="20"/>
          <w:lang w:val="es-ES"/>
        </w:rPr>
        <w:t>l Tribunal no orde</w:t>
      </w:r>
      <w:r w:rsidR="00C25CEA">
        <w:rPr>
          <w:rFonts w:ascii="Verdana" w:hAnsi="Verdana"/>
          <w:sz w:val="20"/>
          <w:szCs w:val="20"/>
          <w:lang w:val="es-ES"/>
        </w:rPr>
        <w:t xml:space="preserve">nó dos medidas de </w:t>
      </w:r>
      <w:proofErr w:type="spellStart"/>
      <w:r w:rsidR="00C25CEA">
        <w:rPr>
          <w:rFonts w:ascii="Verdana" w:hAnsi="Verdana"/>
          <w:sz w:val="20"/>
          <w:szCs w:val="20"/>
          <w:lang w:val="es-ES"/>
        </w:rPr>
        <w:t>reparación</w:t>
      </w:r>
      <w:proofErr w:type="spellEnd"/>
      <w:r w:rsidR="00C25CEA">
        <w:rPr>
          <w:rFonts w:ascii="Verdana" w:hAnsi="Verdana"/>
          <w:sz w:val="20"/>
          <w:szCs w:val="20"/>
          <w:lang w:val="es-ES"/>
        </w:rPr>
        <w:t xml:space="preserve"> alternas</w:t>
      </w:r>
      <w:r w:rsidR="00C25CEA" w:rsidRPr="00C25CEA">
        <w:rPr>
          <w:rFonts w:ascii="Verdana" w:hAnsi="Verdana"/>
          <w:sz w:val="20"/>
          <w:szCs w:val="20"/>
          <w:lang w:val="es-ES"/>
        </w:rPr>
        <w:t xml:space="preserve"> que </w:t>
      </w:r>
      <w:proofErr w:type="spellStart"/>
      <w:r w:rsidR="00C25CEA" w:rsidRPr="00C25CEA">
        <w:rPr>
          <w:rFonts w:ascii="Verdana" w:hAnsi="Verdana"/>
          <w:sz w:val="20"/>
          <w:szCs w:val="20"/>
          <w:lang w:val="es-ES"/>
        </w:rPr>
        <w:t>permitirían</w:t>
      </w:r>
      <w:proofErr w:type="spellEnd"/>
      <w:r w:rsidR="00C25CEA" w:rsidRPr="00C25CEA">
        <w:rPr>
          <w:rFonts w:ascii="Verdana" w:hAnsi="Verdana"/>
          <w:sz w:val="20"/>
          <w:szCs w:val="20"/>
          <w:lang w:val="es-ES"/>
        </w:rPr>
        <w:t xml:space="preserve"> al Estado elegir </w:t>
      </w:r>
      <w:proofErr w:type="spellStart"/>
      <w:r w:rsidR="00C25CEA" w:rsidRPr="00C25CEA">
        <w:rPr>
          <w:rFonts w:ascii="Verdana" w:hAnsi="Verdana"/>
          <w:sz w:val="20"/>
          <w:szCs w:val="20"/>
          <w:lang w:val="es-ES"/>
        </w:rPr>
        <w:t>cuál</w:t>
      </w:r>
      <w:proofErr w:type="spellEnd"/>
      <w:r w:rsidR="00C25CEA" w:rsidRPr="00C25CEA">
        <w:rPr>
          <w:rFonts w:ascii="Verdana" w:hAnsi="Verdana"/>
          <w:sz w:val="20"/>
          <w:szCs w:val="20"/>
          <w:lang w:val="es-ES"/>
        </w:rPr>
        <w:t xml:space="preserve"> de las dos aplicar, sino que ordenó el </w:t>
      </w:r>
      <w:r w:rsidR="00C25CEA">
        <w:rPr>
          <w:rFonts w:ascii="Verdana" w:hAnsi="Verdana"/>
          <w:sz w:val="20"/>
          <w:szCs w:val="20"/>
          <w:lang w:val="es-ES"/>
        </w:rPr>
        <w:t>saneamiento</w:t>
      </w:r>
      <w:r w:rsidR="00C25CEA" w:rsidRPr="00C25CEA">
        <w:rPr>
          <w:rFonts w:ascii="Verdana" w:hAnsi="Verdana"/>
          <w:sz w:val="20"/>
          <w:szCs w:val="20"/>
          <w:lang w:val="es-ES"/>
        </w:rPr>
        <w:t xml:space="preserve"> y solamente ante la excepcionalidad de una imposibilidad justificada </w:t>
      </w:r>
      <w:r w:rsidR="00C25CEA">
        <w:rPr>
          <w:rFonts w:ascii="Verdana" w:hAnsi="Verdana"/>
          <w:sz w:val="20"/>
          <w:szCs w:val="20"/>
          <w:lang w:val="es-ES"/>
        </w:rPr>
        <w:t xml:space="preserve">objetivamente </w:t>
      </w:r>
      <w:r w:rsidR="00C25CEA" w:rsidRPr="00C25CEA">
        <w:rPr>
          <w:rFonts w:ascii="Verdana" w:hAnsi="Verdana"/>
          <w:sz w:val="20"/>
          <w:szCs w:val="20"/>
          <w:lang w:val="es-ES"/>
        </w:rPr>
        <w:t xml:space="preserve">se </w:t>
      </w:r>
      <w:proofErr w:type="spellStart"/>
      <w:r w:rsidR="00C25CEA" w:rsidRPr="00C25CEA">
        <w:rPr>
          <w:rFonts w:ascii="Verdana" w:hAnsi="Verdana"/>
          <w:sz w:val="20"/>
          <w:szCs w:val="20"/>
          <w:lang w:val="es-ES"/>
        </w:rPr>
        <w:t>podría</w:t>
      </w:r>
      <w:proofErr w:type="spellEnd"/>
      <w:r w:rsidR="00C25CEA" w:rsidRPr="00C25CEA">
        <w:rPr>
          <w:rFonts w:ascii="Verdana" w:hAnsi="Verdana"/>
          <w:sz w:val="20"/>
          <w:szCs w:val="20"/>
          <w:lang w:val="es-ES"/>
        </w:rPr>
        <w:t xml:space="preserve"> proceder con </w:t>
      </w:r>
      <w:r w:rsidR="00C25CEA">
        <w:rPr>
          <w:rFonts w:ascii="Verdana" w:hAnsi="Verdana"/>
          <w:sz w:val="20"/>
          <w:szCs w:val="20"/>
          <w:lang w:val="es-ES"/>
        </w:rPr>
        <w:t>el ofrecimiento de tierras alternativas, en las condiciones descritas en el párrafo 325 de la Sentencia</w:t>
      </w:r>
      <w:r w:rsidR="00C25CEA" w:rsidRPr="00C25CEA">
        <w:rPr>
          <w:rFonts w:ascii="Verdana" w:hAnsi="Verdana"/>
          <w:sz w:val="20"/>
          <w:szCs w:val="20"/>
          <w:lang w:val="es-ES"/>
        </w:rPr>
        <w:t xml:space="preserve">. </w:t>
      </w:r>
    </w:p>
    <w:p w14:paraId="29E6B32B" w14:textId="4A204840" w:rsidR="00910745" w:rsidRPr="00910745" w:rsidRDefault="007E0F23" w:rsidP="005524F6">
      <w:pPr>
        <w:pStyle w:val="Prrafodelista"/>
        <w:numPr>
          <w:ilvl w:val="0"/>
          <w:numId w:val="3"/>
        </w:numPr>
        <w:tabs>
          <w:tab w:val="left" w:pos="680"/>
        </w:tabs>
        <w:spacing w:before="60" w:after="60"/>
        <w:ind w:left="0" w:hanging="11"/>
        <w:contextualSpacing w:val="0"/>
        <w:jc w:val="both"/>
        <w:rPr>
          <w:lang w:val="es-ES"/>
        </w:rPr>
      </w:pPr>
      <w:r>
        <w:rPr>
          <w:rFonts w:ascii="Verdana" w:hAnsi="Verdana"/>
          <w:sz w:val="20"/>
          <w:szCs w:val="20"/>
          <w:lang w:val="es-ES"/>
        </w:rPr>
        <w:t xml:space="preserve">Esta Corte ya ha explicado que una imposibilidad objetiva </w:t>
      </w:r>
      <w:r w:rsidRPr="007E0F23">
        <w:rPr>
          <w:rFonts w:ascii="Verdana" w:hAnsi="Verdana"/>
          <w:sz w:val="20"/>
          <w:szCs w:val="20"/>
          <w:lang w:val="es-ES"/>
        </w:rPr>
        <w:t xml:space="preserve">no puede depender </w:t>
      </w:r>
      <w:proofErr w:type="spellStart"/>
      <w:r w:rsidRPr="007E0F23">
        <w:rPr>
          <w:rFonts w:ascii="Verdana" w:hAnsi="Verdana"/>
          <w:sz w:val="20"/>
          <w:szCs w:val="20"/>
          <w:lang w:val="es-ES"/>
        </w:rPr>
        <w:t>únicamente</w:t>
      </w:r>
      <w:proofErr w:type="spellEnd"/>
      <w:r w:rsidRPr="007E0F23">
        <w:rPr>
          <w:rFonts w:ascii="Verdana" w:hAnsi="Verdana"/>
          <w:sz w:val="20"/>
          <w:szCs w:val="20"/>
          <w:lang w:val="es-ES"/>
        </w:rPr>
        <w:t xml:space="preserve"> de la voluntad de quien tiene que ejecutar la medid</w:t>
      </w:r>
      <w:r>
        <w:rPr>
          <w:rFonts w:ascii="Verdana" w:hAnsi="Verdana"/>
          <w:sz w:val="20"/>
          <w:szCs w:val="20"/>
          <w:lang w:val="es-ES"/>
        </w:rPr>
        <w:t>a,</w:t>
      </w:r>
      <w:r w:rsidRPr="007E0F23">
        <w:rPr>
          <w:rFonts w:ascii="Verdana" w:hAnsi="Verdana"/>
          <w:sz w:val="20"/>
          <w:szCs w:val="20"/>
          <w:lang w:val="es-ES"/>
        </w:rPr>
        <w:t xml:space="preserve"> </w:t>
      </w:r>
      <w:r>
        <w:rPr>
          <w:rFonts w:ascii="Verdana" w:hAnsi="Verdana"/>
          <w:sz w:val="20"/>
          <w:szCs w:val="20"/>
          <w:lang w:val="es-ES"/>
        </w:rPr>
        <w:t>sino que requiere que el Estado demuestre</w:t>
      </w:r>
      <w:r w:rsidRPr="007E0F23">
        <w:rPr>
          <w:rFonts w:ascii="Verdana" w:hAnsi="Verdana"/>
          <w:sz w:val="20"/>
          <w:szCs w:val="20"/>
          <w:lang w:val="es-ES"/>
        </w:rPr>
        <w:t xml:space="preserve"> que ha buscado dar cumplimiento </w:t>
      </w:r>
      <w:r>
        <w:rPr>
          <w:rFonts w:ascii="Verdana" w:hAnsi="Verdana"/>
          <w:sz w:val="20"/>
          <w:szCs w:val="20"/>
          <w:lang w:val="es-ES"/>
        </w:rPr>
        <w:t xml:space="preserve">a la medida </w:t>
      </w:r>
      <w:r w:rsidRPr="007E0F23">
        <w:rPr>
          <w:rFonts w:ascii="Verdana" w:hAnsi="Verdana"/>
          <w:sz w:val="20"/>
          <w:szCs w:val="20"/>
          <w:lang w:val="es-ES"/>
        </w:rPr>
        <w:t xml:space="preserve">a </w:t>
      </w:r>
      <w:proofErr w:type="spellStart"/>
      <w:r w:rsidRPr="007E0F23">
        <w:rPr>
          <w:rFonts w:ascii="Verdana" w:hAnsi="Verdana"/>
          <w:sz w:val="20"/>
          <w:szCs w:val="20"/>
          <w:lang w:val="es-ES"/>
        </w:rPr>
        <w:t>través</w:t>
      </w:r>
      <w:proofErr w:type="spellEnd"/>
      <w:r w:rsidRPr="007E0F23">
        <w:rPr>
          <w:rFonts w:ascii="Verdana" w:hAnsi="Verdana"/>
          <w:sz w:val="20"/>
          <w:szCs w:val="20"/>
          <w:lang w:val="es-ES"/>
        </w:rPr>
        <w:t xml:space="preserve"> de todos los medios disponibles a su alcance</w:t>
      </w:r>
      <w:r>
        <w:rPr>
          <w:rStyle w:val="Refdenotaalpie"/>
          <w:rFonts w:ascii="Verdana" w:hAnsi="Verdana"/>
          <w:sz w:val="20"/>
          <w:szCs w:val="20"/>
          <w:lang w:val="es-ES"/>
        </w:rPr>
        <w:footnoteReference w:id="25"/>
      </w:r>
      <w:r>
        <w:rPr>
          <w:rFonts w:ascii="Verdana" w:hAnsi="Verdana"/>
          <w:sz w:val="20"/>
          <w:szCs w:val="20"/>
          <w:lang w:val="es-ES"/>
        </w:rPr>
        <w:t>.</w:t>
      </w:r>
      <w:r w:rsidRPr="007E0F23">
        <w:rPr>
          <w:rFonts w:ascii="Verdana" w:hAnsi="Verdana"/>
          <w:sz w:val="20"/>
          <w:szCs w:val="20"/>
          <w:lang w:val="es-ES"/>
        </w:rPr>
        <w:t xml:space="preserve"> </w:t>
      </w:r>
      <w:r w:rsidR="00EB4AFA">
        <w:rPr>
          <w:rFonts w:ascii="Verdana" w:hAnsi="Verdana"/>
          <w:sz w:val="20"/>
          <w:szCs w:val="20"/>
          <w:lang w:val="es-ES"/>
        </w:rPr>
        <w:t xml:space="preserve">La Corte </w:t>
      </w:r>
      <w:r w:rsidR="005524F6">
        <w:rPr>
          <w:rFonts w:ascii="Verdana" w:hAnsi="Verdana"/>
          <w:sz w:val="20"/>
          <w:szCs w:val="20"/>
          <w:lang w:val="es-ES"/>
        </w:rPr>
        <w:t>observa</w:t>
      </w:r>
      <w:r w:rsidR="00EB4AFA">
        <w:rPr>
          <w:rFonts w:ascii="Verdana" w:hAnsi="Verdana"/>
          <w:sz w:val="20"/>
          <w:szCs w:val="20"/>
          <w:lang w:val="es-ES"/>
        </w:rPr>
        <w:t xml:space="preserve"> que las acciones emprendidas por el Estado</w:t>
      </w:r>
      <w:r w:rsidR="005524F6">
        <w:rPr>
          <w:rFonts w:ascii="Verdana" w:hAnsi="Verdana"/>
          <w:sz w:val="20"/>
          <w:szCs w:val="20"/>
          <w:lang w:val="es-ES"/>
        </w:rPr>
        <w:t xml:space="preserve"> para dar cumplimiento al saneamiento</w:t>
      </w:r>
      <w:r w:rsidR="00EB4AFA">
        <w:rPr>
          <w:rFonts w:ascii="Verdana" w:hAnsi="Verdana"/>
          <w:sz w:val="20"/>
          <w:szCs w:val="20"/>
          <w:lang w:val="es-ES"/>
        </w:rPr>
        <w:t xml:space="preserve"> </w:t>
      </w:r>
      <w:r w:rsidR="005524F6">
        <w:rPr>
          <w:rFonts w:ascii="Verdana" w:hAnsi="Verdana"/>
          <w:sz w:val="20"/>
          <w:szCs w:val="20"/>
          <w:lang w:val="es-ES"/>
        </w:rPr>
        <w:t xml:space="preserve">son medidas esencialmente de carácter procedimental, que se reducen a </w:t>
      </w:r>
      <w:r w:rsidR="00DE7CF8">
        <w:rPr>
          <w:rFonts w:ascii="Verdana" w:hAnsi="Verdana"/>
          <w:sz w:val="20"/>
          <w:szCs w:val="20"/>
          <w:lang w:val="es-ES"/>
        </w:rPr>
        <w:t>la creación</w:t>
      </w:r>
      <w:r w:rsidR="005524F6">
        <w:rPr>
          <w:rFonts w:ascii="Verdana" w:hAnsi="Verdana"/>
          <w:sz w:val="20"/>
          <w:szCs w:val="20"/>
          <w:lang w:val="es-ES"/>
        </w:rPr>
        <w:t xml:space="preserve"> y puesta en marcha de la </w:t>
      </w:r>
      <w:r w:rsidR="00826A06">
        <w:rPr>
          <w:rFonts w:ascii="Verdana" w:hAnsi="Verdana"/>
          <w:sz w:val="20"/>
          <w:szCs w:val="20"/>
          <w:lang w:val="es-ES"/>
        </w:rPr>
        <w:t>Comisión Interinstitucional (CICSI)</w:t>
      </w:r>
      <w:r w:rsidR="005524F6">
        <w:rPr>
          <w:rFonts w:ascii="Verdana" w:hAnsi="Verdana"/>
          <w:sz w:val="20"/>
          <w:szCs w:val="20"/>
          <w:lang w:val="es-ES"/>
        </w:rPr>
        <w:t xml:space="preserve"> y </w:t>
      </w:r>
      <w:r w:rsidR="00DE7CF8">
        <w:rPr>
          <w:rFonts w:ascii="Verdana" w:hAnsi="Verdana"/>
          <w:sz w:val="20"/>
          <w:szCs w:val="20"/>
          <w:lang w:val="es-ES"/>
        </w:rPr>
        <w:t>la elaboración de varios planes de trabajo que no avanzaron conforme a lo programado</w:t>
      </w:r>
      <w:r w:rsidR="005524F6">
        <w:rPr>
          <w:rFonts w:ascii="Verdana" w:hAnsi="Verdana"/>
          <w:sz w:val="20"/>
          <w:szCs w:val="20"/>
          <w:lang w:val="es-ES"/>
        </w:rPr>
        <w:t>. Particularmente a los fines de resolver las dificultades para el avalúo, las acciones emprendidas se limitaron a mantener reuniones con los líde</w:t>
      </w:r>
      <w:r w:rsidR="00106F18">
        <w:rPr>
          <w:rFonts w:ascii="Verdana" w:hAnsi="Verdana"/>
          <w:sz w:val="20"/>
          <w:szCs w:val="20"/>
          <w:lang w:val="es-ES"/>
        </w:rPr>
        <w:t>res de la c</w:t>
      </w:r>
      <w:r w:rsidR="007D1F27">
        <w:rPr>
          <w:rFonts w:ascii="Verdana" w:hAnsi="Verdana"/>
          <w:sz w:val="20"/>
          <w:szCs w:val="20"/>
          <w:lang w:val="es-ES"/>
        </w:rPr>
        <w:t>omunidad de Río Miel y</w:t>
      </w:r>
      <w:r w:rsidR="005524F6">
        <w:rPr>
          <w:rFonts w:ascii="Verdana" w:hAnsi="Verdana"/>
          <w:sz w:val="20"/>
          <w:szCs w:val="20"/>
          <w:lang w:val="es-ES"/>
        </w:rPr>
        <w:t xml:space="preserve"> solicitar la designación de un apoderado legal, medidas a todas luces insuficientes para demostrar que buscó </w:t>
      </w:r>
      <w:r w:rsidR="00A32F3E">
        <w:rPr>
          <w:rFonts w:ascii="Verdana" w:hAnsi="Verdana"/>
          <w:sz w:val="20"/>
          <w:szCs w:val="20"/>
          <w:lang w:val="es-ES"/>
        </w:rPr>
        <w:t xml:space="preserve">por todos los medios </w:t>
      </w:r>
      <w:r w:rsidR="005524F6">
        <w:rPr>
          <w:rFonts w:ascii="Verdana" w:hAnsi="Verdana"/>
          <w:sz w:val="20"/>
          <w:szCs w:val="20"/>
          <w:lang w:val="es-ES"/>
        </w:rPr>
        <w:t>dar cumplimiento a la medida, máxime a la luz del estándar de debida diligencia que la misma Sentencia le impone a Honduras en la realización del saneamiento de las tierras</w:t>
      </w:r>
      <w:r w:rsidR="00CD694E">
        <w:rPr>
          <w:rFonts w:ascii="Verdana" w:hAnsi="Verdana"/>
          <w:sz w:val="20"/>
          <w:szCs w:val="20"/>
          <w:lang w:val="es-ES"/>
        </w:rPr>
        <w:t xml:space="preserve"> (</w:t>
      </w:r>
      <w:r w:rsidR="00CD694E">
        <w:rPr>
          <w:rFonts w:ascii="Verdana" w:hAnsi="Verdana"/>
          <w:i/>
          <w:sz w:val="20"/>
          <w:szCs w:val="20"/>
          <w:lang w:val="es-ES"/>
        </w:rPr>
        <w:t xml:space="preserve">supra </w:t>
      </w:r>
      <w:r w:rsidR="00CD694E">
        <w:rPr>
          <w:rFonts w:ascii="Verdana" w:hAnsi="Verdana"/>
          <w:sz w:val="20"/>
          <w:szCs w:val="20"/>
          <w:lang w:val="es-ES"/>
        </w:rPr>
        <w:t xml:space="preserve">Considerando </w:t>
      </w:r>
      <w:r w:rsidR="00826A06">
        <w:rPr>
          <w:rFonts w:ascii="Verdana" w:hAnsi="Verdana"/>
          <w:sz w:val="20"/>
          <w:szCs w:val="20"/>
          <w:lang w:val="es-ES"/>
        </w:rPr>
        <w:fldChar w:fldCharType="begin"/>
      </w:r>
      <w:r w:rsidR="00826A06">
        <w:rPr>
          <w:rFonts w:ascii="Verdana" w:hAnsi="Verdana"/>
          <w:sz w:val="20"/>
          <w:szCs w:val="20"/>
          <w:lang w:val="es-ES"/>
        </w:rPr>
        <w:instrText xml:space="preserve"> REF _Ref12522769 \r \h </w:instrText>
      </w:r>
      <w:r w:rsidR="00826A06">
        <w:rPr>
          <w:rFonts w:ascii="Verdana" w:hAnsi="Verdana"/>
          <w:sz w:val="20"/>
          <w:szCs w:val="20"/>
          <w:lang w:val="es-ES"/>
        </w:rPr>
      </w:r>
      <w:r w:rsidR="00826A06">
        <w:rPr>
          <w:rFonts w:ascii="Verdana" w:hAnsi="Verdana"/>
          <w:sz w:val="20"/>
          <w:szCs w:val="20"/>
          <w:lang w:val="es-ES"/>
        </w:rPr>
        <w:fldChar w:fldCharType="separate"/>
      </w:r>
      <w:r w:rsidR="00D11D5D">
        <w:rPr>
          <w:rFonts w:ascii="Verdana" w:hAnsi="Verdana"/>
          <w:sz w:val="20"/>
          <w:szCs w:val="20"/>
          <w:lang w:val="es-ES"/>
        </w:rPr>
        <w:t>4</w:t>
      </w:r>
      <w:r w:rsidR="00826A06">
        <w:rPr>
          <w:rFonts w:ascii="Verdana" w:hAnsi="Verdana"/>
          <w:sz w:val="20"/>
          <w:szCs w:val="20"/>
          <w:lang w:val="es-ES"/>
        </w:rPr>
        <w:fldChar w:fldCharType="end"/>
      </w:r>
      <w:r w:rsidR="00CD694E">
        <w:rPr>
          <w:rFonts w:ascii="Verdana" w:hAnsi="Verdana"/>
          <w:sz w:val="20"/>
          <w:szCs w:val="20"/>
          <w:lang w:val="es-ES"/>
        </w:rPr>
        <w:t>)</w:t>
      </w:r>
      <w:r w:rsidR="005524F6">
        <w:rPr>
          <w:rFonts w:ascii="Verdana" w:hAnsi="Verdana"/>
          <w:sz w:val="20"/>
          <w:szCs w:val="20"/>
          <w:lang w:val="es-ES"/>
        </w:rPr>
        <w:t xml:space="preserve">. </w:t>
      </w:r>
    </w:p>
    <w:p w14:paraId="63FDE73A" w14:textId="6209C0CD" w:rsidR="00BD45E1" w:rsidRPr="00F01517" w:rsidRDefault="00C63AC3" w:rsidP="00F01517">
      <w:pPr>
        <w:pStyle w:val="Prrafodelista"/>
        <w:numPr>
          <w:ilvl w:val="0"/>
          <w:numId w:val="3"/>
        </w:numPr>
        <w:tabs>
          <w:tab w:val="left" w:pos="680"/>
        </w:tabs>
        <w:spacing w:before="60" w:after="60"/>
        <w:ind w:left="0" w:hanging="11"/>
        <w:contextualSpacing w:val="0"/>
        <w:jc w:val="both"/>
        <w:rPr>
          <w:rFonts w:ascii="Verdana" w:hAnsi="Verdana"/>
          <w:sz w:val="20"/>
          <w:szCs w:val="20"/>
          <w:lang w:val="es-MX"/>
        </w:rPr>
      </w:pPr>
      <w:r>
        <w:rPr>
          <w:rFonts w:ascii="Verdana" w:hAnsi="Verdana"/>
          <w:sz w:val="20"/>
          <w:szCs w:val="20"/>
          <w:lang w:val="es-ES"/>
        </w:rPr>
        <w:t>L</w:t>
      </w:r>
      <w:r w:rsidR="009B0C8B">
        <w:rPr>
          <w:rFonts w:ascii="Verdana" w:hAnsi="Verdana"/>
          <w:sz w:val="20"/>
          <w:szCs w:val="20"/>
          <w:lang w:val="es-ES"/>
        </w:rPr>
        <w:t xml:space="preserve">a Corte considera </w:t>
      </w:r>
      <w:r>
        <w:rPr>
          <w:rFonts w:ascii="Verdana" w:hAnsi="Verdana"/>
          <w:sz w:val="20"/>
          <w:szCs w:val="20"/>
          <w:lang w:val="es-ES"/>
        </w:rPr>
        <w:t xml:space="preserve">preocupante </w:t>
      </w:r>
      <w:r w:rsidR="00C87FEF">
        <w:rPr>
          <w:rFonts w:ascii="Verdana" w:hAnsi="Verdana"/>
          <w:sz w:val="20"/>
          <w:szCs w:val="20"/>
          <w:lang w:val="es-ES"/>
        </w:rPr>
        <w:t>que en junio de 2018 venció el plazo de 30 meses otorgado en la Sentencia para cumplir esta reparación</w:t>
      </w:r>
      <w:r w:rsidR="00826A06">
        <w:rPr>
          <w:rFonts w:ascii="Verdana" w:hAnsi="Verdana"/>
          <w:sz w:val="20"/>
          <w:szCs w:val="20"/>
          <w:lang w:val="es-ES"/>
        </w:rPr>
        <w:t>,</w:t>
      </w:r>
      <w:r w:rsidR="00C87FEF">
        <w:rPr>
          <w:rFonts w:ascii="Verdana" w:hAnsi="Verdana"/>
          <w:sz w:val="20"/>
          <w:szCs w:val="20"/>
          <w:lang w:val="es-ES"/>
        </w:rPr>
        <w:t xml:space="preserve"> </w:t>
      </w:r>
      <w:r w:rsidR="005524F6">
        <w:rPr>
          <w:rFonts w:ascii="Verdana" w:hAnsi="Verdana"/>
          <w:sz w:val="20"/>
          <w:szCs w:val="20"/>
          <w:lang w:val="es-ES"/>
        </w:rPr>
        <w:t xml:space="preserve">sin que </w:t>
      </w:r>
      <w:r>
        <w:rPr>
          <w:rFonts w:ascii="Verdana" w:hAnsi="Verdana"/>
          <w:sz w:val="20"/>
          <w:szCs w:val="20"/>
          <w:lang w:val="es-ES"/>
        </w:rPr>
        <w:t xml:space="preserve">haya habido </w:t>
      </w:r>
      <w:r w:rsidR="005524F6">
        <w:rPr>
          <w:rFonts w:ascii="Verdana" w:hAnsi="Verdana"/>
          <w:sz w:val="20"/>
          <w:szCs w:val="20"/>
          <w:lang w:val="es-ES"/>
        </w:rPr>
        <w:t>avances significativos</w:t>
      </w:r>
      <w:r w:rsidR="009B0C8B">
        <w:rPr>
          <w:rFonts w:ascii="Verdana" w:hAnsi="Verdana"/>
          <w:sz w:val="20"/>
          <w:szCs w:val="20"/>
          <w:lang w:val="es-ES"/>
        </w:rPr>
        <w:t xml:space="preserve">. En primer lugar, </w:t>
      </w:r>
      <w:r w:rsidR="00C03F60">
        <w:rPr>
          <w:rFonts w:ascii="Verdana" w:hAnsi="Verdana"/>
          <w:sz w:val="20"/>
          <w:szCs w:val="20"/>
          <w:lang w:val="es-ES"/>
        </w:rPr>
        <w:t>por</w:t>
      </w:r>
      <w:r>
        <w:rPr>
          <w:rFonts w:ascii="Verdana" w:hAnsi="Verdana"/>
          <w:sz w:val="20"/>
          <w:szCs w:val="20"/>
          <w:lang w:val="es-ES"/>
        </w:rPr>
        <w:t>que se trata</w:t>
      </w:r>
      <w:r w:rsidR="00C03F60">
        <w:rPr>
          <w:rFonts w:ascii="Verdana" w:hAnsi="Verdana"/>
          <w:sz w:val="20"/>
          <w:szCs w:val="20"/>
          <w:lang w:val="es-ES"/>
        </w:rPr>
        <w:t xml:space="preserve"> de una medida de cesación</w:t>
      </w:r>
      <w:r w:rsidR="00574CF2">
        <w:rPr>
          <w:rFonts w:ascii="Verdana" w:hAnsi="Verdana"/>
          <w:sz w:val="20"/>
          <w:szCs w:val="20"/>
          <w:lang w:val="es-ES"/>
        </w:rPr>
        <w:t xml:space="preserve">, </w:t>
      </w:r>
      <w:r w:rsidR="009B0C8B">
        <w:rPr>
          <w:rFonts w:ascii="Verdana" w:hAnsi="Verdana"/>
          <w:sz w:val="20"/>
          <w:szCs w:val="20"/>
          <w:lang w:val="es-ES"/>
        </w:rPr>
        <w:t xml:space="preserve">de modo que </w:t>
      </w:r>
      <w:r w:rsidR="00574CF2">
        <w:rPr>
          <w:rFonts w:ascii="Verdana" w:hAnsi="Verdana"/>
          <w:sz w:val="20"/>
          <w:szCs w:val="20"/>
          <w:lang w:val="es-ES"/>
        </w:rPr>
        <w:t xml:space="preserve">hasta tanto no se cumpla con la </w:t>
      </w:r>
      <w:r w:rsidR="009B0C8B">
        <w:rPr>
          <w:rFonts w:ascii="Verdana" w:hAnsi="Verdana"/>
          <w:sz w:val="20"/>
          <w:szCs w:val="20"/>
          <w:lang w:val="es-ES"/>
        </w:rPr>
        <w:t>misma,</w:t>
      </w:r>
      <w:r w:rsidR="00574CF2">
        <w:rPr>
          <w:rFonts w:ascii="Verdana" w:hAnsi="Verdana"/>
          <w:sz w:val="20"/>
          <w:szCs w:val="20"/>
          <w:lang w:val="es-ES"/>
        </w:rPr>
        <w:t xml:space="preserve"> los derechos territoriales continúan</w:t>
      </w:r>
      <w:r w:rsidR="009B0C8B">
        <w:rPr>
          <w:rFonts w:ascii="Verdana" w:hAnsi="Verdana"/>
          <w:sz w:val="20"/>
          <w:szCs w:val="20"/>
          <w:lang w:val="es-ES"/>
        </w:rPr>
        <w:t xml:space="preserve"> siendo violados</w:t>
      </w:r>
      <w:r w:rsidR="00F01517">
        <w:rPr>
          <w:rFonts w:ascii="Verdana" w:hAnsi="Verdana"/>
          <w:sz w:val="20"/>
          <w:szCs w:val="20"/>
          <w:lang w:val="es-ES"/>
        </w:rPr>
        <w:t xml:space="preserve"> y se generan nuevas afectaciones a los mismos</w:t>
      </w:r>
      <w:r w:rsidR="009B0C8B">
        <w:rPr>
          <w:rFonts w:ascii="Verdana" w:hAnsi="Verdana"/>
          <w:sz w:val="20"/>
          <w:szCs w:val="20"/>
          <w:lang w:val="es-ES"/>
        </w:rPr>
        <w:t xml:space="preserve">. </w:t>
      </w:r>
      <w:r>
        <w:rPr>
          <w:rFonts w:ascii="Verdana" w:hAnsi="Verdana"/>
          <w:sz w:val="20"/>
          <w:szCs w:val="20"/>
          <w:lang w:val="es-ES"/>
        </w:rPr>
        <w:t xml:space="preserve">En efecto, los representantes </w:t>
      </w:r>
      <w:r>
        <w:rPr>
          <w:rFonts w:ascii="Verdana" w:hAnsi="Verdana"/>
          <w:sz w:val="20"/>
          <w:szCs w:val="20"/>
          <w:lang w:val="es-AR"/>
        </w:rPr>
        <w:t>i</w:t>
      </w:r>
      <w:r w:rsidRPr="00925E42">
        <w:rPr>
          <w:rFonts w:ascii="Verdana" w:hAnsi="Verdana"/>
          <w:sz w:val="20"/>
          <w:szCs w:val="20"/>
          <w:lang w:val="es-AR"/>
        </w:rPr>
        <w:t xml:space="preserve">ndicaron que dicha situación </w:t>
      </w:r>
      <w:r w:rsidRPr="003E4E90">
        <w:rPr>
          <w:rFonts w:ascii="Verdana" w:hAnsi="Verdana"/>
          <w:sz w:val="20"/>
          <w:szCs w:val="20"/>
          <w:lang w:val="es-ES"/>
        </w:rPr>
        <w:t>había</w:t>
      </w:r>
      <w:r w:rsidRPr="00925E42">
        <w:rPr>
          <w:rFonts w:ascii="Verdana" w:hAnsi="Verdana"/>
          <w:sz w:val="20"/>
          <w:szCs w:val="20"/>
          <w:lang w:val="es-AR"/>
        </w:rPr>
        <w:t xml:space="preserve"> </w:t>
      </w:r>
      <w:r>
        <w:rPr>
          <w:rFonts w:ascii="Verdana" w:hAnsi="Verdana"/>
          <w:sz w:val="20"/>
          <w:szCs w:val="20"/>
          <w:lang w:val="es-AR"/>
        </w:rPr>
        <w:t>“</w:t>
      </w:r>
      <w:r w:rsidRPr="00925E42">
        <w:rPr>
          <w:rFonts w:ascii="Verdana" w:hAnsi="Verdana"/>
          <w:sz w:val="20"/>
          <w:szCs w:val="20"/>
          <w:lang w:val="es-AR"/>
        </w:rPr>
        <w:t>generado muchísima crisis a lo interno de las comunidades, quienes ven que después de una espera de muchos años, no existe voluntad política del Estado para reconocer sus derechos históricos</w:t>
      </w:r>
      <w:r>
        <w:rPr>
          <w:rFonts w:ascii="Verdana" w:hAnsi="Verdana"/>
          <w:sz w:val="20"/>
          <w:szCs w:val="20"/>
          <w:lang w:val="es-AR"/>
        </w:rPr>
        <w:t>”</w:t>
      </w:r>
      <w:r w:rsidR="00826A06">
        <w:rPr>
          <w:rStyle w:val="Refdenotaalpie"/>
          <w:rFonts w:ascii="Verdana" w:hAnsi="Verdana"/>
          <w:sz w:val="20"/>
          <w:szCs w:val="20"/>
          <w:lang w:val="es-ES"/>
        </w:rPr>
        <w:footnoteReference w:id="26"/>
      </w:r>
      <w:r w:rsidR="00826A06">
        <w:rPr>
          <w:rFonts w:ascii="Verdana" w:hAnsi="Verdana"/>
          <w:sz w:val="20"/>
          <w:szCs w:val="20"/>
          <w:lang w:val="es-AR"/>
        </w:rPr>
        <w:t>.</w:t>
      </w:r>
    </w:p>
    <w:p w14:paraId="7E6DDDBA" w14:textId="085E0EF2" w:rsidR="00BD45E1" w:rsidRPr="006523E0" w:rsidRDefault="009B0C8B" w:rsidP="00F95C89">
      <w:pPr>
        <w:pStyle w:val="Prrafodelista"/>
        <w:numPr>
          <w:ilvl w:val="0"/>
          <w:numId w:val="3"/>
        </w:numPr>
        <w:tabs>
          <w:tab w:val="left" w:pos="680"/>
        </w:tabs>
        <w:spacing w:before="60" w:after="60"/>
        <w:ind w:left="0" w:hanging="11"/>
        <w:contextualSpacing w:val="0"/>
        <w:jc w:val="both"/>
        <w:rPr>
          <w:rFonts w:ascii="Verdana" w:hAnsi="Verdana"/>
          <w:sz w:val="20"/>
          <w:szCs w:val="20"/>
          <w:lang w:val="es-ES"/>
        </w:rPr>
      </w:pPr>
      <w:r w:rsidRPr="00C63AC3">
        <w:rPr>
          <w:rFonts w:ascii="Verdana" w:hAnsi="Verdana"/>
          <w:sz w:val="20"/>
          <w:szCs w:val="20"/>
          <w:lang w:val="es-ES"/>
        </w:rPr>
        <w:t xml:space="preserve">En segundo lugar, </w:t>
      </w:r>
      <w:r w:rsidR="00BD45E1" w:rsidRPr="00C63AC3">
        <w:rPr>
          <w:rFonts w:ascii="Verdana" w:hAnsi="Verdana"/>
          <w:sz w:val="20"/>
          <w:szCs w:val="20"/>
          <w:lang w:val="es-ES"/>
        </w:rPr>
        <w:t xml:space="preserve">el tiempo transcurrido pone en peligro a los miembros de la Comunidad y contribuye a un aumento de la conflictividad social en la zona. </w:t>
      </w:r>
      <w:r w:rsidR="00F13E52">
        <w:rPr>
          <w:rFonts w:ascii="Verdana" w:hAnsi="Verdana"/>
          <w:sz w:val="20"/>
          <w:szCs w:val="20"/>
          <w:lang w:val="es-ES"/>
        </w:rPr>
        <w:t xml:space="preserve">En la misma Sentencia, la Corte </w:t>
      </w:r>
      <w:r w:rsidR="00F95C89">
        <w:rPr>
          <w:rFonts w:ascii="Verdana" w:hAnsi="Verdana"/>
          <w:sz w:val="20"/>
          <w:szCs w:val="20"/>
          <w:lang w:val="es-ES"/>
        </w:rPr>
        <w:t xml:space="preserve">constató que, </w:t>
      </w:r>
      <w:r w:rsidR="00F95C89">
        <w:rPr>
          <w:rFonts w:ascii="Verdana" w:hAnsi="Verdana"/>
          <w:sz w:val="20"/>
          <w:szCs w:val="20"/>
          <w:lang w:val="es-AR"/>
        </w:rPr>
        <w:t>d</w:t>
      </w:r>
      <w:r w:rsidR="00F95C89" w:rsidRPr="00F95C89">
        <w:rPr>
          <w:rFonts w:ascii="Verdana" w:hAnsi="Verdana"/>
          <w:sz w:val="20"/>
          <w:szCs w:val="20"/>
          <w:lang w:val="es-AR"/>
        </w:rPr>
        <w:t>e acuerdo con las declaraciones de varios integrantes de la Comunidad de Punta Piedra, la muerte de</w:t>
      </w:r>
      <w:r w:rsidR="00F95C89">
        <w:rPr>
          <w:rFonts w:ascii="Verdana" w:hAnsi="Verdana"/>
          <w:sz w:val="20"/>
          <w:szCs w:val="20"/>
          <w:lang w:val="es-AR"/>
        </w:rPr>
        <w:t>l señor</w:t>
      </w:r>
      <w:r w:rsidR="00F95C89" w:rsidRPr="00F95C89">
        <w:rPr>
          <w:rFonts w:ascii="Verdana" w:hAnsi="Verdana"/>
          <w:sz w:val="20"/>
          <w:szCs w:val="20"/>
          <w:lang w:val="es-AR"/>
        </w:rPr>
        <w:t xml:space="preserve"> Félix Ordóñez Suazo </w:t>
      </w:r>
      <w:r w:rsidR="00F95C89">
        <w:rPr>
          <w:rFonts w:ascii="Verdana" w:hAnsi="Verdana"/>
          <w:sz w:val="20"/>
          <w:szCs w:val="20"/>
          <w:lang w:val="es-AR"/>
        </w:rPr>
        <w:t>había sido</w:t>
      </w:r>
      <w:r w:rsidR="00F95C89" w:rsidRPr="00F95C89">
        <w:rPr>
          <w:rFonts w:ascii="Verdana" w:hAnsi="Verdana"/>
          <w:sz w:val="20"/>
          <w:szCs w:val="20"/>
          <w:lang w:val="es-AR"/>
        </w:rPr>
        <w:t xml:space="preserve"> motivada por el conflicto de tierras</w:t>
      </w:r>
      <w:r w:rsidR="00B74C26">
        <w:rPr>
          <w:rFonts w:ascii="Verdana" w:hAnsi="Verdana"/>
          <w:sz w:val="20"/>
          <w:szCs w:val="20"/>
          <w:lang w:val="es-AR"/>
        </w:rPr>
        <w:t xml:space="preserve"> (</w:t>
      </w:r>
      <w:r w:rsidR="00B74C26">
        <w:rPr>
          <w:rFonts w:ascii="Verdana" w:hAnsi="Verdana"/>
          <w:i/>
          <w:sz w:val="20"/>
          <w:szCs w:val="20"/>
          <w:lang w:val="es-AR"/>
        </w:rPr>
        <w:t xml:space="preserve">infra </w:t>
      </w:r>
      <w:r w:rsidR="00B74C26">
        <w:rPr>
          <w:rFonts w:ascii="Verdana" w:hAnsi="Verdana"/>
          <w:sz w:val="20"/>
          <w:szCs w:val="20"/>
          <w:lang w:val="es-AR"/>
        </w:rPr>
        <w:t xml:space="preserve">Considerando </w:t>
      </w:r>
      <w:r w:rsidR="00EF4149">
        <w:rPr>
          <w:rFonts w:ascii="Verdana" w:hAnsi="Verdana"/>
          <w:sz w:val="20"/>
          <w:szCs w:val="20"/>
          <w:lang w:val="es-AR"/>
        </w:rPr>
        <w:fldChar w:fldCharType="begin"/>
      </w:r>
      <w:r w:rsidR="00EF4149">
        <w:rPr>
          <w:rFonts w:ascii="Verdana" w:hAnsi="Verdana"/>
          <w:sz w:val="20"/>
          <w:szCs w:val="20"/>
          <w:lang w:val="es-AR"/>
        </w:rPr>
        <w:instrText xml:space="preserve"> REF _Ref12523185 \r \h </w:instrText>
      </w:r>
      <w:r w:rsidR="00EF4149">
        <w:rPr>
          <w:rFonts w:ascii="Verdana" w:hAnsi="Verdana"/>
          <w:sz w:val="20"/>
          <w:szCs w:val="20"/>
          <w:lang w:val="es-AR"/>
        </w:rPr>
      </w:r>
      <w:r w:rsidR="00EF4149">
        <w:rPr>
          <w:rFonts w:ascii="Verdana" w:hAnsi="Verdana"/>
          <w:sz w:val="20"/>
          <w:szCs w:val="20"/>
          <w:lang w:val="es-AR"/>
        </w:rPr>
        <w:fldChar w:fldCharType="separate"/>
      </w:r>
      <w:r w:rsidR="00D11D5D">
        <w:rPr>
          <w:rFonts w:ascii="Verdana" w:hAnsi="Verdana"/>
          <w:sz w:val="20"/>
          <w:szCs w:val="20"/>
          <w:lang w:val="es-AR"/>
        </w:rPr>
        <w:t>52</w:t>
      </w:r>
      <w:r w:rsidR="00EF4149">
        <w:rPr>
          <w:rFonts w:ascii="Verdana" w:hAnsi="Verdana"/>
          <w:sz w:val="20"/>
          <w:szCs w:val="20"/>
          <w:lang w:val="es-AR"/>
        </w:rPr>
        <w:fldChar w:fldCharType="end"/>
      </w:r>
      <w:r w:rsidR="00B74C26">
        <w:rPr>
          <w:rFonts w:ascii="Verdana" w:hAnsi="Verdana"/>
          <w:sz w:val="20"/>
          <w:szCs w:val="20"/>
          <w:lang w:val="es-AR"/>
        </w:rPr>
        <w:t>)</w:t>
      </w:r>
      <w:r w:rsidR="00F95C89">
        <w:rPr>
          <w:rFonts w:ascii="Verdana" w:hAnsi="Verdana"/>
          <w:sz w:val="20"/>
          <w:szCs w:val="20"/>
          <w:lang w:val="es-AR"/>
        </w:rPr>
        <w:t xml:space="preserve">. Recientemente, en abril de 2018, </w:t>
      </w:r>
      <w:r w:rsidR="00BD45E1" w:rsidRPr="00C63AC3">
        <w:rPr>
          <w:rFonts w:ascii="Verdana" w:hAnsi="Verdana"/>
          <w:sz w:val="20"/>
          <w:szCs w:val="20"/>
          <w:lang w:val="es-AR"/>
        </w:rPr>
        <w:t xml:space="preserve">los representantes informaron que los miembros de la comunidad estaban sufriendo “amenazas directas de muerte”, “chantajes, aumento de robos”, “levantamiento de perfiles a los líderes </w:t>
      </w:r>
      <w:r w:rsidR="00BD45E1" w:rsidRPr="00C63AC3">
        <w:rPr>
          <w:rFonts w:ascii="Verdana" w:hAnsi="Verdana"/>
          <w:sz w:val="20"/>
          <w:szCs w:val="20"/>
          <w:lang w:val="es-AR"/>
        </w:rPr>
        <w:lastRenderedPageBreak/>
        <w:t>comunales” y “visitas intimidatorias a altas horas de la noche por parte de los habitantes de Río Miel”</w:t>
      </w:r>
      <w:r w:rsidR="00BD45E1">
        <w:rPr>
          <w:rStyle w:val="Refdenotaalpie"/>
          <w:rFonts w:ascii="Verdana" w:hAnsi="Verdana"/>
          <w:sz w:val="20"/>
          <w:szCs w:val="20"/>
          <w:lang w:val="es-AR"/>
        </w:rPr>
        <w:footnoteReference w:id="27"/>
      </w:r>
      <w:r w:rsidR="00BD45E1" w:rsidRPr="00C63AC3">
        <w:rPr>
          <w:rFonts w:ascii="Verdana" w:hAnsi="Verdana"/>
          <w:sz w:val="20"/>
          <w:szCs w:val="20"/>
          <w:lang w:val="es-AR"/>
        </w:rPr>
        <w:t xml:space="preserve">. </w:t>
      </w:r>
      <w:r w:rsidR="00BD45E1" w:rsidRPr="00F95C89">
        <w:rPr>
          <w:rFonts w:ascii="Verdana" w:hAnsi="Verdana"/>
          <w:sz w:val="20"/>
          <w:szCs w:val="20"/>
          <w:lang w:val="es-AR"/>
        </w:rPr>
        <w:t>Este Tribunal valora positivamente las gestiones realizadas por el Estado para ofrecer a las víctimas acogerse a las medidas de protección disponibles a través de sus mecanismos internos</w:t>
      </w:r>
      <w:r w:rsidR="00BD45E1">
        <w:rPr>
          <w:rStyle w:val="Refdenotaalpie"/>
          <w:rFonts w:ascii="Verdana" w:hAnsi="Verdana"/>
          <w:sz w:val="20"/>
          <w:szCs w:val="20"/>
          <w:lang w:val="es-AR"/>
        </w:rPr>
        <w:footnoteReference w:id="28"/>
      </w:r>
      <w:r w:rsidR="00C63AC3" w:rsidRPr="00F95C89">
        <w:rPr>
          <w:rFonts w:ascii="Verdana" w:hAnsi="Verdana"/>
          <w:sz w:val="20"/>
          <w:szCs w:val="20"/>
          <w:lang w:val="es-AR"/>
        </w:rPr>
        <w:t>; no ob</w:t>
      </w:r>
      <w:r w:rsidR="00AE2377">
        <w:rPr>
          <w:rFonts w:ascii="Verdana" w:hAnsi="Verdana"/>
          <w:sz w:val="20"/>
          <w:szCs w:val="20"/>
          <w:lang w:val="es-AR"/>
        </w:rPr>
        <w:t>s</w:t>
      </w:r>
      <w:r w:rsidR="00C63AC3" w:rsidRPr="00F95C89">
        <w:rPr>
          <w:rFonts w:ascii="Verdana" w:hAnsi="Verdana"/>
          <w:sz w:val="20"/>
          <w:szCs w:val="20"/>
          <w:lang w:val="es-AR"/>
        </w:rPr>
        <w:t xml:space="preserve">tante, considera que la forma más efectiva de prevenir </w:t>
      </w:r>
      <w:r w:rsidR="00F13E52" w:rsidRPr="00F95C89">
        <w:rPr>
          <w:rFonts w:ascii="Verdana" w:hAnsi="Verdana"/>
          <w:sz w:val="20"/>
          <w:szCs w:val="20"/>
          <w:lang w:val="es-AR"/>
        </w:rPr>
        <w:t>que se generen nuevas afrentas a los derechos a la vida</w:t>
      </w:r>
      <w:r w:rsidR="00B74C26">
        <w:rPr>
          <w:rFonts w:ascii="Verdana" w:hAnsi="Verdana"/>
          <w:sz w:val="20"/>
          <w:szCs w:val="20"/>
          <w:lang w:val="es-AR"/>
        </w:rPr>
        <w:t xml:space="preserve"> </w:t>
      </w:r>
      <w:r w:rsidR="00F13E52" w:rsidRPr="00F95C89">
        <w:rPr>
          <w:rFonts w:ascii="Verdana" w:hAnsi="Verdana"/>
          <w:sz w:val="20"/>
          <w:szCs w:val="20"/>
          <w:lang w:val="es-AR"/>
        </w:rPr>
        <w:t xml:space="preserve">e integridad personal de </w:t>
      </w:r>
      <w:r w:rsidR="00C87FEF">
        <w:rPr>
          <w:rFonts w:ascii="Verdana" w:hAnsi="Verdana"/>
          <w:sz w:val="20"/>
          <w:szCs w:val="20"/>
          <w:lang w:val="es-AR"/>
        </w:rPr>
        <w:t xml:space="preserve">los miembros de </w:t>
      </w:r>
      <w:r w:rsidR="00F13E52" w:rsidRPr="00F95C89">
        <w:rPr>
          <w:rFonts w:ascii="Verdana" w:hAnsi="Verdana"/>
          <w:sz w:val="20"/>
          <w:szCs w:val="20"/>
          <w:lang w:val="es-AR"/>
        </w:rPr>
        <w:t>la Comunidad Garífuna de Punta Piedra es la solución del problema de raíz, es decir, el saneamiento de las tierras en los términos ordenados en la Sentencia</w:t>
      </w:r>
      <w:r w:rsidR="00B20426">
        <w:rPr>
          <w:rFonts w:ascii="Verdana" w:hAnsi="Verdana"/>
          <w:sz w:val="20"/>
          <w:szCs w:val="20"/>
          <w:lang w:val="es-AR"/>
        </w:rPr>
        <w:t>.</w:t>
      </w:r>
      <w:r w:rsidR="00F13E52" w:rsidRPr="00F95C89">
        <w:rPr>
          <w:rFonts w:ascii="Verdana" w:hAnsi="Verdana"/>
          <w:sz w:val="20"/>
          <w:szCs w:val="20"/>
          <w:lang w:val="es-AR"/>
        </w:rPr>
        <w:t xml:space="preserve"> </w:t>
      </w:r>
    </w:p>
    <w:p w14:paraId="76CB75A0" w14:textId="0FA0F601" w:rsidR="00424882" w:rsidRPr="00F76A0A" w:rsidRDefault="008A0127" w:rsidP="008A0127">
      <w:pPr>
        <w:pStyle w:val="Prrafodelista"/>
        <w:numPr>
          <w:ilvl w:val="0"/>
          <w:numId w:val="3"/>
        </w:numPr>
        <w:tabs>
          <w:tab w:val="left" w:pos="680"/>
        </w:tabs>
        <w:spacing w:before="60" w:after="60"/>
        <w:ind w:left="0" w:hanging="11"/>
        <w:contextualSpacing w:val="0"/>
        <w:jc w:val="both"/>
        <w:rPr>
          <w:rFonts w:ascii="Verdana" w:hAnsi="Verdana"/>
          <w:sz w:val="20"/>
          <w:szCs w:val="20"/>
          <w:lang w:val="es-ES"/>
        </w:rPr>
      </w:pPr>
      <w:bookmarkStart w:id="8" w:name="_Ref12551413"/>
      <w:r>
        <w:rPr>
          <w:rFonts w:ascii="Verdana" w:hAnsi="Verdana"/>
          <w:sz w:val="20"/>
          <w:szCs w:val="20"/>
          <w:lang w:val="es-ES"/>
        </w:rPr>
        <w:t xml:space="preserve">En razón de lo expuesto, la Corte concluye que la medida dispuesta en el punto resolutivo décimo y párrafos </w:t>
      </w:r>
      <w:r w:rsidR="0022067F">
        <w:rPr>
          <w:rFonts w:ascii="Verdana" w:hAnsi="Verdana"/>
          <w:sz w:val="20"/>
          <w:szCs w:val="20"/>
          <w:lang w:val="es-MX"/>
        </w:rPr>
        <w:t>322 a 326</w:t>
      </w:r>
      <w:r w:rsidR="0022067F" w:rsidRPr="00B06955">
        <w:rPr>
          <w:rFonts w:ascii="Verdana" w:hAnsi="Verdana"/>
          <w:sz w:val="20"/>
          <w:szCs w:val="20"/>
          <w:lang w:val="es-MX"/>
        </w:rPr>
        <w:t xml:space="preserve"> </w:t>
      </w:r>
      <w:r>
        <w:rPr>
          <w:rFonts w:ascii="Verdana" w:hAnsi="Verdana"/>
          <w:sz w:val="20"/>
          <w:szCs w:val="20"/>
          <w:lang w:val="es-ES"/>
        </w:rPr>
        <w:t>de la Sentencia se encuentra pendiente de cumplimiento, y requiere al Estado que presente información actualizada y detallada sobre la adopción de medidas destinadas a g</w:t>
      </w:r>
      <w:proofErr w:type="spellStart"/>
      <w:r w:rsidRPr="00F74801">
        <w:rPr>
          <w:rFonts w:ascii="Verdana" w:hAnsi="Verdana"/>
          <w:sz w:val="20"/>
          <w:szCs w:val="20"/>
          <w:lang w:val="es-MX"/>
        </w:rPr>
        <w:t>arantizar</w:t>
      </w:r>
      <w:proofErr w:type="spellEnd"/>
      <w:r w:rsidRPr="00F74801">
        <w:rPr>
          <w:rFonts w:ascii="Verdana" w:hAnsi="Verdana"/>
          <w:sz w:val="20"/>
          <w:szCs w:val="20"/>
          <w:lang w:val="es-MX"/>
        </w:rPr>
        <w:t xml:space="preserve"> el uso y goce, a través </w:t>
      </w:r>
      <w:r w:rsidR="00B20426">
        <w:rPr>
          <w:rFonts w:ascii="Verdana" w:hAnsi="Verdana"/>
          <w:sz w:val="20"/>
          <w:szCs w:val="20"/>
          <w:lang w:val="es-MX"/>
        </w:rPr>
        <w:t>del saneamiento</w:t>
      </w:r>
      <w:r>
        <w:rPr>
          <w:rFonts w:ascii="Verdana" w:hAnsi="Verdana"/>
          <w:sz w:val="20"/>
          <w:szCs w:val="20"/>
          <w:lang w:val="es-MX"/>
        </w:rPr>
        <w:t xml:space="preserve"> de las tierras en cuestión, o bien que </w:t>
      </w:r>
      <w:r>
        <w:rPr>
          <w:rFonts w:ascii="Verdana" w:hAnsi="Verdana"/>
          <w:sz w:val="20"/>
          <w:szCs w:val="20"/>
          <w:lang w:val="es-ES"/>
        </w:rPr>
        <w:t>informe qué</w:t>
      </w:r>
      <w:r w:rsidR="00A22656">
        <w:rPr>
          <w:rFonts w:ascii="Verdana" w:hAnsi="Verdana"/>
          <w:sz w:val="20"/>
          <w:szCs w:val="20"/>
          <w:lang w:val="es-ES"/>
        </w:rPr>
        <w:t xml:space="preserve"> medida</w:t>
      </w:r>
      <w:r w:rsidR="0022067F">
        <w:rPr>
          <w:rFonts w:ascii="Verdana" w:hAnsi="Verdana"/>
          <w:sz w:val="20"/>
          <w:szCs w:val="20"/>
          <w:lang w:val="es-ES"/>
        </w:rPr>
        <w:t>s tomó</w:t>
      </w:r>
      <w:r w:rsidR="00433390">
        <w:rPr>
          <w:rFonts w:ascii="Verdana" w:hAnsi="Verdana"/>
          <w:sz w:val="20"/>
          <w:szCs w:val="20"/>
          <w:lang w:val="es-ES"/>
        </w:rPr>
        <w:t xml:space="preserve"> para agotar </w:t>
      </w:r>
      <w:r w:rsidR="00A22656">
        <w:rPr>
          <w:rFonts w:ascii="Verdana" w:hAnsi="Verdana"/>
          <w:sz w:val="20"/>
          <w:szCs w:val="20"/>
          <w:lang w:val="es-ES"/>
        </w:rPr>
        <w:t xml:space="preserve">todas las </w:t>
      </w:r>
      <w:r w:rsidR="00A22656" w:rsidRPr="00F76A0A">
        <w:rPr>
          <w:rFonts w:ascii="Verdana" w:hAnsi="Verdana"/>
          <w:sz w:val="20"/>
          <w:szCs w:val="20"/>
          <w:lang w:val="es-ES"/>
        </w:rPr>
        <w:t xml:space="preserve">posibilidades a la luz del estándar de diligencia </w:t>
      </w:r>
      <w:r w:rsidRPr="00F76A0A">
        <w:rPr>
          <w:rFonts w:ascii="Verdana" w:hAnsi="Verdana"/>
          <w:sz w:val="20"/>
          <w:szCs w:val="20"/>
          <w:lang w:val="es-ES"/>
        </w:rPr>
        <w:t>que la Sentencia impone</w:t>
      </w:r>
      <w:r w:rsidR="00A22656" w:rsidRPr="00F76A0A">
        <w:rPr>
          <w:rFonts w:ascii="Verdana" w:hAnsi="Verdana"/>
          <w:sz w:val="20"/>
          <w:szCs w:val="20"/>
          <w:lang w:val="es-ES"/>
        </w:rPr>
        <w:t>.</w:t>
      </w:r>
      <w:r w:rsidR="00D45DED" w:rsidRPr="00F76A0A">
        <w:rPr>
          <w:rFonts w:ascii="Verdana" w:hAnsi="Verdana"/>
          <w:sz w:val="20"/>
          <w:szCs w:val="20"/>
          <w:lang w:val="es-ES"/>
        </w:rPr>
        <w:t xml:space="preserve"> Asimismo, se solicita al Estado que informe si los títulos de propiedad y contratos </w:t>
      </w:r>
      <w:r w:rsidR="00D45DED" w:rsidRPr="00F76A0A">
        <w:rPr>
          <w:rFonts w:ascii="Verdana" w:hAnsi="Verdana"/>
          <w:sz w:val="20"/>
          <w:szCs w:val="20"/>
          <w:lang w:val="es-CR"/>
        </w:rPr>
        <w:t>entregados al Instituto Nacional Agrario por el Patronato Pro Mejoramiento de Río Miel</w:t>
      </w:r>
      <w:r w:rsidR="00D45DED" w:rsidRPr="00F76A0A">
        <w:rPr>
          <w:rFonts w:ascii="Verdana" w:hAnsi="Verdana"/>
          <w:sz w:val="20"/>
          <w:szCs w:val="20"/>
          <w:lang w:val="es-ES"/>
        </w:rPr>
        <w:t xml:space="preserve"> y aportados por el Estado (</w:t>
      </w:r>
      <w:r w:rsidR="00D45DED" w:rsidRPr="00F76A0A">
        <w:rPr>
          <w:rFonts w:ascii="Verdana" w:hAnsi="Verdana"/>
          <w:i/>
          <w:sz w:val="20"/>
          <w:szCs w:val="20"/>
          <w:lang w:val="es-ES"/>
        </w:rPr>
        <w:t xml:space="preserve">supra </w:t>
      </w:r>
      <w:r w:rsidR="00B20426" w:rsidRPr="00F76A0A">
        <w:rPr>
          <w:rFonts w:ascii="Verdana" w:hAnsi="Verdana"/>
          <w:sz w:val="20"/>
          <w:szCs w:val="20"/>
          <w:lang w:val="es-ES"/>
        </w:rPr>
        <w:t xml:space="preserve">Considerando </w:t>
      </w:r>
      <w:r w:rsidR="00B20426" w:rsidRPr="00F76A0A">
        <w:rPr>
          <w:rFonts w:ascii="Verdana" w:hAnsi="Verdana"/>
          <w:sz w:val="20"/>
          <w:szCs w:val="20"/>
          <w:lang w:val="es-ES"/>
        </w:rPr>
        <w:fldChar w:fldCharType="begin"/>
      </w:r>
      <w:r w:rsidR="00B20426" w:rsidRPr="00F76A0A">
        <w:rPr>
          <w:rFonts w:ascii="Verdana" w:hAnsi="Verdana"/>
          <w:sz w:val="20"/>
          <w:szCs w:val="20"/>
          <w:lang w:val="es-ES"/>
        </w:rPr>
        <w:instrText xml:space="preserve"> REF _Ref12527014 \r \h </w:instrText>
      </w:r>
      <w:r w:rsidR="00075D02" w:rsidRPr="00F76A0A">
        <w:rPr>
          <w:rFonts w:ascii="Verdana" w:hAnsi="Verdana"/>
          <w:sz w:val="20"/>
          <w:szCs w:val="20"/>
          <w:lang w:val="es-ES"/>
        </w:rPr>
        <w:instrText xml:space="preserve"> \* MERGEFORMAT </w:instrText>
      </w:r>
      <w:r w:rsidR="00B20426" w:rsidRPr="00F76A0A">
        <w:rPr>
          <w:rFonts w:ascii="Verdana" w:hAnsi="Verdana"/>
          <w:sz w:val="20"/>
          <w:szCs w:val="20"/>
          <w:lang w:val="es-ES"/>
        </w:rPr>
      </w:r>
      <w:r w:rsidR="00B20426" w:rsidRPr="00F76A0A">
        <w:rPr>
          <w:rFonts w:ascii="Verdana" w:hAnsi="Verdana"/>
          <w:sz w:val="20"/>
          <w:szCs w:val="20"/>
          <w:lang w:val="es-ES"/>
        </w:rPr>
        <w:fldChar w:fldCharType="separate"/>
      </w:r>
      <w:r w:rsidR="00D11D5D">
        <w:rPr>
          <w:rFonts w:ascii="Verdana" w:hAnsi="Verdana"/>
          <w:sz w:val="20"/>
          <w:szCs w:val="20"/>
          <w:lang w:val="es-ES"/>
        </w:rPr>
        <w:t>6</w:t>
      </w:r>
      <w:r w:rsidR="00B20426" w:rsidRPr="00F76A0A">
        <w:rPr>
          <w:rFonts w:ascii="Verdana" w:hAnsi="Verdana"/>
          <w:sz w:val="20"/>
          <w:szCs w:val="20"/>
          <w:lang w:val="es-ES"/>
        </w:rPr>
        <w:fldChar w:fldCharType="end"/>
      </w:r>
      <w:r w:rsidR="00B20426" w:rsidRPr="00F76A0A">
        <w:rPr>
          <w:rFonts w:ascii="Verdana" w:hAnsi="Verdana"/>
          <w:sz w:val="20"/>
          <w:szCs w:val="20"/>
          <w:lang w:val="es-ES"/>
        </w:rPr>
        <w:t xml:space="preserve">, punto </w:t>
      </w:r>
      <w:r w:rsidR="00B20426" w:rsidRPr="00F76A0A">
        <w:rPr>
          <w:rFonts w:ascii="Verdana" w:hAnsi="Verdana"/>
          <w:sz w:val="20"/>
          <w:szCs w:val="20"/>
          <w:lang w:val="es-ES"/>
        </w:rPr>
        <w:fldChar w:fldCharType="begin"/>
      </w:r>
      <w:r w:rsidR="00B20426" w:rsidRPr="00F76A0A">
        <w:rPr>
          <w:rFonts w:ascii="Verdana" w:hAnsi="Verdana"/>
          <w:sz w:val="20"/>
          <w:szCs w:val="20"/>
          <w:lang w:val="es-ES"/>
        </w:rPr>
        <w:instrText xml:space="preserve"> REF _Ref12527032 \r \h </w:instrText>
      </w:r>
      <w:r w:rsidR="00075D02" w:rsidRPr="00F76A0A">
        <w:rPr>
          <w:rFonts w:ascii="Verdana" w:hAnsi="Verdana"/>
          <w:sz w:val="20"/>
          <w:szCs w:val="20"/>
          <w:lang w:val="es-ES"/>
        </w:rPr>
        <w:instrText xml:space="preserve"> \* MERGEFORMAT </w:instrText>
      </w:r>
      <w:r w:rsidR="00B20426" w:rsidRPr="00F76A0A">
        <w:rPr>
          <w:rFonts w:ascii="Verdana" w:hAnsi="Verdana"/>
          <w:sz w:val="20"/>
          <w:szCs w:val="20"/>
          <w:lang w:val="es-ES"/>
        </w:rPr>
      </w:r>
      <w:r w:rsidR="00B20426" w:rsidRPr="00F76A0A">
        <w:rPr>
          <w:rFonts w:ascii="Verdana" w:hAnsi="Verdana"/>
          <w:sz w:val="20"/>
          <w:szCs w:val="20"/>
          <w:lang w:val="es-ES"/>
        </w:rPr>
        <w:fldChar w:fldCharType="separate"/>
      </w:r>
      <w:r w:rsidR="00D11D5D">
        <w:rPr>
          <w:rFonts w:ascii="Verdana" w:hAnsi="Verdana"/>
          <w:sz w:val="20"/>
          <w:szCs w:val="20"/>
          <w:lang w:val="es-ES"/>
        </w:rPr>
        <w:t>d</w:t>
      </w:r>
      <w:r w:rsidR="00B20426" w:rsidRPr="00F76A0A">
        <w:rPr>
          <w:rFonts w:ascii="Verdana" w:hAnsi="Verdana"/>
          <w:sz w:val="20"/>
          <w:szCs w:val="20"/>
          <w:lang w:val="es-ES"/>
        </w:rPr>
        <w:fldChar w:fldCharType="end"/>
      </w:r>
      <w:r w:rsidR="00D45DED" w:rsidRPr="00F76A0A">
        <w:rPr>
          <w:rFonts w:ascii="Verdana" w:hAnsi="Verdana"/>
          <w:sz w:val="20"/>
          <w:szCs w:val="20"/>
          <w:lang w:val="es-ES"/>
        </w:rPr>
        <w:t>)</w:t>
      </w:r>
      <w:r w:rsidR="00A22656" w:rsidRPr="00F76A0A">
        <w:rPr>
          <w:rFonts w:ascii="Verdana" w:hAnsi="Verdana"/>
          <w:sz w:val="20"/>
          <w:szCs w:val="20"/>
          <w:lang w:val="es-ES"/>
        </w:rPr>
        <w:t xml:space="preserve"> </w:t>
      </w:r>
      <w:r w:rsidR="00D45DED" w:rsidRPr="00F76A0A">
        <w:rPr>
          <w:rFonts w:ascii="Verdana" w:hAnsi="Verdana"/>
          <w:sz w:val="20"/>
          <w:szCs w:val="20"/>
          <w:lang w:val="es-ES"/>
        </w:rPr>
        <w:t>se encuentran dentro del territorio titulado a favor de la Comunidad</w:t>
      </w:r>
      <w:r w:rsidR="00F76A0A" w:rsidRPr="00F76A0A">
        <w:rPr>
          <w:rFonts w:ascii="Verdana" w:hAnsi="Verdana"/>
          <w:sz w:val="20"/>
          <w:szCs w:val="20"/>
          <w:lang w:val="es-ES"/>
        </w:rPr>
        <w:t xml:space="preserve"> de Punta Piedra</w:t>
      </w:r>
      <w:r w:rsidR="00D45DED" w:rsidRPr="00F76A0A">
        <w:rPr>
          <w:rFonts w:ascii="Verdana" w:hAnsi="Verdana"/>
          <w:sz w:val="20"/>
          <w:szCs w:val="20"/>
          <w:lang w:val="es-ES"/>
        </w:rPr>
        <w:t>.</w:t>
      </w:r>
      <w:bookmarkEnd w:id="8"/>
      <w:r w:rsidR="00D45DED" w:rsidRPr="00F76A0A">
        <w:rPr>
          <w:rFonts w:ascii="Verdana" w:hAnsi="Verdana"/>
          <w:sz w:val="20"/>
          <w:szCs w:val="20"/>
          <w:lang w:val="es-ES"/>
        </w:rPr>
        <w:t xml:space="preserve"> </w:t>
      </w:r>
    </w:p>
    <w:p w14:paraId="5C753E56" w14:textId="77777777" w:rsidR="00A60C3F" w:rsidRPr="00B06955" w:rsidRDefault="00A60C3F" w:rsidP="00A60C3F">
      <w:pPr>
        <w:pStyle w:val="Prrafodelista"/>
        <w:spacing w:before="120" w:after="120"/>
        <w:jc w:val="both"/>
        <w:outlineLvl w:val="0"/>
        <w:rPr>
          <w:rFonts w:ascii="Verdana" w:hAnsi="Verdana"/>
          <w:b/>
          <w:i/>
          <w:sz w:val="20"/>
          <w:szCs w:val="20"/>
          <w:lang w:val="es-MX"/>
        </w:rPr>
      </w:pPr>
    </w:p>
    <w:p w14:paraId="18E545A2" w14:textId="77777777" w:rsidR="00B06955" w:rsidRDefault="00B06955" w:rsidP="00B06955">
      <w:pPr>
        <w:pStyle w:val="Prrafodelista"/>
        <w:numPr>
          <w:ilvl w:val="0"/>
          <w:numId w:val="6"/>
        </w:numPr>
        <w:spacing w:before="120" w:after="120"/>
        <w:contextualSpacing w:val="0"/>
        <w:jc w:val="both"/>
        <w:outlineLvl w:val="0"/>
        <w:rPr>
          <w:rFonts w:ascii="Verdana" w:hAnsi="Verdana"/>
          <w:b/>
          <w:i/>
          <w:sz w:val="20"/>
          <w:szCs w:val="20"/>
          <w:lang w:val="es-MX"/>
        </w:rPr>
      </w:pPr>
      <w:bookmarkStart w:id="9" w:name="_Toc1737133"/>
      <w:r w:rsidRPr="00B06955">
        <w:rPr>
          <w:rFonts w:ascii="Verdana" w:hAnsi="Verdana"/>
          <w:b/>
          <w:i/>
          <w:sz w:val="20"/>
          <w:szCs w:val="20"/>
          <w:lang w:val="es-MX"/>
        </w:rPr>
        <w:t>Hacer cesar cualquier actividad respecto del proyecto de exploración Punta Piedra II que no haya sido previamente consultada</w:t>
      </w:r>
      <w:bookmarkEnd w:id="9"/>
      <w:r w:rsidRPr="00B06955">
        <w:rPr>
          <w:rFonts w:ascii="Verdana" w:hAnsi="Verdana"/>
          <w:b/>
          <w:i/>
          <w:sz w:val="20"/>
          <w:szCs w:val="20"/>
          <w:lang w:val="es-MX"/>
        </w:rPr>
        <w:tab/>
      </w:r>
    </w:p>
    <w:p w14:paraId="2EAD09E8" w14:textId="77777777" w:rsidR="00920407" w:rsidRPr="00D61607" w:rsidRDefault="00920407" w:rsidP="00D61607">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B</w:t>
      </w:r>
      <w:r w:rsidRPr="00B06955">
        <w:rPr>
          <w:rFonts w:ascii="Verdana" w:hAnsi="Verdana"/>
          <w:i/>
          <w:sz w:val="20"/>
          <w:szCs w:val="20"/>
          <w:lang w:val="es-MX"/>
        </w:rPr>
        <w:t xml:space="preserve">.1. Medida ordenada por la Corte </w:t>
      </w:r>
    </w:p>
    <w:p w14:paraId="3F61C9A5" w14:textId="3BBAF934" w:rsidR="003317E6" w:rsidRPr="003317E6" w:rsidRDefault="001A0956" w:rsidP="001A0956">
      <w:pPr>
        <w:pStyle w:val="Prrafodelista"/>
        <w:numPr>
          <w:ilvl w:val="0"/>
          <w:numId w:val="3"/>
        </w:numPr>
        <w:spacing w:before="120" w:after="120"/>
        <w:ind w:left="0" w:hanging="11"/>
        <w:contextualSpacing w:val="0"/>
        <w:jc w:val="both"/>
        <w:rPr>
          <w:rFonts w:ascii="Verdana" w:hAnsi="Verdana"/>
          <w:color w:val="00B050"/>
          <w:sz w:val="20"/>
          <w:szCs w:val="20"/>
          <w:lang w:val="es-CR"/>
        </w:rPr>
      </w:pPr>
      <w:r w:rsidRPr="00B06955">
        <w:rPr>
          <w:rFonts w:ascii="Verdana" w:hAnsi="Verdana"/>
          <w:sz w:val="20"/>
          <w:szCs w:val="20"/>
          <w:lang w:val="es-MX"/>
        </w:rPr>
        <w:t xml:space="preserve">En el punto resolutivo </w:t>
      </w:r>
      <w:r w:rsidR="003317E6">
        <w:rPr>
          <w:rFonts w:ascii="Verdana" w:hAnsi="Verdana"/>
          <w:sz w:val="20"/>
          <w:szCs w:val="20"/>
          <w:lang w:val="es-MX"/>
        </w:rPr>
        <w:t xml:space="preserve">decimoprimero y </w:t>
      </w:r>
      <w:r w:rsidRPr="00B06955">
        <w:rPr>
          <w:rFonts w:ascii="Verdana" w:hAnsi="Verdana"/>
          <w:sz w:val="20"/>
          <w:szCs w:val="20"/>
          <w:lang w:val="es-MX"/>
        </w:rPr>
        <w:t xml:space="preserve">párrafo </w:t>
      </w:r>
      <w:r w:rsidR="003317E6">
        <w:rPr>
          <w:rFonts w:ascii="Verdana" w:hAnsi="Verdana"/>
          <w:sz w:val="20"/>
          <w:szCs w:val="20"/>
          <w:lang w:val="es-MX"/>
        </w:rPr>
        <w:t>327</w:t>
      </w:r>
      <w:r w:rsidRPr="00B06955">
        <w:rPr>
          <w:rFonts w:ascii="Verdana" w:hAnsi="Verdana"/>
          <w:sz w:val="20"/>
          <w:szCs w:val="20"/>
          <w:lang w:val="es-MX"/>
        </w:rPr>
        <w:t xml:space="preserve"> de la Sentencia, la Corte dispuso que </w:t>
      </w:r>
      <w:r w:rsidR="003317E6">
        <w:rPr>
          <w:rFonts w:ascii="Verdana" w:hAnsi="Verdana"/>
          <w:sz w:val="20"/>
          <w:szCs w:val="20"/>
          <w:lang w:val="es-MX"/>
        </w:rPr>
        <w:t>el Estado debía “</w:t>
      </w:r>
      <w:r w:rsidR="003317E6" w:rsidRPr="003317E6">
        <w:rPr>
          <w:rFonts w:ascii="Verdana" w:hAnsi="Verdana"/>
          <w:bCs/>
          <w:sz w:val="20"/>
          <w:szCs w:val="20"/>
          <w:lang w:val="es-CR"/>
        </w:rPr>
        <w:t>hacer cesar cualquier actividad respecto del proyecto de exploración Punta Piedra II que no haya sido previamente consultada</w:t>
      </w:r>
      <w:r w:rsidR="004901A1">
        <w:rPr>
          <w:rFonts w:ascii="Verdana" w:hAnsi="Verdana"/>
          <w:bCs/>
          <w:sz w:val="20"/>
          <w:szCs w:val="20"/>
          <w:lang w:val="es-CR"/>
        </w:rPr>
        <w:t>”</w:t>
      </w:r>
      <w:r w:rsidR="003317E6">
        <w:rPr>
          <w:rFonts w:ascii="Verdana" w:hAnsi="Verdana"/>
          <w:bCs/>
          <w:sz w:val="20"/>
          <w:szCs w:val="20"/>
          <w:lang w:val="es-CR"/>
        </w:rPr>
        <w:t xml:space="preserve"> y</w:t>
      </w:r>
      <w:r w:rsidR="004901A1">
        <w:rPr>
          <w:rFonts w:ascii="Verdana" w:hAnsi="Verdana"/>
          <w:bCs/>
          <w:sz w:val="20"/>
          <w:szCs w:val="20"/>
          <w:lang w:val="es-CR"/>
        </w:rPr>
        <w:t>,</w:t>
      </w:r>
      <w:r w:rsidR="003317E6">
        <w:rPr>
          <w:rFonts w:ascii="Verdana" w:hAnsi="Verdana"/>
          <w:bCs/>
          <w:sz w:val="20"/>
          <w:szCs w:val="20"/>
          <w:lang w:val="es-CR"/>
        </w:rPr>
        <w:t xml:space="preserve"> en su caso, “</w:t>
      </w:r>
      <w:r w:rsidR="003317E6" w:rsidRPr="003317E6">
        <w:rPr>
          <w:rFonts w:ascii="Verdana" w:hAnsi="Verdana"/>
          <w:bCs/>
          <w:sz w:val="20"/>
          <w:szCs w:val="20"/>
          <w:lang w:val="es-CR"/>
        </w:rPr>
        <w:t>proceder de conformidad con la jurisprudencia de la Corte, a la realización de la misma</w:t>
      </w:r>
      <w:r w:rsidR="00D37F57">
        <w:rPr>
          <w:rFonts w:ascii="Verdana" w:hAnsi="Verdana"/>
          <w:bCs/>
          <w:sz w:val="20"/>
          <w:szCs w:val="20"/>
          <w:lang w:val="es-CR"/>
        </w:rPr>
        <w:t>”.</w:t>
      </w:r>
    </w:p>
    <w:p w14:paraId="258199E8" w14:textId="77777777" w:rsidR="001A0956" w:rsidRPr="001A0956" w:rsidRDefault="001A0956" w:rsidP="00B51DF4">
      <w:pPr>
        <w:pStyle w:val="Prrafodelista"/>
        <w:tabs>
          <w:tab w:val="left" w:pos="680"/>
        </w:tabs>
        <w:spacing w:before="60" w:after="60"/>
        <w:ind w:left="850" w:right="619"/>
        <w:contextualSpacing w:val="0"/>
        <w:jc w:val="both"/>
        <w:rPr>
          <w:rFonts w:ascii="Verdana" w:hAnsi="Verdana"/>
          <w:sz w:val="18"/>
          <w:szCs w:val="20"/>
          <w:lang w:val="es-CR"/>
        </w:rPr>
      </w:pPr>
    </w:p>
    <w:p w14:paraId="77FA2063" w14:textId="77777777" w:rsidR="00920407" w:rsidRPr="00B06955" w:rsidRDefault="00920407" w:rsidP="00920407">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B</w:t>
      </w:r>
      <w:r w:rsidR="003317E6">
        <w:rPr>
          <w:rFonts w:ascii="Verdana" w:hAnsi="Verdana"/>
          <w:i/>
          <w:sz w:val="20"/>
          <w:szCs w:val="20"/>
          <w:lang w:val="es-MX"/>
        </w:rPr>
        <w:t>.2</w:t>
      </w:r>
      <w:r w:rsidRPr="00B06955">
        <w:rPr>
          <w:rFonts w:ascii="Verdana" w:hAnsi="Verdana"/>
          <w:i/>
          <w:sz w:val="20"/>
          <w:szCs w:val="20"/>
          <w:lang w:val="es-MX"/>
        </w:rPr>
        <w:t>. Consideraciones de la Corte</w:t>
      </w:r>
    </w:p>
    <w:p w14:paraId="51B95E44" w14:textId="6F798A41" w:rsidR="00D810FE" w:rsidRPr="00D810FE" w:rsidRDefault="00445587" w:rsidP="00D474EC">
      <w:pPr>
        <w:pStyle w:val="Prrafodelista"/>
        <w:numPr>
          <w:ilvl w:val="0"/>
          <w:numId w:val="3"/>
        </w:numPr>
        <w:spacing w:before="120" w:after="120"/>
        <w:ind w:left="0" w:hanging="11"/>
        <w:contextualSpacing w:val="0"/>
        <w:jc w:val="both"/>
        <w:rPr>
          <w:rFonts w:ascii="Verdana" w:hAnsi="Verdana"/>
          <w:b/>
          <w:i/>
          <w:sz w:val="20"/>
          <w:szCs w:val="20"/>
          <w:lang w:val="es-MX"/>
        </w:rPr>
      </w:pPr>
      <w:r>
        <w:rPr>
          <w:rFonts w:ascii="Verdana" w:hAnsi="Verdana"/>
          <w:sz w:val="20"/>
          <w:szCs w:val="20"/>
          <w:lang w:val="es-MX"/>
        </w:rPr>
        <w:t>Con respecto a este punto, e</w:t>
      </w:r>
      <w:r w:rsidR="003317E6">
        <w:rPr>
          <w:rFonts w:ascii="Verdana" w:hAnsi="Verdana"/>
          <w:sz w:val="20"/>
          <w:szCs w:val="20"/>
          <w:lang w:val="es-MX"/>
        </w:rPr>
        <w:t xml:space="preserve">ste Tribunal valora positivamente lo dispuesto mediante Resolución 20/2017 de fecha 20 de febrero de 2017 emitida por el “Instituto </w:t>
      </w:r>
      <w:r w:rsidR="00D474EC">
        <w:rPr>
          <w:rFonts w:ascii="Verdana" w:hAnsi="Verdana"/>
          <w:sz w:val="20"/>
          <w:szCs w:val="20"/>
          <w:lang w:val="es-MX"/>
        </w:rPr>
        <w:t>Hondureño de Geología y Minas (INHGEOMIN)”, la cual resolvió</w:t>
      </w:r>
      <w:r w:rsidR="00D474EC">
        <w:rPr>
          <w:rFonts w:ascii="Verdana" w:hAnsi="Verdana"/>
          <w:b/>
          <w:i/>
          <w:sz w:val="20"/>
          <w:szCs w:val="20"/>
          <w:lang w:val="es-MX"/>
        </w:rPr>
        <w:t xml:space="preserve"> </w:t>
      </w:r>
      <w:r w:rsidR="00D474EC" w:rsidRPr="00BC194E">
        <w:rPr>
          <w:rFonts w:ascii="Verdana" w:hAnsi="Verdana"/>
          <w:i/>
          <w:sz w:val="20"/>
          <w:szCs w:val="20"/>
          <w:lang w:val="es-MX"/>
        </w:rPr>
        <w:t>“</w:t>
      </w:r>
      <w:r w:rsidR="00D474EC" w:rsidRPr="00D474EC">
        <w:rPr>
          <w:rFonts w:ascii="Verdana" w:hAnsi="Verdana"/>
          <w:sz w:val="20"/>
          <w:szCs w:val="20"/>
          <w:lang w:val="es-MX"/>
        </w:rPr>
        <w:t>[c]</w:t>
      </w:r>
      <w:proofErr w:type="spellStart"/>
      <w:r w:rsidR="00D474EC" w:rsidRPr="00D474EC">
        <w:rPr>
          <w:rFonts w:ascii="Verdana" w:hAnsi="Verdana"/>
          <w:sz w:val="20"/>
          <w:szCs w:val="20"/>
          <w:lang w:val="es-MX"/>
        </w:rPr>
        <w:t>ancelar</w:t>
      </w:r>
      <w:proofErr w:type="spellEnd"/>
      <w:r w:rsidR="00D474EC" w:rsidRPr="00D474EC">
        <w:rPr>
          <w:rFonts w:ascii="Verdana" w:hAnsi="Verdana"/>
          <w:sz w:val="20"/>
          <w:szCs w:val="20"/>
          <w:lang w:val="es-MX"/>
        </w:rPr>
        <w:t xml:space="preserve"> la Concesión Minera Met</w:t>
      </w:r>
      <w:r w:rsidR="00D474EC">
        <w:rPr>
          <w:rFonts w:ascii="Verdana" w:hAnsi="Verdana"/>
          <w:sz w:val="20"/>
          <w:szCs w:val="20"/>
          <w:lang w:val="es-MX"/>
        </w:rPr>
        <w:t>álica para la zona denomin</w:t>
      </w:r>
      <w:r w:rsidR="00D474EC" w:rsidRPr="00D474EC">
        <w:rPr>
          <w:rFonts w:ascii="Verdana" w:hAnsi="Verdana"/>
          <w:sz w:val="20"/>
          <w:szCs w:val="20"/>
          <w:lang w:val="es-MX"/>
        </w:rPr>
        <w:t>ad</w:t>
      </w:r>
      <w:r w:rsidR="004901A1">
        <w:rPr>
          <w:rFonts w:ascii="Verdana" w:hAnsi="Verdana"/>
          <w:sz w:val="20"/>
          <w:szCs w:val="20"/>
          <w:lang w:val="es-MX"/>
        </w:rPr>
        <w:t>a ‘PUNTA DE PIEDRA 2’</w:t>
      </w:r>
      <w:r w:rsidR="00D474EC" w:rsidRPr="00D474EC">
        <w:rPr>
          <w:rFonts w:ascii="Verdana" w:hAnsi="Verdana"/>
          <w:sz w:val="20"/>
          <w:szCs w:val="20"/>
          <w:lang w:val="es-MX"/>
        </w:rPr>
        <w:t xml:space="preserve"> […] otorgada a favor de la sociedad Mercantil CORPORACIÓN MINERA CAXINAS S.A., en virtud de lo establecido en la Sentencia</w:t>
      </w:r>
      <w:r>
        <w:rPr>
          <w:rFonts w:ascii="Verdana" w:hAnsi="Verdana"/>
          <w:sz w:val="20"/>
          <w:szCs w:val="20"/>
          <w:lang w:val="es-MX"/>
        </w:rPr>
        <w:t xml:space="preserve"> </w:t>
      </w:r>
      <w:r w:rsidR="00BC194E">
        <w:rPr>
          <w:rFonts w:ascii="Verdana" w:hAnsi="Verdana"/>
          <w:sz w:val="20"/>
          <w:szCs w:val="20"/>
          <w:lang w:val="es-MX"/>
        </w:rPr>
        <w:t>[</w:t>
      </w:r>
      <w:r>
        <w:rPr>
          <w:rFonts w:ascii="Verdana" w:hAnsi="Verdana"/>
          <w:sz w:val="20"/>
          <w:szCs w:val="20"/>
          <w:lang w:val="es-MX"/>
        </w:rPr>
        <w:t>de esta Corte</w:t>
      </w:r>
      <w:r w:rsidR="00BC194E">
        <w:rPr>
          <w:rFonts w:ascii="Verdana" w:hAnsi="Verdana"/>
          <w:sz w:val="20"/>
          <w:szCs w:val="20"/>
          <w:lang w:val="es-MX"/>
        </w:rPr>
        <w:t xml:space="preserve"> …]</w:t>
      </w:r>
      <w:r w:rsidR="00D474EC" w:rsidRPr="00D474EC">
        <w:rPr>
          <w:rFonts w:ascii="Verdana" w:hAnsi="Verdana"/>
          <w:sz w:val="20"/>
          <w:szCs w:val="20"/>
          <w:lang w:val="es-MX"/>
        </w:rPr>
        <w:t xml:space="preserve"> debido a que la autoridad minera no realizó ninguna consulta previa para el </w:t>
      </w:r>
      <w:r w:rsidR="00D474EC" w:rsidRPr="00D474EC">
        <w:rPr>
          <w:rFonts w:ascii="Verdana" w:hAnsi="Verdana"/>
          <w:sz w:val="20"/>
          <w:szCs w:val="20"/>
          <w:lang w:val="es-MX"/>
        </w:rPr>
        <w:lastRenderedPageBreak/>
        <w:t>desarrollo del proyecto minero en esa zona</w:t>
      </w:r>
      <w:r w:rsidR="00D474EC">
        <w:rPr>
          <w:rFonts w:ascii="Verdana" w:hAnsi="Verdana"/>
          <w:sz w:val="20"/>
          <w:szCs w:val="20"/>
          <w:lang w:val="es-MX"/>
        </w:rPr>
        <w:t xml:space="preserve">”, lo cual “violenta [los] procesos de diálogo” establecidos en el Convenio </w:t>
      </w:r>
      <w:r w:rsidR="004901A1">
        <w:rPr>
          <w:rFonts w:ascii="Verdana" w:hAnsi="Verdana"/>
          <w:sz w:val="20"/>
          <w:szCs w:val="20"/>
          <w:lang w:val="es-MX"/>
        </w:rPr>
        <w:t xml:space="preserve">No. </w:t>
      </w:r>
      <w:r w:rsidR="00D474EC">
        <w:rPr>
          <w:rFonts w:ascii="Verdana" w:hAnsi="Verdana"/>
          <w:sz w:val="20"/>
          <w:szCs w:val="20"/>
          <w:lang w:val="es-MX"/>
        </w:rPr>
        <w:t xml:space="preserve">169 de la </w:t>
      </w:r>
      <w:r w:rsidR="004901A1">
        <w:rPr>
          <w:rFonts w:ascii="Verdana" w:hAnsi="Verdana"/>
          <w:sz w:val="20"/>
          <w:szCs w:val="20"/>
          <w:lang w:val="es-MX"/>
        </w:rPr>
        <w:t>Organización Internacional del Trabajo (</w:t>
      </w:r>
      <w:r w:rsidR="00D474EC">
        <w:rPr>
          <w:rFonts w:ascii="Verdana" w:hAnsi="Verdana"/>
          <w:sz w:val="20"/>
          <w:szCs w:val="20"/>
          <w:lang w:val="es-MX"/>
        </w:rPr>
        <w:t>OIT</w:t>
      </w:r>
      <w:r w:rsidR="004901A1">
        <w:rPr>
          <w:rFonts w:ascii="Verdana" w:hAnsi="Verdana"/>
          <w:sz w:val="20"/>
          <w:szCs w:val="20"/>
          <w:lang w:val="es-MX"/>
        </w:rPr>
        <w:t>)</w:t>
      </w:r>
      <w:r w:rsidR="002E46EF">
        <w:rPr>
          <w:rStyle w:val="Refdenotaalpie"/>
          <w:rFonts w:ascii="Verdana" w:hAnsi="Verdana"/>
          <w:sz w:val="20"/>
          <w:szCs w:val="20"/>
          <w:lang w:val="es-MX"/>
        </w:rPr>
        <w:footnoteReference w:id="29"/>
      </w:r>
      <w:r w:rsidR="00D474EC">
        <w:rPr>
          <w:rFonts w:ascii="Verdana" w:hAnsi="Verdana"/>
          <w:sz w:val="20"/>
          <w:szCs w:val="20"/>
          <w:lang w:val="es-MX"/>
        </w:rPr>
        <w:t xml:space="preserve">. </w:t>
      </w:r>
      <w:r w:rsidR="0079407A">
        <w:rPr>
          <w:rFonts w:ascii="Verdana" w:hAnsi="Verdana"/>
          <w:sz w:val="20"/>
          <w:szCs w:val="20"/>
          <w:lang w:val="es-MX"/>
        </w:rPr>
        <w:t xml:space="preserve">En </w:t>
      </w:r>
      <w:r w:rsidR="00014EDD">
        <w:rPr>
          <w:rFonts w:ascii="Verdana" w:hAnsi="Verdana"/>
          <w:sz w:val="20"/>
          <w:szCs w:val="20"/>
          <w:lang w:val="es-MX"/>
        </w:rPr>
        <w:t xml:space="preserve">abril de 2019 el Estado </w:t>
      </w:r>
      <w:r w:rsidR="0079407A">
        <w:rPr>
          <w:rFonts w:ascii="Verdana" w:hAnsi="Verdana"/>
          <w:sz w:val="20"/>
          <w:szCs w:val="20"/>
          <w:lang w:val="es-MX"/>
        </w:rPr>
        <w:t xml:space="preserve">aportó </w:t>
      </w:r>
      <w:r w:rsidR="00F12528" w:rsidRPr="0079407A">
        <w:rPr>
          <w:rFonts w:ascii="Verdana" w:hAnsi="Verdana"/>
          <w:sz w:val="20"/>
          <w:szCs w:val="20"/>
          <w:lang w:val="es-MX"/>
        </w:rPr>
        <w:t xml:space="preserve">un oficio del Instituto Hondureño de Geología y Minas </w:t>
      </w:r>
      <w:r w:rsidR="0079407A" w:rsidRPr="0079407A">
        <w:rPr>
          <w:rFonts w:ascii="Verdana" w:hAnsi="Verdana"/>
          <w:sz w:val="20"/>
          <w:szCs w:val="20"/>
          <w:lang w:val="es-MX"/>
        </w:rPr>
        <w:t xml:space="preserve">de ese año que </w:t>
      </w:r>
      <w:r w:rsidR="00280BED" w:rsidRPr="0079407A">
        <w:rPr>
          <w:rFonts w:ascii="Verdana" w:hAnsi="Verdana"/>
          <w:sz w:val="20"/>
          <w:szCs w:val="20"/>
          <w:lang w:val="es-MX"/>
        </w:rPr>
        <w:t xml:space="preserve">acompañó </w:t>
      </w:r>
      <w:r w:rsidR="00351082" w:rsidRPr="0079407A">
        <w:rPr>
          <w:rFonts w:ascii="Verdana" w:hAnsi="Verdana"/>
          <w:sz w:val="20"/>
          <w:szCs w:val="20"/>
          <w:lang w:val="es-MX"/>
        </w:rPr>
        <w:t xml:space="preserve">una </w:t>
      </w:r>
      <w:r w:rsidR="00F12528" w:rsidRPr="0079407A">
        <w:rPr>
          <w:rFonts w:ascii="Verdana" w:hAnsi="Verdana"/>
          <w:sz w:val="20"/>
          <w:szCs w:val="20"/>
          <w:lang w:val="es-MX"/>
        </w:rPr>
        <w:t>copia</w:t>
      </w:r>
      <w:r w:rsidR="00351082" w:rsidRPr="0079407A">
        <w:rPr>
          <w:rFonts w:ascii="Verdana" w:hAnsi="Verdana"/>
          <w:sz w:val="20"/>
          <w:szCs w:val="20"/>
          <w:lang w:val="es-MX"/>
        </w:rPr>
        <w:t xml:space="preserve"> de </w:t>
      </w:r>
      <w:r w:rsidR="00280BED" w:rsidRPr="0079407A">
        <w:rPr>
          <w:rFonts w:ascii="Verdana" w:hAnsi="Verdana"/>
          <w:sz w:val="20"/>
          <w:szCs w:val="20"/>
          <w:lang w:val="es-MX"/>
        </w:rPr>
        <w:t>la anotación RMC/17-072 emitida por la Unidad de Registro Minero y Catastra</w:t>
      </w:r>
      <w:r w:rsidR="00330E28" w:rsidRPr="0079407A">
        <w:rPr>
          <w:rFonts w:ascii="Verdana" w:hAnsi="Verdana"/>
          <w:sz w:val="20"/>
          <w:szCs w:val="20"/>
          <w:lang w:val="es-MX"/>
        </w:rPr>
        <w:t>l</w:t>
      </w:r>
      <w:r w:rsidR="00280BED" w:rsidRPr="0079407A">
        <w:rPr>
          <w:rFonts w:ascii="Verdana" w:hAnsi="Verdana"/>
          <w:sz w:val="20"/>
          <w:szCs w:val="20"/>
          <w:lang w:val="es-MX"/>
        </w:rPr>
        <w:t xml:space="preserve"> el 20 de abril de 2017,</w:t>
      </w:r>
      <w:r w:rsidR="00280BED">
        <w:rPr>
          <w:rFonts w:ascii="Verdana" w:hAnsi="Verdana"/>
          <w:sz w:val="20"/>
          <w:szCs w:val="20"/>
          <w:lang w:val="es-MX"/>
        </w:rPr>
        <w:t xml:space="preserve"> por medio de la cual “se realiza la an</w:t>
      </w:r>
      <w:r w:rsidR="00351082">
        <w:rPr>
          <w:rFonts w:ascii="Verdana" w:hAnsi="Verdana"/>
          <w:sz w:val="20"/>
          <w:szCs w:val="20"/>
          <w:lang w:val="es-MX"/>
        </w:rPr>
        <w:t>otación de cancelación del</w:t>
      </w:r>
      <w:r w:rsidR="00280BED">
        <w:rPr>
          <w:rFonts w:ascii="Verdana" w:hAnsi="Verdana"/>
          <w:sz w:val="20"/>
          <w:szCs w:val="20"/>
          <w:lang w:val="es-MX"/>
        </w:rPr>
        <w:t xml:space="preserve"> dere</w:t>
      </w:r>
      <w:r w:rsidR="00BA2B3F">
        <w:rPr>
          <w:rFonts w:ascii="Verdana" w:hAnsi="Verdana"/>
          <w:sz w:val="20"/>
          <w:szCs w:val="20"/>
          <w:lang w:val="es-MX"/>
        </w:rPr>
        <w:t>cho minero de la zona denomin</w:t>
      </w:r>
      <w:r w:rsidR="00AE2377">
        <w:rPr>
          <w:rFonts w:ascii="Verdana" w:hAnsi="Verdana"/>
          <w:sz w:val="20"/>
          <w:szCs w:val="20"/>
          <w:lang w:val="es-MX"/>
        </w:rPr>
        <w:t>a</w:t>
      </w:r>
      <w:r w:rsidR="00BA2B3F">
        <w:rPr>
          <w:rFonts w:ascii="Verdana" w:hAnsi="Verdana"/>
          <w:sz w:val="20"/>
          <w:szCs w:val="20"/>
          <w:lang w:val="es-MX"/>
        </w:rPr>
        <w:t>da</w:t>
      </w:r>
      <w:r w:rsidR="00280BED">
        <w:rPr>
          <w:rFonts w:ascii="Verdana" w:hAnsi="Verdana"/>
          <w:sz w:val="20"/>
          <w:szCs w:val="20"/>
          <w:lang w:val="es-MX"/>
        </w:rPr>
        <w:t xml:space="preserve"> PUNTA DE PIEDRA 2 […] a favor de la Sociedad Mercantil CORPORACIÓN MINERA CAXINAS, S.A.”</w:t>
      </w:r>
      <w:r w:rsidR="00014EDD">
        <w:rPr>
          <w:rStyle w:val="Refdenotaalpie"/>
          <w:rFonts w:ascii="Verdana" w:hAnsi="Verdana"/>
          <w:sz w:val="20"/>
          <w:szCs w:val="20"/>
          <w:lang w:val="es-MX"/>
        </w:rPr>
        <w:footnoteReference w:id="30"/>
      </w:r>
      <w:r w:rsidR="00014EDD">
        <w:rPr>
          <w:rFonts w:ascii="Verdana" w:hAnsi="Verdana"/>
          <w:sz w:val="20"/>
          <w:szCs w:val="20"/>
          <w:lang w:val="es-MX"/>
        </w:rPr>
        <w:t xml:space="preserve">. </w:t>
      </w:r>
      <w:r w:rsidR="0079407A">
        <w:rPr>
          <w:rFonts w:ascii="Verdana" w:hAnsi="Verdana"/>
          <w:sz w:val="20"/>
          <w:szCs w:val="20"/>
          <w:lang w:val="es-MX"/>
        </w:rPr>
        <w:t xml:space="preserve">En dicho documento del </w:t>
      </w:r>
      <w:r w:rsidR="0079407A" w:rsidRPr="0079407A">
        <w:rPr>
          <w:rFonts w:ascii="Verdana" w:hAnsi="Verdana"/>
          <w:sz w:val="20"/>
          <w:szCs w:val="20"/>
          <w:lang w:val="es-MX"/>
        </w:rPr>
        <w:t xml:space="preserve">Instituto Hondureño de Geología y Minas </w:t>
      </w:r>
      <w:r w:rsidR="0079407A">
        <w:rPr>
          <w:rFonts w:ascii="Verdana" w:hAnsi="Verdana"/>
          <w:sz w:val="20"/>
          <w:szCs w:val="20"/>
          <w:lang w:val="es-MX"/>
        </w:rPr>
        <w:t>además se afirma que la mencionada resolución se encontraba “firme ya que no se interpuso recurso alguno contra la misma y a la fecha tampoco se ha entablado demanda judicial alguna”.</w:t>
      </w:r>
    </w:p>
    <w:p w14:paraId="4F622A8C" w14:textId="73A531C3" w:rsidR="00D474EC" w:rsidRPr="00D810FE" w:rsidRDefault="00BA2B3F" w:rsidP="00D810FE">
      <w:pPr>
        <w:pStyle w:val="Prrafodelista"/>
        <w:numPr>
          <w:ilvl w:val="0"/>
          <w:numId w:val="3"/>
        </w:numPr>
        <w:spacing w:before="120" w:after="120"/>
        <w:ind w:left="0" w:hanging="11"/>
        <w:contextualSpacing w:val="0"/>
        <w:jc w:val="both"/>
        <w:rPr>
          <w:rFonts w:ascii="Verdana" w:hAnsi="Verdana"/>
          <w:b/>
          <w:i/>
          <w:sz w:val="20"/>
          <w:szCs w:val="20"/>
          <w:lang w:val="es-MX"/>
        </w:rPr>
      </w:pPr>
      <w:r>
        <w:rPr>
          <w:rFonts w:ascii="Verdana" w:hAnsi="Verdana"/>
          <w:sz w:val="20"/>
          <w:szCs w:val="20"/>
          <w:lang w:val="es-MX"/>
        </w:rPr>
        <w:t>Al respecto</w:t>
      </w:r>
      <w:r w:rsidR="00D810FE" w:rsidRPr="00D810FE">
        <w:rPr>
          <w:rFonts w:ascii="Verdana" w:hAnsi="Verdana"/>
          <w:sz w:val="20"/>
          <w:szCs w:val="20"/>
          <w:lang w:val="es-AR"/>
        </w:rPr>
        <w:t xml:space="preserve">, los representantes observaron que “por el momento puede considerarse </w:t>
      </w:r>
      <w:r w:rsidR="00D810FE" w:rsidRPr="00D810FE">
        <w:rPr>
          <w:rFonts w:ascii="Verdana" w:hAnsi="Verdana"/>
          <w:sz w:val="20"/>
          <w:szCs w:val="20"/>
          <w:lang w:val="es-CR"/>
        </w:rPr>
        <w:t xml:space="preserve">que el Estado ha hecho un avance </w:t>
      </w:r>
      <w:r w:rsidR="00D810FE" w:rsidRPr="00D810FE">
        <w:rPr>
          <w:rFonts w:ascii="Verdana" w:hAnsi="Verdana"/>
          <w:bCs/>
          <w:sz w:val="20"/>
          <w:szCs w:val="20"/>
          <w:lang w:val="es-CR"/>
        </w:rPr>
        <w:t xml:space="preserve">no definitivo </w:t>
      </w:r>
      <w:r w:rsidR="00D810FE" w:rsidRPr="00D810FE">
        <w:rPr>
          <w:rFonts w:ascii="Verdana" w:hAnsi="Verdana"/>
          <w:sz w:val="20"/>
          <w:szCs w:val="20"/>
          <w:lang w:val="es-CR"/>
        </w:rPr>
        <w:t xml:space="preserve">ya que solo se ha </w:t>
      </w:r>
      <w:r w:rsidR="00D810FE" w:rsidRPr="00D810FE">
        <w:rPr>
          <w:rFonts w:ascii="Verdana" w:hAnsi="Verdana"/>
          <w:sz w:val="20"/>
          <w:szCs w:val="20"/>
          <w:lang w:val="es-MX"/>
        </w:rPr>
        <w:t>emitido</w:t>
      </w:r>
      <w:r w:rsidR="00D810FE" w:rsidRPr="00D810FE">
        <w:rPr>
          <w:rFonts w:ascii="Verdana" w:hAnsi="Verdana"/>
          <w:sz w:val="20"/>
          <w:szCs w:val="20"/>
          <w:lang w:val="es-CR"/>
        </w:rPr>
        <w:t xml:space="preserve"> una resolución administrativa revisable en sede judicial”</w:t>
      </w:r>
      <w:r w:rsidR="002E46EF">
        <w:rPr>
          <w:rStyle w:val="Refdenotaalpie"/>
          <w:rFonts w:ascii="Verdana" w:hAnsi="Verdana"/>
          <w:sz w:val="20"/>
          <w:szCs w:val="20"/>
          <w:lang w:val="es-MX"/>
        </w:rPr>
        <w:footnoteReference w:id="31"/>
      </w:r>
      <w:r w:rsidR="00D810FE">
        <w:rPr>
          <w:rFonts w:ascii="Verdana" w:hAnsi="Verdana"/>
          <w:sz w:val="20"/>
          <w:szCs w:val="20"/>
          <w:lang w:val="es-CR"/>
        </w:rPr>
        <w:t>, y que</w:t>
      </w:r>
      <w:r w:rsidR="00D810FE" w:rsidRPr="00D810FE">
        <w:rPr>
          <w:rFonts w:ascii="Verdana" w:hAnsi="Verdana"/>
          <w:sz w:val="20"/>
          <w:szCs w:val="20"/>
          <w:lang w:val="es-CR"/>
        </w:rPr>
        <w:t xml:space="preserve"> “lo que podría dar garantías absolutas […] sería […] una ley de consulta en la materia, consensuada con las </w:t>
      </w:r>
      <w:r w:rsidR="00D810FE" w:rsidRPr="00655D78">
        <w:rPr>
          <w:rFonts w:ascii="Verdana" w:hAnsi="Verdana"/>
          <w:sz w:val="20"/>
          <w:szCs w:val="20"/>
          <w:lang w:val="es-CR"/>
        </w:rPr>
        <w:t>comunidades y pueblos indígenas”</w:t>
      </w:r>
      <w:r w:rsidR="002E46EF" w:rsidRPr="00655D78">
        <w:rPr>
          <w:rStyle w:val="Refdenotaalpie"/>
          <w:rFonts w:ascii="Verdana" w:hAnsi="Verdana"/>
          <w:sz w:val="20"/>
          <w:szCs w:val="20"/>
          <w:lang w:val="es-MX"/>
        </w:rPr>
        <w:footnoteReference w:id="32"/>
      </w:r>
      <w:r w:rsidR="00330E28">
        <w:rPr>
          <w:rFonts w:ascii="Verdana" w:hAnsi="Verdana"/>
          <w:sz w:val="20"/>
          <w:szCs w:val="20"/>
          <w:lang w:val="es-CR"/>
        </w:rPr>
        <w:t xml:space="preserve">. </w:t>
      </w:r>
      <w:r w:rsidR="00C31880" w:rsidRPr="00655D78">
        <w:rPr>
          <w:rFonts w:ascii="Verdana" w:hAnsi="Verdana"/>
          <w:sz w:val="20"/>
          <w:szCs w:val="20"/>
          <w:lang w:val="es-CR"/>
        </w:rPr>
        <w:t xml:space="preserve">Asimismo, agregaron que el Estado “no aporta evidencia generada por el Poder Judicial que establezca la inexistencia de proceso judicial pendiente […] ni </w:t>
      </w:r>
      <w:r w:rsidR="00EF4F4E">
        <w:rPr>
          <w:rFonts w:ascii="Verdana" w:hAnsi="Verdana"/>
          <w:sz w:val="20"/>
          <w:szCs w:val="20"/>
          <w:lang w:val="es-CR"/>
        </w:rPr>
        <w:t>[…]</w:t>
      </w:r>
      <w:r w:rsidR="00C31880" w:rsidRPr="00655D78">
        <w:rPr>
          <w:rFonts w:ascii="Verdana" w:hAnsi="Verdana"/>
          <w:sz w:val="20"/>
          <w:szCs w:val="20"/>
          <w:lang w:val="es-CR"/>
        </w:rPr>
        <w:t xml:space="preserve"> que se haya notificado al concesionario la resolución […] y tampoco se hace referencia a los plazos legales de prescripción de la acción judicial”, lo cual estima necesario para “determinar si se cumplen con los presupuestos legales del derecho interno para la firmeza del acto y si efectivamente la cancelación tiene efectos legales o no”</w:t>
      </w:r>
      <w:r w:rsidR="00C31880" w:rsidRPr="00655D78">
        <w:rPr>
          <w:rStyle w:val="Refdenotaalpie"/>
          <w:rFonts w:ascii="Verdana" w:hAnsi="Verdana"/>
          <w:sz w:val="20"/>
          <w:szCs w:val="20"/>
          <w:lang w:val="es-MX"/>
        </w:rPr>
        <w:footnoteReference w:id="33"/>
      </w:r>
      <w:r w:rsidR="00EF4F4E">
        <w:rPr>
          <w:rFonts w:ascii="Verdana" w:hAnsi="Verdana"/>
          <w:sz w:val="20"/>
          <w:szCs w:val="20"/>
          <w:lang w:val="es-CR"/>
        </w:rPr>
        <w:t>.</w:t>
      </w:r>
      <w:r w:rsidR="00C31880" w:rsidRPr="00655D78">
        <w:rPr>
          <w:rFonts w:ascii="Verdana" w:hAnsi="Verdana"/>
          <w:b/>
          <w:sz w:val="20"/>
          <w:szCs w:val="20"/>
          <w:lang w:val="es-CR"/>
        </w:rPr>
        <w:t xml:space="preserve"> </w:t>
      </w:r>
      <w:r w:rsidR="00D810FE" w:rsidRPr="00655D78">
        <w:rPr>
          <w:rFonts w:ascii="Verdana" w:hAnsi="Verdana"/>
          <w:sz w:val="20"/>
          <w:szCs w:val="20"/>
          <w:lang w:val="es-CR"/>
        </w:rPr>
        <w:t>En sentido similar, la Comisión indicó que “</w:t>
      </w:r>
      <w:r w:rsidR="00103162" w:rsidRPr="00655D78">
        <w:rPr>
          <w:rFonts w:ascii="Verdana" w:hAnsi="Verdana" w:cs="URWBookmanL-Ligh"/>
          <w:color w:val="00000A"/>
          <w:sz w:val="20"/>
          <w:szCs w:val="20"/>
          <w:lang w:val="es-AR"/>
        </w:rPr>
        <w:t>la medida más adecuada para</w:t>
      </w:r>
      <w:r w:rsidR="00103162" w:rsidRPr="00103162">
        <w:rPr>
          <w:rFonts w:ascii="Verdana" w:hAnsi="Verdana" w:cs="URWBookmanL-Ligh"/>
          <w:color w:val="00000A"/>
          <w:sz w:val="20"/>
          <w:szCs w:val="20"/>
          <w:lang w:val="es-AR"/>
        </w:rPr>
        <w:t xml:space="preserve"> evitar que las disposiciones reglamentarias sobre minería no menoscaben el derecho a la consulta sería la expedición de una Ley en la materia</w:t>
      </w:r>
      <w:r w:rsidR="00D810FE">
        <w:rPr>
          <w:rFonts w:ascii="Verdana" w:hAnsi="Verdana"/>
          <w:sz w:val="20"/>
          <w:szCs w:val="20"/>
          <w:lang w:val="es-MX"/>
        </w:rPr>
        <w:t>”</w:t>
      </w:r>
      <w:r w:rsidR="00103162">
        <w:rPr>
          <w:rStyle w:val="Refdenotaalpie"/>
          <w:rFonts w:ascii="Verdana" w:hAnsi="Verdana"/>
          <w:sz w:val="20"/>
          <w:szCs w:val="20"/>
          <w:lang w:val="es-MX"/>
        </w:rPr>
        <w:footnoteReference w:id="34"/>
      </w:r>
      <w:r w:rsidR="00EF4F4E">
        <w:rPr>
          <w:rFonts w:ascii="Verdana" w:hAnsi="Verdana"/>
          <w:sz w:val="20"/>
          <w:szCs w:val="20"/>
          <w:lang w:val="es-MX"/>
        </w:rPr>
        <w:t>.</w:t>
      </w:r>
      <w:r w:rsidR="00D810FE" w:rsidRPr="00D810FE">
        <w:rPr>
          <w:rFonts w:ascii="Verdana" w:hAnsi="Verdana"/>
          <w:sz w:val="20"/>
          <w:szCs w:val="20"/>
          <w:lang w:val="es-MX"/>
        </w:rPr>
        <w:t xml:space="preserve"> </w:t>
      </w:r>
    </w:p>
    <w:p w14:paraId="04072085" w14:textId="19BEF737" w:rsidR="00D810FE" w:rsidRPr="00EC453C" w:rsidRDefault="00BA2B3F" w:rsidP="00CA2BF3">
      <w:pPr>
        <w:pStyle w:val="Prrafodelista"/>
        <w:numPr>
          <w:ilvl w:val="0"/>
          <w:numId w:val="3"/>
        </w:numPr>
        <w:spacing w:before="120" w:after="120"/>
        <w:ind w:left="0" w:hanging="11"/>
        <w:contextualSpacing w:val="0"/>
        <w:jc w:val="both"/>
        <w:rPr>
          <w:rFonts w:ascii="Verdana" w:hAnsi="Verdana"/>
          <w:b/>
          <w:i/>
          <w:sz w:val="20"/>
          <w:szCs w:val="20"/>
          <w:lang w:val="es-MX"/>
        </w:rPr>
      </w:pPr>
      <w:bookmarkStart w:id="10" w:name="_Ref12551108"/>
      <w:r>
        <w:rPr>
          <w:rFonts w:ascii="Verdana" w:hAnsi="Verdana"/>
          <w:sz w:val="20"/>
          <w:szCs w:val="20"/>
          <w:lang w:val="es-MX"/>
        </w:rPr>
        <w:t xml:space="preserve">Esta Corte </w:t>
      </w:r>
      <w:r w:rsidR="00CA2BF3" w:rsidRPr="00655D78">
        <w:rPr>
          <w:rFonts w:ascii="Verdana" w:hAnsi="Verdana"/>
          <w:sz w:val="20"/>
          <w:szCs w:val="20"/>
          <w:lang w:val="es-MX"/>
        </w:rPr>
        <w:t xml:space="preserve">advierte que los representantes no presentan razones </w:t>
      </w:r>
      <w:r w:rsidR="00CA2BF3" w:rsidRPr="0079407A">
        <w:rPr>
          <w:rFonts w:ascii="Verdana" w:hAnsi="Verdana"/>
          <w:sz w:val="20"/>
          <w:szCs w:val="20"/>
          <w:lang w:val="es-MX"/>
        </w:rPr>
        <w:t xml:space="preserve">que desvirtúen </w:t>
      </w:r>
      <w:r w:rsidR="00926437" w:rsidRPr="0079407A">
        <w:rPr>
          <w:rFonts w:ascii="Verdana" w:hAnsi="Verdana"/>
          <w:sz w:val="20"/>
          <w:szCs w:val="20"/>
          <w:lang w:val="es-MX"/>
        </w:rPr>
        <w:t xml:space="preserve">el </w:t>
      </w:r>
      <w:r w:rsidR="0079407A" w:rsidRPr="0079407A">
        <w:rPr>
          <w:rFonts w:ascii="Verdana" w:hAnsi="Verdana"/>
          <w:sz w:val="20"/>
          <w:szCs w:val="20"/>
          <w:lang w:val="es-MX"/>
        </w:rPr>
        <w:t xml:space="preserve">documento de 2019 </w:t>
      </w:r>
      <w:r w:rsidR="00926437" w:rsidRPr="0079407A">
        <w:rPr>
          <w:rFonts w:ascii="Verdana" w:hAnsi="Verdana"/>
          <w:sz w:val="20"/>
          <w:szCs w:val="20"/>
          <w:lang w:val="es-MX"/>
        </w:rPr>
        <w:t>del Instituto Hondureño de Geología y Minas</w:t>
      </w:r>
      <w:r w:rsidR="00CA2BF3" w:rsidRPr="00655D78">
        <w:rPr>
          <w:rFonts w:ascii="Verdana" w:hAnsi="Verdana"/>
          <w:sz w:val="20"/>
          <w:szCs w:val="20"/>
          <w:lang w:val="es-MX"/>
        </w:rPr>
        <w:t xml:space="preserve"> que establece que la Resolución </w:t>
      </w:r>
      <w:r w:rsidR="00075AFB">
        <w:rPr>
          <w:rFonts w:ascii="Verdana" w:hAnsi="Verdana"/>
          <w:sz w:val="20"/>
          <w:szCs w:val="20"/>
          <w:lang w:val="es-MX"/>
        </w:rPr>
        <w:t xml:space="preserve">de 2017 </w:t>
      </w:r>
      <w:r w:rsidR="00CA2BF3" w:rsidRPr="00655D78">
        <w:rPr>
          <w:rFonts w:ascii="Verdana" w:hAnsi="Verdana"/>
          <w:sz w:val="20"/>
          <w:szCs w:val="20"/>
          <w:lang w:val="es-MX"/>
        </w:rPr>
        <w:t>que cancela la concesión minera otorgada en Punta Piedra II se encuentra firme.</w:t>
      </w:r>
      <w:r w:rsidR="00CA2BF3">
        <w:rPr>
          <w:rFonts w:ascii="Verdana" w:hAnsi="Verdana"/>
          <w:sz w:val="20"/>
          <w:szCs w:val="20"/>
          <w:lang w:val="es-MX"/>
        </w:rPr>
        <w:t xml:space="preserve"> Por ello, considera que </w:t>
      </w:r>
      <w:r>
        <w:rPr>
          <w:rFonts w:ascii="Verdana" w:hAnsi="Verdana"/>
          <w:sz w:val="20"/>
          <w:szCs w:val="20"/>
          <w:lang w:val="es-MX"/>
        </w:rPr>
        <w:t>la misma es suficiente para dar cumplimiento</w:t>
      </w:r>
      <w:r w:rsidR="00EC453C">
        <w:rPr>
          <w:rFonts w:ascii="Verdana" w:hAnsi="Verdana"/>
          <w:sz w:val="20"/>
          <w:szCs w:val="20"/>
          <w:lang w:val="es-MX"/>
        </w:rPr>
        <w:t xml:space="preserve"> total</w:t>
      </w:r>
      <w:r>
        <w:rPr>
          <w:rFonts w:ascii="Verdana" w:hAnsi="Verdana"/>
          <w:sz w:val="20"/>
          <w:szCs w:val="20"/>
          <w:lang w:val="es-MX"/>
        </w:rPr>
        <w:t xml:space="preserve"> a </w:t>
      </w:r>
      <w:r w:rsidR="00EC453C">
        <w:rPr>
          <w:rFonts w:ascii="Verdana" w:hAnsi="Verdana"/>
          <w:sz w:val="20"/>
          <w:szCs w:val="20"/>
          <w:lang w:val="es-MX"/>
        </w:rPr>
        <w:t>la medida dispuesta</w:t>
      </w:r>
      <w:r>
        <w:rPr>
          <w:rFonts w:ascii="Verdana" w:hAnsi="Verdana"/>
          <w:sz w:val="20"/>
          <w:szCs w:val="20"/>
          <w:lang w:val="es-MX"/>
        </w:rPr>
        <w:t xml:space="preserve"> en el punto resolutivo</w:t>
      </w:r>
      <w:r w:rsidR="00EC453C">
        <w:rPr>
          <w:rFonts w:ascii="Verdana" w:hAnsi="Verdana"/>
          <w:sz w:val="20"/>
          <w:szCs w:val="20"/>
          <w:lang w:val="es-MX"/>
        </w:rPr>
        <w:t xml:space="preserve"> decimoprimero de la Sentencia, por lo que no continuará supervisándola.</w:t>
      </w:r>
      <w:bookmarkEnd w:id="10"/>
      <w:r w:rsidR="00EC453C">
        <w:rPr>
          <w:rFonts w:ascii="Verdana" w:hAnsi="Verdana"/>
          <w:sz w:val="20"/>
          <w:szCs w:val="20"/>
          <w:lang w:val="es-MX"/>
        </w:rPr>
        <w:t xml:space="preserve"> </w:t>
      </w:r>
    </w:p>
    <w:p w14:paraId="207731C2" w14:textId="77777777" w:rsidR="00B51DF4" w:rsidRPr="00B06955" w:rsidRDefault="00B51DF4" w:rsidP="00920407">
      <w:pPr>
        <w:pStyle w:val="Prrafodelista"/>
        <w:spacing w:before="120" w:after="120"/>
        <w:contextualSpacing w:val="0"/>
        <w:jc w:val="both"/>
        <w:outlineLvl w:val="0"/>
        <w:rPr>
          <w:rFonts w:ascii="Verdana" w:hAnsi="Verdana"/>
          <w:b/>
          <w:i/>
          <w:sz w:val="20"/>
          <w:szCs w:val="20"/>
          <w:lang w:val="es-MX"/>
        </w:rPr>
      </w:pPr>
    </w:p>
    <w:p w14:paraId="17BCB619" w14:textId="77777777" w:rsidR="00B06955" w:rsidRDefault="00B06955" w:rsidP="00B06955">
      <w:pPr>
        <w:pStyle w:val="Prrafodelista"/>
        <w:numPr>
          <w:ilvl w:val="0"/>
          <w:numId w:val="6"/>
        </w:numPr>
        <w:spacing w:before="120" w:after="120"/>
        <w:contextualSpacing w:val="0"/>
        <w:jc w:val="both"/>
        <w:outlineLvl w:val="0"/>
        <w:rPr>
          <w:rFonts w:ascii="Verdana" w:hAnsi="Verdana"/>
          <w:b/>
          <w:i/>
          <w:sz w:val="20"/>
          <w:szCs w:val="20"/>
          <w:lang w:val="es-MX"/>
        </w:rPr>
      </w:pPr>
      <w:bookmarkStart w:id="11" w:name="_Toc1737134"/>
      <w:r w:rsidRPr="00B06955">
        <w:rPr>
          <w:rFonts w:ascii="Verdana" w:hAnsi="Verdana"/>
          <w:b/>
          <w:i/>
          <w:sz w:val="20"/>
          <w:szCs w:val="20"/>
          <w:lang w:val="es-MX"/>
        </w:rPr>
        <w:t>Crear un fondo de desarrollo comunitario a favor de los miembros de la Comunidad</w:t>
      </w:r>
      <w:bookmarkEnd w:id="11"/>
    </w:p>
    <w:p w14:paraId="3DA28FA9" w14:textId="77777777" w:rsidR="00920407" w:rsidRPr="00EC4D6E" w:rsidRDefault="00920407" w:rsidP="00EC4D6E">
      <w:pPr>
        <w:pStyle w:val="Prrafodelista"/>
        <w:spacing w:before="120" w:after="120"/>
        <w:contextualSpacing w:val="0"/>
        <w:jc w:val="both"/>
        <w:rPr>
          <w:rFonts w:ascii="Verdana" w:hAnsi="Verdana"/>
          <w:i/>
          <w:sz w:val="20"/>
          <w:szCs w:val="20"/>
          <w:lang w:val="es-MX"/>
        </w:rPr>
      </w:pPr>
      <w:r w:rsidRPr="00B06955">
        <w:rPr>
          <w:rFonts w:ascii="Verdana" w:hAnsi="Verdana"/>
          <w:i/>
          <w:sz w:val="20"/>
          <w:szCs w:val="20"/>
          <w:lang w:val="es-MX"/>
        </w:rPr>
        <w:t xml:space="preserve">C.1. Medida ordenada por la Corte </w:t>
      </w:r>
    </w:p>
    <w:p w14:paraId="2024B2F8" w14:textId="38CC0F06" w:rsidR="00433390" w:rsidRPr="005D1864" w:rsidRDefault="0011403C" w:rsidP="00433390">
      <w:pPr>
        <w:pStyle w:val="Prrafodelista"/>
        <w:numPr>
          <w:ilvl w:val="0"/>
          <w:numId w:val="3"/>
        </w:numPr>
        <w:spacing w:before="120" w:after="120"/>
        <w:ind w:left="0" w:hanging="11"/>
        <w:contextualSpacing w:val="0"/>
        <w:jc w:val="both"/>
        <w:rPr>
          <w:rFonts w:ascii="Verdana" w:hAnsi="Verdana"/>
          <w:i/>
          <w:sz w:val="20"/>
          <w:szCs w:val="20"/>
          <w:lang w:val="es-MX"/>
        </w:rPr>
      </w:pPr>
      <w:bookmarkStart w:id="12" w:name="_Ref12527812"/>
      <w:r w:rsidRPr="005D1864">
        <w:rPr>
          <w:rFonts w:ascii="Verdana" w:hAnsi="Verdana"/>
          <w:sz w:val="20"/>
          <w:szCs w:val="20"/>
          <w:lang w:val="es-MX"/>
        </w:rPr>
        <w:t xml:space="preserve">En el punto resolutivo </w:t>
      </w:r>
      <w:r w:rsidR="00553323">
        <w:rPr>
          <w:rFonts w:ascii="Verdana" w:hAnsi="Verdana"/>
          <w:sz w:val="20"/>
          <w:szCs w:val="20"/>
          <w:lang w:val="es-MX"/>
        </w:rPr>
        <w:t>decimosegundo</w:t>
      </w:r>
      <w:r w:rsidR="00920407" w:rsidRPr="005D1864">
        <w:rPr>
          <w:rFonts w:ascii="Verdana" w:hAnsi="Verdana"/>
          <w:sz w:val="20"/>
          <w:szCs w:val="20"/>
          <w:lang w:val="es-MX"/>
        </w:rPr>
        <w:t xml:space="preserve"> y los párrafos </w:t>
      </w:r>
      <w:r w:rsidRPr="005D1864">
        <w:rPr>
          <w:rFonts w:ascii="Verdana" w:hAnsi="Verdana"/>
          <w:sz w:val="20"/>
          <w:szCs w:val="20"/>
          <w:lang w:val="es-MX"/>
        </w:rPr>
        <w:t>332 a 336</w:t>
      </w:r>
      <w:r w:rsidR="00920407" w:rsidRPr="005D1864">
        <w:rPr>
          <w:rFonts w:ascii="Verdana" w:hAnsi="Verdana"/>
          <w:sz w:val="20"/>
          <w:szCs w:val="20"/>
          <w:lang w:val="es-MX"/>
        </w:rPr>
        <w:t xml:space="preserve"> de la Sentencia, la Corte dispuso que</w:t>
      </w:r>
      <w:r w:rsidR="00B34A60" w:rsidRPr="005D1864">
        <w:rPr>
          <w:rFonts w:ascii="Verdana" w:hAnsi="Verdana"/>
          <w:sz w:val="20"/>
          <w:szCs w:val="20"/>
          <w:lang w:val="es-MX"/>
        </w:rPr>
        <w:t xml:space="preserve"> </w:t>
      </w:r>
      <w:r w:rsidR="0094542A" w:rsidRPr="005D1864">
        <w:rPr>
          <w:rFonts w:ascii="Verdana" w:hAnsi="Verdana"/>
          <w:sz w:val="20"/>
          <w:szCs w:val="20"/>
          <w:lang w:val="es-MX"/>
        </w:rPr>
        <w:t>Honduras</w:t>
      </w:r>
      <w:r w:rsidR="00B34A60" w:rsidRPr="005D1864">
        <w:rPr>
          <w:rFonts w:ascii="Verdana" w:hAnsi="Verdana"/>
          <w:sz w:val="20"/>
          <w:szCs w:val="20"/>
          <w:lang w:val="es-CO"/>
        </w:rPr>
        <w:t xml:space="preserve"> debía</w:t>
      </w:r>
      <w:r w:rsidRPr="005D1864">
        <w:rPr>
          <w:rFonts w:ascii="Verdana" w:hAnsi="Verdana"/>
          <w:sz w:val="20"/>
          <w:szCs w:val="20"/>
          <w:lang w:val="es-CO"/>
        </w:rPr>
        <w:t xml:space="preserve"> </w:t>
      </w:r>
      <w:r w:rsidR="00B34A60" w:rsidRPr="005D1864">
        <w:rPr>
          <w:rFonts w:ascii="Verdana" w:hAnsi="Verdana"/>
          <w:sz w:val="20"/>
          <w:szCs w:val="20"/>
          <w:lang w:val="es-CO"/>
        </w:rPr>
        <w:t>“</w:t>
      </w:r>
      <w:r w:rsidRPr="005D1864">
        <w:rPr>
          <w:rFonts w:ascii="Verdana" w:hAnsi="Verdana"/>
          <w:sz w:val="20"/>
          <w:szCs w:val="20"/>
          <w:lang w:val="es-CO"/>
        </w:rPr>
        <w:t>crear un fondo de desarrollo comunitario a favor de los miembros de la Comunidad Garífuna de Punta Piedra</w:t>
      </w:r>
      <w:r w:rsidR="008B7504">
        <w:rPr>
          <w:rFonts w:ascii="Verdana" w:hAnsi="Verdana"/>
          <w:sz w:val="20"/>
          <w:szCs w:val="20"/>
          <w:lang w:val="es-CO"/>
        </w:rPr>
        <w:t xml:space="preserve"> </w:t>
      </w:r>
      <w:r w:rsidR="008B7504" w:rsidRPr="00601E30">
        <w:rPr>
          <w:rFonts w:ascii="Verdana" w:hAnsi="Verdana"/>
          <w:sz w:val="20"/>
          <w:szCs w:val="20"/>
          <w:lang w:val="es-AR"/>
        </w:rPr>
        <w:t>como compensación por el daño material e inmaterial que los miembros de la Comunidad ha</w:t>
      </w:r>
      <w:r w:rsidR="00D627EA" w:rsidRPr="00601E30">
        <w:rPr>
          <w:rFonts w:ascii="Verdana" w:hAnsi="Verdana"/>
          <w:sz w:val="20"/>
          <w:szCs w:val="20"/>
          <w:lang w:val="es-AR"/>
        </w:rPr>
        <w:t>[</w:t>
      </w:r>
      <w:proofErr w:type="spellStart"/>
      <w:r w:rsidR="00D627EA" w:rsidRPr="00601E30">
        <w:rPr>
          <w:rFonts w:ascii="Verdana" w:hAnsi="Verdana"/>
          <w:sz w:val="20"/>
          <w:szCs w:val="20"/>
          <w:lang w:val="es-AR"/>
        </w:rPr>
        <w:t>bían</w:t>
      </w:r>
      <w:proofErr w:type="spellEnd"/>
      <w:r w:rsidR="00D627EA" w:rsidRPr="00601E30">
        <w:rPr>
          <w:rFonts w:ascii="Verdana" w:hAnsi="Verdana"/>
          <w:sz w:val="20"/>
          <w:szCs w:val="20"/>
          <w:lang w:val="es-AR"/>
        </w:rPr>
        <w:t>]</w:t>
      </w:r>
      <w:r w:rsidR="008B7504" w:rsidRPr="00601E30">
        <w:rPr>
          <w:rFonts w:ascii="Verdana" w:hAnsi="Verdana"/>
          <w:sz w:val="20"/>
          <w:szCs w:val="20"/>
          <w:lang w:val="es-AR"/>
        </w:rPr>
        <w:t xml:space="preserve"> sufrido</w:t>
      </w:r>
      <w:r w:rsidRPr="00601E30">
        <w:rPr>
          <w:rFonts w:ascii="Verdana" w:hAnsi="Verdana"/>
          <w:sz w:val="20"/>
          <w:szCs w:val="20"/>
          <w:lang w:val="es-CR"/>
        </w:rPr>
        <w:t>”</w:t>
      </w:r>
      <w:r w:rsidR="00B34A60" w:rsidRPr="00601E30">
        <w:rPr>
          <w:rFonts w:ascii="Verdana" w:hAnsi="Verdana"/>
          <w:sz w:val="20"/>
          <w:szCs w:val="20"/>
          <w:lang w:val="es-CR"/>
        </w:rPr>
        <w:t>.</w:t>
      </w:r>
      <w:r w:rsidR="00433390" w:rsidRPr="005D1864">
        <w:rPr>
          <w:rFonts w:ascii="Verdana" w:hAnsi="Verdana"/>
          <w:sz w:val="20"/>
          <w:szCs w:val="20"/>
          <w:lang w:val="es-CR"/>
        </w:rPr>
        <w:t xml:space="preserve"> </w:t>
      </w:r>
      <w:r w:rsidR="0094542A" w:rsidRPr="005D1864">
        <w:rPr>
          <w:rFonts w:ascii="Verdana" w:hAnsi="Verdana"/>
          <w:sz w:val="20"/>
          <w:szCs w:val="20"/>
          <w:lang w:val="es-CR"/>
        </w:rPr>
        <w:t>Para ello,</w:t>
      </w:r>
      <w:r w:rsidR="00640753" w:rsidRPr="005D1864">
        <w:rPr>
          <w:rFonts w:ascii="Verdana" w:hAnsi="Verdana"/>
          <w:sz w:val="20"/>
          <w:szCs w:val="20"/>
          <w:lang w:val="es-CR"/>
        </w:rPr>
        <w:t xml:space="preserve"> el Estado debía “adoptar todas las medidas administrativas, legislativas, financieras y de recursos humanos </w:t>
      </w:r>
      <w:r w:rsidR="00640753" w:rsidRPr="005D1864">
        <w:rPr>
          <w:rFonts w:ascii="Verdana" w:hAnsi="Verdana"/>
          <w:sz w:val="20"/>
          <w:szCs w:val="20"/>
          <w:lang w:val="es-CR"/>
        </w:rPr>
        <w:lastRenderedPageBreak/>
        <w:t>nece</w:t>
      </w:r>
      <w:r w:rsidR="00B34A60" w:rsidRPr="005D1864">
        <w:rPr>
          <w:rFonts w:ascii="Verdana" w:hAnsi="Verdana"/>
          <w:sz w:val="20"/>
          <w:szCs w:val="20"/>
          <w:lang w:val="es-CR"/>
        </w:rPr>
        <w:t>sarios para [su]</w:t>
      </w:r>
      <w:r w:rsidR="00640753" w:rsidRPr="005D1864">
        <w:rPr>
          <w:rFonts w:ascii="Verdana" w:hAnsi="Verdana"/>
          <w:sz w:val="20"/>
          <w:szCs w:val="20"/>
          <w:lang w:val="es-CR"/>
        </w:rPr>
        <w:t xml:space="preserve"> implementación</w:t>
      </w:r>
      <w:r w:rsidR="00B34A60" w:rsidRPr="005D1864">
        <w:rPr>
          <w:rFonts w:ascii="Verdana" w:hAnsi="Verdana"/>
          <w:sz w:val="20"/>
          <w:szCs w:val="20"/>
          <w:lang w:val="es-CR"/>
        </w:rPr>
        <w:t>”</w:t>
      </w:r>
      <w:r w:rsidR="00640753" w:rsidRPr="005D1864">
        <w:rPr>
          <w:rFonts w:ascii="Verdana" w:hAnsi="Verdana"/>
          <w:sz w:val="20"/>
          <w:szCs w:val="20"/>
          <w:lang w:val="es-CR"/>
        </w:rPr>
        <w:t xml:space="preserve"> </w:t>
      </w:r>
      <w:r w:rsidR="00B34A60" w:rsidRPr="005D1864">
        <w:rPr>
          <w:rFonts w:ascii="Verdana" w:hAnsi="Verdana"/>
          <w:sz w:val="20"/>
          <w:szCs w:val="20"/>
          <w:lang w:val="es-CR"/>
        </w:rPr>
        <w:t xml:space="preserve">y </w:t>
      </w:r>
      <w:r w:rsidR="0094542A" w:rsidRPr="005D1864">
        <w:rPr>
          <w:rFonts w:ascii="Verdana" w:hAnsi="Verdana"/>
          <w:sz w:val="20"/>
          <w:szCs w:val="20"/>
          <w:lang w:val="es-CR"/>
        </w:rPr>
        <w:t>“</w:t>
      </w:r>
      <w:r w:rsidR="00B34A60" w:rsidRPr="005D1864">
        <w:rPr>
          <w:rFonts w:ascii="Verdana" w:hAnsi="Verdana"/>
          <w:sz w:val="20"/>
          <w:szCs w:val="20"/>
          <w:lang w:val="es-CR"/>
        </w:rPr>
        <w:t>nombrar</w:t>
      </w:r>
      <w:r w:rsidR="0094542A" w:rsidRPr="005D1864">
        <w:rPr>
          <w:rFonts w:ascii="Verdana" w:hAnsi="Verdana"/>
          <w:sz w:val="20"/>
          <w:szCs w:val="20"/>
          <w:lang w:val="es-CR"/>
        </w:rPr>
        <w:t xml:space="preserve"> </w:t>
      </w:r>
      <w:r w:rsidR="00640753" w:rsidRPr="005D1864">
        <w:rPr>
          <w:rFonts w:ascii="Verdana" w:hAnsi="Verdana"/>
          <w:sz w:val="20"/>
          <w:szCs w:val="20"/>
          <w:lang w:val="es-CR"/>
        </w:rPr>
        <w:t>una autoridad con competencia en la materia, a cargo de la administración del fondo</w:t>
      </w:r>
      <w:r w:rsidR="00B34A60" w:rsidRPr="005D1864">
        <w:rPr>
          <w:rFonts w:ascii="Verdana" w:hAnsi="Verdana"/>
          <w:sz w:val="20"/>
          <w:szCs w:val="20"/>
          <w:lang w:val="es-CR"/>
        </w:rPr>
        <w:t>”</w:t>
      </w:r>
      <w:r w:rsidR="0094542A" w:rsidRPr="005D1864">
        <w:rPr>
          <w:rFonts w:ascii="Verdana" w:hAnsi="Verdana"/>
          <w:sz w:val="20"/>
          <w:szCs w:val="20"/>
          <w:lang w:val="es-CR"/>
        </w:rPr>
        <w:t>, en el plazo de tres meses a partir de la notificación de la Sentencia</w:t>
      </w:r>
      <w:r w:rsidR="00640753" w:rsidRPr="005D1864">
        <w:rPr>
          <w:rFonts w:ascii="Verdana" w:hAnsi="Verdana"/>
          <w:sz w:val="20"/>
          <w:szCs w:val="20"/>
          <w:lang w:val="es-CR"/>
        </w:rPr>
        <w:t xml:space="preserve">. Por su parte, la </w:t>
      </w:r>
      <w:r w:rsidR="0094542A" w:rsidRPr="005D1864">
        <w:rPr>
          <w:rFonts w:ascii="Verdana" w:hAnsi="Verdana"/>
          <w:sz w:val="20"/>
          <w:szCs w:val="20"/>
          <w:lang w:val="es-CR"/>
        </w:rPr>
        <w:t>Comunidad de Punta Piedra debía</w:t>
      </w:r>
      <w:r w:rsidR="00640753" w:rsidRPr="005D1864">
        <w:rPr>
          <w:rFonts w:ascii="Verdana" w:hAnsi="Verdana"/>
          <w:sz w:val="20"/>
          <w:szCs w:val="20"/>
          <w:lang w:val="es-CR"/>
        </w:rPr>
        <w:t xml:space="preserve"> </w:t>
      </w:r>
      <w:r w:rsidR="00433390" w:rsidRPr="005D1864">
        <w:rPr>
          <w:rFonts w:ascii="Verdana" w:hAnsi="Verdana"/>
          <w:sz w:val="20"/>
          <w:szCs w:val="20"/>
          <w:lang w:val="es-CR"/>
        </w:rPr>
        <w:t>“</w:t>
      </w:r>
      <w:r w:rsidR="00640753" w:rsidRPr="005D1864">
        <w:rPr>
          <w:rFonts w:ascii="Verdana" w:hAnsi="Verdana"/>
          <w:sz w:val="20"/>
          <w:szCs w:val="20"/>
          <w:lang w:val="es-CR"/>
        </w:rPr>
        <w:t>elegir una representación para la interlocución con el Estado, a fin de que la implementación del fondo se realice co</w:t>
      </w:r>
      <w:r w:rsidR="0094542A" w:rsidRPr="005D1864">
        <w:rPr>
          <w:rFonts w:ascii="Verdana" w:hAnsi="Verdana"/>
          <w:sz w:val="20"/>
          <w:szCs w:val="20"/>
          <w:lang w:val="es-CR"/>
        </w:rPr>
        <w:t>nforme lo disponga la Comunidad</w:t>
      </w:r>
      <w:r w:rsidR="00640753" w:rsidRPr="005D1864">
        <w:rPr>
          <w:rFonts w:ascii="Verdana" w:hAnsi="Verdana"/>
          <w:sz w:val="20"/>
          <w:szCs w:val="20"/>
          <w:lang w:val="es-CR"/>
        </w:rPr>
        <w:t>”</w:t>
      </w:r>
      <w:r w:rsidR="0094542A" w:rsidRPr="005D1864">
        <w:rPr>
          <w:rFonts w:ascii="Verdana" w:hAnsi="Verdana"/>
          <w:sz w:val="20"/>
          <w:szCs w:val="20"/>
          <w:lang w:val="es-CR"/>
        </w:rPr>
        <w:t>.</w:t>
      </w:r>
      <w:r w:rsidR="001D240E" w:rsidRPr="005D1864">
        <w:rPr>
          <w:rFonts w:ascii="Verdana" w:hAnsi="Verdana"/>
          <w:sz w:val="20"/>
          <w:szCs w:val="20"/>
          <w:lang w:val="es-CR"/>
        </w:rPr>
        <w:t xml:space="preserve"> Asimismo, se estableció que el Estado debía destinar “la cantidad de US$ 1,500,000.00 </w:t>
      </w:r>
      <w:r w:rsidR="00E54878">
        <w:rPr>
          <w:rFonts w:ascii="Verdana" w:hAnsi="Verdana"/>
          <w:sz w:val="20"/>
          <w:szCs w:val="20"/>
          <w:lang w:val="es-CR"/>
        </w:rPr>
        <w:t>[…]</w:t>
      </w:r>
      <w:r w:rsidR="001D240E" w:rsidRPr="005D1864">
        <w:rPr>
          <w:rFonts w:ascii="Verdana" w:hAnsi="Verdana"/>
          <w:sz w:val="20"/>
          <w:szCs w:val="20"/>
          <w:lang w:val="es-CR"/>
        </w:rPr>
        <w:t xml:space="preserve">, la cual será invertida para el beneficio del territorio titulado de la Comunidad de Punta Piedra en el periodo no mayor a tres años a partir de la notificación de la </w:t>
      </w:r>
      <w:r w:rsidR="00433390" w:rsidRPr="005D1864">
        <w:rPr>
          <w:rFonts w:ascii="Verdana" w:hAnsi="Verdana"/>
          <w:sz w:val="20"/>
          <w:szCs w:val="20"/>
          <w:lang w:val="es-CR"/>
        </w:rPr>
        <w:t xml:space="preserve">[…] Sentencia”, </w:t>
      </w:r>
      <w:r w:rsidR="00E54878">
        <w:rPr>
          <w:rFonts w:ascii="Verdana" w:hAnsi="Verdana"/>
          <w:sz w:val="20"/>
          <w:szCs w:val="20"/>
          <w:lang w:val="es-CR"/>
        </w:rPr>
        <w:t>para</w:t>
      </w:r>
      <w:r w:rsidR="00433390" w:rsidRPr="005D1864">
        <w:rPr>
          <w:rFonts w:ascii="Verdana" w:hAnsi="Verdana"/>
          <w:sz w:val="20"/>
          <w:szCs w:val="20"/>
          <w:lang w:val="es-CR"/>
        </w:rPr>
        <w:t xml:space="preserve"> los siguientes objetivos:</w:t>
      </w:r>
      <w:r w:rsidR="005D1864" w:rsidRPr="005D1864">
        <w:rPr>
          <w:rFonts w:ascii="Verdana" w:hAnsi="Verdana"/>
          <w:sz w:val="20"/>
          <w:szCs w:val="20"/>
          <w:lang w:val="es-CR"/>
        </w:rPr>
        <w:t xml:space="preserve"> </w:t>
      </w:r>
      <w:r w:rsidR="00E54878">
        <w:rPr>
          <w:rFonts w:ascii="Verdana" w:hAnsi="Verdana"/>
          <w:sz w:val="20"/>
          <w:szCs w:val="20"/>
          <w:lang w:val="es-CR"/>
        </w:rPr>
        <w:t>“</w:t>
      </w:r>
      <w:r w:rsidR="00433390" w:rsidRPr="005D1864">
        <w:rPr>
          <w:rFonts w:ascii="Verdana" w:hAnsi="Verdana"/>
          <w:sz w:val="20"/>
          <w:szCs w:val="20"/>
          <w:lang w:val="es-CR"/>
        </w:rPr>
        <w:t xml:space="preserve">i) desarrollar proyectos orientados a aumentar la productividad agrícola o de otra índole en la Comunidad; </w:t>
      </w:r>
      <w:proofErr w:type="spellStart"/>
      <w:r w:rsidR="00433390" w:rsidRPr="005D1864">
        <w:rPr>
          <w:rFonts w:ascii="Verdana" w:hAnsi="Verdana"/>
          <w:sz w:val="20"/>
          <w:szCs w:val="20"/>
          <w:lang w:val="es-CR"/>
        </w:rPr>
        <w:t>ii</w:t>
      </w:r>
      <w:proofErr w:type="spellEnd"/>
      <w:r w:rsidR="00433390" w:rsidRPr="005D1864">
        <w:rPr>
          <w:rFonts w:ascii="Verdana" w:hAnsi="Verdana"/>
          <w:sz w:val="20"/>
          <w:szCs w:val="20"/>
          <w:lang w:val="es-CR"/>
        </w:rPr>
        <w:t xml:space="preserve">) mejorar la infraestructura de la Comunidad de acuerdo con sus necesidades presentes y futuras; </w:t>
      </w:r>
      <w:proofErr w:type="spellStart"/>
      <w:r w:rsidR="00433390" w:rsidRPr="005D1864">
        <w:rPr>
          <w:rFonts w:ascii="Verdana" w:hAnsi="Verdana"/>
          <w:sz w:val="20"/>
          <w:szCs w:val="20"/>
          <w:lang w:val="es-CR"/>
        </w:rPr>
        <w:t>iii</w:t>
      </w:r>
      <w:proofErr w:type="spellEnd"/>
      <w:r w:rsidR="00433390" w:rsidRPr="005D1864">
        <w:rPr>
          <w:rFonts w:ascii="Verdana" w:hAnsi="Verdana"/>
          <w:sz w:val="20"/>
          <w:szCs w:val="20"/>
          <w:lang w:val="es-CR"/>
        </w:rPr>
        <w:t xml:space="preserve">) restaurar las áreas deforestadas, y </w:t>
      </w:r>
      <w:proofErr w:type="spellStart"/>
      <w:r w:rsidR="00433390" w:rsidRPr="005D1864">
        <w:rPr>
          <w:rFonts w:ascii="Verdana" w:hAnsi="Verdana"/>
          <w:sz w:val="20"/>
          <w:szCs w:val="20"/>
          <w:lang w:val="es-CR"/>
        </w:rPr>
        <w:t>iv</w:t>
      </w:r>
      <w:proofErr w:type="spellEnd"/>
      <w:r w:rsidR="00433390" w:rsidRPr="005D1864">
        <w:rPr>
          <w:rFonts w:ascii="Verdana" w:hAnsi="Verdana"/>
          <w:sz w:val="20"/>
          <w:szCs w:val="20"/>
          <w:lang w:val="es-CR"/>
        </w:rPr>
        <w:t>) otros que consideren pertinentes para el beneficio de la Comunidad de Punta Piedra</w:t>
      </w:r>
      <w:r w:rsidR="004E2F62">
        <w:rPr>
          <w:rFonts w:ascii="Verdana" w:hAnsi="Verdana"/>
          <w:sz w:val="20"/>
          <w:szCs w:val="20"/>
          <w:lang w:val="es-CR"/>
        </w:rPr>
        <w:t>”</w:t>
      </w:r>
      <w:r w:rsidR="00433390" w:rsidRPr="005D1864">
        <w:rPr>
          <w:rFonts w:ascii="Verdana" w:hAnsi="Verdana"/>
          <w:sz w:val="20"/>
          <w:szCs w:val="20"/>
          <w:lang w:val="es-CR"/>
        </w:rPr>
        <w:t>.</w:t>
      </w:r>
      <w:r w:rsidR="005D1864" w:rsidRPr="005D1864">
        <w:rPr>
          <w:rFonts w:ascii="Verdana" w:hAnsi="Verdana"/>
          <w:sz w:val="20"/>
          <w:szCs w:val="20"/>
          <w:lang w:val="es-CR"/>
        </w:rPr>
        <w:t xml:space="preserve"> Asimismo, se dispuso </w:t>
      </w:r>
      <w:r w:rsidR="001D240E" w:rsidRPr="005D1864">
        <w:rPr>
          <w:rFonts w:ascii="Verdana" w:hAnsi="Verdana"/>
          <w:sz w:val="20"/>
          <w:szCs w:val="20"/>
          <w:lang w:val="es-CR"/>
        </w:rPr>
        <w:t>que las partes debían presentar un informe anual durante el periodo de ejecución detallando los proyectos en los cuales se invierte el monto del Fondo.</w:t>
      </w:r>
      <w:bookmarkEnd w:id="12"/>
      <w:r w:rsidR="001D240E" w:rsidRPr="005D1864">
        <w:rPr>
          <w:rFonts w:ascii="Verdana" w:hAnsi="Verdana"/>
          <w:sz w:val="20"/>
          <w:szCs w:val="20"/>
          <w:lang w:val="es-CR"/>
        </w:rPr>
        <w:t xml:space="preserve"> </w:t>
      </w:r>
    </w:p>
    <w:p w14:paraId="39BE2CBD" w14:textId="77777777" w:rsidR="005D1864" w:rsidRPr="005D1864" w:rsidRDefault="005D1864" w:rsidP="005D1864">
      <w:pPr>
        <w:pStyle w:val="Prrafodelista"/>
        <w:spacing w:before="120" w:after="120"/>
        <w:ind w:left="0"/>
        <w:contextualSpacing w:val="0"/>
        <w:jc w:val="both"/>
        <w:rPr>
          <w:rFonts w:ascii="Verdana" w:hAnsi="Verdana"/>
          <w:i/>
          <w:sz w:val="20"/>
          <w:szCs w:val="20"/>
          <w:lang w:val="es-MX"/>
        </w:rPr>
      </w:pPr>
    </w:p>
    <w:p w14:paraId="3995A977" w14:textId="6007892D" w:rsidR="00B52C4E" w:rsidRPr="00131657" w:rsidRDefault="00B52C4E" w:rsidP="00433390">
      <w:pPr>
        <w:pStyle w:val="Prrafodelista"/>
        <w:spacing w:before="120" w:after="120"/>
        <w:ind w:left="0" w:firstLine="720"/>
        <w:contextualSpacing w:val="0"/>
        <w:jc w:val="both"/>
        <w:rPr>
          <w:rFonts w:ascii="Verdana" w:hAnsi="Verdana"/>
          <w:i/>
          <w:sz w:val="20"/>
          <w:szCs w:val="20"/>
          <w:lang w:val="es-MX"/>
        </w:rPr>
      </w:pPr>
      <w:r w:rsidRPr="00131657">
        <w:rPr>
          <w:rFonts w:ascii="Verdana" w:hAnsi="Verdana"/>
          <w:i/>
          <w:sz w:val="20"/>
          <w:szCs w:val="20"/>
          <w:lang w:val="es-MX"/>
        </w:rPr>
        <w:t xml:space="preserve">C.2. </w:t>
      </w:r>
      <w:r w:rsidR="008A5F3A" w:rsidRPr="00131657">
        <w:rPr>
          <w:rFonts w:ascii="Verdana" w:hAnsi="Verdana"/>
          <w:i/>
          <w:sz w:val="20"/>
          <w:szCs w:val="20"/>
          <w:lang w:val="es-MX"/>
        </w:rPr>
        <w:t>Consideraciones de la Corte</w:t>
      </w:r>
      <w:r w:rsidRPr="00131657">
        <w:rPr>
          <w:rFonts w:ascii="Verdana" w:hAnsi="Verdana"/>
          <w:i/>
          <w:sz w:val="20"/>
          <w:szCs w:val="20"/>
          <w:lang w:val="es-MX"/>
        </w:rPr>
        <w:t xml:space="preserve"> </w:t>
      </w:r>
    </w:p>
    <w:p w14:paraId="0795A0DF" w14:textId="27A4467F" w:rsidR="00E04C42" w:rsidRPr="00B0211B" w:rsidRDefault="00CA262D" w:rsidP="00E04C42">
      <w:pPr>
        <w:pStyle w:val="Prrafodelista"/>
        <w:numPr>
          <w:ilvl w:val="0"/>
          <w:numId w:val="3"/>
        </w:numPr>
        <w:spacing w:before="120" w:after="120"/>
        <w:ind w:left="0" w:hanging="11"/>
        <w:contextualSpacing w:val="0"/>
        <w:jc w:val="both"/>
        <w:rPr>
          <w:rFonts w:ascii="Verdana" w:hAnsi="Verdana"/>
          <w:sz w:val="20"/>
          <w:szCs w:val="20"/>
          <w:lang w:val="es-CR"/>
        </w:rPr>
      </w:pPr>
      <w:r w:rsidRPr="00131657">
        <w:rPr>
          <w:rFonts w:ascii="Verdana" w:hAnsi="Verdana"/>
          <w:sz w:val="20"/>
          <w:szCs w:val="20"/>
          <w:lang w:val="es-CR"/>
        </w:rPr>
        <w:t>L</w:t>
      </w:r>
      <w:r w:rsidR="00C033D0" w:rsidRPr="00131657">
        <w:rPr>
          <w:rFonts w:ascii="Verdana" w:hAnsi="Verdana"/>
          <w:sz w:val="20"/>
          <w:szCs w:val="20"/>
          <w:lang w:val="es-CR"/>
        </w:rPr>
        <w:t xml:space="preserve">a Corte constata que Honduras incluyó </w:t>
      </w:r>
      <w:r w:rsidR="00B52C4E" w:rsidRPr="00131657">
        <w:rPr>
          <w:rFonts w:ascii="Verdana" w:hAnsi="Verdana"/>
          <w:sz w:val="20"/>
          <w:szCs w:val="20"/>
          <w:lang w:val="es-CO"/>
        </w:rPr>
        <w:t>la cantidad de US$ 1.500.000</w:t>
      </w:r>
      <w:r w:rsidR="00C033D0" w:rsidRPr="00131657">
        <w:rPr>
          <w:rFonts w:ascii="Verdana" w:hAnsi="Verdana"/>
          <w:sz w:val="20"/>
          <w:szCs w:val="20"/>
          <w:lang w:val="es-CO"/>
        </w:rPr>
        <w:t>,00</w:t>
      </w:r>
      <w:r w:rsidR="00B52C4E" w:rsidRPr="00131657">
        <w:rPr>
          <w:rFonts w:ascii="Verdana" w:hAnsi="Verdana"/>
          <w:sz w:val="20"/>
          <w:szCs w:val="20"/>
          <w:lang w:val="es-CO"/>
        </w:rPr>
        <w:t xml:space="preserve"> en el Pres</w:t>
      </w:r>
      <w:r w:rsidR="0023305E">
        <w:rPr>
          <w:rFonts w:ascii="Verdana" w:hAnsi="Verdana"/>
          <w:sz w:val="20"/>
          <w:szCs w:val="20"/>
          <w:lang w:val="es-CO"/>
        </w:rPr>
        <w:t>upuesto General de la República</w:t>
      </w:r>
      <w:r w:rsidR="00B52C4E" w:rsidRPr="00131657">
        <w:rPr>
          <w:rFonts w:ascii="Verdana" w:hAnsi="Verdana"/>
          <w:sz w:val="20"/>
          <w:szCs w:val="20"/>
          <w:lang w:val="es-CO"/>
        </w:rPr>
        <w:t xml:space="preserve"> correspondiente al Ejercicio Fiscal del año 2017</w:t>
      </w:r>
      <w:r w:rsidR="00C033D0" w:rsidRPr="00131657">
        <w:rPr>
          <w:rStyle w:val="Refdenotaalpie"/>
          <w:rFonts w:ascii="Verdana" w:hAnsi="Verdana"/>
          <w:sz w:val="20"/>
          <w:szCs w:val="20"/>
          <w:lang w:val="es-CO"/>
        </w:rPr>
        <w:footnoteReference w:id="35"/>
      </w:r>
      <w:r w:rsidR="00B52C4E" w:rsidRPr="00131657">
        <w:rPr>
          <w:rFonts w:ascii="Verdana" w:hAnsi="Verdana"/>
          <w:sz w:val="20"/>
          <w:szCs w:val="20"/>
          <w:lang w:val="es-CO"/>
        </w:rPr>
        <w:t xml:space="preserve">, </w:t>
      </w:r>
      <w:r w:rsidR="002D03CE" w:rsidRPr="00131657">
        <w:rPr>
          <w:rFonts w:ascii="Verdana" w:hAnsi="Verdana"/>
          <w:sz w:val="20"/>
          <w:szCs w:val="20"/>
          <w:lang w:val="es-CO"/>
        </w:rPr>
        <w:t>“</w:t>
      </w:r>
      <w:r w:rsidR="00B52C4E" w:rsidRPr="00131657">
        <w:rPr>
          <w:rFonts w:ascii="Verdana" w:hAnsi="Verdana"/>
          <w:sz w:val="20"/>
          <w:szCs w:val="20"/>
          <w:lang w:val="es-CO"/>
        </w:rPr>
        <w:t>con el objetivo de que dicho monto sea invertido para el beneficio del territorio titulado de la</w:t>
      </w:r>
      <w:r w:rsidR="00B52C4E" w:rsidRPr="00B0211B">
        <w:rPr>
          <w:rFonts w:ascii="Verdana" w:hAnsi="Verdana"/>
          <w:sz w:val="20"/>
          <w:szCs w:val="20"/>
          <w:lang w:val="es-CO"/>
        </w:rPr>
        <w:t xml:space="preserve"> comunidad Punta Piedra</w:t>
      </w:r>
      <w:r w:rsidR="002D03CE" w:rsidRPr="00B0211B">
        <w:rPr>
          <w:rFonts w:ascii="Verdana" w:hAnsi="Verdana"/>
          <w:sz w:val="20"/>
          <w:szCs w:val="20"/>
          <w:lang w:val="es-CO"/>
        </w:rPr>
        <w:t>”</w:t>
      </w:r>
      <w:r w:rsidR="002D03CE" w:rsidRPr="00B0211B">
        <w:rPr>
          <w:rStyle w:val="Refdenotaalpie"/>
          <w:rFonts w:ascii="Verdana" w:hAnsi="Verdana"/>
          <w:sz w:val="20"/>
          <w:szCs w:val="20"/>
          <w:lang w:val="es-CO"/>
        </w:rPr>
        <w:footnoteReference w:id="36"/>
      </w:r>
      <w:r w:rsidR="00E04C42" w:rsidRPr="00B0211B">
        <w:rPr>
          <w:rFonts w:ascii="Verdana" w:hAnsi="Verdana"/>
          <w:sz w:val="20"/>
          <w:szCs w:val="20"/>
          <w:lang w:val="es-CO"/>
        </w:rPr>
        <w:t>,</w:t>
      </w:r>
      <w:r w:rsidR="00B52C4E" w:rsidRPr="00B0211B">
        <w:rPr>
          <w:rFonts w:ascii="Verdana" w:hAnsi="Verdana"/>
          <w:sz w:val="20"/>
          <w:szCs w:val="20"/>
          <w:lang w:val="es-CO"/>
        </w:rPr>
        <w:t xml:space="preserve"> </w:t>
      </w:r>
      <w:r w:rsidR="00E04C42" w:rsidRPr="00B0211B">
        <w:rPr>
          <w:rFonts w:ascii="Verdana" w:hAnsi="Verdana"/>
          <w:sz w:val="20"/>
          <w:szCs w:val="20"/>
          <w:lang w:val="es-CO"/>
        </w:rPr>
        <w:t>monto que no fue ejecutado en virtud de la decisión de la Comunidad Garífuna de Punta Piedra en cuanto a que el fondo “</w:t>
      </w:r>
      <w:r w:rsidR="00E04C42" w:rsidRPr="00B0211B">
        <w:rPr>
          <w:rFonts w:ascii="Verdana" w:hAnsi="Verdana" w:cs="URWBookmanL-Ligh"/>
          <w:color w:val="00000A"/>
          <w:sz w:val="20"/>
          <w:szCs w:val="20"/>
          <w:lang w:val="es-CO"/>
        </w:rPr>
        <w:t>no sea transferido todavía en vista de que los problemas cruciales de la comunidad pasan por el saneamiento necesario de todo su territorio”</w:t>
      </w:r>
      <w:r w:rsidR="00E04C42" w:rsidRPr="00B0211B">
        <w:rPr>
          <w:rStyle w:val="Refdenotaalpie"/>
          <w:rFonts w:ascii="Verdana" w:hAnsi="Verdana" w:cs="URWBookmanL-Ligh"/>
          <w:color w:val="00000A"/>
          <w:sz w:val="20"/>
          <w:szCs w:val="20"/>
          <w:lang w:val="es-CO"/>
        </w:rPr>
        <w:footnoteReference w:id="37"/>
      </w:r>
      <w:r w:rsidR="00E04C42" w:rsidRPr="00B0211B">
        <w:rPr>
          <w:rFonts w:ascii="Verdana" w:hAnsi="Verdana" w:cs="URWBookmanL-Ligh"/>
          <w:color w:val="00000A"/>
          <w:sz w:val="20"/>
          <w:szCs w:val="20"/>
          <w:lang w:val="es-CO"/>
        </w:rPr>
        <w:t xml:space="preserve">. </w:t>
      </w:r>
      <w:r w:rsidR="00E66C83">
        <w:rPr>
          <w:rFonts w:ascii="Verdana" w:hAnsi="Verdana"/>
          <w:sz w:val="20"/>
          <w:szCs w:val="20"/>
          <w:lang w:val="es-CR"/>
        </w:rPr>
        <w:t>El Estado informó que dicho</w:t>
      </w:r>
      <w:r w:rsidR="00E04C42" w:rsidRPr="00B0211B">
        <w:rPr>
          <w:rFonts w:ascii="Verdana" w:hAnsi="Verdana"/>
          <w:sz w:val="20"/>
          <w:szCs w:val="20"/>
          <w:lang w:val="es-CR"/>
        </w:rPr>
        <w:t xml:space="preserve"> monto fue solicitado nuevamente para el Presupuesto General </w:t>
      </w:r>
      <w:r w:rsidR="00E04C42" w:rsidRPr="00B0211B">
        <w:rPr>
          <w:rFonts w:ascii="Verdana" w:hAnsi="Verdana"/>
          <w:sz w:val="20"/>
          <w:szCs w:val="20"/>
          <w:lang w:val="es-CO"/>
        </w:rPr>
        <w:t xml:space="preserve">de la República para el año 2018, y </w:t>
      </w:r>
      <w:r w:rsidR="00E04C42" w:rsidRPr="00B0211B">
        <w:rPr>
          <w:rFonts w:ascii="Verdana" w:hAnsi="Verdana"/>
          <w:sz w:val="20"/>
          <w:szCs w:val="20"/>
          <w:lang w:val="es-AR"/>
        </w:rPr>
        <w:t xml:space="preserve">en la audiencia privada celebrada el 29 de noviembre de 2018, informó que “se autorizó a la Procuraduría General de la República a realizar las diligencias para constituir un fideicomiso para la administración de los fondos comunitarios, el cual será utilizado después de realizar todas las actividades relativas </w:t>
      </w:r>
      <w:r w:rsidR="00014632">
        <w:rPr>
          <w:rFonts w:ascii="Verdana" w:hAnsi="Verdana"/>
          <w:sz w:val="20"/>
          <w:szCs w:val="20"/>
          <w:lang w:val="es-AR"/>
        </w:rPr>
        <w:t>al saneamiento de las tierras”.</w:t>
      </w:r>
    </w:p>
    <w:p w14:paraId="4906C681" w14:textId="7C01854B" w:rsidR="00443971" w:rsidRDefault="00C73886" w:rsidP="00E5502B">
      <w:pPr>
        <w:pStyle w:val="Prrafodelista"/>
        <w:numPr>
          <w:ilvl w:val="0"/>
          <w:numId w:val="3"/>
        </w:numPr>
        <w:spacing w:before="120" w:after="120"/>
        <w:ind w:left="0" w:hanging="11"/>
        <w:contextualSpacing w:val="0"/>
        <w:jc w:val="both"/>
        <w:rPr>
          <w:rFonts w:ascii="Verdana" w:hAnsi="Verdana"/>
          <w:sz w:val="20"/>
          <w:szCs w:val="20"/>
          <w:lang w:val="es-CR"/>
        </w:rPr>
      </w:pPr>
      <w:r>
        <w:rPr>
          <w:rFonts w:ascii="Verdana" w:hAnsi="Verdana"/>
          <w:sz w:val="20"/>
          <w:szCs w:val="20"/>
          <w:lang w:val="es-CR"/>
        </w:rPr>
        <w:t>El Estado ha atendido</w:t>
      </w:r>
      <w:r w:rsidR="00E5502B">
        <w:rPr>
          <w:rFonts w:ascii="Verdana" w:hAnsi="Verdana"/>
          <w:sz w:val="20"/>
          <w:szCs w:val="20"/>
          <w:lang w:val="es-CR"/>
        </w:rPr>
        <w:t xml:space="preserve"> la voluntad de la Comunidad de que se difiera la implementación de esta m</w:t>
      </w:r>
      <w:r w:rsidR="00443971">
        <w:rPr>
          <w:rFonts w:ascii="Verdana" w:hAnsi="Verdana"/>
          <w:sz w:val="20"/>
          <w:szCs w:val="20"/>
          <w:lang w:val="es-CR"/>
        </w:rPr>
        <w:t>edida hasta tanto se dé</w:t>
      </w:r>
      <w:r w:rsidR="00E5502B">
        <w:rPr>
          <w:rFonts w:ascii="Verdana" w:hAnsi="Verdana"/>
          <w:sz w:val="20"/>
          <w:szCs w:val="20"/>
          <w:lang w:val="es-CR"/>
        </w:rPr>
        <w:t xml:space="preserve"> cumplimiento al saneamiento de las tierras. </w:t>
      </w:r>
      <w:r>
        <w:rPr>
          <w:rFonts w:ascii="Verdana" w:hAnsi="Verdana"/>
          <w:sz w:val="20"/>
          <w:szCs w:val="20"/>
          <w:lang w:val="es-CR"/>
        </w:rPr>
        <w:t>Este Tribunal</w:t>
      </w:r>
      <w:r w:rsidR="00E5502B">
        <w:rPr>
          <w:rFonts w:ascii="Verdana" w:hAnsi="Verdana"/>
          <w:sz w:val="20"/>
          <w:szCs w:val="20"/>
          <w:lang w:val="es-CR"/>
        </w:rPr>
        <w:t xml:space="preserve"> valora positivamente los esfuerzos realizados por el Esta</w:t>
      </w:r>
      <w:r>
        <w:rPr>
          <w:rFonts w:ascii="Verdana" w:hAnsi="Verdana"/>
          <w:sz w:val="20"/>
          <w:szCs w:val="20"/>
          <w:lang w:val="es-CR"/>
        </w:rPr>
        <w:t>do a los fines de resguardar el</w:t>
      </w:r>
      <w:r w:rsidR="00E5502B">
        <w:rPr>
          <w:rFonts w:ascii="Verdana" w:hAnsi="Verdana"/>
          <w:sz w:val="20"/>
          <w:szCs w:val="20"/>
          <w:lang w:val="es-CR"/>
        </w:rPr>
        <w:t xml:space="preserve"> monto destinado a la creación del fondo. Específi</w:t>
      </w:r>
      <w:r w:rsidR="007E2042">
        <w:rPr>
          <w:rFonts w:ascii="Verdana" w:hAnsi="Verdana"/>
          <w:sz w:val="20"/>
          <w:szCs w:val="20"/>
          <w:lang w:val="es-CR"/>
        </w:rPr>
        <w:t>camente, la Corte considera que</w:t>
      </w:r>
      <w:r w:rsidR="00E5502B">
        <w:rPr>
          <w:rFonts w:ascii="Verdana" w:hAnsi="Verdana"/>
          <w:sz w:val="20"/>
          <w:szCs w:val="20"/>
          <w:lang w:val="es-CR"/>
        </w:rPr>
        <w:t xml:space="preserve"> la constitución de un fideicomiso para la administración de los fondos, siempre y cuando se realice con la condición de que el mismo sea </w:t>
      </w:r>
      <w:r w:rsidR="00443971">
        <w:rPr>
          <w:rFonts w:ascii="Verdana" w:hAnsi="Verdana"/>
          <w:sz w:val="20"/>
          <w:szCs w:val="20"/>
          <w:lang w:val="es-CR"/>
        </w:rPr>
        <w:t>destinado a los objetivos señalados en la Sentencia (</w:t>
      </w:r>
      <w:r w:rsidR="00443971">
        <w:rPr>
          <w:rFonts w:ascii="Verdana" w:hAnsi="Verdana"/>
          <w:i/>
          <w:sz w:val="20"/>
          <w:szCs w:val="20"/>
          <w:lang w:val="es-CR"/>
        </w:rPr>
        <w:t xml:space="preserve">supra </w:t>
      </w:r>
      <w:r w:rsidR="00443971">
        <w:rPr>
          <w:rFonts w:ascii="Verdana" w:hAnsi="Verdana"/>
          <w:sz w:val="20"/>
          <w:szCs w:val="20"/>
          <w:lang w:val="es-CR"/>
        </w:rPr>
        <w:t xml:space="preserve">Considerando </w:t>
      </w:r>
      <w:r w:rsidR="00767EA7">
        <w:rPr>
          <w:rFonts w:ascii="Verdana" w:hAnsi="Verdana"/>
          <w:sz w:val="20"/>
          <w:szCs w:val="20"/>
          <w:lang w:val="es-CR"/>
        </w:rPr>
        <w:fldChar w:fldCharType="begin"/>
      </w:r>
      <w:r w:rsidR="00767EA7">
        <w:rPr>
          <w:rFonts w:ascii="Verdana" w:hAnsi="Verdana"/>
          <w:sz w:val="20"/>
          <w:szCs w:val="20"/>
          <w:lang w:val="es-CR"/>
        </w:rPr>
        <w:instrText xml:space="preserve"> REF _Ref12527812 \r \h </w:instrText>
      </w:r>
      <w:r w:rsidR="00767EA7">
        <w:rPr>
          <w:rFonts w:ascii="Verdana" w:hAnsi="Verdana"/>
          <w:sz w:val="20"/>
          <w:szCs w:val="20"/>
          <w:lang w:val="es-CR"/>
        </w:rPr>
      </w:r>
      <w:r w:rsidR="00767EA7">
        <w:rPr>
          <w:rFonts w:ascii="Verdana" w:hAnsi="Verdana"/>
          <w:sz w:val="20"/>
          <w:szCs w:val="20"/>
          <w:lang w:val="es-CR"/>
        </w:rPr>
        <w:fldChar w:fldCharType="separate"/>
      </w:r>
      <w:r w:rsidR="00D11D5D">
        <w:rPr>
          <w:rFonts w:ascii="Verdana" w:hAnsi="Verdana"/>
          <w:sz w:val="20"/>
          <w:szCs w:val="20"/>
          <w:lang w:val="es-CR"/>
        </w:rPr>
        <w:t>20</w:t>
      </w:r>
      <w:r w:rsidR="00767EA7">
        <w:rPr>
          <w:rFonts w:ascii="Verdana" w:hAnsi="Verdana"/>
          <w:sz w:val="20"/>
          <w:szCs w:val="20"/>
          <w:lang w:val="es-CR"/>
        </w:rPr>
        <w:fldChar w:fldCharType="end"/>
      </w:r>
      <w:r w:rsidR="00443971">
        <w:rPr>
          <w:rFonts w:ascii="Verdana" w:hAnsi="Verdana"/>
          <w:sz w:val="20"/>
          <w:szCs w:val="20"/>
          <w:lang w:val="es-CR"/>
        </w:rPr>
        <w:t>), cumpliría adecuadamente con lo requerido respecto de la designación de una autoridad estatal competente para la administración del fondo</w:t>
      </w:r>
      <w:r w:rsidR="003858DE">
        <w:rPr>
          <w:rFonts w:ascii="Verdana" w:hAnsi="Verdana"/>
          <w:sz w:val="20"/>
          <w:szCs w:val="20"/>
          <w:lang w:val="es-CR"/>
        </w:rPr>
        <w:t xml:space="preserve">, </w:t>
      </w:r>
      <w:r w:rsidR="00B658FE">
        <w:rPr>
          <w:rFonts w:ascii="Verdana" w:hAnsi="Verdana"/>
          <w:sz w:val="20"/>
          <w:szCs w:val="20"/>
          <w:lang w:val="es-CR"/>
        </w:rPr>
        <w:t xml:space="preserve">y queda a la espera de </w:t>
      </w:r>
      <w:r w:rsidR="00B658FE">
        <w:rPr>
          <w:rFonts w:ascii="Verdana" w:hAnsi="Verdana"/>
          <w:sz w:val="20"/>
          <w:szCs w:val="20"/>
          <w:lang w:val="es-CR"/>
        </w:rPr>
        <w:lastRenderedPageBreak/>
        <w:t xml:space="preserve">que el Estado informe sobre su efectiva constitución. </w:t>
      </w:r>
      <w:r w:rsidR="00443971">
        <w:rPr>
          <w:rFonts w:ascii="Verdana" w:hAnsi="Verdana"/>
          <w:sz w:val="20"/>
          <w:szCs w:val="20"/>
          <w:lang w:val="es-CR"/>
        </w:rPr>
        <w:t>Ello</w:t>
      </w:r>
      <w:r w:rsidR="00B658FE">
        <w:rPr>
          <w:rFonts w:ascii="Verdana" w:hAnsi="Verdana"/>
          <w:sz w:val="20"/>
          <w:szCs w:val="20"/>
          <w:lang w:val="es-CR"/>
        </w:rPr>
        <w:t xml:space="preserve"> </w:t>
      </w:r>
      <w:r w:rsidR="00443971">
        <w:rPr>
          <w:rFonts w:ascii="Verdana" w:hAnsi="Verdana"/>
          <w:sz w:val="20"/>
          <w:szCs w:val="20"/>
          <w:lang w:val="es-CR"/>
        </w:rPr>
        <w:t>permitiría el aseguramiento de</w:t>
      </w:r>
      <w:r>
        <w:rPr>
          <w:rFonts w:ascii="Verdana" w:hAnsi="Verdana"/>
          <w:sz w:val="20"/>
          <w:szCs w:val="20"/>
          <w:lang w:val="es-CR"/>
        </w:rPr>
        <w:t>l</w:t>
      </w:r>
      <w:r w:rsidR="00443971">
        <w:rPr>
          <w:rFonts w:ascii="Verdana" w:hAnsi="Verdana"/>
          <w:sz w:val="20"/>
          <w:szCs w:val="20"/>
          <w:lang w:val="es-CR"/>
        </w:rPr>
        <w:t xml:space="preserve"> monto, dejándolo a disposición para el momento en que la Comunidad decida hacer uso de</w:t>
      </w:r>
      <w:r>
        <w:rPr>
          <w:rFonts w:ascii="Verdana" w:hAnsi="Verdana"/>
          <w:sz w:val="20"/>
          <w:szCs w:val="20"/>
          <w:lang w:val="es-CR"/>
        </w:rPr>
        <w:t>l</w:t>
      </w:r>
      <w:r w:rsidR="00443971">
        <w:rPr>
          <w:rFonts w:ascii="Verdana" w:hAnsi="Verdana"/>
          <w:sz w:val="20"/>
          <w:szCs w:val="20"/>
          <w:lang w:val="es-CR"/>
        </w:rPr>
        <w:t xml:space="preserve"> mismo a través de la representación que deberá nombrar.</w:t>
      </w:r>
    </w:p>
    <w:p w14:paraId="43756FFD" w14:textId="100BD62E" w:rsidR="00E5502B" w:rsidRDefault="001D5F55" w:rsidP="00E5502B">
      <w:pPr>
        <w:pStyle w:val="Prrafodelista"/>
        <w:numPr>
          <w:ilvl w:val="0"/>
          <w:numId w:val="3"/>
        </w:numPr>
        <w:spacing w:before="120" w:after="120"/>
        <w:ind w:left="0" w:hanging="11"/>
        <w:contextualSpacing w:val="0"/>
        <w:jc w:val="both"/>
        <w:rPr>
          <w:rFonts w:ascii="Verdana" w:hAnsi="Verdana"/>
          <w:sz w:val="20"/>
          <w:szCs w:val="20"/>
          <w:lang w:val="es-CR"/>
        </w:rPr>
      </w:pPr>
      <w:bookmarkStart w:id="13" w:name="_Ref12551450"/>
      <w:r>
        <w:rPr>
          <w:rFonts w:ascii="Verdana" w:hAnsi="Verdana"/>
          <w:sz w:val="20"/>
          <w:szCs w:val="20"/>
          <w:lang w:val="es-CR"/>
        </w:rPr>
        <w:t>En virtud de lo expuesto</w:t>
      </w:r>
      <w:r w:rsidR="00443971">
        <w:rPr>
          <w:rFonts w:ascii="Verdana" w:hAnsi="Verdana"/>
          <w:sz w:val="20"/>
          <w:szCs w:val="20"/>
          <w:lang w:val="es-CR"/>
        </w:rPr>
        <w:t xml:space="preserve">, la Corte </w:t>
      </w:r>
      <w:r w:rsidR="005B1670">
        <w:rPr>
          <w:rFonts w:ascii="Verdana" w:hAnsi="Verdana"/>
          <w:sz w:val="20"/>
          <w:szCs w:val="20"/>
          <w:lang w:val="es-CR"/>
        </w:rPr>
        <w:t xml:space="preserve">considera que se encuentra pendiente de cumplimiento la medida de reparación ordenada en el </w:t>
      </w:r>
      <w:r w:rsidR="005B1670" w:rsidRPr="005D1864">
        <w:rPr>
          <w:rFonts w:ascii="Verdana" w:hAnsi="Verdana"/>
          <w:sz w:val="20"/>
          <w:szCs w:val="20"/>
          <w:lang w:val="es-MX"/>
        </w:rPr>
        <w:t xml:space="preserve">punto resolutivo </w:t>
      </w:r>
      <w:r w:rsidR="005B1670">
        <w:rPr>
          <w:rFonts w:ascii="Verdana" w:hAnsi="Verdana"/>
          <w:sz w:val="20"/>
          <w:szCs w:val="20"/>
          <w:lang w:val="es-MX"/>
        </w:rPr>
        <w:t>decimosegundo</w:t>
      </w:r>
      <w:r w:rsidR="005B1670" w:rsidRPr="005D1864">
        <w:rPr>
          <w:rFonts w:ascii="Verdana" w:hAnsi="Verdana"/>
          <w:sz w:val="20"/>
          <w:szCs w:val="20"/>
          <w:lang w:val="es-MX"/>
        </w:rPr>
        <w:t xml:space="preserve"> </w:t>
      </w:r>
      <w:r w:rsidR="005B1670">
        <w:rPr>
          <w:rFonts w:ascii="Verdana" w:hAnsi="Verdana"/>
          <w:sz w:val="20"/>
          <w:szCs w:val="20"/>
          <w:lang w:val="es-MX"/>
        </w:rPr>
        <w:t>y</w:t>
      </w:r>
      <w:r w:rsidR="005B1670">
        <w:rPr>
          <w:rFonts w:ascii="Verdana" w:hAnsi="Verdana"/>
          <w:sz w:val="20"/>
          <w:szCs w:val="20"/>
          <w:lang w:val="es-CR"/>
        </w:rPr>
        <w:t xml:space="preserve"> requiere</w:t>
      </w:r>
      <w:r w:rsidR="00443971">
        <w:rPr>
          <w:rFonts w:ascii="Verdana" w:hAnsi="Verdana"/>
          <w:sz w:val="20"/>
          <w:szCs w:val="20"/>
          <w:lang w:val="es-CR"/>
        </w:rPr>
        <w:t xml:space="preserve"> al Estado que continúe </w:t>
      </w:r>
      <w:r w:rsidR="005B1670">
        <w:rPr>
          <w:rFonts w:ascii="Verdana" w:hAnsi="Verdana"/>
          <w:sz w:val="20"/>
          <w:szCs w:val="20"/>
          <w:lang w:val="es-CR"/>
        </w:rPr>
        <w:t>informando</w:t>
      </w:r>
      <w:r w:rsidR="00443971">
        <w:rPr>
          <w:rFonts w:ascii="Verdana" w:hAnsi="Verdana"/>
          <w:sz w:val="20"/>
          <w:szCs w:val="20"/>
          <w:lang w:val="es-CR"/>
        </w:rPr>
        <w:t xml:space="preserve"> con respecto al cumplimiento de esta medida, en particular en lo referente a la constitución de un fideicomiso para </w:t>
      </w:r>
      <w:r w:rsidR="00C73886">
        <w:rPr>
          <w:rFonts w:ascii="Verdana" w:hAnsi="Verdana"/>
          <w:sz w:val="20"/>
          <w:szCs w:val="20"/>
          <w:lang w:val="es-CR"/>
        </w:rPr>
        <w:t>asegurar la disponibilidad</w:t>
      </w:r>
      <w:r w:rsidR="00443971">
        <w:rPr>
          <w:rFonts w:ascii="Verdana" w:hAnsi="Verdana"/>
          <w:sz w:val="20"/>
          <w:szCs w:val="20"/>
          <w:lang w:val="es-CR"/>
        </w:rPr>
        <w:t xml:space="preserve"> de</w:t>
      </w:r>
      <w:r w:rsidR="00C73886">
        <w:rPr>
          <w:rFonts w:ascii="Verdana" w:hAnsi="Verdana"/>
          <w:sz w:val="20"/>
          <w:szCs w:val="20"/>
          <w:lang w:val="es-CR"/>
        </w:rPr>
        <w:t>l</w:t>
      </w:r>
      <w:r w:rsidR="00443971">
        <w:rPr>
          <w:rFonts w:ascii="Verdana" w:hAnsi="Verdana"/>
          <w:sz w:val="20"/>
          <w:szCs w:val="20"/>
          <w:lang w:val="es-CR"/>
        </w:rPr>
        <w:t xml:space="preserve"> </w:t>
      </w:r>
      <w:r w:rsidR="00C73886">
        <w:rPr>
          <w:rFonts w:ascii="Verdana" w:hAnsi="Verdana"/>
          <w:sz w:val="20"/>
          <w:szCs w:val="20"/>
          <w:lang w:val="es-CR"/>
        </w:rPr>
        <w:t>fondo</w:t>
      </w:r>
      <w:r w:rsidR="00443971">
        <w:rPr>
          <w:rFonts w:ascii="Verdana" w:hAnsi="Verdana"/>
          <w:sz w:val="20"/>
          <w:szCs w:val="20"/>
          <w:lang w:val="es-CR"/>
        </w:rPr>
        <w:t>.</w:t>
      </w:r>
      <w:bookmarkEnd w:id="13"/>
      <w:r w:rsidR="00443971">
        <w:rPr>
          <w:rFonts w:ascii="Verdana" w:hAnsi="Verdana"/>
          <w:sz w:val="20"/>
          <w:szCs w:val="20"/>
          <w:lang w:val="es-CR"/>
        </w:rPr>
        <w:t xml:space="preserve"> </w:t>
      </w:r>
    </w:p>
    <w:p w14:paraId="65B7AFF0" w14:textId="40040A10" w:rsidR="00443971" w:rsidRDefault="00443971" w:rsidP="00E5502B">
      <w:pPr>
        <w:pStyle w:val="Prrafodelista"/>
        <w:numPr>
          <w:ilvl w:val="0"/>
          <w:numId w:val="3"/>
        </w:numPr>
        <w:spacing w:before="120" w:after="120"/>
        <w:ind w:left="0" w:hanging="11"/>
        <w:contextualSpacing w:val="0"/>
        <w:jc w:val="both"/>
        <w:rPr>
          <w:rFonts w:ascii="Verdana" w:hAnsi="Verdana"/>
          <w:sz w:val="20"/>
          <w:szCs w:val="20"/>
          <w:lang w:val="es-CR"/>
        </w:rPr>
      </w:pPr>
      <w:r>
        <w:rPr>
          <w:rFonts w:ascii="Verdana" w:hAnsi="Verdana"/>
          <w:sz w:val="20"/>
          <w:szCs w:val="20"/>
          <w:lang w:val="es-CR"/>
        </w:rPr>
        <w:t>Finalmente, la Corte recuerda que, a partir de la constitución del Fondo, se activa</w:t>
      </w:r>
      <w:r w:rsidR="005B1670">
        <w:rPr>
          <w:rFonts w:ascii="Verdana" w:hAnsi="Verdana"/>
          <w:sz w:val="20"/>
          <w:szCs w:val="20"/>
          <w:lang w:val="es-CR"/>
        </w:rPr>
        <w:t>ría</w:t>
      </w:r>
      <w:r>
        <w:rPr>
          <w:rFonts w:ascii="Verdana" w:hAnsi="Verdana"/>
          <w:sz w:val="20"/>
          <w:szCs w:val="20"/>
          <w:lang w:val="es-CR"/>
        </w:rPr>
        <w:t xml:space="preserve"> para ambas partes la obligación de informar anualmente sobre los pr</w:t>
      </w:r>
      <w:r w:rsidR="00025743">
        <w:rPr>
          <w:rFonts w:ascii="Verdana" w:hAnsi="Verdana"/>
          <w:sz w:val="20"/>
          <w:szCs w:val="20"/>
          <w:lang w:val="es-CR"/>
        </w:rPr>
        <w:t>oyectos a los cuales se destine</w:t>
      </w:r>
      <w:r>
        <w:rPr>
          <w:rFonts w:ascii="Verdana" w:hAnsi="Verdana"/>
          <w:sz w:val="20"/>
          <w:szCs w:val="20"/>
          <w:lang w:val="es-CR"/>
        </w:rPr>
        <w:t xml:space="preserve"> </w:t>
      </w:r>
      <w:r w:rsidR="00025743">
        <w:rPr>
          <w:rFonts w:ascii="Verdana" w:hAnsi="Verdana"/>
          <w:sz w:val="20"/>
          <w:szCs w:val="20"/>
          <w:lang w:val="es-CR"/>
        </w:rPr>
        <w:t>el Fondo</w:t>
      </w:r>
      <w:r w:rsidR="005B1670">
        <w:rPr>
          <w:rFonts w:ascii="Verdana" w:hAnsi="Verdana"/>
          <w:sz w:val="20"/>
          <w:szCs w:val="20"/>
          <w:lang w:val="es-CR"/>
        </w:rPr>
        <w:t xml:space="preserve"> (</w:t>
      </w:r>
      <w:r w:rsidR="005B1670">
        <w:rPr>
          <w:rFonts w:ascii="Verdana" w:hAnsi="Verdana"/>
          <w:i/>
          <w:sz w:val="20"/>
          <w:szCs w:val="20"/>
          <w:lang w:val="es-CR"/>
        </w:rPr>
        <w:t xml:space="preserve">supra </w:t>
      </w:r>
      <w:r w:rsidR="005B1670">
        <w:rPr>
          <w:rFonts w:ascii="Verdana" w:hAnsi="Verdana"/>
          <w:sz w:val="20"/>
          <w:szCs w:val="20"/>
          <w:lang w:val="es-CR"/>
        </w:rPr>
        <w:t xml:space="preserve">Considerando </w:t>
      </w:r>
      <w:r w:rsidR="00767EA7">
        <w:rPr>
          <w:rFonts w:ascii="Verdana" w:hAnsi="Verdana"/>
          <w:sz w:val="20"/>
          <w:szCs w:val="20"/>
          <w:lang w:val="es-CR"/>
        </w:rPr>
        <w:fldChar w:fldCharType="begin"/>
      </w:r>
      <w:r w:rsidR="00767EA7">
        <w:rPr>
          <w:rFonts w:ascii="Verdana" w:hAnsi="Verdana"/>
          <w:sz w:val="20"/>
          <w:szCs w:val="20"/>
          <w:lang w:val="es-CR"/>
        </w:rPr>
        <w:instrText xml:space="preserve"> REF _Ref12527812 \r \h </w:instrText>
      </w:r>
      <w:r w:rsidR="00767EA7">
        <w:rPr>
          <w:rFonts w:ascii="Verdana" w:hAnsi="Verdana"/>
          <w:sz w:val="20"/>
          <w:szCs w:val="20"/>
          <w:lang w:val="es-CR"/>
        </w:rPr>
      </w:r>
      <w:r w:rsidR="00767EA7">
        <w:rPr>
          <w:rFonts w:ascii="Verdana" w:hAnsi="Verdana"/>
          <w:sz w:val="20"/>
          <w:szCs w:val="20"/>
          <w:lang w:val="es-CR"/>
        </w:rPr>
        <w:fldChar w:fldCharType="separate"/>
      </w:r>
      <w:r w:rsidR="00D11D5D">
        <w:rPr>
          <w:rFonts w:ascii="Verdana" w:hAnsi="Verdana"/>
          <w:sz w:val="20"/>
          <w:szCs w:val="20"/>
          <w:lang w:val="es-CR"/>
        </w:rPr>
        <w:t>20</w:t>
      </w:r>
      <w:r w:rsidR="00767EA7">
        <w:rPr>
          <w:rFonts w:ascii="Verdana" w:hAnsi="Verdana"/>
          <w:sz w:val="20"/>
          <w:szCs w:val="20"/>
          <w:lang w:val="es-CR"/>
        </w:rPr>
        <w:fldChar w:fldCharType="end"/>
      </w:r>
      <w:r w:rsidR="005B1670">
        <w:rPr>
          <w:rFonts w:ascii="Verdana" w:hAnsi="Verdana"/>
          <w:sz w:val="20"/>
          <w:szCs w:val="20"/>
          <w:lang w:val="es-CR"/>
        </w:rPr>
        <w:t>)</w:t>
      </w:r>
      <w:r>
        <w:rPr>
          <w:rFonts w:ascii="Verdana" w:hAnsi="Verdana"/>
          <w:sz w:val="20"/>
          <w:szCs w:val="20"/>
          <w:lang w:val="es-CR"/>
        </w:rPr>
        <w:t xml:space="preserve">. </w:t>
      </w:r>
    </w:p>
    <w:p w14:paraId="412D790E" w14:textId="77777777" w:rsidR="00C033D0" w:rsidRPr="005C114E" w:rsidRDefault="00C033D0" w:rsidP="00AF7022">
      <w:pPr>
        <w:pStyle w:val="Prrafodelista"/>
        <w:tabs>
          <w:tab w:val="left" w:pos="680"/>
        </w:tabs>
        <w:spacing w:before="60" w:after="60"/>
        <w:ind w:left="0"/>
        <w:contextualSpacing w:val="0"/>
        <w:jc w:val="both"/>
        <w:rPr>
          <w:rFonts w:ascii="Verdana" w:hAnsi="Verdana"/>
          <w:b/>
          <w:sz w:val="20"/>
          <w:szCs w:val="20"/>
          <w:lang w:val="es-MX"/>
        </w:rPr>
      </w:pPr>
    </w:p>
    <w:p w14:paraId="11A89C0E" w14:textId="77777777" w:rsidR="00B06955" w:rsidRDefault="00B06955" w:rsidP="00B06955">
      <w:pPr>
        <w:pStyle w:val="Prrafodelista"/>
        <w:numPr>
          <w:ilvl w:val="0"/>
          <w:numId w:val="6"/>
        </w:numPr>
        <w:spacing w:before="120" w:after="120"/>
        <w:contextualSpacing w:val="0"/>
        <w:jc w:val="both"/>
        <w:outlineLvl w:val="0"/>
        <w:rPr>
          <w:rFonts w:ascii="Verdana" w:hAnsi="Verdana"/>
          <w:b/>
          <w:i/>
          <w:sz w:val="20"/>
          <w:szCs w:val="20"/>
          <w:lang w:val="es-MX"/>
        </w:rPr>
      </w:pPr>
      <w:bookmarkStart w:id="14" w:name="_Toc1737135"/>
      <w:r w:rsidRPr="00B06955">
        <w:rPr>
          <w:rFonts w:ascii="Verdana" w:hAnsi="Verdana"/>
          <w:b/>
          <w:i/>
          <w:sz w:val="20"/>
          <w:szCs w:val="20"/>
          <w:lang w:val="es-MX"/>
        </w:rPr>
        <w:t>Poner en marcha los mecanismos necesarios para la coordinación entre instituciones con el fin de lograr efectividad de las medidas ordenadas</w:t>
      </w:r>
      <w:bookmarkEnd w:id="14"/>
    </w:p>
    <w:p w14:paraId="621BF2A9" w14:textId="77777777" w:rsidR="00920407" w:rsidRPr="00B51DF4" w:rsidRDefault="00920407" w:rsidP="00B51DF4">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D</w:t>
      </w:r>
      <w:r w:rsidRPr="00B06955">
        <w:rPr>
          <w:rFonts w:ascii="Verdana" w:hAnsi="Verdana"/>
          <w:i/>
          <w:sz w:val="20"/>
          <w:szCs w:val="20"/>
          <w:lang w:val="es-MX"/>
        </w:rPr>
        <w:t xml:space="preserve">.1. Medida ordenada por la Corte </w:t>
      </w:r>
    </w:p>
    <w:p w14:paraId="6539174E" w14:textId="7A2AA514" w:rsidR="00920407" w:rsidRPr="006708FF" w:rsidRDefault="00B51DF4" w:rsidP="00B51DF4">
      <w:pPr>
        <w:pStyle w:val="Prrafodelista"/>
        <w:numPr>
          <w:ilvl w:val="0"/>
          <w:numId w:val="3"/>
        </w:numPr>
        <w:spacing w:before="120" w:after="120"/>
        <w:ind w:left="0" w:hanging="11"/>
        <w:contextualSpacing w:val="0"/>
        <w:jc w:val="both"/>
        <w:rPr>
          <w:rFonts w:ascii="Verdana" w:hAnsi="Verdana"/>
          <w:sz w:val="20"/>
          <w:szCs w:val="20"/>
          <w:lang w:val="es-CR"/>
        </w:rPr>
      </w:pPr>
      <w:bookmarkStart w:id="15" w:name="_Ref12528795"/>
      <w:r w:rsidRPr="00B06955">
        <w:rPr>
          <w:rFonts w:ascii="Verdana" w:hAnsi="Verdana"/>
          <w:sz w:val="20"/>
          <w:szCs w:val="20"/>
          <w:lang w:val="es-MX"/>
        </w:rPr>
        <w:t xml:space="preserve">En el punto resolutivo </w:t>
      </w:r>
      <w:r w:rsidR="009264A5">
        <w:rPr>
          <w:rFonts w:ascii="Verdana" w:hAnsi="Verdana"/>
          <w:sz w:val="20"/>
          <w:szCs w:val="20"/>
          <w:lang w:val="es-MX"/>
        </w:rPr>
        <w:t>decimo</w:t>
      </w:r>
      <w:r w:rsidR="00404558">
        <w:rPr>
          <w:rFonts w:ascii="Verdana" w:hAnsi="Verdana"/>
          <w:sz w:val="20"/>
          <w:szCs w:val="20"/>
          <w:lang w:val="es-MX"/>
        </w:rPr>
        <w:t>tercero y en el párrafo</w:t>
      </w:r>
      <w:r w:rsidRPr="00B06955">
        <w:rPr>
          <w:rFonts w:ascii="Verdana" w:hAnsi="Verdana"/>
          <w:sz w:val="20"/>
          <w:szCs w:val="20"/>
          <w:lang w:val="es-MX"/>
        </w:rPr>
        <w:t xml:space="preserve"> </w:t>
      </w:r>
      <w:r w:rsidR="00404558">
        <w:rPr>
          <w:rFonts w:ascii="Verdana" w:hAnsi="Verdana"/>
          <w:sz w:val="20"/>
          <w:szCs w:val="20"/>
          <w:lang w:val="es-MX"/>
        </w:rPr>
        <w:t>328</w:t>
      </w:r>
      <w:r w:rsidRPr="00B06955">
        <w:rPr>
          <w:rFonts w:ascii="Verdana" w:hAnsi="Verdana"/>
          <w:sz w:val="20"/>
          <w:szCs w:val="20"/>
          <w:lang w:val="es-MX"/>
        </w:rPr>
        <w:t xml:space="preserve"> de la Sentencia, la Corte dispuso que</w:t>
      </w:r>
      <w:r w:rsidR="00404558">
        <w:rPr>
          <w:rFonts w:ascii="Verdana" w:hAnsi="Verdana"/>
          <w:sz w:val="20"/>
          <w:szCs w:val="20"/>
          <w:lang w:val="es-MX"/>
        </w:rPr>
        <w:t xml:space="preserve"> el Estado debía, dentro del plazo de tres meses a partir de la notificación de la Sentencia, </w:t>
      </w:r>
      <w:r w:rsidR="00F908CD">
        <w:rPr>
          <w:rFonts w:ascii="Verdana" w:hAnsi="Verdana"/>
          <w:sz w:val="20"/>
          <w:szCs w:val="20"/>
          <w:lang w:val="es-MX"/>
        </w:rPr>
        <w:t>“</w:t>
      </w:r>
      <w:r w:rsidR="00F908CD" w:rsidRPr="00F908CD">
        <w:rPr>
          <w:rFonts w:ascii="Verdana" w:hAnsi="Verdana"/>
          <w:sz w:val="20"/>
          <w:szCs w:val="20"/>
          <w:lang w:val="es-AR"/>
        </w:rPr>
        <w:t xml:space="preserve">poner en marcha los mecanismos necesarios de coordinación entre instituciones que tengan incidencia en la toma de decisiones y cuenten con competencia en la materia, con el fin de velar por la efectividad de las medidas </w:t>
      </w:r>
      <w:r w:rsidR="00F908CD">
        <w:rPr>
          <w:rFonts w:ascii="Verdana" w:hAnsi="Verdana"/>
          <w:sz w:val="20"/>
          <w:szCs w:val="20"/>
          <w:lang w:val="es-AR"/>
        </w:rPr>
        <w:t>[…]</w:t>
      </w:r>
      <w:r w:rsidR="00F908CD" w:rsidRPr="00F908CD">
        <w:rPr>
          <w:rFonts w:ascii="Verdana" w:hAnsi="Verdana"/>
          <w:sz w:val="20"/>
          <w:szCs w:val="20"/>
          <w:lang w:val="es-AR"/>
        </w:rPr>
        <w:t xml:space="preserve"> dispuestas, entre ellas: hacer efectivo el saneamiento, garantizar la integridad del territorio comunal y, en su caso, participar en la implementación </w:t>
      </w:r>
      <w:r w:rsidR="00F908CD">
        <w:rPr>
          <w:rFonts w:ascii="Verdana" w:hAnsi="Verdana"/>
          <w:sz w:val="20"/>
          <w:szCs w:val="20"/>
          <w:lang w:val="es-AR"/>
        </w:rPr>
        <w:t>del referido plan de desarrollo”</w:t>
      </w:r>
      <w:r w:rsidRPr="00B06955">
        <w:rPr>
          <w:rFonts w:ascii="Verdana" w:hAnsi="Verdana"/>
          <w:sz w:val="20"/>
          <w:szCs w:val="20"/>
          <w:lang w:val="es-MX"/>
        </w:rPr>
        <w:t>.</w:t>
      </w:r>
      <w:bookmarkEnd w:id="15"/>
      <w:r w:rsidRPr="00B06955">
        <w:rPr>
          <w:rFonts w:ascii="Verdana" w:hAnsi="Verdana"/>
          <w:sz w:val="20"/>
          <w:szCs w:val="20"/>
          <w:lang w:val="es-MX"/>
        </w:rPr>
        <w:t xml:space="preserve"> </w:t>
      </w:r>
    </w:p>
    <w:p w14:paraId="5A400A57" w14:textId="77777777" w:rsidR="00AF7022" w:rsidRPr="00B51DF4" w:rsidRDefault="00AF7022" w:rsidP="00AF7022">
      <w:pPr>
        <w:pStyle w:val="Prrafodelista"/>
        <w:spacing w:before="120" w:after="120"/>
        <w:ind w:left="0"/>
        <w:contextualSpacing w:val="0"/>
        <w:jc w:val="both"/>
        <w:rPr>
          <w:rFonts w:ascii="Verdana" w:hAnsi="Verdana"/>
          <w:color w:val="00B050"/>
          <w:sz w:val="20"/>
          <w:szCs w:val="20"/>
          <w:lang w:val="es-CR"/>
        </w:rPr>
      </w:pPr>
    </w:p>
    <w:p w14:paraId="65D980DF" w14:textId="77777777" w:rsidR="00920407" w:rsidRPr="00B06955" w:rsidRDefault="00920407" w:rsidP="00920407">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D</w:t>
      </w:r>
      <w:r w:rsidRPr="00B06955">
        <w:rPr>
          <w:rFonts w:ascii="Verdana" w:hAnsi="Verdana"/>
          <w:i/>
          <w:sz w:val="20"/>
          <w:szCs w:val="20"/>
          <w:lang w:val="es-MX"/>
        </w:rPr>
        <w:t xml:space="preserve">.2. </w:t>
      </w:r>
      <w:r w:rsidR="00972E81">
        <w:rPr>
          <w:rFonts w:ascii="Verdana" w:hAnsi="Verdana"/>
          <w:i/>
          <w:sz w:val="20"/>
          <w:szCs w:val="20"/>
          <w:lang w:val="es-MX"/>
        </w:rPr>
        <w:t>Consideraciones de la Corte</w:t>
      </w:r>
      <w:r w:rsidRPr="00B06955">
        <w:rPr>
          <w:rFonts w:ascii="Verdana" w:hAnsi="Verdana"/>
          <w:i/>
          <w:sz w:val="20"/>
          <w:szCs w:val="20"/>
          <w:lang w:val="es-MX"/>
        </w:rPr>
        <w:t xml:space="preserve"> </w:t>
      </w:r>
    </w:p>
    <w:p w14:paraId="01663B94" w14:textId="68A2E94F" w:rsidR="00B22CC0" w:rsidRDefault="009D1C2E" w:rsidP="00972E81">
      <w:pPr>
        <w:pStyle w:val="Prrafodelista"/>
        <w:numPr>
          <w:ilvl w:val="0"/>
          <w:numId w:val="3"/>
        </w:numPr>
        <w:spacing w:before="120" w:after="120"/>
        <w:ind w:left="0" w:hanging="11"/>
        <w:contextualSpacing w:val="0"/>
        <w:jc w:val="both"/>
        <w:rPr>
          <w:rFonts w:ascii="Verdana" w:hAnsi="Verdana"/>
          <w:sz w:val="20"/>
          <w:szCs w:val="20"/>
          <w:lang w:val="es-CR"/>
        </w:rPr>
      </w:pPr>
      <w:bookmarkStart w:id="16" w:name="_Ref12457398"/>
      <w:r>
        <w:rPr>
          <w:rFonts w:ascii="Verdana" w:hAnsi="Verdana"/>
          <w:sz w:val="20"/>
          <w:szCs w:val="20"/>
          <w:lang w:val="es-CR"/>
        </w:rPr>
        <w:t xml:space="preserve">La Corte constata que mediante Decreto Ejecutivo 01-2016, el Estado </w:t>
      </w:r>
      <w:r w:rsidR="009264A5">
        <w:rPr>
          <w:rFonts w:ascii="Verdana" w:hAnsi="Verdana"/>
          <w:sz w:val="20"/>
          <w:szCs w:val="20"/>
          <w:lang w:val="es-CR"/>
        </w:rPr>
        <w:t>dio creación a la</w:t>
      </w:r>
      <w:r w:rsidR="007E2042">
        <w:rPr>
          <w:rFonts w:ascii="Verdana" w:hAnsi="Verdana"/>
          <w:sz w:val="20"/>
          <w:szCs w:val="20"/>
          <w:lang w:val="es-CR"/>
        </w:rPr>
        <w:t xml:space="preserve"> </w:t>
      </w:r>
      <w:r w:rsidR="007E2042" w:rsidRPr="001A0956">
        <w:rPr>
          <w:rFonts w:ascii="Verdana" w:hAnsi="Verdana"/>
          <w:sz w:val="20"/>
          <w:szCs w:val="20"/>
          <w:lang w:val="es-CR"/>
        </w:rPr>
        <w:t>Comisión Interinstitucional para el Cumplimiento de las Sentencias Inter</w:t>
      </w:r>
      <w:r w:rsidR="007E2042">
        <w:rPr>
          <w:rFonts w:ascii="Verdana" w:hAnsi="Verdana"/>
          <w:sz w:val="20"/>
          <w:szCs w:val="20"/>
          <w:lang w:val="es-CR"/>
        </w:rPr>
        <w:t>nacionales</w:t>
      </w:r>
      <w:r w:rsidR="009264A5">
        <w:rPr>
          <w:rFonts w:ascii="Verdana" w:hAnsi="Verdana"/>
          <w:sz w:val="20"/>
          <w:szCs w:val="20"/>
          <w:lang w:val="es-CR"/>
        </w:rPr>
        <w:t xml:space="preserve"> </w:t>
      </w:r>
      <w:r w:rsidR="007E2042">
        <w:rPr>
          <w:rFonts w:ascii="Verdana" w:hAnsi="Verdana"/>
          <w:sz w:val="20"/>
          <w:szCs w:val="20"/>
          <w:lang w:val="es-CR"/>
        </w:rPr>
        <w:t>(</w:t>
      </w:r>
      <w:r w:rsidR="009264A5">
        <w:rPr>
          <w:rFonts w:ascii="Verdana" w:hAnsi="Verdana"/>
          <w:sz w:val="20"/>
          <w:szCs w:val="20"/>
          <w:lang w:val="es-CR"/>
        </w:rPr>
        <w:t>CICSI</w:t>
      </w:r>
      <w:r w:rsidR="007E2042">
        <w:rPr>
          <w:rFonts w:ascii="Verdana" w:hAnsi="Verdana"/>
          <w:sz w:val="20"/>
          <w:szCs w:val="20"/>
          <w:lang w:val="es-CR"/>
        </w:rPr>
        <w:t>)</w:t>
      </w:r>
      <w:r w:rsidR="009264A5">
        <w:rPr>
          <w:rFonts w:ascii="Verdana" w:hAnsi="Verdana"/>
          <w:sz w:val="20"/>
          <w:szCs w:val="20"/>
          <w:lang w:val="es-CR"/>
        </w:rPr>
        <w:t xml:space="preserve"> (</w:t>
      </w:r>
      <w:r w:rsidR="009264A5">
        <w:rPr>
          <w:rFonts w:ascii="Verdana" w:hAnsi="Verdana"/>
          <w:i/>
          <w:sz w:val="20"/>
          <w:szCs w:val="20"/>
          <w:lang w:val="es-CR"/>
        </w:rPr>
        <w:t xml:space="preserve">supra </w:t>
      </w:r>
      <w:r w:rsidR="009264A5">
        <w:rPr>
          <w:rFonts w:ascii="Verdana" w:hAnsi="Verdana"/>
          <w:sz w:val="20"/>
          <w:szCs w:val="20"/>
          <w:lang w:val="es-CR"/>
        </w:rPr>
        <w:t xml:space="preserve">Considerando </w:t>
      </w:r>
      <w:r w:rsidR="00494CF7">
        <w:rPr>
          <w:rFonts w:ascii="Verdana" w:hAnsi="Verdana"/>
          <w:sz w:val="20"/>
          <w:szCs w:val="20"/>
          <w:lang w:val="es-CR"/>
        </w:rPr>
        <w:fldChar w:fldCharType="begin"/>
      </w:r>
      <w:r w:rsidR="00494CF7">
        <w:rPr>
          <w:rFonts w:ascii="Verdana" w:hAnsi="Verdana"/>
          <w:sz w:val="20"/>
          <w:szCs w:val="20"/>
          <w:lang w:val="es-CR"/>
        </w:rPr>
        <w:instrText xml:space="preserve"> REF _Ref12527014 \r \h </w:instrText>
      </w:r>
      <w:r w:rsidR="00494CF7">
        <w:rPr>
          <w:rFonts w:ascii="Verdana" w:hAnsi="Verdana"/>
          <w:sz w:val="20"/>
          <w:szCs w:val="20"/>
          <w:lang w:val="es-CR"/>
        </w:rPr>
      </w:r>
      <w:r w:rsidR="00494CF7">
        <w:rPr>
          <w:rFonts w:ascii="Verdana" w:hAnsi="Verdana"/>
          <w:sz w:val="20"/>
          <w:szCs w:val="20"/>
          <w:lang w:val="es-CR"/>
        </w:rPr>
        <w:fldChar w:fldCharType="separate"/>
      </w:r>
      <w:r w:rsidR="00D11D5D">
        <w:rPr>
          <w:rFonts w:ascii="Verdana" w:hAnsi="Verdana"/>
          <w:sz w:val="20"/>
          <w:szCs w:val="20"/>
          <w:lang w:val="es-CR"/>
        </w:rPr>
        <w:t>6</w:t>
      </w:r>
      <w:r w:rsidR="00494CF7">
        <w:rPr>
          <w:rFonts w:ascii="Verdana" w:hAnsi="Verdana"/>
          <w:sz w:val="20"/>
          <w:szCs w:val="20"/>
          <w:lang w:val="es-CR"/>
        </w:rPr>
        <w:fldChar w:fldCharType="end"/>
      </w:r>
      <w:r w:rsidR="00494CF7">
        <w:rPr>
          <w:rFonts w:ascii="Verdana" w:hAnsi="Verdana"/>
          <w:sz w:val="20"/>
          <w:szCs w:val="20"/>
          <w:lang w:val="es-CR"/>
        </w:rPr>
        <w:t xml:space="preserve">, punto </w:t>
      </w:r>
      <w:r w:rsidR="00494CF7">
        <w:rPr>
          <w:rFonts w:ascii="Verdana" w:hAnsi="Verdana"/>
          <w:sz w:val="20"/>
          <w:szCs w:val="20"/>
          <w:lang w:val="es-CR"/>
        </w:rPr>
        <w:fldChar w:fldCharType="begin"/>
      </w:r>
      <w:r w:rsidR="00494CF7">
        <w:rPr>
          <w:rFonts w:ascii="Verdana" w:hAnsi="Verdana"/>
          <w:sz w:val="20"/>
          <w:szCs w:val="20"/>
          <w:lang w:val="es-CR"/>
        </w:rPr>
        <w:instrText xml:space="preserve"> REF _Ref12528095 \r \h </w:instrText>
      </w:r>
      <w:r w:rsidR="00494CF7">
        <w:rPr>
          <w:rFonts w:ascii="Verdana" w:hAnsi="Verdana"/>
          <w:sz w:val="20"/>
          <w:szCs w:val="20"/>
          <w:lang w:val="es-CR"/>
        </w:rPr>
      </w:r>
      <w:r w:rsidR="00494CF7">
        <w:rPr>
          <w:rFonts w:ascii="Verdana" w:hAnsi="Verdana"/>
          <w:sz w:val="20"/>
          <w:szCs w:val="20"/>
          <w:lang w:val="es-CR"/>
        </w:rPr>
        <w:fldChar w:fldCharType="separate"/>
      </w:r>
      <w:r w:rsidR="00D11D5D">
        <w:rPr>
          <w:rFonts w:ascii="Verdana" w:hAnsi="Verdana"/>
          <w:sz w:val="20"/>
          <w:szCs w:val="20"/>
          <w:lang w:val="es-CR"/>
        </w:rPr>
        <w:t>a</w:t>
      </w:r>
      <w:r w:rsidR="00494CF7">
        <w:rPr>
          <w:rFonts w:ascii="Verdana" w:hAnsi="Verdana"/>
          <w:sz w:val="20"/>
          <w:szCs w:val="20"/>
          <w:lang w:val="es-CR"/>
        </w:rPr>
        <w:fldChar w:fldCharType="end"/>
      </w:r>
      <w:r w:rsidR="009264A5">
        <w:rPr>
          <w:rFonts w:ascii="Verdana" w:hAnsi="Verdana"/>
          <w:sz w:val="20"/>
          <w:szCs w:val="20"/>
          <w:lang w:val="es-CR"/>
        </w:rPr>
        <w:t>)</w:t>
      </w:r>
      <w:r w:rsidR="00F908CD" w:rsidRPr="00F908CD">
        <w:rPr>
          <w:rFonts w:ascii="Verdana" w:hAnsi="Verdana"/>
          <w:sz w:val="20"/>
          <w:szCs w:val="20"/>
          <w:lang w:val="es-CR"/>
        </w:rPr>
        <w:t xml:space="preserve">, </w:t>
      </w:r>
      <w:r w:rsidR="00006F92">
        <w:rPr>
          <w:rFonts w:ascii="Verdana" w:hAnsi="Verdana"/>
          <w:sz w:val="20"/>
          <w:szCs w:val="20"/>
          <w:lang w:val="es-CR"/>
        </w:rPr>
        <w:t>cuya función consiste en</w:t>
      </w:r>
      <w:r w:rsidR="00F908CD" w:rsidRPr="00F908CD">
        <w:rPr>
          <w:rFonts w:ascii="Verdana" w:hAnsi="Verdana"/>
          <w:sz w:val="20"/>
          <w:szCs w:val="20"/>
          <w:lang w:val="es-CR"/>
        </w:rPr>
        <w:t xml:space="preserve"> </w:t>
      </w:r>
      <w:r w:rsidR="00006F92">
        <w:rPr>
          <w:rFonts w:ascii="Verdana" w:hAnsi="Verdana"/>
          <w:sz w:val="20"/>
          <w:szCs w:val="20"/>
          <w:lang w:val="es-CR"/>
        </w:rPr>
        <w:t>“</w:t>
      </w:r>
      <w:r w:rsidR="00F908CD" w:rsidRPr="00F908CD">
        <w:rPr>
          <w:rFonts w:ascii="Verdana" w:hAnsi="Verdana"/>
          <w:sz w:val="20"/>
          <w:szCs w:val="20"/>
          <w:lang w:val="es-CR"/>
        </w:rPr>
        <w:t xml:space="preserve">la ejecución de las acciones necesarias para el cumplimiento de las sentencias antes </w:t>
      </w:r>
      <w:r w:rsidR="00F908CD" w:rsidRPr="00EA312E">
        <w:rPr>
          <w:rFonts w:ascii="Verdana" w:hAnsi="Verdana"/>
          <w:sz w:val="20"/>
          <w:szCs w:val="20"/>
          <w:lang w:val="es-AR"/>
        </w:rPr>
        <w:t>mencionadas</w:t>
      </w:r>
      <w:r w:rsidR="00F908CD" w:rsidRPr="00F908CD">
        <w:rPr>
          <w:rFonts w:ascii="Verdana" w:hAnsi="Verdana"/>
          <w:sz w:val="20"/>
          <w:szCs w:val="20"/>
          <w:lang w:val="es-CR"/>
        </w:rPr>
        <w:t>”</w:t>
      </w:r>
      <w:r w:rsidR="00006F92">
        <w:rPr>
          <w:rStyle w:val="Refdenotaalpie"/>
          <w:rFonts w:ascii="Verdana" w:hAnsi="Verdana"/>
          <w:sz w:val="20"/>
          <w:szCs w:val="20"/>
          <w:lang w:val="es-CR"/>
        </w:rPr>
        <w:footnoteReference w:id="38"/>
      </w:r>
      <w:r w:rsidR="00006F92">
        <w:rPr>
          <w:rFonts w:ascii="Verdana" w:hAnsi="Verdana"/>
          <w:sz w:val="20"/>
          <w:szCs w:val="20"/>
          <w:lang w:val="es-CR"/>
        </w:rPr>
        <w:t>,</w:t>
      </w:r>
      <w:r w:rsidR="00F908CD">
        <w:rPr>
          <w:rFonts w:ascii="Verdana" w:hAnsi="Verdana"/>
          <w:sz w:val="20"/>
          <w:szCs w:val="20"/>
          <w:lang w:val="es-CR"/>
        </w:rPr>
        <w:t xml:space="preserve"> </w:t>
      </w:r>
      <w:r w:rsidR="00006F92">
        <w:rPr>
          <w:rFonts w:ascii="Verdana" w:hAnsi="Verdana"/>
          <w:sz w:val="20"/>
          <w:szCs w:val="20"/>
          <w:lang w:val="es-CR"/>
        </w:rPr>
        <w:t>por lo que</w:t>
      </w:r>
      <w:r w:rsidR="00006F92">
        <w:rPr>
          <w:rFonts w:ascii="Verdana" w:hAnsi="Verdana"/>
          <w:sz w:val="20"/>
          <w:szCs w:val="20"/>
          <w:lang w:val="es-AR"/>
        </w:rPr>
        <w:t xml:space="preserve"> solicitó</w:t>
      </w:r>
      <w:r w:rsidR="00F908CD">
        <w:rPr>
          <w:rFonts w:ascii="Verdana" w:hAnsi="Verdana"/>
          <w:sz w:val="20"/>
          <w:szCs w:val="20"/>
          <w:lang w:val="es-AR"/>
        </w:rPr>
        <w:t xml:space="preserve"> que</w:t>
      </w:r>
      <w:r w:rsidR="00006F92">
        <w:rPr>
          <w:rFonts w:ascii="Verdana" w:hAnsi="Verdana"/>
          <w:sz w:val="20"/>
          <w:szCs w:val="20"/>
          <w:lang w:val="es-AR"/>
        </w:rPr>
        <w:t xml:space="preserve"> </w:t>
      </w:r>
      <w:r w:rsidR="00EA312E">
        <w:rPr>
          <w:rFonts w:ascii="Verdana" w:hAnsi="Verdana"/>
          <w:sz w:val="20"/>
          <w:szCs w:val="20"/>
          <w:lang w:val="es-AR"/>
        </w:rPr>
        <w:t xml:space="preserve">se </w:t>
      </w:r>
      <w:r w:rsidR="00006F92">
        <w:rPr>
          <w:rFonts w:ascii="Verdana" w:hAnsi="Verdana"/>
          <w:sz w:val="20"/>
          <w:szCs w:val="20"/>
          <w:lang w:val="es-AR"/>
        </w:rPr>
        <w:t>tuviera</w:t>
      </w:r>
      <w:r w:rsidR="00EA312E">
        <w:rPr>
          <w:rFonts w:ascii="Verdana" w:hAnsi="Verdana"/>
          <w:sz w:val="20"/>
          <w:szCs w:val="20"/>
          <w:lang w:val="es-AR"/>
        </w:rPr>
        <w:t xml:space="preserve"> por cumplida la medida</w:t>
      </w:r>
      <w:r w:rsidR="00006F92">
        <w:rPr>
          <w:rFonts w:ascii="Verdana" w:hAnsi="Verdana"/>
          <w:sz w:val="20"/>
          <w:szCs w:val="20"/>
          <w:lang w:val="es-AR"/>
        </w:rPr>
        <w:t>.</w:t>
      </w:r>
      <w:r w:rsidR="00F908CD" w:rsidRPr="00F908CD">
        <w:rPr>
          <w:rFonts w:ascii="Verdana" w:hAnsi="Verdana"/>
          <w:sz w:val="20"/>
          <w:szCs w:val="20"/>
          <w:lang w:val="es-AR"/>
        </w:rPr>
        <w:t xml:space="preserve"> </w:t>
      </w:r>
      <w:r>
        <w:rPr>
          <w:rFonts w:ascii="Verdana" w:hAnsi="Verdana"/>
          <w:sz w:val="20"/>
          <w:szCs w:val="20"/>
          <w:lang w:val="es-AR"/>
        </w:rPr>
        <w:t>Dicha Comisión está integrada por las siguientes Secretarías de Estado e Instituciones: la Secretaría de Estado en el Despacho de Coordinación General de Gobierno (SCGG); la Secretaría de Estado en los Despachos de Derechos Humanos, Justicia, Gobernación y Descentralización (SDHJGD); la Secretaría de Estado en el Despacho de Finanzas (SEFIN); la Secretaría de Estado en los Despachos de Relaciones Exteriores y Cooperación Internacional (SRECI); la Secretaría de Estado en los Despachos de Energía, Recursos Naturales, Ambiente y Minas (</w:t>
      </w:r>
      <w:proofErr w:type="spellStart"/>
      <w:r>
        <w:rPr>
          <w:rFonts w:ascii="Verdana" w:hAnsi="Verdana"/>
          <w:sz w:val="20"/>
          <w:szCs w:val="20"/>
          <w:lang w:val="es-AR"/>
        </w:rPr>
        <w:t>MiAmbiente</w:t>
      </w:r>
      <w:proofErr w:type="spellEnd"/>
      <w:r>
        <w:rPr>
          <w:rFonts w:ascii="Verdana" w:hAnsi="Verdana"/>
          <w:sz w:val="20"/>
          <w:szCs w:val="20"/>
          <w:lang w:val="es-AR"/>
        </w:rPr>
        <w:t xml:space="preserve">); la Secretaría de Estado en los Despachos de Infraestructura y Servicios Públicos (INSEP); el Instituto Nacional Agrario (INA); el Instituto de la Propiedad (IP); el Instituto de Conservación Forestal (ICF); el Instituto de Desarrollo Comunitario, Aguas y Saneamiento (IDECOAS); el Instituto Hondureño de </w:t>
      </w:r>
      <w:r>
        <w:rPr>
          <w:rFonts w:ascii="Verdana" w:hAnsi="Verdana"/>
          <w:sz w:val="20"/>
          <w:szCs w:val="20"/>
          <w:lang w:val="es-AR"/>
        </w:rPr>
        <w:lastRenderedPageBreak/>
        <w:t xml:space="preserve">Turismo (IHT); el Ministerio Público (MP); la Dirección de Pueblos Indígenas y Afrodescendientes (DINAFROH); la Procuraduría General de la República (PGR), y las Alcaldías Municipales de Tela y de </w:t>
      </w:r>
      <w:proofErr w:type="spellStart"/>
      <w:r>
        <w:rPr>
          <w:rFonts w:ascii="Verdana" w:hAnsi="Verdana"/>
          <w:sz w:val="20"/>
          <w:szCs w:val="20"/>
          <w:lang w:val="es-AR"/>
        </w:rPr>
        <w:t>Iriona</w:t>
      </w:r>
      <w:proofErr w:type="spellEnd"/>
      <w:r>
        <w:rPr>
          <w:rFonts w:ascii="Verdana" w:hAnsi="Verdana"/>
          <w:sz w:val="20"/>
          <w:szCs w:val="20"/>
          <w:lang w:val="es-AR"/>
        </w:rPr>
        <w:t xml:space="preserve">. </w:t>
      </w:r>
      <w:r w:rsidR="00A50DBA">
        <w:rPr>
          <w:rFonts w:ascii="Verdana" w:hAnsi="Verdana"/>
          <w:sz w:val="20"/>
          <w:szCs w:val="20"/>
          <w:lang w:val="es-AR"/>
        </w:rPr>
        <w:t xml:space="preserve">Asimismo, </w:t>
      </w:r>
      <w:r w:rsidR="00A50DBA">
        <w:rPr>
          <w:rFonts w:ascii="Verdana" w:hAnsi="Verdana"/>
          <w:sz w:val="20"/>
          <w:szCs w:val="20"/>
          <w:lang w:val="es-CR"/>
        </w:rPr>
        <w:t>el decreto establece que los representantes de dichas instituciones “deberán ser funcionarios o empleados con suficiente poder de decisión en respaldo”, y agrega que “el Comisionado Nacional de Derechos Humanos (CONADEH) podrá asistir en calidad de observador al proceso de cumplimiento de las sentencias”</w:t>
      </w:r>
      <w:r w:rsidR="00A50DBA">
        <w:rPr>
          <w:rStyle w:val="Refdenotaalpie"/>
          <w:rFonts w:ascii="Verdana" w:hAnsi="Verdana"/>
          <w:sz w:val="20"/>
          <w:szCs w:val="20"/>
          <w:lang w:val="es-CR"/>
        </w:rPr>
        <w:footnoteReference w:id="39"/>
      </w:r>
      <w:r w:rsidR="00A50DBA">
        <w:rPr>
          <w:rFonts w:ascii="Verdana" w:hAnsi="Verdana"/>
          <w:sz w:val="20"/>
          <w:szCs w:val="20"/>
          <w:lang w:val="es-CR"/>
        </w:rPr>
        <w:t>.</w:t>
      </w:r>
      <w:bookmarkEnd w:id="16"/>
    </w:p>
    <w:p w14:paraId="5DB627E6" w14:textId="0CB8E832" w:rsidR="00A50DBA" w:rsidRPr="00B22CC0" w:rsidRDefault="00A50DBA" w:rsidP="00972E81">
      <w:pPr>
        <w:pStyle w:val="Prrafodelista"/>
        <w:numPr>
          <w:ilvl w:val="0"/>
          <w:numId w:val="3"/>
        </w:numPr>
        <w:spacing w:before="120" w:after="120"/>
        <w:ind w:left="0" w:hanging="11"/>
        <w:contextualSpacing w:val="0"/>
        <w:jc w:val="both"/>
        <w:rPr>
          <w:rFonts w:ascii="Verdana" w:hAnsi="Verdana"/>
          <w:sz w:val="20"/>
          <w:szCs w:val="20"/>
          <w:lang w:val="es-CR"/>
        </w:rPr>
      </w:pPr>
      <w:bookmarkStart w:id="17" w:name="_Ref12457414"/>
      <w:r>
        <w:rPr>
          <w:rFonts w:ascii="Verdana" w:hAnsi="Verdana"/>
          <w:sz w:val="20"/>
          <w:szCs w:val="20"/>
          <w:lang w:val="es-CR"/>
        </w:rPr>
        <w:t>En cuanto a las funciones de la Comisión, el decreto establece que la misma tiene como “finalidad fundamental garantizar la adopción de criterios y la ejecución de acciones necesarias para satisfacer el cumplimiento” de la</w:t>
      </w:r>
      <w:r w:rsidR="009A5E65">
        <w:rPr>
          <w:rFonts w:ascii="Verdana" w:hAnsi="Verdana"/>
          <w:sz w:val="20"/>
          <w:szCs w:val="20"/>
          <w:lang w:val="es-CR"/>
        </w:rPr>
        <w:t>s</w:t>
      </w:r>
      <w:r>
        <w:rPr>
          <w:rFonts w:ascii="Verdana" w:hAnsi="Verdana"/>
          <w:sz w:val="20"/>
          <w:szCs w:val="20"/>
          <w:lang w:val="es-CR"/>
        </w:rPr>
        <w:t xml:space="preserve"> Sentencia</w:t>
      </w:r>
      <w:r w:rsidR="009A5E65">
        <w:rPr>
          <w:rFonts w:ascii="Verdana" w:hAnsi="Verdana"/>
          <w:sz w:val="20"/>
          <w:szCs w:val="20"/>
          <w:lang w:val="es-CR"/>
        </w:rPr>
        <w:t>s</w:t>
      </w:r>
      <w:r>
        <w:rPr>
          <w:rFonts w:ascii="Verdana" w:hAnsi="Verdana"/>
          <w:sz w:val="20"/>
          <w:szCs w:val="20"/>
          <w:lang w:val="es-CR"/>
        </w:rPr>
        <w:t xml:space="preserve">, y que “actuará como instancia de diálogo y concertación entre las partes involucradas […] a efecto de coordinar las acciones dirigidas [a su] cumplimiento”. </w:t>
      </w:r>
      <w:r w:rsidR="0056248B" w:rsidRPr="006378D7">
        <w:rPr>
          <w:rFonts w:ascii="Verdana" w:hAnsi="Verdana"/>
          <w:sz w:val="20"/>
          <w:szCs w:val="20"/>
          <w:lang w:val="es-AR"/>
        </w:rPr>
        <w:t>Además</w:t>
      </w:r>
      <w:r w:rsidR="0056248B">
        <w:rPr>
          <w:rFonts w:ascii="Verdana" w:hAnsi="Verdana"/>
          <w:sz w:val="20"/>
          <w:szCs w:val="20"/>
          <w:lang w:val="es-CR"/>
        </w:rPr>
        <w:t>, establece que “la Comisión deberá reunirse cada 2 meses de manera ordinaria y extraordinaria”</w:t>
      </w:r>
      <w:r w:rsidR="003F100E">
        <w:rPr>
          <w:rFonts w:ascii="Verdana" w:hAnsi="Verdana"/>
          <w:sz w:val="20"/>
          <w:szCs w:val="20"/>
          <w:lang w:val="es-CR"/>
        </w:rPr>
        <w:t>,</w:t>
      </w:r>
      <w:r w:rsidR="0056248B">
        <w:rPr>
          <w:rFonts w:ascii="Verdana" w:hAnsi="Verdana"/>
          <w:sz w:val="20"/>
          <w:szCs w:val="20"/>
          <w:lang w:val="es-CR"/>
        </w:rPr>
        <w:t xml:space="preserve"> </w:t>
      </w:r>
      <w:r w:rsidR="003F100E">
        <w:rPr>
          <w:rFonts w:ascii="Verdana" w:hAnsi="Verdana"/>
          <w:sz w:val="20"/>
          <w:szCs w:val="20"/>
          <w:lang w:val="es-CR"/>
        </w:rPr>
        <w:t>remarca que “[l]as Entidades de la Administración Central, Entes Descentralizados y Desconcentrados deberán colaborar para la eficaz gestión de la Comisión, debiendo proveer toda la información, asistencia y colaboración que sea requerida por la misma”</w:t>
      </w:r>
      <w:r w:rsidR="00C16466">
        <w:rPr>
          <w:rFonts w:ascii="Verdana" w:hAnsi="Verdana"/>
          <w:sz w:val="20"/>
          <w:szCs w:val="20"/>
          <w:lang w:val="es-CR"/>
        </w:rPr>
        <w:t>,</w:t>
      </w:r>
      <w:r w:rsidR="003F100E">
        <w:rPr>
          <w:rFonts w:ascii="Verdana" w:hAnsi="Verdana"/>
          <w:sz w:val="20"/>
          <w:szCs w:val="20"/>
          <w:lang w:val="es-CR"/>
        </w:rPr>
        <w:t xml:space="preserve"> e indica que “las Secretarías e Instituciones miembros de la Comisión deben realizar análisis a sus presupuestos respectivos, así como otros recursos que se identifiquen, para asignar los fondos que permitan cumplir” con la Sentencia</w:t>
      </w:r>
      <w:r w:rsidR="000B0029">
        <w:rPr>
          <w:rStyle w:val="Refdenotaalpie"/>
          <w:rFonts w:ascii="Verdana" w:hAnsi="Verdana"/>
          <w:sz w:val="20"/>
          <w:szCs w:val="20"/>
          <w:lang w:val="es-CR"/>
        </w:rPr>
        <w:footnoteReference w:id="40"/>
      </w:r>
      <w:r w:rsidR="003F100E">
        <w:rPr>
          <w:rFonts w:ascii="Verdana" w:hAnsi="Verdana"/>
          <w:sz w:val="20"/>
          <w:szCs w:val="20"/>
          <w:lang w:val="es-CR"/>
        </w:rPr>
        <w:t>.</w:t>
      </w:r>
      <w:bookmarkEnd w:id="17"/>
      <w:r w:rsidR="003F100E">
        <w:rPr>
          <w:rFonts w:ascii="Verdana" w:hAnsi="Verdana"/>
          <w:sz w:val="20"/>
          <w:szCs w:val="20"/>
          <w:lang w:val="es-CR"/>
        </w:rPr>
        <w:t xml:space="preserve"> </w:t>
      </w:r>
    </w:p>
    <w:p w14:paraId="6431DFF9" w14:textId="440F91B3" w:rsidR="00972E81" w:rsidRPr="00554496" w:rsidRDefault="00006F92" w:rsidP="00972E81">
      <w:pPr>
        <w:pStyle w:val="Prrafodelista"/>
        <w:numPr>
          <w:ilvl w:val="0"/>
          <w:numId w:val="3"/>
        </w:numPr>
        <w:spacing w:before="120" w:after="120"/>
        <w:ind w:left="0" w:hanging="11"/>
        <w:contextualSpacing w:val="0"/>
        <w:jc w:val="both"/>
        <w:rPr>
          <w:rFonts w:ascii="Verdana" w:hAnsi="Verdana"/>
          <w:sz w:val="20"/>
          <w:szCs w:val="20"/>
          <w:lang w:val="es-CR"/>
        </w:rPr>
      </w:pPr>
      <w:r>
        <w:rPr>
          <w:rFonts w:ascii="Verdana" w:hAnsi="Verdana"/>
          <w:sz w:val="20"/>
          <w:szCs w:val="20"/>
          <w:lang w:val="es-AR"/>
        </w:rPr>
        <w:t xml:space="preserve">Los representantes señalaron que el Estado no había indicado </w:t>
      </w:r>
      <w:r>
        <w:rPr>
          <w:rFonts w:ascii="Verdana" w:hAnsi="Verdana"/>
          <w:sz w:val="20"/>
          <w:szCs w:val="20"/>
          <w:lang w:val="es-CR"/>
        </w:rPr>
        <w:t>“</w:t>
      </w:r>
      <w:proofErr w:type="spellStart"/>
      <w:r w:rsidR="00EA312E" w:rsidRPr="00EA312E">
        <w:rPr>
          <w:rFonts w:ascii="Verdana" w:hAnsi="Verdana"/>
          <w:sz w:val="20"/>
          <w:szCs w:val="20"/>
          <w:lang w:val="es-CR"/>
        </w:rPr>
        <w:t>cu</w:t>
      </w:r>
      <w:proofErr w:type="spellEnd"/>
      <w:r w:rsidR="00EA312E" w:rsidRPr="00EA312E">
        <w:rPr>
          <w:rFonts w:ascii="Verdana" w:hAnsi="Verdana"/>
          <w:sz w:val="20"/>
          <w:szCs w:val="20"/>
          <w:lang w:val="es-CR"/>
        </w:rPr>
        <w:t xml:space="preserve">[á]les son los mecanismos de coordinación institucional, encontrándose únicamente una referencia al </w:t>
      </w:r>
      <w:r>
        <w:rPr>
          <w:rFonts w:ascii="Verdana" w:hAnsi="Verdana"/>
          <w:sz w:val="20"/>
          <w:szCs w:val="20"/>
          <w:lang w:val="es-CR"/>
        </w:rPr>
        <w:t>a</w:t>
      </w:r>
      <w:r w:rsidR="00EA312E" w:rsidRPr="00EA312E">
        <w:rPr>
          <w:rFonts w:ascii="Verdana" w:hAnsi="Verdana"/>
          <w:sz w:val="20"/>
          <w:szCs w:val="20"/>
          <w:lang w:val="es-CR"/>
        </w:rPr>
        <w:t>cuerdo ejecutivo</w:t>
      </w:r>
      <w:r>
        <w:rPr>
          <w:rFonts w:ascii="Verdana" w:hAnsi="Verdana"/>
          <w:sz w:val="20"/>
          <w:szCs w:val="20"/>
          <w:lang w:val="es-CR"/>
        </w:rPr>
        <w:t xml:space="preserve">”, y que </w:t>
      </w:r>
      <w:r w:rsidR="00EA312E" w:rsidRPr="00EA312E">
        <w:rPr>
          <w:rFonts w:ascii="Verdana" w:hAnsi="Verdana"/>
          <w:sz w:val="20"/>
          <w:szCs w:val="20"/>
          <w:lang w:val="es-CR"/>
        </w:rPr>
        <w:t xml:space="preserve">“aún no </w:t>
      </w:r>
      <w:r w:rsidR="00EA312E" w:rsidRPr="00EA312E">
        <w:rPr>
          <w:rFonts w:ascii="Verdana" w:hAnsi="Verdana"/>
          <w:sz w:val="20"/>
          <w:szCs w:val="20"/>
          <w:lang w:val="es-AR"/>
        </w:rPr>
        <w:t>existe</w:t>
      </w:r>
      <w:r w:rsidR="00EA312E" w:rsidRPr="00EA312E">
        <w:rPr>
          <w:rFonts w:ascii="Verdana" w:hAnsi="Verdana"/>
          <w:sz w:val="20"/>
          <w:szCs w:val="20"/>
          <w:lang w:val="es-CR"/>
        </w:rPr>
        <w:t xml:space="preserve"> un mecanismo para efectivizar l</w:t>
      </w:r>
      <w:r w:rsidR="00E76ECA">
        <w:rPr>
          <w:rFonts w:ascii="Verdana" w:hAnsi="Verdana"/>
          <w:sz w:val="20"/>
          <w:szCs w:val="20"/>
          <w:lang w:val="es-CR"/>
        </w:rPr>
        <w:t>as medidas dispuestas por la s</w:t>
      </w:r>
      <w:r w:rsidR="00EA312E" w:rsidRPr="00EA312E">
        <w:rPr>
          <w:rFonts w:ascii="Verdana" w:hAnsi="Verdana"/>
          <w:sz w:val="20"/>
          <w:szCs w:val="20"/>
          <w:lang w:val="es-CR"/>
        </w:rPr>
        <w:t>entencia pues solamente se han realizado algunas actuaciones puntuales de algunas instituciones del poder ejecutivo, sin haberse involucrado los poderes legislativo y judicial</w:t>
      </w:r>
      <w:r>
        <w:rPr>
          <w:rFonts w:ascii="Verdana" w:hAnsi="Verdana"/>
          <w:sz w:val="20"/>
          <w:szCs w:val="20"/>
          <w:lang w:val="es-CR"/>
        </w:rPr>
        <w:t>”</w:t>
      </w:r>
      <w:r>
        <w:rPr>
          <w:rStyle w:val="Refdenotaalpie"/>
          <w:rFonts w:ascii="Verdana" w:hAnsi="Verdana"/>
          <w:sz w:val="20"/>
          <w:szCs w:val="20"/>
          <w:lang w:val="es-CR"/>
        </w:rPr>
        <w:footnoteReference w:id="41"/>
      </w:r>
      <w:r>
        <w:rPr>
          <w:rFonts w:ascii="Verdana" w:hAnsi="Verdana"/>
          <w:sz w:val="20"/>
          <w:szCs w:val="20"/>
          <w:lang w:val="es-CR"/>
        </w:rPr>
        <w:t>.</w:t>
      </w:r>
      <w:r w:rsidR="00EA312E" w:rsidRPr="00EA312E">
        <w:rPr>
          <w:rFonts w:ascii="Verdana" w:hAnsi="Verdana"/>
          <w:sz w:val="20"/>
          <w:szCs w:val="20"/>
          <w:lang w:val="es-CR"/>
        </w:rPr>
        <w:t xml:space="preserve"> </w:t>
      </w:r>
      <w:r w:rsidR="00972E81">
        <w:rPr>
          <w:rFonts w:ascii="Verdana" w:hAnsi="Verdana"/>
          <w:sz w:val="20"/>
          <w:szCs w:val="20"/>
          <w:lang w:val="es-CR"/>
        </w:rPr>
        <w:t xml:space="preserve">Asimismo, refirieron que </w:t>
      </w:r>
      <w:r w:rsidR="00EA312E" w:rsidRPr="00EA312E">
        <w:rPr>
          <w:rFonts w:ascii="Verdana" w:hAnsi="Verdana"/>
          <w:sz w:val="20"/>
          <w:szCs w:val="20"/>
          <w:lang w:val="es-CR"/>
        </w:rPr>
        <w:t>los mecanismos de coordinac</w:t>
      </w:r>
      <w:r w:rsidR="00972E81">
        <w:rPr>
          <w:rFonts w:ascii="Verdana" w:hAnsi="Verdana"/>
          <w:sz w:val="20"/>
          <w:szCs w:val="20"/>
          <w:lang w:val="es-CR"/>
        </w:rPr>
        <w:t>ión institucional del Estado eran</w:t>
      </w:r>
      <w:r w:rsidR="00EA312E" w:rsidRPr="00EA312E">
        <w:rPr>
          <w:rFonts w:ascii="Verdana" w:hAnsi="Verdana"/>
          <w:sz w:val="20"/>
          <w:szCs w:val="20"/>
          <w:lang w:val="es-CR"/>
        </w:rPr>
        <w:t xml:space="preserve"> </w:t>
      </w:r>
      <w:r w:rsidR="00972E81">
        <w:rPr>
          <w:rFonts w:ascii="Verdana" w:hAnsi="Verdana"/>
          <w:sz w:val="20"/>
          <w:szCs w:val="20"/>
          <w:lang w:val="es-CR"/>
        </w:rPr>
        <w:t>“</w:t>
      </w:r>
      <w:r w:rsidR="00EA312E" w:rsidRPr="00EA312E">
        <w:rPr>
          <w:rFonts w:ascii="Verdana" w:hAnsi="Verdana"/>
          <w:sz w:val="20"/>
          <w:szCs w:val="20"/>
          <w:lang w:val="es-CR"/>
        </w:rPr>
        <w:t>tardíos e inefectivos pues a más de dos a</w:t>
      </w:r>
      <w:r w:rsidR="00E76ECA">
        <w:rPr>
          <w:rFonts w:ascii="Verdana" w:hAnsi="Verdana"/>
          <w:sz w:val="20"/>
          <w:szCs w:val="20"/>
          <w:lang w:val="es-CR"/>
        </w:rPr>
        <w:t>ños de la notificación de la s</w:t>
      </w:r>
      <w:r w:rsidR="00EA312E" w:rsidRPr="00EA312E">
        <w:rPr>
          <w:rFonts w:ascii="Verdana" w:hAnsi="Verdana"/>
          <w:sz w:val="20"/>
          <w:szCs w:val="20"/>
          <w:lang w:val="es-CR"/>
        </w:rPr>
        <w:t xml:space="preserve">entencia no ha habido </w:t>
      </w:r>
      <w:r w:rsidR="00972E81">
        <w:rPr>
          <w:rFonts w:ascii="Verdana" w:hAnsi="Verdana"/>
          <w:sz w:val="20"/>
          <w:szCs w:val="20"/>
          <w:lang w:val="es-CR"/>
        </w:rPr>
        <w:t>avances significativos</w:t>
      </w:r>
      <w:r w:rsidR="00EA312E" w:rsidRPr="00EA312E">
        <w:rPr>
          <w:rFonts w:ascii="Verdana" w:hAnsi="Verdana"/>
          <w:sz w:val="20"/>
          <w:szCs w:val="20"/>
          <w:lang w:val="es-CR"/>
        </w:rPr>
        <w:t>”</w:t>
      </w:r>
      <w:r w:rsidR="00496284">
        <w:rPr>
          <w:rStyle w:val="Refdenotaalpie"/>
          <w:rFonts w:ascii="Verdana" w:hAnsi="Verdana"/>
          <w:sz w:val="20"/>
          <w:szCs w:val="20"/>
          <w:lang w:val="es-CR"/>
        </w:rPr>
        <w:footnoteReference w:id="42"/>
      </w:r>
      <w:r w:rsidR="00501B81">
        <w:rPr>
          <w:rFonts w:ascii="Verdana" w:hAnsi="Verdana"/>
          <w:sz w:val="20"/>
          <w:szCs w:val="20"/>
          <w:lang w:val="es-CR"/>
        </w:rPr>
        <w:t xml:space="preserve">. </w:t>
      </w:r>
      <w:r w:rsidR="0029788E" w:rsidRPr="00554496">
        <w:rPr>
          <w:rFonts w:ascii="Verdana" w:hAnsi="Verdana"/>
          <w:sz w:val="20"/>
          <w:szCs w:val="20"/>
          <w:lang w:val="es-CR"/>
        </w:rPr>
        <w:t xml:space="preserve">Finalmente, observaron que la conformación de la Comisión Interinstitucional se había dado “fuera de los plazos establecidos en los puntos resolutivos de </w:t>
      </w:r>
      <w:r w:rsidR="0029788E" w:rsidRPr="00554496">
        <w:rPr>
          <w:rFonts w:ascii="Verdana" w:hAnsi="Verdana"/>
          <w:sz w:val="20"/>
          <w:szCs w:val="20"/>
          <w:lang w:val="es-CR"/>
        </w:rPr>
        <w:lastRenderedPageBreak/>
        <w:t>las sentencias” y que la misma “no ha[</w:t>
      </w:r>
      <w:proofErr w:type="spellStart"/>
      <w:r w:rsidR="0029788E" w:rsidRPr="00554496">
        <w:rPr>
          <w:rFonts w:ascii="Verdana" w:hAnsi="Verdana"/>
          <w:sz w:val="20"/>
          <w:szCs w:val="20"/>
          <w:lang w:val="es-CR"/>
        </w:rPr>
        <w:t>bía</w:t>
      </w:r>
      <w:proofErr w:type="spellEnd"/>
      <w:r w:rsidR="0029788E" w:rsidRPr="00554496">
        <w:rPr>
          <w:rFonts w:ascii="Verdana" w:hAnsi="Verdana"/>
          <w:sz w:val="20"/>
          <w:szCs w:val="20"/>
          <w:lang w:val="es-CR"/>
        </w:rPr>
        <w:t>] tenido ningún tipo de actividad ni […] ejecutado acciones concretas</w:t>
      </w:r>
      <w:r w:rsidR="00E76ECA">
        <w:rPr>
          <w:rFonts w:ascii="Verdana" w:hAnsi="Verdana"/>
          <w:sz w:val="20"/>
          <w:szCs w:val="20"/>
          <w:lang w:val="es-CR"/>
        </w:rPr>
        <w:t xml:space="preserve"> tendientes a cumplir con la s</w:t>
      </w:r>
      <w:r w:rsidR="0029788E" w:rsidRPr="00554496">
        <w:rPr>
          <w:rFonts w:ascii="Verdana" w:hAnsi="Verdana"/>
          <w:sz w:val="20"/>
          <w:szCs w:val="20"/>
          <w:lang w:val="es-CR"/>
        </w:rPr>
        <w:t>entencia”</w:t>
      </w:r>
      <w:r w:rsidR="0029788E" w:rsidRPr="00554496">
        <w:rPr>
          <w:rStyle w:val="Refdenotaalpie"/>
          <w:rFonts w:ascii="Verdana" w:hAnsi="Verdana"/>
          <w:sz w:val="20"/>
          <w:szCs w:val="20"/>
          <w:lang w:val="es-CR"/>
        </w:rPr>
        <w:footnoteReference w:id="43"/>
      </w:r>
      <w:r w:rsidR="00C80D39">
        <w:rPr>
          <w:rFonts w:ascii="Verdana" w:hAnsi="Verdana"/>
          <w:sz w:val="20"/>
          <w:szCs w:val="20"/>
          <w:lang w:val="es-CR"/>
        </w:rPr>
        <w:t>.</w:t>
      </w:r>
    </w:p>
    <w:p w14:paraId="4F74CA75" w14:textId="6BCE4C22" w:rsidR="006D41BB" w:rsidRPr="006D41BB" w:rsidRDefault="00DD18A3" w:rsidP="00972E81">
      <w:pPr>
        <w:pStyle w:val="Prrafodelista"/>
        <w:numPr>
          <w:ilvl w:val="0"/>
          <w:numId w:val="3"/>
        </w:numPr>
        <w:spacing w:before="120" w:after="120"/>
        <w:ind w:left="0" w:hanging="11"/>
        <w:contextualSpacing w:val="0"/>
        <w:jc w:val="both"/>
        <w:rPr>
          <w:rFonts w:ascii="Verdana" w:hAnsi="Verdana"/>
          <w:sz w:val="20"/>
          <w:szCs w:val="20"/>
          <w:lang w:val="es-MX"/>
        </w:rPr>
      </w:pPr>
      <w:r>
        <w:rPr>
          <w:rFonts w:ascii="Verdana" w:hAnsi="Verdana"/>
          <w:sz w:val="20"/>
          <w:szCs w:val="20"/>
          <w:lang w:val="es-CR"/>
        </w:rPr>
        <w:t xml:space="preserve">Al respecto, la Corte valora positivamente lo informado por el Estado con respecto a la creación de la </w:t>
      </w:r>
      <w:r w:rsidR="008A6B26">
        <w:rPr>
          <w:rFonts w:ascii="Verdana" w:hAnsi="Verdana"/>
          <w:sz w:val="20"/>
          <w:szCs w:val="20"/>
          <w:lang w:val="es-CR"/>
        </w:rPr>
        <w:t>CICSI</w:t>
      </w:r>
      <w:r w:rsidR="004639A0">
        <w:rPr>
          <w:rFonts w:ascii="Verdana" w:hAnsi="Verdana"/>
          <w:sz w:val="20"/>
          <w:szCs w:val="20"/>
          <w:lang w:val="es-CR"/>
        </w:rPr>
        <w:t>.</w:t>
      </w:r>
      <w:r>
        <w:rPr>
          <w:rFonts w:ascii="Verdana" w:hAnsi="Verdana"/>
          <w:sz w:val="20"/>
          <w:szCs w:val="20"/>
          <w:lang w:val="es-CR"/>
        </w:rPr>
        <w:t xml:space="preserve"> En relación a lo objetado por los representantes, el cumplimiento de esta esta medida no depende de la total ejecución de las reparaciones, sino que requiere que el Estado “pon[</w:t>
      </w:r>
      <w:proofErr w:type="spellStart"/>
      <w:r>
        <w:rPr>
          <w:rFonts w:ascii="Verdana" w:hAnsi="Verdana"/>
          <w:sz w:val="20"/>
          <w:szCs w:val="20"/>
          <w:lang w:val="es-CR"/>
        </w:rPr>
        <w:t>ga</w:t>
      </w:r>
      <w:proofErr w:type="spellEnd"/>
      <w:r>
        <w:rPr>
          <w:rFonts w:ascii="Verdana" w:hAnsi="Verdana"/>
          <w:sz w:val="20"/>
          <w:szCs w:val="20"/>
          <w:lang w:val="es-CR"/>
        </w:rPr>
        <w:t>] en marcha” los mecanismos de coordinación necesarios para el cumplimiento de las medidas dispuestas en la Sentencia</w:t>
      </w:r>
      <w:r w:rsidR="00927E75">
        <w:rPr>
          <w:rFonts w:ascii="Verdana" w:hAnsi="Verdana"/>
          <w:sz w:val="20"/>
          <w:szCs w:val="20"/>
          <w:lang w:val="es-CR"/>
        </w:rPr>
        <w:t xml:space="preserve"> </w:t>
      </w:r>
      <w:r w:rsidR="00927E75">
        <w:rPr>
          <w:rFonts w:ascii="Verdana" w:hAnsi="Verdana"/>
          <w:sz w:val="20"/>
          <w:szCs w:val="20"/>
          <w:lang w:val="es-MX"/>
        </w:rPr>
        <w:t>(</w:t>
      </w:r>
      <w:r w:rsidR="00927E75">
        <w:rPr>
          <w:rFonts w:ascii="Verdana" w:hAnsi="Verdana"/>
          <w:i/>
          <w:sz w:val="20"/>
          <w:szCs w:val="20"/>
          <w:lang w:val="es-MX"/>
        </w:rPr>
        <w:t xml:space="preserve">supra </w:t>
      </w:r>
      <w:r w:rsidR="00927E75">
        <w:rPr>
          <w:rFonts w:ascii="Verdana" w:hAnsi="Verdana"/>
          <w:sz w:val="20"/>
          <w:szCs w:val="20"/>
          <w:lang w:val="es-MX"/>
        </w:rPr>
        <w:t xml:space="preserve">Considerando </w:t>
      </w:r>
      <w:r w:rsidR="00927E75">
        <w:rPr>
          <w:rFonts w:ascii="Verdana" w:hAnsi="Verdana"/>
          <w:sz w:val="20"/>
          <w:szCs w:val="20"/>
          <w:lang w:val="es-MX"/>
        </w:rPr>
        <w:fldChar w:fldCharType="begin"/>
      </w:r>
      <w:r w:rsidR="00927E75">
        <w:rPr>
          <w:rFonts w:ascii="Verdana" w:hAnsi="Verdana"/>
          <w:sz w:val="20"/>
          <w:szCs w:val="20"/>
          <w:lang w:val="es-MX"/>
        </w:rPr>
        <w:instrText xml:space="preserve"> REF _Ref12528795 \r \h </w:instrText>
      </w:r>
      <w:r w:rsidR="00927E75">
        <w:rPr>
          <w:rFonts w:ascii="Verdana" w:hAnsi="Verdana"/>
          <w:sz w:val="20"/>
          <w:szCs w:val="20"/>
          <w:lang w:val="es-MX"/>
        </w:rPr>
      </w:r>
      <w:r w:rsidR="00927E75">
        <w:rPr>
          <w:rFonts w:ascii="Verdana" w:hAnsi="Verdana"/>
          <w:sz w:val="20"/>
          <w:szCs w:val="20"/>
          <w:lang w:val="es-MX"/>
        </w:rPr>
        <w:fldChar w:fldCharType="separate"/>
      </w:r>
      <w:r w:rsidR="00D11D5D">
        <w:rPr>
          <w:rFonts w:ascii="Verdana" w:hAnsi="Verdana"/>
          <w:sz w:val="20"/>
          <w:szCs w:val="20"/>
          <w:lang w:val="es-MX"/>
        </w:rPr>
        <w:t>25</w:t>
      </w:r>
      <w:r w:rsidR="00927E75">
        <w:rPr>
          <w:rFonts w:ascii="Verdana" w:hAnsi="Verdana"/>
          <w:sz w:val="20"/>
          <w:szCs w:val="20"/>
          <w:lang w:val="es-MX"/>
        </w:rPr>
        <w:fldChar w:fldCharType="end"/>
      </w:r>
      <w:r w:rsidR="00927E75">
        <w:rPr>
          <w:rFonts w:ascii="Verdana" w:hAnsi="Verdana"/>
          <w:sz w:val="20"/>
          <w:szCs w:val="20"/>
          <w:lang w:val="es-MX"/>
        </w:rPr>
        <w:t>)</w:t>
      </w:r>
      <w:r>
        <w:rPr>
          <w:rFonts w:ascii="Verdana" w:hAnsi="Verdana"/>
          <w:sz w:val="20"/>
          <w:szCs w:val="20"/>
          <w:lang w:val="es-CR"/>
        </w:rPr>
        <w:t xml:space="preserve">. Un mecanismo de las características del informado por el Estado, sería suficiente para dar cumplimiento a la presente medida, siempre que se llevan a cabo las reuniones necesarias y se efectivicen las medidas de coordinación y rendición de cuentas necesarias para que dicha Comisión </w:t>
      </w:r>
      <w:r w:rsidR="00927E75">
        <w:rPr>
          <w:rFonts w:ascii="Verdana" w:hAnsi="Verdana"/>
          <w:sz w:val="20"/>
          <w:szCs w:val="20"/>
          <w:lang w:val="es-CR"/>
        </w:rPr>
        <w:t xml:space="preserve">Interinstitucional </w:t>
      </w:r>
      <w:r>
        <w:rPr>
          <w:rFonts w:ascii="Verdana" w:hAnsi="Verdana"/>
          <w:sz w:val="20"/>
          <w:szCs w:val="20"/>
          <w:lang w:val="es-CR"/>
        </w:rPr>
        <w:t xml:space="preserve">pueda tener el efecto previsto. Por ello, esta Corte considera que </w:t>
      </w:r>
      <w:r w:rsidR="00EB1D36">
        <w:rPr>
          <w:rFonts w:ascii="Verdana" w:hAnsi="Verdana"/>
          <w:sz w:val="20"/>
          <w:szCs w:val="20"/>
          <w:lang w:val="es-CR"/>
        </w:rPr>
        <w:t>Honduras</w:t>
      </w:r>
      <w:r w:rsidR="00C82ECD">
        <w:rPr>
          <w:rFonts w:ascii="Verdana" w:hAnsi="Verdana"/>
          <w:sz w:val="20"/>
          <w:szCs w:val="20"/>
          <w:lang w:val="es-CR"/>
        </w:rPr>
        <w:t xml:space="preserve"> </w:t>
      </w:r>
      <w:r>
        <w:rPr>
          <w:rFonts w:ascii="Verdana" w:hAnsi="Verdana"/>
          <w:sz w:val="20"/>
          <w:szCs w:val="20"/>
          <w:lang w:val="es-CR"/>
        </w:rPr>
        <w:t xml:space="preserve">ha dado cumplimiento a la presente medida, sin perjuicio de lo cual estima importante recordar al Estado que </w:t>
      </w:r>
      <w:r w:rsidR="006D41BB">
        <w:rPr>
          <w:rFonts w:ascii="Verdana" w:hAnsi="Verdana"/>
          <w:sz w:val="20"/>
          <w:szCs w:val="20"/>
          <w:lang w:val="es-CR"/>
        </w:rPr>
        <w:t xml:space="preserve">la ejecución de dicho mecanismo deberá garantizar que se realicen reuniones de trabajo periódicas entre las instituciones allí comprendidas, a los fines de ejecutar las reparaciones ordenadas en la Sentencia. Además, con respecto a lo observado por los representantes sobre la falta de inclusión de los poderes legislativo y judicial, se señala la importancia de que el Estado prevea los mecanismos para que la </w:t>
      </w:r>
      <w:r w:rsidR="00927E75">
        <w:rPr>
          <w:rFonts w:ascii="Verdana" w:hAnsi="Verdana"/>
          <w:sz w:val="20"/>
          <w:szCs w:val="20"/>
          <w:lang w:val="es-CR"/>
        </w:rPr>
        <w:t>Comisión Interinstitucional (CICSI)</w:t>
      </w:r>
      <w:r w:rsidR="006D41BB">
        <w:rPr>
          <w:rFonts w:ascii="Verdana" w:hAnsi="Verdana"/>
          <w:sz w:val="20"/>
          <w:szCs w:val="20"/>
          <w:lang w:val="es-CR"/>
        </w:rPr>
        <w:t xml:space="preserve"> tenga una comunicación fluida con los demás poderes del Estado. </w:t>
      </w:r>
    </w:p>
    <w:p w14:paraId="4E87CD42" w14:textId="46DC0306" w:rsidR="00610058" w:rsidRPr="004639A0" w:rsidRDefault="006D41BB" w:rsidP="00972E81">
      <w:pPr>
        <w:pStyle w:val="Prrafodelista"/>
        <w:numPr>
          <w:ilvl w:val="0"/>
          <w:numId w:val="3"/>
        </w:numPr>
        <w:spacing w:before="120" w:after="120"/>
        <w:ind w:left="0" w:hanging="11"/>
        <w:contextualSpacing w:val="0"/>
        <w:jc w:val="both"/>
        <w:rPr>
          <w:rFonts w:ascii="Verdana" w:hAnsi="Verdana"/>
          <w:sz w:val="20"/>
          <w:szCs w:val="20"/>
          <w:lang w:val="es-MX"/>
        </w:rPr>
      </w:pPr>
      <w:bookmarkStart w:id="18" w:name="_Ref12551118"/>
      <w:r>
        <w:rPr>
          <w:rFonts w:ascii="Verdana" w:hAnsi="Verdana"/>
          <w:sz w:val="20"/>
          <w:szCs w:val="20"/>
          <w:lang w:val="es-MX"/>
        </w:rPr>
        <w:t>Por lo expuesto, la Corte considera que el Estado ha dado cumplimiento total a la medida dispuesta en el punto resolutivo decimotercero y párrafo 328 de la Sentencia, por lo que no continuará supervisándola. Sin perjuicio de ello, se recuerda a Honduras que deberá garantizar que el funcionamiento de la Comisión Interinstitucional posi</w:t>
      </w:r>
      <w:r w:rsidR="00771B5F">
        <w:rPr>
          <w:rFonts w:ascii="Verdana" w:hAnsi="Verdana"/>
          <w:sz w:val="20"/>
          <w:szCs w:val="20"/>
          <w:lang w:val="es-MX"/>
        </w:rPr>
        <w:t>bilite la coordinación necesaria</w:t>
      </w:r>
      <w:r>
        <w:rPr>
          <w:rFonts w:ascii="Verdana" w:hAnsi="Verdana"/>
          <w:sz w:val="20"/>
          <w:szCs w:val="20"/>
          <w:lang w:val="es-MX"/>
        </w:rPr>
        <w:t xml:space="preserve"> para hacer efectivas las restantes medidas ordenadas en la Sentencia y mencionadas en el párrafo 328 de la misma (</w:t>
      </w:r>
      <w:r>
        <w:rPr>
          <w:rFonts w:ascii="Verdana" w:hAnsi="Verdana"/>
          <w:i/>
          <w:sz w:val="20"/>
          <w:szCs w:val="20"/>
          <w:lang w:val="es-MX"/>
        </w:rPr>
        <w:t xml:space="preserve">supra </w:t>
      </w:r>
      <w:r>
        <w:rPr>
          <w:rFonts w:ascii="Verdana" w:hAnsi="Verdana"/>
          <w:sz w:val="20"/>
          <w:szCs w:val="20"/>
          <w:lang w:val="es-MX"/>
        </w:rPr>
        <w:t xml:space="preserve">Considerando </w:t>
      </w:r>
      <w:r w:rsidR="00927E75">
        <w:rPr>
          <w:rFonts w:ascii="Verdana" w:hAnsi="Verdana"/>
          <w:sz w:val="20"/>
          <w:szCs w:val="20"/>
          <w:lang w:val="es-MX"/>
        </w:rPr>
        <w:fldChar w:fldCharType="begin"/>
      </w:r>
      <w:r w:rsidR="00927E75">
        <w:rPr>
          <w:rFonts w:ascii="Verdana" w:hAnsi="Verdana"/>
          <w:sz w:val="20"/>
          <w:szCs w:val="20"/>
          <w:lang w:val="es-MX"/>
        </w:rPr>
        <w:instrText xml:space="preserve"> REF _Ref12528795 \r \h </w:instrText>
      </w:r>
      <w:r w:rsidR="00927E75">
        <w:rPr>
          <w:rFonts w:ascii="Verdana" w:hAnsi="Verdana"/>
          <w:sz w:val="20"/>
          <w:szCs w:val="20"/>
          <w:lang w:val="es-MX"/>
        </w:rPr>
      </w:r>
      <w:r w:rsidR="00927E75">
        <w:rPr>
          <w:rFonts w:ascii="Verdana" w:hAnsi="Verdana"/>
          <w:sz w:val="20"/>
          <w:szCs w:val="20"/>
          <w:lang w:val="es-MX"/>
        </w:rPr>
        <w:fldChar w:fldCharType="separate"/>
      </w:r>
      <w:r w:rsidR="00D11D5D">
        <w:rPr>
          <w:rFonts w:ascii="Verdana" w:hAnsi="Verdana"/>
          <w:sz w:val="20"/>
          <w:szCs w:val="20"/>
          <w:lang w:val="es-MX"/>
        </w:rPr>
        <w:t>25</w:t>
      </w:r>
      <w:r w:rsidR="00927E75">
        <w:rPr>
          <w:rFonts w:ascii="Verdana" w:hAnsi="Verdana"/>
          <w:sz w:val="20"/>
          <w:szCs w:val="20"/>
          <w:lang w:val="es-MX"/>
        </w:rPr>
        <w:fldChar w:fldCharType="end"/>
      </w:r>
      <w:r>
        <w:rPr>
          <w:rFonts w:ascii="Verdana" w:hAnsi="Verdana"/>
          <w:sz w:val="20"/>
          <w:szCs w:val="20"/>
          <w:lang w:val="es-MX"/>
        </w:rPr>
        <w:t>).</w:t>
      </w:r>
      <w:bookmarkEnd w:id="18"/>
    </w:p>
    <w:p w14:paraId="68EF1F73" w14:textId="77777777" w:rsidR="00A90C31" w:rsidRPr="00B06955" w:rsidRDefault="00A90C31" w:rsidP="00920407">
      <w:pPr>
        <w:pStyle w:val="Prrafodelista"/>
        <w:spacing w:before="120" w:after="0"/>
        <w:ind w:left="0"/>
        <w:contextualSpacing w:val="0"/>
        <w:jc w:val="both"/>
        <w:rPr>
          <w:rFonts w:ascii="Verdana" w:hAnsi="Verdana"/>
          <w:sz w:val="20"/>
          <w:szCs w:val="20"/>
          <w:lang w:val="es-MX"/>
        </w:rPr>
      </w:pPr>
    </w:p>
    <w:p w14:paraId="3896747E" w14:textId="77777777" w:rsidR="00890911" w:rsidRDefault="00890911" w:rsidP="00B06955">
      <w:pPr>
        <w:pStyle w:val="Prrafodelista"/>
        <w:numPr>
          <w:ilvl w:val="0"/>
          <w:numId w:val="6"/>
        </w:numPr>
        <w:spacing w:before="120" w:after="120"/>
        <w:contextualSpacing w:val="0"/>
        <w:jc w:val="both"/>
        <w:outlineLvl w:val="0"/>
        <w:rPr>
          <w:rFonts w:ascii="Verdana" w:hAnsi="Verdana"/>
          <w:b/>
          <w:i/>
          <w:sz w:val="20"/>
          <w:szCs w:val="20"/>
          <w:lang w:val="es-MX"/>
        </w:rPr>
      </w:pPr>
      <w:bookmarkStart w:id="19" w:name="_Toc1737136"/>
      <w:r w:rsidRPr="00B06955">
        <w:rPr>
          <w:rFonts w:ascii="Verdana" w:hAnsi="Verdana"/>
          <w:b/>
          <w:i/>
          <w:sz w:val="20"/>
          <w:szCs w:val="20"/>
          <w:lang w:val="es-MX"/>
        </w:rPr>
        <w:t>Publicación y difusión de la sentencia</w:t>
      </w:r>
      <w:bookmarkEnd w:id="19"/>
      <w:r w:rsidRPr="00B06955">
        <w:rPr>
          <w:rFonts w:ascii="Verdana" w:hAnsi="Verdana"/>
          <w:b/>
          <w:i/>
          <w:sz w:val="20"/>
          <w:szCs w:val="20"/>
          <w:lang w:val="es-MX"/>
        </w:rPr>
        <w:t xml:space="preserve"> </w:t>
      </w:r>
    </w:p>
    <w:p w14:paraId="3580A642" w14:textId="77777777" w:rsidR="00890911" w:rsidRPr="00B06955" w:rsidRDefault="00920407" w:rsidP="00B06955">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E</w:t>
      </w:r>
      <w:r w:rsidR="00890911" w:rsidRPr="00B06955">
        <w:rPr>
          <w:rFonts w:ascii="Verdana" w:hAnsi="Verdana"/>
          <w:i/>
          <w:sz w:val="20"/>
          <w:szCs w:val="20"/>
          <w:lang w:val="es-MX"/>
        </w:rPr>
        <w:t xml:space="preserve">.1. Medida ordenada por la Corte </w:t>
      </w:r>
    </w:p>
    <w:p w14:paraId="25360ED4" w14:textId="1A244000" w:rsidR="00AD18D0" w:rsidRPr="00970E51" w:rsidRDefault="00890911" w:rsidP="00AD18D0">
      <w:pPr>
        <w:pStyle w:val="Prrafodelista"/>
        <w:numPr>
          <w:ilvl w:val="0"/>
          <w:numId w:val="3"/>
        </w:numPr>
        <w:spacing w:before="120" w:after="120"/>
        <w:ind w:left="0" w:hanging="11"/>
        <w:contextualSpacing w:val="0"/>
        <w:jc w:val="both"/>
        <w:rPr>
          <w:rFonts w:ascii="Verdana" w:hAnsi="Verdana"/>
          <w:sz w:val="20"/>
          <w:szCs w:val="20"/>
          <w:lang w:val="es-CR"/>
        </w:rPr>
      </w:pPr>
      <w:bookmarkStart w:id="20" w:name="_Ref12529676"/>
      <w:r w:rsidRPr="00B06955">
        <w:rPr>
          <w:rFonts w:ascii="Verdana" w:hAnsi="Verdana"/>
          <w:sz w:val="20"/>
          <w:szCs w:val="20"/>
          <w:lang w:val="es-MX"/>
        </w:rPr>
        <w:t xml:space="preserve">En el punto resolutivo </w:t>
      </w:r>
      <w:r w:rsidR="00DB6280">
        <w:rPr>
          <w:rFonts w:ascii="Verdana" w:hAnsi="Verdana"/>
          <w:sz w:val="20"/>
          <w:szCs w:val="20"/>
          <w:lang w:val="es-MX"/>
        </w:rPr>
        <w:t>decimocuarto</w:t>
      </w:r>
      <w:r w:rsidRPr="00B06955">
        <w:rPr>
          <w:rFonts w:ascii="Verdana" w:hAnsi="Verdana"/>
          <w:sz w:val="20"/>
          <w:szCs w:val="20"/>
          <w:lang w:val="es-MX"/>
        </w:rPr>
        <w:t xml:space="preserve"> </w:t>
      </w:r>
      <w:r w:rsidRPr="00B06955">
        <w:rPr>
          <w:rFonts w:ascii="Verdana" w:hAnsi="Verdana"/>
          <w:sz w:val="20"/>
          <w:szCs w:val="20"/>
          <w:lang w:val="es-CR"/>
        </w:rPr>
        <w:t xml:space="preserve">y en los párrafos </w:t>
      </w:r>
      <w:r w:rsidRPr="00B06955">
        <w:rPr>
          <w:rFonts w:ascii="Verdana" w:hAnsi="Verdana"/>
          <w:sz w:val="20"/>
          <w:szCs w:val="20"/>
          <w:lang w:val="es-CO"/>
        </w:rPr>
        <w:t xml:space="preserve">338 y 339 de la Sentencia, la Corte dispuso que </w:t>
      </w:r>
      <w:r w:rsidR="00BD0617">
        <w:rPr>
          <w:rFonts w:ascii="Verdana" w:hAnsi="Verdana"/>
          <w:sz w:val="20"/>
          <w:szCs w:val="20"/>
          <w:lang w:val="es-CO"/>
        </w:rPr>
        <w:t>el Estado debía publicar, en el plazo de seis meses</w:t>
      </w:r>
      <w:r w:rsidR="007869F0">
        <w:rPr>
          <w:rFonts w:ascii="Verdana" w:hAnsi="Verdana"/>
          <w:sz w:val="20"/>
          <w:szCs w:val="20"/>
          <w:lang w:val="es-CO"/>
        </w:rPr>
        <w:t xml:space="preserve"> a partir de la notificación de la Sentencia</w:t>
      </w:r>
      <w:r w:rsidR="00BD0617">
        <w:rPr>
          <w:rFonts w:ascii="Verdana" w:hAnsi="Verdana"/>
          <w:sz w:val="20"/>
          <w:szCs w:val="20"/>
          <w:lang w:val="es-CO"/>
        </w:rPr>
        <w:t xml:space="preserve">: a) el </w:t>
      </w:r>
      <w:r w:rsidR="00D52B56" w:rsidRPr="00BD0617">
        <w:rPr>
          <w:rFonts w:ascii="Verdana" w:hAnsi="Verdana"/>
          <w:sz w:val="20"/>
          <w:szCs w:val="20"/>
          <w:lang w:val="es-CR"/>
        </w:rPr>
        <w:t>resumen oficial de la Sentencia elaborado por la Cort</w:t>
      </w:r>
      <w:r w:rsidR="00BD0617">
        <w:rPr>
          <w:rFonts w:ascii="Verdana" w:hAnsi="Verdana"/>
          <w:sz w:val="20"/>
          <w:szCs w:val="20"/>
          <w:lang w:val="es-CR"/>
        </w:rPr>
        <w:t xml:space="preserve">e en español, así como una traducción del mismo en </w:t>
      </w:r>
      <w:r w:rsidR="00D52B56" w:rsidRPr="00BD0617">
        <w:rPr>
          <w:rFonts w:ascii="Verdana" w:hAnsi="Verdana"/>
          <w:sz w:val="20"/>
          <w:szCs w:val="20"/>
          <w:lang w:val="es-CR"/>
        </w:rPr>
        <w:t>lengua garífuna</w:t>
      </w:r>
      <w:r w:rsidR="00BD0617">
        <w:rPr>
          <w:rFonts w:ascii="Verdana" w:hAnsi="Verdana"/>
          <w:sz w:val="20"/>
          <w:szCs w:val="20"/>
          <w:lang w:val="es-CR"/>
        </w:rPr>
        <w:t xml:space="preserve">, por una sola vez, en el Diario Oficial; b) el resumen oficial de la Sentencia elaborado por la Corte en idioma español </w:t>
      </w:r>
      <w:r w:rsidR="00D52B56" w:rsidRPr="00BD0617">
        <w:rPr>
          <w:rFonts w:ascii="Verdana" w:hAnsi="Verdana"/>
          <w:sz w:val="20"/>
          <w:szCs w:val="20"/>
          <w:lang w:val="es-CR"/>
        </w:rPr>
        <w:t>en un diario de amplia circulación nacional</w:t>
      </w:r>
      <w:r w:rsidR="00BD0617">
        <w:rPr>
          <w:rFonts w:ascii="Verdana" w:hAnsi="Verdana"/>
          <w:sz w:val="20"/>
          <w:szCs w:val="20"/>
          <w:lang w:val="es-CR"/>
        </w:rPr>
        <w:t>, y c</w:t>
      </w:r>
      <w:r w:rsidR="00D52B56" w:rsidRPr="00BD0617">
        <w:rPr>
          <w:rFonts w:ascii="Verdana" w:hAnsi="Verdana"/>
          <w:sz w:val="20"/>
          <w:szCs w:val="20"/>
          <w:lang w:val="es-CR"/>
        </w:rPr>
        <w:t xml:space="preserve">) </w:t>
      </w:r>
      <w:r w:rsidR="00BD0617">
        <w:rPr>
          <w:rFonts w:ascii="Verdana" w:hAnsi="Verdana"/>
          <w:sz w:val="20"/>
          <w:szCs w:val="20"/>
          <w:lang w:val="es-CR"/>
        </w:rPr>
        <w:t>l</w:t>
      </w:r>
      <w:r w:rsidR="00D52B56" w:rsidRPr="00BD0617">
        <w:rPr>
          <w:rFonts w:ascii="Verdana" w:hAnsi="Verdana"/>
          <w:sz w:val="20"/>
          <w:szCs w:val="20"/>
          <w:lang w:val="es-CR"/>
        </w:rPr>
        <w:t xml:space="preserve">a Sentencia en su integridad en idioma español, disponible, por un periodo de un año, en </w:t>
      </w:r>
      <w:r w:rsidR="00BD0617">
        <w:rPr>
          <w:rFonts w:ascii="Verdana" w:hAnsi="Verdana"/>
          <w:sz w:val="20"/>
          <w:szCs w:val="20"/>
          <w:lang w:val="es-CR"/>
        </w:rPr>
        <w:t>un sitio web oficial del Estado</w:t>
      </w:r>
      <w:r w:rsidR="00D52B56" w:rsidRPr="00BD0617">
        <w:rPr>
          <w:rFonts w:ascii="Verdana" w:hAnsi="Verdana"/>
          <w:sz w:val="20"/>
          <w:szCs w:val="20"/>
          <w:lang w:val="es-CR"/>
        </w:rPr>
        <w:t>”</w:t>
      </w:r>
      <w:r w:rsidR="00BD0617">
        <w:rPr>
          <w:rFonts w:ascii="Verdana" w:hAnsi="Verdana"/>
          <w:sz w:val="20"/>
          <w:szCs w:val="20"/>
          <w:lang w:val="es-CR"/>
        </w:rPr>
        <w:t>. Asimismo, dispuso que el Estado debía</w:t>
      </w:r>
      <w:r w:rsidR="007869F0">
        <w:rPr>
          <w:rFonts w:ascii="Verdana" w:hAnsi="Verdana"/>
          <w:sz w:val="20"/>
          <w:szCs w:val="20"/>
          <w:lang w:val="es-CR"/>
        </w:rPr>
        <w:t xml:space="preserve">, en el mismo plazo, </w:t>
      </w:r>
      <w:r w:rsidR="00BD0617">
        <w:rPr>
          <w:rFonts w:ascii="Verdana" w:hAnsi="Verdana"/>
          <w:sz w:val="20"/>
          <w:szCs w:val="20"/>
          <w:lang w:val="es-CR"/>
        </w:rPr>
        <w:t>d</w:t>
      </w:r>
      <w:r w:rsidR="00D52B56" w:rsidRPr="00B06955">
        <w:rPr>
          <w:rFonts w:ascii="Verdana" w:hAnsi="Verdana"/>
          <w:sz w:val="20"/>
          <w:szCs w:val="20"/>
          <w:lang w:val="es-CR"/>
        </w:rPr>
        <w:t>ar “publicidad, a través de una emisora radial de amplia cobertura en la Comunidad de Punta Piedra, al resumen oficial de la Sentencia, en español y en garífuna</w:t>
      </w:r>
      <w:r w:rsidR="00BD0617">
        <w:rPr>
          <w:rFonts w:ascii="Verdana" w:hAnsi="Verdana"/>
          <w:sz w:val="20"/>
          <w:szCs w:val="20"/>
          <w:lang w:val="es-CR"/>
        </w:rPr>
        <w:t>”</w:t>
      </w:r>
      <w:r w:rsidR="00D52B56" w:rsidRPr="00B06955">
        <w:rPr>
          <w:rFonts w:ascii="Verdana" w:hAnsi="Verdana"/>
          <w:sz w:val="20"/>
          <w:szCs w:val="20"/>
          <w:lang w:val="es-CR"/>
        </w:rPr>
        <w:t xml:space="preserve">. </w:t>
      </w:r>
      <w:r w:rsidR="00BD0617">
        <w:rPr>
          <w:rFonts w:ascii="Verdana" w:hAnsi="Verdana"/>
          <w:sz w:val="20"/>
          <w:szCs w:val="20"/>
          <w:lang w:val="es-CR"/>
        </w:rPr>
        <w:t>Al respecto, el Tribunal precisó que</w:t>
      </w:r>
      <w:r w:rsidR="007869F0">
        <w:rPr>
          <w:rFonts w:ascii="Verdana" w:hAnsi="Verdana"/>
          <w:sz w:val="20"/>
          <w:szCs w:val="20"/>
          <w:lang w:val="es-CR"/>
        </w:rPr>
        <w:t xml:space="preserve"> l</w:t>
      </w:r>
      <w:r w:rsidR="007869F0" w:rsidRPr="007869F0">
        <w:rPr>
          <w:rFonts w:ascii="Verdana" w:hAnsi="Verdana"/>
          <w:sz w:val="20"/>
          <w:szCs w:val="20"/>
          <w:lang w:val="es-CR"/>
        </w:rPr>
        <w:t>a transmisión radial debía</w:t>
      </w:r>
      <w:r w:rsidR="00D52B56" w:rsidRPr="007869F0">
        <w:rPr>
          <w:rFonts w:ascii="Verdana" w:hAnsi="Verdana"/>
          <w:sz w:val="20"/>
          <w:szCs w:val="20"/>
          <w:lang w:val="es-CR"/>
        </w:rPr>
        <w:t xml:space="preserve"> efectuarse cada primer domingo del </w:t>
      </w:r>
      <w:r w:rsidR="007869F0" w:rsidRPr="007869F0">
        <w:rPr>
          <w:rFonts w:ascii="Verdana" w:hAnsi="Verdana"/>
          <w:sz w:val="20"/>
          <w:szCs w:val="20"/>
          <w:lang w:val="es-CR"/>
        </w:rPr>
        <w:t>mes al menos durante tres meses, y que</w:t>
      </w:r>
      <w:r w:rsidR="00D52B56" w:rsidRPr="007869F0">
        <w:rPr>
          <w:rFonts w:ascii="Verdana" w:hAnsi="Verdana"/>
          <w:sz w:val="20"/>
          <w:szCs w:val="20"/>
          <w:lang w:val="es-CR"/>
        </w:rPr>
        <w:t xml:space="preserve"> </w:t>
      </w:r>
      <w:r w:rsidR="007869F0" w:rsidRPr="007869F0">
        <w:rPr>
          <w:rFonts w:ascii="Verdana" w:hAnsi="Verdana"/>
          <w:sz w:val="20"/>
          <w:szCs w:val="20"/>
          <w:lang w:val="es-CR"/>
        </w:rPr>
        <w:t>e</w:t>
      </w:r>
      <w:r w:rsidR="00D52B56" w:rsidRPr="007869F0">
        <w:rPr>
          <w:rFonts w:ascii="Verdana" w:hAnsi="Verdana"/>
          <w:sz w:val="20"/>
          <w:szCs w:val="20"/>
          <w:lang w:val="es-CR"/>
        </w:rPr>
        <w:t xml:space="preserve">l Estado </w:t>
      </w:r>
      <w:r w:rsidR="007869F0" w:rsidRPr="007869F0">
        <w:rPr>
          <w:rFonts w:ascii="Verdana" w:hAnsi="Verdana"/>
          <w:sz w:val="20"/>
          <w:szCs w:val="20"/>
          <w:lang w:val="es-CR"/>
        </w:rPr>
        <w:t>debía</w:t>
      </w:r>
      <w:r w:rsidR="00D52B56" w:rsidRPr="007869F0">
        <w:rPr>
          <w:rFonts w:ascii="Verdana" w:hAnsi="Verdana"/>
          <w:sz w:val="20"/>
          <w:szCs w:val="20"/>
          <w:lang w:val="es-CR"/>
        </w:rPr>
        <w:t xml:space="preserve"> </w:t>
      </w:r>
      <w:r w:rsidR="007869F0" w:rsidRPr="007869F0">
        <w:rPr>
          <w:rFonts w:ascii="Verdana" w:hAnsi="Verdana"/>
          <w:sz w:val="20"/>
          <w:szCs w:val="20"/>
          <w:lang w:val="es-CR"/>
        </w:rPr>
        <w:t>“c</w:t>
      </w:r>
      <w:r w:rsidR="00D52B56" w:rsidRPr="007869F0">
        <w:rPr>
          <w:rFonts w:ascii="Verdana" w:hAnsi="Verdana"/>
          <w:sz w:val="20"/>
          <w:szCs w:val="20"/>
          <w:lang w:val="es-CR"/>
        </w:rPr>
        <w:t>omunicar previamente a los representantes, al menos con dos semanas de anticipación, la fecha, horario y emisora en que efectuará tal difusión</w:t>
      </w:r>
      <w:r w:rsidR="007869F0" w:rsidRPr="007869F0">
        <w:rPr>
          <w:rFonts w:ascii="Verdana" w:hAnsi="Verdana"/>
          <w:sz w:val="20"/>
          <w:szCs w:val="20"/>
          <w:lang w:val="es-CR"/>
        </w:rPr>
        <w:t>”</w:t>
      </w:r>
      <w:r w:rsidR="00D52B56" w:rsidRPr="007869F0">
        <w:rPr>
          <w:rFonts w:ascii="Verdana" w:hAnsi="Verdana"/>
          <w:sz w:val="20"/>
          <w:szCs w:val="20"/>
          <w:lang w:val="es-CR"/>
        </w:rPr>
        <w:t>.</w:t>
      </w:r>
      <w:bookmarkEnd w:id="20"/>
    </w:p>
    <w:p w14:paraId="25E3AA5E" w14:textId="77777777" w:rsidR="0042063E" w:rsidRPr="00B06955" w:rsidRDefault="00920407" w:rsidP="00B06955">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E</w:t>
      </w:r>
      <w:r w:rsidR="0042063E" w:rsidRPr="00B06955">
        <w:rPr>
          <w:rFonts w:ascii="Verdana" w:hAnsi="Verdana"/>
          <w:i/>
          <w:sz w:val="20"/>
          <w:szCs w:val="20"/>
          <w:lang w:val="es-MX"/>
        </w:rPr>
        <w:t xml:space="preserve">.2. </w:t>
      </w:r>
      <w:r w:rsidR="00E17E76">
        <w:rPr>
          <w:rFonts w:ascii="Verdana" w:hAnsi="Verdana"/>
          <w:i/>
          <w:sz w:val="20"/>
          <w:szCs w:val="20"/>
          <w:lang w:val="es-MX"/>
        </w:rPr>
        <w:t>Consideraciones de la Corte</w:t>
      </w:r>
    </w:p>
    <w:p w14:paraId="2A0B9956" w14:textId="77777777" w:rsidR="007B621B" w:rsidRDefault="00B87C7A" w:rsidP="00B06955">
      <w:pPr>
        <w:pStyle w:val="Prrafodelista"/>
        <w:numPr>
          <w:ilvl w:val="0"/>
          <w:numId w:val="3"/>
        </w:numPr>
        <w:spacing w:before="120" w:after="120"/>
        <w:ind w:left="0" w:hanging="11"/>
        <w:contextualSpacing w:val="0"/>
        <w:jc w:val="both"/>
        <w:rPr>
          <w:rFonts w:ascii="Verdana" w:hAnsi="Verdana"/>
          <w:sz w:val="20"/>
          <w:szCs w:val="20"/>
          <w:lang w:val="es-CR"/>
        </w:rPr>
      </w:pPr>
      <w:r>
        <w:rPr>
          <w:rFonts w:ascii="Verdana" w:hAnsi="Verdana"/>
          <w:sz w:val="20"/>
          <w:szCs w:val="20"/>
          <w:lang w:val="es-CR"/>
        </w:rPr>
        <w:lastRenderedPageBreak/>
        <w:t xml:space="preserve">Con base en la información y los comprobantes aportados por el Estado, la Corte constata que Honduras </w:t>
      </w:r>
      <w:r w:rsidR="007B621B">
        <w:rPr>
          <w:rFonts w:ascii="Verdana" w:hAnsi="Verdana"/>
          <w:sz w:val="20"/>
          <w:szCs w:val="20"/>
          <w:lang w:val="es-CR"/>
        </w:rPr>
        <w:t>ha dado cumplimiento a los siguientes extremos de esta medida:</w:t>
      </w:r>
    </w:p>
    <w:p w14:paraId="1A065322" w14:textId="56437237" w:rsidR="007B621B" w:rsidRDefault="00F33D3B" w:rsidP="007B621B">
      <w:pPr>
        <w:pStyle w:val="Prrafodelista"/>
        <w:numPr>
          <w:ilvl w:val="0"/>
          <w:numId w:val="10"/>
        </w:numPr>
        <w:spacing w:before="120" w:after="120"/>
        <w:contextualSpacing w:val="0"/>
        <w:jc w:val="both"/>
        <w:rPr>
          <w:rFonts w:ascii="Verdana" w:hAnsi="Verdana"/>
          <w:sz w:val="20"/>
          <w:szCs w:val="20"/>
          <w:lang w:val="es-CR"/>
        </w:rPr>
      </w:pPr>
      <w:r>
        <w:rPr>
          <w:rFonts w:ascii="Verdana" w:hAnsi="Verdana"/>
          <w:sz w:val="20"/>
          <w:szCs w:val="20"/>
          <w:lang w:val="es-CR"/>
        </w:rPr>
        <w:t>p</w:t>
      </w:r>
      <w:r w:rsidR="007B621B">
        <w:rPr>
          <w:rFonts w:ascii="Verdana" w:hAnsi="Verdana"/>
          <w:sz w:val="20"/>
          <w:szCs w:val="20"/>
          <w:lang w:val="es-CR"/>
        </w:rPr>
        <w:t>ublicación d</w:t>
      </w:r>
      <w:r w:rsidR="00B87C7A">
        <w:rPr>
          <w:rFonts w:ascii="Verdana" w:hAnsi="Verdana"/>
          <w:sz w:val="20"/>
          <w:szCs w:val="20"/>
          <w:lang w:val="es-CR"/>
        </w:rPr>
        <w:t>el resumen oficial de la Sentencia</w:t>
      </w:r>
      <w:r w:rsidR="007B621B">
        <w:rPr>
          <w:rFonts w:ascii="Verdana" w:hAnsi="Verdana"/>
          <w:sz w:val="20"/>
          <w:szCs w:val="20"/>
          <w:lang w:val="es-CR"/>
        </w:rPr>
        <w:t>,</w:t>
      </w:r>
      <w:r w:rsidR="00B87C7A">
        <w:rPr>
          <w:rFonts w:ascii="Verdana" w:hAnsi="Verdana"/>
          <w:sz w:val="20"/>
          <w:szCs w:val="20"/>
          <w:lang w:val="es-CR"/>
        </w:rPr>
        <w:t xml:space="preserve"> en idioma español</w:t>
      </w:r>
      <w:r w:rsidR="007B621B">
        <w:rPr>
          <w:rFonts w:ascii="Verdana" w:hAnsi="Verdana"/>
          <w:sz w:val="20"/>
          <w:szCs w:val="20"/>
          <w:lang w:val="es-CR"/>
        </w:rPr>
        <w:t>,</w:t>
      </w:r>
      <w:r w:rsidR="00B87C7A">
        <w:rPr>
          <w:rFonts w:ascii="Verdana" w:hAnsi="Verdana"/>
          <w:sz w:val="20"/>
          <w:szCs w:val="20"/>
          <w:lang w:val="es-CR"/>
        </w:rPr>
        <w:t xml:space="preserve"> en el Diario Oficial “La Gaceta” </w:t>
      </w:r>
      <w:r w:rsidR="007B621B">
        <w:rPr>
          <w:rFonts w:ascii="Verdana" w:hAnsi="Verdana"/>
          <w:sz w:val="20"/>
          <w:szCs w:val="20"/>
          <w:lang w:val="es-CR"/>
        </w:rPr>
        <w:t xml:space="preserve">de Honduras, </w:t>
      </w:r>
      <w:r w:rsidR="00B87C7A">
        <w:rPr>
          <w:rFonts w:ascii="Verdana" w:hAnsi="Verdana"/>
          <w:sz w:val="20"/>
          <w:szCs w:val="20"/>
          <w:lang w:val="es-CR"/>
        </w:rPr>
        <w:t>el día 31 de mayo de 2016, dentro del plazo estipulado en la Sentencia</w:t>
      </w:r>
      <w:r w:rsidR="007B621B" w:rsidRPr="00B06955">
        <w:rPr>
          <w:rStyle w:val="Refdenotaalpie"/>
          <w:rFonts w:ascii="Verdana" w:hAnsi="Verdana"/>
          <w:sz w:val="20"/>
          <w:szCs w:val="20"/>
          <w:lang w:val="es-CO"/>
        </w:rPr>
        <w:footnoteReference w:id="44"/>
      </w:r>
      <w:r>
        <w:rPr>
          <w:rFonts w:ascii="Verdana" w:hAnsi="Verdana"/>
          <w:sz w:val="20"/>
          <w:szCs w:val="20"/>
          <w:lang w:val="es-CR"/>
        </w:rPr>
        <w:t>, y</w:t>
      </w:r>
    </w:p>
    <w:p w14:paraId="7FAFFF7D" w14:textId="748181F7" w:rsidR="00B87C7A" w:rsidRPr="00B87C7A" w:rsidRDefault="00F33D3B" w:rsidP="007B621B">
      <w:pPr>
        <w:pStyle w:val="Prrafodelista"/>
        <w:numPr>
          <w:ilvl w:val="0"/>
          <w:numId w:val="10"/>
        </w:numPr>
        <w:spacing w:before="120" w:after="120"/>
        <w:contextualSpacing w:val="0"/>
        <w:jc w:val="both"/>
        <w:rPr>
          <w:rFonts w:ascii="Verdana" w:hAnsi="Verdana"/>
          <w:sz w:val="20"/>
          <w:szCs w:val="20"/>
          <w:lang w:val="es-CR"/>
        </w:rPr>
      </w:pPr>
      <w:r>
        <w:rPr>
          <w:rFonts w:ascii="Verdana" w:hAnsi="Verdana"/>
          <w:sz w:val="20"/>
          <w:szCs w:val="20"/>
          <w:lang w:val="es-CO"/>
        </w:rPr>
        <w:t>p</w:t>
      </w:r>
      <w:r w:rsidR="007B621B">
        <w:rPr>
          <w:rFonts w:ascii="Verdana" w:hAnsi="Verdana"/>
          <w:sz w:val="20"/>
          <w:szCs w:val="20"/>
          <w:lang w:val="es-CO"/>
        </w:rPr>
        <w:t xml:space="preserve">ublicación del </w:t>
      </w:r>
      <w:r w:rsidR="007B621B" w:rsidRPr="00B06955">
        <w:rPr>
          <w:rFonts w:ascii="Verdana" w:hAnsi="Verdana"/>
          <w:sz w:val="20"/>
          <w:szCs w:val="20"/>
          <w:lang w:val="es-CO"/>
        </w:rPr>
        <w:t>resumen oficial de la Sentencia</w:t>
      </w:r>
      <w:r w:rsidR="007B621B">
        <w:rPr>
          <w:rFonts w:ascii="Verdana" w:hAnsi="Verdana"/>
          <w:sz w:val="20"/>
          <w:szCs w:val="20"/>
          <w:lang w:val="es-CO"/>
        </w:rPr>
        <w:t>, en idioma español,</w:t>
      </w:r>
      <w:r w:rsidR="007B621B" w:rsidRPr="00B06955">
        <w:rPr>
          <w:rFonts w:ascii="Verdana" w:hAnsi="Verdana"/>
          <w:sz w:val="20"/>
          <w:szCs w:val="20"/>
          <w:lang w:val="es-CO"/>
        </w:rPr>
        <w:t xml:space="preserve"> en</w:t>
      </w:r>
      <w:r w:rsidR="007B621B">
        <w:rPr>
          <w:rFonts w:ascii="Verdana" w:hAnsi="Verdana"/>
          <w:sz w:val="20"/>
          <w:szCs w:val="20"/>
          <w:lang w:val="es-CO"/>
        </w:rPr>
        <w:t xml:space="preserve"> </w:t>
      </w:r>
      <w:r w:rsidR="007B621B" w:rsidRPr="00B06955">
        <w:rPr>
          <w:rFonts w:ascii="Verdana" w:hAnsi="Verdana"/>
          <w:sz w:val="20"/>
          <w:szCs w:val="20"/>
          <w:lang w:val="es-CO"/>
        </w:rPr>
        <w:t>el Diario “La Tribuna”</w:t>
      </w:r>
      <w:r w:rsidR="007B621B">
        <w:rPr>
          <w:rFonts w:ascii="Verdana" w:hAnsi="Verdana"/>
          <w:sz w:val="20"/>
          <w:szCs w:val="20"/>
          <w:lang w:val="es-CO"/>
        </w:rPr>
        <w:t>,</w:t>
      </w:r>
      <w:r w:rsidR="007B621B" w:rsidRPr="00B06955">
        <w:rPr>
          <w:rFonts w:ascii="Verdana" w:hAnsi="Verdana"/>
          <w:sz w:val="20"/>
          <w:szCs w:val="20"/>
          <w:lang w:val="es-CO"/>
        </w:rPr>
        <w:t xml:space="preserve"> </w:t>
      </w:r>
      <w:r w:rsidR="007B621B">
        <w:rPr>
          <w:rFonts w:ascii="Verdana" w:hAnsi="Verdana"/>
          <w:sz w:val="20"/>
          <w:szCs w:val="20"/>
          <w:lang w:val="es-CO"/>
        </w:rPr>
        <w:t>el</w:t>
      </w:r>
      <w:r w:rsidR="007B621B" w:rsidRPr="00B06955">
        <w:rPr>
          <w:rFonts w:ascii="Verdana" w:hAnsi="Verdana"/>
          <w:sz w:val="20"/>
          <w:szCs w:val="20"/>
          <w:lang w:val="es-CO"/>
        </w:rPr>
        <w:t xml:space="preserve"> 17 de junio de 2016</w:t>
      </w:r>
      <w:r w:rsidR="007B621B">
        <w:rPr>
          <w:rFonts w:ascii="Verdana" w:hAnsi="Verdana"/>
          <w:sz w:val="20"/>
          <w:szCs w:val="20"/>
          <w:lang w:val="es-CO"/>
        </w:rPr>
        <w:t>, dentro del plazo estipulado en la Sentencia</w:t>
      </w:r>
      <w:r w:rsidR="007B621B" w:rsidRPr="00B06955">
        <w:rPr>
          <w:rStyle w:val="Refdenotaalpie"/>
          <w:rFonts w:ascii="Verdana" w:hAnsi="Verdana"/>
          <w:sz w:val="20"/>
          <w:szCs w:val="20"/>
          <w:lang w:val="es-CR"/>
        </w:rPr>
        <w:footnoteReference w:id="45"/>
      </w:r>
      <w:r w:rsidR="007B621B" w:rsidRPr="00B06955">
        <w:rPr>
          <w:rFonts w:ascii="Verdana" w:hAnsi="Verdana"/>
          <w:sz w:val="20"/>
          <w:szCs w:val="20"/>
          <w:lang w:val="es-CR"/>
        </w:rPr>
        <w:t>.</w:t>
      </w:r>
      <w:r w:rsidR="00B87C7A">
        <w:rPr>
          <w:rFonts w:ascii="Verdana" w:hAnsi="Verdana"/>
          <w:sz w:val="20"/>
          <w:szCs w:val="20"/>
          <w:lang w:val="es-CR"/>
        </w:rPr>
        <w:t xml:space="preserve"> </w:t>
      </w:r>
    </w:p>
    <w:p w14:paraId="1DE94AD5" w14:textId="5A4A3CFC" w:rsidR="007B621B" w:rsidRDefault="007B621B" w:rsidP="00B06955">
      <w:pPr>
        <w:pStyle w:val="Prrafodelista"/>
        <w:numPr>
          <w:ilvl w:val="0"/>
          <w:numId w:val="3"/>
        </w:numPr>
        <w:spacing w:before="120" w:after="120"/>
        <w:ind w:left="0" w:hanging="11"/>
        <w:contextualSpacing w:val="0"/>
        <w:jc w:val="both"/>
        <w:rPr>
          <w:rFonts w:ascii="Verdana" w:hAnsi="Verdana"/>
          <w:sz w:val="20"/>
          <w:szCs w:val="20"/>
          <w:lang w:val="es-CR"/>
        </w:rPr>
      </w:pPr>
      <w:r w:rsidRPr="00B06955">
        <w:rPr>
          <w:rFonts w:ascii="Verdana" w:hAnsi="Verdana"/>
          <w:sz w:val="20"/>
          <w:szCs w:val="20"/>
          <w:lang w:val="es-CR"/>
        </w:rPr>
        <w:t xml:space="preserve">En lo que respecta a la publicación de la Sentencia en su integridad en un sitio web oficial, el Estado manifestó que se encontraba disponible </w:t>
      </w:r>
      <w:r w:rsidRPr="00B06955">
        <w:rPr>
          <w:rFonts w:ascii="Verdana" w:hAnsi="Verdana"/>
          <w:sz w:val="20"/>
          <w:szCs w:val="20"/>
          <w:lang w:val="es-CO"/>
        </w:rPr>
        <w:t>en las páginas oficiales de la Procuraduría General de la República y de la Secretaría de Estado en los despachos de Derechos Humanos, Justicia, Gobernación y Descentralización (SDHJGD)</w:t>
      </w:r>
      <w:r>
        <w:rPr>
          <w:rStyle w:val="Refdenotaalpie"/>
          <w:rFonts w:ascii="Verdana" w:hAnsi="Verdana"/>
          <w:sz w:val="20"/>
          <w:szCs w:val="20"/>
          <w:lang w:val="es-CO"/>
        </w:rPr>
        <w:footnoteReference w:id="46"/>
      </w:r>
      <w:r w:rsidRPr="00B06955">
        <w:rPr>
          <w:rFonts w:ascii="Verdana" w:hAnsi="Verdana"/>
          <w:sz w:val="20"/>
          <w:szCs w:val="20"/>
          <w:lang w:val="es-CO"/>
        </w:rPr>
        <w:t>.</w:t>
      </w:r>
      <w:r w:rsidRPr="00B06955">
        <w:rPr>
          <w:rFonts w:ascii="Verdana" w:hAnsi="Verdana"/>
          <w:sz w:val="20"/>
          <w:szCs w:val="20"/>
          <w:lang w:val="es-CR"/>
        </w:rPr>
        <w:t xml:space="preserve"> </w:t>
      </w:r>
      <w:r w:rsidR="004D4DC0">
        <w:rPr>
          <w:rFonts w:ascii="Verdana" w:hAnsi="Verdana"/>
          <w:sz w:val="20"/>
          <w:szCs w:val="20"/>
          <w:lang w:val="es-CR"/>
        </w:rPr>
        <w:t xml:space="preserve">No obstante, </w:t>
      </w:r>
      <w:r w:rsidR="00077A44">
        <w:rPr>
          <w:rFonts w:ascii="Verdana" w:hAnsi="Verdana"/>
          <w:sz w:val="20"/>
          <w:szCs w:val="20"/>
          <w:lang w:val="es-CR"/>
        </w:rPr>
        <w:t xml:space="preserve">debido a que </w:t>
      </w:r>
      <w:r w:rsidR="004D4DC0">
        <w:rPr>
          <w:rFonts w:ascii="Verdana" w:hAnsi="Verdana"/>
          <w:sz w:val="20"/>
          <w:szCs w:val="20"/>
          <w:lang w:val="es-CR"/>
        </w:rPr>
        <w:t xml:space="preserve">el Estado no aportó el </w:t>
      </w:r>
      <w:r w:rsidR="00F33D3B">
        <w:rPr>
          <w:rFonts w:ascii="Verdana" w:hAnsi="Verdana"/>
          <w:sz w:val="20"/>
          <w:szCs w:val="20"/>
          <w:lang w:val="es-CR"/>
        </w:rPr>
        <w:t xml:space="preserve">enlace </w:t>
      </w:r>
      <w:r w:rsidR="004D4DC0">
        <w:rPr>
          <w:rFonts w:ascii="Verdana" w:hAnsi="Verdana"/>
          <w:sz w:val="20"/>
          <w:szCs w:val="20"/>
          <w:lang w:val="es-CR"/>
        </w:rPr>
        <w:t>de dichos sitios web ni informó la fecha en la cual fueron publicados</w:t>
      </w:r>
      <w:r w:rsidR="0093504E" w:rsidRPr="00B06955">
        <w:rPr>
          <w:rStyle w:val="Refdenotaalpie"/>
          <w:rFonts w:ascii="Verdana" w:hAnsi="Verdana"/>
          <w:sz w:val="20"/>
          <w:szCs w:val="20"/>
          <w:lang w:val="es-CR"/>
        </w:rPr>
        <w:footnoteReference w:id="47"/>
      </w:r>
      <w:r w:rsidR="004D4DC0">
        <w:rPr>
          <w:rFonts w:ascii="Verdana" w:hAnsi="Verdana"/>
          <w:sz w:val="20"/>
          <w:szCs w:val="20"/>
          <w:lang w:val="es-CR"/>
        </w:rPr>
        <w:t xml:space="preserve">, </w:t>
      </w:r>
      <w:r w:rsidR="00947F87">
        <w:rPr>
          <w:rFonts w:ascii="Verdana" w:hAnsi="Verdana"/>
          <w:sz w:val="20"/>
          <w:szCs w:val="20"/>
          <w:lang w:val="es-CR"/>
        </w:rPr>
        <w:t>este Tribunal considera que dicha medida se encuentra pendiente de cumplimiento</w:t>
      </w:r>
      <w:r w:rsidR="004D4DC0">
        <w:rPr>
          <w:rFonts w:ascii="Verdana" w:hAnsi="Verdana"/>
          <w:sz w:val="20"/>
          <w:szCs w:val="20"/>
          <w:lang w:val="es-CR"/>
        </w:rPr>
        <w:t xml:space="preserve">. </w:t>
      </w:r>
    </w:p>
    <w:p w14:paraId="19E8A0ED" w14:textId="13E85C36" w:rsidR="00C94867" w:rsidRDefault="00C94867" w:rsidP="00C94867">
      <w:pPr>
        <w:pStyle w:val="Prrafodelista"/>
        <w:numPr>
          <w:ilvl w:val="0"/>
          <w:numId w:val="3"/>
        </w:numPr>
        <w:spacing w:before="120" w:after="120"/>
        <w:ind w:left="0" w:hanging="11"/>
        <w:contextualSpacing w:val="0"/>
        <w:jc w:val="both"/>
        <w:rPr>
          <w:rFonts w:ascii="Verdana" w:hAnsi="Verdana"/>
          <w:sz w:val="20"/>
          <w:szCs w:val="20"/>
          <w:lang w:val="es-CR"/>
        </w:rPr>
      </w:pPr>
      <w:r>
        <w:rPr>
          <w:rFonts w:ascii="Verdana" w:hAnsi="Verdana"/>
          <w:sz w:val="20"/>
          <w:szCs w:val="20"/>
          <w:lang w:val="es-CR"/>
        </w:rPr>
        <w:t>Asimismo, a partir de los comprobantes aportados por el Estado, la Corte constata que el Estado realizó</w:t>
      </w:r>
      <w:r>
        <w:rPr>
          <w:rFonts w:ascii="Verdana" w:hAnsi="Verdana"/>
          <w:sz w:val="20"/>
          <w:szCs w:val="20"/>
          <w:lang w:val="es-CO"/>
        </w:rPr>
        <w:t>: (i)</w:t>
      </w:r>
      <w:r w:rsidR="004D4DC0" w:rsidRPr="00B06955">
        <w:rPr>
          <w:rFonts w:ascii="Verdana" w:hAnsi="Verdana"/>
          <w:sz w:val="20"/>
          <w:szCs w:val="20"/>
          <w:lang w:val="es-CO"/>
        </w:rPr>
        <w:t xml:space="preserve"> la publicación del resumen oficial de la Sentencia en el Diario </w:t>
      </w:r>
      <w:r>
        <w:rPr>
          <w:rFonts w:ascii="Verdana" w:hAnsi="Verdana"/>
          <w:sz w:val="20"/>
          <w:szCs w:val="20"/>
          <w:lang w:val="es-CO"/>
        </w:rPr>
        <w:t>O</w:t>
      </w:r>
      <w:r w:rsidR="004D4DC0" w:rsidRPr="00B06955">
        <w:rPr>
          <w:rFonts w:ascii="Verdana" w:hAnsi="Verdana"/>
          <w:sz w:val="20"/>
          <w:szCs w:val="20"/>
          <w:lang w:val="es-CO"/>
        </w:rPr>
        <w:t xml:space="preserve">ficial “La Gaceta” </w:t>
      </w:r>
      <w:r w:rsidR="004D4DC0">
        <w:rPr>
          <w:rFonts w:ascii="Verdana" w:hAnsi="Verdana"/>
          <w:sz w:val="20"/>
          <w:szCs w:val="20"/>
          <w:lang w:val="es-CO"/>
        </w:rPr>
        <w:t xml:space="preserve">de Honduras, </w:t>
      </w:r>
      <w:r w:rsidR="004D4DC0" w:rsidRPr="00B06955">
        <w:rPr>
          <w:rFonts w:ascii="Verdana" w:hAnsi="Verdana"/>
          <w:sz w:val="20"/>
          <w:szCs w:val="20"/>
          <w:lang w:val="es-CO"/>
        </w:rPr>
        <w:t>de 14 de junio de 2016, traducido en lengua garífuna</w:t>
      </w:r>
      <w:r w:rsidR="004D4DC0">
        <w:rPr>
          <w:rStyle w:val="Refdenotaalpie"/>
          <w:rFonts w:ascii="Verdana" w:hAnsi="Verdana"/>
          <w:sz w:val="20"/>
          <w:szCs w:val="20"/>
          <w:lang w:val="es-CO"/>
        </w:rPr>
        <w:footnoteReference w:id="48"/>
      </w:r>
      <w:r>
        <w:rPr>
          <w:rFonts w:ascii="Verdana" w:hAnsi="Verdana"/>
          <w:sz w:val="20"/>
          <w:szCs w:val="20"/>
          <w:lang w:val="es-CO"/>
        </w:rPr>
        <w:t>,</w:t>
      </w:r>
      <w:r w:rsidR="004D4DC0">
        <w:rPr>
          <w:rFonts w:ascii="Verdana" w:hAnsi="Verdana"/>
          <w:b/>
          <w:sz w:val="20"/>
          <w:szCs w:val="20"/>
          <w:lang w:val="es-CO"/>
        </w:rPr>
        <w:t xml:space="preserve"> </w:t>
      </w:r>
      <w:r>
        <w:rPr>
          <w:rFonts w:ascii="Verdana" w:hAnsi="Verdana"/>
          <w:sz w:val="20"/>
          <w:szCs w:val="20"/>
          <w:lang w:val="es-CO"/>
        </w:rPr>
        <w:t>y (</w:t>
      </w:r>
      <w:proofErr w:type="spellStart"/>
      <w:r>
        <w:rPr>
          <w:rFonts w:ascii="Verdana" w:hAnsi="Verdana"/>
          <w:sz w:val="20"/>
          <w:szCs w:val="20"/>
          <w:lang w:val="es-CO"/>
        </w:rPr>
        <w:t>ii</w:t>
      </w:r>
      <w:proofErr w:type="spellEnd"/>
      <w:r>
        <w:rPr>
          <w:rFonts w:ascii="Verdana" w:hAnsi="Verdana"/>
          <w:sz w:val="20"/>
          <w:szCs w:val="20"/>
          <w:lang w:val="es-CO"/>
        </w:rPr>
        <w:t xml:space="preserve">) </w:t>
      </w:r>
      <w:r>
        <w:rPr>
          <w:rFonts w:ascii="Verdana" w:hAnsi="Verdana"/>
          <w:sz w:val="20"/>
          <w:szCs w:val="20"/>
          <w:lang w:val="es-CR"/>
        </w:rPr>
        <w:t>la transmisión radial del resumen oficial de la Sentencia en ambos idiomas,</w:t>
      </w:r>
      <w:r w:rsidRPr="00C94867">
        <w:rPr>
          <w:rFonts w:ascii="Verdana" w:hAnsi="Verdana"/>
          <w:sz w:val="20"/>
          <w:szCs w:val="20"/>
          <w:lang w:val="es-CR"/>
        </w:rPr>
        <w:t xml:space="preserve"> </w:t>
      </w:r>
      <w:r>
        <w:rPr>
          <w:rFonts w:ascii="Verdana" w:hAnsi="Verdana"/>
          <w:sz w:val="20"/>
          <w:szCs w:val="20"/>
          <w:lang w:val="es-CR"/>
        </w:rPr>
        <w:t xml:space="preserve">realizado </w:t>
      </w:r>
      <w:r>
        <w:rPr>
          <w:rFonts w:ascii="Verdana" w:hAnsi="Verdana"/>
          <w:sz w:val="20"/>
          <w:szCs w:val="20"/>
          <w:lang w:val="es-CO"/>
        </w:rPr>
        <w:t xml:space="preserve">en “Radio Católica </w:t>
      </w:r>
      <w:r w:rsidRPr="00B06955">
        <w:rPr>
          <w:rFonts w:ascii="Verdana" w:hAnsi="Verdana"/>
          <w:sz w:val="20"/>
          <w:szCs w:val="20"/>
          <w:lang w:val="es-CO"/>
        </w:rPr>
        <w:t>La voz del pueblo”</w:t>
      </w:r>
      <w:r>
        <w:rPr>
          <w:rFonts w:ascii="Verdana" w:hAnsi="Verdana"/>
          <w:sz w:val="20"/>
          <w:szCs w:val="20"/>
          <w:lang w:val="es-CO"/>
        </w:rPr>
        <w:t>,</w:t>
      </w:r>
      <w:r w:rsidRPr="00B06955">
        <w:rPr>
          <w:rFonts w:ascii="Verdana" w:hAnsi="Verdana"/>
          <w:sz w:val="20"/>
          <w:szCs w:val="20"/>
          <w:lang w:val="es-CO"/>
        </w:rPr>
        <w:t xml:space="preserve"> los domingos 3 de julio de 2016, 7 de agosto de 2016 y 4 de septiembre de 2016</w:t>
      </w:r>
      <w:r>
        <w:rPr>
          <w:rStyle w:val="Refdenotaalpie"/>
          <w:rFonts w:ascii="Verdana" w:hAnsi="Verdana"/>
          <w:sz w:val="20"/>
          <w:szCs w:val="20"/>
          <w:lang w:val="es-CO"/>
        </w:rPr>
        <w:footnoteReference w:id="49"/>
      </w:r>
      <w:r w:rsidRPr="00B06955">
        <w:rPr>
          <w:rFonts w:ascii="Verdana" w:hAnsi="Verdana"/>
          <w:sz w:val="20"/>
          <w:szCs w:val="20"/>
          <w:lang w:val="es-CO"/>
        </w:rPr>
        <w:t xml:space="preserve">. </w:t>
      </w:r>
      <w:r w:rsidR="000E0A84">
        <w:rPr>
          <w:rFonts w:ascii="Verdana" w:hAnsi="Verdana"/>
          <w:sz w:val="20"/>
          <w:szCs w:val="20"/>
          <w:lang w:val="es-CR"/>
        </w:rPr>
        <w:t>La Comisión consideró que el Estado había acreditado el cumplimiento de la publicación del resumen oficial de la Sentencia en lengua garífuna y consideró que “lo descrito por el Estado [con respecto a las transmisiones radiales] indicaría que esta medida estaría cumplida, sin perjuicio de lo que puedan indicar los representantes”</w:t>
      </w:r>
      <w:r w:rsidR="000E0A84">
        <w:rPr>
          <w:rStyle w:val="Refdenotaalpie"/>
          <w:rFonts w:ascii="Verdana" w:hAnsi="Verdana"/>
          <w:sz w:val="20"/>
          <w:szCs w:val="20"/>
          <w:lang w:val="es-CR"/>
        </w:rPr>
        <w:footnoteReference w:id="50"/>
      </w:r>
      <w:r w:rsidR="000E0A84">
        <w:rPr>
          <w:rFonts w:ascii="Verdana" w:hAnsi="Verdana"/>
          <w:sz w:val="20"/>
          <w:szCs w:val="20"/>
          <w:lang w:val="es-CR"/>
        </w:rPr>
        <w:t xml:space="preserve">. </w:t>
      </w:r>
      <w:r w:rsidR="00134FCC">
        <w:rPr>
          <w:rFonts w:ascii="Verdana" w:hAnsi="Verdana"/>
          <w:sz w:val="20"/>
          <w:szCs w:val="20"/>
          <w:lang w:val="es-CO"/>
        </w:rPr>
        <w:t>En sus observaciones, presentadas con posterioridad a las de la Comisión</w:t>
      </w:r>
      <w:r>
        <w:rPr>
          <w:rFonts w:ascii="Verdana" w:hAnsi="Verdana"/>
          <w:sz w:val="20"/>
          <w:szCs w:val="20"/>
          <w:lang w:val="es-CO"/>
        </w:rPr>
        <w:t xml:space="preserve">, los representantes solicitaron que se declare incumplida la medida, en tanto: </w:t>
      </w:r>
      <w:r w:rsidR="00F0641A">
        <w:rPr>
          <w:rFonts w:ascii="Verdana" w:hAnsi="Verdana"/>
          <w:sz w:val="20"/>
          <w:szCs w:val="20"/>
          <w:lang w:val="es-CR"/>
        </w:rPr>
        <w:t xml:space="preserve">(i) </w:t>
      </w:r>
      <w:r w:rsidR="00F0641A">
        <w:rPr>
          <w:rFonts w:ascii="Verdana" w:hAnsi="Verdana"/>
          <w:sz w:val="20"/>
          <w:szCs w:val="20"/>
          <w:lang w:val="es-CO"/>
        </w:rPr>
        <w:t>las transmisiones “</w:t>
      </w:r>
      <w:r w:rsidR="00F0641A" w:rsidRPr="00B06955">
        <w:rPr>
          <w:rFonts w:ascii="Verdana" w:hAnsi="Verdana"/>
          <w:sz w:val="20"/>
          <w:szCs w:val="20"/>
          <w:lang w:val="es-CR"/>
        </w:rPr>
        <w:t>no fueron consensuadas co</w:t>
      </w:r>
      <w:r w:rsidR="00F0641A">
        <w:rPr>
          <w:rFonts w:ascii="Verdana" w:hAnsi="Verdana"/>
          <w:sz w:val="20"/>
          <w:szCs w:val="20"/>
          <w:lang w:val="es-CR"/>
        </w:rPr>
        <w:t>n las víctimas y representantes</w:t>
      </w:r>
      <w:r w:rsidR="00F0641A" w:rsidRPr="00B06955">
        <w:rPr>
          <w:rFonts w:ascii="Verdana" w:hAnsi="Verdana"/>
          <w:sz w:val="20"/>
          <w:szCs w:val="20"/>
          <w:lang w:val="es-CR"/>
        </w:rPr>
        <w:t>”</w:t>
      </w:r>
      <w:r w:rsidR="00F0641A">
        <w:rPr>
          <w:rFonts w:ascii="Verdana" w:hAnsi="Verdana"/>
          <w:sz w:val="20"/>
          <w:szCs w:val="20"/>
          <w:lang w:val="es-CR"/>
        </w:rPr>
        <w:t xml:space="preserve">, a lo que añadieron que “[s]e hicieron las consultas pertinente[s] y nadie </w:t>
      </w:r>
      <w:proofErr w:type="spellStart"/>
      <w:r w:rsidR="00F0641A">
        <w:rPr>
          <w:rFonts w:ascii="Verdana" w:hAnsi="Verdana"/>
          <w:sz w:val="20"/>
          <w:szCs w:val="20"/>
          <w:lang w:val="es-CR"/>
        </w:rPr>
        <w:t>escuch</w:t>
      </w:r>
      <w:proofErr w:type="spellEnd"/>
      <w:r w:rsidR="00F0641A">
        <w:rPr>
          <w:rFonts w:ascii="Verdana" w:hAnsi="Verdana"/>
          <w:sz w:val="20"/>
          <w:szCs w:val="20"/>
          <w:lang w:val="es-CR"/>
        </w:rPr>
        <w:t>[</w:t>
      </w:r>
      <w:proofErr w:type="spellStart"/>
      <w:r w:rsidR="00F0641A">
        <w:rPr>
          <w:rFonts w:ascii="Verdana" w:hAnsi="Verdana"/>
          <w:sz w:val="20"/>
          <w:szCs w:val="20"/>
          <w:lang w:val="es-CR"/>
        </w:rPr>
        <w:t>ó</w:t>
      </w:r>
      <w:proofErr w:type="spellEnd"/>
      <w:r w:rsidR="00F0641A">
        <w:rPr>
          <w:rFonts w:ascii="Verdana" w:hAnsi="Verdana"/>
          <w:sz w:val="20"/>
          <w:szCs w:val="20"/>
          <w:lang w:val="es-CR"/>
        </w:rPr>
        <w:t xml:space="preserve">] dichas publicaciones”, y </w:t>
      </w:r>
      <w:r>
        <w:rPr>
          <w:rFonts w:ascii="Verdana" w:hAnsi="Verdana"/>
          <w:sz w:val="20"/>
          <w:szCs w:val="20"/>
          <w:lang w:val="es-CO"/>
        </w:rPr>
        <w:t>(</w:t>
      </w:r>
      <w:proofErr w:type="spellStart"/>
      <w:r w:rsidR="00F0641A">
        <w:rPr>
          <w:rFonts w:ascii="Verdana" w:hAnsi="Verdana"/>
          <w:sz w:val="20"/>
          <w:szCs w:val="20"/>
          <w:lang w:val="es-CO"/>
        </w:rPr>
        <w:t>i</w:t>
      </w:r>
      <w:r>
        <w:rPr>
          <w:rFonts w:ascii="Verdana" w:hAnsi="Verdana"/>
          <w:sz w:val="20"/>
          <w:szCs w:val="20"/>
          <w:lang w:val="es-CO"/>
        </w:rPr>
        <w:t>i</w:t>
      </w:r>
      <w:proofErr w:type="spellEnd"/>
      <w:r>
        <w:rPr>
          <w:rFonts w:ascii="Verdana" w:hAnsi="Verdana"/>
          <w:sz w:val="20"/>
          <w:szCs w:val="20"/>
          <w:lang w:val="es-CO"/>
        </w:rPr>
        <w:t xml:space="preserve">) </w:t>
      </w:r>
      <w:r>
        <w:rPr>
          <w:rFonts w:ascii="Verdana" w:hAnsi="Verdana"/>
          <w:sz w:val="20"/>
          <w:szCs w:val="20"/>
          <w:lang w:val="es-CR"/>
        </w:rPr>
        <w:t>las traducciones al idioma Garí</w:t>
      </w:r>
      <w:r w:rsidRPr="00B06955">
        <w:rPr>
          <w:rFonts w:ascii="Verdana" w:hAnsi="Verdana"/>
          <w:sz w:val="20"/>
          <w:szCs w:val="20"/>
          <w:lang w:val="es-CR"/>
        </w:rPr>
        <w:t xml:space="preserve">funa </w:t>
      </w:r>
      <w:r>
        <w:rPr>
          <w:rFonts w:ascii="Verdana" w:hAnsi="Verdana"/>
          <w:sz w:val="20"/>
          <w:szCs w:val="20"/>
          <w:lang w:val="es-CR"/>
        </w:rPr>
        <w:t>“</w:t>
      </w:r>
      <w:r w:rsidRPr="00B06955">
        <w:rPr>
          <w:rFonts w:ascii="Verdana" w:hAnsi="Verdana"/>
          <w:sz w:val="20"/>
          <w:szCs w:val="20"/>
          <w:lang w:val="es-CR"/>
        </w:rPr>
        <w:t>no reflejan el espíritu</w:t>
      </w:r>
      <w:r>
        <w:rPr>
          <w:rFonts w:ascii="Verdana" w:hAnsi="Verdana"/>
          <w:sz w:val="20"/>
          <w:szCs w:val="20"/>
          <w:lang w:val="es-CR"/>
        </w:rPr>
        <w:t xml:space="preserve">” de la </w:t>
      </w:r>
      <w:r w:rsidRPr="00B06955">
        <w:rPr>
          <w:rFonts w:ascii="Verdana" w:hAnsi="Verdana"/>
          <w:sz w:val="20"/>
          <w:szCs w:val="20"/>
          <w:lang w:val="es-CR"/>
        </w:rPr>
        <w:t>Sentencia,</w:t>
      </w:r>
      <w:r>
        <w:rPr>
          <w:rFonts w:ascii="Verdana" w:hAnsi="Verdana"/>
          <w:sz w:val="20"/>
          <w:szCs w:val="20"/>
          <w:lang w:val="es-CR"/>
        </w:rPr>
        <w:t xml:space="preserve"> ya que</w:t>
      </w:r>
      <w:r w:rsidRPr="00B06955">
        <w:rPr>
          <w:rFonts w:ascii="Verdana" w:hAnsi="Verdana"/>
          <w:sz w:val="20"/>
          <w:szCs w:val="20"/>
          <w:lang w:val="es-CR"/>
        </w:rPr>
        <w:t xml:space="preserve"> </w:t>
      </w:r>
      <w:r>
        <w:rPr>
          <w:rFonts w:ascii="Verdana" w:hAnsi="Verdana"/>
          <w:sz w:val="20"/>
          <w:szCs w:val="20"/>
          <w:lang w:val="es-CR"/>
        </w:rPr>
        <w:t>“se diluye su significado</w:t>
      </w:r>
      <w:r w:rsidRPr="00B06955">
        <w:rPr>
          <w:rFonts w:ascii="Verdana" w:hAnsi="Verdana"/>
          <w:sz w:val="20"/>
          <w:szCs w:val="20"/>
          <w:lang w:val="es-CR"/>
        </w:rPr>
        <w:t xml:space="preserve">” </w:t>
      </w:r>
      <w:r>
        <w:rPr>
          <w:rFonts w:ascii="Verdana" w:hAnsi="Verdana"/>
          <w:sz w:val="20"/>
          <w:szCs w:val="20"/>
          <w:lang w:val="es-CR"/>
        </w:rPr>
        <w:t>y “no se entendía[n]”, a lo que agregaron que “</w:t>
      </w:r>
      <w:proofErr w:type="spellStart"/>
      <w:r>
        <w:rPr>
          <w:rFonts w:ascii="Verdana" w:hAnsi="Verdana"/>
          <w:sz w:val="20"/>
          <w:szCs w:val="20"/>
          <w:lang w:val="es-CR"/>
        </w:rPr>
        <w:t>sug</w:t>
      </w:r>
      <w:proofErr w:type="spellEnd"/>
      <w:r>
        <w:rPr>
          <w:rFonts w:ascii="Verdana" w:hAnsi="Verdana"/>
          <w:sz w:val="20"/>
          <w:szCs w:val="20"/>
          <w:lang w:val="es-CR"/>
        </w:rPr>
        <w:t>[</w:t>
      </w:r>
      <w:proofErr w:type="spellStart"/>
      <w:r>
        <w:rPr>
          <w:rFonts w:ascii="Verdana" w:hAnsi="Verdana"/>
          <w:sz w:val="20"/>
          <w:szCs w:val="20"/>
          <w:lang w:val="es-CR"/>
        </w:rPr>
        <w:t>irieron</w:t>
      </w:r>
      <w:proofErr w:type="spellEnd"/>
      <w:r>
        <w:rPr>
          <w:rFonts w:ascii="Verdana" w:hAnsi="Verdana"/>
          <w:sz w:val="20"/>
          <w:szCs w:val="20"/>
          <w:lang w:val="es-CR"/>
        </w:rPr>
        <w:t>]</w:t>
      </w:r>
      <w:r w:rsidRPr="00B06955">
        <w:rPr>
          <w:rFonts w:ascii="Verdana" w:hAnsi="Verdana"/>
          <w:sz w:val="20"/>
          <w:szCs w:val="20"/>
          <w:lang w:val="es-CR"/>
        </w:rPr>
        <w:t xml:space="preserve"> una persona experta en la materia, la cual nunca fue contactada</w:t>
      </w:r>
      <w:r>
        <w:rPr>
          <w:rFonts w:ascii="Verdana" w:hAnsi="Verdana"/>
          <w:sz w:val="20"/>
          <w:szCs w:val="20"/>
          <w:lang w:val="es-CR"/>
        </w:rPr>
        <w:t>”</w:t>
      </w:r>
      <w:r w:rsidR="00F0641A">
        <w:rPr>
          <w:rStyle w:val="Refdenotaalpie"/>
          <w:rFonts w:ascii="Verdana" w:hAnsi="Verdana"/>
          <w:sz w:val="20"/>
          <w:szCs w:val="20"/>
          <w:lang w:val="es-CR"/>
        </w:rPr>
        <w:footnoteReference w:id="51"/>
      </w:r>
      <w:r w:rsidR="00F0641A">
        <w:rPr>
          <w:rFonts w:ascii="Verdana" w:hAnsi="Verdana"/>
          <w:sz w:val="20"/>
          <w:szCs w:val="20"/>
          <w:lang w:val="es-CR"/>
        </w:rPr>
        <w:t>.</w:t>
      </w:r>
      <w:r>
        <w:rPr>
          <w:rFonts w:ascii="Verdana" w:hAnsi="Verdana"/>
          <w:sz w:val="20"/>
          <w:szCs w:val="20"/>
          <w:lang w:val="es-CR"/>
        </w:rPr>
        <w:t xml:space="preserve"> </w:t>
      </w:r>
    </w:p>
    <w:p w14:paraId="0C726BE2" w14:textId="111BD956" w:rsidR="00F0641A" w:rsidRPr="00F0641A" w:rsidRDefault="00212660" w:rsidP="00B06955">
      <w:pPr>
        <w:pStyle w:val="Prrafodelista"/>
        <w:numPr>
          <w:ilvl w:val="0"/>
          <w:numId w:val="3"/>
        </w:numPr>
        <w:spacing w:before="120" w:after="120"/>
        <w:ind w:left="0" w:hanging="11"/>
        <w:contextualSpacing w:val="0"/>
        <w:jc w:val="both"/>
        <w:rPr>
          <w:rFonts w:ascii="Verdana" w:hAnsi="Verdana"/>
          <w:sz w:val="20"/>
          <w:szCs w:val="20"/>
          <w:lang w:val="es-CR"/>
        </w:rPr>
      </w:pPr>
      <w:r>
        <w:rPr>
          <w:rFonts w:ascii="Verdana" w:hAnsi="Verdana"/>
          <w:sz w:val="20"/>
          <w:szCs w:val="20"/>
          <w:lang w:val="es-AR"/>
        </w:rPr>
        <w:t>En cuanto a la primera objeción</w:t>
      </w:r>
      <w:r w:rsidR="00615687" w:rsidRPr="00615687">
        <w:rPr>
          <w:rFonts w:ascii="Verdana" w:hAnsi="Verdana"/>
          <w:sz w:val="20"/>
          <w:szCs w:val="20"/>
          <w:lang w:val="es-AR"/>
        </w:rPr>
        <w:t xml:space="preserve">, este Tribunal reconoce la importancia de que las víctimas se encuentren informadas de la </w:t>
      </w:r>
      <w:r w:rsidR="0002211C">
        <w:rPr>
          <w:rFonts w:ascii="Verdana" w:hAnsi="Verdana"/>
          <w:sz w:val="20"/>
          <w:szCs w:val="20"/>
          <w:lang w:val="es-AR"/>
        </w:rPr>
        <w:t>fecha en que será realizada la difusión radial</w:t>
      </w:r>
      <w:r w:rsidR="00615687" w:rsidRPr="00615687">
        <w:rPr>
          <w:rFonts w:ascii="Verdana" w:hAnsi="Verdana"/>
          <w:sz w:val="20"/>
          <w:szCs w:val="20"/>
          <w:lang w:val="es-AR"/>
        </w:rPr>
        <w:t xml:space="preserve"> para que puedan tener acceso a la misma en la época en que se efectúa</w:t>
      </w:r>
      <w:r w:rsidR="0002211C">
        <w:rPr>
          <w:rFonts w:ascii="Verdana" w:hAnsi="Verdana"/>
          <w:sz w:val="20"/>
          <w:szCs w:val="20"/>
          <w:lang w:val="es-AR"/>
        </w:rPr>
        <w:t xml:space="preserve">, </w:t>
      </w:r>
      <w:r w:rsidR="0002211C" w:rsidRPr="00E76965">
        <w:rPr>
          <w:rFonts w:ascii="Verdana" w:hAnsi="Verdana"/>
          <w:sz w:val="20"/>
          <w:szCs w:val="20"/>
          <w:lang w:val="es-AR"/>
        </w:rPr>
        <w:t>motivo por e</w:t>
      </w:r>
      <w:r w:rsidR="008B488A" w:rsidRPr="00E76965">
        <w:rPr>
          <w:rFonts w:ascii="Verdana" w:hAnsi="Verdana"/>
          <w:sz w:val="20"/>
          <w:szCs w:val="20"/>
          <w:lang w:val="es-AR"/>
        </w:rPr>
        <w:t xml:space="preserve">l cual ordenó </w:t>
      </w:r>
      <w:r w:rsidR="008B488A" w:rsidRPr="00E76965">
        <w:rPr>
          <w:rFonts w:ascii="Verdana" w:hAnsi="Verdana"/>
          <w:sz w:val="20"/>
          <w:szCs w:val="20"/>
          <w:lang w:val="es-AR"/>
        </w:rPr>
        <w:lastRenderedPageBreak/>
        <w:t>al Estado comunicar previamente</w:t>
      </w:r>
      <w:r w:rsidR="0002211C" w:rsidRPr="00E76965">
        <w:rPr>
          <w:rFonts w:ascii="Verdana" w:hAnsi="Verdana"/>
          <w:sz w:val="20"/>
          <w:szCs w:val="20"/>
          <w:lang w:val="es-AR"/>
        </w:rPr>
        <w:t xml:space="preserve"> a los representantes los detalles de la misma </w:t>
      </w:r>
      <w:r w:rsidR="0002211C">
        <w:rPr>
          <w:rFonts w:ascii="Verdana" w:hAnsi="Verdana"/>
          <w:sz w:val="20"/>
          <w:szCs w:val="20"/>
          <w:lang w:val="es-AR"/>
        </w:rPr>
        <w:t>(</w:t>
      </w:r>
      <w:r w:rsidR="0002211C">
        <w:rPr>
          <w:rFonts w:ascii="Verdana" w:hAnsi="Verdana"/>
          <w:i/>
          <w:sz w:val="20"/>
          <w:szCs w:val="20"/>
          <w:lang w:val="es-AR"/>
        </w:rPr>
        <w:t xml:space="preserve">supra </w:t>
      </w:r>
      <w:r w:rsidR="0002211C">
        <w:rPr>
          <w:rFonts w:ascii="Verdana" w:hAnsi="Verdana"/>
          <w:sz w:val="20"/>
          <w:szCs w:val="20"/>
          <w:lang w:val="es-AR"/>
        </w:rPr>
        <w:t xml:space="preserve">Considerando </w:t>
      </w:r>
      <w:r w:rsidR="0002211C">
        <w:rPr>
          <w:rFonts w:ascii="Verdana" w:hAnsi="Verdana"/>
          <w:sz w:val="20"/>
          <w:szCs w:val="20"/>
          <w:lang w:val="es-AR"/>
        </w:rPr>
        <w:fldChar w:fldCharType="begin"/>
      </w:r>
      <w:r w:rsidR="0002211C">
        <w:rPr>
          <w:rFonts w:ascii="Verdana" w:hAnsi="Verdana"/>
          <w:sz w:val="20"/>
          <w:szCs w:val="20"/>
          <w:lang w:val="es-AR"/>
        </w:rPr>
        <w:instrText xml:space="preserve"> REF _Ref12529676 \r \h </w:instrText>
      </w:r>
      <w:r w:rsidR="0002211C">
        <w:rPr>
          <w:rFonts w:ascii="Verdana" w:hAnsi="Verdana"/>
          <w:sz w:val="20"/>
          <w:szCs w:val="20"/>
          <w:lang w:val="es-AR"/>
        </w:rPr>
      </w:r>
      <w:r w:rsidR="0002211C">
        <w:rPr>
          <w:rFonts w:ascii="Verdana" w:hAnsi="Verdana"/>
          <w:sz w:val="20"/>
          <w:szCs w:val="20"/>
          <w:lang w:val="es-AR"/>
        </w:rPr>
        <w:fldChar w:fldCharType="separate"/>
      </w:r>
      <w:r w:rsidR="00D11D5D">
        <w:rPr>
          <w:rFonts w:ascii="Verdana" w:hAnsi="Verdana"/>
          <w:sz w:val="20"/>
          <w:szCs w:val="20"/>
          <w:lang w:val="es-AR"/>
        </w:rPr>
        <w:t>31</w:t>
      </w:r>
      <w:r w:rsidR="0002211C">
        <w:rPr>
          <w:rFonts w:ascii="Verdana" w:hAnsi="Verdana"/>
          <w:sz w:val="20"/>
          <w:szCs w:val="20"/>
          <w:lang w:val="es-AR"/>
        </w:rPr>
        <w:fldChar w:fldCharType="end"/>
      </w:r>
      <w:r w:rsidR="0002211C">
        <w:rPr>
          <w:rFonts w:ascii="Verdana" w:hAnsi="Verdana"/>
          <w:sz w:val="20"/>
          <w:szCs w:val="20"/>
          <w:lang w:val="es-AR"/>
        </w:rPr>
        <w:t>)</w:t>
      </w:r>
      <w:r w:rsidR="00615687" w:rsidRPr="00615687">
        <w:rPr>
          <w:rFonts w:ascii="Verdana" w:hAnsi="Verdana"/>
          <w:sz w:val="20"/>
          <w:szCs w:val="20"/>
          <w:lang w:val="es-AR"/>
        </w:rPr>
        <w:t xml:space="preserve">. No obstante, al evaluar el cumplimiento de la publicación, la Corte debe tomar en cuenta que la Sentencia no dispuso que el Estado </w:t>
      </w:r>
      <w:r w:rsidR="00615687" w:rsidRPr="00E76965">
        <w:rPr>
          <w:rFonts w:ascii="Verdana" w:hAnsi="Verdana"/>
          <w:sz w:val="20"/>
          <w:szCs w:val="20"/>
          <w:lang w:val="es-AR"/>
        </w:rPr>
        <w:t xml:space="preserve">debiera </w:t>
      </w:r>
      <w:r w:rsidR="003E5B5A" w:rsidRPr="00E76965">
        <w:rPr>
          <w:rFonts w:ascii="Verdana" w:hAnsi="Verdana"/>
          <w:sz w:val="20"/>
          <w:szCs w:val="20"/>
          <w:lang w:val="es-AR"/>
        </w:rPr>
        <w:t>“</w:t>
      </w:r>
      <w:r w:rsidR="0002211C" w:rsidRPr="00E76965">
        <w:rPr>
          <w:rFonts w:ascii="Verdana" w:hAnsi="Verdana"/>
          <w:sz w:val="20"/>
          <w:szCs w:val="20"/>
          <w:lang w:val="es-AR"/>
        </w:rPr>
        <w:t>consensuar</w:t>
      </w:r>
      <w:r w:rsidR="003E5B5A" w:rsidRPr="00E76965">
        <w:rPr>
          <w:rFonts w:ascii="Verdana" w:hAnsi="Verdana"/>
          <w:sz w:val="20"/>
          <w:szCs w:val="20"/>
          <w:lang w:val="es-AR"/>
        </w:rPr>
        <w:t>”</w:t>
      </w:r>
      <w:r w:rsidR="0002211C" w:rsidRPr="00E76965">
        <w:rPr>
          <w:rFonts w:ascii="Verdana" w:hAnsi="Verdana"/>
          <w:sz w:val="20"/>
          <w:szCs w:val="20"/>
          <w:lang w:val="es-AR"/>
        </w:rPr>
        <w:t xml:space="preserve"> dichos detalles con los representantes</w:t>
      </w:r>
      <w:r w:rsidR="00615687" w:rsidRPr="00E76965">
        <w:rPr>
          <w:rFonts w:ascii="Verdana" w:hAnsi="Verdana"/>
          <w:sz w:val="20"/>
          <w:szCs w:val="20"/>
          <w:lang w:val="es-AR"/>
        </w:rPr>
        <w:t xml:space="preserve">. </w:t>
      </w:r>
      <w:r w:rsidR="004D5A4E" w:rsidRPr="00E76965">
        <w:rPr>
          <w:rFonts w:ascii="Verdana" w:hAnsi="Verdana"/>
          <w:sz w:val="20"/>
          <w:szCs w:val="20"/>
          <w:lang w:val="es-AR"/>
        </w:rPr>
        <w:t>Por ello,</w:t>
      </w:r>
      <w:r w:rsidR="0002211C" w:rsidRPr="00E76965">
        <w:rPr>
          <w:rFonts w:ascii="Verdana" w:hAnsi="Verdana"/>
          <w:sz w:val="20"/>
          <w:szCs w:val="20"/>
          <w:lang w:val="es-AR"/>
        </w:rPr>
        <w:t xml:space="preserve"> dado que los representantes no alegan que el Estado haya incumplido con su deber de </w:t>
      </w:r>
      <w:r w:rsidR="008B488A" w:rsidRPr="00E76965">
        <w:rPr>
          <w:rFonts w:ascii="Verdana" w:hAnsi="Verdana"/>
          <w:sz w:val="20"/>
          <w:szCs w:val="20"/>
          <w:lang w:val="es-AR"/>
        </w:rPr>
        <w:t xml:space="preserve">comunicar </w:t>
      </w:r>
      <w:r w:rsidR="0002211C" w:rsidRPr="00E76965">
        <w:rPr>
          <w:rFonts w:ascii="Verdana" w:hAnsi="Verdana"/>
          <w:sz w:val="20"/>
          <w:szCs w:val="20"/>
          <w:lang w:val="es-AR"/>
        </w:rPr>
        <w:t>previamente los detalles de la difusión,</w:t>
      </w:r>
      <w:r w:rsidR="004D5A4E" w:rsidRPr="00E76965">
        <w:rPr>
          <w:rFonts w:ascii="Verdana" w:hAnsi="Verdana"/>
          <w:sz w:val="20"/>
          <w:szCs w:val="20"/>
          <w:lang w:val="es-AR"/>
        </w:rPr>
        <w:t xml:space="preserve"> la Corte c</w:t>
      </w:r>
      <w:r w:rsidR="004D5A4E">
        <w:rPr>
          <w:rFonts w:ascii="Verdana" w:hAnsi="Verdana"/>
          <w:sz w:val="20"/>
          <w:szCs w:val="20"/>
          <w:lang w:val="es-AR"/>
        </w:rPr>
        <w:t xml:space="preserve">onsidera que el Estado ha dado cumplimiento a la transmisión radial del resumen oficial de la Sentencia en idioma español. </w:t>
      </w:r>
    </w:p>
    <w:p w14:paraId="1CA17108" w14:textId="5518520A" w:rsidR="0024470F" w:rsidRPr="00F0641A" w:rsidRDefault="00212660" w:rsidP="003C5EB6">
      <w:pPr>
        <w:pStyle w:val="Prrafodelista"/>
        <w:numPr>
          <w:ilvl w:val="0"/>
          <w:numId w:val="3"/>
        </w:numPr>
        <w:spacing w:before="120" w:after="120"/>
        <w:ind w:left="0" w:hanging="11"/>
        <w:contextualSpacing w:val="0"/>
        <w:jc w:val="both"/>
        <w:rPr>
          <w:rFonts w:ascii="Verdana" w:hAnsi="Verdana"/>
          <w:sz w:val="20"/>
          <w:szCs w:val="20"/>
          <w:lang w:val="es-CR"/>
        </w:rPr>
      </w:pPr>
      <w:r>
        <w:rPr>
          <w:rFonts w:ascii="Verdana" w:hAnsi="Verdana"/>
          <w:sz w:val="20"/>
          <w:szCs w:val="20"/>
          <w:lang w:val="es-CO"/>
        </w:rPr>
        <w:t>Con respecto a</w:t>
      </w:r>
      <w:r w:rsidR="00102D34" w:rsidRPr="00F0641A">
        <w:rPr>
          <w:rFonts w:ascii="Verdana" w:hAnsi="Verdana"/>
          <w:sz w:val="20"/>
          <w:szCs w:val="20"/>
          <w:lang w:val="es-CO"/>
        </w:rPr>
        <w:t xml:space="preserve"> </w:t>
      </w:r>
      <w:r w:rsidR="00C52D40" w:rsidRPr="00F0641A">
        <w:rPr>
          <w:rFonts w:ascii="Verdana" w:hAnsi="Verdana"/>
          <w:sz w:val="20"/>
          <w:szCs w:val="20"/>
          <w:lang w:val="es-CO"/>
        </w:rPr>
        <w:t xml:space="preserve">las </w:t>
      </w:r>
      <w:r w:rsidR="00F0641A">
        <w:rPr>
          <w:rFonts w:ascii="Verdana" w:hAnsi="Verdana"/>
          <w:sz w:val="20"/>
          <w:szCs w:val="20"/>
          <w:lang w:val="es-CO"/>
        </w:rPr>
        <w:t xml:space="preserve">supuestas </w:t>
      </w:r>
      <w:r w:rsidR="00C52D40" w:rsidRPr="00F0641A">
        <w:rPr>
          <w:rFonts w:ascii="Verdana" w:hAnsi="Verdana"/>
          <w:sz w:val="20"/>
          <w:szCs w:val="20"/>
          <w:lang w:val="es-CO"/>
        </w:rPr>
        <w:t xml:space="preserve">falencias en la traducción a </w:t>
      </w:r>
      <w:r w:rsidR="00E7251C">
        <w:rPr>
          <w:rFonts w:ascii="Verdana" w:hAnsi="Verdana"/>
          <w:sz w:val="20"/>
          <w:szCs w:val="20"/>
          <w:lang w:val="es-CO"/>
        </w:rPr>
        <w:t xml:space="preserve">la </w:t>
      </w:r>
      <w:r w:rsidR="00C52D40" w:rsidRPr="00F0641A">
        <w:rPr>
          <w:rFonts w:ascii="Verdana" w:hAnsi="Verdana"/>
          <w:sz w:val="20"/>
          <w:szCs w:val="20"/>
          <w:lang w:val="es-CO"/>
        </w:rPr>
        <w:t xml:space="preserve">lengua garífuna, </w:t>
      </w:r>
      <w:r w:rsidR="0024470F" w:rsidRPr="00F0641A">
        <w:rPr>
          <w:rFonts w:ascii="Verdana" w:hAnsi="Verdana"/>
          <w:sz w:val="20"/>
          <w:szCs w:val="20"/>
          <w:lang w:val="es-CO"/>
        </w:rPr>
        <w:t>es</w:t>
      </w:r>
      <w:r w:rsidR="00ED12E8">
        <w:rPr>
          <w:rFonts w:ascii="Verdana" w:hAnsi="Verdana"/>
          <w:sz w:val="20"/>
          <w:szCs w:val="20"/>
          <w:lang w:val="es-CO"/>
        </w:rPr>
        <w:t>t</w:t>
      </w:r>
      <w:r w:rsidR="0024470F" w:rsidRPr="00F0641A">
        <w:rPr>
          <w:rFonts w:ascii="Verdana" w:hAnsi="Verdana"/>
          <w:sz w:val="20"/>
          <w:szCs w:val="20"/>
          <w:lang w:val="es-CO"/>
        </w:rPr>
        <w:t>e Tribunal</w:t>
      </w:r>
      <w:r w:rsidR="00694F4F">
        <w:rPr>
          <w:rFonts w:ascii="Verdana" w:hAnsi="Verdana"/>
          <w:sz w:val="20"/>
          <w:szCs w:val="20"/>
          <w:lang w:val="es-CO"/>
        </w:rPr>
        <w:t xml:space="preserve"> </w:t>
      </w:r>
      <w:r w:rsidR="00ED12E8">
        <w:rPr>
          <w:rFonts w:ascii="Verdana" w:hAnsi="Verdana"/>
          <w:sz w:val="20"/>
          <w:szCs w:val="20"/>
          <w:lang w:val="es-CO"/>
        </w:rPr>
        <w:t xml:space="preserve">ha valorado en otra ocasión </w:t>
      </w:r>
      <w:r w:rsidR="00ED12E8" w:rsidRPr="00A77940">
        <w:rPr>
          <w:rFonts w:ascii="Verdana" w:hAnsi="Verdana"/>
          <w:sz w:val="20"/>
          <w:szCs w:val="20"/>
          <w:lang w:val="es-ES"/>
        </w:rPr>
        <w:t xml:space="preserve">los esfuerzos realizados por </w:t>
      </w:r>
      <w:r w:rsidR="00ED12E8">
        <w:rPr>
          <w:rFonts w:ascii="Verdana" w:hAnsi="Verdana"/>
          <w:sz w:val="20"/>
          <w:szCs w:val="20"/>
          <w:lang w:val="es-ES"/>
        </w:rPr>
        <w:t>los</w:t>
      </w:r>
      <w:r w:rsidR="00ED12E8" w:rsidRPr="00A77940">
        <w:rPr>
          <w:rFonts w:ascii="Verdana" w:hAnsi="Verdana"/>
          <w:sz w:val="20"/>
          <w:szCs w:val="20"/>
          <w:lang w:val="es-ES"/>
        </w:rPr>
        <w:t xml:space="preserve"> Estado</w:t>
      </w:r>
      <w:r w:rsidR="00ED12E8">
        <w:rPr>
          <w:rFonts w:ascii="Verdana" w:hAnsi="Verdana"/>
          <w:sz w:val="20"/>
          <w:szCs w:val="20"/>
          <w:lang w:val="es-ES"/>
        </w:rPr>
        <w:t>s en materia de</w:t>
      </w:r>
      <w:r w:rsidR="00ED12E8" w:rsidRPr="00A77940">
        <w:rPr>
          <w:rFonts w:ascii="Verdana" w:hAnsi="Verdana"/>
          <w:sz w:val="20"/>
          <w:szCs w:val="20"/>
          <w:lang w:val="es-ES"/>
        </w:rPr>
        <w:t xml:space="preserve"> coordinación para que las traducciones del resumen oficial de la S</w:t>
      </w:r>
      <w:r w:rsidR="00ED12E8">
        <w:rPr>
          <w:rFonts w:ascii="Verdana" w:hAnsi="Verdana"/>
          <w:sz w:val="20"/>
          <w:szCs w:val="20"/>
          <w:lang w:val="es-ES"/>
        </w:rPr>
        <w:t>entencia a las lenguas de las comunidades afectadas</w:t>
      </w:r>
      <w:r w:rsidR="00ED12E8" w:rsidRPr="00A77940">
        <w:rPr>
          <w:rFonts w:ascii="Verdana" w:hAnsi="Verdana"/>
          <w:sz w:val="20"/>
          <w:szCs w:val="20"/>
          <w:lang w:val="es-ES"/>
        </w:rPr>
        <w:t xml:space="preserve"> co</w:t>
      </w:r>
      <w:r w:rsidR="00ED12E8">
        <w:rPr>
          <w:rFonts w:ascii="Verdana" w:hAnsi="Verdana"/>
          <w:sz w:val="20"/>
          <w:szCs w:val="20"/>
          <w:lang w:val="es-ES"/>
        </w:rPr>
        <w:t>ntaran con la aprobación de éstas</w:t>
      </w:r>
      <w:r w:rsidR="00ED12E8" w:rsidRPr="00A77940">
        <w:rPr>
          <w:rFonts w:ascii="Verdana" w:hAnsi="Verdana"/>
          <w:sz w:val="20"/>
          <w:szCs w:val="20"/>
          <w:lang w:val="es-ES"/>
        </w:rPr>
        <w:t xml:space="preserve"> previo a su radiodifusión</w:t>
      </w:r>
      <w:r w:rsidR="00ED12E8">
        <w:rPr>
          <w:rStyle w:val="Refdenotaalpie"/>
          <w:rFonts w:ascii="Verdana" w:hAnsi="Verdana"/>
          <w:sz w:val="20"/>
          <w:szCs w:val="20"/>
          <w:lang w:val="es-ES"/>
        </w:rPr>
        <w:footnoteReference w:id="52"/>
      </w:r>
      <w:r w:rsidR="00ED12E8">
        <w:rPr>
          <w:rFonts w:ascii="Verdana" w:hAnsi="Verdana"/>
          <w:sz w:val="20"/>
          <w:szCs w:val="20"/>
          <w:lang w:val="es-ES"/>
        </w:rPr>
        <w:t>.</w:t>
      </w:r>
      <w:r>
        <w:rPr>
          <w:rFonts w:ascii="Verdana" w:hAnsi="Verdana"/>
          <w:sz w:val="20"/>
          <w:szCs w:val="20"/>
          <w:lang w:val="es-ES"/>
        </w:rPr>
        <w:t xml:space="preserve"> </w:t>
      </w:r>
      <w:r w:rsidR="00C17D19">
        <w:rPr>
          <w:rFonts w:ascii="Verdana" w:hAnsi="Verdana"/>
          <w:sz w:val="20"/>
          <w:szCs w:val="20"/>
          <w:lang w:val="es-CO"/>
        </w:rPr>
        <w:t>L</w:t>
      </w:r>
      <w:r w:rsidR="00F04035" w:rsidRPr="00F0641A">
        <w:rPr>
          <w:rFonts w:ascii="Verdana" w:hAnsi="Verdana"/>
          <w:sz w:val="20"/>
          <w:szCs w:val="20"/>
          <w:lang w:val="es-CO"/>
        </w:rPr>
        <w:t>a trascend</w:t>
      </w:r>
      <w:r w:rsidR="002C5D27" w:rsidRPr="00F0641A">
        <w:rPr>
          <w:rFonts w:ascii="Verdana" w:hAnsi="Verdana"/>
          <w:sz w:val="20"/>
          <w:szCs w:val="20"/>
          <w:lang w:val="es-CO"/>
        </w:rPr>
        <w:t>enc</w:t>
      </w:r>
      <w:r w:rsidR="00F04035" w:rsidRPr="00F0641A">
        <w:rPr>
          <w:rFonts w:ascii="Verdana" w:hAnsi="Verdana"/>
          <w:sz w:val="20"/>
          <w:szCs w:val="20"/>
          <w:lang w:val="es-CO"/>
        </w:rPr>
        <w:t xml:space="preserve">ia que tiene </w:t>
      </w:r>
      <w:r w:rsidR="002C5D27" w:rsidRPr="00F0641A">
        <w:rPr>
          <w:rFonts w:ascii="Verdana" w:hAnsi="Verdana"/>
          <w:sz w:val="20"/>
          <w:szCs w:val="20"/>
          <w:lang w:val="es-CO"/>
        </w:rPr>
        <w:t>publicar</w:t>
      </w:r>
      <w:r w:rsidR="00C17D19">
        <w:rPr>
          <w:rFonts w:ascii="Verdana" w:hAnsi="Verdana"/>
          <w:sz w:val="20"/>
          <w:szCs w:val="20"/>
          <w:lang w:val="es-CO"/>
        </w:rPr>
        <w:t xml:space="preserve"> una S</w:t>
      </w:r>
      <w:r w:rsidR="00F04035" w:rsidRPr="00F0641A">
        <w:rPr>
          <w:rFonts w:ascii="Verdana" w:hAnsi="Verdana"/>
          <w:sz w:val="20"/>
          <w:szCs w:val="20"/>
          <w:lang w:val="es-CO"/>
        </w:rPr>
        <w:t xml:space="preserve">entencia en la propia lengua de las comunidades </w:t>
      </w:r>
      <w:r w:rsidR="00F0641A">
        <w:rPr>
          <w:rFonts w:ascii="Verdana" w:hAnsi="Verdana"/>
          <w:sz w:val="20"/>
          <w:szCs w:val="20"/>
          <w:lang w:val="es-CO"/>
        </w:rPr>
        <w:t>afectadas</w:t>
      </w:r>
      <w:r w:rsidR="00C17D19">
        <w:rPr>
          <w:rFonts w:ascii="Verdana" w:hAnsi="Verdana"/>
          <w:sz w:val="20"/>
          <w:szCs w:val="20"/>
          <w:lang w:val="es-CO"/>
        </w:rPr>
        <w:t xml:space="preserve"> reside en que</w:t>
      </w:r>
      <w:r w:rsidR="00F04035" w:rsidRPr="00F0641A">
        <w:rPr>
          <w:rFonts w:ascii="Verdana" w:hAnsi="Verdana"/>
          <w:sz w:val="20"/>
          <w:szCs w:val="20"/>
          <w:lang w:val="es-CO"/>
        </w:rPr>
        <w:t xml:space="preserve"> permite </w:t>
      </w:r>
      <w:r w:rsidR="002C5D27" w:rsidRPr="00F0641A">
        <w:rPr>
          <w:rFonts w:ascii="Verdana" w:hAnsi="Verdana"/>
          <w:sz w:val="20"/>
          <w:szCs w:val="20"/>
          <w:lang w:val="es-CO"/>
        </w:rPr>
        <w:t xml:space="preserve">el acercamiento de la labor de </w:t>
      </w:r>
      <w:r w:rsidR="00F04035" w:rsidRPr="00F0641A">
        <w:rPr>
          <w:rFonts w:ascii="Verdana" w:hAnsi="Verdana"/>
          <w:sz w:val="20"/>
          <w:szCs w:val="20"/>
          <w:lang w:val="es-CO"/>
        </w:rPr>
        <w:t>los organismos internacionales a los pueblos indígenas y despliega el efecto reparador y simbólico de dicha medida en el seno de la</w:t>
      </w:r>
      <w:r w:rsidR="00E7251C">
        <w:rPr>
          <w:rFonts w:ascii="Verdana" w:hAnsi="Verdana"/>
          <w:sz w:val="20"/>
          <w:szCs w:val="20"/>
          <w:lang w:val="es-CO"/>
        </w:rPr>
        <w:t>s</w:t>
      </w:r>
      <w:r w:rsidR="00F04035" w:rsidRPr="00F0641A">
        <w:rPr>
          <w:rFonts w:ascii="Verdana" w:hAnsi="Verdana"/>
          <w:sz w:val="20"/>
          <w:szCs w:val="20"/>
          <w:lang w:val="es-CO"/>
        </w:rPr>
        <w:t xml:space="preserve"> </w:t>
      </w:r>
      <w:r w:rsidR="00E7251C">
        <w:rPr>
          <w:rFonts w:ascii="Verdana" w:hAnsi="Verdana"/>
          <w:sz w:val="20"/>
          <w:szCs w:val="20"/>
          <w:lang w:val="es-CO"/>
        </w:rPr>
        <w:t>c</w:t>
      </w:r>
      <w:r w:rsidR="00F04035" w:rsidRPr="00F0641A">
        <w:rPr>
          <w:rFonts w:ascii="Verdana" w:hAnsi="Verdana"/>
          <w:sz w:val="20"/>
          <w:szCs w:val="20"/>
          <w:lang w:val="es-CO"/>
        </w:rPr>
        <w:t>omunidad</w:t>
      </w:r>
      <w:r w:rsidR="00E7251C">
        <w:rPr>
          <w:rFonts w:ascii="Verdana" w:hAnsi="Verdana"/>
          <w:sz w:val="20"/>
          <w:szCs w:val="20"/>
          <w:lang w:val="es-CO"/>
        </w:rPr>
        <w:t>es</w:t>
      </w:r>
      <w:r w:rsidR="00F04035" w:rsidRPr="00B06955">
        <w:rPr>
          <w:rStyle w:val="Refdenotaalpie"/>
          <w:rFonts w:ascii="Verdana" w:hAnsi="Verdana"/>
          <w:sz w:val="20"/>
          <w:szCs w:val="20"/>
          <w:lang w:val="es-CO"/>
        </w:rPr>
        <w:footnoteReference w:id="53"/>
      </w:r>
      <w:bookmarkStart w:id="21" w:name="_Ref5005388"/>
      <w:r w:rsidR="00C17D19">
        <w:rPr>
          <w:rFonts w:ascii="Verdana" w:hAnsi="Verdana"/>
          <w:sz w:val="20"/>
          <w:szCs w:val="20"/>
          <w:lang w:val="es-CO"/>
        </w:rPr>
        <w:t>. Por ello,</w:t>
      </w:r>
      <w:r w:rsidR="00694F4F">
        <w:rPr>
          <w:rFonts w:ascii="Verdana" w:hAnsi="Verdana"/>
          <w:sz w:val="20"/>
          <w:szCs w:val="20"/>
          <w:lang w:val="es-CO"/>
        </w:rPr>
        <w:t xml:space="preserve"> una interpretación de buena fe</w:t>
      </w:r>
      <w:r w:rsidR="00694F4F">
        <w:rPr>
          <w:rStyle w:val="Refdenotaalpie"/>
          <w:rFonts w:ascii="Verdana" w:hAnsi="Verdana"/>
          <w:sz w:val="20"/>
          <w:szCs w:val="20"/>
          <w:lang w:val="es-CO"/>
        </w:rPr>
        <w:footnoteReference w:id="54"/>
      </w:r>
      <w:r w:rsidR="00694F4F">
        <w:rPr>
          <w:rFonts w:ascii="Verdana" w:hAnsi="Verdana"/>
          <w:sz w:val="20"/>
          <w:szCs w:val="20"/>
          <w:lang w:val="es-CO"/>
        </w:rPr>
        <w:t xml:space="preserve"> </w:t>
      </w:r>
      <w:bookmarkEnd w:id="21"/>
      <w:r w:rsidR="00694F4F">
        <w:rPr>
          <w:rFonts w:ascii="Verdana" w:hAnsi="Verdana"/>
          <w:sz w:val="20"/>
          <w:szCs w:val="20"/>
          <w:lang w:val="es-CO"/>
        </w:rPr>
        <w:t>de lo dispuesto en el punto resolutivo decimocuarto de la Sentencia requiere, necesariamente, que toda traducción que el Estado realice pueda ser entendida por las comuni</w:t>
      </w:r>
      <w:r>
        <w:rPr>
          <w:rFonts w:ascii="Verdana" w:hAnsi="Verdana"/>
          <w:sz w:val="20"/>
          <w:szCs w:val="20"/>
          <w:lang w:val="es-CO"/>
        </w:rPr>
        <w:t>dades destinatarias de la misma. Asimismo, la Corte nota que son dichas comunidades</w:t>
      </w:r>
      <w:r w:rsidR="00694F4F">
        <w:rPr>
          <w:rFonts w:ascii="Verdana" w:hAnsi="Verdana"/>
          <w:sz w:val="20"/>
          <w:szCs w:val="20"/>
          <w:lang w:val="es-CO"/>
        </w:rPr>
        <w:t xml:space="preserve"> quienes están en mejor posición de determinar si la traducción en cuestión reproduce </w:t>
      </w:r>
      <w:r>
        <w:rPr>
          <w:rFonts w:ascii="Verdana" w:hAnsi="Verdana"/>
          <w:sz w:val="20"/>
          <w:szCs w:val="20"/>
          <w:lang w:val="es-CO"/>
        </w:rPr>
        <w:t>de manera fiel lo dispuesto en</w:t>
      </w:r>
      <w:r w:rsidR="00694F4F">
        <w:rPr>
          <w:rFonts w:ascii="Verdana" w:hAnsi="Verdana"/>
          <w:sz w:val="20"/>
          <w:szCs w:val="20"/>
          <w:lang w:val="es-CO"/>
        </w:rPr>
        <w:t xml:space="preserve"> la versión original. En consecuencia, </w:t>
      </w:r>
      <w:r w:rsidR="00C17D19">
        <w:rPr>
          <w:rFonts w:ascii="Verdana" w:hAnsi="Verdana"/>
          <w:sz w:val="20"/>
          <w:szCs w:val="20"/>
          <w:lang w:val="es-CO"/>
        </w:rPr>
        <w:t xml:space="preserve">tomando en consideración </w:t>
      </w:r>
      <w:r w:rsidR="005C4D69">
        <w:rPr>
          <w:rFonts w:ascii="Verdana" w:hAnsi="Verdana"/>
          <w:sz w:val="20"/>
          <w:szCs w:val="20"/>
          <w:lang w:val="es-CO"/>
        </w:rPr>
        <w:t xml:space="preserve">el objetivo de esta medida de satisfacción, y que el Estado no explicó cómo se efectuó la traducción, </w:t>
      </w:r>
      <w:r w:rsidR="00694F4F">
        <w:rPr>
          <w:rFonts w:ascii="Verdana" w:hAnsi="Verdana"/>
          <w:sz w:val="20"/>
          <w:szCs w:val="20"/>
          <w:lang w:val="es-CO"/>
        </w:rPr>
        <w:t>este Tribunal considera que se encuentra</w:t>
      </w:r>
      <w:r w:rsidR="003C5EB6">
        <w:rPr>
          <w:rFonts w:ascii="Verdana" w:hAnsi="Verdana"/>
          <w:sz w:val="20"/>
          <w:szCs w:val="20"/>
          <w:lang w:val="es-CO"/>
        </w:rPr>
        <w:t>n</w:t>
      </w:r>
      <w:r w:rsidR="00694F4F">
        <w:rPr>
          <w:rFonts w:ascii="Verdana" w:hAnsi="Verdana"/>
          <w:sz w:val="20"/>
          <w:szCs w:val="20"/>
          <w:lang w:val="es-CO"/>
        </w:rPr>
        <w:t xml:space="preserve"> pendiente</w:t>
      </w:r>
      <w:r w:rsidR="003C5EB6">
        <w:rPr>
          <w:rFonts w:ascii="Verdana" w:hAnsi="Verdana"/>
          <w:sz w:val="20"/>
          <w:szCs w:val="20"/>
          <w:lang w:val="es-CO"/>
        </w:rPr>
        <w:t>s</w:t>
      </w:r>
      <w:r w:rsidR="00694F4F">
        <w:rPr>
          <w:rFonts w:ascii="Verdana" w:hAnsi="Verdana"/>
          <w:sz w:val="20"/>
          <w:szCs w:val="20"/>
          <w:lang w:val="es-CO"/>
        </w:rPr>
        <w:t xml:space="preserve"> de cumplimiento</w:t>
      </w:r>
      <w:r w:rsidR="003C5EB6">
        <w:rPr>
          <w:rFonts w:ascii="Verdana" w:hAnsi="Verdana"/>
          <w:sz w:val="20"/>
          <w:szCs w:val="20"/>
          <w:lang w:val="es-CO"/>
        </w:rPr>
        <w:t>: (i) la publicación en lengua garífuna del resumen oficial de la Sentencia, y (</w:t>
      </w:r>
      <w:proofErr w:type="spellStart"/>
      <w:r w:rsidR="003C5EB6">
        <w:rPr>
          <w:rFonts w:ascii="Verdana" w:hAnsi="Verdana"/>
          <w:sz w:val="20"/>
          <w:szCs w:val="20"/>
          <w:lang w:val="es-CO"/>
        </w:rPr>
        <w:t>ii</w:t>
      </w:r>
      <w:proofErr w:type="spellEnd"/>
      <w:r w:rsidR="003C5EB6">
        <w:rPr>
          <w:rFonts w:ascii="Verdana" w:hAnsi="Verdana"/>
          <w:sz w:val="20"/>
          <w:szCs w:val="20"/>
          <w:lang w:val="es-CO"/>
        </w:rPr>
        <w:t>) la transmisión radial del resumen oficial de la Sentencia en idioma garífuna.</w:t>
      </w:r>
      <w:r w:rsidR="0024470F" w:rsidRPr="00F0641A">
        <w:rPr>
          <w:rFonts w:ascii="Verdana" w:hAnsi="Verdana"/>
          <w:sz w:val="20"/>
          <w:szCs w:val="20"/>
          <w:lang w:val="es-CO"/>
        </w:rPr>
        <w:t xml:space="preserve">  </w:t>
      </w:r>
    </w:p>
    <w:p w14:paraId="7879EEA9" w14:textId="7F59488D" w:rsidR="00F837DF" w:rsidRPr="005D229D" w:rsidRDefault="00F837DF" w:rsidP="00B06955">
      <w:pPr>
        <w:pStyle w:val="Prrafodelista"/>
        <w:numPr>
          <w:ilvl w:val="0"/>
          <w:numId w:val="3"/>
        </w:numPr>
        <w:spacing w:before="120" w:after="120"/>
        <w:ind w:left="0" w:hanging="11"/>
        <w:contextualSpacing w:val="0"/>
        <w:jc w:val="both"/>
        <w:rPr>
          <w:rFonts w:ascii="Verdana" w:hAnsi="Verdana"/>
          <w:sz w:val="20"/>
          <w:szCs w:val="20"/>
          <w:lang w:val="es-CR"/>
        </w:rPr>
      </w:pPr>
      <w:bookmarkStart w:id="22" w:name="_Ref12551198"/>
      <w:r w:rsidRPr="00B06955">
        <w:rPr>
          <w:rFonts w:ascii="Verdana" w:hAnsi="Verdana"/>
          <w:sz w:val="20"/>
          <w:szCs w:val="20"/>
          <w:lang w:val="es-CR"/>
        </w:rPr>
        <w:t>En virtud de lo</w:t>
      </w:r>
      <w:r w:rsidR="009E7C2A" w:rsidRPr="00B06955">
        <w:rPr>
          <w:rFonts w:ascii="Verdana" w:hAnsi="Verdana"/>
          <w:sz w:val="20"/>
          <w:szCs w:val="20"/>
          <w:lang w:val="es-CR"/>
        </w:rPr>
        <w:t xml:space="preserve"> anterior, la Corte declara que</w:t>
      </w:r>
      <w:r w:rsidR="009E7C2A" w:rsidRPr="00B06955">
        <w:rPr>
          <w:rFonts w:ascii="Verdana" w:hAnsi="Verdana"/>
          <w:sz w:val="20"/>
          <w:szCs w:val="20"/>
          <w:lang w:val="es-CO"/>
        </w:rPr>
        <w:t xml:space="preserve"> el Estado ha dado cumplimiento </w:t>
      </w:r>
      <w:r w:rsidR="003C5EB6">
        <w:rPr>
          <w:rFonts w:ascii="Verdana" w:hAnsi="Verdana"/>
          <w:sz w:val="20"/>
          <w:szCs w:val="20"/>
          <w:lang w:val="es-CO"/>
        </w:rPr>
        <w:t xml:space="preserve">parcial </w:t>
      </w:r>
      <w:r w:rsidR="009E7C2A" w:rsidRPr="00B06955">
        <w:rPr>
          <w:rFonts w:ascii="Verdana" w:hAnsi="Verdana"/>
          <w:sz w:val="20"/>
          <w:szCs w:val="20"/>
          <w:lang w:val="es-CO"/>
        </w:rPr>
        <w:t xml:space="preserve">a las medidas </w:t>
      </w:r>
      <w:r w:rsidR="00947F87">
        <w:rPr>
          <w:rFonts w:ascii="Verdana" w:hAnsi="Verdana"/>
          <w:sz w:val="20"/>
          <w:szCs w:val="20"/>
          <w:lang w:val="es-CO"/>
        </w:rPr>
        <w:t xml:space="preserve">ordenadas en el </w:t>
      </w:r>
      <w:r w:rsidR="003E395B">
        <w:rPr>
          <w:rFonts w:ascii="Verdana" w:hAnsi="Verdana"/>
          <w:sz w:val="20"/>
          <w:szCs w:val="20"/>
          <w:lang w:val="es-CO"/>
        </w:rPr>
        <w:t>punto resolutivo decimocuarto de la Sentencia, ya que ha cumplido con la</w:t>
      </w:r>
      <w:r w:rsidR="009E7C2A" w:rsidRPr="00B06955">
        <w:rPr>
          <w:rFonts w:ascii="Verdana" w:hAnsi="Verdana"/>
          <w:sz w:val="20"/>
          <w:szCs w:val="20"/>
          <w:lang w:val="es-CO"/>
        </w:rPr>
        <w:t xml:space="preserve"> publicación del resumen oficial de la Sentencia </w:t>
      </w:r>
      <w:r w:rsidR="0033335F">
        <w:rPr>
          <w:rFonts w:ascii="Verdana" w:hAnsi="Verdana"/>
          <w:sz w:val="20"/>
          <w:szCs w:val="20"/>
          <w:lang w:val="es-CO"/>
        </w:rPr>
        <w:t xml:space="preserve">en español </w:t>
      </w:r>
      <w:r w:rsidR="009E7C2A" w:rsidRPr="00B06955">
        <w:rPr>
          <w:rFonts w:ascii="Verdana" w:hAnsi="Verdana"/>
          <w:sz w:val="20"/>
          <w:szCs w:val="20"/>
          <w:lang w:val="es-CO"/>
        </w:rPr>
        <w:t xml:space="preserve">en el Diario Oficial y en un diario de amplia circulación, así como </w:t>
      </w:r>
      <w:r w:rsidR="003E395B">
        <w:rPr>
          <w:rFonts w:ascii="Verdana" w:hAnsi="Verdana"/>
          <w:sz w:val="20"/>
          <w:szCs w:val="20"/>
          <w:lang w:val="es-CO"/>
        </w:rPr>
        <w:t>con</w:t>
      </w:r>
      <w:r w:rsidR="009E7C2A" w:rsidRPr="00B06955">
        <w:rPr>
          <w:rFonts w:ascii="Verdana" w:hAnsi="Verdana"/>
          <w:sz w:val="20"/>
          <w:szCs w:val="20"/>
          <w:lang w:val="es-CO"/>
        </w:rPr>
        <w:t xml:space="preserve"> la medida de difusión del </w:t>
      </w:r>
      <w:r w:rsidR="00E6204D">
        <w:rPr>
          <w:rFonts w:ascii="Verdana" w:hAnsi="Verdana"/>
          <w:sz w:val="20"/>
          <w:szCs w:val="20"/>
          <w:lang w:val="es-CO"/>
        </w:rPr>
        <w:t>resumen oficial</w:t>
      </w:r>
      <w:r w:rsidR="009E7C2A" w:rsidRPr="00B06955">
        <w:rPr>
          <w:rFonts w:ascii="Verdana" w:hAnsi="Verdana"/>
          <w:sz w:val="20"/>
          <w:szCs w:val="20"/>
          <w:lang w:val="es-CO"/>
        </w:rPr>
        <w:t xml:space="preserve"> </w:t>
      </w:r>
      <w:r w:rsidR="0033335F">
        <w:rPr>
          <w:rFonts w:ascii="Verdana" w:hAnsi="Verdana"/>
          <w:sz w:val="20"/>
          <w:szCs w:val="20"/>
          <w:lang w:val="es-CO"/>
        </w:rPr>
        <w:t xml:space="preserve">en español </w:t>
      </w:r>
      <w:r w:rsidR="009E7C2A" w:rsidRPr="00B06955">
        <w:rPr>
          <w:rFonts w:ascii="Verdana" w:hAnsi="Verdana"/>
          <w:sz w:val="20"/>
          <w:szCs w:val="20"/>
          <w:lang w:val="es-CO"/>
        </w:rPr>
        <w:t xml:space="preserve">de la Sentencia en español en una emisora radial de amplia cobertura. </w:t>
      </w:r>
      <w:r w:rsidR="00E6204D">
        <w:rPr>
          <w:rFonts w:ascii="Verdana" w:hAnsi="Verdana"/>
          <w:sz w:val="20"/>
          <w:szCs w:val="20"/>
          <w:lang w:val="es-CO"/>
        </w:rPr>
        <w:t>Se encuentra pendiente de cumplimiento la publicación de</w:t>
      </w:r>
      <w:r w:rsidR="003F24A1" w:rsidRPr="00B06955">
        <w:rPr>
          <w:rFonts w:ascii="Verdana" w:hAnsi="Verdana"/>
          <w:sz w:val="20"/>
          <w:szCs w:val="20"/>
          <w:lang w:val="es-CO"/>
        </w:rPr>
        <w:t xml:space="preserve"> la Sentencia en su integridad en un sitio web oficial </w:t>
      </w:r>
      <w:r w:rsidR="00E6204D">
        <w:rPr>
          <w:rFonts w:ascii="Verdana" w:hAnsi="Verdana"/>
          <w:sz w:val="20"/>
          <w:szCs w:val="20"/>
          <w:lang w:val="es-CO"/>
        </w:rPr>
        <w:t xml:space="preserve">por el plazo de un año, así como la publicación y difusión radial del resumen oficial de la Sentencia en lengua garífuna, </w:t>
      </w:r>
      <w:r w:rsidR="00E6204D" w:rsidRPr="005D229D">
        <w:rPr>
          <w:rFonts w:ascii="Verdana" w:hAnsi="Verdana"/>
          <w:sz w:val="20"/>
          <w:szCs w:val="20"/>
          <w:lang w:val="es-CO"/>
        </w:rPr>
        <w:t>por lo que se requiere al Estado que presente información actualizada sobre su cumplimiento.</w:t>
      </w:r>
      <w:bookmarkEnd w:id="22"/>
      <w:r w:rsidR="00E6204D" w:rsidRPr="005D229D">
        <w:rPr>
          <w:rFonts w:ascii="Verdana" w:hAnsi="Verdana"/>
          <w:sz w:val="20"/>
          <w:szCs w:val="20"/>
          <w:lang w:val="es-CO"/>
        </w:rPr>
        <w:t xml:space="preserve"> </w:t>
      </w:r>
    </w:p>
    <w:p w14:paraId="78C5B06B" w14:textId="77777777" w:rsidR="00E6204D" w:rsidRPr="005D229D" w:rsidRDefault="00E6204D" w:rsidP="00E6204D">
      <w:pPr>
        <w:pStyle w:val="Prrafodelista"/>
        <w:spacing w:before="120" w:after="120"/>
        <w:ind w:left="0"/>
        <w:contextualSpacing w:val="0"/>
        <w:jc w:val="both"/>
        <w:rPr>
          <w:rFonts w:ascii="Verdana" w:hAnsi="Verdana"/>
          <w:sz w:val="20"/>
          <w:szCs w:val="20"/>
          <w:lang w:val="es-CR"/>
        </w:rPr>
      </w:pPr>
    </w:p>
    <w:p w14:paraId="58B4AFAF" w14:textId="70B037EE" w:rsidR="006115E2" w:rsidRPr="004023C7" w:rsidRDefault="00B06955" w:rsidP="004023C7">
      <w:pPr>
        <w:pStyle w:val="Prrafodelista"/>
        <w:numPr>
          <w:ilvl w:val="0"/>
          <w:numId w:val="6"/>
        </w:numPr>
        <w:spacing w:before="120" w:after="120"/>
        <w:contextualSpacing w:val="0"/>
        <w:jc w:val="both"/>
        <w:outlineLvl w:val="0"/>
        <w:rPr>
          <w:rFonts w:ascii="Verdana" w:hAnsi="Verdana"/>
          <w:b/>
          <w:i/>
          <w:sz w:val="20"/>
          <w:szCs w:val="20"/>
          <w:lang w:val="es-MX"/>
        </w:rPr>
      </w:pPr>
      <w:bookmarkStart w:id="23" w:name="_Toc1737137"/>
      <w:r w:rsidRPr="005D229D">
        <w:rPr>
          <w:rFonts w:ascii="Verdana" w:hAnsi="Verdana"/>
          <w:b/>
          <w:i/>
          <w:sz w:val="20"/>
          <w:szCs w:val="20"/>
          <w:lang w:val="es-MX"/>
        </w:rPr>
        <w:t>Adoptar las medidas suficientes y n</w:t>
      </w:r>
      <w:r>
        <w:rPr>
          <w:rFonts w:ascii="Verdana" w:hAnsi="Verdana"/>
          <w:b/>
          <w:i/>
          <w:sz w:val="20"/>
          <w:szCs w:val="20"/>
          <w:lang w:val="es-MX"/>
        </w:rPr>
        <w:t xml:space="preserve">ecesarias, a fin de que las disposiciones reglamentarias sobre minería no menoscaben el derecho </w:t>
      </w:r>
      <w:r w:rsidR="00F15E6E">
        <w:rPr>
          <w:rFonts w:ascii="Verdana" w:hAnsi="Verdana"/>
          <w:b/>
          <w:i/>
          <w:sz w:val="20"/>
          <w:szCs w:val="20"/>
          <w:lang w:val="es-MX"/>
        </w:rPr>
        <w:t>a</w:t>
      </w:r>
      <w:r>
        <w:rPr>
          <w:rFonts w:ascii="Verdana" w:hAnsi="Verdana"/>
          <w:b/>
          <w:i/>
          <w:sz w:val="20"/>
          <w:szCs w:val="20"/>
          <w:lang w:val="es-MX"/>
        </w:rPr>
        <w:t xml:space="preserve"> la consulta</w:t>
      </w:r>
      <w:bookmarkEnd w:id="23"/>
    </w:p>
    <w:p w14:paraId="26C4B939" w14:textId="77777777" w:rsidR="00920407" w:rsidRPr="00B06955" w:rsidRDefault="00920407" w:rsidP="00920407">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F</w:t>
      </w:r>
      <w:r w:rsidRPr="00B06955">
        <w:rPr>
          <w:rFonts w:ascii="Verdana" w:hAnsi="Verdana"/>
          <w:i/>
          <w:sz w:val="20"/>
          <w:szCs w:val="20"/>
          <w:lang w:val="es-MX"/>
        </w:rPr>
        <w:t xml:space="preserve">.1. Medida ordenada por la Corte </w:t>
      </w:r>
    </w:p>
    <w:p w14:paraId="640281B8" w14:textId="2058D46B" w:rsidR="006115E2" w:rsidRPr="00970E51" w:rsidRDefault="00920407" w:rsidP="006115E2">
      <w:pPr>
        <w:pStyle w:val="Prrafodelista"/>
        <w:numPr>
          <w:ilvl w:val="0"/>
          <w:numId w:val="3"/>
        </w:numPr>
        <w:spacing w:before="120" w:after="120"/>
        <w:ind w:left="0" w:hanging="11"/>
        <w:contextualSpacing w:val="0"/>
        <w:jc w:val="both"/>
        <w:rPr>
          <w:rFonts w:ascii="Verdana" w:hAnsi="Verdana"/>
          <w:sz w:val="20"/>
          <w:szCs w:val="20"/>
          <w:lang w:val="es-CR"/>
        </w:rPr>
      </w:pPr>
      <w:r w:rsidRPr="00B06955">
        <w:rPr>
          <w:rFonts w:ascii="Verdana" w:hAnsi="Verdana"/>
          <w:sz w:val="20"/>
          <w:szCs w:val="20"/>
          <w:lang w:val="es-MX"/>
        </w:rPr>
        <w:t xml:space="preserve">En el punto resolutivo </w:t>
      </w:r>
      <w:r w:rsidR="00CC67D0">
        <w:rPr>
          <w:rFonts w:ascii="Verdana" w:hAnsi="Verdana"/>
          <w:sz w:val="20"/>
          <w:szCs w:val="20"/>
          <w:lang w:val="es-MX"/>
        </w:rPr>
        <w:t>decimo</w:t>
      </w:r>
      <w:r w:rsidR="009D5631">
        <w:rPr>
          <w:rFonts w:ascii="Verdana" w:hAnsi="Verdana"/>
          <w:sz w:val="20"/>
          <w:szCs w:val="20"/>
          <w:lang w:val="es-MX"/>
        </w:rPr>
        <w:t>quinto</w:t>
      </w:r>
      <w:r w:rsidRPr="00B06955">
        <w:rPr>
          <w:rFonts w:ascii="Verdana" w:hAnsi="Verdana"/>
          <w:sz w:val="20"/>
          <w:szCs w:val="20"/>
          <w:lang w:val="es-MX"/>
        </w:rPr>
        <w:t xml:space="preserve"> y en los párrafos </w:t>
      </w:r>
      <w:r w:rsidR="009D5631">
        <w:rPr>
          <w:rFonts w:ascii="Verdana" w:hAnsi="Verdana"/>
          <w:sz w:val="20"/>
          <w:szCs w:val="20"/>
          <w:lang w:val="es-MX"/>
        </w:rPr>
        <w:t>344 a 346</w:t>
      </w:r>
      <w:r w:rsidRPr="00B06955">
        <w:rPr>
          <w:rFonts w:ascii="Verdana" w:hAnsi="Verdana"/>
          <w:sz w:val="20"/>
          <w:szCs w:val="20"/>
          <w:lang w:val="es-MX"/>
        </w:rPr>
        <w:t xml:space="preserve"> de la Sentencia, la Corte dispuso que </w:t>
      </w:r>
      <w:r w:rsidR="009D5631">
        <w:rPr>
          <w:rFonts w:ascii="Verdana" w:hAnsi="Verdana"/>
          <w:sz w:val="20"/>
          <w:szCs w:val="20"/>
          <w:lang w:val="es-MX"/>
        </w:rPr>
        <w:t>el Estado debía, “</w:t>
      </w:r>
      <w:r w:rsidR="009D5631" w:rsidRPr="009D5631">
        <w:rPr>
          <w:rFonts w:ascii="Verdana" w:hAnsi="Verdana"/>
          <w:sz w:val="20"/>
          <w:szCs w:val="20"/>
          <w:lang w:val="es-AR"/>
        </w:rPr>
        <w:t>en un plazo razonable, adoptar las medidas suficientes y necesarias, a fin de que sus disposiciones reglamentarias sobre minería no menoscaben el derecho a la consulta, en el sentido de que ésta deba realizarse inclusive de forma previa a la autorización de programas de prospección o exploración</w:t>
      </w:r>
      <w:r w:rsidR="009D5631">
        <w:rPr>
          <w:rFonts w:ascii="Verdana" w:hAnsi="Verdana"/>
          <w:sz w:val="20"/>
          <w:szCs w:val="20"/>
          <w:lang w:val="es-AR"/>
        </w:rPr>
        <w:t>”</w:t>
      </w:r>
      <w:r w:rsidRPr="00B06955">
        <w:rPr>
          <w:rFonts w:ascii="Verdana" w:hAnsi="Verdana"/>
          <w:sz w:val="20"/>
          <w:szCs w:val="20"/>
          <w:lang w:val="es-MX"/>
        </w:rPr>
        <w:t xml:space="preserve">. </w:t>
      </w:r>
      <w:r w:rsidR="00180A6E">
        <w:rPr>
          <w:rFonts w:ascii="Verdana" w:hAnsi="Verdana"/>
          <w:sz w:val="20"/>
          <w:szCs w:val="20"/>
          <w:lang w:val="es-MX"/>
        </w:rPr>
        <w:t xml:space="preserve">Ello en tanto concluyó </w:t>
      </w:r>
      <w:r w:rsidR="00180A6E" w:rsidRPr="00180A6E">
        <w:rPr>
          <w:rFonts w:ascii="Verdana" w:hAnsi="Verdana"/>
          <w:sz w:val="20"/>
          <w:szCs w:val="20"/>
          <w:lang w:val="es-AR"/>
        </w:rPr>
        <w:t xml:space="preserve">que el artículo 82 del Reglamento a la Ley General de Minería </w:t>
      </w:r>
      <w:r w:rsidR="00180A6E">
        <w:rPr>
          <w:rFonts w:ascii="Verdana" w:hAnsi="Verdana"/>
          <w:sz w:val="20"/>
          <w:szCs w:val="20"/>
          <w:lang w:val="es-AR"/>
        </w:rPr>
        <w:t>“</w:t>
      </w:r>
      <w:r w:rsidR="00180A6E" w:rsidRPr="00180A6E">
        <w:rPr>
          <w:rFonts w:ascii="Verdana" w:hAnsi="Verdana"/>
          <w:sz w:val="20"/>
          <w:szCs w:val="20"/>
          <w:lang w:val="es-AR"/>
        </w:rPr>
        <w:t>carecía de precisión respecto de las etapas previas de la consulta, en contravención con lo dispuesto en el artículo 50 de la misma ley que hacen alusión a los estándares internacionales en la materia</w:t>
      </w:r>
      <w:r w:rsidR="00180A6E">
        <w:rPr>
          <w:rFonts w:ascii="Verdana" w:hAnsi="Verdana"/>
          <w:sz w:val="20"/>
          <w:szCs w:val="20"/>
          <w:lang w:val="es-AR"/>
        </w:rPr>
        <w:t xml:space="preserve">”. </w:t>
      </w:r>
    </w:p>
    <w:p w14:paraId="4F374AA8" w14:textId="77777777" w:rsidR="006115E2" w:rsidRPr="006708FF" w:rsidRDefault="006115E2" w:rsidP="006115E2">
      <w:pPr>
        <w:pStyle w:val="Prrafodelista"/>
        <w:spacing w:before="120" w:after="120"/>
        <w:ind w:left="0"/>
        <w:contextualSpacing w:val="0"/>
        <w:jc w:val="both"/>
        <w:rPr>
          <w:rFonts w:ascii="Verdana" w:hAnsi="Verdana"/>
          <w:sz w:val="20"/>
          <w:szCs w:val="20"/>
          <w:lang w:val="es-CR"/>
        </w:rPr>
      </w:pPr>
    </w:p>
    <w:p w14:paraId="1737EE91" w14:textId="77777777" w:rsidR="00920407" w:rsidRPr="00B06955" w:rsidRDefault="00920407" w:rsidP="00920407">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F</w:t>
      </w:r>
      <w:r w:rsidRPr="00B06955">
        <w:rPr>
          <w:rFonts w:ascii="Verdana" w:hAnsi="Verdana"/>
          <w:i/>
          <w:sz w:val="20"/>
          <w:szCs w:val="20"/>
          <w:lang w:val="es-MX"/>
        </w:rPr>
        <w:t xml:space="preserve">.2. </w:t>
      </w:r>
      <w:r w:rsidR="005034D2" w:rsidRPr="00B06955">
        <w:rPr>
          <w:rFonts w:ascii="Verdana" w:hAnsi="Verdana"/>
          <w:i/>
          <w:sz w:val="20"/>
          <w:szCs w:val="20"/>
          <w:lang w:val="es-MX"/>
        </w:rPr>
        <w:t>Consideraciones de la Corte</w:t>
      </w:r>
    </w:p>
    <w:p w14:paraId="57C7FADB" w14:textId="200585E1" w:rsidR="001E3E24" w:rsidRPr="001E3E24" w:rsidRDefault="003A6BE3" w:rsidP="001E3E24">
      <w:pPr>
        <w:pStyle w:val="Prrafodelista"/>
        <w:numPr>
          <w:ilvl w:val="0"/>
          <w:numId w:val="3"/>
        </w:numPr>
        <w:spacing w:before="120" w:after="120"/>
        <w:ind w:left="0" w:hanging="11"/>
        <w:contextualSpacing w:val="0"/>
        <w:jc w:val="both"/>
        <w:rPr>
          <w:rFonts w:ascii="Verdana" w:hAnsi="Verdana"/>
          <w:sz w:val="20"/>
          <w:szCs w:val="20"/>
          <w:lang w:val="es-MX"/>
        </w:rPr>
      </w:pPr>
      <w:r>
        <w:rPr>
          <w:rFonts w:ascii="Verdana" w:hAnsi="Verdana"/>
          <w:sz w:val="20"/>
          <w:szCs w:val="20"/>
          <w:lang w:val="es-MX"/>
        </w:rPr>
        <w:t xml:space="preserve">El Estado informó </w:t>
      </w:r>
      <w:r w:rsidR="00782824">
        <w:rPr>
          <w:rFonts w:ascii="Verdana" w:hAnsi="Verdana"/>
          <w:sz w:val="20"/>
          <w:szCs w:val="20"/>
          <w:lang w:val="es-MX"/>
        </w:rPr>
        <w:t xml:space="preserve">que </w:t>
      </w:r>
      <w:r w:rsidR="000F229D" w:rsidRPr="005D2734">
        <w:rPr>
          <w:rFonts w:ascii="Verdana" w:hAnsi="Verdana"/>
          <w:sz w:val="20"/>
          <w:szCs w:val="20"/>
          <w:lang w:val="es-AR"/>
        </w:rPr>
        <w:t>el</w:t>
      </w:r>
      <w:r w:rsidR="000F229D">
        <w:rPr>
          <w:rFonts w:ascii="Verdana" w:hAnsi="Verdana"/>
          <w:sz w:val="20"/>
          <w:szCs w:val="20"/>
          <w:lang w:val="es-AR"/>
        </w:rPr>
        <w:t xml:space="preserve"> día 12 de noviembre de 2015, </w:t>
      </w:r>
      <w:r w:rsidR="00782824">
        <w:rPr>
          <w:rFonts w:ascii="Verdana" w:hAnsi="Verdana"/>
          <w:sz w:val="20"/>
          <w:szCs w:val="20"/>
          <w:lang w:val="es-MX"/>
        </w:rPr>
        <w:t xml:space="preserve">a través de una </w:t>
      </w:r>
      <w:r>
        <w:rPr>
          <w:rFonts w:ascii="Verdana" w:hAnsi="Verdana"/>
          <w:sz w:val="20"/>
          <w:szCs w:val="20"/>
          <w:lang w:val="es-AR"/>
        </w:rPr>
        <w:t>“</w:t>
      </w:r>
      <w:r w:rsidRPr="005D2734">
        <w:rPr>
          <w:rFonts w:ascii="Verdana" w:hAnsi="Verdana"/>
          <w:sz w:val="20"/>
          <w:szCs w:val="20"/>
          <w:lang w:val="es-AR"/>
        </w:rPr>
        <w:t>Mes</w:t>
      </w:r>
      <w:r>
        <w:rPr>
          <w:rFonts w:ascii="Verdana" w:hAnsi="Verdana"/>
          <w:sz w:val="20"/>
          <w:szCs w:val="20"/>
          <w:lang w:val="es-AR"/>
        </w:rPr>
        <w:t>a de Trabajo Interinstitucional”</w:t>
      </w:r>
      <w:r w:rsidR="00782824">
        <w:rPr>
          <w:rStyle w:val="Refdenotaalpie"/>
          <w:rFonts w:ascii="Verdana" w:hAnsi="Verdana"/>
          <w:sz w:val="20"/>
          <w:szCs w:val="20"/>
          <w:lang w:val="es-AR"/>
        </w:rPr>
        <w:footnoteReference w:id="55"/>
      </w:r>
      <w:r w:rsidR="000F229D">
        <w:rPr>
          <w:rFonts w:ascii="Verdana" w:hAnsi="Verdana"/>
          <w:sz w:val="20"/>
          <w:szCs w:val="20"/>
          <w:lang w:val="es-AR"/>
        </w:rPr>
        <w:t>, aprobó “</w:t>
      </w:r>
      <w:r w:rsidR="000F229D" w:rsidRPr="005D2734">
        <w:rPr>
          <w:rFonts w:ascii="Verdana" w:hAnsi="Verdana"/>
          <w:sz w:val="20"/>
          <w:szCs w:val="20"/>
          <w:lang w:val="es-AR"/>
        </w:rPr>
        <w:t>en su primera fase</w:t>
      </w:r>
      <w:r w:rsidR="000F229D">
        <w:rPr>
          <w:rFonts w:ascii="Verdana" w:hAnsi="Verdana"/>
          <w:sz w:val="20"/>
          <w:szCs w:val="20"/>
          <w:lang w:val="es-AR"/>
        </w:rPr>
        <w:t xml:space="preserve">” </w:t>
      </w:r>
      <w:r w:rsidR="00CC67D0">
        <w:rPr>
          <w:rFonts w:ascii="Verdana" w:hAnsi="Verdana"/>
          <w:sz w:val="20"/>
          <w:szCs w:val="20"/>
          <w:lang w:val="es-AR"/>
        </w:rPr>
        <w:t>el</w:t>
      </w:r>
      <w:r w:rsidR="000F229D" w:rsidRPr="005D2734">
        <w:rPr>
          <w:rFonts w:ascii="Verdana" w:hAnsi="Verdana"/>
          <w:sz w:val="20"/>
          <w:szCs w:val="20"/>
          <w:lang w:val="es-AR"/>
        </w:rPr>
        <w:t xml:space="preserve"> </w:t>
      </w:r>
      <w:r w:rsidR="000F229D">
        <w:rPr>
          <w:rFonts w:ascii="Verdana" w:hAnsi="Verdana"/>
          <w:sz w:val="20"/>
          <w:szCs w:val="20"/>
          <w:lang w:val="es-AR"/>
        </w:rPr>
        <w:t>“</w:t>
      </w:r>
      <w:r w:rsidR="000F229D" w:rsidRPr="005D2734">
        <w:rPr>
          <w:rFonts w:ascii="Verdana" w:hAnsi="Verdana"/>
          <w:sz w:val="20"/>
          <w:szCs w:val="20"/>
          <w:lang w:val="es-AR"/>
        </w:rPr>
        <w:t xml:space="preserve">Anteproyecto </w:t>
      </w:r>
      <w:r w:rsidR="000F229D" w:rsidRPr="00782824">
        <w:rPr>
          <w:rFonts w:ascii="Verdana" w:hAnsi="Verdana"/>
          <w:sz w:val="20"/>
          <w:szCs w:val="20"/>
          <w:lang w:val="es-AR"/>
        </w:rPr>
        <w:t xml:space="preserve">de Ley para la Consulta Libre, Previa e Informada (CLPI) para los Pueblos Indígenas y </w:t>
      </w:r>
      <w:proofErr w:type="spellStart"/>
      <w:r w:rsidR="000F229D" w:rsidRPr="00782824">
        <w:rPr>
          <w:rFonts w:ascii="Verdana" w:hAnsi="Verdana"/>
          <w:sz w:val="20"/>
          <w:szCs w:val="20"/>
          <w:lang w:val="es-AR"/>
        </w:rPr>
        <w:t>Afrohondureños</w:t>
      </w:r>
      <w:proofErr w:type="spellEnd"/>
      <w:r w:rsidR="000F229D" w:rsidRPr="00782824">
        <w:rPr>
          <w:rFonts w:ascii="Verdana" w:hAnsi="Verdana"/>
          <w:sz w:val="20"/>
          <w:szCs w:val="20"/>
          <w:lang w:val="es-AR"/>
        </w:rPr>
        <w:t>”</w:t>
      </w:r>
      <w:r w:rsidR="000F229D">
        <w:rPr>
          <w:rStyle w:val="Refdenotaalpie"/>
          <w:rFonts w:ascii="Verdana" w:hAnsi="Verdana"/>
          <w:sz w:val="20"/>
          <w:szCs w:val="20"/>
          <w:lang w:val="es-AR"/>
        </w:rPr>
        <w:footnoteReference w:id="56"/>
      </w:r>
      <w:r w:rsidR="000F229D">
        <w:rPr>
          <w:rFonts w:ascii="Verdana" w:hAnsi="Verdana"/>
          <w:sz w:val="20"/>
          <w:szCs w:val="20"/>
          <w:lang w:val="es-AR"/>
        </w:rPr>
        <w:t xml:space="preserve">. </w:t>
      </w:r>
      <w:r w:rsidR="00782824">
        <w:rPr>
          <w:rFonts w:ascii="Verdana" w:hAnsi="Verdana"/>
          <w:sz w:val="20"/>
          <w:szCs w:val="20"/>
          <w:lang w:val="es-MX"/>
        </w:rPr>
        <w:t xml:space="preserve">Agregó </w:t>
      </w:r>
      <w:r w:rsidR="00782824">
        <w:rPr>
          <w:rFonts w:ascii="Verdana" w:hAnsi="Verdana"/>
          <w:sz w:val="20"/>
          <w:szCs w:val="20"/>
          <w:lang w:val="es-AR"/>
        </w:rPr>
        <w:t>que el 12 y 13 de enero de 2017 estaba programado un evento nacional cuyo objeto era “</w:t>
      </w:r>
      <w:r w:rsidR="00782824" w:rsidRPr="005D2734">
        <w:rPr>
          <w:rFonts w:ascii="Verdana" w:hAnsi="Verdana"/>
          <w:sz w:val="20"/>
          <w:szCs w:val="20"/>
          <w:lang w:val="es-AR"/>
        </w:rPr>
        <w:t>dar a conocer la sistematización de los insumos de los nueve Pueblos</w:t>
      </w:r>
      <w:r w:rsidR="00782824">
        <w:rPr>
          <w:rFonts w:ascii="Verdana" w:hAnsi="Verdana"/>
          <w:sz w:val="20"/>
          <w:szCs w:val="20"/>
          <w:lang w:val="es-AR"/>
        </w:rPr>
        <w:t xml:space="preserve"> […] </w:t>
      </w:r>
      <w:r w:rsidR="00782824" w:rsidRPr="005D2734">
        <w:rPr>
          <w:rFonts w:ascii="Verdana" w:hAnsi="Verdana"/>
          <w:sz w:val="20"/>
          <w:szCs w:val="20"/>
          <w:lang w:val="es-AR"/>
        </w:rPr>
        <w:t>para sus consider</w:t>
      </w:r>
      <w:r w:rsidR="00782824">
        <w:rPr>
          <w:rFonts w:ascii="Verdana" w:hAnsi="Verdana"/>
          <w:sz w:val="20"/>
          <w:szCs w:val="20"/>
          <w:lang w:val="es-AR"/>
        </w:rPr>
        <w:t xml:space="preserve">aciones”, y que continuaba “en diálogo </w:t>
      </w:r>
      <w:r w:rsidR="00782824" w:rsidRPr="005D2734">
        <w:rPr>
          <w:rFonts w:ascii="Verdana" w:hAnsi="Verdana"/>
          <w:sz w:val="20"/>
          <w:szCs w:val="20"/>
          <w:lang w:val="es-AR"/>
        </w:rPr>
        <w:t xml:space="preserve">con las organizaciones representativas de los Pueblos, así como con </w:t>
      </w:r>
      <w:r w:rsidR="00357C98" w:rsidRPr="00357C98">
        <w:rPr>
          <w:rFonts w:ascii="Verdana" w:hAnsi="Verdana"/>
          <w:sz w:val="20"/>
          <w:szCs w:val="20"/>
          <w:lang w:val="es-AR"/>
        </w:rPr>
        <w:t>la Confederación de Pueblos Autóctonos de Honduras (CONPAH)</w:t>
      </w:r>
      <w:r w:rsidR="00357C98">
        <w:rPr>
          <w:rFonts w:ascii="Verdana" w:hAnsi="Verdana"/>
          <w:sz w:val="20"/>
          <w:szCs w:val="20"/>
          <w:lang w:val="es-AR"/>
        </w:rPr>
        <w:t>”</w:t>
      </w:r>
      <w:r w:rsidR="00357C98" w:rsidRPr="00357C98">
        <w:rPr>
          <w:rFonts w:ascii="Verdana" w:hAnsi="Verdana"/>
          <w:sz w:val="20"/>
          <w:szCs w:val="20"/>
          <w:lang w:val="es-AR"/>
        </w:rPr>
        <w:t xml:space="preserve"> </w:t>
      </w:r>
      <w:r w:rsidR="00782824">
        <w:rPr>
          <w:rFonts w:ascii="Verdana" w:hAnsi="Verdana"/>
          <w:sz w:val="20"/>
          <w:szCs w:val="20"/>
          <w:lang w:val="es-AR"/>
        </w:rPr>
        <w:t>con el objeto de “valida[r]</w:t>
      </w:r>
      <w:r w:rsidR="00782824" w:rsidRPr="005D2734">
        <w:rPr>
          <w:rFonts w:ascii="Verdana" w:hAnsi="Verdana"/>
          <w:sz w:val="20"/>
          <w:szCs w:val="20"/>
          <w:lang w:val="es-AR"/>
        </w:rPr>
        <w:t xml:space="preserve"> la propuesta de anteproyecto</w:t>
      </w:r>
      <w:r w:rsidR="00357C98">
        <w:rPr>
          <w:rFonts w:ascii="Verdana" w:hAnsi="Verdana"/>
          <w:sz w:val="20"/>
          <w:szCs w:val="20"/>
          <w:lang w:val="es-AR"/>
        </w:rPr>
        <w:t>”</w:t>
      </w:r>
      <w:r w:rsidR="00CC67D0">
        <w:rPr>
          <w:rStyle w:val="Refdenotaalpie"/>
          <w:rFonts w:ascii="Verdana" w:hAnsi="Verdana"/>
          <w:sz w:val="20"/>
          <w:szCs w:val="20"/>
          <w:lang w:val="es-AR"/>
        </w:rPr>
        <w:footnoteReference w:id="57"/>
      </w:r>
      <w:r w:rsidR="00782824" w:rsidRPr="005D2734">
        <w:rPr>
          <w:rFonts w:ascii="Verdana" w:hAnsi="Verdana"/>
          <w:sz w:val="20"/>
          <w:szCs w:val="20"/>
          <w:lang w:val="es-AR"/>
        </w:rPr>
        <w:t>.</w:t>
      </w:r>
      <w:r w:rsidR="00782824">
        <w:rPr>
          <w:rFonts w:ascii="Verdana" w:hAnsi="Verdana"/>
          <w:sz w:val="20"/>
          <w:szCs w:val="20"/>
          <w:lang w:val="es-AR"/>
        </w:rPr>
        <w:t xml:space="preserve"> </w:t>
      </w:r>
      <w:r w:rsidR="001E3E24" w:rsidRPr="001E3E24">
        <w:rPr>
          <w:rFonts w:ascii="Verdana" w:hAnsi="Verdana"/>
          <w:sz w:val="20"/>
          <w:szCs w:val="20"/>
          <w:lang w:val="es-AR"/>
        </w:rPr>
        <w:t>Los representantes o</w:t>
      </w:r>
      <w:r w:rsidR="00357C98">
        <w:rPr>
          <w:rFonts w:ascii="Verdana" w:hAnsi="Verdana"/>
          <w:sz w:val="20"/>
          <w:szCs w:val="20"/>
          <w:lang w:val="es-AR"/>
        </w:rPr>
        <w:t>bjetaron que la propuesta “v[</w:t>
      </w:r>
      <w:proofErr w:type="spellStart"/>
      <w:r w:rsidR="00357C98">
        <w:rPr>
          <w:rFonts w:ascii="Verdana" w:hAnsi="Verdana"/>
          <w:sz w:val="20"/>
          <w:szCs w:val="20"/>
          <w:lang w:val="es-AR"/>
        </w:rPr>
        <w:t>enía</w:t>
      </w:r>
      <w:proofErr w:type="spellEnd"/>
      <w:r w:rsidR="00357C98">
        <w:rPr>
          <w:rFonts w:ascii="Verdana" w:hAnsi="Verdana"/>
          <w:sz w:val="20"/>
          <w:szCs w:val="20"/>
          <w:lang w:val="es-AR"/>
        </w:rPr>
        <w:t>]</w:t>
      </w:r>
      <w:r w:rsidR="001E3E24" w:rsidRPr="001E3E24">
        <w:rPr>
          <w:rFonts w:ascii="Verdana" w:hAnsi="Verdana"/>
          <w:sz w:val="20"/>
          <w:szCs w:val="20"/>
          <w:lang w:val="es-AR"/>
        </w:rPr>
        <w:t xml:space="preserve"> dirigida verticalmente del gobierno hacia los pueblos indígenas”</w:t>
      </w:r>
      <w:r w:rsidR="005D597C">
        <w:rPr>
          <w:rStyle w:val="Refdenotaalpie"/>
          <w:rFonts w:ascii="Verdana" w:hAnsi="Verdana"/>
          <w:sz w:val="20"/>
          <w:szCs w:val="20"/>
          <w:lang w:val="es-AR"/>
        </w:rPr>
        <w:footnoteReference w:id="58"/>
      </w:r>
      <w:r w:rsidR="001E3E24" w:rsidRPr="001E3E24">
        <w:rPr>
          <w:rFonts w:ascii="Verdana" w:hAnsi="Verdana" w:cs="TrebuchetMS"/>
          <w:sz w:val="20"/>
          <w:szCs w:val="20"/>
          <w:lang w:val="es-AR"/>
        </w:rPr>
        <w:t xml:space="preserve">. </w:t>
      </w:r>
      <w:r w:rsidR="001E3E24" w:rsidRPr="001E3E24">
        <w:rPr>
          <w:rFonts w:ascii="Verdana" w:hAnsi="Verdana"/>
          <w:sz w:val="20"/>
          <w:szCs w:val="20"/>
          <w:lang w:val="es-AR"/>
        </w:rPr>
        <w:t>La Comisión consideró “importante</w:t>
      </w:r>
      <w:r w:rsidR="001E3E24" w:rsidRPr="001E3E24">
        <w:rPr>
          <w:rFonts w:ascii="Verdana" w:hAnsi="Verdana"/>
          <w:b/>
          <w:sz w:val="20"/>
          <w:szCs w:val="20"/>
          <w:lang w:val="es-AR"/>
        </w:rPr>
        <w:t xml:space="preserve"> </w:t>
      </w:r>
      <w:r w:rsidR="001E3E24" w:rsidRPr="001E3E24">
        <w:rPr>
          <w:rFonts w:ascii="Verdana" w:hAnsi="Verdana"/>
          <w:sz w:val="20"/>
          <w:szCs w:val="20"/>
          <w:lang w:val="es-AR"/>
        </w:rPr>
        <w:t>conocer el contenido [de] dicha iniciativa legislativa y que el Estado presente información actualizada sobre el estado del trámite legislativo respectivo”</w:t>
      </w:r>
      <w:r w:rsidR="005D597C">
        <w:rPr>
          <w:rStyle w:val="Refdenotaalpie"/>
          <w:rFonts w:ascii="Verdana" w:hAnsi="Verdana"/>
          <w:sz w:val="20"/>
          <w:szCs w:val="20"/>
          <w:lang w:val="es-AR"/>
        </w:rPr>
        <w:footnoteReference w:id="59"/>
      </w:r>
      <w:r w:rsidR="00CE08E0">
        <w:rPr>
          <w:rFonts w:ascii="Verdana" w:hAnsi="Verdana"/>
          <w:sz w:val="20"/>
          <w:szCs w:val="20"/>
          <w:lang w:val="es-AR"/>
        </w:rPr>
        <w:t>.</w:t>
      </w:r>
    </w:p>
    <w:p w14:paraId="2DEF76A8" w14:textId="0EEDCE93" w:rsidR="00782824" w:rsidRPr="00782824" w:rsidRDefault="001E3E24" w:rsidP="001E3E24">
      <w:pPr>
        <w:pStyle w:val="Prrafodelista"/>
        <w:numPr>
          <w:ilvl w:val="0"/>
          <w:numId w:val="3"/>
        </w:numPr>
        <w:spacing w:before="120" w:after="120"/>
        <w:ind w:left="0" w:hanging="11"/>
        <w:contextualSpacing w:val="0"/>
        <w:jc w:val="both"/>
        <w:rPr>
          <w:rFonts w:ascii="Verdana" w:hAnsi="Verdana"/>
          <w:b/>
          <w:sz w:val="20"/>
          <w:szCs w:val="20"/>
          <w:lang w:val="es-AR"/>
        </w:rPr>
      </w:pPr>
      <w:r>
        <w:rPr>
          <w:rFonts w:ascii="Verdana" w:hAnsi="Verdana"/>
          <w:sz w:val="20"/>
          <w:szCs w:val="20"/>
          <w:lang w:val="es-MX"/>
        </w:rPr>
        <w:t xml:space="preserve">Al respecto, </w:t>
      </w:r>
      <w:r w:rsidR="002C332D">
        <w:rPr>
          <w:rFonts w:ascii="Verdana" w:hAnsi="Verdana"/>
          <w:sz w:val="20"/>
          <w:szCs w:val="20"/>
          <w:lang w:val="es-MX"/>
        </w:rPr>
        <w:t xml:space="preserve">si bien este Tribunal valora positivamente </w:t>
      </w:r>
      <w:r>
        <w:rPr>
          <w:rFonts w:ascii="Verdana" w:hAnsi="Verdana"/>
          <w:sz w:val="20"/>
          <w:szCs w:val="20"/>
          <w:lang w:val="es-MX"/>
        </w:rPr>
        <w:t>los esf</w:t>
      </w:r>
      <w:r w:rsidR="002C332D">
        <w:rPr>
          <w:rFonts w:ascii="Verdana" w:hAnsi="Verdana"/>
          <w:sz w:val="20"/>
          <w:szCs w:val="20"/>
          <w:lang w:val="es-MX"/>
        </w:rPr>
        <w:t>uerzos que el Estado ha realiza</w:t>
      </w:r>
      <w:r>
        <w:rPr>
          <w:rFonts w:ascii="Verdana" w:hAnsi="Verdana"/>
          <w:sz w:val="20"/>
          <w:szCs w:val="20"/>
          <w:lang w:val="es-MX"/>
        </w:rPr>
        <w:t xml:space="preserve">do con miras a la aprobación </w:t>
      </w:r>
      <w:r w:rsidR="00CE08E0">
        <w:rPr>
          <w:rFonts w:ascii="Verdana" w:hAnsi="Verdana"/>
          <w:sz w:val="20"/>
          <w:szCs w:val="20"/>
          <w:lang w:val="es-MX"/>
        </w:rPr>
        <w:t xml:space="preserve">de </w:t>
      </w:r>
      <w:r>
        <w:rPr>
          <w:rFonts w:ascii="Verdana" w:hAnsi="Verdana"/>
          <w:sz w:val="20"/>
          <w:szCs w:val="20"/>
          <w:lang w:val="es-MX"/>
        </w:rPr>
        <w:t>una “</w:t>
      </w:r>
      <w:r w:rsidRPr="005D2734">
        <w:rPr>
          <w:rFonts w:ascii="Verdana" w:hAnsi="Verdana"/>
          <w:sz w:val="20"/>
          <w:szCs w:val="20"/>
          <w:lang w:val="es-AR"/>
        </w:rPr>
        <w:t>Ley para la Consulta Libre, Previa e Informada</w:t>
      </w:r>
      <w:r>
        <w:rPr>
          <w:rFonts w:ascii="Verdana" w:hAnsi="Verdana"/>
          <w:sz w:val="20"/>
          <w:szCs w:val="20"/>
          <w:lang w:val="es-AR"/>
        </w:rPr>
        <w:t xml:space="preserve"> </w:t>
      </w:r>
      <w:r w:rsidRPr="005D2734">
        <w:rPr>
          <w:rFonts w:ascii="Verdana" w:hAnsi="Verdana"/>
          <w:sz w:val="20"/>
          <w:szCs w:val="20"/>
          <w:lang w:val="es-AR"/>
        </w:rPr>
        <w:t xml:space="preserve">para los Pueblos Indígenas y </w:t>
      </w:r>
      <w:proofErr w:type="spellStart"/>
      <w:r w:rsidRPr="005D2734">
        <w:rPr>
          <w:rFonts w:ascii="Verdana" w:hAnsi="Verdana"/>
          <w:sz w:val="20"/>
          <w:szCs w:val="20"/>
          <w:lang w:val="es-AR"/>
        </w:rPr>
        <w:t>Afrohondureños</w:t>
      </w:r>
      <w:proofErr w:type="spellEnd"/>
      <w:r w:rsidR="002C332D">
        <w:rPr>
          <w:rFonts w:ascii="Verdana" w:hAnsi="Verdana"/>
          <w:sz w:val="20"/>
          <w:szCs w:val="20"/>
          <w:lang w:val="es-AR"/>
        </w:rPr>
        <w:t>”,</w:t>
      </w:r>
      <w:r>
        <w:rPr>
          <w:rFonts w:ascii="Verdana" w:hAnsi="Verdana"/>
          <w:sz w:val="20"/>
          <w:szCs w:val="20"/>
          <w:lang w:val="es-AR"/>
        </w:rPr>
        <w:t xml:space="preserve"> </w:t>
      </w:r>
      <w:r w:rsidR="002C332D">
        <w:rPr>
          <w:rFonts w:ascii="Verdana" w:hAnsi="Verdana"/>
          <w:sz w:val="20"/>
          <w:szCs w:val="20"/>
          <w:lang w:val="es-AR"/>
        </w:rPr>
        <w:t xml:space="preserve">advierte </w:t>
      </w:r>
      <w:r w:rsidR="00DD1446">
        <w:rPr>
          <w:rFonts w:ascii="Verdana" w:hAnsi="Verdana"/>
          <w:sz w:val="20"/>
          <w:szCs w:val="20"/>
          <w:lang w:val="es-AR"/>
        </w:rPr>
        <w:t xml:space="preserve">que </w:t>
      </w:r>
      <w:r>
        <w:rPr>
          <w:rFonts w:ascii="Verdana" w:hAnsi="Verdana"/>
          <w:sz w:val="20"/>
          <w:szCs w:val="20"/>
          <w:lang w:val="es-AR"/>
        </w:rPr>
        <w:t xml:space="preserve">no ha aportado información detallada </w:t>
      </w:r>
      <w:r w:rsidR="000204D1">
        <w:rPr>
          <w:rFonts w:ascii="Verdana" w:hAnsi="Verdana"/>
          <w:sz w:val="20"/>
          <w:szCs w:val="20"/>
          <w:lang w:val="es-AR"/>
        </w:rPr>
        <w:t xml:space="preserve">o actualizada, con posterioridad a lo informado en diciembre de 2016, </w:t>
      </w:r>
      <w:r>
        <w:rPr>
          <w:rFonts w:ascii="Verdana" w:hAnsi="Verdana"/>
          <w:sz w:val="20"/>
          <w:szCs w:val="20"/>
          <w:lang w:val="es-AR"/>
        </w:rPr>
        <w:t>con respecto a</w:t>
      </w:r>
      <w:r w:rsidR="000204D1">
        <w:rPr>
          <w:rFonts w:ascii="Verdana" w:hAnsi="Verdana"/>
          <w:sz w:val="20"/>
          <w:szCs w:val="20"/>
          <w:lang w:val="es-AR"/>
        </w:rPr>
        <w:t>: i) e</w:t>
      </w:r>
      <w:r w:rsidR="00C5398B">
        <w:rPr>
          <w:rFonts w:ascii="Verdana" w:hAnsi="Verdana"/>
          <w:sz w:val="20"/>
          <w:szCs w:val="20"/>
          <w:lang w:val="es-AR"/>
        </w:rPr>
        <w:t>l contenido del Anteproyecto;</w:t>
      </w:r>
      <w:r>
        <w:rPr>
          <w:rFonts w:ascii="Verdana" w:hAnsi="Verdana"/>
          <w:sz w:val="20"/>
          <w:szCs w:val="20"/>
          <w:lang w:val="es-AR"/>
        </w:rPr>
        <w:t xml:space="preserve"> </w:t>
      </w:r>
      <w:proofErr w:type="spellStart"/>
      <w:r w:rsidR="000204D1">
        <w:rPr>
          <w:rFonts w:ascii="Verdana" w:hAnsi="Verdana"/>
          <w:sz w:val="20"/>
          <w:szCs w:val="20"/>
          <w:lang w:val="es-AR"/>
        </w:rPr>
        <w:t>ii</w:t>
      </w:r>
      <w:proofErr w:type="spellEnd"/>
      <w:r w:rsidR="000204D1">
        <w:rPr>
          <w:rFonts w:ascii="Verdana" w:hAnsi="Verdana"/>
          <w:sz w:val="20"/>
          <w:szCs w:val="20"/>
          <w:lang w:val="es-AR"/>
        </w:rPr>
        <w:t xml:space="preserve">) </w:t>
      </w:r>
      <w:r>
        <w:rPr>
          <w:rFonts w:ascii="Verdana" w:hAnsi="Verdana"/>
          <w:sz w:val="20"/>
          <w:szCs w:val="20"/>
          <w:lang w:val="es-AR"/>
        </w:rPr>
        <w:t>el estado actual de dicha iniciativa</w:t>
      </w:r>
      <w:r w:rsidR="000204D1">
        <w:rPr>
          <w:rFonts w:ascii="Verdana" w:hAnsi="Verdana"/>
          <w:sz w:val="20"/>
          <w:szCs w:val="20"/>
          <w:lang w:val="es-AR"/>
        </w:rPr>
        <w:t xml:space="preserve">, o </w:t>
      </w:r>
      <w:proofErr w:type="spellStart"/>
      <w:r w:rsidR="000204D1">
        <w:rPr>
          <w:rFonts w:ascii="Verdana" w:hAnsi="Verdana"/>
          <w:sz w:val="20"/>
          <w:szCs w:val="20"/>
          <w:lang w:val="es-AR"/>
        </w:rPr>
        <w:t>iii</w:t>
      </w:r>
      <w:proofErr w:type="spellEnd"/>
      <w:r w:rsidR="000204D1">
        <w:rPr>
          <w:rFonts w:ascii="Verdana" w:hAnsi="Verdana"/>
          <w:sz w:val="20"/>
          <w:szCs w:val="20"/>
          <w:lang w:val="es-AR"/>
        </w:rPr>
        <w:t xml:space="preserve">) los </w:t>
      </w:r>
      <w:r w:rsidR="00DD1446">
        <w:rPr>
          <w:rFonts w:ascii="Verdana" w:hAnsi="Verdana"/>
          <w:sz w:val="20"/>
          <w:szCs w:val="20"/>
          <w:lang w:val="es-AR"/>
        </w:rPr>
        <w:t xml:space="preserve">espacios </w:t>
      </w:r>
      <w:r w:rsidR="000204D1">
        <w:rPr>
          <w:rFonts w:ascii="Verdana" w:hAnsi="Verdana"/>
          <w:sz w:val="20"/>
          <w:szCs w:val="20"/>
          <w:lang w:val="es-AR"/>
        </w:rPr>
        <w:t>destinados a posibilitar la participación de los Pueblos en la propuesta</w:t>
      </w:r>
      <w:r>
        <w:rPr>
          <w:rFonts w:ascii="Verdana" w:hAnsi="Verdana"/>
          <w:sz w:val="20"/>
          <w:szCs w:val="20"/>
          <w:lang w:val="es-AR"/>
        </w:rPr>
        <w:t xml:space="preserve">. </w:t>
      </w:r>
    </w:p>
    <w:p w14:paraId="56A7CF5D" w14:textId="04F2DD5C" w:rsidR="0041781A" w:rsidRPr="00B15A5D" w:rsidRDefault="0041781A" w:rsidP="007D58D3">
      <w:pPr>
        <w:pStyle w:val="Prrafodelista"/>
        <w:numPr>
          <w:ilvl w:val="0"/>
          <w:numId w:val="3"/>
        </w:numPr>
        <w:spacing w:before="120" w:after="120"/>
        <w:ind w:left="0" w:hanging="11"/>
        <w:contextualSpacing w:val="0"/>
        <w:jc w:val="both"/>
        <w:rPr>
          <w:rFonts w:ascii="Verdana" w:hAnsi="Verdana"/>
          <w:b/>
          <w:sz w:val="20"/>
          <w:szCs w:val="20"/>
          <w:lang w:val="es-AR"/>
        </w:rPr>
      </w:pPr>
      <w:r w:rsidRPr="00753FD7">
        <w:rPr>
          <w:rFonts w:ascii="Verdana" w:hAnsi="Verdana"/>
          <w:sz w:val="20"/>
          <w:szCs w:val="20"/>
          <w:lang w:val="es-AR"/>
        </w:rPr>
        <w:t xml:space="preserve">Asimismo, el Estado señaló que </w:t>
      </w:r>
      <w:r w:rsidR="00B15A5D" w:rsidRPr="00753FD7">
        <w:rPr>
          <w:rFonts w:ascii="Verdana" w:hAnsi="Verdana"/>
          <w:sz w:val="20"/>
          <w:szCs w:val="20"/>
          <w:lang w:val="es-AR"/>
        </w:rPr>
        <w:t xml:space="preserve">el 23 de junio de 2017, </w:t>
      </w:r>
      <w:r w:rsidRPr="00753FD7">
        <w:rPr>
          <w:rFonts w:ascii="Verdana" w:hAnsi="Verdana"/>
          <w:sz w:val="20"/>
          <w:szCs w:val="20"/>
          <w:lang w:val="es-AR"/>
        </w:rPr>
        <w:t>la Sala Constitucional</w:t>
      </w:r>
      <w:r>
        <w:rPr>
          <w:rFonts w:ascii="Verdana" w:hAnsi="Verdana"/>
          <w:b/>
          <w:sz w:val="20"/>
          <w:szCs w:val="20"/>
          <w:lang w:val="es-AR"/>
        </w:rPr>
        <w:t xml:space="preserve"> </w:t>
      </w:r>
      <w:r w:rsidRPr="005D2734">
        <w:rPr>
          <w:rFonts w:ascii="Verdana" w:hAnsi="Verdana" w:cs="TrebuchetMS"/>
          <w:sz w:val="20"/>
          <w:szCs w:val="20"/>
          <w:lang w:val="es-AR"/>
        </w:rPr>
        <w:t>de la Corte Suprema de Justicia</w:t>
      </w:r>
      <w:r>
        <w:rPr>
          <w:rFonts w:ascii="Verdana" w:hAnsi="Verdana" w:cs="TrebuchetMS"/>
          <w:sz w:val="20"/>
          <w:szCs w:val="20"/>
          <w:lang w:val="es-AR"/>
        </w:rPr>
        <w:t xml:space="preserve">, “como intérprete último y definitivo de la Constitución de la República, y […] ejerciendo </w:t>
      </w:r>
      <w:r w:rsidR="001A77EE">
        <w:rPr>
          <w:rFonts w:ascii="Verdana" w:hAnsi="Verdana" w:cs="TrebuchetMS"/>
          <w:sz w:val="20"/>
          <w:szCs w:val="20"/>
          <w:lang w:val="es-AR"/>
        </w:rPr>
        <w:t xml:space="preserve">[…] </w:t>
      </w:r>
      <w:r>
        <w:rPr>
          <w:rFonts w:ascii="Verdana" w:hAnsi="Verdana" w:cs="TrebuchetMS"/>
          <w:sz w:val="20"/>
          <w:szCs w:val="20"/>
          <w:lang w:val="es-AR"/>
        </w:rPr>
        <w:t xml:space="preserve">un control de convencionalidad entre la norma interna y la </w:t>
      </w:r>
      <w:r>
        <w:rPr>
          <w:rFonts w:ascii="Verdana" w:hAnsi="Verdana" w:cs="TrebuchetMS"/>
          <w:sz w:val="20"/>
          <w:szCs w:val="20"/>
          <w:lang w:val="es-AR"/>
        </w:rPr>
        <w:lastRenderedPageBreak/>
        <w:t xml:space="preserve">normativa del Sistema Interamericano de Derechos Humanos”, dictó sentencia </w:t>
      </w:r>
      <w:r w:rsidRPr="005D2734">
        <w:rPr>
          <w:rFonts w:ascii="Verdana" w:hAnsi="Verdana" w:cs="TrebuchetMS"/>
          <w:sz w:val="20"/>
          <w:szCs w:val="20"/>
          <w:lang w:val="es-AR"/>
        </w:rPr>
        <w:t>en el Recurso de Inconstitucionalidad No. SCO-1165-2014</w:t>
      </w:r>
      <w:r>
        <w:rPr>
          <w:rFonts w:ascii="Verdana" w:hAnsi="Verdana" w:cs="TrebuchetMS"/>
          <w:sz w:val="20"/>
          <w:szCs w:val="20"/>
          <w:lang w:val="es-AR"/>
        </w:rPr>
        <w:t>, interpuesto contra varios artículos</w:t>
      </w:r>
      <w:r>
        <w:rPr>
          <w:rStyle w:val="Refdenotaalpie"/>
          <w:rFonts w:ascii="Verdana" w:hAnsi="Verdana" w:cs="TrebuchetMS"/>
          <w:sz w:val="20"/>
          <w:szCs w:val="20"/>
          <w:lang w:val="es-AR"/>
        </w:rPr>
        <w:footnoteReference w:id="60"/>
      </w:r>
      <w:r>
        <w:rPr>
          <w:rFonts w:ascii="Verdana" w:hAnsi="Verdana" w:cs="TrebuchetMS"/>
          <w:sz w:val="20"/>
          <w:szCs w:val="20"/>
          <w:lang w:val="es-AR"/>
        </w:rPr>
        <w:t xml:space="preserve"> </w:t>
      </w:r>
      <w:r w:rsidRPr="005D2734">
        <w:rPr>
          <w:rFonts w:ascii="Verdana" w:hAnsi="Verdana" w:cs="TrebuchetMS"/>
          <w:sz w:val="20"/>
          <w:szCs w:val="20"/>
          <w:lang w:val="es-AR"/>
        </w:rPr>
        <w:t>de la Ley General de Minería</w:t>
      </w:r>
      <w:r>
        <w:rPr>
          <w:rFonts w:ascii="Verdana" w:hAnsi="Verdana" w:cs="TrebuchetMS"/>
          <w:sz w:val="20"/>
          <w:szCs w:val="20"/>
          <w:lang w:val="es-AR"/>
        </w:rPr>
        <w:t>,</w:t>
      </w:r>
      <w:r w:rsidR="001A77EE">
        <w:rPr>
          <w:rFonts w:ascii="Verdana" w:hAnsi="Verdana" w:cs="TrebuchetMS"/>
          <w:sz w:val="20"/>
          <w:szCs w:val="20"/>
          <w:lang w:val="es-AR"/>
        </w:rPr>
        <w:t xml:space="preserve"> lo cual representó “un avance sustancial en materia de respeto al derecho a la consulta libre, previa e informada”</w:t>
      </w:r>
      <w:r w:rsidR="00C5398B">
        <w:rPr>
          <w:rStyle w:val="Refdenotaalpie"/>
          <w:rFonts w:ascii="Verdana" w:hAnsi="Verdana"/>
          <w:sz w:val="20"/>
          <w:szCs w:val="20"/>
          <w:lang w:val="es-AR"/>
        </w:rPr>
        <w:footnoteReference w:id="61"/>
      </w:r>
      <w:r w:rsidR="00CE08E0">
        <w:rPr>
          <w:rFonts w:ascii="Verdana" w:hAnsi="Verdana" w:cs="TrebuchetMS"/>
          <w:sz w:val="20"/>
          <w:szCs w:val="20"/>
          <w:lang w:val="es-AR"/>
        </w:rPr>
        <w:t xml:space="preserve">. </w:t>
      </w:r>
      <w:r w:rsidR="001243D7">
        <w:rPr>
          <w:rFonts w:ascii="Verdana" w:hAnsi="Verdana" w:cs="TrebuchetMS"/>
          <w:sz w:val="20"/>
          <w:szCs w:val="20"/>
          <w:lang w:val="es-AR"/>
        </w:rPr>
        <w:t>L</w:t>
      </w:r>
      <w:r w:rsidR="001A77EE">
        <w:rPr>
          <w:rFonts w:ascii="Verdana" w:hAnsi="Verdana" w:cs="TrebuchetMS"/>
          <w:sz w:val="20"/>
          <w:szCs w:val="20"/>
          <w:lang w:val="es-AR"/>
        </w:rPr>
        <w:t xml:space="preserve">os representantes </w:t>
      </w:r>
      <w:r w:rsidR="001A77EE" w:rsidRPr="00B15A5D">
        <w:rPr>
          <w:rFonts w:ascii="Verdana" w:hAnsi="Verdana" w:cs="TrebuchetMS"/>
          <w:sz w:val="20"/>
          <w:szCs w:val="20"/>
          <w:lang w:val="es-AR"/>
        </w:rPr>
        <w:t>objetaron que “</w:t>
      </w:r>
      <w:r w:rsidR="001A77EE" w:rsidRPr="00B15A5D">
        <w:rPr>
          <w:rFonts w:ascii="Verdana" w:hAnsi="Verdana" w:cs="URWBookmanL-Ligh"/>
          <w:color w:val="00000A"/>
          <w:sz w:val="20"/>
          <w:szCs w:val="20"/>
          <w:lang w:val="es-AR"/>
        </w:rPr>
        <w:t xml:space="preserve">aunque </w:t>
      </w:r>
      <w:r w:rsidR="00C5398B">
        <w:rPr>
          <w:rFonts w:ascii="Verdana" w:hAnsi="Verdana" w:cs="URWBookmanL-Ligh"/>
          <w:color w:val="00000A"/>
          <w:sz w:val="20"/>
          <w:szCs w:val="20"/>
          <w:lang w:val="es-AR"/>
        </w:rPr>
        <w:t>[la s</w:t>
      </w:r>
      <w:r w:rsidR="00357C98">
        <w:rPr>
          <w:rFonts w:ascii="Verdana" w:hAnsi="Verdana" w:cs="URWBookmanL-Ligh"/>
          <w:color w:val="00000A"/>
          <w:sz w:val="20"/>
          <w:szCs w:val="20"/>
          <w:lang w:val="es-AR"/>
        </w:rPr>
        <w:t xml:space="preserve">entencia] </w:t>
      </w:r>
      <w:r w:rsidR="001A77EE" w:rsidRPr="00B15A5D">
        <w:rPr>
          <w:rFonts w:ascii="Verdana" w:hAnsi="Verdana" w:cs="URWBookmanL-Ligh"/>
          <w:color w:val="00000A"/>
          <w:sz w:val="20"/>
          <w:szCs w:val="20"/>
          <w:lang w:val="es-AR"/>
        </w:rPr>
        <w:t>hace algunas alusiones meramente conceptuales sobre los instrumentos internacionales en materia de derechos de pueblos indígenas, […] la inconstitucionalidad decretada no abarca el artículo 50 de la ley, cuyo desarrollo reglamentario en el artículo 82 fue el cuestionado por la sentencia de la […] Corte Interamericana”</w:t>
      </w:r>
      <w:r w:rsidR="00C5398B">
        <w:rPr>
          <w:rStyle w:val="Refdenotaalpie"/>
          <w:rFonts w:ascii="Verdana" w:hAnsi="Verdana"/>
          <w:sz w:val="20"/>
          <w:szCs w:val="20"/>
          <w:lang w:val="es-AR"/>
        </w:rPr>
        <w:footnoteReference w:id="62"/>
      </w:r>
      <w:r w:rsidR="001A77EE" w:rsidRPr="00B15A5D">
        <w:rPr>
          <w:rFonts w:ascii="Verdana" w:hAnsi="Verdana" w:cs="URWBookmanL-Ligh"/>
          <w:color w:val="00000A"/>
          <w:sz w:val="20"/>
          <w:szCs w:val="20"/>
          <w:lang w:val="es-AR"/>
        </w:rPr>
        <w:t xml:space="preserve">. </w:t>
      </w:r>
      <w:r w:rsidR="00B834FB" w:rsidRPr="00B15A5D">
        <w:rPr>
          <w:rFonts w:ascii="Verdana" w:hAnsi="Verdana" w:cs="URWBookmanL-Ligh"/>
          <w:color w:val="00000A"/>
          <w:sz w:val="20"/>
          <w:szCs w:val="20"/>
          <w:lang w:val="es-AR"/>
        </w:rPr>
        <w:t xml:space="preserve">La Comisión observó que </w:t>
      </w:r>
      <w:r w:rsidR="00CE08E0">
        <w:rPr>
          <w:rFonts w:ascii="Verdana" w:hAnsi="Verdana" w:cs="URWBookmanL-Ligh"/>
          <w:color w:val="00000A"/>
          <w:sz w:val="20"/>
          <w:szCs w:val="20"/>
          <w:lang w:val="es-AR"/>
        </w:rPr>
        <w:t>aun</w:t>
      </w:r>
      <w:r w:rsidR="00DD1446">
        <w:rPr>
          <w:rFonts w:ascii="Verdana" w:hAnsi="Verdana" w:cs="URWBookmanL-Ligh"/>
          <w:color w:val="00000A"/>
          <w:sz w:val="20"/>
          <w:szCs w:val="20"/>
          <w:lang w:val="es-AR"/>
        </w:rPr>
        <w:t xml:space="preserve"> cuando </w:t>
      </w:r>
      <w:r w:rsidR="00B834FB" w:rsidRPr="00B15A5D">
        <w:rPr>
          <w:rFonts w:ascii="Verdana" w:hAnsi="Verdana" w:cs="URWBookmanL-Ligh"/>
          <w:color w:val="00000A"/>
          <w:sz w:val="20"/>
          <w:szCs w:val="20"/>
          <w:lang w:val="es-AR"/>
        </w:rPr>
        <w:t>“hay un diálogo</w:t>
      </w:r>
      <w:r w:rsidR="00B834FB">
        <w:rPr>
          <w:rFonts w:ascii="Verdana" w:hAnsi="Verdana" w:cs="URWBookmanL-Ligh"/>
          <w:color w:val="00000A"/>
          <w:sz w:val="20"/>
          <w:szCs w:val="20"/>
          <w:lang w:val="es-AR"/>
        </w:rPr>
        <w:t xml:space="preserve"> jurisprudencial en relación al derecho de la consulta”, no queda</w:t>
      </w:r>
      <w:r w:rsidR="00357C98">
        <w:rPr>
          <w:rFonts w:ascii="Verdana" w:hAnsi="Verdana" w:cs="URWBookmanL-Ligh"/>
          <w:color w:val="00000A"/>
          <w:sz w:val="20"/>
          <w:szCs w:val="20"/>
          <w:lang w:val="es-AR"/>
        </w:rPr>
        <w:t>ba</w:t>
      </w:r>
      <w:r w:rsidR="00B834FB">
        <w:rPr>
          <w:rFonts w:ascii="Verdana" w:hAnsi="Verdana" w:cs="URWBookmanL-Ligh"/>
          <w:color w:val="00000A"/>
          <w:sz w:val="20"/>
          <w:szCs w:val="20"/>
          <w:lang w:val="es-AR"/>
        </w:rPr>
        <w:t xml:space="preserve"> claro cómo estas discusiones o intercambios jurisprudenciales impactarían en el artículo 82 del Reglamen</w:t>
      </w:r>
      <w:r w:rsidR="00357C98">
        <w:rPr>
          <w:rFonts w:ascii="Verdana" w:hAnsi="Verdana" w:cs="URWBookmanL-Ligh"/>
          <w:color w:val="00000A"/>
          <w:sz w:val="20"/>
          <w:szCs w:val="20"/>
          <w:lang w:val="es-AR"/>
        </w:rPr>
        <w:t>to</w:t>
      </w:r>
      <w:r w:rsidR="00C5398B">
        <w:rPr>
          <w:rStyle w:val="Refdenotaalpie"/>
          <w:rFonts w:ascii="Verdana" w:hAnsi="Verdana"/>
          <w:sz w:val="20"/>
          <w:szCs w:val="20"/>
          <w:lang w:val="es-AR"/>
        </w:rPr>
        <w:footnoteReference w:id="63"/>
      </w:r>
      <w:r w:rsidR="00CE08E0">
        <w:rPr>
          <w:rFonts w:ascii="Verdana" w:hAnsi="Verdana" w:cs="URWBookmanL-Ligh"/>
          <w:color w:val="00000A"/>
          <w:sz w:val="20"/>
          <w:szCs w:val="20"/>
          <w:lang w:val="es-AR"/>
        </w:rPr>
        <w:t>.</w:t>
      </w:r>
    </w:p>
    <w:p w14:paraId="7ECB15CC" w14:textId="77777777" w:rsidR="00B15A5D" w:rsidRPr="002F08AD" w:rsidRDefault="001243D7" w:rsidP="007D58D3">
      <w:pPr>
        <w:pStyle w:val="Prrafodelista"/>
        <w:numPr>
          <w:ilvl w:val="0"/>
          <w:numId w:val="3"/>
        </w:numPr>
        <w:spacing w:before="120" w:after="120"/>
        <w:ind w:left="0" w:hanging="11"/>
        <w:contextualSpacing w:val="0"/>
        <w:jc w:val="both"/>
        <w:rPr>
          <w:rFonts w:ascii="Verdana" w:hAnsi="Verdana"/>
          <w:b/>
          <w:sz w:val="20"/>
          <w:szCs w:val="20"/>
          <w:lang w:val="es-AR"/>
        </w:rPr>
      </w:pPr>
      <w:r>
        <w:rPr>
          <w:rFonts w:ascii="Verdana" w:hAnsi="Verdana"/>
          <w:sz w:val="20"/>
          <w:szCs w:val="20"/>
          <w:lang w:val="es-AR"/>
        </w:rPr>
        <w:t>La Corte nota que la s</w:t>
      </w:r>
      <w:r w:rsidR="00B15A5D">
        <w:rPr>
          <w:rFonts w:ascii="Verdana" w:hAnsi="Verdana"/>
          <w:sz w:val="20"/>
          <w:szCs w:val="20"/>
          <w:lang w:val="es-AR"/>
        </w:rPr>
        <w:t xml:space="preserve">entencia </w:t>
      </w:r>
      <w:r w:rsidR="00357C98">
        <w:rPr>
          <w:rFonts w:ascii="Verdana" w:hAnsi="Verdana"/>
          <w:sz w:val="20"/>
          <w:szCs w:val="20"/>
          <w:lang w:val="es-AR"/>
        </w:rPr>
        <w:t>de la Sala Constitucional señala</w:t>
      </w:r>
      <w:r w:rsidR="00B15A5D">
        <w:rPr>
          <w:rFonts w:ascii="Verdana" w:hAnsi="Verdana"/>
          <w:sz w:val="20"/>
          <w:szCs w:val="20"/>
          <w:lang w:val="es-AR"/>
        </w:rPr>
        <w:t>, al referirse a la inconstitucionalidad de los artículos 67 y 68 de la Ley General de Miner</w:t>
      </w:r>
      <w:r w:rsidR="002F08AD">
        <w:rPr>
          <w:rFonts w:ascii="Verdana" w:hAnsi="Verdana"/>
          <w:sz w:val="20"/>
          <w:szCs w:val="20"/>
          <w:lang w:val="es-AR"/>
        </w:rPr>
        <w:t xml:space="preserve">ía, que </w:t>
      </w:r>
      <w:r>
        <w:rPr>
          <w:rFonts w:ascii="Verdana" w:hAnsi="Verdana"/>
          <w:sz w:val="20"/>
          <w:szCs w:val="20"/>
          <w:lang w:val="es-AR"/>
        </w:rPr>
        <w:t>los mismos</w:t>
      </w:r>
    </w:p>
    <w:p w14:paraId="50102C58" w14:textId="77777777" w:rsidR="002F08AD" w:rsidRPr="002F08AD" w:rsidRDefault="002F08AD" w:rsidP="002F08AD">
      <w:pPr>
        <w:pStyle w:val="Prrafodelista"/>
        <w:spacing w:before="120" w:after="120"/>
        <w:ind w:left="850" w:right="619"/>
        <w:contextualSpacing w:val="0"/>
        <w:jc w:val="both"/>
        <w:rPr>
          <w:rFonts w:ascii="Verdana" w:hAnsi="Verdana"/>
          <w:sz w:val="18"/>
          <w:szCs w:val="20"/>
          <w:lang w:val="es-AR"/>
        </w:rPr>
      </w:pPr>
      <w:r w:rsidRPr="002F08AD">
        <w:rPr>
          <w:rFonts w:ascii="Verdana" w:hAnsi="Verdana"/>
          <w:sz w:val="18"/>
          <w:szCs w:val="20"/>
          <w:lang w:val="es-AR"/>
        </w:rPr>
        <w:t>[…] establecen una consulta ciudadana previo al otorgamiento de la concesión de explotación, determinando asimismo que cuando el área de concesión abarque más de un municipio la consulta se aplicará únicamente en el municipio de mayor extensión territorial de la superficie a concesionar.</w:t>
      </w:r>
    </w:p>
    <w:p w14:paraId="178201EA" w14:textId="4D24528D" w:rsidR="002F08AD" w:rsidRPr="002F08AD" w:rsidRDefault="002F08AD" w:rsidP="002F08AD">
      <w:pPr>
        <w:pStyle w:val="Prrafodelista"/>
        <w:spacing w:before="120" w:after="120"/>
        <w:ind w:left="850" w:right="619"/>
        <w:contextualSpacing w:val="0"/>
        <w:jc w:val="both"/>
        <w:rPr>
          <w:rFonts w:ascii="Verdana" w:hAnsi="Verdana"/>
          <w:sz w:val="18"/>
          <w:szCs w:val="20"/>
          <w:lang w:val="es-AR"/>
        </w:rPr>
      </w:pPr>
      <w:r w:rsidRPr="002F08AD">
        <w:rPr>
          <w:rFonts w:ascii="Verdana" w:hAnsi="Verdana"/>
          <w:sz w:val="18"/>
          <w:szCs w:val="20"/>
          <w:lang w:val="es-AR"/>
        </w:rPr>
        <w:t>Tales disposiciones vulneran el bloque de convencionalidad relativ</w:t>
      </w:r>
      <w:r w:rsidR="00BD36D9">
        <w:rPr>
          <w:rFonts w:ascii="Verdana" w:hAnsi="Verdana"/>
          <w:sz w:val="18"/>
          <w:szCs w:val="20"/>
          <w:lang w:val="es-AR"/>
        </w:rPr>
        <w:t>o</w:t>
      </w:r>
      <w:r w:rsidRPr="002F08AD">
        <w:rPr>
          <w:rFonts w:ascii="Verdana" w:hAnsi="Verdana"/>
          <w:sz w:val="18"/>
          <w:szCs w:val="20"/>
          <w:lang w:val="es-AR"/>
        </w:rPr>
        <w:t xml:space="preserve"> a la protección del medio ambiente, el cual propicia la participación de todos los ciudadanos que se puedan ver afectados directamente con los proyectos de desarrollo que pueden generar perjuicios en el medio ambiente y en la salud de los mismos. </w:t>
      </w:r>
    </w:p>
    <w:p w14:paraId="71902E98" w14:textId="77777777" w:rsidR="002F08AD" w:rsidRDefault="00013136" w:rsidP="002F08AD">
      <w:pPr>
        <w:pStyle w:val="Prrafodelista"/>
        <w:spacing w:before="120" w:after="120"/>
        <w:ind w:left="850" w:right="619"/>
        <w:contextualSpacing w:val="0"/>
        <w:jc w:val="both"/>
        <w:rPr>
          <w:rFonts w:ascii="Verdana" w:hAnsi="Verdana"/>
          <w:sz w:val="18"/>
          <w:szCs w:val="20"/>
          <w:lang w:val="es-AR"/>
        </w:rPr>
      </w:pPr>
      <w:r>
        <w:rPr>
          <w:rFonts w:ascii="Verdana" w:hAnsi="Verdana"/>
          <w:sz w:val="18"/>
          <w:szCs w:val="20"/>
          <w:lang w:val="es-AR"/>
        </w:rPr>
        <w:t xml:space="preserve"> </w:t>
      </w:r>
      <w:r w:rsidR="002F08AD">
        <w:rPr>
          <w:rFonts w:ascii="Verdana" w:hAnsi="Verdana"/>
          <w:sz w:val="18"/>
          <w:szCs w:val="20"/>
          <w:lang w:val="es-AR"/>
        </w:rPr>
        <w:t>[…]</w:t>
      </w:r>
    </w:p>
    <w:p w14:paraId="43586D16" w14:textId="19D230EE" w:rsidR="002F08AD" w:rsidRPr="00267CD8" w:rsidRDefault="002F08AD" w:rsidP="002F08AD">
      <w:pPr>
        <w:pStyle w:val="Prrafodelista"/>
        <w:spacing w:before="120" w:after="120"/>
        <w:ind w:left="850" w:right="619"/>
        <w:contextualSpacing w:val="0"/>
        <w:jc w:val="both"/>
        <w:rPr>
          <w:rFonts w:ascii="Verdana" w:hAnsi="Verdana"/>
          <w:b/>
          <w:sz w:val="16"/>
          <w:szCs w:val="20"/>
          <w:lang w:val="es-AR"/>
        </w:rPr>
      </w:pPr>
      <w:r w:rsidRPr="002F08AD">
        <w:rPr>
          <w:rFonts w:ascii="Verdana" w:hAnsi="Verdana"/>
          <w:sz w:val="18"/>
          <w:szCs w:val="20"/>
          <w:lang w:val="es-AR"/>
        </w:rPr>
        <w:t>La participación ciudadana es un elemento necesario y pleno para el efectivo ejercicio de la democracia a efecto de promover y fomentar diversas formas de participación y de esta forma lograr el fortalecimiento de la democracia, que es máximo anhelo de todo Estado de Derecho, en busca de satisfacer al goce de la justicia, la libertad, la cultura y el bienestar económico y social como lo declara nuestra Carta Magna</w:t>
      </w:r>
      <w:r w:rsidR="00284696" w:rsidRPr="00284696">
        <w:rPr>
          <w:rFonts w:ascii="Verdana" w:hAnsi="Verdana"/>
          <w:sz w:val="18"/>
          <w:szCs w:val="20"/>
          <w:vertAlign w:val="superscript"/>
          <w:lang w:val="es-AR"/>
        </w:rPr>
        <w:footnoteReference w:id="64"/>
      </w:r>
      <w:r w:rsidRPr="002F08AD">
        <w:rPr>
          <w:rFonts w:ascii="Verdana" w:hAnsi="Verdana"/>
          <w:sz w:val="18"/>
          <w:szCs w:val="20"/>
          <w:lang w:val="es-AR"/>
        </w:rPr>
        <w:t>.</w:t>
      </w:r>
    </w:p>
    <w:p w14:paraId="325DC62D" w14:textId="179FE449" w:rsidR="002F08AD" w:rsidRPr="00013136" w:rsidRDefault="002F08AD" w:rsidP="00013136">
      <w:pPr>
        <w:pStyle w:val="Prrafodelista"/>
        <w:numPr>
          <w:ilvl w:val="0"/>
          <w:numId w:val="3"/>
        </w:numPr>
        <w:spacing w:before="120" w:after="120"/>
        <w:ind w:left="0" w:hanging="11"/>
        <w:contextualSpacing w:val="0"/>
        <w:jc w:val="both"/>
        <w:rPr>
          <w:rFonts w:ascii="Verdana" w:hAnsi="Verdana"/>
          <w:sz w:val="20"/>
          <w:szCs w:val="20"/>
          <w:lang w:val="es-AR"/>
        </w:rPr>
      </w:pPr>
      <w:r w:rsidRPr="00013136">
        <w:rPr>
          <w:rFonts w:ascii="Verdana" w:hAnsi="Verdana"/>
          <w:sz w:val="20"/>
          <w:szCs w:val="20"/>
          <w:lang w:val="es-AR"/>
        </w:rPr>
        <w:t>En este sentido, la Corte valora</w:t>
      </w:r>
      <w:r w:rsidR="002C332D">
        <w:rPr>
          <w:rFonts w:ascii="Verdana" w:hAnsi="Verdana"/>
          <w:sz w:val="20"/>
          <w:szCs w:val="20"/>
          <w:lang w:val="es-AR"/>
        </w:rPr>
        <w:t xml:space="preserve"> positivamente</w:t>
      </w:r>
      <w:r w:rsidRPr="00013136">
        <w:rPr>
          <w:rFonts w:ascii="Verdana" w:hAnsi="Verdana"/>
          <w:sz w:val="20"/>
          <w:szCs w:val="20"/>
          <w:lang w:val="es-AR"/>
        </w:rPr>
        <w:t xml:space="preserve"> lo resuelto por la Sala Constitucional, en tanto refiere a la importancia de la participación ciudadana y la obligación del Estado de </w:t>
      </w:r>
      <w:r w:rsidR="00013136" w:rsidRPr="00013136">
        <w:rPr>
          <w:rFonts w:ascii="Verdana" w:hAnsi="Verdana"/>
          <w:sz w:val="20"/>
          <w:szCs w:val="20"/>
          <w:lang w:val="es-AR"/>
        </w:rPr>
        <w:t>“establecer</w:t>
      </w:r>
      <w:r w:rsidRPr="00013136">
        <w:rPr>
          <w:rFonts w:ascii="Verdana" w:hAnsi="Verdana"/>
          <w:sz w:val="20"/>
          <w:szCs w:val="20"/>
          <w:lang w:val="es-AR"/>
        </w:rPr>
        <w:t xml:space="preserve"> </w:t>
      </w:r>
      <w:r w:rsidR="00013136" w:rsidRPr="00013136">
        <w:rPr>
          <w:rFonts w:ascii="Verdana" w:hAnsi="Verdana"/>
          <w:sz w:val="20"/>
          <w:szCs w:val="20"/>
          <w:lang w:val="es-AR"/>
        </w:rPr>
        <w:t>procedimientos con miras a consultar a los pueblos interesados</w:t>
      </w:r>
      <w:r w:rsidRPr="00013136">
        <w:rPr>
          <w:rFonts w:ascii="Verdana" w:hAnsi="Verdana"/>
          <w:sz w:val="20"/>
          <w:szCs w:val="20"/>
          <w:lang w:val="es-AR"/>
        </w:rPr>
        <w:t xml:space="preserve"> antes de emprender o autorizar cualquier programa de prospección o exploración”.</w:t>
      </w:r>
      <w:r w:rsidR="00267CD8">
        <w:rPr>
          <w:rFonts w:ascii="Verdana" w:hAnsi="Verdana"/>
          <w:sz w:val="20"/>
          <w:szCs w:val="20"/>
          <w:lang w:val="es-AR"/>
        </w:rPr>
        <w:t xml:space="preserve"> </w:t>
      </w:r>
      <w:r w:rsidRPr="00013136">
        <w:rPr>
          <w:rFonts w:ascii="Verdana" w:hAnsi="Verdana"/>
          <w:sz w:val="20"/>
          <w:szCs w:val="20"/>
          <w:lang w:val="es-AR"/>
        </w:rPr>
        <w:t>Sin embargo, tal como surge de la mencionada sentencia y de las observaciones de los representantes y la Comisión, no resulta claro cuál es el efecto que dicho pronunciamiento tiene sobre el artículo 82 del Reglamento de la Ley General de Minería</w:t>
      </w:r>
      <w:r w:rsidR="00013136" w:rsidRPr="00013136">
        <w:rPr>
          <w:rFonts w:ascii="Verdana" w:hAnsi="Verdana"/>
          <w:sz w:val="20"/>
          <w:szCs w:val="20"/>
          <w:lang w:val="es-AR"/>
        </w:rPr>
        <w:t>. Este Tribunal ya ha dicho, en relación a esta norma, que la misma supedita</w:t>
      </w:r>
      <w:r w:rsidRPr="00013136">
        <w:rPr>
          <w:rFonts w:ascii="Verdana" w:hAnsi="Verdana"/>
          <w:sz w:val="20"/>
          <w:szCs w:val="20"/>
          <w:lang w:val="es-AR"/>
        </w:rPr>
        <w:t xml:space="preserve"> </w:t>
      </w:r>
      <w:r w:rsidR="00013136" w:rsidRPr="00013136">
        <w:rPr>
          <w:rFonts w:ascii="Verdana" w:hAnsi="Verdana"/>
          <w:sz w:val="20"/>
          <w:szCs w:val="20"/>
          <w:lang w:val="es-AR"/>
        </w:rPr>
        <w:t>la realización del derecho a la consulta “</w:t>
      </w:r>
      <w:r w:rsidRPr="00013136">
        <w:rPr>
          <w:rFonts w:ascii="Verdana" w:hAnsi="Verdana"/>
          <w:sz w:val="20"/>
          <w:szCs w:val="20"/>
          <w:lang w:val="es-AR"/>
        </w:rPr>
        <w:t>a la fase inmediatamente anterior a la autorización de la explotación minera</w:t>
      </w:r>
      <w:r w:rsidR="00013136" w:rsidRPr="00013136">
        <w:rPr>
          <w:rFonts w:ascii="Verdana" w:hAnsi="Verdana"/>
          <w:sz w:val="20"/>
          <w:szCs w:val="20"/>
          <w:lang w:val="es-AR"/>
        </w:rPr>
        <w:t xml:space="preserve">”, por lo cual “dicha </w:t>
      </w:r>
      <w:r w:rsidR="00013136" w:rsidRPr="00013136">
        <w:rPr>
          <w:rFonts w:ascii="Verdana" w:hAnsi="Verdana"/>
          <w:sz w:val="20"/>
          <w:szCs w:val="20"/>
          <w:lang w:val="es-AR"/>
        </w:rPr>
        <w:lastRenderedPageBreak/>
        <w:t>regulación carecería de la precisión necesaria de los estándares […] sobre el derecho a la consulta”</w:t>
      </w:r>
      <w:r w:rsidR="00013136" w:rsidRPr="00013136">
        <w:rPr>
          <w:rStyle w:val="Refdenotaalpie"/>
          <w:rFonts w:ascii="Verdana" w:hAnsi="Verdana"/>
          <w:sz w:val="20"/>
          <w:szCs w:val="20"/>
          <w:lang w:val="es-AR"/>
        </w:rPr>
        <w:footnoteReference w:id="65"/>
      </w:r>
      <w:r w:rsidR="00013136" w:rsidRPr="00013136">
        <w:rPr>
          <w:rFonts w:ascii="Verdana" w:hAnsi="Verdana"/>
          <w:sz w:val="20"/>
          <w:szCs w:val="20"/>
          <w:lang w:val="es-AR"/>
        </w:rPr>
        <w:t xml:space="preserve">. </w:t>
      </w:r>
    </w:p>
    <w:p w14:paraId="52887660" w14:textId="246F30C3" w:rsidR="00753FD7" w:rsidRPr="00267CD8" w:rsidRDefault="00013136" w:rsidP="001243D7">
      <w:pPr>
        <w:pStyle w:val="Prrafodelista"/>
        <w:numPr>
          <w:ilvl w:val="0"/>
          <w:numId w:val="3"/>
        </w:numPr>
        <w:spacing w:before="120" w:after="120"/>
        <w:ind w:left="0" w:hanging="11"/>
        <w:contextualSpacing w:val="0"/>
        <w:jc w:val="both"/>
        <w:rPr>
          <w:rFonts w:ascii="Verdana" w:hAnsi="Verdana" w:cs="TrebuchetMS"/>
          <w:sz w:val="20"/>
          <w:szCs w:val="20"/>
          <w:lang w:val="es-AR"/>
        </w:rPr>
      </w:pPr>
      <w:r w:rsidRPr="001243D7">
        <w:rPr>
          <w:rFonts w:ascii="Verdana" w:hAnsi="Verdana"/>
          <w:sz w:val="20"/>
          <w:szCs w:val="20"/>
          <w:lang w:val="es-AR"/>
        </w:rPr>
        <w:t>Finalmente, el Estado señaló que</w:t>
      </w:r>
      <w:r>
        <w:rPr>
          <w:rFonts w:ascii="Verdana" w:hAnsi="Verdana"/>
          <w:b/>
          <w:sz w:val="20"/>
          <w:szCs w:val="20"/>
          <w:lang w:val="es-AR"/>
        </w:rPr>
        <w:t xml:space="preserve"> </w:t>
      </w:r>
      <w:r w:rsidR="005D2734" w:rsidRPr="005D2734">
        <w:rPr>
          <w:rFonts w:ascii="Verdana" w:hAnsi="Verdana" w:cs="TrebuchetMS"/>
          <w:sz w:val="20"/>
          <w:szCs w:val="20"/>
          <w:lang w:val="es-AR"/>
        </w:rPr>
        <w:t>“</w:t>
      </w:r>
      <w:r w:rsidR="00C244C2">
        <w:rPr>
          <w:rFonts w:ascii="Verdana" w:hAnsi="Verdana" w:cs="TrebuchetMS"/>
          <w:sz w:val="20"/>
          <w:szCs w:val="20"/>
          <w:lang w:val="es-AR"/>
        </w:rPr>
        <w:t>realizó la contratación de una [c]</w:t>
      </w:r>
      <w:proofErr w:type="spellStart"/>
      <w:r w:rsidR="005D2734" w:rsidRPr="005D2734">
        <w:rPr>
          <w:rFonts w:ascii="Verdana" w:hAnsi="Verdana" w:cs="TrebuchetMS"/>
          <w:sz w:val="20"/>
          <w:szCs w:val="20"/>
          <w:lang w:val="es-AR"/>
        </w:rPr>
        <w:t>onsultora</w:t>
      </w:r>
      <w:proofErr w:type="spellEnd"/>
      <w:r w:rsidR="005D2734" w:rsidRPr="005D2734">
        <w:rPr>
          <w:rFonts w:ascii="Verdana" w:hAnsi="Verdana" w:cs="TrebuchetMS"/>
          <w:sz w:val="20"/>
          <w:szCs w:val="20"/>
          <w:lang w:val="es-AR"/>
        </w:rPr>
        <w:t xml:space="preserve"> externa a fin de desarrollar el </w:t>
      </w:r>
      <w:r>
        <w:rPr>
          <w:rFonts w:ascii="Verdana" w:hAnsi="Verdana" w:cs="TrebuchetMS"/>
          <w:sz w:val="20"/>
          <w:szCs w:val="20"/>
          <w:lang w:val="es-AR"/>
        </w:rPr>
        <w:t>‘</w:t>
      </w:r>
      <w:r w:rsidR="005D2734" w:rsidRPr="005D2734">
        <w:rPr>
          <w:rFonts w:ascii="Verdana" w:hAnsi="Verdana" w:cs="TrebuchetMS"/>
          <w:sz w:val="20"/>
          <w:szCs w:val="20"/>
          <w:lang w:val="es-AR"/>
        </w:rPr>
        <w:t>Reglamento para el Proceso de Consulta Ciudadana Vinculante para el Otorgamiento de Con</w:t>
      </w:r>
      <w:r>
        <w:rPr>
          <w:rFonts w:ascii="Verdana" w:hAnsi="Verdana" w:cs="TrebuchetMS"/>
          <w:sz w:val="20"/>
          <w:szCs w:val="20"/>
          <w:lang w:val="es-AR"/>
        </w:rPr>
        <w:t>cesiones Mineras de Explotación’”, con el objetivo de “</w:t>
      </w:r>
      <w:r w:rsidR="005D2734" w:rsidRPr="005D2734">
        <w:rPr>
          <w:rFonts w:ascii="Verdana" w:hAnsi="Verdana" w:cs="TrebuchetMS"/>
          <w:sz w:val="20"/>
          <w:szCs w:val="20"/>
          <w:lang w:val="es-AR"/>
        </w:rPr>
        <w:t xml:space="preserve">reglamentar de manera efectiva el derecho a la consulta previa, libre e informada, legalmente válida, que permita el otorgamiento de concesiones mineras en toda etapa de la exploración y </w:t>
      </w:r>
      <w:r w:rsidR="005D2734" w:rsidRPr="001243D7">
        <w:rPr>
          <w:rFonts w:ascii="Verdana" w:hAnsi="Verdana"/>
          <w:sz w:val="20"/>
          <w:szCs w:val="20"/>
          <w:lang w:val="es-AR"/>
        </w:rPr>
        <w:t>explotación</w:t>
      </w:r>
      <w:r w:rsidR="005D2734" w:rsidRPr="005D2734">
        <w:rPr>
          <w:rFonts w:ascii="Verdana" w:hAnsi="Verdana" w:cs="TrebuchetMS"/>
          <w:sz w:val="20"/>
          <w:szCs w:val="20"/>
          <w:lang w:val="es-AR"/>
        </w:rPr>
        <w:t xml:space="preserve"> bajo un marco de estándares internacionales en esta materia”. </w:t>
      </w:r>
      <w:r w:rsidR="00753FD7">
        <w:rPr>
          <w:rFonts w:ascii="Verdana" w:hAnsi="Verdana" w:cs="TrebuchetMS"/>
          <w:sz w:val="20"/>
          <w:szCs w:val="20"/>
          <w:lang w:val="es-AR"/>
        </w:rPr>
        <w:t xml:space="preserve">No obstante, informó que dicho proyecto </w:t>
      </w:r>
      <w:r w:rsidR="00357C98">
        <w:rPr>
          <w:rFonts w:ascii="Verdana" w:hAnsi="Verdana" w:cs="TrebuchetMS"/>
          <w:sz w:val="20"/>
          <w:szCs w:val="20"/>
          <w:lang w:val="es-AR"/>
        </w:rPr>
        <w:t>fue</w:t>
      </w:r>
      <w:r w:rsidR="00753FD7">
        <w:rPr>
          <w:rFonts w:ascii="Verdana" w:hAnsi="Verdana" w:cs="TrebuchetMS"/>
          <w:sz w:val="20"/>
          <w:szCs w:val="20"/>
          <w:lang w:val="es-AR"/>
        </w:rPr>
        <w:t xml:space="preserve"> suspendido ya que “</w:t>
      </w:r>
      <w:r w:rsidR="00753FD7" w:rsidRPr="005D2734">
        <w:rPr>
          <w:rFonts w:ascii="Verdana" w:hAnsi="Verdana" w:cs="TrebuchetMS"/>
          <w:sz w:val="20"/>
          <w:szCs w:val="20"/>
          <w:lang w:val="es-AR"/>
        </w:rPr>
        <w:t>varios artículos que regulaba fueron declarados inconstitucionales</w:t>
      </w:r>
      <w:r w:rsidR="001243D7">
        <w:rPr>
          <w:rFonts w:ascii="Verdana" w:hAnsi="Verdana" w:cs="TrebuchetMS"/>
          <w:sz w:val="20"/>
          <w:szCs w:val="20"/>
          <w:lang w:val="es-AR"/>
        </w:rPr>
        <w:t>”</w:t>
      </w:r>
      <w:r w:rsidR="00753FD7">
        <w:rPr>
          <w:rFonts w:ascii="Verdana" w:hAnsi="Verdana" w:cs="TrebuchetMS"/>
          <w:sz w:val="20"/>
          <w:szCs w:val="20"/>
          <w:lang w:val="es-AR"/>
        </w:rPr>
        <w:t xml:space="preserve"> conforme a la </w:t>
      </w:r>
      <w:r w:rsidR="001243D7">
        <w:rPr>
          <w:rFonts w:ascii="Verdana" w:hAnsi="Verdana" w:cs="TrebuchetMS"/>
          <w:sz w:val="20"/>
          <w:szCs w:val="20"/>
          <w:lang w:val="es-AR"/>
        </w:rPr>
        <w:t>s</w:t>
      </w:r>
      <w:r w:rsidR="00753FD7" w:rsidRPr="005D2734">
        <w:rPr>
          <w:rFonts w:ascii="Verdana" w:hAnsi="Verdana" w:cs="TrebuchetMS"/>
          <w:sz w:val="20"/>
          <w:szCs w:val="20"/>
          <w:lang w:val="es-AR"/>
        </w:rPr>
        <w:t xml:space="preserve">entencia </w:t>
      </w:r>
      <w:r w:rsidR="001243D7">
        <w:rPr>
          <w:rFonts w:ascii="Verdana" w:hAnsi="Verdana" w:cs="TrebuchetMS"/>
          <w:sz w:val="20"/>
          <w:szCs w:val="20"/>
          <w:lang w:val="es-AR"/>
        </w:rPr>
        <w:t>de la Sala Constitucional</w:t>
      </w:r>
      <w:r w:rsidR="00753FD7">
        <w:rPr>
          <w:rFonts w:ascii="Verdana" w:hAnsi="Verdana" w:cs="TrebuchetMS"/>
          <w:sz w:val="20"/>
          <w:szCs w:val="20"/>
          <w:lang w:val="es-AR"/>
        </w:rPr>
        <w:t>, por lo cual “</w:t>
      </w:r>
      <w:r w:rsidR="00753FD7" w:rsidRPr="005D2734">
        <w:rPr>
          <w:rFonts w:ascii="Verdana" w:hAnsi="Verdana" w:cs="TrebuchetMS"/>
          <w:sz w:val="20"/>
          <w:szCs w:val="20"/>
          <w:lang w:val="es-AR"/>
        </w:rPr>
        <w:t>las entidades correspondientes se encuentran gestionando ante el Congreso Nacional de la República de Honduras la reforma de dichos artículos</w:t>
      </w:r>
      <w:r w:rsidR="00383261">
        <w:rPr>
          <w:rFonts w:ascii="Verdana" w:hAnsi="Verdana" w:cs="TrebuchetMS"/>
          <w:sz w:val="20"/>
          <w:szCs w:val="20"/>
          <w:lang w:val="es-AR"/>
        </w:rPr>
        <w:t xml:space="preserve">, </w:t>
      </w:r>
      <w:r w:rsidR="00383261" w:rsidRPr="00383261">
        <w:rPr>
          <w:rFonts w:ascii="Verdana" w:hAnsi="Verdana" w:cs="TrebuchetMS"/>
          <w:sz w:val="20"/>
          <w:szCs w:val="20"/>
          <w:lang w:val="es-AR"/>
        </w:rPr>
        <w:t>a fin de que los mismos estén acordes a los principios en materia de consulta previa pregonados por instrumentos internacionales como el Convenio 169 de la Organización</w:t>
      </w:r>
      <w:r w:rsidR="002C332D">
        <w:rPr>
          <w:rFonts w:ascii="Verdana" w:hAnsi="Verdana" w:cs="TrebuchetMS"/>
          <w:sz w:val="20"/>
          <w:szCs w:val="20"/>
          <w:lang w:val="es-AR"/>
        </w:rPr>
        <w:t xml:space="preserve"> Internacional del Trabajo</w:t>
      </w:r>
      <w:r w:rsidR="00753FD7">
        <w:rPr>
          <w:rFonts w:ascii="Verdana" w:hAnsi="Verdana" w:cs="TrebuchetMS"/>
          <w:sz w:val="20"/>
          <w:szCs w:val="20"/>
          <w:lang w:val="es-AR"/>
        </w:rPr>
        <w:t>”</w:t>
      </w:r>
      <w:r w:rsidR="00D17151">
        <w:rPr>
          <w:rStyle w:val="Refdenotaalpie"/>
          <w:rFonts w:ascii="Verdana" w:hAnsi="Verdana"/>
          <w:sz w:val="20"/>
          <w:szCs w:val="20"/>
          <w:lang w:val="es-AR"/>
        </w:rPr>
        <w:footnoteReference w:id="66"/>
      </w:r>
      <w:r w:rsidR="00753FD7">
        <w:rPr>
          <w:rFonts w:ascii="Verdana" w:hAnsi="Verdana" w:cs="TrebuchetMS"/>
          <w:sz w:val="20"/>
          <w:szCs w:val="20"/>
          <w:lang w:val="es-AR"/>
        </w:rPr>
        <w:t>.</w:t>
      </w:r>
      <w:r w:rsidR="000F229D">
        <w:rPr>
          <w:rFonts w:ascii="Verdana" w:hAnsi="Verdana" w:cs="TrebuchetMS"/>
          <w:sz w:val="20"/>
          <w:szCs w:val="20"/>
          <w:lang w:val="es-AR"/>
        </w:rPr>
        <w:t xml:space="preserve"> </w:t>
      </w:r>
      <w:r w:rsidR="001243D7">
        <w:rPr>
          <w:rFonts w:ascii="Verdana" w:hAnsi="Verdana" w:cs="TrebuchetMS"/>
          <w:sz w:val="20"/>
          <w:szCs w:val="20"/>
          <w:lang w:val="es-AR"/>
        </w:rPr>
        <w:t>L</w:t>
      </w:r>
      <w:r w:rsidR="00753FD7">
        <w:rPr>
          <w:rFonts w:ascii="Verdana" w:hAnsi="Verdana" w:cs="TrebuchetMS"/>
          <w:sz w:val="20"/>
          <w:szCs w:val="20"/>
          <w:lang w:val="es-AR"/>
        </w:rPr>
        <w:t xml:space="preserve">os representantes consideraron que </w:t>
      </w:r>
      <w:r w:rsidR="001243D7">
        <w:rPr>
          <w:rFonts w:ascii="Verdana" w:hAnsi="Verdana" w:cs="TrebuchetMS"/>
          <w:sz w:val="20"/>
          <w:szCs w:val="20"/>
          <w:lang w:val="es-AR"/>
        </w:rPr>
        <w:t>“</w:t>
      </w:r>
      <w:r w:rsidR="00753FD7" w:rsidRPr="00753FD7">
        <w:rPr>
          <w:rFonts w:ascii="Verdana" w:hAnsi="Verdana" w:cs="URWBookmanL-Ligh"/>
          <w:color w:val="00000A"/>
          <w:sz w:val="20"/>
          <w:szCs w:val="20"/>
          <w:lang w:val="es-AR"/>
        </w:rPr>
        <w:t>lejos de considerar</w:t>
      </w:r>
      <w:r w:rsidR="001243D7">
        <w:rPr>
          <w:rFonts w:ascii="Verdana" w:hAnsi="Verdana" w:cs="URWBookmanL-Ligh"/>
          <w:color w:val="00000A"/>
          <w:sz w:val="20"/>
          <w:szCs w:val="20"/>
          <w:lang w:val="es-AR"/>
        </w:rPr>
        <w:t>[lo]</w:t>
      </w:r>
      <w:r w:rsidR="00753FD7" w:rsidRPr="00753FD7">
        <w:rPr>
          <w:rFonts w:ascii="Verdana" w:hAnsi="Verdana" w:cs="URWBookmanL-Ligh"/>
          <w:color w:val="00000A"/>
          <w:sz w:val="20"/>
          <w:szCs w:val="20"/>
          <w:lang w:val="es-AR"/>
        </w:rPr>
        <w:t xml:space="preserve"> un avance </w:t>
      </w:r>
      <w:r w:rsidR="001243D7">
        <w:rPr>
          <w:rFonts w:ascii="Verdana" w:hAnsi="Verdana" w:cs="URWBookmanL-Ligh"/>
          <w:color w:val="00000A"/>
          <w:sz w:val="20"/>
          <w:szCs w:val="20"/>
          <w:lang w:val="es-AR"/>
        </w:rPr>
        <w:t>[…]</w:t>
      </w:r>
      <w:r w:rsidR="00753FD7" w:rsidRPr="00753FD7">
        <w:rPr>
          <w:rFonts w:ascii="Verdana" w:hAnsi="Verdana" w:cs="URWBookmanL-Ligh"/>
          <w:color w:val="00000A"/>
          <w:sz w:val="20"/>
          <w:szCs w:val="20"/>
          <w:lang w:val="es-AR"/>
        </w:rPr>
        <w:t xml:space="preserve">, la contratación de una consultoría para </w:t>
      </w:r>
      <w:r w:rsidR="001243D7">
        <w:rPr>
          <w:rFonts w:ascii="Verdana" w:hAnsi="Verdana" w:cs="URWBookmanL-Ligh"/>
          <w:color w:val="00000A"/>
          <w:sz w:val="20"/>
          <w:szCs w:val="20"/>
          <w:lang w:val="es-AR"/>
        </w:rPr>
        <w:t xml:space="preserve">[el] </w:t>
      </w:r>
      <w:r w:rsidR="00753FD7" w:rsidRPr="00753FD7">
        <w:rPr>
          <w:rFonts w:ascii="Verdana" w:hAnsi="Verdana" w:cs="URWBookmanL-Ligh"/>
          <w:color w:val="00000A"/>
          <w:sz w:val="20"/>
          <w:szCs w:val="20"/>
          <w:lang w:val="es-AR"/>
        </w:rPr>
        <w:t>reglamento de consulta sin la opinión de los beneficiarios de la sentencia y a través de mecanismos impuestos por el Estado representan un ejemplo de la ineficacia y la afrenta del Estado a las víctimas de los casos y al propio [S]</w:t>
      </w:r>
      <w:proofErr w:type="spellStart"/>
      <w:r w:rsidR="00753FD7" w:rsidRPr="00753FD7">
        <w:rPr>
          <w:rFonts w:ascii="Verdana" w:hAnsi="Verdana" w:cs="URWBookmanL-Ligh"/>
          <w:color w:val="00000A"/>
          <w:sz w:val="20"/>
          <w:szCs w:val="20"/>
          <w:lang w:val="es-AR"/>
        </w:rPr>
        <w:t>istema</w:t>
      </w:r>
      <w:proofErr w:type="spellEnd"/>
      <w:r w:rsidR="00753FD7" w:rsidRPr="00753FD7">
        <w:rPr>
          <w:rFonts w:ascii="Verdana" w:hAnsi="Verdana" w:cs="URWBookmanL-Ligh"/>
          <w:color w:val="00000A"/>
          <w:sz w:val="20"/>
          <w:szCs w:val="20"/>
          <w:lang w:val="es-AR"/>
        </w:rPr>
        <w:t xml:space="preserve"> [I]</w:t>
      </w:r>
      <w:proofErr w:type="spellStart"/>
      <w:r w:rsidR="00753FD7" w:rsidRPr="00753FD7">
        <w:rPr>
          <w:rFonts w:ascii="Verdana" w:hAnsi="Verdana" w:cs="URWBookmanL-Ligh"/>
          <w:color w:val="00000A"/>
          <w:sz w:val="20"/>
          <w:szCs w:val="20"/>
          <w:lang w:val="es-AR"/>
        </w:rPr>
        <w:t>nteramericano</w:t>
      </w:r>
      <w:proofErr w:type="spellEnd"/>
      <w:r w:rsidR="00753FD7" w:rsidRPr="00753FD7">
        <w:rPr>
          <w:rFonts w:ascii="Verdana" w:hAnsi="Verdana" w:cs="URWBookmanL-Ligh"/>
          <w:color w:val="00000A"/>
          <w:sz w:val="20"/>
          <w:szCs w:val="20"/>
          <w:lang w:val="es-AR"/>
        </w:rPr>
        <w:t>”</w:t>
      </w:r>
      <w:r w:rsidR="00D17151">
        <w:rPr>
          <w:rStyle w:val="Refdenotaalpie"/>
          <w:rFonts w:ascii="Verdana" w:hAnsi="Verdana"/>
          <w:sz w:val="20"/>
          <w:szCs w:val="20"/>
          <w:lang w:val="es-AR"/>
        </w:rPr>
        <w:footnoteReference w:id="67"/>
      </w:r>
      <w:r w:rsidR="00753FD7" w:rsidRPr="00753FD7">
        <w:rPr>
          <w:rFonts w:ascii="Verdana" w:hAnsi="Verdana" w:cs="URWBookmanL-Ligh"/>
          <w:color w:val="00000A"/>
          <w:sz w:val="20"/>
          <w:szCs w:val="20"/>
          <w:lang w:val="es-AR"/>
        </w:rPr>
        <w:t xml:space="preserve">. </w:t>
      </w:r>
      <w:r w:rsidR="00753FD7" w:rsidRPr="001243D7">
        <w:rPr>
          <w:rFonts w:ascii="Verdana" w:hAnsi="Verdana" w:cs="TrebuchetMS"/>
          <w:sz w:val="20"/>
          <w:szCs w:val="20"/>
          <w:lang w:val="es-AR"/>
        </w:rPr>
        <w:t xml:space="preserve">La Comisión </w:t>
      </w:r>
      <w:r w:rsidR="00267CD8">
        <w:rPr>
          <w:rFonts w:ascii="Verdana" w:hAnsi="Verdana" w:cs="TrebuchetMS"/>
          <w:sz w:val="20"/>
          <w:szCs w:val="20"/>
          <w:lang w:val="es-AR"/>
        </w:rPr>
        <w:t>señaló</w:t>
      </w:r>
      <w:r w:rsidR="00753FD7" w:rsidRPr="001243D7">
        <w:rPr>
          <w:rFonts w:ascii="Verdana" w:hAnsi="Verdana" w:cs="TrebuchetMS"/>
          <w:sz w:val="20"/>
          <w:szCs w:val="20"/>
          <w:lang w:val="es-AR"/>
        </w:rPr>
        <w:t xml:space="preserve"> que</w:t>
      </w:r>
      <w:r w:rsidR="00753FD7">
        <w:rPr>
          <w:rFonts w:ascii="Verdana" w:hAnsi="Verdana" w:cs="TrebuchetMS"/>
          <w:b/>
          <w:sz w:val="20"/>
          <w:szCs w:val="20"/>
          <w:lang w:val="es-AR"/>
        </w:rPr>
        <w:t xml:space="preserve"> </w:t>
      </w:r>
      <w:r w:rsidR="00753FD7">
        <w:rPr>
          <w:rFonts w:ascii="Verdana" w:hAnsi="Verdana"/>
          <w:sz w:val="20"/>
          <w:szCs w:val="20"/>
          <w:lang w:val="es-AR"/>
        </w:rPr>
        <w:t xml:space="preserve">la reforma a la </w:t>
      </w:r>
      <w:r w:rsidR="001243D7">
        <w:rPr>
          <w:rFonts w:ascii="Verdana" w:hAnsi="Verdana"/>
          <w:sz w:val="20"/>
          <w:szCs w:val="20"/>
          <w:lang w:val="es-AR"/>
        </w:rPr>
        <w:t xml:space="preserve">Ley General de Minería </w:t>
      </w:r>
      <w:r w:rsidR="00357C98">
        <w:rPr>
          <w:rFonts w:ascii="Verdana" w:hAnsi="Verdana"/>
          <w:sz w:val="20"/>
          <w:szCs w:val="20"/>
          <w:lang w:val="es-AR"/>
        </w:rPr>
        <w:t>sigue</w:t>
      </w:r>
      <w:r w:rsidR="00753FD7">
        <w:rPr>
          <w:rFonts w:ascii="Verdana" w:hAnsi="Verdana"/>
          <w:sz w:val="20"/>
          <w:szCs w:val="20"/>
          <w:lang w:val="es-AR"/>
        </w:rPr>
        <w:t xml:space="preserve"> en discusión en el Congreso Nacional, por lo que advirtió “la importancia de </w:t>
      </w:r>
      <w:r w:rsidR="00357C98">
        <w:rPr>
          <w:rFonts w:ascii="Verdana" w:hAnsi="Verdana"/>
          <w:sz w:val="20"/>
          <w:szCs w:val="20"/>
          <w:lang w:val="es-AR"/>
        </w:rPr>
        <w:t>[…]</w:t>
      </w:r>
      <w:r w:rsidR="00753FD7">
        <w:rPr>
          <w:rFonts w:ascii="Verdana" w:hAnsi="Verdana"/>
          <w:sz w:val="20"/>
          <w:szCs w:val="20"/>
          <w:lang w:val="es-AR"/>
        </w:rPr>
        <w:t xml:space="preserve"> contar con información actualizada” </w:t>
      </w:r>
      <w:r w:rsidR="001243D7">
        <w:rPr>
          <w:rFonts w:ascii="Verdana" w:hAnsi="Verdana"/>
          <w:sz w:val="20"/>
          <w:szCs w:val="20"/>
          <w:lang w:val="es-AR"/>
        </w:rPr>
        <w:t xml:space="preserve">y </w:t>
      </w:r>
      <w:r w:rsidR="00267CD8">
        <w:rPr>
          <w:rFonts w:ascii="Verdana" w:hAnsi="Verdana"/>
          <w:sz w:val="20"/>
          <w:szCs w:val="20"/>
          <w:lang w:val="es-AR"/>
        </w:rPr>
        <w:t>remarcó</w:t>
      </w:r>
      <w:r w:rsidR="00753FD7" w:rsidRPr="001243D7">
        <w:rPr>
          <w:rFonts w:ascii="Verdana" w:hAnsi="Verdana"/>
          <w:sz w:val="20"/>
          <w:szCs w:val="20"/>
          <w:lang w:val="es-AR"/>
        </w:rPr>
        <w:t xml:space="preserve"> que “</w:t>
      </w:r>
      <w:r w:rsidR="00753FD7" w:rsidRPr="001243D7">
        <w:rPr>
          <w:rFonts w:ascii="Verdana" w:hAnsi="Verdana" w:cs="URWBookmanL-Ligh"/>
          <w:color w:val="00000A"/>
          <w:sz w:val="20"/>
          <w:szCs w:val="20"/>
          <w:lang w:val="es-AR"/>
        </w:rPr>
        <w:t>la medida más adecuada para evitar que las disposiciones reglamentarias sobre minería no menoscaben el derecho a la consulta sería la expedición de una Ley en la materia”</w:t>
      </w:r>
      <w:r w:rsidR="00D17151">
        <w:rPr>
          <w:rStyle w:val="Refdenotaalpie"/>
          <w:rFonts w:ascii="Verdana" w:hAnsi="Verdana"/>
          <w:sz w:val="20"/>
          <w:szCs w:val="20"/>
          <w:lang w:val="es-AR"/>
        </w:rPr>
        <w:footnoteReference w:id="68"/>
      </w:r>
      <w:r w:rsidR="00753FD7" w:rsidRPr="001243D7">
        <w:rPr>
          <w:rFonts w:ascii="Verdana" w:hAnsi="Verdana" w:cs="URWBookmanL-Ligh"/>
          <w:color w:val="00000A"/>
          <w:sz w:val="20"/>
          <w:szCs w:val="20"/>
          <w:lang w:val="es-AR"/>
        </w:rPr>
        <w:t>.</w:t>
      </w:r>
    </w:p>
    <w:p w14:paraId="58322C65" w14:textId="1E0854EB" w:rsidR="00267CD8" w:rsidRPr="00CD7384" w:rsidRDefault="00267CD8" w:rsidP="001243D7">
      <w:pPr>
        <w:pStyle w:val="Prrafodelista"/>
        <w:numPr>
          <w:ilvl w:val="0"/>
          <w:numId w:val="3"/>
        </w:numPr>
        <w:spacing w:before="120" w:after="120"/>
        <w:ind w:left="0" w:hanging="11"/>
        <w:contextualSpacing w:val="0"/>
        <w:jc w:val="both"/>
        <w:rPr>
          <w:rFonts w:ascii="Verdana" w:hAnsi="Verdana" w:cs="TrebuchetMS"/>
          <w:sz w:val="20"/>
          <w:szCs w:val="20"/>
          <w:lang w:val="es-AR"/>
        </w:rPr>
      </w:pPr>
      <w:r w:rsidRPr="00CD7384">
        <w:rPr>
          <w:rFonts w:ascii="Verdana" w:hAnsi="Verdana" w:cs="URWBookmanL-Ligh"/>
          <w:color w:val="00000A"/>
          <w:sz w:val="20"/>
          <w:szCs w:val="20"/>
          <w:lang w:val="es-AR"/>
        </w:rPr>
        <w:t xml:space="preserve">Al respecto, este Tribunal </w:t>
      </w:r>
      <w:r w:rsidR="00383261" w:rsidRPr="00CD7384">
        <w:rPr>
          <w:rFonts w:ascii="Verdana" w:hAnsi="Verdana" w:cs="URWBookmanL-Ligh"/>
          <w:color w:val="00000A"/>
          <w:sz w:val="20"/>
          <w:szCs w:val="20"/>
          <w:lang w:val="es-AR"/>
        </w:rPr>
        <w:t xml:space="preserve">valora </w:t>
      </w:r>
      <w:r w:rsidR="000F6161">
        <w:rPr>
          <w:rFonts w:ascii="Verdana" w:hAnsi="Verdana" w:cs="URWBookmanL-Ligh"/>
          <w:color w:val="00000A"/>
          <w:sz w:val="20"/>
          <w:szCs w:val="20"/>
          <w:lang w:val="es-AR"/>
        </w:rPr>
        <w:t xml:space="preserve">positivamente </w:t>
      </w:r>
      <w:r w:rsidR="00383261" w:rsidRPr="00CD7384">
        <w:rPr>
          <w:rFonts w:ascii="Verdana" w:hAnsi="Verdana" w:cs="URWBookmanL-Ligh"/>
          <w:color w:val="00000A"/>
          <w:sz w:val="20"/>
          <w:szCs w:val="20"/>
          <w:lang w:val="es-AR"/>
        </w:rPr>
        <w:t>los esfuerzos tendientes a la reforma de la Ley General de Minería con el objetivo de adaptarla a los estándares internacionales aplicables</w:t>
      </w:r>
      <w:r w:rsidR="002C332D" w:rsidRPr="00CD7384">
        <w:rPr>
          <w:rFonts w:ascii="Verdana" w:hAnsi="Verdana" w:cs="URWBookmanL-Ligh"/>
          <w:color w:val="00000A"/>
          <w:sz w:val="20"/>
          <w:szCs w:val="20"/>
          <w:lang w:val="es-AR"/>
        </w:rPr>
        <w:t xml:space="preserve"> en materia de derecho a la consulta. No obstante, esta Corte no cuenta con información suficiente para determinar el grado de avance de esta medida, en tanto el Estado no ha aportado información detallada con respecto al contenido de la iniciativa de reforma, ni al estado del trámite legislativo. </w:t>
      </w:r>
    </w:p>
    <w:p w14:paraId="17DE11A2" w14:textId="77777777" w:rsidR="002C332D" w:rsidRPr="00CD7384" w:rsidRDefault="002C332D" w:rsidP="001243D7">
      <w:pPr>
        <w:pStyle w:val="Prrafodelista"/>
        <w:numPr>
          <w:ilvl w:val="0"/>
          <w:numId w:val="3"/>
        </w:numPr>
        <w:spacing w:before="120" w:after="120"/>
        <w:ind w:left="0" w:hanging="11"/>
        <w:contextualSpacing w:val="0"/>
        <w:jc w:val="both"/>
        <w:rPr>
          <w:rFonts w:ascii="Verdana" w:hAnsi="Verdana" w:cs="TrebuchetMS"/>
          <w:sz w:val="20"/>
          <w:szCs w:val="20"/>
          <w:lang w:val="es-AR"/>
        </w:rPr>
      </w:pPr>
      <w:bookmarkStart w:id="24" w:name="_Ref12551739"/>
      <w:r w:rsidRPr="00CD7384">
        <w:rPr>
          <w:rFonts w:ascii="Verdana" w:hAnsi="Verdana" w:cs="URWBookmanL-Ligh"/>
          <w:color w:val="00000A"/>
          <w:sz w:val="20"/>
          <w:szCs w:val="20"/>
          <w:lang w:val="es-AR"/>
        </w:rPr>
        <w:t>En virtud de lo expuesto, la Corte considera que se encuentra pendiente de cumplimiento la medida de reparación ordenada en el punto resolutivo décimo quinto de la Sentencia, y requiere al Estado que presente información actualizada y detallada sobre la adopción de medidas destinadas a que sus disposiciones reglamentarias sobre minería no menoscaben el derecho a la consulta. En particular, este Tribunal solicita al Estado que se refiera a: (i) el cont</w:t>
      </w:r>
      <w:r w:rsidR="00CD7384" w:rsidRPr="00CD7384">
        <w:rPr>
          <w:rFonts w:ascii="Verdana" w:hAnsi="Verdana" w:cs="URWBookmanL-Ligh"/>
          <w:color w:val="00000A"/>
          <w:sz w:val="20"/>
          <w:szCs w:val="20"/>
          <w:lang w:val="es-AR"/>
        </w:rPr>
        <w:t xml:space="preserve">enido y estado parlamentario del “Anteproyecto de Ley para la Consulta Libre, Previa e Informada para los Pueblos Indígenas y </w:t>
      </w:r>
      <w:proofErr w:type="spellStart"/>
      <w:r w:rsidR="00CD7384" w:rsidRPr="00CD7384">
        <w:rPr>
          <w:rFonts w:ascii="Verdana" w:hAnsi="Verdana" w:cs="URWBookmanL-Ligh"/>
          <w:color w:val="00000A"/>
          <w:sz w:val="20"/>
          <w:szCs w:val="20"/>
          <w:lang w:val="es-AR"/>
        </w:rPr>
        <w:t>Afrohondureños</w:t>
      </w:r>
      <w:proofErr w:type="spellEnd"/>
      <w:r w:rsidR="00CD7384" w:rsidRPr="00CD7384">
        <w:rPr>
          <w:rFonts w:ascii="Verdana" w:hAnsi="Verdana" w:cs="URWBookmanL-Ligh"/>
          <w:color w:val="00000A"/>
          <w:sz w:val="20"/>
          <w:szCs w:val="20"/>
          <w:lang w:val="es-AR"/>
        </w:rPr>
        <w:t>”; (</w:t>
      </w:r>
      <w:proofErr w:type="spellStart"/>
      <w:r w:rsidR="00CD7384" w:rsidRPr="00CD7384">
        <w:rPr>
          <w:rFonts w:ascii="Verdana" w:hAnsi="Verdana" w:cs="URWBookmanL-Ligh"/>
          <w:color w:val="00000A"/>
          <w:sz w:val="20"/>
          <w:szCs w:val="20"/>
          <w:lang w:val="es-AR"/>
        </w:rPr>
        <w:t>ii</w:t>
      </w:r>
      <w:proofErr w:type="spellEnd"/>
      <w:r w:rsidR="00CD7384" w:rsidRPr="00CD7384">
        <w:rPr>
          <w:rFonts w:ascii="Verdana" w:hAnsi="Verdana" w:cs="URWBookmanL-Ligh"/>
          <w:color w:val="00000A"/>
          <w:sz w:val="20"/>
          <w:szCs w:val="20"/>
          <w:lang w:val="es-AR"/>
        </w:rPr>
        <w:t>) las acciones realizadas a los fines de poner en conocimiento de los Pueblos el contenido de dicho Anteproyecto, incluido el evento programado para los días 12 y 13 de enero de 2017; (</w:t>
      </w:r>
      <w:proofErr w:type="spellStart"/>
      <w:r w:rsidR="00CD7384" w:rsidRPr="00CD7384">
        <w:rPr>
          <w:rFonts w:ascii="Verdana" w:hAnsi="Verdana" w:cs="URWBookmanL-Ligh"/>
          <w:color w:val="00000A"/>
          <w:sz w:val="20"/>
          <w:szCs w:val="20"/>
          <w:lang w:val="es-AR"/>
        </w:rPr>
        <w:t>iii</w:t>
      </w:r>
      <w:proofErr w:type="spellEnd"/>
      <w:r w:rsidR="00CD7384" w:rsidRPr="00CD7384">
        <w:rPr>
          <w:rFonts w:ascii="Verdana" w:hAnsi="Verdana" w:cs="URWBookmanL-Ligh"/>
          <w:color w:val="00000A"/>
          <w:sz w:val="20"/>
          <w:szCs w:val="20"/>
          <w:lang w:val="es-AR"/>
        </w:rPr>
        <w:t>) qué efectos tiene la sentencia de la Sala Constitucional sobre la vigencia del artículo 82 del Reglamento de la Ley General de Minería, y (</w:t>
      </w:r>
      <w:proofErr w:type="spellStart"/>
      <w:r w:rsidR="00CD7384" w:rsidRPr="00CD7384">
        <w:rPr>
          <w:rFonts w:ascii="Verdana" w:hAnsi="Verdana" w:cs="URWBookmanL-Ligh"/>
          <w:color w:val="00000A"/>
          <w:sz w:val="20"/>
          <w:szCs w:val="20"/>
          <w:lang w:val="es-AR"/>
        </w:rPr>
        <w:t>iv</w:t>
      </w:r>
      <w:proofErr w:type="spellEnd"/>
      <w:r w:rsidR="00CD7384" w:rsidRPr="00CD7384">
        <w:rPr>
          <w:rFonts w:ascii="Verdana" w:hAnsi="Verdana" w:cs="URWBookmanL-Ligh"/>
          <w:color w:val="00000A"/>
          <w:sz w:val="20"/>
          <w:szCs w:val="20"/>
          <w:lang w:val="es-AR"/>
        </w:rPr>
        <w:t>) el contenido y estado parlamentario del proyecto de reforma de la Ley General de Minería.</w:t>
      </w:r>
      <w:bookmarkEnd w:id="24"/>
      <w:r w:rsidR="00CD7384" w:rsidRPr="00CD7384">
        <w:rPr>
          <w:rFonts w:ascii="Verdana" w:hAnsi="Verdana" w:cs="URWBookmanL-Ligh"/>
          <w:color w:val="00000A"/>
          <w:sz w:val="20"/>
          <w:szCs w:val="20"/>
          <w:lang w:val="es-AR"/>
        </w:rPr>
        <w:t xml:space="preserve"> </w:t>
      </w:r>
    </w:p>
    <w:p w14:paraId="3D573FC1" w14:textId="77777777" w:rsidR="00920407" w:rsidRDefault="00920407" w:rsidP="00920407">
      <w:pPr>
        <w:pStyle w:val="Prrafodelista"/>
        <w:spacing w:before="120" w:after="120"/>
        <w:ind w:left="0"/>
        <w:contextualSpacing w:val="0"/>
        <w:jc w:val="both"/>
        <w:outlineLvl w:val="0"/>
        <w:rPr>
          <w:rFonts w:ascii="Verdana" w:hAnsi="Verdana"/>
          <w:b/>
          <w:i/>
          <w:sz w:val="20"/>
          <w:szCs w:val="20"/>
          <w:lang w:val="es-MX"/>
        </w:rPr>
      </w:pPr>
    </w:p>
    <w:p w14:paraId="5735A907" w14:textId="1016FB3D" w:rsidR="00920407" w:rsidRDefault="00B06955" w:rsidP="00920407">
      <w:pPr>
        <w:pStyle w:val="Prrafodelista"/>
        <w:numPr>
          <w:ilvl w:val="0"/>
          <w:numId w:val="6"/>
        </w:numPr>
        <w:spacing w:before="120" w:after="120"/>
        <w:contextualSpacing w:val="0"/>
        <w:jc w:val="both"/>
        <w:outlineLvl w:val="0"/>
        <w:rPr>
          <w:rFonts w:ascii="Verdana" w:hAnsi="Verdana"/>
          <w:b/>
          <w:i/>
          <w:sz w:val="20"/>
          <w:szCs w:val="20"/>
          <w:lang w:val="es-MX"/>
        </w:rPr>
      </w:pPr>
      <w:bookmarkStart w:id="25" w:name="_Toc1737138"/>
      <w:r>
        <w:rPr>
          <w:rFonts w:ascii="Verdana" w:hAnsi="Verdana"/>
          <w:b/>
          <w:i/>
          <w:sz w:val="20"/>
          <w:szCs w:val="20"/>
          <w:lang w:val="es-MX"/>
        </w:rPr>
        <w:t xml:space="preserve">Crear </w:t>
      </w:r>
      <w:r w:rsidR="00920407">
        <w:rPr>
          <w:rFonts w:ascii="Verdana" w:hAnsi="Verdana"/>
          <w:b/>
          <w:i/>
          <w:sz w:val="20"/>
          <w:szCs w:val="20"/>
          <w:lang w:val="es-MX"/>
        </w:rPr>
        <w:t xml:space="preserve">mecanismos adecuados </w:t>
      </w:r>
      <w:r>
        <w:rPr>
          <w:rFonts w:ascii="Verdana" w:hAnsi="Verdana"/>
          <w:b/>
          <w:i/>
          <w:sz w:val="20"/>
          <w:szCs w:val="20"/>
          <w:lang w:val="es-MX"/>
        </w:rPr>
        <w:t>p</w:t>
      </w:r>
      <w:r w:rsidR="00920407">
        <w:rPr>
          <w:rFonts w:ascii="Verdana" w:hAnsi="Verdana"/>
          <w:b/>
          <w:i/>
          <w:sz w:val="20"/>
          <w:szCs w:val="20"/>
          <w:lang w:val="es-MX"/>
        </w:rPr>
        <w:t>ara regular su sistem</w:t>
      </w:r>
      <w:r>
        <w:rPr>
          <w:rFonts w:ascii="Verdana" w:hAnsi="Verdana"/>
          <w:b/>
          <w:i/>
          <w:sz w:val="20"/>
          <w:szCs w:val="20"/>
          <w:lang w:val="es-MX"/>
        </w:rPr>
        <w:t>a de Registro de Propiedad</w:t>
      </w:r>
      <w:bookmarkEnd w:id="25"/>
    </w:p>
    <w:p w14:paraId="40A24A2F" w14:textId="77777777" w:rsidR="00920407" w:rsidRPr="00B06955" w:rsidRDefault="00920407" w:rsidP="00920407">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G</w:t>
      </w:r>
      <w:r w:rsidRPr="00B06955">
        <w:rPr>
          <w:rFonts w:ascii="Verdana" w:hAnsi="Verdana"/>
          <w:i/>
          <w:sz w:val="20"/>
          <w:szCs w:val="20"/>
          <w:lang w:val="es-MX"/>
        </w:rPr>
        <w:t xml:space="preserve">.1. Medida ordenada por la Corte </w:t>
      </w:r>
    </w:p>
    <w:p w14:paraId="2D04C258" w14:textId="77777777" w:rsidR="00920407" w:rsidRPr="005D147E" w:rsidRDefault="00920407" w:rsidP="00920407">
      <w:pPr>
        <w:pStyle w:val="Prrafodelista"/>
        <w:numPr>
          <w:ilvl w:val="0"/>
          <w:numId w:val="3"/>
        </w:numPr>
        <w:spacing w:before="120" w:after="120"/>
        <w:ind w:left="0" w:hanging="11"/>
        <w:contextualSpacing w:val="0"/>
        <w:jc w:val="both"/>
        <w:rPr>
          <w:rFonts w:ascii="Verdana" w:hAnsi="Verdana"/>
          <w:color w:val="00B050"/>
          <w:sz w:val="20"/>
          <w:szCs w:val="20"/>
          <w:lang w:val="es-CR"/>
        </w:rPr>
      </w:pPr>
      <w:r w:rsidRPr="00B06955">
        <w:rPr>
          <w:rFonts w:ascii="Verdana" w:hAnsi="Verdana"/>
          <w:sz w:val="20"/>
          <w:szCs w:val="20"/>
          <w:lang w:val="es-MX"/>
        </w:rPr>
        <w:t xml:space="preserve">En el punto resolutivo </w:t>
      </w:r>
      <w:r w:rsidR="002744E6">
        <w:rPr>
          <w:rFonts w:ascii="Verdana" w:hAnsi="Verdana"/>
          <w:sz w:val="20"/>
          <w:szCs w:val="20"/>
          <w:lang w:val="es-MX"/>
        </w:rPr>
        <w:t>decimosexto y en el párrafo</w:t>
      </w:r>
      <w:r w:rsidRPr="00B06955">
        <w:rPr>
          <w:rFonts w:ascii="Verdana" w:hAnsi="Verdana"/>
          <w:sz w:val="20"/>
          <w:szCs w:val="20"/>
          <w:lang w:val="es-MX"/>
        </w:rPr>
        <w:t xml:space="preserve"> </w:t>
      </w:r>
      <w:r w:rsidR="002744E6">
        <w:rPr>
          <w:rFonts w:ascii="Verdana" w:hAnsi="Verdana"/>
          <w:sz w:val="20"/>
          <w:szCs w:val="20"/>
          <w:lang w:val="es-MX"/>
        </w:rPr>
        <w:t>347</w:t>
      </w:r>
      <w:r w:rsidRPr="00B06955">
        <w:rPr>
          <w:rFonts w:ascii="Verdana" w:hAnsi="Verdana"/>
          <w:sz w:val="20"/>
          <w:szCs w:val="20"/>
          <w:lang w:val="es-MX"/>
        </w:rPr>
        <w:t xml:space="preserve"> de la Sentencia, la Corte dispuso que </w:t>
      </w:r>
      <w:r w:rsidR="002744E6">
        <w:rPr>
          <w:rFonts w:ascii="Verdana" w:hAnsi="Verdana"/>
          <w:sz w:val="20"/>
          <w:szCs w:val="20"/>
          <w:lang w:val="es-MX"/>
        </w:rPr>
        <w:t>el Estado debía, “</w:t>
      </w:r>
      <w:r w:rsidR="002744E6" w:rsidRPr="002744E6">
        <w:rPr>
          <w:rFonts w:ascii="Verdana" w:hAnsi="Verdana"/>
          <w:bCs/>
          <w:sz w:val="20"/>
          <w:szCs w:val="20"/>
          <w:lang w:val="es-CR"/>
        </w:rPr>
        <w:t>en un plazo razonable, crear mecanismos adecuados para regular su sistema de Registro de Propiedad</w:t>
      </w:r>
      <w:r w:rsidR="002744E6">
        <w:rPr>
          <w:rFonts w:ascii="Verdana" w:hAnsi="Verdana"/>
          <w:bCs/>
          <w:sz w:val="20"/>
          <w:szCs w:val="20"/>
          <w:lang w:val="es-CR"/>
        </w:rPr>
        <w:t>”, a los fines de “</w:t>
      </w:r>
      <w:r w:rsidR="002744E6" w:rsidRPr="002744E6">
        <w:rPr>
          <w:rFonts w:ascii="Verdana" w:hAnsi="Verdana"/>
          <w:sz w:val="20"/>
          <w:szCs w:val="20"/>
          <w:lang w:val="es-AR"/>
        </w:rPr>
        <w:t>evitar que en el futuro hechos similares puedan generar afectacione</w:t>
      </w:r>
      <w:r w:rsidR="002744E6">
        <w:rPr>
          <w:rFonts w:ascii="Verdana" w:hAnsi="Verdana"/>
          <w:sz w:val="20"/>
          <w:szCs w:val="20"/>
          <w:lang w:val="es-AR"/>
        </w:rPr>
        <w:t>s al derecho a la propiedad en [áreas]</w:t>
      </w:r>
      <w:r w:rsidR="002744E6" w:rsidRPr="002744E6">
        <w:rPr>
          <w:rFonts w:ascii="Verdana" w:hAnsi="Verdana"/>
          <w:sz w:val="20"/>
          <w:szCs w:val="20"/>
          <w:lang w:val="es-AR"/>
        </w:rPr>
        <w:t xml:space="preserve"> rurales como las analizadas en el presente caso</w:t>
      </w:r>
      <w:r w:rsidR="00EE2063">
        <w:rPr>
          <w:rFonts w:ascii="Verdana" w:hAnsi="Verdana"/>
          <w:sz w:val="20"/>
          <w:szCs w:val="20"/>
          <w:lang w:val="es-AR"/>
        </w:rPr>
        <w:t>”, en el cual “</w:t>
      </w:r>
      <w:r w:rsidR="00EE2063" w:rsidRPr="00EE2063">
        <w:rPr>
          <w:rFonts w:ascii="Verdana" w:hAnsi="Verdana"/>
          <w:sz w:val="20"/>
          <w:szCs w:val="20"/>
          <w:lang w:val="es-CR"/>
        </w:rPr>
        <w:t>se evidenció una falta de claridad en el Registro de la Propiedad en Honduras que podría estar permitiendo el traslape de títulos</w:t>
      </w:r>
      <w:r w:rsidR="00EE2063">
        <w:rPr>
          <w:rFonts w:ascii="Verdana" w:hAnsi="Verdana"/>
          <w:sz w:val="20"/>
          <w:szCs w:val="20"/>
          <w:lang w:val="es-CR"/>
        </w:rPr>
        <w:t>”.</w:t>
      </w:r>
      <w:r w:rsidRPr="00B06955">
        <w:rPr>
          <w:rFonts w:ascii="Verdana" w:hAnsi="Verdana"/>
          <w:sz w:val="20"/>
          <w:szCs w:val="20"/>
          <w:lang w:val="es-MX"/>
        </w:rPr>
        <w:t xml:space="preserve"> </w:t>
      </w:r>
    </w:p>
    <w:p w14:paraId="48D14FAE" w14:textId="77777777" w:rsidR="005D147E" w:rsidRPr="00B06955" w:rsidRDefault="005D147E" w:rsidP="005D147E">
      <w:pPr>
        <w:pStyle w:val="Prrafodelista"/>
        <w:spacing w:before="120" w:after="120"/>
        <w:ind w:left="0"/>
        <w:contextualSpacing w:val="0"/>
        <w:jc w:val="both"/>
        <w:rPr>
          <w:rFonts w:ascii="Verdana" w:hAnsi="Verdana"/>
          <w:color w:val="00B050"/>
          <w:sz w:val="20"/>
          <w:szCs w:val="20"/>
          <w:lang w:val="es-CR"/>
        </w:rPr>
      </w:pPr>
    </w:p>
    <w:p w14:paraId="2AA07892" w14:textId="77777777" w:rsidR="00920407" w:rsidRDefault="00920407" w:rsidP="00A05684">
      <w:pPr>
        <w:pStyle w:val="Prrafodelista"/>
        <w:spacing w:before="120" w:after="120"/>
        <w:contextualSpacing w:val="0"/>
        <w:jc w:val="both"/>
        <w:rPr>
          <w:rFonts w:ascii="Verdana" w:hAnsi="Verdana"/>
          <w:sz w:val="20"/>
          <w:szCs w:val="20"/>
          <w:lang w:val="es-MX"/>
        </w:rPr>
      </w:pPr>
      <w:r>
        <w:rPr>
          <w:rFonts w:ascii="Verdana" w:hAnsi="Verdana"/>
          <w:i/>
          <w:sz w:val="20"/>
          <w:szCs w:val="20"/>
          <w:lang w:val="es-MX"/>
        </w:rPr>
        <w:t>G</w:t>
      </w:r>
      <w:r w:rsidRPr="00B06955">
        <w:rPr>
          <w:rFonts w:ascii="Verdana" w:hAnsi="Verdana"/>
          <w:i/>
          <w:sz w:val="20"/>
          <w:szCs w:val="20"/>
          <w:lang w:val="es-MX"/>
        </w:rPr>
        <w:t xml:space="preserve">.2. </w:t>
      </w:r>
      <w:r w:rsidR="00A05684" w:rsidRPr="00B06955">
        <w:rPr>
          <w:rFonts w:ascii="Verdana" w:hAnsi="Verdana"/>
          <w:i/>
          <w:sz w:val="20"/>
          <w:szCs w:val="20"/>
          <w:lang w:val="es-MX"/>
        </w:rPr>
        <w:t>Consideraciones de la Corte</w:t>
      </w:r>
    </w:p>
    <w:p w14:paraId="693E4145" w14:textId="41F6CA1A" w:rsidR="00EE2063" w:rsidRPr="00872A58" w:rsidRDefault="00A05684" w:rsidP="00872A58">
      <w:pPr>
        <w:pStyle w:val="Prrafodelista"/>
        <w:numPr>
          <w:ilvl w:val="0"/>
          <w:numId w:val="3"/>
        </w:numPr>
        <w:spacing w:before="120" w:after="120"/>
        <w:ind w:left="0" w:hanging="11"/>
        <w:contextualSpacing w:val="0"/>
        <w:jc w:val="both"/>
        <w:rPr>
          <w:rFonts w:ascii="Verdana" w:hAnsi="Verdana"/>
          <w:b/>
          <w:sz w:val="20"/>
          <w:szCs w:val="20"/>
          <w:lang w:val="es-MX"/>
        </w:rPr>
      </w:pPr>
      <w:r>
        <w:rPr>
          <w:rFonts w:ascii="Verdana" w:hAnsi="Verdana"/>
          <w:sz w:val="20"/>
          <w:szCs w:val="20"/>
          <w:lang w:val="es-MX"/>
        </w:rPr>
        <w:t xml:space="preserve">Con respecto a este punto, el Estado se refirió a la creación de la </w:t>
      </w:r>
      <w:r w:rsidR="00BE6A8B">
        <w:rPr>
          <w:rFonts w:ascii="Verdana" w:hAnsi="Verdana"/>
          <w:sz w:val="20"/>
          <w:szCs w:val="20"/>
          <w:lang w:val="es-MX"/>
        </w:rPr>
        <w:t>Comisión Interinstitucional (</w:t>
      </w:r>
      <w:r w:rsidR="00E635C6">
        <w:rPr>
          <w:rFonts w:ascii="Verdana" w:hAnsi="Verdana"/>
          <w:sz w:val="20"/>
          <w:szCs w:val="20"/>
          <w:lang w:val="es-MX"/>
        </w:rPr>
        <w:t>CICSI</w:t>
      </w:r>
      <w:r w:rsidR="00BE6A8B">
        <w:rPr>
          <w:rFonts w:ascii="Verdana" w:hAnsi="Verdana"/>
          <w:sz w:val="20"/>
          <w:szCs w:val="20"/>
          <w:lang w:val="es-MX"/>
        </w:rPr>
        <w:t>)</w:t>
      </w:r>
      <w:r w:rsidR="00EE2063">
        <w:rPr>
          <w:rFonts w:ascii="Verdana" w:hAnsi="Verdana"/>
          <w:sz w:val="20"/>
          <w:szCs w:val="20"/>
          <w:lang w:val="es-MX"/>
        </w:rPr>
        <w:t xml:space="preserve"> (</w:t>
      </w:r>
      <w:r w:rsidR="00EE2063">
        <w:rPr>
          <w:rFonts w:ascii="Verdana" w:hAnsi="Verdana"/>
          <w:i/>
          <w:sz w:val="20"/>
          <w:szCs w:val="20"/>
          <w:lang w:val="es-MX"/>
        </w:rPr>
        <w:t xml:space="preserve">supra </w:t>
      </w:r>
      <w:r>
        <w:rPr>
          <w:rFonts w:ascii="Verdana" w:hAnsi="Verdana"/>
          <w:sz w:val="20"/>
          <w:szCs w:val="20"/>
          <w:lang w:val="es-MX"/>
        </w:rPr>
        <w:t xml:space="preserve">Considerando </w:t>
      </w:r>
      <w:r w:rsidR="00BE6A8B">
        <w:rPr>
          <w:rFonts w:ascii="Verdana" w:hAnsi="Verdana"/>
          <w:sz w:val="20"/>
          <w:szCs w:val="20"/>
          <w:lang w:val="es-MX"/>
        </w:rPr>
        <w:fldChar w:fldCharType="begin"/>
      </w:r>
      <w:r w:rsidR="00BE6A8B">
        <w:rPr>
          <w:rFonts w:ascii="Verdana" w:hAnsi="Verdana"/>
          <w:sz w:val="20"/>
          <w:szCs w:val="20"/>
          <w:lang w:val="es-MX"/>
        </w:rPr>
        <w:instrText xml:space="preserve"> REF _Ref12527014 \r \h </w:instrText>
      </w:r>
      <w:r w:rsidR="00BE6A8B">
        <w:rPr>
          <w:rFonts w:ascii="Verdana" w:hAnsi="Verdana"/>
          <w:sz w:val="20"/>
          <w:szCs w:val="20"/>
          <w:lang w:val="es-MX"/>
        </w:rPr>
      </w:r>
      <w:r w:rsidR="00BE6A8B">
        <w:rPr>
          <w:rFonts w:ascii="Verdana" w:hAnsi="Verdana"/>
          <w:sz w:val="20"/>
          <w:szCs w:val="20"/>
          <w:lang w:val="es-MX"/>
        </w:rPr>
        <w:fldChar w:fldCharType="separate"/>
      </w:r>
      <w:r w:rsidR="00D11D5D">
        <w:rPr>
          <w:rFonts w:ascii="Verdana" w:hAnsi="Verdana"/>
          <w:sz w:val="20"/>
          <w:szCs w:val="20"/>
          <w:lang w:val="es-MX"/>
        </w:rPr>
        <w:t>6</w:t>
      </w:r>
      <w:r w:rsidR="00BE6A8B">
        <w:rPr>
          <w:rFonts w:ascii="Verdana" w:hAnsi="Verdana"/>
          <w:sz w:val="20"/>
          <w:szCs w:val="20"/>
          <w:lang w:val="es-MX"/>
        </w:rPr>
        <w:fldChar w:fldCharType="end"/>
      </w:r>
      <w:r w:rsidR="00BE6A8B">
        <w:rPr>
          <w:rFonts w:ascii="Verdana" w:hAnsi="Verdana"/>
          <w:sz w:val="20"/>
          <w:szCs w:val="20"/>
          <w:lang w:val="es-MX"/>
        </w:rPr>
        <w:t xml:space="preserve">, punto </w:t>
      </w:r>
      <w:r w:rsidR="00BE6A8B">
        <w:rPr>
          <w:rFonts w:ascii="Verdana" w:hAnsi="Verdana"/>
          <w:sz w:val="20"/>
          <w:szCs w:val="20"/>
          <w:lang w:val="es-MX"/>
        </w:rPr>
        <w:fldChar w:fldCharType="begin"/>
      </w:r>
      <w:r w:rsidR="00BE6A8B">
        <w:rPr>
          <w:rFonts w:ascii="Verdana" w:hAnsi="Verdana"/>
          <w:sz w:val="20"/>
          <w:szCs w:val="20"/>
          <w:lang w:val="es-MX"/>
        </w:rPr>
        <w:instrText xml:space="preserve"> REF _Ref12528095 \r \h </w:instrText>
      </w:r>
      <w:r w:rsidR="00BE6A8B">
        <w:rPr>
          <w:rFonts w:ascii="Verdana" w:hAnsi="Verdana"/>
          <w:sz w:val="20"/>
          <w:szCs w:val="20"/>
          <w:lang w:val="es-MX"/>
        </w:rPr>
      </w:r>
      <w:r w:rsidR="00BE6A8B">
        <w:rPr>
          <w:rFonts w:ascii="Verdana" w:hAnsi="Verdana"/>
          <w:sz w:val="20"/>
          <w:szCs w:val="20"/>
          <w:lang w:val="es-MX"/>
        </w:rPr>
        <w:fldChar w:fldCharType="separate"/>
      </w:r>
      <w:r w:rsidR="00D11D5D">
        <w:rPr>
          <w:rFonts w:ascii="Verdana" w:hAnsi="Verdana"/>
          <w:sz w:val="20"/>
          <w:szCs w:val="20"/>
          <w:lang w:val="es-MX"/>
        </w:rPr>
        <w:t>a</w:t>
      </w:r>
      <w:r w:rsidR="00BE6A8B">
        <w:rPr>
          <w:rFonts w:ascii="Verdana" w:hAnsi="Verdana"/>
          <w:sz w:val="20"/>
          <w:szCs w:val="20"/>
          <w:lang w:val="es-MX"/>
        </w:rPr>
        <w:fldChar w:fldCharType="end"/>
      </w:r>
      <w:r>
        <w:rPr>
          <w:rFonts w:ascii="Verdana" w:hAnsi="Verdana"/>
          <w:sz w:val="20"/>
          <w:szCs w:val="20"/>
          <w:lang w:val="es-MX"/>
        </w:rPr>
        <w:t xml:space="preserve">), la cual sería la “responsable de la ejecución de acciones necesarias para el cumplimiento” de la Sentencia. </w:t>
      </w:r>
      <w:r w:rsidR="00104EAC" w:rsidRPr="00872A58">
        <w:rPr>
          <w:rFonts w:ascii="Verdana" w:hAnsi="Verdana"/>
          <w:sz w:val="20"/>
          <w:szCs w:val="20"/>
          <w:lang w:val="es-MX"/>
        </w:rPr>
        <w:t xml:space="preserve">Asimismo, </w:t>
      </w:r>
      <w:r w:rsidR="00B56C9C" w:rsidRPr="00872A58">
        <w:rPr>
          <w:rFonts w:ascii="Verdana" w:hAnsi="Verdana"/>
          <w:sz w:val="20"/>
          <w:szCs w:val="20"/>
          <w:lang w:val="es-MX"/>
        </w:rPr>
        <w:t xml:space="preserve">informó que </w:t>
      </w:r>
      <w:r w:rsidR="00B56C9C" w:rsidRPr="00872A58">
        <w:rPr>
          <w:rFonts w:ascii="Verdana" w:hAnsi="Verdana"/>
          <w:sz w:val="20"/>
          <w:szCs w:val="20"/>
          <w:lang w:val="es-CR"/>
        </w:rPr>
        <w:t>e</w:t>
      </w:r>
      <w:r w:rsidR="00E635C6">
        <w:rPr>
          <w:rFonts w:ascii="Verdana" w:hAnsi="Verdana"/>
          <w:sz w:val="20"/>
          <w:szCs w:val="20"/>
          <w:lang w:val="es-CR"/>
        </w:rPr>
        <w:t>l Instituto de la Propiedad</w:t>
      </w:r>
      <w:r w:rsidR="00B56C9C" w:rsidRPr="00872A58">
        <w:rPr>
          <w:rFonts w:ascii="Verdana" w:hAnsi="Verdana"/>
          <w:sz w:val="20"/>
          <w:szCs w:val="20"/>
          <w:lang w:val="es-CR"/>
        </w:rPr>
        <w:t xml:space="preserve"> se encontraba en un proceso de “integración de la información catastral de todas las instituciones que tienen potestad legal para emitir títulos de propiedad a nivel nacional y que realizan actividades de ordenamiento territorial para evitar la duplicidad de dominios y garantizar la seguridad jurídica”</w:t>
      </w:r>
      <w:r w:rsidR="00B56C9C">
        <w:rPr>
          <w:rStyle w:val="Refdenotaalpie"/>
          <w:rFonts w:ascii="Verdana" w:hAnsi="Verdana"/>
          <w:sz w:val="20"/>
          <w:szCs w:val="20"/>
          <w:lang w:val="es-CR"/>
        </w:rPr>
        <w:footnoteReference w:id="69"/>
      </w:r>
      <w:r w:rsidR="00B56C9C" w:rsidRPr="00872A58">
        <w:rPr>
          <w:rFonts w:ascii="Verdana" w:hAnsi="Verdana"/>
          <w:sz w:val="20"/>
          <w:szCs w:val="20"/>
          <w:lang w:val="es-CR"/>
        </w:rPr>
        <w:t>. L</w:t>
      </w:r>
      <w:r w:rsidR="00EE2063" w:rsidRPr="00872A58">
        <w:rPr>
          <w:rFonts w:ascii="Verdana" w:hAnsi="Verdana"/>
          <w:sz w:val="20"/>
          <w:szCs w:val="20"/>
          <w:lang w:val="es-MX"/>
        </w:rPr>
        <w:t xml:space="preserve">os representantes señalaron que </w:t>
      </w:r>
      <w:r w:rsidR="00B56C9C" w:rsidRPr="00872A58">
        <w:rPr>
          <w:rFonts w:ascii="Verdana" w:hAnsi="Verdana"/>
          <w:sz w:val="20"/>
          <w:szCs w:val="20"/>
          <w:lang w:val="es-MX"/>
        </w:rPr>
        <w:t xml:space="preserve">la creación de la </w:t>
      </w:r>
      <w:r w:rsidR="00E635C6">
        <w:rPr>
          <w:rFonts w:ascii="Verdana" w:hAnsi="Verdana"/>
          <w:sz w:val="20"/>
          <w:szCs w:val="20"/>
          <w:lang w:val="es-MX"/>
        </w:rPr>
        <w:t>CICSI</w:t>
      </w:r>
      <w:r w:rsidR="00B56C9C" w:rsidRPr="00872A58">
        <w:rPr>
          <w:rFonts w:ascii="Verdana" w:hAnsi="Verdana"/>
          <w:sz w:val="20"/>
          <w:szCs w:val="20"/>
          <w:lang w:val="es-MX"/>
        </w:rPr>
        <w:t xml:space="preserve"> no era </w:t>
      </w:r>
      <w:r w:rsidR="00EE2063" w:rsidRPr="00872A58">
        <w:rPr>
          <w:rFonts w:ascii="Verdana" w:hAnsi="Verdana"/>
          <w:sz w:val="20"/>
          <w:szCs w:val="20"/>
          <w:lang w:val="es-MX"/>
        </w:rPr>
        <w:t>“</w:t>
      </w:r>
      <w:r w:rsidR="00EE2063" w:rsidRPr="00872A58">
        <w:rPr>
          <w:rFonts w:ascii="Verdana" w:hAnsi="Verdana"/>
          <w:sz w:val="20"/>
          <w:szCs w:val="20"/>
          <w:lang w:val="es-CR"/>
        </w:rPr>
        <w:t>una medida razonable ni proporcional”</w:t>
      </w:r>
      <w:r w:rsidR="00B56C9C" w:rsidRPr="00872A58">
        <w:rPr>
          <w:rFonts w:ascii="Verdana" w:hAnsi="Verdana"/>
          <w:sz w:val="20"/>
          <w:szCs w:val="20"/>
          <w:lang w:val="es-CR"/>
        </w:rPr>
        <w:t>, sino que</w:t>
      </w:r>
      <w:r w:rsidR="00104EAC" w:rsidRPr="00872A58">
        <w:rPr>
          <w:rFonts w:ascii="Verdana" w:hAnsi="Verdana"/>
          <w:sz w:val="20"/>
          <w:szCs w:val="20"/>
          <w:lang w:val="es-CR"/>
        </w:rPr>
        <w:t xml:space="preserve"> </w:t>
      </w:r>
      <w:r w:rsidR="00EE2063" w:rsidRPr="00872A58">
        <w:rPr>
          <w:rFonts w:ascii="Verdana" w:hAnsi="Verdana"/>
          <w:sz w:val="20"/>
          <w:szCs w:val="20"/>
          <w:lang w:val="es-CR"/>
        </w:rPr>
        <w:t>“[l]o esperable es que se tomen medidas legislativas que deroguen el actual modelo de registro de propiedad indígena establecido en la Ley de Propiedad y se impulsen mecanismos de consulta a los pueblos para la creación de mecanismos de registro adecuados a los estándares de propiedad colectiva, ancestral, de hábitat funcional y de titularida</w:t>
      </w:r>
      <w:r w:rsidR="00B56C9C" w:rsidRPr="00872A58">
        <w:rPr>
          <w:rFonts w:ascii="Verdana" w:hAnsi="Verdana"/>
          <w:sz w:val="20"/>
          <w:szCs w:val="20"/>
          <w:lang w:val="es-CR"/>
        </w:rPr>
        <w:t>d de los territorios indígenas”</w:t>
      </w:r>
      <w:r w:rsidR="00E635C6">
        <w:rPr>
          <w:rStyle w:val="Refdenotaalpie"/>
          <w:rFonts w:ascii="Verdana" w:hAnsi="Verdana"/>
          <w:sz w:val="20"/>
          <w:szCs w:val="20"/>
          <w:lang w:val="es-AR"/>
        </w:rPr>
        <w:footnoteReference w:id="70"/>
      </w:r>
      <w:r w:rsidR="00B56C9C" w:rsidRPr="00872A58">
        <w:rPr>
          <w:rFonts w:ascii="Verdana" w:hAnsi="Verdana"/>
          <w:sz w:val="20"/>
          <w:szCs w:val="20"/>
          <w:lang w:val="es-CR"/>
        </w:rPr>
        <w:t>.</w:t>
      </w:r>
      <w:r w:rsidR="00EE2063" w:rsidRPr="00872A58">
        <w:rPr>
          <w:rFonts w:ascii="Verdana" w:hAnsi="Verdana"/>
          <w:sz w:val="20"/>
          <w:szCs w:val="20"/>
          <w:lang w:val="es-CR"/>
        </w:rPr>
        <w:t xml:space="preserve"> </w:t>
      </w:r>
      <w:r w:rsidR="00872A58" w:rsidRPr="00872A58">
        <w:rPr>
          <w:rFonts w:ascii="Verdana" w:hAnsi="Verdana"/>
          <w:sz w:val="20"/>
          <w:szCs w:val="20"/>
          <w:lang w:val="es-CR"/>
        </w:rPr>
        <w:lastRenderedPageBreak/>
        <w:t xml:space="preserve">Además, objetaron que </w:t>
      </w:r>
      <w:r w:rsidR="00443856">
        <w:rPr>
          <w:rFonts w:ascii="Verdana" w:hAnsi="Verdana"/>
          <w:sz w:val="20"/>
          <w:szCs w:val="20"/>
          <w:lang w:val="es-CR"/>
        </w:rPr>
        <w:t>“</w:t>
      </w:r>
      <w:r w:rsidR="00872A58" w:rsidRPr="00872A58">
        <w:rPr>
          <w:rFonts w:ascii="Verdana" w:hAnsi="Verdana"/>
          <w:sz w:val="20"/>
          <w:szCs w:val="20"/>
          <w:lang w:val="es-CR"/>
        </w:rPr>
        <w:t>se e</w:t>
      </w:r>
      <w:r w:rsidR="00E76ECA">
        <w:rPr>
          <w:rFonts w:ascii="Verdana" w:hAnsi="Verdana"/>
          <w:sz w:val="20"/>
          <w:szCs w:val="20"/>
          <w:lang w:val="es-CR"/>
        </w:rPr>
        <w:t>stá dando a este punto de la s</w:t>
      </w:r>
      <w:r w:rsidR="00872A58" w:rsidRPr="00872A58">
        <w:rPr>
          <w:rFonts w:ascii="Verdana" w:hAnsi="Verdana"/>
          <w:sz w:val="20"/>
          <w:szCs w:val="20"/>
          <w:lang w:val="es-CR"/>
        </w:rPr>
        <w:t>entencia un tratamiento desde el derecho civil, complejo, confuso y a largo plazo lo que deja en incumplimiento el contenido del fallo[, dado que] los procesos de registro de propiedad comenzaron con la ley de propiedad, misma que contiene disposiciones que atentan contra los derechos consagrados en el convenio 169 de la OIT y que aun</w:t>
      </w:r>
      <w:r w:rsidR="00E76ECA">
        <w:rPr>
          <w:rFonts w:ascii="Verdana" w:hAnsi="Verdana"/>
          <w:sz w:val="20"/>
          <w:szCs w:val="20"/>
          <w:lang w:val="es-CR"/>
        </w:rPr>
        <w:t>que la Corte no valoró en la s</w:t>
      </w:r>
      <w:r w:rsidR="00872A58" w:rsidRPr="00872A58">
        <w:rPr>
          <w:rFonts w:ascii="Verdana" w:hAnsi="Verdana"/>
          <w:sz w:val="20"/>
          <w:szCs w:val="20"/>
          <w:lang w:val="es-CR"/>
        </w:rPr>
        <w:t>entencia, no dejan de ser violatorias por la inseguridad en que se deja los títulos y por la forma inconsulta en se desarrollan los procesos de esa ley”</w:t>
      </w:r>
      <w:r w:rsidR="00E635C6">
        <w:rPr>
          <w:rStyle w:val="Refdenotaalpie"/>
          <w:rFonts w:ascii="Verdana" w:hAnsi="Verdana"/>
          <w:sz w:val="20"/>
          <w:szCs w:val="20"/>
          <w:lang w:val="es-AR"/>
        </w:rPr>
        <w:footnoteReference w:id="71"/>
      </w:r>
      <w:r w:rsidR="00872A58" w:rsidRPr="00872A58">
        <w:rPr>
          <w:rFonts w:ascii="Verdana" w:hAnsi="Verdana"/>
          <w:sz w:val="20"/>
          <w:szCs w:val="20"/>
          <w:lang w:val="es-CR"/>
        </w:rPr>
        <w:t xml:space="preserve">. </w:t>
      </w:r>
      <w:r w:rsidR="00395BAB">
        <w:rPr>
          <w:rFonts w:ascii="Verdana" w:hAnsi="Verdana"/>
          <w:sz w:val="20"/>
          <w:szCs w:val="20"/>
          <w:lang w:val="es-CR"/>
        </w:rPr>
        <w:t xml:space="preserve">Por último, en la audiencia </w:t>
      </w:r>
      <w:r w:rsidR="00AB05B3">
        <w:rPr>
          <w:rFonts w:ascii="Verdana" w:hAnsi="Verdana"/>
          <w:sz w:val="20"/>
          <w:szCs w:val="20"/>
          <w:lang w:val="es-CR"/>
        </w:rPr>
        <w:t xml:space="preserve">privada </w:t>
      </w:r>
      <w:r w:rsidR="00395BAB">
        <w:rPr>
          <w:rFonts w:ascii="Verdana" w:hAnsi="Verdana"/>
          <w:sz w:val="20"/>
          <w:szCs w:val="20"/>
          <w:lang w:val="es-CR"/>
        </w:rPr>
        <w:t xml:space="preserve">celebrada el </w:t>
      </w:r>
      <w:r w:rsidR="00AB05B3">
        <w:rPr>
          <w:rFonts w:ascii="Verdana" w:hAnsi="Verdana"/>
          <w:sz w:val="20"/>
          <w:szCs w:val="20"/>
          <w:lang w:val="es-CR"/>
        </w:rPr>
        <w:t>29 de noviembre de 2018,</w:t>
      </w:r>
      <w:r w:rsidR="00395BAB">
        <w:rPr>
          <w:rFonts w:ascii="Verdana" w:hAnsi="Verdana"/>
          <w:sz w:val="20"/>
          <w:szCs w:val="20"/>
          <w:lang w:val="es-CR"/>
        </w:rPr>
        <w:t xml:space="preserve"> informaron que el Instituto de la Propiedad seguía inscribiendo c</w:t>
      </w:r>
      <w:r w:rsidR="002A31F7">
        <w:rPr>
          <w:rFonts w:ascii="Verdana" w:hAnsi="Verdana"/>
          <w:sz w:val="20"/>
          <w:szCs w:val="20"/>
          <w:lang w:val="es-CR"/>
        </w:rPr>
        <w:t>ontratos sobre dicho territorio,</w:t>
      </w:r>
      <w:r w:rsidR="00395BAB">
        <w:rPr>
          <w:rFonts w:ascii="Verdana" w:hAnsi="Verdana"/>
          <w:sz w:val="20"/>
          <w:szCs w:val="20"/>
          <w:lang w:val="es-CR"/>
        </w:rPr>
        <w:t xml:space="preserve"> </w:t>
      </w:r>
      <w:r w:rsidR="00A72B9B" w:rsidRPr="00A72B9B">
        <w:rPr>
          <w:rFonts w:ascii="Verdana" w:hAnsi="Verdana"/>
          <w:sz w:val="20"/>
          <w:szCs w:val="20"/>
          <w:lang w:val="es-CR"/>
        </w:rPr>
        <w:t>e hicieron referencia</w:t>
      </w:r>
      <w:r w:rsidR="00A72B9B">
        <w:rPr>
          <w:rFonts w:ascii="Verdana" w:hAnsi="Verdana"/>
          <w:b/>
          <w:sz w:val="20"/>
          <w:szCs w:val="20"/>
          <w:lang w:val="es-CR"/>
        </w:rPr>
        <w:t xml:space="preserve"> </w:t>
      </w:r>
      <w:r w:rsidR="00A72B9B">
        <w:rPr>
          <w:rFonts w:ascii="Verdana" w:hAnsi="Verdana"/>
          <w:sz w:val="20"/>
          <w:szCs w:val="20"/>
          <w:lang w:val="es-CR"/>
        </w:rPr>
        <w:t>a</w:t>
      </w:r>
      <w:r w:rsidR="002A31F7">
        <w:rPr>
          <w:rFonts w:ascii="Verdana" w:hAnsi="Verdana"/>
          <w:sz w:val="20"/>
          <w:szCs w:val="20"/>
          <w:lang w:val="es-CR"/>
        </w:rPr>
        <w:t xml:space="preserve"> los títulos y documentos aportados por el Estado, remi</w:t>
      </w:r>
      <w:r w:rsidR="00106F18">
        <w:rPr>
          <w:rFonts w:ascii="Verdana" w:hAnsi="Verdana"/>
          <w:sz w:val="20"/>
          <w:szCs w:val="20"/>
          <w:lang w:val="es-CR"/>
        </w:rPr>
        <w:t>tidos por los pobladores de la c</w:t>
      </w:r>
      <w:r w:rsidR="002A31F7">
        <w:rPr>
          <w:rFonts w:ascii="Verdana" w:hAnsi="Verdana"/>
          <w:sz w:val="20"/>
          <w:szCs w:val="20"/>
          <w:lang w:val="es-CR"/>
        </w:rPr>
        <w:t>omunidad de Río Miel (</w:t>
      </w:r>
      <w:r w:rsidR="002A31F7">
        <w:rPr>
          <w:rFonts w:ascii="Verdana" w:hAnsi="Verdana"/>
          <w:i/>
          <w:sz w:val="20"/>
          <w:szCs w:val="20"/>
          <w:lang w:val="es-CR"/>
        </w:rPr>
        <w:t xml:space="preserve">supra </w:t>
      </w:r>
      <w:r w:rsidR="002A31F7">
        <w:rPr>
          <w:rFonts w:ascii="Verdana" w:hAnsi="Verdana"/>
          <w:sz w:val="20"/>
          <w:szCs w:val="20"/>
          <w:lang w:val="es-CR"/>
        </w:rPr>
        <w:t xml:space="preserve">Considerando </w:t>
      </w:r>
      <w:r w:rsidR="00A72B9B">
        <w:rPr>
          <w:rFonts w:ascii="Verdana" w:hAnsi="Verdana"/>
          <w:sz w:val="20"/>
          <w:szCs w:val="20"/>
          <w:lang w:val="es-CR"/>
        </w:rPr>
        <w:fldChar w:fldCharType="begin"/>
      </w:r>
      <w:r w:rsidR="00A72B9B">
        <w:rPr>
          <w:rFonts w:ascii="Verdana" w:hAnsi="Verdana"/>
          <w:sz w:val="20"/>
          <w:szCs w:val="20"/>
          <w:lang w:val="es-CR"/>
        </w:rPr>
        <w:instrText xml:space="preserve"> REF _Ref12527014 \r \h </w:instrText>
      </w:r>
      <w:r w:rsidR="00A72B9B">
        <w:rPr>
          <w:rFonts w:ascii="Verdana" w:hAnsi="Verdana"/>
          <w:sz w:val="20"/>
          <w:szCs w:val="20"/>
          <w:lang w:val="es-CR"/>
        </w:rPr>
      </w:r>
      <w:r w:rsidR="00A72B9B">
        <w:rPr>
          <w:rFonts w:ascii="Verdana" w:hAnsi="Verdana"/>
          <w:sz w:val="20"/>
          <w:szCs w:val="20"/>
          <w:lang w:val="es-CR"/>
        </w:rPr>
        <w:fldChar w:fldCharType="separate"/>
      </w:r>
      <w:r w:rsidR="00D11D5D">
        <w:rPr>
          <w:rFonts w:ascii="Verdana" w:hAnsi="Verdana"/>
          <w:sz w:val="20"/>
          <w:szCs w:val="20"/>
          <w:lang w:val="es-CR"/>
        </w:rPr>
        <w:t>6</w:t>
      </w:r>
      <w:r w:rsidR="00A72B9B">
        <w:rPr>
          <w:rFonts w:ascii="Verdana" w:hAnsi="Verdana"/>
          <w:sz w:val="20"/>
          <w:szCs w:val="20"/>
          <w:lang w:val="es-CR"/>
        </w:rPr>
        <w:fldChar w:fldCharType="end"/>
      </w:r>
      <w:r w:rsidR="00A72B9B">
        <w:rPr>
          <w:rFonts w:ascii="Verdana" w:hAnsi="Verdana"/>
          <w:sz w:val="20"/>
          <w:szCs w:val="20"/>
          <w:lang w:val="es-CR"/>
        </w:rPr>
        <w:t xml:space="preserve">, punto </w:t>
      </w:r>
      <w:r w:rsidR="00A72B9B">
        <w:rPr>
          <w:rFonts w:ascii="Verdana" w:hAnsi="Verdana"/>
          <w:sz w:val="20"/>
          <w:szCs w:val="20"/>
          <w:lang w:val="es-CR"/>
        </w:rPr>
        <w:fldChar w:fldCharType="begin"/>
      </w:r>
      <w:r w:rsidR="00A72B9B">
        <w:rPr>
          <w:rFonts w:ascii="Verdana" w:hAnsi="Verdana"/>
          <w:sz w:val="20"/>
          <w:szCs w:val="20"/>
          <w:lang w:val="es-CR"/>
        </w:rPr>
        <w:instrText xml:space="preserve"> REF _Ref12527032 \r \h </w:instrText>
      </w:r>
      <w:r w:rsidR="00A72B9B">
        <w:rPr>
          <w:rFonts w:ascii="Verdana" w:hAnsi="Verdana"/>
          <w:sz w:val="20"/>
          <w:szCs w:val="20"/>
          <w:lang w:val="es-CR"/>
        </w:rPr>
      </w:r>
      <w:r w:rsidR="00A72B9B">
        <w:rPr>
          <w:rFonts w:ascii="Verdana" w:hAnsi="Verdana"/>
          <w:sz w:val="20"/>
          <w:szCs w:val="20"/>
          <w:lang w:val="es-CR"/>
        </w:rPr>
        <w:fldChar w:fldCharType="separate"/>
      </w:r>
      <w:r w:rsidR="00D11D5D">
        <w:rPr>
          <w:rFonts w:ascii="Verdana" w:hAnsi="Verdana"/>
          <w:sz w:val="20"/>
          <w:szCs w:val="20"/>
          <w:lang w:val="es-CR"/>
        </w:rPr>
        <w:t>d</w:t>
      </w:r>
      <w:r w:rsidR="00A72B9B">
        <w:rPr>
          <w:rFonts w:ascii="Verdana" w:hAnsi="Verdana"/>
          <w:sz w:val="20"/>
          <w:szCs w:val="20"/>
          <w:lang w:val="es-CR"/>
        </w:rPr>
        <w:fldChar w:fldCharType="end"/>
      </w:r>
      <w:r w:rsidR="002A31F7">
        <w:rPr>
          <w:rFonts w:ascii="Verdana" w:hAnsi="Verdana"/>
          <w:sz w:val="20"/>
          <w:szCs w:val="20"/>
          <w:lang w:val="es-CR"/>
        </w:rPr>
        <w:t xml:space="preserve">). </w:t>
      </w:r>
    </w:p>
    <w:p w14:paraId="145AD1CE" w14:textId="69F8EDE3" w:rsidR="00A05684" w:rsidRPr="00C31DBD" w:rsidRDefault="00872A58" w:rsidP="00C31DBD">
      <w:pPr>
        <w:pStyle w:val="Prrafodelista"/>
        <w:numPr>
          <w:ilvl w:val="0"/>
          <w:numId w:val="3"/>
        </w:numPr>
        <w:spacing w:before="120" w:after="120"/>
        <w:ind w:left="0" w:hanging="11"/>
        <w:contextualSpacing w:val="0"/>
        <w:jc w:val="both"/>
        <w:rPr>
          <w:rFonts w:ascii="Verdana" w:hAnsi="Verdana"/>
          <w:sz w:val="20"/>
          <w:szCs w:val="20"/>
          <w:lang w:val="es-MX"/>
        </w:rPr>
      </w:pPr>
      <w:bookmarkStart w:id="26" w:name="_Ref12551761"/>
      <w:r>
        <w:rPr>
          <w:rFonts w:ascii="Verdana" w:hAnsi="Verdana"/>
          <w:sz w:val="20"/>
          <w:szCs w:val="20"/>
          <w:lang w:val="es-MX"/>
        </w:rPr>
        <w:t xml:space="preserve">Este Tribunal </w:t>
      </w:r>
      <w:r w:rsidR="006115E2">
        <w:rPr>
          <w:rFonts w:ascii="Verdana" w:hAnsi="Verdana"/>
          <w:sz w:val="20"/>
          <w:szCs w:val="20"/>
          <w:lang w:val="es-MX"/>
        </w:rPr>
        <w:t>reconoce los avances emprendidos</w:t>
      </w:r>
      <w:r>
        <w:rPr>
          <w:rFonts w:ascii="Verdana" w:hAnsi="Verdana"/>
          <w:sz w:val="20"/>
          <w:szCs w:val="20"/>
          <w:lang w:val="es-MX"/>
        </w:rPr>
        <w:t xml:space="preserve"> por el Estado a los fines de regular su sistema de Registro de Propiedad </w:t>
      </w:r>
      <w:r w:rsidR="00A72B9B">
        <w:rPr>
          <w:rFonts w:ascii="Verdana" w:hAnsi="Verdana"/>
          <w:sz w:val="20"/>
          <w:szCs w:val="20"/>
          <w:lang w:val="es-MX"/>
        </w:rPr>
        <w:t>a fin</w:t>
      </w:r>
      <w:r>
        <w:rPr>
          <w:rFonts w:ascii="Verdana" w:hAnsi="Verdana"/>
          <w:sz w:val="20"/>
          <w:szCs w:val="20"/>
          <w:lang w:val="es-MX"/>
        </w:rPr>
        <w:t xml:space="preserve"> de evitar que en el futuro se generen afectaciones al derecho </w:t>
      </w:r>
      <w:r w:rsidR="006115E2">
        <w:rPr>
          <w:rFonts w:ascii="Verdana" w:hAnsi="Verdana"/>
          <w:sz w:val="20"/>
          <w:szCs w:val="20"/>
          <w:lang w:val="es-MX"/>
        </w:rPr>
        <w:t>a la propiedad en áreas rurales</w:t>
      </w:r>
      <w:r>
        <w:rPr>
          <w:rFonts w:ascii="Verdana" w:hAnsi="Verdana"/>
          <w:sz w:val="20"/>
          <w:szCs w:val="20"/>
          <w:lang w:val="es-MX"/>
        </w:rPr>
        <w:t xml:space="preserve">. </w:t>
      </w:r>
      <w:r w:rsidR="00A90F16" w:rsidRPr="00C67341">
        <w:rPr>
          <w:rFonts w:ascii="Verdana" w:hAnsi="Verdana"/>
          <w:sz w:val="20"/>
          <w:szCs w:val="20"/>
          <w:lang w:val="es-MX"/>
        </w:rPr>
        <w:t>A la luz de las observaciones de los representantes, y considerando que el Estado no ha solicitado que se declare el cumplimiento de esta medida, la Corte solicita al Estado que continúe informando y que explique cómo las medidas adoptadas hasta el momento garantizarían que no se efectúe superposición de títulos de propiedad, tomando en cuenta que existe tanto propiedad privada como comunal</w:t>
      </w:r>
      <w:r w:rsidR="006115E2" w:rsidRPr="00C31DBD">
        <w:rPr>
          <w:rFonts w:ascii="Verdana" w:hAnsi="Verdana"/>
          <w:sz w:val="20"/>
          <w:szCs w:val="20"/>
          <w:lang w:val="es-MX"/>
        </w:rPr>
        <w:t>.</w:t>
      </w:r>
      <w:bookmarkEnd w:id="26"/>
      <w:r w:rsidR="006115E2" w:rsidRPr="00C31DBD">
        <w:rPr>
          <w:rFonts w:ascii="Verdana" w:hAnsi="Verdana"/>
          <w:sz w:val="20"/>
          <w:szCs w:val="20"/>
          <w:lang w:val="es-MX"/>
        </w:rPr>
        <w:t xml:space="preserve"> </w:t>
      </w:r>
    </w:p>
    <w:p w14:paraId="7B2F883A" w14:textId="39EB6279" w:rsidR="006115E2" w:rsidRDefault="006115E2" w:rsidP="00104EAC">
      <w:pPr>
        <w:pStyle w:val="Prrafodelista"/>
        <w:numPr>
          <w:ilvl w:val="0"/>
          <w:numId w:val="3"/>
        </w:numPr>
        <w:spacing w:before="120" w:after="120"/>
        <w:ind w:left="0" w:hanging="11"/>
        <w:contextualSpacing w:val="0"/>
        <w:jc w:val="both"/>
        <w:rPr>
          <w:rFonts w:ascii="Verdana" w:hAnsi="Verdana"/>
          <w:sz w:val="20"/>
          <w:szCs w:val="20"/>
          <w:lang w:val="es-MX"/>
        </w:rPr>
      </w:pPr>
      <w:r>
        <w:rPr>
          <w:rFonts w:ascii="Verdana" w:hAnsi="Verdana"/>
          <w:sz w:val="20"/>
          <w:szCs w:val="20"/>
          <w:lang w:val="es-MX"/>
        </w:rPr>
        <w:t>Por lo expuesto, la Corte considera que se encuentra pendiente de cumplimiento la medida de reparación or</w:t>
      </w:r>
      <w:r w:rsidR="00D36B6D">
        <w:rPr>
          <w:rFonts w:ascii="Verdana" w:hAnsi="Verdana"/>
          <w:sz w:val="20"/>
          <w:szCs w:val="20"/>
          <w:lang w:val="es-MX"/>
        </w:rPr>
        <w:t>denada en el punto resolutivo 16 y párrafo 347</w:t>
      </w:r>
      <w:r>
        <w:rPr>
          <w:rFonts w:ascii="Verdana" w:hAnsi="Verdana"/>
          <w:sz w:val="20"/>
          <w:szCs w:val="20"/>
          <w:lang w:val="es-MX"/>
        </w:rPr>
        <w:t xml:space="preserve"> de la Sentencia. </w:t>
      </w:r>
    </w:p>
    <w:p w14:paraId="698A0258" w14:textId="77777777" w:rsidR="00920407" w:rsidRPr="00920407" w:rsidRDefault="00920407" w:rsidP="00920407">
      <w:pPr>
        <w:pStyle w:val="Prrafodelista"/>
        <w:spacing w:before="120" w:after="120"/>
        <w:contextualSpacing w:val="0"/>
        <w:jc w:val="both"/>
        <w:outlineLvl w:val="0"/>
        <w:rPr>
          <w:rFonts w:ascii="Verdana" w:hAnsi="Verdana"/>
          <w:b/>
          <w:i/>
          <w:sz w:val="20"/>
          <w:szCs w:val="20"/>
          <w:lang w:val="es-MX"/>
        </w:rPr>
      </w:pPr>
    </w:p>
    <w:p w14:paraId="10FD602A" w14:textId="69EECB42" w:rsidR="00AD0E75" w:rsidRPr="00D36B6D" w:rsidRDefault="00EB635B" w:rsidP="00D36B6D">
      <w:pPr>
        <w:pStyle w:val="Prrafodelista"/>
        <w:numPr>
          <w:ilvl w:val="0"/>
          <w:numId w:val="6"/>
        </w:numPr>
        <w:spacing w:before="120" w:after="120"/>
        <w:contextualSpacing w:val="0"/>
        <w:jc w:val="both"/>
        <w:outlineLvl w:val="0"/>
        <w:rPr>
          <w:rFonts w:ascii="Verdana" w:hAnsi="Verdana"/>
          <w:b/>
          <w:i/>
          <w:sz w:val="20"/>
          <w:szCs w:val="20"/>
          <w:lang w:val="es-MX"/>
        </w:rPr>
      </w:pPr>
      <w:bookmarkStart w:id="27" w:name="_Toc1737139"/>
      <w:r w:rsidRPr="00B06955">
        <w:rPr>
          <w:rFonts w:ascii="Verdana" w:hAnsi="Verdana"/>
          <w:b/>
          <w:i/>
          <w:sz w:val="20"/>
          <w:szCs w:val="20"/>
          <w:lang w:val="es-MX"/>
        </w:rPr>
        <w:t>Continuar y concluir</w:t>
      </w:r>
      <w:r w:rsidR="002A587D">
        <w:rPr>
          <w:rFonts w:ascii="Verdana" w:hAnsi="Verdana"/>
          <w:b/>
          <w:i/>
          <w:sz w:val="20"/>
          <w:szCs w:val="20"/>
          <w:lang w:val="es-MX"/>
        </w:rPr>
        <w:t xml:space="preserve"> </w:t>
      </w:r>
      <w:r w:rsidRPr="00B06955">
        <w:rPr>
          <w:rFonts w:ascii="Verdana" w:hAnsi="Verdana"/>
          <w:b/>
          <w:i/>
          <w:sz w:val="20"/>
          <w:szCs w:val="20"/>
          <w:lang w:val="es-MX"/>
        </w:rPr>
        <w:t>la investigación por la muerte de Félix Ordóñez Suazo y demás denuncias interpuestas en la jurisdicción interna, y en su caso, sancionar a los responsables</w:t>
      </w:r>
      <w:bookmarkEnd w:id="27"/>
    </w:p>
    <w:p w14:paraId="635EF5CF" w14:textId="77777777" w:rsidR="00EB635B" w:rsidRPr="00B06955" w:rsidRDefault="00920407" w:rsidP="00B06955">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H</w:t>
      </w:r>
      <w:r w:rsidR="00EB635B" w:rsidRPr="00B06955">
        <w:rPr>
          <w:rFonts w:ascii="Verdana" w:hAnsi="Verdana"/>
          <w:i/>
          <w:sz w:val="20"/>
          <w:szCs w:val="20"/>
          <w:lang w:val="es-MX"/>
        </w:rPr>
        <w:t xml:space="preserve">.1. Medida ordenada por la Corte </w:t>
      </w:r>
    </w:p>
    <w:p w14:paraId="4D08FC23" w14:textId="779C5FE1" w:rsidR="00EB635B" w:rsidRPr="00C80D39" w:rsidRDefault="00E23B1A" w:rsidP="00B06955">
      <w:pPr>
        <w:pStyle w:val="Prrafodelista"/>
        <w:numPr>
          <w:ilvl w:val="0"/>
          <w:numId w:val="3"/>
        </w:numPr>
        <w:spacing w:before="120" w:after="120"/>
        <w:ind w:left="0" w:hanging="11"/>
        <w:contextualSpacing w:val="0"/>
        <w:jc w:val="both"/>
        <w:rPr>
          <w:rFonts w:ascii="Verdana" w:hAnsi="Verdana"/>
          <w:sz w:val="20"/>
          <w:szCs w:val="20"/>
          <w:lang w:val="es-CR"/>
        </w:rPr>
      </w:pPr>
      <w:r>
        <w:rPr>
          <w:rFonts w:ascii="Verdana" w:hAnsi="Verdana"/>
          <w:sz w:val="20"/>
          <w:szCs w:val="20"/>
          <w:lang w:val="es-MX"/>
        </w:rPr>
        <w:t>En el punto resolutivo decimoséptimo</w:t>
      </w:r>
      <w:r w:rsidR="00EC17E2" w:rsidRPr="00B06955">
        <w:rPr>
          <w:rFonts w:ascii="Verdana" w:hAnsi="Verdana"/>
          <w:sz w:val="20"/>
          <w:szCs w:val="20"/>
          <w:lang w:val="es-MX"/>
        </w:rPr>
        <w:t xml:space="preserve"> y en el párrafo 353 de la Sentencia, la Corte dispuso que “[e]l Estado debe continuar y concluir, en un plazo razonable, la investigación por la muerte de Félix Ordóñez Suazo y demás denuncias interpuestas en la jurisdicción interna, y en su caso, sancionar a los responsables, en los términos de lo establecido en el párrafo 3</w:t>
      </w:r>
      <w:r>
        <w:rPr>
          <w:rFonts w:ascii="Verdana" w:hAnsi="Verdana"/>
          <w:sz w:val="20"/>
          <w:szCs w:val="20"/>
          <w:lang w:val="es-MX"/>
        </w:rPr>
        <w:t>53 de la presente Sentencia</w:t>
      </w:r>
      <w:r w:rsidR="00EC17E2" w:rsidRPr="00B06955">
        <w:rPr>
          <w:rFonts w:ascii="Verdana" w:hAnsi="Verdana"/>
          <w:sz w:val="20"/>
          <w:szCs w:val="20"/>
          <w:lang w:val="es-MX"/>
        </w:rPr>
        <w:t>”</w:t>
      </w:r>
      <w:r>
        <w:rPr>
          <w:rFonts w:ascii="Verdana" w:hAnsi="Verdana"/>
          <w:sz w:val="20"/>
          <w:szCs w:val="20"/>
          <w:lang w:val="es-MX"/>
        </w:rPr>
        <w:t>.</w:t>
      </w:r>
    </w:p>
    <w:p w14:paraId="5A8C9719" w14:textId="5C39C8C7" w:rsidR="00443856" w:rsidRPr="00C80D39" w:rsidRDefault="00443856" w:rsidP="00B06955">
      <w:pPr>
        <w:pStyle w:val="Prrafodelista"/>
        <w:numPr>
          <w:ilvl w:val="0"/>
          <w:numId w:val="3"/>
        </w:numPr>
        <w:spacing w:before="120" w:after="120"/>
        <w:ind w:left="0" w:hanging="11"/>
        <w:contextualSpacing w:val="0"/>
        <w:jc w:val="both"/>
        <w:rPr>
          <w:rFonts w:ascii="Verdana" w:hAnsi="Verdana"/>
          <w:sz w:val="20"/>
          <w:szCs w:val="20"/>
          <w:lang w:val="es-CR"/>
        </w:rPr>
      </w:pPr>
      <w:bookmarkStart w:id="28" w:name="_Ref12523185"/>
      <w:r w:rsidRPr="00C80D39">
        <w:rPr>
          <w:rFonts w:ascii="Verdana" w:hAnsi="Verdana"/>
          <w:sz w:val="20"/>
          <w:szCs w:val="20"/>
          <w:lang w:val="es-AR"/>
        </w:rPr>
        <w:t>Asimismo, en el párrafo 264 de la Sentencia, la Corte “constató que el 11 de junio de 2007 el señor Félix Ordóñez Suazo, quien fuera Coordinador y Vocal del Patronato de la Comunidad de Punta Piedra, falleció tras haber recibido tres impactos de bala. De acuerdo con las declaraciones de varios integrantes de la Comunidad de Punta Piedra, la muerte de Félix Ordóñez Suazo fue motivada por el conflicto de tierras existente entre éste y dos miembros de la Aldea de Río Miel, y que en virtud de dichas tensiones el señor Ordóñez había recibido amenazas”.</w:t>
      </w:r>
      <w:bookmarkEnd w:id="28"/>
    </w:p>
    <w:p w14:paraId="6CBDA0CE" w14:textId="77777777" w:rsidR="00C32CDA" w:rsidRPr="00C80D39" w:rsidRDefault="00C32CDA" w:rsidP="00C32CDA">
      <w:pPr>
        <w:pStyle w:val="Prrafodelista"/>
        <w:spacing w:before="120" w:after="120"/>
        <w:ind w:left="0"/>
        <w:contextualSpacing w:val="0"/>
        <w:jc w:val="both"/>
        <w:rPr>
          <w:rFonts w:ascii="Verdana" w:hAnsi="Verdana"/>
          <w:sz w:val="20"/>
          <w:szCs w:val="20"/>
          <w:lang w:val="es-CR"/>
        </w:rPr>
      </w:pPr>
    </w:p>
    <w:p w14:paraId="41CEF3B9" w14:textId="77777777" w:rsidR="00EB635B" w:rsidRDefault="00920407" w:rsidP="00B06955">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H</w:t>
      </w:r>
      <w:r w:rsidR="00EB635B" w:rsidRPr="00B06955">
        <w:rPr>
          <w:rFonts w:ascii="Verdana" w:hAnsi="Verdana"/>
          <w:i/>
          <w:sz w:val="20"/>
          <w:szCs w:val="20"/>
          <w:lang w:val="es-MX"/>
        </w:rPr>
        <w:t xml:space="preserve">.2. </w:t>
      </w:r>
      <w:r w:rsidR="00C32CDA">
        <w:rPr>
          <w:rFonts w:ascii="Verdana" w:hAnsi="Verdana"/>
          <w:i/>
          <w:sz w:val="20"/>
          <w:szCs w:val="20"/>
          <w:lang w:val="es-MX"/>
        </w:rPr>
        <w:t>Consideraciones de la Corte</w:t>
      </w:r>
    </w:p>
    <w:p w14:paraId="3B68E7D5" w14:textId="19278CC1" w:rsidR="00DE7E45" w:rsidRPr="00C80D39" w:rsidRDefault="00D37336" w:rsidP="00B06955">
      <w:pPr>
        <w:pStyle w:val="Prrafodelista"/>
        <w:numPr>
          <w:ilvl w:val="0"/>
          <w:numId w:val="3"/>
        </w:numPr>
        <w:spacing w:before="120" w:after="120"/>
        <w:ind w:left="0" w:hanging="11"/>
        <w:contextualSpacing w:val="0"/>
        <w:jc w:val="both"/>
        <w:rPr>
          <w:rFonts w:ascii="Verdana" w:hAnsi="Verdana"/>
          <w:sz w:val="20"/>
          <w:szCs w:val="20"/>
          <w:lang w:val="es-CR"/>
        </w:rPr>
      </w:pPr>
      <w:r>
        <w:rPr>
          <w:rFonts w:ascii="Verdana" w:hAnsi="Verdana" w:cs="TrebuchetMS"/>
          <w:sz w:val="20"/>
          <w:szCs w:val="20"/>
          <w:lang w:val="es-CR"/>
        </w:rPr>
        <w:t>E</w:t>
      </w:r>
      <w:r w:rsidRPr="00B06955">
        <w:rPr>
          <w:rFonts w:ascii="Verdana" w:hAnsi="Verdana" w:cs="TrebuchetMS"/>
          <w:sz w:val="20"/>
          <w:szCs w:val="20"/>
          <w:lang w:val="es-CO"/>
        </w:rPr>
        <w:t xml:space="preserve">l Estado </w:t>
      </w:r>
      <w:r>
        <w:rPr>
          <w:rFonts w:ascii="Verdana" w:hAnsi="Verdana" w:cs="TrebuchetMS"/>
          <w:sz w:val="20"/>
          <w:szCs w:val="20"/>
          <w:lang w:val="es-CO"/>
        </w:rPr>
        <w:t>informó</w:t>
      </w:r>
      <w:r w:rsidRPr="00B06955">
        <w:rPr>
          <w:rFonts w:ascii="Verdana" w:hAnsi="Verdana" w:cs="TrebuchetMS"/>
          <w:sz w:val="20"/>
          <w:szCs w:val="20"/>
          <w:lang w:val="es-CO"/>
        </w:rPr>
        <w:t xml:space="preserve"> </w:t>
      </w:r>
      <w:r>
        <w:rPr>
          <w:rFonts w:ascii="Verdana" w:hAnsi="Verdana" w:cs="TrebuchetMS"/>
          <w:sz w:val="20"/>
          <w:szCs w:val="20"/>
          <w:lang w:val="es-CO"/>
        </w:rPr>
        <w:t>que l</w:t>
      </w:r>
      <w:r w:rsidRPr="00B06955">
        <w:rPr>
          <w:rFonts w:ascii="Verdana" w:hAnsi="Verdana" w:cs="TrebuchetMS"/>
          <w:sz w:val="20"/>
          <w:szCs w:val="20"/>
          <w:lang w:val="es-CO"/>
        </w:rPr>
        <w:t xml:space="preserve">a </w:t>
      </w:r>
      <w:r>
        <w:rPr>
          <w:rFonts w:ascii="Verdana" w:hAnsi="Verdana" w:cs="TrebuchetMS"/>
          <w:sz w:val="20"/>
          <w:szCs w:val="20"/>
          <w:lang w:val="es-CO"/>
        </w:rPr>
        <w:t>“</w:t>
      </w:r>
      <w:r w:rsidRPr="00B06955">
        <w:rPr>
          <w:rFonts w:ascii="Verdana" w:hAnsi="Verdana" w:cs="TrebuchetMS"/>
          <w:sz w:val="20"/>
          <w:szCs w:val="20"/>
          <w:lang w:val="es-CO"/>
        </w:rPr>
        <w:t>Fiscalía de Etnias y Patrimonio Cultural</w:t>
      </w:r>
      <w:r>
        <w:rPr>
          <w:rFonts w:ascii="Verdana" w:hAnsi="Verdana" w:cs="TrebuchetMS"/>
          <w:sz w:val="20"/>
          <w:szCs w:val="20"/>
          <w:lang w:val="es-CO"/>
        </w:rPr>
        <w:t>”</w:t>
      </w:r>
      <w:r w:rsidRPr="00B06955">
        <w:rPr>
          <w:rFonts w:ascii="Verdana" w:hAnsi="Verdana" w:cs="TrebuchetMS"/>
          <w:sz w:val="20"/>
          <w:szCs w:val="20"/>
          <w:lang w:val="es-CO"/>
        </w:rPr>
        <w:t xml:space="preserve"> del Ministerio Público</w:t>
      </w:r>
      <w:r>
        <w:rPr>
          <w:rFonts w:ascii="Verdana" w:hAnsi="Verdana" w:cs="TrebuchetMS"/>
          <w:sz w:val="20"/>
          <w:szCs w:val="20"/>
          <w:lang w:val="es-CO"/>
        </w:rPr>
        <w:t xml:space="preserve"> había conformado un equipo de trabajo “a fin de investigar las muertes de [algunos] </w:t>
      </w:r>
      <w:r>
        <w:rPr>
          <w:rFonts w:ascii="Verdana" w:hAnsi="Verdana" w:cs="TrebuchetMS"/>
          <w:sz w:val="20"/>
          <w:szCs w:val="20"/>
          <w:lang w:val="es-CO"/>
        </w:rPr>
        <w:lastRenderedPageBreak/>
        <w:t>ciudadanos Garífunas”, entre ellos el señor Félix Ordóñez Suazo. Señaló que dicho equipo se desplazó a las comunidades y realizó “</w:t>
      </w:r>
      <w:r w:rsidRPr="00B06955">
        <w:rPr>
          <w:rFonts w:ascii="Verdana" w:hAnsi="Verdana" w:cs="TrebuchetMS"/>
          <w:sz w:val="20"/>
          <w:szCs w:val="20"/>
          <w:lang w:val="es-CO"/>
        </w:rPr>
        <w:t>toma de declaraciones, entrevistas con familiares, solicitud a bases de datos, datos de víctimas, georreferenciación del lugar de los hechos en las comunidades garífunas, ubicación de viviendas y bienes de testigos presenciales</w:t>
      </w:r>
      <w:r>
        <w:rPr>
          <w:rFonts w:ascii="Verdana" w:hAnsi="Verdana" w:cs="TrebuchetMS"/>
          <w:sz w:val="20"/>
          <w:szCs w:val="20"/>
          <w:lang w:val="es-CO"/>
        </w:rPr>
        <w:t>”</w:t>
      </w:r>
      <w:r w:rsidRPr="00B06955">
        <w:rPr>
          <w:rFonts w:ascii="Verdana" w:hAnsi="Verdana" w:cs="TrebuchetMS"/>
          <w:sz w:val="20"/>
          <w:szCs w:val="20"/>
          <w:lang w:val="es-CO"/>
        </w:rPr>
        <w:t xml:space="preserve">, y </w:t>
      </w:r>
      <w:r>
        <w:rPr>
          <w:rFonts w:ascii="Verdana" w:hAnsi="Verdana" w:cs="TrebuchetMS"/>
          <w:sz w:val="20"/>
          <w:szCs w:val="20"/>
          <w:lang w:val="es-CO"/>
        </w:rPr>
        <w:t>“</w:t>
      </w:r>
      <w:r w:rsidRPr="00B06955">
        <w:rPr>
          <w:rFonts w:ascii="Verdana" w:hAnsi="Verdana" w:cs="TrebuchetMS"/>
          <w:sz w:val="20"/>
          <w:szCs w:val="20"/>
          <w:lang w:val="es-CO"/>
        </w:rPr>
        <w:t xml:space="preserve">diligencias tendientes a identificar plenamente el nombre completo del imputado </w:t>
      </w:r>
      <w:r>
        <w:rPr>
          <w:rFonts w:ascii="Verdana" w:hAnsi="Verdana" w:cs="TrebuchetMS"/>
          <w:sz w:val="20"/>
          <w:szCs w:val="20"/>
          <w:lang w:val="es-CO"/>
        </w:rPr>
        <w:t>[…]</w:t>
      </w:r>
      <w:r w:rsidRPr="00B06955">
        <w:rPr>
          <w:rFonts w:ascii="Verdana" w:hAnsi="Verdana" w:cs="TrebuchetMS"/>
          <w:sz w:val="20"/>
          <w:szCs w:val="20"/>
          <w:lang w:val="es-CO"/>
        </w:rPr>
        <w:t xml:space="preserve"> para poder ejecutar la orden de captura”</w:t>
      </w:r>
      <w:r>
        <w:rPr>
          <w:rStyle w:val="Refdenotaalpie"/>
          <w:rFonts w:ascii="Verdana" w:hAnsi="Verdana" w:cs="TrebuchetMS"/>
          <w:sz w:val="20"/>
          <w:szCs w:val="20"/>
          <w:lang w:val="es-CO"/>
        </w:rPr>
        <w:footnoteReference w:id="72"/>
      </w:r>
      <w:r w:rsidRPr="00B06955">
        <w:rPr>
          <w:rFonts w:ascii="Verdana" w:hAnsi="Verdana" w:cs="TrebuchetMS"/>
          <w:sz w:val="20"/>
          <w:szCs w:val="20"/>
          <w:lang w:val="es-CO"/>
        </w:rPr>
        <w:t>.</w:t>
      </w:r>
      <w:r>
        <w:rPr>
          <w:rFonts w:ascii="Verdana" w:hAnsi="Verdana" w:cs="TrebuchetMS"/>
          <w:sz w:val="20"/>
          <w:szCs w:val="20"/>
          <w:lang w:val="es-CO"/>
        </w:rPr>
        <w:t xml:space="preserve"> En la audiencia privada celebrada el 29 de noviembre de 2018, el Estado agregó que el caso se encontraba “judicializado en el Juzgado de Trujillo, Departamento de Colón, contra David Portillo Chacón por suponerlo respo</w:t>
      </w:r>
      <w:r w:rsidR="004F200E">
        <w:rPr>
          <w:rFonts w:ascii="Verdana" w:hAnsi="Verdana" w:cs="TrebuchetMS"/>
          <w:sz w:val="20"/>
          <w:szCs w:val="20"/>
          <w:lang w:val="es-CO"/>
        </w:rPr>
        <w:t xml:space="preserve">nsable del delito de asesinato”, habiéndose librado </w:t>
      </w:r>
      <w:r>
        <w:rPr>
          <w:rFonts w:ascii="Verdana" w:hAnsi="Verdana" w:cs="TrebuchetMS"/>
          <w:sz w:val="20"/>
          <w:szCs w:val="20"/>
          <w:lang w:val="es-CO"/>
        </w:rPr>
        <w:t xml:space="preserve">orden de captura </w:t>
      </w:r>
      <w:r w:rsidR="004F200E">
        <w:rPr>
          <w:rFonts w:ascii="Verdana" w:hAnsi="Verdana" w:cs="TrebuchetMS"/>
          <w:sz w:val="20"/>
          <w:szCs w:val="20"/>
          <w:lang w:val="es-CO"/>
        </w:rPr>
        <w:t xml:space="preserve">el </w:t>
      </w:r>
      <w:r>
        <w:rPr>
          <w:rFonts w:ascii="Verdana" w:hAnsi="Verdana" w:cs="TrebuchetMS"/>
          <w:sz w:val="20"/>
          <w:szCs w:val="20"/>
          <w:lang w:val="es-CO"/>
        </w:rPr>
        <w:t>26 de febrero de 2014</w:t>
      </w:r>
      <w:r w:rsidR="004F200E">
        <w:rPr>
          <w:rFonts w:ascii="Verdana" w:hAnsi="Verdana" w:cs="TrebuchetMS"/>
          <w:sz w:val="20"/>
          <w:szCs w:val="20"/>
          <w:lang w:val="es-CO"/>
        </w:rPr>
        <w:t>. Precisó que</w:t>
      </w:r>
      <w:r>
        <w:rPr>
          <w:rFonts w:ascii="Verdana" w:hAnsi="Verdana" w:cs="TrebuchetMS"/>
          <w:sz w:val="20"/>
          <w:szCs w:val="20"/>
          <w:lang w:val="es-CO"/>
        </w:rPr>
        <w:t xml:space="preserve"> “se tomó declaración […] con la formalidad de pruebas anticipadas</w:t>
      </w:r>
      <w:r w:rsidR="008A48B7">
        <w:rPr>
          <w:rFonts w:ascii="Verdana" w:hAnsi="Verdana" w:cs="TrebuchetMS"/>
          <w:sz w:val="20"/>
          <w:szCs w:val="20"/>
          <w:lang w:val="es-CO"/>
        </w:rPr>
        <w:t xml:space="preserve">” a determinado </w:t>
      </w:r>
      <w:r w:rsidR="004F200E">
        <w:rPr>
          <w:rFonts w:ascii="Verdana" w:hAnsi="Verdana" w:cs="TrebuchetMS"/>
          <w:sz w:val="20"/>
          <w:szCs w:val="20"/>
          <w:lang w:val="es-CO"/>
        </w:rPr>
        <w:t xml:space="preserve">testigo de los hechos del caso, y </w:t>
      </w:r>
      <w:r>
        <w:rPr>
          <w:rFonts w:ascii="Verdana" w:hAnsi="Verdana" w:cs="TrebuchetMS"/>
          <w:sz w:val="20"/>
          <w:szCs w:val="20"/>
          <w:lang w:val="es-CO"/>
        </w:rPr>
        <w:t xml:space="preserve">refirió que “para facilitar la aprensión del </w:t>
      </w:r>
      <w:r w:rsidRPr="00C80D39">
        <w:rPr>
          <w:rFonts w:ascii="Verdana" w:hAnsi="Verdana" w:cs="TrebuchetMS"/>
          <w:sz w:val="20"/>
          <w:szCs w:val="20"/>
          <w:lang w:val="es-CO"/>
        </w:rPr>
        <w:t>imputado y lograr la ide</w:t>
      </w:r>
      <w:r w:rsidR="004F200E" w:rsidRPr="00C80D39">
        <w:rPr>
          <w:rFonts w:ascii="Verdana" w:hAnsi="Verdana" w:cs="TrebuchetMS"/>
          <w:sz w:val="20"/>
          <w:szCs w:val="20"/>
          <w:lang w:val="es-CO"/>
        </w:rPr>
        <w:t>ntificación plena</w:t>
      </w:r>
      <w:r w:rsidR="00E01119" w:rsidRPr="00C80D39">
        <w:rPr>
          <w:rFonts w:ascii="Verdana" w:hAnsi="Verdana" w:cs="TrebuchetMS"/>
          <w:sz w:val="20"/>
          <w:szCs w:val="20"/>
          <w:lang w:val="es-CO"/>
        </w:rPr>
        <w:t>”, se solicitar</w:t>
      </w:r>
      <w:r w:rsidR="004F200E" w:rsidRPr="00C80D39">
        <w:rPr>
          <w:rFonts w:ascii="Verdana" w:hAnsi="Verdana" w:cs="TrebuchetMS"/>
          <w:sz w:val="20"/>
          <w:szCs w:val="20"/>
          <w:lang w:val="es-CO"/>
        </w:rPr>
        <w:t>ía</w:t>
      </w:r>
      <w:r w:rsidRPr="00C80D39">
        <w:rPr>
          <w:rFonts w:ascii="Verdana" w:hAnsi="Verdana" w:cs="TrebuchetMS"/>
          <w:sz w:val="20"/>
          <w:szCs w:val="20"/>
          <w:lang w:val="es-CO"/>
        </w:rPr>
        <w:t xml:space="preserve"> </w:t>
      </w:r>
      <w:r w:rsidR="00E01119" w:rsidRPr="00C80D39">
        <w:rPr>
          <w:rFonts w:ascii="Verdana" w:hAnsi="Verdana" w:cs="TrebuchetMS"/>
          <w:sz w:val="20"/>
          <w:szCs w:val="20"/>
          <w:lang w:val="es-CO"/>
        </w:rPr>
        <w:t>“</w:t>
      </w:r>
      <w:r w:rsidRPr="00C80D39">
        <w:rPr>
          <w:rFonts w:ascii="Verdana" w:hAnsi="Verdana" w:cs="TrebuchetMS"/>
          <w:sz w:val="20"/>
          <w:szCs w:val="20"/>
          <w:lang w:val="es-CO"/>
        </w:rPr>
        <w:t>la elaboración de</w:t>
      </w:r>
      <w:r w:rsidR="001E6E8F" w:rsidRPr="00C80D39">
        <w:rPr>
          <w:rFonts w:ascii="Verdana" w:hAnsi="Verdana" w:cs="TrebuchetMS"/>
          <w:sz w:val="20"/>
          <w:szCs w:val="20"/>
          <w:lang w:val="es-CO"/>
        </w:rPr>
        <w:t xml:space="preserve"> un retrato hablado del mismo”.</w:t>
      </w:r>
    </w:p>
    <w:p w14:paraId="4292B83C" w14:textId="71894E6C" w:rsidR="00580F00" w:rsidRPr="00C80D39" w:rsidRDefault="00580F00" w:rsidP="004F200E">
      <w:pPr>
        <w:pStyle w:val="Prrafodelista"/>
        <w:numPr>
          <w:ilvl w:val="0"/>
          <w:numId w:val="3"/>
        </w:numPr>
        <w:spacing w:before="120" w:after="120"/>
        <w:ind w:left="0" w:hanging="11"/>
        <w:contextualSpacing w:val="0"/>
        <w:jc w:val="both"/>
        <w:rPr>
          <w:rFonts w:ascii="Verdana" w:hAnsi="Verdana"/>
          <w:sz w:val="20"/>
          <w:szCs w:val="20"/>
          <w:lang w:val="es-CR"/>
        </w:rPr>
      </w:pPr>
      <w:r w:rsidRPr="00C80D39">
        <w:rPr>
          <w:rFonts w:ascii="Verdana" w:hAnsi="Verdana"/>
          <w:sz w:val="20"/>
          <w:szCs w:val="20"/>
          <w:lang w:val="es-CO"/>
        </w:rPr>
        <w:t xml:space="preserve">Los representantes </w:t>
      </w:r>
      <w:r w:rsidR="00010898" w:rsidRPr="00C80D39">
        <w:rPr>
          <w:rFonts w:ascii="Verdana" w:hAnsi="Verdana" w:cs="TrebuchetMS"/>
          <w:sz w:val="20"/>
          <w:szCs w:val="20"/>
          <w:lang w:val="es-CO"/>
        </w:rPr>
        <w:t>señalaron que</w:t>
      </w:r>
      <w:r w:rsidR="00FB0571" w:rsidRPr="00C80D39">
        <w:rPr>
          <w:rFonts w:ascii="Verdana" w:hAnsi="Verdana" w:cs="TrebuchetMS"/>
          <w:sz w:val="20"/>
          <w:szCs w:val="20"/>
          <w:lang w:val="es-CO"/>
        </w:rPr>
        <w:t>:</w:t>
      </w:r>
      <w:r w:rsidR="00010898" w:rsidRPr="00C80D39">
        <w:rPr>
          <w:rFonts w:ascii="Verdana" w:hAnsi="Verdana" w:cs="TrebuchetMS"/>
          <w:sz w:val="20"/>
          <w:szCs w:val="20"/>
          <w:lang w:val="es-CO"/>
        </w:rPr>
        <w:t xml:space="preserve"> </w:t>
      </w:r>
      <w:r w:rsidR="00010898" w:rsidRPr="00C80D39">
        <w:rPr>
          <w:rFonts w:ascii="Verdana" w:hAnsi="Verdana" w:cs="URWBookmanL-Ligh"/>
          <w:sz w:val="20"/>
          <w:szCs w:val="20"/>
          <w:lang w:val="es-CO"/>
        </w:rPr>
        <w:t xml:space="preserve">el Estado </w:t>
      </w:r>
      <w:r w:rsidR="008A40B0" w:rsidRPr="00C80D39">
        <w:rPr>
          <w:rFonts w:ascii="Verdana" w:hAnsi="Verdana" w:cs="URWBookmanL-Ligh"/>
          <w:sz w:val="20"/>
          <w:szCs w:val="20"/>
          <w:lang w:val="es-CO"/>
        </w:rPr>
        <w:t>había</w:t>
      </w:r>
      <w:r w:rsidR="00010898" w:rsidRPr="00C80D39">
        <w:rPr>
          <w:rFonts w:ascii="Verdana" w:hAnsi="Verdana" w:cs="URWBookmanL-Ligh"/>
          <w:sz w:val="20"/>
          <w:szCs w:val="20"/>
          <w:lang w:val="es-CO"/>
        </w:rPr>
        <w:t xml:space="preserve"> realizado </w:t>
      </w:r>
      <w:r w:rsidR="008A40B0" w:rsidRPr="00C80D39">
        <w:rPr>
          <w:rFonts w:ascii="Verdana" w:hAnsi="Verdana" w:cs="URWBookmanL-Ligh"/>
          <w:sz w:val="20"/>
          <w:szCs w:val="20"/>
          <w:lang w:val="es-CO"/>
        </w:rPr>
        <w:t>“</w:t>
      </w:r>
      <w:r w:rsidR="00010898" w:rsidRPr="00C80D39">
        <w:rPr>
          <w:rFonts w:ascii="Verdana" w:hAnsi="Verdana" w:cs="URWBookmanL-Ligh"/>
          <w:sz w:val="20"/>
          <w:szCs w:val="20"/>
          <w:lang w:val="es-CO"/>
        </w:rPr>
        <w:t>actuaciones mínimas que pueden considerarse preliminares</w:t>
      </w:r>
      <w:r w:rsidR="008A40B0" w:rsidRPr="00C80D39">
        <w:rPr>
          <w:rFonts w:ascii="Verdana" w:hAnsi="Verdana" w:cs="URWBookmanL-Ligh"/>
          <w:sz w:val="20"/>
          <w:szCs w:val="20"/>
          <w:lang w:val="es-CO"/>
        </w:rPr>
        <w:t>”</w:t>
      </w:r>
      <w:r w:rsidR="001E6E8F" w:rsidRPr="00C80D39">
        <w:rPr>
          <w:rFonts w:ascii="Verdana" w:hAnsi="Verdana" w:cs="URWBookmanL-Ligh"/>
          <w:sz w:val="20"/>
          <w:szCs w:val="20"/>
          <w:lang w:val="es-CO"/>
        </w:rPr>
        <w:t>;</w:t>
      </w:r>
      <w:r w:rsidR="00443856" w:rsidRPr="00C80D39">
        <w:rPr>
          <w:rFonts w:ascii="Verdana" w:hAnsi="Verdana" w:cs="URWBookmanL-Ligh"/>
          <w:sz w:val="20"/>
          <w:szCs w:val="20"/>
          <w:lang w:val="es-CO"/>
        </w:rPr>
        <w:t xml:space="preserve"> “a dos años de la sentencia no </w:t>
      </w:r>
      <w:proofErr w:type="spellStart"/>
      <w:r w:rsidR="00443856" w:rsidRPr="00C80D39">
        <w:rPr>
          <w:rFonts w:ascii="Verdana" w:hAnsi="Verdana" w:cs="URWBookmanL-Ligh"/>
          <w:sz w:val="20"/>
          <w:szCs w:val="20"/>
          <w:lang w:val="es-CO"/>
        </w:rPr>
        <w:t>exist</w:t>
      </w:r>
      <w:proofErr w:type="spellEnd"/>
      <w:r w:rsidR="00443856" w:rsidRPr="00C80D39">
        <w:rPr>
          <w:rFonts w:ascii="Verdana" w:hAnsi="Verdana" w:cs="URWBookmanL-Ligh"/>
          <w:sz w:val="20"/>
          <w:szCs w:val="20"/>
          <w:lang w:val="es-CO"/>
        </w:rPr>
        <w:t>[</w:t>
      </w:r>
      <w:proofErr w:type="spellStart"/>
      <w:r w:rsidR="00443856" w:rsidRPr="00C80D39">
        <w:rPr>
          <w:rFonts w:ascii="Verdana" w:hAnsi="Verdana" w:cs="URWBookmanL-Ligh"/>
          <w:sz w:val="20"/>
          <w:szCs w:val="20"/>
          <w:lang w:val="es-CO"/>
        </w:rPr>
        <w:t>ía</w:t>
      </w:r>
      <w:proofErr w:type="spellEnd"/>
      <w:r w:rsidR="00443856" w:rsidRPr="00C80D39">
        <w:rPr>
          <w:rFonts w:ascii="Verdana" w:hAnsi="Verdana" w:cs="URWBookmanL-Ligh"/>
          <w:sz w:val="20"/>
          <w:szCs w:val="20"/>
          <w:lang w:val="es-CO"/>
        </w:rPr>
        <w:t xml:space="preserve">] ningún avance en el proceso de investigación por la muerte de Félix Ordoñez y demás denuncias interpuestas”, y “los </w:t>
      </w:r>
      <w:r w:rsidR="00E76ECA" w:rsidRPr="00C80D39">
        <w:rPr>
          <w:rFonts w:ascii="Verdana" w:hAnsi="Verdana" w:cs="URWBookmanL-Ligh"/>
          <w:sz w:val="20"/>
          <w:szCs w:val="20"/>
          <w:lang w:val="es-CO"/>
        </w:rPr>
        <w:t>plazos transcurridos desde la s</w:t>
      </w:r>
      <w:r w:rsidR="00443856" w:rsidRPr="00C80D39">
        <w:rPr>
          <w:rFonts w:ascii="Verdana" w:hAnsi="Verdana" w:cs="URWBookmanL-Ligh"/>
          <w:sz w:val="20"/>
          <w:szCs w:val="20"/>
          <w:lang w:val="es-CO"/>
        </w:rPr>
        <w:t>entencia rebasa[</w:t>
      </w:r>
      <w:proofErr w:type="spellStart"/>
      <w:r w:rsidR="00443856" w:rsidRPr="00C80D39">
        <w:rPr>
          <w:rFonts w:ascii="Verdana" w:hAnsi="Verdana" w:cs="URWBookmanL-Ligh"/>
          <w:sz w:val="20"/>
          <w:szCs w:val="20"/>
          <w:lang w:val="es-CO"/>
        </w:rPr>
        <w:t>ban</w:t>
      </w:r>
      <w:proofErr w:type="spellEnd"/>
      <w:r w:rsidR="00443856" w:rsidRPr="00C80D39">
        <w:rPr>
          <w:rFonts w:ascii="Verdana" w:hAnsi="Verdana" w:cs="URWBookmanL-Ligh"/>
          <w:sz w:val="20"/>
          <w:szCs w:val="20"/>
          <w:lang w:val="es-CO"/>
        </w:rPr>
        <w:t xml:space="preserve">] los límites </w:t>
      </w:r>
      <w:r w:rsidR="00443856" w:rsidRPr="00443856">
        <w:rPr>
          <w:rFonts w:ascii="Verdana" w:hAnsi="Verdana" w:cs="URWBookmanL-Ligh"/>
          <w:color w:val="00000A"/>
          <w:sz w:val="20"/>
          <w:szCs w:val="20"/>
          <w:lang w:val="es-CO"/>
        </w:rPr>
        <w:t>de la razonabilidad y proporcionalidad”</w:t>
      </w:r>
      <w:r w:rsidR="001E6E8F">
        <w:rPr>
          <w:rStyle w:val="Refdenotaalpie"/>
          <w:rFonts w:ascii="Verdana" w:hAnsi="Verdana" w:cs="URWBookmanL-Ligh"/>
          <w:color w:val="00000A"/>
          <w:sz w:val="20"/>
          <w:szCs w:val="20"/>
          <w:lang w:val="es-CO"/>
        </w:rPr>
        <w:footnoteReference w:id="73"/>
      </w:r>
      <w:r w:rsidR="00443856" w:rsidRPr="00443856">
        <w:rPr>
          <w:rFonts w:ascii="Verdana" w:hAnsi="Verdana" w:cs="URWBookmanL-Ligh"/>
          <w:color w:val="00000A"/>
          <w:sz w:val="20"/>
          <w:szCs w:val="20"/>
          <w:lang w:val="es-CO"/>
        </w:rPr>
        <w:t xml:space="preserve">. </w:t>
      </w:r>
      <w:r w:rsidR="008A40B0" w:rsidRPr="00861D75">
        <w:rPr>
          <w:rFonts w:ascii="Verdana" w:hAnsi="Verdana" w:cs="URWBookmanL-Ligh"/>
          <w:color w:val="00000A"/>
          <w:sz w:val="20"/>
          <w:szCs w:val="20"/>
          <w:lang w:val="es-CO"/>
        </w:rPr>
        <w:t>Además, remarcaron que el Estado no había adjuntado “</w:t>
      </w:r>
      <w:r w:rsidR="00010898" w:rsidRPr="00861D75">
        <w:rPr>
          <w:rFonts w:ascii="Verdana" w:hAnsi="Verdana" w:cs="URWBookmanL-Ligh"/>
          <w:color w:val="00000A"/>
          <w:sz w:val="20"/>
          <w:szCs w:val="20"/>
          <w:lang w:val="es-CO"/>
        </w:rPr>
        <w:t>informe alguno de conclusiones o hallazgos preliminares</w:t>
      </w:r>
      <w:r w:rsidR="008A40B0" w:rsidRPr="00861D75">
        <w:rPr>
          <w:rFonts w:ascii="Verdana" w:hAnsi="Verdana" w:cs="URWBookmanL-Ligh"/>
          <w:color w:val="00000A"/>
          <w:sz w:val="20"/>
          <w:szCs w:val="20"/>
          <w:lang w:val="es-CO"/>
        </w:rPr>
        <w:t xml:space="preserve">”, </w:t>
      </w:r>
      <w:r w:rsidR="00010898" w:rsidRPr="00861D75">
        <w:rPr>
          <w:rFonts w:ascii="Verdana" w:hAnsi="Verdana" w:cs="URWBookmanL-Ligh"/>
          <w:color w:val="00000A"/>
          <w:sz w:val="20"/>
          <w:szCs w:val="20"/>
          <w:lang w:val="es-CO"/>
        </w:rPr>
        <w:t xml:space="preserve">que las denuncias </w:t>
      </w:r>
      <w:r w:rsidR="008A40B0" w:rsidRPr="00861D75">
        <w:rPr>
          <w:rFonts w:ascii="Verdana" w:hAnsi="Verdana" w:cs="URWBookmanL-Ligh"/>
          <w:color w:val="00000A"/>
          <w:sz w:val="20"/>
          <w:szCs w:val="20"/>
          <w:lang w:val="es-CO"/>
        </w:rPr>
        <w:t>“ha[</w:t>
      </w:r>
      <w:proofErr w:type="spellStart"/>
      <w:r w:rsidR="008A40B0" w:rsidRPr="00861D75">
        <w:rPr>
          <w:rFonts w:ascii="Verdana" w:hAnsi="Verdana" w:cs="URWBookmanL-Ligh"/>
          <w:color w:val="00000A"/>
          <w:sz w:val="20"/>
          <w:szCs w:val="20"/>
          <w:lang w:val="es-CO"/>
        </w:rPr>
        <w:t>bían</w:t>
      </w:r>
      <w:proofErr w:type="spellEnd"/>
      <w:r w:rsidR="008A40B0" w:rsidRPr="00861D75">
        <w:rPr>
          <w:rFonts w:ascii="Verdana" w:hAnsi="Verdana" w:cs="URWBookmanL-Ligh"/>
          <w:color w:val="00000A"/>
          <w:sz w:val="20"/>
          <w:szCs w:val="20"/>
          <w:lang w:val="es-CO"/>
        </w:rPr>
        <w:t>]</w:t>
      </w:r>
      <w:r w:rsidR="00010898" w:rsidRPr="00861D75">
        <w:rPr>
          <w:rFonts w:ascii="Verdana" w:hAnsi="Verdana" w:cs="URWBookmanL-Ligh"/>
          <w:color w:val="00000A"/>
          <w:sz w:val="20"/>
          <w:szCs w:val="20"/>
          <w:lang w:val="es-CO"/>
        </w:rPr>
        <w:t xml:space="preserve"> sido interpuestas </w:t>
      </w:r>
      <w:r w:rsidR="008A40B0" w:rsidRPr="00861D75">
        <w:rPr>
          <w:rFonts w:ascii="Verdana" w:hAnsi="Verdana" w:cs="URWBookmanL-Ligh"/>
          <w:color w:val="00000A"/>
          <w:sz w:val="20"/>
          <w:szCs w:val="20"/>
          <w:lang w:val="es-CO"/>
        </w:rPr>
        <w:t>[hacía]</w:t>
      </w:r>
      <w:r w:rsidR="00010898" w:rsidRPr="00861D75">
        <w:rPr>
          <w:rFonts w:ascii="Verdana" w:hAnsi="Verdana" w:cs="URWBookmanL-Ligh"/>
          <w:color w:val="00000A"/>
          <w:sz w:val="20"/>
          <w:szCs w:val="20"/>
          <w:lang w:val="es-CO"/>
        </w:rPr>
        <w:t xml:space="preserve"> alrededor de una década y </w:t>
      </w:r>
      <w:r w:rsidR="008A40B0" w:rsidRPr="00861D75">
        <w:rPr>
          <w:rFonts w:ascii="Verdana" w:hAnsi="Verdana" w:cs="URWBookmanL-Ligh"/>
          <w:color w:val="00000A"/>
          <w:sz w:val="20"/>
          <w:szCs w:val="20"/>
          <w:lang w:val="es-CO"/>
        </w:rPr>
        <w:t xml:space="preserve">[en] </w:t>
      </w:r>
      <w:proofErr w:type="gramStart"/>
      <w:r w:rsidR="00010898" w:rsidRPr="00861D75">
        <w:rPr>
          <w:rFonts w:ascii="Verdana" w:hAnsi="Verdana" w:cs="URWBookmanL-Ligh"/>
          <w:color w:val="00000A"/>
          <w:sz w:val="20"/>
          <w:szCs w:val="20"/>
          <w:lang w:val="es-CO"/>
        </w:rPr>
        <w:t>ellas se individualiza</w:t>
      </w:r>
      <w:proofErr w:type="gramEnd"/>
      <w:r w:rsidR="00010898" w:rsidRPr="00861D75">
        <w:rPr>
          <w:rFonts w:ascii="Verdana" w:hAnsi="Verdana" w:cs="URWBookmanL-Ligh"/>
          <w:color w:val="00000A"/>
          <w:sz w:val="20"/>
          <w:szCs w:val="20"/>
          <w:lang w:val="es-CO"/>
        </w:rPr>
        <w:t xml:space="preserve"> a </w:t>
      </w:r>
      <w:r w:rsidR="008A40B0" w:rsidRPr="00861D75">
        <w:rPr>
          <w:rFonts w:ascii="Verdana" w:hAnsi="Verdana" w:cs="URWBookmanL-Ligh"/>
          <w:color w:val="00000A"/>
          <w:sz w:val="20"/>
          <w:szCs w:val="20"/>
          <w:lang w:val="es-CO"/>
        </w:rPr>
        <w:t xml:space="preserve">[los] </w:t>
      </w:r>
      <w:r w:rsidR="00010898" w:rsidRPr="00861D75">
        <w:rPr>
          <w:rFonts w:ascii="Verdana" w:hAnsi="Verdana" w:cs="URWBookmanL-Ligh"/>
          <w:color w:val="00000A"/>
          <w:sz w:val="20"/>
          <w:szCs w:val="20"/>
          <w:lang w:val="es-CO"/>
        </w:rPr>
        <w:t>responsables y se relaciona el asunto directamente con la problemática por la lucha de la</w:t>
      </w:r>
      <w:r w:rsidR="00010898" w:rsidRPr="008A40B0">
        <w:rPr>
          <w:rFonts w:ascii="Verdana" w:hAnsi="Verdana" w:cs="URWBookmanL-Ligh"/>
          <w:color w:val="00000A"/>
          <w:sz w:val="20"/>
          <w:szCs w:val="20"/>
          <w:lang w:val="es-CO"/>
        </w:rPr>
        <w:t xml:space="preserve"> tierra, elemento que se echa de menos en la investigación estatal</w:t>
      </w:r>
      <w:r w:rsidR="008A40B0">
        <w:rPr>
          <w:rFonts w:ascii="Verdana" w:hAnsi="Verdana" w:cs="URWBookmanL-Ligh"/>
          <w:color w:val="00000A"/>
          <w:sz w:val="20"/>
          <w:szCs w:val="20"/>
          <w:lang w:val="es-CO"/>
        </w:rPr>
        <w:t>”</w:t>
      </w:r>
      <w:r w:rsidR="00010898" w:rsidRPr="008A40B0">
        <w:rPr>
          <w:rFonts w:ascii="Verdana" w:hAnsi="Verdana" w:cs="URWBookmanL-Ligh"/>
          <w:color w:val="00000A"/>
          <w:sz w:val="20"/>
          <w:szCs w:val="20"/>
          <w:lang w:val="es-CO"/>
        </w:rPr>
        <w:t xml:space="preserve">. </w:t>
      </w:r>
      <w:r w:rsidR="008A40B0">
        <w:rPr>
          <w:rFonts w:ascii="Verdana" w:hAnsi="Verdana" w:cs="URWBookmanL-Ligh"/>
          <w:color w:val="00000A"/>
          <w:sz w:val="20"/>
          <w:szCs w:val="20"/>
          <w:lang w:val="es-CO"/>
        </w:rPr>
        <w:t>Finalmente indic</w:t>
      </w:r>
      <w:r>
        <w:rPr>
          <w:rFonts w:ascii="Verdana" w:hAnsi="Verdana" w:cs="URWBookmanL-Ligh"/>
          <w:color w:val="00000A"/>
          <w:sz w:val="20"/>
          <w:szCs w:val="20"/>
          <w:lang w:val="es-CO"/>
        </w:rPr>
        <w:t>aron</w:t>
      </w:r>
      <w:r w:rsidR="008A40B0">
        <w:rPr>
          <w:rFonts w:ascii="Verdana" w:hAnsi="Verdana" w:cs="URWBookmanL-Ligh"/>
          <w:color w:val="00000A"/>
          <w:sz w:val="20"/>
          <w:szCs w:val="20"/>
          <w:lang w:val="es-CO"/>
        </w:rPr>
        <w:t xml:space="preserve"> que persistían violaciones al deber de investigar en materia de </w:t>
      </w:r>
      <w:r w:rsidR="00010898" w:rsidRPr="008A40B0">
        <w:rPr>
          <w:rFonts w:ascii="Verdana" w:hAnsi="Verdana" w:cs="URWBookmanL-Ligh"/>
          <w:color w:val="00000A"/>
          <w:sz w:val="20"/>
          <w:szCs w:val="20"/>
          <w:lang w:val="es-CO"/>
        </w:rPr>
        <w:t>seguimiento de líneas lógicas de investigación</w:t>
      </w:r>
      <w:r w:rsidR="008A40B0">
        <w:rPr>
          <w:rFonts w:ascii="Verdana" w:hAnsi="Verdana" w:cs="URWBookmanL-Ligh"/>
          <w:color w:val="00000A"/>
          <w:sz w:val="20"/>
          <w:szCs w:val="20"/>
          <w:lang w:val="es-CO"/>
        </w:rPr>
        <w:t xml:space="preserve"> y plazo razonable</w:t>
      </w:r>
      <w:r w:rsidR="009B0655">
        <w:rPr>
          <w:rStyle w:val="Refdenotaalpie"/>
          <w:rFonts w:ascii="Verdana" w:hAnsi="Verdana" w:cs="URWBookmanL-Ligh"/>
          <w:color w:val="00000A"/>
          <w:sz w:val="20"/>
          <w:szCs w:val="20"/>
          <w:lang w:val="es-CO"/>
        </w:rPr>
        <w:footnoteReference w:id="74"/>
      </w:r>
      <w:r w:rsidR="008A40B0">
        <w:rPr>
          <w:rFonts w:ascii="Verdana" w:hAnsi="Verdana" w:cs="URWBookmanL-Ligh"/>
          <w:color w:val="00000A"/>
          <w:sz w:val="20"/>
          <w:szCs w:val="20"/>
          <w:lang w:val="es-CO"/>
        </w:rPr>
        <w:t xml:space="preserve">. </w:t>
      </w:r>
      <w:r w:rsidR="009361FF">
        <w:rPr>
          <w:rFonts w:ascii="Verdana" w:hAnsi="Verdana" w:cs="URWBookmanL-Ligh"/>
          <w:color w:val="00000A"/>
          <w:sz w:val="20"/>
          <w:szCs w:val="20"/>
          <w:lang w:val="es-CO"/>
        </w:rPr>
        <w:t xml:space="preserve">En la </w:t>
      </w:r>
      <w:r w:rsidR="00A925BC">
        <w:rPr>
          <w:rFonts w:ascii="Verdana" w:hAnsi="Verdana" w:cs="TrebuchetMS"/>
          <w:sz w:val="20"/>
          <w:szCs w:val="20"/>
          <w:lang w:val="es-CO"/>
        </w:rPr>
        <w:t xml:space="preserve">audiencia privada celebrada el 29 de noviembre de 2018, </w:t>
      </w:r>
      <w:r w:rsidR="009361FF">
        <w:rPr>
          <w:rFonts w:ascii="Verdana" w:hAnsi="Verdana" w:cs="URWBookmanL-Ligh"/>
          <w:color w:val="00000A"/>
          <w:sz w:val="20"/>
          <w:szCs w:val="20"/>
          <w:lang w:val="es-CO"/>
        </w:rPr>
        <w:t>sostuvieron que lo realizado hasta el momento consistía en “diligencias investigativas bastante básicas</w:t>
      </w:r>
      <w:r w:rsidR="004F200E" w:rsidRPr="004F200E">
        <w:rPr>
          <w:rFonts w:ascii="Verdana" w:hAnsi="Verdana" w:cs="URWBookmanL-Ligh"/>
          <w:sz w:val="20"/>
          <w:szCs w:val="20"/>
          <w:lang w:val="es-CO"/>
        </w:rPr>
        <w:t>”.</w:t>
      </w:r>
      <w:r w:rsidR="009361FF" w:rsidRPr="004F200E">
        <w:rPr>
          <w:rFonts w:ascii="Verdana" w:hAnsi="Verdana" w:cs="URWBookmanL-Ligh"/>
          <w:sz w:val="20"/>
          <w:szCs w:val="20"/>
          <w:lang w:val="es-CO"/>
        </w:rPr>
        <w:t xml:space="preserve"> </w:t>
      </w:r>
      <w:r w:rsidR="004F200E" w:rsidRPr="004F200E">
        <w:rPr>
          <w:rFonts w:ascii="Verdana" w:hAnsi="Verdana"/>
          <w:sz w:val="20"/>
          <w:szCs w:val="20"/>
          <w:lang w:val="es-CR"/>
        </w:rPr>
        <w:t xml:space="preserve">En esa oportunidad, </w:t>
      </w:r>
      <w:r w:rsidR="007944A2" w:rsidRPr="004F200E">
        <w:rPr>
          <w:rFonts w:ascii="Verdana" w:hAnsi="Verdana" w:cs="TrebuchetMS"/>
          <w:sz w:val="20"/>
          <w:szCs w:val="20"/>
          <w:lang w:val="es-CO"/>
        </w:rPr>
        <w:t xml:space="preserve">la Comisión </w:t>
      </w:r>
      <w:r w:rsidR="004C490C" w:rsidRPr="004F200E">
        <w:rPr>
          <w:rFonts w:ascii="Verdana" w:hAnsi="Verdana" w:cs="URWBookmanL-Ligh"/>
          <w:color w:val="00000A"/>
          <w:sz w:val="20"/>
          <w:szCs w:val="20"/>
          <w:lang w:val="es-CO"/>
        </w:rPr>
        <w:t xml:space="preserve">recalcó que si bien el Estado había iniciado de oficio algunas diligencias, no se identificaban avances sobre “la orden de detención de la única persona sindicada, […] la exhumación del cadáver y tampoco una explicación respecto a cómo estas diligencias </w:t>
      </w:r>
      <w:proofErr w:type="spellStart"/>
      <w:r w:rsidR="004C490C" w:rsidRPr="004F200E">
        <w:rPr>
          <w:rFonts w:ascii="Verdana" w:hAnsi="Verdana" w:cs="URWBookmanL-Ligh"/>
          <w:color w:val="00000A"/>
          <w:sz w:val="20"/>
          <w:szCs w:val="20"/>
          <w:lang w:val="es-CO"/>
        </w:rPr>
        <w:t>est</w:t>
      </w:r>
      <w:proofErr w:type="spellEnd"/>
      <w:r w:rsidR="004C490C" w:rsidRPr="004F200E">
        <w:rPr>
          <w:rFonts w:ascii="Verdana" w:hAnsi="Verdana" w:cs="URWBookmanL-Ligh"/>
          <w:color w:val="00000A"/>
          <w:sz w:val="20"/>
          <w:szCs w:val="20"/>
          <w:lang w:val="es-CO"/>
        </w:rPr>
        <w:t>[</w:t>
      </w:r>
      <w:proofErr w:type="spellStart"/>
      <w:r w:rsidR="004C490C" w:rsidRPr="004F200E">
        <w:rPr>
          <w:rFonts w:ascii="Verdana" w:hAnsi="Verdana" w:cs="URWBookmanL-Ligh"/>
          <w:color w:val="00000A"/>
          <w:sz w:val="20"/>
          <w:szCs w:val="20"/>
          <w:lang w:val="es-CO"/>
        </w:rPr>
        <w:t>aban</w:t>
      </w:r>
      <w:proofErr w:type="spellEnd"/>
      <w:r w:rsidR="004C490C" w:rsidRPr="004F200E">
        <w:rPr>
          <w:rFonts w:ascii="Verdana" w:hAnsi="Verdana" w:cs="URWBookmanL-Ligh"/>
          <w:color w:val="00000A"/>
          <w:sz w:val="20"/>
          <w:szCs w:val="20"/>
          <w:lang w:val="es-CO"/>
        </w:rPr>
        <w:t xml:space="preserve">] organizadas de modo tal que den una indagación correcta a las líneas lógicas […] que vinculan la muerte del señor Félix Ordóñez </w:t>
      </w:r>
      <w:r w:rsidR="004C490C" w:rsidRPr="00C80D39">
        <w:rPr>
          <w:rFonts w:ascii="Verdana" w:hAnsi="Verdana" w:cs="URWBookmanL-Ligh"/>
          <w:sz w:val="20"/>
          <w:szCs w:val="20"/>
          <w:lang w:val="es-CO"/>
        </w:rPr>
        <w:t>con la reivindicación de su propiedad y del territorio, y de su r</w:t>
      </w:r>
      <w:r w:rsidR="001E6E8F" w:rsidRPr="00C80D39">
        <w:rPr>
          <w:rFonts w:ascii="Verdana" w:hAnsi="Verdana" w:cs="URWBookmanL-Ligh"/>
          <w:sz w:val="20"/>
          <w:szCs w:val="20"/>
          <w:lang w:val="es-CO"/>
        </w:rPr>
        <w:t>epresentación en la comunidad”.</w:t>
      </w:r>
    </w:p>
    <w:p w14:paraId="11B2B82E" w14:textId="172CA4EE" w:rsidR="00756D92" w:rsidRDefault="00236A98" w:rsidP="002C2E51">
      <w:pPr>
        <w:pStyle w:val="Prrafodelista"/>
        <w:numPr>
          <w:ilvl w:val="0"/>
          <w:numId w:val="3"/>
        </w:numPr>
        <w:spacing w:before="120" w:after="120"/>
        <w:ind w:left="0" w:hanging="11"/>
        <w:contextualSpacing w:val="0"/>
        <w:jc w:val="both"/>
        <w:rPr>
          <w:rFonts w:ascii="Verdana" w:hAnsi="Verdana"/>
          <w:sz w:val="20"/>
          <w:szCs w:val="20"/>
          <w:lang w:val="es-CR"/>
        </w:rPr>
      </w:pPr>
      <w:bookmarkStart w:id="29" w:name="_Ref12550511"/>
      <w:r w:rsidRPr="00C80D39">
        <w:rPr>
          <w:rFonts w:ascii="Verdana" w:hAnsi="Verdana"/>
          <w:sz w:val="20"/>
          <w:szCs w:val="20"/>
          <w:lang w:val="es-CR"/>
        </w:rPr>
        <w:t xml:space="preserve">Al referirse a la obligación de investigar, la Corte ha afirmado </w:t>
      </w:r>
      <w:proofErr w:type="gramStart"/>
      <w:r w:rsidRPr="00C80D39">
        <w:rPr>
          <w:rFonts w:ascii="Verdana" w:hAnsi="Verdana"/>
          <w:sz w:val="20"/>
          <w:szCs w:val="20"/>
          <w:lang w:val="es-CR"/>
        </w:rPr>
        <w:t>que</w:t>
      </w:r>
      <w:proofErr w:type="gramEnd"/>
      <w:r w:rsidRPr="00C80D39">
        <w:rPr>
          <w:rFonts w:ascii="Verdana" w:hAnsi="Verdana"/>
          <w:sz w:val="20"/>
          <w:szCs w:val="20"/>
          <w:lang w:val="es-CR"/>
        </w:rPr>
        <w:t xml:space="preserve"> si bien ésta consiste en una </w:t>
      </w:r>
      <w:r w:rsidRPr="00B06955">
        <w:rPr>
          <w:rFonts w:ascii="Verdana" w:hAnsi="Verdana"/>
          <w:sz w:val="20"/>
          <w:szCs w:val="20"/>
          <w:lang w:val="es-CR"/>
        </w:rPr>
        <w:t xml:space="preserve">obligación de medio y no de resultado, </w:t>
      </w:r>
      <w:r w:rsidRPr="00B06955">
        <w:rPr>
          <w:rFonts w:ascii="Verdana" w:hAnsi="Verdana"/>
          <w:sz w:val="20"/>
          <w:szCs w:val="20"/>
          <w:lang w:val="es-CO"/>
        </w:rPr>
        <w:t>debe ser asumida por el Estado como un deber jurídico propio y no como una simple formalidad condenada de antemano a ser infructuosa, o como una mera gestión de intereses particulares</w:t>
      </w:r>
      <w:r w:rsidRPr="00B06955">
        <w:rPr>
          <w:rStyle w:val="Refdenotaalpie"/>
          <w:rFonts w:ascii="Verdana" w:hAnsi="Verdana"/>
          <w:sz w:val="20"/>
          <w:szCs w:val="20"/>
          <w:lang w:val="es-CR"/>
        </w:rPr>
        <w:footnoteReference w:id="75"/>
      </w:r>
      <w:r>
        <w:rPr>
          <w:rFonts w:ascii="Verdana" w:hAnsi="Verdana"/>
          <w:sz w:val="20"/>
          <w:szCs w:val="20"/>
          <w:lang w:val="es-CO"/>
        </w:rPr>
        <w:t>.</w:t>
      </w:r>
      <w:r w:rsidRPr="00B06955">
        <w:rPr>
          <w:rFonts w:ascii="Verdana" w:hAnsi="Verdana"/>
          <w:sz w:val="20"/>
          <w:szCs w:val="20"/>
          <w:lang w:val="es-CR"/>
        </w:rPr>
        <w:t xml:space="preserve"> </w:t>
      </w:r>
      <w:r>
        <w:rPr>
          <w:rFonts w:ascii="Verdana" w:hAnsi="Verdana"/>
          <w:sz w:val="20"/>
          <w:szCs w:val="20"/>
          <w:lang w:val="es-CO"/>
        </w:rPr>
        <w:t>La</w:t>
      </w:r>
      <w:r w:rsidRPr="00B06955">
        <w:rPr>
          <w:rFonts w:ascii="Verdana" w:hAnsi="Verdana"/>
          <w:sz w:val="20"/>
          <w:szCs w:val="20"/>
          <w:lang w:val="es-CO"/>
        </w:rPr>
        <w:t xml:space="preserve"> debida diligencia exige que el órgano que investiga lleve a cabo todas aquellas actuaciones y averiguaciones necesarias para procurar el resultado que se persigue</w:t>
      </w:r>
      <w:r w:rsidRPr="00B06955">
        <w:rPr>
          <w:rStyle w:val="Refdenotaalpie"/>
          <w:rFonts w:ascii="Verdana" w:hAnsi="Verdana"/>
          <w:sz w:val="20"/>
          <w:szCs w:val="20"/>
          <w:lang w:val="es-CR"/>
        </w:rPr>
        <w:footnoteReference w:id="76"/>
      </w:r>
      <w:r>
        <w:rPr>
          <w:rFonts w:ascii="Verdana" w:hAnsi="Verdana"/>
          <w:sz w:val="20"/>
          <w:szCs w:val="20"/>
          <w:lang w:val="es-CO"/>
        </w:rPr>
        <w:t>.</w:t>
      </w:r>
      <w:r w:rsidRPr="00B06955">
        <w:rPr>
          <w:rFonts w:ascii="Verdana" w:hAnsi="Verdana"/>
          <w:sz w:val="20"/>
          <w:szCs w:val="20"/>
          <w:lang w:val="es-CR"/>
        </w:rPr>
        <w:t xml:space="preserve"> </w:t>
      </w:r>
      <w:r>
        <w:rPr>
          <w:rFonts w:ascii="Verdana" w:hAnsi="Verdana"/>
          <w:sz w:val="20"/>
          <w:szCs w:val="20"/>
          <w:lang w:val="es-CR"/>
        </w:rPr>
        <w:t>Los</w:t>
      </w:r>
      <w:r w:rsidRPr="00B06955">
        <w:rPr>
          <w:rFonts w:ascii="Verdana" w:hAnsi="Verdana"/>
          <w:sz w:val="20"/>
          <w:szCs w:val="20"/>
          <w:lang w:val="es-CR"/>
        </w:rPr>
        <w:t xml:space="preserve"> Estados deben</w:t>
      </w:r>
      <w:r w:rsidRPr="00B06955">
        <w:rPr>
          <w:rFonts w:ascii="Verdana" w:hAnsi="Verdana"/>
          <w:sz w:val="20"/>
          <w:szCs w:val="20"/>
          <w:lang w:val="es-CO"/>
        </w:rPr>
        <w:t xml:space="preserve"> realizar una investigación por </w:t>
      </w:r>
      <w:r w:rsidRPr="00B06955">
        <w:rPr>
          <w:rFonts w:ascii="Verdana" w:hAnsi="Verdana"/>
          <w:sz w:val="20"/>
          <w:szCs w:val="20"/>
          <w:lang w:val="es-CO"/>
        </w:rPr>
        <w:lastRenderedPageBreak/>
        <w:t xml:space="preserve">todos </w:t>
      </w:r>
      <w:r>
        <w:rPr>
          <w:rFonts w:ascii="Verdana" w:hAnsi="Verdana"/>
          <w:sz w:val="20"/>
          <w:szCs w:val="20"/>
          <w:lang w:val="es-CO"/>
        </w:rPr>
        <w:t>los medios legales disponibles,</w:t>
      </w:r>
      <w:r w:rsidRPr="00B06955">
        <w:rPr>
          <w:rFonts w:ascii="Verdana" w:hAnsi="Verdana"/>
          <w:sz w:val="20"/>
          <w:szCs w:val="20"/>
          <w:lang w:val="es-CO"/>
        </w:rPr>
        <w:t xml:space="preserve"> orientada a la determinación de la verdad y la persecución, captura, enjuiciamiento y, en su caso, el castigo de los responsables, cualquiera que haya sido su participación en los hechos</w:t>
      </w:r>
      <w:r w:rsidRPr="00B06955">
        <w:rPr>
          <w:rStyle w:val="Refdenotaalpie"/>
          <w:rFonts w:ascii="Verdana" w:hAnsi="Verdana"/>
          <w:sz w:val="20"/>
          <w:szCs w:val="20"/>
          <w:lang w:val="es-CO"/>
        </w:rPr>
        <w:footnoteReference w:id="77"/>
      </w:r>
      <w:r w:rsidRPr="00B06955">
        <w:rPr>
          <w:rFonts w:ascii="Verdana" w:hAnsi="Verdana"/>
          <w:sz w:val="20"/>
          <w:szCs w:val="20"/>
          <w:lang w:val="es-CO"/>
        </w:rPr>
        <w:t xml:space="preserve">. Así, deben evitarse omisiones en el seguimiento de </w:t>
      </w:r>
      <w:r>
        <w:rPr>
          <w:rFonts w:ascii="Verdana" w:hAnsi="Verdana"/>
          <w:sz w:val="20"/>
          <w:szCs w:val="20"/>
          <w:lang w:val="es-CO"/>
        </w:rPr>
        <w:t>líneas lógicas de investigación</w:t>
      </w:r>
      <w:r w:rsidRPr="00B06955">
        <w:rPr>
          <w:rStyle w:val="Refdenotaalpie"/>
          <w:rFonts w:ascii="Verdana" w:hAnsi="Verdana"/>
          <w:sz w:val="20"/>
          <w:szCs w:val="20"/>
          <w:lang w:val="es-CO"/>
        </w:rPr>
        <w:footnoteReference w:id="78"/>
      </w:r>
      <w:r>
        <w:rPr>
          <w:rFonts w:ascii="Verdana" w:hAnsi="Verdana"/>
          <w:sz w:val="20"/>
          <w:szCs w:val="20"/>
          <w:lang w:val="es-CO"/>
        </w:rPr>
        <w:t>,</w:t>
      </w:r>
      <w:r w:rsidRPr="00B06955">
        <w:rPr>
          <w:rFonts w:ascii="Verdana" w:hAnsi="Verdana"/>
          <w:sz w:val="20"/>
          <w:szCs w:val="20"/>
          <w:lang w:val="es-CO"/>
        </w:rPr>
        <w:t xml:space="preserve"> de tal forma que se pueda garantizar el debido análisis de las </w:t>
      </w:r>
      <w:proofErr w:type="spellStart"/>
      <w:r w:rsidRPr="00B06955">
        <w:rPr>
          <w:rFonts w:ascii="Verdana" w:hAnsi="Verdana"/>
          <w:sz w:val="20"/>
          <w:szCs w:val="20"/>
          <w:lang w:val="es-CO"/>
        </w:rPr>
        <w:t>hipótesis</w:t>
      </w:r>
      <w:proofErr w:type="spellEnd"/>
      <w:r w:rsidRPr="00B06955">
        <w:rPr>
          <w:rFonts w:ascii="Verdana" w:hAnsi="Verdana"/>
          <w:sz w:val="20"/>
          <w:szCs w:val="20"/>
          <w:lang w:val="es-CO"/>
        </w:rPr>
        <w:t xml:space="preserve"> de autoría surgidas a raíz de la misma</w:t>
      </w:r>
      <w:r w:rsidRPr="00B06955">
        <w:rPr>
          <w:rStyle w:val="Refdenotaalpie"/>
          <w:rFonts w:ascii="Verdana" w:hAnsi="Verdana"/>
          <w:sz w:val="20"/>
          <w:szCs w:val="20"/>
          <w:lang w:val="es-CO"/>
        </w:rPr>
        <w:footnoteReference w:id="79"/>
      </w:r>
      <w:r w:rsidR="00756D92" w:rsidRPr="00B06955">
        <w:rPr>
          <w:rFonts w:ascii="Verdana" w:hAnsi="Verdana"/>
          <w:sz w:val="20"/>
          <w:szCs w:val="20"/>
          <w:lang w:val="es-CO"/>
        </w:rPr>
        <w:t>.</w:t>
      </w:r>
      <w:bookmarkEnd w:id="29"/>
      <w:r w:rsidR="00756D92" w:rsidRPr="00B06955">
        <w:rPr>
          <w:rFonts w:ascii="Verdana" w:hAnsi="Verdana"/>
          <w:sz w:val="20"/>
          <w:szCs w:val="20"/>
          <w:lang w:val="es-CR"/>
        </w:rPr>
        <w:t xml:space="preserve"> </w:t>
      </w:r>
    </w:p>
    <w:p w14:paraId="10508326" w14:textId="5CB0AFAE" w:rsidR="00EE13E9" w:rsidRPr="001549AD" w:rsidRDefault="00861D75" w:rsidP="001549AD">
      <w:pPr>
        <w:pStyle w:val="Prrafodelista"/>
        <w:numPr>
          <w:ilvl w:val="0"/>
          <w:numId w:val="3"/>
        </w:numPr>
        <w:spacing w:before="120" w:after="120"/>
        <w:ind w:left="0" w:hanging="11"/>
        <w:contextualSpacing w:val="0"/>
        <w:jc w:val="both"/>
        <w:rPr>
          <w:rFonts w:ascii="Verdana" w:hAnsi="Verdana"/>
          <w:sz w:val="20"/>
          <w:szCs w:val="20"/>
          <w:lang w:val="es-CR"/>
        </w:rPr>
      </w:pPr>
      <w:bookmarkStart w:id="30" w:name="_Ref12550512"/>
      <w:r>
        <w:rPr>
          <w:rFonts w:ascii="Verdana" w:hAnsi="Verdana"/>
          <w:sz w:val="20"/>
          <w:szCs w:val="20"/>
          <w:lang w:val="es-CR"/>
        </w:rPr>
        <w:t>L</w:t>
      </w:r>
      <w:r w:rsidR="00D67560" w:rsidRPr="00B06955">
        <w:rPr>
          <w:rFonts w:ascii="Verdana" w:hAnsi="Verdana"/>
          <w:sz w:val="20"/>
          <w:szCs w:val="20"/>
          <w:lang w:val="es-CR"/>
        </w:rPr>
        <w:t>a Corte</w:t>
      </w:r>
      <w:r w:rsidR="00226429" w:rsidRPr="00B06955">
        <w:rPr>
          <w:rFonts w:ascii="Verdana" w:hAnsi="Verdana"/>
          <w:sz w:val="20"/>
          <w:szCs w:val="20"/>
          <w:lang w:val="es-CR"/>
        </w:rPr>
        <w:t xml:space="preserve"> nota</w:t>
      </w:r>
      <w:r w:rsidR="002C2E51">
        <w:rPr>
          <w:rFonts w:ascii="Verdana" w:hAnsi="Verdana"/>
          <w:sz w:val="20"/>
          <w:szCs w:val="20"/>
          <w:lang w:val="es-CR"/>
        </w:rPr>
        <w:t xml:space="preserve"> </w:t>
      </w:r>
      <w:r w:rsidR="00226429" w:rsidRPr="002C2E51">
        <w:rPr>
          <w:rFonts w:ascii="Verdana" w:hAnsi="Verdana"/>
          <w:sz w:val="20"/>
          <w:szCs w:val="20"/>
          <w:lang w:val="es-CR"/>
        </w:rPr>
        <w:t>que</w:t>
      </w:r>
      <w:r w:rsidR="001549AD">
        <w:rPr>
          <w:rFonts w:ascii="Verdana" w:hAnsi="Verdana"/>
          <w:sz w:val="20"/>
          <w:szCs w:val="20"/>
          <w:lang w:val="es-CR"/>
        </w:rPr>
        <w:t>, pese a que</w:t>
      </w:r>
      <w:r w:rsidR="00226429" w:rsidRPr="002C2E51">
        <w:rPr>
          <w:rFonts w:ascii="Verdana" w:hAnsi="Verdana"/>
          <w:sz w:val="20"/>
          <w:szCs w:val="20"/>
          <w:lang w:val="es-CR"/>
        </w:rPr>
        <w:t xml:space="preserve"> han transcurrido 12 años desde la ocurrencia de los hechos</w:t>
      </w:r>
      <w:r w:rsidR="001549AD">
        <w:rPr>
          <w:rFonts w:ascii="Verdana" w:hAnsi="Verdana"/>
          <w:sz w:val="20"/>
          <w:szCs w:val="20"/>
          <w:lang w:val="es-CR"/>
        </w:rPr>
        <w:t xml:space="preserve"> y más de 3 desde la emisión de la Sentencia, no </w:t>
      </w:r>
      <w:proofErr w:type="gramStart"/>
      <w:r w:rsidR="001549AD">
        <w:rPr>
          <w:rFonts w:ascii="Verdana" w:hAnsi="Verdana"/>
          <w:sz w:val="20"/>
          <w:szCs w:val="20"/>
          <w:lang w:val="es-CR"/>
        </w:rPr>
        <w:t>han</w:t>
      </w:r>
      <w:proofErr w:type="gramEnd"/>
      <w:r w:rsidR="00226429" w:rsidRPr="002C2E51">
        <w:rPr>
          <w:rFonts w:ascii="Verdana" w:hAnsi="Verdana"/>
          <w:sz w:val="20"/>
          <w:szCs w:val="20"/>
          <w:lang w:val="es-CR"/>
        </w:rPr>
        <w:t xml:space="preserve"> habido avances significativos en la investigación</w:t>
      </w:r>
      <w:r w:rsidR="00EE13E9" w:rsidRPr="002C2E51">
        <w:rPr>
          <w:rFonts w:ascii="Verdana" w:hAnsi="Verdana"/>
          <w:sz w:val="20"/>
          <w:szCs w:val="20"/>
          <w:lang w:val="es-CR"/>
        </w:rPr>
        <w:t>.</w:t>
      </w:r>
      <w:r w:rsidR="00756D92">
        <w:rPr>
          <w:rFonts w:ascii="Verdana" w:hAnsi="Verdana"/>
          <w:sz w:val="20"/>
          <w:szCs w:val="20"/>
          <w:lang w:val="es-CR"/>
        </w:rPr>
        <w:t xml:space="preserve"> </w:t>
      </w:r>
      <w:r w:rsidR="001549AD" w:rsidRPr="00970E51">
        <w:rPr>
          <w:rFonts w:ascii="Verdana" w:hAnsi="Verdana"/>
          <w:sz w:val="20"/>
          <w:szCs w:val="20"/>
          <w:lang w:val="es-CR"/>
        </w:rPr>
        <w:t xml:space="preserve">Solamente se han realizado algunas diligencias mínimas básicas tendientes a la identificación y captura del imputado en la causa, medidas que no son acordes con la debida diligencia que le corresponde al Estado tomando en cuenta los años transcurridos y que hay una denuncia penal que identifica </w:t>
      </w:r>
      <w:r w:rsidR="00FB0571" w:rsidRPr="00970E51">
        <w:rPr>
          <w:rFonts w:ascii="Verdana" w:hAnsi="Verdana"/>
          <w:sz w:val="20"/>
          <w:szCs w:val="20"/>
          <w:lang w:val="es-CR"/>
        </w:rPr>
        <w:t>a esa persona como posible</w:t>
      </w:r>
      <w:r w:rsidR="001549AD" w:rsidRPr="00970E51">
        <w:rPr>
          <w:rFonts w:ascii="Verdana" w:hAnsi="Verdana"/>
          <w:sz w:val="20"/>
          <w:szCs w:val="20"/>
          <w:lang w:val="es-CR"/>
        </w:rPr>
        <w:t xml:space="preserve"> responsable penal,</w:t>
      </w:r>
      <w:r w:rsidR="001549AD">
        <w:rPr>
          <w:rFonts w:ascii="Verdana" w:hAnsi="Verdana"/>
          <w:sz w:val="20"/>
          <w:szCs w:val="20"/>
          <w:lang w:val="es-CR"/>
        </w:rPr>
        <w:t xml:space="preserve"> lo cual requiere una mayor actividad estatal. Asimismo, l</w:t>
      </w:r>
      <w:r w:rsidR="00756D92" w:rsidRPr="001549AD">
        <w:rPr>
          <w:rFonts w:ascii="Verdana" w:hAnsi="Verdana"/>
          <w:sz w:val="20"/>
          <w:szCs w:val="20"/>
          <w:lang w:val="es-CR"/>
        </w:rPr>
        <w:t>a información transmitida por el Estado es de carácter gen</w:t>
      </w:r>
      <w:r w:rsidR="00E0239A">
        <w:rPr>
          <w:rFonts w:ascii="Verdana" w:hAnsi="Verdana"/>
          <w:sz w:val="20"/>
          <w:szCs w:val="20"/>
          <w:lang w:val="es-CR"/>
        </w:rPr>
        <w:t>eral</w:t>
      </w:r>
      <w:r w:rsidR="00756D92" w:rsidRPr="001549AD">
        <w:rPr>
          <w:rFonts w:ascii="Verdana" w:hAnsi="Verdana"/>
          <w:sz w:val="20"/>
          <w:szCs w:val="20"/>
          <w:lang w:val="es-CR"/>
        </w:rPr>
        <w:t xml:space="preserve"> y no se encuentra respa</w:t>
      </w:r>
      <w:r w:rsidR="004D29F1" w:rsidRPr="001549AD">
        <w:rPr>
          <w:rFonts w:ascii="Verdana" w:hAnsi="Verdana"/>
          <w:sz w:val="20"/>
          <w:szCs w:val="20"/>
          <w:lang w:val="es-CR"/>
        </w:rPr>
        <w:t>ldada por documentación alguna</w:t>
      </w:r>
      <w:r w:rsidR="00756D92" w:rsidRPr="001549AD">
        <w:rPr>
          <w:rFonts w:ascii="Verdana" w:hAnsi="Verdana"/>
          <w:sz w:val="20"/>
          <w:szCs w:val="20"/>
          <w:lang w:val="es-CR"/>
        </w:rPr>
        <w:t>.</w:t>
      </w:r>
      <w:r w:rsidR="00EE13E9" w:rsidRPr="001549AD">
        <w:rPr>
          <w:rFonts w:ascii="Verdana" w:hAnsi="Verdana"/>
          <w:sz w:val="20"/>
          <w:szCs w:val="20"/>
          <w:lang w:val="es-CR"/>
        </w:rPr>
        <w:t xml:space="preserve"> </w:t>
      </w:r>
      <w:r w:rsidR="00185D0D" w:rsidRPr="001549AD">
        <w:rPr>
          <w:rFonts w:ascii="Verdana" w:hAnsi="Verdana"/>
          <w:sz w:val="20"/>
          <w:szCs w:val="20"/>
          <w:lang w:val="es-CR"/>
        </w:rPr>
        <w:t>Tampoco</w:t>
      </w:r>
      <w:r w:rsidR="00756D92" w:rsidRPr="001549AD">
        <w:rPr>
          <w:rFonts w:ascii="Verdana" w:hAnsi="Verdana"/>
          <w:sz w:val="20"/>
          <w:szCs w:val="20"/>
          <w:lang w:val="es-CR"/>
        </w:rPr>
        <w:t xml:space="preserve"> existen indicios de que el Estado esté l</w:t>
      </w:r>
      <w:r w:rsidR="00185D0D" w:rsidRPr="001549AD">
        <w:rPr>
          <w:rFonts w:ascii="Verdana" w:hAnsi="Verdana"/>
          <w:sz w:val="20"/>
          <w:szCs w:val="20"/>
          <w:lang w:val="es-CR"/>
        </w:rPr>
        <w:t>levando a cabo la investigación teniendo en cuenta el contexto de los hechos</w:t>
      </w:r>
      <w:r w:rsidR="002B5CB3">
        <w:rPr>
          <w:rFonts w:ascii="Verdana" w:hAnsi="Verdana"/>
          <w:sz w:val="20"/>
          <w:szCs w:val="20"/>
          <w:lang w:val="es-CR"/>
        </w:rPr>
        <w:t xml:space="preserve"> </w:t>
      </w:r>
      <w:r w:rsidR="00185D0D" w:rsidRPr="001549AD">
        <w:rPr>
          <w:rFonts w:ascii="Verdana" w:hAnsi="Verdana"/>
          <w:sz w:val="20"/>
          <w:szCs w:val="20"/>
          <w:lang w:val="es-CR"/>
        </w:rPr>
        <w:t xml:space="preserve">y las actividades del señor Félix Ordóñez Suazo como </w:t>
      </w:r>
      <w:r w:rsidR="00185D0D" w:rsidRPr="001549AD">
        <w:rPr>
          <w:rFonts w:ascii="Verdana" w:hAnsi="Verdana"/>
          <w:sz w:val="20"/>
          <w:szCs w:val="20"/>
          <w:lang w:val="es-AR"/>
        </w:rPr>
        <w:t>Coordinador y Vocal del Patronato de la Comunidad de Punta Piedra</w:t>
      </w:r>
      <w:r w:rsidR="00D274D5" w:rsidRPr="001549AD">
        <w:rPr>
          <w:rFonts w:ascii="Verdana" w:hAnsi="Verdana"/>
          <w:sz w:val="20"/>
          <w:szCs w:val="20"/>
          <w:lang w:val="es-AR"/>
        </w:rPr>
        <w:t xml:space="preserve">. </w:t>
      </w:r>
      <w:r w:rsidR="00D274D5" w:rsidRPr="001549AD">
        <w:rPr>
          <w:rFonts w:ascii="Verdana" w:hAnsi="Verdana"/>
          <w:sz w:val="20"/>
          <w:szCs w:val="20"/>
          <w:lang w:val="es-CR"/>
        </w:rPr>
        <w:t xml:space="preserve">Finalmente, la Corte advierte que, a la fecha, </w:t>
      </w:r>
      <w:r w:rsidR="00EE13E9" w:rsidRPr="001549AD">
        <w:rPr>
          <w:rFonts w:ascii="Verdana" w:hAnsi="Verdana"/>
          <w:sz w:val="20"/>
          <w:szCs w:val="20"/>
          <w:lang w:val="es-CR"/>
        </w:rPr>
        <w:t xml:space="preserve">el Estado no </w:t>
      </w:r>
      <w:r w:rsidR="00D274D5" w:rsidRPr="001549AD">
        <w:rPr>
          <w:rFonts w:ascii="Verdana" w:hAnsi="Verdana"/>
          <w:sz w:val="20"/>
          <w:szCs w:val="20"/>
          <w:lang w:val="es-CR"/>
        </w:rPr>
        <w:t>ha proporcionado</w:t>
      </w:r>
      <w:r w:rsidR="00EE13E9" w:rsidRPr="001549AD">
        <w:rPr>
          <w:rFonts w:ascii="Verdana" w:hAnsi="Verdana"/>
          <w:sz w:val="20"/>
          <w:szCs w:val="20"/>
          <w:lang w:val="es-CR"/>
        </w:rPr>
        <w:t xml:space="preserve"> información sobre el estado actual de las investigaciones </w:t>
      </w:r>
      <w:r w:rsidR="00D274D5" w:rsidRPr="001549AD">
        <w:rPr>
          <w:rFonts w:ascii="Verdana" w:hAnsi="Verdana"/>
          <w:sz w:val="20"/>
          <w:szCs w:val="20"/>
          <w:lang w:val="es-CR"/>
        </w:rPr>
        <w:t>relativas a</w:t>
      </w:r>
      <w:r w:rsidR="00EE13E9" w:rsidRPr="001549AD">
        <w:rPr>
          <w:rFonts w:ascii="Verdana" w:hAnsi="Verdana"/>
          <w:sz w:val="20"/>
          <w:szCs w:val="20"/>
          <w:lang w:val="es-CR"/>
        </w:rPr>
        <w:t xml:space="preserve"> las demás denuncias</w:t>
      </w:r>
      <w:r w:rsidR="004301A3" w:rsidRPr="001549AD">
        <w:rPr>
          <w:rFonts w:ascii="Verdana" w:hAnsi="Verdana"/>
          <w:sz w:val="20"/>
          <w:szCs w:val="20"/>
          <w:lang w:val="es-CR"/>
        </w:rPr>
        <w:t xml:space="preserve"> interpuestas</w:t>
      </w:r>
      <w:r w:rsidR="00D274D5">
        <w:rPr>
          <w:rStyle w:val="Refdenotaalpie"/>
          <w:rFonts w:ascii="Verdana" w:hAnsi="Verdana"/>
          <w:sz w:val="20"/>
          <w:szCs w:val="20"/>
          <w:lang w:val="es-CR"/>
        </w:rPr>
        <w:footnoteReference w:id="80"/>
      </w:r>
      <w:r w:rsidR="00EE13E9" w:rsidRPr="001549AD">
        <w:rPr>
          <w:rFonts w:ascii="Verdana" w:hAnsi="Verdana"/>
          <w:sz w:val="20"/>
          <w:szCs w:val="20"/>
          <w:lang w:val="es-CR"/>
        </w:rPr>
        <w:t>.</w:t>
      </w:r>
      <w:bookmarkEnd w:id="30"/>
    </w:p>
    <w:p w14:paraId="7BC3F263" w14:textId="5A1408CF" w:rsidR="005F7A63" w:rsidRPr="00A242F2" w:rsidRDefault="002707D6" w:rsidP="005259B2">
      <w:pPr>
        <w:pStyle w:val="Prrafodelista"/>
        <w:numPr>
          <w:ilvl w:val="0"/>
          <w:numId w:val="3"/>
        </w:numPr>
        <w:spacing w:before="120" w:after="120"/>
        <w:ind w:left="0" w:hanging="11"/>
        <w:contextualSpacing w:val="0"/>
        <w:jc w:val="both"/>
        <w:rPr>
          <w:rFonts w:ascii="Verdana" w:hAnsi="Verdana"/>
          <w:sz w:val="20"/>
          <w:szCs w:val="20"/>
          <w:lang w:val="es-CR"/>
        </w:rPr>
      </w:pPr>
      <w:bookmarkStart w:id="31" w:name="_Ref12551776"/>
      <w:r w:rsidRPr="00B06955">
        <w:rPr>
          <w:rFonts w:ascii="Verdana" w:hAnsi="Verdana"/>
          <w:sz w:val="20"/>
          <w:szCs w:val="20"/>
          <w:lang w:val="es-CR"/>
        </w:rPr>
        <w:t xml:space="preserve">Por </w:t>
      </w:r>
      <w:r w:rsidR="005259B2">
        <w:rPr>
          <w:rFonts w:ascii="Verdana" w:hAnsi="Verdana"/>
          <w:sz w:val="20"/>
          <w:szCs w:val="20"/>
          <w:lang w:val="es-CR"/>
        </w:rPr>
        <w:t>ello</w:t>
      </w:r>
      <w:r w:rsidRPr="00B06955">
        <w:rPr>
          <w:rFonts w:ascii="Verdana" w:hAnsi="Verdana"/>
          <w:sz w:val="20"/>
          <w:szCs w:val="20"/>
          <w:lang w:val="es-CR"/>
        </w:rPr>
        <w:t xml:space="preserve">, la Corte considera </w:t>
      </w:r>
      <w:r w:rsidR="008E60AD">
        <w:rPr>
          <w:rFonts w:ascii="Verdana" w:hAnsi="Verdana"/>
          <w:sz w:val="20"/>
          <w:szCs w:val="20"/>
          <w:lang w:val="es-CR"/>
        </w:rPr>
        <w:t xml:space="preserve">que </w:t>
      </w:r>
      <w:r w:rsidRPr="00B06955">
        <w:rPr>
          <w:rFonts w:ascii="Verdana" w:hAnsi="Verdana"/>
          <w:sz w:val="20"/>
          <w:szCs w:val="20"/>
          <w:lang w:val="es-CR"/>
        </w:rPr>
        <w:t>la medida de reparaci</w:t>
      </w:r>
      <w:r w:rsidR="00D44B86" w:rsidRPr="00B06955">
        <w:rPr>
          <w:rFonts w:ascii="Verdana" w:hAnsi="Verdana"/>
          <w:sz w:val="20"/>
          <w:szCs w:val="20"/>
          <w:lang w:val="es-CR"/>
        </w:rPr>
        <w:t>ón ordenada en el pu</w:t>
      </w:r>
      <w:r w:rsidRPr="00B06955">
        <w:rPr>
          <w:rFonts w:ascii="Verdana" w:hAnsi="Verdana"/>
          <w:sz w:val="20"/>
          <w:szCs w:val="20"/>
          <w:lang w:val="es-CR"/>
        </w:rPr>
        <w:t>nto resolutivo d</w:t>
      </w:r>
      <w:r w:rsidR="005259B2">
        <w:rPr>
          <w:rFonts w:ascii="Verdana" w:hAnsi="Verdana"/>
          <w:sz w:val="20"/>
          <w:szCs w:val="20"/>
          <w:lang w:val="es-CR"/>
        </w:rPr>
        <w:t>ecimos</w:t>
      </w:r>
      <w:r w:rsidR="00D44B86" w:rsidRPr="00B06955">
        <w:rPr>
          <w:rFonts w:ascii="Verdana" w:hAnsi="Verdana"/>
          <w:sz w:val="20"/>
          <w:szCs w:val="20"/>
          <w:lang w:val="es-CR"/>
        </w:rPr>
        <w:t>éptimo</w:t>
      </w:r>
      <w:r w:rsidRPr="00B06955">
        <w:rPr>
          <w:rFonts w:ascii="Verdana" w:hAnsi="Verdana"/>
          <w:sz w:val="20"/>
          <w:szCs w:val="20"/>
          <w:lang w:val="es-CR"/>
        </w:rPr>
        <w:t xml:space="preserve"> de l</w:t>
      </w:r>
      <w:r w:rsidR="00D44B86" w:rsidRPr="00B06955">
        <w:rPr>
          <w:rFonts w:ascii="Verdana" w:hAnsi="Verdana"/>
          <w:sz w:val="20"/>
          <w:szCs w:val="20"/>
          <w:lang w:val="es-CR"/>
        </w:rPr>
        <w:t>a Sentencia</w:t>
      </w:r>
      <w:r w:rsidRPr="00B06955">
        <w:rPr>
          <w:rFonts w:ascii="Verdana" w:hAnsi="Verdana"/>
          <w:sz w:val="20"/>
          <w:szCs w:val="20"/>
          <w:lang w:val="es-CR"/>
        </w:rPr>
        <w:t xml:space="preserve"> contin</w:t>
      </w:r>
      <w:r w:rsidR="00D44B86" w:rsidRPr="00B06955">
        <w:rPr>
          <w:rFonts w:ascii="Verdana" w:hAnsi="Verdana"/>
          <w:sz w:val="20"/>
          <w:szCs w:val="20"/>
          <w:lang w:val="es-CR"/>
        </w:rPr>
        <w:t xml:space="preserve">úa </w:t>
      </w:r>
      <w:r w:rsidRPr="00B06955">
        <w:rPr>
          <w:rFonts w:ascii="Verdana" w:hAnsi="Verdana"/>
          <w:sz w:val="20"/>
          <w:szCs w:val="20"/>
          <w:lang w:val="es-CR"/>
        </w:rPr>
        <w:t xml:space="preserve">pendiente de cumplimiento, y </w:t>
      </w:r>
      <w:r w:rsidR="00D44B86" w:rsidRPr="00B06955">
        <w:rPr>
          <w:rFonts w:ascii="Verdana" w:hAnsi="Verdana"/>
          <w:sz w:val="20"/>
          <w:szCs w:val="20"/>
          <w:lang w:val="es-CR"/>
        </w:rPr>
        <w:t>requiere</w:t>
      </w:r>
      <w:r w:rsidRPr="00B06955">
        <w:rPr>
          <w:rFonts w:ascii="Verdana" w:hAnsi="Verdana"/>
          <w:sz w:val="20"/>
          <w:szCs w:val="20"/>
          <w:lang w:val="es-CR"/>
        </w:rPr>
        <w:t xml:space="preserve"> al Estado que presente información actualizada y detallada sobre la adopción de medidas destinadas </w:t>
      </w:r>
      <w:r w:rsidR="005259B2">
        <w:rPr>
          <w:rFonts w:ascii="Verdana" w:hAnsi="Verdana"/>
          <w:sz w:val="20"/>
          <w:szCs w:val="20"/>
          <w:lang w:val="es-CR"/>
        </w:rPr>
        <w:t xml:space="preserve">a </w:t>
      </w:r>
      <w:r w:rsidR="005259B2" w:rsidRPr="00C32CDA">
        <w:rPr>
          <w:rFonts w:ascii="Verdana" w:hAnsi="Verdana"/>
          <w:sz w:val="20"/>
          <w:szCs w:val="20"/>
          <w:lang w:val="es-MX"/>
        </w:rPr>
        <w:t>continuar y concluir, en un plazo razonable, la investigación por la muerte de Félix Ordóñez Suazo y demás denuncias interpuestas en la jurisdicción interna, y en su caso, sancionar a los responsables</w:t>
      </w:r>
      <w:r w:rsidR="005259B2">
        <w:rPr>
          <w:rFonts w:ascii="Verdana" w:hAnsi="Verdana"/>
          <w:sz w:val="20"/>
          <w:szCs w:val="20"/>
          <w:lang w:val="es-MX"/>
        </w:rPr>
        <w:t xml:space="preserve">, </w:t>
      </w:r>
      <w:r w:rsidR="00D44B86" w:rsidRPr="00B06955">
        <w:rPr>
          <w:rFonts w:ascii="Verdana" w:hAnsi="Verdana"/>
          <w:sz w:val="20"/>
          <w:szCs w:val="20"/>
          <w:lang w:val="es-CO"/>
        </w:rPr>
        <w:t>todo ello en atención a los criterios di</w:t>
      </w:r>
      <w:r w:rsidR="00AC5548">
        <w:rPr>
          <w:rFonts w:ascii="Verdana" w:hAnsi="Verdana"/>
          <w:sz w:val="20"/>
          <w:szCs w:val="20"/>
          <w:lang w:val="es-CO"/>
        </w:rPr>
        <w:t>spuestos en la Sentencia y los C</w:t>
      </w:r>
      <w:r w:rsidR="00D44B86" w:rsidRPr="00B06955">
        <w:rPr>
          <w:rFonts w:ascii="Verdana" w:hAnsi="Verdana"/>
          <w:sz w:val="20"/>
          <w:szCs w:val="20"/>
          <w:lang w:val="es-CO"/>
        </w:rPr>
        <w:t xml:space="preserve">onsiderandos </w:t>
      </w:r>
      <w:r w:rsidR="00EE3CFB">
        <w:rPr>
          <w:rFonts w:ascii="Verdana" w:hAnsi="Verdana"/>
          <w:sz w:val="20"/>
          <w:szCs w:val="20"/>
          <w:lang w:val="es-CO"/>
        </w:rPr>
        <w:fldChar w:fldCharType="begin"/>
      </w:r>
      <w:r w:rsidR="00EE3CFB">
        <w:rPr>
          <w:rFonts w:ascii="Verdana" w:hAnsi="Verdana"/>
          <w:sz w:val="20"/>
          <w:szCs w:val="20"/>
          <w:lang w:val="es-CO"/>
        </w:rPr>
        <w:instrText xml:space="preserve"> REF _Ref12550511 \r \h </w:instrText>
      </w:r>
      <w:r w:rsidR="00EE3CFB">
        <w:rPr>
          <w:rFonts w:ascii="Verdana" w:hAnsi="Verdana"/>
          <w:sz w:val="20"/>
          <w:szCs w:val="20"/>
          <w:lang w:val="es-CO"/>
        </w:rPr>
      </w:r>
      <w:r w:rsidR="00EE3CFB">
        <w:rPr>
          <w:rFonts w:ascii="Verdana" w:hAnsi="Verdana"/>
          <w:sz w:val="20"/>
          <w:szCs w:val="20"/>
          <w:lang w:val="es-CO"/>
        </w:rPr>
        <w:fldChar w:fldCharType="separate"/>
      </w:r>
      <w:r w:rsidR="00D11D5D">
        <w:rPr>
          <w:rFonts w:ascii="Verdana" w:hAnsi="Verdana"/>
          <w:sz w:val="20"/>
          <w:szCs w:val="20"/>
          <w:lang w:val="es-CO"/>
        </w:rPr>
        <w:t>55</w:t>
      </w:r>
      <w:r w:rsidR="00EE3CFB">
        <w:rPr>
          <w:rFonts w:ascii="Verdana" w:hAnsi="Verdana"/>
          <w:sz w:val="20"/>
          <w:szCs w:val="20"/>
          <w:lang w:val="es-CO"/>
        </w:rPr>
        <w:fldChar w:fldCharType="end"/>
      </w:r>
      <w:r w:rsidR="00EE3CFB">
        <w:rPr>
          <w:rFonts w:ascii="Verdana" w:hAnsi="Verdana"/>
          <w:sz w:val="20"/>
          <w:szCs w:val="20"/>
          <w:lang w:val="es-CO"/>
        </w:rPr>
        <w:t xml:space="preserve"> a </w:t>
      </w:r>
      <w:r w:rsidR="00EE3CFB">
        <w:rPr>
          <w:rFonts w:ascii="Verdana" w:hAnsi="Verdana"/>
          <w:sz w:val="20"/>
          <w:szCs w:val="20"/>
          <w:lang w:val="es-CO"/>
        </w:rPr>
        <w:fldChar w:fldCharType="begin"/>
      </w:r>
      <w:r w:rsidR="00EE3CFB">
        <w:rPr>
          <w:rFonts w:ascii="Verdana" w:hAnsi="Verdana"/>
          <w:sz w:val="20"/>
          <w:szCs w:val="20"/>
          <w:lang w:val="es-CO"/>
        </w:rPr>
        <w:instrText xml:space="preserve"> REF _Ref12550512 \r \h </w:instrText>
      </w:r>
      <w:r w:rsidR="00EE3CFB">
        <w:rPr>
          <w:rFonts w:ascii="Verdana" w:hAnsi="Verdana"/>
          <w:sz w:val="20"/>
          <w:szCs w:val="20"/>
          <w:lang w:val="es-CO"/>
        </w:rPr>
      </w:r>
      <w:r w:rsidR="00EE3CFB">
        <w:rPr>
          <w:rFonts w:ascii="Verdana" w:hAnsi="Verdana"/>
          <w:sz w:val="20"/>
          <w:szCs w:val="20"/>
          <w:lang w:val="es-CO"/>
        </w:rPr>
        <w:fldChar w:fldCharType="separate"/>
      </w:r>
      <w:r w:rsidR="00D11D5D">
        <w:rPr>
          <w:rFonts w:ascii="Verdana" w:hAnsi="Verdana"/>
          <w:sz w:val="20"/>
          <w:szCs w:val="20"/>
          <w:lang w:val="es-CO"/>
        </w:rPr>
        <w:t>56</w:t>
      </w:r>
      <w:r w:rsidR="00EE3CFB">
        <w:rPr>
          <w:rFonts w:ascii="Verdana" w:hAnsi="Verdana"/>
          <w:sz w:val="20"/>
          <w:szCs w:val="20"/>
          <w:lang w:val="es-CO"/>
        </w:rPr>
        <w:fldChar w:fldCharType="end"/>
      </w:r>
      <w:r w:rsidR="00EE3CFB">
        <w:rPr>
          <w:rFonts w:ascii="Verdana" w:hAnsi="Verdana"/>
          <w:sz w:val="20"/>
          <w:szCs w:val="20"/>
          <w:lang w:val="es-CO"/>
        </w:rPr>
        <w:t xml:space="preserve"> </w:t>
      </w:r>
      <w:r w:rsidR="005259B2">
        <w:rPr>
          <w:rFonts w:ascii="Verdana" w:hAnsi="Verdana"/>
          <w:sz w:val="20"/>
          <w:szCs w:val="20"/>
          <w:lang w:val="es-CO"/>
        </w:rPr>
        <w:t>de la presente R</w:t>
      </w:r>
      <w:r w:rsidR="00D44B86" w:rsidRPr="00B06955">
        <w:rPr>
          <w:rFonts w:ascii="Verdana" w:hAnsi="Verdana"/>
          <w:sz w:val="20"/>
          <w:szCs w:val="20"/>
          <w:lang w:val="es-CO"/>
        </w:rPr>
        <w:t>esolución.</w:t>
      </w:r>
      <w:bookmarkEnd w:id="31"/>
    </w:p>
    <w:p w14:paraId="2736B8E7" w14:textId="77777777" w:rsidR="00A242F2" w:rsidRDefault="00A242F2" w:rsidP="00A242F2">
      <w:pPr>
        <w:spacing w:before="120" w:after="120"/>
        <w:jc w:val="both"/>
        <w:rPr>
          <w:rFonts w:ascii="Verdana" w:hAnsi="Verdana"/>
          <w:sz w:val="20"/>
          <w:szCs w:val="20"/>
          <w:lang w:val="es-CR"/>
        </w:rPr>
      </w:pPr>
    </w:p>
    <w:p w14:paraId="79602FFC" w14:textId="5C537F2F" w:rsidR="00A50986" w:rsidRDefault="00A50986" w:rsidP="00A50986">
      <w:pPr>
        <w:pStyle w:val="Prrafodelista"/>
        <w:numPr>
          <w:ilvl w:val="0"/>
          <w:numId w:val="6"/>
        </w:numPr>
        <w:spacing w:before="120" w:after="120"/>
        <w:contextualSpacing w:val="0"/>
        <w:jc w:val="both"/>
        <w:outlineLvl w:val="0"/>
        <w:rPr>
          <w:rFonts w:ascii="Verdana" w:hAnsi="Verdana"/>
          <w:b/>
          <w:i/>
          <w:sz w:val="20"/>
          <w:szCs w:val="20"/>
          <w:lang w:val="es-MX"/>
        </w:rPr>
      </w:pPr>
      <w:bookmarkStart w:id="32" w:name="_Toc1737140"/>
      <w:r>
        <w:rPr>
          <w:rFonts w:ascii="Verdana" w:hAnsi="Verdana"/>
          <w:b/>
          <w:i/>
          <w:sz w:val="20"/>
          <w:szCs w:val="20"/>
          <w:lang w:val="es-MX"/>
        </w:rPr>
        <w:t xml:space="preserve">Reintegrar </w:t>
      </w:r>
      <w:r w:rsidR="00206DE2">
        <w:rPr>
          <w:rFonts w:ascii="Verdana" w:hAnsi="Verdana"/>
          <w:b/>
          <w:i/>
          <w:sz w:val="20"/>
          <w:szCs w:val="20"/>
          <w:lang w:val="es-MX"/>
        </w:rPr>
        <w:t>la cantidad dispuesta</w:t>
      </w:r>
      <w:r>
        <w:rPr>
          <w:rFonts w:ascii="Verdana" w:hAnsi="Verdana"/>
          <w:b/>
          <w:i/>
          <w:sz w:val="20"/>
          <w:szCs w:val="20"/>
          <w:lang w:val="es-MX"/>
        </w:rPr>
        <w:t xml:space="preserve"> por concepto de cos</w:t>
      </w:r>
      <w:r w:rsidR="001D20DC">
        <w:rPr>
          <w:rFonts w:ascii="Verdana" w:hAnsi="Verdana"/>
          <w:b/>
          <w:i/>
          <w:sz w:val="20"/>
          <w:szCs w:val="20"/>
          <w:lang w:val="es-MX"/>
        </w:rPr>
        <w:t>t</w:t>
      </w:r>
      <w:r>
        <w:rPr>
          <w:rFonts w:ascii="Verdana" w:hAnsi="Verdana"/>
          <w:b/>
          <w:i/>
          <w:sz w:val="20"/>
          <w:szCs w:val="20"/>
          <w:lang w:val="es-MX"/>
        </w:rPr>
        <w:t>as y gastos</w:t>
      </w:r>
      <w:bookmarkEnd w:id="32"/>
    </w:p>
    <w:p w14:paraId="647404B3" w14:textId="77777777" w:rsidR="00A50986" w:rsidRPr="00A50986" w:rsidRDefault="00A50986" w:rsidP="00A50986">
      <w:pPr>
        <w:pStyle w:val="Prrafodelista"/>
        <w:spacing w:before="120" w:after="120"/>
        <w:contextualSpacing w:val="0"/>
        <w:jc w:val="both"/>
        <w:rPr>
          <w:rFonts w:ascii="Verdana" w:hAnsi="Verdana"/>
          <w:i/>
          <w:sz w:val="20"/>
          <w:szCs w:val="20"/>
          <w:lang w:val="es-MX"/>
        </w:rPr>
      </w:pPr>
      <w:r>
        <w:rPr>
          <w:rFonts w:ascii="Verdana" w:hAnsi="Verdana"/>
          <w:i/>
          <w:sz w:val="20"/>
          <w:szCs w:val="20"/>
          <w:lang w:val="es-MX"/>
        </w:rPr>
        <w:t>I</w:t>
      </w:r>
      <w:r w:rsidRPr="00B06955">
        <w:rPr>
          <w:rFonts w:ascii="Verdana" w:hAnsi="Verdana"/>
          <w:i/>
          <w:sz w:val="20"/>
          <w:szCs w:val="20"/>
          <w:lang w:val="es-MX"/>
        </w:rPr>
        <w:t xml:space="preserve">.1. Medida ordenada por la Corte </w:t>
      </w:r>
    </w:p>
    <w:p w14:paraId="51E5443B" w14:textId="524AC826" w:rsidR="006F0AF8" w:rsidRPr="0066284B" w:rsidRDefault="006F0AF8" w:rsidP="0029584C">
      <w:pPr>
        <w:pStyle w:val="Prrafodelista"/>
        <w:numPr>
          <w:ilvl w:val="0"/>
          <w:numId w:val="3"/>
        </w:numPr>
        <w:spacing w:before="120" w:after="120"/>
        <w:ind w:left="0" w:hanging="11"/>
        <w:contextualSpacing w:val="0"/>
        <w:jc w:val="both"/>
        <w:rPr>
          <w:rFonts w:ascii="Verdana" w:hAnsi="Verdana"/>
          <w:sz w:val="20"/>
          <w:szCs w:val="20"/>
          <w:lang w:val="es-CR"/>
        </w:rPr>
      </w:pPr>
      <w:r w:rsidRPr="00A50986">
        <w:rPr>
          <w:rFonts w:ascii="Verdana" w:hAnsi="Verdana"/>
          <w:sz w:val="20"/>
          <w:szCs w:val="20"/>
          <w:lang w:val="es-MX"/>
        </w:rPr>
        <w:t xml:space="preserve">En el </w:t>
      </w:r>
      <w:r w:rsidRPr="0029584C">
        <w:rPr>
          <w:rFonts w:ascii="Verdana" w:hAnsi="Verdana"/>
          <w:sz w:val="20"/>
          <w:szCs w:val="20"/>
          <w:lang w:val="es-MX"/>
        </w:rPr>
        <w:t xml:space="preserve">punto resolutivo </w:t>
      </w:r>
      <w:r w:rsidR="009C42E8">
        <w:rPr>
          <w:rFonts w:ascii="Verdana" w:hAnsi="Verdana"/>
          <w:sz w:val="20"/>
          <w:szCs w:val="20"/>
          <w:lang w:val="es-MX"/>
        </w:rPr>
        <w:t>decimoctavo</w:t>
      </w:r>
      <w:r w:rsidR="00A50986" w:rsidRPr="0029584C">
        <w:rPr>
          <w:rFonts w:ascii="Verdana" w:hAnsi="Verdana"/>
          <w:sz w:val="20"/>
          <w:szCs w:val="20"/>
          <w:lang w:val="es-MX"/>
        </w:rPr>
        <w:t xml:space="preserve"> y en el</w:t>
      </w:r>
      <w:r w:rsidR="00C77C8A">
        <w:rPr>
          <w:rFonts w:ascii="Verdana" w:hAnsi="Verdana"/>
          <w:sz w:val="20"/>
          <w:szCs w:val="20"/>
          <w:lang w:val="es-MX"/>
        </w:rPr>
        <w:t xml:space="preserve"> párrafo</w:t>
      </w:r>
      <w:r w:rsidRPr="0029584C">
        <w:rPr>
          <w:rFonts w:ascii="Verdana" w:hAnsi="Verdana"/>
          <w:sz w:val="20"/>
          <w:szCs w:val="20"/>
          <w:lang w:val="es-MX"/>
        </w:rPr>
        <w:t xml:space="preserve"> </w:t>
      </w:r>
      <w:r w:rsidR="00A50986" w:rsidRPr="0029584C">
        <w:rPr>
          <w:rFonts w:ascii="Verdana" w:hAnsi="Verdana"/>
          <w:sz w:val="20"/>
          <w:szCs w:val="20"/>
          <w:lang w:val="es-MX"/>
        </w:rPr>
        <w:t>364</w:t>
      </w:r>
      <w:r w:rsidRPr="0029584C">
        <w:rPr>
          <w:rFonts w:ascii="Verdana" w:hAnsi="Verdana"/>
          <w:sz w:val="20"/>
          <w:szCs w:val="20"/>
          <w:lang w:val="es-MX"/>
        </w:rPr>
        <w:t xml:space="preserve"> de la S</w:t>
      </w:r>
      <w:r w:rsidR="00A50986" w:rsidRPr="0029584C">
        <w:rPr>
          <w:rFonts w:ascii="Verdana" w:hAnsi="Verdana"/>
          <w:sz w:val="20"/>
          <w:szCs w:val="20"/>
          <w:lang w:val="es-MX"/>
        </w:rPr>
        <w:t>e</w:t>
      </w:r>
      <w:r w:rsidR="0066284B">
        <w:rPr>
          <w:rFonts w:ascii="Verdana" w:hAnsi="Verdana"/>
          <w:sz w:val="20"/>
          <w:szCs w:val="20"/>
          <w:lang w:val="es-MX"/>
        </w:rPr>
        <w:t>ntencia, la Corte dispuso que el Estado debía</w:t>
      </w:r>
      <w:r w:rsidR="00A50986" w:rsidRPr="0029584C">
        <w:rPr>
          <w:rFonts w:ascii="Verdana" w:hAnsi="Verdana"/>
          <w:sz w:val="20"/>
          <w:szCs w:val="20"/>
          <w:lang w:val="es-MX"/>
        </w:rPr>
        <w:t xml:space="preserve"> pagar la cantidad </w:t>
      </w:r>
      <w:r w:rsidR="00A12313">
        <w:rPr>
          <w:rFonts w:ascii="Verdana" w:hAnsi="Verdana"/>
          <w:sz w:val="20"/>
          <w:szCs w:val="20"/>
          <w:lang w:val="es-MX"/>
        </w:rPr>
        <w:t xml:space="preserve">de </w:t>
      </w:r>
      <w:r w:rsidR="0066284B" w:rsidRPr="0029584C">
        <w:rPr>
          <w:rFonts w:ascii="Verdana" w:hAnsi="Verdana"/>
          <w:sz w:val="20"/>
          <w:szCs w:val="20"/>
          <w:lang w:val="es-CO"/>
        </w:rPr>
        <w:t>US$ 10,000 (diez mil dólares de los Estados Unidos de América)</w:t>
      </w:r>
      <w:r w:rsidR="0066284B">
        <w:rPr>
          <w:rFonts w:ascii="Verdana" w:hAnsi="Verdana"/>
          <w:sz w:val="20"/>
          <w:szCs w:val="20"/>
          <w:lang w:val="es-CO"/>
        </w:rPr>
        <w:t xml:space="preserve"> </w:t>
      </w:r>
      <w:r w:rsidR="002B5CB3">
        <w:rPr>
          <w:rFonts w:ascii="Verdana" w:hAnsi="Verdana"/>
          <w:sz w:val="20"/>
          <w:szCs w:val="20"/>
          <w:lang w:val="es-CO"/>
        </w:rPr>
        <w:t xml:space="preserve">a OFRANEH </w:t>
      </w:r>
      <w:r w:rsidR="00A50986" w:rsidRPr="0029584C">
        <w:rPr>
          <w:rFonts w:ascii="Verdana" w:hAnsi="Verdana"/>
          <w:sz w:val="20"/>
          <w:szCs w:val="20"/>
          <w:lang w:val="es-MX"/>
        </w:rPr>
        <w:t xml:space="preserve">por concepto de reintegro de costas y gastos en el plazo de un año, contado a partir de la notificación de la </w:t>
      </w:r>
      <w:r w:rsidR="0066284B">
        <w:rPr>
          <w:rFonts w:ascii="Verdana" w:hAnsi="Verdana"/>
          <w:sz w:val="20"/>
          <w:szCs w:val="20"/>
          <w:lang w:val="es-MX"/>
        </w:rPr>
        <w:t>Sentencia</w:t>
      </w:r>
      <w:r w:rsidR="00A50986" w:rsidRPr="0029584C">
        <w:rPr>
          <w:rFonts w:ascii="Verdana" w:hAnsi="Verdana"/>
          <w:sz w:val="20"/>
          <w:szCs w:val="20"/>
          <w:lang w:val="es-MX"/>
        </w:rPr>
        <w:t>.</w:t>
      </w:r>
    </w:p>
    <w:p w14:paraId="63777947" w14:textId="45C4DD5D" w:rsidR="0066284B" w:rsidRPr="00CF0F8D" w:rsidRDefault="0066284B" w:rsidP="0029584C">
      <w:pPr>
        <w:pStyle w:val="Prrafodelista"/>
        <w:numPr>
          <w:ilvl w:val="0"/>
          <w:numId w:val="3"/>
        </w:numPr>
        <w:spacing w:before="120" w:after="120"/>
        <w:ind w:left="0" w:hanging="11"/>
        <w:contextualSpacing w:val="0"/>
        <w:jc w:val="both"/>
        <w:rPr>
          <w:rFonts w:ascii="Verdana" w:hAnsi="Verdana"/>
          <w:sz w:val="20"/>
          <w:szCs w:val="20"/>
          <w:lang w:val="es-CR"/>
        </w:rPr>
      </w:pPr>
      <w:r>
        <w:rPr>
          <w:rFonts w:ascii="Verdana" w:hAnsi="Verdana"/>
          <w:sz w:val="20"/>
          <w:szCs w:val="20"/>
          <w:lang w:val="es-MX"/>
        </w:rPr>
        <w:lastRenderedPageBreak/>
        <w:t>Adicionalmente, en los párrafos 369 y 371 de la Sentencia, el Tribunal estableció, respectivamente, que “</w:t>
      </w:r>
      <w:r>
        <w:rPr>
          <w:rFonts w:ascii="Verdana" w:hAnsi="Verdana"/>
          <w:sz w:val="20"/>
          <w:szCs w:val="20"/>
          <w:lang w:val="es-AR"/>
        </w:rPr>
        <w:t>[s]</w:t>
      </w:r>
      <w:r w:rsidRPr="0066284B">
        <w:rPr>
          <w:rFonts w:ascii="Verdana" w:hAnsi="Verdana"/>
          <w:sz w:val="20"/>
          <w:szCs w:val="20"/>
          <w:lang w:val="es-AR"/>
        </w:rPr>
        <w:t>i por causas atribuibles a los beneficiarios de reintegros o a sus derechohabientes no fuese posible el pago de las cantidades determinadas dentro del plazo indicado, el Estado consignará dichos montos a su favor en una cuenta o certificado de depósito en una institución financiera</w:t>
      </w:r>
      <w:r>
        <w:rPr>
          <w:rFonts w:ascii="Verdana" w:hAnsi="Verdana"/>
          <w:sz w:val="20"/>
          <w:szCs w:val="20"/>
          <w:lang w:val="es-AR"/>
        </w:rPr>
        <w:t xml:space="preserve"> </w:t>
      </w:r>
      <w:r w:rsidRPr="0066284B">
        <w:rPr>
          <w:rFonts w:ascii="Verdana" w:hAnsi="Verdana"/>
          <w:sz w:val="20"/>
          <w:szCs w:val="20"/>
          <w:lang w:val="es-AR"/>
        </w:rPr>
        <w:t>hondureña solvente, en dólares estadounidenses, y en las condiciones financieras más favorables que permitan la legislación y la práctica bancaria</w:t>
      </w:r>
      <w:r>
        <w:rPr>
          <w:rFonts w:ascii="Verdana" w:hAnsi="Verdana"/>
          <w:sz w:val="20"/>
          <w:szCs w:val="20"/>
          <w:lang w:val="es-AR"/>
        </w:rPr>
        <w:t>” y que “[e]</w:t>
      </w:r>
      <w:r w:rsidRPr="0066284B">
        <w:rPr>
          <w:rFonts w:ascii="Verdana" w:hAnsi="Verdana"/>
          <w:sz w:val="20"/>
          <w:szCs w:val="20"/>
          <w:lang w:val="es-AR"/>
        </w:rPr>
        <w:t xml:space="preserve">n caso de que el Estado incurriera en mora respecto </w:t>
      </w:r>
      <w:r w:rsidR="00AC6324">
        <w:rPr>
          <w:rFonts w:ascii="Verdana" w:hAnsi="Verdana"/>
          <w:sz w:val="20"/>
          <w:szCs w:val="20"/>
          <w:lang w:val="es-AR"/>
        </w:rPr>
        <w:t>[de …]</w:t>
      </w:r>
      <w:r w:rsidRPr="0066284B">
        <w:rPr>
          <w:rFonts w:ascii="Verdana" w:hAnsi="Verdana"/>
          <w:sz w:val="20"/>
          <w:szCs w:val="20"/>
          <w:lang w:val="es-AR"/>
        </w:rPr>
        <w:t xml:space="preserve"> las costas y gastos, </w:t>
      </w:r>
      <w:r w:rsidR="00AC6324">
        <w:rPr>
          <w:rFonts w:ascii="Verdana" w:hAnsi="Verdana"/>
          <w:sz w:val="20"/>
          <w:szCs w:val="20"/>
          <w:lang w:val="es-AR"/>
        </w:rPr>
        <w:t xml:space="preserve">[…] </w:t>
      </w:r>
      <w:r w:rsidRPr="0066284B">
        <w:rPr>
          <w:rFonts w:ascii="Verdana" w:hAnsi="Verdana"/>
          <w:sz w:val="20"/>
          <w:szCs w:val="20"/>
          <w:lang w:val="es-AR"/>
        </w:rPr>
        <w:t>deberá pagar un interés sobre la cantidad adeudada correspondiente al interés bancario moratorio en la República de Honduras</w:t>
      </w:r>
      <w:r w:rsidR="00C80D39">
        <w:rPr>
          <w:rFonts w:ascii="Verdana" w:hAnsi="Verdana"/>
          <w:sz w:val="20"/>
          <w:szCs w:val="20"/>
          <w:lang w:val="es-AR"/>
        </w:rPr>
        <w:t>”.</w:t>
      </w:r>
    </w:p>
    <w:p w14:paraId="79747D91" w14:textId="77777777" w:rsidR="00CF0F8D" w:rsidRDefault="00CF0F8D" w:rsidP="00CF0F8D">
      <w:pPr>
        <w:pStyle w:val="Prrafodelista"/>
        <w:spacing w:before="120" w:after="120"/>
        <w:ind w:left="0"/>
        <w:contextualSpacing w:val="0"/>
        <w:jc w:val="both"/>
        <w:rPr>
          <w:rFonts w:ascii="Verdana" w:hAnsi="Verdana"/>
          <w:sz w:val="20"/>
          <w:szCs w:val="20"/>
          <w:lang w:val="es-CR"/>
        </w:rPr>
      </w:pPr>
    </w:p>
    <w:p w14:paraId="05022FA5" w14:textId="77777777" w:rsidR="0029584C" w:rsidRDefault="0029584C" w:rsidP="0029584C">
      <w:pPr>
        <w:pStyle w:val="Prrafodelista"/>
        <w:spacing w:before="120" w:after="120"/>
        <w:contextualSpacing w:val="0"/>
        <w:jc w:val="both"/>
        <w:rPr>
          <w:rFonts w:ascii="Verdana" w:hAnsi="Verdana"/>
          <w:sz w:val="20"/>
          <w:szCs w:val="20"/>
          <w:lang w:val="es-CR"/>
        </w:rPr>
      </w:pPr>
      <w:r>
        <w:rPr>
          <w:rFonts w:ascii="Verdana" w:hAnsi="Verdana"/>
          <w:i/>
          <w:sz w:val="20"/>
          <w:szCs w:val="20"/>
          <w:lang w:val="es-MX"/>
        </w:rPr>
        <w:t>I</w:t>
      </w:r>
      <w:r w:rsidRPr="00B06955">
        <w:rPr>
          <w:rFonts w:ascii="Verdana" w:hAnsi="Verdana"/>
          <w:i/>
          <w:sz w:val="20"/>
          <w:szCs w:val="20"/>
          <w:lang w:val="es-MX"/>
        </w:rPr>
        <w:t xml:space="preserve">.2. </w:t>
      </w:r>
      <w:r w:rsidR="00AC6324" w:rsidRPr="00B06955">
        <w:rPr>
          <w:rFonts w:ascii="Verdana" w:hAnsi="Verdana"/>
          <w:i/>
          <w:sz w:val="20"/>
          <w:szCs w:val="20"/>
          <w:lang w:val="es-MX"/>
        </w:rPr>
        <w:t>Consideraciones de la Corte</w:t>
      </w:r>
    </w:p>
    <w:p w14:paraId="28C73553" w14:textId="7FF5E1C8" w:rsidR="00A3568C" w:rsidRPr="00006029" w:rsidRDefault="009C42E8" w:rsidP="00006029">
      <w:pPr>
        <w:pStyle w:val="Prrafodelista"/>
        <w:numPr>
          <w:ilvl w:val="0"/>
          <w:numId w:val="3"/>
        </w:numPr>
        <w:spacing w:before="120" w:after="120"/>
        <w:ind w:left="0" w:hanging="11"/>
        <w:contextualSpacing w:val="0"/>
        <w:jc w:val="both"/>
        <w:rPr>
          <w:rFonts w:ascii="Verdana" w:hAnsi="Verdana"/>
          <w:sz w:val="20"/>
          <w:szCs w:val="20"/>
          <w:lang w:val="es-CR"/>
        </w:rPr>
      </w:pPr>
      <w:r>
        <w:rPr>
          <w:rFonts w:ascii="Verdana" w:hAnsi="Verdana"/>
          <w:sz w:val="20"/>
          <w:szCs w:val="20"/>
          <w:lang w:val="es-CO"/>
        </w:rPr>
        <w:t>Con respecto a este punto, e</w:t>
      </w:r>
      <w:r w:rsidR="00AC6324">
        <w:rPr>
          <w:rFonts w:ascii="Verdana" w:hAnsi="Verdana"/>
          <w:sz w:val="20"/>
          <w:szCs w:val="20"/>
          <w:lang w:val="es-CO"/>
        </w:rPr>
        <w:t xml:space="preserve">l Estado </w:t>
      </w:r>
      <w:r>
        <w:rPr>
          <w:rFonts w:ascii="Verdana" w:hAnsi="Verdana"/>
          <w:sz w:val="20"/>
          <w:szCs w:val="20"/>
          <w:lang w:val="es-CO"/>
        </w:rPr>
        <w:t xml:space="preserve">ha </w:t>
      </w:r>
      <w:r w:rsidR="00F024B5">
        <w:rPr>
          <w:rFonts w:ascii="Verdana" w:hAnsi="Verdana"/>
          <w:sz w:val="20"/>
          <w:szCs w:val="20"/>
          <w:lang w:val="es-CO"/>
        </w:rPr>
        <w:t xml:space="preserve">informado que </w:t>
      </w:r>
      <w:r w:rsidR="009D64C3">
        <w:rPr>
          <w:rFonts w:ascii="Verdana" w:hAnsi="Verdana"/>
          <w:sz w:val="20"/>
          <w:szCs w:val="20"/>
          <w:lang w:val="es-CO"/>
        </w:rPr>
        <w:t>la Junta Directiva de OFRANEH no desea</w:t>
      </w:r>
      <w:r w:rsidR="00F024B5">
        <w:rPr>
          <w:rFonts w:ascii="Verdana" w:hAnsi="Verdana"/>
          <w:sz w:val="20"/>
          <w:szCs w:val="20"/>
          <w:lang w:val="es-CO"/>
        </w:rPr>
        <w:t>ba</w:t>
      </w:r>
      <w:r w:rsidR="009D64C3">
        <w:rPr>
          <w:rFonts w:ascii="Verdana" w:hAnsi="Verdana"/>
          <w:sz w:val="20"/>
          <w:szCs w:val="20"/>
          <w:lang w:val="es-CO"/>
        </w:rPr>
        <w:t xml:space="preserve"> aceptar los montos ordenados</w:t>
      </w:r>
      <w:r w:rsidR="009D64C3">
        <w:rPr>
          <w:rStyle w:val="Refdenotaalpie"/>
          <w:rFonts w:ascii="Verdana" w:hAnsi="Verdana" w:cs="URWBookmanL-Ligh"/>
          <w:color w:val="00000A"/>
          <w:sz w:val="20"/>
          <w:szCs w:val="20"/>
          <w:lang w:val="es-CO"/>
        </w:rPr>
        <w:footnoteReference w:id="81"/>
      </w:r>
      <w:r w:rsidR="009D64C3">
        <w:rPr>
          <w:rFonts w:ascii="Verdana" w:hAnsi="Verdana"/>
          <w:sz w:val="20"/>
          <w:szCs w:val="20"/>
          <w:lang w:val="es-CO"/>
        </w:rPr>
        <w:t xml:space="preserve">, </w:t>
      </w:r>
      <w:r w:rsidR="00F024B5">
        <w:rPr>
          <w:rFonts w:ascii="Verdana" w:hAnsi="Verdana"/>
          <w:sz w:val="20"/>
          <w:szCs w:val="20"/>
          <w:lang w:val="es-CO"/>
        </w:rPr>
        <w:t>por lo que se encontraba “en proceso de consignación de los montos en concepto de costas y gastos de la Sentencia”, la cual “se realizará a través de un depósito en una cuenta en dólares estadounidenses creada para ese único fin en el Banco Central de Honduras”, añadiendo que “por causas atribuibles a los beneficiarios, no ha[</w:t>
      </w:r>
      <w:proofErr w:type="spellStart"/>
      <w:r w:rsidR="00F024B5">
        <w:rPr>
          <w:rFonts w:ascii="Verdana" w:hAnsi="Verdana"/>
          <w:sz w:val="20"/>
          <w:szCs w:val="20"/>
          <w:lang w:val="es-CO"/>
        </w:rPr>
        <w:t>bía</w:t>
      </w:r>
      <w:proofErr w:type="spellEnd"/>
      <w:r w:rsidR="00F024B5">
        <w:rPr>
          <w:rFonts w:ascii="Verdana" w:hAnsi="Verdana"/>
          <w:sz w:val="20"/>
          <w:szCs w:val="20"/>
          <w:lang w:val="es-CO"/>
        </w:rPr>
        <w:t>] sido posible realizar el pago […] dentro del plazo indicado”</w:t>
      </w:r>
      <w:r w:rsidR="001C1EA8">
        <w:rPr>
          <w:rStyle w:val="Refdenotaalpie"/>
          <w:rFonts w:ascii="Verdana" w:hAnsi="Verdana"/>
          <w:sz w:val="20"/>
          <w:szCs w:val="20"/>
          <w:lang w:val="es-CO"/>
        </w:rPr>
        <w:footnoteReference w:id="82"/>
      </w:r>
      <w:r w:rsidR="00F024B5">
        <w:rPr>
          <w:rFonts w:ascii="Verdana" w:hAnsi="Verdana"/>
          <w:sz w:val="20"/>
          <w:szCs w:val="20"/>
          <w:lang w:val="es-CO"/>
        </w:rPr>
        <w:t>.</w:t>
      </w:r>
      <w:r w:rsidR="00F643CD">
        <w:rPr>
          <w:rFonts w:ascii="Verdana" w:hAnsi="Verdana"/>
          <w:sz w:val="20"/>
          <w:szCs w:val="20"/>
          <w:lang w:val="es-CO"/>
        </w:rPr>
        <w:t xml:space="preserve"> </w:t>
      </w:r>
      <w:r w:rsidR="000076D4" w:rsidRPr="000076D4">
        <w:rPr>
          <w:rFonts w:ascii="Verdana" w:hAnsi="Verdana"/>
          <w:sz w:val="20"/>
          <w:szCs w:val="20"/>
          <w:lang w:val="es-CO"/>
        </w:rPr>
        <w:t>E</w:t>
      </w:r>
      <w:r w:rsidRPr="000076D4">
        <w:rPr>
          <w:rFonts w:ascii="Verdana" w:hAnsi="Verdana"/>
          <w:sz w:val="20"/>
          <w:szCs w:val="20"/>
          <w:lang w:val="es-CO"/>
        </w:rPr>
        <w:t xml:space="preserve">n la audiencia celebrada </w:t>
      </w:r>
      <w:r w:rsidR="00AC5548" w:rsidRPr="000076D4">
        <w:rPr>
          <w:rFonts w:ascii="Verdana" w:hAnsi="Verdana"/>
          <w:sz w:val="20"/>
          <w:szCs w:val="20"/>
          <w:lang w:val="es-CO"/>
        </w:rPr>
        <w:t>el 29 de noviembre de 2018</w:t>
      </w:r>
      <w:r w:rsidR="00A12313">
        <w:rPr>
          <w:rFonts w:ascii="Verdana" w:hAnsi="Verdana"/>
          <w:sz w:val="20"/>
          <w:szCs w:val="20"/>
          <w:lang w:val="es-CO"/>
        </w:rPr>
        <w:t xml:space="preserve"> el Estado informó que </w:t>
      </w:r>
      <w:r w:rsidRPr="000076D4">
        <w:rPr>
          <w:rFonts w:ascii="Verdana" w:hAnsi="Verdana"/>
          <w:sz w:val="20"/>
          <w:szCs w:val="20"/>
          <w:lang w:val="es-CO"/>
        </w:rPr>
        <w:t>lo referente</w:t>
      </w:r>
      <w:r w:rsidR="00A12313">
        <w:rPr>
          <w:rFonts w:ascii="Verdana" w:hAnsi="Verdana"/>
          <w:sz w:val="20"/>
          <w:szCs w:val="20"/>
          <w:lang w:val="es-CO"/>
        </w:rPr>
        <w:t xml:space="preserve"> a costas y gastos se encuentra</w:t>
      </w:r>
      <w:r w:rsidRPr="000076D4">
        <w:rPr>
          <w:rFonts w:ascii="Verdana" w:hAnsi="Verdana"/>
          <w:sz w:val="20"/>
          <w:szCs w:val="20"/>
          <w:lang w:val="es-CO"/>
        </w:rPr>
        <w:t xml:space="preserve"> </w:t>
      </w:r>
      <w:r w:rsidR="00A12313">
        <w:rPr>
          <w:rFonts w:ascii="Verdana" w:hAnsi="Verdana"/>
          <w:sz w:val="20"/>
          <w:szCs w:val="20"/>
          <w:lang w:val="es-CO"/>
        </w:rPr>
        <w:t>“consignado”</w:t>
      </w:r>
      <w:r w:rsidRPr="000076D4">
        <w:rPr>
          <w:rFonts w:ascii="Verdana" w:hAnsi="Verdana"/>
          <w:sz w:val="20"/>
          <w:szCs w:val="20"/>
          <w:lang w:val="es-CO"/>
        </w:rPr>
        <w:t xml:space="preserve"> en </w:t>
      </w:r>
      <w:r w:rsidR="00A12313">
        <w:rPr>
          <w:rFonts w:ascii="Verdana" w:hAnsi="Verdana"/>
          <w:sz w:val="20"/>
          <w:szCs w:val="20"/>
          <w:lang w:val="es-CO"/>
        </w:rPr>
        <w:t>una cuenta</w:t>
      </w:r>
      <w:r w:rsidRPr="000076D4">
        <w:rPr>
          <w:rFonts w:ascii="Verdana" w:hAnsi="Verdana"/>
          <w:sz w:val="20"/>
          <w:szCs w:val="20"/>
          <w:lang w:val="es-CO"/>
        </w:rPr>
        <w:t xml:space="preserve"> bancaria </w:t>
      </w:r>
      <w:r w:rsidR="00A12313">
        <w:rPr>
          <w:rFonts w:ascii="Verdana" w:hAnsi="Verdana"/>
          <w:sz w:val="20"/>
          <w:szCs w:val="20"/>
          <w:lang w:val="es-CO"/>
        </w:rPr>
        <w:t>“</w:t>
      </w:r>
      <w:r w:rsidRPr="000076D4">
        <w:rPr>
          <w:rFonts w:ascii="Verdana" w:hAnsi="Verdana"/>
          <w:sz w:val="20"/>
          <w:szCs w:val="20"/>
          <w:lang w:val="es-CO"/>
        </w:rPr>
        <w:t>para cuando las víct</w:t>
      </w:r>
      <w:r w:rsidR="008F7013" w:rsidRPr="000076D4">
        <w:rPr>
          <w:rFonts w:ascii="Verdana" w:hAnsi="Verdana"/>
          <w:sz w:val="20"/>
          <w:szCs w:val="20"/>
          <w:lang w:val="es-CO"/>
        </w:rPr>
        <w:t>imas decidan hacer uso de ello”</w:t>
      </w:r>
      <w:r w:rsidR="00AC1415">
        <w:rPr>
          <w:rFonts w:ascii="Verdana" w:hAnsi="Verdana"/>
          <w:sz w:val="20"/>
          <w:szCs w:val="20"/>
          <w:lang w:val="es-CO"/>
        </w:rPr>
        <w:t>.</w:t>
      </w:r>
      <w:r w:rsidRPr="000076D4">
        <w:rPr>
          <w:rFonts w:ascii="Verdana" w:hAnsi="Verdana"/>
          <w:sz w:val="20"/>
          <w:szCs w:val="20"/>
          <w:lang w:val="es-CO"/>
        </w:rPr>
        <w:t xml:space="preserve"> </w:t>
      </w:r>
      <w:r w:rsidR="008D2738" w:rsidRPr="00006029">
        <w:rPr>
          <w:rFonts w:ascii="Verdana" w:hAnsi="Verdana"/>
          <w:sz w:val="20"/>
          <w:szCs w:val="20"/>
          <w:lang w:val="es-CR"/>
        </w:rPr>
        <w:t xml:space="preserve">Sin embargo, Honduras no </w:t>
      </w:r>
      <w:r w:rsidRPr="00006029">
        <w:rPr>
          <w:rFonts w:ascii="Verdana" w:hAnsi="Verdana"/>
          <w:sz w:val="20"/>
          <w:szCs w:val="20"/>
          <w:lang w:val="es-CO"/>
        </w:rPr>
        <w:t>ha</w:t>
      </w:r>
      <w:r w:rsidR="00AC1415" w:rsidRPr="00006029">
        <w:rPr>
          <w:rFonts w:ascii="Verdana" w:hAnsi="Verdana"/>
          <w:sz w:val="20"/>
          <w:szCs w:val="20"/>
          <w:lang w:val="es-CO"/>
        </w:rPr>
        <w:t xml:space="preserve"> presentado documentación que </w:t>
      </w:r>
      <w:r w:rsidR="008D2738" w:rsidRPr="00006029">
        <w:rPr>
          <w:rFonts w:ascii="Verdana" w:hAnsi="Verdana"/>
          <w:sz w:val="20"/>
          <w:szCs w:val="20"/>
          <w:lang w:val="es-CO"/>
        </w:rPr>
        <w:t xml:space="preserve">compruebe tal consignación. </w:t>
      </w:r>
    </w:p>
    <w:p w14:paraId="7D55709D" w14:textId="576D861D" w:rsidR="009C42E8" w:rsidRPr="009C42E8" w:rsidRDefault="009C42E8" w:rsidP="009C42E8">
      <w:pPr>
        <w:pStyle w:val="Prrafodelista"/>
        <w:numPr>
          <w:ilvl w:val="0"/>
          <w:numId w:val="3"/>
        </w:numPr>
        <w:tabs>
          <w:tab w:val="left" w:pos="680"/>
        </w:tabs>
        <w:spacing w:before="60" w:after="60"/>
        <w:ind w:left="0" w:hanging="11"/>
        <w:contextualSpacing w:val="0"/>
        <w:jc w:val="both"/>
        <w:rPr>
          <w:rFonts w:ascii="Verdana" w:hAnsi="Verdana"/>
          <w:b/>
          <w:sz w:val="20"/>
          <w:szCs w:val="20"/>
          <w:lang w:val="es-MX"/>
        </w:rPr>
      </w:pPr>
      <w:bookmarkStart w:id="33" w:name="_Ref12551789"/>
      <w:r>
        <w:rPr>
          <w:rFonts w:ascii="Verdana" w:hAnsi="Verdana"/>
          <w:sz w:val="20"/>
          <w:szCs w:val="20"/>
          <w:lang w:val="es-CO"/>
        </w:rPr>
        <w:t>Por lo expuesto, la Corte declara que se encuentra pendiente de cumplimiento el pago ordenado en el punto resolutivo decimoctavo por concepto de reintegro de costas y gastos</w:t>
      </w:r>
      <w:r w:rsidR="00201F12">
        <w:rPr>
          <w:rFonts w:ascii="Verdana" w:hAnsi="Verdana"/>
          <w:sz w:val="20"/>
          <w:szCs w:val="20"/>
          <w:lang w:val="es-CO"/>
        </w:rPr>
        <w:t>,</w:t>
      </w:r>
      <w:r>
        <w:rPr>
          <w:rFonts w:ascii="Verdana" w:hAnsi="Verdana"/>
          <w:sz w:val="20"/>
          <w:szCs w:val="20"/>
          <w:lang w:val="es-CO"/>
        </w:rPr>
        <w:t xml:space="preserve"> debiendo informar a este Tribunal respecto del cumplimiento de dicha medida.</w:t>
      </w:r>
      <w:bookmarkEnd w:id="33"/>
      <w:r>
        <w:rPr>
          <w:rFonts w:ascii="Verdana" w:hAnsi="Verdana"/>
          <w:sz w:val="20"/>
          <w:szCs w:val="20"/>
          <w:lang w:val="es-CO"/>
        </w:rPr>
        <w:t xml:space="preserve"> </w:t>
      </w:r>
    </w:p>
    <w:p w14:paraId="51CE3178" w14:textId="77777777" w:rsidR="009C42E8" w:rsidRPr="00A3568C" w:rsidRDefault="009C42E8" w:rsidP="009C42E8">
      <w:pPr>
        <w:pStyle w:val="Prrafodelista"/>
        <w:tabs>
          <w:tab w:val="left" w:pos="680"/>
        </w:tabs>
        <w:spacing w:before="60" w:after="60"/>
        <w:ind w:left="0"/>
        <w:contextualSpacing w:val="0"/>
        <w:jc w:val="both"/>
        <w:rPr>
          <w:rFonts w:ascii="Verdana" w:hAnsi="Verdana"/>
          <w:b/>
          <w:sz w:val="20"/>
          <w:szCs w:val="20"/>
          <w:lang w:val="es-MX"/>
        </w:rPr>
      </w:pPr>
    </w:p>
    <w:p w14:paraId="6E4C9AF0" w14:textId="77777777" w:rsidR="009F78E3" w:rsidRPr="00B06955" w:rsidRDefault="009F78E3" w:rsidP="00B06955">
      <w:pPr>
        <w:tabs>
          <w:tab w:val="left" w:pos="680"/>
        </w:tabs>
        <w:spacing w:before="60" w:after="60"/>
        <w:jc w:val="both"/>
        <w:rPr>
          <w:rFonts w:ascii="Verdana" w:hAnsi="Verdana"/>
          <w:b/>
          <w:sz w:val="20"/>
          <w:szCs w:val="20"/>
          <w:lang w:val="es-MX"/>
        </w:rPr>
      </w:pPr>
      <w:r w:rsidRPr="00B06955">
        <w:rPr>
          <w:rFonts w:ascii="Verdana" w:hAnsi="Verdana"/>
          <w:b/>
          <w:sz w:val="20"/>
          <w:szCs w:val="20"/>
          <w:lang w:val="es-MX"/>
        </w:rPr>
        <w:t>POR TANTO:</w:t>
      </w:r>
    </w:p>
    <w:p w14:paraId="0BE0DAEF" w14:textId="77777777" w:rsidR="009F78E3" w:rsidRPr="00B06955" w:rsidRDefault="009F78E3" w:rsidP="00B06955">
      <w:pPr>
        <w:pStyle w:val="Textoindependiente"/>
        <w:tabs>
          <w:tab w:val="left" w:pos="360"/>
          <w:tab w:val="left" w:pos="567"/>
        </w:tabs>
        <w:spacing w:before="60" w:after="60"/>
        <w:rPr>
          <w:rFonts w:ascii="Verdana" w:hAnsi="Verdana"/>
          <w:b/>
          <w:sz w:val="20"/>
          <w:szCs w:val="20"/>
          <w:lang w:val="es-CR"/>
        </w:rPr>
      </w:pPr>
    </w:p>
    <w:p w14:paraId="4C3BAC1C" w14:textId="77777777" w:rsidR="009F78E3" w:rsidRPr="00B06955" w:rsidRDefault="009F78E3" w:rsidP="00B06955">
      <w:pPr>
        <w:pStyle w:val="Textoindependiente"/>
        <w:tabs>
          <w:tab w:val="left" w:pos="360"/>
          <w:tab w:val="left" w:pos="567"/>
        </w:tabs>
        <w:spacing w:before="60" w:after="60"/>
        <w:rPr>
          <w:rFonts w:ascii="Verdana" w:hAnsi="Verdana"/>
          <w:b/>
          <w:sz w:val="20"/>
          <w:szCs w:val="20"/>
          <w:lang w:val="es-CR"/>
        </w:rPr>
      </w:pPr>
      <w:r w:rsidRPr="00B06955">
        <w:rPr>
          <w:rFonts w:ascii="Verdana" w:hAnsi="Verdana"/>
          <w:b/>
          <w:sz w:val="20"/>
          <w:szCs w:val="20"/>
          <w:lang w:val="es-CR"/>
        </w:rPr>
        <w:t>LA CORTE INTERAMERICANA DE DERECHOS HUMANOS,</w:t>
      </w:r>
    </w:p>
    <w:p w14:paraId="28468B3C" w14:textId="77777777" w:rsidR="009F78E3" w:rsidRPr="00B06955" w:rsidRDefault="009F78E3" w:rsidP="00B06955">
      <w:pPr>
        <w:tabs>
          <w:tab w:val="left" w:pos="567"/>
        </w:tabs>
        <w:spacing w:before="60" w:after="60"/>
        <w:jc w:val="both"/>
        <w:rPr>
          <w:rFonts w:ascii="Verdana" w:hAnsi="Verdana"/>
          <w:sz w:val="20"/>
          <w:szCs w:val="20"/>
          <w:lang w:val="es-CR"/>
        </w:rPr>
      </w:pPr>
      <w:r w:rsidRPr="00B06955">
        <w:rPr>
          <w:rFonts w:ascii="Verdana" w:hAnsi="Verdana"/>
          <w:sz w:val="20"/>
          <w:szCs w:val="20"/>
          <w:lang w:val="es-CR"/>
        </w:rPr>
        <w:t>en el ejercicio de sus atribuciones de supervisión del cumplimiento de sus decisiones, de conformidad con los artículos 33, 62.1, 62.3, 65, 67 y 68.1 de la Convención Americana sobre Derechos Humanos, 24, 25 y 30 del Estatuto, y 31.2 y 69 de su Reglamento,</w:t>
      </w:r>
    </w:p>
    <w:p w14:paraId="35584734" w14:textId="77777777" w:rsidR="00B26EB9" w:rsidRPr="00B06955" w:rsidRDefault="00B26EB9" w:rsidP="00B06955">
      <w:pPr>
        <w:tabs>
          <w:tab w:val="left" w:pos="567"/>
        </w:tabs>
        <w:spacing w:before="60" w:after="60"/>
        <w:jc w:val="both"/>
        <w:rPr>
          <w:rFonts w:ascii="Verdana" w:hAnsi="Verdana"/>
          <w:sz w:val="20"/>
          <w:szCs w:val="20"/>
          <w:lang w:val="es-CR"/>
        </w:rPr>
      </w:pPr>
    </w:p>
    <w:p w14:paraId="16B05788" w14:textId="77777777" w:rsidR="006F0AF8" w:rsidRPr="00B06955" w:rsidRDefault="006F0AF8" w:rsidP="00B06955">
      <w:pPr>
        <w:tabs>
          <w:tab w:val="left" w:pos="567"/>
        </w:tabs>
        <w:spacing w:before="60" w:after="60"/>
        <w:jc w:val="both"/>
        <w:rPr>
          <w:rFonts w:ascii="Verdana" w:hAnsi="Verdana"/>
          <w:sz w:val="20"/>
          <w:szCs w:val="20"/>
          <w:lang w:val="es-CR"/>
        </w:rPr>
      </w:pPr>
    </w:p>
    <w:p w14:paraId="4986BB03" w14:textId="77777777" w:rsidR="006F0AF8" w:rsidRDefault="009F78E3" w:rsidP="00B06955">
      <w:pPr>
        <w:tabs>
          <w:tab w:val="left" w:pos="567"/>
        </w:tabs>
        <w:spacing w:before="60" w:after="60"/>
        <w:ind w:right="22"/>
        <w:jc w:val="both"/>
        <w:rPr>
          <w:rFonts w:ascii="Verdana" w:hAnsi="Verdana"/>
          <w:b/>
          <w:sz w:val="20"/>
          <w:szCs w:val="20"/>
          <w:lang w:val="es-CR"/>
        </w:rPr>
      </w:pPr>
      <w:r w:rsidRPr="00B06955">
        <w:rPr>
          <w:rFonts w:ascii="Verdana" w:hAnsi="Verdana"/>
          <w:b/>
          <w:sz w:val="20"/>
          <w:szCs w:val="20"/>
          <w:lang w:val="es-CR"/>
        </w:rPr>
        <w:t>RESUELVE:</w:t>
      </w:r>
      <w:r w:rsidR="006F0AF8" w:rsidRPr="00B06955">
        <w:rPr>
          <w:rFonts w:ascii="Verdana" w:hAnsi="Verdana"/>
          <w:b/>
          <w:sz w:val="20"/>
          <w:szCs w:val="20"/>
          <w:lang w:val="es-CR"/>
        </w:rPr>
        <w:t xml:space="preserve"> </w:t>
      </w:r>
    </w:p>
    <w:p w14:paraId="0B0B4010" w14:textId="77777777" w:rsidR="00C17FE7" w:rsidRPr="00B06955" w:rsidRDefault="00C17FE7" w:rsidP="00B06955">
      <w:pPr>
        <w:tabs>
          <w:tab w:val="left" w:pos="567"/>
        </w:tabs>
        <w:spacing w:before="60" w:after="60"/>
        <w:ind w:right="22"/>
        <w:jc w:val="both"/>
        <w:rPr>
          <w:rFonts w:ascii="Verdana" w:hAnsi="Verdana"/>
          <w:b/>
          <w:sz w:val="20"/>
          <w:szCs w:val="20"/>
          <w:lang w:val="es-CR"/>
        </w:rPr>
      </w:pPr>
    </w:p>
    <w:p w14:paraId="6F399D8F" w14:textId="70786AD3" w:rsidR="00AF26B2" w:rsidRDefault="00754B1D" w:rsidP="00006029">
      <w:pPr>
        <w:numPr>
          <w:ilvl w:val="0"/>
          <w:numId w:val="4"/>
        </w:numPr>
        <w:tabs>
          <w:tab w:val="left" w:pos="567"/>
        </w:tabs>
        <w:spacing w:before="120" w:after="120" w:line="240" w:lineRule="auto"/>
        <w:ind w:left="0" w:right="22" w:firstLine="0"/>
        <w:jc w:val="both"/>
        <w:rPr>
          <w:rFonts w:ascii="Verdana" w:hAnsi="Verdana"/>
          <w:sz w:val="20"/>
          <w:szCs w:val="20"/>
          <w:lang w:val="es-CR"/>
        </w:rPr>
      </w:pPr>
      <w:r w:rsidRPr="00754B1D">
        <w:rPr>
          <w:rFonts w:ascii="Verdana" w:hAnsi="Verdana"/>
          <w:sz w:val="20"/>
          <w:szCs w:val="20"/>
          <w:lang w:val="es-CR"/>
        </w:rPr>
        <w:t xml:space="preserve">Declarar, de conformidad con lo señalado en los Considerandos </w:t>
      </w:r>
      <w:r w:rsidR="00C17FE7">
        <w:rPr>
          <w:rFonts w:ascii="Verdana" w:hAnsi="Verdana"/>
          <w:sz w:val="20"/>
          <w:szCs w:val="20"/>
          <w:lang w:val="es-CR"/>
        </w:rPr>
        <w:fldChar w:fldCharType="begin"/>
      </w:r>
      <w:r w:rsidR="00C17FE7">
        <w:rPr>
          <w:rFonts w:ascii="Verdana" w:hAnsi="Verdana"/>
          <w:sz w:val="20"/>
          <w:szCs w:val="20"/>
          <w:lang w:val="es-CR"/>
        </w:rPr>
        <w:instrText xml:space="preserve"> REF _Ref12551108 \r \h </w:instrText>
      </w:r>
      <w:r w:rsidR="00C17FE7">
        <w:rPr>
          <w:rFonts w:ascii="Verdana" w:hAnsi="Verdana"/>
          <w:sz w:val="20"/>
          <w:szCs w:val="20"/>
          <w:lang w:val="es-CR"/>
        </w:rPr>
      </w:r>
      <w:r w:rsidR="00C17FE7">
        <w:rPr>
          <w:rFonts w:ascii="Verdana" w:hAnsi="Verdana"/>
          <w:sz w:val="20"/>
          <w:szCs w:val="20"/>
          <w:lang w:val="es-CR"/>
        </w:rPr>
        <w:fldChar w:fldCharType="separate"/>
      </w:r>
      <w:r w:rsidR="00D11D5D">
        <w:rPr>
          <w:rFonts w:ascii="Verdana" w:hAnsi="Verdana"/>
          <w:sz w:val="20"/>
          <w:szCs w:val="20"/>
          <w:lang w:val="es-CR"/>
        </w:rPr>
        <w:t>19</w:t>
      </w:r>
      <w:r w:rsidR="00C17FE7">
        <w:rPr>
          <w:rFonts w:ascii="Verdana" w:hAnsi="Verdana"/>
          <w:sz w:val="20"/>
          <w:szCs w:val="20"/>
          <w:lang w:val="es-CR"/>
        </w:rPr>
        <w:fldChar w:fldCharType="end"/>
      </w:r>
      <w:r w:rsidR="00C17FE7">
        <w:rPr>
          <w:rFonts w:ascii="Verdana" w:hAnsi="Verdana"/>
          <w:sz w:val="20"/>
          <w:szCs w:val="20"/>
          <w:lang w:val="es-CR"/>
        </w:rPr>
        <w:t xml:space="preserve"> y </w:t>
      </w:r>
      <w:r w:rsidR="00C17FE7">
        <w:rPr>
          <w:rFonts w:ascii="Verdana" w:hAnsi="Verdana"/>
          <w:sz w:val="20"/>
          <w:szCs w:val="20"/>
          <w:lang w:val="es-CR"/>
        </w:rPr>
        <w:fldChar w:fldCharType="begin"/>
      </w:r>
      <w:r w:rsidR="00C17FE7">
        <w:rPr>
          <w:rFonts w:ascii="Verdana" w:hAnsi="Verdana"/>
          <w:sz w:val="20"/>
          <w:szCs w:val="20"/>
          <w:lang w:val="es-CR"/>
        </w:rPr>
        <w:instrText xml:space="preserve"> REF _Ref12551118 \r \h </w:instrText>
      </w:r>
      <w:r w:rsidR="00C17FE7">
        <w:rPr>
          <w:rFonts w:ascii="Verdana" w:hAnsi="Verdana"/>
          <w:sz w:val="20"/>
          <w:szCs w:val="20"/>
          <w:lang w:val="es-CR"/>
        </w:rPr>
      </w:r>
      <w:r w:rsidR="00C17FE7">
        <w:rPr>
          <w:rFonts w:ascii="Verdana" w:hAnsi="Verdana"/>
          <w:sz w:val="20"/>
          <w:szCs w:val="20"/>
          <w:lang w:val="es-CR"/>
        </w:rPr>
        <w:fldChar w:fldCharType="separate"/>
      </w:r>
      <w:r w:rsidR="00D11D5D">
        <w:rPr>
          <w:rFonts w:ascii="Verdana" w:hAnsi="Verdana"/>
          <w:sz w:val="20"/>
          <w:szCs w:val="20"/>
          <w:lang w:val="es-CR"/>
        </w:rPr>
        <w:t>30</w:t>
      </w:r>
      <w:r w:rsidR="00C17FE7">
        <w:rPr>
          <w:rFonts w:ascii="Verdana" w:hAnsi="Verdana"/>
          <w:sz w:val="20"/>
          <w:szCs w:val="20"/>
          <w:lang w:val="es-CR"/>
        </w:rPr>
        <w:fldChar w:fldCharType="end"/>
      </w:r>
      <w:r>
        <w:rPr>
          <w:rFonts w:ascii="Verdana" w:hAnsi="Verdana"/>
          <w:sz w:val="20"/>
          <w:szCs w:val="20"/>
          <w:lang w:val="es-CR"/>
        </w:rPr>
        <w:t xml:space="preserve"> </w:t>
      </w:r>
      <w:r w:rsidRPr="00754B1D">
        <w:rPr>
          <w:rFonts w:ascii="Verdana" w:hAnsi="Verdana"/>
          <w:sz w:val="20"/>
          <w:szCs w:val="20"/>
          <w:lang w:val="es-CR"/>
        </w:rPr>
        <w:t xml:space="preserve">de la presente </w:t>
      </w:r>
      <w:r w:rsidRPr="00754B1D">
        <w:rPr>
          <w:rFonts w:ascii="Verdana" w:hAnsi="Verdana"/>
          <w:sz w:val="20"/>
          <w:szCs w:val="20"/>
          <w:lang w:val="es-CO"/>
        </w:rPr>
        <w:t>Resolución</w:t>
      </w:r>
      <w:r w:rsidRPr="00754B1D">
        <w:rPr>
          <w:rFonts w:ascii="Verdana" w:hAnsi="Verdana"/>
          <w:sz w:val="20"/>
          <w:szCs w:val="20"/>
          <w:lang w:val="es-CR"/>
        </w:rPr>
        <w:t xml:space="preserve">, que el Estado ha dado cumplimiento </w:t>
      </w:r>
      <w:r w:rsidR="00DB6280">
        <w:rPr>
          <w:rFonts w:ascii="Verdana" w:hAnsi="Verdana"/>
          <w:sz w:val="20"/>
          <w:szCs w:val="20"/>
          <w:lang w:val="es-CR"/>
        </w:rPr>
        <w:t>total</w:t>
      </w:r>
      <w:r w:rsidRPr="00754B1D">
        <w:rPr>
          <w:rFonts w:ascii="Verdana" w:hAnsi="Verdana"/>
          <w:sz w:val="20"/>
          <w:szCs w:val="20"/>
          <w:lang w:val="es-CR"/>
        </w:rPr>
        <w:t xml:space="preserve"> a </w:t>
      </w:r>
      <w:r w:rsidR="001F7A77">
        <w:rPr>
          <w:rFonts w:ascii="Verdana" w:hAnsi="Verdana"/>
          <w:sz w:val="20"/>
          <w:szCs w:val="20"/>
          <w:lang w:val="es-CR"/>
        </w:rPr>
        <w:t>la</w:t>
      </w:r>
      <w:r w:rsidR="00AF26B2">
        <w:rPr>
          <w:rFonts w:ascii="Verdana" w:hAnsi="Verdana"/>
          <w:sz w:val="20"/>
          <w:szCs w:val="20"/>
          <w:lang w:val="es-CR"/>
        </w:rPr>
        <w:t>s siguientes medidas de reparación:</w:t>
      </w:r>
    </w:p>
    <w:p w14:paraId="7F3C1B50" w14:textId="27559142" w:rsidR="00AF26B2" w:rsidRPr="001F7A77" w:rsidRDefault="00EF4FE1" w:rsidP="00AF26B2">
      <w:pPr>
        <w:numPr>
          <w:ilvl w:val="0"/>
          <w:numId w:val="20"/>
        </w:numPr>
        <w:tabs>
          <w:tab w:val="left" w:pos="567"/>
        </w:tabs>
        <w:spacing w:before="120" w:after="120" w:line="240" w:lineRule="auto"/>
        <w:ind w:right="22"/>
        <w:jc w:val="both"/>
        <w:rPr>
          <w:rFonts w:ascii="Verdana" w:hAnsi="Verdana"/>
          <w:sz w:val="20"/>
          <w:szCs w:val="20"/>
          <w:lang w:val="es-CR"/>
        </w:rPr>
      </w:pPr>
      <w:r>
        <w:rPr>
          <w:rFonts w:ascii="Verdana" w:hAnsi="Verdana"/>
          <w:sz w:val="20"/>
          <w:szCs w:val="20"/>
          <w:lang w:val="es-CR"/>
        </w:rPr>
        <w:t>h</w:t>
      </w:r>
      <w:r w:rsidR="00AF26B2" w:rsidRPr="00A43316">
        <w:rPr>
          <w:rFonts w:ascii="Verdana" w:hAnsi="Verdana"/>
          <w:sz w:val="20"/>
          <w:szCs w:val="20"/>
          <w:lang w:val="es-CR"/>
        </w:rPr>
        <w:t>acer cesar cualquier actividad respecto del proyecto de exploración Punta Piedra II que no haya sido previamente consultada</w:t>
      </w:r>
      <w:r w:rsidR="00AF26B2">
        <w:rPr>
          <w:rFonts w:ascii="Verdana" w:hAnsi="Verdana"/>
          <w:sz w:val="20"/>
          <w:szCs w:val="20"/>
          <w:lang w:val="es-CR"/>
        </w:rPr>
        <w:t xml:space="preserve"> (</w:t>
      </w:r>
      <w:r w:rsidR="00AF26B2">
        <w:rPr>
          <w:rFonts w:ascii="Verdana" w:hAnsi="Verdana"/>
          <w:i/>
          <w:sz w:val="20"/>
          <w:szCs w:val="20"/>
          <w:lang w:val="es-CR"/>
        </w:rPr>
        <w:t>punto resolutivo de</w:t>
      </w:r>
      <w:r w:rsidR="00AF26B2" w:rsidRPr="00525739">
        <w:rPr>
          <w:rFonts w:ascii="Verdana" w:hAnsi="Verdana"/>
          <w:i/>
          <w:sz w:val="20"/>
          <w:szCs w:val="20"/>
          <w:lang w:val="es-CR"/>
        </w:rPr>
        <w:t>cimo</w:t>
      </w:r>
      <w:r w:rsidR="00AF26B2">
        <w:rPr>
          <w:rFonts w:ascii="Verdana" w:hAnsi="Verdana"/>
          <w:i/>
          <w:sz w:val="20"/>
          <w:szCs w:val="20"/>
          <w:lang w:val="es-CR"/>
        </w:rPr>
        <w:t>primero</w:t>
      </w:r>
      <w:r w:rsidR="00AF26B2" w:rsidRPr="00525739">
        <w:rPr>
          <w:rFonts w:ascii="Verdana" w:hAnsi="Verdana"/>
          <w:i/>
          <w:sz w:val="20"/>
          <w:szCs w:val="20"/>
          <w:lang w:val="es-CR"/>
        </w:rPr>
        <w:t xml:space="preserve"> de la Sentencia</w:t>
      </w:r>
      <w:r>
        <w:rPr>
          <w:rFonts w:ascii="Verdana" w:hAnsi="Verdana"/>
          <w:sz w:val="20"/>
          <w:szCs w:val="20"/>
          <w:lang w:val="es-CR"/>
        </w:rPr>
        <w:t>), y</w:t>
      </w:r>
    </w:p>
    <w:p w14:paraId="19970B2D" w14:textId="0B68D743" w:rsidR="00AF26B2" w:rsidRPr="00AF26B2" w:rsidRDefault="00EF4FE1" w:rsidP="00AF26B2">
      <w:pPr>
        <w:numPr>
          <w:ilvl w:val="0"/>
          <w:numId w:val="20"/>
        </w:numPr>
        <w:tabs>
          <w:tab w:val="left" w:pos="567"/>
        </w:tabs>
        <w:spacing w:before="120" w:after="120" w:line="240" w:lineRule="auto"/>
        <w:ind w:right="22"/>
        <w:jc w:val="both"/>
        <w:rPr>
          <w:rFonts w:ascii="Verdana" w:hAnsi="Verdana"/>
          <w:sz w:val="20"/>
          <w:szCs w:val="20"/>
          <w:lang w:val="es-CR"/>
        </w:rPr>
      </w:pPr>
      <w:r>
        <w:rPr>
          <w:rFonts w:ascii="Verdana" w:hAnsi="Verdana"/>
          <w:sz w:val="20"/>
          <w:szCs w:val="20"/>
          <w:lang w:val="es-CR"/>
        </w:rPr>
        <w:t>p</w:t>
      </w:r>
      <w:proofErr w:type="spellStart"/>
      <w:r w:rsidR="00AF26B2" w:rsidRPr="001F7A77">
        <w:rPr>
          <w:rFonts w:ascii="Verdana" w:hAnsi="Verdana"/>
          <w:sz w:val="20"/>
          <w:szCs w:val="20"/>
          <w:lang w:val="es-MX"/>
        </w:rPr>
        <w:t>oner</w:t>
      </w:r>
      <w:proofErr w:type="spellEnd"/>
      <w:r w:rsidR="00AF26B2" w:rsidRPr="001F7A77">
        <w:rPr>
          <w:rFonts w:ascii="Verdana" w:hAnsi="Verdana"/>
          <w:sz w:val="20"/>
          <w:szCs w:val="20"/>
          <w:lang w:val="es-MX"/>
        </w:rPr>
        <w:t xml:space="preserve"> en </w:t>
      </w:r>
      <w:r w:rsidR="00AF26B2" w:rsidRPr="00AF26B2">
        <w:rPr>
          <w:rFonts w:ascii="Verdana" w:hAnsi="Verdana"/>
          <w:sz w:val="20"/>
          <w:szCs w:val="20"/>
          <w:lang w:val="es-CR"/>
        </w:rPr>
        <w:t>marcha</w:t>
      </w:r>
      <w:r w:rsidR="00AF26B2" w:rsidRPr="001F7A77">
        <w:rPr>
          <w:rFonts w:ascii="Verdana" w:hAnsi="Verdana"/>
          <w:sz w:val="20"/>
          <w:szCs w:val="20"/>
          <w:lang w:val="es-MX"/>
        </w:rPr>
        <w:t xml:space="preserve"> los mecanismos necesarios para la coordinación entre instituciones con el fin de lograr efectividad de las medidas ordenadas (</w:t>
      </w:r>
      <w:r w:rsidR="00AF26B2" w:rsidRPr="001F7A77">
        <w:rPr>
          <w:rFonts w:ascii="Verdana" w:hAnsi="Verdana"/>
          <w:i/>
          <w:sz w:val="20"/>
          <w:szCs w:val="20"/>
          <w:lang w:val="es-MX"/>
        </w:rPr>
        <w:t>punto resolutivo decimotercero de la Sentencia</w:t>
      </w:r>
      <w:r w:rsidR="00AF26B2" w:rsidRPr="001F7A77">
        <w:rPr>
          <w:rFonts w:ascii="Verdana" w:hAnsi="Verdana"/>
          <w:sz w:val="20"/>
          <w:szCs w:val="20"/>
          <w:lang w:val="es-MX"/>
        </w:rPr>
        <w:t>).</w:t>
      </w:r>
    </w:p>
    <w:p w14:paraId="7FA3F6E2" w14:textId="611DABE9" w:rsidR="00DB6280" w:rsidRPr="00006029" w:rsidRDefault="009F1226" w:rsidP="00DB6280">
      <w:pPr>
        <w:numPr>
          <w:ilvl w:val="0"/>
          <w:numId w:val="4"/>
        </w:numPr>
        <w:tabs>
          <w:tab w:val="left" w:pos="567"/>
        </w:tabs>
        <w:spacing w:before="120" w:after="120" w:line="240" w:lineRule="auto"/>
        <w:ind w:left="0" w:right="22" w:firstLine="0"/>
        <w:jc w:val="both"/>
        <w:rPr>
          <w:rFonts w:ascii="Verdana" w:hAnsi="Verdana"/>
          <w:sz w:val="20"/>
          <w:szCs w:val="20"/>
          <w:lang w:val="es-CR"/>
        </w:rPr>
      </w:pPr>
      <w:r w:rsidRPr="00754B1D">
        <w:rPr>
          <w:rFonts w:ascii="Verdana" w:hAnsi="Verdana"/>
          <w:sz w:val="20"/>
          <w:szCs w:val="20"/>
          <w:lang w:val="es-CR"/>
        </w:rPr>
        <w:t>Declarar, de conformidad con lo señalad</w:t>
      </w:r>
      <w:r>
        <w:rPr>
          <w:rFonts w:ascii="Verdana" w:hAnsi="Verdana"/>
          <w:sz w:val="20"/>
          <w:szCs w:val="20"/>
          <w:lang w:val="es-CR"/>
        </w:rPr>
        <w:t>o en el Considerando</w:t>
      </w:r>
      <w:r w:rsidRPr="00754B1D">
        <w:rPr>
          <w:rFonts w:ascii="Verdana" w:hAnsi="Verdana"/>
          <w:sz w:val="20"/>
          <w:szCs w:val="20"/>
          <w:lang w:val="es-CR"/>
        </w:rPr>
        <w:t xml:space="preserve"> </w:t>
      </w:r>
      <w:r>
        <w:rPr>
          <w:rFonts w:ascii="Verdana" w:hAnsi="Verdana"/>
          <w:sz w:val="20"/>
          <w:szCs w:val="20"/>
          <w:lang w:val="es-CR"/>
        </w:rPr>
        <w:fldChar w:fldCharType="begin"/>
      </w:r>
      <w:r>
        <w:rPr>
          <w:rFonts w:ascii="Verdana" w:hAnsi="Verdana"/>
          <w:sz w:val="20"/>
          <w:szCs w:val="20"/>
          <w:lang w:val="es-CR"/>
        </w:rPr>
        <w:instrText xml:space="preserve"> REF _Ref12551198 \r \h </w:instrText>
      </w:r>
      <w:r>
        <w:rPr>
          <w:rFonts w:ascii="Verdana" w:hAnsi="Verdana"/>
          <w:sz w:val="20"/>
          <w:szCs w:val="20"/>
          <w:lang w:val="es-CR"/>
        </w:rPr>
      </w:r>
      <w:r>
        <w:rPr>
          <w:rFonts w:ascii="Verdana" w:hAnsi="Verdana"/>
          <w:sz w:val="20"/>
          <w:szCs w:val="20"/>
          <w:lang w:val="es-CR"/>
        </w:rPr>
        <w:fldChar w:fldCharType="separate"/>
      </w:r>
      <w:r w:rsidR="00D11D5D">
        <w:rPr>
          <w:rFonts w:ascii="Verdana" w:hAnsi="Verdana"/>
          <w:sz w:val="20"/>
          <w:szCs w:val="20"/>
          <w:lang w:val="es-CR"/>
        </w:rPr>
        <w:t>37</w:t>
      </w:r>
      <w:r>
        <w:rPr>
          <w:rFonts w:ascii="Verdana" w:hAnsi="Verdana"/>
          <w:sz w:val="20"/>
          <w:szCs w:val="20"/>
          <w:lang w:val="es-CR"/>
        </w:rPr>
        <w:fldChar w:fldCharType="end"/>
      </w:r>
      <w:r>
        <w:rPr>
          <w:rFonts w:ascii="Verdana" w:hAnsi="Verdana"/>
          <w:sz w:val="20"/>
          <w:szCs w:val="20"/>
          <w:lang w:val="es-CR"/>
        </w:rPr>
        <w:t xml:space="preserve"> </w:t>
      </w:r>
      <w:r w:rsidRPr="00754B1D">
        <w:rPr>
          <w:rFonts w:ascii="Verdana" w:hAnsi="Verdana"/>
          <w:sz w:val="20"/>
          <w:szCs w:val="20"/>
          <w:lang w:val="es-CR"/>
        </w:rPr>
        <w:t xml:space="preserve">de la presente </w:t>
      </w:r>
      <w:r w:rsidRPr="00754B1D">
        <w:rPr>
          <w:rFonts w:ascii="Verdana" w:hAnsi="Verdana"/>
          <w:sz w:val="20"/>
          <w:szCs w:val="20"/>
          <w:lang w:val="es-CO"/>
        </w:rPr>
        <w:t>Resolución</w:t>
      </w:r>
      <w:r w:rsidRPr="00754B1D">
        <w:rPr>
          <w:rFonts w:ascii="Verdana" w:hAnsi="Verdana"/>
          <w:sz w:val="20"/>
          <w:szCs w:val="20"/>
          <w:lang w:val="es-CR"/>
        </w:rPr>
        <w:t xml:space="preserve">, que el Estado ha dado cumplimiento </w:t>
      </w:r>
      <w:r>
        <w:rPr>
          <w:rFonts w:ascii="Verdana" w:hAnsi="Verdana"/>
          <w:sz w:val="20"/>
          <w:szCs w:val="20"/>
          <w:lang w:val="es-CR"/>
        </w:rPr>
        <w:t>parcial</w:t>
      </w:r>
      <w:r w:rsidRPr="00754B1D">
        <w:rPr>
          <w:rFonts w:ascii="Verdana" w:hAnsi="Verdana"/>
          <w:sz w:val="20"/>
          <w:szCs w:val="20"/>
          <w:lang w:val="es-CR"/>
        </w:rPr>
        <w:t xml:space="preserve"> a la</w:t>
      </w:r>
      <w:r>
        <w:rPr>
          <w:rFonts w:ascii="Verdana" w:hAnsi="Verdana"/>
          <w:sz w:val="20"/>
          <w:szCs w:val="20"/>
          <w:lang w:val="es-CR"/>
        </w:rPr>
        <w:t xml:space="preserve">s </w:t>
      </w:r>
      <w:r w:rsidRPr="00754B1D">
        <w:rPr>
          <w:rFonts w:ascii="Verdana" w:hAnsi="Verdana"/>
          <w:sz w:val="20"/>
          <w:szCs w:val="20"/>
          <w:lang w:val="es-CR"/>
        </w:rPr>
        <w:t>medidas de reparación</w:t>
      </w:r>
      <w:r>
        <w:rPr>
          <w:rFonts w:ascii="Verdana" w:hAnsi="Verdana"/>
          <w:sz w:val="20"/>
          <w:szCs w:val="20"/>
          <w:lang w:val="es-CR"/>
        </w:rPr>
        <w:t xml:space="preserve"> ordenadas en el punto resolutivo decimocuarto de la Sentencia ya que cumplió con la p</w:t>
      </w:r>
      <w:proofErr w:type="spellStart"/>
      <w:r w:rsidRPr="00200F91">
        <w:rPr>
          <w:rFonts w:ascii="Verdana" w:hAnsi="Verdana"/>
          <w:sz w:val="20"/>
          <w:szCs w:val="20"/>
          <w:lang w:val="es-CO"/>
        </w:rPr>
        <w:t>ublicación</w:t>
      </w:r>
      <w:proofErr w:type="spellEnd"/>
      <w:r w:rsidRPr="00200F91">
        <w:rPr>
          <w:rFonts w:ascii="Verdana" w:hAnsi="Verdana"/>
          <w:sz w:val="20"/>
          <w:szCs w:val="20"/>
          <w:lang w:val="es-CO"/>
        </w:rPr>
        <w:t xml:space="preserve"> del resumen oficial en español de la Sentencia en el Diario Oficial y en un diario de amplia circulación, y</w:t>
      </w:r>
      <w:r>
        <w:rPr>
          <w:rFonts w:ascii="Verdana" w:hAnsi="Verdana"/>
          <w:sz w:val="20"/>
          <w:szCs w:val="20"/>
          <w:lang w:val="es-CO"/>
        </w:rPr>
        <w:t xml:space="preserve"> su</w:t>
      </w:r>
      <w:r w:rsidRPr="00200F91">
        <w:rPr>
          <w:rFonts w:ascii="Verdana" w:hAnsi="Verdana"/>
          <w:sz w:val="20"/>
          <w:szCs w:val="20"/>
          <w:lang w:val="es-CO"/>
        </w:rPr>
        <w:t xml:space="preserve"> difusión en una emisora radial de amplia cobertura</w:t>
      </w:r>
      <w:r>
        <w:rPr>
          <w:rFonts w:ascii="Verdana" w:hAnsi="Verdana"/>
          <w:sz w:val="20"/>
          <w:szCs w:val="20"/>
          <w:lang w:val="es-CO"/>
        </w:rPr>
        <w:t>, quedando pendiente de cumplimiento la publicación de</w:t>
      </w:r>
      <w:r w:rsidRPr="00B06955">
        <w:rPr>
          <w:rFonts w:ascii="Verdana" w:hAnsi="Verdana"/>
          <w:sz w:val="20"/>
          <w:szCs w:val="20"/>
          <w:lang w:val="es-CO"/>
        </w:rPr>
        <w:t xml:space="preserve"> la Sentencia en su integridad en un sitio web oficial </w:t>
      </w:r>
      <w:r>
        <w:rPr>
          <w:rFonts w:ascii="Verdana" w:hAnsi="Verdana"/>
          <w:sz w:val="20"/>
          <w:szCs w:val="20"/>
          <w:lang w:val="es-CO"/>
        </w:rPr>
        <w:t>por el plazo de un año, así como la publicación en el Diario Oficial y difusión radial del resumen oficial de la Sentencia en lengua garífuna</w:t>
      </w:r>
      <w:r w:rsidR="00200F91">
        <w:rPr>
          <w:rFonts w:ascii="Verdana" w:hAnsi="Verdana"/>
          <w:sz w:val="20"/>
          <w:szCs w:val="20"/>
          <w:lang w:val="es-CO"/>
        </w:rPr>
        <w:t>.</w:t>
      </w:r>
    </w:p>
    <w:p w14:paraId="69E939C6" w14:textId="74520E6E" w:rsidR="0013653C" w:rsidRPr="0013653C" w:rsidRDefault="00754B1D" w:rsidP="0013653C">
      <w:pPr>
        <w:numPr>
          <w:ilvl w:val="0"/>
          <w:numId w:val="4"/>
        </w:numPr>
        <w:tabs>
          <w:tab w:val="left" w:pos="567"/>
        </w:tabs>
        <w:spacing w:before="120" w:after="120" w:line="240" w:lineRule="auto"/>
        <w:ind w:left="0" w:right="22" w:firstLine="0"/>
        <w:jc w:val="both"/>
        <w:rPr>
          <w:rFonts w:ascii="Verdana" w:hAnsi="Verdana"/>
          <w:sz w:val="20"/>
          <w:szCs w:val="20"/>
          <w:lang w:val="es-CR"/>
        </w:rPr>
      </w:pPr>
      <w:r w:rsidRPr="00754B1D">
        <w:rPr>
          <w:rFonts w:ascii="Verdana" w:hAnsi="Verdana"/>
          <w:sz w:val="20"/>
          <w:szCs w:val="20"/>
          <w:lang w:val="es-ES"/>
        </w:rPr>
        <w:t>Mantener abierto el procedimiento de supervisión de cumplimiento de las siguientes medidas de reparación</w:t>
      </w:r>
      <w:r>
        <w:rPr>
          <w:rFonts w:ascii="Verdana" w:hAnsi="Verdana"/>
          <w:sz w:val="20"/>
          <w:szCs w:val="20"/>
          <w:lang w:val="es-ES"/>
        </w:rPr>
        <w:t xml:space="preserve">: </w:t>
      </w:r>
    </w:p>
    <w:p w14:paraId="37DF777A" w14:textId="5A70D51A" w:rsidR="0013653C" w:rsidRDefault="00CD4B9D" w:rsidP="003D62BC">
      <w:pPr>
        <w:numPr>
          <w:ilvl w:val="0"/>
          <w:numId w:val="22"/>
        </w:numPr>
        <w:tabs>
          <w:tab w:val="left" w:pos="567"/>
        </w:tabs>
        <w:spacing w:before="120" w:after="120" w:line="240" w:lineRule="auto"/>
        <w:ind w:right="22"/>
        <w:jc w:val="both"/>
        <w:rPr>
          <w:rFonts w:ascii="Verdana" w:hAnsi="Verdana"/>
          <w:sz w:val="20"/>
          <w:szCs w:val="20"/>
          <w:lang w:val="es-CR"/>
        </w:rPr>
      </w:pPr>
      <w:r>
        <w:rPr>
          <w:rFonts w:ascii="Verdana" w:hAnsi="Verdana"/>
          <w:sz w:val="20"/>
          <w:szCs w:val="20"/>
          <w:lang w:val="es-CR"/>
        </w:rPr>
        <w:t>g</w:t>
      </w:r>
      <w:r w:rsidR="00A43316" w:rsidRPr="00A43316">
        <w:rPr>
          <w:rFonts w:ascii="Verdana" w:hAnsi="Verdana"/>
          <w:sz w:val="20"/>
          <w:szCs w:val="20"/>
          <w:lang w:val="es-CR"/>
        </w:rPr>
        <w:t>arantizar el uso y goce, a través del saneamiento, de las tierras tradicionales que fueron tituladas por el Estado a favor de la Comunidad Garífuna de Punta Piedra, llevando a cabo dicha obligación de oficio y con extrema diligencia</w:t>
      </w:r>
      <w:r w:rsidR="00A43316">
        <w:rPr>
          <w:rFonts w:ascii="Verdana" w:hAnsi="Verdana"/>
          <w:sz w:val="20"/>
          <w:szCs w:val="20"/>
          <w:lang w:val="es-CR"/>
        </w:rPr>
        <w:t xml:space="preserve"> (</w:t>
      </w:r>
      <w:r w:rsidR="00A43316" w:rsidRPr="00525739">
        <w:rPr>
          <w:rFonts w:ascii="Verdana" w:hAnsi="Verdana"/>
          <w:i/>
          <w:sz w:val="20"/>
          <w:szCs w:val="20"/>
          <w:lang w:val="es-CR"/>
        </w:rPr>
        <w:t>punto resolutivo décimo de la Sentencia</w:t>
      </w:r>
      <w:r w:rsidR="00A43316">
        <w:rPr>
          <w:rFonts w:ascii="Verdana" w:hAnsi="Verdana"/>
          <w:sz w:val="20"/>
          <w:szCs w:val="20"/>
          <w:lang w:val="es-CR"/>
        </w:rPr>
        <w:t>);</w:t>
      </w:r>
    </w:p>
    <w:p w14:paraId="18FEBB99" w14:textId="26C4292D" w:rsidR="00A43316" w:rsidRDefault="00CD4B9D" w:rsidP="003D62BC">
      <w:pPr>
        <w:numPr>
          <w:ilvl w:val="0"/>
          <w:numId w:val="22"/>
        </w:numPr>
        <w:tabs>
          <w:tab w:val="left" w:pos="567"/>
        </w:tabs>
        <w:spacing w:before="120" w:after="120" w:line="240" w:lineRule="auto"/>
        <w:ind w:right="22"/>
        <w:jc w:val="both"/>
        <w:rPr>
          <w:rFonts w:ascii="Verdana" w:hAnsi="Verdana"/>
          <w:sz w:val="20"/>
          <w:szCs w:val="20"/>
          <w:lang w:val="es-CR"/>
        </w:rPr>
      </w:pPr>
      <w:r>
        <w:rPr>
          <w:rFonts w:ascii="Verdana" w:hAnsi="Verdana"/>
          <w:sz w:val="20"/>
          <w:szCs w:val="20"/>
          <w:lang w:val="es-CR"/>
        </w:rPr>
        <w:t>c</w:t>
      </w:r>
      <w:r w:rsidR="00A43316" w:rsidRPr="00A43316">
        <w:rPr>
          <w:rFonts w:ascii="Verdana" w:hAnsi="Verdana"/>
          <w:sz w:val="20"/>
          <w:szCs w:val="20"/>
          <w:lang w:val="es-CR"/>
        </w:rPr>
        <w:t>rear un fondo de desarrollo comunitario a favor de los miembros de la Comunidad (</w:t>
      </w:r>
      <w:r w:rsidR="00525739">
        <w:rPr>
          <w:rFonts w:ascii="Verdana" w:hAnsi="Verdana"/>
          <w:i/>
          <w:sz w:val="20"/>
          <w:szCs w:val="20"/>
          <w:lang w:val="es-CR"/>
        </w:rPr>
        <w:t>punto resolutivo de</w:t>
      </w:r>
      <w:r w:rsidR="00525739" w:rsidRPr="00525739">
        <w:rPr>
          <w:rFonts w:ascii="Verdana" w:hAnsi="Verdana"/>
          <w:i/>
          <w:sz w:val="20"/>
          <w:szCs w:val="20"/>
          <w:lang w:val="es-CR"/>
        </w:rPr>
        <w:t>cimo</w:t>
      </w:r>
      <w:r w:rsidR="00525739">
        <w:rPr>
          <w:rFonts w:ascii="Verdana" w:hAnsi="Verdana"/>
          <w:i/>
          <w:sz w:val="20"/>
          <w:szCs w:val="20"/>
          <w:lang w:val="es-CR"/>
        </w:rPr>
        <w:t>segundo</w:t>
      </w:r>
      <w:r w:rsidR="00525739" w:rsidRPr="00525739">
        <w:rPr>
          <w:rFonts w:ascii="Verdana" w:hAnsi="Verdana"/>
          <w:i/>
          <w:sz w:val="20"/>
          <w:szCs w:val="20"/>
          <w:lang w:val="es-CR"/>
        </w:rPr>
        <w:t xml:space="preserve"> de la Sentencia</w:t>
      </w:r>
      <w:r w:rsidR="00A43316" w:rsidRPr="00A43316">
        <w:rPr>
          <w:rFonts w:ascii="Verdana" w:hAnsi="Verdana"/>
          <w:sz w:val="20"/>
          <w:szCs w:val="20"/>
          <w:lang w:val="es-CR"/>
        </w:rPr>
        <w:t>);</w:t>
      </w:r>
    </w:p>
    <w:p w14:paraId="1A023249" w14:textId="040A9280" w:rsidR="00A43316" w:rsidRPr="00525739" w:rsidRDefault="00CD4B9D" w:rsidP="00CF1822">
      <w:pPr>
        <w:numPr>
          <w:ilvl w:val="0"/>
          <w:numId w:val="22"/>
        </w:numPr>
        <w:tabs>
          <w:tab w:val="left" w:pos="720"/>
        </w:tabs>
        <w:spacing w:before="120" w:after="120" w:line="240" w:lineRule="auto"/>
        <w:ind w:right="22"/>
        <w:jc w:val="both"/>
        <w:rPr>
          <w:rFonts w:ascii="Verdana" w:hAnsi="Verdana"/>
          <w:sz w:val="20"/>
          <w:szCs w:val="20"/>
          <w:lang w:val="es-CR"/>
        </w:rPr>
      </w:pPr>
      <w:r>
        <w:rPr>
          <w:rFonts w:ascii="Verdana" w:hAnsi="Verdana"/>
          <w:sz w:val="20"/>
          <w:szCs w:val="20"/>
          <w:lang w:val="es-CR"/>
        </w:rPr>
        <w:t>p</w:t>
      </w:r>
      <w:proofErr w:type="spellStart"/>
      <w:r>
        <w:rPr>
          <w:rFonts w:ascii="Verdana" w:hAnsi="Verdana"/>
          <w:sz w:val="20"/>
          <w:szCs w:val="20"/>
          <w:lang w:val="es-CO"/>
        </w:rPr>
        <w:t>ublicar</w:t>
      </w:r>
      <w:proofErr w:type="spellEnd"/>
      <w:r w:rsidR="00A43316">
        <w:rPr>
          <w:rFonts w:ascii="Verdana" w:hAnsi="Verdana"/>
          <w:sz w:val="20"/>
          <w:szCs w:val="20"/>
          <w:lang w:val="es-CO"/>
        </w:rPr>
        <w:t xml:space="preserve"> </w:t>
      </w:r>
      <w:r w:rsidR="009F1226" w:rsidRPr="00B06955">
        <w:rPr>
          <w:rFonts w:ascii="Verdana" w:hAnsi="Verdana"/>
          <w:sz w:val="20"/>
          <w:szCs w:val="20"/>
          <w:lang w:val="es-CO"/>
        </w:rPr>
        <w:t xml:space="preserve">la Sentencia en su integridad en un sitio web oficial </w:t>
      </w:r>
      <w:r w:rsidR="009F1226">
        <w:rPr>
          <w:rFonts w:ascii="Verdana" w:hAnsi="Verdana"/>
          <w:sz w:val="20"/>
          <w:szCs w:val="20"/>
          <w:lang w:val="es-CO"/>
        </w:rPr>
        <w:t xml:space="preserve">por el plazo de un año, así como la publicación en el Diario Oficial y difusión radial del resumen oficial de la Sentencia en lengua garífuna </w:t>
      </w:r>
      <w:r w:rsidR="00525739">
        <w:rPr>
          <w:rFonts w:ascii="Verdana" w:hAnsi="Verdana"/>
          <w:sz w:val="20"/>
          <w:szCs w:val="20"/>
          <w:lang w:val="es-CO"/>
        </w:rPr>
        <w:t>(</w:t>
      </w:r>
      <w:r w:rsidR="00525739">
        <w:rPr>
          <w:rFonts w:ascii="Verdana" w:hAnsi="Verdana"/>
          <w:i/>
          <w:sz w:val="20"/>
          <w:szCs w:val="20"/>
          <w:lang w:val="es-CR"/>
        </w:rPr>
        <w:t>punto resolutivo de</w:t>
      </w:r>
      <w:r w:rsidR="00525739" w:rsidRPr="00525739">
        <w:rPr>
          <w:rFonts w:ascii="Verdana" w:hAnsi="Verdana"/>
          <w:i/>
          <w:sz w:val="20"/>
          <w:szCs w:val="20"/>
          <w:lang w:val="es-CR"/>
        </w:rPr>
        <w:t>cimo</w:t>
      </w:r>
      <w:r w:rsidR="00525739">
        <w:rPr>
          <w:rFonts w:ascii="Verdana" w:hAnsi="Verdana"/>
          <w:i/>
          <w:sz w:val="20"/>
          <w:szCs w:val="20"/>
          <w:lang w:val="es-CR"/>
        </w:rPr>
        <w:t>cuarto</w:t>
      </w:r>
      <w:r w:rsidR="00525739" w:rsidRPr="00525739">
        <w:rPr>
          <w:rFonts w:ascii="Verdana" w:hAnsi="Verdana"/>
          <w:i/>
          <w:sz w:val="20"/>
          <w:szCs w:val="20"/>
          <w:lang w:val="es-CR"/>
        </w:rPr>
        <w:t xml:space="preserve"> de la Sentencia</w:t>
      </w:r>
      <w:r w:rsidR="00525739">
        <w:rPr>
          <w:rFonts w:ascii="Verdana" w:hAnsi="Verdana"/>
          <w:sz w:val="20"/>
          <w:szCs w:val="20"/>
          <w:lang w:val="es-CO"/>
        </w:rPr>
        <w:t>);</w:t>
      </w:r>
    </w:p>
    <w:p w14:paraId="064B7D85" w14:textId="2A7757A4" w:rsidR="00525739" w:rsidRDefault="00CD4B9D" w:rsidP="003D62BC">
      <w:pPr>
        <w:numPr>
          <w:ilvl w:val="0"/>
          <w:numId w:val="22"/>
        </w:numPr>
        <w:tabs>
          <w:tab w:val="left" w:pos="567"/>
        </w:tabs>
        <w:spacing w:before="120" w:after="120" w:line="240" w:lineRule="auto"/>
        <w:ind w:right="22"/>
        <w:jc w:val="both"/>
        <w:rPr>
          <w:rFonts w:ascii="Verdana" w:hAnsi="Verdana"/>
          <w:sz w:val="20"/>
          <w:szCs w:val="20"/>
          <w:lang w:val="es-CR"/>
        </w:rPr>
      </w:pPr>
      <w:r>
        <w:rPr>
          <w:rFonts w:ascii="Verdana" w:hAnsi="Verdana"/>
          <w:sz w:val="20"/>
          <w:szCs w:val="20"/>
          <w:lang w:val="es-CR"/>
        </w:rPr>
        <w:t>a</w:t>
      </w:r>
      <w:r w:rsidR="00525739" w:rsidRPr="00525739">
        <w:rPr>
          <w:rFonts w:ascii="Verdana" w:hAnsi="Verdana"/>
          <w:sz w:val="20"/>
          <w:szCs w:val="20"/>
          <w:lang w:val="es-CR"/>
        </w:rPr>
        <w:t xml:space="preserve">doptar las medidas suficientes y necesarias, a fin de que las disposiciones reglamentarias sobre minería no menoscaben el derecho </w:t>
      </w:r>
      <w:r w:rsidR="003D62BC">
        <w:rPr>
          <w:rFonts w:ascii="Verdana" w:hAnsi="Verdana"/>
          <w:sz w:val="20"/>
          <w:szCs w:val="20"/>
          <w:lang w:val="es-CR"/>
        </w:rPr>
        <w:t>a</w:t>
      </w:r>
      <w:r w:rsidR="00525739" w:rsidRPr="00525739">
        <w:rPr>
          <w:rFonts w:ascii="Verdana" w:hAnsi="Verdana"/>
          <w:sz w:val="20"/>
          <w:szCs w:val="20"/>
          <w:lang w:val="es-CR"/>
        </w:rPr>
        <w:t xml:space="preserve"> la consulta</w:t>
      </w:r>
      <w:r w:rsidR="00525739">
        <w:rPr>
          <w:rFonts w:ascii="Verdana" w:hAnsi="Verdana"/>
          <w:sz w:val="20"/>
          <w:szCs w:val="20"/>
          <w:lang w:val="es-CR"/>
        </w:rPr>
        <w:t xml:space="preserve"> (</w:t>
      </w:r>
      <w:r w:rsidR="00525739">
        <w:rPr>
          <w:rFonts w:ascii="Verdana" w:hAnsi="Verdana"/>
          <w:i/>
          <w:sz w:val="20"/>
          <w:szCs w:val="20"/>
          <w:lang w:val="es-CR"/>
        </w:rPr>
        <w:t>punto resolutivo de</w:t>
      </w:r>
      <w:r w:rsidR="00525739" w:rsidRPr="00525739">
        <w:rPr>
          <w:rFonts w:ascii="Verdana" w:hAnsi="Verdana"/>
          <w:i/>
          <w:sz w:val="20"/>
          <w:szCs w:val="20"/>
          <w:lang w:val="es-CR"/>
        </w:rPr>
        <w:t>cimo</w:t>
      </w:r>
      <w:r w:rsidR="003D62BC">
        <w:rPr>
          <w:rFonts w:ascii="Verdana" w:hAnsi="Verdana"/>
          <w:i/>
          <w:sz w:val="20"/>
          <w:szCs w:val="20"/>
          <w:lang w:val="es-CR"/>
        </w:rPr>
        <w:t>quinto</w:t>
      </w:r>
      <w:r w:rsidR="00525739" w:rsidRPr="00525739">
        <w:rPr>
          <w:rFonts w:ascii="Verdana" w:hAnsi="Verdana"/>
          <w:i/>
          <w:sz w:val="20"/>
          <w:szCs w:val="20"/>
          <w:lang w:val="es-CR"/>
        </w:rPr>
        <w:t xml:space="preserve"> de la Sentencia</w:t>
      </w:r>
      <w:r w:rsidR="00525739">
        <w:rPr>
          <w:rFonts w:ascii="Verdana" w:hAnsi="Verdana"/>
          <w:sz w:val="20"/>
          <w:szCs w:val="20"/>
          <w:lang w:val="es-CR"/>
        </w:rPr>
        <w:t>);</w:t>
      </w:r>
    </w:p>
    <w:p w14:paraId="6C2A1506" w14:textId="5F36E08C" w:rsidR="00525739" w:rsidRDefault="00CD4B9D" w:rsidP="00CF1822">
      <w:pPr>
        <w:numPr>
          <w:ilvl w:val="0"/>
          <w:numId w:val="22"/>
        </w:numPr>
        <w:tabs>
          <w:tab w:val="left" w:pos="720"/>
        </w:tabs>
        <w:spacing w:before="120" w:after="120" w:line="240" w:lineRule="auto"/>
        <w:ind w:right="22"/>
        <w:jc w:val="both"/>
        <w:rPr>
          <w:rFonts w:ascii="Verdana" w:hAnsi="Verdana"/>
          <w:sz w:val="20"/>
          <w:szCs w:val="20"/>
          <w:lang w:val="es-CR"/>
        </w:rPr>
      </w:pPr>
      <w:r>
        <w:rPr>
          <w:rFonts w:ascii="Verdana" w:hAnsi="Verdana"/>
          <w:sz w:val="20"/>
          <w:szCs w:val="20"/>
          <w:lang w:val="es-CR"/>
        </w:rPr>
        <w:t>c</w:t>
      </w:r>
      <w:r w:rsidR="00525739" w:rsidRPr="00525739">
        <w:rPr>
          <w:rFonts w:ascii="Verdana" w:hAnsi="Verdana"/>
          <w:sz w:val="20"/>
          <w:szCs w:val="20"/>
          <w:lang w:val="es-CR"/>
        </w:rPr>
        <w:t>rear en un plazo razonable, mecanismos adecuados para regular su sistema de Registro de Propiedad</w:t>
      </w:r>
      <w:r w:rsidR="00525739">
        <w:rPr>
          <w:rFonts w:ascii="Verdana" w:hAnsi="Verdana"/>
          <w:sz w:val="20"/>
          <w:szCs w:val="20"/>
          <w:lang w:val="es-CR"/>
        </w:rPr>
        <w:t xml:space="preserve"> (</w:t>
      </w:r>
      <w:r w:rsidR="00525739">
        <w:rPr>
          <w:rFonts w:ascii="Verdana" w:hAnsi="Verdana"/>
          <w:i/>
          <w:sz w:val="20"/>
          <w:szCs w:val="20"/>
          <w:lang w:val="es-CR"/>
        </w:rPr>
        <w:t>punto resolutivo de</w:t>
      </w:r>
      <w:r w:rsidR="00525739" w:rsidRPr="00525739">
        <w:rPr>
          <w:rFonts w:ascii="Verdana" w:hAnsi="Verdana"/>
          <w:i/>
          <w:sz w:val="20"/>
          <w:szCs w:val="20"/>
          <w:lang w:val="es-CR"/>
        </w:rPr>
        <w:t>cimo</w:t>
      </w:r>
      <w:r w:rsidR="00CF1822">
        <w:rPr>
          <w:rFonts w:ascii="Verdana" w:hAnsi="Verdana"/>
          <w:i/>
          <w:sz w:val="20"/>
          <w:szCs w:val="20"/>
          <w:lang w:val="es-CR"/>
        </w:rPr>
        <w:t>sexto</w:t>
      </w:r>
      <w:r w:rsidR="00525739" w:rsidRPr="00525739">
        <w:rPr>
          <w:rFonts w:ascii="Verdana" w:hAnsi="Verdana"/>
          <w:i/>
          <w:sz w:val="20"/>
          <w:szCs w:val="20"/>
          <w:lang w:val="es-CR"/>
        </w:rPr>
        <w:t xml:space="preserve"> de la Sentencia</w:t>
      </w:r>
      <w:r w:rsidR="00525739">
        <w:rPr>
          <w:rFonts w:ascii="Verdana" w:hAnsi="Verdana"/>
          <w:sz w:val="20"/>
          <w:szCs w:val="20"/>
          <w:lang w:val="es-CR"/>
        </w:rPr>
        <w:t>);</w:t>
      </w:r>
    </w:p>
    <w:p w14:paraId="59262B2B" w14:textId="60DB4EA6" w:rsidR="00525739" w:rsidRDefault="00CD4B9D" w:rsidP="00CF1822">
      <w:pPr>
        <w:numPr>
          <w:ilvl w:val="0"/>
          <w:numId w:val="22"/>
        </w:numPr>
        <w:tabs>
          <w:tab w:val="left" w:pos="720"/>
        </w:tabs>
        <w:spacing w:before="120" w:after="120" w:line="240" w:lineRule="auto"/>
        <w:ind w:right="22"/>
        <w:jc w:val="both"/>
        <w:rPr>
          <w:rFonts w:ascii="Verdana" w:hAnsi="Verdana"/>
          <w:sz w:val="20"/>
          <w:szCs w:val="20"/>
          <w:lang w:val="es-CR"/>
        </w:rPr>
      </w:pPr>
      <w:r>
        <w:rPr>
          <w:rFonts w:ascii="Verdana" w:hAnsi="Verdana"/>
          <w:sz w:val="20"/>
          <w:szCs w:val="20"/>
          <w:lang w:val="es-CR"/>
        </w:rPr>
        <w:t>c</w:t>
      </w:r>
      <w:r w:rsidR="00525739" w:rsidRPr="00525739">
        <w:rPr>
          <w:rFonts w:ascii="Verdana" w:hAnsi="Verdana"/>
          <w:sz w:val="20"/>
          <w:szCs w:val="20"/>
          <w:lang w:val="es-CR"/>
        </w:rPr>
        <w:t>ontinuar y concluir, en un plazo razonable, la investigación por la muerte de Félix Ordóñez Suazo y demás denuncias interpuestas en la jurisdicción interna, y en su caso, sancionar a los responsables</w:t>
      </w:r>
      <w:r w:rsidR="00525739">
        <w:rPr>
          <w:rFonts w:ascii="Verdana" w:hAnsi="Verdana"/>
          <w:sz w:val="20"/>
          <w:szCs w:val="20"/>
          <w:lang w:val="es-CR"/>
        </w:rPr>
        <w:t xml:space="preserve"> (</w:t>
      </w:r>
      <w:r w:rsidR="00525739">
        <w:rPr>
          <w:rFonts w:ascii="Verdana" w:hAnsi="Verdana"/>
          <w:i/>
          <w:sz w:val="20"/>
          <w:szCs w:val="20"/>
          <w:lang w:val="es-CR"/>
        </w:rPr>
        <w:t>punto resolutivo de</w:t>
      </w:r>
      <w:r w:rsidR="00525739" w:rsidRPr="00525739">
        <w:rPr>
          <w:rFonts w:ascii="Verdana" w:hAnsi="Verdana"/>
          <w:i/>
          <w:sz w:val="20"/>
          <w:szCs w:val="20"/>
          <w:lang w:val="es-CR"/>
        </w:rPr>
        <w:t>cimo</w:t>
      </w:r>
      <w:r w:rsidR="00CF1822">
        <w:rPr>
          <w:rFonts w:ascii="Verdana" w:hAnsi="Verdana"/>
          <w:i/>
          <w:sz w:val="20"/>
          <w:szCs w:val="20"/>
          <w:lang w:val="es-CR"/>
        </w:rPr>
        <w:t>séptimo</w:t>
      </w:r>
      <w:r w:rsidR="00525739" w:rsidRPr="00525739">
        <w:rPr>
          <w:rFonts w:ascii="Verdana" w:hAnsi="Verdana"/>
          <w:i/>
          <w:sz w:val="20"/>
          <w:szCs w:val="20"/>
          <w:lang w:val="es-CR"/>
        </w:rPr>
        <w:t xml:space="preserve"> de la Sentencia</w:t>
      </w:r>
      <w:r w:rsidR="00525739">
        <w:rPr>
          <w:rFonts w:ascii="Verdana" w:hAnsi="Verdana"/>
          <w:sz w:val="20"/>
          <w:szCs w:val="20"/>
          <w:lang w:val="es-CR"/>
        </w:rPr>
        <w:t>);</w:t>
      </w:r>
    </w:p>
    <w:p w14:paraId="2C792833" w14:textId="37C1B1C5" w:rsidR="00A43316" w:rsidRPr="00525739" w:rsidRDefault="00CD4B9D" w:rsidP="003D62BC">
      <w:pPr>
        <w:numPr>
          <w:ilvl w:val="0"/>
          <w:numId w:val="22"/>
        </w:numPr>
        <w:tabs>
          <w:tab w:val="left" w:pos="567"/>
        </w:tabs>
        <w:spacing w:before="120" w:after="120" w:line="240" w:lineRule="auto"/>
        <w:ind w:right="22"/>
        <w:jc w:val="both"/>
        <w:rPr>
          <w:rFonts w:ascii="Verdana" w:hAnsi="Verdana"/>
          <w:sz w:val="20"/>
          <w:szCs w:val="20"/>
          <w:lang w:val="es-CR"/>
        </w:rPr>
      </w:pPr>
      <w:r>
        <w:rPr>
          <w:rFonts w:ascii="Verdana" w:hAnsi="Verdana"/>
          <w:sz w:val="20"/>
          <w:szCs w:val="20"/>
          <w:lang w:val="es-CR"/>
        </w:rPr>
        <w:t>r</w:t>
      </w:r>
      <w:r w:rsidR="00525739" w:rsidRPr="00525739">
        <w:rPr>
          <w:rFonts w:ascii="Verdana" w:hAnsi="Verdana"/>
          <w:sz w:val="20"/>
          <w:szCs w:val="20"/>
          <w:lang w:val="es-CR"/>
        </w:rPr>
        <w:t xml:space="preserve">eintegrar </w:t>
      </w:r>
      <w:r w:rsidR="00525739">
        <w:rPr>
          <w:rFonts w:ascii="Verdana" w:hAnsi="Verdana"/>
          <w:sz w:val="20"/>
          <w:szCs w:val="20"/>
          <w:lang w:val="es-CR"/>
        </w:rPr>
        <w:t xml:space="preserve">las </w:t>
      </w:r>
      <w:r w:rsidR="00525739" w:rsidRPr="00525739">
        <w:rPr>
          <w:rFonts w:ascii="Verdana" w:hAnsi="Verdana"/>
          <w:sz w:val="20"/>
          <w:szCs w:val="20"/>
          <w:lang w:val="es-CR"/>
        </w:rPr>
        <w:t>sumas por concepto de cosas y gastos</w:t>
      </w:r>
      <w:r w:rsidR="00525739">
        <w:rPr>
          <w:rFonts w:ascii="Verdana" w:hAnsi="Verdana"/>
          <w:sz w:val="20"/>
          <w:szCs w:val="20"/>
          <w:lang w:val="es-CR"/>
        </w:rPr>
        <w:t xml:space="preserve"> (</w:t>
      </w:r>
      <w:r w:rsidR="00525739">
        <w:rPr>
          <w:rFonts w:ascii="Verdana" w:hAnsi="Verdana"/>
          <w:i/>
          <w:sz w:val="20"/>
          <w:szCs w:val="20"/>
          <w:lang w:val="es-CR"/>
        </w:rPr>
        <w:t>punto resolutivo de</w:t>
      </w:r>
      <w:r w:rsidR="00525739" w:rsidRPr="00525739">
        <w:rPr>
          <w:rFonts w:ascii="Verdana" w:hAnsi="Verdana"/>
          <w:i/>
          <w:sz w:val="20"/>
          <w:szCs w:val="20"/>
          <w:lang w:val="es-CR"/>
        </w:rPr>
        <w:t>cimo</w:t>
      </w:r>
      <w:r w:rsidR="00CF1822">
        <w:rPr>
          <w:rFonts w:ascii="Verdana" w:hAnsi="Verdana"/>
          <w:i/>
          <w:sz w:val="20"/>
          <w:szCs w:val="20"/>
          <w:lang w:val="es-CR"/>
        </w:rPr>
        <w:t>noveno</w:t>
      </w:r>
      <w:r w:rsidR="00525739" w:rsidRPr="00525739">
        <w:rPr>
          <w:rFonts w:ascii="Verdana" w:hAnsi="Verdana"/>
          <w:i/>
          <w:sz w:val="20"/>
          <w:szCs w:val="20"/>
          <w:lang w:val="es-CR"/>
        </w:rPr>
        <w:t xml:space="preserve"> de la Sentencia</w:t>
      </w:r>
      <w:r w:rsidR="00525739">
        <w:rPr>
          <w:rFonts w:ascii="Verdana" w:hAnsi="Verdana"/>
          <w:sz w:val="20"/>
          <w:szCs w:val="20"/>
          <w:lang w:val="es-CR"/>
        </w:rPr>
        <w:t xml:space="preserve">). </w:t>
      </w:r>
    </w:p>
    <w:p w14:paraId="20E01DF9" w14:textId="4B45BE99" w:rsidR="00754B1D" w:rsidRPr="00754B1D" w:rsidRDefault="00754B1D" w:rsidP="00754B1D">
      <w:pPr>
        <w:numPr>
          <w:ilvl w:val="0"/>
          <w:numId w:val="4"/>
        </w:numPr>
        <w:tabs>
          <w:tab w:val="left" w:pos="567"/>
        </w:tabs>
        <w:spacing w:before="120" w:after="120" w:line="240" w:lineRule="auto"/>
        <w:ind w:left="0" w:right="22" w:firstLine="0"/>
        <w:jc w:val="both"/>
        <w:rPr>
          <w:rFonts w:ascii="Verdana" w:hAnsi="Verdana"/>
          <w:sz w:val="20"/>
          <w:szCs w:val="20"/>
          <w:lang w:val="es-CR"/>
        </w:rPr>
      </w:pPr>
      <w:r w:rsidRPr="00754B1D">
        <w:rPr>
          <w:rFonts w:ascii="Verdana" w:hAnsi="Verdana"/>
          <w:sz w:val="20"/>
          <w:szCs w:val="20"/>
          <w:lang w:val="es-ES"/>
        </w:rPr>
        <w:t xml:space="preserve">Disponer que el Estado presente a la Corte Interamericana de Derechos Humanos, a más tardar el </w:t>
      </w:r>
      <w:r w:rsidR="005D229D">
        <w:rPr>
          <w:rFonts w:ascii="Verdana" w:hAnsi="Verdana"/>
          <w:sz w:val="20"/>
          <w:szCs w:val="20"/>
          <w:lang w:val="es-ES"/>
        </w:rPr>
        <w:t>1 de noviembre de 2019</w:t>
      </w:r>
      <w:r w:rsidRPr="00754B1D">
        <w:rPr>
          <w:rFonts w:ascii="Verdana" w:hAnsi="Verdana"/>
          <w:sz w:val="20"/>
          <w:szCs w:val="20"/>
          <w:lang w:val="es-ES"/>
        </w:rPr>
        <w:t xml:space="preserve">, un informe sobre todas las medidas pendientes de cumplimiento, de conformidad con lo indicado en el punto resolutivo segundo y los </w:t>
      </w:r>
      <w:r w:rsidR="00CF1822">
        <w:rPr>
          <w:rFonts w:ascii="Verdana" w:hAnsi="Verdana"/>
          <w:sz w:val="20"/>
          <w:szCs w:val="20"/>
          <w:lang w:val="es-ES"/>
        </w:rPr>
        <w:t xml:space="preserve">Considerandos </w:t>
      </w:r>
      <w:r w:rsidR="00CF1822">
        <w:rPr>
          <w:rFonts w:ascii="Verdana" w:hAnsi="Verdana"/>
          <w:sz w:val="20"/>
          <w:szCs w:val="20"/>
          <w:lang w:val="es-ES"/>
        </w:rPr>
        <w:fldChar w:fldCharType="begin"/>
      </w:r>
      <w:r w:rsidR="00CF1822">
        <w:rPr>
          <w:rFonts w:ascii="Verdana" w:hAnsi="Verdana"/>
          <w:sz w:val="20"/>
          <w:szCs w:val="20"/>
          <w:lang w:val="es-ES"/>
        </w:rPr>
        <w:instrText xml:space="preserve"> REF _Ref12551413 \r \h </w:instrText>
      </w:r>
      <w:r w:rsidR="00CF1822">
        <w:rPr>
          <w:rFonts w:ascii="Verdana" w:hAnsi="Verdana"/>
          <w:sz w:val="20"/>
          <w:szCs w:val="20"/>
          <w:lang w:val="es-ES"/>
        </w:rPr>
      </w:r>
      <w:r w:rsidR="00CF1822">
        <w:rPr>
          <w:rFonts w:ascii="Verdana" w:hAnsi="Verdana"/>
          <w:sz w:val="20"/>
          <w:szCs w:val="20"/>
          <w:lang w:val="es-ES"/>
        </w:rPr>
        <w:fldChar w:fldCharType="separate"/>
      </w:r>
      <w:r w:rsidR="00D11D5D">
        <w:rPr>
          <w:rFonts w:ascii="Verdana" w:hAnsi="Verdana"/>
          <w:sz w:val="20"/>
          <w:szCs w:val="20"/>
          <w:lang w:val="es-ES"/>
        </w:rPr>
        <w:t>15</w:t>
      </w:r>
      <w:r w:rsidR="00CF1822">
        <w:rPr>
          <w:rFonts w:ascii="Verdana" w:hAnsi="Verdana"/>
          <w:sz w:val="20"/>
          <w:szCs w:val="20"/>
          <w:lang w:val="es-ES"/>
        </w:rPr>
        <w:fldChar w:fldCharType="end"/>
      </w:r>
      <w:r w:rsidR="002A1200">
        <w:rPr>
          <w:rFonts w:ascii="Verdana" w:hAnsi="Verdana"/>
          <w:sz w:val="20"/>
          <w:szCs w:val="20"/>
          <w:lang w:val="es-ES"/>
        </w:rPr>
        <w:t xml:space="preserve">, </w:t>
      </w:r>
      <w:r w:rsidR="00CF1822">
        <w:rPr>
          <w:rFonts w:ascii="Verdana" w:hAnsi="Verdana"/>
          <w:sz w:val="20"/>
          <w:szCs w:val="20"/>
          <w:lang w:val="es-ES"/>
        </w:rPr>
        <w:fldChar w:fldCharType="begin"/>
      </w:r>
      <w:r w:rsidR="00CF1822">
        <w:rPr>
          <w:rFonts w:ascii="Verdana" w:hAnsi="Verdana"/>
          <w:sz w:val="20"/>
          <w:szCs w:val="20"/>
          <w:lang w:val="es-ES"/>
        </w:rPr>
        <w:instrText xml:space="preserve"> REF _Ref12551450 \r \h </w:instrText>
      </w:r>
      <w:r w:rsidR="00CF1822">
        <w:rPr>
          <w:rFonts w:ascii="Verdana" w:hAnsi="Verdana"/>
          <w:sz w:val="20"/>
          <w:szCs w:val="20"/>
          <w:lang w:val="es-ES"/>
        </w:rPr>
      </w:r>
      <w:r w:rsidR="00CF1822">
        <w:rPr>
          <w:rFonts w:ascii="Verdana" w:hAnsi="Verdana"/>
          <w:sz w:val="20"/>
          <w:szCs w:val="20"/>
          <w:lang w:val="es-ES"/>
        </w:rPr>
        <w:fldChar w:fldCharType="separate"/>
      </w:r>
      <w:r w:rsidR="00D11D5D">
        <w:rPr>
          <w:rFonts w:ascii="Verdana" w:hAnsi="Verdana"/>
          <w:sz w:val="20"/>
          <w:szCs w:val="20"/>
          <w:lang w:val="es-ES"/>
        </w:rPr>
        <w:t>23</w:t>
      </w:r>
      <w:r w:rsidR="00CF1822">
        <w:rPr>
          <w:rFonts w:ascii="Verdana" w:hAnsi="Verdana"/>
          <w:sz w:val="20"/>
          <w:szCs w:val="20"/>
          <w:lang w:val="es-ES"/>
        </w:rPr>
        <w:fldChar w:fldCharType="end"/>
      </w:r>
      <w:r w:rsidR="002A1200">
        <w:rPr>
          <w:rFonts w:ascii="Verdana" w:hAnsi="Verdana"/>
          <w:sz w:val="20"/>
          <w:szCs w:val="20"/>
          <w:lang w:val="es-ES"/>
        </w:rPr>
        <w:t xml:space="preserve">, </w:t>
      </w:r>
      <w:r w:rsidR="002A1200">
        <w:rPr>
          <w:rFonts w:ascii="Verdana" w:hAnsi="Verdana"/>
          <w:sz w:val="20"/>
          <w:szCs w:val="20"/>
          <w:lang w:val="es-ES"/>
        </w:rPr>
        <w:fldChar w:fldCharType="begin"/>
      </w:r>
      <w:r w:rsidR="002A1200">
        <w:rPr>
          <w:rFonts w:ascii="Verdana" w:hAnsi="Verdana"/>
          <w:sz w:val="20"/>
          <w:szCs w:val="20"/>
          <w:lang w:val="es-ES"/>
        </w:rPr>
        <w:instrText xml:space="preserve"> REF _Ref12551198 \r \h </w:instrText>
      </w:r>
      <w:r w:rsidR="002A1200">
        <w:rPr>
          <w:rFonts w:ascii="Verdana" w:hAnsi="Verdana"/>
          <w:sz w:val="20"/>
          <w:szCs w:val="20"/>
          <w:lang w:val="es-ES"/>
        </w:rPr>
      </w:r>
      <w:r w:rsidR="002A1200">
        <w:rPr>
          <w:rFonts w:ascii="Verdana" w:hAnsi="Verdana"/>
          <w:sz w:val="20"/>
          <w:szCs w:val="20"/>
          <w:lang w:val="es-ES"/>
        </w:rPr>
        <w:fldChar w:fldCharType="separate"/>
      </w:r>
      <w:r w:rsidR="00D11D5D">
        <w:rPr>
          <w:rFonts w:ascii="Verdana" w:hAnsi="Verdana"/>
          <w:sz w:val="20"/>
          <w:szCs w:val="20"/>
          <w:lang w:val="es-ES"/>
        </w:rPr>
        <w:t>37</w:t>
      </w:r>
      <w:r w:rsidR="002A1200">
        <w:rPr>
          <w:rFonts w:ascii="Verdana" w:hAnsi="Verdana"/>
          <w:sz w:val="20"/>
          <w:szCs w:val="20"/>
          <w:lang w:val="es-ES"/>
        </w:rPr>
        <w:fldChar w:fldCharType="end"/>
      </w:r>
      <w:r w:rsidR="002A1200">
        <w:rPr>
          <w:rFonts w:ascii="Verdana" w:hAnsi="Verdana"/>
          <w:sz w:val="20"/>
          <w:szCs w:val="20"/>
          <w:lang w:val="es-ES"/>
        </w:rPr>
        <w:t xml:space="preserve">, </w:t>
      </w:r>
      <w:r w:rsidR="002A1200">
        <w:rPr>
          <w:rFonts w:ascii="Verdana" w:hAnsi="Verdana"/>
          <w:sz w:val="20"/>
          <w:szCs w:val="20"/>
          <w:lang w:val="es-ES"/>
        </w:rPr>
        <w:fldChar w:fldCharType="begin"/>
      </w:r>
      <w:r w:rsidR="002A1200">
        <w:rPr>
          <w:rFonts w:ascii="Verdana" w:hAnsi="Verdana"/>
          <w:sz w:val="20"/>
          <w:szCs w:val="20"/>
          <w:lang w:val="es-ES"/>
        </w:rPr>
        <w:instrText xml:space="preserve"> REF _Ref12551739 \r \h </w:instrText>
      </w:r>
      <w:r w:rsidR="002A1200">
        <w:rPr>
          <w:rFonts w:ascii="Verdana" w:hAnsi="Verdana"/>
          <w:sz w:val="20"/>
          <w:szCs w:val="20"/>
          <w:lang w:val="es-ES"/>
        </w:rPr>
      </w:r>
      <w:r w:rsidR="002A1200">
        <w:rPr>
          <w:rFonts w:ascii="Verdana" w:hAnsi="Verdana"/>
          <w:sz w:val="20"/>
          <w:szCs w:val="20"/>
          <w:lang w:val="es-ES"/>
        </w:rPr>
        <w:fldChar w:fldCharType="separate"/>
      </w:r>
      <w:r w:rsidR="00D11D5D">
        <w:rPr>
          <w:rFonts w:ascii="Verdana" w:hAnsi="Verdana"/>
          <w:sz w:val="20"/>
          <w:szCs w:val="20"/>
          <w:lang w:val="es-ES"/>
        </w:rPr>
        <w:t>46</w:t>
      </w:r>
      <w:r w:rsidR="002A1200">
        <w:rPr>
          <w:rFonts w:ascii="Verdana" w:hAnsi="Verdana"/>
          <w:sz w:val="20"/>
          <w:szCs w:val="20"/>
          <w:lang w:val="es-ES"/>
        </w:rPr>
        <w:fldChar w:fldCharType="end"/>
      </w:r>
      <w:r w:rsidR="002A1200">
        <w:rPr>
          <w:rFonts w:ascii="Verdana" w:hAnsi="Verdana"/>
          <w:sz w:val="20"/>
          <w:szCs w:val="20"/>
          <w:lang w:val="es-ES"/>
        </w:rPr>
        <w:t xml:space="preserve">, </w:t>
      </w:r>
      <w:r w:rsidR="002A1200">
        <w:rPr>
          <w:rFonts w:ascii="Verdana" w:hAnsi="Verdana"/>
          <w:sz w:val="20"/>
          <w:szCs w:val="20"/>
          <w:lang w:val="es-ES"/>
        </w:rPr>
        <w:fldChar w:fldCharType="begin"/>
      </w:r>
      <w:r w:rsidR="002A1200">
        <w:rPr>
          <w:rFonts w:ascii="Verdana" w:hAnsi="Verdana"/>
          <w:sz w:val="20"/>
          <w:szCs w:val="20"/>
          <w:lang w:val="es-ES"/>
        </w:rPr>
        <w:instrText xml:space="preserve"> REF _Ref12551761 \r \h </w:instrText>
      </w:r>
      <w:r w:rsidR="002A1200">
        <w:rPr>
          <w:rFonts w:ascii="Verdana" w:hAnsi="Verdana"/>
          <w:sz w:val="20"/>
          <w:szCs w:val="20"/>
          <w:lang w:val="es-ES"/>
        </w:rPr>
      </w:r>
      <w:r w:rsidR="002A1200">
        <w:rPr>
          <w:rFonts w:ascii="Verdana" w:hAnsi="Verdana"/>
          <w:sz w:val="20"/>
          <w:szCs w:val="20"/>
          <w:lang w:val="es-ES"/>
        </w:rPr>
        <w:fldChar w:fldCharType="separate"/>
      </w:r>
      <w:r w:rsidR="00D11D5D">
        <w:rPr>
          <w:rFonts w:ascii="Verdana" w:hAnsi="Verdana"/>
          <w:sz w:val="20"/>
          <w:szCs w:val="20"/>
          <w:lang w:val="es-ES"/>
        </w:rPr>
        <w:t>49</w:t>
      </w:r>
      <w:r w:rsidR="002A1200">
        <w:rPr>
          <w:rFonts w:ascii="Verdana" w:hAnsi="Verdana"/>
          <w:sz w:val="20"/>
          <w:szCs w:val="20"/>
          <w:lang w:val="es-ES"/>
        </w:rPr>
        <w:fldChar w:fldCharType="end"/>
      </w:r>
      <w:r w:rsidR="002A1200">
        <w:rPr>
          <w:rFonts w:ascii="Verdana" w:hAnsi="Verdana"/>
          <w:sz w:val="20"/>
          <w:szCs w:val="20"/>
          <w:lang w:val="es-ES"/>
        </w:rPr>
        <w:t xml:space="preserve">, </w:t>
      </w:r>
      <w:r w:rsidR="002A1200">
        <w:rPr>
          <w:rFonts w:ascii="Verdana" w:hAnsi="Verdana"/>
          <w:sz w:val="20"/>
          <w:szCs w:val="20"/>
          <w:lang w:val="es-ES"/>
        </w:rPr>
        <w:fldChar w:fldCharType="begin"/>
      </w:r>
      <w:r w:rsidR="002A1200">
        <w:rPr>
          <w:rFonts w:ascii="Verdana" w:hAnsi="Verdana"/>
          <w:sz w:val="20"/>
          <w:szCs w:val="20"/>
          <w:lang w:val="es-ES"/>
        </w:rPr>
        <w:instrText xml:space="preserve"> REF _Ref12551776 \r \h </w:instrText>
      </w:r>
      <w:r w:rsidR="002A1200">
        <w:rPr>
          <w:rFonts w:ascii="Verdana" w:hAnsi="Verdana"/>
          <w:sz w:val="20"/>
          <w:szCs w:val="20"/>
          <w:lang w:val="es-ES"/>
        </w:rPr>
      </w:r>
      <w:r w:rsidR="002A1200">
        <w:rPr>
          <w:rFonts w:ascii="Verdana" w:hAnsi="Verdana"/>
          <w:sz w:val="20"/>
          <w:szCs w:val="20"/>
          <w:lang w:val="es-ES"/>
        </w:rPr>
        <w:fldChar w:fldCharType="separate"/>
      </w:r>
      <w:r w:rsidR="00D11D5D">
        <w:rPr>
          <w:rFonts w:ascii="Verdana" w:hAnsi="Verdana"/>
          <w:sz w:val="20"/>
          <w:szCs w:val="20"/>
          <w:lang w:val="es-ES"/>
        </w:rPr>
        <w:t>57</w:t>
      </w:r>
      <w:r w:rsidR="002A1200">
        <w:rPr>
          <w:rFonts w:ascii="Verdana" w:hAnsi="Verdana"/>
          <w:sz w:val="20"/>
          <w:szCs w:val="20"/>
          <w:lang w:val="es-ES"/>
        </w:rPr>
        <w:fldChar w:fldCharType="end"/>
      </w:r>
      <w:r w:rsidR="002A1200">
        <w:rPr>
          <w:rFonts w:ascii="Verdana" w:hAnsi="Verdana"/>
          <w:sz w:val="20"/>
          <w:szCs w:val="20"/>
          <w:lang w:val="es-ES"/>
        </w:rPr>
        <w:t xml:space="preserve"> y </w:t>
      </w:r>
      <w:r w:rsidR="002A1200">
        <w:rPr>
          <w:rFonts w:ascii="Verdana" w:hAnsi="Verdana"/>
          <w:sz w:val="20"/>
          <w:szCs w:val="20"/>
          <w:lang w:val="es-ES"/>
        </w:rPr>
        <w:fldChar w:fldCharType="begin"/>
      </w:r>
      <w:r w:rsidR="002A1200">
        <w:rPr>
          <w:rFonts w:ascii="Verdana" w:hAnsi="Verdana"/>
          <w:sz w:val="20"/>
          <w:szCs w:val="20"/>
          <w:lang w:val="es-ES"/>
        </w:rPr>
        <w:instrText xml:space="preserve"> REF _Ref12551789 \r \h </w:instrText>
      </w:r>
      <w:r w:rsidR="002A1200">
        <w:rPr>
          <w:rFonts w:ascii="Verdana" w:hAnsi="Verdana"/>
          <w:sz w:val="20"/>
          <w:szCs w:val="20"/>
          <w:lang w:val="es-ES"/>
        </w:rPr>
      </w:r>
      <w:r w:rsidR="002A1200">
        <w:rPr>
          <w:rFonts w:ascii="Verdana" w:hAnsi="Verdana"/>
          <w:sz w:val="20"/>
          <w:szCs w:val="20"/>
          <w:lang w:val="es-ES"/>
        </w:rPr>
        <w:fldChar w:fldCharType="separate"/>
      </w:r>
      <w:r w:rsidR="00D11D5D">
        <w:rPr>
          <w:rFonts w:ascii="Verdana" w:hAnsi="Verdana"/>
          <w:sz w:val="20"/>
          <w:szCs w:val="20"/>
          <w:lang w:val="es-ES"/>
        </w:rPr>
        <w:t>61</w:t>
      </w:r>
      <w:r w:rsidR="002A1200">
        <w:rPr>
          <w:rFonts w:ascii="Verdana" w:hAnsi="Verdana"/>
          <w:sz w:val="20"/>
          <w:szCs w:val="20"/>
          <w:lang w:val="es-ES"/>
        </w:rPr>
        <w:fldChar w:fldCharType="end"/>
      </w:r>
      <w:r>
        <w:rPr>
          <w:rFonts w:ascii="Verdana" w:hAnsi="Verdana"/>
          <w:sz w:val="20"/>
          <w:szCs w:val="20"/>
          <w:lang w:val="es-ES"/>
        </w:rPr>
        <w:t xml:space="preserve"> </w:t>
      </w:r>
      <w:r w:rsidRPr="00754B1D">
        <w:rPr>
          <w:rFonts w:ascii="Verdana" w:hAnsi="Verdana"/>
          <w:sz w:val="20"/>
          <w:szCs w:val="20"/>
          <w:lang w:val="es-ES"/>
        </w:rPr>
        <w:t>de la presente Resolución</w:t>
      </w:r>
      <w:r>
        <w:rPr>
          <w:rFonts w:ascii="Verdana" w:hAnsi="Verdana"/>
          <w:sz w:val="20"/>
          <w:szCs w:val="20"/>
          <w:lang w:val="es-ES"/>
        </w:rPr>
        <w:t>.</w:t>
      </w:r>
    </w:p>
    <w:p w14:paraId="6BB6BC3A" w14:textId="110B43D8" w:rsidR="00754B1D" w:rsidRDefault="00754B1D" w:rsidP="00754B1D">
      <w:pPr>
        <w:numPr>
          <w:ilvl w:val="0"/>
          <w:numId w:val="4"/>
        </w:numPr>
        <w:tabs>
          <w:tab w:val="left" w:pos="567"/>
        </w:tabs>
        <w:spacing w:before="120" w:after="120" w:line="240" w:lineRule="auto"/>
        <w:ind w:left="0" w:right="22" w:firstLine="0"/>
        <w:jc w:val="both"/>
        <w:rPr>
          <w:rFonts w:ascii="Verdana" w:hAnsi="Verdana"/>
          <w:sz w:val="20"/>
          <w:szCs w:val="20"/>
          <w:lang w:val="es-CR"/>
        </w:rPr>
      </w:pPr>
      <w:r w:rsidRPr="00754B1D">
        <w:rPr>
          <w:rFonts w:ascii="Verdana" w:hAnsi="Verdana"/>
          <w:sz w:val="20"/>
          <w:szCs w:val="20"/>
          <w:lang w:val="es-ES"/>
        </w:rPr>
        <w:lastRenderedPageBreak/>
        <w:t xml:space="preserve">Disponer que los representantes </w:t>
      </w:r>
      <w:r w:rsidR="00200F91">
        <w:rPr>
          <w:rFonts w:ascii="Verdana" w:hAnsi="Verdana"/>
          <w:sz w:val="20"/>
          <w:szCs w:val="20"/>
          <w:lang w:val="es-ES"/>
        </w:rPr>
        <w:t xml:space="preserve">de las víctimas </w:t>
      </w:r>
      <w:r w:rsidRPr="00754B1D">
        <w:rPr>
          <w:rFonts w:ascii="Verdana" w:hAnsi="Verdana"/>
          <w:sz w:val="20"/>
          <w:szCs w:val="20"/>
          <w:lang w:val="es-ES"/>
        </w:rPr>
        <w:t>y la Comisión presenten observaciones al informe del Estado mencionado en el punto resolutivo anterior, en los plazos de cuatro y seis semanas, respectivamente, contados a partir de la recepción del informe</w:t>
      </w:r>
      <w:r>
        <w:rPr>
          <w:rFonts w:ascii="Verdana" w:hAnsi="Verdana"/>
          <w:sz w:val="20"/>
          <w:szCs w:val="20"/>
          <w:lang w:val="es-ES"/>
        </w:rPr>
        <w:t xml:space="preserve">. </w:t>
      </w:r>
    </w:p>
    <w:p w14:paraId="294DB229" w14:textId="124C65C1" w:rsidR="00754B1D" w:rsidRPr="00754B1D" w:rsidRDefault="00754B1D" w:rsidP="00754B1D">
      <w:pPr>
        <w:numPr>
          <w:ilvl w:val="0"/>
          <w:numId w:val="4"/>
        </w:numPr>
        <w:tabs>
          <w:tab w:val="left" w:pos="567"/>
        </w:tabs>
        <w:spacing w:before="120" w:after="120" w:line="240" w:lineRule="auto"/>
        <w:ind w:left="0" w:right="22" w:firstLine="0"/>
        <w:jc w:val="both"/>
        <w:rPr>
          <w:rFonts w:ascii="Verdana" w:hAnsi="Verdana"/>
          <w:sz w:val="20"/>
          <w:szCs w:val="20"/>
          <w:lang w:val="es-CR"/>
        </w:rPr>
      </w:pPr>
      <w:r w:rsidRPr="00754B1D">
        <w:rPr>
          <w:rFonts w:ascii="Verdana" w:hAnsi="Verdana"/>
          <w:sz w:val="20"/>
          <w:szCs w:val="20"/>
          <w:lang w:val="es-ES"/>
        </w:rPr>
        <w:t>Disponer que la Secretaría de la Corte notifique la presente Resolución al Estado, a los representantes de las víctimas y a la Comisión Interamericana de Derechos Humanos</w:t>
      </w:r>
      <w:r>
        <w:rPr>
          <w:rFonts w:ascii="Verdana" w:hAnsi="Verdana"/>
          <w:sz w:val="20"/>
          <w:szCs w:val="20"/>
          <w:lang w:val="es-ES"/>
        </w:rPr>
        <w:t>.</w:t>
      </w:r>
    </w:p>
    <w:p w14:paraId="50C150C2" w14:textId="00A8E958" w:rsidR="009170DC" w:rsidRDefault="009170DC">
      <w:pPr>
        <w:spacing w:after="0" w:line="240" w:lineRule="auto"/>
        <w:rPr>
          <w:rFonts w:ascii="Verdana" w:hAnsi="Verdana"/>
          <w:sz w:val="20"/>
          <w:szCs w:val="20"/>
          <w:lang w:val="es-CR"/>
        </w:rPr>
      </w:pPr>
      <w:r>
        <w:rPr>
          <w:rFonts w:ascii="Verdana" w:hAnsi="Verdana"/>
          <w:sz w:val="20"/>
          <w:szCs w:val="20"/>
          <w:lang w:val="es-CR"/>
        </w:rPr>
        <w:br w:type="page"/>
      </w:r>
    </w:p>
    <w:p w14:paraId="323E3AD3" w14:textId="77777777" w:rsidR="009170DC" w:rsidRPr="00847B73" w:rsidRDefault="009170DC" w:rsidP="009170DC">
      <w:pPr>
        <w:keepNext/>
        <w:spacing w:after="0" w:line="240" w:lineRule="auto"/>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r>
        <w:rPr>
          <w:rFonts w:ascii="Verdana" w:hAnsi="Verdana"/>
          <w:bCs/>
          <w:i/>
          <w:sz w:val="20"/>
          <w:lang w:val="es-CR"/>
        </w:rPr>
        <w:t>de la Comunidad Garífuna Punta Piedra y sus miembros Vs. Honduras.</w:t>
      </w:r>
      <w:r w:rsidRPr="00847B73">
        <w:rPr>
          <w:rFonts w:ascii="Verdana" w:hAnsi="Verdana"/>
          <w:bCs/>
          <w:i/>
          <w:sz w:val="20"/>
          <w:lang w:val="es-CR"/>
        </w:rPr>
        <w:t xml:space="preserve"> </w:t>
      </w:r>
      <w:r>
        <w:rPr>
          <w:rFonts w:ascii="Verdana" w:hAnsi="Verdana" w:cs="Arial"/>
          <w:sz w:val="20"/>
          <w:lang w:val="es-CR"/>
        </w:rPr>
        <w:t>Supervisión de Cumplimiento de Sentencia.</w:t>
      </w:r>
      <w:r>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14</w:t>
      </w:r>
      <w:r w:rsidRPr="00847B73">
        <w:rPr>
          <w:rFonts w:ascii="Verdana" w:hAnsi="Verdana"/>
          <w:sz w:val="20"/>
          <w:lang w:val="es-CR"/>
        </w:rPr>
        <w:t xml:space="preserve"> de </w:t>
      </w:r>
      <w:r>
        <w:rPr>
          <w:rFonts w:ascii="Verdana" w:hAnsi="Verdana"/>
          <w:sz w:val="20"/>
          <w:lang w:val="es-CR"/>
        </w:rPr>
        <w:t xml:space="preserve">mayo </w:t>
      </w:r>
      <w:r w:rsidRPr="00847B73">
        <w:rPr>
          <w:rFonts w:ascii="Verdana" w:hAnsi="Verdana"/>
          <w:sz w:val="20"/>
          <w:lang w:val="es-CR"/>
        </w:rPr>
        <w:t>de 2019</w:t>
      </w:r>
      <w:r w:rsidRPr="00847B73">
        <w:rPr>
          <w:rFonts w:ascii="Verdana" w:hAnsi="Verdana"/>
          <w:sz w:val="20"/>
          <w:lang w:val="es-ES"/>
        </w:rPr>
        <w:t xml:space="preserve">. </w:t>
      </w:r>
    </w:p>
    <w:p w14:paraId="18638519" w14:textId="77777777" w:rsidR="009170DC" w:rsidRPr="00847B73" w:rsidRDefault="009170DC" w:rsidP="009170DC">
      <w:pPr>
        <w:spacing w:after="0" w:line="240" w:lineRule="auto"/>
        <w:jc w:val="center"/>
        <w:rPr>
          <w:rFonts w:ascii="Verdana" w:hAnsi="Verdana"/>
          <w:sz w:val="20"/>
          <w:lang w:val="es-ES"/>
        </w:rPr>
      </w:pPr>
    </w:p>
    <w:p w14:paraId="3CF5DEC2" w14:textId="77777777" w:rsidR="009170DC" w:rsidRPr="00847B73" w:rsidRDefault="009170DC" w:rsidP="009170DC">
      <w:pPr>
        <w:spacing w:after="0" w:line="240" w:lineRule="auto"/>
        <w:jc w:val="center"/>
        <w:rPr>
          <w:rFonts w:ascii="Verdana" w:hAnsi="Verdana"/>
          <w:sz w:val="20"/>
          <w:lang w:val="es-ES"/>
        </w:rPr>
      </w:pPr>
    </w:p>
    <w:p w14:paraId="3F6F87AD" w14:textId="77777777" w:rsidR="009170DC" w:rsidRPr="00847B73" w:rsidRDefault="009170DC" w:rsidP="009170DC">
      <w:pPr>
        <w:spacing w:after="0" w:line="240" w:lineRule="auto"/>
        <w:jc w:val="center"/>
        <w:rPr>
          <w:rFonts w:ascii="Verdana" w:hAnsi="Verdana"/>
          <w:sz w:val="20"/>
          <w:lang w:val="es-ES"/>
        </w:rPr>
      </w:pPr>
    </w:p>
    <w:p w14:paraId="34B4D177" w14:textId="77777777" w:rsidR="009170DC" w:rsidRPr="00847B73" w:rsidRDefault="009170DC" w:rsidP="009170DC">
      <w:pPr>
        <w:spacing w:after="0" w:line="240" w:lineRule="auto"/>
        <w:jc w:val="center"/>
        <w:rPr>
          <w:rFonts w:ascii="Verdana" w:hAnsi="Verdana"/>
          <w:sz w:val="20"/>
          <w:lang w:val="es-ES"/>
        </w:rPr>
      </w:pPr>
    </w:p>
    <w:p w14:paraId="17D47F00" w14:textId="77777777" w:rsidR="009170DC" w:rsidRPr="00847B73" w:rsidRDefault="009170DC" w:rsidP="009170DC">
      <w:pPr>
        <w:spacing w:after="0" w:line="240" w:lineRule="auto"/>
        <w:jc w:val="center"/>
        <w:rPr>
          <w:rFonts w:ascii="Verdana" w:hAnsi="Verdana"/>
          <w:sz w:val="20"/>
          <w:lang w:val="es-ES"/>
        </w:rPr>
      </w:pPr>
    </w:p>
    <w:p w14:paraId="4E18E264" w14:textId="77777777" w:rsidR="009170DC" w:rsidRPr="00847B73" w:rsidRDefault="009170DC" w:rsidP="009170DC">
      <w:pPr>
        <w:spacing w:after="0" w:line="240" w:lineRule="auto"/>
        <w:rPr>
          <w:rFonts w:ascii="Verdana" w:hAnsi="Verdana"/>
          <w:sz w:val="20"/>
          <w:lang w:val="es-ES"/>
        </w:rPr>
      </w:pPr>
    </w:p>
    <w:p w14:paraId="2BB1E36E" w14:textId="77777777" w:rsidR="009170DC" w:rsidRPr="00847B73" w:rsidRDefault="009170DC" w:rsidP="009170DC">
      <w:pPr>
        <w:spacing w:after="0" w:line="240" w:lineRule="auto"/>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14:paraId="626EC947" w14:textId="77777777" w:rsidR="009170DC" w:rsidRPr="00847B73" w:rsidRDefault="009170DC" w:rsidP="009170DC">
      <w:pPr>
        <w:spacing w:after="0" w:line="240" w:lineRule="auto"/>
        <w:jc w:val="center"/>
        <w:rPr>
          <w:rFonts w:ascii="Verdana" w:hAnsi="Verdana"/>
          <w:sz w:val="20"/>
          <w:lang w:val="pt-BR"/>
        </w:rPr>
      </w:pPr>
      <w:r w:rsidRPr="00847B73">
        <w:rPr>
          <w:rFonts w:ascii="Verdana" w:hAnsi="Verdana"/>
          <w:sz w:val="20"/>
          <w:lang w:val="pt-BR"/>
        </w:rPr>
        <w:t>Presidente</w:t>
      </w:r>
    </w:p>
    <w:p w14:paraId="4F2C8C39" w14:textId="77777777" w:rsidR="009170DC" w:rsidRPr="00847B73" w:rsidRDefault="009170DC" w:rsidP="009170DC">
      <w:pPr>
        <w:spacing w:after="0" w:line="240" w:lineRule="auto"/>
        <w:jc w:val="both"/>
        <w:rPr>
          <w:rFonts w:ascii="Verdana" w:hAnsi="Verdana"/>
          <w:sz w:val="20"/>
          <w:lang w:val="pt-BR"/>
        </w:rPr>
      </w:pPr>
    </w:p>
    <w:p w14:paraId="7B0C41F7" w14:textId="77777777" w:rsidR="009170DC" w:rsidRPr="00847B73" w:rsidRDefault="009170DC" w:rsidP="009170DC">
      <w:pPr>
        <w:spacing w:after="0" w:line="240" w:lineRule="auto"/>
        <w:jc w:val="both"/>
        <w:rPr>
          <w:rFonts w:ascii="Verdana" w:hAnsi="Verdana"/>
          <w:sz w:val="20"/>
          <w:lang w:val="pt-BR"/>
        </w:rPr>
      </w:pPr>
    </w:p>
    <w:p w14:paraId="204BAA14" w14:textId="77777777" w:rsidR="009170DC" w:rsidRPr="00847B73" w:rsidRDefault="009170DC" w:rsidP="009170DC">
      <w:pPr>
        <w:spacing w:after="0" w:line="240" w:lineRule="auto"/>
        <w:jc w:val="both"/>
        <w:rPr>
          <w:rFonts w:ascii="Verdana" w:hAnsi="Verdana"/>
          <w:sz w:val="20"/>
          <w:lang w:val="pt-BR"/>
        </w:rPr>
      </w:pPr>
    </w:p>
    <w:p w14:paraId="11C872CC" w14:textId="77777777" w:rsidR="009170DC" w:rsidRDefault="009170DC" w:rsidP="009170DC">
      <w:pPr>
        <w:spacing w:after="0" w:line="240" w:lineRule="auto"/>
        <w:jc w:val="both"/>
        <w:rPr>
          <w:rFonts w:ascii="Verdana" w:hAnsi="Verdana"/>
          <w:sz w:val="20"/>
          <w:lang w:val="pt-BR"/>
        </w:rPr>
      </w:pPr>
    </w:p>
    <w:p w14:paraId="51E8B20F" w14:textId="77777777" w:rsidR="009170DC" w:rsidRPr="00847B73" w:rsidRDefault="009170DC" w:rsidP="009170DC">
      <w:pPr>
        <w:spacing w:after="0" w:line="240" w:lineRule="auto"/>
        <w:jc w:val="both"/>
        <w:rPr>
          <w:rFonts w:ascii="Verdana" w:hAnsi="Verdana"/>
          <w:sz w:val="20"/>
          <w:lang w:val="pt-BR"/>
        </w:rPr>
      </w:pPr>
    </w:p>
    <w:p w14:paraId="6703BAE5" w14:textId="77777777" w:rsidR="009170DC" w:rsidRDefault="009170DC" w:rsidP="009170DC">
      <w:pPr>
        <w:spacing w:after="0" w:line="240" w:lineRule="auto"/>
        <w:rPr>
          <w:rFonts w:ascii="Verdana" w:hAnsi="Verdana"/>
          <w:sz w:val="20"/>
          <w:lang w:val="pt-BR"/>
        </w:rPr>
      </w:pPr>
      <w:r w:rsidRPr="00847B73">
        <w:rPr>
          <w:rFonts w:ascii="Verdana" w:hAnsi="Verdana"/>
          <w:sz w:val="20"/>
          <w:lang w:val="pt-BR"/>
        </w:rPr>
        <w:t xml:space="preserve">Eduardo </w:t>
      </w:r>
      <w:proofErr w:type="spellStart"/>
      <w:r w:rsidRPr="00847B73">
        <w:rPr>
          <w:rFonts w:ascii="Verdana" w:hAnsi="Verdana"/>
          <w:sz w:val="20"/>
          <w:lang w:val="pt-BR"/>
        </w:rPr>
        <w:t>Vio</w:t>
      </w:r>
      <w:proofErr w:type="spellEnd"/>
      <w:r w:rsidRPr="00847B73">
        <w:rPr>
          <w:rFonts w:ascii="Verdana" w:hAnsi="Verdana"/>
          <w:sz w:val="20"/>
          <w:lang w:val="pt-BR"/>
        </w:rPr>
        <w:t xml:space="preserve">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 xml:space="preserve">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p>
    <w:p w14:paraId="1525CE0B" w14:textId="77777777" w:rsidR="009170DC" w:rsidRDefault="009170DC" w:rsidP="009170DC">
      <w:pPr>
        <w:spacing w:after="0" w:line="240" w:lineRule="auto"/>
        <w:rPr>
          <w:rFonts w:ascii="Verdana" w:hAnsi="Verdana"/>
          <w:sz w:val="20"/>
          <w:lang w:val="pt-BR"/>
        </w:rPr>
      </w:pPr>
    </w:p>
    <w:p w14:paraId="665E3038" w14:textId="77777777" w:rsidR="009170DC" w:rsidRDefault="009170DC" w:rsidP="009170DC">
      <w:pPr>
        <w:spacing w:after="0" w:line="240" w:lineRule="auto"/>
        <w:rPr>
          <w:rFonts w:ascii="Verdana" w:hAnsi="Verdana"/>
          <w:sz w:val="20"/>
          <w:lang w:val="pt-BR"/>
        </w:rPr>
      </w:pPr>
    </w:p>
    <w:p w14:paraId="466CC556" w14:textId="77777777" w:rsidR="009170DC" w:rsidRDefault="009170DC" w:rsidP="009170DC">
      <w:pPr>
        <w:spacing w:after="0" w:line="240" w:lineRule="auto"/>
        <w:rPr>
          <w:rFonts w:ascii="Verdana" w:hAnsi="Verdana"/>
          <w:sz w:val="20"/>
          <w:lang w:val="pt-BR"/>
        </w:rPr>
      </w:pPr>
    </w:p>
    <w:p w14:paraId="55DB4AC9" w14:textId="77777777" w:rsidR="009170DC" w:rsidRPr="00847B73" w:rsidRDefault="009170DC" w:rsidP="009170DC">
      <w:pPr>
        <w:spacing w:after="0" w:line="240" w:lineRule="auto"/>
        <w:rPr>
          <w:rFonts w:ascii="Verdana" w:hAnsi="Verdana"/>
          <w:sz w:val="20"/>
          <w:lang w:val="pt-BR"/>
        </w:rPr>
      </w:pPr>
    </w:p>
    <w:p w14:paraId="58D0D2FD" w14:textId="77777777" w:rsidR="009170DC" w:rsidRPr="00847B73" w:rsidRDefault="009170DC" w:rsidP="009170DC">
      <w:pPr>
        <w:spacing w:after="0" w:line="240" w:lineRule="auto"/>
        <w:jc w:val="both"/>
        <w:rPr>
          <w:rFonts w:ascii="Verdana" w:hAnsi="Verdana"/>
          <w:sz w:val="20"/>
          <w:lang w:val="pt-BR"/>
        </w:rPr>
      </w:pPr>
    </w:p>
    <w:p w14:paraId="5E3B292C" w14:textId="77777777" w:rsidR="009170DC" w:rsidRPr="00847B73" w:rsidRDefault="009170DC" w:rsidP="009170DC">
      <w:pPr>
        <w:spacing w:after="0" w:line="240" w:lineRule="auto"/>
        <w:rPr>
          <w:rFonts w:ascii="Verdana" w:hAnsi="Verdana"/>
          <w:sz w:val="20"/>
          <w:lang w:val="pt-BR"/>
        </w:rPr>
      </w:pPr>
      <w:r w:rsidRPr="00847B73">
        <w:rPr>
          <w:rFonts w:ascii="Verdana" w:hAnsi="Verdana"/>
          <w:sz w:val="20"/>
          <w:lang w:val="pt-BR"/>
        </w:rPr>
        <w:t xml:space="preserve">Elizabeth </w:t>
      </w:r>
      <w:proofErr w:type="spellStart"/>
      <w:r w:rsidRPr="00847B73">
        <w:rPr>
          <w:rFonts w:ascii="Verdana" w:hAnsi="Verdana"/>
          <w:sz w:val="20"/>
          <w:lang w:val="pt-BR"/>
        </w:rPr>
        <w:t>Odio</w:t>
      </w:r>
      <w:proofErr w:type="spellEnd"/>
      <w:r w:rsidRPr="00847B73">
        <w:rPr>
          <w:rFonts w:ascii="Verdana" w:hAnsi="Verdana"/>
          <w:sz w:val="20"/>
          <w:lang w:val="pt-BR"/>
        </w:rPr>
        <w:t xml:space="preserve"> Benito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proofErr w:type="gramStart"/>
      <w:r w:rsidRPr="00847B73">
        <w:rPr>
          <w:rFonts w:ascii="Verdana" w:hAnsi="Verdana"/>
          <w:sz w:val="20"/>
          <w:lang w:val="pt-BR"/>
        </w:rPr>
        <w:tab/>
        <w:t xml:space="preserve">  Eugenio</w:t>
      </w:r>
      <w:proofErr w:type="gramEnd"/>
      <w:r w:rsidRPr="00847B73">
        <w:rPr>
          <w:rFonts w:ascii="Verdana" w:hAnsi="Verdana"/>
          <w:sz w:val="20"/>
          <w:lang w:val="pt-BR"/>
        </w:rPr>
        <w:t xml:space="preserve"> </w:t>
      </w:r>
      <w:proofErr w:type="spellStart"/>
      <w:r w:rsidRPr="00847B73">
        <w:rPr>
          <w:rFonts w:ascii="Verdana" w:hAnsi="Verdana"/>
          <w:sz w:val="20"/>
          <w:lang w:val="pt-BR"/>
        </w:rPr>
        <w:t>Raúl</w:t>
      </w:r>
      <w:proofErr w:type="spellEnd"/>
      <w:r w:rsidRPr="00847B73">
        <w:rPr>
          <w:rFonts w:ascii="Verdana" w:hAnsi="Verdana"/>
          <w:sz w:val="20"/>
          <w:lang w:val="pt-BR"/>
        </w:rPr>
        <w:t xml:space="preserve"> </w:t>
      </w:r>
      <w:proofErr w:type="spellStart"/>
      <w:r w:rsidRPr="00847B73">
        <w:rPr>
          <w:rFonts w:ascii="Verdana" w:hAnsi="Verdana"/>
          <w:sz w:val="20"/>
          <w:lang w:val="pt-BR"/>
        </w:rPr>
        <w:t>Zaffaroni</w:t>
      </w:r>
      <w:proofErr w:type="spellEnd"/>
      <w:r w:rsidRPr="00847B73">
        <w:rPr>
          <w:rFonts w:ascii="Verdana" w:hAnsi="Verdana"/>
          <w:sz w:val="20"/>
          <w:lang w:val="pt-BR"/>
        </w:rPr>
        <w:t xml:space="preserve"> </w:t>
      </w:r>
    </w:p>
    <w:p w14:paraId="1EA76117" w14:textId="77777777" w:rsidR="009170DC" w:rsidRPr="00847B73" w:rsidRDefault="009170DC" w:rsidP="009170DC">
      <w:pPr>
        <w:spacing w:after="0" w:line="240" w:lineRule="auto"/>
        <w:rPr>
          <w:rFonts w:ascii="Verdana" w:hAnsi="Verdana"/>
          <w:sz w:val="20"/>
          <w:lang w:val="pt-BR"/>
        </w:rPr>
      </w:pPr>
    </w:p>
    <w:p w14:paraId="16447C9C" w14:textId="77777777" w:rsidR="009170DC" w:rsidRDefault="009170DC" w:rsidP="009170DC">
      <w:pPr>
        <w:spacing w:after="0" w:line="240" w:lineRule="auto"/>
        <w:rPr>
          <w:rFonts w:ascii="Verdana" w:hAnsi="Verdana"/>
          <w:sz w:val="20"/>
          <w:lang w:val="pt-BR"/>
        </w:rPr>
      </w:pPr>
    </w:p>
    <w:p w14:paraId="5C6D2A90" w14:textId="77777777" w:rsidR="009170DC" w:rsidRPr="00847B73" w:rsidRDefault="009170DC" w:rsidP="009170DC">
      <w:pPr>
        <w:spacing w:after="0" w:line="240" w:lineRule="auto"/>
        <w:rPr>
          <w:rFonts w:ascii="Verdana" w:hAnsi="Verdana"/>
          <w:sz w:val="20"/>
          <w:lang w:val="pt-BR"/>
        </w:rPr>
      </w:pPr>
    </w:p>
    <w:p w14:paraId="6306B180" w14:textId="77777777" w:rsidR="009170DC" w:rsidRPr="00847B73" w:rsidRDefault="009170DC" w:rsidP="009170DC">
      <w:pPr>
        <w:spacing w:after="0" w:line="240" w:lineRule="auto"/>
        <w:rPr>
          <w:rFonts w:ascii="Verdana" w:hAnsi="Verdana"/>
          <w:sz w:val="20"/>
          <w:lang w:val="pt-BR"/>
        </w:rPr>
      </w:pPr>
    </w:p>
    <w:p w14:paraId="12D45784" w14:textId="77777777" w:rsidR="009170DC" w:rsidRPr="00847B73" w:rsidRDefault="009170DC" w:rsidP="009170DC">
      <w:pPr>
        <w:spacing w:after="0" w:line="240" w:lineRule="auto"/>
        <w:rPr>
          <w:rFonts w:ascii="Verdana" w:hAnsi="Verdana"/>
          <w:sz w:val="20"/>
          <w:lang w:val="pt-BR"/>
        </w:rPr>
      </w:pPr>
    </w:p>
    <w:p w14:paraId="772E1886" w14:textId="77777777" w:rsidR="009170DC" w:rsidRPr="00847B73" w:rsidRDefault="009170DC" w:rsidP="009170DC">
      <w:pPr>
        <w:spacing w:after="0" w:line="240" w:lineRule="auto"/>
        <w:rPr>
          <w:rFonts w:ascii="Verdana" w:hAnsi="Verdana"/>
          <w:sz w:val="20"/>
          <w:lang w:val="es-CR"/>
        </w:rPr>
      </w:pPr>
      <w:r w:rsidRPr="00847B73">
        <w:rPr>
          <w:rFonts w:ascii="Verdana" w:hAnsi="Verdana"/>
          <w:sz w:val="20"/>
          <w:lang w:val="pt-BR"/>
        </w:rPr>
        <w:t xml:space="preserve">L. </w:t>
      </w:r>
      <w:proofErr w:type="spellStart"/>
      <w:r w:rsidRPr="00847B73">
        <w:rPr>
          <w:rFonts w:ascii="Verdana" w:hAnsi="Verdana"/>
          <w:sz w:val="20"/>
          <w:lang w:val="pt-BR"/>
        </w:rPr>
        <w:t>Patricio</w:t>
      </w:r>
      <w:proofErr w:type="spellEnd"/>
      <w:r w:rsidRPr="00847B73">
        <w:rPr>
          <w:rFonts w:ascii="Verdana" w:hAnsi="Verdana"/>
          <w:sz w:val="20"/>
          <w:lang w:val="pt-BR"/>
        </w:rPr>
        <w:t xml:space="preserve"> </w:t>
      </w:r>
      <w:proofErr w:type="spellStart"/>
      <w:r w:rsidRPr="00847B73">
        <w:rPr>
          <w:rFonts w:ascii="Verdana" w:hAnsi="Verdana"/>
          <w:sz w:val="20"/>
          <w:lang w:val="pt-BR"/>
        </w:rPr>
        <w:t>Pazmiño</w:t>
      </w:r>
      <w:proofErr w:type="spellEnd"/>
      <w:r w:rsidRPr="00847B73">
        <w:rPr>
          <w:rFonts w:ascii="Verdana" w:hAnsi="Verdana"/>
          <w:sz w:val="20"/>
          <w:lang w:val="pt-BR"/>
        </w:rPr>
        <w:t xml:space="preserve"> Freire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es-CR"/>
        </w:rPr>
        <w:t>Ricardo C. Pérez Manrique</w:t>
      </w:r>
    </w:p>
    <w:p w14:paraId="3E6FC803" w14:textId="77777777" w:rsidR="009170DC" w:rsidRPr="00847B73" w:rsidRDefault="009170DC" w:rsidP="009170DC">
      <w:pPr>
        <w:spacing w:after="0" w:line="240" w:lineRule="auto"/>
        <w:jc w:val="both"/>
        <w:rPr>
          <w:rFonts w:ascii="Verdana" w:hAnsi="Verdana"/>
          <w:sz w:val="20"/>
          <w:lang w:val="es-CR"/>
        </w:rPr>
      </w:pPr>
    </w:p>
    <w:p w14:paraId="6158F454" w14:textId="77777777" w:rsidR="009170DC" w:rsidRDefault="009170DC" w:rsidP="009170DC">
      <w:pPr>
        <w:spacing w:after="0" w:line="240" w:lineRule="auto"/>
        <w:jc w:val="both"/>
        <w:rPr>
          <w:rFonts w:ascii="Verdana" w:hAnsi="Verdana"/>
          <w:sz w:val="20"/>
          <w:lang w:val="pt-BR"/>
        </w:rPr>
      </w:pPr>
    </w:p>
    <w:p w14:paraId="2CA2212B" w14:textId="77777777" w:rsidR="009170DC" w:rsidRPr="00847B73" w:rsidRDefault="009170DC" w:rsidP="009170DC">
      <w:pPr>
        <w:spacing w:after="0" w:line="240" w:lineRule="auto"/>
        <w:jc w:val="both"/>
        <w:rPr>
          <w:rFonts w:ascii="Verdana" w:hAnsi="Verdana"/>
          <w:sz w:val="20"/>
          <w:lang w:val="pt-BR"/>
        </w:rPr>
      </w:pPr>
    </w:p>
    <w:p w14:paraId="62DF429D" w14:textId="77777777" w:rsidR="009170DC" w:rsidRPr="00847B73" w:rsidRDefault="009170DC" w:rsidP="009170DC">
      <w:pPr>
        <w:spacing w:after="0" w:line="240" w:lineRule="auto"/>
        <w:jc w:val="both"/>
        <w:rPr>
          <w:rFonts w:ascii="Verdana" w:hAnsi="Verdana"/>
          <w:sz w:val="20"/>
          <w:lang w:val="pt-BR"/>
        </w:rPr>
      </w:pPr>
    </w:p>
    <w:p w14:paraId="2A0B72A1" w14:textId="77777777" w:rsidR="009170DC" w:rsidRPr="00847B73" w:rsidRDefault="009170DC" w:rsidP="009170DC">
      <w:pPr>
        <w:spacing w:after="0" w:line="240" w:lineRule="auto"/>
        <w:jc w:val="both"/>
        <w:rPr>
          <w:rFonts w:ascii="Verdana" w:hAnsi="Verdana"/>
          <w:sz w:val="20"/>
          <w:lang w:val="pt-BR"/>
        </w:rPr>
      </w:pPr>
    </w:p>
    <w:p w14:paraId="14394C0E" w14:textId="77777777" w:rsidR="009170DC" w:rsidRPr="00847B73" w:rsidRDefault="009170DC" w:rsidP="009170DC">
      <w:pPr>
        <w:spacing w:after="0" w:line="240" w:lineRule="auto"/>
        <w:jc w:val="center"/>
        <w:rPr>
          <w:rFonts w:ascii="Verdana" w:hAnsi="Verdana"/>
          <w:sz w:val="20"/>
          <w:lang w:val="pt-BR"/>
        </w:rPr>
      </w:pPr>
      <w:r w:rsidRPr="00847B73">
        <w:rPr>
          <w:rFonts w:ascii="Verdana" w:hAnsi="Verdana"/>
          <w:sz w:val="20"/>
          <w:lang w:val="pt-BR"/>
        </w:rPr>
        <w:t xml:space="preserve">Pablo Saavedra </w:t>
      </w:r>
      <w:proofErr w:type="spellStart"/>
      <w:r w:rsidRPr="00847B73">
        <w:rPr>
          <w:rFonts w:ascii="Verdana" w:hAnsi="Verdana"/>
          <w:sz w:val="20"/>
          <w:lang w:val="pt-BR"/>
        </w:rPr>
        <w:t>Alessandri</w:t>
      </w:r>
      <w:proofErr w:type="spellEnd"/>
    </w:p>
    <w:p w14:paraId="75276616" w14:textId="77777777" w:rsidR="009170DC" w:rsidRPr="00847B73" w:rsidRDefault="009170DC" w:rsidP="009170DC">
      <w:pPr>
        <w:spacing w:after="0" w:line="240" w:lineRule="auto"/>
        <w:jc w:val="center"/>
        <w:rPr>
          <w:rFonts w:ascii="Verdana" w:hAnsi="Verdana"/>
          <w:sz w:val="20"/>
          <w:lang w:val="pt-BR"/>
        </w:rPr>
      </w:pPr>
      <w:r w:rsidRPr="00847B73">
        <w:rPr>
          <w:rFonts w:ascii="Verdana" w:hAnsi="Verdana"/>
          <w:sz w:val="20"/>
          <w:lang w:val="pt-BR"/>
        </w:rPr>
        <w:t>Secretario</w:t>
      </w:r>
    </w:p>
    <w:p w14:paraId="03845242" w14:textId="77777777" w:rsidR="009170DC" w:rsidRPr="00847B73" w:rsidRDefault="009170DC" w:rsidP="009170DC">
      <w:pPr>
        <w:spacing w:after="0" w:line="240" w:lineRule="auto"/>
        <w:rPr>
          <w:rFonts w:ascii="Verdana" w:hAnsi="Verdana"/>
          <w:sz w:val="20"/>
          <w:lang w:val="pt-BR"/>
        </w:rPr>
      </w:pPr>
    </w:p>
    <w:p w14:paraId="06544FA0" w14:textId="77777777" w:rsidR="009170DC" w:rsidRPr="00847B73" w:rsidRDefault="009170DC" w:rsidP="009170DC">
      <w:pPr>
        <w:pStyle w:val="Textonotapie"/>
        <w:rPr>
          <w:rFonts w:ascii="Verdana" w:hAnsi="Verdana"/>
          <w:lang w:val="pt-BR"/>
        </w:rPr>
      </w:pPr>
    </w:p>
    <w:p w14:paraId="6B7F4F97" w14:textId="77777777" w:rsidR="009170DC" w:rsidRPr="00847B73" w:rsidRDefault="009170DC" w:rsidP="009170DC">
      <w:pPr>
        <w:spacing w:after="0" w:line="240" w:lineRule="auto"/>
        <w:jc w:val="both"/>
        <w:rPr>
          <w:rFonts w:ascii="Verdana" w:hAnsi="Verdana"/>
          <w:sz w:val="20"/>
          <w:lang w:val="pt-BR"/>
        </w:rPr>
      </w:pPr>
      <w:proofErr w:type="spellStart"/>
      <w:r w:rsidRPr="00847B73">
        <w:rPr>
          <w:rFonts w:ascii="Verdana" w:hAnsi="Verdana"/>
          <w:sz w:val="20"/>
          <w:lang w:val="pt-BR"/>
        </w:rPr>
        <w:t>Comuníquese</w:t>
      </w:r>
      <w:proofErr w:type="spellEnd"/>
      <w:r w:rsidRPr="00847B73">
        <w:rPr>
          <w:rFonts w:ascii="Verdana" w:hAnsi="Verdana"/>
          <w:sz w:val="20"/>
          <w:lang w:val="pt-BR"/>
        </w:rPr>
        <w:t xml:space="preserve"> y </w:t>
      </w:r>
      <w:proofErr w:type="spellStart"/>
      <w:r w:rsidRPr="00847B73">
        <w:rPr>
          <w:rFonts w:ascii="Verdana" w:hAnsi="Verdana"/>
          <w:sz w:val="20"/>
          <w:lang w:val="pt-BR"/>
        </w:rPr>
        <w:t>ejecútese</w:t>
      </w:r>
      <w:proofErr w:type="spellEnd"/>
      <w:r w:rsidRPr="00847B73">
        <w:rPr>
          <w:rFonts w:ascii="Verdana" w:hAnsi="Verdana"/>
          <w:sz w:val="20"/>
          <w:lang w:val="pt-BR"/>
        </w:rPr>
        <w:t>,</w:t>
      </w:r>
    </w:p>
    <w:p w14:paraId="0E1D42FA" w14:textId="77777777" w:rsidR="009170DC" w:rsidRPr="00847B73" w:rsidRDefault="009170DC" w:rsidP="009170DC">
      <w:pPr>
        <w:spacing w:after="0" w:line="240" w:lineRule="auto"/>
        <w:jc w:val="both"/>
        <w:rPr>
          <w:rFonts w:ascii="Verdana" w:hAnsi="Verdana"/>
          <w:sz w:val="20"/>
          <w:lang w:val="pt-BR"/>
        </w:rPr>
      </w:pPr>
    </w:p>
    <w:p w14:paraId="139F32AF" w14:textId="77777777" w:rsidR="009170DC" w:rsidRPr="00847B73" w:rsidRDefault="009170DC" w:rsidP="009170DC">
      <w:pPr>
        <w:spacing w:after="0" w:line="240" w:lineRule="auto"/>
        <w:jc w:val="both"/>
        <w:rPr>
          <w:rFonts w:ascii="Verdana" w:hAnsi="Verdana"/>
          <w:sz w:val="20"/>
          <w:lang w:val="pt-BR"/>
        </w:rPr>
      </w:pPr>
    </w:p>
    <w:p w14:paraId="5D683073" w14:textId="77777777" w:rsidR="009170DC" w:rsidRPr="00847B73" w:rsidRDefault="009170DC" w:rsidP="009170DC">
      <w:pPr>
        <w:spacing w:after="0" w:line="240" w:lineRule="auto"/>
        <w:jc w:val="both"/>
        <w:rPr>
          <w:rFonts w:ascii="Verdana" w:hAnsi="Verdana"/>
          <w:sz w:val="20"/>
          <w:lang w:val="pt-BR"/>
        </w:rPr>
      </w:pPr>
    </w:p>
    <w:p w14:paraId="0117938F" w14:textId="77777777" w:rsidR="009170DC" w:rsidRDefault="009170DC" w:rsidP="009170DC">
      <w:pPr>
        <w:spacing w:after="0" w:line="240" w:lineRule="auto"/>
        <w:jc w:val="both"/>
        <w:rPr>
          <w:rFonts w:ascii="Verdana" w:hAnsi="Verdana"/>
          <w:sz w:val="20"/>
          <w:lang w:val="pt-BR"/>
        </w:rPr>
      </w:pPr>
    </w:p>
    <w:p w14:paraId="00847805" w14:textId="77777777" w:rsidR="009170DC" w:rsidRPr="00847B73" w:rsidRDefault="009170DC" w:rsidP="009170DC">
      <w:pPr>
        <w:spacing w:after="0" w:line="240" w:lineRule="auto"/>
        <w:jc w:val="both"/>
        <w:rPr>
          <w:rFonts w:ascii="Verdana" w:hAnsi="Verdana"/>
          <w:sz w:val="20"/>
          <w:lang w:val="pt-BR"/>
        </w:rPr>
      </w:pPr>
    </w:p>
    <w:p w14:paraId="74FD0B97" w14:textId="77777777" w:rsidR="009170DC" w:rsidRPr="00847B73" w:rsidRDefault="009170DC" w:rsidP="009170DC">
      <w:pPr>
        <w:spacing w:after="0" w:line="240" w:lineRule="auto"/>
        <w:ind w:left="4956"/>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14:paraId="2AB298E7" w14:textId="77777777" w:rsidR="009170DC" w:rsidRPr="00847B73" w:rsidRDefault="009170DC" w:rsidP="009170DC">
      <w:pPr>
        <w:spacing w:after="0" w:line="240" w:lineRule="auto"/>
        <w:ind w:left="4956"/>
        <w:jc w:val="center"/>
        <w:rPr>
          <w:rFonts w:ascii="Verdana" w:hAnsi="Verdana"/>
          <w:sz w:val="20"/>
          <w:lang w:val="pt-BR"/>
        </w:rPr>
      </w:pPr>
      <w:r w:rsidRPr="00847B73">
        <w:rPr>
          <w:rFonts w:ascii="Verdana" w:hAnsi="Verdana"/>
          <w:sz w:val="20"/>
          <w:lang w:val="pt-BR"/>
        </w:rPr>
        <w:t>Presidente</w:t>
      </w:r>
    </w:p>
    <w:p w14:paraId="20A09695" w14:textId="77777777" w:rsidR="009170DC" w:rsidRDefault="009170DC" w:rsidP="009170DC">
      <w:pPr>
        <w:spacing w:after="0" w:line="240" w:lineRule="auto"/>
        <w:jc w:val="both"/>
        <w:rPr>
          <w:rFonts w:ascii="Verdana" w:hAnsi="Verdana"/>
          <w:sz w:val="20"/>
          <w:lang w:val="pt-BR"/>
        </w:rPr>
      </w:pPr>
    </w:p>
    <w:p w14:paraId="4BBDA29A" w14:textId="77777777" w:rsidR="009170DC" w:rsidRPr="00847B73" w:rsidRDefault="009170DC" w:rsidP="009170DC">
      <w:pPr>
        <w:spacing w:after="0" w:line="240" w:lineRule="auto"/>
        <w:jc w:val="both"/>
        <w:rPr>
          <w:rFonts w:ascii="Verdana" w:hAnsi="Verdana"/>
          <w:sz w:val="20"/>
          <w:lang w:val="pt-BR"/>
        </w:rPr>
      </w:pPr>
    </w:p>
    <w:p w14:paraId="4513CAEE" w14:textId="77777777" w:rsidR="009170DC" w:rsidRPr="00847B73" w:rsidRDefault="009170DC" w:rsidP="009170DC">
      <w:pPr>
        <w:spacing w:after="0" w:line="240" w:lineRule="auto"/>
        <w:jc w:val="both"/>
        <w:rPr>
          <w:rFonts w:ascii="Verdana" w:hAnsi="Verdana"/>
          <w:sz w:val="20"/>
          <w:lang w:val="pt-BR"/>
        </w:rPr>
      </w:pPr>
    </w:p>
    <w:p w14:paraId="235CF643" w14:textId="77777777" w:rsidR="009170DC" w:rsidRPr="00847B73" w:rsidRDefault="009170DC" w:rsidP="009170DC">
      <w:pPr>
        <w:spacing w:after="0" w:line="240" w:lineRule="auto"/>
        <w:jc w:val="both"/>
        <w:rPr>
          <w:rFonts w:ascii="Verdana" w:hAnsi="Verdana"/>
          <w:sz w:val="20"/>
          <w:lang w:val="pt-BR"/>
        </w:rPr>
      </w:pPr>
    </w:p>
    <w:p w14:paraId="40602E19" w14:textId="77777777" w:rsidR="009170DC" w:rsidRPr="00847B73" w:rsidRDefault="009170DC" w:rsidP="009170DC">
      <w:pPr>
        <w:spacing w:after="0" w:line="240" w:lineRule="auto"/>
        <w:jc w:val="both"/>
        <w:rPr>
          <w:rFonts w:ascii="Verdana" w:hAnsi="Verdana"/>
          <w:sz w:val="20"/>
          <w:lang w:val="es-ES"/>
        </w:rPr>
      </w:pPr>
      <w:r w:rsidRPr="00847B73">
        <w:rPr>
          <w:rFonts w:ascii="Verdana" w:hAnsi="Verdana"/>
          <w:sz w:val="20"/>
          <w:lang w:val="es-ES"/>
        </w:rPr>
        <w:t>Pablo Saavedra Alessandri</w:t>
      </w:r>
    </w:p>
    <w:p w14:paraId="44D5530B" w14:textId="77777777" w:rsidR="009170DC" w:rsidRPr="00FC7D8B" w:rsidRDefault="009170DC" w:rsidP="009170DC">
      <w:pPr>
        <w:spacing w:after="0" w:line="240" w:lineRule="auto"/>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14:paraId="6B0C7B1B" w14:textId="77777777" w:rsidR="00846413" w:rsidRPr="00754B1D" w:rsidRDefault="00846413" w:rsidP="00B06955">
      <w:pPr>
        <w:tabs>
          <w:tab w:val="left" w:pos="567"/>
        </w:tabs>
        <w:spacing w:after="0"/>
        <w:jc w:val="both"/>
        <w:rPr>
          <w:rFonts w:ascii="Verdana" w:hAnsi="Verdana"/>
          <w:sz w:val="20"/>
          <w:szCs w:val="20"/>
          <w:lang w:val="es-CR"/>
        </w:rPr>
      </w:pPr>
    </w:p>
    <w:sectPr w:rsidR="00846413" w:rsidRPr="00754B1D" w:rsidSect="00E71DB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27BE3" w14:textId="77777777" w:rsidR="00D40C6F" w:rsidRDefault="00D40C6F" w:rsidP="005A1B3D">
      <w:pPr>
        <w:spacing w:after="0" w:line="240" w:lineRule="auto"/>
      </w:pPr>
      <w:r>
        <w:separator/>
      </w:r>
    </w:p>
  </w:endnote>
  <w:endnote w:type="continuationSeparator" w:id="0">
    <w:p w14:paraId="2B87FC4D" w14:textId="77777777" w:rsidR="00D40C6F" w:rsidRDefault="00D40C6F" w:rsidP="005A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MS">
    <w:charset w:val="00"/>
    <w:family w:val="swiss"/>
    <w:pitch w:val="variable"/>
    <w:sig w:usb0="00000287" w:usb1="00000000" w:usb2="00000000" w:usb3="00000000" w:csb0="0000009F" w:csb1="00000000"/>
  </w:font>
  <w:font w:name="URWBookmanL-Lig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DAA9" w14:textId="77777777" w:rsidR="00601E30" w:rsidRDefault="00601E30" w:rsidP="0006620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B7870" w14:textId="77777777" w:rsidR="00D40C6F" w:rsidRDefault="00D40C6F" w:rsidP="005A1B3D">
      <w:pPr>
        <w:spacing w:after="0" w:line="240" w:lineRule="auto"/>
      </w:pPr>
      <w:r>
        <w:separator/>
      </w:r>
    </w:p>
  </w:footnote>
  <w:footnote w:type="continuationSeparator" w:id="0">
    <w:p w14:paraId="1A8DDC64" w14:textId="77777777" w:rsidR="00D40C6F" w:rsidRDefault="00D40C6F" w:rsidP="005A1B3D">
      <w:pPr>
        <w:spacing w:after="0" w:line="240" w:lineRule="auto"/>
      </w:pPr>
      <w:r>
        <w:continuationSeparator/>
      </w:r>
    </w:p>
  </w:footnote>
  <w:footnote w:id="1">
    <w:p w14:paraId="4F6FEABB" w14:textId="10B85CB9" w:rsidR="00601E30" w:rsidRPr="00477E3A" w:rsidRDefault="00601E30" w:rsidP="00477E3A">
      <w:pPr>
        <w:pStyle w:val="Textonotapie"/>
        <w:tabs>
          <w:tab w:val="left" w:pos="450"/>
        </w:tabs>
        <w:jc w:val="both"/>
        <w:rPr>
          <w:rFonts w:ascii="Verdana" w:hAnsi="Verdana"/>
          <w:sz w:val="16"/>
          <w:szCs w:val="16"/>
          <w:lang w:val="es-CR"/>
        </w:rPr>
      </w:pPr>
      <w:r w:rsidRPr="00477E3A">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sidRPr="00477E3A">
        <w:rPr>
          <w:rFonts w:ascii="Verdana" w:hAnsi="Verdana"/>
          <w:i/>
          <w:sz w:val="16"/>
          <w:szCs w:val="16"/>
          <w:lang w:val="es-CR"/>
        </w:rPr>
        <w:t xml:space="preserve">Cfr. </w:t>
      </w:r>
      <w:r w:rsidRPr="00477E3A">
        <w:rPr>
          <w:rStyle w:val="Textoennegrita"/>
          <w:rFonts w:ascii="Verdana" w:hAnsi="Verdana"/>
          <w:b w:val="0"/>
          <w:i/>
          <w:color w:val="000000"/>
          <w:sz w:val="16"/>
          <w:szCs w:val="16"/>
          <w:shd w:val="clear" w:color="auto" w:fill="FFFFFF"/>
          <w:lang w:val="es-CR"/>
        </w:rPr>
        <w:t>Caso Comunidad Garífuna de Punta Piedra y sus miembros Vs. Honduras. Excepciones Preliminares, Fondo, Reparaciones y Costas</w:t>
      </w:r>
      <w:r w:rsidRPr="00477E3A">
        <w:rPr>
          <w:rStyle w:val="Textoennegrita"/>
          <w:rFonts w:ascii="Verdana" w:hAnsi="Verdana"/>
          <w:b w:val="0"/>
          <w:color w:val="000000"/>
          <w:sz w:val="16"/>
          <w:szCs w:val="16"/>
          <w:shd w:val="clear" w:color="auto" w:fill="FFFFFF"/>
          <w:lang w:val="es-CR"/>
        </w:rPr>
        <w:t xml:space="preserve">. Sentencia de 8 de octubre de 2015. Serie C No. 304. El texto íntegro de la Sentencia se encuentra disponible en: </w:t>
      </w:r>
      <w:hyperlink r:id="rId1" w:history="1">
        <w:r w:rsidRPr="00477E3A">
          <w:rPr>
            <w:rStyle w:val="Hipervnculo"/>
            <w:rFonts w:ascii="Verdana" w:hAnsi="Verdana"/>
            <w:sz w:val="16"/>
            <w:szCs w:val="16"/>
            <w:shd w:val="clear" w:color="auto" w:fill="FFFFFF"/>
            <w:lang w:val="es-CR"/>
          </w:rPr>
          <w:t>http://www.corteidh.or.cr/docs/casos/articulos/seriec_304_esp.pdf</w:t>
        </w:r>
      </w:hyperlink>
      <w:r w:rsidRPr="00477E3A">
        <w:rPr>
          <w:rStyle w:val="Textoennegrita"/>
          <w:rFonts w:ascii="Verdana" w:hAnsi="Verdana"/>
          <w:b w:val="0"/>
          <w:color w:val="000000"/>
          <w:sz w:val="16"/>
          <w:szCs w:val="16"/>
          <w:shd w:val="clear" w:color="auto" w:fill="FFFFFF"/>
          <w:lang w:val="es-CR"/>
        </w:rPr>
        <w:t>. La Sentencia fue notificada al Est</w:t>
      </w:r>
      <w:r>
        <w:rPr>
          <w:rStyle w:val="Textoennegrita"/>
          <w:rFonts w:ascii="Verdana" w:hAnsi="Verdana"/>
          <w:b w:val="0"/>
          <w:color w:val="000000"/>
          <w:sz w:val="16"/>
          <w:szCs w:val="16"/>
          <w:shd w:val="clear" w:color="auto" w:fill="FFFFFF"/>
          <w:lang w:val="es-CR"/>
        </w:rPr>
        <w:t>ado el 18 de diciembre de 2015.</w:t>
      </w:r>
    </w:p>
  </w:footnote>
  <w:footnote w:id="2">
    <w:p w14:paraId="138CDB08" w14:textId="0B8C65D7" w:rsidR="00601E30" w:rsidRPr="006708FF" w:rsidRDefault="00601E30" w:rsidP="00477E3A">
      <w:pPr>
        <w:pStyle w:val="Textonotapie"/>
        <w:tabs>
          <w:tab w:val="left" w:pos="450"/>
        </w:tabs>
        <w:jc w:val="both"/>
        <w:rPr>
          <w:rFonts w:ascii="Verdana" w:hAnsi="Verdana"/>
          <w:sz w:val="16"/>
          <w:szCs w:val="16"/>
          <w:lang w:val="es-CR"/>
        </w:rPr>
      </w:pPr>
      <w:r w:rsidRPr="00477E3A">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sidRPr="00477E3A">
        <w:rPr>
          <w:rFonts w:ascii="Verdana" w:hAnsi="Verdana"/>
          <w:sz w:val="16"/>
          <w:szCs w:val="16"/>
          <w:lang w:val="es-CR"/>
        </w:rPr>
        <w:t>Escr</w:t>
      </w:r>
      <w:r>
        <w:rPr>
          <w:rFonts w:ascii="Verdana" w:hAnsi="Verdana"/>
          <w:sz w:val="16"/>
          <w:szCs w:val="16"/>
          <w:lang w:val="es-CR"/>
        </w:rPr>
        <w:t>itos de 20 de diciembre de 2016, 10 de enero y 19</w:t>
      </w:r>
      <w:r w:rsidRPr="00477E3A">
        <w:rPr>
          <w:rFonts w:ascii="Verdana" w:hAnsi="Verdana"/>
          <w:sz w:val="16"/>
          <w:szCs w:val="16"/>
          <w:lang w:val="es-CR"/>
        </w:rPr>
        <w:t xml:space="preserve"> de diciembre de 2017</w:t>
      </w:r>
      <w:r>
        <w:rPr>
          <w:rFonts w:ascii="Verdana" w:hAnsi="Verdana"/>
          <w:sz w:val="16"/>
          <w:szCs w:val="16"/>
          <w:lang w:val="es-CR"/>
        </w:rPr>
        <w:t>,</w:t>
      </w:r>
      <w:r w:rsidRPr="00477E3A">
        <w:rPr>
          <w:rFonts w:ascii="Verdana" w:hAnsi="Verdana"/>
          <w:sz w:val="16"/>
          <w:szCs w:val="16"/>
          <w:lang w:val="es-CR"/>
        </w:rPr>
        <w:t xml:space="preserve"> </w:t>
      </w:r>
      <w:r>
        <w:rPr>
          <w:rFonts w:ascii="Verdana" w:hAnsi="Verdana"/>
          <w:sz w:val="16"/>
          <w:szCs w:val="16"/>
          <w:lang w:val="es-CR"/>
        </w:rPr>
        <w:t>15 de febrero y 25</w:t>
      </w:r>
      <w:r w:rsidRPr="00477E3A">
        <w:rPr>
          <w:rFonts w:ascii="Verdana" w:hAnsi="Verdana"/>
          <w:sz w:val="16"/>
          <w:szCs w:val="16"/>
          <w:lang w:val="es-CR"/>
        </w:rPr>
        <w:t xml:space="preserve"> de mayo de 2018</w:t>
      </w:r>
      <w:r>
        <w:rPr>
          <w:rFonts w:ascii="Verdana" w:hAnsi="Verdana"/>
          <w:sz w:val="16"/>
          <w:szCs w:val="16"/>
          <w:lang w:val="es-CR"/>
        </w:rPr>
        <w:t>, y 30 de abril de 2019.</w:t>
      </w:r>
    </w:p>
  </w:footnote>
  <w:footnote w:id="3">
    <w:p w14:paraId="1DBB863E" w14:textId="52FC3DC4" w:rsidR="00601E30" w:rsidRPr="00477E3A" w:rsidRDefault="00601E30" w:rsidP="00477E3A">
      <w:pPr>
        <w:pStyle w:val="Textonotapie"/>
        <w:tabs>
          <w:tab w:val="left" w:pos="426"/>
        </w:tabs>
        <w:jc w:val="both"/>
        <w:rPr>
          <w:rFonts w:ascii="Verdana" w:hAnsi="Verdana"/>
          <w:sz w:val="16"/>
          <w:szCs w:val="16"/>
          <w:lang w:val="es-CR"/>
        </w:rPr>
      </w:pPr>
      <w:r w:rsidRPr="00477E3A">
        <w:rPr>
          <w:rStyle w:val="Refdenotaalpie"/>
          <w:rFonts w:ascii="Verdana" w:hAnsi="Verdana"/>
          <w:sz w:val="16"/>
          <w:szCs w:val="16"/>
        </w:rPr>
        <w:footnoteRef/>
      </w:r>
      <w:r w:rsidRPr="00477E3A">
        <w:rPr>
          <w:rFonts w:ascii="Verdana" w:hAnsi="Verdana"/>
          <w:sz w:val="16"/>
          <w:szCs w:val="16"/>
          <w:lang w:val="es-CR"/>
        </w:rPr>
        <w:t xml:space="preserve"> </w:t>
      </w:r>
      <w:r w:rsidRPr="00477E3A">
        <w:rPr>
          <w:rFonts w:ascii="Verdana" w:hAnsi="Verdana"/>
          <w:sz w:val="16"/>
          <w:szCs w:val="16"/>
          <w:lang w:val="es-CR"/>
        </w:rPr>
        <w:tab/>
        <w:t>Los representantes en este caso son</w:t>
      </w:r>
      <w:r>
        <w:rPr>
          <w:rFonts w:ascii="Verdana" w:hAnsi="Verdana"/>
          <w:sz w:val="16"/>
          <w:szCs w:val="16"/>
          <w:lang w:val="es-CR"/>
        </w:rPr>
        <w:t xml:space="preserve"> </w:t>
      </w:r>
      <w:r w:rsidRPr="00477E3A">
        <w:rPr>
          <w:rFonts w:ascii="Verdana" w:hAnsi="Verdana"/>
          <w:sz w:val="16"/>
          <w:szCs w:val="16"/>
          <w:lang w:val="es-CR"/>
        </w:rPr>
        <w:t>la Organización Fraternal Negra Hondureña (OFRANEH)</w:t>
      </w:r>
      <w:r>
        <w:rPr>
          <w:rFonts w:ascii="Verdana" w:hAnsi="Verdana"/>
          <w:sz w:val="16"/>
          <w:szCs w:val="16"/>
          <w:lang w:val="es-CR"/>
        </w:rPr>
        <w:t xml:space="preserve"> y</w:t>
      </w:r>
      <w:r w:rsidRPr="00477E3A">
        <w:rPr>
          <w:rFonts w:ascii="Verdana" w:hAnsi="Verdana"/>
          <w:sz w:val="16"/>
          <w:szCs w:val="16"/>
          <w:lang w:val="es-CR"/>
        </w:rPr>
        <w:t xml:space="preserve"> el señor Christian A. Callejas Escoto.</w:t>
      </w:r>
    </w:p>
  </w:footnote>
  <w:footnote w:id="4">
    <w:p w14:paraId="3E19C52D" w14:textId="2049B471" w:rsidR="00601E30" w:rsidRPr="006708FF" w:rsidRDefault="00601E30" w:rsidP="00477E3A">
      <w:pPr>
        <w:pStyle w:val="Textonotapie"/>
        <w:tabs>
          <w:tab w:val="left" w:pos="426"/>
        </w:tabs>
        <w:jc w:val="both"/>
        <w:rPr>
          <w:rFonts w:ascii="Verdana" w:hAnsi="Verdana"/>
          <w:sz w:val="16"/>
          <w:szCs w:val="16"/>
          <w:lang w:val="es-CR"/>
        </w:rPr>
      </w:pPr>
      <w:r w:rsidRPr="00477E3A">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sidRPr="00477E3A">
        <w:rPr>
          <w:rFonts w:ascii="Verdana" w:hAnsi="Verdana"/>
          <w:sz w:val="16"/>
          <w:szCs w:val="16"/>
          <w:lang w:val="es-CR"/>
        </w:rPr>
        <w:t>Escritos de 28 de julio, 29 de sept</w:t>
      </w:r>
      <w:r>
        <w:rPr>
          <w:rFonts w:ascii="Verdana" w:hAnsi="Verdana"/>
          <w:sz w:val="16"/>
          <w:szCs w:val="16"/>
          <w:lang w:val="es-CR"/>
        </w:rPr>
        <w:t>iembre y 3 de noviembre de 2017,</w:t>
      </w:r>
      <w:r w:rsidRPr="00477E3A">
        <w:rPr>
          <w:rFonts w:ascii="Verdana" w:hAnsi="Verdana"/>
          <w:b/>
          <w:sz w:val="16"/>
          <w:szCs w:val="16"/>
          <w:lang w:val="es-CR"/>
        </w:rPr>
        <w:t xml:space="preserve"> </w:t>
      </w:r>
      <w:r>
        <w:rPr>
          <w:rFonts w:ascii="Verdana" w:hAnsi="Verdana"/>
          <w:sz w:val="16"/>
          <w:szCs w:val="16"/>
          <w:lang w:val="es-CR"/>
        </w:rPr>
        <w:t>y 8 de febrero, 26</w:t>
      </w:r>
      <w:r w:rsidRPr="00477E3A">
        <w:rPr>
          <w:rFonts w:ascii="Verdana" w:hAnsi="Verdana"/>
          <w:sz w:val="16"/>
          <w:szCs w:val="16"/>
          <w:lang w:val="es-CR"/>
        </w:rPr>
        <w:t xml:space="preserve"> de abril y 17 de</w:t>
      </w:r>
      <w:r>
        <w:rPr>
          <w:rFonts w:ascii="Verdana" w:hAnsi="Verdana"/>
          <w:sz w:val="16"/>
          <w:szCs w:val="16"/>
          <w:lang w:val="es-CR"/>
        </w:rPr>
        <w:t xml:space="preserve"> mayo de 2018</w:t>
      </w:r>
      <w:r w:rsidRPr="009F5745">
        <w:rPr>
          <w:rFonts w:ascii="Verdana" w:hAnsi="Verdana"/>
          <w:sz w:val="16"/>
          <w:szCs w:val="16"/>
          <w:lang w:val="es-CR"/>
        </w:rPr>
        <w:t>.</w:t>
      </w:r>
    </w:p>
  </w:footnote>
  <w:footnote w:id="5">
    <w:p w14:paraId="1C639424" w14:textId="5F455B70" w:rsidR="00601E30" w:rsidRPr="00477E3A" w:rsidRDefault="00601E30" w:rsidP="00477E3A">
      <w:pPr>
        <w:pStyle w:val="Textonotapie"/>
        <w:tabs>
          <w:tab w:val="left" w:pos="426"/>
        </w:tabs>
        <w:jc w:val="both"/>
        <w:rPr>
          <w:rFonts w:ascii="Verdana" w:hAnsi="Verdana"/>
          <w:sz w:val="16"/>
          <w:szCs w:val="16"/>
          <w:lang w:val="es-CR"/>
        </w:rPr>
      </w:pPr>
      <w:r w:rsidRPr="00477E3A">
        <w:rPr>
          <w:rStyle w:val="Refdenotaalpie"/>
          <w:rFonts w:ascii="Verdana" w:hAnsi="Verdana"/>
          <w:sz w:val="16"/>
          <w:szCs w:val="16"/>
        </w:rPr>
        <w:footnoteRef/>
      </w:r>
      <w:r w:rsidRPr="00477E3A">
        <w:rPr>
          <w:rFonts w:ascii="Verdana" w:hAnsi="Verdana"/>
          <w:sz w:val="16"/>
          <w:szCs w:val="16"/>
          <w:lang w:val="es-CR"/>
        </w:rPr>
        <w:t xml:space="preserve"> </w:t>
      </w:r>
      <w:r w:rsidRPr="00477E3A">
        <w:rPr>
          <w:rFonts w:ascii="Verdana" w:hAnsi="Verdana"/>
          <w:sz w:val="16"/>
          <w:szCs w:val="16"/>
          <w:lang w:val="es-CR"/>
        </w:rPr>
        <w:tab/>
        <w:t xml:space="preserve">Fue convocada siguiendo instrucciones del </w:t>
      </w:r>
      <w:proofErr w:type="gramStart"/>
      <w:r w:rsidRPr="00477E3A">
        <w:rPr>
          <w:rFonts w:ascii="Verdana" w:hAnsi="Verdana"/>
          <w:sz w:val="16"/>
          <w:szCs w:val="16"/>
          <w:lang w:val="es-CR"/>
        </w:rPr>
        <w:t>Presidente</w:t>
      </w:r>
      <w:proofErr w:type="gramEnd"/>
      <w:r w:rsidRPr="00477E3A">
        <w:rPr>
          <w:rFonts w:ascii="Verdana" w:hAnsi="Verdana"/>
          <w:sz w:val="16"/>
          <w:szCs w:val="16"/>
          <w:lang w:val="es-CR"/>
        </w:rPr>
        <w:t xml:space="preserve"> de la Corte Interamericana, mediante nota de la Secr</w:t>
      </w:r>
      <w:r>
        <w:rPr>
          <w:rFonts w:ascii="Verdana" w:hAnsi="Verdana"/>
          <w:sz w:val="16"/>
          <w:szCs w:val="16"/>
          <w:lang w:val="es-CR"/>
        </w:rPr>
        <w:t>etaría de 5 de octubre de 2018.</w:t>
      </w:r>
    </w:p>
  </w:footnote>
  <w:footnote w:id="6">
    <w:p w14:paraId="3336DBCE" w14:textId="74763265" w:rsidR="00601E30" w:rsidRPr="00477E3A" w:rsidRDefault="00601E30" w:rsidP="00477E3A">
      <w:pPr>
        <w:pStyle w:val="Textonotapie"/>
        <w:tabs>
          <w:tab w:val="left" w:pos="426"/>
        </w:tabs>
        <w:jc w:val="both"/>
        <w:rPr>
          <w:rFonts w:ascii="Verdana" w:hAnsi="Verdana"/>
          <w:sz w:val="16"/>
          <w:szCs w:val="16"/>
          <w:lang w:val="es-CR"/>
        </w:rPr>
      </w:pPr>
      <w:r w:rsidRPr="00477E3A">
        <w:rPr>
          <w:rStyle w:val="Refdenotaalpie"/>
          <w:rFonts w:ascii="Verdana" w:hAnsi="Verdana"/>
          <w:sz w:val="16"/>
          <w:szCs w:val="16"/>
        </w:rPr>
        <w:footnoteRef/>
      </w:r>
      <w:r w:rsidRPr="00477E3A">
        <w:rPr>
          <w:rFonts w:ascii="Verdana" w:hAnsi="Verdana"/>
          <w:sz w:val="16"/>
          <w:szCs w:val="16"/>
          <w:lang w:val="es-CR"/>
        </w:rPr>
        <w:t xml:space="preserve"> </w:t>
      </w:r>
      <w:r w:rsidRPr="00477E3A">
        <w:rPr>
          <w:rFonts w:ascii="Verdana" w:hAnsi="Verdana"/>
          <w:sz w:val="16"/>
          <w:szCs w:val="16"/>
          <w:lang w:val="es-CR"/>
        </w:rPr>
        <w:tab/>
        <w:t xml:space="preserve">A esta audiencia comparecieron: a) por el Estado: Ricardo Lara Watson, Subprocurador General de la República </w:t>
      </w:r>
      <w:r>
        <w:rPr>
          <w:rFonts w:ascii="Verdana" w:hAnsi="Verdana"/>
          <w:sz w:val="16"/>
          <w:szCs w:val="16"/>
          <w:lang w:val="es-CR"/>
        </w:rPr>
        <w:t xml:space="preserve">y </w:t>
      </w:r>
      <w:r w:rsidRPr="00477E3A">
        <w:rPr>
          <w:rFonts w:ascii="Verdana" w:hAnsi="Verdana"/>
          <w:sz w:val="16"/>
          <w:szCs w:val="16"/>
          <w:lang w:val="es-CR"/>
        </w:rPr>
        <w:t xml:space="preserve">Agente alterno, y Nelson Molina, Director de Consultoría, Derechos Humanos y Litigios Internacionales de la Procuraduría General de la República y Agente alterno; b) por </w:t>
      </w:r>
      <w:r w:rsidRPr="00477E3A">
        <w:rPr>
          <w:rFonts w:ascii="Verdana" w:hAnsi="Verdana"/>
          <w:color w:val="000000"/>
          <w:sz w:val="16"/>
          <w:szCs w:val="16"/>
          <w:shd w:val="clear" w:color="auto" w:fill="FFFFFF"/>
          <w:lang w:val="es-CR"/>
        </w:rPr>
        <w:t xml:space="preserve">los miembros de las Comunidades Garífunas y sus </w:t>
      </w:r>
      <w:r w:rsidRPr="00477E3A">
        <w:rPr>
          <w:rFonts w:ascii="Verdana" w:hAnsi="Verdana"/>
          <w:sz w:val="16"/>
          <w:szCs w:val="16"/>
          <w:lang w:val="es-CR"/>
        </w:rPr>
        <w:t xml:space="preserve">representantes: Marlon Roberto Gutiérrez Suazo, Donaldo Velásquez Ávila, Tiburcia Ávila Castillo, Armando Castillo Núñez, Edito Suazo Ávila, Doroteo Thomas Rodríguez y Matías Thomas, miembros de la Comunidad Garífuna de Punta Piedra; Jenny Ramona Herrera Álvarez, Teresa Reyes </w:t>
      </w:r>
      <w:proofErr w:type="spellStart"/>
      <w:r w:rsidRPr="00477E3A">
        <w:rPr>
          <w:rFonts w:ascii="Verdana" w:hAnsi="Verdana"/>
          <w:sz w:val="16"/>
          <w:szCs w:val="16"/>
          <w:lang w:val="es-CR"/>
        </w:rPr>
        <w:t>Reyes</w:t>
      </w:r>
      <w:proofErr w:type="spellEnd"/>
      <w:r w:rsidRPr="00477E3A">
        <w:rPr>
          <w:rFonts w:ascii="Verdana" w:hAnsi="Verdana"/>
          <w:sz w:val="16"/>
          <w:szCs w:val="16"/>
          <w:lang w:val="es-CR"/>
        </w:rPr>
        <w:t xml:space="preserve">, Ángel Castro Martínez, Carlos Alberto </w:t>
      </w:r>
      <w:proofErr w:type="spellStart"/>
      <w:r w:rsidRPr="00477E3A">
        <w:rPr>
          <w:rFonts w:ascii="Verdana" w:hAnsi="Verdana"/>
          <w:sz w:val="16"/>
          <w:szCs w:val="16"/>
          <w:lang w:val="es-CR"/>
        </w:rPr>
        <w:t>Sambula</w:t>
      </w:r>
      <w:proofErr w:type="spellEnd"/>
      <w:r w:rsidRPr="00477E3A">
        <w:rPr>
          <w:rFonts w:ascii="Verdana" w:hAnsi="Verdana"/>
          <w:sz w:val="16"/>
          <w:szCs w:val="16"/>
          <w:lang w:val="es-CR"/>
        </w:rPr>
        <w:t xml:space="preserve">, Alberth </w:t>
      </w:r>
      <w:proofErr w:type="spellStart"/>
      <w:r w:rsidRPr="00477E3A">
        <w:rPr>
          <w:rFonts w:ascii="Verdana" w:hAnsi="Verdana"/>
          <w:sz w:val="16"/>
          <w:szCs w:val="16"/>
          <w:lang w:val="es-CR"/>
        </w:rPr>
        <w:t>Snider</w:t>
      </w:r>
      <w:proofErr w:type="spellEnd"/>
      <w:r w:rsidRPr="00477E3A">
        <w:rPr>
          <w:rFonts w:ascii="Verdana" w:hAnsi="Verdana"/>
          <w:sz w:val="16"/>
          <w:szCs w:val="16"/>
          <w:lang w:val="es-CR"/>
        </w:rPr>
        <w:t xml:space="preserve"> Centeno Thomas y Doris </w:t>
      </w:r>
      <w:proofErr w:type="spellStart"/>
      <w:r w:rsidRPr="00477E3A">
        <w:rPr>
          <w:rFonts w:ascii="Verdana" w:hAnsi="Verdana"/>
          <w:sz w:val="16"/>
          <w:szCs w:val="16"/>
          <w:lang w:val="es-CR"/>
        </w:rPr>
        <w:t>Rinabett</w:t>
      </w:r>
      <w:proofErr w:type="spellEnd"/>
      <w:r w:rsidRPr="00477E3A">
        <w:rPr>
          <w:rFonts w:ascii="Verdana" w:hAnsi="Verdana"/>
          <w:sz w:val="16"/>
          <w:szCs w:val="16"/>
          <w:lang w:val="es-CR"/>
        </w:rPr>
        <w:t xml:space="preserve"> Benedict, miembros de la Comunidad Garífuna Triunfo de la Cruz; Miriam Merced Miranda Chamorro, Marvin Alexander </w:t>
      </w:r>
      <w:proofErr w:type="spellStart"/>
      <w:r w:rsidRPr="00477E3A">
        <w:rPr>
          <w:rFonts w:ascii="Verdana" w:hAnsi="Verdana"/>
          <w:sz w:val="16"/>
          <w:szCs w:val="16"/>
          <w:lang w:val="es-CR"/>
        </w:rPr>
        <w:t>Guity</w:t>
      </w:r>
      <w:proofErr w:type="spellEnd"/>
      <w:r w:rsidRPr="00477E3A">
        <w:rPr>
          <w:rFonts w:ascii="Verdana" w:hAnsi="Verdana"/>
          <w:sz w:val="16"/>
          <w:szCs w:val="16"/>
          <w:lang w:val="es-CR"/>
        </w:rPr>
        <w:t xml:space="preserve"> Valerio, Cesar Geovany Bernárdez Herrera, </w:t>
      </w:r>
      <w:proofErr w:type="spellStart"/>
      <w:r w:rsidRPr="00477E3A">
        <w:rPr>
          <w:rFonts w:ascii="Verdana" w:hAnsi="Verdana"/>
          <w:sz w:val="16"/>
          <w:szCs w:val="16"/>
          <w:lang w:val="es-CR"/>
        </w:rPr>
        <w:t>Malbin</w:t>
      </w:r>
      <w:proofErr w:type="spellEnd"/>
      <w:r w:rsidRPr="00477E3A">
        <w:rPr>
          <w:rFonts w:ascii="Verdana" w:hAnsi="Verdana"/>
          <w:sz w:val="16"/>
          <w:szCs w:val="16"/>
          <w:lang w:val="es-CR"/>
        </w:rPr>
        <w:t xml:space="preserve"> Iván </w:t>
      </w:r>
      <w:proofErr w:type="spellStart"/>
      <w:r w:rsidRPr="00477E3A">
        <w:rPr>
          <w:rFonts w:ascii="Verdana" w:hAnsi="Verdana"/>
          <w:sz w:val="16"/>
          <w:szCs w:val="16"/>
          <w:lang w:val="es-CR"/>
        </w:rPr>
        <w:t>Norales</w:t>
      </w:r>
      <w:proofErr w:type="spellEnd"/>
      <w:r w:rsidRPr="00477E3A">
        <w:rPr>
          <w:rFonts w:ascii="Verdana" w:hAnsi="Verdana"/>
          <w:sz w:val="16"/>
          <w:szCs w:val="16"/>
          <w:lang w:val="es-CR"/>
        </w:rPr>
        <w:t xml:space="preserve"> Gil, José Antonio </w:t>
      </w:r>
      <w:proofErr w:type="spellStart"/>
      <w:r w:rsidRPr="00477E3A">
        <w:rPr>
          <w:rFonts w:ascii="Verdana" w:hAnsi="Verdana"/>
          <w:sz w:val="16"/>
          <w:szCs w:val="16"/>
          <w:lang w:val="es-CR"/>
        </w:rPr>
        <w:t>Norales</w:t>
      </w:r>
      <w:proofErr w:type="spellEnd"/>
      <w:r w:rsidRPr="00477E3A">
        <w:rPr>
          <w:rFonts w:ascii="Verdana" w:hAnsi="Verdana"/>
          <w:sz w:val="16"/>
          <w:szCs w:val="16"/>
          <w:lang w:val="es-CR"/>
        </w:rPr>
        <w:t xml:space="preserve"> </w:t>
      </w:r>
      <w:proofErr w:type="spellStart"/>
      <w:r w:rsidRPr="00477E3A">
        <w:rPr>
          <w:rFonts w:ascii="Verdana" w:hAnsi="Verdana"/>
          <w:sz w:val="16"/>
          <w:szCs w:val="16"/>
          <w:lang w:val="es-CR"/>
        </w:rPr>
        <w:t>Bernardes</w:t>
      </w:r>
      <w:proofErr w:type="spellEnd"/>
      <w:r w:rsidRPr="00477E3A">
        <w:rPr>
          <w:rFonts w:ascii="Verdana" w:hAnsi="Verdana"/>
          <w:sz w:val="16"/>
          <w:szCs w:val="16"/>
          <w:lang w:val="es-CR"/>
        </w:rPr>
        <w:t xml:space="preserve">, Carmen Isabel Álvarez Sabio, Jerson Selvin </w:t>
      </w:r>
      <w:proofErr w:type="spellStart"/>
      <w:r w:rsidRPr="00477E3A">
        <w:rPr>
          <w:rFonts w:ascii="Verdana" w:hAnsi="Verdana"/>
          <w:sz w:val="16"/>
          <w:szCs w:val="16"/>
          <w:lang w:val="es-CR"/>
        </w:rPr>
        <w:t>Benedit</w:t>
      </w:r>
      <w:proofErr w:type="spellEnd"/>
      <w:r w:rsidRPr="00477E3A">
        <w:rPr>
          <w:rFonts w:ascii="Verdana" w:hAnsi="Verdana"/>
          <w:sz w:val="16"/>
          <w:szCs w:val="16"/>
          <w:lang w:val="es-CR"/>
        </w:rPr>
        <w:t xml:space="preserve"> López, Nahún Efraín </w:t>
      </w:r>
      <w:proofErr w:type="spellStart"/>
      <w:r w:rsidRPr="00477E3A">
        <w:rPr>
          <w:rFonts w:ascii="Verdana" w:hAnsi="Verdana"/>
          <w:sz w:val="16"/>
          <w:szCs w:val="16"/>
          <w:lang w:val="es-CR"/>
        </w:rPr>
        <w:t>Lalin</w:t>
      </w:r>
      <w:proofErr w:type="spellEnd"/>
      <w:r w:rsidRPr="00477E3A">
        <w:rPr>
          <w:rFonts w:ascii="Verdana" w:hAnsi="Verdana"/>
          <w:sz w:val="16"/>
          <w:szCs w:val="16"/>
          <w:lang w:val="es-CR"/>
        </w:rPr>
        <w:t xml:space="preserve"> </w:t>
      </w:r>
      <w:proofErr w:type="spellStart"/>
      <w:r w:rsidRPr="00477E3A">
        <w:rPr>
          <w:rFonts w:ascii="Verdana" w:hAnsi="Verdana"/>
          <w:sz w:val="16"/>
          <w:szCs w:val="16"/>
          <w:lang w:val="es-CR"/>
        </w:rPr>
        <w:t>Guity</w:t>
      </w:r>
      <w:proofErr w:type="spellEnd"/>
      <w:r w:rsidRPr="00477E3A">
        <w:rPr>
          <w:rFonts w:ascii="Verdana" w:hAnsi="Verdana"/>
          <w:sz w:val="16"/>
          <w:szCs w:val="16"/>
          <w:lang w:val="es-CR"/>
        </w:rPr>
        <w:t xml:space="preserve">, César Leonel </w:t>
      </w:r>
      <w:proofErr w:type="spellStart"/>
      <w:r w:rsidRPr="00477E3A">
        <w:rPr>
          <w:rFonts w:ascii="Verdana" w:hAnsi="Verdana"/>
          <w:sz w:val="16"/>
          <w:szCs w:val="16"/>
          <w:lang w:val="es-CR"/>
        </w:rPr>
        <w:t>Benedit</w:t>
      </w:r>
      <w:proofErr w:type="spellEnd"/>
      <w:r w:rsidRPr="00477E3A">
        <w:rPr>
          <w:rFonts w:ascii="Verdana" w:hAnsi="Verdana"/>
          <w:sz w:val="16"/>
          <w:szCs w:val="16"/>
          <w:lang w:val="es-CR"/>
        </w:rPr>
        <w:t xml:space="preserve"> Zúñiga, Karen Johana García </w:t>
      </w:r>
      <w:proofErr w:type="spellStart"/>
      <w:r w:rsidRPr="00477E3A">
        <w:rPr>
          <w:rFonts w:ascii="Verdana" w:hAnsi="Verdana"/>
          <w:sz w:val="16"/>
          <w:szCs w:val="16"/>
          <w:lang w:val="es-CR"/>
        </w:rPr>
        <w:t>García</w:t>
      </w:r>
      <w:proofErr w:type="spellEnd"/>
      <w:r w:rsidRPr="00477E3A">
        <w:rPr>
          <w:rFonts w:ascii="Verdana" w:hAnsi="Verdana"/>
          <w:sz w:val="16"/>
          <w:szCs w:val="16"/>
          <w:lang w:val="es-CR"/>
        </w:rPr>
        <w:t xml:space="preserve"> y Aurelia Martina Arzú </w:t>
      </w:r>
      <w:proofErr w:type="spellStart"/>
      <w:r w:rsidRPr="00477E3A">
        <w:rPr>
          <w:rFonts w:ascii="Verdana" w:hAnsi="Verdana"/>
          <w:sz w:val="16"/>
          <w:szCs w:val="16"/>
          <w:lang w:val="es-CR"/>
        </w:rPr>
        <w:t>Rochez</w:t>
      </w:r>
      <w:proofErr w:type="spellEnd"/>
      <w:r w:rsidRPr="00477E3A">
        <w:rPr>
          <w:rFonts w:ascii="Verdana" w:hAnsi="Verdana"/>
          <w:sz w:val="16"/>
          <w:szCs w:val="16"/>
          <w:lang w:val="es-CR"/>
        </w:rPr>
        <w:t>, de la Organización Fraternal Negra Hondureña (OFRANEH), y Daniel Antonio López Flores y Christian Callejas Escoto, Asesores Jurídicos, y c) por la Comisión Interamericana: Piero Vásquez Agüero, Asesor</w:t>
      </w:r>
      <w:r>
        <w:rPr>
          <w:rFonts w:ascii="Verdana" w:hAnsi="Verdana"/>
          <w:sz w:val="16"/>
          <w:szCs w:val="16"/>
          <w:lang w:val="es-CR"/>
        </w:rPr>
        <w:t xml:space="preserve"> de la Secretaría Ejecutiva</w:t>
      </w:r>
      <w:r w:rsidRPr="00477E3A">
        <w:rPr>
          <w:rFonts w:ascii="Verdana" w:hAnsi="Verdana"/>
          <w:sz w:val="16"/>
          <w:szCs w:val="16"/>
          <w:lang w:val="es-CR"/>
        </w:rPr>
        <w:t>.</w:t>
      </w:r>
    </w:p>
  </w:footnote>
  <w:footnote w:id="7">
    <w:p w14:paraId="5A9B468D" w14:textId="7ED39BB9" w:rsidR="00601E30" w:rsidRPr="00477E3A" w:rsidRDefault="00601E30" w:rsidP="00477E3A">
      <w:pPr>
        <w:pStyle w:val="Textonotapie"/>
        <w:tabs>
          <w:tab w:val="left" w:pos="426"/>
        </w:tabs>
        <w:jc w:val="both"/>
        <w:rPr>
          <w:rFonts w:ascii="Verdana" w:hAnsi="Verdana"/>
          <w:sz w:val="16"/>
          <w:szCs w:val="16"/>
          <w:lang w:val="es-CR"/>
        </w:rPr>
      </w:pPr>
      <w:r w:rsidRPr="00477E3A">
        <w:rPr>
          <w:rStyle w:val="Refdenotaalpie"/>
          <w:rFonts w:ascii="Verdana" w:hAnsi="Verdana"/>
          <w:sz w:val="16"/>
          <w:szCs w:val="16"/>
        </w:rPr>
        <w:footnoteRef/>
      </w:r>
      <w:r w:rsidRPr="00477E3A">
        <w:rPr>
          <w:rFonts w:ascii="Verdana" w:hAnsi="Verdana"/>
          <w:sz w:val="16"/>
          <w:szCs w:val="16"/>
          <w:lang w:val="es-CR"/>
        </w:rPr>
        <w:t xml:space="preserve"> </w:t>
      </w:r>
      <w:r w:rsidRPr="00477E3A">
        <w:rPr>
          <w:rFonts w:ascii="Verdana" w:hAnsi="Verdana"/>
          <w:sz w:val="16"/>
          <w:szCs w:val="16"/>
          <w:lang w:val="es-CR"/>
        </w:rPr>
        <w:tab/>
      </w:r>
      <w:r w:rsidRPr="00477E3A">
        <w:rPr>
          <w:rStyle w:val="Textoennegrita"/>
          <w:rFonts w:ascii="Verdana" w:hAnsi="Verdana"/>
          <w:b w:val="0"/>
          <w:color w:val="000000"/>
          <w:sz w:val="16"/>
          <w:szCs w:val="16"/>
          <w:lang w:val="es-CR"/>
        </w:rPr>
        <w:t>http://www.corteidh.or.cr/docs/asuntos/garifuna_fv_16.pdf.</w:t>
      </w:r>
    </w:p>
  </w:footnote>
  <w:footnote w:id="8">
    <w:p w14:paraId="11EE6B76" w14:textId="77777777" w:rsidR="00601E30" w:rsidRPr="00477E3A" w:rsidRDefault="00601E30" w:rsidP="00477E3A">
      <w:pPr>
        <w:pStyle w:val="Textonotapie"/>
        <w:tabs>
          <w:tab w:val="left" w:pos="426"/>
        </w:tabs>
        <w:jc w:val="both"/>
        <w:rPr>
          <w:rFonts w:ascii="Verdana" w:hAnsi="Verdana"/>
          <w:sz w:val="16"/>
          <w:szCs w:val="16"/>
          <w:lang w:val="es-CR"/>
        </w:rPr>
      </w:pPr>
      <w:r w:rsidRPr="00477E3A">
        <w:rPr>
          <w:rStyle w:val="Refdenotaalpie"/>
          <w:rFonts w:ascii="Verdana" w:hAnsi="Verdana"/>
          <w:sz w:val="16"/>
          <w:szCs w:val="16"/>
        </w:rPr>
        <w:footnoteRef/>
      </w:r>
      <w:r w:rsidRPr="00477E3A">
        <w:rPr>
          <w:rFonts w:ascii="Verdana" w:hAnsi="Verdana"/>
          <w:sz w:val="16"/>
          <w:szCs w:val="16"/>
          <w:lang w:val="es-CR"/>
        </w:rPr>
        <w:t xml:space="preserve"> </w:t>
      </w:r>
      <w:r w:rsidRPr="00477E3A">
        <w:rPr>
          <w:rFonts w:ascii="Verdana" w:hAnsi="Verdana"/>
          <w:sz w:val="16"/>
          <w:szCs w:val="16"/>
          <w:lang w:val="es-CR"/>
        </w:rPr>
        <w:tab/>
        <w:t xml:space="preserve">Facultad que además </w:t>
      </w:r>
      <w:r w:rsidRPr="00477E3A">
        <w:rPr>
          <w:rFonts w:ascii="Verdana" w:hAnsi="Verdana"/>
          <w:sz w:val="16"/>
          <w:szCs w:val="16"/>
          <w:lang w:val="es-ES"/>
        </w:rPr>
        <w:t xml:space="preserve">se desprende de lo dispuesto en los artículos 33, 62.1, 62.3 y 65 de la Convención Americana y </w:t>
      </w:r>
      <w:r w:rsidRPr="00477E3A">
        <w:rPr>
          <w:rFonts w:ascii="Verdana" w:hAnsi="Verdana"/>
          <w:sz w:val="16"/>
          <w:szCs w:val="16"/>
          <w:lang w:val="es-CR"/>
        </w:rPr>
        <w:t>30 de su Estatuto y se encuentra regulada en el artículo 69 de su Reglamento.</w:t>
      </w:r>
    </w:p>
  </w:footnote>
  <w:footnote w:id="9">
    <w:p w14:paraId="695316EF" w14:textId="281EF505" w:rsidR="00601E30" w:rsidRPr="00477E3A" w:rsidRDefault="00601E30" w:rsidP="00477E3A">
      <w:pPr>
        <w:pStyle w:val="Textonotapie"/>
        <w:tabs>
          <w:tab w:val="left" w:pos="426"/>
        </w:tabs>
        <w:ind w:right="4"/>
        <w:jc w:val="both"/>
        <w:rPr>
          <w:rFonts w:ascii="Verdana" w:hAnsi="Verdana"/>
          <w:b/>
          <w:color w:val="000000"/>
          <w:sz w:val="16"/>
          <w:szCs w:val="16"/>
          <w:lang w:val="es-CR"/>
        </w:rPr>
      </w:pPr>
      <w:r w:rsidRPr="00477E3A">
        <w:rPr>
          <w:rStyle w:val="Refdenotaalpie"/>
          <w:rFonts w:ascii="Verdana" w:hAnsi="Verdana"/>
          <w:sz w:val="16"/>
          <w:szCs w:val="16"/>
        </w:rPr>
        <w:footnoteRef/>
      </w:r>
      <w:r w:rsidRPr="00477E3A">
        <w:rPr>
          <w:rFonts w:ascii="Verdana" w:hAnsi="Verdana"/>
          <w:i/>
          <w:color w:val="000000"/>
          <w:sz w:val="16"/>
          <w:szCs w:val="16"/>
          <w:lang w:val="es-AR"/>
        </w:rPr>
        <w:t xml:space="preserve"> </w:t>
      </w:r>
      <w:r w:rsidRPr="00477E3A">
        <w:rPr>
          <w:rFonts w:ascii="Verdana" w:hAnsi="Verdana"/>
          <w:i/>
          <w:color w:val="000000"/>
          <w:sz w:val="16"/>
          <w:szCs w:val="16"/>
          <w:lang w:val="es-AR"/>
        </w:rPr>
        <w:tab/>
        <w:t>Cfr. C</w:t>
      </w:r>
      <w:r>
        <w:rPr>
          <w:rFonts w:ascii="Verdana" w:hAnsi="Verdana"/>
          <w:i/>
          <w:color w:val="000000"/>
          <w:sz w:val="16"/>
          <w:szCs w:val="16"/>
          <w:lang w:val="es-AR"/>
        </w:rPr>
        <w:t>aso Cinco Pensionistas Vs. Perú. Cumplimiento de Sentencia.</w:t>
      </w:r>
      <w:r w:rsidRPr="00477E3A">
        <w:rPr>
          <w:rFonts w:ascii="Verdana" w:hAnsi="Verdana"/>
          <w:i/>
          <w:color w:val="000000"/>
          <w:sz w:val="16"/>
          <w:szCs w:val="16"/>
          <w:lang w:val="es-AR"/>
        </w:rPr>
        <w:t xml:space="preserve"> </w:t>
      </w:r>
      <w:r w:rsidRPr="00477E3A">
        <w:rPr>
          <w:rFonts w:ascii="Verdana" w:hAnsi="Verdana"/>
          <w:color w:val="000000"/>
          <w:sz w:val="16"/>
          <w:szCs w:val="16"/>
          <w:lang w:val="es-AR"/>
        </w:rPr>
        <w:t xml:space="preserve">Resolución de la Corte </w:t>
      </w:r>
      <w:r>
        <w:rPr>
          <w:rFonts w:ascii="Verdana" w:hAnsi="Verdana"/>
          <w:color w:val="000000"/>
          <w:sz w:val="16"/>
          <w:szCs w:val="16"/>
          <w:lang w:val="es-AR"/>
        </w:rPr>
        <w:t xml:space="preserve">Interamericana de Derechos Humanos </w:t>
      </w:r>
      <w:r w:rsidRPr="00477E3A">
        <w:rPr>
          <w:rFonts w:ascii="Verdana" w:hAnsi="Verdana"/>
          <w:color w:val="000000"/>
          <w:sz w:val="16"/>
          <w:szCs w:val="16"/>
          <w:lang w:val="es-AR"/>
        </w:rPr>
        <w:t xml:space="preserve">de 17 de noviembre de 2004, Considerando </w:t>
      </w:r>
      <w:r>
        <w:rPr>
          <w:rFonts w:ascii="Verdana" w:hAnsi="Verdana"/>
          <w:color w:val="000000"/>
          <w:sz w:val="16"/>
          <w:szCs w:val="16"/>
          <w:lang w:val="es-AR"/>
        </w:rPr>
        <w:t>5</w:t>
      </w:r>
      <w:r w:rsidRPr="00477E3A">
        <w:rPr>
          <w:rFonts w:ascii="Verdana" w:hAnsi="Verdana"/>
          <w:color w:val="000000"/>
          <w:sz w:val="16"/>
          <w:szCs w:val="16"/>
          <w:lang w:val="es-AR"/>
        </w:rPr>
        <w:t xml:space="preserve">, y </w:t>
      </w:r>
      <w:r>
        <w:rPr>
          <w:rFonts w:ascii="Verdana" w:hAnsi="Verdana"/>
          <w:i/>
          <w:color w:val="000000"/>
          <w:sz w:val="16"/>
          <w:szCs w:val="16"/>
          <w:lang w:val="es-AR"/>
        </w:rPr>
        <w:t>C</w:t>
      </w:r>
      <w:r w:rsidRPr="0059149A">
        <w:rPr>
          <w:rFonts w:ascii="Verdana" w:hAnsi="Verdana"/>
          <w:i/>
          <w:color w:val="000000"/>
          <w:sz w:val="16"/>
          <w:szCs w:val="16"/>
          <w:lang w:val="es-AR"/>
        </w:rPr>
        <w:t xml:space="preserve">aso Comunidad Indígena </w:t>
      </w:r>
      <w:proofErr w:type="spellStart"/>
      <w:r w:rsidRPr="0059149A">
        <w:rPr>
          <w:rFonts w:ascii="Verdana" w:hAnsi="Verdana"/>
          <w:i/>
          <w:color w:val="000000"/>
          <w:sz w:val="16"/>
          <w:szCs w:val="16"/>
          <w:lang w:val="es-AR"/>
        </w:rPr>
        <w:t>Yakye</w:t>
      </w:r>
      <w:proofErr w:type="spellEnd"/>
      <w:r w:rsidRPr="0059149A">
        <w:rPr>
          <w:rFonts w:ascii="Verdana" w:hAnsi="Verdana"/>
          <w:i/>
          <w:color w:val="000000"/>
          <w:sz w:val="16"/>
          <w:szCs w:val="16"/>
          <w:lang w:val="es-AR"/>
        </w:rPr>
        <w:t xml:space="preserve"> Axa Vs. Paraguay. </w:t>
      </w:r>
      <w:r w:rsidRPr="0059149A">
        <w:rPr>
          <w:rFonts w:ascii="Verdana" w:hAnsi="Verdana"/>
          <w:color w:val="000000"/>
          <w:sz w:val="16"/>
          <w:szCs w:val="16"/>
          <w:lang w:val="es-AR"/>
        </w:rPr>
        <w:t>Supervisión de Cumplimiento de Sentencia. Resolución de la Corte Interamericana de Derechos Humanos de 14 de mayo de 2019</w:t>
      </w:r>
      <w:r>
        <w:rPr>
          <w:rFonts w:ascii="Verdana" w:hAnsi="Verdana"/>
          <w:color w:val="000000"/>
          <w:sz w:val="16"/>
          <w:szCs w:val="16"/>
          <w:lang w:val="es-AR"/>
        </w:rPr>
        <w:t>, Considerando 2</w:t>
      </w:r>
      <w:r w:rsidRPr="00477E3A">
        <w:rPr>
          <w:rStyle w:val="Textoennegrita"/>
          <w:rFonts w:ascii="Verdana" w:hAnsi="Verdana"/>
          <w:b w:val="0"/>
          <w:color w:val="000000"/>
          <w:sz w:val="16"/>
          <w:szCs w:val="16"/>
          <w:shd w:val="clear" w:color="auto" w:fill="FFFFFF"/>
          <w:lang w:val="es-CR"/>
        </w:rPr>
        <w:t>.</w:t>
      </w:r>
    </w:p>
  </w:footnote>
  <w:footnote w:id="10">
    <w:p w14:paraId="33A3CF68" w14:textId="6B31B5EB" w:rsidR="00601E30" w:rsidRPr="00477E3A" w:rsidRDefault="00601E30" w:rsidP="00477E3A">
      <w:pPr>
        <w:pStyle w:val="Textonotapie"/>
        <w:tabs>
          <w:tab w:val="left" w:pos="426"/>
        </w:tabs>
        <w:ind w:right="4"/>
        <w:jc w:val="both"/>
        <w:rPr>
          <w:rFonts w:ascii="Verdana" w:hAnsi="Verdana"/>
          <w:b/>
          <w:color w:val="000000"/>
          <w:sz w:val="16"/>
          <w:szCs w:val="16"/>
          <w:lang w:val="es-CR"/>
        </w:rPr>
      </w:pPr>
      <w:r w:rsidRPr="00477E3A">
        <w:rPr>
          <w:rStyle w:val="Refdenotaalpie"/>
          <w:rFonts w:ascii="Verdana" w:hAnsi="Verdana"/>
          <w:sz w:val="16"/>
          <w:szCs w:val="16"/>
        </w:rPr>
        <w:footnoteRef/>
      </w:r>
      <w:r w:rsidRPr="00477E3A">
        <w:rPr>
          <w:rFonts w:ascii="Verdana" w:hAnsi="Verdana"/>
          <w:sz w:val="16"/>
          <w:szCs w:val="16"/>
          <w:lang w:val="es-CR"/>
        </w:rPr>
        <w:t xml:space="preserve"> </w:t>
      </w:r>
      <w:r w:rsidRPr="00477E3A">
        <w:rPr>
          <w:rFonts w:ascii="Verdana" w:hAnsi="Verdana"/>
          <w:sz w:val="16"/>
          <w:szCs w:val="16"/>
          <w:lang w:val="es-CR"/>
        </w:rPr>
        <w:tab/>
      </w:r>
      <w:r w:rsidRPr="00477E3A">
        <w:rPr>
          <w:rFonts w:ascii="Verdana" w:hAnsi="Verdana"/>
          <w:i/>
          <w:sz w:val="16"/>
          <w:szCs w:val="16"/>
          <w:lang w:val="es-CR"/>
        </w:rPr>
        <w:t xml:space="preserve">Cfr. Caso </w:t>
      </w:r>
      <w:proofErr w:type="spellStart"/>
      <w:r w:rsidRPr="00477E3A">
        <w:rPr>
          <w:rFonts w:ascii="Verdana" w:hAnsi="Verdana"/>
          <w:i/>
          <w:sz w:val="16"/>
          <w:szCs w:val="16"/>
          <w:lang w:val="es-CR"/>
        </w:rPr>
        <w:t>Ivcher</w:t>
      </w:r>
      <w:proofErr w:type="spellEnd"/>
      <w:r w:rsidRPr="00477E3A">
        <w:rPr>
          <w:rFonts w:ascii="Verdana" w:hAnsi="Verdana"/>
          <w:i/>
          <w:sz w:val="16"/>
          <w:szCs w:val="16"/>
          <w:lang w:val="es-CR"/>
        </w:rPr>
        <w:t xml:space="preserve"> </w:t>
      </w:r>
      <w:proofErr w:type="spellStart"/>
      <w:r w:rsidRPr="00477E3A">
        <w:rPr>
          <w:rFonts w:ascii="Verdana" w:hAnsi="Verdana"/>
          <w:i/>
          <w:sz w:val="16"/>
          <w:szCs w:val="16"/>
          <w:lang w:val="es-CR"/>
        </w:rPr>
        <w:t>Bronstein</w:t>
      </w:r>
      <w:proofErr w:type="spellEnd"/>
      <w:r w:rsidRPr="00477E3A">
        <w:rPr>
          <w:rFonts w:ascii="Verdana" w:hAnsi="Verdana"/>
          <w:i/>
          <w:sz w:val="16"/>
          <w:szCs w:val="16"/>
          <w:lang w:val="es-CR"/>
        </w:rPr>
        <w:t xml:space="preserve"> Vs. Perú. Competencia</w:t>
      </w:r>
      <w:r w:rsidRPr="00477E3A">
        <w:rPr>
          <w:rFonts w:ascii="Verdana" w:hAnsi="Verdana"/>
          <w:sz w:val="16"/>
          <w:szCs w:val="16"/>
          <w:lang w:val="es-CR"/>
        </w:rPr>
        <w:t xml:space="preserve">. Sentencia de la Corte Interamericana de Derechos Humanos de 24 de septiembre de 1999. Serie C No. 54, párr. 37, y </w:t>
      </w:r>
      <w:r>
        <w:rPr>
          <w:rFonts w:ascii="Verdana" w:hAnsi="Verdana"/>
          <w:i/>
          <w:color w:val="000000"/>
          <w:sz w:val="16"/>
          <w:szCs w:val="16"/>
          <w:lang w:val="es-AR"/>
        </w:rPr>
        <w:t>C</w:t>
      </w:r>
      <w:r w:rsidRPr="0059149A">
        <w:rPr>
          <w:rFonts w:ascii="Verdana" w:hAnsi="Verdana"/>
          <w:i/>
          <w:color w:val="000000"/>
          <w:sz w:val="16"/>
          <w:szCs w:val="16"/>
          <w:lang w:val="es-AR"/>
        </w:rPr>
        <w:t xml:space="preserve">aso Comunidad Indígena </w:t>
      </w:r>
      <w:proofErr w:type="spellStart"/>
      <w:r w:rsidRPr="0059149A">
        <w:rPr>
          <w:rFonts w:ascii="Verdana" w:hAnsi="Verdana"/>
          <w:i/>
          <w:color w:val="000000"/>
          <w:sz w:val="16"/>
          <w:szCs w:val="16"/>
          <w:lang w:val="es-AR"/>
        </w:rPr>
        <w:t>Yakye</w:t>
      </w:r>
      <w:proofErr w:type="spellEnd"/>
      <w:r w:rsidRPr="0059149A">
        <w:rPr>
          <w:rFonts w:ascii="Verdana" w:hAnsi="Verdana"/>
          <w:i/>
          <w:color w:val="000000"/>
          <w:sz w:val="16"/>
          <w:szCs w:val="16"/>
          <w:lang w:val="es-AR"/>
        </w:rPr>
        <w:t xml:space="preserve"> Axa Vs. Paraguay. </w:t>
      </w:r>
      <w:r w:rsidRPr="0059149A">
        <w:rPr>
          <w:rFonts w:ascii="Verdana" w:hAnsi="Verdana"/>
          <w:color w:val="000000"/>
          <w:sz w:val="16"/>
          <w:szCs w:val="16"/>
          <w:lang w:val="es-AR"/>
        </w:rPr>
        <w:t>Supervisión de Cumplimiento de Sentencia. Resolución de la Corte Interamericana de Derechos Humanos de 14 de mayo de 2019</w:t>
      </w:r>
      <w:r>
        <w:rPr>
          <w:rFonts w:ascii="Verdana" w:hAnsi="Verdana"/>
          <w:color w:val="000000"/>
          <w:sz w:val="16"/>
          <w:szCs w:val="16"/>
          <w:lang w:val="es-AR"/>
        </w:rPr>
        <w:t>, Considerando 2</w:t>
      </w:r>
      <w:r w:rsidRPr="00477E3A">
        <w:rPr>
          <w:rStyle w:val="Textoennegrita"/>
          <w:rFonts w:ascii="Verdana" w:hAnsi="Verdana"/>
          <w:b w:val="0"/>
          <w:color w:val="000000"/>
          <w:sz w:val="16"/>
          <w:szCs w:val="16"/>
          <w:shd w:val="clear" w:color="auto" w:fill="FFFFFF"/>
          <w:lang w:val="es-CR"/>
        </w:rPr>
        <w:t xml:space="preserve">. </w:t>
      </w:r>
    </w:p>
  </w:footnote>
  <w:footnote w:id="11">
    <w:p w14:paraId="5ADB9A55" w14:textId="78C3588E" w:rsidR="00601E30" w:rsidRPr="00783249" w:rsidRDefault="00601E30" w:rsidP="00783249">
      <w:pPr>
        <w:pStyle w:val="Textonotapie"/>
        <w:tabs>
          <w:tab w:val="left" w:pos="426"/>
        </w:tabs>
        <w:ind w:right="4"/>
        <w:jc w:val="both"/>
        <w:rPr>
          <w:rFonts w:ascii="Verdana" w:hAnsi="Verdana"/>
          <w:sz w:val="16"/>
          <w:szCs w:val="16"/>
          <w:lang w:val="es-AR"/>
        </w:rPr>
      </w:pPr>
      <w:r w:rsidRPr="00783249">
        <w:rPr>
          <w:rStyle w:val="Refdenotaalpie"/>
          <w:rFonts w:ascii="Verdana" w:hAnsi="Verdana"/>
          <w:sz w:val="16"/>
          <w:szCs w:val="16"/>
        </w:rPr>
        <w:footnoteRef/>
      </w:r>
      <w:r w:rsidRPr="00783249">
        <w:rPr>
          <w:rFonts w:ascii="Verdana" w:hAnsi="Verdana"/>
          <w:sz w:val="16"/>
          <w:szCs w:val="16"/>
          <w:lang w:val="es-AR"/>
        </w:rPr>
        <w:t xml:space="preserve"> </w:t>
      </w:r>
      <w:r w:rsidRPr="00783249">
        <w:rPr>
          <w:rFonts w:ascii="Verdana" w:hAnsi="Verdana"/>
          <w:sz w:val="16"/>
          <w:szCs w:val="16"/>
          <w:lang w:val="es-AR"/>
        </w:rPr>
        <w:tab/>
        <w:t>Informes estata</w:t>
      </w:r>
      <w:r>
        <w:rPr>
          <w:rFonts w:ascii="Verdana" w:hAnsi="Verdana"/>
          <w:sz w:val="16"/>
          <w:szCs w:val="16"/>
          <w:lang w:val="es-AR"/>
        </w:rPr>
        <w:t>les de 20 de diciembre de 2016,</w:t>
      </w:r>
      <w:r w:rsidRPr="00783249">
        <w:rPr>
          <w:rFonts w:ascii="Verdana" w:hAnsi="Verdana"/>
          <w:sz w:val="16"/>
          <w:szCs w:val="16"/>
          <w:lang w:val="es-AR"/>
        </w:rPr>
        <w:t xml:space="preserve"> 19 de diciembre de 201</w:t>
      </w:r>
      <w:r>
        <w:rPr>
          <w:rFonts w:ascii="Verdana" w:hAnsi="Verdana"/>
          <w:sz w:val="16"/>
          <w:szCs w:val="16"/>
          <w:lang w:val="es-AR"/>
        </w:rPr>
        <w:t>7, y 15 de febrero y 25 de mayo de 2018</w:t>
      </w:r>
      <w:r w:rsidRPr="00783249">
        <w:rPr>
          <w:rFonts w:ascii="Verdana" w:hAnsi="Verdana"/>
          <w:sz w:val="16"/>
          <w:szCs w:val="16"/>
          <w:lang w:val="es-AR"/>
        </w:rPr>
        <w:t xml:space="preserve">. </w:t>
      </w:r>
    </w:p>
  </w:footnote>
  <w:footnote w:id="12">
    <w:p w14:paraId="0C9F54E0" w14:textId="1481E716" w:rsidR="00601E30" w:rsidRPr="00477E3A" w:rsidRDefault="00601E30" w:rsidP="00477E3A">
      <w:pPr>
        <w:pStyle w:val="Textonotapie"/>
        <w:tabs>
          <w:tab w:val="left" w:pos="426"/>
        </w:tabs>
        <w:ind w:right="4"/>
        <w:jc w:val="both"/>
        <w:rPr>
          <w:rFonts w:ascii="Verdana" w:hAnsi="Verdana"/>
          <w:b/>
          <w:sz w:val="16"/>
          <w:szCs w:val="16"/>
          <w:lang w:val="es-ES"/>
        </w:rPr>
      </w:pPr>
      <w:r w:rsidRPr="00477E3A">
        <w:rPr>
          <w:rStyle w:val="Refdenotaalpie"/>
          <w:rFonts w:ascii="Verdana" w:hAnsi="Verdana"/>
          <w:sz w:val="16"/>
          <w:szCs w:val="16"/>
        </w:rPr>
        <w:footnoteRef/>
      </w:r>
      <w:r w:rsidRPr="00477E3A">
        <w:rPr>
          <w:rFonts w:ascii="Verdana" w:hAnsi="Verdana"/>
          <w:sz w:val="16"/>
          <w:szCs w:val="16"/>
          <w:lang w:val="es-ES"/>
        </w:rPr>
        <w:t xml:space="preserve"> </w:t>
      </w:r>
      <w:r>
        <w:rPr>
          <w:rFonts w:ascii="Verdana" w:hAnsi="Verdana"/>
          <w:sz w:val="16"/>
          <w:szCs w:val="16"/>
          <w:lang w:val="es-ES"/>
        </w:rPr>
        <w:tab/>
      </w:r>
      <w:r w:rsidRPr="00477E3A">
        <w:rPr>
          <w:rFonts w:ascii="Verdana" w:hAnsi="Verdana"/>
          <w:sz w:val="16"/>
          <w:szCs w:val="16"/>
          <w:lang w:val="es-MX"/>
        </w:rPr>
        <w:t>En la audiencia privada celebrada el 29 de noviembre de 2018, el Estado refirió haber mantenido reuniones posteriores con los líder</w:t>
      </w:r>
      <w:r>
        <w:rPr>
          <w:rFonts w:ascii="Verdana" w:hAnsi="Verdana"/>
          <w:sz w:val="16"/>
          <w:szCs w:val="16"/>
          <w:lang w:val="es-MX"/>
        </w:rPr>
        <w:t>es de la Comunidad al respecto.</w:t>
      </w:r>
    </w:p>
  </w:footnote>
  <w:footnote w:id="13">
    <w:p w14:paraId="568C1EA7" w14:textId="794E259A" w:rsidR="00601E30" w:rsidRPr="00477E3A" w:rsidRDefault="00601E30" w:rsidP="00477E3A">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MX"/>
        </w:rPr>
        <w:t>Anexos</w:t>
      </w:r>
      <w:r w:rsidRPr="00477E3A">
        <w:rPr>
          <w:rFonts w:ascii="Verdana" w:hAnsi="Verdana"/>
          <w:sz w:val="16"/>
          <w:szCs w:val="16"/>
          <w:lang w:val="es-AR"/>
        </w:rPr>
        <w:t xml:space="preserve"> al informe estatal de 19 de diciembre de 2017. </w:t>
      </w:r>
      <w:r>
        <w:rPr>
          <w:rFonts w:ascii="Verdana" w:hAnsi="Verdana"/>
          <w:sz w:val="16"/>
          <w:szCs w:val="16"/>
          <w:lang w:val="es-AR"/>
        </w:rPr>
        <w:t>E</w:t>
      </w:r>
      <w:r w:rsidRPr="00477E3A">
        <w:rPr>
          <w:rFonts w:ascii="Verdana" w:hAnsi="Verdana"/>
          <w:sz w:val="16"/>
          <w:szCs w:val="16"/>
          <w:lang w:val="es-AR"/>
        </w:rPr>
        <w:t xml:space="preserve">n su escrito de observaciones de 8 de febrero de 2018, los representantes manifestaron que “[l]a mayoría de los documentos […] no acreditan la existencia del derecho de propiedad de los colonos de Río Miel pues en su mayoría son documentos privados posteriores a la titulación Garífuna, otros son falsos y otros son actos administrativos generados después de la notificación de la sentencia al Estado lo que representa extrema gravedad pues no solo no se han tomado medidas para garantizar el derecho de propiedad de Punta Piedra sino más bien se toman en la dirección contraria”. Además, señalaron que uno de los documentos era falso, en tanto “fue elaborado en papel sellado que salió a la venta para los años 2008-2011, sin </w:t>
      </w:r>
      <w:proofErr w:type="gramStart"/>
      <w:r w:rsidRPr="00477E3A">
        <w:rPr>
          <w:rFonts w:ascii="Verdana" w:hAnsi="Verdana"/>
          <w:sz w:val="16"/>
          <w:szCs w:val="16"/>
          <w:lang w:val="es-AR"/>
        </w:rPr>
        <w:t>embargo</w:t>
      </w:r>
      <w:proofErr w:type="gramEnd"/>
      <w:r w:rsidRPr="00477E3A">
        <w:rPr>
          <w:rFonts w:ascii="Verdana" w:hAnsi="Verdana"/>
          <w:sz w:val="16"/>
          <w:szCs w:val="16"/>
          <w:lang w:val="es-AR"/>
        </w:rPr>
        <w:t xml:space="preserve"> la fecha que se consigna en ese p</w:t>
      </w:r>
      <w:r>
        <w:rPr>
          <w:rFonts w:ascii="Verdana" w:hAnsi="Verdana"/>
          <w:sz w:val="16"/>
          <w:szCs w:val="16"/>
          <w:lang w:val="es-AR"/>
        </w:rPr>
        <w:t>apel es de 1991”.</w:t>
      </w:r>
    </w:p>
  </w:footnote>
  <w:footnote w:id="14">
    <w:p w14:paraId="1555CE20" w14:textId="0869BE39" w:rsidR="00601E30" w:rsidRPr="00477E3A" w:rsidRDefault="00601E30" w:rsidP="00477E3A">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 xml:space="preserve">Escrito de observaciones de los representantes de 3 de noviembre de 2017. </w:t>
      </w:r>
      <w:r w:rsidRPr="00477E3A">
        <w:rPr>
          <w:rFonts w:ascii="Verdana" w:hAnsi="Verdana"/>
          <w:sz w:val="16"/>
          <w:szCs w:val="16"/>
          <w:lang w:val="es-AR"/>
        </w:rPr>
        <w:t xml:space="preserve">En particular, </w:t>
      </w:r>
      <w:r w:rsidRPr="00477E3A">
        <w:rPr>
          <w:rFonts w:ascii="Verdana" w:hAnsi="Verdana"/>
          <w:sz w:val="16"/>
          <w:szCs w:val="16"/>
          <w:lang w:val="es-MX"/>
        </w:rPr>
        <w:t>remarcaron</w:t>
      </w:r>
      <w:r w:rsidRPr="00477E3A">
        <w:rPr>
          <w:rFonts w:ascii="Verdana" w:hAnsi="Verdana"/>
          <w:sz w:val="16"/>
          <w:szCs w:val="16"/>
          <w:lang w:val="es-AR"/>
        </w:rPr>
        <w:t xml:space="preserve"> que no se habían realizado las “diligencias administrativas, financieras, legislativas o de recursos humanos para la restitución del territorio</w:t>
      </w:r>
      <w:proofErr w:type="gramStart"/>
      <w:r w:rsidRPr="00477E3A">
        <w:rPr>
          <w:rFonts w:ascii="Verdana" w:hAnsi="Verdana"/>
          <w:sz w:val="16"/>
          <w:szCs w:val="16"/>
          <w:lang w:val="es-AR"/>
        </w:rPr>
        <w:t>”,  el</w:t>
      </w:r>
      <w:proofErr w:type="gramEnd"/>
      <w:r w:rsidRPr="00477E3A">
        <w:rPr>
          <w:rFonts w:ascii="Verdana" w:hAnsi="Verdana"/>
          <w:sz w:val="16"/>
          <w:szCs w:val="16"/>
          <w:lang w:val="es-AR"/>
        </w:rPr>
        <w:t xml:space="preserve"> pago de las mejoras y la reubicación de los habitantes de Río Miel, ni las “compras o expropiaciones de tierras en manos de los colonos que eventualmente pudieran c</w:t>
      </w:r>
      <w:r>
        <w:rPr>
          <w:rFonts w:ascii="Verdana" w:hAnsi="Verdana"/>
          <w:sz w:val="16"/>
          <w:szCs w:val="16"/>
          <w:lang w:val="es-AR"/>
        </w:rPr>
        <w:t>ontar con título de propiedad”.</w:t>
      </w:r>
    </w:p>
  </w:footnote>
  <w:footnote w:id="15">
    <w:p w14:paraId="06967E2F" w14:textId="5E16C73D" w:rsidR="00601E30" w:rsidRPr="00354956" w:rsidRDefault="00601E30" w:rsidP="00D158D1">
      <w:pPr>
        <w:pStyle w:val="Textonotapie"/>
        <w:tabs>
          <w:tab w:val="left" w:pos="426"/>
        </w:tabs>
        <w:ind w:right="4"/>
        <w:jc w:val="both"/>
        <w:rPr>
          <w:rFonts w:ascii="Verdana" w:hAnsi="Verdana"/>
          <w:b/>
          <w:sz w:val="16"/>
          <w:szCs w:val="16"/>
          <w:lang w:val="es-AR"/>
        </w:rPr>
      </w:pPr>
      <w:r w:rsidRPr="00D158D1">
        <w:rPr>
          <w:rStyle w:val="Refdenotaalpie"/>
          <w:rFonts w:ascii="Verdana" w:hAnsi="Verdana"/>
          <w:sz w:val="16"/>
          <w:szCs w:val="16"/>
        </w:rPr>
        <w:footnoteRef/>
      </w:r>
      <w:r w:rsidRPr="00D158D1">
        <w:rPr>
          <w:rFonts w:ascii="Verdana" w:hAnsi="Verdana"/>
          <w:sz w:val="16"/>
          <w:szCs w:val="16"/>
          <w:lang w:val="es-AR"/>
        </w:rPr>
        <w:t xml:space="preserve"> </w:t>
      </w:r>
      <w:r w:rsidRPr="00D158D1">
        <w:rPr>
          <w:rFonts w:ascii="Verdana" w:hAnsi="Verdana"/>
          <w:sz w:val="16"/>
          <w:szCs w:val="16"/>
          <w:lang w:val="es-AR"/>
        </w:rPr>
        <w:tab/>
        <w:t xml:space="preserve">Escrito de observaciones de la </w:t>
      </w:r>
      <w:r>
        <w:rPr>
          <w:rFonts w:ascii="Verdana" w:hAnsi="Verdana"/>
          <w:sz w:val="16"/>
          <w:szCs w:val="16"/>
          <w:lang w:val="es-AR"/>
        </w:rPr>
        <w:t>Comisión de 19 de mayo de 2017.</w:t>
      </w:r>
    </w:p>
  </w:footnote>
  <w:footnote w:id="16">
    <w:p w14:paraId="428EE479" w14:textId="037E5C0C" w:rsidR="00601E30" w:rsidRPr="00354956" w:rsidRDefault="00601E30" w:rsidP="00D158D1">
      <w:pPr>
        <w:pStyle w:val="Textonotapie"/>
        <w:tabs>
          <w:tab w:val="left" w:pos="426"/>
        </w:tabs>
        <w:ind w:right="4"/>
        <w:jc w:val="both"/>
        <w:rPr>
          <w:rFonts w:ascii="Verdana" w:hAnsi="Verdana"/>
          <w:b/>
          <w:sz w:val="16"/>
          <w:szCs w:val="16"/>
          <w:lang w:val="es-AR"/>
        </w:rPr>
      </w:pPr>
      <w:r w:rsidRPr="00D158D1">
        <w:rPr>
          <w:rStyle w:val="Refdenotaalpie"/>
          <w:rFonts w:ascii="Verdana" w:hAnsi="Verdana"/>
          <w:sz w:val="16"/>
          <w:szCs w:val="16"/>
        </w:rPr>
        <w:footnoteRef/>
      </w:r>
      <w:r w:rsidRPr="00D158D1">
        <w:rPr>
          <w:rFonts w:ascii="Verdana" w:hAnsi="Verdana"/>
          <w:sz w:val="16"/>
          <w:szCs w:val="16"/>
          <w:lang w:val="es-AR"/>
        </w:rPr>
        <w:t xml:space="preserve"> </w:t>
      </w:r>
      <w:r w:rsidRPr="00D158D1">
        <w:rPr>
          <w:rFonts w:ascii="Verdana" w:hAnsi="Verdana"/>
          <w:sz w:val="16"/>
          <w:szCs w:val="16"/>
          <w:lang w:val="es-AR"/>
        </w:rPr>
        <w:tab/>
        <w:t>Escrito de observaciones de la C</w:t>
      </w:r>
      <w:r>
        <w:rPr>
          <w:rFonts w:ascii="Verdana" w:hAnsi="Verdana"/>
          <w:sz w:val="16"/>
          <w:szCs w:val="16"/>
          <w:lang w:val="es-AR"/>
        </w:rPr>
        <w:t>omisión de 18 de julio de 2018.</w:t>
      </w:r>
    </w:p>
  </w:footnote>
  <w:footnote w:id="17">
    <w:p w14:paraId="50B7B326" w14:textId="1CDFE1E1" w:rsidR="00601E30" w:rsidRPr="007E2042" w:rsidRDefault="00601E30" w:rsidP="007E2042">
      <w:pPr>
        <w:pStyle w:val="Textonotapie"/>
        <w:tabs>
          <w:tab w:val="left" w:pos="426"/>
        </w:tabs>
        <w:ind w:right="4"/>
        <w:jc w:val="both"/>
        <w:rPr>
          <w:rFonts w:ascii="Verdana" w:hAnsi="Verdana"/>
          <w:sz w:val="16"/>
          <w:szCs w:val="16"/>
          <w:lang w:val="es-CR"/>
        </w:rPr>
      </w:pPr>
      <w:r w:rsidRPr="007E2042">
        <w:rPr>
          <w:rStyle w:val="Refdenotaalpie"/>
          <w:rFonts w:ascii="Verdana" w:hAnsi="Verdana"/>
          <w:sz w:val="16"/>
          <w:szCs w:val="16"/>
        </w:rPr>
        <w:footnoteRef/>
      </w:r>
      <w:r w:rsidRPr="007E2042">
        <w:rPr>
          <w:rFonts w:ascii="Verdana" w:hAnsi="Verdana"/>
          <w:sz w:val="16"/>
          <w:szCs w:val="16"/>
          <w:lang w:val="es-AR"/>
        </w:rPr>
        <w:t xml:space="preserve"> </w:t>
      </w:r>
      <w:r>
        <w:rPr>
          <w:rFonts w:ascii="Verdana" w:hAnsi="Verdana"/>
          <w:sz w:val="16"/>
          <w:szCs w:val="16"/>
          <w:lang w:val="es-AR"/>
        </w:rPr>
        <w:tab/>
        <w:t xml:space="preserve">El Estado también solicitó a la Corte </w:t>
      </w:r>
      <w:r w:rsidRPr="007E2042">
        <w:rPr>
          <w:rFonts w:ascii="Verdana" w:hAnsi="Verdana"/>
          <w:sz w:val="16"/>
          <w:szCs w:val="16"/>
          <w:lang w:val="es-CR"/>
        </w:rPr>
        <w:t xml:space="preserve">“que invite a la Comunidad Punta Piedra a expresar su parecer” con respecto a la posibilidad de </w:t>
      </w:r>
      <w:r w:rsidRPr="007E2042">
        <w:rPr>
          <w:rFonts w:ascii="Verdana" w:hAnsi="Verdana"/>
          <w:sz w:val="16"/>
          <w:szCs w:val="16"/>
          <w:lang w:val="es-AR"/>
        </w:rPr>
        <w:t>la participación del Alto Comisionado de las Naciones Unidas para los Derechos Humanos como “</w:t>
      </w:r>
      <w:r w:rsidRPr="007E2042">
        <w:rPr>
          <w:rFonts w:ascii="Verdana" w:hAnsi="Verdana"/>
          <w:sz w:val="16"/>
          <w:szCs w:val="16"/>
          <w:lang w:val="es-CR"/>
        </w:rPr>
        <w:t>facilitador entre el Estado y la Comunidad de Río Miel”.</w:t>
      </w:r>
      <w:r>
        <w:rPr>
          <w:rFonts w:ascii="Verdana" w:hAnsi="Verdana"/>
          <w:sz w:val="16"/>
          <w:szCs w:val="16"/>
          <w:lang w:val="es-CR"/>
        </w:rPr>
        <w:t xml:space="preserve"> Al respecto, la Corte advierte que, según lo manifestado en la audiencia privada del 29 de noviembre de 2018, </w:t>
      </w:r>
      <w:r w:rsidRPr="007E2042">
        <w:rPr>
          <w:rFonts w:ascii="Verdana" w:hAnsi="Verdana"/>
          <w:sz w:val="16"/>
          <w:szCs w:val="16"/>
          <w:lang w:val="es-CR"/>
        </w:rPr>
        <w:t xml:space="preserve">el acuerdo que el Estado requiere para tal diálogo es con la comunidad Río Miel, la cual no es parte en este proceso internacional. </w:t>
      </w:r>
    </w:p>
  </w:footnote>
  <w:footnote w:id="18">
    <w:p w14:paraId="37751974" w14:textId="171122D5" w:rsidR="00601E30" w:rsidRPr="002439DC" w:rsidRDefault="00601E30" w:rsidP="002439DC">
      <w:pPr>
        <w:pStyle w:val="Textonotapie"/>
        <w:tabs>
          <w:tab w:val="left" w:pos="426"/>
        </w:tabs>
        <w:ind w:right="4"/>
        <w:jc w:val="both"/>
        <w:rPr>
          <w:rFonts w:ascii="Verdana" w:hAnsi="Verdana"/>
          <w:sz w:val="16"/>
          <w:szCs w:val="16"/>
          <w:lang w:val="es-AR"/>
        </w:rPr>
      </w:pPr>
      <w:r w:rsidRPr="002439DC">
        <w:rPr>
          <w:rStyle w:val="Refdenotaalpie"/>
          <w:rFonts w:ascii="Verdana" w:hAnsi="Verdana"/>
          <w:sz w:val="16"/>
          <w:szCs w:val="16"/>
        </w:rPr>
        <w:footnoteRef/>
      </w:r>
      <w:r w:rsidRPr="002439DC">
        <w:rPr>
          <w:rFonts w:ascii="Verdana" w:hAnsi="Verdana"/>
          <w:sz w:val="16"/>
          <w:szCs w:val="16"/>
          <w:lang w:val="es-AR"/>
        </w:rPr>
        <w:t xml:space="preserve"> </w:t>
      </w:r>
      <w:r w:rsidRPr="002439DC">
        <w:rPr>
          <w:rFonts w:ascii="Verdana" w:hAnsi="Verdana"/>
          <w:sz w:val="16"/>
          <w:szCs w:val="16"/>
          <w:lang w:val="es-AR"/>
        </w:rPr>
        <w:tab/>
        <w:t xml:space="preserve">Según lo manifestado en la audiencia privada celebrada el 29 de noviembre de 2018. </w:t>
      </w:r>
    </w:p>
  </w:footnote>
  <w:footnote w:id="19">
    <w:p w14:paraId="01C9A372" w14:textId="43E07D38" w:rsidR="00601E30" w:rsidRPr="00477E3A" w:rsidRDefault="00601E30" w:rsidP="002439DC">
      <w:pPr>
        <w:pStyle w:val="Textonotapie"/>
        <w:tabs>
          <w:tab w:val="left" w:pos="426"/>
        </w:tabs>
        <w:ind w:right="4"/>
        <w:jc w:val="both"/>
        <w:rPr>
          <w:rFonts w:ascii="Verdana" w:hAnsi="Verdana"/>
          <w:b/>
          <w:sz w:val="16"/>
          <w:szCs w:val="16"/>
          <w:lang w:val="es-ES"/>
        </w:rPr>
      </w:pPr>
      <w:r w:rsidRPr="00477E3A">
        <w:rPr>
          <w:rStyle w:val="Refdenotaalpie"/>
          <w:rFonts w:ascii="Verdana" w:hAnsi="Verdana"/>
          <w:sz w:val="16"/>
          <w:szCs w:val="16"/>
        </w:rPr>
        <w:footnoteRef/>
      </w:r>
      <w:r w:rsidRPr="00477E3A">
        <w:rPr>
          <w:rFonts w:ascii="Verdana" w:hAnsi="Verdana"/>
          <w:sz w:val="16"/>
          <w:szCs w:val="16"/>
          <w:lang w:val="es-ES"/>
        </w:rPr>
        <w:t xml:space="preserve"> </w:t>
      </w:r>
      <w:r>
        <w:rPr>
          <w:rFonts w:ascii="Verdana" w:hAnsi="Verdana"/>
          <w:sz w:val="16"/>
          <w:szCs w:val="16"/>
          <w:lang w:val="es-ES"/>
        </w:rPr>
        <w:tab/>
      </w:r>
      <w:r w:rsidRPr="002439DC">
        <w:rPr>
          <w:rFonts w:ascii="Verdana" w:hAnsi="Verdana"/>
          <w:sz w:val="16"/>
          <w:szCs w:val="16"/>
          <w:lang w:val="es-AR"/>
        </w:rPr>
        <w:t>Precisaron</w:t>
      </w:r>
      <w:r w:rsidRPr="00477E3A">
        <w:rPr>
          <w:rFonts w:ascii="Verdana" w:hAnsi="Verdana"/>
          <w:sz w:val="16"/>
          <w:szCs w:val="16"/>
          <w:lang w:val="es-ES"/>
        </w:rPr>
        <w:t xml:space="preserve"> que dichas restricciones </w:t>
      </w:r>
      <w:r w:rsidRPr="00477E3A">
        <w:rPr>
          <w:rFonts w:ascii="Verdana" w:hAnsi="Verdana"/>
          <w:sz w:val="16"/>
          <w:szCs w:val="16"/>
          <w:lang w:val="es-AR"/>
        </w:rPr>
        <w:t>deben</w:t>
      </w:r>
      <w:r w:rsidRPr="00477E3A">
        <w:rPr>
          <w:rFonts w:ascii="Verdana" w:hAnsi="Verdana"/>
          <w:iCs/>
          <w:sz w:val="16"/>
          <w:szCs w:val="16"/>
          <w:lang w:val="es-AR"/>
        </w:rPr>
        <w:t>: a) ser establecidas por una ley; b) necesarias; c) proporcionales y; d) su fin debe ser el de lograr un objetivo legítim</w:t>
      </w:r>
      <w:r>
        <w:rPr>
          <w:rFonts w:ascii="Verdana" w:hAnsi="Verdana"/>
          <w:iCs/>
          <w:sz w:val="16"/>
          <w:szCs w:val="16"/>
          <w:lang w:val="es-AR"/>
        </w:rPr>
        <w:t>o en una sociedad democrática.</w:t>
      </w:r>
    </w:p>
  </w:footnote>
  <w:footnote w:id="20">
    <w:p w14:paraId="7A786957" w14:textId="00626D9A" w:rsidR="00601E30" w:rsidRPr="002439DC" w:rsidRDefault="00601E30" w:rsidP="002439DC">
      <w:pPr>
        <w:pStyle w:val="Textonotapie"/>
        <w:tabs>
          <w:tab w:val="left" w:pos="426"/>
        </w:tabs>
        <w:ind w:right="4"/>
        <w:jc w:val="both"/>
        <w:rPr>
          <w:rFonts w:ascii="Verdana" w:hAnsi="Verdana"/>
          <w:b/>
          <w:sz w:val="16"/>
          <w:szCs w:val="16"/>
          <w:lang w:val="es-AR"/>
        </w:rPr>
      </w:pPr>
      <w:r w:rsidRPr="002439DC">
        <w:rPr>
          <w:rStyle w:val="Refdenotaalpie"/>
          <w:rFonts w:ascii="Verdana" w:hAnsi="Verdana"/>
          <w:sz w:val="16"/>
          <w:szCs w:val="16"/>
        </w:rPr>
        <w:footnoteRef/>
      </w:r>
      <w:r w:rsidRPr="002439DC">
        <w:rPr>
          <w:rFonts w:ascii="Verdana" w:hAnsi="Verdana"/>
          <w:sz w:val="16"/>
          <w:szCs w:val="16"/>
          <w:lang w:val="es-AR"/>
        </w:rPr>
        <w:t xml:space="preserve"> </w:t>
      </w:r>
      <w:r w:rsidRPr="002439DC">
        <w:rPr>
          <w:rFonts w:ascii="Verdana" w:hAnsi="Verdana"/>
          <w:sz w:val="16"/>
          <w:szCs w:val="16"/>
          <w:lang w:val="es-AR"/>
        </w:rPr>
        <w:tab/>
      </w:r>
      <w:r>
        <w:rPr>
          <w:rFonts w:ascii="Verdana" w:hAnsi="Verdana"/>
          <w:sz w:val="16"/>
          <w:szCs w:val="16"/>
          <w:lang w:val="es-AR"/>
        </w:rPr>
        <w:t>Informe estatal de 19 de diciembre de 2017.</w:t>
      </w:r>
    </w:p>
  </w:footnote>
  <w:footnote w:id="21">
    <w:p w14:paraId="0F9C93B4" w14:textId="77777777" w:rsidR="00601E30" w:rsidRPr="002439DC" w:rsidRDefault="00601E30" w:rsidP="00051A70">
      <w:pPr>
        <w:pStyle w:val="Textonotapie"/>
        <w:tabs>
          <w:tab w:val="left" w:pos="426"/>
        </w:tabs>
        <w:ind w:right="4"/>
        <w:jc w:val="both"/>
        <w:rPr>
          <w:rFonts w:ascii="Verdana" w:hAnsi="Verdana"/>
          <w:sz w:val="16"/>
          <w:szCs w:val="16"/>
          <w:lang w:val="es-AR"/>
        </w:rPr>
      </w:pPr>
      <w:r w:rsidRPr="002439DC">
        <w:rPr>
          <w:rStyle w:val="Refdenotaalpie"/>
          <w:rFonts w:ascii="Verdana" w:hAnsi="Verdana"/>
          <w:sz w:val="16"/>
          <w:szCs w:val="16"/>
        </w:rPr>
        <w:footnoteRef/>
      </w:r>
      <w:r w:rsidRPr="002439DC">
        <w:rPr>
          <w:rFonts w:ascii="Verdana" w:hAnsi="Verdana"/>
          <w:sz w:val="16"/>
          <w:szCs w:val="16"/>
          <w:lang w:val="es-AR"/>
        </w:rPr>
        <w:t xml:space="preserve"> </w:t>
      </w:r>
      <w:r w:rsidRPr="002439DC">
        <w:rPr>
          <w:rFonts w:ascii="Verdana" w:hAnsi="Verdana"/>
          <w:sz w:val="16"/>
          <w:szCs w:val="16"/>
          <w:lang w:val="es-AR"/>
        </w:rPr>
        <w:tab/>
        <w:t xml:space="preserve">Según lo manifestado en la audiencia privada celebrada el 29 de noviembre de 2018. </w:t>
      </w:r>
    </w:p>
  </w:footnote>
  <w:footnote w:id="22">
    <w:p w14:paraId="736223CE" w14:textId="0BF559E5" w:rsidR="00601E30" w:rsidRPr="00477E3A" w:rsidRDefault="00601E30" w:rsidP="00B074B3">
      <w:pPr>
        <w:pStyle w:val="Textonotapie"/>
        <w:tabs>
          <w:tab w:val="left" w:pos="426"/>
        </w:tabs>
        <w:ind w:right="4"/>
        <w:jc w:val="both"/>
        <w:rPr>
          <w:rFonts w:ascii="Verdana" w:hAnsi="Verdana"/>
          <w:sz w:val="16"/>
          <w:szCs w:val="16"/>
          <w:lang w:val="es-ES"/>
        </w:rPr>
      </w:pPr>
      <w:r w:rsidRPr="00477E3A">
        <w:rPr>
          <w:rStyle w:val="Refdenotaalpie"/>
          <w:rFonts w:ascii="Verdana" w:hAnsi="Verdana"/>
          <w:sz w:val="16"/>
          <w:szCs w:val="16"/>
        </w:rPr>
        <w:footnoteRef/>
      </w:r>
      <w:r w:rsidRPr="00477E3A">
        <w:rPr>
          <w:rFonts w:ascii="Verdana" w:hAnsi="Verdana"/>
          <w:sz w:val="16"/>
          <w:szCs w:val="16"/>
          <w:lang w:val="es-ES"/>
        </w:rPr>
        <w:t xml:space="preserve"> </w:t>
      </w:r>
      <w:r>
        <w:rPr>
          <w:rFonts w:ascii="Verdana" w:hAnsi="Verdana"/>
          <w:sz w:val="16"/>
          <w:szCs w:val="16"/>
          <w:lang w:val="es-ES"/>
        </w:rPr>
        <w:tab/>
      </w:r>
      <w:r>
        <w:rPr>
          <w:rFonts w:ascii="Verdana" w:hAnsi="Verdana"/>
          <w:i/>
          <w:sz w:val="16"/>
          <w:szCs w:val="16"/>
          <w:lang w:val="es-AR"/>
        </w:rPr>
        <w:t>Caso Comunidad Garífuna de Punta Piedra y sus miembros Vs. Honduras</w:t>
      </w:r>
      <w:r>
        <w:rPr>
          <w:rFonts w:ascii="Verdana" w:hAnsi="Verdana"/>
          <w:sz w:val="16"/>
          <w:szCs w:val="16"/>
          <w:lang w:val="es-ES"/>
        </w:rPr>
        <w:t xml:space="preserve">, </w:t>
      </w:r>
      <w:r>
        <w:rPr>
          <w:rFonts w:ascii="Verdana" w:hAnsi="Verdana"/>
          <w:i/>
          <w:sz w:val="16"/>
          <w:szCs w:val="16"/>
          <w:lang w:val="es-ES"/>
        </w:rPr>
        <w:t>supra</w:t>
      </w:r>
      <w:r>
        <w:rPr>
          <w:rFonts w:ascii="Verdana" w:hAnsi="Verdana"/>
          <w:sz w:val="16"/>
          <w:szCs w:val="16"/>
          <w:lang w:val="es-ES"/>
        </w:rPr>
        <w:t>,</w:t>
      </w:r>
      <w:r w:rsidRPr="00477E3A">
        <w:rPr>
          <w:rFonts w:ascii="Verdana" w:hAnsi="Verdana"/>
          <w:sz w:val="16"/>
          <w:szCs w:val="16"/>
          <w:lang w:val="es-ES"/>
        </w:rPr>
        <w:t xml:space="preserve"> párr. 322. </w:t>
      </w:r>
    </w:p>
  </w:footnote>
  <w:footnote w:id="23">
    <w:p w14:paraId="151FE77E" w14:textId="1FE838C4" w:rsidR="00601E30" w:rsidRPr="00477E3A" w:rsidRDefault="00601E30" w:rsidP="00F770F4">
      <w:pPr>
        <w:pStyle w:val="Textonotapie"/>
        <w:tabs>
          <w:tab w:val="left" w:pos="426"/>
        </w:tabs>
        <w:ind w:right="4"/>
        <w:jc w:val="both"/>
        <w:rPr>
          <w:rFonts w:ascii="Verdana" w:hAnsi="Verdana"/>
          <w:sz w:val="16"/>
          <w:szCs w:val="16"/>
          <w:lang w:val="es-ES"/>
        </w:rPr>
      </w:pPr>
      <w:r w:rsidRPr="00477E3A">
        <w:rPr>
          <w:rStyle w:val="Refdenotaalpie"/>
          <w:rFonts w:ascii="Verdana" w:hAnsi="Verdana"/>
          <w:sz w:val="16"/>
          <w:szCs w:val="16"/>
        </w:rPr>
        <w:footnoteRef/>
      </w:r>
      <w:r w:rsidRPr="00477E3A">
        <w:rPr>
          <w:rFonts w:ascii="Verdana" w:hAnsi="Verdana"/>
          <w:sz w:val="16"/>
          <w:szCs w:val="16"/>
          <w:lang w:val="es-ES"/>
        </w:rPr>
        <w:t xml:space="preserve"> </w:t>
      </w:r>
      <w:r>
        <w:rPr>
          <w:rFonts w:ascii="Verdana" w:hAnsi="Verdana"/>
          <w:sz w:val="16"/>
          <w:szCs w:val="16"/>
          <w:lang w:val="es-ES"/>
        </w:rPr>
        <w:tab/>
      </w:r>
      <w:r>
        <w:rPr>
          <w:rFonts w:ascii="Verdana" w:hAnsi="Verdana"/>
          <w:i/>
          <w:sz w:val="16"/>
          <w:szCs w:val="16"/>
          <w:lang w:val="es-AR"/>
        </w:rPr>
        <w:t>Caso Comunidad Garífuna de Punta Piedra y sus miembros Vs. Honduras</w:t>
      </w:r>
      <w:r>
        <w:rPr>
          <w:rFonts w:ascii="Verdana" w:hAnsi="Verdana"/>
          <w:sz w:val="16"/>
          <w:szCs w:val="16"/>
          <w:lang w:val="es-ES"/>
        </w:rPr>
        <w:t xml:space="preserve">, </w:t>
      </w:r>
      <w:r>
        <w:rPr>
          <w:rFonts w:ascii="Verdana" w:hAnsi="Verdana"/>
          <w:i/>
          <w:sz w:val="16"/>
          <w:szCs w:val="16"/>
          <w:lang w:val="es-ES"/>
        </w:rPr>
        <w:t>supra</w:t>
      </w:r>
      <w:r>
        <w:rPr>
          <w:rFonts w:ascii="Verdana" w:hAnsi="Verdana"/>
          <w:sz w:val="16"/>
          <w:szCs w:val="16"/>
          <w:lang w:val="es-ES"/>
        </w:rPr>
        <w:t>, párr</w:t>
      </w:r>
      <w:r w:rsidRPr="00477E3A">
        <w:rPr>
          <w:rFonts w:ascii="Verdana" w:hAnsi="Verdana"/>
          <w:sz w:val="16"/>
          <w:szCs w:val="16"/>
          <w:lang w:val="es-ES"/>
        </w:rPr>
        <w:t xml:space="preserve">. 323. </w:t>
      </w:r>
    </w:p>
  </w:footnote>
  <w:footnote w:id="24">
    <w:p w14:paraId="0BFB688A" w14:textId="1630B366" w:rsidR="00601E30" w:rsidRPr="00477E3A" w:rsidRDefault="00601E30" w:rsidP="00F770F4">
      <w:pPr>
        <w:pStyle w:val="Textonotapie"/>
        <w:tabs>
          <w:tab w:val="left" w:pos="426"/>
        </w:tabs>
        <w:ind w:right="4"/>
        <w:jc w:val="both"/>
        <w:rPr>
          <w:rFonts w:ascii="Verdana" w:hAnsi="Verdana"/>
          <w:sz w:val="16"/>
          <w:szCs w:val="16"/>
          <w:lang w:val="es-ES"/>
        </w:rPr>
      </w:pPr>
      <w:r w:rsidRPr="00477E3A">
        <w:rPr>
          <w:rStyle w:val="Refdenotaalpie"/>
          <w:rFonts w:ascii="Verdana" w:hAnsi="Verdana"/>
          <w:sz w:val="16"/>
          <w:szCs w:val="16"/>
        </w:rPr>
        <w:footnoteRef/>
      </w:r>
      <w:r w:rsidRPr="00477E3A">
        <w:rPr>
          <w:rFonts w:ascii="Verdana" w:hAnsi="Verdana"/>
          <w:sz w:val="16"/>
          <w:szCs w:val="16"/>
          <w:lang w:val="es-ES"/>
        </w:rPr>
        <w:t xml:space="preserve"> </w:t>
      </w:r>
      <w:r>
        <w:rPr>
          <w:rFonts w:ascii="Verdana" w:hAnsi="Verdana"/>
          <w:sz w:val="16"/>
          <w:szCs w:val="16"/>
          <w:lang w:val="es-ES"/>
        </w:rPr>
        <w:tab/>
      </w:r>
      <w:r>
        <w:rPr>
          <w:rFonts w:ascii="Verdana" w:hAnsi="Verdana"/>
          <w:i/>
          <w:sz w:val="16"/>
          <w:szCs w:val="16"/>
          <w:lang w:val="es-AR"/>
        </w:rPr>
        <w:t>Caso Comunidad Garífuna de Punta Piedra y sus miembros Vs. Honduras</w:t>
      </w:r>
      <w:r>
        <w:rPr>
          <w:rFonts w:ascii="Verdana" w:hAnsi="Verdana"/>
          <w:sz w:val="16"/>
          <w:szCs w:val="16"/>
          <w:lang w:val="es-ES"/>
        </w:rPr>
        <w:t xml:space="preserve">, </w:t>
      </w:r>
      <w:r>
        <w:rPr>
          <w:rFonts w:ascii="Verdana" w:hAnsi="Verdana"/>
          <w:i/>
          <w:sz w:val="16"/>
          <w:szCs w:val="16"/>
          <w:lang w:val="es-ES"/>
        </w:rPr>
        <w:t>supra</w:t>
      </w:r>
      <w:r>
        <w:rPr>
          <w:rFonts w:ascii="Verdana" w:hAnsi="Verdana"/>
          <w:sz w:val="16"/>
          <w:szCs w:val="16"/>
          <w:lang w:val="es-ES"/>
        </w:rPr>
        <w:t>, párr</w:t>
      </w:r>
      <w:r w:rsidRPr="00477E3A">
        <w:rPr>
          <w:rFonts w:ascii="Verdana" w:hAnsi="Verdana"/>
          <w:sz w:val="16"/>
          <w:szCs w:val="16"/>
          <w:lang w:val="es-ES"/>
        </w:rPr>
        <w:t>. 325</w:t>
      </w:r>
      <w:r>
        <w:rPr>
          <w:rFonts w:ascii="Verdana" w:hAnsi="Verdana"/>
          <w:sz w:val="16"/>
          <w:szCs w:val="16"/>
          <w:lang w:val="es-ES"/>
        </w:rPr>
        <w:t>.</w:t>
      </w:r>
    </w:p>
  </w:footnote>
  <w:footnote w:id="25">
    <w:p w14:paraId="3515FB75" w14:textId="4BE31492" w:rsidR="00601E30" w:rsidRPr="00F770F4" w:rsidRDefault="00601E30" w:rsidP="00F770F4">
      <w:pPr>
        <w:pStyle w:val="Textonotapie"/>
        <w:tabs>
          <w:tab w:val="left" w:pos="426"/>
        </w:tabs>
        <w:ind w:right="4"/>
        <w:jc w:val="both"/>
        <w:rPr>
          <w:rFonts w:ascii="Verdana" w:hAnsi="Verdana"/>
          <w:sz w:val="16"/>
          <w:szCs w:val="16"/>
          <w:lang w:val="es-ES"/>
        </w:rPr>
      </w:pPr>
      <w:r w:rsidRPr="00F770F4">
        <w:rPr>
          <w:rStyle w:val="Refdenotaalpie"/>
          <w:rFonts w:ascii="Verdana" w:hAnsi="Verdana"/>
          <w:sz w:val="16"/>
          <w:szCs w:val="16"/>
        </w:rPr>
        <w:footnoteRef/>
      </w:r>
      <w:r w:rsidRPr="00F770F4">
        <w:rPr>
          <w:rFonts w:ascii="Verdana" w:hAnsi="Verdana"/>
          <w:sz w:val="16"/>
          <w:szCs w:val="16"/>
          <w:lang w:val="es-ES"/>
        </w:rPr>
        <w:t xml:space="preserve"> </w:t>
      </w:r>
      <w:r>
        <w:rPr>
          <w:rFonts w:ascii="Verdana" w:hAnsi="Verdana"/>
          <w:sz w:val="16"/>
          <w:szCs w:val="16"/>
          <w:lang w:val="es-ES"/>
        </w:rPr>
        <w:tab/>
      </w:r>
      <w:r w:rsidRPr="00F770F4">
        <w:rPr>
          <w:rFonts w:ascii="Verdana" w:hAnsi="Verdana"/>
          <w:i/>
          <w:sz w:val="16"/>
          <w:szCs w:val="16"/>
          <w:lang w:val="es-ES"/>
        </w:rPr>
        <w:t xml:space="preserve">Caso </w:t>
      </w:r>
      <w:r w:rsidRPr="00F770F4">
        <w:rPr>
          <w:rFonts w:ascii="Verdana" w:hAnsi="Verdana"/>
          <w:i/>
          <w:sz w:val="16"/>
          <w:szCs w:val="16"/>
          <w:lang w:val="es-AR"/>
        </w:rPr>
        <w:t>López</w:t>
      </w:r>
      <w:r w:rsidRPr="00F770F4">
        <w:rPr>
          <w:rFonts w:ascii="Verdana" w:hAnsi="Verdana"/>
          <w:i/>
          <w:sz w:val="16"/>
          <w:szCs w:val="16"/>
          <w:lang w:val="es-ES"/>
        </w:rPr>
        <w:t xml:space="preserve"> </w:t>
      </w:r>
      <w:proofErr w:type="spellStart"/>
      <w:r w:rsidRPr="00F770F4">
        <w:rPr>
          <w:rFonts w:ascii="Verdana" w:hAnsi="Verdana"/>
          <w:i/>
          <w:sz w:val="16"/>
          <w:szCs w:val="16"/>
          <w:lang w:val="es-ES"/>
        </w:rPr>
        <w:t>Lone</w:t>
      </w:r>
      <w:proofErr w:type="spellEnd"/>
      <w:r w:rsidRPr="00F770F4">
        <w:rPr>
          <w:rFonts w:ascii="Verdana" w:hAnsi="Verdana"/>
          <w:i/>
          <w:sz w:val="16"/>
          <w:szCs w:val="16"/>
          <w:lang w:val="es-ES"/>
        </w:rPr>
        <w:t xml:space="preserve"> y otros Vs. Honduras. Supervisión de cumplimiento de sentencia</w:t>
      </w:r>
      <w:r w:rsidRPr="00F770F4">
        <w:rPr>
          <w:rFonts w:ascii="Verdana" w:hAnsi="Verdana"/>
          <w:sz w:val="16"/>
          <w:szCs w:val="16"/>
          <w:lang w:val="es-ES"/>
        </w:rPr>
        <w:t xml:space="preserve">. Resolución de la Corte Interamericana de Derechos Humanos de 25 de mayo de 2017, Considerando 24. </w:t>
      </w:r>
    </w:p>
  </w:footnote>
  <w:footnote w:id="26">
    <w:p w14:paraId="6D821AE2" w14:textId="45BFF7EF" w:rsidR="00601E30" w:rsidRPr="00F770F4" w:rsidRDefault="00601E30" w:rsidP="00826A06">
      <w:pPr>
        <w:pStyle w:val="Textonotapie"/>
        <w:tabs>
          <w:tab w:val="left" w:pos="426"/>
        </w:tabs>
        <w:ind w:right="4"/>
        <w:jc w:val="both"/>
        <w:rPr>
          <w:rFonts w:ascii="Verdana" w:hAnsi="Verdana"/>
          <w:sz w:val="16"/>
          <w:szCs w:val="16"/>
          <w:lang w:val="es-ES"/>
        </w:rPr>
      </w:pPr>
      <w:r w:rsidRPr="00F770F4">
        <w:rPr>
          <w:rStyle w:val="Refdenotaalpie"/>
          <w:rFonts w:ascii="Verdana" w:hAnsi="Verdana"/>
          <w:sz w:val="16"/>
          <w:szCs w:val="16"/>
        </w:rPr>
        <w:footnoteRef/>
      </w:r>
      <w:r w:rsidRPr="00F770F4">
        <w:rPr>
          <w:rFonts w:ascii="Verdana" w:hAnsi="Verdana"/>
          <w:sz w:val="16"/>
          <w:szCs w:val="16"/>
          <w:lang w:val="es-ES"/>
        </w:rPr>
        <w:t xml:space="preserve"> </w:t>
      </w:r>
      <w:r>
        <w:rPr>
          <w:rFonts w:ascii="Verdana" w:hAnsi="Verdana"/>
          <w:sz w:val="16"/>
          <w:szCs w:val="16"/>
          <w:lang w:val="es-ES"/>
        </w:rPr>
        <w:tab/>
        <w:t>Escrito de observaciones de los representantes de 28 de julio de 2017</w:t>
      </w:r>
      <w:r w:rsidRPr="00F770F4">
        <w:rPr>
          <w:rFonts w:ascii="Verdana" w:hAnsi="Verdana"/>
          <w:sz w:val="16"/>
          <w:szCs w:val="16"/>
          <w:lang w:val="es-ES"/>
        </w:rPr>
        <w:t xml:space="preserve">. </w:t>
      </w:r>
    </w:p>
  </w:footnote>
  <w:footnote w:id="27">
    <w:p w14:paraId="4E831A80" w14:textId="5CA7560E" w:rsidR="00601E30" w:rsidRPr="00477E3A" w:rsidRDefault="00601E30" w:rsidP="00B6381E">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B6381E">
        <w:rPr>
          <w:rFonts w:ascii="Verdana" w:hAnsi="Verdana"/>
          <w:sz w:val="16"/>
          <w:szCs w:val="16"/>
          <w:lang w:val="es-ES"/>
        </w:rPr>
        <w:t>Escrito</w:t>
      </w:r>
      <w:r w:rsidRPr="00477E3A">
        <w:rPr>
          <w:rFonts w:ascii="Verdana" w:hAnsi="Verdana"/>
          <w:sz w:val="16"/>
          <w:szCs w:val="16"/>
          <w:lang w:val="es-AR"/>
        </w:rPr>
        <w:t xml:space="preserve"> de los represe</w:t>
      </w:r>
      <w:r>
        <w:rPr>
          <w:rFonts w:ascii="Verdana" w:hAnsi="Verdana"/>
          <w:sz w:val="16"/>
          <w:szCs w:val="16"/>
          <w:lang w:val="es-AR"/>
        </w:rPr>
        <w:t>ntantes de 26 de abril de 2018.</w:t>
      </w:r>
    </w:p>
  </w:footnote>
  <w:footnote w:id="28">
    <w:p w14:paraId="6F8E91D1" w14:textId="1D2D1408" w:rsidR="00601E30" w:rsidRPr="00477E3A" w:rsidRDefault="00601E30" w:rsidP="00B74C26">
      <w:pPr>
        <w:pStyle w:val="Textonotapie"/>
        <w:tabs>
          <w:tab w:val="left" w:pos="426"/>
        </w:tabs>
        <w:ind w:right="4"/>
        <w:jc w:val="both"/>
        <w:rPr>
          <w:rFonts w:ascii="Verdana" w:hAnsi="Verdana"/>
          <w:sz w:val="16"/>
          <w:szCs w:val="16"/>
          <w:lang w:val="es-ES"/>
        </w:rPr>
      </w:pPr>
      <w:r w:rsidRPr="00477E3A">
        <w:rPr>
          <w:rStyle w:val="Refdenotaalpie"/>
          <w:rFonts w:ascii="Verdana" w:hAnsi="Verdana"/>
          <w:sz w:val="16"/>
          <w:szCs w:val="16"/>
        </w:rPr>
        <w:footnoteRef/>
      </w:r>
      <w:r w:rsidRPr="00477E3A">
        <w:rPr>
          <w:rFonts w:ascii="Verdana" w:hAnsi="Verdana"/>
          <w:sz w:val="16"/>
          <w:szCs w:val="16"/>
          <w:lang w:val="es-ES"/>
        </w:rPr>
        <w:t xml:space="preserve"> </w:t>
      </w:r>
      <w:r>
        <w:rPr>
          <w:rFonts w:ascii="Verdana" w:hAnsi="Verdana"/>
          <w:sz w:val="16"/>
          <w:szCs w:val="16"/>
          <w:lang w:val="es-ES"/>
        </w:rPr>
        <w:tab/>
      </w:r>
      <w:r w:rsidRPr="00477E3A">
        <w:rPr>
          <w:rFonts w:ascii="Verdana" w:hAnsi="Verdana"/>
          <w:sz w:val="16"/>
          <w:szCs w:val="16"/>
          <w:lang w:val="es-AR"/>
        </w:rPr>
        <w:t xml:space="preserve">El </w:t>
      </w:r>
      <w:r w:rsidRPr="00B74C26">
        <w:rPr>
          <w:rFonts w:ascii="Verdana" w:hAnsi="Verdana"/>
          <w:sz w:val="16"/>
          <w:szCs w:val="16"/>
          <w:lang w:val="es-ES"/>
        </w:rPr>
        <w:t>Estado</w:t>
      </w:r>
      <w:r w:rsidRPr="00477E3A">
        <w:rPr>
          <w:rFonts w:ascii="Verdana" w:hAnsi="Verdana"/>
          <w:sz w:val="16"/>
          <w:szCs w:val="16"/>
          <w:lang w:val="es-AR"/>
        </w:rPr>
        <w:t xml:space="preserve"> expresó su “interés de buscar la protección de los pobladores de la Comunidad Garífuna de Punta Piedra”, e informó que en mayo de 2017 la Dirección General del Mecanismo de Protección de la Secretaría de Estado en los despachos de Derechos Humanos, a través del expediente DGSP-2017-061/D, había adoptado como “medidas de reacción inmediata”: (i) la solicitud de realización de patrullajes en la zona; (</w:t>
      </w:r>
      <w:proofErr w:type="spellStart"/>
      <w:r w:rsidRPr="00477E3A">
        <w:rPr>
          <w:rFonts w:ascii="Verdana" w:hAnsi="Verdana"/>
          <w:sz w:val="16"/>
          <w:szCs w:val="16"/>
          <w:lang w:val="es-AR"/>
        </w:rPr>
        <w:t>ii</w:t>
      </w:r>
      <w:proofErr w:type="spellEnd"/>
      <w:r w:rsidRPr="00477E3A">
        <w:rPr>
          <w:rFonts w:ascii="Verdana" w:hAnsi="Verdana"/>
          <w:sz w:val="16"/>
          <w:szCs w:val="16"/>
          <w:lang w:val="es-AR"/>
        </w:rPr>
        <w:t>) se brindó el número telefónico del Mecanismo de Protección de Defensores de Derechos Humanos, y (</w:t>
      </w:r>
      <w:proofErr w:type="spellStart"/>
      <w:r w:rsidRPr="00477E3A">
        <w:rPr>
          <w:rFonts w:ascii="Verdana" w:hAnsi="Verdana"/>
          <w:sz w:val="16"/>
          <w:szCs w:val="16"/>
          <w:lang w:val="es-AR"/>
        </w:rPr>
        <w:t>iii</w:t>
      </w:r>
      <w:proofErr w:type="spellEnd"/>
      <w:r w:rsidRPr="00477E3A">
        <w:rPr>
          <w:rFonts w:ascii="Verdana" w:hAnsi="Verdana"/>
          <w:sz w:val="16"/>
          <w:szCs w:val="16"/>
          <w:lang w:val="es-AR"/>
        </w:rPr>
        <w:t>) se remitió el expediente a la Unidad de Análisis de Riesgo de la Dirección General del Mecanismo de Protección. Informe estatal de 25 de mayo de 2018. No obstante, en la audiencia privada celebrada el 20 de noviembre de 2018, informó que el análisis de riesgo no había sido realizado en tanto la comunidad no había aceptado acogerse al Mec</w:t>
      </w:r>
      <w:r>
        <w:rPr>
          <w:rFonts w:ascii="Verdana" w:hAnsi="Verdana"/>
          <w:sz w:val="16"/>
          <w:szCs w:val="16"/>
          <w:lang w:val="es-AR"/>
        </w:rPr>
        <w:t>anismo de Protección hasta que</w:t>
      </w:r>
      <w:r w:rsidRPr="00477E3A">
        <w:rPr>
          <w:rFonts w:ascii="Verdana" w:hAnsi="Verdana"/>
          <w:sz w:val="16"/>
          <w:szCs w:val="16"/>
          <w:lang w:val="es-AR"/>
        </w:rPr>
        <w:t xml:space="preserve"> no se avanzara con</w:t>
      </w:r>
      <w:r>
        <w:rPr>
          <w:rFonts w:ascii="Verdana" w:hAnsi="Verdana"/>
          <w:sz w:val="16"/>
          <w:szCs w:val="16"/>
          <w:lang w:val="es-AR"/>
        </w:rPr>
        <w:t xml:space="preserve"> el saneamiento de las tierras.</w:t>
      </w:r>
      <w:r w:rsidRPr="00477E3A">
        <w:rPr>
          <w:rFonts w:ascii="Verdana" w:hAnsi="Verdana"/>
          <w:b/>
          <w:sz w:val="16"/>
          <w:szCs w:val="16"/>
          <w:lang w:val="es-AR"/>
        </w:rPr>
        <w:t xml:space="preserve"> </w:t>
      </w:r>
      <w:r w:rsidRPr="00477E3A">
        <w:rPr>
          <w:rFonts w:ascii="Verdana" w:hAnsi="Verdana"/>
          <w:sz w:val="16"/>
          <w:szCs w:val="16"/>
          <w:lang w:val="es-AR"/>
        </w:rPr>
        <w:t xml:space="preserve">Asimismo, refirió que el 14 de agosto de 2018, la Fiscalía Especial de Etnias se reunió con la junta directiva del Patronato de la Comunidad a los fines de solicitar detalles sobre los hechos denunciados, ante lo cual “el </w:t>
      </w:r>
      <w:proofErr w:type="gramStart"/>
      <w:r w:rsidRPr="00477E3A">
        <w:rPr>
          <w:rFonts w:ascii="Verdana" w:hAnsi="Verdana"/>
          <w:sz w:val="16"/>
          <w:szCs w:val="16"/>
          <w:lang w:val="es-AR"/>
        </w:rPr>
        <w:t>Presidente</w:t>
      </w:r>
      <w:proofErr w:type="gramEnd"/>
      <w:r w:rsidRPr="00477E3A">
        <w:rPr>
          <w:rFonts w:ascii="Verdana" w:hAnsi="Verdana"/>
          <w:sz w:val="16"/>
          <w:szCs w:val="16"/>
          <w:lang w:val="es-AR"/>
        </w:rPr>
        <w:t xml:space="preserve"> del Patronato […] manifestó que no p[</w:t>
      </w:r>
      <w:proofErr w:type="spellStart"/>
      <w:r w:rsidRPr="00477E3A">
        <w:rPr>
          <w:rFonts w:ascii="Verdana" w:hAnsi="Verdana"/>
          <w:sz w:val="16"/>
          <w:szCs w:val="16"/>
          <w:lang w:val="es-AR"/>
        </w:rPr>
        <w:t>odían</w:t>
      </w:r>
      <w:proofErr w:type="spellEnd"/>
      <w:r w:rsidRPr="00477E3A">
        <w:rPr>
          <w:rFonts w:ascii="Verdana" w:hAnsi="Verdana"/>
          <w:sz w:val="16"/>
          <w:szCs w:val="16"/>
          <w:lang w:val="es-AR"/>
        </w:rPr>
        <w:t>] dar detalles […] porque no cuentan con autorización de OFRANEH […] y que las denuncias las canalizan a través de esa organización”.</w:t>
      </w:r>
      <w:r>
        <w:rPr>
          <w:rFonts w:ascii="Verdana" w:hAnsi="Verdana"/>
          <w:b/>
          <w:sz w:val="16"/>
          <w:szCs w:val="16"/>
          <w:lang w:val="es-AR"/>
        </w:rPr>
        <w:t xml:space="preserve"> </w:t>
      </w:r>
      <w:r w:rsidRPr="00477E3A">
        <w:rPr>
          <w:rFonts w:ascii="Verdana" w:hAnsi="Verdana"/>
          <w:sz w:val="16"/>
          <w:szCs w:val="16"/>
          <w:lang w:val="es-AR"/>
        </w:rPr>
        <w:t xml:space="preserve">Los representantes no se expidieron sobre este punto. </w:t>
      </w:r>
    </w:p>
  </w:footnote>
  <w:footnote w:id="29">
    <w:p w14:paraId="07B27239" w14:textId="4362E9E0" w:rsidR="00601E30" w:rsidRPr="00477E3A" w:rsidRDefault="00601E30" w:rsidP="002E46EF">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 xml:space="preserve">Resolución 20/2017 del </w:t>
      </w:r>
      <w:r w:rsidRPr="00477E3A">
        <w:rPr>
          <w:rFonts w:ascii="Verdana" w:hAnsi="Verdana"/>
          <w:sz w:val="16"/>
          <w:szCs w:val="16"/>
          <w:lang w:val="es-MX"/>
        </w:rPr>
        <w:t xml:space="preserve">Instituto Hondureño de Geología y Minas (INHGEOMIN) de 20 de febrero de 2017 </w:t>
      </w:r>
      <w:r>
        <w:rPr>
          <w:rFonts w:ascii="Verdana" w:hAnsi="Verdana"/>
          <w:sz w:val="16"/>
          <w:szCs w:val="16"/>
          <w:lang w:val="es-MX"/>
        </w:rPr>
        <w:t xml:space="preserve">y Anotación RMC/17-072 del Instituto Hondureño de Geología y Minas, Unidad de Registro Minero y Catastral de 20 de abril de 2017 </w:t>
      </w:r>
      <w:r w:rsidRPr="00477E3A">
        <w:rPr>
          <w:rFonts w:ascii="Verdana" w:hAnsi="Verdana"/>
          <w:sz w:val="16"/>
          <w:szCs w:val="16"/>
          <w:lang w:val="es-MX"/>
        </w:rPr>
        <w:t>(Ane</w:t>
      </w:r>
      <w:r>
        <w:rPr>
          <w:rFonts w:ascii="Verdana" w:hAnsi="Verdana"/>
          <w:sz w:val="16"/>
          <w:szCs w:val="16"/>
          <w:lang w:val="es-MX"/>
        </w:rPr>
        <w:t>xos</w:t>
      </w:r>
      <w:r w:rsidRPr="00477E3A">
        <w:rPr>
          <w:rFonts w:ascii="Verdana" w:hAnsi="Verdana"/>
          <w:sz w:val="16"/>
          <w:szCs w:val="16"/>
          <w:lang w:val="es-MX"/>
        </w:rPr>
        <w:t xml:space="preserve"> al informe estatal de 19 de diciembre de 2017).</w:t>
      </w:r>
      <w:r>
        <w:rPr>
          <w:rFonts w:ascii="Verdana" w:hAnsi="Verdana"/>
          <w:sz w:val="16"/>
          <w:szCs w:val="16"/>
          <w:lang w:val="es-AR"/>
        </w:rPr>
        <w:t xml:space="preserve"> </w:t>
      </w:r>
    </w:p>
  </w:footnote>
  <w:footnote w:id="30">
    <w:p w14:paraId="653C9F5C" w14:textId="6A1D459B" w:rsidR="00601E30" w:rsidRPr="00477E3A" w:rsidRDefault="00601E30" w:rsidP="00014EDD">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 xml:space="preserve">Oficio INHGEOMIN SG 070-2019 de 26 de abril de 2019 (Anexo al informe estatal de 30 de abril de 2019).  </w:t>
      </w:r>
    </w:p>
  </w:footnote>
  <w:footnote w:id="31">
    <w:p w14:paraId="29AA6F46" w14:textId="7189EDA8" w:rsidR="00601E30" w:rsidRPr="00477E3A" w:rsidRDefault="00601E30" w:rsidP="002E46EF">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Escrito de observaciones de los representantes de 8 de febrero de 2018</w:t>
      </w:r>
      <w:r w:rsidRPr="00477E3A">
        <w:rPr>
          <w:rFonts w:ascii="Verdana" w:hAnsi="Verdana"/>
          <w:sz w:val="16"/>
          <w:szCs w:val="16"/>
          <w:lang w:val="es-MX"/>
        </w:rPr>
        <w:t>.</w:t>
      </w:r>
      <w:r>
        <w:rPr>
          <w:rFonts w:ascii="Verdana" w:hAnsi="Verdana"/>
          <w:sz w:val="16"/>
          <w:szCs w:val="16"/>
          <w:lang w:val="es-AR"/>
        </w:rPr>
        <w:t xml:space="preserve"> </w:t>
      </w:r>
    </w:p>
  </w:footnote>
  <w:footnote w:id="32">
    <w:p w14:paraId="5840FFFC" w14:textId="18FCDE25" w:rsidR="00601E30" w:rsidRPr="00477E3A" w:rsidRDefault="00601E30" w:rsidP="002E46EF">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Según manifestaron en la audiencia privada celebrada el 29 de noviembre de 2018</w:t>
      </w:r>
      <w:r w:rsidRPr="00477E3A">
        <w:rPr>
          <w:rFonts w:ascii="Verdana" w:hAnsi="Verdana"/>
          <w:sz w:val="16"/>
          <w:szCs w:val="16"/>
          <w:lang w:val="es-MX"/>
        </w:rPr>
        <w:t>.</w:t>
      </w:r>
      <w:r>
        <w:rPr>
          <w:rFonts w:ascii="Verdana" w:hAnsi="Verdana"/>
          <w:sz w:val="16"/>
          <w:szCs w:val="16"/>
          <w:lang w:val="es-AR"/>
        </w:rPr>
        <w:t xml:space="preserve"> </w:t>
      </w:r>
    </w:p>
  </w:footnote>
  <w:footnote w:id="33">
    <w:p w14:paraId="1F9C0C5D" w14:textId="2B699A42" w:rsidR="00601E30" w:rsidRPr="00655D78" w:rsidRDefault="00601E30" w:rsidP="00C31880">
      <w:pPr>
        <w:pStyle w:val="Textonotapie"/>
        <w:tabs>
          <w:tab w:val="left" w:pos="426"/>
        </w:tabs>
        <w:ind w:right="4"/>
        <w:jc w:val="both"/>
        <w:rPr>
          <w:rFonts w:ascii="Verdana" w:hAnsi="Verdana"/>
          <w:sz w:val="16"/>
          <w:szCs w:val="16"/>
          <w:lang w:val="es-AR"/>
        </w:rPr>
      </w:pPr>
      <w:r w:rsidRPr="00655D78">
        <w:rPr>
          <w:rStyle w:val="Refdenotaalpie"/>
          <w:rFonts w:ascii="Verdana" w:hAnsi="Verdana"/>
          <w:sz w:val="16"/>
          <w:szCs w:val="16"/>
        </w:rPr>
        <w:footnoteRef/>
      </w:r>
      <w:r w:rsidRPr="00655D78">
        <w:rPr>
          <w:rFonts w:ascii="Verdana" w:hAnsi="Verdana"/>
          <w:sz w:val="16"/>
          <w:szCs w:val="16"/>
          <w:lang w:val="es-AR"/>
        </w:rPr>
        <w:t xml:space="preserve"> </w:t>
      </w:r>
      <w:r w:rsidRPr="00655D78">
        <w:rPr>
          <w:rFonts w:ascii="Verdana" w:hAnsi="Verdana"/>
          <w:sz w:val="16"/>
          <w:szCs w:val="16"/>
          <w:lang w:val="es-AR"/>
        </w:rPr>
        <w:tab/>
        <w:t>Escrito de observaciones de los representantes de 7 de mayo de 2019</w:t>
      </w:r>
      <w:r w:rsidRPr="00655D78">
        <w:rPr>
          <w:rFonts w:ascii="Verdana" w:hAnsi="Verdana"/>
          <w:sz w:val="16"/>
          <w:szCs w:val="16"/>
          <w:lang w:val="es-MX"/>
        </w:rPr>
        <w:t>.</w:t>
      </w:r>
      <w:r w:rsidRPr="00655D78">
        <w:rPr>
          <w:rFonts w:ascii="Verdana" w:hAnsi="Verdana"/>
          <w:sz w:val="16"/>
          <w:szCs w:val="16"/>
          <w:lang w:val="es-AR"/>
        </w:rPr>
        <w:t xml:space="preserve"> </w:t>
      </w:r>
    </w:p>
  </w:footnote>
  <w:footnote w:id="34">
    <w:p w14:paraId="56F42203" w14:textId="7E49E034" w:rsidR="00601E30" w:rsidRPr="00477E3A" w:rsidRDefault="00601E30" w:rsidP="00221C0C">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Escrito de observaciones de la C</w:t>
      </w:r>
      <w:r>
        <w:rPr>
          <w:rFonts w:ascii="Verdana" w:hAnsi="Verdana"/>
          <w:sz w:val="16"/>
          <w:szCs w:val="16"/>
          <w:lang w:val="es-AR"/>
        </w:rPr>
        <w:t>omisión de 18 de julio de 2018.</w:t>
      </w:r>
    </w:p>
  </w:footnote>
  <w:footnote w:id="35">
    <w:p w14:paraId="3AE65B8F" w14:textId="357A783B" w:rsidR="00601E30" w:rsidRPr="00477E3A" w:rsidRDefault="00601E30" w:rsidP="00221C0C">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 xml:space="preserve">Oficio No. 265-DGP-AE de 30 de septiembre de 2016 de la Secretaría de Estado en el despacho de Finanzas (SEFIN) dirigida a la Procuraduría General de la República (Anexo al informe estatal de 20 de diciembre de 2016). En dicho informe, el Estado manifestó asimismo que el Presupuesto General para el Ejercicio Fiscal 2017 había sido aprobado por el Congreso Nacional. </w:t>
      </w:r>
    </w:p>
  </w:footnote>
  <w:footnote w:id="36">
    <w:p w14:paraId="44B8A081" w14:textId="08EA9B39" w:rsidR="00601E30" w:rsidRPr="00477E3A" w:rsidRDefault="00601E30" w:rsidP="001663D9">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Informe estatal de 20 de diciembre de 2016. En dicho informe, el Estado manifestó asimismo que el Presupuesto General para el Ejercicio Fiscal 2017 había sido aprobado por el Congreso Nacional.</w:t>
      </w:r>
    </w:p>
  </w:footnote>
  <w:footnote w:id="37">
    <w:p w14:paraId="3124199D" w14:textId="2C1A4C34" w:rsidR="00601E30" w:rsidRPr="00477E3A" w:rsidRDefault="00601E30" w:rsidP="001663D9">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 xml:space="preserve">Escrito de observaciones de los representantes de 8 de febrero de 2018. </w:t>
      </w:r>
      <w:r>
        <w:rPr>
          <w:rFonts w:ascii="Verdana" w:hAnsi="Verdana"/>
          <w:sz w:val="16"/>
          <w:szCs w:val="16"/>
          <w:lang w:val="es-AR"/>
        </w:rPr>
        <w:t>Anteriormente</w:t>
      </w:r>
      <w:r w:rsidRPr="00477E3A">
        <w:rPr>
          <w:rFonts w:ascii="Verdana" w:hAnsi="Verdana"/>
          <w:sz w:val="16"/>
          <w:szCs w:val="16"/>
          <w:lang w:val="es-AR"/>
        </w:rPr>
        <w:t xml:space="preserve">, en su escrito de </w:t>
      </w:r>
      <w:r w:rsidRPr="00477E3A">
        <w:rPr>
          <w:rFonts w:ascii="Verdana" w:hAnsi="Verdana"/>
          <w:sz w:val="16"/>
          <w:szCs w:val="16"/>
          <w:lang w:val="es-CO"/>
        </w:rPr>
        <w:t>1 de noviembre de 2017 los representantes explicaron que “la comuni</w:t>
      </w:r>
      <w:r>
        <w:rPr>
          <w:rFonts w:ascii="Verdana" w:hAnsi="Verdana"/>
          <w:sz w:val="16"/>
          <w:szCs w:val="16"/>
          <w:lang w:val="es-CO"/>
        </w:rPr>
        <w:t xml:space="preserve">dad se </w:t>
      </w:r>
      <w:proofErr w:type="spellStart"/>
      <w:r>
        <w:rPr>
          <w:rFonts w:ascii="Verdana" w:hAnsi="Verdana"/>
          <w:sz w:val="16"/>
          <w:szCs w:val="16"/>
          <w:lang w:val="es-CO"/>
        </w:rPr>
        <w:t>enc</w:t>
      </w:r>
      <w:proofErr w:type="spellEnd"/>
      <w:r>
        <w:rPr>
          <w:rFonts w:ascii="Verdana" w:hAnsi="Verdana"/>
          <w:sz w:val="16"/>
          <w:szCs w:val="16"/>
          <w:lang w:val="es-CO"/>
        </w:rPr>
        <w:t>[</w:t>
      </w:r>
      <w:proofErr w:type="spellStart"/>
      <w:r>
        <w:rPr>
          <w:rFonts w:ascii="Verdana" w:hAnsi="Verdana"/>
          <w:sz w:val="16"/>
          <w:szCs w:val="16"/>
          <w:lang w:val="es-CO"/>
        </w:rPr>
        <w:t>ontraba</w:t>
      </w:r>
      <w:proofErr w:type="spellEnd"/>
      <w:r>
        <w:rPr>
          <w:rFonts w:ascii="Verdana" w:hAnsi="Verdana"/>
          <w:sz w:val="16"/>
          <w:szCs w:val="16"/>
          <w:lang w:val="es-CO"/>
        </w:rPr>
        <w:t>]</w:t>
      </w:r>
      <w:r w:rsidRPr="00477E3A">
        <w:rPr>
          <w:rFonts w:ascii="Verdana" w:hAnsi="Verdana"/>
          <w:sz w:val="16"/>
          <w:szCs w:val="16"/>
          <w:lang w:val="es-CO"/>
        </w:rPr>
        <w:t xml:space="preserve"> realizando un proceso interno de análisis sobre los destinos que se darán a [los] fondos […] a fin de evitar experiencias que atentan contra la cohesi</w:t>
      </w:r>
      <w:r>
        <w:rPr>
          <w:rFonts w:ascii="Verdana" w:hAnsi="Verdana"/>
          <w:sz w:val="16"/>
          <w:szCs w:val="16"/>
          <w:lang w:val="es-CO"/>
        </w:rPr>
        <w:t>ón social del pueblo Garífuna”.</w:t>
      </w:r>
    </w:p>
  </w:footnote>
  <w:footnote w:id="38">
    <w:p w14:paraId="4C462567" w14:textId="11F6452F" w:rsidR="00601E30" w:rsidRPr="00477E3A" w:rsidRDefault="00601E30" w:rsidP="00BF49DE">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 xml:space="preserve">Informe estatal de 20 de diciembre de 2016. </w:t>
      </w:r>
      <w:r w:rsidRPr="00477E3A">
        <w:rPr>
          <w:rFonts w:ascii="Verdana" w:hAnsi="Verdana"/>
          <w:sz w:val="16"/>
          <w:szCs w:val="16"/>
          <w:lang w:val="es-AR"/>
        </w:rPr>
        <w:t xml:space="preserve">Asimismo, el Estado agregó que “se está trabajando conjuntamente con las diferentes Secretarías de Estado involucradas en la ejecución de la Sentencia […] sin perjuicio de los mecanismos necesarios de coordinación entre instituciones con el fin de velar por la efectividad de las medidas dispuestas, que se han venido implementando desde la notificación del fallo”. </w:t>
      </w:r>
    </w:p>
  </w:footnote>
  <w:footnote w:id="39">
    <w:p w14:paraId="2397D0E4" w14:textId="40F8C819" w:rsidR="00601E30" w:rsidRPr="00477E3A" w:rsidRDefault="00601E30" w:rsidP="00A50DBA">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 xml:space="preserve">Decreto Ejecutivo 01-2016, publicado el </w:t>
      </w:r>
      <w:r w:rsidRPr="00A50DBA">
        <w:rPr>
          <w:rFonts w:ascii="Verdana" w:hAnsi="Verdana"/>
          <w:sz w:val="16"/>
          <w:szCs w:val="16"/>
          <w:lang w:val="es-CR"/>
        </w:rPr>
        <w:t>publicado el 10 de diciembre de 2016</w:t>
      </w:r>
      <w:r>
        <w:rPr>
          <w:rFonts w:ascii="Verdana" w:hAnsi="Verdana"/>
          <w:sz w:val="16"/>
          <w:szCs w:val="16"/>
          <w:lang w:val="es-CR"/>
        </w:rPr>
        <w:t xml:space="preserve"> en el diario oficial “La Gaceta” de Honduras (Anexo al informe estatal de 30 de abril de 2019). Honduras también informó el 30 de abril de 2019 que la Comisión Interinstitucional está compuesta por los siguientes funcionarios, en carácter de titulares y suplentes, respectivamente: por la SEDH, su Vice Ministra y su Oficial de Seguimiento y Convenios Internacionales; por la PGR, el Sub Procurador General de la República y su Oficial Jurídico de Derechos Humanos; por la SRECI, su Secretaria General y su Director de Política Multilateral; por la SCGG, su Directora Técnica del Despacho y su Asistente Técnica; por la SEDIS, el Coordinador de Derechos Humanos y el Director General de la Ceiba, Atlántida; por la SEFIN, su Gerente Administrativo y su Asesora Legal; por la INSEP, su Secretario General y su Asesora; por </w:t>
      </w:r>
      <w:proofErr w:type="spellStart"/>
      <w:r>
        <w:rPr>
          <w:rFonts w:ascii="Verdana" w:hAnsi="Verdana"/>
          <w:sz w:val="16"/>
          <w:szCs w:val="16"/>
          <w:lang w:val="es-CR"/>
        </w:rPr>
        <w:t>MiAmbiente</w:t>
      </w:r>
      <w:proofErr w:type="spellEnd"/>
      <w:r>
        <w:rPr>
          <w:rFonts w:ascii="Verdana" w:hAnsi="Verdana"/>
          <w:sz w:val="16"/>
          <w:szCs w:val="16"/>
          <w:lang w:val="es-CR"/>
        </w:rPr>
        <w:t xml:space="preserve">, su Asesora Legal; por el Ministerio Público, sus Fiscales Jefe y Sub Jefe de Protección a las Etnias y Patrimonio Cultural; por el Instituto Nacional Agrario, su Asesor de Dirección Ejecutiva y una abogada de la institución; por el ICF, su Secretaria General y su Asesora Legal; por el IDECOAS, el Sub Director Adjunto y el Coordinador de Agua y Saneamiento; por el IP, el Jefe de Catastro y una Arquitecta del área de Catastro; por el IHT, la Secretaria General y su Director Legal; por la Alcaldía de Tela, la Secretaria Municipal y un Abogado, y por la Municipalidad de </w:t>
      </w:r>
      <w:proofErr w:type="spellStart"/>
      <w:r>
        <w:rPr>
          <w:rFonts w:ascii="Verdana" w:hAnsi="Verdana"/>
          <w:sz w:val="16"/>
          <w:szCs w:val="16"/>
          <w:lang w:val="es-CR"/>
        </w:rPr>
        <w:t>Iriona</w:t>
      </w:r>
      <w:proofErr w:type="spellEnd"/>
      <w:r>
        <w:rPr>
          <w:rFonts w:ascii="Verdana" w:hAnsi="Verdana"/>
          <w:sz w:val="16"/>
          <w:szCs w:val="16"/>
          <w:lang w:val="es-CR"/>
        </w:rPr>
        <w:t xml:space="preserve">, el Alcalde Municipal y un Regidor Municipal. </w:t>
      </w:r>
    </w:p>
  </w:footnote>
  <w:footnote w:id="40">
    <w:p w14:paraId="38B83E61" w14:textId="1805E2A0" w:rsidR="00601E30" w:rsidRPr="00477E3A" w:rsidRDefault="00601E30" w:rsidP="000B0029">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 xml:space="preserve">Decreto Ejecutivo 01-2016, </w:t>
      </w:r>
      <w:r>
        <w:rPr>
          <w:rFonts w:ascii="Verdana" w:hAnsi="Verdana"/>
          <w:i/>
          <w:sz w:val="16"/>
          <w:szCs w:val="16"/>
          <w:lang w:val="es-AR"/>
        </w:rPr>
        <w:t xml:space="preserve">supra </w:t>
      </w:r>
      <w:r>
        <w:rPr>
          <w:rFonts w:ascii="Verdana" w:hAnsi="Verdana"/>
          <w:sz w:val="16"/>
          <w:szCs w:val="16"/>
          <w:lang w:val="es-AR"/>
        </w:rPr>
        <w:t>nota 40</w:t>
      </w:r>
      <w:r>
        <w:rPr>
          <w:rFonts w:ascii="Verdana" w:hAnsi="Verdana"/>
          <w:sz w:val="16"/>
          <w:szCs w:val="16"/>
          <w:lang w:val="es-CR"/>
        </w:rPr>
        <w:t>. Asimismo, precisa que la Comisión tendrá las siguientes atribuciones: a) Dar cumplimiento a los puntos resolutivos de la Sentencia; b) Establecer el cronograma de acciones y la implementación del mismo, para el cumplimiento efectivo de la Sentencia; c) Monitorear el cumplimiento de las obligaciones a cumplir por el Estado de Honduras dentro de los plazos establecidos en la Sentencia; d) Pactar con los peticionarios el cumplimiento adecuado de los puntos resolutivos; e) Elaborar informes cada 4 meses sobre el avance o ejecución de las obligaciones establecidas en la Sentencia; f) Solicitar a las instituciones del Estado cualquier información, apoyo  diligencia que se considere necesaria para la ejecución de las obligaciones establecidas en la Sentencia; g) Realizar cualquier otra acciones necesaria para el cumplimiento de la Sentencia.</w:t>
      </w:r>
    </w:p>
  </w:footnote>
  <w:footnote w:id="41">
    <w:p w14:paraId="3A15CCD7" w14:textId="736E7977" w:rsidR="00601E30" w:rsidRPr="00477E3A" w:rsidRDefault="00601E30" w:rsidP="00BF49DE">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 xml:space="preserve">Escrito de observaciones de los representantes de 3 de noviembre de 2017. </w:t>
      </w:r>
      <w:r w:rsidRPr="00477E3A">
        <w:rPr>
          <w:rFonts w:ascii="Verdana" w:hAnsi="Verdana"/>
          <w:sz w:val="16"/>
          <w:szCs w:val="16"/>
          <w:lang w:val="es-AR"/>
        </w:rPr>
        <w:t>Al respecto, precisaron que resultaba necesaria la participación de los tres poderes “</w:t>
      </w:r>
      <w:r w:rsidRPr="00477E3A">
        <w:rPr>
          <w:rFonts w:ascii="Verdana" w:hAnsi="Verdana"/>
          <w:sz w:val="16"/>
          <w:szCs w:val="16"/>
          <w:lang w:val="es-CR"/>
        </w:rPr>
        <w:t xml:space="preserve">en tanto la necesidad de leyes especiales que </w:t>
      </w:r>
      <w:proofErr w:type="spellStart"/>
      <w:r w:rsidRPr="00477E3A">
        <w:rPr>
          <w:rFonts w:ascii="Verdana" w:hAnsi="Verdana"/>
          <w:sz w:val="16"/>
          <w:szCs w:val="16"/>
          <w:lang w:val="es-CR"/>
        </w:rPr>
        <w:t>eficienten</w:t>
      </w:r>
      <w:proofErr w:type="spellEnd"/>
      <w:r w:rsidRPr="00477E3A">
        <w:rPr>
          <w:rFonts w:ascii="Verdana" w:hAnsi="Verdana"/>
          <w:sz w:val="16"/>
          <w:szCs w:val="16"/>
          <w:lang w:val="es-CR"/>
        </w:rPr>
        <w:t xml:space="preserve"> el proceso y de las decisiones en el ejercicio del poder coercitivo requerido pro</w:t>
      </w:r>
      <w:r>
        <w:rPr>
          <w:rFonts w:ascii="Verdana" w:hAnsi="Verdana"/>
          <w:sz w:val="16"/>
          <w:szCs w:val="16"/>
          <w:lang w:val="es-CR"/>
        </w:rPr>
        <w:t xml:space="preserve"> </w:t>
      </w:r>
      <w:proofErr w:type="gramStart"/>
      <w:r>
        <w:rPr>
          <w:rFonts w:ascii="Verdana" w:hAnsi="Verdana"/>
          <w:sz w:val="16"/>
          <w:szCs w:val="16"/>
          <w:lang w:val="es-CR"/>
        </w:rPr>
        <w:t>al complejidad</w:t>
      </w:r>
      <w:proofErr w:type="gramEnd"/>
      <w:r>
        <w:rPr>
          <w:rFonts w:ascii="Verdana" w:hAnsi="Verdana"/>
          <w:sz w:val="16"/>
          <w:szCs w:val="16"/>
          <w:lang w:val="es-CR"/>
        </w:rPr>
        <w:t xml:space="preserve"> del conflicto”.</w:t>
      </w:r>
    </w:p>
  </w:footnote>
  <w:footnote w:id="42">
    <w:p w14:paraId="0042F608" w14:textId="4EA3FA44" w:rsidR="00601E30" w:rsidRPr="00477E3A" w:rsidRDefault="00601E30" w:rsidP="00BF49DE">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Pr>
          <w:rFonts w:ascii="Verdana" w:hAnsi="Verdana"/>
          <w:sz w:val="16"/>
          <w:szCs w:val="16"/>
          <w:lang w:val="es-AR"/>
        </w:rPr>
        <w:t xml:space="preserve"> </w:t>
      </w:r>
      <w:r>
        <w:rPr>
          <w:rFonts w:ascii="Verdana" w:hAnsi="Verdana"/>
          <w:sz w:val="16"/>
          <w:szCs w:val="16"/>
          <w:lang w:val="es-AR"/>
        </w:rPr>
        <w:tab/>
        <w:t>Escrito de observaciones de los representantes de 8 de febrero de 2018</w:t>
      </w:r>
      <w:r>
        <w:rPr>
          <w:rFonts w:ascii="Verdana" w:hAnsi="Verdana"/>
          <w:sz w:val="16"/>
          <w:szCs w:val="16"/>
          <w:lang w:val="es-CR"/>
        </w:rPr>
        <w:t>.</w:t>
      </w:r>
    </w:p>
  </w:footnote>
  <w:footnote w:id="43">
    <w:p w14:paraId="74B7656D" w14:textId="521255C0" w:rsidR="00601E30" w:rsidRPr="00554496" w:rsidRDefault="00601E30" w:rsidP="0029788E">
      <w:pPr>
        <w:pStyle w:val="Textonotapie"/>
        <w:tabs>
          <w:tab w:val="left" w:pos="426"/>
        </w:tabs>
        <w:ind w:right="4"/>
        <w:jc w:val="both"/>
        <w:rPr>
          <w:rFonts w:ascii="Verdana" w:hAnsi="Verdana"/>
          <w:sz w:val="16"/>
          <w:szCs w:val="16"/>
          <w:lang w:val="es-AR"/>
        </w:rPr>
      </w:pPr>
      <w:r w:rsidRPr="00554496">
        <w:rPr>
          <w:rStyle w:val="Refdenotaalpie"/>
          <w:rFonts w:ascii="Verdana" w:hAnsi="Verdana"/>
          <w:sz w:val="16"/>
          <w:szCs w:val="16"/>
        </w:rPr>
        <w:footnoteRef/>
      </w:r>
      <w:r w:rsidRPr="00554496">
        <w:rPr>
          <w:rFonts w:ascii="Verdana" w:hAnsi="Verdana"/>
          <w:sz w:val="16"/>
          <w:szCs w:val="16"/>
          <w:lang w:val="es-AR"/>
        </w:rPr>
        <w:t xml:space="preserve"> </w:t>
      </w:r>
      <w:r w:rsidRPr="00554496">
        <w:rPr>
          <w:rFonts w:ascii="Verdana" w:hAnsi="Verdana"/>
          <w:sz w:val="16"/>
          <w:szCs w:val="16"/>
          <w:lang w:val="es-AR"/>
        </w:rPr>
        <w:tab/>
        <w:t>Escrito de observaciones de los representantes de 7 de mayo de 2019</w:t>
      </w:r>
      <w:r>
        <w:rPr>
          <w:rFonts w:ascii="Verdana" w:hAnsi="Verdana"/>
          <w:sz w:val="16"/>
          <w:szCs w:val="16"/>
          <w:lang w:val="es-CR"/>
        </w:rPr>
        <w:t>.</w:t>
      </w:r>
    </w:p>
  </w:footnote>
  <w:footnote w:id="44">
    <w:p w14:paraId="71602793" w14:textId="3A7E7CB1" w:rsidR="00601E30" w:rsidRPr="00477E3A" w:rsidRDefault="00601E30" w:rsidP="001E7965">
      <w:pPr>
        <w:pStyle w:val="Textonotapie"/>
        <w:tabs>
          <w:tab w:val="left" w:pos="426"/>
        </w:tabs>
        <w:ind w:right="4"/>
        <w:jc w:val="both"/>
        <w:rPr>
          <w:rFonts w:ascii="Verdana" w:hAnsi="Verdana"/>
          <w:sz w:val="16"/>
          <w:szCs w:val="16"/>
          <w:lang w:val="es-CO"/>
        </w:rPr>
      </w:pPr>
      <w:r w:rsidRPr="00477E3A">
        <w:rPr>
          <w:rStyle w:val="Refdenotaalpie"/>
          <w:rFonts w:ascii="Verdana" w:hAnsi="Verdana"/>
          <w:sz w:val="16"/>
          <w:szCs w:val="16"/>
        </w:rPr>
        <w:footnoteRef/>
      </w:r>
      <w:r w:rsidRPr="00477E3A">
        <w:rPr>
          <w:rFonts w:ascii="Verdana" w:hAnsi="Verdana"/>
          <w:sz w:val="16"/>
          <w:szCs w:val="16"/>
          <w:lang w:val="es-CO"/>
        </w:rPr>
        <w:t xml:space="preserve"> </w:t>
      </w:r>
      <w:r>
        <w:rPr>
          <w:rFonts w:ascii="Verdana" w:hAnsi="Verdana"/>
          <w:sz w:val="16"/>
          <w:szCs w:val="16"/>
          <w:lang w:val="es-CO"/>
        </w:rPr>
        <w:tab/>
      </w:r>
      <w:r w:rsidRPr="001E7965">
        <w:rPr>
          <w:rFonts w:ascii="Verdana" w:hAnsi="Verdana"/>
          <w:i/>
          <w:sz w:val="16"/>
          <w:szCs w:val="16"/>
          <w:lang w:val="es-CO"/>
        </w:rPr>
        <w:t>Cfr</w:t>
      </w:r>
      <w:r w:rsidRPr="00477E3A">
        <w:rPr>
          <w:rFonts w:ascii="Verdana" w:hAnsi="Verdana"/>
          <w:sz w:val="16"/>
          <w:szCs w:val="16"/>
          <w:lang w:val="es-CO"/>
        </w:rPr>
        <w:t>. Copia de la Gaceta Oficial de la República de Honduras de 31 de mayo de 2016 (Anexo al informe del Est</w:t>
      </w:r>
      <w:r>
        <w:rPr>
          <w:rFonts w:ascii="Verdana" w:hAnsi="Verdana"/>
          <w:sz w:val="16"/>
          <w:szCs w:val="16"/>
          <w:lang w:val="es-CO"/>
        </w:rPr>
        <w:t>ado de 19 de diciembre de 2016).</w:t>
      </w:r>
    </w:p>
  </w:footnote>
  <w:footnote w:id="45">
    <w:p w14:paraId="10DB1995" w14:textId="39FE4EA7" w:rsidR="00601E30" w:rsidRPr="00477E3A" w:rsidRDefault="00601E30" w:rsidP="001E7965">
      <w:pPr>
        <w:pStyle w:val="Textonotapie"/>
        <w:tabs>
          <w:tab w:val="left" w:pos="426"/>
        </w:tabs>
        <w:ind w:right="4"/>
        <w:jc w:val="both"/>
        <w:rPr>
          <w:rFonts w:ascii="Verdana" w:hAnsi="Verdana"/>
          <w:sz w:val="16"/>
          <w:szCs w:val="16"/>
          <w:lang w:val="es-CO"/>
        </w:rPr>
      </w:pPr>
      <w:r w:rsidRPr="00477E3A">
        <w:rPr>
          <w:rStyle w:val="Refdenotaalpie"/>
          <w:rFonts w:ascii="Verdana" w:hAnsi="Verdana"/>
          <w:sz w:val="16"/>
          <w:szCs w:val="16"/>
        </w:rPr>
        <w:footnoteRef/>
      </w:r>
      <w:r w:rsidRPr="00477E3A">
        <w:rPr>
          <w:rFonts w:ascii="Verdana" w:hAnsi="Verdana"/>
          <w:sz w:val="16"/>
          <w:szCs w:val="16"/>
          <w:lang w:val="es-CO"/>
        </w:rPr>
        <w:t xml:space="preserve"> </w:t>
      </w:r>
      <w:r>
        <w:rPr>
          <w:rFonts w:ascii="Verdana" w:hAnsi="Verdana"/>
          <w:sz w:val="16"/>
          <w:szCs w:val="16"/>
          <w:lang w:val="es-CO"/>
        </w:rPr>
        <w:tab/>
      </w:r>
      <w:r w:rsidRPr="001E7965">
        <w:rPr>
          <w:rFonts w:ascii="Verdana" w:hAnsi="Verdana"/>
          <w:i/>
          <w:sz w:val="16"/>
          <w:szCs w:val="16"/>
          <w:lang w:val="es-CO"/>
        </w:rPr>
        <w:t>Cfr</w:t>
      </w:r>
      <w:r w:rsidRPr="00477E3A">
        <w:rPr>
          <w:rFonts w:ascii="Verdana" w:hAnsi="Verdana"/>
          <w:sz w:val="16"/>
          <w:szCs w:val="16"/>
          <w:lang w:val="es-CO"/>
        </w:rPr>
        <w:t xml:space="preserve">. Ejemplar de la página 102 del periódico La Tribuna de 17 de junio de 2016 (Anexo al informe del Estado de 19 de diciembre de 2016). </w:t>
      </w:r>
    </w:p>
  </w:footnote>
  <w:footnote w:id="46">
    <w:p w14:paraId="40712140" w14:textId="30A43E1D" w:rsidR="00601E30" w:rsidRPr="00477E3A" w:rsidRDefault="00601E30" w:rsidP="001E7965">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proofErr w:type="spellStart"/>
      <w:r w:rsidRPr="00C17D19">
        <w:rPr>
          <w:rFonts w:ascii="Verdana" w:hAnsi="Verdana"/>
          <w:i/>
          <w:sz w:val="16"/>
          <w:szCs w:val="16"/>
          <w:lang w:val="es-CO"/>
        </w:rPr>
        <w:t>Cfr</w:t>
      </w:r>
      <w:proofErr w:type="spellEnd"/>
      <w:r w:rsidRPr="00477E3A">
        <w:rPr>
          <w:rFonts w:ascii="Verdana" w:hAnsi="Verdana"/>
          <w:i/>
          <w:sz w:val="16"/>
          <w:szCs w:val="16"/>
          <w:lang w:val="es-AR"/>
        </w:rPr>
        <w:t xml:space="preserve">. </w:t>
      </w:r>
      <w:r w:rsidRPr="00477E3A">
        <w:rPr>
          <w:rFonts w:ascii="Verdana" w:hAnsi="Verdana"/>
          <w:sz w:val="16"/>
          <w:szCs w:val="16"/>
          <w:lang w:val="es-AR"/>
        </w:rPr>
        <w:t xml:space="preserve">Informe estatal de 20 de diciembre de 2016. </w:t>
      </w:r>
    </w:p>
  </w:footnote>
  <w:footnote w:id="47">
    <w:p w14:paraId="58ED8102" w14:textId="06E2B60A" w:rsidR="00601E30" w:rsidRPr="00477E3A" w:rsidRDefault="00601E30" w:rsidP="0093504E">
      <w:pPr>
        <w:pStyle w:val="Textonotapie"/>
        <w:tabs>
          <w:tab w:val="left" w:pos="426"/>
        </w:tabs>
        <w:ind w:right="4"/>
        <w:jc w:val="both"/>
        <w:rPr>
          <w:rFonts w:ascii="Verdana" w:hAnsi="Verdana"/>
          <w:sz w:val="16"/>
          <w:szCs w:val="16"/>
          <w:lang w:val="es-CO"/>
        </w:rPr>
      </w:pPr>
      <w:r w:rsidRPr="00477E3A">
        <w:rPr>
          <w:rStyle w:val="Refdenotaalpie"/>
          <w:rFonts w:ascii="Verdana" w:hAnsi="Verdana"/>
          <w:sz w:val="16"/>
          <w:szCs w:val="16"/>
        </w:rPr>
        <w:footnoteRef/>
      </w:r>
      <w:r w:rsidRPr="00477E3A">
        <w:rPr>
          <w:rFonts w:ascii="Verdana" w:hAnsi="Verdana"/>
          <w:sz w:val="16"/>
          <w:szCs w:val="16"/>
          <w:lang w:val="es-CO"/>
        </w:rPr>
        <w:t xml:space="preserve"> </w:t>
      </w:r>
      <w:r>
        <w:rPr>
          <w:rFonts w:ascii="Verdana" w:hAnsi="Verdana"/>
          <w:sz w:val="16"/>
          <w:szCs w:val="16"/>
          <w:lang w:val="es-CO"/>
        </w:rPr>
        <w:tab/>
        <w:t xml:space="preserve">El 25 de abril de 2019, </w:t>
      </w:r>
      <w:r w:rsidRPr="0093504E">
        <w:rPr>
          <w:rFonts w:ascii="Verdana" w:hAnsi="Verdana"/>
          <w:sz w:val="16"/>
          <w:szCs w:val="16"/>
          <w:lang w:val="es-CR"/>
        </w:rPr>
        <w:t xml:space="preserve">mediante nota de Secretaría, siguiendo instrucciones del </w:t>
      </w:r>
      <w:proofErr w:type="gramStart"/>
      <w:r w:rsidRPr="0093504E">
        <w:rPr>
          <w:rFonts w:ascii="Verdana" w:hAnsi="Verdana"/>
          <w:sz w:val="16"/>
          <w:szCs w:val="16"/>
          <w:lang w:val="es-CR"/>
        </w:rPr>
        <w:t>Presidente</w:t>
      </w:r>
      <w:proofErr w:type="gramEnd"/>
      <w:r w:rsidRPr="0093504E">
        <w:rPr>
          <w:rFonts w:ascii="Verdana" w:hAnsi="Verdana"/>
          <w:sz w:val="16"/>
          <w:szCs w:val="16"/>
          <w:lang w:val="es-CR"/>
        </w:rPr>
        <w:t xml:space="preserve">, se le requirió </w:t>
      </w:r>
      <w:r>
        <w:rPr>
          <w:rFonts w:ascii="Verdana" w:hAnsi="Verdana"/>
          <w:sz w:val="16"/>
          <w:szCs w:val="16"/>
          <w:lang w:val="es-CR"/>
        </w:rPr>
        <w:t xml:space="preserve">al Estado </w:t>
      </w:r>
      <w:r w:rsidRPr="0093504E">
        <w:rPr>
          <w:rFonts w:ascii="Verdana" w:hAnsi="Verdana"/>
          <w:sz w:val="16"/>
          <w:szCs w:val="16"/>
          <w:lang w:val="es-CR"/>
        </w:rPr>
        <w:t>la presentación de dicha información</w:t>
      </w:r>
      <w:r>
        <w:rPr>
          <w:rFonts w:ascii="Verdana" w:hAnsi="Verdana"/>
          <w:sz w:val="16"/>
          <w:szCs w:val="16"/>
          <w:lang w:val="es-CR"/>
        </w:rPr>
        <w:t xml:space="preserve">, a más tardar el 30 de abril. A la fecha, el Estado no ha entregado la información solicitada.  </w:t>
      </w:r>
    </w:p>
  </w:footnote>
  <w:footnote w:id="48">
    <w:p w14:paraId="4F156FF6" w14:textId="2A386762" w:rsidR="00601E30" w:rsidRPr="00477E3A" w:rsidRDefault="00601E30" w:rsidP="001E7965">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proofErr w:type="spellStart"/>
      <w:r w:rsidRPr="00C17D19">
        <w:rPr>
          <w:rFonts w:ascii="Verdana" w:hAnsi="Verdana"/>
          <w:i/>
          <w:sz w:val="16"/>
          <w:szCs w:val="16"/>
          <w:lang w:val="es-CO"/>
        </w:rPr>
        <w:t>Cfr</w:t>
      </w:r>
      <w:proofErr w:type="spellEnd"/>
      <w:r w:rsidRPr="00477E3A">
        <w:rPr>
          <w:rFonts w:ascii="Verdana" w:hAnsi="Verdana"/>
          <w:i/>
          <w:sz w:val="16"/>
          <w:szCs w:val="16"/>
          <w:lang w:val="es-AR"/>
        </w:rPr>
        <w:t xml:space="preserve">. </w:t>
      </w:r>
      <w:r w:rsidRPr="001E7965">
        <w:rPr>
          <w:rFonts w:ascii="Verdana" w:hAnsi="Verdana"/>
          <w:sz w:val="16"/>
          <w:szCs w:val="16"/>
          <w:lang w:val="es-CO"/>
        </w:rPr>
        <w:t>Informe</w:t>
      </w:r>
      <w:r w:rsidRPr="00477E3A">
        <w:rPr>
          <w:rFonts w:ascii="Verdana" w:hAnsi="Verdana"/>
          <w:sz w:val="16"/>
          <w:szCs w:val="16"/>
          <w:lang w:val="es-AR"/>
        </w:rPr>
        <w:t xml:space="preserve"> estatal de 20 de diciembre de 2016 y </w:t>
      </w:r>
      <w:r w:rsidRPr="00477E3A">
        <w:rPr>
          <w:rFonts w:ascii="Verdana" w:hAnsi="Verdana"/>
          <w:sz w:val="16"/>
          <w:szCs w:val="16"/>
          <w:lang w:val="es-CO"/>
        </w:rPr>
        <w:t>Copia de la Gaceta Oficial de la República de Honduras de 14 de junio de 2016 (Anexo al informe del Est</w:t>
      </w:r>
      <w:r>
        <w:rPr>
          <w:rFonts w:ascii="Verdana" w:hAnsi="Verdana"/>
          <w:sz w:val="16"/>
          <w:szCs w:val="16"/>
          <w:lang w:val="es-CO"/>
        </w:rPr>
        <w:t>ado de 20 de diciembre de 2016).</w:t>
      </w:r>
    </w:p>
  </w:footnote>
  <w:footnote w:id="49">
    <w:p w14:paraId="047516CC" w14:textId="00ED73F7" w:rsidR="00601E30" w:rsidRPr="00477E3A" w:rsidRDefault="00601E30" w:rsidP="00C17D19">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proofErr w:type="spellStart"/>
      <w:r w:rsidRPr="00C17D19">
        <w:rPr>
          <w:rFonts w:ascii="Verdana" w:hAnsi="Verdana"/>
          <w:i/>
          <w:sz w:val="16"/>
          <w:szCs w:val="16"/>
          <w:lang w:val="es-CO"/>
        </w:rPr>
        <w:t>Cfr</w:t>
      </w:r>
      <w:proofErr w:type="spellEnd"/>
      <w:r w:rsidRPr="00477E3A">
        <w:rPr>
          <w:rFonts w:ascii="Verdana" w:hAnsi="Verdana"/>
          <w:i/>
          <w:sz w:val="16"/>
          <w:szCs w:val="16"/>
          <w:lang w:val="es-AR"/>
        </w:rPr>
        <w:t xml:space="preserve">. </w:t>
      </w:r>
      <w:r w:rsidRPr="00477E3A">
        <w:rPr>
          <w:rFonts w:ascii="Verdana" w:hAnsi="Verdana"/>
          <w:sz w:val="16"/>
          <w:szCs w:val="16"/>
          <w:lang w:val="es-AR"/>
        </w:rPr>
        <w:t>Informe estatal de 10 de enero de 2017 y Copia de la constancia emitida por “Radio Católica La Voz del Pueblo” el 28 de septiembre de 2016 (Anexa al informe e</w:t>
      </w:r>
      <w:r>
        <w:rPr>
          <w:rFonts w:ascii="Verdana" w:hAnsi="Verdana"/>
          <w:sz w:val="16"/>
          <w:szCs w:val="16"/>
          <w:lang w:val="es-AR"/>
        </w:rPr>
        <w:t>statal de 10 de enero de 2017).</w:t>
      </w:r>
    </w:p>
  </w:footnote>
  <w:footnote w:id="50">
    <w:p w14:paraId="6EDFFD3F" w14:textId="77777777" w:rsidR="00601E30" w:rsidRPr="00477E3A" w:rsidRDefault="00601E30" w:rsidP="000E0A84">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C17D19">
        <w:rPr>
          <w:rFonts w:ascii="Verdana" w:hAnsi="Verdana"/>
          <w:sz w:val="16"/>
          <w:szCs w:val="16"/>
          <w:lang w:val="es-CO"/>
        </w:rPr>
        <w:t>Escrito</w:t>
      </w:r>
      <w:r w:rsidRPr="00477E3A">
        <w:rPr>
          <w:rFonts w:ascii="Verdana" w:hAnsi="Verdana"/>
          <w:sz w:val="16"/>
          <w:szCs w:val="16"/>
          <w:lang w:val="es-AR"/>
        </w:rPr>
        <w:t xml:space="preserve"> de observaciones de la </w:t>
      </w:r>
      <w:r>
        <w:rPr>
          <w:rFonts w:ascii="Verdana" w:hAnsi="Verdana"/>
          <w:sz w:val="16"/>
          <w:szCs w:val="16"/>
          <w:lang w:val="es-AR"/>
        </w:rPr>
        <w:t>Comisión de 19 de mayo de 2017.</w:t>
      </w:r>
    </w:p>
  </w:footnote>
  <w:footnote w:id="51">
    <w:p w14:paraId="1AF84F34" w14:textId="029715E9" w:rsidR="00601E30" w:rsidRPr="00477E3A" w:rsidRDefault="00601E30" w:rsidP="00C17D19">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C17D19">
        <w:rPr>
          <w:rFonts w:ascii="Verdana" w:hAnsi="Verdana"/>
          <w:sz w:val="16"/>
          <w:szCs w:val="16"/>
          <w:lang w:val="es-CO"/>
        </w:rPr>
        <w:t>Escritos</w:t>
      </w:r>
      <w:r w:rsidRPr="00477E3A">
        <w:rPr>
          <w:rFonts w:ascii="Verdana" w:hAnsi="Verdana"/>
          <w:sz w:val="16"/>
          <w:szCs w:val="16"/>
          <w:lang w:val="es-AR"/>
        </w:rPr>
        <w:t xml:space="preserve"> de observaciones de los representantes de 29 de septiembre de 2017 y 8 de febrero de 2018.</w:t>
      </w:r>
    </w:p>
  </w:footnote>
  <w:footnote w:id="52">
    <w:p w14:paraId="0DAA4CF6" w14:textId="760C8B3D" w:rsidR="00601E30" w:rsidRPr="00477E3A" w:rsidRDefault="00601E30" w:rsidP="00C17D19">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proofErr w:type="spellStart"/>
      <w:r w:rsidRPr="00C17D19">
        <w:rPr>
          <w:rFonts w:ascii="Verdana" w:hAnsi="Verdana"/>
          <w:i/>
          <w:sz w:val="16"/>
          <w:szCs w:val="16"/>
          <w:lang w:val="es-CO"/>
        </w:rPr>
        <w:t>Cfr</w:t>
      </w:r>
      <w:proofErr w:type="spellEnd"/>
      <w:r w:rsidRPr="00477E3A">
        <w:rPr>
          <w:rFonts w:ascii="Verdana" w:hAnsi="Verdana"/>
          <w:i/>
          <w:sz w:val="16"/>
          <w:szCs w:val="16"/>
          <w:lang w:val="es-AR"/>
        </w:rPr>
        <w:t xml:space="preserve">. Caso Pueblo Indígena </w:t>
      </w:r>
      <w:proofErr w:type="spellStart"/>
      <w:r w:rsidRPr="00477E3A">
        <w:rPr>
          <w:rFonts w:ascii="Verdana" w:hAnsi="Verdana"/>
          <w:i/>
          <w:sz w:val="16"/>
          <w:szCs w:val="16"/>
          <w:lang w:val="es-AR"/>
        </w:rPr>
        <w:t>Kichwa</w:t>
      </w:r>
      <w:proofErr w:type="spellEnd"/>
      <w:r w:rsidRPr="00477E3A">
        <w:rPr>
          <w:rFonts w:ascii="Verdana" w:hAnsi="Verdana"/>
          <w:i/>
          <w:sz w:val="16"/>
          <w:szCs w:val="16"/>
          <w:lang w:val="es-AR"/>
        </w:rPr>
        <w:t xml:space="preserve"> de </w:t>
      </w:r>
      <w:proofErr w:type="spellStart"/>
      <w:r w:rsidRPr="00477E3A">
        <w:rPr>
          <w:rFonts w:ascii="Verdana" w:hAnsi="Verdana"/>
          <w:i/>
          <w:sz w:val="16"/>
          <w:szCs w:val="16"/>
          <w:lang w:val="es-AR"/>
        </w:rPr>
        <w:t>Sarayaku</w:t>
      </w:r>
      <w:proofErr w:type="spellEnd"/>
      <w:r w:rsidRPr="00477E3A">
        <w:rPr>
          <w:rFonts w:ascii="Verdana" w:hAnsi="Verdana"/>
          <w:i/>
          <w:sz w:val="16"/>
          <w:szCs w:val="16"/>
          <w:lang w:val="es-AR"/>
        </w:rPr>
        <w:t xml:space="preserve"> Vs. Ecuador.</w:t>
      </w:r>
      <w:r w:rsidRPr="00477E3A">
        <w:rPr>
          <w:rFonts w:ascii="Verdana" w:hAnsi="Verdana"/>
          <w:sz w:val="16"/>
          <w:szCs w:val="16"/>
          <w:lang w:val="es-AR"/>
        </w:rPr>
        <w:t xml:space="preserve"> </w:t>
      </w:r>
      <w:r w:rsidRPr="00477E3A">
        <w:rPr>
          <w:rFonts w:ascii="Verdana" w:hAnsi="Verdana"/>
          <w:i/>
          <w:sz w:val="16"/>
          <w:szCs w:val="16"/>
          <w:lang w:val="es-AR"/>
        </w:rPr>
        <w:t>Supervisión de Cumplimiento de Sentencia</w:t>
      </w:r>
      <w:r w:rsidRPr="00477E3A">
        <w:rPr>
          <w:rFonts w:ascii="Verdana" w:hAnsi="Verdana"/>
          <w:sz w:val="16"/>
          <w:szCs w:val="16"/>
          <w:lang w:val="es-AR"/>
        </w:rPr>
        <w:t xml:space="preserve">. Resolución de la Corte Interamericana de Derechos Humanos de 22 de junio de 2016, </w:t>
      </w:r>
      <w:r>
        <w:rPr>
          <w:rFonts w:ascii="Verdana" w:hAnsi="Verdana"/>
          <w:sz w:val="16"/>
          <w:szCs w:val="16"/>
          <w:lang w:val="es-AR"/>
        </w:rPr>
        <w:t>Considerando</w:t>
      </w:r>
      <w:r w:rsidRPr="00477E3A">
        <w:rPr>
          <w:rFonts w:ascii="Verdana" w:hAnsi="Verdana"/>
          <w:sz w:val="16"/>
          <w:szCs w:val="16"/>
          <w:lang w:val="es-AR"/>
        </w:rPr>
        <w:t xml:space="preserve"> 33. </w:t>
      </w:r>
    </w:p>
  </w:footnote>
  <w:footnote w:id="53">
    <w:p w14:paraId="59573C6D" w14:textId="662D2B6D" w:rsidR="00601E30" w:rsidRPr="00477E3A" w:rsidRDefault="00601E30" w:rsidP="00C17D19">
      <w:pPr>
        <w:pStyle w:val="Textonotapie"/>
        <w:tabs>
          <w:tab w:val="left" w:pos="426"/>
        </w:tabs>
        <w:ind w:right="4"/>
        <w:jc w:val="both"/>
        <w:rPr>
          <w:rFonts w:ascii="Verdana" w:hAnsi="Verdana"/>
          <w:sz w:val="16"/>
          <w:szCs w:val="16"/>
          <w:lang w:val="es-CO"/>
        </w:rPr>
      </w:pPr>
      <w:r w:rsidRPr="00477E3A">
        <w:rPr>
          <w:rStyle w:val="Refdenotaalpie"/>
          <w:rFonts w:ascii="Verdana" w:hAnsi="Verdana"/>
          <w:sz w:val="16"/>
          <w:szCs w:val="16"/>
        </w:rPr>
        <w:footnoteRef/>
      </w:r>
      <w:r w:rsidRPr="00477E3A">
        <w:rPr>
          <w:rFonts w:ascii="Verdana" w:hAnsi="Verdana"/>
          <w:sz w:val="16"/>
          <w:szCs w:val="16"/>
          <w:lang w:val="es-CO"/>
        </w:rPr>
        <w:t xml:space="preserve"> </w:t>
      </w:r>
      <w:r>
        <w:rPr>
          <w:rFonts w:ascii="Verdana" w:hAnsi="Verdana"/>
          <w:sz w:val="16"/>
          <w:szCs w:val="16"/>
          <w:lang w:val="es-CO"/>
        </w:rPr>
        <w:tab/>
      </w:r>
      <w:r w:rsidRPr="00C17D19">
        <w:rPr>
          <w:rFonts w:ascii="Verdana" w:hAnsi="Verdana"/>
          <w:i/>
          <w:sz w:val="16"/>
          <w:szCs w:val="16"/>
          <w:lang w:val="es-CO"/>
        </w:rPr>
        <w:t>Cfr</w:t>
      </w:r>
      <w:r w:rsidRPr="00477E3A">
        <w:rPr>
          <w:rFonts w:ascii="Verdana" w:hAnsi="Verdana"/>
          <w:sz w:val="16"/>
          <w:szCs w:val="16"/>
          <w:lang w:val="es-CO"/>
        </w:rPr>
        <w:t xml:space="preserve">. Caso </w:t>
      </w:r>
      <w:proofErr w:type="spellStart"/>
      <w:r w:rsidRPr="00477E3A">
        <w:rPr>
          <w:rFonts w:ascii="Verdana" w:hAnsi="Verdana"/>
          <w:sz w:val="16"/>
          <w:szCs w:val="16"/>
          <w:lang w:val="es-CO"/>
        </w:rPr>
        <w:t>Escué</w:t>
      </w:r>
      <w:proofErr w:type="spellEnd"/>
      <w:r w:rsidRPr="00477E3A">
        <w:rPr>
          <w:rFonts w:ascii="Verdana" w:hAnsi="Verdana"/>
          <w:sz w:val="16"/>
          <w:szCs w:val="16"/>
          <w:lang w:val="es-CO"/>
        </w:rPr>
        <w:t xml:space="preserve"> Zapata Vs. Colombia. Supervisión de Cumplimiento de Sentencia. Resolución de la Corte Interamericana de Derechos Humanos de 18 de mayo de 2010, Considerando 31.</w:t>
      </w:r>
    </w:p>
  </w:footnote>
  <w:footnote w:id="54">
    <w:p w14:paraId="02B6113F" w14:textId="79B66D55" w:rsidR="00601E30" w:rsidRPr="00477E3A" w:rsidRDefault="00601E30" w:rsidP="00C17D19">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C67341">
        <w:rPr>
          <w:rFonts w:ascii="Verdana" w:hAnsi="Verdana"/>
          <w:sz w:val="16"/>
          <w:szCs w:val="16"/>
          <w:lang w:val="es-AR"/>
        </w:rPr>
        <w:t>Este</w:t>
      </w:r>
      <w:r w:rsidRPr="00C67341">
        <w:rPr>
          <w:rFonts w:ascii="Verdana" w:hAnsi="Verdana"/>
          <w:sz w:val="16"/>
          <w:szCs w:val="16"/>
          <w:lang w:val="es-CR"/>
        </w:rPr>
        <w:t xml:space="preserve"> Tribunal ha resaltado que la obligación de cumplir lo dispuesto en sus decisiones corresponde a un principio básico del derecho de los tratados y, en general del Derecho Internacional, sobre la responsabilidad internacional del Estado, respaldado por la jurisprudencia internacional, según el cual los Estados deben cumplir sus obligaciones convencionales internacionales de buena fe (</w:t>
      </w:r>
      <w:r w:rsidRPr="00C67341">
        <w:rPr>
          <w:rFonts w:ascii="Verdana" w:hAnsi="Verdana"/>
          <w:i/>
          <w:sz w:val="16"/>
          <w:szCs w:val="16"/>
          <w:lang w:val="es-CR"/>
        </w:rPr>
        <w:t xml:space="preserve">pacta sunt </w:t>
      </w:r>
      <w:proofErr w:type="spellStart"/>
      <w:r w:rsidRPr="00C67341">
        <w:rPr>
          <w:rFonts w:ascii="Verdana" w:hAnsi="Verdana"/>
          <w:i/>
          <w:sz w:val="16"/>
          <w:szCs w:val="16"/>
          <w:lang w:val="es-CR"/>
        </w:rPr>
        <w:t>servanda</w:t>
      </w:r>
      <w:proofErr w:type="spellEnd"/>
      <w:r w:rsidRPr="00C67341">
        <w:rPr>
          <w:rFonts w:ascii="Verdana" w:hAnsi="Verdana"/>
          <w:sz w:val="16"/>
          <w:szCs w:val="16"/>
          <w:lang w:val="es-CR"/>
        </w:rPr>
        <w:t xml:space="preserve">). </w:t>
      </w:r>
      <w:r w:rsidRPr="00C67341">
        <w:rPr>
          <w:rFonts w:ascii="Verdana" w:hAnsi="Verdana"/>
          <w:i/>
          <w:sz w:val="16"/>
          <w:szCs w:val="16"/>
          <w:lang w:val="es-CR"/>
        </w:rPr>
        <w:t xml:space="preserve">Cfr. </w:t>
      </w:r>
      <w:r w:rsidRPr="00C67341">
        <w:rPr>
          <w:rFonts w:ascii="Verdana" w:hAnsi="Verdana"/>
          <w:sz w:val="16"/>
          <w:szCs w:val="16"/>
          <w:lang w:val="es-AR"/>
        </w:rPr>
        <w:t xml:space="preserve">Artículo 26 de la Convención de Viena sobre los Tratados; Responsabilidad internacional por expedición y aplicación de leyes violatorias de la Convención (arts. 1 y 2 Convención Americana sobre Derechos Humanos). Opinión Consultiva OC-14/94 de 9 de diciembre de 1994. Serie A No. 14, párr. 35; </w:t>
      </w:r>
      <w:r w:rsidRPr="00C67341">
        <w:rPr>
          <w:rFonts w:ascii="Verdana" w:hAnsi="Verdana"/>
          <w:i/>
          <w:sz w:val="16"/>
          <w:szCs w:val="16"/>
          <w:lang w:val="es-AR"/>
        </w:rPr>
        <w:t xml:space="preserve">Caso Castillo </w:t>
      </w:r>
      <w:proofErr w:type="spellStart"/>
      <w:r w:rsidRPr="00C67341">
        <w:rPr>
          <w:rFonts w:ascii="Verdana" w:hAnsi="Verdana"/>
          <w:i/>
          <w:sz w:val="16"/>
          <w:szCs w:val="16"/>
          <w:lang w:val="es-AR"/>
        </w:rPr>
        <w:t>Petruzzi</w:t>
      </w:r>
      <w:proofErr w:type="spellEnd"/>
      <w:r w:rsidRPr="00C67341">
        <w:rPr>
          <w:rFonts w:ascii="Verdana" w:hAnsi="Verdana"/>
          <w:i/>
          <w:sz w:val="16"/>
          <w:szCs w:val="16"/>
          <w:lang w:val="es-AR"/>
        </w:rPr>
        <w:t xml:space="preserve"> y otros Vs. Perú. Supervisión de Cumplimiento de Sentencia.</w:t>
      </w:r>
      <w:r w:rsidRPr="00C67341">
        <w:rPr>
          <w:rFonts w:ascii="Verdana" w:hAnsi="Verdana"/>
          <w:sz w:val="16"/>
          <w:szCs w:val="16"/>
          <w:lang w:val="es-AR"/>
        </w:rPr>
        <w:t xml:space="preserve"> Resolución de la Corte Interamericana de Derechos Humanos de 17 de noviembre de 1999, Considerando 4, y </w:t>
      </w:r>
      <w:r w:rsidRPr="00C67341">
        <w:rPr>
          <w:rStyle w:val="Textoennegrita"/>
          <w:rFonts w:ascii="Verdana" w:hAnsi="Verdana"/>
          <w:b w:val="0"/>
          <w:i/>
          <w:color w:val="000000"/>
          <w:sz w:val="16"/>
          <w:szCs w:val="16"/>
          <w:shd w:val="clear" w:color="auto" w:fill="FFFFFF"/>
          <w:lang w:val="es-AR"/>
        </w:rPr>
        <w:t>Caso</w:t>
      </w:r>
      <w:r>
        <w:rPr>
          <w:rStyle w:val="Textoennegrita"/>
          <w:rFonts w:ascii="Verdana" w:hAnsi="Verdana"/>
          <w:b w:val="0"/>
          <w:i/>
          <w:color w:val="000000"/>
          <w:sz w:val="16"/>
          <w:szCs w:val="16"/>
          <w:shd w:val="clear" w:color="auto" w:fill="FFFFFF"/>
          <w:lang w:val="es-AR"/>
        </w:rPr>
        <w:t xml:space="preserve"> de las niñas </w:t>
      </w:r>
      <w:proofErr w:type="spellStart"/>
      <w:r>
        <w:rPr>
          <w:rStyle w:val="Textoennegrita"/>
          <w:rFonts w:ascii="Verdana" w:hAnsi="Verdana"/>
          <w:b w:val="0"/>
          <w:i/>
          <w:color w:val="000000"/>
          <w:sz w:val="16"/>
          <w:szCs w:val="16"/>
          <w:shd w:val="clear" w:color="auto" w:fill="FFFFFF"/>
          <w:lang w:val="es-AR"/>
        </w:rPr>
        <w:t>Yean</w:t>
      </w:r>
      <w:proofErr w:type="spellEnd"/>
      <w:r>
        <w:rPr>
          <w:rStyle w:val="Textoennegrita"/>
          <w:rFonts w:ascii="Verdana" w:hAnsi="Verdana"/>
          <w:b w:val="0"/>
          <w:i/>
          <w:color w:val="000000"/>
          <w:sz w:val="16"/>
          <w:szCs w:val="16"/>
          <w:shd w:val="clear" w:color="auto" w:fill="FFFFFF"/>
          <w:lang w:val="es-AR"/>
        </w:rPr>
        <w:t xml:space="preserve"> y </w:t>
      </w:r>
      <w:proofErr w:type="spellStart"/>
      <w:r>
        <w:rPr>
          <w:rStyle w:val="Textoennegrita"/>
          <w:rFonts w:ascii="Verdana" w:hAnsi="Verdana"/>
          <w:b w:val="0"/>
          <w:i/>
          <w:color w:val="000000"/>
          <w:sz w:val="16"/>
          <w:szCs w:val="16"/>
          <w:shd w:val="clear" w:color="auto" w:fill="FFFFFF"/>
          <w:lang w:val="es-AR"/>
        </w:rPr>
        <w:t>Bosico</w:t>
      </w:r>
      <w:proofErr w:type="spellEnd"/>
      <w:r>
        <w:rPr>
          <w:rStyle w:val="Textoennegrita"/>
          <w:rFonts w:ascii="Verdana" w:hAnsi="Verdana"/>
          <w:b w:val="0"/>
          <w:i/>
          <w:color w:val="000000"/>
          <w:sz w:val="16"/>
          <w:szCs w:val="16"/>
          <w:shd w:val="clear" w:color="auto" w:fill="FFFFFF"/>
          <w:lang w:val="es-AR"/>
        </w:rPr>
        <w:t xml:space="preserve"> y Caso de personas Dominicanas Haitianas expulsadas Vs. República Dominicana. </w:t>
      </w:r>
      <w:r>
        <w:rPr>
          <w:rStyle w:val="Textoennegrita"/>
          <w:rFonts w:ascii="Verdana" w:hAnsi="Verdana"/>
          <w:b w:val="0"/>
          <w:color w:val="000000"/>
          <w:sz w:val="16"/>
          <w:szCs w:val="16"/>
          <w:shd w:val="clear" w:color="auto" w:fill="FFFFFF"/>
          <w:lang w:val="es-AR"/>
        </w:rPr>
        <w:t>Resolución de la Corte Interamericana de Derechos Humanos de 12 de marzo de 2019, Considerando 18.</w:t>
      </w:r>
    </w:p>
  </w:footnote>
  <w:footnote w:id="55">
    <w:p w14:paraId="1DC043BA" w14:textId="0ADA5D9D" w:rsidR="00601E30" w:rsidRPr="00477E3A" w:rsidRDefault="00601E30" w:rsidP="00CC67D0">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Dicha Mesa de Trabajo fue creada en mayo de 2015 con el objetivo de “definir las tareas, responsabilidades, gestiones y procedimientos operativos para coordinar las acciones [i]</w:t>
      </w:r>
      <w:proofErr w:type="spellStart"/>
      <w:r w:rsidRPr="00477E3A">
        <w:rPr>
          <w:rFonts w:ascii="Verdana" w:hAnsi="Verdana"/>
          <w:sz w:val="16"/>
          <w:szCs w:val="16"/>
          <w:lang w:val="es-AR"/>
        </w:rPr>
        <w:t>nterinstitucionales</w:t>
      </w:r>
      <w:proofErr w:type="spellEnd"/>
      <w:r w:rsidRPr="00477E3A">
        <w:rPr>
          <w:rFonts w:ascii="Verdana" w:hAnsi="Verdana"/>
          <w:sz w:val="16"/>
          <w:szCs w:val="16"/>
          <w:lang w:val="es-AR"/>
        </w:rPr>
        <w:t xml:space="preserve">, orientadas a la elaboración” del “Anteproyecto de Ley para la Consulta Libre, Previa e Informada (CLPI) para los Pueblos Indígenas y </w:t>
      </w:r>
      <w:proofErr w:type="spellStart"/>
      <w:r w:rsidRPr="00477E3A">
        <w:rPr>
          <w:rFonts w:ascii="Verdana" w:hAnsi="Verdana"/>
          <w:sz w:val="16"/>
          <w:szCs w:val="16"/>
          <w:lang w:val="es-AR"/>
        </w:rPr>
        <w:t>Afrohondureños</w:t>
      </w:r>
      <w:proofErr w:type="spellEnd"/>
      <w:r w:rsidRPr="00477E3A">
        <w:rPr>
          <w:rFonts w:ascii="Verdana" w:hAnsi="Verdana"/>
          <w:sz w:val="16"/>
          <w:szCs w:val="16"/>
          <w:lang w:val="es-AR"/>
        </w:rPr>
        <w:t xml:space="preserve">”. </w:t>
      </w:r>
    </w:p>
  </w:footnote>
  <w:footnote w:id="56">
    <w:p w14:paraId="73F305FE" w14:textId="44E8C051" w:rsidR="00601E30" w:rsidRPr="00477E3A" w:rsidRDefault="00601E30" w:rsidP="00CC67D0">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El Estado informó que dicho Anteproyecto fue el resultado de un borrador aportado por la Confederación de Pueblos Autóctonos de Honduras (CONPAH), el cual fue analizado por la Mesa de Trabajo Interinstitucional, la cual realizó “las modificaciones y observaciones pertinentes”. Según lo informado por el Estado, en diciembre de 2016 dicho Anteproyecto se encontraba pendiente de aprobación por el Congreso Nacion</w:t>
      </w:r>
      <w:r>
        <w:rPr>
          <w:rFonts w:ascii="Verdana" w:hAnsi="Verdana"/>
          <w:sz w:val="16"/>
          <w:szCs w:val="16"/>
          <w:lang w:val="es-AR"/>
        </w:rPr>
        <w:t>al de la República de Honduras.</w:t>
      </w:r>
    </w:p>
  </w:footnote>
  <w:footnote w:id="57">
    <w:p w14:paraId="6E58AF5A" w14:textId="7F4EABD0" w:rsidR="00601E30" w:rsidRPr="00477E3A" w:rsidRDefault="00601E30" w:rsidP="00CC67D0">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Informe estatal de 20 de diciembre de 2016.</w:t>
      </w:r>
    </w:p>
  </w:footnote>
  <w:footnote w:id="58">
    <w:p w14:paraId="23856D43" w14:textId="3112ABCB" w:rsidR="00601E30" w:rsidRPr="00477E3A" w:rsidRDefault="00601E30" w:rsidP="005D597C">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Escrito de observaciones de los representantes de 3 de noviembre de 2017.</w:t>
      </w:r>
    </w:p>
  </w:footnote>
  <w:footnote w:id="59">
    <w:p w14:paraId="295D9547" w14:textId="1CF2EBA8" w:rsidR="00601E30" w:rsidRPr="00477E3A" w:rsidRDefault="00601E30" w:rsidP="005D597C">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Escrito de observaciones de la Comisión de 19 de mayo de 2017</w:t>
      </w:r>
      <w:r w:rsidRPr="00477E3A">
        <w:rPr>
          <w:rFonts w:ascii="Verdana" w:hAnsi="Verdana"/>
          <w:sz w:val="16"/>
          <w:szCs w:val="16"/>
          <w:lang w:val="es-AR"/>
        </w:rPr>
        <w:t xml:space="preserve">. </w:t>
      </w:r>
    </w:p>
  </w:footnote>
  <w:footnote w:id="60">
    <w:p w14:paraId="4D39E6CC" w14:textId="2D26C6BC" w:rsidR="00601E30" w:rsidRPr="00477E3A" w:rsidRDefault="00601E30" w:rsidP="00BB5CCE">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 xml:space="preserve">El recurso fue interpuesto por vía de acción, por razón de contenido y de forma parcial, contra los artículos 22, 27, 53, 67, 68, 76 y 77 de la Ley General de Minería. La decisión de la Sala Constitucional hizo lugar de manera parcial a la acción interpuesta contra los artículos impugnados, a excepción del artículo 53. </w:t>
      </w:r>
    </w:p>
  </w:footnote>
  <w:footnote w:id="61">
    <w:p w14:paraId="71E6611E" w14:textId="7050EC7A" w:rsidR="00601E30" w:rsidRPr="00B11715" w:rsidRDefault="00601E30" w:rsidP="00C5398B">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Informe estatal de 19 de diciembre de 2017</w:t>
      </w:r>
      <w:r w:rsidRPr="00477E3A">
        <w:rPr>
          <w:rFonts w:ascii="Verdana" w:hAnsi="Verdana"/>
          <w:sz w:val="16"/>
          <w:szCs w:val="16"/>
          <w:lang w:val="es-AR"/>
        </w:rPr>
        <w:t>.</w:t>
      </w:r>
    </w:p>
  </w:footnote>
  <w:footnote w:id="62">
    <w:p w14:paraId="60D56626" w14:textId="51BBC381" w:rsidR="00601E30" w:rsidRPr="00477E3A" w:rsidRDefault="00601E30" w:rsidP="00C5398B">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Escrito de observaciones de los representantes de 8 de febrero de 2018.</w:t>
      </w:r>
    </w:p>
  </w:footnote>
  <w:footnote w:id="63">
    <w:p w14:paraId="737E14BE" w14:textId="2BF73450" w:rsidR="00601E30" w:rsidRPr="00477E3A" w:rsidRDefault="00601E30" w:rsidP="00C5398B">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Según lo manifestado por la Comisión en la audiencia privada celebrada el 29 de noviembre de 2018</w:t>
      </w:r>
      <w:r w:rsidRPr="00477E3A">
        <w:rPr>
          <w:rFonts w:ascii="Verdana" w:hAnsi="Verdana"/>
          <w:sz w:val="16"/>
          <w:szCs w:val="16"/>
          <w:lang w:val="es-AR"/>
        </w:rPr>
        <w:t>.</w:t>
      </w:r>
    </w:p>
  </w:footnote>
  <w:footnote w:id="64">
    <w:p w14:paraId="637B77E9" w14:textId="01B1E44E" w:rsidR="00601E30" w:rsidRPr="00477E3A" w:rsidRDefault="00601E30" w:rsidP="00284696">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284696">
        <w:rPr>
          <w:rFonts w:ascii="Verdana" w:hAnsi="Verdana"/>
          <w:sz w:val="16"/>
          <w:szCs w:val="16"/>
          <w:lang w:val="es-AR"/>
        </w:rPr>
        <w:t>Recurso de Inconstitucionalidad No. SCO-1165-2014</w:t>
      </w:r>
      <w:r>
        <w:rPr>
          <w:rFonts w:ascii="Verdana" w:hAnsi="Verdana"/>
          <w:sz w:val="16"/>
          <w:szCs w:val="16"/>
          <w:lang w:val="es-AR"/>
        </w:rPr>
        <w:t xml:space="preserve"> de la Sala Constitucional </w:t>
      </w:r>
      <w:r w:rsidRPr="00284696">
        <w:rPr>
          <w:rFonts w:ascii="Verdana" w:hAnsi="Verdana"/>
          <w:sz w:val="16"/>
          <w:szCs w:val="16"/>
          <w:lang w:val="es-AR"/>
        </w:rPr>
        <w:t xml:space="preserve">de la Corte Suprema de Justicia </w:t>
      </w:r>
      <w:r>
        <w:rPr>
          <w:rFonts w:ascii="Verdana" w:hAnsi="Verdana"/>
          <w:sz w:val="16"/>
          <w:szCs w:val="16"/>
          <w:lang w:val="es-AR"/>
        </w:rPr>
        <w:t>de Honduras de fecha 23 de junio de 2017 (Anexo al informe estatal de 19 de diciembre de 2017)</w:t>
      </w:r>
      <w:r w:rsidRPr="00477E3A">
        <w:rPr>
          <w:rFonts w:ascii="Verdana" w:hAnsi="Verdana"/>
          <w:sz w:val="16"/>
          <w:szCs w:val="16"/>
          <w:lang w:val="es-AR"/>
        </w:rPr>
        <w:t>.</w:t>
      </w:r>
    </w:p>
  </w:footnote>
  <w:footnote w:id="65">
    <w:p w14:paraId="4157EDF6" w14:textId="631D298B" w:rsidR="00601E30" w:rsidRPr="00477E3A" w:rsidRDefault="00601E30" w:rsidP="00B747E8">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Pr>
          <w:rFonts w:ascii="Verdana" w:hAnsi="Verdana"/>
          <w:i/>
          <w:sz w:val="16"/>
          <w:szCs w:val="16"/>
          <w:lang w:val="es-AR"/>
        </w:rPr>
        <w:t>Caso Comunidad Garífuna de Punta Piedra y sus miembros Vs. Honduras</w:t>
      </w:r>
      <w:r>
        <w:rPr>
          <w:rFonts w:ascii="Verdana" w:hAnsi="Verdana"/>
          <w:sz w:val="16"/>
          <w:szCs w:val="16"/>
          <w:lang w:val="es-ES"/>
        </w:rPr>
        <w:t xml:space="preserve">, </w:t>
      </w:r>
      <w:r>
        <w:rPr>
          <w:rFonts w:ascii="Verdana" w:hAnsi="Verdana"/>
          <w:i/>
          <w:sz w:val="16"/>
          <w:szCs w:val="16"/>
          <w:lang w:val="es-ES"/>
        </w:rPr>
        <w:t>supra</w:t>
      </w:r>
      <w:r>
        <w:rPr>
          <w:rFonts w:ascii="Verdana" w:hAnsi="Verdana"/>
          <w:sz w:val="16"/>
          <w:szCs w:val="16"/>
          <w:lang w:val="es-ES"/>
        </w:rPr>
        <w:t>,</w:t>
      </w:r>
      <w:r w:rsidRPr="00477E3A">
        <w:rPr>
          <w:rFonts w:ascii="Verdana" w:hAnsi="Verdana"/>
          <w:sz w:val="16"/>
          <w:szCs w:val="16"/>
          <w:lang w:val="es-ES"/>
        </w:rPr>
        <w:t xml:space="preserve"> </w:t>
      </w:r>
      <w:proofErr w:type="spellStart"/>
      <w:r w:rsidRPr="00477E3A">
        <w:rPr>
          <w:rFonts w:ascii="Verdana" w:hAnsi="Verdana"/>
          <w:sz w:val="16"/>
          <w:szCs w:val="16"/>
          <w:lang w:val="es-ES"/>
        </w:rPr>
        <w:t>párr</w:t>
      </w:r>
      <w:proofErr w:type="spellEnd"/>
      <w:r>
        <w:rPr>
          <w:rFonts w:ascii="Verdana" w:hAnsi="Verdana"/>
          <w:sz w:val="16"/>
          <w:szCs w:val="16"/>
          <w:lang w:val="es-AR"/>
        </w:rPr>
        <w:t>. 222</w:t>
      </w:r>
      <w:r w:rsidRPr="00477E3A">
        <w:rPr>
          <w:rFonts w:ascii="Verdana" w:hAnsi="Verdana"/>
          <w:sz w:val="16"/>
          <w:szCs w:val="16"/>
          <w:lang w:val="es-AR"/>
        </w:rPr>
        <w:t xml:space="preserve">. </w:t>
      </w:r>
    </w:p>
  </w:footnote>
  <w:footnote w:id="66">
    <w:p w14:paraId="3206DC13" w14:textId="3E17C9D6" w:rsidR="00601E30" w:rsidRPr="00B11715" w:rsidRDefault="00601E30" w:rsidP="00D17151">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Informe estatal de 19 de diciembre de 2017</w:t>
      </w:r>
      <w:r w:rsidRPr="00477E3A">
        <w:rPr>
          <w:rFonts w:ascii="Verdana" w:hAnsi="Verdana"/>
          <w:sz w:val="16"/>
          <w:szCs w:val="16"/>
          <w:lang w:val="es-AR"/>
        </w:rPr>
        <w:t>.</w:t>
      </w:r>
    </w:p>
  </w:footnote>
  <w:footnote w:id="67">
    <w:p w14:paraId="420EF835" w14:textId="3054E3F5" w:rsidR="00601E30" w:rsidRPr="00477E3A" w:rsidRDefault="00601E30" w:rsidP="00D17151">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Escrito de observaciones de los representantes de 8 de febrero de 2018</w:t>
      </w:r>
      <w:r w:rsidRPr="00477E3A">
        <w:rPr>
          <w:rFonts w:ascii="Verdana" w:hAnsi="Verdana"/>
          <w:sz w:val="16"/>
          <w:szCs w:val="16"/>
          <w:lang w:val="es-AR"/>
        </w:rPr>
        <w:t>.</w:t>
      </w:r>
    </w:p>
  </w:footnote>
  <w:footnote w:id="68">
    <w:p w14:paraId="255AC36C" w14:textId="6D738A18" w:rsidR="00601E30" w:rsidRPr="00477E3A" w:rsidRDefault="00601E30" w:rsidP="00D17151">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Escrito de observaciones de la Comisión de 8 de febrero de 2018</w:t>
      </w:r>
      <w:r w:rsidRPr="00477E3A">
        <w:rPr>
          <w:rFonts w:ascii="Verdana" w:hAnsi="Verdana"/>
          <w:sz w:val="16"/>
          <w:szCs w:val="16"/>
          <w:lang w:val="es-AR"/>
        </w:rPr>
        <w:t xml:space="preserve">. </w:t>
      </w:r>
    </w:p>
  </w:footnote>
  <w:footnote w:id="69">
    <w:p w14:paraId="6550C5A4" w14:textId="1570C4CA" w:rsidR="00601E30" w:rsidRPr="00477E3A" w:rsidRDefault="00601E30" w:rsidP="00E635C6">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sidRPr="00477E3A">
        <w:rPr>
          <w:rFonts w:ascii="Verdana" w:hAnsi="Verdana"/>
          <w:sz w:val="16"/>
          <w:szCs w:val="16"/>
          <w:lang w:val="es-AR"/>
        </w:rPr>
        <w:tab/>
      </w:r>
      <w:r>
        <w:rPr>
          <w:rFonts w:ascii="Verdana" w:hAnsi="Verdana"/>
          <w:sz w:val="16"/>
          <w:szCs w:val="16"/>
          <w:lang w:val="es-AR"/>
        </w:rPr>
        <w:t xml:space="preserve">Informe estatal de 19 de diciembre de 2017. </w:t>
      </w:r>
      <w:r w:rsidRPr="00477E3A">
        <w:rPr>
          <w:rFonts w:ascii="Verdana" w:hAnsi="Verdana"/>
          <w:sz w:val="16"/>
          <w:szCs w:val="16"/>
          <w:lang w:val="es-AR"/>
        </w:rPr>
        <w:t xml:space="preserve">En particular, el Estado informó avances en las siguientes tareas: </w:t>
      </w:r>
      <w:r w:rsidRPr="00477E3A">
        <w:rPr>
          <w:rFonts w:ascii="Verdana" w:hAnsi="Verdana"/>
          <w:sz w:val="16"/>
          <w:szCs w:val="16"/>
          <w:lang w:val="es-CR"/>
        </w:rPr>
        <w:t xml:space="preserve">i) se integró la base de datos catastral del Instituto de Conservación Forestal al “Sistema Unificado de Registros […] por medio de la plataforma geoespacial, contando con información actualizada de áreas protegidas, zonas de reserva, de amortiguamiento, etc.”; </w:t>
      </w:r>
      <w:proofErr w:type="spellStart"/>
      <w:r w:rsidRPr="00477E3A">
        <w:rPr>
          <w:rFonts w:ascii="Verdana" w:hAnsi="Verdana"/>
          <w:sz w:val="16"/>
          <w:szCs w:val="16"/>
          <w:lang w:val="es-CR"/>
        </w:rPr>
        <w:t>ii</w:t>
      </w:r>
      <w:proofErr w:type="spellEnd"/>
      <w:r w:rsidRPr="00477E3A">
        <w:rPr>
          <w:rFonts w:ascii="Verdana" w:hAnsi="Verdana"/>
          <w:sz w:val="16"/>
          <w:szCs w:val="16"/>
          <w:lang w:val="es-CR"/>
        </w:rPr>
        <w:t xml:space="preserve">) se han realizado “acercamientos con el Instituto Nacional Agrario […] para vincular toda su información catastral registral de títulos de dominio pleno en áreas rurales”; </w:t>
      </w:r>
      <w:proofErr w:type="spellStart"/>
      <w:r w:rsidRPr="00477E3A">
        <w:rPr>
          <w:rFonts w:ascii="Verdana" w:hAnsi="Verdana"/>
          <w:sz w:val="16"/>
          <w:szCs w:val="16"/>
          <w:lang w:val="es-CR"/>
        </w:rPr>
        <w:t>iii</w:t>
      </w:r>
      <w:proofErr w:type="spellEnd"/>
      <w:r w:rsidRPr="00477E3A">
        <w:rPr>
          <w:rFonts w:ascii="Verdana" w:hAnsi="Verdana"/>
          <w:sz w:val="16"/>
          <w:szCs w:val="16"/>
          <w:lang w:val="es-CR"/>
        </w:rPr>
        <w:t xml:space="preserve">) por medio del “fideicomiso para el proyecto denominado ‘Sistema de administración de la propiedad de la República de Honduras’ se está desarrollando un proceso de tercerización de los servicios que presta el Instituto de la Propiedad y sobre todo la contratación de un operador tecnológico que provea un sistema registral que integre de manera eficiente los diferentes registros especiales que administra por ley el Instituto de la Propiedad; </w:t>
      </w:r>
      <w:proofErr w:type="spellStart"/>
      <w:r w:rsidRPr="00477E3A">
        <w:rPr>
          <w:rFonts w:ascii="Verdana" w:hAnsi="Verdana"/>
          <w:sz w:val="16"/>
          <w:szCs w:val="16"/>
          <w:lang w:val="es-CR"/>
        </w:rPr>
        <w:t>iv</w:t>
      </w:r>
      <w:proofErr w:type="spellEnd"/>
      <w:r w:rsidRPr="00477E3A">
        <w:rPr>
          <w:rFonts w:ascii="Verdana" w:hAnsi="Verdana"/>
          <w:sz w:val="16"/>
          <w:szCs w:val="16"/>
          <w:lang w:val="es-CR"/>
        </w:rPr>
        <w:t xml:space="preserve">) aprobación del “Reglamento de Mensura Catastral” para facilitar la medición de inmuebles y demás circunstancias relativas a la determinación de ubicación geográfica, áreas, perímetros y demás configuraciones físicas de los inmuebles a nivel nacional; v) proceso de creación de “Centros Asociados Municipales” para “vincular el catastro regional con el catastro nacional”; vi) creación de las “oficinas Registrales Periféricas” para optimizar recursos y tiempo de respuesta para transacciones de registro inmueble; </w:t>
      </w:r>
      <w:proofErr w:type="spellStart"/>
      <w:r w:rsidRPr="00477E3A">
        <w:rPr>
          <w:rFonts w:ascii="Verdana" w:hAnsi="Verdana"/>
          <w:sz w:val="16"/>
          <w:szCs w:val="16"/>
          <w:lang w:val="es-CR"/>
        </w:rPr>
        <w:t>vii</w:t>
      </w:r>
      <w:proofErr w:type="spellEnd"/>
      <w:r w:rsidRPr="00477E3A">
        <w:rPr>
          <w:rFonts w:ascii="Verdana" w:hAnsi="Verdana"/>
          <w:sz w:val="16"/>
          <w:szCs w:val="16"/>
          <w:lang w:val="es-CR"/>
        </w:rPr>
        <w:t xml:space="preserve">) formulación de un proyecto para la “vinculación de los registros catastrales con los registros inmuebles”; </w:t>
      </w:r>
      <w:proofErr w:type="spellStart"/>
      <w:r w:rsidRPr="00477E3A">
        <w:rPr>
          <w:rFonts w:ascii="Verdana" w:hAnsi="Verdana"/>
          <w:sz w:val="16"/>
          <w:szCs w:val="16"/>
          <w:lang w:val="es-CR"/>
        </w:rPr>
        <w:t>viii</w:t>
      </w:r>
      <w:proofErr w:type="spellEnd"/>
      <w:r w:rsidRPr="00477E3A">
        <w:rPr>
          <w:rFonts w:ascii="Verdana" w:hAnsi="Verdana"/>
          <w:sz w:val="16"/>
          <w:szCs w:val="16"/>
          <w:lang w:val="es-CR"/>
        </w:rPr>
        <w:t xml:space="preserve">) implementación del modelo </w:t>
      </w:r>
      <w:proofErr w:type="spellStart"/>
      <w:r w:rsidRPr="00477E3A">
        <w:rPr>
          <w:rFonts w:ascii="Verdana" w:hAnsi="Verdana"/>
          <w:sz w:val="16"/>
          <w:szCs w:val="16"/>
          <w:lang w:val="es-CR"/>
        </w:rPr>
        <w:t>front</w:t>
      </w:r>
      <w:proofErr w:type="spellEnd"/>
      <w:r w:rsidRPr="00477E3A">
        <w:rPr>
          <w:rFonts w:ascii="Verdana" w:hAnsi="Verdana"/>
          <w:sz w:val="16"/>
          <w:szCs w:val="16"/>
          <w:lang w:val="es-CR"/>
        </w:rPr>
        <w:t xml:space="preserve">/back office en el RPI de Francisco Morazán como modelo a replicar a nivel nacional; </w:t>
      </w:r>
      <w:proofErr w:type="spellStart"/>
      <w:r w:rsidRPr="00477E3A">
        <w:rPr>
          <w:rFonts w:ascii="Verdana" w:hAnsi="Verdana"/>
          <w:sz w:val="16"/>
          <w:szCs w:val="16"/>
          <w:lang w:val="es-CR"/>
        </w:rPr>
        <w:t>ix</w:t>
      </w:r>
      <w:proofErr w:type="spellEnd"/>
      <w:r w:rsidRPr="00477E3A">
        <w:rPr>
          <w:rFonts w:ascii="Verdana" w:hAnsi="Verdana"/>
          <w:sz w:val="16"/>
          <w:szCs w:val="16"/>
          <w:lang w:val="es-CR"/>
        </w:rPr>
        <w:t xml:space="preserve">) implementación de los planes de mejora en los Registros de la Propiedad Inmueble para estandarizar procesos registrales a nivel nacional; x) elaboración de “Manual de Indicadores de Desempeño”; xi) proceso de elaboración del “Manual de Unificación de Criterios Registrales”, e </w:t>
      </w:r>
      <w:proofErr w:type="spellStart"/>
      <w:r w:rsidRPr="00477E3A">
        <w:rPr>
          <w:rFonts w:ascii="Verdana" w:hAnsi="Verdana"/>
          <w:sz w:val="16"/>
          <w:szCs w:val="16"/>
          <w:lang w:val="es-CR"/>
        </w:rPr>
        <w:t>xii</w:t>
      </w:r>
      <w:proofErr w:type="spellEnd"/>
      <w:r w:rsidRPr="00477E3A">
        <w:rPr>
          <w:rFonts w:ascii="Verdana" w:hAnsi="Verdana"/>
          <w:sz w:val="16"/>
          <w:szCs w:val="16"/>
          <w:lang w:val="es-CR"/>
        </w:rPr>
        <w:t xml:space="preserve">) implementación para la transición del Instituto de la Propiedad como ente </w:t>
      </w:r>
      <w:proofErr w:type="spellStart"/>
      <w:r w:rsidRPr="00477E3A">
        <w:rPr>
          <w:rFonts w:ascii="Verdana" w:hAnsi="Verdana"/>
          <w:sz w:val="16"/>
          <w:szCs w:val="16"/>
          <w:lang w:val="es-CR"/>
        </w:rPr>
        <w:t>normador</w:t>
      </w:r>
      <w:proofErr w:type="spellEnd"/>
      <w:r w:rsidRPr="00477E3A">
        <w:rPr>
          <w:rFonts w:ascii="Verdana" w:hAnsi="Verdana"/>
          <w:sz w:val="16"/>
          <w:szCs w:val="16"/>
          <w:lang w:val="es-CR"/>
        </w:rPr>
        <w:t xml:space="preserve"> y supervisor. Asimismo el Estado informó que “se ha identificado la necesidad de reforzar la seguridad del Sistema Unificado de Registros (SURE), sobre los cuales se está trabajando en los siguientes puntos de mejora: i) migración de las imágenes digitalizadas (tomos) con el fin de disponer de nuevos controles de trazabilidad, seguridad y bitácoras sobre las imágenes; </w:t>
      </w:r>
      <w:proofErr w:type="spellStart"/>
      <w:r w:rsidRPr="00477E3A">
        <w:rPr>
          <w:rFonts w:ascii="Verdana" w:hAnsi="Verdana"/>
          <w:sz w:val="16"/>
          <w:szCs w:val="16"/>
          <w:lang w:val="es-CR"/>
        </w:rPr>
        <w:t>ii</w:t>
      </w:r>
      <w:proofErr w:type="spellEnd"/>
      <w:r w:rsidRPr="00477E3A">
        <w:rPr>
          <w:rFonts w:ascii="Verdana" w:hAnsi="Verdana"/>
          <w:sz w:val="16"/>
          <w:szCs w:val="16"/>
          <w:lang w:val="es-CR"/>
        </w:rPr>
        <w:t xml:space="preserve">) incorporar mediante un desarrollo, bitácoras de transacción a nivel de base de datos, siendo que con este nuevo modelo se lograría tener registros en la autenticación de los usuarios del sistema, y </w:t>
      </w:r>
      <w:proofErr w:type="spellStart"/>
      <w:r w:rsidRPr="00477E3A">
        <w:rPr>
          <w:rFonts w:ascii="Verdana" w:hAnsi="Verdana"/>
          <w:sz w:val="16"/>
          <w:szCs w:val="16"/>
          <w:lang w:val="es-CR"/>
        </w:rPr>
        <w:t>iii</w:t>
      </w:r>
      <w:proofErr w:type="spellEnd"/>
      <w:r w:rsidRPr="00477E3A">
        <w:rPr>
          <w:rFonts w:ascii="Verdana" w:hAnsi="Verdana"/>
          <w:sz w:val="16"/>
          <w:szCs w:val="16"/>
          <w:lang w:val="es-CR"/>
        </w:rPr>
        <w:t>) modernización de los sistemas (para recibir solicitudes, aumentar la capacidad de procesamient</w:t>
      </w:r>
      <w:r>
        <w:rPr>
          <w:rFonts w:ascii="Verdana" w:hAnsi="Verdana"/>
          <w:sz w:val="16"/>
          <w:szCs w:val="16"/>
          <w:lang w:val="es-CR"/>
        </w:rPr>
        <w:t>o y mejorar las recaudaciones).</w:t>
      </w:r>
    </w:p>
  </w:footnote>
  <w:footnote w:id="70">
    <w:p w14:paraId="1917B940" w14:textId="76AF0F1D" w:rsidR="00601E30" w:rsidRPr="00477E3A" w:rsidRDefault="00601E30" w:rsidP="00E635C6">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Escrito de observaciones de los representantes de 3 de noviembre de 2017</w:t>
      </w:r>
      <w:r w:rsidRPr="00477E3A">
        <w:rPr>
          <w:rFonts w:ascii="Verdana" w:hAnsi="Verdana"/>
          <w:sz w:val="16"/>
          <w:szCs w:val="16"/>
          <w:lang w:val="es-AR"/>
        </w:rPr>
        <w:t xml:space="preserve">. </w:t>
      </w:r>
    </w:p>
  </w:footnote>
  <w:footnote w:id="71">
    <w:p w14:paraId="2812A09B" w14:textId="34376845" w:rsidR="00601E30" w:rsidRPr="00477E3A" w:rsidRDefault="00601E30" w:rsidP="00E635C6">
      <w:pPr>
        <w:pStyle w:val="Textonotapie"/>
        <w:tabs>
          <w:tab w:val="left" w:pos="426"/>
        </w:tabs>
        <w:ind w:right="4"/>
        <w:jc w:val="both"/>
        <w:rPr>
          <w:rFonts w:ascii="Verdana" w:hAnsi="Verdana"/>
          <w:b/>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Escrito de observaciones de los representantes de 8 de febrero de 2018</w:t>
      </w:r>
      <w:r w:rsidRPr="00477E3A">
        <w:rPr>
          <w:rFonts w:ascii="Verdana" w:hAnsi="Verdana"/>
          <w:sz w:val="16"/>
          <w:szCs w:val="16"/>
          <w:lang w:val="es-AR"/>
        </w:rPr>
        <w:t xml:space="preserve">. </w:t>
      </w:r>
    </w:p>
  </w:footnote>
  <w:footnote w:id="72">
    <w:p w14:paraId="66BB0529" w14:textId="4C80FEDE" w:rsidR="00601E30" w:rsidRPr="00477E3A" w:rsidRDefault="00601E30" w:rsidP="00E23B1A">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 xml:space="preserve">Informe estatal de 19 de diciembre de 2017. </w:t>
      </w:r>
      <w:r w:rsidRPr="00477E3A">
        <w:rPr>
          <w:rFonts w:ascii="Verdana" w:hAnsi="Verdana"/>
          <w:sz w:val="16"/>
          <w:szCs w:val="16"/>
          <w:lang w:val="es-CO"/>
        </w:rPr>
        <w:t>También refirió que en dos oportunidades se había planificado una gira a la comunidad de Punta Piedra, la cual no se pudo realizar, la primera vez debido a condiciones climatológicas y la segunda “a causa de la situación [p]</w:t>
      </w:r>
      <w:proofErr w:type="spellStart"/>
      <w:r w:rsidRPr="00477E3A">
        <w:rPr>
          <w:rFonts w:ascii="Verdana" w:hAnsi="Verdana"/>
          <w:sz w:val="16"/>
          <w:szCs w:val="16"/>
          <w:lang w:val="es-CO"/>
        </w:rPr>
        <w:t>olítica</w:t>
      </w:r>
      <w:proofErr w:type="spellEnd"/>
      <w:r w:rsidRPr="00477E3A">
        <w:rPr>
          <w:rFonts w:ascii="Verdana" w:hAnsi="Verdana"/>
          <w:sz w:val="16"/>
          <w:szCs w:val="16"/>
          <w:lang w:val="es-CO"/>
        </w:rPr>
        <w:t xml:space="preserve"> que […] </w:t>
      </w:r>
      <w:proofErr w:type="spellStart"/>
      <w:r w:rsidRPr="00477E3A">
        <w:rPr>
          <w:rFonts w:ascii="Verdana" w:hAnsi="Verdana"/>
          <w:sz w:val="16"/>
          <w:szCs w:val="16"/>
          <w:lang w:val="es-CO"/>
        </w:rPr>
        <w:t>est</w:t>
      </w:r>
      <w:proofErr w:type="spellEnd"/>
      <w:r w:rsidRPr="00477E3A">
        <w:rPr>
          <w:rFonts w:ascii="Verdana" w:hAnsi="Verdana"/>
          <w:sz w:val="16"/>
          <w:szCs w:val="16"/>
          <w:lang w:val="es-CO"/>
        </w:rPr>
        <w:t>[aba] viviendo el país, por lo cual no se podía poner en riesgo a los ele</w:t>
      </w:r>
      <w:r>
        <w:rPr>
          <w:rFonts w:ascii="Verdana" w:hAnsi="Verdana"/>
          <w:sz w:val="16"/>
          <w:szCs w:val="16"/>
          <w:lang w:val="es-CO"/>
        </w:rPr>
        <w:t>mentos del Ministerio Público”.</w:t>
      </w:r>
    </w:p>
  </w:footnote>
  <w:footnote w:id="73">
    <w:p w14:paraId="1996577E" w14:textId="6A49A68A" w:rsidR="00601E30" w:rsidRPr="00477E3A" w:rsidRDefault="00601E30" w:rsidP="001E6E8F">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 xml:space="preserve">Escrito de observaciones de los representantes de </w:t>
      </w:r>
      <w:r>
        <w:rPr>
          <w:rFonts w:ascii="Verdana" w:hAnsi="Verdana"/>
          <w:sz w:val="16"/>
          <w:szCs w:val="16"/>
          <w:lang w:val="es-AR"/>
        </w:rPr>
        <w:t>3 de noviembre de 2017.</w:t>
      </w:r>
    </w:p>
  </w:footnote>
  <w:footnote w:id="74">
    <w:p w14:paraId="2FC1D4E8" w14:textId="0A5D0D63" w:rsidR="00601E30" w:rsidRPr="00477E3A" w:rsidRDefault="00601E30" w:rsidP="00E23B1A">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 xml:space="preserve">Escrito de observaciones de los representantes de 8 de febrero de </w:t>
      </w:r>
      <w:r>
        <w:rPr>
          <w:rFonts w:ascii="Verdana" w:hAnsi="Verdana"/>
          <w:sz w:val="16"/>
          <w:szCs w:val="16"/>
          <w:lang w:val="es-AR"/>
        </w:rPr>
        <w:t>2018.</w:t>
      </w:r>
    </w:p>
  </w:footnote>
  <w:footnote w:id="75">
    <w:p w14:paraId="26BFF037" w14:textId="77777777" w:rsidR="00601E30" w:rsidRPr="00477E3A" w:rsidRDefault="00601E30" w:rsidP="00236A98">
      <w:pPr>
        <w:pStyle w:val="Textonotapie"/>
        <w:tabs>
          <w:tab w:val="left" w:pos="426"/>
        </w:tabs>
        <w:ind w:right="4"/>
        <w:jc w:val="both"/>
        <w:rPr>
          <w:rFonts w:ascii="Verdana" w:hAnsi="Verdana"/>
          <w:sz w:val="16"/>
          <w:szCs w:val="16"/>
          <w:lang w:val="es-CO"/>
        </w:rPr>
      </w:pPr>
      <w:r w:rsidRPr="00477E3A">
        <w:rPr>
          <w:rStyle w:val="Refdenotaalpie"/>
          <w:rFonts w:ascii="Verdana" w:hAnsi="Verdana"/>
          <w:sz w:val="16"/>
          <w:szCs w:val="16"/>
        </w:rPr>
        <w:footnoteRef/>
      </w:r>
      <w:r w:rsidRPr="00477E3A">
        <w:rPr>
          <w:rFonts w:ascii="Verdana" w:hAnsi="Verdana"/>
          <w:sz w:val="16"/>
          <w:szCs w:val="16"/>
          <w:lang w:val="es-CO"/>
        </w:rPr>
        <w:t xml:space="preserve"> </w:t>
      </w:r>
      <w:r>
        <w:rPr>
          <w:rFonts w:ascii="Verdana" w:hAnsi="Verdana"/>
          <w:sz w:val="16"/>
          <w:szCs w:val="16"/>
          <w:lang w:val="es-CO"/>
        </w:rPr>
        <w:tab/>
      </w:r>
      <w:proofErr w:type="spellStart"/>
      <w:r w:rsidRPr="004806D4">
        <w:rPr>
          <w:rFonts w:ascii="Verdana" w:hAnsi="Verdana"/>
          <w:i/>
          <w:sz w:val="16"/>
          <w:szCs w:val="16"/>
          <w:lang w:val="es-AR"/>
        </w:rPr>
        <w:t>Cfr</w:t>
      </w:r>
      <w:proofErr w:type="spellEnd"/>
      <w:r w:rsidRPr="00477E3A">
        <w:rPr>
          <w:rFonts w:ascii="Verdana" w:hAnsi="Verdana"/>
          <w:sz w:val="16"/>
          <w:szCs w:val="16"/>
          <w:lang w:val="es-CO"/>
        </w:rPr>
        <w:t xml:space="preserve">. </w:t>
      </w:r>
      <w:r w:rsidRPr="004806D4">
        <w:rPr>
          <w:rFonts w:ascii="Verdana" w:hAnsi="Verdana"/>
          <w:i/>
          <w:sz w:val="16"/>
          <w:szCs w:val="16"/>
          <w:lang w:val="es-CO"/>
        </w:rPr>
        <w:t>Caso Velásquez Rodríguez Vs. Honduras. Fondo</w:t>
      </w:r>
      <w:r>
        <w:rPr>
          <w:rFonts w:ascii="Verdana" w:hAnsi="Verdana"/>
          <w:sz w:val="16"/>
          <w:szCs w:val="16"/>
          <w:lang w:val="es-CO"/>
        </w:rPr>
        <w:t>. Sentencia de 29 de julio de 1988. Serie C No. 4,</w:t>
      </w:r>
      <w:r w:rsidRPr="00477E3A">
        <w:rPr>
          <w:rFonts w:ascii="Verdana" w:hAnsi="Verdana"/>
          <w:sz w:val="16"/>
          <w:szCs w:val="16"/>
          <w:lang w:val="es-CO"/>
        </w:rPr>
        <w:t xml:space="preserve"> párr. 177, y </w:t>
      </w:r>
      <w:r w:rsidRPr="004806D4">
        <w:rPr>
          <w:rFonts w:ascii="Verdana" w:hAnsi="Verdana"/>
          <w:i/>
          <w:sz w:val="16"/>
          <w:szCs w:val="16"/>
          <w:lang w:val="es-CO"/>
        </w:rPr>
        <w:t>Caso Terrones Silva y Otros Vs. Perú. Excepciones Preliminares</w:t>
      </w:r>
      <w:r>
        <w:rPr>
          <w:rFonts w:ascii="Verdana" w:hAnsi="Verdana"/>
          <w:i/>
          <w:sz w:val="16"/>
          <w:szCs w:val="16"/>
          <w:lang w:val="es-CO"/>
        </w:rPr>
        <w:t>,</w:t>
      </w:r>
      <w:r w:rsidRPr="004806D4">
        <w:rPr>
          <w:rFonts w:ascii="Verdana" w:hAnsi="Verdana"/>
          <w:i/>
          <w:sz w:val="16"/>
          <w:szCs w:val="16"/>
          <w:lang w:val="es-CO"/>
        </w:rPr>
        <w:t xml:space="preserve"> Fondo, Reparaciones y Costas</w:t>
      </w:r>
      <w:r w:rsidRPr="00477E3A">
        <w:rPr>
          <w:rFonts w:ascii="Verdana" w:hAnsi="Verdana"/>
          <w:sz w:val="16"/>
          <w:szCs w:val="16"/>
          <w:lang w:val="es-CO"/>
        </w:rPr>
        <w:t>. Sentencia de 26 de septiembre de 2018. Serie C No. 360, párr. 182.</w:t>
      </w:r>
    </w:p>
  </w:footnote>
  <w:footnote w:id="76">
    <w:p w14:paraId="2C6F38D6" w14:textId="77777777" w:rsidR="00601E30" w:rsidRPr="00477E3A" w:rsidRDefault="00601E30" w:rsidP="00236A98">
      <w:pPr>
        <w:pStyle w:val="Textonotapie"/>
        <w:tabs>
          <w:tab w:val="left" w:pos="426"/>
        </w:tabs>
        <w:ind w:right="4"/>
        <w:jc w:val="both"/>
        <w:rPr>
          <w:rFonts w:ascii="Verdana" w:hAnsi="Verdana"/>
          <w:sz w:val="16"/>
          <w:szCs w:val="16"/>
          <w:lang w:val="es-CO"/>
        </w:rPr>
      </w:pPr>
      <w:r w:rsidRPr="00477E3A">
        <w:rPr>
          <w:rStyle w:val="Refdenotaalpie"/>
          <w:rFonts w:ascii="Verdana" w:hAnsi="Verdana"/>
          <w:sz w:val="16"/>
          <w:szCs w:val="16"/>
        </w:rPr>
        <w:footnoteRef/>
      </w:r>
      <w:r w:rsidRPr="00477E3A">
        <w:rPr>
          <w:rFonts w:ascii="Verdana" w:hAnsi="Verdana"/>
          <w:sz w:val="16"/>
          <w:szCs w:val="16"/>
          <w:lang w:val="es-CO"/>
        </w:rPr>
        <w:t xml:space="preserve"> </w:t>
      </w:r>
      <w:r>
        <w:rPr>
          <w:rFonts w:ascii="Verdana" w:hAnsi="Verdana"/>
          <w:sz w:val="16"/>
          <w:szCs w:val="16"/>
          <w:lang w:val="es-CO"/>
        </w:rPr>
        <w:tab/>
      </w:r>
      <w:proofErr w:type="spellStart"/>
      <w:r w:rsidRPr="00F7075E">
        <w:rPr>
          <w:rFonts w:ascii="Verdana" w:hAnsi="Verdana"/>
          <w:i/>
          <w:sz w:val="16"/>
          <w:szCs w:val="16"/>
          <w:lang w:val="es-AR"/>
        </w:rPr>
        <w:t>Cfr</w:t>
      </w:r>
      <w:proofErr w:type="spellEnd"/>
      <w:r w:rsidRPr="004806D4">
        <w:rPr>
          <w:rFonts w:ascii="Verdana" w:hAnsi="Verdana"/>
          <w:i/>
          <w:sz w:val="16"/>
          <w:szCs w:val="16"/>
          <w:lang w:val="es-CO"/>
        </w:rPr>
        <w:t>. Caso de las Hermanas Serrano Cruz Vs. El Salvador. Fondo, Reparaciones y Costas</w:t>
      </w:r>
      <w:r>
        <w:rPr>
          <w:rFonts w:ascii="Verdana" w:hAnsi="Verdana"/>
          <w:sz w:val="16"/>
          <w:szCs w:val="16"/>
          <w:lang w:val="es-CO"/>
        </w:rPr>
        <w:t>.</w:t>
      </w:r>
      <w:r w:rsidRPr="00477E3A">
        <w:rPr>
          <w:rFonts w:ascii="Verdana" w:hAnsi="Verdana"/>
          <w:sz w:val="16"/>
          <w:szCs w:val="16"/>
          <w:lang w:val="es-CO"/>
        </w:rPr>
        <w:t xml:space="preserve"> Sentencia de 1 de marzo de 2005. Serie C No. 120, párr. 83, y </w:t>
      </w:r>
      <w:r w:rsidRPr="004806D4">
        <w:rPr>
          <w:rFonts w:ascii="Verdana" w:hAnsi="Verdana"/>
          <w:i/>
          <w:sz w:val="16"/>
          <w:szCs w:val="16"/>
          <w:lang w:val="es-CO"/>
        </w:rPr>
        <w:t xml:space="preserve">Caso </w:t>
      </w:r>
      <w:r>
        <w:rPr>
          <w:rFonts w:ascii="Verdana" w:hAnsi="Verdana"/>
          <w:i/>
          <w:sz w:val="16"/>
          <w:szCs w:val="16"/>
          <w:lang w:val="es-CO"/>
        </w:rPr>
        <w:t>Terrones Silva y Otros Vs. Perú</w:t>
      </w:r>
      <w:r>
        <w:rPr>
          <w:rFonts w:ascii="Verdana" w:hAnsi="Verdana"/>
          <w:sz w:val="16"/>
          <w:szCs w:val="16"/>
          <w:lang w:val="es-CO"/>
        </w:rPr>
        <w:t>,</w:t>
      </w:r>
      <w:r>
        <w:rPr>
          <w:rFonts w:ascii="Verdana" w:hAnsi="Verdana"/>
          <w:i/>
          <w:sz w:val="16"/>
          <w:szCs w:val="16"/>
          <w:lang w:val="es-CO"/>
        </w:rPr>
        <w:t xml:space="preserve"> s</w:t>
      </w:r>
      <w:r w:rsidRPr="004806D4">
        <w:rPr>
          <w:rFonts w:ascii="Verdana" w:hAnsi="Verdana"/>
          <w:i/>
          <w:sz w:val="16"/>
          <w:szCs w:val="16"/>
          <w:lang w:val="es-CO"/>
        </w:rPr>
        <w:t>upra</w:t>
      </w:r>
      <w:r w:rsidRPr="00477E3A">
        <w:rPr>
          <w:rFonts w:ascii="Verdana" w:hAnsi="Verdana"/>
          <w:sz w:val="16"/>
          <w:szCs w:val="16"/>
          <w:lang w:val="es-CO"/>
        </w:rPr>
        <w:t>, párr. 182.</w:t>
      </w:r>
    </w:p>
  </w:footnote>
  <w:footnote w:id="77">
    <w:p w14:paraId="41E42ED4" w14:textId="77777777" w:rsidR="00601E30" w:rsidRPr="00477E3A" w:rsidRDefault="00601E30" w:rsidP="00236A98">
      <w:pPr>
        <w:pStyle w:val="Textonotapie"/>
        <w:tabs>
          <w:tab w:val="left" w:pos="426"/>
        </w:tabs>
        <w:ind w:right="4"/>
        <w:jc w:val="both"/>
        <w:rPr>
          <w:rFonts w:ascii="Verdana" w:hAnsi="Verdana"/>
          <w:sz w:val="16"/>
          <w:szCs w:val="16"/>
          <w:lang w:val="es-CO"/>
        </w:rPr>
      </w:pPr>
      <w:r w:rsidRPr="00477E3A">
        <w:rPr>
          <w:rStyle w:val="Refdenotaalpie"/>
          <w:rFonts w:ascii="Verdana" w:hAnsi="Verdana"/>
          <w:sz w:val="16"/>
          <w:szCs w:val="16"/>
        </w:rPr>
        <w:footnoteRef/>
      </w:r>
      <w:r w:rsidRPr="00477E3A">
        <w:rPr>
          <w:rFonts w:ascii="Verdana" w:hAnsi="Verdana"/>
          <w:sz w:val="16"/>
          <w:szCs w:val="16"/>
          <w:lang w:val="es-CO"/>
        </w:rPr>
        <w:t xml:space="preserve"> </w:t>
      </w:r>
      <w:r>
        <w:rPr>
          <w:rFonts w:ascii="Verdana" w:hAnsi="Verdana"/>
          <w:sz w:val="16"/>
          <w:szCs w:val="16"/>
          <w:lang w:val="es-CO"/>
        </w:rPr>
        <w:tab/>
      </w:r>
      <w:proofErr w:type="spellStart"/>
      <w:r w:rsidRPr="00F7075E">
        <w:rPr>
          <w:rFonts w:ascii="Verdana" w:hAnsi="Verdana"/>
          <w:i/>
          <w:sz w:val="16"/>
          <w:szCs w:val="16"/>
          <w:lang w:val="es-AR"/>
        </w:rPr>
        <w:t>Cfr</w:t>
      </w:r>
      <w:proofErr w:type="spellEnd"/>
      <w:r w:rsidRPr="00477E3A">
        <w:rPr>
          <w:rFonts w:ascii="Verdana" w:hAnsi="Verdana"/>
          <w:sz w:val="16"/>
          <w:szCs w:val="16"/>
          <w:lang w:val="es-CO"/>
        </w:rPr>
        <w:t xml:space="preserve">. </w:t>
      </w:r>
      <w:r w:rsidRPr="00F7075E">
        <w:rPr>
          <w:rFonts w:ascii="Verdana" w:hAnsi="Verdana"/>
          <w:i/>
          <w:sz w:val="16"/>
          <w:szCs w:val="16"/>
          <w:lang w:val="es-CO"/>
        </w:rPr>
        <w:t>Caso Velásquez Rodríguez Vs. Honduras. Excepciones Preliminares</w:t>
      </w:r>
      <w:r w:rsidRPr="00477E3A">
        <w:rPr>
          <w:rFonts w:ascii="Verdana" w:hAnsi="Verdana"/>
          <w:sz w:val="16"/>
          <w:szCs w:val="16"/>
          <w:lang w:val="es-CO"/>
        </w:rPr>
        <w:t xml:space="preserve">. Sentencia de 26 de junio de 1987. Serie C No. 1, párr. 177, y </w:t>
      </w:r>
      <w:r w:rsidRPr="00F7075E">
        <w:rPr>
          <w:rFonts w:ascii="Verdana" w:hAnsi="Verdana"/>
          <w:i/>
          <w:sz w:val="16"/>
          <w:szCs w:val="16"/>
          <w:lang w:val="es-CO"/>
        </w:rPr>
        <w:t>Caso Mujeres víctimas de tortura sexual en Atenco Vs. México. Excepción Preliminar, Fondo, Reparaciones y Costas</w:t>
      </w:r>
      <w:r w:rsidRPr="00477E3A">
        <w:rPr>
          <w:rFonts w:ascii="Verdana" w:hAnsi="Verdana"/>
          <w:sz w:val="16"/>
          <w:szCs w:val="16"/>
          <w:lang w:val="es-CO"/>
        </w:rPr>
        <w:t>. Sentencia de 28 de noviembre de 2018. Serie C No. 371, párr. 292.</w:t>
      </w:r>
    </w:p>
  </w:footnote>
  <w:footnote w:id="78">
    <w:p w14:paraId="69E5409F" w14:textId="77777777" w:rsidR="00601E30" w:rsidRPr="00477E3A" w:rsidRDefault="00601E30" w:rsidP="00236A98">
      <w:pPr>
        <w:pStyle w:val="Textonotapie"/>
        <w:tabs>
          <w:tab w:val="left" w:pos="426"/>
        </w:tabs>
        <w:ind w:right="4"/>
        <w:jc w:val="both"/>
        <w:rPr>
          <w:rFonts w:ascii="Verdana" w:hAnsi="Verdana"/>
          <w:sz w:val="16"/>
          <w:szCs w:val="16"/>
          <w:lang w:val="es-CO"/>
        </w:rPr>
      </w:pPr>
      <w:r w:rsidRPr="00477E3A">
        <w:rPr>
          <w:rStyle w:val="Refdenotaalpie"/>
          <w:rFonts w:ascii="Verdana" w:hAnsi="Verdana"/>
          <w:sz w:val="16"/>
          <w:szCs w:val="16"/>
        </w:rPr>
        <w:footnoteRef/>
      </w:r>
      <w:r w:rsidRPr="00477E3A">
        <w:rPr>
          <w:rFonts w:ascii="Verdana" w:hAnsi="Verdana"/>
          <w:sz w:val="16"/>
          <w:szCs w:val="16"/>
          <w:lang w:val="es-CO"/>
        </w:rPr>
        <w:t xml:space="preserve"> </w:t>
      </w:r>
      <w:r>
        <w:rPr>
          <w:rFonts w:ascii="Verdana" w:hAnsi="Verdana"/>
          <w:sz w:val="16"/>
          <w:szCs w:val="16"/>
          <w:lang w:val="es-CO"/>
        </w:rPr>
        <w:tab/>
      </w:r>
      <w:proofErr w:type="spellStart"/>
      <w:r w:rsidRPr="00034903">
        <w:rPr>
          <w:rFonts w:ascii="Verdana" w:hAnsi="Verdana"/>
          <w:i/>
          <w:sz w:val="16"/>
          <w:szCs w:val="16"/>
          <w:lang w:val="es-AR"/>
        </w:rPr>
        <w:t>Cfr</w:t>
      </w:r>
      <w:proofErr w:type="spellEnd"/>
      <w:r w:rsidRPr="00477E3A">
        <w:rPr>
          <w:rFonts w:ascii="Verdana" w:hAnsi="Verdana"/>
          <w:sz w:val="16"/>
          <w:szCs w:val="16"/>
          <w:lang w:val="es-CO"/>
        </w:rPr>
        <w:t xml:space="preserve">. </w:t>
      </w:r>
      <w:r w:rsidRPr="00034903">
        <w:rPr>
          <w:rFonts w:ascii="Verdana" w:hAnsi="Verdana"/>
          <w:i/>
          <w:sz w:val="16"/>
          <w:szCs w:val="16"/>
          <w:lang w:val="es-CO"/>
        </w:rPr>
        <w:t>Caso de la Masacre de La Rochela Vs. Colombia. Fondo, Reparaciones y Costas</w:t>
      </w:r>
      <w:r w:rsidRPr="00477E3A">
        <w:rPr>
          <w:rFonts w:ascii="Verdana" w:hAnsi="Verdana"/>
          <w:sz w:val="16"/>
          <w:szCs w:val="16"/>
          <w:lang w:val="es-CO"/>
        </w:rPr>
        <w:t xml:space="preserve">. Sentencia de 11 de mayo de 2007. Serie C No. 163, párr. 158, y </w:t>
      </w:r>
      <w:r w:rsidRPr="00034903">
        <w:rPr>
          <w:rFonts w:ascii="Verdana" w:hAnsi="Verdana"/>
          <w:i/>
          <w:sz w:val="16"/>
          <w:szCs w:val="16"/>
          <w:lang w:val="es-CO"/>
        </w:rPr>
        <w:t>Caso Mujeres víctimas de tortur</w:t>
      </w:r>
      <w:r>
        <w:rPr>
          <w:rFonts w:ascii="Verdana" w:hAnsi="Verdana"/>
          <w:i/>
          <w:sz w:val="16"/>
          <w:szCs w:val="16"/>
          <w:lang w:val="es-CO"/>
        </w:rPr>
        <w:t>a sexual en Atenco Vs. México, s</w:t>
      </w:r>
      <w:r w:rsidRPr="00034903">
        <w:rPr>
          <w:rFonts w:ascii="Verdana" w:hAnsi="Verdana"/>
          <w:i/>
          <w:sz w:val="16"/>
          <w:szCs w:val="16"/>
          <w:lang w:val="es-CO"/>
        </w:rPr>
        <w:t>upra</w:t>
      </w:r>
      <w:r w:rsidRPr="00477E3A">
        <w:rPr>
          <w:rFonts w:ascii="Verdana" w:hAnsi="Verdana"/>
          <w:sz w:val="16"/>
          <w:szCs w:val="16"/>
          <w:lang w:val="es-CO"/>
        </w:rPr>
        <w:t>, párr. 292.</w:t>
      </w:r>
    </w:p>
  </w:footnote>
  <w:footnote w:id="79">
    <w:p w14:paraId="1AED0A27" w14:textId="77777777" w:rsidR="00601E30" w:rsidRPr="00477E3A" w:rsidRDefault="00601E30" w:rsidP="00236A98">
      <w:pPr>
        <w:pStyle w:val="Textonotapie"/>
        <w:tabs>
          <w:tab w:val="left" w:pos="426"/>
        </w:tabs>
        <w:ind w:right="4"/>
        <w:jc w:val="both"/>
        <w:rPr>
          <w:rFonts w:ascii="Verdana" w:hAnsi="Verdana"/>
          <w:sz w:val="16"/>
          <w:szCs w:val="16"/>
          <w:lang w:val="es-CO"/>
        </w:rPr>
      </w:pPr>
      <w:r w:rsidRPr="00477E3A">
        <w:rPr>
          <w:rStyle w:val="Refdenotaalpie"/>
          <w:rFonts w:ascii="Verdana" w:hAnsi="Verdana"/>
          <w:sz w:val="16"/>
          <w:szCs w:val="16"/>
        </w:rPr>
        <w:footnoteRef/>
      </w:r>
      <w:r w:rsidRPr="00477E3A">
        <w:rPr>
          <w:rFonts w:ascii="Verdana" w:hAnsi="Verdana"/>
          <w:sz w:val="16"/>
          <w:szCs w:val="16"/>
          <w:lang w:val="es-CO"/>
        </w:rPr>
        <w:t xml:space="preserve"> </w:t>
      </w:r>
      <w:r>
        <w:rPr>
          <w:rFonts w:ascii="Verdana" w:hAnsi="Verdana"/>
          <w:sz w:val="16"/>
          <w:szCs w:val="16"/>
          <w:lang w:val="es-CO"/>
        </w:rPr>
        <w:tab/>
      </w:r>
      <w:proofErr w:type="spellStart"/>
      <w:r w:rsidRPr="00FF6CB0">
        <w:rPr>
          <w:rFonts w:ascii="Verdana" w:hAnsi="Verdana"/>
          <w:i/>
          <w:sz w:val="16"/>
          <w:szCs w:val="16"/>
          <w:lang w:val="es-AR"/>
        </w:rPr>
        <w:t>Cfr</w:t>
      </w:r>
      <w:proofErr w:type="spellEnd"/>
      <w:r w:rsidRPr="00FF6CB0">
        <w:rPr>
          <w:rFonts w:ascii="Verdana" w:hAnsi="Verdana"/>
          <w:i/>
          <w:sz w:val="16"/>
          <w:szCs w:val="16"/>
          <w:lang w:val="es-CO"/>
        </w:rPr>
        <w:t xml:space="preserve">. Caso </w:t>
      </w:r>
      <w:proofErr w:type="spellStart"/>
      <w:r w:rsidRPr="00FF6CB0">
        <w:rPr>
          <w:rFonts w:ascii="Verdana" w:hAnsi="Verdana"/>
          <w:i/>
          <w:sz w:val="16"/>
          <w:szCs w:val="16"/>
          <w:lang w:val="es-CO"/>
        </w:rPr>
        <w:t>Kawas</w:t>
      </w:r>
      <w:proofErr w:type="spellEnd"/>
      <w:r w:rsidRPr="00FF6CB0">
        <w:rPr>
          <w:rFonts w:ascii="Verdana" w:hAnsi="Verdana"/>
          <w:i/>
          <w:sz w:val="16"/>
          <w:szCs w:val="16"/>
          <w:lang w:val="es-CO"/>
        </w:rPr>
        <w:t xml:space="preserve"> Fernández Vs. Honduras. Fondo, Reparaciones y Costas</w:t>
      </w:r>
      <w:r w:rsidRPr="00477E3A">
        <w:rPr>
          <w:rFonts w:ascii="Verdana" w:hAnsi="Verdana"/>
          <w:sz w:val="16"/>
          <w:szCs w:val="16"/>
          <w:lang w:val="es-CO"/>
        </w:rPr>
        <w:t xml:space="preserve">. Sentencia de 3 de abril de 2009. Serie C No. 196, párr. 96, y </w:t>
      </w:r>
      <w:r w:rsidRPr="00FF6CB0">
        <w:rPr>
          <w:rFonts w:ascii="Verdana" w:hAnsi="Verdana"/>
          <w:i/>
          <w:sz w:val="16"/>
          <w:szCs w:val="16"/>
          <w:lang w:val="es-CO"/>
        </w:rPr>
        <w:t>Caso Mujeres víctimas de tortura sexual en Atenco Vs. México, supra</w:t>
      </w:r>
      <w:r w:rsidRPr="00477E3A">
        <w:rPr>
          <w:rFonts w:ascii="Verdana" w:hAnsi="Verdana"/>
          <w:sz w:val="16"/>
          <w:szCs w:val="16"/>
          <w:lang w:val="es-CO"/>
        </w:rPr>
        <w:t>, párr. 292.</w:t>
      </w:r>
    </w:p>
  </w:footnote>
  <w:footnote w:id="80">
    <w:p w14:paraId="492AD786" w14:textId="595EE344" w:rsidR="00601E30" w:rsidRPr="00477E3A" w:rsidRDefault="00601E30" w:rsidP="00A90D1F">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r>
      <w:r w:rsidRPr="00477E3A">
        <w:rPr>
          <w:rFonts w:ascii="Verdana" w:hAnsi="Verdana"/>
          <w:sz w:val="16"/>
          <w:szCs w:val="16"/>
          <w:lang w:val="es-AR"/>
        </w:rPr>
        <w:t>Estas son las investigaciones derivadas de: (i) la denuncia de usurpación interpuesta por el señor Félix Ordóñez Suazo; (</w:t>
      </w:r>
      <w:proofErr w:type="spellStart"/>
      <w:r w:rsidRPr="00477E3A">
        <w:rPr>
          <w:rFonts w:ascii="Verdana" w:hAnsi="Verdana"/>
          <w:sz w:val="16"/>
          <w:szCs w:val="16"/>
          <w:lang w:val="es-AR"/>
        </w:rPr>
        <w:t>ii</w:t>
      </w:r>
      <w:proofErr w:type="spellEnd"/>
      <w:r w:rsidRPr="00477E3A">
        <w:rPr>
          <w:rFonts w:ascii="Verdana" w:hAnsi="Verdana"/>
          <w:sz w:val="16"/>
          <w:szCs w:val="16"/>
          <w:lang w:val="es-AR"/>
        </w:rPr>
        <w:t>) la denuncia de usurpación y amenazas en perjuicio de los miembros de la Comunidad Garífuna de Punta Piedra; (</w:t>
      </w:r>
      <w:proofErr w:type="spellStart"/>
      <w:r w:rsidRPr="00477E3A">
        <w:rPr>
          <w:rFonts w:ascii="Verdana" w:hAnsi="Verdana"/>
          <w:sz w:val="16"/>
          <w:szCs w:val="16"/>
          <w:lang w:val="es-AR"/>
        </w:rPr>
        <w:t>iii</w:t>
      </w:r>
      <w:proofErr w:type="spellEnd"/>
      <w:r w:rsidRPr="00477E3A">
        <w:rPr>
          <w:rFonts w:ascii="Verdana" w:hAnsi="Verdana"/>
          <w:sz w:val="16"/>
          <w:szCs w:val="16"/>
          <w:lang w:val="es-AR"/>
        </w:rPr>
        <w:t>) la denuncia de amenazas en perjuicio de Paulino Mejía, y (</w:t>
      </w:r>
      <w:proofErr w:type="spellStart"/>
      <w:r w:rsidRPr="00477E3A">
        <w:rPr>
          <w:rFonts w:ascii="Verdana" w:hAnsi="Verdana"/>
          <w:sz w:val="16"/>
          <w:szCs w:val="16"/>
          <w:lang w:val="es-AR"/>
        </w:rPr>
        <w:t>iv</w:t>
      </w:r>
      <w:proofErr w:type="spellEnd"/>
      <w:r w:rsidRPr="00477E3A">
        <w:rPr>
          <w:rFonts w:ascii="Verdana" w:hAnsi="Verdana"/>
          <w:sz w:val="16"/>
          <w:szCs w:val="16"/>
          <w:lang w:val="es-AR"/>
        </w:rPr>
        <w:t xml:space="preserve">) la denuncia por abuso de autoridad en perjuicio de los miembros de la Comunidad Garífuna de Punta Piedra. </w:t>
      </w:r>
      <w:r w:rsidRPr="00477E3A">
        <w:rPr>
          <w:rFonts w:ascii="Verdana" w:hAnsi="Verdana"/>
          <w:i/>
          <w:sz w:val="16"/>
          <w:szCs w:val="16"/>
          <w:lang w:val="es-AR"/>
        </w:rPr>
        <w:t xml:space="preserve">Cfr. </w:t>
      </w:r>
      <w:r>
        <w:rPr>
          <w:rFonts w:ascii="Verdana" w:hAnsi="Verdana"/>
          <w:i/>
          <w:sz w:val="16"/>
          <w:szCs w:val="16"/>
          <w:lang w:val="es-AR"/>
        </w:rPr>
        <w:t>Caso Comunidad Garífuna de Punta Piedra y sus miembros Vs. Honduras</w:t>
      </w:r>
      <w:r>
        <w:rPr>
          <w:rFonts w:ascii="Verdana" w:hAnsi="Verdana"/>
          <w:sz w:val="16"/>
          <w:szCs w:val="16"/>
          <w:lang w:val="es-ES"/>
        </w:rPr>
        <w:t xml:space="preserve">, </w:t>
      </w:r>
      <w:r>
        <w:rPr>
          <w:rFonts w:ascii="Verdana" w:hAnsi="Verdana"/>
          <w:i/>
          <w:sz w:val="16"/>
          <w:szCs w:val="16"/>
          <w:lang w:val="es-ES"/>
        </w:rPr>
        <w:t>supra</w:t>
      </w:r>
      <w:r>
        <w:rPr>
          <w:rFonts w:ascii="Verdana" w:hAnsi="Verdana"/>
          <w:sz w:val="16"/>
          <w:szCs w:val="16"/>
          <w:lang w:val="es-ES"/>
        </w:rPr>
        <w:t>,</w:t>
      </w:r>
      <w:r w:rsidRPr="00477E3A">
        <w:rPr>
          <w:rFonts w:ascii="Verdana" w:hAnsi="Verdana"/>
          <w:sz w:val="16"/>
          <w:szCs w:val="16"/>
          <w:lang w:val="es-ES"/>
        </w:rPr>
        <w:t xml:space="preserve"> </w:t>
      </w:r>
      <w:proofErr w:type="spellStart"/>
      <w:r w:rsidRPr="00477E3A">
        <w:rPr>
          <w:rFonts w:ascii="Verdana" w:hAnsi="Verdana"/>
          <w:sz w:val="16"/>
          <w:szCs w:val="16"/>
          <w:lang w:val="es-ES"/>
        </w:rPr>
        <w:t>párr</w:t>
      </w:r>
      <w:proofErr w:type="spellEnd"/>
      <w:r w:rsidRPr="00477E3A">
        <w:rPr>
          <w:rFonts w:ascii="Verdana" w:hAnsi="Verdana"/>
          <w:sz w:val="16"/>
          <w:szCs w:val="16"/>
          <w:lang w:val="es-AR"/>
        </w:rPr>
        <w:t xml:space="preserve">. 286. </w:t>
      </w:r>
    </w:p>
  </w:footnote>
  <w:footnote w:id="81">
    <w:p w14:paraId="44BCA9F7" w14:textId="2D0764D6" w:rsidR="00601E30" w:rsidRPr="00477E3A" w:rsidRDefault="00601E30" w:rsidP="009D64C3">
      <w:pPr>
        <w:pStyle w:val="Textonotapie"/>
        <w:tabs>
          <w:tab w:val="left" w:pos="426"/>
        </w:tabs>
        <w:ind w:right="4"/>
        <w:jc w:val="both"/>
        <w:rPr>
          <w:rFonts w:ascii="Verdana" w:hAnsi="Verdana"/>
          <w:sz w:val="16"/>
          <w:szCs w:val="16"/>
          <w:lang w:val="es-AR"/>
        </w:rPr>
      </w:pPr>
      <w:r w:rsidRPr="00477E3A">
        <w:rPr>
          <w:rStyle w:val="Refdenotaalpie"/>
          <w:rFonts w:ascii="Verdana" w:hAnsi="Verdana"/>
          <w:sz w:val="16"/>
          <w:szCs w:val="16"/>
        </w:rPr>
        <w:footnoteRef/>
      </w:r>
      <w:r w:rsidRPr="00477E3A">
        <w:rPr>
          <w:rFonts w:ascii="Verdana" w:hAnsi="Verdana"/>
          <w:sz w:val="16"/>
          <w:szCs w:val="16"/>
          <w:lang w:val="es-AR"/>
        </w:rPr>
        <w:t xml:space="preserve"> </w:t>
      </w:r>
      <w:r>
        <w:rPr>
          <w:rFonts w:ascii="Verdana" w:hAnsi="Verdana"/>
          <w:sz w:val="16"/>
          <w:szCs w:val="16"/>
          <w:lang w:val="es-AR"/>
        </w:rPr>
        <w:tab/>
        <w:t>Circunstancia que acredita mediante Nota de 22 de noviembre de 2016 de OFRANEH, dirigida a la Procuraduría General de la República, y Ayuda Memoria de la reunión de 9 de diciembre de 2016 entre la Procuraduría General de la República y OFRANEH</w:t>
      </w:r>
      <w:r>
        <w:rPr>
          <w:rFonts w:ascii="Verdana" w:hAnsi="Verdana" w:cs="URWBookmanL-Ligh"/>
          <w:color w:val="00000A"/>
          <w:sz w:val="16"/>
          <w:szCs w:val="16"/>
          <w:lang w:val="es-CO"/>
        </w:rPr>
        <w:t>. Al respecto, l</w:t>
      </w:r>
      <w:r w:rsidRPr="00642B2C">
        <w:rPr>
          <w:rFonts w:ascii="Verdana" w:hAnsi="Verdana" w:cs="URWBookmanL-Ligh"/>
          <w:color w:val="00000A"/>
          <w:sz w:val="16"/>
          <w:szCs w:val="16"/>
          <w:lang w:val="es-CO"/>
        </w:rPr>
        <w:t>os representantes</w:t>
      </w:r>
      <w:r>
        <w:rPr>
          <w:rFonts w:ascii="Verdana" w:hAnsi="Verdana" w:cs="URWBookmanL-Ligh"/>
          <w:color w:val="00000A"/>
          <w:sz w:val="16"/>
          <w:szCs w:val="16"/>
          <w:lang w:val="es-CO"/>
        </w:rPr>
        <w:t xml:space="preserve"> </w:t>
      </w:r>
      <w:r w:rsidRPr="00642B2C">
        <w:rPr>
          <w:rFonts w:ascii="Verdana" w:hAnsi="Verdana" w:cs="URWBookmanL-Ligh"/>
          <w:color w:val="00000A"/>
          <w:sz w:val="16"/>
          <w:szCs w:val="16"/>
          <w:lang w:val="es-CO"/>
        </w:rPr>
        <w:t>precisaron que “existe una práctica inconveniente de parte de los Estados en términos de proceder al cumplimiento de los puntos económicos de las sentencias de la Corte Interamericana, dejando muchas veces en incumplimiento los puntos relevantes y decisivos para el restablecimiento de los derechos violados o de la no repetición de dichas violaciones</w:t>
      </w:r>
      <w:r>
        <w:rPr>
          <w:rFonts w:ascii="Verdana" w:hAnsi="Verdana" w:cs="URWBookmanL-Ligh"/>
          <w:color w:val="00000A"/>
          <w:sz w:val="16"/>
          <w:szCs w:val="16"/>
          <w:lang w:val="es-CO"/>
        </w:rPr>
        <w:t>”, lo cual “</w:t>
      </w:r>
      <w:r w:rsidRPr="00642B2C">
        <w:rPr>
          <w:rFonts w:ascii="Verdana" w:hAnsi="Verdana" w:cs="URWBookmanL-Ligh"/>
          <w:color w:val="00000A"/>
          <w:sz w:val="16"/>
          <w:szCs w:val="16"/>
          <w:lang w:val="es-CO"/>
        </w:rPr>
        <w:t>vuelve nugatorio el sentido de la existencia misma del Sistema Interamericano y sostiene una posición oficialista de reducir su responsabilidad a un tema meramente económico”</w:t>
      </w:r>
      <w:r>
        <w:rPr>
          <w:rFonts w:ascii="Verdana" w:hAnsi="Verdana" w:cs="URWBookmanL-Ligh"/>
          <w:color w:val="00000A"/>
          <w:sz w:val="16"/>
          <w:szCs w:val="16"/>
          <w:lang w:val="es-CO"/>
        </w:rPr>
        <w:t>.</w:t>
      </w:r>
    </w:p>
  </w:footnote>
  <w:footnote w:id="82">
    <w:p w14:paraId="6B9CBD86" w14:textId="6F63666A" w:rsidR="00601E30" w:rsidRPr="001C1EA8" w:rsidRDefault="00601E30" w:rsidP="001C1EA8">
      <w:pPr>
        <w:pStyle w:val="Textonotapie"/>
        <w:tabs>
          <w:tab w:val="left" w:pos="426"/>
        </w:tabs>
        <w:ind w:right="4"/>
        <w:jc w:val="both"/>
        <w:rPr>
          <w:rFonts w:ascii="Verdana" w:hAnsi="Verdana"/>
          <w:sz w:val="16"/>
          <w:szCs w:val="16"/>
          <w:lang w:val="es-ES"/>
        </w:rPr>
      </w:pPr>
      <w:r w:rsidRPr="001C1EA8">
        <w:rPr>
          <w:rStyle w:val="Refdenotaalpie"/>
          <w:rFonts w:ascii="Verdana" w:hAnsi="Verdana"/>
          <w:sz w:val="16"/>
          <w:szCs w:val="16"/>
        </w:rPr>
        <w:footnoteRef/>
      </w:r>
      <w:r w:rsidRPr="001C1EA8">
        <w:rPr>
          <w:rFonts w:ascii="Verdana" w:hAnsi="Verdana"/>
          <w:sz w:val="16"/>
          <w:szCs w:val="16"/>
          <w:lang w:val="es-ES"/>
        </w:rPr>
        <w:t xml:space="preserve"> </w:t>
      </w:r>
      <w:r w:rsidRPr="001C1EA8">
        <w:rPr>
          <w:rFonts w:ascii="Verdana" w:hAnsi="Verdana"/>
          <w:sz w:val="16"/>
          <w:szCs w:val="16"/>
          <w:lang w:val="es-ES"/>
        </w:rPr>
        <w:tab/>
        <w:t>Informe estatal de 20 de diciembre de 201</w:t>
      </w:r>
      <w:r>
        <w:rPr>
          <w:rFonts w:ascii="Verdana" w:hAnsi="Verdana"/>
          <w:sz w:val="16"/>
          <w:szCs w:val="16"/>
          <w:lang w:val="es-ES"/>
        </w:rPr>
        <w:t xml:space="preserve">6. </w:t>
      </w:r>
      <w:r w:rsidRPr="009D7E47">
        <w:rPr>
          <w:rFonts w:ascii="Verdana" w:hAnsi="Verdana"/>
          <w:sz w:val="16"/>
          <w:szCs w:val="16"/>
          <w:lang w:val="es-CO"/>
        </w:rPr>
        <w:t>Dicha circunstancia se acreditó a través de</w:t>
      </w:r>
      <w:r>
        <w:rPr>
          <w:rFonts w:ascii="Verdana" w:hAnsi="Verdana"/>
          <w:sz w:val="16"/>
          <w:szCs w:val="16"/>
          <w:lang w:val="es-CO"/>
        </w:rPr>
        <w:t>l Oficio GA-873-2016 de fecha 8 de diciembre de 2016 emitido por la Secretaría de Finanzas de Honduras, en el cual se remiten los recibos correspondientes a la transferencia efectuada el 6 de diciembre de 2016 por un monto de USD 10.000,00 a la cuenta 1110101000100-5 correspondiente a la Procuraduría General de la República “en concepto de reintegro de Costas y Gastos […] en relación al caso Comunidad Garífuna Punta Piedra”.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F0F0" w14:textId="77777777" w:rsidR="00601E30" w:rsidRPr="0002220E" w:rsidRDefault="00601E30" w:rsidP="0002220E">
    <w:pPr>
      <w:pStyle w:val="Encabezado"/>
      <w:jc w:val="center"/>
      <w:rPr>
        <w:rFonts w:ascii="Verdana" w:hAnsi="Verdana"/>
        <w:sz w:val="20"/>
        <w:szCs w:val="20"/>
      </w:rPr>
    </w:pPr>
    <w:r w:rsidRPr="00671120">
      <w:rPr>
        <w:rFonts w:ascii="Verdana" w:hAnsi="Verdana"/>
        <w:sz w:val="20"/>
        <w:szCs w:val="20"/>
      </w:rPr>
      <w:t>-</w:t>
    </w:r>
    <w:r w:rsidRPr="00671120">
      <w:rPr>
        <w:rFonts w:ascii="Verdana" w:hAnsi="Verdana"/>
        <w:sz w:val="20"/>
        <w:szCs w:val="20"/>
      </w:rPr>
      <w:fldChar w:fldCharType="begin"/>
    </w:r>
    <w:r w:rsidRPr="00671120">
      <w:rPr>
        <w:rFonts w:ascii="Verdana" w:hAnsi="Verdana"/>
        <w:sz w:val="20"/>
        <w:szCs w:val="20"/>
      </w:rPr>
      <w:instrText>PAGE   \* MERGEFORMAT</w:instrText>
    </w:r>
    <w:r w:rsidRPr="00671120">
      <w:rPr>
        <w:rFonts w:ascii="Verdana" w:hAnsi="Verdana"/>
        <w:sz w:val="20"/>
        <w:szCs w:val="20"/>
      </w:rPr>
      <w:fldChar w:fldCharType="separate"/>
    </w:r>
    <w:r w:rsidR="009170DC" w:rsidRPr="009170DC">
      <w:rPr>
        <w:rFonts w:ascii="Verdana" w:hAnsi="Verdana"/>
        <w:noProof/>
        <w:sz w:val="20"/>
        <w:szCs w:val="20"/>
        <w:lang w:val="es-ES"/>
      </w:rPr>
      <w:t>25</w:t>
    </w:r>
    <w:r w:rsidRPr="00671120">
      <w:rPr>
        <w:rFonts w:ascii="Verdana" w:hAnsi="Verdana"/>
        <w:sz w:val="20"/>
        <w:szCs w:val="20"/>
      </w:rPr>
      <w:fldChar w:fldCharType="end"/>
    </w:r>
    <w:r w:rsidRPr="00671120">
      <w:rPr>
        <w:rFonts w:ascii="Verdana" w:hAnsi="Verdan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C1D"/>
    <w:multiLevelType w:val="hybridMultilevel"/>
    <w:tmpl w:val="427E263A"/>
    <w:lvl w:ilvl="0" w:tplc="727ED22E">
      <w:start w:val="1"/>
      <w:numFmt w:val="lowerRoman"/>
      <w:lvlText w:val="%1)"/>
      <w:lvlJc w:val="left"/>
      <w:pPr>
        <w:ind w:left="1428" w:hanging="72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 w15:restartNumberingAfterBreak="0">
    <w:nsid w:val="04EC7E4E"/>
    <w:multiLevelType w:val="hybridMultilevel"/>
    <w:tmpl w:val="9FC48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55699"/>
    <w:multiLevelType w:val="hybridMultilevel"/>
    <w:tmpl w:val="6D76AA7C"/>
    <w:lvl w:ilvl="0" w:tplc="E610A7D2">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1B24CF"/>
    <w:multiLevelType w:val="hybridMultilevel"/>
    <w:tmpl w:val="34E0FE5E"/>
    <w:lvl w:ilvl="0" w:tplc="140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349D0"/>
    <w:multiLevelType w:val="hybridMultilevel"/>
    <w:tmpl w:val="E9E22484"/>
    <w:lvl w:ilvl="0" w:tplc="44D40E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F1F02"/>
    <w:multiLevelType w:val="hybridMultilevel"/>
    <w:tmpl w:val="06E60898"/>
    <w:lvl w:ilvl="0" w:tplc="317A8302">
      <w:start w:val="3"/>
      <w:numFmt w:val="decimal"/>
      <w:lvlText w:val="%1."/>
      <w:lvlJc w:val="left"/>
      <w:pPr>
        <w:ind w:left="450" w:hanging="360"/>
      </w:pPr>
      <w:rPr>
        <w:rFonts w:hint="default"/>
        <w:b w:val="0"/>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DAF499C"/>
    <w:multiLevelType w:val="hybridMultilevel"/>
    <w:tmpl w:val="9848B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81B1A"/>
    <w:multiLevelType w:val="hybridMultilevel"/>
    <w:tmpl w:val="9848B1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34F1"/>
    <w:multiLevelType w:val="hybridMultilevel"/>
    <w:tmpl w:val="9848B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9375A"/>
    <w:multiLevelType w:val="hybridMultilevel"/>
    <w:tmpl w:val="EBBE9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F3FE9"/>
    <w:multiLevelType w:val="hybridMultilevel"/>
    <w:tmpl w:val="603442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82373"/>
    <w:multiLevelType w:val="hybridMultilevel"/>
    <w:tmpl w:val="0B74D710"/>
    <w:lvl w:ilvl="0" w:tplc="13C6D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92F8A"/>
    <w:multiLevelType w:val="hybridMultilevel"/>
    <w:tmpl w:val="03484FD6"/>
    <w:lvl w:ilvl="0" w:tplc="727ED22E">
      <w:start w:val="1"/>
      <w:numFmt w:val="lowerRoman"/>
      <w:lvlText w:val="%1)"/>
      <w:lvlJc w:val="left"/>
      <w:pPr>
        <w:ind w:left="1428" w:hanging="72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3" w15:restartNumberingAfterBreak="0">
    <w:nsid w:val="4BBE0E90"/>
    <w:multiLevelType w:val="hybridMultilevel"/>
    <w:tmpl w:val="68A4D502"/>
    <w:lvl w:ilvl="0" w:tplc="838AAB90">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26B143F"/>
    <w:multiLevelType w:val="hybridMultilevel"/>
    <w:tmpl w:val="DD42E030"/>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4E50A15"/>
    <w:multiLevelType w:val="hybridMultilevel"/>
    <w:tmpl w:val="9848B1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57562"/>
    <w:multiLevelType w:val="hybridMultilevel"/>
    <w:tmpl w:val="65284814"/>
    <w:lvl w:ilvl="0" w:tplc="8BFE327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E133BBC"/>
    <w:multiLevelType w:val="hybridMultilevel"/>
    <w:tmpl w:val="B3FC5C70"/>
    <w:lvl w:ilvl="0" w:tplc="B2D053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23145"/>
    <w:multiLevelType w:val="hybridMultilevel"/>
    <w:tmpl w:val="E3F263DC"/>
    <w:lvl w:ilvl="0" w:tplc="18EEBAAC">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608F3"/>
    <w:multiLevelType w:val="hybridMultilevel"/>
    <w:tmpl w:val="62FA7DF8"/>
    <w:lvl w:ilvl="0" w:tplc="DEE6B0AC">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7577D"/>
    <w:multiLevelType w:val="hybridMultilevel"/>
    <w:tmpl w:val="B48E2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5"/>
  </w:num>
  <w:num w:numId="4">
    <w:abstractNumId w:val="19"/>
  </w:num>
  <w:num w:numId="5">
    <w:abstractNumId w:val="11"/>
  </w:num>
  <w:num w:numId="6">
    <w:abstractNumId w:val="9"/>
  </w:num>
  <w:num w:numId="7">
    <w:abstractNumId w:val="20"/>
  </w:num>
  <w:num w:numId="8">
    <w:abstractNumId w:val="1"/>
  </w:num>
  <w:num w:numId="9">
    <w:abstractNumId w:val="14"/>
  </w:num>
  <w:num w:numId="10">
    <w:abstractNumId w:val="3"/>
  </w:num>
  <w:num w:numId="11">
    <w:abstractNumId w:val="12"/>
  </w:num>
  <w:num w:numId="12">
    <w:abstractNumId w:val="12"/>
  </w:num>
  <w:num w:numId="13">
    <w:abstractNumId w:val="0"/>
  </w:num>
  <w:num w:numId="14">
    <w:abstractNumId w:val="4"/>
  </w:num>
  <w:num w:numId="15">
    <w:abstractNumId w:val="17"/>
  </w:num>
  <w:num w:numId="16">
    <w:abstractNumId w:val="10"/>
  </w:num>
  <w:num w:numId="17">
    <w:abstractNumId w:val="18"/>
  </w:num>
  <w:num w:numId="18">
    <w:abstractNumId w:val="2"/>
  </w:num>
  <w:num w:numId="19">
    <w:abstractNumId w:val="8"/>
  </w:num>
  <w:num w:numId="20">
    <w:abstractNumId w:val="7"/>
  </w:num>
  <w:num w:numId="21">
    <w:abstractNumId w:val="6"/>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4F"/>
    <w:rsid w:val="00001E0C"/>
    <w:rsid w:val="0000279C"/>
    <w:rsid w:val="00005DDE"/>
    <w:rsid w:val="00006029"/>
    <w:rsid w:val="0000617D"/>
    <w:rsid w:val="00006DB9"/>
    <w:rsid w:val="00006F92"/>
    <w:rsid w:val="0000700C"/>
    <w:rsid w:val="000076D4"/>
    <w:rsid w:val="00010898"/>
    <w:rsid w:val="000121ED"/>
    <w:rsid w:val="00013136"/>
    <w:rsid w:val="000142A3"/>
    <w:rsid w:val="00014366"/>
    <w:rsid w:val="0001451C"/>
    <w:rsid w:val="00014632"/>
    <w:rsid w:val="00014EDD"/>
    <w:rsid w:val="000159FF"/>
    <w:rsid w:val="00017E73"/>
    <w:rsid w:val="000204D1"/>
    <w:rsid w:val="0002211C"/>
    <w:rsid w:val="0002220E"/>
    <w:rsid w:val="00023B9C"/>
    <w:rsid w:val="00024A8B"/>
    <w:rsid w:val="000256E7"/>
    <w:rsid w:val="00025743"/>
    <w:rsid w:val="000264F8"/>
    <w:rsid w:val="00031F4D"/>
    <w:rsid w:val="000321E0"/>
    <w:rsid w:val="000326C4"/>
    <w:rsid w:val="00032A4E"/>
    <w:rsid w:val="00034903"/>
    <w:rsid w:val="000368A4"/>
    <w:rsid w:val="000368C0"/>
    <w:rsid w:val="00036946"/>
    <w:rsid w:val="00036F3F"/>
    <w:rsid w:val="00037483"/>
    <w:rsid w:val="00040684"/>
    <w:rsid w:val="000410E9"/>
    <w:rsid w:val="00043B00"/>
    <w:rsid w:val="00043B6F"/>
    <w:rsid w:val="000444EB"/>
    <w:rsid w:val="000457D4"/>
    <w:rsid w:val="0004675C"/>
    <w:rsid w:val="00046F7E"/>
    <w:rsid w:val="00047288"/>
    <w:rsid w:val="0004740A"/>
    <w:rsid w:val="000477CE"/>
    <w:rsid w:val="000479D5"/>
    <w:rsid w:val="0005164A"/>
    <w:rsid w:val="00051A70"/>
    <w:rsid w:val="000534CE"/>
    <w:rsid w:val="000558A3"/>
    <w:rsid w:val="00055FA5"/>
    <w:rsid w:val="0006095B"/>
    <w:rsid w:val="00060D08"/>
    <w:rsid w:val="00061A83"/>
    <w:rsid w:val="00062679"/>
    <w:rsid w:val="00063941"/>
    <w:rsid w:val="00064748"/>
    <w:rsid w:val="00065B58"/>
    <w:rsid w:val="0006620E"/>
    <w:rsid w:val="00066FDE"/>
    <w:rsid w:val="0006756D"/>
    <w:rsid w:val="000675BE"/>
    <w:rsid w:val="00070301"/>
    <w:rsid w:val="00070E8B"/>
    <w:rsid w:val="00072107"/>
    <w:rsid w:val="00072210"/>
    <w:rsid w:val="000723E4"/>
    <w:rsid w:val="00073402"/>
    <w:rsid w:val="000734F1"/>
    <w:rsid w:val="00074A0A"/>
    <w:rsid w:val="00075AFB"/>
    <w:rsid w:val="00075D02"/>
    <w:rsid w:val="00076512"/>
    <w:rsid w:val="00077139"/>
    <w:rsid w:val="00077A44"/>
    <w:rsid w:val="0008040C"/>
    <w:rsid w:val="00081D94"/>
    <w:rsid w:val="00082DD8"/>
    <w:rsid w:val="000915C5"/>
    <w:rsid w:val="0009166C"/>
    <w:rsid w:val="00093033"/>
    <w:rsid w:val="00093131"/>
    <w:rsid w:val="00093FED"/>
    <w:rsid w:val="00095C65"/>
    <w:rsid w:val="00096CE4"/>
    <w:rsid w:val="000A2B57"/>
    <w:rsid w:val="000A5028"/>
    <w:rsid w:val="000A552E"/>
    <w:rsid w:val="000A752B"/>
    <w:rsid w:val="000B0029"/>
    <w:rsid w:val="000B01FF"/>
    <w:rsid w:val="000B361F"/>
    <w:rsid w:val="000C042D"/>
    <w:rsid w:val="000C469A"/>
    <w:rsid w:val="000C4CC8"/>
    <w:rsid w:val="000C609F"/>
    <w:rsid w:val="000D181C"/>
    <w:rsid w:val="000D23E2"/>
    <w:rsid w:val="000D5673"/>
    <w:rsid w:val="000D5FAC"/>
    <w:rsid w:val="000D64A6"/>
    <w:rsid w:val="000D7F9E"/>
    <w:rsid w:val="000E0A84"/>
    <w:rsid w:val="000E1063"/>
    <w:rsid w:val="000E50D8"/>
    <w:rsid w:val="000E5F99"/>
    <w:rsid w:val="000E71A9"/>
    <w:rsid w:val="000E7572"/>
    <w:rsid w:val="000F0C43"/>
    <w:rsid w:val="000F1CF4"/>
    <w:rsid w:val="000F229D"/>
    <w:rsid w:val="000F29C9"/>
    <w:rsid w:val="000F6161"/>
    <w:rsid w:val="001013B7"/>
    <w:rsid w:val="00102481"/>
    <w:rsid w:val="00102D34"/>
    <w:rsid w:val="00103162"/>
    <w:rsid w:val="00104788"/>
    <w:rsid w:val="00104E9E"/>
    <w:rsid w:val="00104EAC"/>
    <w:rsid w:val="00106618"/>
    <w:rsid w:val="00106CFE"/>
    <w:rsid w:val="00106F18"/>
    <w:rsid w:val="0011194C"/>
    <w:rsid w:val="00112F16"/>
    <w:rsid w:val="00113199"/>
    <w:rsid w:val="0011403C"/>
    <w:rsid w:val="001141EE"/>
    <w:rsid w:val="0011438D"/>
    <w:rsid w:val="00120C2D"/>
    <w:rsid w:val="00121288"/>
    <w:rsid w:val="001235EA"/>
    <w:rsid w:val="001243D7"/>
    <w:rsid w:val="00127199"/>
    <w:rsid w:val="00131657"/>
    <w:rsid w:val="00132974"/>
    <w:rsid w:val="00132F50"/>
    <w:rsid w:val="00134FCC"/>
    <w:rsid w:val="00136053"/>
    <w:rsid w:val="0013653C"/>
    <w:rsid w:val="00136725"/>
    <w:rsid w:val="00141C87"/>
    <w:rsid w:val="00142892"/>
    <w:rsid w:val="00144943"/>
    <w:rsid w:val="00145EA9"/>
    <w:rsid w:val="00150C79"/>
    <w:rsid w:val="001540F7"/>
    <w:rsid w:val="001549AD"/>
    <w:rsid w:val="00156E17"/>
    <w:rsid w:val="00157974"/>
    <w:rsid w:val="00157EE8"/>
    <w:rsid w:val="0016036A"/>
    <w:rsid w:val="001633AC"/>
    <w:rsid w:val="00163C46"/>
    <w:rsid w:val="00164872"/>
    <w:rsid w:val="00165767"/>
    <w:rsid w:val="001663D9"/>
    <w:rsid w:val="001759FF"/>
    <w:rsid w:val="001761E2"/>
    <w:rsid w:val="00176B06"/>
    <w:rsid w:val="00180A6E"/>
    <w:rsid w:val="001811D1"/>
    <w:rsid w:val="00183157"/>
    <w:rsid w:val="00183D92"/>
    <w:rsid w:val="00185BFE"/>
    <w:rsid w:val="00185D0D"/>
    <w:rsid w:val="001916B5"/>
    <w:rsid w:val="00191815"/>
    <w:rsid w:val="00191A48"/>
    <w:rsid w:val="00192523"/>
    <w:rsid w:val="00193CD3"/>
    <w:rsid w:val="00193F1B"/>
    <w:rsid w:val="001978EC"/>
    <w:rsid w:val="00197F8D"/>
    <w:rsid w:val="001A0956"/>
    <w:rsid w:val="001A0FCF"/>
    <w:rsid w:val="001A23A8"/>
    <w:rsid w:val="001A3510"/>
    <w:rsid w:val="001A4622"/>
    <w:rsid w:val="001A513C"/>
    <w:rsid w:val="001A526E"/>
    <w:rsid w:val="001A5F38"/>
    <w:rsid w:val="001A6685"/>
    <w:rsid w:val="001A77EE"/>
    <w:rsid w:val="001B0651"/>
    <w:rsid w:val="001B0BB6"/>
    <w:rsid w:val="001B2FD7"/>
    <w:rsid w:val="001B501F"/>
    <w:rsid w:val="001B516B"/>
    <w:rsid w:val="001B5547"/>
    <w:rsid w:val="001B6F60"/>
    <w:rsid w:val="001C048B"/>
    <w:rsid w:val="001C08C4"/>
    <w:rsid w:val="001C0DED"/>
    <w:rsid w:val="001C1572"/>
    <w:rsid w:val="001C1EA8"/>
    <w:rsid w:val="001C3AB5"/>
    <w:rsid w:val="001C4740"/>
    <w:rsid w:val="001C483E"/>
    <w:rsid w:val="001C5E0F"/>
    <w:rsid w:val="001C70A4"/>
    <w:rsid w:val="001C75ED"/>
    <w:rsid w:val="001D15E7"/>
    <w:rsid w:val="001D20DC"/>
    <w:rsid w:val="001D240E"/>
    <w:rsid w:val="001D29ED"/>
    <w:rsid w:val="001D4F99"/>
    <w:rsid w:val="001D5633"/>
    <w:rsid w:val="001D5F55"/>
    <w:rsid w:val="001D5FC0"/>
    <w:rsid w:val="001E19A3"/>
    <w:rsid w:val="001E1CC2"/>
    <w:rsid w:val="001E1FD2"/>
    <w:rsid w:val="001E23A6"/>
    <w:rsid w:val="001E2EB5"/>
    <w:rsid w:val="001E3E24"/>
    <w:rsid w:val="001E4180"/>
    <w:rsid w:val="001E43A2"/>
    <w:rsid w:val="001E557C"/>
    <w:rsid w:val="001E64A7"/>
    <w:rsid w:val="001E6E8F"/>
    <w:rsid w:val="001E7965"/>
    <w:rsid w:val="001F019B"/>
    <w:rsid w:val="001F16B8"/>
    <w:rsid w:val="001F62D3"/>
    <w:rsid w:val="001F7A77"/>
    <w:rsid w:val="00200F91"/>
    <w:rsid w:val="002013BE"/>
    <w:rsid w:val="00201CA9"/>
    <w:rsid w:val="00201F12"/>
    <w:rsid w:val="0020224B"/>
    <w:rsid w:val="00202E30"/>
    <w:rsid w:val="0020350E"/>
    <w:rsid w:val="00205D33"/>
    <w:rsid w:val="00206BA6"/>
    <w:rsid w:val="00206DE2"/>
    <w:rsid w:val="00212660"/>
    <w:rsid w:val="002174A2"/>
    <w:rsid w:val="00217B55"/>
    <w:rsid w:val="00217B75"/>
    <w:rsid w:val="0022067F"/>
    <w:rsid w:val="00221C0C"/>
    <w:rsid w:val="00223481"/>
    <w:rsid w:val="00226429"/>
    <w:rsid w:val="00231A1B"/>
    <w:rsid w:val="00232448"/>
    <w:rsid w:val="0023290D"/>
    <w:rsid w:val="0023305E"/>
    <w:rsid w:val="00235FA5"/>
    <w:rsid w:val="00236A98"/>
    <w:rsid w:val="00236C4D"/>
    <w:rsid w:val="0023747B"/>
    <w:rsid w:val="002439D0"/>
    <w:rsid w:val="002439DC"/>
    <w:rsid w:val="00243B67"/>
    <w:rsid w:val="00244281"/>
    <w:rsid w:val="002446E6"/>
    <w:rsid w:val="0024470F"/>
    <w:rsid w:val="00244A31"/>
    <w:rsid w:val="00246221"/>
    <w:rsid w:val="00247B4B"/>
    <w:rsid w:val="0025049C"/>
    <w:rsid w:val="0025143F"/>
    <w:rsid w:val="00251DB6"/>
    <w:rsid w:val="00253240"/>
    <w:rsid w:val="00255268"/>
    <w:rsid w:val="00255B9F"/>
    <w:rsid w:val="00256912"/>
    <w:rsid w:val="00264887"/>
    <w:rsid w:val="00265EBD"/>
    <w:rsid w:val="00267514"/>
    <w:rsid w:val="00267CD8"/>
    <w:rsid w:val="00267DF3"/>
    <w:rsid w:val="002707D6"/>
    <w:rsid w:val="00271DC5"/>
    <w:rsid w:val="002733A0"/>
    <w:rsid w:val="002744E6"/>
    <w:rsid w:val="002751B7"/>
    <w:rsid w:val="00276A9C"/>
    <w:rsid w:val="00277370"/>
    <w:rsid w:val="002776A8"/>
    <w:rsid w:val="00280830"/>
    <w:rsid w:val="00280BED"/>
    <w:rsid w:val="0028181B"/>
    <w:rsid w:val="00281C11"/>
    <w:rsid w:val="00282B6A"/>
    <w:rsid w:val="002834B4"/>
    <w:rsid w:val="002835BA"/>
    <w:rsid w:val="00284696"/>
    <w:rsid w:val="00287CE4"/>
    <w:rsid w:val="00290176"/>
    <w:rsid w:val="002911F3"/>
    <w:rsid w:val="0029524B"/>
    <w:rsid w:val="002954C7"/>
    <w:rsid w:val="0029584C"/>
    <w:rsid w:val="0029788E"/>
    <w:rsid w:val="002A1200"/>
    <w:rsid w:val="002A28FC"/>
    <w:rsid w:val="002A31F7"/>
    <w:rsid w:val="002A4405"/>
    <w:rsid w:val="002A4433"/>
    <w:rsid w:val="002A587D"/>
    <w:rsid w:val="002A727E"/>
    <w:rsid w:val="002B3BC6"/>
    <w:rsid w:val="002B4690"/>
    <w:rsid w:val="002B5803"/>
    <w:rsid w:val="002B58C4"/>
    <w:rsid w:val="002B5CB3"/>
    <w:rsid w:val="002B5FB1"/>
    <w:rsid w:val="002B604E"/>
    <w:rsid w:val="002B625E"/>
    <w:rsid w:val="002B707E"/>
    <w:rsid w:val="002B7B73"/>
    <w:rsid w:val="002B7C0D"/>
    <w:rsid w:val="002C081B"/>
    <w:rsid w:val="002C2DDD"/>
    <w:rsid w:val="002C2E51"/>
    <w:rsid w:val="002C332D"/>
    <w:rsid w:val="002C33E5"/>
    <w:rsid w:val="002C4036"/>
    <w:rsid w:val="002C5D27"/>
    <w:rsid w:val="002C5F27"/>
    <w:rsid w:val="002C6D7C"/>
    <w:rsid w:val="002C7E5B"/>
    <w:rsid w:val="002D018B"/>
    <w:rsid w:val="002D03CE"/>
    <w:rsid w:val="002D373F"/>
    <w:rsid w:val="002D4A7F"/>
    <w:rsid w:val="002D7C72"/>
    <w:rsid w:val="002E0B7D"/>
    <w:rsid w:val="002E1101"/>
    <w:rsid w:val="002E135C"/>
    <w:rsid w:val="002E1EEC"/>
    <w:rsid w:val="002E305D"/>
    <w:rsid w:val="002E32DF"/>
    <w:rsid w:val="002E46EF"/>
    <w:rsid w:val="002E484D"/>
    <w:rsid w:val="002E502E"/>
    <w:rsid w:val="002E6550"/>
    <w:rsid w:val="002E7EEC"/>
    <w:rsid w:val="002F006C"/>
    <w:rsid w:val="002F08AD"/>
    <w:rsid w:val="002F50F0"/>
    <w:rsid w:val="002F6873"/>
    <w:rsid w:val="002F6D7C"/>
    <w:rsid w:val="00300299"/>
    <w:rsid w:val="003004AD"/>
    <w:rsid w:val="00300D02"/>
    <w:rsid w:val="00301E66"/>
    <w:rsid w:val="00302DAA"/>
    <w:rsid w:val="0030486D"/>
    <w:rsid w:val="00304A7F"/>
    <w:rsid w:val="00306011"/>
    <w:rsid w:val="003066CF"/>
    <w:rsid w:val="003078C8"/>
    <w:rsid w:val="003139CB"/>
    <w:rsid w:val="00314A94"/>
    <w:rsid w:val="003151C8"/>
    <w:rsid w:val="00316149"/>
    <w:rsid w:val="0031749C"/>
    <w:rsid w:val="00317538"/>
    <w:rsid w:val="00317822"/>
    <w:rsid w:val="00317DB3"/>
    <w:rsid w:val="003202D8"/>
    <w:rsid w:val="00322612"/>
    <w:rsid w:val="0032508A"/>
    <w:rsid w:val="0032570B"/>
    <w:rsid w:val="00326D02"/>
    <w:rsid w:val="00327D81"/>
    <w:rsid w:val="00330E28"/>
    <w:rsid w:val="003317E6"/>
    <w:rsid w:val="003320E3"/>
    <w:rsid w:val="0033335F"/>
    <w:rsid w:val="00333A0B"/>
    <w:rsid w:val="00337FAA"/>
    <w:rsid w:val="00337FD4"/>
    <w:rsid w:val="00340A86"/>
    <w:rsid w:val="00342BD7"/>
    <w:rsid w:val="00342CE4"/>
    <w:rsid w:val="0034315B"/>
    <w:rsid w:val="00343FC2"/>
    <w:rsid w:val="003453C7"/>
    <w:rsid w:val="003453F7"/>
    <w:rsid w:val="00350FF2"/>
    <w:rsid w:val="00351082"/>
    <w:rsid w:val="00351C4B"/>
    <w:rsid w:val="00353B1C"/>
    <w:rsid w:val="0035456C"/>
    <w:rsid w:val="00354956"/>
    <w:rsid w:val="003563C4"/>
    <w:rsid w:val="00357C98"/>
    <w:rsid w:val="00357F47"/>
    <w:rsid w:val="003603B9"/>
    <w:rsid w:val="00361FB3"/>
    <w:rsid w:val="0036260B"/>
    <w:rsid w:val="003631F8"/>
    <w:rsid w:val="0036420C"/>
    <w:rsid w:val="00365F69"/>
    <w:rsid w:val="0036774A"/>
    <w:rsid w:val="00367E71"/>
    <w:rsid w:val="00372198"/>
    <w:rsid w:val="00372249"/>
    <w:rsid w:val="00372290"/>
    <w:rsid w:val="00373956"/>
    <w:rsid w:val="00374208"/>
    <w:rsid w:val="00374AB2"/>
    <w:rsid w:val="00375E7C"/>
    <w:rsid w:val="00380604"/>
    <w:rsid w:val="00382381"/>
    <w:rsid w:val="00383078"/>
    <w:rsid w:val="00383261"/>
    <w:rsid w:val="0038360F"/>
    <w:rsid w:val="00383855"/>
    <w:rsid w:val="00383B79"/>
    <w:rsid w:val="003840A3"/>
    <w:rsid w:val="00384D60"/>
    <w:rsid w:val="00384F4E"/>
    <w:rsid w:val="00385396"/>
    <w:rsid w:val="0038562F"/>
    <w:rsid w:val="003858DE"/>
    <w:rsid w:val="003878CA"/>
    <w:rsid w:val="00390D23"/>
    <w:rsid w:val="0039117C"/>
    <w:rsid w:val="00392B0B"/>
    <w:rsid w:val="00392FA8"/>
    <w:rsid w:val="0039318F"/>
    <w:rsid w:val="00393991"/>
    <w:rsid w:val="0039418D"/>
    <w:rsid w:val="00395BAB"/>
    <w:rsid w:val="003976B1"/>
    <w:rsid w:val="003A023E"/>
    <w:rsid w:val="003A1D45"/>
    <w:rsid w:val="003A6BE3"/>
    <w:rsid w:val="003A761B"/>
    <w:rsid w:val="003B4EBF"/>
    <w:rsid w:val="003B6F8D"/>
    <w:rsid w:val="003B73A0"/>
    <w:rsid w:val="003C11A2"/>
    <w:rsid w:val="003C1505"/>
    <w:rsid w:val="003C4013"/>
    <w:rsid w:val="003C5EB6"/>
    <w:rsid w:val="003D2021"/>
    <w:rsid w:val="003D30E0"/>
    <w:rsid w:val="003D4916"/>
    <w:rsid w:val="003D4B93"/>
    <w:rsid w:val="003D55FD"/>
    <w:rsid w:val="003D62BC"/>
    <w:rsid w:val="003E00DA"/>
    <w:rsid w:val="003E395B"/>
    <w:rsid w:val="003E423E"/>
    <w:rsid w:val="003E4608"/>
    <w:rsid w:val="003E4CF5"/>
    <w:rsid w:val="003E4E90"/>
    <w:rsid w:val="003E5B5A"/>
    <w:rsid w:val="003E70D1"/>
    <w:rsid w:val="003F100E"/>
    <w:rsid w:val="003F24A1"/>
    <w:rsid w:val="003F5288"/>
    <w:rsid w:val="003F5F46"/>
    <w:rsid w:val="004023C7"/>
    <w:rsid w:val="00404558"/>
    <w:rsid w:val="004063E0"/>
    <w:rsid w:val="00406D6D"/>
    <w:rsid w:val="00413B65"/>
    <w:rsid w:val="0041598C"/>
    <w:rsid w:val="00417478"/>
    <w:rsid w:val="0041781A"/>
    <w:rsid w:val="004203C4"/>
    <w:rsid w:val="0042063E"/>
    <w:rsid w:val="00420AA7"/>
    <w:rsid w:val="00422EFD"/>
    <w:rsid w:val="00424023"/>
    <w:rsid w:val="00424882"/>
    <w:rsid w:val="00425DDC"/>
    <w:rsid w:val="004267A7"/>
    <w:rsid w:val="00427378"/>
    <w:rsid w:val="004301A3"/>
    <w:rsid w:val="004307F4"/>
    <w:rsid w:val="00433390"/>
    <w:rsid w:val="004356DA"/>
    <w:rsid w:val="004372CF"/>
    <w:rsid w:val="004376D6"/>
    <w:rsid w:val="00441DB4"/>
    <w:rsid w:val="00443856"/>
    <w:rsid w:val="00443971"/>
    <w:rsid w:val="00443D74"/>
    <w:rsid w:val="00444A24"/>
    <w:rsid w:val="00444BC9"/>
    <w:rsid w:val="00445587"/>
    <w:rsid w:val="004463AD"/>
    <w:rsid w:val="00450D75"/>
    <w:rsid w:val="004517B4"/>
    <w:rsid w:val="00452C6A"/>
    <w:rsid w:val="00453865"/>
    <w:rsid w:val="00456387"/>
    <w:rsid w:val="00456633"/>
    <w:rsid w:val="00457150"/>
    <w:rsid w:val="00457205"/>
    <w:rsid w:val="0045756A"/>
    <w:rsid w:val="004612AC"/>
    <w:rsid w:val="004633A4"/>
    <w:rsid w:val="004639A0"/>
    <w:rsid w:val="00464D79"/>
    <w:rsid w:val="00465C31"/>
    <w:rsid w:val="00467AED"/>
    <w:rsid w:val="00471329"/>
    <w:rsid w:val="00471923"/>
    <w:rsid w:val="0047217D"/>
    <w:rsid w:val="0047228E"/>
    <w:rsid w:val="00475416"/>
    <w:rsid w:val="00475AD5"/>
    <w:rsid w:val="00477E3A"/>
    <w:rsid w:val="004806D4"/>
    <w:rsid w:val="004807D6"/>
    <w:rsid w:val="00480B28"/>
    <w:rsid w:val="00480DD9"/>
    <w:rsid w:val="00482518"/>
    <w:rsid w:val="00482A0F"/>
    <w:rsid w:val="00484BD0"/>
    <w:rsid w:val="00485674"/>
    <w:rsid w:val="00486805"/>
    <w:rsid w:val="00486E37"/>
    <w:rsid w:val="004901A1"/>
    <w:rsid w:val="00490C28"/>
    <w:rsid w:val="004917D7"/>
    <w:rsid w:val="00494CF7"/>
    <w:rsid w:val="00496284"/>
    <w:rsid w:val="00496B87"/>
    <w:rsid w:val="004971B8"/>
    <w:rsid w:val="004978C5"/>
    <w:rsid w:val="004A08C1"/>
    <w:rsid w:val="004A22E2"/>
    <w:rsid w:val="004A31B5"/>
    <w:rsid w:val="004A3773"/>
    <w:rsid w:val="004A3D81"/>
    <w:rsid w:val="004A651C"/>
    <w:rsid w:val="004A6627"/>
    <w:rsid w:val="004A6A22"/>
    <w:rsid w:val="004A7F6E"/>
    <w:rsid w:val="004B4BCB"/>
    <w:rsid w:val="004C04C4"/>
    <w:rsid w:val="004C0DEE"/>
    <w:rsid w:val="004C0F49"/>
    <w:rsid w:val="004C16F0"/>
    <w:rsid w:val="004C2F9A"/>
    <w:rsid w:val="004C32BF"/>
    <w:rsid w:val="004C41A4"/>
    <w:rsid w:val="004C430A"/>
    <w:rsid w:val="004C490C"/>
    <w:rsid w:val="004C7B35"/>
    <w:rsid w:val="004C7E5C"/>
    <w:rsid w:val="004D1E9B"/>
    <w:rsid w:val="004D29F1"/>
    <w:rsid w:val="004D3129"/>
    <w:rsid w:val="004D3929"/>
    <w:rsid w:val="004D40FA"/>
    <w:rsid w:val="004D4C34"/>
    <w:rsid w:val="004D4DC0"/>
    <w:rsid w:val="004D50B3"/>
    <w:rsid w:val="004D5A4E"/>
    <w:rsid w:val="004D6330"/>
    <w:rsid w:val="004D6890"/>
    <w:rsid w:val="004D764E"/>
    <w:rsid w:val="004E2F62"/>
    <w:rsid w:val="004E3998"/>
    <w:rsid w:val="004E6320"/>
    <w:rsid w:val="004E639A"/>
    <w:rsid w:val="004E7702"/>
    <w:rsid w:val="004F05F4"/>
    <w:rsid w:val="004F200E"/>
    <w:rsid w:val="004F2874"/>
    <w:rsid w:val="004F4019"/>
    <w:rsid w:val="004F4B79"/>
    <w:rsid w:val="004F631C"/>
    <w:rsid w:val="004F7B85"/>
    <w:rsid w:val="005012E3"/>
    <w:rsid w:val="00501B81"/>
    <w:rsid w:val="005024A1"/>
    <w:rsid w:val="00502796"/>
    <w:rsid w:val="00502A56"/>
    <w:rsid w:val="00502CA6"/>
    <w:rsid w:val="005034A8"/>
    <w:rsid w:val="005034CA"/>
    <w:rsid w:val="005034D2"/>
    <w:rsid w:val="00504A76"/>
    <w:rsid w:val="00505829"/>
    <w:rsid w:val="00507E83"/>
    <w:rsid w:val="00510674"/>
    <w:rsid w:val="0051265D"/>
    <w:rsid w:val="005148F8"/>
    <w:rsid w:val="00515B8B"/>
    <w:rsid w:val="00516068"/>
    <w:rsid w:val="0051635A"/>
    <w:rsid w:val="005177D7"/>
    <w:rsid w:val="00520034"/>
    <w:rsid w:val="00520868"/>
    <w:rsid w:val="00521176"/>
    <w:rsid w:val="00523004"/>
    <w:rsid w:val="005237EB"/>
    <w:rsid w:val="00524363"/>
    <w:rsid w:val="00525739"/>
    <w:rsid w:val="005259B2"/>
    <w:rsid w:val="00530289"/>
    <w:rsid w:val="005326B7"/>
    <w:rsid w:val="00533307"/>
    <w:rsid w:val="005362D4"/>
    <w:rsid w:val="00540471"/>
    <w:rsid w:val="005407BB"/>
    <w:rsid w:val="00541208"/>
    <w:rsid w:val="005439B2"/>
    <w:rsid w:val="00544341"/>
    <w:rsid w:val="005460D3"/>
    <w:rsid w:val="00546373"/>
    <w:rsid w:val="0054710E"/>
    <w:rsid w:val="005508E1"/>
    <w:rsid w:val="005524F6"/>
    <w:rsid w:val="00552919"/>
    <w:rsid w:val="00553323"/>
    <w:rsid w:val="00554496"/>
    <w:rsid w:val="00555371"/>
    <w:rsid w:val="00555DE0"/>
    <w:rsid w:val="00556006"/>
    <w:rsid w:val="00560316"/>
    <w:rsid w:val="005604AE"/>
    <w:rsid w:val="0056248B"/>
    <w:rsid w:val="00563E3A"/>
    <w:rsid w:val="0056547E"/>
    <w:rsid w:val="00565F2A"/>
    <w:rsid w:val="00567043"/>
    <w:rsid w:val="00570543"/>
    <w:rsid w:val="00571328"/>
    <w:rsid w:val="0057155D"/>
    <w:rsid w:val="00571888"/>
    <w:rsid w:val="00574146"/>
    <w:rsid w:val="00574CF2"/>
    <w:rsid w:val="0057609C"/>
    <w:rsid w:val="00576156"/>
    <w:rsid w:val="005761B7"/>
    <w:rsid w:val="0057682C"/>
    <w:rsid w:val="005809F6"/>
    <w:rsid w:val="00580DDE"/>
    <w:rsid w:val="00580F00"/>
    <w:rsid w:val="00582603"/>
    <w:rsid w:val="00582FFB"/>
    <w:rsid w:val="00585FB4"/>
    <w:rsid w:val="00587919"/>
    <w:rsid w:val="005921C0"/>
    <w:rsid w:val="005923F4"/>
    <w:rsid w:val="00593569"/>
    <w:rsid w:val="0059443F"/>
    <w:rsid w:val="005952CF"/>
    <w:rsid w:val="0059605C"/>
    <w:rsid w:val="00596D5E"/>
    <w:rsid w:val="005A1B3D"/>
    <w:rsid w:val="005A1DB0"/>
    <w:rsid w:val="005A29F3"/>
    <w:rsid w:val="005A2E32"/>
    <w:rsid w:val="005A5CFC"/>
    <w:rsid w:val="005B1670"/>
    <w:rsid w:val="005B3B1C"/>
    <w:rsid w:val="005B4A61"/>
    <w:rsid w:val="005B5505"/>
    <w:rsid w:val="005B5A58"/>
    <w:rsid w:val="005B5CF2"/>
    <w:rsid w:val="005C025D"/>
    <w:rsid w:val="005C0DF5"/>
    <w:rsid w:val="005C114E"/>
    <w:rsid w:val="005C3529"/>
    <w:rsid w:val="005C4D69"/>
    <w:rsid w:val="005C6019"/>
    <w:rsid w:val="005C6A5F"/>
    <w:rsid w:val="005D147E"/>
    <w:rsid w:val="005D1864"/>
    <w:rsid w:val="005D229D"/>
    <w:rsid w:val="005D26C7"/>
    <w:rsid w:val="005D2734"/>
    <w:rsid w:val="005D279B"/>
    <w:rsid w:val="005D597C"/>
    <w:rsid w:val="005D68FE"/>
    <w:rsid w:val="005D6A03"/>
    <w:rsid w:val="005E08B4"/>
    <w:rsid w:val="005E1062"/>
    <w:rsid w:val="005E2389"/>
    <w:rsid w:val="005E3AA2"/>
    <w:rsid w:val="005F2857"/>
    <w:rsid w:val="005F3607"/>
    <w:rsid w:val="005F402B"/>
    <w:rsid w:val="005F5EFB"/>
    <w:rsid w:val="005F5FCA"/>
    <w:rsid w:val="005F7A63"/>
    <w:rsid w:val="005F7C9B"/>
    <w:rsid w:val="0060189A"/>
    <w:rsid w:val="00601E30"/>
    <w:rsid w:val="00605FC0"/>
    <w:rsid w:val="006063C0"/>
    <w:rsid w:val="006063D6"/>
    <w:rsid w:val="00606C37"/>
    <w:rsid w:val="0060725E"/>
    <w:rsid w:val="00610058"/>
    <w:rsid w:val="006115E2"/>
    <w:rsid w:val="00611911"/>
    <w:rsid w:val="00612458"/>
    <w:rsid w:val="00613151"/>
    <w:rsid w:val="00613B0B"/>
    <w:rsid w:val="00614900"/>
    <w:rsid w:val="00615471"/>
    <w:rsid w:val="00615687"/>
    <w:rsid w:val="00617A05"/>
    <w:rsid w:val="006230A5"/>
    <w:rsid w:val="006232CA"/>
    <w:rsid w:val="00624BAD"/>
    <w:rsid w:val="00627F94"/>
    <w:rsid w:val="00633F7C"/>
    <w:rsid w:val="00634041"/>
    <w:rsid w:val="006347AA"/>
    <w:rsid w:val="00637414"/>
    <w:rsid w:val="006378D7"/>
    <w:rsid w:val="00637E9D"/>
    <w:rsid w:val="006402BF"/>
    <w:rsid w:val="00640753"/>
    <w:rsid w:val="00642B2C"/>
    <w:rsid w:val="00643491"/>
    <w:rsid w:val="00644DAC"/>
    <w:rsid w:val="00651322"/>
    <w:rsid w:val="00651392"/>
    <w:rsid w:val="006523E0"/>
    <w:rsid w:val="00653D7B"/>
    <w:rsid w:val="00654FCC"/>
    <w:rsid w:val="00655D78"/>
    <w:rsid w:val="00656B92"/>
    <w:rsid w:val="00657109"/>
    <w:rsid w:val="00657427"/>
    <w:rsid w:val="00660B34"/>
    <w:rsid w:val="0066284B"/>
    <w:rsid w:val="0066432D"/>
    <w:rsid w:val="0066670D"/>
    <w:rsid w:val="0067048E"/>
    <w:rsid w:val="006708FF"/>
    <w:rsid w:val="00671120"/>
    <w:rsid w:val="006744E5"/>
    <w:rsid w:val="00674826"/>
    <w:rsid w:val="00674E0C"/>
    <w:rsid w:val="00675265"/>
    <w:rsid w:val="00676066"/>
    <w:rsid w:val="00677204"/>
    <w:rsid w:val="00677344"/>
    <w:rsid w:val="00677CFD"/>
    <w:rsid w:val="00680283"/>
    <w:rsid w:val="00681861"/>
    <w:rsid w:val="006818D3"/>
    <w:rsid w:val="00684C4D"/>
    <w:rsid w:val="0068504F"/>
    <w:rsid w:val="00691A77"/>
    <w:rsid w:val="006921EA"/>
    <w:rsid w:val="006928E1"/>
    <w:rsid w:val="00693D04"/>
    <w:rsid w:val="00694EF7"/>
    <w:rsid w:val="00694F4F"/>
    <w:rsid w:val="00697E74"/>
    <w:rsid w:val="006A08FC"/>
    <w:rsid w:val="006A44E3"/>
    <w:rsid w:val="006A5E2D"/>
    <w:rsid w:val="006A7AD2"/>
    <w:rsid w:val="006A7C39"/>
    <w:rsid w:val="006B1DB6"/>
    <w:rsid w:val="006B2725"/>
    <w:rsid w:val="006B273D"/>
    <w:rsid w:val="006B2DC0"/>
    <w:rsid w:val="006B4B11"/>
    <w:rsid w:val="006B5818"/>
    <w:rsid w:val="006B6526"/>
    <w:rsid w:val="006B6721"/>
    <w:rsid w:val="006C42FF"/>
    <w:rsid w:val="006D19D6"/>
    <w:rsid w:val="006D22D1"/>
    <w:rsid w:val="006D41BB"/>
    <w:rsid w:val="006D52AB"/>
    <w:rsid w:val="006D5A7B"/>
    <w:rsid w:val="006D5CF2"/>
    <w:rsid w:val="006D7937"/>
    <w:rsid w:val="006E1268"/>
    <w:rsid w:val="006E265B"/>
    <w:rsid w:val="006E46F7"/>
    <w:rsid w:val="006E5C6B"/>
    <w:rsid w:val="006F0AF8"/>
    <w:rsid w:val="006F2F58"/>
    <w:rsid w:val="006F43E3"/>
    <w:rsid w:val="006F4AF1"/>
    <w:rsid w:val="006F4DDF"/>
    <w:rsid w:val="006F4E0F"/>
    <w:rsid w:val="006F5E08"/>
    <w:rsid w:val="006F6910"/>
    <w:rsid w:val="006F7809"/>
    <w:rsid w:val="00704DDA"/>
    <w:rsid w:val="00705D08"/>
    <w:rsid w:val="007068AB"/>
    <w:rsid w:val="00706952"/>
    <w:rsid w:val="00707F54"/>
    <w:rsid w:val="007101BE"/>
    <w:rsid w:val="00715182"/>
    <w:rsid w:val="00715C62"/>
    <w:rsid w:val="00720785"/>
    <w:rsid w:val="00722ED1"/>
    <w:rsid w:val="007231F2"/>
    <w:rsid w:val="007249FC"/>
    <w:rsid w:val="0072546D"/>
    <w:rsid w:val="00726510"/>
    <w:rsid w:val="00726AD6"/>
    <w:rsid w:val="00726E9A"/>
    <w:rsid w:val="007277CE"/>
    <w:rsid w:val="007300F8"/>
    <w:rsid w:val="0073016F"/>
    <w:rsid w:val="007319DB"/>
    <w:rsid w:val="00737410"/>
    <w:rsid w:val="00740F3F"/>
    <w:rsid w:val="00742030"/>
    <w:rsid w:val="007424D6"/>
    <w:rsid w:val="00742687"/>
    <w:rsid w:val="0074268D"/>
    <w:rsid w:val="00743E84"/>
    <w:rsid w:val="007454AB"/>
    <w:rsid w:val="00745896"/>
    <w:rsid w:val="00745AE4"/>
    <w:rsid w:val="00750A3C"/>
    <w:rsid w:val="00753A39"/>
    <w:rsid w:val="00753FD7"/>
    <w:rsid w:val="00754B1D"/>
    <w:rsid w:val="00756D92"/>
    <w:rsid w:val="00757F87"/>
    <w:rsid w:val="00760F6D"/>
    <w:rsid w:val="007636AF"/>
    <w:rsid w:val="0076616F"/>
    <w:rsid w:val="00766423"/>
    <w:rsid w:val="00766755"/>
    <w:rsid w:val="00767EA7"/>
    <w:rsid w:val="007703C8"/>
    <w:rsid w:val="00771B5F"/>
    <w:rsid w:val="00772BF7"/>
    <w:rsid w:val="0077348C"/>
    <w:rsid w:val="00773FC3"/>
    <w:rsid w:val="007747E9"/>
    <w:rsid w:val="00774C04"/>
    <w:rsid w:val="00776A05"/>
    <w:rsid w:val="00780876"/>
    <w:rsid w:val="00782730"/>
    <w:rsid w:val="00782824"/>
    <w:rsid w:val="00783249"/>
    <w:rsid w:val="007834E7"/>
    <w:rsid w:val="007837AC"/>
    <w:rsid w:val="00783B44"/>
    <w:rsid w:val="00784DC3"/>
    <w:rsid w:val="007869F0"/>
    <w:rsid w:val="007874D5"/>
    <w:rsid w:val="00790114"/>
    <w:rsid w:val="00793E39"/>
    <w:rsid w:val="0079407A"/>
    <w:rsid w:val="007944A2"/>
    <w:rsid w:val="007962F8"/>
    <w:rsid w:val="007969ED"/>
    <w:rsid w:val="007A0BE5"/>
    <w:rsid w:val="007A284E"/>
    <w:rsid w:val="007A4EC7"/>
    <w:rsid w:val="007B1643"/>
    <w:rsid w:val="007B1D29"/>
    <w:rsid w:val="007B1ECB"/>
    <w:rsid w:val="007B2F7E"/>
    <w:rsid w:val="007B4C6E"/>
    <w:rsid w:val="007B5310"/>
    <w:rsid w:val="007B621B"/>
    <w:rsid w:val="007B68A2"/>
    <w:rsid w:val="007C2A0A"/>
    <w:rsid w:val="007C5A82"/>
    <w:rsid w:val="007C641C"/>
    <w:rsid w:val="007C6EE4"/>
    <w:rsid w:val="007D0236"/>
    <w:rsid w:val="007D03BF"/>
    <w:rsid w:val="007D0A19"/>
    <w:rsid w:val="007D0C27"/>
    <w:rsid w:val="007D143F"/>
    <w:rsid w:val="007D1A71"/>
    <w:rsid w:val="007D1F27"/>
    <w:rsid w:val="007D4E8F"/>
    <w:rsid w:val="007D58D3"/>
    <w:rsid w:val="007D6457"/>
    <w:rsid w:val="007D735C"/>
    <w:rsid w:val="007E0F23"/>
    <w:rsid w:val="007E2042"/>
    <w:rsid w:val="007E3D6E"/>
    <w:rsid w:val="007E6722"/>
    <w:rsid w:val="007E67D4"/>
    <w:rsid w:val="007F0BB2"/>
    <w:rsid w:val="007F0BDA"/>
    <w:rsid w:val="007F1EE1"/>
    <w:rsid w:val="007F272C"/>
    <w:rsid w:val="007F28AB"/>
    <w:rsid w:val="007F3106"/>
    <w:rsid w:val="007F3C4A"/>
    <w:rsid w:val="007F4BC5"/>
    <w:rsid w:val="007F6E0A"/>
    <w:rsid w:val="00800154"/>
    <w:rsid w:val="00801F0E"/>
    <w:rsid w:val="00802998"/>
    <w:rsid w:val="008124B4"/>
    <w:rsid w:val="00814445"/>
    <w:rsid w:val="00817967"/>
    <w:rsid w:val="00817F5E"/>
    <w:rsid w:val="00821D30"/>
    <w:rsid w:val="0082222B"/>
    <w:rsid w:val="00825C6C"/>
    <w:rsid w:val="0082668D"/>
    <w:rsid w:val="00826A06"/>
    <w:rsid w:val="00834CF2"/>
    <w:rsid w:val="00834D5C"/>
    <w:rsid w:val="00841372"/>
    <w:rsid w:val="00841E12"/>
    <w:rsid w:val="00844436"/>
    <w:rsid w:val="00846413"/>
    <w:rsid w:val="0085019A"/>
    <w:rsid w:val="0085029B"/>
    <w:rsid w:val="008514B2"/>
    <w:rsid w:val="008532AC"/>
    <w:rsid w:val="0085654B"/>
    <w:rsid w:val="00857B8A"/>
    <w:rsid w:val="008605F0"/>
    <w:rsid w:val="00861D05"/>
    <w:rsid w:val="00861D6F"/>
    <w:rsid w:val="00861D75"/>
    <w:rsid w:val="00862D86"/>
    <w:rsid w:val="00863257"/>
    <w:rsid w:val="00863888"/>
    <w:rsid w:val="00863C90"/>
    <w:rsid w:val="008648F7"/>
    <w:rsid w:val="00865400"/>
    <w:rsid w:val="00865839"/>
    <w:rsid w:val="00871612"/>
    <w:rsid w:val="008729E6"/>
    <w:rsid w:val="00872A34"/>
    <w:rsid w:val="00872A58"/>
    <w:rsid w:val="00875DCD"/>
    <w:rsid w:val="008776CF"/>
    <w:rsid w:val="00877DA0"/>
    <w:rsid w:val="00877EE2"/>
    <w:rsid w:val="00883945"/>
    <w:rsid w:val="00884DDA"/>
    <w:rsid w:val="00886837"/>
    <w:rsid w:val="0088746A"/>
    <w:rsid w:val="00890911"/>
    <w:rsid w:val="0089125F"/>
    <w:rsid w:val="00893BCB"/>
    <w:rsid w:val="00894883"/>
    <w:rsid w:val="00896AA2"/>
    <w:rsid w:val="008A0127"/>
    <w:rsid w:val="008A13F2"/>
    <w:rsid w:val="008A1DB4"/>
    <w:rsid w:val="008A40B0"/>
    <w:rsid w:val="008A48B7"/>
    <w:rsid w:val="008A4A6E"/>
    <w:rsid w:val="008A5F3A"/>
    <w:rsid w:val="008A625C"/>
    <w:rsid w:val="008A6B26"/>
    <w:rsid w:val="008B3DC1"/>
    <w:rsid w:val="008B488A"/>
    <w:rsid w:val="008B5244"/>
    <w:rsid w:val="008B7504"/>
    <w:rsid w:val="008C0E58"/>
    <w:rsid w:val="008C2089"/>
    <w:rsid w:val="008C4663"/>
    <w:rsid w:val="008C4F19"/>
    <w:rsid w:val="008C5F98"/>
    <w:rsid w:val="008C60DC"/>
    <w:rsid w:val="008C6EA2"/>
    <w:rsid w:val="008D0655"/>
    <w:rsid w:val="008D1D36"/>
    <w:rsid w:val="008D2300"/>
    <w:rsid w:val="008D2738"/>
    <w:rsid w:val="008D4B53"/>
    <w:rsid w:val="008D4CDC"/>
    <w:rsid w:val="008D512C"/>
    <w:rsid w:val="008D5265"/>
    <w:rsid w:val="008D7702"/>
    <w:rsid w:val="008E0C12"/>
    <w:rsid w:val="008E283B"/>
    <w:rsid w:val="008E394F"/>
    <w:rsid w:val="008E60AD"/>
    <w:rsid w:val="008E7046"/>
    <w:rsid w:val="008E7317"/>
    <w:rsid w:val="008F1ADF"/>
    <w:rsid w:val="008F2187"/>
    <w:rsid w:val="008F2F7B"/>
    <w:rsid w:val="008F3B2B"/>
    <w:rsid w:val="008F3CC0"/>
    <w:rsid w:val="008F47E2"/>
    <w:rsid w:val="008F5FD0"/>
    <w:rsid w:val="008F7013"/>
    <w:rsid w:val="008F7933"/>
    <w:rsid w:val="00900F42"/>
    <w:rsid w:val="00901C7A"/>
    <w:rsid w:val="00903760"/>
    <w:rsid w:val="009044CD"/>
    <w:rsid w:val="00905B16"/>
    <w:rsid w:val="00910745"/>
    <w:rsid w:val="00913E5A"/>
    <w:rsid w:val="00914764"/>
    <w:rsid w:val="00915FD4"/>
    <w:rsid w:val="009170DC"/>
    <w:rsid w:val="00920407"/>
    <w:rsid w:val="00920801"/>
    <w:rsid w:val="009219BA"/>
    <w:rsid w:val="009250A5"/>
    <w:rsid w:val="00925E42"/>
    <w:rsid w:val="00926437"/>
    <w:rsid w:val="009264A5"/>
    <w:rsid w:val="00926CE7"/>
    <w:rsid w:val="00927A3E"/>
    <w:rsid w:val="00927E75"/>
    <w:rsid w:val="0093233E"/>
    <w:rsid w:val="009323FF"/>
    <w:rsid w:val="0093294F"/>
    <w:rsid w:val="0093504E"/>
    <w:rsid w:val="009350E3"/>
    <w:rsid w:val="00935407"/>
    <w:rsid w:val="0093543D"/>
    <w:rsid w:val="009356FF"/>
    <w:rsid w:val="00935E0A"/>
    <w:rsid w:val="009361FF"/>
    <w:rsid w:val="00937CBE"/>
    <w:rsid w:val="009400E5"/>
    <w:rsid w:val="00940C1C"/>
    <w:rsid w:val="00941769"/>
    <w:rsid w:val="00943645"/>
    <w:rsid w:val="0094542A"/>
    <w:rsid w:val="009455D3"/>
    <w:rsid w:val="009468E5"/>
    <w:rsid w:val="009470F3"/>
    <w:rsid w:val="00947F87"/>
    <w:rsid w:val="00950263"/>
    <w:rsid w:val="009529F1"/>
    <w:rsid w:val="009534EC"/>
    <w:rsid w:val="0095489F"/>
    <w:rsid w:val="00956100"/>
    <w:rsid w:val="009603D6"/>
    <w:rsid w:val="0096164F"/>
    <w:rsid w:val="00965335"/>
    <w:rsid w:val="00965D45"/>
    <w:rsid w:val="00967037"/>
    <w:rsid w:val="00970E51"/>
    <w:rsid w:val="00971A8D"/>
    <w:rsid w:val="0097275F"/>
    <w:rsid w:val="00972E81"/>
    <w:rsid w:val="00975260"/>
    <w:rsid w:val="00975B02"/>
    <w:rsid w:val="009770BC"/>
    <w:rsid w:val="00977F0D"/>
    <w:rsid w:val="0098134E"/>
    <w:rsid w:val="00981E04"/>
    <w:rsid w:val="00982E42"/>
    <w:rsid w:val="009832BA"/>
    <w:rsid w:val="00984195"/>
    <w:rsid w:val="009857C8"/>
    <w:rsid w:val="0098632E"/>
    <w:rsid w:val="00987E8F"/>
    <w:rsid w:val="009908B6"/>
    <w:rsid w:val="009919DB"/>
    <w:rsid w:val="00992346"/>
    <w:rsid w:val="009929D5"/>
    <w:rsid w:val="00993038"/>
    <w:rsid w:val="00993FE3"/>
    <w:rsid w:val="0099578D"/>
    <w:rsid w:val="009A04EC"/>
    <w:rsid w:val="009A47C6"/>
    <w:rsid w:val="009A59D0"/>
    <w:rsid w:val="009A5E65"/>
    <w:rsid w:val="009A7871"/>
    <w:rsid w:val="009B0655"/>
    <w:rsid w:val="009B0C8B"/>
    <w:rsid w:val="009B2AEB"/>
    <w:rsid w:val="009B341C"/>
    <w:rsid w:val="009B4B9D"/>
    <w:rsid w:val="009B591D"/>
    <w:rsid w:val="009B66C6"/>
    <w:rsid w:val="009C1694"/>
    <w:rsid w:val="009C36DE"/>
    <w:rsid w:val="009C42E8"/>
    <w:rsid w:val="009C5D40"/>
    <w:rsid w:val="009C683F"/>
    <w:rsid w:val="009C774E"/>
    <w:rsid w:val="009C7887"/>
    <w:rsid w:val="009C7A15"/>
    <w:rsid w:val="009D0674"/>
    <w:rsid w:val="009D1C2E"/>
    <w:rsid w:val="009D4381"/>
    <w:rsid w:val="009D5421"/>
    <w:rsid w:val="009D5631"/>
    <w:rsid w:val="009D5A20"/>
    <w:rsid w:val="009D5B5E"/>
    <w:rsid w:val="009D64C3"/>
    <w:rsid w:val="009D7E47"/>
    <w:rsid w:val="009E007E"/>
    <w:rsid w:val="009E258A"/>
    <w:rsid w:val="009E3502"/>
    <w:rsid w:val="009E3B33"/>
    <w:rsid w:val="009E3BC7"/>
    <w:rsid w:val="009E41CE"/>
    <w:rsid w:val="009E5527"/>
    <w:rsid w:val="009E7C2A"/>
    <w:rsid w:val="009F0325"/>
    <w:rsid w:val="009F1226"/>
    <w:rsid w:val="009F18AA"/>
    <w:rsid w:val="009F215D"/>
    <w:rsid w:val="009F2D15"/>
    <w:rsid w:val="009F30FB"/>
    <w:rsid w:val="009F5745"/>
    <w:rsid w:val="009F6389"/>
    <w:rsid w:val="009F723C"/>
    <w:rsid w:val="009F78E3"/>
    <w:rsid w:val="00A013B5"/>
    <w:rsid w:val="00A02AC4"/>
    <w:rsid w:val="00A038B7"/>
    <w:rsid w:val="00A03D9A"/>
    <w:rsid w:val="00A0422D"/>
    <w:rsid w:val="00A0447F"/>
    <w:rsid w:val="00A05684"/>
    <w:rsid w:val="00A059CC"/>
    <w:rsid w:val="00A0685F"/>
    <w:rsid w:val="00A12313"/>
    <w:rsid w:val="00A12DF2"/>
    <w:rsid w:val="00A14E25"/>
    <w:rsid w:val="00A168C5"/>
    <w:rsid w:val="00A17306"/>
    <w:rsid w:val="00A1762F"/>
    <w:rsid w:val="00A17A50"/>
    <w:rsid w:val="00A203FC"/>
    <w:rsid w:val="00A21E26"/>
    <w:rsid w:val="00A22656"/>
    <w:rsid w:val="00A22859"/>
    <w:rsid w:val="00A23C67"/>
    <w:rsid w:val="00A23F9B"/>
    <w:rsid w:val="00A242F2"/>
    <w:rsid w:val="00A244D1"/>
    <w:rsid w:val="00A25985"/>
    <w:rsid w:val="00A277FE"/>
    <w:rsid w:val="00A31FEA"/>
    <w:rsid w:val="00A328EF"/>
    <w:rsid w:val="00A32C77"/>
    <w:rsid w:val="00A32F3E"/>
    <w:rsid w:val="00A3568C"/>
    <w:rsid w:val="00A43316"/>
    <w:rsid w:val="00A44DA6"/>
    <w:rsid w:val="00A47337"/>
    <w:rsid w:val="00A4796F"/>
    <w:rsid w:val="00A5091E"/>
    <w:rsid w:val="00A50986"/>
    <w:rsid w:val="00A50DBA"/>
    <w:rsid w:val="00A52F18"/>
    <w:rsid w:val="00A53ED3"/>
    <w:rsid w:val="00A5402A"/>
    <w:rsid w:val="00A5452D"/>
    <w:rsid w:val="00A60C3F"/>
    <w:rsid w:val="00A61813"/>
    <w:rsid w:val="00A6283C"/>
    <w:rsid w:val="00A63ABA"/>
    <w:rsid w:val="00A66616"/>
    <w:rsid w:val="00A666DA"/>
    <w:rsid w:val="00A66E62"/>
    <w:rsid w:val="00A7090A"/>
    <w:rsid w:val="00A72B9B"/>
    <w:rsid w:val="00A7334B"/>
    <w:rsid w:val="00A75FA4"/>
    <w:rsid w:val="00A7610D"/>
    <w:rsid w:val="00A76391"/>
    <w:rsid w:val="00A77E83"/>
    <w:rsid w:val="00A77F1D"/>
    <w:rsid w:val="00A80879"/>
    <w:rsid w:val="00A812DC"/>
    <w:rsid w:val="00A82CF5"/>
    <w:rsid w:val="00A84CF7"/>
    <w:rsid w:val="00A85419"/>
    <w:rsid w:val="00A870DF"/>
    <w:rsid w:val="00A8799E"/>
    <w:rsid w:val="00A90C31"/>
    <w:rsid w:val="00A90D1F"/>
    <w:rsid w:val="00A90F16"/>
    <w:rsid w:val="00A925BC"/>
    <w:rsid w:val="00A93D4F"/>
    <w:rsid w:val="00A94984"/>
    <w:rsid w:val="00A95EF8"/>
    <w:rsid w:val="00A96B72"/>
    <w:rsid w:val="00A970D6"/>
    <w:rsid w:val="00AA1B1E"/>
    <w:rsid w:val="00AA535D"/>
    <w:rsid w:val="00AA5FBA"/>
    <w:rsid w:val="00AA6956"/>
    <w:rsid w:val="00AB0559"/>
    <w:rsid w:val="00AB05B3"/>
    <w:rsid w:val="00AB0AC4"/>
    <w:rsid w:val="00AB0B52"/>
    <w:rsid w:val="00AB5CB9"/>
    <w:rsid w:val="00AB75E5"/>
    <w:rsid w:val="00AC1415"/>
    <w:rsid w:val="00AC1D8D"/>
    <w:rsid w:val="00AC2872"/>
    <w:rsid w:val="00AC5548"/>
    <w:rsid w:val="00AC5F1D"/>
    <w:rsid w:val="00AC6324"/>
    <w:rsid w:val="00AC6FEB"/>
    <w:rsid w:val="00AD00FC"/>
    <w:rsid w:val="00AD0E75"/>
    <w:rsid w:val="00AD186A"/>
    <w:rsid w:val="00AD18D0"/>
    <w:rsid w:val="00AD277C"/>
    <w:rsid w:val="00AD38E8"/>
    <w:rsid w:val="00AD4184"/>
    <w:rsid w:val="00AD4969"/>
    <w:rsid w:val="00AD49D3"/>
    <w:rsid w:val="00AD6660"/>
    <w:rsid w:val="00AD6E00"/>
    <w:rsid w:val="00AE115F"/>
    <w:rsid w:val="00AE2377"/>
    <w:rsid w:val="00AE338B"/>
    <w:rsid w:val="00AE36A3"/>
    <w:rsid w:val="00AE4376"/>
    <w:rsid w:val="00AE5E44"/>
    <w:rsid w:val="00AE72B1"/>
    <w:rsid w:val="00AF100B"/>
    <w:rsid w:val="00AF1D4D"/>
    <w:rsid w:val="00AF216A"/>
    <w:rsid w:val="00AF26B2"/>
    <w:rsid w:val="00AF2D6B"/>
    <w:rsid w:val="00AF33ED"/>
    <w:rsid w:val="00AF556E"/>
    <w:rsid w:val="00AF7022"/>
    <w:rsid w:val="00B00248"/>
    <w:rsid w:val="00B0211B"/>
    <w:rsid w:val="00B02D14"/>
    <w:rsid w:val="00B045AF"/>
    <w:rsid w:val="00B065D7"/>
    <w:rsid w:val="00B06955"/>
    <w:rsid w:val="00B074B3"/>
    <w:rsid w:val="00B11715"/>
    <w:rsid w:val="00B12082"/>
    <w:rsid w:val="00B12851"/>
    <w:rsid w:val="00B1521B"/>
    <w:rsid w:val="00B15A5D"/>
    <w:rsid w:val="00B20235"/>
    <w:rsid w:val="00B20426"/>
    <w:rsid w:val="00B20AC9"/>
    <w:rsid w:val="00B22CC0"/>
    <w:rsid w:val="00B243BE"/>
    <w:rsid w:val="00B26EB9"/>
    <w:rsid w:val="00B2714A"/>
    <w:rsid w:val="00B27C16"/>
    <w:rsid w:val="00B31742"/>
    <w:rsid w:val="00B32467"/>
    <w:rsid w:val="00B33ABF"/>
    <w:rsid w:val="00B33D88"/>
    <w:rsid w:val="00B34A60"/>
    <w:rsid w:val="00B36822"/>
    <w:rsid w:val="00B37944"/>
    <w:rsid w:val="00B4033F"/>
    <w:rsid w:val="00B4505D"/>
    <w:rsid w:val="00B453BC"/>
    <w:rsid w:val="00B45588"/>
    <w:rsid w:val="00B4618D"/>
    <w:rsid w:val="00B465AE"/>
    <w:rsid w:val="00B50E6F"/>
    <w:rsid w:val="00B51DF4"/>
    <w:rsid w:val="00B52C4E"/>
    <w:rsid w:val="00B560EC"/>
    <w:rsid w:val="00B56C9C"/>
    <w:rsid w:val="00B56D98"/>
    <w:rsid w:val="00B62A84"/>
    <w:rsid w:val="00B6381E"/>
    <w:rsid w:val="00B644EC"/>
    <w:rsid w:val="00B658FE"/>
    <w:rsid w:val="00B71BB4"/>
    <w:rsid w:val="00B72232"/>
    <w:rsid w:val="00B72976"/>
    <w:rsid w:val="00B72BAF"/>
    <w:rsid w:val="00B747E8"/>
    <w:rsid w:val="00B74C26"/>
    <w:rsid w:val="00B757F3"/>
    <w:rsid w:val="00B75CD4"/>
    <w:rsid w:val="00B76500"/>
    <w:rsid w:val="00B80E3F"/>
    <w:rsid w:val="00B82998"/>
    <w:rsid w:val="00B831C1"/>
    <w:rsid w:val="00B834FB"/>
    <w:rsid w:val="00B85C2B"/>
    <w:rsid w:val="00B85FDE"/>
    <w:rsid w:val="00B86026"/>
    <w:rsid w:val="00B87C7A"/>
    <w:rsid w:val="00B94831"/>
    <w:rsid w:val="00B94ED3"/>
    <w:rsid w:val="00B951C0"/>
    <w:rsid w:val="00B971F9"/>
    <w:rsid w:val="00B97F99"/>
    <w:rsid w:val="00BA1CED"/>
    <w:rsid w:val="00BA2B3F"/>
    <w:rsid w:val="00BA2EEF"/>
    <w:rsid w:val="00BA618E"/>
    <w:rsid w:val="00BA6BAE"/>
    <w:rsid w:val="00BA6D2A"/>
    <w:rsid w:val="00BA7C80"/>
    <w:rsid w:val="00BA7DE3"/>
    <w:rsid w:val="00BB25CB"/>
    <w:rsid w:val="00BB3A65"/>
    <w:rsid w:val="00BB3DFC"/>
    <w:rsid w:val="00BB5CCE"/>
    <w:rsid w:val="00BB6573"/>
    <w:rsid w:val="00BC126B"/>
    <w:rsid w:val="00BC17FD"/>
    <w:rsid w:val="00BC194E"/>
    <w:rsid w:val="00BC36D7"/>
    <w:rsid w:val="00BC4FDC"/>
    <w:rsid w:val="00BC6974"/>
    <w:rsid w:val="00BC714B"/>
    <w:rsid w:val="00BD0617"/>
    <w:rsid w:val="00BD26BD"/>
    <w:rsid w:val="00BD3694"/>
    <w:rsid w:val="00BD36D9"/>
    <w:rsid w:val="00BD3A89"/>
    <w:rsid w:val="00BD45E1"/>
    <w:rsid w:val="00BD5FD3"/>
    <w:rsid w:val="00BD66D0"/>
    <w:rsid w:val="00BD6F58"/>
    <w:rsid w:val="00BE0A71"/>
    <w:rsid w:val="00BE5069"/>
    <w:rsid w:val="00BE6A8B"/>
    <w:rsid w:val="00BF0E49"/>
    <w:rsid w:val="00BF49DE"/>
    <w:rsid w:val="00BF6F58"/>
    <w:rsid w:val="00C02961"/>
    <w:rsid w:val="00C03332"/>
    <w:rsid w:val="00C033D0"/>
    <w:rsid w:val="00C03605"/>
    <w:rsid w:val="00C03F60"/>
    <w:rsid w:val="00C05DD2"/>
    <w:rsid w:val="00C062F5"/>
    <w:rsid w:val="00C064CE"/>
    <w:rsid w:val="00C0721A"/>
    <w:rsid w:val="00C10923"/>
    <w:rsid w:val="00C1239A"/>
    <w:rsid w:val="00C1243A"/>
    <w:rsid w:val="00C12457"/>
    <w:rsid w:val="00C13905"/>
    <w:rsid w:val="00C16466"/>
    <w:rsid w:val="00C1710D"/>
    <w:rsid w:val="00C17D19"/>
    <w:rsid w:val="00C17D1D"/>
    <w:rsid w:val="00C17FE7"/>
    <w:rsid w:val="00C234DD"/>
    <w:rsid w:val="00C23779"/>
    <w:rsid w:val="00C244C2"/>
    <w:rsid w:val="00C24C36"/>
    <w:rsid w:val="00C25A9A"/>
    <w:rsid w:val="00C25CEA"/>
    <w:rsid w:val="00C27A78"/>
    <w:rsid w:val="00C31880"/>
    <w:rsid w:val="00C31DBD"/>
    <w:rsid w:val="00C32CDA"/>
    <w:rsid w:val="00C34878"/>
    <w:rsid w:val="00C35882"/>
    <w:rsid w:val="00C36C69"/>
    <w:rsid w:val="00C40404"/>
    <w:rsid w:val="00C42B83"/>
    <w:rsid w:val="00C44CD6"/>
    <w:rsid w:val="00C47283"/>
    <w:rsid w:val="00C517D6"/>
    <w:rsid w:val="00C52368"/>
    <w:rsid w:val="00C52796"/>
    <w:rsid w:val="00C52D40"/>
    <w:rsid w:val="00C53288"/>
    <w:rsid w:val="00C5398B"/>
    <w:rsid w:val="00C54A4C"/>
    <w:rsid w:val="00C55843"/>
    <w:rsid w:val="00C578E8"/>
    <w:rsid w:val="00C605E7"/>
    <w:rsid w:val="00C61817"/>
    <w:rsid w:val="00C62877"/>
    <w:rsid w:val="00C63AC3"/>
    <w:rsid w:val="00C6463C"/>
    <w:rsid w:val="00C64C26"/>
    <w:rsid w:val="00C673D6"/>
    <w:rsid w:val="00C708BC"/>
    <w:rsid w:val="00C70927"/>
    <w:rsid w:val="00C71288"/>
    <w:rsid w:val="00C7213E"/>
    <w:rsid w:val="00C72E11"/>
    <w:rsid w:val="00C737DB"/>
    <w:rsid w:val="00C73886"/>
    <w:rsid w:val="00C73CF3"/>
    <w:rsid w:val="00C74C19"/>
    <w:rsid w:val="00C750DC"/>
    <w:rsid w:val="00C752F7"/>
    <w:rsid w:val="00C75D67"/>
    <w:rsid w:val="00C77C8A"/>
    <w:rsid w:val="00C77CCE"/>
    <w:rsid w:val="00C80D39"/>
    <w:rsid w:val="00C80DF8"/>
    <w:rsid w:val="00C81AB1"/>
    <w:rsid w:val="00C81C4C"/>
    <w:rsid w:val="00C82A1C"/>
    <w:rsid w:val="00C82ECD"/>
    <w:rsid w:val="00C8434A"/>
    <w:rsid w:val="00C85CE2"/>
    <w:rsid w:val="00C869E0"/>
    <w:rsid w:val="00C86A3D"/>
    <w:rsid w:val="00C878BB"/>
    <w:rsid w:val="00C87FEF"/>
    <w:rsid w:val="00C91444"/>
    <w:rsid w:val="00C93475"/>
    <w:rsid w:val="00C9403E"/>
    <w:rsid w:val="00C94867"/>
    <w:rsid w:val="00CA262D"/>
    <w:rsid w:val="00CA2BF3"/>
    <w:rsid w:val="00CA2C2B"/>
    <w:rsid w:val="00CA6502"/>
    <w:rsid w:val="00CB34E8"/>
    <w:rsid w:val="00CB51F2"/>
    <w:rsid w:val="00CB5365"/>
    <w:rsid w:val="00CB6FDA"/>
    <w:rsid w:val="00CC0024"/>
    <w:rsid w:val="00CC1D2C"/>
    <w:rsid w:val="00CC2F1B"/>
    <w:rsid w:val="00CC657B"/>
    <w:rsid w:val="00CC67D0"/>
    <w:rsid w:val="00CD019D"/>
    <w:rsid w:val="00CD131C"/>
    <w:rsid w:val="00CD18AF"/>
    <w:rsid w:val="00CD2BD7"/>
    <w:rsid w:val="00CD44FE"/>
    <w:rsid w:val="00CD4637"/>
    <w:rsid w:val="00CD4B9D"/>
    <w:rsid w:val="00CD4DDE"/>
    <w:rsid w:val="00CD5CB8"/>
    <w:rsid w:val="00CD5F4A"/>
    <w:rsid w:val="00CD60EF"/>
    <w:rsid w:val="00CD694E"/>
    <w:rsid w:val="00CD7384"/>
    <w:rsid w:val="00CD79C6"/>
    <w:rsid w:val="00CE08E0"/>
    <w:rsid w:val="00CE1D20"/>
    <w:rsid w:val="00CE2104"/>
    <w:rsid w:val="00CE269E"/>
    <w:rsid w:val="00CE2C33"/>
    <w:rsid w:val="00CE4CED"/>
    <w:rsid w:val="00CE5950"/>
    <w:rsid w:val="00CF0138"/>
    <w:rsid w:val="00CF0524"/>
    <w:rsid w:val="00CF0F8D"/>
    <w:rsid w:val="00CF0FC3"/>
    <w:rsid w:val="00CF1822"/>
    <w:rsid w:val="00CF4882"/>
    <w:rsid w:val="00CF58DB"/>
    <w:rsid w:val="00CF5BD1"/>
    <w:rsid w:val="00CF6CF8"/>
    <w:rsid w:val="00CF744A"/>
    <w:rsid w:val="00CF7B40"/>
    <w:rsid w:val="00CF7F8A"/>
    <w:rsid w:val="00D009BD"/>
    <w:rsid w:val="00D00BB1"/>
    <w:rsid w:val="00D01897"/>
    <w:rsid w:val="00D03615"/>
    <w:rsid w:val="00D0656A"/>
    <w:rsid w:val="00D10DF7"/>
    <w:rsid w:val="00D11D5D"/>
    <w:rsid w:val="00D158D1"/>
    <w:rsid w:val="00D162A2"/>
    <w:rsid w:val="00D16EBC"/>
    <w:rsid w:val="00D17151"/>
    <w:rsid w:val="00D215F2"/>
    <w:rsid w:val="00D24E80"/>
    <w:rsid w:val="00D251BB"/>
    <w:rsid w:val="00D2578C"/>
    <w:rsid w:val="00D25A1A"/>
    <w:rsid w:val="00D268EB"/>
    <w:rsid w:val="00D274D5"/>
    <w:rsid w:val="00D2775B"/>
    <w:rsid w:val="00D33BB6"/>
    <w:rsid w:val="00D35914"/>
    <w:rsid w:val="00D35DF8"/>
    <w:rsid w:val="00D36B6D"/>
    <w:rsid w:val="00D37336"/>
    <w:rsid w:val="00D37730"/>
    <w:rsid w:val="00D37F57"/>
    <w:rsid w:val="00D40C6F"/>
    <w:rsid w:val="00D418BA"/>
    <w:rsid w:val="00D42487"/>
    <w:rsid w:val="00D42842"/>
    <w:rsid w:val="00D438FE"/>
    <w:rsid w:val="00D44B86"/>
    <w:rsid w:val="00D45DED"/>
    <w:rsid w:val="00D474EC"/>
    <w:rsid w:val="00D50024"/>
    <w:rsid w:val="00D50462"/>
    <w:rsid w:val="00D529B7"/>
    <w:rsid w:val="00D52B56"/>
    <w:rsid w:val="00D536AC"/>
    <w:rsid w:val="00D53F36"/>
    <w:rsid w:val="00D547A6"/>
    <w:rsid w:val="00D559E8"/>
    <w:rsid w:val="00D56236"/>
    <w:rsid w:val="00D56924"/>
    <w:rsid w:val="00D57B97"/>
    <w:rsid w:val="00D57D35"/>
    <w:rsid w:val="00D60AB6"/>
    <w:rsid w:val="00D61283"/>
    <w:rsid w:val="00D61607"/>
    <w:rsid w:val="00D62249"/>
    <w:rsid w:val="00D627EA"/>
    <w:rsid w:val="00D6436B"/>
    <w:rsid w:val="00D65D71"/>
    <w:rsid w:val="00D65EB7"/>
    <w:rsid w:val="00D665C7"/>
    <w:rsid w:val="00D668CF"/>
    <w:rsid w:val="00D67524"/>
    <w:rsid w:val="00D67560"/>
    <w:rsid w:val="00D679CE"/>
    <w:rsid w:val="00D70F1E"/>
    <w:rsid w:val="00D72CFA"/>
    <w:rsid w:val="00D7381F"/>
    <w:rsid w:val="00D73B08"/>
    <w:rsid w:val="00D74CBC"/>
    <w:rsid w:val="00D8057A"/>
    <w:rsid w:val="00D810FE"/>
    <w:rsid w:val="00D82689"/>
    <w:rsid w:val="00D83FD8"/>
    <w:rsid w:val="00D8432E"/>
    <w:rsid w:val="00D84638"/>
    <w:rsid w:val="00D85CA3"/>
    <w:rsid w:val="00D85E81"/>
    <w:rsid w:val="00D87BE1"/>
    <w:rsid w:val="00D93770"/>
    <w:rsid w:val="00D949E5"/>
    <w:rsid w:val="00D9544D"/>
    <w:rsid w:val="00D95916"/>
    <w:rsid w:val="00D9680C"/>
    <w:rsid w:val="00D9745D"/>
    <w:rsid w:val="00D97F5B"/>
    <w:rsid w:val="00DA0426"/>
    <w:rsid w:val="00DA06A2"/>
    <w:rsid w:val="00DA59DA"/>
    <w:rsid w:val="00DA61EF"/>
    <w:rsid w:val="00DB0F56"/>
    <w:rsid w:val="00DB158B"/>
    <w:rsid w:val="00DB168D"/>
    <w:rsid w:val="00DB2E34"/>
    <w:rsid w:val="00DB48C4"/>
    <w:rsid w:val="00DB6280"/>
    <w:rsid w:val="00DB6AF9"/>
    <w:rsid w:val="00DB7568"/>
    <w:rsid w:val="00DC0F06"/>
    <w:rsid w:val="00DC3D63"/>
    <w:rsid w:val="00DC5D85"/>
    <w:rsid w:val="00DC6EC0"/>
    <w:rsid w:val="00DC7EC8"/>
    <w:rsid w:val="00DD08A1"/>
    <w:rsid w:val="00DD1446"/>
    <w:rsid w:val="00DD18A3"/>
    <w:rsid w:val="00DD2F02"/>
    <w:rsid w:val="00DD5F49"/>
    <w:rsid w:val="00DE0B91"/>
    <w:rsid w:val="00DE247E"/>
    <w:rsid w:val="00DE2CC4"/>
    <w:rsid w:val="00DE45A9"/>
    <w:rsid w:val="00DE69D9"/>
    <w:rsid w:val="00DE70EB"/>
    <w:rsid w:val="00DE7BD4"/>
    <w:rsid w:val="00DE7CF8"/>
    <w:rsid w:val="00DE7E45"/>
    <w:rsid w:val="00DF00C2"/>
    <w:rsid w:val="00DF16B1"/>
    <w:rsid w:val="00DF1FD2"/>
    <w:rsid w:val="00DF20FA"/>
    <w:rsid w:val="00DF37D4"/>
    <w:rsid w:val="00DF43D6"/>
    <w:rsid w:val="00DF468E"/>
    <w:rsid w:val="00DF5680"/>
    <w:rsid w:val="00DF7615"/>
    <w:rsid w:val="00DF7737"/>
    <w:rsid w:val="00E00F25"/>
    <w:rsid w:val="00E01119"/>
    <w:rsid w:val="00E0239A"/>
    <w:rsid w:val="00E023B3"/>
    <w:rsid w:val="00E03626"/>
    <w:rsid w:val="00E03813"/>
    <w:rsid w:val="00E03A34"/>
    <w:rsid w:val="00E04760"/>
    <w:rsid w:val="00E04C42"/>
    <w:rsid w:val="00E07A61"/>
    <w:rsid w:val="00E169B9"/>
    <w:rsid w:val="00E16C3E"/>
    <w:rsid w:val="00E17539"/>
    <w:rsid w:val="00E17E76"/>
    <w:rsid w:val="00E23B1A"/>
    <w:rsid w:val="00E262FC"/>
    <w:rsid w:val="00E26C67"/>
    <w:rsid w:val="00E30719"/>
    <w:rsid w:val="00E30B3D"/>
    <w:rsid w:val="00E344B8"/>
    <w:rsid w:val="00E35D76"/>
    <w:rsid w:val="00E37A65"/>
    <w:rsid w:val="00E37E1C"/>
    <w:rsid w:val="00E40645"/>
    <w:rsid w:val="00E408EC"/>
    <w:rsid w:val="00E410FD"/>
    <w:rsid w:val="00E442DA"/>
    <w:rsid w:val="00E4588A"/>
    <w:rsid w:val="00E521E3"/>
    <w:rsid w:val="00E54878"/>
    <w:rsid w:val="00E54B4F"/>
    <w:rsid w:val="00E54DCE"/>
    <w:rsid w:val="00E5502B"/>
    <w:rsid w:val="00E55C93"/>
    <w:rsid w:val="00E578B9"/>
    <w:rsid w:val="00E6023C"/>
    <w:rsid w:val="00E608E2"/>
    <w:rsid w:val="00E61D78"/>
    <w:rsid w:val="00E6204D"/>
    <w:rsid w:val="00E635C6"/>
    <w:rsid w:val="00E63B17"/>
    <w:rsid w:val="00E64E13"/>
    <w:rsid w:val="00E65F0C"/>
    <w:rsid w:val="00E669EA"/>
    <w:rsid w:val="00E66B2C"/>
    <w:rsid w:val="00E66C83"/>
    <w:rsid w:val="00E703D9"/>
    <w:rsid w:val="00E71DB0"/>
    <w:rsid w:val="00E7251C"/>
    <w:rsid w:val="00E74F37"/>
    <w:rsid w:val="00E7522B"/>
    <w:rsid w:val="00E76634"/>
    <w:rsid w:val="00E76965"/>
    <w:rsid w:val="00E76ECA"/>
    <w:rsid w:val="00E80EA6"/>
    <w:rsid w:val="00E830B6"/>
    <w:rsid w:val="00E83A13"/>
    <w:rsid w:val="00E83EB7"/>
    <w:rsid w:val="00E85F85"/>
    <w:rsid w:val="00E9109F"/>
    <w:rsid w:val="00E940B8"/>
    <w:rsid w:val="00E94A75"/>
    <w:rsid w:val="00E95107"/>
    <w:rsid w:val="00E95989"/>
    <w:rsid w:val="00E96F7A"/>
    <w:rsid w:val="00E97464"/>
    <w:rsid w:val="00EA0254"/>
    <w:rsid w:val="00EA0D9F"/>
    <w:rsid w:val="00EA312E"/>
    <w:rsid w:val="00EA3445"/>
    <w:rsid w:val="00EA4699"/>
    <w:rsid w:val="00EA6CFF"/>
    <w:rsid w:val="00EB091F"/>
    <w:rsid w:val="00EB0F87"/>
    <w:rsid w:val="00EB1D36"/>
    <w:rsid w:val="00EB2584"/>
    <w:rsid w:val="00EB29B0"/>
    <w:rsid w:val="00EB2B34"/>
    <w:rsid w:val="00EB4AFA"/>
    <w:rsid w:val="00EB4F22"/>
    <w:rsid w:val="00EB5230"/>
    <w:rsid w:val="00EB55F6"/>
    <w:rsid w:val="00EB635B"/>
    <w:rsid w:val="00EB687C"/>
    <w:rsid w:val="00EB698E"/>
    <w:rsid w:val="00EB78B2"/>
    <w:rsid w:val="00EC06A7"/>
    <w:rsid w:val="00EC17E2"/>
    <w:rsid w:val="00EC453C"/>
    <w:rsid w:val="00EC4D6E"/>
    <w:rsid w:val="00EC6433"/>
    <w:rsid w:val="00EC646F"/>
    <w:rsid w:val="00EC700D"/>
    <w:rsid w:val="00ED12E8"/>
    <w:rsid w:val="00ED1DDD"/>
    <w:rsid w:val="00ED2961"/>
    <w:rsid w:val="00ED5F3C"/>
    <w:rsid w:val="00ED6D6F"/>
    <w:rsid w:val="00EE037A"/>
    <w:rsid w:val="00EE13E9"/>
    <w:rsid w:val="00EE16B6"/>
    <w:rsid w:val="00EE2063"/>
    <w:rsid w:val="00EE20A6"/>
    <w:rsid w:val="00EE3CFB"/>
    <w:rsid w:val="00EE5573"/>
    <w:rsid w:val="00EE61DC"/>
    <w:rsid w:val="00EE666E"/>
    <w:rsid w:val="00EF12A8"/>
    <w:rsid w:val="00EF4149"/>
    <w:rsid w:val="00EF41D5"/>
    <w:rsid w:val="00EF420E"/>
    <w:rsid w:val="00EF4F4E"/>
    <w:rsid w:val="00EF4FE1"/>
    <w:rsid w:val="00EF500A"/>
    <w:rsid w:val="00EF6907"/>
    <w:rsid w:val="00EF7930"/>
    <w:rsid w:val="00EF7996"/>
    <w:rsid w:val="00F00EBC"/>
    <w:rsid w:val="00F01517"/>
    <w:rsid w:val="00F024B5"/>
    <w:rsid w:val="00F02594"/>
    <w:rsid w:val="00F02E18"/>
    <w:rsid w:val="00F0336F"/>
    <w:rsid w:val="00F03843"/>
    <w:rsid w:val="00F04035"/>
    <w:rsid w:val="00F05A17"/>
    <w:rsid w:val="00F0641A"/>
    <w:rsid w:val="00F07F46"/>
    <w:rsid w:val="00F1004B"/>
    <w:rsid w:val="00F114D5"/>
    <w:rsid w:val="00F12528"/>
    <w:rsid w:val="00F13E52"/>
    <w:rsid w:val="00F1487A"/>
    <w:rsid w:val="00F14A21"/>
    <w:rsid w:val="00F15E6E"/>
    <w:rsid w:val="00F16665"/>
    <w:rsid w:val="00F169CF"/>
    <w:rsid w:val="00F16A34"/>
    <w:rsid w:val="00F21A09"/>
    <w:rsid w:val="00F239E6"/>
    <w:rsid w:val="00F24C58"/>
    <w:rsid w:val="00F252A6"/>
    <w:rsid w:val="00F2619C"/>
    <w:rsid w:val="00F27D3D"/>
    <w:rsid w:val="00F325C2"/>
    <w:rsid w:val="00F32DFC"/>
    <w:rsid w:val="00F33D3B"/>
    <w:rsid w:val="00F34135"/>
    <w:rsid w:val="00F34AD9"/>
    <w:rsid w:val="00F34DAA"/>
    <w:rsid w:val="00F35D06"/>
    <w:rsid w:val="00F37F62"/>
    <w:rsid w:val="00F4512C"/>
    <w:rsid w:val="00F47AE3"/>
    <w:rsid w:val="00F53A9A"/>
    <w:rsid w:val="00F55F82"/>
    <w:rsid w:val="00F566A4"/>
    <w:rsid w:val="00F56ACD"/>
    <w:rsid w:val="00F57856"/>
    <w:rsid w:val="00F57B25"/>
    <w:rsid w:val="00F62565"/>
    <w:rsid w:val="00F627DB"/>
    <w:rsid w:val="00F639A5"/>
    <w:rsid w:val="00F643CD"/>
    <w:rsid w:val="00F67486"/>
    <w:rsid w:val="00F67E15"/>
    <w:rsid w:val="00F7075E"/>
    <w:rsid w:val="00F70B39"/>
    <w:rsid w:val="00F71436"/>
    <w:rsid w:val="00F7180F"/>
    <w:rsid w:val="00F7406C"/>
    <w:rsid w:val="00F74801"/>
    <w:rsid w:val="00F749C0"/>
    <w:rsid w:val="00F75039"/>
    <w:rsid w:val="00F75093"/>
    <w:rsid w:val="00F76A0A"/>
    <w:rsid w:val="00F76BFB"/>
    <w:rsid w:val="00F770F4"/>
    <w:rsid w:val="00F81265"/>
    <w:rsid w:val="00F81399"/>
    <w:rsid w:val="00F82867"/>
    <w:rsid w:val="00F837DF"/>
    <w:rsid w:val="00F83AFD"/>
    <w:rsid w:val="00F84F35"/>
    <w:rsid w:val="00F85C9E"/>
    <w:rsid w:val="00F85D78"/>
    <w:rsid w:val="00F865DC"/>
    <w:rsid w:val="00F87D11"/>
    <w:rsid w:val="00F87D5C"/>
    <w:rsid w:val="00F908CD"/>
    <w:rsid w:val="00F909C3"/>
    <w:rsid w:val="00F90AD1"/>
    <w:rsid w:val="00F9143D"/>
    <w:rsid w:val="00F93D5C"/>
    <w:rsid w:val="00F95C89"/>
    <w:rsid w:val="00F97981"/>
    <w:rsid w:val="00FA010E"/>
    <w:rsid w:val="00FA1BD6"/>
    <w:rsid w:val="00FA2734"/>
    <w:rsid w:val="00FA4FDB"/>
    <w:rsid w:val="00FA5F62"/>
    <w:rsid w:val="00FA78BA"/>
    <w:rsid w:val="00FB0571"/>
    <w:rsid w:val="00FB101F"/>
    <w:rsid w:val="00FB2607"/>
    <w:rsid w:val="00FB377C"/>
    <w:rsid w:val="00FB3834"/>
    <w:rsid w:val="00FB3E98"/>
    <w:rsid w:val="00FB4D85"/>
    <w:rsid w:val="00FC04BE"/>
    <w:rsid w:val="00FC4512"/>
    <w:rsid w:val="00FC5CBC"/>
    <w:rsid w:val="00FC6E3A"/>
    <w:rsid w:val="00FD5005"/>
    <w:rsid w:val="00FE055D"/>
    <w:rsid w:val="00FE0BB1"/>
    <w:rsid w:val="00FE1BA2"/>
    <w:rsid w:val="00FE2AC2"/>
    <w:rsid w:val="00FE3872"/>
    <w:rsid w:val="00FE3F6C"/>
    <w:rsid w:val="00FE6451"/>
    <w:rsid w:val="00FE6D52"/>
    <w:rsid w:val="00FF04A0"/>
    <w:rsid w:val="00FF482C"/>
    <w:rsid w:val="00FF5319"/>
    <w:rsid w:val="00FF6308"/>
    <w:rsid w:val="00FF6CB0"/>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082D03"/>
  <w15:docId w15:val="{98EAA779-EE55-474A-843F-314277E0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uiPriority w:val="9"/>
    <w:qFormat/>
    <w:rsid w:val="00D82689"/>
    <w:pPr>
      <w:keepNext/>
      <w:keepLines/>
      <w:spacing w:before="480" w:after="0"/>
      <w:outlineLvl w:val="0"/>
    </w:pPr>
    <w:rPr>
      <w:rFonts w:ascii="Cambria" w:eastAsia="MS Gothic"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5A1B3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link w:val="Textonotapie"/>
    <w:rsid w:val="005A1B3D"/>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unhideWhenUsed/>
    <w:qFormat/>
    <w:rsid w:val="005A1B3D"/>
    <w:rPr>
      <w:vertAlign w:val="superscript"/>
    </w:rPr>
  </w:style>
  <w:style w:type="character" w:styleId="Hipervnculo">
    <w:name w:val="Hyperlink"/>
    <w:uiPriority w:val="99"/>
    <w:unhideWhenUsed/>
    <w:rsid w:val="00D665C7"/>
    <w:rPr>
      <w:color w:val="0000FF"/>
      <w:u w:val="single"/>
    </w:rPr>
  </w:style>
  <w:style w:type="paragraph" w:styleId="Prrafodelista">
    <w:name w:val="List Paragraph"/>
    <w:aliases w:val="Footnote,Párrafo de lista1,Colorful List - Accent 11"/>
    <w:basedOn w:val="Normal"/>
    <w:link w:val="PrrafodelistaCar"/>
    <w:uiPriority w:val="34"/>
    <w:qFormat/>
    <w:rsid w:val="00D665C7"/>
    <w:pPr>
      <w:ind w:left="720"/>
      <w:contextualSpacing/>
    </w:pPr>
  </w:style>
  <w:style w:type="character" w:customStyle="1" w:styleId="PrrafodelistaCar">
    <w:name w:val="Párrafo de lista Car"/>
    <w:aliases w:val="Footnote Car,Párrafo de lista1 Car,Colorful List - Accent 11 Car"/>
    <w:link w:val="Prrafodelista"/>
    <w:uiPriority w:val="34"/>
    <w:locked/>
    <w:rsid w:val="008F5FD0"/>
  </w:style>
  <w:style w:type="table" w:styleId="Tablaconcuadrcula">
    <w:name w:val="Table Grid"/>
    <w:basedOn w:val="Tablanormal"/>
    <w:uiPriority w:val="59"/>
    <w:rsid w:val="00F3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F0336F"/>
  </w:style>
  <w:style w:type="character" w:customStyle="1" w:styleId="apple-converted-space">
    <w:name w:val="apple-converted-space"/>
    <w:basedOn w:val="Fuentedeprrafopredeter"/>
    <w:rsid w:val="001C0DED"/>
  </w:style>
  <w:style w:type="paragraph" w:styleId="Encabezado">
    <w:name w:val="header"/>
    <w:basedOn w:val="Normal"/>
    <w:link w:val="EncabezadoCar"/>
    <w:uiPriority w:val="99"/>
    <w:unhideWhenUsed/>
    <w:rsid w:val="00F56A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ACD"/>
  </w:style>
  <w:style w:type="paragraph" w:styleId="Piedepgina">
    <w:name w:val="footer"/>
    <w:basedOn w:val="Normal"/>
    <w:link w:val="PiedepginaCar"/>
    <w:uiPriority w:val="99"/>
    <w:unhideWhenUsed/>
    <w:rsid w:val="00F56A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ACD"/>
  </w:style>
  <w:style w:type="paragraph" w:styleId="Textodeglobo">
    <w:name w:val="Balloon Text"/>
    <w:basedOn w:val="Normal"/>
    <w:link w:val="TextodegloboCar"/>
    <w:uiPriority w:val="99"/>
    <w:semiHidden/>
    <w:unhideWhenUsed/>
    <w:rsid w:val="00F56AC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56ACD"/>
    <w:rPr>
      <w:rFonts w:ascii="Tahoma" w:hAnsi="Tahoma" w:cs="Tahoma"/>
      <w:sz w:val="16"/>
      <w:szCs w:val="16"/>
    </w:rPr>
  </w:style>
  <w:style w:type="character" w:styleId="Textoennegrita">
    <w:name w:val="Strong"/>
    <w:uiPriority w:val="22"/>
    <w:qFormat/>
    <w:rsid w:val="005A2E32"/>
    <w:rPr>
      <w:b/>
      <w:bCs/>
    </w:rPr>
  </w:style>
  <w:style w:type="paragraph" w:styleId="Textoindependiente">
    <w:name w:val="Body Text"/>
    <w:basedOn w:val="Normal"/>
    <w:link w:val="TextoindependienteCar"/>
    <w:uiPriority w:val="99"/>
    <w:unhideWhenUsed/>
    <w:rsid w:val="009F78E3"/>
    <w:pPr>
      <w:spacing w:after="120"/>
    </w:pPr>
  </w:style>
  <w:style w:type="character" w:customStyle="1" w:styleId="TextoindependienteCar">
    <w:name w:val="Texto independiente Car"/>
    <w:link w:val="Textoindependiente"/>
    <w:uiPriority w:val="99"/>
    <w:rsid w:val="009F78E3"/>
    <w:rPr>
      <w:rFonts w:ascii="Calibri" w:eastAsia="Calibri" w:hAnsi="Calibri" w:cs="Times New Roman"/>
    </w:rPr>
  </w:style>
  <w:style w:type="character" w:styleId="Refdecomentario">
    <w:name w:val="annotation reference"/>
    <w:uiPriority w:val="99"/>
    <w:semiHidden/>
    <w:unhideWhenUsed/>
    <w:rsid w:val="005B4A61"/>
    <w:rPr>
      <w:sz w:val="16"/>
      <w:szCs w:val="16"/>
    </w:rPr>
  </w:style>
  <w:style w:type="paragraph" w:styleId="Textocomentario">
    <w:name w:val="annotation text"/>
    <w:basedOn w:val="Normal"/>
    <w:link w:val="TextocomentarioCar"/>
    <w:uiPriority w:val="99"/>
    <w:unhideWhenUsed/>
    <w:rsid w:val="005B4A61"/>
    <w:pPr>
      <w:spacing w:line="240" w:lineRule="auto"/>
    </w:pPr>
    <w:rPr>
      <w:sz w:val="20"/>
      <w:szCs w:val="20"/>
    </w:rPr>
  </w:style>
  <w:style w:type="character" w:customStyle="1" w:styleId="TextocomentarioCar">
    <w:name w:val="Texto comentario Car"/>
    <w:link w:val="Textocomentario"/>
    <w:uiPriority w:val="99"/>
    <w:rsid w:val="005B4A61"/>
    <w:rPr>
      <w:sz w:val="20"/>
      <w:szCs w:val="20"/>
    </w:rPr>
  </w:style>
  <w:style w:type="paragraph" w:styleId="Asuntodelcomentario">
    <w:name w:val="annotation subject"/>
    <w:basedOn w:val="Textocomentario"/>
    <w:next w:val="Textocomentario"/>
    <w:link w:val="AsuntodelcomentarioCar"/>
    <w:uiPriority w:val="99"/>
    <w:semiHidden/>
    <w:unhideWhenUsed/>
    <w:rsid w:val="005B4A61"/>
    <w:rPr>
      <w:b/>
      <w:bCs/>
    </w:rPr>
  </w:style>
  <w:style w:type="character" w:customStyle="1" w:styleId="AsuntodelcomentarioCar">
    <w:name w:val="Asunto del comentario Car"/>
    <w:link w:val="Asuntodelcomentario"/>
    <w:uiPriority w:val="99"/>
    <w:semiHidden/>
    <w:rsid w:val="005B4A61"/>
    <w:rPr>
      <w:b/>
      <w:bCs/>
      <w:sz w:val="20"/>
      <w:szCs w:val="20"/>
    </w:rPr>
  </w:style>
  <w:style w:type="character" w:styleId="Nmerodelnea">
    <w:name w:val="line number"/>
    <w:basedOn w:val="Fuentedeprrafopredeter"/>
    <w:uiPriority w:val="99"/>
    <w:semiHidden/>
    <w:unhideWhenUsed/>
    <w:rsid w:val="00AE338B"/>
  </w:style>
  <w:style w:type="paragraph" w:styleId="Revisin">
    <w:name w:val="Revision"/>
    <w:hidden/>
    <w:uiPriority w:val="99"/>
    <w:semiHidden/>
    <w:rsid w:val="00790114"/>
    <w:rPr>
      <w:sz w:val="22"/>
      <w:szCs w:val="22"/>
    </w:rPr>
  </w:style>
  <w:style w:type="paragraph" w:styleId="TDC1">
    <w:name w:val="toc 1"/>
    <w:basedOn w:val="Normal"/>
    <w:next w:val="Normal"/>
    <w:autoRedefine/>
    <w:uiPriority w:val="39"/>
    <w:unhideWhenUsed/>
    <w:qFormat/>
    <w:rsid w:val="00202E30"/>
    <w:pPr>
      <w:tabs>
        <w:tab w:val="left" w:pos="709"/>
        <w:tab w:val="left" w:pos="8505"/>
      </w:tabs>
      <w:spacing w:after="100"/>
      <w:ind w:left="284" w:right="996"/>
      <w:jc w:val="both"/>
    </w:pPr>
  </w:style>
  <w:style w:type="character" w:customStyle="1" w:styleId="Ttulo1Car">
    <w:name w:val="Título 1 Car"/>
    <w:link w:val="Ttulo1"/>
    <w:uiPriority w:val="9"/>
    <w:rsid w:val="00D82689"/>
    <w:rPr>
      <w:rFonts w:ascii="Cambria" w:eastAsia="MS Gothic" w:hAnsi="Cambria" w:cs="Times New Roman"/>
      <w:b/>
      <w:bCs/>
      <w:color w:val="365F91"/>
      <w:sz w:val="28"/>
      <w:szCs w:val="28"/>
    </w:rPr>
  </w:style>
  <w:style w:type="paragraph" w:styleId="TtuloTDC">
    <w:name w:val="TOC Heading"/>
    <w:basedOn w:val="Ttulo1"/>
    <w:next w:val="Normal"/>
    <w:uiPriority w:val="39"/>
    <w:semiHidden/>
    <w:unhideWhenUsed/>
    <w:qFormat/>
    <w:rsid w:val="00D82689"/>
    <w:pPr>
      <w:outlineLvl w:val="9"/>
    </w:pPr>
    <w:rPr>
      <w:lang w:val="es-CR" w:eastAsia="es-CR"/>
    </w:rPr>
  </w:style>
  <w:style w:type="paragraph" w:styleId="TDC2">
    <w:name w:val="toc 2"/>
    <w:basedOn w:val="Normal"/>
    <w:next w:val="Normal"/>
    <w:autoRedefine/>
    <w:uiPriority w:val="39"/>
    <w:semiHidden/>
    <w:unhideWhenUsed/>
    <w:qFormat/>
    <w:rsid w:val="00D82689"/>
    <w:pPr>
      <w:spacing w:after="100"/>
      <w:ind w:left="220"/>
    </w:pPr>
    <w:rPr>
      <w:rFonts w:eastAsia="MS Mincho"/>
      <w:lang w:val="es-CR" w:eastAsia="es-CR"/>
    </w:rPr>
  </w:style>
  <w:style w:type="paragraph" w:styleId="TDC3">
    <w:name w:val="toc 3"/>
    <w:basedOn w:val="Normal"/>
    <w:next w:val="Normal"/>
    <w:autoRedefine/>
    <w:uiPriority w:val="39"/>
    <w:semiHidden/>
    <w:unhideWhenUsed/>
    <w:qFormat/>
    <w:rsid w:val="00D82689"/>
    <w:pPr>
      <w:spacing w:after="100"/>
      <w:ind w:left="440"/>
    </w:pPr>
    <w:rPr>
      <w:rFonts w:eastAsia="MS Mincho"/>
      <w:lang w:val="es-CR" w:eastAsia="es-CR"/>
    </w:rPr>
  </w:style>
  <w:style w:type="paragraph" w:customStyle="1" w:styleId="Default">
    <w:name w:val="Default"/>
    <w:rsid w:val="00E97464"/>
    <w:pPr>
      <w:autoSpaceDE w:val="0"/>
      <w:autoSpaceDN w:val="0"/>
      <w:adjustRightInd w:val="0"/>
    </w:pPr>
    <w:rPr>
      <w:rFonts w:ascii="Verdana" w:hAnsi="Verdana" w:cs="Verdana"/>
      <w:color w:val="000000"/>
      <w:sz w:val="24"/>
      <w:szCs w:val="24"/>
    </w:rPr>
  </w:style>
  <w:style w:type="paragraph" w:styleId="Textoindependiente2">
    <w:name w:val="Body Text 2"/>
    <w:basedOn w:val="Normal"/>
    <w:link w:val="Textoindependiente2Car"/>
    <w:uiPriority w:val="99"/>
    <w:semiHidden/>
    <w:unhideWhenUsed/>
    <w:rsid w:val="007834E7"/>
    <w:pPr>
      <w:spacing w:after="120" w:line="480" w:lineRule="auto"/>
    </w:pPr>
  </w:style>
  <w:style w:type="character" w:customStyle="1" w:styleId="Textoindependiente2Car">
    <w:name w:val="Texto independiente 2 Car"/>
    <w:link w:val="Textoindependiente2"/>
    <w:rsid w:val="007834E7"/>
    <w:rPr>
      <w:sz w:val="22"/>
      <w:szCs w:val="22"/>
    </w:rPr>
  </w:style>
  <w:style w:type="paragraph" w:styleId="NormalWeb">
    <w:name w:val="Normal (Web)"/>
    <w:basedOn w:val="Normal"/>
    <w:uiPriority w:val="99"/>
    <w:semiHidden/>
    <w:unhideWhenUsed/>
    <w:rsid w:val="00D5002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46">
      <w:bodyDiv w:val="1"/>
      <w:marLeft w:val="0"/>
      <w:marRight w:val="0"/>
      <w:marTop w:val="0"/>
      <w:marBottom w:val="0"/>
      <w:divBdr>
        <w:top w:val="none" w:sz="0" w:space="0" w:color="auto"/>
        <w:left w:val="none" w:sz="0" w:space="0" w:color="auto"/>
        <w:bottom w:val="none" w:sz="0" w:space="0" w:color="auto"/>
        <w:right w:val="none" w:sz="0" w:space="0" w:color="auto"/>
      </w:divBdr>
      <w:divsChild>
        <w:div w:id="726302425">
          <w:marLeft w:val="0"/>
          <w:marRight w:val="0"/>
          <w:marTop w:val="0"/>
          <w:marBottom w:val="0"/>
          <w:divBdr>
            <w:top w:val="none" w:sz="0" w:space="0" w:color="auto"/>
            <w:left w:val="none" w:sz="0" w:space="0" w:color="auto"/>
            <w:bottom w:val="none" w:sz="0" w:space="0" w:color="auto"/>
            <w:right w:val="none" w:sz="0" w:space="0" w:color="auto"/>
          </w:divBdr>
          <w:divsChild>
            <w:div w:id="1976566448">
              <w:marLeft w:val="0"/>
              <w:marRight w:val="0"/>
              <w:marTop w:val="0"/>
              <w:marBottom w:val="0"/>
              <w:divBdr>
                <w:top w:val="none" w:sz="0" w:space="0" w:color="auto"/>
                <w:left w:val="none" w:sz="0" w:space="0" w:color="auto"/>
                <w:bottom w:val="none" w:sz="0" w:space="0" w:color="auto"/>
                <w:right w:val="none" w:sz="0" w:space="0" w:color="auto"/>
              </w:divBdr>
              <w:divsChild>
                <w:div w:id="8794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9240">
      <w:bodyDiv w:val="1"/>
      <w:marLeft w:val="0"/>
      <w:marRight w:val="0"/>
      <w:marTop w:val="0"/>
      <w:marBottom w:val="0"/>
      <w:divBdr>
        <w:top w:val="none" w:sz="0" w:space="0" w:color="auto"/>
        <w:left w:val="none" w:sz="0" w:space="0" w:color="auto"/>
        <w:bottom w:val="none" w:sz="0" w:space="0" w:color="auto"/>
        <w:right w:val="none" w:sz="0" w:space="0" w:color="auto"/>
      </w:divBdr>
      <w:divsChild>
        <w:div w:id="71508641">
          <w:marLeft w:val="0"/>
          <w:marRight w:val="0"/>
          <w:marTop w:val="0"/>
          <w:marBottom w:val="0"/>
          <w:divBdr>
            <w:top w:val="none" w:sz="0" w:space="0" w:color="auto"/>
            <w:left w:val="none" w:sz="0" w:space="0" w:color="auto"/>
            <w:bottom w:val="none" w:sz="0" w:space="0" w:color="auto"/>
            <w:right w:val="none" w:sz="0" w:space="0" w:color="auto"/>
          </w:divBdr>
          <w:divsChild>
            <w:div w:id="758913162">
              <w:marLeft w:val="0"/>
              <w:marRight w:val="0"/>
              <w:marTop w:val="0"/>
              <w:marBottom w:val="0"/>
              <w:divBdr>
                <w:top w:val="none" w:sz="0" w:space="0" w:color="auto"/>
                <w:left w:val="none" w:sz="0" w:space="0" w:color="auto"/>
                <w:bottom w:val="none" w:sz="0" w:space="0" w:color="auto"/>
                <w:right w:val="none" w:sz="0" w:space="0" w:color="auto"/>
              </w:divBdr>
              <w:divsChild>
                <w:div w:id="771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8658">
      <w:bodyDiv w:val="1"/>
      <w:marLeft w:val="0"/>
      <w:marRight w:val="0"/>
      <w:marTop w:val="0"/>
      <w:marBottom w:val="0"/>
      <w:divBdr>
        <w:top w:val="none" w:sz="0" w:space="0" w:color="auto"/>
        <w:left w:val="none" w:sz="0" w:space="0" w:color="auto"/>
        <w:bottom w:val="none" w:sz="0" w:space="0" w:color="auto"/>
        <w:right w:val="none" w:sz="0" w:space="0" w:color="auto"/>
      </w:divBdr>
      <w:divsChild>
        <w:div w:id="1192691316">
          <w:marLeft w:val="0"/>
          <w:marRight w:val="0"/>
          <w:marTop w:val="0"/>
          <w:marBottom w:val="0"/>
          <w:divBdr>
            <w:top w:val="none" w:sz="0" w:space="0" w:color="auto"/>
            <w:left w:val="none" w:sz="0" w:space="0" w:color="auto"/>
            <w:bottom w:val="none" w:sz="0" w:space="0" w:color="auto"/>
            <w:right w:val="none" w:sz="0" w:space="0" w:color="auto"/>
          </w:divBdr>
          <w:divsChild>
            <w:div w:id="257907690">
              <w:marLeft w:val="0"/>
              <w:marRight w:val="0"/>
              <w:marTop w:val="0"/>
              <w:marBottom w:val="0"/>
              <w:divBdr>
                <w:top w:val="none" w:sz="0" w:space="0" w:color="auto"/>
                <w:left w:val="none" w:sz="0" w:space="0" w:color="auto"/>
                <w:bottom w:val="none" w:sz="0" w:space="0" w:color="auto"/>
                <w:right w:val="none" w:sz="0" w:space="0" w:color="auto"/>
              </w:divBdr>
              <w:divsChild>
                <w:div w:id="3261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5739">
      <w:bodyDiv w:val="1"/>
      <w:marLeft w:val="0"/>
      <w:marRight w:val="0"/>
      <w:marTop w:val="0"/>
      <w:marBottom w:val="0"/>
      <w:divBdr>
        <w:top w:val="none" w:sz="0" w:space="0" w:color="auto"/>
        <w:left w:val="none" w:sz="0" w:space="0" w:color="auto"/>
        <w:bottom w:val="none" w:sz="0" w:space="0" w:color="auto"/>
        <w:right w:val="none" w:sz="0" w:space="0" w:color="auto"/>
      </w:divBdr>
    </w:div>
    <w:div w:id="229266349">
      <w:bodyDiv w:val="1"/>
      <w:marLeft w:val="0"/>
      <w:marRight w:val="0"/>
      <w:marTop w:val="0"/>
      <w:marBottom w:val="0"/>
      <w:divBdr>
        <w:top w:val="none" w:sz="0" w:space="0" w:color="auto"/>
        <w:left w:val="none" w:sz="0" w:space="0" w:color="auto"/>
        <w:bottom w:val="none" w:sz="0" w:space="0" w:color="auto"/>
        <w:right w:val="none" w:sz="0" w:space="0" w:color="auto"/>
      </w:divBdr>
    </w:div>
    <w:div w:id="251158500">
      <w:bodyDiv w:val="1"/>
      <w:marLeft w:val="0"/>
      <w:marRight w:val="0"/>
      <w:marTop w:val="0"/>
      <w:marBottom w:val="0"/>
      <w:divBdr>
        <w:top w:val="none" w:sz="0" w:space="0" w:color="auto"/>
        <w:left w:val="none" w:sz="0" w:space="0" w:color="auto"/>
        <w:bottom w:val="none" w:sz="0" w:space="0" w:color="auto"/>
        <w:right w:val="none" w:sz="0" w:space="0" w:color="auto"/>
      </w:divBdr>
      <w:divsChild>
        <w:div w:id="1521772049">
          <w:marLeft w:val="0"/>
          <w:marRight w:val="0"/>
          <w:marTop w:val="0"/>
          <w:marBottom w:val="0"/>
          <w:divBdr>
            <w:top w:val="none" w:sz="0" w:space="0" w:color="auto"/>
            <w:left w:val="none" w:sz="0" w:space="0" w:color="auto"/>
            <w:bottom w:val="none" w:sz="0" w:space="0" w:color="auto"/>
            <w:right w:val="none" w:sz="0" w:space="0" w:color="auto"/>
          </w:divBdr>
          <w:divsChild>
            <w:div w:id="705524916">
              <w:marLeft w:val="0"/>
              <w:marRight w:val="0"/>
              <w:marTop w:val="0"/>
              <w:marBottom w:val="0"/>
              <w:divBdr>
                <w:top w:val="none" w:sz="0" w:space="0" w:color="auto"/>
                <w:left w:val="none" w:sz="0" w:space="0" w:color="auto"/>
                <w:bottom w:val="none" w:sz="0" w:space="0" w:color="auto"/>
                <w:right w:val="none" w:sz="0" w:space="0" w:color="auto"/>
              </w:divBdr>
              <w:divsChild>
                <w:div w:id="1128665857">
                  <w:marLeft w:val="0"/>
                  <w:marRight w:val="0"/>
                  <w:marTop w:val="0"/>
                  <w:marBottom w:val="0"/>
                  <w:divBdr>
                    <w:top w:val="none" w:sz="0" w:space="0" w:color="auto"/>
                    <w:left w:val="none" w:sz="0" w:space="0" w:color="auto"/>
                    <w:bottom w:val="none" w:sz="0" w:space="0" w:color="auto"/>
                    <w:right w:val="none" w:sz="0" w:space="0" w:color="auto"/>
                  </w:divBdr>
                </w:div>
              </w:divsChild>
            </w:div>
            <w:div w:id="1425808632">
              <w:marLeft w:val="0"/>
              <w:marRight w:val="0"/>
              <w:marTop w:val="0"/>
              <w:marBottom w:val="0"/>
              <w:divBdr>
                <w:top w:val="none" w:sz="0" w:space="0" w:color="auto"/>
                <w:left w:val="none" w:sz="0" w:space="0" w:color="auto"/>
                <w:bottom w:val="none" w:sz="0" w:space="0" w:color="auto"/>
                <w:right w:val="none" w:sz="0" w:space="0" w:color="auto"/>
              </w:divBdr>
              <w:divsChild>
                <w:div w:id="12746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4269">
          <w:marLeft w:val="0"/>
          <w:marRight w:val="0"/>
          <w:marTop w:val="0"/>
          <w:marBottom w:val="0"/>
          <w:divBdr>
            <w:top w:val="none" w:sz="0" w:space="0" w:color="auto"/>
            <w:left w:val="none" w:sz="0" w:space="0" w:color="auto"/>
            <w:bottom w:val="none" w:sz="0" w:space="0" w:color="auto"/>
            <w:right w:val="none" w:sz="0" w:space="0" w:color="auto"/>
          </w:divBdr>
          <w:divsChild>
            <w:div w:id="241065750">
              <w:marLeft w:val="0"/>
              <w:marRight w:val="0"/>
              <w:marTop w:val="0"/>
              <w:marBottom w:val="0"/>
              <w:divBdr>
                <w:top w:val="none" w:sz="0" w:space="0" w:color="auto"/>
                <w:left w:val="none" w:sz="0" w:space="0" w:color="auto"/>
                <w:bottom w:val="none" w:sz="0" w:space="0" w:color="auto"/>
                <w:right w:val="none" w:sz="0" w:space="0" w:color="auto"/>
              </w:divBdr>
              <w:divsChild>
                <w:div w:id="11556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78714">
      <w:bodyDiv w:val="1"/>
      <w:marLeft w:val="0"/>
      <w:marRight w:val="0"/>
      <w:marTop w:val="0"/>
      <w:marBottom w:val="0"/>
      <w:divBdr>
        <w:top w:val="none" w:sz="0" w:space="0" w:color="auto"/>
        <w:left w:val="none" w:sz="0" w:space="0" w:color="auto"/>
        <w:bottom w:val="none" w:sz="0" w:space="0" w:color="auto"/>
        <w:right w:val="none" w:sz="0" w:space="0" w:color="auto"/>
      </w:divBdr>
      <w:divsChild>
        <w:div w:id="734159025">
          <w:marLeft w:val="0"/>
          <w:marRight w:val="0"/>
          <w:marTop w:val="0"/>
          <w:marBottom w:val="0"/>
          <w:divBdr>
            <w:top w:val="none" w:sz="0" w:space="0" w:color="auto"/>
            <w:left w:val="none" w:sz="0" w:space="0" w:color="auto"/>
            <w:bottom w:val="none" w:sz="0" w:space="0" w:color="auto"/>
            <w:right w:val="none" w:sz="0" w:space="0" w:color="auto"/>
          </w:divBdr>
          <w:divsChild>
            <w:div w:id="378749901">
              <w:marLeft w:val="0"/>
              <w:marRight w:val="0"/>
              <w:marTop w:val="0"/>
              <w:marBottom w:val="0"/>
              <w:divBdr>
                <w:top w:val="none" w:sz="0" w:space="0" w:color="auto"/>
                <w:left w:val="none" w:sz="0" w:space="0" w:color="auto"/>
                <w:bottom w:val="none" w:sz="0" w:space="0" w:color="auto"/>
                <w:right w:val="none" w:sz="0" w:space="0" w:color="auto"/>
              </w:divBdr>
              <w:divsChild>
                <w:div w:id="13806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8898">
      <w:bodyDiv w:val="1"/>
      <w:marLeft w:val="0"/>
      <w:marRight w:val="0"/>
      <w:marTop w:val="0"/>
      <w:marBottom w:val="0"/>
      <w:divBdr>
        <w:top w:val="none" w:sz="0" w:space="0" w:color="auto"/>
        <w:left w:val="none" w:sz="0" w:space="0" w:color="auto"/>
        <w:bottom w:val="none" w:sz="0" w:space="0" w:color="auto"/>
        <w:right w:val="none" w:sz="0" w:space="0" w:color="auto"/>
      </w:divBdr>
    </w:div>
    <w:div w:id="414281715">
      <w:bodyDiv w:val="1"/>
      <w:marLeft w:val="0"/>
      <w:marRight w:val="0"/>
      <w:marTop w:val="0"/>
      <w:marBottom w:val="0"/>
      <w:divBdr>
        <w:top w:val="none" w:sz="0" w:space="0" w:color="auto"/>
        <w:left w:val="none" w:sz="0" w:space="0" w:color="auto"/>
        <w:bottom w:val="none" w:sz="0" w:space="0" w:color="auto"/>
        <w:right w:val="none" w:sz="0" w:space="0" w:color="auto"/>
      </w:divBdr>
    </w:div>
    <w:div w:id="573662292">
      <w:bodyDiv w:val="1"/>
      <w:marLeft w:val="0"/>
      <w:marRight w:val="0"/>
      <w:marTop w:val="0"/>
      <w:marBottom w:val="0"/>
      <w:divBdr>
        <w:top w:val="none" w:sz="0" w:space="0" w:color="auto"/>
        <w:left w:val="none" w:sz="0" w:space="0" w:color="auto"/>
        <w:bottom w:val="none" w:sz="0" w:space="0" w:color="auto"/>
        <w:right w:val="none" w:sz="0" w:space="0" w:color="auto"/>
      </w:divBdr>
      <w:divsChild>
        <w:div w:id="685980757">
          <w:marLeft w:val="0"/>
          <w:marRight w:val="0"/>
          <w:marTop w:val="0"/>
          <w:marBottom w:val="0"/>
          <w:divBdr>
            <w:top w:val="none" w:sz="0" w:space="0" w:color="auto"/>
            <w:left w:val="none" w:sz="0" w:space="0" w:color="auto"/>
            <w:bottom w:val="none" w:sz="0" w:space="0" w:color="auto"/>
            <w:right w:val="none" w:sz="0" w:space="0" w:color="auto"/>
          </w:divBdr>
          <w:divsChild>
            <w:div w:id="1147629136">
              <w:marLeft w:val="0"/>
              <w:marRight w:val="0"/>
              <w:marTop w:val="0"/>
              <w:marBottom w:val="0"/>
              <w:divBdr>
                <w:top w:val="none" w:sz="0" w:space="0" w:color="auto"/>
                <w:left w:val="none" w:sz="0" w:space="0" w:color="auto"/>
                <w:bottom w:val="none" w:sz="0" w:space="0" w:color="auto"/>
                <w:right w:val="none" w:sz="0" w:space="0" w:color="auto"/>
              </w:divBdr>
              <w:divsChild>
                <w:div w:id="8359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0372">
      <w:bodyDiv w:val="1"/>
      <w:marLeft w:val="0"/>
      <w:marRight w:val="0"/>
      <w:marTop w:val="0"/>
      <w:marBottom w:val="0"/>
      <w:divBdr>
        <w:top w:val="none" w:sz="0" w:space="0" w:color="auto"/>
        <w:left w:val="none" w:sz="0" w:space="0" w:color="auto"/>
        <w:bottom w:val="none" w:sz="0" w:space="0" w:color="auto"/>
        <w:right w:val="none" w:sz="0" w:space="0" w:color="auto"/>
      </w:divBdr>
    </w:div>
    <w:div w:id="605885158">
      <w:bodyDiv w:val="1"/>
      <w:marLeft w:val="0"/>
      <w:marRight w:val="0"/>
      <w:marTop w:val="0"/>
      <w:marBottom w:val="0"/>
      <w:divBdr>
        <w:top w:val="none" w:sz="0" w:space="0" w:color="auto"/>
        <w:left w:val="none" w:sz="0" w:space="0" w:color="auto"/>
        <w:bottom w:val="none" w:sz="0" w:space="0" w:color="auto"/>
        <w:right w:val="none" w:sz="0" w:space="0" w:color="auto"/>
      </w:divBdr>
    </w:div>
    <w:div w:id="624971721">
      <w:bodyDiv w:val="1"/>
      <w:marLeft w:val="0"/>
      <w:marRight w:val="0"/>
      <w:marTop w:val="0"/>
      <w:marBottom w:val="0"/>
      <w:divBdr>
        <w:top w:val="none" w:sz="0" w:space="0" w:color="auto"/>
        <w:left w:val="none" w:sz="0" w:space="0" w:color="auto"/>
        <w:bottom w:val="none" w:sz="0" w:space="0" w:color="auto"/>
        <w:right w:val="none" w:sz="0" w:space="0" w:color="auto"/>
      </w:divBdr>
      <w:divsChild>
        <w:div w:id="900557028">
          <w:marLeft w:val="0"/>
          <w:marRight w:val="0"/>
          <w:marTop w:val="0"/>
          <w:marBottom w:val="0"/>
          <w:divBdr>
            <w:top w:val="none" w:sz="0" w:space="0" w:color="auto"/>
            <w:left w:val="none" w:sz="0" w:space="0" w:color="auto"/>
            <w:bottom w:val="none" w:sz="0" w:space="0" w:color="auto"/>
            <w:right w:val="none" w:sz="0" w:space="0" w:color="auto"/>
          </w:divBdr>
          <w:divsChild>
            <w:div w:id="135152503">
              <w:marLeft w:val="0"/>
              <w:marRight w:val="0"/>
              <w:marTop w:val="0"/>
              <w:marBottom w:val="0"/>
              <w:divBdr>
                <w:top w:val="none" w:sz="0" w:space="0" w:color="auto"/>
                <w:left w:val="none" w:sz="0" w:space="0" w:color="auto"/>
                <w:bottom w:val="none" w:sz="0" w:space="0" w:color="auto"/>
                <w:right w:val="none" w:sz="0" w:space="0" w:color="auto"/>
              </w:divBdr>
              <w:divsChild>
                <w:div w:id="929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12844">
      <w:bodyDiv w:val="1"/>
      <w:marLeft w:val="0"/>
      <w:marRight w:val="0"/>
      <w:marTop w:val="0"/>
      <w:marBottom w:val="0"/>
      <w:divBdr>
        <w:top w:val="none" w:sz="0" w:space="0" w:color="auto"/>
        <w:left w:val="none" w:sz="0" w:space="0" w:color="auto"/>
        <w:bottom w:val="none" w:sz="0" w:space="0" w:color="auto"/>
        <w:right w:val="none" w:sz="0" w:space="0" w:color="auto"/>
      </w:divBdr>
      <w:divsChild>
        <w:div w:id="1364474918">
          <w:marLeft w:val="0"/>
          <w:marRight w:val="0"/>
          <w:marTop w:val="0"/>
          <w:marBottom w:val="0"/>
          <w:divBdr>
            <w:top w:val="none" w:sz="0" w:space="0" w:color="auto"/>
            <w:left w:val="none" w:sz="0" w:space="0" w:color="auto"/>
            <w:bottom w:val="none" w:sz="0" w:space="0" w:color="auto"/>
            <w:right w:val="none" w:sz="0" w:space="0" w:color="auto"/>
          </w:divBdr>
          <w:divsChild>
            <w:div w:id="1470054266">
              <w:marLeft w:val="0"/>
              <w:marRight w:val="0"/>
              <w:marTop w:val="0"/>
              <w:marBottom w:val="0"/>
              <w:divBdr>
                <w:top w:val="none" w:sz="0" w:space="0" w:color="auto"/>
                <w:left w:val="none" w:sz="0" w:space="0" w:color="auto"/>
                <w:bottom w:val="none" w:sz="0" w:space="0" w:color="auto"/>
                <w:right w:val="none" w:sz="0" w:space="0" w:color="auto"/>
              </w:divBdr>
              <w:divsChild>
                <w:div w:id="7144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4539">
      <w:bodyDiv w:val="1"/>
      <w:marLeft w:val="0"/>
      <w:marRight w:val="0"/>
      <w:marTop w:val="0"/>
      <w:marBottom w:val="0"/>
      <w:divBdr>
        <w:top w:val="none" w:sz="0" w:space="0" w:color="auto"/>
        <w:left w:val="none" w:sz="0" w:space="0" w:color="auto"/>
        <w:bottom w:val="none" w:sz="0" w:space="0" w:color="auto"/>
        <w:right w:val="none" w:sz="0" w:space="0" w:color="auto"/>
      </w:divBdr>
      <w:divsChild>
        <w:div w:id="1381326028">
          <w:marLeft w:val="0"/>
          <w:marRight w:val="0"/>
          <w:marTop w:val="0"/>
          <w:marBottom w:val="0"/>
          <w:divBdr>
            <w:top w:val="none" w:sz="0" w:space="0" w:color="auto"/>
            <w:left w:val="none" w:sz="0" w:space="0" w:color="auto"/>
            <w:bottom w:val="none" w:sz="0" w:space="0" w:color="auto"/>
            <w:right w:val="none" w:sz="0" w:space="0" w:color="auto"/>
          </w:divBdr>
          <w:divsChild>
            <w:div w:id="1986664178">
              <w:marLeft w:val="0"/>
              <w:marRight w:val="0"/>
              <w:marTop w:val="0"/>
              <w:marBottom w:val="0"/>
              <w:divBdr>
                <w:top w:val="none" w:sz="0" w:space="0" w:color="auto"/>
                <w:left w:val="none" w:sz="0" w:space="0" w:color="auto"/>
                <w:bottom w:val="none" w:sz="0" w:space="0" w:color="auto"/>
                <w:right w:val="none" w:sz="0" w:space="0" w:color="auto"/>
              </w:divBdr>
              <w:divsChild>
                <w:div w:id="10734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3933">
      <w:bodyDiv w:val="1"/>
      <w:marLeft w:val="0"/>
      <w:marRight w:val="0"/>
      <w:marTop w:val="0"/>
      <w:marBottom w:val="0"/>
      <w:divBdr>
        <w:top w:val="none" w:sz="0" w:space="0" w:color="auto"/>
        <w:left w:val="none" w:sz="0" w:space="0" w:color="auto"/>
        <w:bottom w:val="none" w:sz="0" w:space="0" w:color="auto"/>
        <w:right w:val="none" w:sz="0" w:space="0" w:color="auto"/>
      </w:divBdr>
    </w:div>
    <w:div w:id="758252435">
      <w:bodyDiv w:val="1"/>
      <w:marLeft w:val="0"/>
      <w:marRight w:val="0"/>
      <w:marTop w:val="0"/>
      <w:marBottom w:val="0"/>
      <w:divBdr>
        <w:top w:val="none" w:sz="0" w:space="0" w:color="auto"/>
        <w:left w:val="none" w:sz="0" w:space="0" w:color="auto"/>
        <w:bottom w:val="none" w:sz="0" w:space="0" w:color="auto"/>
        <w:right w:val="none" w:sz="0" w:space="0" w:color="auto"/>
      </w:divBdr>
      <w:divsChild>
        <w:div w:id="355546971">
          <w:marLeft w:val="0"/>
          <w:marRight w:val="0"/>
          <w:marTop w:val="0"/>
          <w:marBottom w:val="0"/>
          <w:divBdr>
            <w:top w:val="none" w:sz="0" w:space="0" w:color="auto"/>
            <w:left w:val="none" w:sz="0" w:space="0" w:color="auto"/>
            <w:bottom w:val="none" w:sz="0" w:space="0" w:color="auto"/>
            <w:right w:val="none" w:sz="0" w:space="0" w:color="auto"/>
          </w:divBdr>
          <w:divsChild>
            <w:div w:id="488637604">
              <w:marLeft w:val="0"/>
              <w:marRight w:val="0"/>
              <w:marTop w:val="0"/>
              <w:marBottom w:val="0"/>
              <w:divBdr>
                <w:top w:val="none" w:sz="0" w:space="0" w:color="auto"/>
                <w:left w:val="none" w:sz="0" w:space="0" w:color="auto"/>
                <w:bottom w:val="none" w:sz="0" w:space="0" w:color="auto"/>
                <w:right w:val="none" w:sz="0" w:space="0" w:color="auto"/>
              </w:divBdr>
              <w:divsChild>
                <w:div w:id="6164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6054">
      <w:bodyDiv w:val="1"/>
      <w:marLeft w:val="0"/>
      <w:marRight w:val="0"/>
      <w:marTop w:val="0"/>
      <w:marBottom w:val="0"/>
      <w:divBdr>
        <w:top w:val="none" w:sz="0" w:space="0" w:color="auto"/>
        <w:left w:val="none" w:sz="0" w:space="0" w:color="auto"/>
        <w:bottom w:val="none" w:sz="0" w:space="0" w:color="auto"/>
        <w:right w:val="none" w:sz="0" w:space="0" w:color="auto"/>
      </w:divBdr>
      <w:divsChild>
        <w:div w:id="924417741">
          <w:marLeft w:val="0"/>
          <w:marRight w:val="0"/>
          <w:marTop w:val="0"/>
          <w:marBottom w:val="0"/>
          <w:divBdr>
            <w:top w:val="none" w:sz="0" w:space="0" w:color="auto"/>
            <w:left w:val="none" w:sz="0" w:space="0" w:color="auto"/>
            <w:bottom w:val="none" w:sz="0" w:space="0" w:color="auto"/>
            <w:right w:val="none" w:sz="0" w:space="0" w:color="auto"/>
          </w:divBdr>
          <w:divsChild>
            <w:div w:id="1052802125">
              <w:marLeft w:val="0"/>
              <w:marRight w:val="0"/>
              <w:marTop w:val="0"/>
              <w:marBottom w:val="0"/>
              <w:divBdr>
                <w:top w:val="none" w:sz="0" w:space="0" w:color="auto"/>
                <w:left w:val="none" w:sz="0" w:space="0" w:color="auto"/>
                <w:bottom w:val="none" w:sz="0" w:space="0" w:color="auto"/>
                <w:right w:val="none" w:sz="0" w:space="0" w:color="auto"/>
              </w:divBdr>
              <w:divsChild>
                <w:div w:id="1902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7025">
      <w:bodyDiv w:val="1"/>
      <w:marLeft w:val="0"/>
      <w:marRight w:val="0"/>
      <w:marTop w:val="0"/>
      <w:marBottom w:val="0"/>
      <w:divBdr>
        <w:top w:val="none" w:sz="0" w:space="0" w:color="auto"/>
        <w:left w:val="none" w:sz="0" w:space="0" w:color="auto"/>
        <w:bottom w:val="none" w:sz="0" w:space="0" w:color="auto"/>
        <w:right w:val="none" w:sz="0" w:space="0" w:color="auto"/>
      </w:divBdr>
      <w:divsChild>
        <w:div w:id="1091583425">
          <w:marLeft w:val="0"/>
          <w:marRight w:val="0"/>
          <w:marTop w:val="0"/>
          <w:marBottom w:val="0"/>
          <w:divBdr>
            <w:top w:val="none" w:sz="0" w:space="0" w:color="auto"/>
            <w:left w:val="none" w:sz="0" w:space="0" w:color="auto"/>
            <w:bottom w:val="none" w:sz="0" w:space="0" w:color="auto"/>
            <w:right w:val="none" w:sz="0" w:space="0" w:color="auto"/>
          </w:divBdr>
          <w:divsChild>
            <w:div w:id="136343935">
              <w:marLeft w:val="0"/>
              <w:marRight w:val="0"/>
              <w:marTop w:val="0"/>
              <w:marBottom w:val="0"/>
              <w:divBdr>
                <w:top w:val="none" w:sz="0" w:space="0" w:color="auto"/>
                <w:left w:val="none" w:sz="0" w:space="0" w:color="auto"/>
                <w:bottom w:val="none" w:sz="0" w:space="0" w:color="auto"/>
                <w:right w:val="none" w:sz="0" w:space="0" w:color="auto"/>
              </w:divBdr>
              <w:divsChild>
                <w:div w:id="8304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3222">
      <w:bodyDiv w:val="1"/>
      <w:marLeft w:val="0"/>
      <w:marRight w:val="0"/>
      <w:marTop w:val="0"/>
      <w:marBottom w:val="0"/>
      <w:divBdr>
        <w:top w:val="none" w:sz="0" w:space="0" w:color="auto"/>
        <w:left w:val="none" w:sz="0" w:space="0" w:color="auto"/>
        <w:bottom w:val="none" w:sz="0" w:space="0" w:color="auto"/>
        <w:right w:val="none" w:sz="0" w:space="0" w:color="auto"/>
      </w:divBdr>
      <w:divsChild>
        <w:div w:id="408774454">
          <w:marLeft w:val="0"/>
          <w:marRight w:val="0"/>
          <w:marTop w:val="0"/>
          <w:marBottom w:val="0"/>
          <w:divBdr>
            <w:top w:val="none" w:sz="0" w:space="0" w:color="auto"/>
            <w:left w:val="none" w:sz="0" w:space="0" w:color="auto"/>
            <w:bottom w:val="none" w:sz="0" w:space="0" w:color="auto"/>
            <w:right w:val="none" w:sz="0" w:space="0" w:color="auto"/>
          </w:divBdr>
          <w:divsChild>
            <w:div w:id="912352480">
              <w:marLeft w:val="0"/>
              <w:marRight w:val="0"/>
              <w:marTop w:val="0"/>
              <w:marBottom w:val="0"/>
              <w:divBdr>
                <w:top w:val="none" w:sz="0" w:space="0" w:color="auto"/>
                <w:left w:val="none" w:sz="0" w:space="0" w:color="auto"/>
                <w:bottom w:val="none" w:sz="0" w:space="0" w:color="auto"/>
                <w:right w:val="none" w:sz="0" w:space="0" w:color="auto"/>
              </w:divBdr>
              <w:divsChild>
                <w:div w:id="5458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9172">
          <w:marLeft w:val="0"/>
          <w:marRight w:val="0"/>
          <w:marTop w:val="0"/>
          <w:marBottom w:val="0"/>
          <w:divBdr>
            <w:top w:val="none" w:sz="0" w:space="0" w:color="auto"/>
            <w:left w:val="none" w:sz="0" w:space="0" w:color="auto"/>
            <w:bottom w:val="none" w:sz="0" w:space="0" w:color="auto"/>
            <w:right w:val="none" w:sz="0" w:space="0" w:color="auto"/>
          </w:divBdr>
          <w:divsChild>
            <w:div w:id="525874583">
              <w:marLeft w:val="0"/>
              <w:marRight w:val="0"/>
              <w:marTop w:val="0"/>
              <w:marBottom w:val="0"/>
              <w:divBdr>
                <w:top w:val="none" w:sz="0" w:space="0" w:color="auto"/>
                <w:left w:val="none" w:sz="0" w:space="0" w:color="auto"/>
                <w:bottom w:val="none" w:sz="0" w:space="0" w:color="auto"/>
                <w:right w:val="none" w:sz="0" w:space="0" w:color="auto"/>
              </w:divBdr>
              <w:divsChild>
                <w:div w:id="306710072">
                  <w:marLeft w:val="0"/>
                  <w:marRight w:val="0"/>
                  <w:marTop w:val="0"/>
                  <w:marBottom w:val="0"/>
                  <w:divBdr>
                    <w:top w:val="none" w:sz="0" w:space="0" w:color="auto"/>
                    <w:left w:val="none" w:sz="0" w:space="0" w:color="auto"/>
                    <w:bottom w:val="none" w:sz="0" w:space="0" w:color="auto"/>
                    <w:right w:val="none" w:sz="0" w:space="0" w:color="auto"/>
                  </w:divBdr>
                </w:div>
              </w:divsChild>
            </w:div>
            <w:div w:id="1038093136">
              <w:marLeft w:val="0"/>
              <w:marRight w:val="0"/>
              <w:marTop w:val="0"/>
              <w:marBottom w:val="0"/>
              <w:divBdr>
                <w:top w:val="none" w:sz="0" w:space="0" w:color="auto"/>
                <w:left w:val="none" w:sz="0" w:space="0" w:color="auto"/>
                <w:bottom w:val="none" w:sz="0" w:space="0" w:color="auto"/>
                <w:right w:val="none" w:sz="0" w:space="0" w:color="auto"/>
              </w:divBdr>
              <w:divsChild>
                <w:div w:id="10207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3307">
      <w:bodyDiv w:val="1"/>
      <w:marLeft w:val="0"/>
      <w:marRight w:val="0"/>
      <w:marTop w:val="0"/>
      <w:marBottom w:val="0"/>
      <w:divBdr>
        <w:top w:val="none" w:sz="0" w:space="0" w:color="auto"/>
        <w:left w:val="none" w:sz="0" w:space="0" w:color="auto"/>
        <w:bottom w:val="none" w:sz="0" w:space="0" w:color="auto"/>
        <w:right w:val="none" w:sz="0" w:space="0" w:color="auto"/>
      </w:divBdr>
      <w:divsChild>
        <w:div w:id="1604532232">
          <w:marLeft w:val="0"/>
          <w:marRight w:val="0"/>
          <w:marTop w:val="0"/>
          <w:marBottom w:val="0"/>
          <w:divBdr>
            <w:top w:val="none" w:sz="0" w:space="0" w:color="auto"/>
            <w:left w:val="none" w:sz="0" w:space="0" w:color="auto"/>
            <w:bottom w:val="none" w:sz="0" w:space="0" w:color="auto"/>
            <w:right w:val="none" w:sz="0" w:space="0" w:color="auto"/>
          </w:divBdr>
          <w:divsChild>
            <w:div w:id="1127699911">
              <w:marLeft w:val="0"/>
              <w:marRight w:val="0"/>
              <w:marTop w:val="0"/>
              <w:marBottom w:val="0"/>
              <w:divBdr>
                <w:top w:val="none" w:sz="0" w:space="0" w:color="auto"/>
                <w:left w:val="none" w:sz="0" w:space="0" w:color="auto"/>
                <w:bottom w:val="none" w:sz="0" w:space="0" w:color="auto"/>
                <w:right w:val="none" w:sz="0" w:space="0" w:color="auto"/>
              </w:divBdr>
              <w:divsChild>
                <w:div w:id="19594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0082">
      <w:bodyDiv w:val="1"/>
      <w:marLeft w:val="0"/>
      <w:marRight w:val="0"/>
      <w:marTop w:val="0"/>
      <w:marBottom w:val="0"/>
      <w:divBdr>
        <w:top w:val="none" w:sz="0" w:space="0" w:color="auto"/>
        <w:left w:val="none" w:sz="0" w:space="0" w:color="auto"/>
        <w:bottom w:val="none" w:sz="0" w:space="0" w:color="auto"/>
        <w:right w:val="none" w:sz="0" w:space="0" w:color="auto"/>
      </w:divBdr>
      <w:divsChild>
        <w:div w:id="973214613">
          <w:marLeft w:val="0"/>
          <w:marRight w:val="0"/>
          <w:marTop w:val="0"/>
          <w:marBottom w:val="0"/>
          <w:divBdr>
            <w:top w:val="none" w:sz="0" w:space="0" w:color="auto"/>
            <w:left w:val="none" w:sz="0" w:space="0" w:color="auto"/>
            <w:bottom w:val="none" w:sz="0" w:space="0" w:color="auto"/>
            <w:right w:val="none" w:sz="0" w:space="0" w:color="auto"/>
          </w:divBdr>
          <w:divsChild>
            <w:div w:id="70346881">
              <w:marLeft w:val="0"/>
              <w:marRight w:val="0"/>
              <w:marTop w:val="0"/>
              <w:marBottom w:val="0"/>
              <w:divBdr>
                <w:top w:val="none" w:sz="0" w:space="0" w:color="auto"/>
                <w:left w:val="none" w:sz="0" w:space="0" w:color="auto"/>
                <w:bottom w:val="none" w:sz="0" w:space="0" w:color="auto"/>
                <w:right w:val="none" w:sz="0" w:space="0" w:color="auto"/>
              </w:divBdr>
              <w:divsChild>
                <w:div w:id="497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6033">
      <w:bodyDiv w:val="1"/>
      <w:marLeft w:val="0"/>
      <w:marRight w:val="0"/>
      <w:marTop w:val="0"/>
      <w:marBottom w:val="0"/>
      <w:divBdr>
        <w:top w:val="none" w:sz="0" w:space="0" w:color="auto"/>
        <w:left w:val="none" w:sz="0" w:space="0" w:color="auto"/>
        <w:bottom w:val="none" w:sz="0" w:space="0" w:color="auto"/>
        <w:right w:val="none" w:sz="0" w:space="0" w:color="auto"/>
      </w:divBdr>
    </w:div>
    <w:div w:id="1277056662">
      <w:bodyDiv w:val="1"/>
      <w:marLeft w:val="0"/>
      <w:marRight w:val="0"/>
      <w:marTop w:val="0"/>
      <w:marBottom w:val="0"/>
      <w:divBdr>
        <w:top w:val="none" w:sz="0" w:space="0" w:color="auto"/>
        <w:left w:val="none" w:sz="0" w:space="0" w:color="auto"/>
        <w:bottom w:val="none" w:sz="0" w:space="0" w:color="auto"/>
        <w:right w:val="none" w:sz="0" w:space="0" w:color="auto"/>
      </w:divBdr>
    </w:div>
    <w:div w:id="1352337566">
      <w:bodyDiv w:val="1"/>
      <w:marLeft w:val="0"/>
      <w:marRight w:val="0"/>
      <w:marTop w:val="0"/>
      <w:marBottom w:val="0"/>
      <w:divBdr>
        <w:top w:val="none" w:sz="0" w:space="0" w:color="auto"/>
        <w:left w:val="none" w:sz="0" w:space="0" w:color="auto"/>
        <w:bottom w:val="none" w:sz="0" w:space="0" w:color="auto"/>
        <w:right w:val="none" w:sz="0" w:space="0" w:color="auto"/>
      </w:divBdr>
      <w:divsChild>
        <w:div w:id="909537463">
          <w:marLeft w:val="0"/>
          <w:marRight w:val="0"/>
          <w:marTop w:val="0"/>
          <w:marBottom w:val="0"/>
          <w:divBdr>
            <w:top w:val="none" w:sz="0" w:space="0" w:color="auto"/>
            <w:left w:val="none" w:sz="0" w:space="0" w:color="auto"/>
            <w:bottom w:val="none" w:sz="0" w:space="0" w:color="auto"/>
            <w:right w:val="none" w:sz="0" w:space="0" w:color="auto"/>
          </w:divBdr>
          <w:divsChild>
            <w:div w:id="1615752641">
              <w:marLeft w:val="0"/>
              <w:marRight w:val="0"/>
              <w:marTop w:val="0"/>
              <w:marBottom w:val="0"/>
              <w:divBdr>
                <w:top w:val="none" w:sz="0" w:space="0" w:color="auto"/>
                <w:left w:val="none" w:sz="0" w:space="0" w:color="auto"/>
                <w:bottom w:val="none" w:sz="0" w:space="0" w:color="auto"/>
                <w:right w:val="none" w:sz="0" w:space="0" w:color="auto"/>
              </w:divBdr>
              <w:divsChild>
                <w:div w:id="353045727">
                  <w:marLeft w:val="0"/>
                  <w:marRight w:val="0"/>
                  <w:marTop w:val="0"/>
                  <w:marBottom w:val="0"/>
                  <w:divBdr>
                    <w:top w:val="none" w:sz="0" w:space="0" w:color="auto"/>
                    <w:left w:val="none" w:sz="0" w:space="0" w:color="auto"/>
                    <w:bottom w:val="none" w:sz="0" w:space="0" w:color="auto"/>
                    <w:right w:val="none" w:sz="0" w:space="0" w:color="auto"/>
                  </w:divBdr>
                </w:div>
              </w:divsChild>
            </w:div>
            <w:div w:id="2027900167">
              <w:marLeft w:val="0"/>
              <w:marRight w:val="0"/>
              <w:marTop w:val="0"/>
              <w:marBottom w:val="0"/>
              <w:divBdr>
                <w:top w:val="none" w:sz="0" w:space="0" w:color="auto"/>
                <w:left w:val="none" w:sz="0" w:space="0" w:color="auto"/>
                <w:bottom w:val="none" w:sz="0" w:space="0" w:color="auto"/>
                <w:right w:val="none" w:sz="0" w:space="0" w:color="auto"/>
              </w:divBdr>
              <w:divsChild>
                <w:div w:id="13376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72285">
      <w:bodyDiv w:val="1"/>
      <w:marLeft w:val="0"/>
      <w:marRight w:val="0"/>
      <w:marTop w:val="0"/>
      <w:marBottom w:val="0"/>
      <w:divBdr>
        <w:top w:val="none" w:sz="0" w:space="0" w:color="auto"/>
        <w:left w:val="none" w:sz="0" w:space="0" w:color="auto"/>
        <w:bottom w:val="none" w:sz="0" w:space="0" w:color="auto"/>
        <w:right w:val="none" w:sz="0" w:space="0" w:color="auto"/>
      </w:divBdr>
      <w:divsChild>
        <w:div w:id="1838156679">
          <w:marLeft w:val="0"/>
          <w:marRight w:val="0"/>
          <w:marTop w:val="0"/>
          <w:marBottom w:val="0"/>
          <w:divBdr>
            <w:top w:val="none" w:sz="0" w:space="0" w:color="auto"/>
            <w:left w:val="none" w:sz="0" w:space="0" w:color="auto"/>
            <w:bottom w:val="none" w:sz="0" w:space="0" w:color="auto"/>
            <w:right w:val="none" w:sz="0" w:space="0" w:color="auto"/>
          </w:divBdr>
          <w:divsChild>
            <w:div w:id="1405685530">
              <w:marLeft w:val="0"/>
              <w:marRight w:val="0"/>
              <w:marTop w:val="0"/>
              <w:marBottom w:val="0"/>
              <w:divBdr>
                <w:top w:val="none" w:sz="0" w:space="0" w:color="auto"/>
                <w:left w:val="none" w:sz="0" w:space="0" w:color="auto"/>
                <w:bottom w:val="none" w:sz="0" w:space="0" w:color="auto"/>
                <w:right w:val="none" w:sz="0" w:space="0" w:color="auto"/>
              </w:divBdr>
              <w:divsChild>
                <w:div w:id="3089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3816">
      <w:bodyDiv w:val="1"/>
      <w:marLeft w:val="0"/>
      <w:marRight w:val="0"/>
      <w:marTop w:val="0"/>
      <w:marBottom w:val="0"/>
      <w:divBdr>
        <w:top w:val="none" w:sz="0" w:space="0" w:color="auto"/>
        <w:left w:val="none" w:sz="0" w:space="0" w:color="auto"/>
        <w:bottom w:val="none" w:sz="0" w:space="0" w:color="auto"/>
        <w:right w:val="none" w:sz="0" w:space="0" w:color="auto"/>
      </w:divBdr>
      <w:divsChild>
        <w:div w:id="754401156">
          <w:marLeft w:val="0"/>
          <w:marRight w:val="0"/>
          <w:marTop w:val="0"/>
          <w:marBottom w:val="0"/>
          <w:divBdr>
            <w:top w:val="none" w:sz="0" w:space="0" w:color="auto"/>
            <w:left w:val="none" w:sz="0" w:space="0" w:color="auto"/>
            <w:bottom w:val="none" w:sz="0" w:space="0" w:color="auto"/>
            <w:right w:val="none" w:sz="0" w:space="0" w:color="auto"/>
          </w:divBdr>
          <w:divsChild>
            <w:div w:id="980043158">
              <w:marLeft w:val="0"/>
              <w:marRight w:val="0"/>
              <w:marTop w:val="0"/>
              <w:marBottom w:val="0"/>
              <w:divBdr>
                <w:top w:val="none" w:sz="0" w:space="0" w:color="auto"/>
                <w:left w:val="none" w:sz="0" w:space="0" w:color="auto"/>
                <w:bottom w:val="none" w:sz="0" w:space="0" w:color="auto"/>
                <w:right w:val="none" w:sz="0" w:space="0" w:color="auto"/>
              </w:divBdr>
              <w:divsChild>
                <w:div w:id="7860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72950">
      <w:bodyDiv w:val="1"/>
      <w:marLeft w:val="0"/>
      <w:marRight w:val="0"/>
      <w:marTop w:val="0"/>
      <w:marBottom w:val="0"/>
      <w:divBdr>
        <w:top w:val="none" w:sz="0" w:space="0" w:color="auto"/>
        <w:left w:val="none" w:sz="0" w:space="0" w:color="auto"/>
        <w:bottom w:val="none" w:sz="0" w:space="0" w:color="auto"/>
        <w:right w:val="none" w:sz="0" w:space="0" w:color="auto"/>
      </w:divBdr>
    </w:div>
    <w:div w:id="1486313603">
      <w:bodyDiv w:val="1"/>
      <w:marLeft w:val="0"/>
      <w:marRight w:val="0"/>
      <w:marTop w:val="0"/>
      <w:marBottom w:val="0"/>
      <w:divBdr>
        <w:top w:val="none" w:sz="0" w:space="0" w:color="auto"/>
        <w:left w:val="none" w:sz="0" w:space="0" w:color="auto"/>
        <w:bottom w:val="none" w:sz="0" w:space="0" w:color="auto"/>
        <w:right w:val="none" w:sz="0" w:space="0" w:color="auto"/>
      </w:divBdr>
    </w:div>
    <w:div w:id="1586261030">
      <w:bodyDiv w:val="1"/>
      <w:marLeft w:val="0"/>
      <w:marRight w:val="0"/>
      <w:marTop w:val="0"/>
      <w:marBottom w:val="0"/>
      <w:divBdr>
        <w:top w:val="none" w:sz="0" w:space="0" w:color="auto"/>
        <w:left w:val="none" w:sz="0" w:space="0" w:color="auto"/>
        <w:bottom w:val="none" w:sz="0" w:space="0" w:color="auto"/>
        <w:right w:val="none" w:sz="0" w:space="0" w:color="auto"/>
      </w:divBdr>
    </w:div>
    <w:div w:id="1594363249">
      <w:bodyDiv w:val="1"/>
      <w:marLeft w:val="0"/>
      <w:marRight w:val="0"/>
      <w:marTop w:val="0"/>
      <w:marBottom w:val="0"/>
      <w:divBdr>
        <w:top w:val="none" w:sz="0" w:space="0" w:color="auto"/>
        <w:left w:val="none" w:sz="0" w:space="0" w:color="auto"/>
        <w:bottom w:val="none" w:sz="0" w:space="0" w:color="auto"/>
        <w:right w:val="none" w:sz="0" w:space="0" w:color="auto"/>
      </w:divBdr>
    </w:div>
    <w:div w:id="1802841450">
      <w:bodyDiv w:val="1"/>
      <w:marLeft w:val="0"/>
      <w:marRight w:val="0"/>
      <w:marTop w:val="0"/>
      <w:marBottom w:val="0"/>
      <w:divBdr>
        <w:top w:val="none" w:sz="0" w:space="0" w:color="auto"/>
        <w:left w:val="none" w:sz="0" w:space="0" w:color="auto"/>
        <w:bottom w:val="none" w:sz="0" w:space="0" w:color="auto"/>
        <w:right w:val="none" w:sz="0" w:space="0" w:color="auto"/>
      </w:divBdr>
    </w:div>
    <w:div w:id="1947076940">
      <w:bodyDiv w:val="1"/>
      <w:marLeft w:val="0"/>
      <w:marRight w:val="0"/>
      <w:marTop w:val="0"/>
      <w:marBottom w:val="0"/>
      <w:divBdr>
        <w:top w:val="none" w:sz="0" w:space="0" w:color="auto"/>
        <w:left w:val="none" w:sz="0" w:space="0" w:color="auto"/>
        <w:bottom w:val="none" w:sz="0" w:space="0" w:color="auto"/>
        <w:right w:val="none" w:sz="0" w:space="0" w:color="auto"/>
      </w:divBdr>
      <w:divsChild>
        <w:div w:id="1564245921">
          <w:marLeft w:val="0"/>
          <w:marRight w:val="0"/>
          <w:marTop w:val="0"/>
          <w:marBottom w:val="0"/>
          <w:divBdr>
            <w:top w:val="none" w:sz="0" w:space="0" w:color="auto"/>
            <w:left w:val="none" w:sz="0" w:space="0" w:color="auto"/>
            <w:bottom w:val="none" w:sz="0" w:space="0" w:color="auto"/>
            <w:right w:val="none" w:sz="0" w:space="0" w:color="auto"/>
          </w:divBdr>
          <w:divsChild>
            <w:div w:id="1831020916">
              <w:marLeft w:val="0"/>
              <w:marRight w:val="0"/>
              <w:marTop w:val="0"/>
              <w:marBottom w:val="0"/>
              <w:divBdr>
                <w:top w:val="none" w:sz="0" w:space="0" w:color="auto"/>
                <w:left w:val="none" w:sz="0" w:space="0" w:color="auto"/>
                <w:bottom w:val="none" w:sz="0" w:space="0" w:color="auto"/>
                <w:right w:val="none" w:sz="0" w:space="0" w:color="auto"/>
              </w:divBdr>
              <w:divsChild>
                <w:div w:id="1015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0587">
      <w:bodyDiv w:val="1"/>
      <w:marLeft w:val="0"/>
      <w:marRight w:val="0"/>
      <w:marTop w:val="0"/>
      <w:marBottom w:val="0"/>
      <w:divBdr>
        <w:top w:val="none" w:sz="0" w:space="0" w:color="auto"/>
        <w:left w:val="none" w:sz="0" w:space="0" w:color="auto"/>
        <w:bottom w:val="none" w:sz="0" w:space="0" w:color="auto"/>
        <w:right w:val="none" w:sz="0" w:space="0" w:color="auto"/>
      </w:divBdr>
    </w:div>
    <w:div w:id="2016612058">
      <w:bodyDiv w:val="1"/>
      <w:marLeft w:val="0"/>
      <w:marRight w:val="0"/>
      <w:marTop w:val="0"/>
      <w:marBottom w:val="0"/>
      <w:divBdr>
        <w:top w:val="none" w:sz="0" w:space="0" w:color="auto"/>
        <w:left w:val="none" w:sz="0" w:space="0" w:color="auto"/>
        <w:bottom w:val="none" w:sz="0" w:space="0" w:color="auto"/>
        <w:right w:val="none" w:sz="0" w:space="0" w:color="auto"/>
      </w:divBdr>
      <w:divsChild>
        <w:div w:id="456721688">
          <w:marLeft w:val="0"/>
          <w:marRight w:val="0"/>
          <w:marTop w:val="0"/>
          <w:marBottom w:val="0"/>
          <w:divBdr>
            <w:top w:val="none" w:sz="0" w:space="0" w:color="auto"/>
            <w:left w:val="none" w:sz="0" w:space="0" w:color="auto"/>
            <w:bottom w:val="none" w:sz="0" w:space="0" w:color="auto"/>
            <w:right w:val="none" w:sz="0" w:space="0" w:color="auto"/>
          </w:divBdr>
          <w:divsChild>
            <w:div w:id="13652188">
              <w:marLeft w:val="0"/>
              <w:marRight w:val="0"/>
              <w:marTop w:val="0"/>
              <w:marBottom w:val="0"/>
              <w:divBdr>
                <w:top w:val="none" w:sz="0" w:space="0" w:color="auto"/>
                <w:left w:val="none" w:sz="0" w:space="0" w:color="auto"/>
                <w:bottom w:val="none" w:sz="0" w:space="0" w:color="auto"/>
                <w:right w:val="none" w:sz="0" w:space="0" w:color="auto"/>
              </w:divBdr>
              <w:divsChild>
                <w:div w:id="12939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94676">
      <w:bodyDiv w:val="1"/>
      <w:marLeft w:val="0"/>
      <w:marRight w:val="0"/>
      <w:marTop w:val="0"/>
      <w:marBottom w:val="0"/>
      <w:divBdr>
        <w:top w:val="none" w:sz="0" w:space="0" w:color="auto"/>
        <w:left w:val="none" w:sz="0" w:space="0" w:color="auto"/>
        <w:bottom w:val="none" w:sz="0" w:space="0" w:color="auto"/>
        <w:right w:val="none" w:sz="0" w:space="0" w:color="auto"/>
      </w:divBdr>
      <w:divsChild>
        <w:div w:id="1116292918">
          <w:marLeft w:val="0"/>
          <w:marRight w:val="0"/>
          <w:marTop w:val="0"/>
          <w:marBottom w:val="0"/>
          <w:divBdr>
            <w:top w:val="none" w:sz="0" w:space="0" w:color="auto"/>
            <w:left w:val="none" w:sz="0" w:space="0" w:color="auto"/>
            <w:bottom w:val="none" w:sz="0" w:space="0" w:color="auto"/>
            <w:right w:val="none" w:sz="0" w:space="0" w:color="auto"/>
          </w:divBdr>
          <w:divsChild>
            <w:div w:id="623393630">
              <w:marLeft w:val="0"/>
              <w:marRight w:val="0"/>
              <w:marTop w:val="0"/>
              <w:marBottom w:val="0"/>
              <w:divBdr>
                <w:top w:val="none" w:sz="0" w:space="0" w:color="auto"/>
                <w:left w:val="none" w:sz="0" w:space="0" w:color="auto"/>
                <w:bottom w:val="none" w:sz="0" w:space="0" w:color="auto"/>
                <w:right w:val="none" w:sz="0" w:space="0" w:color="auto"/>
              </w:divBdr>
              <w:divsChild>
                <w:div w:id="1212185416">
                  <w:marLeft w:val="0"/>
                  <w:marRight w:val="0"/>
                  <w:marTop w:val="0"/>
                  <w:marBottom w:val="0"/>
                  <w:divBdr>
                    <w:top w:val="none" w:sz="0" w:space="0" w:color="auto"/>
                    <w:left w:val="none" w:sz="0" w:space="0" w:color="auto"/>
                    <w:bottom w:val="none" w:sz="0" w:space="0" w:color="auto"/>
                    <w:right w:val="none" w:sz="0" w:space="0" w:color="auto"/>
                  </w:divBdr>
                </w:div>
              </w:divsChild>
            </w:div>
            <w:div w:id="1655136351">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304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DA6F-F571-4560-83B4-787176A3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10531</Words>
  <Characters>57926</Characters>
  <Application>Microsoft Office Word</Application>
  <DocSecurity>0</DocSecurity>
  <Lines>482</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68321</CharactersWithSpaces>
  <SharedDoc>false</SharedDoc>
  <HLinks>
    <vt:vector size="24" baseType="variant">
      <vt:variant>
        <vt:i4>1900604</vt:i4>
      </vt:variant>
      <vt:variant>
        <vt:i4>14</vt:i4>
      </vt:variant>
      <vt:variant>
        <vt:i4>0</vt:i4>
      </vt:variant>
      <vt:variant>
        <vt:i4>5</vt:i4>
      </vt:variant>
      <vt:variant>
        <vt:lpwstr/>
      </vt:variant>
      <vt:variant>
        <vt:lpwstr>_Toc465840942</vt:lpwstr>
      </vt:variant>
      <vt:variant>
        <vt:i4>1900604</vt:i4>
      </vt:variant>
      <vt:variant>
        <vt:i4>8</vt:i4>
      </vt:variant>
      <vt:variant>
        <vt:i4>0</vt:i4>
      </vt:variant>
      <vt:variant>
        <vt:i4>5</vt:i4>
      </vt:variant>
      <vt:variant>
        <vt:lpwstr/>
      </vt:variant>
      <vt:variant>
        <vt:lpwstr>_Toc465840941</vt:lpwstr>
      </vt:variant>
      <vt:variant>
        <vt:i4>1900604</vt:i4>
      </vt:variant>
      <vt:variant>
        <vt:i4>2</vt:i4>
      </vt:variant>
      <vt:variant>
        <vt:i4>0</vt:i4>
      </vt:variant>
      <vt:variant>
        <vt:i4>5</vt:i4>
      </vt:variant>
      <vt:variant>
        <vt:lpwstr/>
      </vt:variant>
      <vt:variant>
        <vt:lpwstr>_Toc465840940</vt:lpwstr>
      </vt:variant>
      <vt:variant>
        <vt:i4>5242963</vt:i4>
      </vt:variant>
      <vt:variant>
        <vt:i4>0</vt:i4>
      </vt:variant>
      <vt:variant>
        <vt:i4>0</vt:i4>
      </vt:variant>
      <vt:variant>
        <vt:i4>5</vt:i4>
      </vt:variant>
      <vt:variant>
        <vt:lpwstr>http://www.corteidh.or.cr/docs/casos/articulos/seriec_304_esp.pdf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3</cp:revision>
  <cp:lastPrinted>2019-07-19T22:20:00Z</cp:lastPrinted>
  <dcterms:created xsi:type="dcterms:W3CDTF">2019-07-19T22:20:00Z</dcterms:created>
  <dcterms:modified xsi:type="dcterms:W3CDTF">2019-07-19T22:20:00Z</dcterms:modified>
</cp:coreProperties>
</file>