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730E0" w14:textId="77777777" w:rsidR="00B774AB" w:rsidRDefault="00B774AB" w:rsidP="00E4192C">
      <w:pPr>
        <w:jc w:val="center"/>
        <w:rPr>
          <w:rFonts w:ascii="Verdana" w:hAnsi="Verdana"/>
          <w:b/>
          <w:sz w:val="20"/>
          <w:szCs w:val="20"/>
          <w:lang w:val="es-CR"/>
        </w:rPr>
      </w:pPr>
      <w:bookmarkStart w:id="0" w:name="_GoBack"/>
      <w:bookmarkEnd w:id="0"/>
    </w:p>
    <w:p w14:paraId="703AAB68" w14:textId="77777777" w:rsidR="00B774AB" w:rsidRDefault="00B774AB" w:rsidP="00E4192C">
      <w:pPr>
        <w:jc w:val="center"/>
        <w:rPr>
          <w:rFonts w:ascii="Verdana" w:hAnsi="Verdana"/>
          <w:b/>
          <w:sz w:val="20"/>
          <w:szCs w:val="20"/>
          <w:lang w:val="es-CR"/>
        </w:rPr>
      </w:pPr>
    </w:p>
    <w:p w14:paraId="15CEB12A" w14:textId="77777777" w:rsidR="00B774AB" w:rsidRDefault="00B774AB" w:rsidP="00E4192C">
      <w:pPr>
        <w:jc w:val="center"/>
        <w:rPr>
          <w:rFonts w:ascii="Verdana" w:hAnsi="Verdana"/>
          <w:b/>
          <w:sz w:val="20"/>
          <w:szCs w:val="20"/>
          <w:lang w:val="es-CR"/>
        </w:rPr>
      </w:pPr>
    </w:p>
    <w:p w14:paraId="356F5FD1" w14:textId="77777777" w:rsidR="00B774AB" w:rsidRDefault="00B774AB" w:rsidP="00E4192C">
      <w:pPr>
        <w:jc w:val="center"/>
        <w:rPr>
          <w:rFonts w:ascii="Verdana" w:hAnsi="Verdana"/>
          <w:b/>
          <w:sz w:val="20"/>
          <w:szCs w:val="20"/>
          <w:lang w:val="es-CR"/>
        </w:rPr>
      </w:pPr>
    </w:p>
    <w:p w14:paraId="0CBB9A50" w14:textId="77777777" w:rsidR="00B774AB" w:rsidRDefault="00B774AB" w:rsidP="00E4192C">
      <w:pPr>
        <w:jc w:val="center"/>
        <w:rPr>
          <w:rFonts w:ascii="Verdana" w:hAnsi="Verdana"/>
          <w:b/>
          <w:sz w:val="20"/>
          <w:szCs w:val="20"/>
          <w:lang w:val="es-CR"/>
        </w:rPr>
      </w:pPr>
    </w:p>
    <w:p w14:paraId="141BAA2F" w14:textId="77777777" w:rsidR="00B774AB" w:rsidRDefault="00B774AB" w:rsidP="00E4192C">
      <w:pPr>
        <w:jc w:val="center"/>
        <w:rPr>
          <w:rFonts w:ascii="Verdana" w:hAnsi="Verdana"/>
          <w:b/>
          <w:sz w:val="20"/>
          <w:szCs w:val="20"/>
          <w:lang w:val="es-CR"/>
        </w:rPr>
      </w:pPr>
    </w:p>
    <w:p w14:paraId="00EFE050" w14:textId="77777777" w:rsidR="00D76230" w:rsidRDefault="00D76230" w:rsidP="00E4192C">
      <w:pPr>
        <w:jc w:val="center"/>
        <w:rPr>
          <w:rFonts w:ascii="Verdana" w:hAnsi="Verdana"/>
          <w:b/>
          <w:sz w:val="20"/>
          <w:szCs w:val="20"/>
          <w:lang w:val="es-CR"/>
        </w:rPr>
      </w:pPr>
    </w:p>
    <w:p w14:paraId="045C8C9E" w14:textId="77777777" w:rsidR="00C1515A" w:rsidRPr="00E4192C" w:rsidRDefault="00C1515A" w:rsidP="00E4192C">
      <w:pPr>
        <w:jc w:val="center"/>
        <w:rPr>
          <w:rFonts w:ascii="Verdana" w:hAnsi="Verdana"/>
          <w:b/>
          <w:color w:val="00B050"/>
          <w:sz w:val="16"/>
          <w:szCs w:val="16"/>
          <w:lang w:val="es-CR"/>
        </w:rPr>
      </w:pPr>
      <w:r>
        <w:rPr>
          <w:rFonts w:ascii="Verdana" w:hAnsi="Verdana"/>
          <w:b/>
          <w:sz w:val="20"/>
          <w:szCs w:val="20"/>
          <w:lang w:val="es-CR"/>
        </w:rPr>
        <w:t xml:space="preserve">RESOLUCIÓN DE LA </w:t>
      </w:r>
    </w:p>
    <w:p w14:paraId="6D8B3E12" w14:textId="77777777" w:rsidR="00C1515A" w:rsidRDefault="00C1515A" w:rsidP="00C1515A">
      <w:pPr>
        <w:spacing w:after="0" w:line="240" w:lineRule="auto"/>
        <w:jc w:val="center"/>
        <w:rPr>
          <w:rFonts w:ascii="Verdana" w:hAnsi="Verdana"/>
          <w:b/>
          <w:sz w:val="20"/>
          <w:szCs w:val="20"/>
          <w:lang w:val="es-CR"/>
        </w:rPr>
      </w:pPr>
      <w:r>
        <w:rPr>
          <w:rFonts w:ascii="Verdana" w:hAnsi="Verdana"/>
          <w:b/>
          <w:sz w:val="20"/>
          <w:szCs w:val="20"/>
          <w:lang w:val="es-CR"/>
        </w:rPr>
        <w:t>CORTE INTERAMERICANA DE DERECHOS HUMANOS</w:t>
      </w:r>
      <w:r w:rsidR="003250E8">
        <w:rPr>
          <w:rStyle w:val="FootnoteReference"/>
          <w:rFonts w:ascii="Verdana" w:hAnsi="Verdana"/>
          <w:b/>
          <w:sz w:val="20"/>
          <w:lang w:val="es-MX"/>
        </w:rPr>
        <w:footnoteReference w:customMarkFollows="1" w:id="1"/>
        <w:t>*</w:t>
      </w:r>
    </w:p>
    <w:p w14:paraId="11D92CFB" w14:textId="77777777" w:rsidR="00C1515A" w:rsidRDefault="00C1515A" w:rsidP="00C1515A">
      <w:pPr>
        <w:spacing w:after="0" w:line="240" w:lineRule="auto"/>
        <w:jc w:val="center"/>
        <w:rPr>
          <w:rFonts w:ascii="Verdana" w:hAnsi="Verdana"/>
          <w:b/>
          <w:sz w:val="20"/>
          <w:szCs w:val="20"/>
          <w:lang w:val="es-CR"/>
        </w:rPr>
      </w:pPr>
    </w:p>
    <w:p w14:paraId="539F5726" w14:textId="77777777" w:rsidR="00C1515A" w:rsidRDefault="00C1515A" w:rsidP="00C1515A">
      <w:pPr>
        <w:spacing w:after="0" w:line="240" w:lineRule="auto"/>
        <w:jc w:val="center"/>
        <w:rPr>
          <w:rFonts w:ascii="Verdana" w:hAnsi="Verdana"/>
          <w:b/>
          <w:sz w:val="20"/>
          <w:szCs w:val="20"/>
          <w:lang w:val="es-CR"/>
        </w:rPr>
      </w:pPr>
      <w:r>
        <w:rPr>
          <w:rFonts w:ascii="Verdana" w:hAnsi="Verdana"/>
          <w:b/>
          <w:sz w:val="20"/>
          <w:szCs w:val="20"/>
          <w:lang w:val="es-CR"/>
        </w:rPr>
        <w:t xml:space="preserve">DE </w:t>
      </w:r>
      <w:r w:rsidR="00800C3E">
        <w:rPr>
          <w:rFonts w:ascii="Verdana" w:hAnsi="Verdana"/>
          <w:b/>
          <w:sz w:val="20"/>
          <w:szCs w:val="20"/>
          <w:lang w:val="es-CR"/>
        </w:rPr>
        <w:t>14</w:t>
      </w:r>
      <w:r>
        <w:rPr>
          <w:rFonts w:ascii="Verdana" w:hAnsi="Verdana"/>
          <w:b/>
          <w:sz w:val="20"/>
          <w:szCs w:val="20"/>
          <w:lang w:val="es-CR"/>
        </w:rPr>
        <w:t xml:space="preserve"> DE MARZO DE 2018</w:t>
      </w:r>
    </w:p>
    <w:p w14:paraId="22DF2EF6" w14:textId="77777777" w:rsidR="00C1515A" w:rsidRDefault="00C1515A" w:rsidP="00C1515A">
      <w:pPr>
        <w:spacing w:after="0" w:line="240" w:lineRule="auto"/>
        <w:jc w:val="center"/>
        <w:rPr>
          <w:rFonts w:ascii="Verdana" w:hAnsi="Verdana"/>
          <w:b/>
          <w:sz w:val="20"/>
          <w:szCs w:val="20"/>
          <w:lang w:val="es-CR"/>
        </w:rPr>
      </w:pPr>
    </w:p>
    <w:p w14:paraId="67196B42" w14:textId="77777777" w:rsidR="00C1515A" w:rsidRDefault="00C1515A" w:rsidP="00F86987">
      <w:pPr>
        <w:spacing w:after="0" w:line="240" w:lineRule="auto"/>
        <w:jc w:val="center"/>
        <w:rPr>
          <w:rFonts w:ascii="Verdana" w:hAnsi="Verdana"/>
          <w:b/>
          <w:sz w:val="20"/>
          <w:szCs w:val="20"/>
          <w:lang w:val="es-CR"/>
        </w:rPr>
      </w:pPr>
      <w:r>
        <w:rPr>
          <w:rFonts w:ascii="Verdana" w:hAnsi="Verdana"/>
          <w:b/>
          <w:sz w:val="20"/>
          <w:szCs w:val="20"/>
          <w:lang w:val="es-CR"/>
        </w:rPr>
        <w:t xml:space="preserve">CASO </w:t>
      </w:r>
      <w:r w:rsidR="00107634">
        <w:rPr>
          <w:rFonts w:ascii="Verdana" w:hAnsi="Verdana"/>
          <w:b/>
          <w:sz w:val="20"/>
          <w:szCs w:val="20"/>
          <w:lang w:val="es-CR"/>
        </w:rPr>
        <w:t>MASACRES DE RÍO NEGRO</w:t>
      </w:r>
      <w:r>
        <w:rPr>
          <w:rFonts w:ascii="Verdana" w:hAnsi="Verdana"/>
          <w:b/>
          <w:sz w:val="20"/>
          <w:szCs w:val="20"/>
          <w:lang w:val="es-CR"/>
        </w:rPr>
        <w:t xml:space="preserve"> VS. </w:t>
      </w:r>
      <w:r w:rsidR="00107634">
        <w:rPr>
          <w:rFonts w:ascii="Verdana" w:hAnsi="Verdana"/>
          <w:b/>
          <w:sz w:val="20"/>
          <w:szCs w:val="20"/>
          <w:lang w:val="es-CR"/>
        </w:rPr>
        <w:t>GUATEMALA</w:t>
      </w:r>
    </w:p>
    <w:p w14:paraId="55349F4A" w14:textId="77777777" w:rsidR="00F86987" w:rsidRDefault="00F86987" w:rsidP="00F86987">
      <w:pPr>
        <w:spacing w:after="0" w:line="240" w:lineRule="auto"/>
        <w:jc w:val="center"/>
        <w:rPr>
          <w:rFonts w:ascii="Verdana" w:hAnsi="Verdana"/>
          <w:b/>
          <w:sz w:val="20"/>
          <w:szCs w:val="20"/>
          <w:lang w:val="es-CR"/>
        </w:rPr>
      </w:pPr>
    </w:p>
    <w:p w14:paraId="5ECFAB54" w14:textId="77777777" w:rsidR="00C1515A" w:rsidRDefault="00C1515A" w:rsidP="00C1515A">
      <w:pPr>
        <w:spacing w:after="0" w:line="240" w:lineRule="auto"/>
        <w:jc w:val="center"/>
        <w:rPr>
          <w:rFonts w:ascii="Verdana" w:hAnsi="Verdana"/>
          <w:b/>
          <w:sz w:val="20"/>
          <w:szCs w:val="20"/>
          <w:lang w:val="es-CR"/>
        </w:rPr>
      </w:pPr>
      <w:r>
        <w:rPr>
          <w:rFonts w:ascii="Verdana" w:hAnsi="Verdana"/>
          <w:b/>
          <w:sz w:val="20"/>
          <w:szCs w:val="20"/>
          <w:lang w:val="es-CR"/>
        </w:rPr>
        <w:t>SUPERVISIÓN DE CUMPLIMIENTO DE SENTENCIA</w:t>
      </w:r>
    </w:p>
    <w:p w14:paraId="5FECA05D" w14:textId="77777777" w:rsidR="00C1515A" w:rsidRDefault="00C1515A" w:rsidP="00C1515A">
      <w:pPr>
        <w:spacing w:after="0" w:line="240" w:lineRule="auto"/>
        <w:rPr>
          <w:rFonts w:ascii="Verdana" w:hAnsi="Verdana"/>
          <w:b/>
          <w:sz w:val="20"/>
          <w:szCs w:val="20"/>
          <w:lang w:val="es-CR"/>
        </w:rPr>
      </w:pPr>
    </w:p>
    <w:p w14:paraId="13D0EA60" w14:textId="77777777" w:rsidR="00C1515A" w:rsidRDefault="00C1515A" w:rsidP="00C1515A">
      <w:pPr>
        <w:spacing w:after="0" w:line="240" w:lineRule="auto"/>
        <w:rPr>
          <w:rFonts w:ascii="Verdana" w:hAnsi="Verdana"/>
          <w:b/>
          <w:sz w:val="20"/>
          <w:szCs w:val="20"/>
          <w:lang w:val="es-CR"/>
        </w:rPr>
      </w:pPr>
      <w:r>
        <w:rPr>
          <w:rFonts w:ascii="Verdana" w:hAnsi="Verdana"/>
          <w:b/>
          <w:sz w:val="20"/>
          <w:szCs w:val="20"/>
          <w:lang w:val="es-CR"/>
        </w:rPr>
        <w:t xml:space="preserve">VISTO: </w:t>
      </w:r>
    </w:p>
    <w:p w14:paraId="50BC2F81" w14:textId="77777777" w:rsidR="00C1515A" w:rsidRDefault="00C1515A" w:rsidP="00C1515A">
      <w:pPr>
        <w:spacing w:after="0" w:line="240" w:lineRule="auto"/>
        <w:rPr>
          <w:rFonts w:ascii="Verdana" w:hAnsi="Verdana"/>
          <w:sz w:val="20"/>
          <w:szCs w:val="20"/>
          <w:lang w:val="es-CR"/>
        </w:rPr>
      </w:pPr>
    </w:p>
    <w:p w14:paraId="5E773E67" w14:textId="5D1B68D8" w:rsidR="00C1515A" w:rsidRPr="00107634" w:rsidRDefault="00C1515A" w:rsidP="00107634">
      <w:pPr>
        <w:pStyle w:val="ListParagraph"/>
        <w:numPr>
          <w:ilvl w:val="0"/>
          <w:numId w:val="1"/>
        </w:numPr>
        <w:spacing w:after="0" w:line="240" w:lineRule="auto"/>
        <w:ind w:left="0" w:firstLine="0"/>
        <w:jc w:val="both"/>
        <w:rPr>
          <w:rFonts w:ascii="Verdana" w:hAnsi="Verdana"/>
          <w:sz w:val="20"/>
          <w:szCs w:val="20"/>
          <w:lang w:val="es-CR"/>
        </w:rPr>
      </w:pPr>
      <w:r w:rsidRPr="00107634">
        <w:rPr>
          <w:rFonts w:ascii="Verdana" w:hAnsi="Verdana"/>
          <w:sz w:val="20"/>
          <w:szCs w:val="20"/>
          <w:lang w:val="es-CR"/>
        </w:rPr>
        <w:t xml:space="preserve">La Sentencia de </w:t>
      </w:r>
      <w:r w:rsidR="00107634" w:rsidRPr="00107634">
        <w:rPr>
          <w:rFonts w:ascii="Verdana" w:hAnsi="Verdana"/>
          <w:sz w:val="20"/>
          <w:szCs w:val="20"/>
          <w:lang w:val="es-CR"/>
        </w:rPr>
        <w:t xml:space="preserve">excepción preliminar, </w:t>
      </w:r>
      <w:r w:rsidRPr="00107634">
        <w:rPr>
          <w:rFonts w:ascii="Verdana" w:hAnsi="Verdana"/>
          <w:sz w:val="20"/>
          <w:szCs w:val="20"/>
          <w:lang w:val="es-CR"/>
        </w:rPr>
        <w:t xml:space="preserve">fondo, reparaciones y costas (en adelante “la Sentencia”) dictada por la Corte Interamericana de Derechos Humanos (en adelante “la Corte Interamericana”, “la Corte” o “el Tribunal”) el </w:t>
      </w:r>
      <w:r w:rsidR="00107634" w:rsidRPr="00107634">
        <w:rPr>
          <w:rFonts w:ascii="Verdana" w:hAnsi="Verdana"/>
          <w:sz w:val="20"/>
          <w:szCs w:val="20"/>
          <w:lang w:val="es-CR"/>
        </w:rPr>
        <w:t>4 de septiembre</w:t>
      </w:r>
      <w:r w:rsidRPr="00107634">
        <w:rPr>
          <w:rFonts w:ascii="Verdana" w:hAnsi="Verdana"/>
          <w:sz w:val="20"/>
          <w:szCs w:val="20"/>
          <w:lang w:val="es-CR"/>
        </w:rPr>
        <w:t xml:space="preserve"> de 2012</w:t>
      </w:r>
      <w:r>
        <w:rPr>
          <w:rStyle w:val="FootnoteReference"/>
          <w:rFonts w:ascii="Verdana" w:hAnsi="Verdana"/>
          <w:sz w:val="20"/>
          <w:szCs w:val="20"/>
          <w:lang w:val="es-CR"/>
        </w:rPr>
        <w:footnoteReference w:id="2"/>
      </w:r>
      <w:r w:rsidRPr="00107634">
        <w:rPr>
          <w:rFonts w:ascii="Verdana" w:hAnsi="Verdana"/>
          <w:sz w:val="20"/>
          <w:szCs w:val="20"/>
          <w:lang w:val="es-CR"/>
        </w:rPr>
        <w:t xml:space="preserve">. </w:t>
      </w:r>
      <w:r w:rsidR="00F86987">
        <w:rPr>
          <w:rFonts w:ascii="Verdana" w:hAnsi="Verdana"/>
          <w:sz w:val="20"/>
          <w:szCs w:val="20"/>
          <w:lang w:val="es-CR"/>
        </w:rPr>
        <w:t>T</w:t>
      </w:r>
      <w:r w:rsidR="00107634" w:rsidRPr="00107634">
        <w:rPr>
          <w:rFonts w:ascii="Verdana" w:hAnsi="Verdana"/>
          <w:sz w:val="20"/>
          <w:szCs w:val="20"/>
          <w:lang w:val="es-CR"/>
        </w:rPr>
        <w:t xml:space="preserve">omando en cuenta el reconocimiento de responsabilidad parcial efectuado por la República de Guatemala (en adelante “el Estado” o “Guatemala”), </w:t>
      </w:r>
      <w:r w:rsidR="00F86987">
        <w:rPr>
          <w:rFonts w:ascii="Verdana" w:hAnsi="Verdana"/>
          <w:sz w:val="20"/>
          <w:szCs w:val="20"/>
          <w:lang w:val="es-CR"/>
        </w:rPr>
        <w:t xml:space="preserve">la Corte </w:t>
      </w:r>
      <w:r w:rsidR="00131521">
        <w:rPr>
          <w:rFonts w:ascii="Verdana" w:hAnsi="Verdana"/>
          <w:sz w:val="20"/>
          <w:szCs w:val="20"/>
          <w:lang w:val="es-CR"/>
        </w:rPr>
        <w:t xml:space="preserve">lo </w:t>
      </w:r>
      <w:r w:rsidR="00107634" w:rsidRPr="00107634">
        <w:rPr>
          <w:rFonts w:ascii="Verdana" w:hAnsi="Verdana"/>
          <w:sz w:val="20"/>
          <w:szCs w:val="20"/>
          <w:lang w:val="es-CR"/>
        </w:rPr>
        <w:t>declaró responsable internacionalmente por la</w:t>
      </w:r>
      <w:r w:rsidR="00695785">
        <w:rPr>
          <w:rFonts w:ascii="Verdana" w:hAnsi="Verdana"/>
          <w:sz w:val="20"/>
          <w:szCs w:val="20"/>
          <w:lang w:val="es-CR"/>
        </w:rPr>
        <w:t>s desapariciones</w:t>
      </w:r>
      <w:r w:rsidR="00107634" w:rsidRPr="00107634">
        <w:rPr>
          <w:rFonts w:ascii="Verdana" w:hAnsi="Verdana"/>
          <w:sz w:val="20"/>
          <w:szCs w:val="20"/>
          <w:lang w:val="es-CR"/>
        </w:rPr>
        <w:t xml:space="preserve"> forzada</w:t>
      </w:r>
      <w:r w:rsidR="00695785">
        <w:rPr>
          <w:rFonts w:ascii="Verdana" w:hAnsi="Verdana"/>
          <w:sz w:val="20"/>
          <w:szCs w:val="20"/>
          <w:lang w:val="es-CR"/>
        </w:rPr>
        <w:t>s</w:t>
      </w:r>
      <w:r w:rsidR="00107634" w:rsidRPr="00107634">
        <w:rPr>
          <w:rFonts w:ascii="Verdana" w:hAnsi="Verdana"/>
          <w:sz w:val="20"/>
          <w:szCs w:val="20"/>
          <w:lang w:val="es-CR"/>
        </w:rPr>
        <w:t xml:space="preserve"> de</w:t>
      </w:r>
      <w:r w:rsidR="00695785">
        <w:rPr>
          <w:rFonts w:ascii="Verdana" w:hAnsi="Verdana"/>
          <w:sz w:val="20"/>
          <w:szCs w:val="20"/>
          <w:lang w:val="es-CR"/>
        </w:rPr>
        <w:t xml:space="preserve"> 16 personas</w:t>
      </w:r>
      <w:r w:rsidR="00695785">
        <w:rPr>
          <w:rStyle w:val="FootnoteReference"/>
          <w:rFonts w:ascii="Verdana" w:hAnsi="Verdana"/>
          <w:sz w:val="20"/>
          <w:szCs w:val="20"/>
          <w:lang w:val="es-CR"/>
        </w:rPr>
        <w:footnoteReference w:id="3"/>
      </w:r>
      <w:r w:rsidR="00695785">
        <w:rPr>
          <w:rFonts w:ascii="Verdana" w:hAnsi="Verdana"/>
          <w:sz w:val="20"/>
          <w:szCs w:val="20"/>
          <w:lang w:val="es-CR"/>
        </w:rPr>
        <w:t xml:space="preserve">, ocurridas </w:t>
      </w:r>
      <w:r w:rsidR="00107634" w:rsidRPr="00107634">
        <w:rPr>
          <w:rFonts w:ascii="Verdana" w:hAnsi="Verdana"/>
          <w:sz w:val="20"/>
          <w:szCs w:val="20"/>
          <w:lang w:val="es-CR"/>
        </w:rPr>
        <w:t>en el marco de cinco masacres perpetradas entre los años 1980 y 1982, durante el conflicto armado, en contra de los miembr</w:t>
      </w:r>
      <w:r w:rsidR="00695785">
        <w:rPr>
          <w:rFonts w:ascii="Verdana" w:hAnsi="Verdana"/>
          <w:sz w:val="20"/>
          <w:szCs w:val="20"/>
          <w:lang w:val="es-CR"/>
        </w:rPr>
        <w:t>os de la comunidad de Río Negro</w:t>
      </w:r>
      <w:r w:rsidR="00131521">
        <w:rPr>
          <w:rFonts w:ascii="Verdana" w:hAnsi="Verdana"/>
          <w:sz w:val="20"/>
          <w:szCs w:val="20"/>
          <w:lang w:val="es-CR"/>
        </w:rPr>
        <w:t>, “enmarca[da</w:t>
      </w:r>
      <w:r w:rsidR="00131521" w:rsidRPr="00107634">
        <w:rPr>
          <w:rFonts w:ascii="Verdana" w:hAnsi="Verdana"/>
          <w:sz w:val="20"/>
          <w:szCs w:val="20"/>
          <w:lang w:val="es-CR"/>
        </w:rPr>
        <w:t>s] dentro de una política de Estado de ‘tierra arrasada’ dirigida hacia la destrucción total de dicha comunidad”.</w:t>
      </w:r>
      <w:r w:rsidR="00695785">
        <w:rPr>
          <w:rFonts w:ascii="Verdana" w:hAnsi="Verdana"/>
          <w:sz w:val="20"/>
          <w:szCs w:val="20"/>
          <w:lang w:val="es-CR"/>
        </w:rPr>
        <w:t xml:space="preserve"> También se determinó la responsabilidad estatal </w:t>
      </w:r>
      <w:r w:rsidR="00107634" w:rsidRPr="00107634">
        <w:rPr>
          <w:rFonts w:ascii="Verdana" w:hAnsi="Verdana"/>
          <w:sz w:val="20"/>
          <w:szCs w:val="20"/>
          <w:lang w:val="es-CR"/>
        </w:rPr>
        <w:t>por la falta de investigación de tales hechos. Asimismo, la Corte determinó que el Estado era responsable por las consecuencias de las violaciones sexuales sufridas por la señora María Eustaquia Uscap Ivoy por parte de militares y patrulleros</w:t>
      </w:r>
      <w:r w:rsidR="00F85C4F" w:rsidRPr="00F85C4F">
        <w:rPr>
          <w:rFonts w:ascii="Verdana" w:hAnsi="Verdana"/>
          <w:sz w:val="20"/>
          <w:szCs w:val="20"/>
          <w:lang w:val="es-CR"/>
        </w:rPr>
        <w:t xml:space="preserve"> </w:t>
      </w:r>
      <w:r w:rsidR="00F85C4F" w:rsidRPr="00107634">
        <w:rPr>
          <w:rFonts w:ascii="Verdana" w:hAnsi="Verdana"/>
          <w:sz w:val="20"/>
          <w:szCs w:val="20"/>
          <w:lang w:val="es-CR"/>
        </w:rPr>
        <w:t>de las autodefensas civiles</w:t>
      </w:r>
      <w:r w:rsidR="00107634" w:rsidRPr="00107634">
        <w:rPr>
          <w:rFonts w:ascii="Verdana" w:hAnsi="Verdana"/>
          <w:sz w:val="20"/>
          <w:szCs w:val="20"/>
          <w:lang w:val="es-CR"/>
        </w:rPr>
        <w:t xml:space="preserve">. </w:t>
      </w:r>
      <w:r w:rsidR="00F86987">
        <w:rPr>
          <w:rFonts w:ascii="Verdana" w:hAnsi="Verdana"/>
          <w:sz w:val="20"/>
          <w:szCs w:val="20"/>
          <w:lang w:val="es-CR"/>
        </w:rPr>
        <w:t>T</w:t>
      </w:r>
      <w:r w:rsidR="00107634" w:rsidRPr="00107634">
        <w:rPr>
          <w:rFonts w:ascii="Verdana" w:hAnsi="Verdana"/>
          <w:sz w:val="20"/>
          <w:szCs w:val="20"/>
          <w:lang w:val="es-CR"/>
        </w:rPr>
        <w:t xml:space="preserve">ambién se declaró a Guatemala responsable por la sustracción de niños y niñas de la comunidad de Río Negro durante la masacre de Pacoxom y por obligarlos a trabajar en casas de patrulleros, provocando un impacto agravado en la integridad psíquica de esas personas. </w:t>
      </w:r>
      <w:r w:rsidR="00796DDB">
        <w:rPr>
          <w:rFonts w:ascii="Verdana" w:hAnsi="Verdana"/>
          <w:sz w:val="20"/>
          <w:szCs w:val="20"/>
          <w:lang w:val="es-CR"/>
        </w:rPr>
        <w:t xml:space="preserve">También se </w:t>
      </w:r>
      <w:r w:rsidR="00107634" w:rsidRPr="00107634">
        <w:rPr>
          <w:rFonts w:ascii="Verdana" w:hAnsi="Verdana"/>
          <w:sz w:val="20"/>
          <w:szCs w:val="20"/>
          <w:lang w:val="es-CR"/>
        </w:rPr>
        <w:t xml:space="preserve">encontró a Guatemala responsable por el deterioro en la calidad de vida de los miembros de la comunidad de Río Negro, provocado por </w:t>
      </w:r>
      <w:r w:rsidR="00F86987">
        <w:rPr>
          <w:rFonts w:ascii="Verdana" w:hAnsi="Verdana"/>
          <w:sz w:val="20"/>
          <w:szCs w:val="20"/>
          <w:lang w:val="es-CR"/>
        </w:rPr>
        <w:t xml:space="preserve">su </w:t>
      </w:r>
      <w:r w:rsidR="00107634" w:rsidRPr="00107634">
        <w:rPr>
          <w:rFonts w:ascii="Verdana" w:hAnsi="Verdana"/>
          <w:sz w:val="20"/>
          <w:szCs w:val="20"/>
          <w:lang w:val="es-CR"/>
        </w:rPr>
        <w:t xml:space="preserve">desplazamiento </w:t>
      </w:r>
      <w:r w:rsidR="00F86987">
        <w:rPr>
          <w:rFonts w:ascii="Verdana" w:hAnsi="Verdana"/>
          <w:sz w:val="20"/>
          <w:szCs w:val="20"/>
          <w:lang w:val="es-CR"/>
        </w:rPr>
        <w:t xml:space="preserve">y </w:t>
      </w:r>
      <w:r w:rsidR="00107634" w:rsidRPr="00107634">
        <w:rPr>
          <w:rFonts w:ascii="Verdana" w:hAnsi="Verdana"/>
          <w:sz w:val="20"/>
          <w:szCs w:val="20"/>
          <w:lang w:val="es-CR"/>
        </w:rPr>
        <w:t xml:space="preserve">reasentamiento en la </w:t>
      </w:r>
      <w:r w:rsidR="00107634" w:rsidRPr="00107634">
        <w:rPr>
          <w:rFonts w:ascii="Verdana" w:hAnsi="Verdana"/>
          <w:sz w:val="20"/>
          <w:szCs w:val="20"/>
          <w:lang w:val="es-CR"/>
        </w:rPr>
        <w:lastRenderedPageBreak/>
        <w:t xml:space="preserve">Colonia Pacux en condiciones precarias, lo cual </w:t>
      </w:r>
      <w:r w:rsidR="00F86987">
        <w:rPr>
          <w:rFonts w:ascii="Verdana" w:hAnsi="Verdana"/>
          <w:sz w:val="20"/>
          <w:szCs w:val="20"/>
          <w:lang w:val="es-CR"/>
        </w:rPr>
        <w:t>generó</w:t>
      </w:r>
      <w:r w:rsidR="00107634" w:rsidRPr="00107634">
        <w:rPr>
          <w:rFonts w:ascii="Verdana" w:hAnsi="Verdana"/>
          <w:sz w:val="20"/>
          <w:szCs w:val="20"/>
          <w:lang w:val="es-CR"/>
        </w:rPr>
        <w:t xml:space="preserve"> destrucc</w:t>
      </w:r>
      <w:r w:rsidR="00F86987">
        <w:rPr>
          <w:rFonts w:ascii="Verdana" w:hAnsi="Verdana"/>
          <w:sz w:val="20"/>
          <w:szCs w:val="20"/>
          <w:lang w:val="es-CR"/>
        </w:rPr>
        <w:t xml:space="preserve">ión de su estructura social, </w:t>
      </w:r>
      <w:r w:rsidR="00107634" w:rsidRPr="00107634">
        <w:rPr>
          <w:rFonts w:ascii="Verdana" w:hAnsi="Verdana"/>
          <w:sz w:val="20"/>
          <w:szCs w:val="20"/>
          <w:lang w:val="es-CR"/>
        </w:rPr>
        <w:t xml:space="preserve">desintegración familiar y la pérdida de sus prácticas culturales y tradicionales. Finalmente, la Corte encontró a Guatemala responsable por el sufrimiento </w:t>
      </w:r>
      <w:r w:rsidR="00F86987">
        <w:rPr>
          <w:rFonts w:ascii="Verdana" w:hAnsi="Verdana"/>
          <w:sz w:val="20"/>
          <w:szCs w:val="20"/>
          <w:lang w:val="es-CR"/>
        </w:rPr>
        <w:t xml:space="preserve">de </w:t>
      </w:r>
      <w:r w:rsidR="00107634" w:rsidRPr="00107634">
        <w:rPr>
          <w:rFonts w:ascii="Verdana" w:hAnsi="Verdana"/>
          <w:sz w:val="20"/>
          <w:szCs w:val="20"/>
          <w:lang w:val="es-CR"/>
        </w:rPr>
        <w:t>las víctimas</w:t>
      </w:r>
      <w:r w:rsidR="00F86987">
        <w:rPr>
          <w:rFonts w:ascii="Verdana" w:hAnsi="Verdana"/>
          <w:sz w:val="20"/>
          <w:szCs w:val="20"/>
          <w:lang w:val="es-CR"/>
        </w:rPr>
        <w:t xml:space="preserve"> sobrevivientes de las masacres, </w:t>
      </w:r>
      <w:r w:rsidR="00107634" w:rsidRPr="00107634">
        <w:rPr>
          <w:rFonts w:ascii="Verdana" w:hAnsi="Verdana"/>
          <w:sz w:val="20"/>
          <w:szCs w:val="20"/>
          <w:lang w:val="es-CR"/>
        </w:rPr>
        <w:t>resultado de la impunidad</w:t>
      </w:r>
      <w:r w:rsidR="00131521">
        <w:rPr>
          <w:rFonts w:ascii="Verdana" w:hAnsi="Verdana"/>
          <w:sz w:val="20"/>
          <w:szCs w:val="20"/>
          <w:lang w:val="es-CR"/>
        </w:rPr>
        <w:t>.</w:t>
      </w:r>
      <w:r w:rsidR="00107634" w:rsidRPr="00107634">
        <w:rPr>
          <w:rFonts w:ascii="Verdana" w:hAnsi="Verdana"/>
          <w:sz w:val="20"/>
          <w:szCs w:val="20"/>
          <w:lang w:val="es-CR"/>
        </w:rPr>
        <w:t xml:space="preserve"> La Corte estableció que su Sentencia constituye por sí misma una forma de reparación y, además, ordenó al Estado</w:t>
      </w:r>
      <w:r w:rsidR="00107634">
        <w:rPr>
          <w:rFonts w:ascii="Verdana" w:hAnsi="Verdana"/>
          <w:sz w:val="20"/>
          <w:szCs w:val="20"/>
          <w:lang w:val="es-CR"/>
        </w:rPr>
        <w:t xml:space="preserve"> </w:t>
      </w:r>
      <w:r w:rsidR="00107634" w:rsidRPr="00107634">
        <w:rPr>
          <w:rFonts w:ascii="Verdana" w:hAnsi="Verdana"/>
          <w:sz w:val="20"/>
          <w:szCs w:val="20"/>
          <w:lang w:val="es-CR"/>
        </w:rPr>
        <w:t>determinadas medidas de reparación (</w:t>
      </w:r>
      <w:r w:rsidR="00107634" w:rsidRPr="00107634">
        <w:rPr>
          <w:rFonts w:ascii="Verdana" w:hAnsi="Verdana"/>
          <w:i/>
          <w:sz w:val="20"/>
          <w:szCs w:val="20"/>
          <w:lang w:val="es-CR"/>
        </w:rPr>
        <w:t>infra</w:t>
      </w:r>
      <w:r w:rsidR="00107634" w:rsidRPr="00107634">
        <w:rPr>
          <w:rFonts w:ascii="Verdana" w:hAnsi="Verdana"/>
          <w:sz w:val="20"/>
          <w:szCs w:val="20"/>
          <w:lang w:val="es-CR"/>
        </w:rPr>
        <w:t xml:space="preserve"> Considerando </w:t>
      </w:r>
      <w:r w:rsidR="00B46360">
        <w:rPr>
          <w:rFonts w:ascii="Verdana" w:hAnsi="Verdana"/>
          <w:sz w:val="20"/>
          <w:szCs w:val="20"/>
          <w:lang w:val="es-CR"/>
        </w:rPr>
        <w:fldChar w:fldCharType="begin"/>
      </w:r>
      <w:r w:rsidR="00B46360">
        <w:rPr>
          <w:rFonts w:ascii="Verdana" w:hAnsi="Verdana"/>
          <w:sz w:val="20"/>
          <w:szCs w:val="20"/>
          <w:lang w:val="es-CR"/>
        </w:rPr>
        <w:instrText xml:space="preserve"> REF _Ref507501099 \r \h </w:instrText>
      </w:r>
      <w:r w:rsidR="00B46360">
        <w:rPr>
          <w:rFonts w:ascii="Verdana" w:hAnsi="Verdana"/>
          <w:sz w:val="20"/>
          <w:szCs w:val="20"/>
          <w:lang w:val="es-CR"/>
        </w:rPr>
      </w:r>
      <w:r w:rsidR="00B46360">
        <w:rPr>
          <w:rFonts w:ascii="Verdana" w:hAnsi="Verdana"/>
          <w:sz w:val="20"/>
          <w:szCs w:val="20"/>
          <w:lang w:val="es-CR"/>
        </w:rPr>
        <w:fldChar w:fldCharType="separate"/>
      </w:r>
      <w:r w:rsidR="00DE477D">
        <w:rPr>
          <w:rFonts w:ascii="Verdana" w:hAnsi="Verdana"/>
          <w:sz w:val="20"/>
          <w:szCs w:val="20"/>
          <w:lang w:val="es-CR"/>
        </w:rPr>
        <w:t>1</w:t>
      </w:r>
      <w:r w:rsidR="00B46360">
        <w:rPr>
          <w:rFonts w:ascii="Verdana" w:hAnsi="Verdana"/>
          <w:sz w:val="20"/>
          <w:szCs w:val="20"/>
          <w:lang w:val="es-CR"/>
        </w:rPr>
        <w:fldChar w:fldCharType="end"/>
      </w:r>
      <w:r w:rsidR="00107634" w:rsidRPr="00107634">
        <w:rPr>
          <w:rFonts w:ascii="Verdana" w:hAnsi="Verdana"/>
          <w:sz w:val="20"/>
          <w:szCs w:val="20"/>
          <w:lang w:val="es-CR"/>
        </w:rPr>
        <w:t>).</w:t>
      </w:r>
    </w:p>
    <w:p w14:paraId="1FA1EDC1" w14:textId="77777777" w:rsidR="00E71CBC" w:rsidRDefault="00E71CBC" w:rsidP="00E71CBC">
      <w:pPr>
        <w:pStyle w:val="ListParagraph"/>
        <w:spacing w:after="0" w:line="240" w:lineRule="auto"/>
        <w:ind w:left="0"/>
        <w:jc w:val="both"/>
        <w:rPr>
          <w:rFonts w:ascii="Verdana" w:hAnsi="Verdana"/>
          <w:sz w:val="20"/>
          <w:szCs w:val="20"/>
          <w:lang w:val="es-CR"/>
        </w:rPr>
      </w:pPr>
    </w:p>
    <w:p w14:paraId="222AD404" w14:textId="77777777" w:rsidR="008109D5" w:rsidRDefault="00E71CBC" w:rsidP="003B1E9A">
      <w:pPr>
        <w:pStyle w:val="ListParagraph"/>
        <w:numPr>
          <w:ilvl w:val="0"/>
          <w:numId w:val="1"/>
        </w:numPr>
        <w:spacing w:after="0" w:line="240" w:lineRule="auto"/>
        <w:ind w:left="0" w:firstLine="0"/>
        <w:jc w:val="both"/>
        <w:rPr>
          <w:rFonts w:ascii="Verdana" w:hAnsi="Verdana"/>
          <w:sz w:val="20"/>
          <w:szCs w:val="20"/>
          <w:lang w:val="es-CR"/>
        </w:rPr>
      </w:pPr>
      <w:r>
        <w:rPr>
          <w:rFonts w:ascii="Verdana" w:hAnsi="Verdana"/>
          <w:sz w:val="20"/>
          <w:szCs w:val="20"/>
          <w:lang w:val="es-CR"/>
        </w:rPr>
        <w:t xml:space="preserve">Las Resoluciones de supervisión de cumplimiento de </w:t>
      </w:r>
      <w:r w:rsidR="00E92E50">
        <w:rPr>
          <w:rFonts w:ascii="Verdana" w:hAnsi="Verdana"/>
          <w:sz w:val="20"/>
          <w:szCs w:val="20"/>
          <w:lang w:val="es-CR"/>
        </w:rPr>
        <w:t>s</w:t>
      </w:r>
      <w:r>
        <w:rPr>
          <w:rFonts w:ascii="Verdana" w:hAnsi="Verdana"/>
          <w:sz w:val="20"/>
          <w:szCs w:val="20"/>
          <w:lang w:val="es-CR"/>
        </w:rPr>
        <w:t xml:space="preserve">entencia emitidas por la Corte Interamericana el </w:t>
      </w:r>
      <w:r w:rsidR="009836B3">
        <w:rPr>
          <w:rFonts w:ascii="Verdana" w:hAnsi="Verdana"/>
          <w:sz w:val="20"/>
          <w:szCs w:val="20"/>
          <w:lang w:val="es-CR"/>
        </w:rPr>
        <w:t>21 de agosto de 2014</w:t>
      </w:r>
      <w:r w:rsidR="00417C29">
        <w:rPr>
          <w:rStyle w:val="FootnoteReference"/>
          <w:rFonts w:ascii="Verdana" w:hAnsi="Verdana"/>
          <w:sz w:val="20"/>
          <w:szCs w:val="20"/>
          <w:lang w:val="es-CR"/>
        </w:rPr>
        <w:footnoteReference w:id="4"/>
      </w:r>
      <w:r>
        <w:rPr>
          <w:rFonts w:ascii="Verdana" w:hAnsi="Verdana"/>
          <w:sz w:val="20"/>
          <w:szCs w:val="20"/>
          <w:lang w:val="es-CR"/>
        </w:rPr>
        <w:t xml:space="preserve"> y el </w:t>
      </w:r>
      <w:r w:rsidR="009836B3">
        <w:rPr>
          <w:rFonts w:ascii="Verdana" w:hAnsi="Verdana"/>
          <w:sz w:val="20"/>
          <w:szCs w:val="20"/>
          <w:lang w:val="es-CR"/>
        </w:rPr>
        <w:t>25 de mayo</w:t>
      </w:r>
      <w:r>
        <w:rPr>
          <w:rFonts w:ascii="Verdana" w:hAnsi="Verdana"/>
          <w:sz w:val="20"/>
          <w:szCs w:val="20"/>
          <w:lang w:val="es-CR"/>
        </w:rPr>
        <w:t xml:space="preserve"> de 2017</w:t>
      </w:r>
      <w:r w:rsidR="00417C29">
        <w:rPr>
          <w:rStyle w:val="FootnoteReference"/>
          <w:rFonts w:ascii="Verdana" w:hAnsi="Verdana"/>
          <w:sz w:val="20"/>
          <w:szCs w:val="20"/>
          <w:lang w:val="es-CR"/>
        </w:rPr>
        <w:footnoteReference w:id="5"/>
      </w:r>
      <w:r>
        <w:rPr>
          <w:rFonts w:ascii="Verdana" w:hAnsi="Verdana"/>
          <w:sz w:val="20"/>
          <w:szCs w:val="20"/>
          <w:lang w:val="es-CR"/>
        </w:rPr>
        <w:t>.</w:t>
      </w:r>
    </w:p>
    <w:p w14:paraId="60145B31" w14:textId="77777777" w:rsidR="00B46360" w:rsidRPr="00B774AB" w:rsidRDefault="00B46360" w:rsidP="00B774AB">
      <w:pPr>
        <w:pStyle w:val="ListParagraph"/>
        <w:rPr>
          <w:rFonts w:ascii="Verdana" w:hAnsi="Verdana"/>
          <w:sz w:val="20"/>
          <w:szCs w:val="20"/>
          <w:lang w:val="es-CR"/>
        </w:rPr>
      </w:pPr>
    </w:p>
    <w:p w14:paraId="07FB5A6B" w14:textId="77777777" w:rsidR="008109D5" w:rsidRPr="00FB5EDA" w:rsidRDefault="008109D5" w:rsidP="00FB5EDA">
      <w:pPr>
        <w:pStyle w:val="ListParagraph"/>
        <w:numPr>
          <w:ilvl w:val="0"/>
          <w:numId w:val="1"/>
        </w:numPr>
        <w:spacing w:after="0" w:line="240" w:lineRule="auto"/>
        <w:ind w:left="0" w:firstLine="0"/>
        <w:jc w:val="both"/>
        <w:rPr>
          <w:rFonts w:ascii="Verdana" w:hAnsi="Verdana"/>
          <w:sz w:val="20"/>
          <w:szCs w:val="20"/>
          <w:lang w:val="es-CR"/>
        </w:rPr>
      </w:pPr>
      <w:r>
        <w:rPr>
          <w:rFonts w:ascii="Verdana" w:hAnsi="Verdana"/>
          <w:sz w:val="20"/>
          <w:szCs w:val="20"/>
          <w:lang w:val="es-CR"/>
        </w:rPr>
        <w:t xml:space="preserve">Los </w:t>
      </w:r>
      <w:r w:rsidR="009836B3">
        <w:rPr>
          <w:rFonts w:ascii="Verdana" w:hAnsi="Verdana"/>
          <w:sz w:val="20"/>
          <w:szCs w:val="20"/>
          <w:lang w:val="es-CR"/>
        </w:rPr>
        <w:t>siete</w:t>
      </w:r>
      <w:r w:rsidR="002A750C">
        <w:rPr>
          <w:rFonts w:ascii="Verdana" w:hAnsi="Verdana"/>
          <w:sz w:val="20"/>
          <w:szCs w:val="20"/>
          <w:lang w:val="es-CR"/>
        </w:rPr>
        <w:t xml:space="preserve"> </w:t>
      </w:r>
      <w:r>
        <w:rPr>
          <w:rFonts w:ascii="Verdana" w:hAnsi="Verdana"/>
          <w:sz w:val="20"/>
          <w:szCs w:val="20"/>
          <w:lang w:val="es-CR"/>
        </w:rPr>
        <w:t xml:space="preserve">informes presentados por el Estado de </w:t>
      </w:r>
      <w:r w:rsidR="009836B3">
        <w:rPr>
          <w:rFonts w:ascii="Verdana" w:hAnsi="Verdana"/>
          <w:sz w:val="20"/>
          <w:szCs w:val="20"/>
          <w:lang w:val="es-CR"/>
        </w:rPr>
        <w:t>Guatemala</w:t>
      </w:r>
      <w:r>
        <w:rPr>
          <w:rFonts w:ascii="Verdana" w:hAnsi="Verdana"/>
          <w:sz w:val="20"/>
          <w:szCs w:val="20"/>
          <w:lang w:val="es-CR"/>
        </w:rPr>
        <w:t xml:space="preserve"> entre </w:t>
      </w:r>
      <w:r w:rsidR="009836B3">
        <w:rPr>
          <w:rFonts w:ascii="Verdana" w:hAnsi="Verdana"/>
          <w:sz w:val="20"/>
          <w:szCs w:val="20"/>
          <w:lang w:val="es-CR"/>
        </w:rPr>
        <w:t>junio</w:t>
      </w:r>
      <w:r>
        <w:rPr>
          <w:rFonts w:ascii="Verdana" w:hAnsi="Verdana"/>
          <w:sz w:val="20"/>
          <w:szCs w:val="20"/>
          <w:lang w:val="es-CR"/>
        </w:rPr>
        <w:t xml:space="preserve"> de 201</w:t>
      </w:r>
      <w:r w:rsidR="009836B3">
        <w:rPr>
          <w:rFonts w:ascii="Verdana" w:hAnsi="Verdana"/>
          <w:sz w:val="20"/>
          <w:szCs w:val="20"/>
          <w:lang w:val="es-CR"/>
        </w:rPr>
        <w:t>6</w:t>
      </w:r>
      <w:r>
        <w:rPr>
          <w:rFonts w:ascii="Verdana" w:hAnsi="Verdana"/>
          <w:sz w:val="20"/>
          <w:szCs w:val="20"/>
          <w:lang w:val="es-CR"/>
        </w:rPr>
        <w:t xml:space="preserve"> y </w:t>
      </w:r>
      <w:r w:rsidR="009836B3">
        <w:rPr>
          <w:rFonts w:ascii="Verdana" w:hAnsi="Verdana"/>
          <w:sz w:val="20"/>
          <w:szCs w:val="20"/>
          <w:lang w:val="es-CR"/>
        </w:rPr>
        <w:t>enero</w:t>
      </w:r>
      <w:r>
        <w:rPr>
          <w:rFonts w:ascii="Verdana" w:hAnsi="Verdana"/>
          <w:sz w:val="20"/>
          <w:szCs w:val="20"/>
          <w:lang w:val="es-CR"/>
        </w:rPr>
        <w:t xml:space="preserve"> de 201</w:t>
      </w:r>
      <w:r w:rsidR="009836B3">
        <w:rPr>
          <w:rFonts w:ascii="Verdana" w:hAnsi="Verdana"/>
          <w:sz w:val="20"/>
          <w:szCs w:val="20"/>
          <w:lang w:val="es-CR"/>
        </w:rPr>
        <w:t>8</w:t>
      </w:r>
      <w:r w:rsidR="002A750C">
        <w:rPr>
          <w:rStyle w:val="FootnoteReference"/>
          <w:rFonts w:ascii="Verdana" w:hAnsi="Verdana"/>
          <w:sz w:val="20"/>
          <w:szCs w:val="20"/>
          <w:lang w:val="es-CR"/>
        </w:rPr>
        <w:footnoteReference w:id="6"/>
      </w:r>
      <w:r w:rsidR="00FB5EDA">
        <w:rPr>
          <w:rFonts w:ascii="Verdana" w:hAnsi="Verdana"/>
          <w:sz w:val="20"/>
          <w:szCs w:val="20"/>
          <w:lang w:val="es-CR"/>
        </w:rPr>
        <w:t xml:space="preserve">, y los escritos </w:t>
      </w:r>
      <w:r w:rsidR="00F94BC4" w:rsidRPr="00FB5EDA">
        <w:rPr>
          <w:rFonts w:ascii="Verdana" w:hAnsi="Verdana"/>
          <w:sz w:val="20"/>
          <w:szCs w:val="20"/>
          <w:lang w:val="es-CR"/>
        </w:rPr>
        <w:t>de observaciones</w:t>
      </w:r>
      <w:r w:rsidR="00131521">
        <w:rPr>
          <w:rStyle w:val="FootnoteReference"/>
          <w:rFonts w:ascii="Verdana" w:hAnsi="Verdana"/>
          <w:sz w:val="20"/>
          <w:szCs w:val="20"/>
          <w:lang w:val="es-CR"/>
        </w:rPr>
        <w:footnoteReference w:id="7"/>
      </w:r>
      <w:r w:rsidR="00F94BC4" w:rsidRPr="00FB5EDA">
        <w:rPr>
          <w:rFonts w:ascii="Verdana" w:hAnsi="Verdana"/>
          <w:sz w:val="20"/>
          <w:szCs w:val="20"/>
          <w:lang w:val="es-CR"/>
        </w:rPr>
        <w:t xml:space="preserve"> presentados </w:t>
      </w:r>
      <w:r w:rsidR="00FB5EDA">
        <w:rPr>
          <w:rFonts w:ascii="Verdana" w:hAnsi="Verdana"/>
          <w:sz w:val="20"/>
          <w:szCs w:val="20"/>
          <w:lang w:val="es-CR"/>
        </w:rPr>
        <w:t xml:space="preserve">entre julio de 2016 y febrero de 2018 </w:t>
      </w:r>
      <w:r w:rsidR="00F94BC4" w:rsidRPr="00FB5EDA">
        <w:rPr>
          <w:rFonts w:ascii="Verdana" w:hAnsi="Verdana"/>
          <w:sz w:val="20"/>
          <w:szCs w:val="20"/>
          <w:lang w:val="es-CR"/>
        </w:rPr>
        <w:t xml:space="preserve">por </w:t>
      </w:r>
      <w:r w:rsidR="00E17292" w:rsidRPr="00FB5EDA">
        <w:rPr>
          <w:rFonts w:ascii="Verdana" w:hAnsi="Verdana"/>
          <w:sz w:val="20"/>
          <w:szCs w:val="20"/>
          <w:lang w:val="es-CR"/>
        </w:rPr>
        <w:t>los</w:t>
      </w:r>
      <w:r w:rsidR="00F94BC4" w:rsidRPr="00FB5EDA">
        <w:rPr>
          <w:rFonts w:ascii="Verdana" w:hAnsi="Verdana"/>
          <w:sz w:val="20"/>
          <w:szCs w:val="20"/>
          <w:lang w:val="es-CR"/>
        </w:rPr>
        <w:t xml:space="preserve"> representante</w:t>
      </w:r>
      <w:r w:rsidR="00E17292" w:rsidRPr="00FB5EDA">
        <w:rPr>
          <w:rFonts w:ascii="Verdana" w:hAnsi="Verdana"/>
          <w:sz w:val="20"/>
          <w:szCs w:val="20"/>
          <w:lang w:val="es-CR"/>
        </w:rPr>
        <w:t>s</w:t>
      </w:r>
      <w:r w:rsidR="00F94BC4" w:rsidRPr="00FB5EDA">
        <w:rPr>
          <w:rFonts w:ascii="Verdana" w:hAnsi="Verdana"/>
          <w:sz w:val="20"/>
          <w:szCs w:val="20"/>
          <w:lang w:val="es-CR"/>
        </w:rPr>
        <w:t xml:space="preserve"> de las víctimas</w:t>
      </w:r>
      <w:r w:rsidR="00FB5EDA">
        <w:rPr>
          <w:rStyle w:val="FootnoteReference"/>
          <w:rFonts w:ascii="Verdana" w:hAnsi="Verdana"/>
          <w:sz w:val="20"/>
          <w:szCs w:val="20"/>
          <w:lang w:val="es-CR"/>
        </w:rPr>
        <w:footnoteReference w:id="8"/>
      </w:r>
      <w:r w:rsidR="00F94BC4" w:rsidRPr="00FB5EDA">
        <w:rPr>
          <w:rFonts w:ascii="Verdana" w:hAnsi="Verdana"/>
          <w:sz w:val="20"/>
          <w:szCs w:val="20"/>
          <w:lang w:val="es-CR"/>
        </w:rPr>
        <w:t xml:space="preserve"> (en adelante “l</w:t>
      </w:r>
      <w:r w:rsidR="00E17292" w:rsidRPr="00FB5EDA">
        <w:rPr>
          <w:rFonts w:ascii="Verdana" w:hAnsi="Verdana"/>
          <w:sz w:val="20"/>
          <w:szCs w:val="20"/>
          <w:lang w:val="es-CR"/>
        </w:rPr>
        <w:t>os</w:t>
      </w:r>
      <w:r w:rsidR="00F94BC4" w:rsidRPr="00FB5EDA">
        <w:rPr>
          <w:rFonts w:ascii="Verdana" w:hAnsi="Verdana"/>
          <w:sz w:val="20"/>
          <w:szCs w:val="20"/>
          <w:lang w:val="es-CR"/>
        </w:rPr>
        <w:t xml:space="preserve"> representante</w:t>
      </w:r>
      <w:r w:rsidR="00E17292" w:rsidRPr="00FB5EDA">
        <w:rPr>
          <w:rFonts w:ascii="Verdana" w:hAnsi="Verdana"/>
          <w:sz w:val="20"/>
          <w:szCs w:val="20"/>
          <w:lang w:val="es-CR"/>
        </w:rPr>
        <w:t>s</w:t>
      </w:r>
      <w:r w:rsidR="00F94BC4" w:rsidRPr="00FB5EDA">
        <w:rPr>
          <w:rFonts w:ascii="Verdana" w:hAnsi="Verdana"/>
          <w:sz w:val="20"/>
          <w:szCs w:val="20"/>
          <w:lang w:val="es-CR"/>
        </w:rPr>
        <w:t>”</w:t>
      </w:r>
      <w:r w:rsidR="00FB5EDA" w:rsidRPr="00FB5EDA">
        <w:rPr>
          <w:rStyle w:val="FootnoteReference"/>
          <w:rFonts w:ascii="Verdana" w:hAnsi="Verdana"/>
          <w:sz w:val="20"/>
          <w:szCs w:val="20"/>
          <w:lang w:val="es-CR"/>
        </w:rPr>
        <w:t xml:space="preserve"> </w:t>
      </w:r>
      <w:r w:rsidR="00FB5EDA">
        <w:rPr>
          <w:rStyle w:val="FootnoteReference"/>
          <w:rFonts w:ascii="Verdana" w:hAnsi="Verdana"/>
          <w:sz w:val="20"/>
          <w:szCs w:val="20"/>
          <w:lang w:val="es-CR"/>
        </w:rPr>
        <w:footnoteReference w:id="9"/>
      </w:r>
      <w:r w:rsidR="00F94BC4" w:rsidRPr="00FB5EDA">
        <w:rPr>
          <w:rFonts w:ascii="Verdana" w:hAnsi="Verdana"/>
          <w:sz w:val="20"/>
          <w:szCs w:val="20"/>
          <w:lang w:val="es-CR"/>
        </w:rPr>
        <w:t>)</w:t>
      </w:r>
      <w:r w:rsidR="00FB5EDA">
        <w:rPr>
          <w:rFonts w:ascii="Verdana" w:hAnsi="Verdana"/>
          <w:sz w:val="20"/>
          <w:szCs w:val="20"/>
          <w:lang w:val="es-CR"/>
        </w:rPr>
        <w:t xml:space="preserve"> y </w:t>
      </w:r>
      <w:r w:rsidRPr="00FB5EDA">
        <w:rPr>
          <w:rFonts w:ascii="Verdana" w:hAnsi="Verdana"/>
          <w:sz w:val="20"/>
          <w:szCs w:val="20"/>
          <w:lang w:val="es-CR"/>
        </w:rPr>
        <w:t>la Comisión Interamericana de Derechos Humanos (en adelante “la Comisión Interamericana” o “la Comisión”)</w:t>
      </w:r>
      <w:r w:rsidR="002A750C">
        <w:rPr>
          <w:rStyle w:val="FootnoteReference"/>
          <w:rFonts w:ascii="Verdana" w:hAnsi="Verdana"/>
          <w:sz w:val="20"/>
          <w:szCs w:val="20"/>
          <w:lang w:val="es-CR"/>
        </w:rPr>
        <w:footnoteReference w:id="10"/>
      </w:r>
      <w:r w:rsidRPr="00FB5EDA">
        <w:rPr>
          <w:rFonts w:ascii="Verdana" w:hAnsi="Verdana"/>
          <w:sz w:val="20"/>
          <w:szCs w:val="20"/>
          <w:lang w:val="es-CR"/>
        </w:rPr>
        <w:t xml:space="preserve">. </w:t>
      </w:r>
    </w:p>
    <w:p w14:paraId="50C878C3" w14:textId="77777777" w:rsidR="00C15C7E" w:rsidRDefault="00C15C7E" w:rsidP="00C15C7E">
      <w:pPr>
        <w:spacing w:after="0" w:line="240" w:lineRule="auto"/>
        <w:jc w:val="both"/>
        <w:rPr>
          <w:rFonts w:ascii="Verdana" w:hAnsi="Verdana"/>
          <w:sz w:val="20"/>
          <w:szCs w:val="20"/>
          <w:lang w:val="es-CR"/>
        </w:rPr>
      </w:pPr>
    </w:p>
    <w:p w14:paraId="0D7D1BEE" w14:textId="77777777" w:rsidR="00D76230" w:rsidRDefault="00D76230" w:rsidP="00C15C7E">
      <w:pPr>
        <w:spacing w:after="0" w:line="240" w:lineRule="auto"/>
        <w:jc w:val="both"/>
        <w:rPr>
          <w:rFonts w:ascii="Verdana" w:hAnsi="Verdana"/>
          <w:sz w:val="20"/>
          <w:szCs w:val="20"/>
          <w:lang w:val="es-CR"/>
        </w:rPr>
      </w:pPr>
    </w:p>
    <w:p w14:paraId="35CDAC07" w14:textId="77777777" w:rsidR="00C15C7E" w:rsidRDefault="00C15C7E" w:rsidP="00C15C7E">
      <w:pPr>
        <w:spacing w:after="0" w:line="240" w:lineRule="auto"/>
        <w:jc w:val="both"/>
        <w:rPr>
          <w:rFonts w:ascii="Verdana" w:hAnsi="Verdana"/>
          <w:b/>
          <w:sz w:val="20"/>
          <w:szCs w:val="20"/>
          <w:lang w:val="es-CR"/>
        </w:rPr>
      </w:pPr>
      <w:r>
        <w:rPr>
          <w:rFonts w:ascii="Verdana" w:hAnsi="Verdana"/>
          <w:b/>
          <w:sz w:val="20"/>
          <w:szCs w:val="20"/>
          <w:lang w:val="es-CR"/>
        </w:rPr>
        <w:t>CONSIDERANDO QUE:</w:t>
      </w:r>
    </w:p>
    <w:p w14:paraId="2E4D648E" w14:textId="77777777" w:rsidR="00C15C7E" w:rsidRDefault="00C15C7E" w:rsidP="00C15C7E">
      <w:pPr>
        <w:spacing w:after="0" w:line="240" w:lineRule="auto"/>
        <w:jc w:val="both"/>
        <w:rPr>
          <w:rFonts w:ascii="Verdana" w:hAnsi="Verdana"/>
          <w:b/>
          <w:sz w:val="20"/>
          <w:szCs w:val="20"/>
          <w:lang w:val="es-CR"/>
        </w:rPr>
      </w:pPr>
    </w:p>
    <w:p w14:paraId="6A177785" w14:textId="77777777" w:rsidR="00C15C7E" w:rsidRDefault="00C15C7E" w:rsidP="00C15C7E">
      <w:pPr>
        <w:pStyle w:val="ListParagraph"/>
        <w:numPr>
          <w:ilvl w:val="0"/>
          <w:numId w:val="2"/>
        </w:numPr>
        <w:spacing w:after="0" w:line="240" w:lineRule="auto"/>
        <w:ind w:left="0" w:firstLine="0"/>
        <w:jc w:val="both"/>
        <w:rPr>
          <w:rFonts w:ascii="Verdana" w:hAnsi="Verdana"/>
          <w:sz w:val="20"/>
          <w:szCs w:val="20"/>
          <w:lang w:val="es-CR"/>
        </w:rPr>
      </w:pPr>
      <w:bookmarkStart w:id="1" w:name="_Ref507501099"/>
      <w:r w:rsidRPr="00C15C7E">
        <w:rPr>
          <w:rFonts w:ascii="Verdana" w:hAnsi="Verdana"/>
          <w:sz w:val="20"/>
          <w:szCs w:val="20"/>
          <w:lang w:val="es-CR"/>
        </w:rPr>
        <w:t>En el ejercicio de su función jurisdiccional de supervisar el cumplimiento de sus decisiones</w:t>
      </w:r>
      <w:r>
        <w:rPr>
          <w:rStyle w:val="FootnoteReference"/>
          <w:rFonts w:ascii="Verdana" w:hAnsi="Verdana"/>
          <w:sz w:val="20"/>
          <w:szCs w:val="20"/>
          <w:lang w:val="es-CR"/>
        </w:rPr>
        <w:footnoteReference w:id="11"/>
      </w:r>
      <w:r w:rsidRPr="00C15C7E">
        <w:rPr>
          <w:rFonts w:ascii="Verdana" w:hAnsi="Verdana"/>
          <w:sz w:val="20"/>
          <w:szCs w:val="20"/>
          <w:lang w:val="es-CR"/>
        </w:rPr>
        <w:t xml:space="preserve">, la Corte ha venido supervisando la ejecución de la Sentencia emitida en el presente caso hace </w:t>
      </w:r>
      <w:r w:rsidR="003B1E9A">
        <w:rPr>
          <w:rFonts w:ascii="Verdana" w:hAnsi="Verdana"/>
          <w:sz w:val="20"/>
          <w:szCs w:val="20"/>
          <w:lang w:val="es-CR"/>
        </w:rPr>
        <w:t>seis</w:t>
      </w:r>
      <w:r w:rsidRPr="00C15C7E">
        <w:rPr>
          <w:rFonts w:ascii="Verdana" w:hAnsi="Verdana"/>
          <w:sz w:val="20"/>
          <w:szCs w:val="20"/>
          <w:lang w:val="es-CR"/>
        </w:rPr>
        <w:t xml:space="preserve"> años (</w:t>
      </w:r>
      <w:r w:rsidRPr="00E81753">
        <w:rPr>
          <w:rFonts w:ascii="Verdana" w:hAnsi="Verdana"/>
          <w:i/>
          <w:sz w:val="20"/>
          <w:szCs w:val="20"/>
          <w:lang w:val="es-CR"/>
        </w:rPr>
        <w:t>supra</w:t>
      </w:r>
      <w:r w:rsidRPr="00C15C7E">
        <w:rPr>
          <w:rFonts w:ascii="Verdana" w:hAnsi="Verdana"/>
          <w:sz w:val="20"/>
          <w:szCs w:val="20"/>
          <w:lang w:val="es-CR"/>
        </w:rPr>
        <w:t xml:space="preserve"> Visto 1). El Tribunal emitió </w:t>
      </w:r>
      <w:r>
        <w:rPr>
          <w:rFonts w:ascii="Verdana" w:hAnsi="Verdana"/>
          <w:sz w:val="20"/>
          <w:szCs w:val="20"/>
          <w:lang w:val="es-CR"/>
        </w:rPr>
        <w:t>dos</w:t>
      </w:r>
      <w:r w:rsidRPr="00C15C7E">
        <w:rPr>
          <w:rFonts w:ascii="Verdana" w:hAnsi="Verdana"/>
          <w:sz w:val="20"/>
          <w:szCs w:val="20"/>
          <w:lang w:val="es-CR"/>
        </w:rPr>
        <w:t xml:space="preserve"> Resoluci</w:t>
      </w:r>
      <w:r>
        <w:rPr>
          <w:rFonts w:ascii="Verdana" w:hAnsi="Verdana"/>
          <w:sz w:val="20"/>
          <w:szCs w:val="20"/>
          <w:lang w:val="es-CR"/>
        </w:rPr>
        <w:t>o</w:t>
      </w:r>
      <w:r w:rsidRPr="00C15C7E">
        <w:rPr>
          <w:rFonts w:ascii="Verdana" w:hAnsi="Verdana"/>
          <w:sz w:val="20"/>
          <w:szCs w:val="20"/>
          <w:lang w:val="es-CR"/>
        </w:rPr>
        <w:t>n</w:t>
      </w:r>
      <w:r>
        <w:rPr>
          <w:rFonts w:ascii="Verdana" w:hAnsi="Verdana"/>
          <w:sz w:val="20"/>
          <w:szCs w:val="20"/>
          <w:lang w:val="es-CR"/>
        </w:rPr>
        <w:t>es</w:t>
      </w:r>
      <w:r w:rsidRPr="00C15C7E">
        <w:rPr>
          <w:rFonts w:ascii="Verdana" w:hAnsi="Verdana"/>
          <w:sz w:val="20"/>
          <w:szCs w:val="20"/>
          <w:lang w:val="es-CR"/>
        </w:rPr>
        <w:t xml:space="preserve"> de supervisión de cumplimiento </w:t>
      </w:r>
      <w:r w:rsidR="003B1E9A">
        <w:rPr>
          <w:rFonts w:ascii="Verdana" w:hAnsi="Verdana"/>
          <w:sz w:val="20"/>
          <w:szCs w:val="20"/>
          <w:lang w:val="es-CR"/>
        </w:rPr>
        <w:t>en los años</w:t>
      </w:r>
      <w:r w:rsidR="00004A75">
        <w:rPr>
          <w:rFonts w:ascii="Verdana" w:hAnsi="Verdana"/>
          <w:sz w:val="20"/>
          <w:szCs w:val="20"/>
          <w:lang w:val="es-CR"/>
        </w:rPr>
        <w:t xml:space="preserve"> </w:t>
      </w:r>
      <w:r w:rsidRPr="00C15C7E">
        <w:rPr>
          <w:rFonts w:ascii="Verdana" w:hAnsi="Verdana"/>
          <w:sz w:val="20"/>
          <w:szCs w:val="20"/>
          <w:lang w:val="es-CR"/>
        </w:rPr>
        <w:t>201</w:t>
      </w:r>
      <w:r w:rsidR="00ED5E82">
        <w:rPr>
          <w:rFonts w:ascii="Verdana" w:hAnsi="Verdana"/>
          <w:sz w:val="20"/>
          <w:szCs w:val="20"/>
          <w:lang w:val="es-CR"/>
        </w:rPr>
        <w:t>4</w:t>
      </w:r>
      <w:r w:rsidRPr="00C15C7E">
        <w:rPr>
          <w:rFonts w:ascii="Verdana" w:hAnsi="Verdana"/>
          <w:sz w:val="20"/>
          <w:szCs w:val="20"/>
          <w:lang w:val="es-CR"/>
        </w:rPr>
        <w:t xml:space="preserve"> </w:t>
      </w:r>
      <w:r>
        <w:rPr>
          <w:rFonts w:ascii="Verdana" w:hAnsi="Verdana"/>
          <w:sz w:val="20"/>
          <w:szCs w:val="20"/>
          <w:lang w:val="es-CR"/>
        </w:rPr>
        <w:t>y 2017</w:t>
      </w:r>
      <w:r w:rsidR="00E81753">
        <w:rPr>
          <w:rFonts w:ascii="Verdana" w:hAnsi="Verdana"/>
          <w:sz w:val="20"/>
          <w:szCs w:val="20"/>
          <w:lang w:val="es-CR"/>
        </w:rPr>
        <w:t xml:space="preserve"> </w:t>
      </w:r>
      <w:r w:rsidRPr="00C15C7E">
        <w:rPr>
          <w:rFonts w:ascii="Verdana" w:hAnsi="Verdana"/>
          <w:sz w:val="20"/>
          <w:szCs w:val="20"/>
          <w:lang w:val="es-CR"/>
        </w:rPr>
        <w:t>(</w:t>
      </w:r>
      <w:r w:rsidRPr="00E81753">
        <w:rPr>
          <w:rFonts w:ascii="Verdana" w:hAnsi="Verdana"/>
          <w:i/>
          <w:sz w:val="20"/>
          <w:szCs w:val="20"/>
          <w:lang w:val="es-CR"/>
        </w:rPr>
        <w:t>supra</w:t>
      </w:r>
      <w:r w:rsidRPr="00C15C7E">
        <w:rPr>
          <w:rFonts w:ascii="Verdana" w:hAnsi="Verdana"/>
          <w:sz w:val="20"/>
          <w:szCs w:val="20"/>
          <w:lang w:val="es-CR"/>
        </w:rPr>
        <w:t xml:space="preserve"> Visto 2), en la</w:t>
      </w:r>
      <w:r>
        <w:rPr>
          <w:rFonts w:ascii="Verdana" w:hAnsi="Verdana"/>
          <w:sz w:val="20"/>
          <w:szCs w:val="20"/>
          <w:lang w:val="es-CR"/>
        </w:rPr>
        <w:t>s</w:t>
      </w:r>
      <w:r w:rsidRPr="00C15C7E">
        <w:rPr>
          <w:rFonts w:ascii="Verdana" w:hAnsi="Verdana"/>
          <w:sz w:val="20"/>
          <w:szCs w:val="20"/>
          <w:lang w:val="es-CR"/>
        </w:rPr>
        <w:t xml:space="preserve"> cual</w:t>
      </w:r>
      <w:r>
        <w:rPr>
          <w:rFonts w:ascii="Verdana" w:hAnsi="Verdana"/>
          <w:sz w:val="20"/>
          <w:szCs w:val="20"/>
          <w:lang w:val="es-CR"/>
        </w:rPr>
        <w:t xml:space="preserve">es </w:t>
      </w:r>
      <w:r w:rsidRPr="00C15C7E">
        <w:rPr>
          <w:rFonts w:ascii="Verdana" w:hAnsi="Verdana"/>
          <w:sz w:val="20"/>
          <w:szCs w:val="20"/>
          <w:lang w:val="es-CR"/>
        </w:rPr>
        <w:t xml:space="preserve">declaró que el Estado de </w:t>
      </w:r>
      <w:r w:rsidR="00ED5E82">
        <w:rPr>
          <w:rFonts w:ascii="Verdana" w:hAnsi="Verdana"/>
          <w:sz w:val="20"/>
          <w:szCs w:val="20"/>
          <w:lang w:val="es-CR"/>
        </w:rPr>
        <w:t>Guatemala</w:t>
      </w:r>
      <w:r w:rsidRPr="00C15C7E">
        <w:rPr>
          <w:rFonts w:ascii="Verdana" w:hAnsi="Verdana"/>
          <w:sz w:val="20"/>
          <w:szCs w:val="20"/>
          <w:lang w:val="es-CR"/>
        </w:rPr>
        <w:t xml:space="preserve"> dio cumplimiento total a </w:t>
      </w:r>
      <w:r w:rsidR="004960DE">
        <w:rPr>
          <w:rFonts w:ascii="Verdana" w:hAnsi="Verdana"/>
          <w:sz w:val="20"/>
          <w:szCs w:val="20"/>
          <w:lang w:val="es-CR"/>
        </w:rPr>
        <w:t>una</w:t>
      </w:r>
      <w:r w:rsidRPr="00C15C7E">
        <w:rPr>
          <w:rFonts w:ascii="Verdana" w:hAnsi="Verdana"/>
          <w:sz w:val="20"/>
          <w:szCs w:val="20"/>
          <w:lang w:val="es-CR"/>
        </w:rPr>
        <w:t xml:space="preserve"> medida de reparación</w:t>
      </w:r>
      <w:r>
        <w:rPr>
          <w:rStyle w:val="FootnoteReference"/>
          <w:rFonts w:ascii="Verdana" w:hAnsi="Verdana"/>
          <w:sz w:val="20"/>
          <w:szCs w:val="20"/>
          <w:lang w:val="es-CR"/>
        </w:rPr>
        <w:footnoteReference w:id="12"/>
      </w:r>
      <w:r w:rsidRPr="00C15C7E">
        <w:rPr>
          <w:rFonts w:ascii="Verdana" w:hAnsi="Verdana"/>
          <w:sz w:val="20"/>
          <w:szCs w:val="20"/>
          <w:lang w:val="es-CR"/>
        </w:rPr>
        <w:t xml:space="preserve"> y que se encontraban pendientes de cumplimiento </w:t>
      </w:r>
      <w:r w:rsidR="004960DE">
        <w:rPr>
          <w:rFonts w:ascii="Verdana" w:hAnsi="Verdana"/>
          <w:sz w:val="20"/>
          <w:szCs w:val="20"/>
          <w:lang w:val="es-CR"/>
        </w:rPr>
        <w:t>nueve</w:t>
      </w:r>
      <w:r w:rsidRPr="00C15C7E">
        <w:rPr>
          <w:rFonts w:ascii="Verdana" w:hAnsi="Verdana"/>
          <w:sz w:val="20"/>
          <w:szCs w:val="20"/>
          <w:lang w:val="es-CR"/>
        </w:rPr>
        <w:t xml:space="preserve"> medidas</w:t>
      </w:r>
      <w:r w:rsidR="00196269">
        <w:rPr>
          <w:rFonts w:ascii="Verdana" w:hAnsi="Verdana"/>
          <w:sz w:val="20"/>
          <w:szCs w:val="20"/>
          <w:lang w:val="es-CR"/>
        </w:rPr>
        <w:t xml:space="preserve"> (</w:t>
      </w:r>
      <w:r w:rsidR="00196269" w:rsidRPr="00196269">
        <w:rPr>
          <w:rFonts w:ascii="Verdana" w:hAnsi="Verdana"/>
          <w:i/>
          <w:sz w:val="20"/>
          <w:szCs w:val="20"/>
          <w:lang w:val="es-CR"/>
        </w:rPr>
        <w:t>infra</w:t>
      </w:r>
      <w:r w:rsidR="00196269">
        <w:rPr>
          <w:rFonts w:ascii="Verdana" w:hAnsi="Verdana"/>
          <w:sz w:val="20"/>
          <w:szCs w:val="20"/>
          <w:lang w:val="es-CR"/>
        </w:rPr>
        <w:t xml:space="preserve"> punto resolutivo segundo)</w:t>
      </w:r>
      <w:r w:rsidRPr="00C15C7E">
        <w:rPr>
          <w:rFonts w:ascii="Verdana" w:hAnsi="Verdana"/>
          <w:sz w:val="20"/>
          <w:szCs w:val="20"/>
          <w:lang w:val="es-CR"/>
        </w:rPr>
        <w:t>.</w:t>
      </w:r>
      <w:bookmarkEnd w:id="1"/>
      <w:r w:rsidR="00885904">
        <w:rPr>
          <w:rFonts w:ascii="Verdana" w:hAnsi="Verdana"/>
          <w:sz w:val="20"/>
          <w:szCs w:val="20"/>
          <w:lang w:val="es-CR"/>
        </w:rPr>
        <w:t xml:space="preserve"> </w:t>
      </w:r>
    </w:p>
    <w:p w14:paraId="215124A7" w14:textId="77777777" w:rsidR="00226C10" w:rsidRDefault="00226C10" w:rsidP="00226C10">
      <w:pPr>
        <w:pStyle w:val="ListParagraph"/>
        <w:spacing w:after="0" w:line="240" w:lineRule="auto"/>
        <w:ind w:left="0"/>
        <w:jc w:val="both"/>
        <w:rPr>
          <w:rFonts w:ascii="Verdana" w:hAnsi="Verdana"/>
          <w:sz w:val="20"/>
          <w:szCs w:val="20"/>
          <w:lang w:val="es-CR"/>
        </w:rPr>
      </w:pPr>
    </w:p>
    <w:p w14:paraId="40F7CD65" w14:textId="77777777" w:rsidR="003561C4" w:rsidRPr="0084593A" w:rsidRDefault="00226C10" w:rsidP="00004A75">
      <w:pPr>
        <w:pStyle w:val="ListParagraph"/>
        <w:numPr>
          <w:ilvl w:val="0"/>
          <w:numId w:val="2"/>
        </w:numPr>
        <w:spacing w:after="0" w:line="240" w:lineRule="auto"/>
        <w:ind w:left="0" w:firstLine="0"/>
        <w:jc w:val="both"/>
        <w:rPr>
          <w:rFonts w:ascii="Verdana" w:hAnsi="Verdana"/>
          <w:sz w:val="20"/>
          <w:szCs w:val="20"/>
          <w:lang w:val="es-CR"/>
        </w:rPr>
      </w:pPr>
      <w:r w:rsidRPr="0084593A">
        <w:rPr>
          <w:rFonts w:ascii="Verdana" w:hAnsi="Verdana"/>
          <w:sz w:val="20"/>
          <w:szCs w:val="20"/>
          <w:lang w:val="es-CR"/>
        </w:rPr>
        <w:t>De conformidad con lo establecido en el artículo 68.1 de la Convención Americana, “[l]os Estados Partes en la Convención se comprometen a cumplir la decisión de la Corte en todo caso en que sean partes”. Esta obligación incluye el deber del Estado de informar a la Corte sobre las medidas adoptadas para cumplir cada uno de los puntos ordenados, lo cual es fundamental para evaluar el estado de cumplimiento de la Sentencia en su conjunto</w:t>
      </w:r>
      <w:r w:rsidRPr="0084593A">
        <w:rPr>
          <w:rStyle w:val="FootnoteReference"/>
          <w:rFonts w:ascii="Verdana" w:hAnsi="Verdana"/>
          <w:sz w:val="20"/>
          <w:szCs w:val="20"/>
          <w:lang w:val="es-CR"/>
        </w:rPr>
        <w:footnoteReference w:id="13"/>
      </w:r>
      <w:r w:rsidRPr="0084593A">
        <w:rPr>
          <w:rFonts w:ascii="Verdana" w:hAnsi="Verdana"/>
          <w:sz w:val="20"/>
          <w:szCs w:val="20"/>
          <w:lang w:val="es-CR"/>
        </w:rPr>
        <w:t>. Los Estados Parte en la Convención deben garantizar el cumplimiento de las disposiciones convencionales y sus efectos propios (</w:t>
      </w:r>
      <w:r w:rsidRPr="0084593A">
        <w:rPr>
          <w:rFonts w:ascii="Verdana" w:hAnsi="Verdana"/>
          <w:i/>
          <w:sz w:val="20"/>
          <w:szCs w:val="20"/>
          <w:lang w:val="es-CR"/>
        </w:rPr>
        <w:t>effet utile</w:t>
      </w:r>
      <w:r w:rsidRPr="0084593A">
        <w:rPr>
          <w:rFonts w:ascii="Verdana" w:hAnsi="Verdana"/>
          <w:sz w:val="20"/>
          <w:szCs w:val="20"/>
          <w:lang w:val="es-CR"/>
        </w:rPr>
        <w:t xml:space="preserve">) en el plano de sus respectivos derechos </w:t>
      </w:r>
      <w:r w:rsidRPr="0084593A">
        <w:rPr>
          <w:rFonts w:ascii="Verdana" w:hAnsi="Verdana"/>
          <w:sz w:val="20"/>
          <w:szCs w:val="20"/>
          <w:lang w:val="es-CR"/>
        </w:rPr>
        <w:lastRenderedPageBreak/>
        <w:t>internos. Estas obligaciones deben ser interpretadas y aplicadas de manera que la garantía protegida sea verdaderamente práctica y eficaz, teniendo presente la naturaleza especial de los tratados de derechos humanos</w:t>
      </w:r>
      <w:r w:rsidRPr="0084593A">
        <w:rPr>
          <w:rStyle w:val="FootnoteReference"/>
          <w:rFonts w:ascii="Verdana" w:hAnsi="Verdana"/>
          <w:sz w:val="20"/>
          <w:szCs w:val="20"/>
          <w:lang w:val="es-CR"/>
        </w:rPr>
        <w:footnoteReference w:id="14"/>
      </w:r>
      <w:r w:rsidRPr="0084593A">
        <w:rPr>
          <w:rFonts w:ascii="Verdana" w:hAnsi="Verdana"/>
          <w:sz w:val="20"/>
          <w:szCs w:val="20"/>
          <w:lang w:val="es-CR"/>
        </w:rPr>
        <w:t>.</w:t>
      </w:r>
    </w:p>
    <w:p w14:paraId="7D8F7467" w14:textId="77777777" w:rsidR="003B1E9A" w:rsidRPr="00004A75" w:rsidRDefault="003B1E9A" w:rsidP="003B1E9A">
      <w:pPr>
        <w:pStyle w:val="ListParagraph"/>
        <w:spacing w:after="0" w:line="240" w:lineRule="auto"/>
        <w:ind w:left="0"/>
        <w:jc w:val="both"/>
        <w:rPr>
          <w:rFonts w:ascii="Verdana" w:hAnsi="Verdana"/>
          <w:sz w:val="20"/>
          <w:szCs w:val="20"/>
          <w:lang w:val="es-CR"/>
        </w:rPr>
      </w:pPr>
    </w:p>
    <w:p w14:paraId="03719606" w14:textId="2514D104" w:rsidR="003561C4" w:rsidRPr="00E17292" w:rsidRDefault="00B03698" w:rsidP="00E17292">
      <w:pPr>
        <w:pStyle w:val="ListParagraph"/>
        <w:numPr>
          <w:ilvl w:val="0"/>
          <w:numId w:val="2"/>
        </w:numPr>
        <w:spacing w:after="0" w:line="240" w:lineRule="auto"/>
        <w:ind w:left="0" w:firstLine="0"/>
        <w:jc w:val="both"/>
        <w:rPr>
          <w:rFonts w:ascii="Verdana" w:hAnsi="Verdana"/>
          <w:sz w:val="20"/>
          <w:szCs w:val="20"/>
          <w:lang w:val="es-CR"/>
        </w:rPr>
      </w:pPr>
      <w:r>
        <w:rPr>
          <w:rFonts w:ascii="Verdana" w:hAnsi="Verdana"/>
          <w:sz w:val="20"/>
          <w:szCs w:val="20"/>
          <w:lang w:val="es-CR"/>
        </w:rPr>
        <w:t>En la presente Resolución, l</w:t>
      </w:r>
      <w:r w:rsidR="003561C4">
        <w:rPr>
          <w:rFonts w:ascii="Verdana" w:hAnsi="Verdana"/>
          <w:sz w:val="20"/>
          <w:szCs w:val="20"/>
          <w:lang w:val="es-CR"/>
        </w:rPr>
        <w:t>a Corte se pronunciará sobre la medida relativa a pagar las cantidades fijadas por</w:t>
      </w:r>
      <w:r w:rsidR="0061239E">
        <w:rPr>
          <w:rFonts w:ascii="Verdana" w:hAnsi="Verdana"/>
          <w:sz w:val="20"/>
          <w:szCs w:val="20"/>
          <w:lang w:val="es-CR"/>
        </w:rPr>
        <w:t xml:space="preserve"> concepto</w:t>
      </w:r>
      <w:r w:rsidR="003561C4">
        <w:rPr>
          <w:rFonts w:ascii="Verdana" w:hAnsi="Verdana"/>
          <w:sz w:val="20"/>
          <w:szCs w:val="20"/>
          <w:lang w:val="es-CR"/>
        </w:rPr>
        <w:t xml:space="preserve"> </w:t>
      </w:r>
      <w:r w:rsidR="0061239E">
        <w:rPr>
          <w:rFonts w:ascii="Verdana" w:hAnsi="Verdana"/>
          <w:sz w:val="20"/>
          <w:szCs w:val="20"/>
          <w:lang w:val="es-CR"/>
        </w:rPr>
        <w:t>de</w:t>
      </w:r>
      <w:r w:rsidR="003561C4">
        <w:rPr>
          <w:rFonts w:ascii="Verdana" w:hAnsi="Verdana"/>
          <w:sz w:val="20"/>
          <w:szCs w:val="20"/>
          <w:lang w:val="es-CR"/>
        </w:rPr>
        <w:t xml:space="preserve"> reintegro de costas y gastos.</w:t>
      </w:r>
      <w:r w:rsidR="00E053C1">
        <w:rPr>
          <w:rFonts w:ascii="Verdana" w:hAnsi="Verdana"/>
          <w:sz w:val="20"/>
          <w:szCs w:val="20"/>
          <w:lang w:val="es-CR"/>
        </w:rPr>
        <w:t xml:space="preserve"> </w:t>
      </w:r>
      <w:r w:rsidR="003561C4">
        <w:rPr>
          <w:rFonts w:ascii="Verdana" w:hAnsi="Verdana"/>
          <w:sz w:val="20"/>
          <w:szCs w:val="20"/>
          <w:lang w:val="es-CR"/>
        </w:rPr>
        <w:t>En una posterior resolución el Tribunal se pronunciará sobre las demás medidas de reparación pendientes de cumplimiento</w:t>
      </w:r>
      <w:r w:rsidR="00CE7AD0">
        <w:rPr>
          <w:rFonts w:ascii="Verdana" w:hAnsi="Verdana"/>
          <w:sz w:val="20"/>
          <w:szCs w:val="20"/>
          <w:lang w:val="es-CR"/>
        </w:rPr>
        <w:t xml:space="preserve"> (</w:t>
      </w:r>
      <w:r w:rsidR="00004A75">
        <w:rPr>
          <w:rFonts w:ascii="Verdana" w:hAnsi="Verdana"/>
          <w:i/>
          <w:sz w:val="20"/>
          <w:szCs w:val="20"/>
          <w:lang w:val="es-CR"/>
        </w:rPr>
        <w:t xml:space="preserve">infra </w:t>
      </w:r>
      <w:r w:rsidR="00004A75" w:rsidRPr="00004A75">
        <w:rPr>
          <w:rFonts w:ascii="Verdana" w:hAnsi="Verdana"/>
          <w:sz w:val="20"/>
          <w:szCs w:val="20"/>
          <w:lang w:val="es-CR"/>
        </w:rPr>
        <w:t>punto resolutivo</w:t>
      </w:r>
      <w:r w:rsidR="00004A75">
        <w:rPr>
          <w:rFonts w:ascii="Verdana" w:hAnsi="Verdana"/>
          <w:sz w:val="20"/>
          <w:szCs w:val="20"/>
          <w:lang w:val="es-CR"/>
        </w:rPr>
        <w:t xml:space="preserve"> segundo</w:t>
      </w:r>
      <w:r w:rsidR="00CE7AD0">
        <w:rPr>
          <w:rFonts w:ascii="Verdana" w:hAnsi="Verdana"/>
          <w:sz w:val="20"/>
          <w:szCs w:val="20"/>
          <w:lang w:val="es-CR"/>
        </w:rPr>
        <w:t>)</w:t>
      </w:r>
      <w:r w:rsidR="000D2259">
        <w:rPr>
          <w:rFonts w:ascii="Verdana" w:hAnsi="Verdana"/>
          <w:sz w:val="20"/>
          <w:szCs w:val="20"/>
          <w:lang w:val="es-CR"/>
        </w:rPr>
        <w:t xml:space="preserve">, por cuanto del último informe estatal se desprende información actualizada en relación con las demás medidas, sobre las cuales </w:t>
      </w:r>
      <w:r w:rsidR="0084593A">
        <w:rPr>
          <w:rFonts w:ascii="Verdana" w:hAnsi="Verdana"/>
          <w:sz w:val="20"/>
          <w:szCs w:val="20"/>
          <w:lang w:val="es-CR"/>
        </w:rPr>
        <w:t>se encuentran corriendo plazos</w:t>
      </w:r>
      <w:r w:rsidR="000D2259">
        <w:rPr>
          <w:rFonts w:ascii="Verdana" w:hAnsi="Verdana"/>
          <w:sz w:val="20"/>
          <w:szCs w:val="20"/>
          <w:lang w:val="es-CR"/>
        </w:rPr>
        <w:t xml:space="preserve"> </w:t>
      </w:r>
      <w:r w:rsidR="00F85C4F">
        <w:rPr>
          <w:rFonts w:ascii="Verdana" w:hAnsi="Verdana"/>
          <w:sz w:val="20"/>
          <w:szCs w:val="20"/>
          <w:lang w:val="es-CR"/>
        </w:rPr>
        <w:t xml:space="preserve">para </w:t>
      </w:r>
      <w:r w:rsidR="000D2259">
        <w:rPr>
          <w:rFonts w:ascii="Verdana" w:hAnsi="Verdana"/>
          <w:sz w:val="20"/>
          <w:szCs w:val="20"/>
          <w:lang w:val="es-CR"/>
        </w:rPr>
        <w:t>que l</w:t>
      </w:r>
      <w:r w:rsidR="0084593A">
        <w:rPr>
          <w:rFonts w:ascii="Verdana" w:hAnsi="Verdana"/>
          <w:sz w:val="20"/>
          <w:szCs w:val="20"/>
          <w:lang w:val="es-CR"/>
        </w:rPr>
        <w:t>os</w:t>
      </w:r>
      <w:r w:rsidR="000D2259">
        <w:rPr>
          <w:rFonts w:ascii="Verdana" w:hAnsi="Verdana"/>
          <w:sz w:val="20"/>
          <w:szCs w:val="20"/>
          <w:lang w:val="es-CR"/>
        </w:rPr>
        <w:t xml:space="preserve"> representante</w:t>
      </w:r>
      <w:r w:rsidR="0084593A">
        <w:rPr>
          <w:rFonts w:ascii="Verdana" w:hAnsi="Verdana"/>
          <w:sz w:val="20"/>
          <w:szCs w:val="20"/>
          <w:lang w:val="es-CR"/>
        </w:rPr>
        <w:t>s</w:t>
      </w:r>
      <w:r w:rsidR="000D2259">
        <w:rPr>
          <w:rFonts w:ascii="Verdana" w:hAnsi="Verdana"/>
          <w:sz w:val="20"/>
          <w:szCs w:val="20"/>
          <w:lang w:val="es-CR"/>
        </w:rPr>
        <w:t xml:space="preserve"> y la Comisión remitan sus observaciones</w:t>
      </w:r>
      <w:r w:rsidR="003561C4">
        <w:rPr>
          <w:rFonts w:ascii="Verdana" w:hAnsi="Verdana"/>
          <w:sz w:val="20"/>
          <w:szCs w:val="20"/>
          <w:lang w:val="es-CR"/>
        </w:rPr>
        <w:t>.</w:t>
      </w:r>
    </w:p>
    <w:p w14:paraId="3795085F" w14:textId="77777777" w:rsidR="003561C4" w:rsidRPr="00BF18DF" w:rsidRDefault="003561C4" w:rsidP="00BF18DF">
      <w:pPr>
        <w:spacing w:after="0" w:line="240" w:lineRule="auto"/>
        <w:jc w:val="both"/>
        <w:rPr>
          <w:rFonts w:ascii="Verdana" w:hAnsi="Verdana"/>
          <w:sz w:val="20"/>
          <w:szCs w:val="20"/>
          <w:lang w:val="es-CR"/>
        </w:rPr>
      </w:pPr>
    </w:p>
    <w:p w14:paraId="6B6EF415" w14:textId="77777777" w:rsidR="00BF18DF" w:rsidRDefault="00BF18DF" w:rsidP="00BF18DF">
      <w:pPr>
        <w:spacing w:after="0" w:line="240" w:lineRule="auto"/>
        <w:ind w:firstLine="720"/>
        <w:jc w:val="both"/>
        <w:rPr>
          <w:rFonts w:ascii="Verdana" w:hAnsi="Verdana"/>
          <w:i/>
          <w:sz w:val="20"/>
          <w:szCs w:val="20"/>
          <w:lang w:val="es-CR"/>
        </w:rPr>
      </w:pPr>
      <w:r w:rsidRPr="00BF18DF">
        <w:rPr>
          <w:rFonts w:ascii="Verdana" w:hAnsi="Verdana"/>
          <w:i/>
          <w:sz w:val="20"/>
          <w:szCs w:val="20"/>
          <w:lang w:val="es-CR"/>
        </w:rPr>
        <w:t>A.</w:t>
      </w:r>
      <w:r w:rsidR="00E17292">
        <w:rPr>
          <w:rFonts w:ascii="Verdana" w:hAnsi="Verdana"/>
          <w:i/>
          <w:sz w:val="20"/>
          <w:szCs w:val="20"/>
          <w:lang w:val="es-CR"/>
        </w:rPr>
        <w:t>1.</w:t>
      </w:r>
      <w:r w:rsidRPr="00BF18DF">
        <w:rPr>
          <w:rFonts w:ascii="Verdana" w:hAnsi="Verdana"/>
          <w:i/>
          <w:sz w:val="20"/>
          <w:szCs w:val="20"/>
          <w:lang w:val="es-CR"/>
        </w:rPr>
        <w:t xml:space="preserve"> Medida ordenada por la Corte</w:t>
      </w:r>
    </w:p>
    <w:p w14:paraId="1A96C616" w14:textId="77777777" w:rsidR="00BF18DF" w:rsidRPr="00BF18DF" w:rsidRDefault="00BF18DF" w:rsidP="00F86987">
      <w:pPr>
        <w:spacing w:after="0" w:line="240" w:lineRule="auto"/>
        <w:jc w:val="both"/>
        <w:rPr>
          <w:rFonts w:ascii="Verdana" w:hAnsi="Verdana"/>
          <w:i/>
          <w:sz w:val="20"/>
          <w:szCs w:val="20"/>
          <w:lang w:val="es-CR"/>
        </w:rPr>
      </w:pPr>
    </w:p>
    <w:p w14:paraId="253A0898" w14:textId="77777777" w:rsidR="003561C4" w:rsidRDefault="0024299B" w:rsidP="00BF18DF">
      <w:pPr>
        <w:pStyle w:val="ListParagraph"/>
        <w:numPr>
          <w:ilvl w:val="0"/>
          <w:numId w:val="2"/>
        </w:numPr>
        <w:spacing w:after="0" w:line="240" w:lineRule="auto"/>
        <w:ind w:left="0" w:firstLine="0"/>
        <w:jc w:val="both"/>
        <w:rPr>
          <w:rFonts w:ascii="Verdana" w:hAnsi="Verdana"/>
          <w:sz w:val="20"/>
          <w:szCs w:val="20"/>
          <w:lang w:val="es-CR"/>
        </w:rPr>
      </w:pPr>
      <w:r>
        <w:rPr>
          <w:rFonts w:ascii="Verdana" w:hAnsi="Verdana"/>
          <w:sz w:val="20"/>
          <w:szCs w:val="20"/>
          <w:lang w:val="es-CR"/>
        </w:rPr>
        <w:t xml:space="preserve">En el punto resolutivo noveno </w:t>
      </w:r>
      <w:r w:rsidR="003561C4" w:rsidRPr="00050DE9">
        <w:rPr>
          <w:rFonts w:ascii="Verdana" w:hAnsi="Verdana"/>
          <w:sz w:val="20"/>
          <w:szCs w:val="20"/>
          <w:lang w:val="es-CR"/>
        </w:rPr>
        <w:t xml:space="preserve">y en los párrafos </w:t>
      </w:r>
      <w:r>
        <w:rPr>
          <w:rFonts w:ascii="Verdana" w:hAnsi="Verdana"/>
          <w:sz w:val="20"/>
          <w:szCs w:val="20"/>
          <w:lang w:val="es-CR"/>
        </w:rPr>
        <w:t>309, 317 y 318 a 323</w:t>
      </w:r>
      <w:r w:rsidR="003561C4" w:rsidRPr="00050DE9">
        <w:rPr>
          <w:rFonts w:ascii="Verdana" w:hAnsi="Verdana"/>
          <w:sz w:val="20"/>
          <w:szCs w:val="20"/>
          <w:lang w:val="es-CR"/>
        </w:rPr>
        <w:t xml:space="preserve"> de la Sentencia, la Corte ordenó al Estado </w:t>
      </w:r>
      <w:r>
        <w:rPr>
          <w:rFonts w:ascii="Verdana" w:hAnsi="Verdana"/>
          <w:sz w:val="20"/>
          <w:szCs w:val="20"/>
          <w:lang w:val="es-CR"/>
        </w:rPr>
        <w:t>pagar</w:t>
      </w:r>
      <w:r w:rsidR="00BA0DF7">
        <w:rPr>
          <w:rFonts w:ascii="Verdana" w:hAnsi="Verdana"/>
          <w:sz w:val="20"/>
          <w:szCs w:val="20"/>
          <w:lang w:val="es-CR"/>
        </w:rPr>
        <w:t xml:space="preserve"> “directamente a los representantes de las víctimas”</w:t>
      </w:r>
      <w:r>
        <w:rPr>
          <w:rFonts w:ascii="Verdana" w:hAnsi="Verdana"/>
          <w:sz w:val="20"/>
          <w:szCs w:val="20"/>
          <w:lang w:val="es-CR"/>
        </w:rPr>
        <w:t xml:space="preserve">, </w:t>
      </w:r>
      <w:r w:rsidR="00DC0408">
        <w:rPr>
          <w:rFonts w:ascii="Verdana" w:hAnsi="Verdana"/>
          <w:sz w:val="20"/>
          <w:szCs w:val="20"/>
          <w:lang w:val="es-CR"/>
        </w:rPr>
        <w:t>“</w:t>
      </w:r>
      <w:r>
        <w:rPr>
          <w:rFonts w:ascii="Verdana" w:hAnsi="Verdana"/>
          <w:sz w:val="20"/>
          <w:szCs w:val="20"/>
          <w:lang w:val="es-CR"/>
        </w:rPr>
        <w:t xml:space="preserve">por </w:t>
      </w:r>
      <w:r w:rsidRPr="0076670A">
        <w:rPr>
          <w:rFonts w:ascii="Verdana" w:hAnsi="Verdana"/>
          <w:sz w:val="20"/>
          <w:szCs w:val="20"/>
          <w:lang w:val="es-CR"/>
        </w:rPr>
        <w:t>concepto de costas y gastos, la cantidad de USD $50,000.00 (cincuenta mil dólares de los Estados Unidos de América)</w:t>
      </w:r>
      <w:r w:rsidR="00E053C1" w:rsidRPr="0076670A">
        <w:rPr>
          <w:rFonts w:ascii="Verdana" w:hAnsi="Verdana"/>
          <w:sz w:val="20"/>
          <w:szCs w:val="20"/>
          <w:lang w:val="es-CR"/>
        </w:rPr>
        <w:t>”</w:t>
      </w:r>
      <w:r w:rsidR="00BA0DF7" w:rsidRPr="0076670A">
        <w:rPr>
          <w:rFonts w:ascii="Verdana" w:hAnsi="Verdana"/>
          <w:sz w:val="20"/>
          <w:szCs w:val="20"/>
          <w:lang w:val="es-CR"/>
        </w:rPr>
        <w:t>,</w:t>
      </w:r>
      <w:r w:rsidRPr="0076670A">
        <w:rPr>
          <w:rFonts w:ascii="Verdana" w:hAnsi="Verdana"/>
          <w:sz w:val="20"/>
          <w:szCs w:val="20"/>
          <w:lang w:val="es-CR"/>
        </w:rPr>
        <w:t xml:space="preserve"> </w:t>
      </w:r>
      <w:r w:rsidR="00004A75" w:rsidRPr="0076670A">
        <w:rPr>
          <w:rFonts w:ascii="Verdana" w:hAnsi="Verdana"/>
          <w:sz w:val="20"/>
          <w:szCs w:val="20"/>
          <w:lang w:val="es-CR"/>
        </w:rPr>
        <w:t xml:space="preserve">en el plazo de </w:t>
      </w:r>
      <w:r w:rsidR="0076670A" w:rsidRPr="0076670A">
        <w:rPr>
          <w:rFonts w:ascii="Verdana" w:hAnsi="Verdana"/>
          <w:sz w:val="20"/>
          <w:szCs w:val="20"/>
          <w:lang w:val="es-CR"/>
        </w:rPr>
        <w:t>un año</w:t>
      </w:r>
      <w:r w:rsidR="007F664A" w:rsidRPr="0076670A">
        <w:rPr>
          <w:rFonts w:ascii="Verdana" w:hAnsi="Verdana"/>
          <w:sz w:val="20"/>
          <w:szCs w:val="20"/>
          <w:lang w:val="es-CR"/>
        </w:rPr>
        <w:t>.</w:t>
      </w:r>
      <w:r w:rsidR="007F664A">
        <w:rPr>
          <w:rFonts w:ascii="Verdana" w:hAnsi="Verdana"/>
          <w:sz w:val="20"/>
          <w:szCs w:val="20"/>
          <w:lang w:val="es-CR"/>
        </w:rPr>
        <w:t xml:space="preserve"> </w:t>
      </w:r>
    </w:p>
    <w:p w14:paraId="3E687773" w14:textId="77777777" w:rsidR="00BF18DF" w:rsidRDefault="00BF18DF" w:rsidP="00BF18DF">
      <w:pPr>
        <w:pStyle w:val="ListParagraph"/>
        <w:spacing w:after="0" w:line="240" w:lineRule="auto"/>
        <w:ind w:left="0"/>
        <w:jc w:val="both"/>
        <w:rPr>
          <w:rFonts w:ascii="Verdana" w:hAnsi="Verdana"/>
          <w:sz w:val="20"/>
          <w:szCs w:val="20"/>
          <w:lang w:val="es-CR"/>
        </w:rPr>
      </w:pPr>
    </w:p>
    <w:p w14:paraId="48BB5483" w14:textId="77777777" w:rsidR="00BF18DF" w:rsidRPr="00BF18DF" w:rsidRDefault="00BF18DF" w:rsidP="00BF18DF">
      <w:pPr>
        <w:spacing w:after="0" w:line="240" w:lineRule="auto"/>
        <w:ind w:firstLine="720"/>
        <w:jc w:val="both"/>
        <w:rPr>
          <w:rFonts w:ascii="Verdana" w:hAnsi="Verdana"/>
          <w:i/>
          <w:sz w:val="20"/>
          <w:szCs w:val="20"/>
          <w:lang w:val="es-CR"/>
        </w:rPr>
      </w:pPr>
      <w:r>
        <w:rPr>
          <w:rFonts w:ascii="Verdana" w:hAnsi="Verdana"/>
          <w:i/>
          <w:sz w:val="20"/>
          <w:szCs w:val="20"/>
          <w:lang w:val="es-CR"/>
        </w:rPr>
        <w:t>A.2. Consideraciones de la Corte</w:t>
      </w:r>
    </w:p>
    <w:p w14:paraId="55A60858" w14:textId="77777777" w:rsidR="00BF18DF" w:rsidRDefault="00BF18DF" w:rsidP="00BF18DF">
      <w:pPr>
        <w:pStyle w:val="ListParagraph"/>
        <w:spacing w:after="0" w:line="240" w:lineRule="auto"/>
        <w:ind w:left="0"/>
        <w:jc w:val="both"/>
        <w:rPr>
          <w:rFonts w:ascii="Verdana" w:hAnsi="Verdana"/>
          <w:sz w:val="20"/>
          <w:szCs w:val="20"/>
          <w:lang w:val="es-CR"/>
        </w:rPr>
      </w:pPr>
    </w:p>
    <w:p w14:paraId="5D9B013E" w14:textId="77777777" w:rsidR="00050DE9" w:rsidRDefault="008B59F4" w:rsidP="0053546C">
      <w:pPr>
        <w:pStyle w:val="ListParagraph"/>
        <w:numPr>
          <w:ilvl w:val="0"/>
          <w:numId w:val="2"/>
        </w:numPr>
        <w:spacing w:after="0" w:line="240" w:lineRule="auto"/>
        <w:ind w:left="0" w:firstLine="0"/>
        <w:jc w:val="both"/>
        <w:rPr>
          <w:rFonts w:ascii="Verdana" w:hAnsi="Verdana"/>
          <w:sz w:val="20"/>
          <w:szCs w:val="20"/>
          <w:lang w:val="es-CR"/>
        </w:rPr>
      </w:pPr>
      <w:r>
        <w:rPr>
          <w:rFonts w:ascii="Verdana" w:hAnsi="Verdana"/>
          <w:sz w:val="20"/>
          <w:szCs w:val="20"/>
          <w:lang w:val="es-CR"/>
        </w:rPr>
        <w:t>La Corte constata</w:t>
      </w:r>
      <w:r w:rsidR="00131521">
        <w:rPr>
          <w:rFonts w:ascii="Verdana" w:hAnsi="Verdana"/>
          <w:sz w:val="20"/>
          <w:szCs w:val="20"/>
          <w:lang w:val="es-CR"/>
        </w:rPr>
        <w:t xml:space="preserve"> que el Estado dio cumplimiento total a la medida de reparación relativa al reintegro de costas y gastos a favor de </w:t>
      </w:r>
      <w:r w:rsidR="0084593A">
        <w:rPr>
          <w:rFonts w:ascii="Verdana" w:hAnsi="Verdana"/>
          <w:sz w:val="20"/>
          <w:szCs w:val="20"/>
          <w:lang w:val="es-CR"/>
        </w:rPr>
        <w:t>los</w:t>
      </w:r>
      <w:r w:rsidR="00131521">
        <w:rPr>
          <w:rFonts w:ascii="Verdana" w:hAnsi="Verdana"/>
          <w:sz w:val="20"/>
          <w:szCs w:val="20"/>
          <w:lang w:val="es-CR"/>
        </w:rPr>
        <w:t xml:space="preserve"> representante</w:t>
      </w:r>
      <w:r w:rsidR="0084593A">
        <w:rPr>
          <w:rFonts w:ascii="Verdana" w:hAnsi="Verdana"/>
          <w:sz w:val="20"/>
          <w:szCs w:val="20"/>
          <w:lang w:val="es-CR"/>
        </w:rPr>
        <w:t>s</w:t>
      </w:r>
      <w:r w:rsidR="00131521">
        <w:rPr>
          <w:rFonts w:ascii="Verdana" w:hAnsi="Verdana"/>
          <w:sz w:val="20"/>
          <w:szCs w:val="20"/>
          <w:lang w:val="es-CR"/>
        </w:rPr>
        <w:t xml:space="preserve"> de las víctimas</w:t>
      </w:r>
      <w:r>
        <w:rPr>
          <w:rFonts w:ascii="Verdana" w:hAnsi="Verdana"/>
          <w:sz w:val="20"/>
          <w:szCs w:val="20"/>
          <w:lang w:val="es-CR"/>
        </w:rPr>
        <w:t xml:space="preserve">, con base en </w:t>
      </w:r>
      <w:r w:rsidR="0024299B">
        <w:rPr>
          <w:rFonts w:ascii="Verdana" w:hAnsi="Verdana"/>
          <w:sz w:val="20"/>
          <w:szCs w:val="20"/>
          <w:lang w:val="es-CR"/>
        </w:rPr>
        <w:t xml:space="preserve">el acta </w:t>
      </w:r>
      <w:r w:rsidR="005E48B2">
        <w:rPr>
          <w:rFonts w:ascii="Verdana" w:hAnsi="Verdana"/>
          <w:sz w:val="20"/>
          <w:szCs w:val="20"/>
          <w:lang w:val="es-CR"/>
        </w:rPr>
        <w:t>que firm</w:t>
      </w:r>
      <w:r w:rsidR="0084593A">
        <w:rPr>
          <w:rFonts w:ascii="Verdana" w:hAnsi="Verdana"/>
          <w:sz w:val="20"/>
          <w:szCs w:val="20"/>
          <w:lang w:val="es-CR"/>
        </w:rPr>
        <w:t>aron los representantes de las víctimas</w:t>
      </w:r>
      <w:r w:rsidR="0084593A" w:rsidRPr="0084593A">
        <w:rPr>
          <w:rFonts w:ascii="Verdana" w:hAnsi="Verdana"/>
          <w:sz w:val="20"/>
          <w:szCs w:val="20"/>
          <w:lang w:val="es-CR"/>
        </w:rPr>
        <w:t xml:space="preserve"> </w:t>
      </w:r>
      <w:r w:rsidR="0084593A">
        <w:rPr>
          <w:rFonts w:ascii="Verdana" w:hAnsi="Verdana"/>
          <w:sz w:val="20"/>
          <w:szCs w:val="20"/>
          <w:lang w:val="es-CR"/>
        </w:rPr>
        <w:t>junto con el Director Ejecutivo de la Comisión Presidencial Coordinadora de la Política del Ejecutivo en materia de Derechos Humanos (COPREDEH)</w:t>
      </w:r>
      <w:r w:rsidR="005E48B2">
        <w:rPr>
          <w:rFonts w:ascii="Verdana" w:hAnsi="Verdana"/>
          <w:sz w:val="20"/>
          <w:szCs w:val="20"/>
          <w:lang w:val="es-CR"/>
        </w:rPr>
        <w:t xml:space="preserve"> </w:t>
      </w:r>
      <w:r w:rsidR="00A70F2E">
        <w:rPr>
          <w:rFonts w:ascii="Verdana" w:hAnsi="Verdana"/>
          <w:sz w:val="20"/>
          <w:szCs w:val="20"/>
          <w:lang w:val="es-CR"/>
        </w:rPr>
        <w:t>el 19 de diciembre de 2017</w:t>
      </w:r>
      <w:r>
        <w:rPr>
          <w:rFonts w:ascii="Verdana" w:hAnsi="Verdana"/>
          <w:sz w:val="20"/>
          <w:szCs w:val="20"/>
          <w:lang w:val="es-CR"/>
        </w:rPr>
        <w:t xml:space="preserve">, que </w:t>
      </w:r>
      <w:r w:rsidR="00131521">
        <w:rPr>
          <w:rFonts w:ascii="Verdana" w:hAnsi="Verdana"/>
          <w:sz w:val="20"/>
          <w:szCs w:val="20"/>
          <w:lang w:val="es-CR"/>
        </w:rPr>
        <w:t xml:space="preserve">da cuenta que </w:t>
      </w:r>
      <w:r>
        <w:rPr>
          <w:rFonts w:ascii="Verdana" w:hAnsi="Verdana"/>
          <w:sz w:val="20"/>
          <w:szCs w:val="20"/>
          <w:lang w:val="es-CR"/>
        </w:rPr>
        <w:t xml:space="preserve">se </w:t>
      </w:r>
      <w:r w:rsidR="0024299B">
        <w:rPr>
          <w:rFonts w:ascii="Verdana" w:hAnsi="Verdana"/>
          <w:sz w:val="20"/>
          <w:szCs w:val="20"/>
          <w:lang w:val="es-CR"/>
        </w:rPr>
        <w:t xml:space="preserve">realizó </w:t>
      </w:r>
      <w:r w:rsidR="00CE7AD0">
        <w:rPr>
          <w:rFonts w:ascii="Verdana" w:hAnsi="Verdana"/>
          <w:sz w:val="20"/>
          <w:szCs w:val="20"/>
          <w:lang w:val="es-CR"/>
        </w:rPr>
        <w:t>un</w:t>
      </w:r>
      <w:r w:rsidR="0024299B">
        <w:rPr>
          <w:rFonts w:ascii="Verdana" w:hAnsi="Verdana"/>
          <w:sz w:val="20"/>
          <w:szCs w:val="20"/>
          <w:lang w:val="es-CR"/>
        </w:rPr>
        <w:t xml:space="preserve"> depósito en la cuenta </w:t>
      </w:r>
      <w:r w:rsidR="004B75C2">
        <w:rPr>
          <w:rFonts w:ascii="Verdana" w:hAnsi="Verdana"/>
          <w:sz w:val="20"/>
          <w:szCs w:val="20"/>
          <w:lang w:val="es-CR"/>
        </w:rPr>
        <w:t xml:space="preserve">de </w:t>
      </w:r>
      <w:r w:rsidR="00CE7AD0">
        <w:rPr>
          <w:rFonts w:ascii="Verdana" w:hAnsi="Verdana"/>
          <w:sz w:val="20"/>
          <w:szCs w:val="20"/>
          <w:lang w:val="es-CR"/>
        </w:rPr>
        <w:t xml:space="preserve">ADIVIMA </w:t>
      </w:r>
      <w:r>
        <w:rPr>
          <w:rFonts w:ascii="Verdana" w:hAnsi="Verdana"/>
          <w:sz w:val="20"/>
          <w:szCs w:val="20"/>
          <w:lang w:val="es-CR"/>
        </w:rPr>
        <w:t xml:space="preserve">correspondiente a la cantidad ordenada en la Sentencia por </w:t>
      </w:r>
      <w:r w:rsidR="005E48B2">
        <w:rPr>
          <w:rFonts w:ascii="Verdana" w:hAnsi="Verdana"/>
          <w:sz w:val="20"/>
          <w:szCs w:val="20"/>
          <w:lang w:val="es-CR"/>
        </w:rPr>
        <w:t xml:space="preserve">dicho </w:t>
      </w:r>
      <w:r>
        <w:rPr>
          <w:rFonts w:ascii="Verdana" w:hAnsi="Verdana"/>
          <w:sz w:val="20"/>
          <w:szCs w:val="20"/>
          <w:lang w:val="es-CR"/>
        </w:rPr>
        <w:t>concepto</w:t>
      </w:r>
      <w:r w:rsidR="0084593A">
        <w:rPr>
          <w:rStyle w:val="FootnoteReference"/>
          <w:rFonts w:ascii="Verdana" w:hAnsi="Verdana"/>
          <w:sz w:val="20"/>
          <w:szCs w:val="20"/>
          <w:lang w:val="es-CR"/>
        </w:rPr>
        <w:footnoteReference w:id="15"/>
      </w:r>
      <w:r w:rsidR="0084593A">
        <w:rPr>
          <w:rFonts w:ascii="Verdana" w:hAnsi="Verdana"/>
          <w:sz w:val="20"/>
          <w:szCs w:val="20"/>
          <w:lang w:val="es-CR"/>
        </w:rPr>
        <w:t>.</w:t>
      </w:r>
    </w:p>
    <w:p w14:paraId="1E8B893B" w14:textId="77777777" w:rsidR="002349A0" w:rsidRDefault="002349A0" w:rsidP="002349A0">
      <w:pPr>
        <w:pStyle w:val="ListParagraph"/>
        <w:spacing w:after="0" w:line="240" w:lineRule="auto"/>
        <w:ind w:left="0"/>
        <w:jc w:val="both"/>
        <w:rPr>
          <w:rFonts w:ascii="Verdana" w:hAnsi="Verdana"/>
          <w:sz w:val="20"/>
          <w:szCs w:val="20"/>
          <w:lang w:val="es-CR"/>
        </w:rPr>
      </w:pPr>
    </w:p>
    <w:p w14:paraId="6A1C70E0" w14:textId="2AA35129" w:rsidR="002349A0" w:rsidRPr="002349A0" w:rsidRDefault="002349A0" w:rsidP="002349A0">
      <w:pPr>
        <w:pStyle w:val="ListParagraph"/>
        <w:numPr>
          <w:ilvl w:val="0"/>
          <w:numId w:val="2"/>
        </w:numPr>
        <w:spacing w:after="0" w:line="240" w:lineRule="auto"/>
        <w:ind w:left="0" w:firstLine="0"/>
        <w:jc w:val="both"/>
        <w:rPr>
          <w:rFonts w:ascii="Verdana" w:hAnsi="Verdana"/>
          <w:b/>
          <w:sz w:val="20"/>
          <w:lang w:val="es-CR"/>
        </w:rPr>
      </w:pPr>
      <w:r>
        <w:rPr>
          <w:rFonts w:ascii="Verdana" w:hAnsi="Verdana"/>
          <w:sz w:val="20"/>
          <w:szCs w:val="20"/>
          <w:lang w:val="es-CR"/>
        </w:rPr>
        <w:t xml:space="preserve">En virtud de lo anterior, este Tribunal considera que el Estado ha dado cumplimiento total a la medida de reparación relativa al reintegro de costas y gastos a favor de los representantes. </w:t>
      </w:r>
    </w:p>
    <w:p w14:paraId="60233669" w14:textId="77777777" w:rsidR="00E5152E" w:rsidRDefault="00E5152E" w:rsidP="00E5152E">
      <w:pPr>
        <w:spacing w:after="0" w:line="240" w:lineRule="auto"/>
        <w:jc w:val="both"/>
        <w:rPr>
          <w:rFonts w:ascii="Verdana" w:hAnsi="Verdana"/>
          <w:sz w:val="20"/>
          <w:szCs w:val="20"/>
          <w:lang w:val="es-CR"/>
        </w:rPr>
      </w:pPr>
    </w:p>
    <w:p w14:paraId="13A53C27" w14:textId="77777777" w:rsidR="00D76230" w:rsidRDefault="00D76230" w:rsidP="00E5152E">
      <w:pPr>
        <w:spacing w:after="0" w:line="240" w:lineRule="auto"/>
        <w:jc w:val="both"/>
        <w:rPr>
          <w:rFonts w:ascii="Verdana" w:hAnsi="Verdana"/>
          <w:sz w:val="20"/>
          <w:szCs w:val="20"/>
          <w:lang w:val="es-CR"/>
        </w:rPr>
      </w:pPr>
    </w:p>
    <w:p w14:paraId="41EB4FB5" w14:textId="77777777" w:rsidR="00E5152E" w:rsidRDefault="00E5152E" w:rsidP="00E5152E">
      <w:pPr>
        <w:spacing w:after="0" w:line="240" w:lineRule="auto"/>
        <w:jc w:val="both"/>
        <w:rPr>
          <w:rFonts w:ascii="Verdana" w:hAnsi="Verdana"/>
          <w:b/>
          <w:sz w:val="20"/>
          <w:szCs w:val="20"/>
          <w:lang w:val="es-CR"/>
        </w:rPr>
      </w:pPr>
      <w:r>
        <w:rPr>
          <w:rFonts w:ascii="Verdana" w:hAnsi="Verdana"/>
          <w:b/>
          <w:sz w:val="20"/>
          <w:szCs w:val="20"/>
          <w:lang w:val="es-CR"/>
        </w:rPr>
        <w:t>POR TANTO:</w:t>
      </w:r>
    </w:p>
    <w:p w14:paraId="7B5DAC5D" w14:textId="77777777" w:rsidR="00131CDE" w:rsidRDefault="00131CDE" w:rsidP="00E5152E">
      <w:pPr>
        <w:spacing w:after="0" w:line="240" w:lineRule="auto"/>
        <w:jc w:val="both"/>
        <w:rPr>
          <w:rFonts w:ascii="Verdana" w:hAnsi="Verdana"/>
          <w:b/>
          <w:sz w:val="20"/>
          <w:szCs w:val="20"/>
          <w:lang w:val="es-CR"/>
        </w:rPr>
      </w:pPr>
    </w:p>
    <w:p w14:paraId="53AA7547" w14:textId="77777777" w:rsidR="00E5152E" w:rsidRDefault="00E5152E" w:rsidP="00E5152E">
      <w:pPr>
        <w:spacing w:after="0" w:line="240" w:lineRule="auto"/>
        <w:jc w:val="both"/>
        <w:rPr>
          <w:rFonts w:ascii="Verdana" w:hAnsi="Verdana"/>
          <w:b/>
          <w:sz w:val="20"/>
          <w:szCs w:val="20"/>
          <w:lang w:val="es-CR"/>
        </w:rPr>
      </w:pPr>
      <w:r>
        <w:rPr>
          <w:rFonts w:ascii="Verdana" w:hAnsi="Verdana"/>
          <w:b/>
          <w:sz w:val="20"/>
          <w:szCs w:val="20"/>
          <w:lang w:val="es-CR"/>
        </w:rPr>
        <w:t xml:space="preserve">LA CORTE INTERAMERICANA DE DERECHOS HUMANOS, </w:t>
      </w:r>
    </w:p>
    <w:p w14:paraId="4D620A9F" w14:textId="77777777" w:rsidR="00DC0408" w:rsidRDefault="00DC0408" w:rsidP="008F4C18">
      <w:pPr>
        <w:spacing w:after="0" w:line="240" w:lineRule="auto"/>
        <w:jc w:val="both"/>
        <w:rPr>
          <w:rFonts w:ascii="Verdana" w:hAnsi="Verdana"/>
          <w:sz w:val="20"/>
          <w:szCs w:val="20"/>
          <w:lang w:val="es-CR"/>
        </w:rPr>
      </w:pPr>
    </w:p>
    <w:p w14:paraId="453E49D5" w14:textId="77777777" w:rsidR="008F4C18" w:rsidRPr="008F4C18" w:rsidRDefault="008F4C18" w:rsidP="008F4C18">
      <w:pPr>
        <w:spacing w:after="0" w:line="240" w:lineRule="auto"/>
        <w:jc w:val="both"/>
        <w:rPr>
          <w:rFonts w:ascii="Verdana" w:hAnsi="Verdana"/>
          <w:sz w:val="20"/>
          <w:szCs w:val="20"/>
          <w:lang w:val="es-CR"/>
        </w:rPr>
      </w:pPr>
      <w:r w:rsidRPr="008F4C18">
        <w:rPr>
          <w:rFonts w:ascii="Verdana" w:hAnsi="Verdana"/>
          <w:sz w:val="20"/>
          <w:szCs w:val="20"/>
          <w:lang w:val="es-CR"/>
        </w:rPr>
        <w:t>en el ejercicio de sus atribuciones de supervisión del cumplimiento de sus decisiones, de</w:t>
      </w:r>
    </w:p>
    <w:p w14:paraId="01A34294" w14:textId="77777777" w:rsidR="008F4C18" w:rsidRPr="008F4C18" w:rsidRDefault="008F4C18" w:rsidP="008F4C18">
      <w:pPr>
        <w:spacing w:after="0" w:line="240" w:lineRule="auto"/>
        <w:jc w:val="both"/>
        <w:rPr>
          <w:rFonts w:ascii="Verdana" w:hAnsi="Verdana"/>
          <w:sz w:val="20"/>
          <w:szCs w:val="20"/>
          <w:lang w:val="es-CR"/>
        </w:rPr>
      </w:pPr>
      <w:r w:rsidRPr="008F4C18">
        <w:rPr>
          <w:rFonts w:ascii="Verdana" w:hAnsi="Verdana"/>
          <w:sz w:val="20"/>
          <w:szCs w:val="20"/>
          <w:lang w:val="es-CR"/>
        </w:rPr>
        <w:t>conformidad con los artículos 33, 62.1, 62.3, 65, 67 y 68.1 de la Convención Americana</w:t>
      </w:r>
    </w:p>
    <w:p w14:paraId="6F3DE534" w14:textId="77777777" w:rsidR="00E5152E" w:rsidRDefault="008F4C18" w:rsidP="008F4C18">
      <w:pPr>
        <w:spacing w:after="0" w:line="240" w:lineRule="auto"/>
        <w:jc w:val="both"/>
        <w:rPr>
          <w:rFonts w:ascii="Verdana" w:hAnsi="Verdana"/>
          <w:sz w:val="20"/>
          <w:szCs w:val="20"/>
          <w:lang w:val="es-CR"/>
        </w:rPr>
      </w:pPr>
      <w:r w:rsidRPr="008F4C18">
        <w:rPr>
          <w:rFonts w:ascii="Verdana" w:hAnsi="Verdana"/>
          <w:sz w:val="20"/>
          <w:szCs w:val="20"/>
          <w:lang w:val="es-CR"/>
        </w:rPr>
        <w:t>sobre Derechos Humanos, 24, 25 y 30 del Estatuto y 31.2 y 69 de su Reglamento,</w:t>
      </w:r>
    </w:p>
    <w:p w14:paraId="348EF9FF" w14:textId="77777777" w:rsidR="008F4C18" w:rsidRDefault="008F4C18" w:rsidP="008F4C18">
      <w:pPr>
        <w:spacing w:after="0" w:line="240" w:lineRule="auto"/>
        <w:jc w:val="both"/>
        <w:rPr>
          <w:rFonts w:ascii="Verdana" w:hAnsi="Verdana"/>
          <w:sz w:val="20"/>
          <w:szCs w:val="20"/>
          <w:lang w:val="es-CR"/>
        </w:rPr>
      </w:pPr>
    </w:p>
    <w:p w14:paraId="6C1985A0" w14:textId="77777777" w:rsidR="008F4C18" w:rsidRDefault="008F4C18" w:rsidP="008F4C18">
      <w:pPr>
        <w:spacing w:after="0" w:line="240" w:lineRule="auto"/>
        <w:jc w:val="both"/>
        <w:rPr>
          <w:rFonts w:ascii="Verdana" w:hAnsi="Verdana"/>
          <w:b/>
          <w:sz w:val="20"/>
          <w:szCs w:val="20"/>
          <w:lang w:val="es-CR"/>
        </w:rPr>
      </w:pPr>
      <w:r>
        <w:rPr>
          <w:rFonts w:ascii="Verdana" w:hAnsi="Verdana"/>
          <w:b/>
          <w:sz w:val="20"/>
          <w:szCs w:val="20"/>
          <w:lang w:val="es-CR"/>
        </w:rPr>
        <w:t>RESUELVE:</w:t>
      </w:r>
    </w:p>
    <w:p w14:paraId="2A282ABC" w14:textId="77777777" w:rsidR="008F4C18" w:rsidRDefault="008F4C18" w:rsidP="008F4C18">
      <w:pPr>
        <w:spacing w:after="0" w:line="240" w:lineRule="auto"/>
        <w:jc w:val="both"/>
        <w:rPr>
          <w:rFonts w:ascii="Verdana" w:hAnsi="Verdana"/>
          <w:b/>
          <w:sz w:val="20"/>
          <w:szCs w:val="20"/>
          <w:lang w:val="es-CR"/>
        </w:rPr>
      </w:pPr>
    </w:p>
    <w:p w14:paraId="61FC3F71" w14:textId="77777777" w:rsidR="008F4C18" w:rsidRDefault="00A70F2E" w:rsidP="008F4C18">
      <w:pPr>
        <w:pStyle w:val="ListParagraph"/>
        <w:numPr>
          <w:ilvl w:val="0"/>
          <w:numId w:val="4"/>
        </w:numPr>
        <w:spacing w:after="0" w:line="240" w:lineRule="auto"/>
        <w:ind w:left="0" w:firstLine="0"/>
        <w:jc w:val="both"/>
        <w:rPr>
          <w:rFonts w:ascii="Verdana" w:hAnsi="Verdana"/>
          <w:sz w:val="20"/>
          <w:szCs w:val="20"/>
          <w:lang w:val="es-CR"/>
        </w:rPr>
      </w:pPr>
      <w:r>
        <w:rPr>
          <w:rFonts w:ascii="Verdana" w:hAnsi="Verdana"/>
          <w:sz w:val="20"/>
          <w:szCs w:val="20"/>
          <w:lang w:val="es-CR"/>
        </w:rPr>
        <w:t xml:space="preserve">Declarar </w:t>
      </w:r>
      <w:r w:rsidR="008F4C18">
        <w:rPr>
          <w:rFonts w:ascii="Verdana" w:hAnsi="Verdana"/>
          <w:sz w:val="20"/>
          <w:szCs w:val="20"/>
          <w:lang w:val="es-CR"/>
        </w:rPr>
        <w:t>que el Estado ha dado cumplimiento total a la medida relativa a pagar la cantidad</w:t>
      </w:r>
      <w:r w:rsidR="003301C3">
        <w:rPr>
          <w:rFonts w:ascii="Verdana" w:hAnsi="Verdana"/>
          <w:sz w:val="20"/>
          <w:szCs w:val="20"/>
          <w:lang w:val="es-CR"/>
        </w:rPr>
        <w:t xml:space="preserve"> </w:t>
      </w:r>
      <w:r w:rsidR="008F4C18">
        <w:rPr>
          <w:rFonts w:ascii="Verdana" w:hAnsi="Verdana"/>
          <w:sz w:val="20"/>
          <w:szCs w:val="20"/>
          <w:lang w:val="es-CR"/>
        </w:rPr>
        <w:t xml:space="preserve">fijada por </w:t>
      </w:r>
      <w:r w:rsidR="00E4192C">
        <w:rPr>
          <w:rFonts w:ascii="Verdana" w:hAnsi="Verdana"/>
          <w:sz w:val="20"/>
          <w:szCs w:val="20"/>
          <w:lang w:val="es-CR"/>
        </w:rPr>
        <w:t>concepto de</w:t>
      </w:r>
      <w:r w:rsidR="008F4C18">
        <w:rPr>
          <w:rFonts w:ascii="Verdana" w:hAnsi="Verdana"/>
          <w:sz w:val="20"/>
          <w:szCs w:val="20"/>
          <w:lang w:val="es-CR"/>
        </w:rPr>
        <w:t xml:space="preserve"> reintegro de costas y gastos</w:t>
      </w:r>
      <w:r w:rsidR="00CE7AD0">
        <w:rPr>
          <w:rFonts w:ascii="Verdana" w:hAnsi="Verdana"/>
          <w:sz w:val="20"/>
          <w:szCs w:val="20"/>
          <w:lang w:val="es-CR"/>
        </w:rPr>
        <w:t>, ordenada en el punto resolutivo noveno de la Sentencia</w:t>
      </w:r>
      <w:r w:rsidR="008F4C18">
        <w:rPr>
          <w:rFonts w:ascii="Verdana" w:hAnsi="Verdana"/>
          <w:sz w:val="20"/>
          <w:szCs w:val="20"/>
          <w:lang w:val="es-CR"/>
        </w:rPr>
        <w:t xml:space="preserve">. </w:t>
      </w:r>
    </w:p>
    <w:p w14:paraId="251AC764" w14:textId="77777777" w:rsidR="008F4C18" w:rsidRDefault="008F4C18" w:rsidP="008F4C18">
      <w:pPr>
        <w:pStyle w:val="ListParagraph"/>
        <w:spacing w:after="0" w:line="240" w:lineRule="auto"/>
        <w:ind w:left="0"/>
        <w:jc w:val="both"/>
        <w:rPr>
          <w:rFonts w:ascii="Verdana" w:hAnsi="Verdana"/>
          <w:sz w:val="20"/>
          <w:szCs w:val="20"/>
          <w:lang w:val="es-CR"/>
        </w:rPr>
      </w:pPr>
    </w:p>
    <w:p w14:paraId="0F600C0A" w14:textId="77777777" w:rsidR="004B75C2" w:rsidRPr="00E4192C" w:rsidRDefault="008F4C18" w:rsidP="00F96ACD">
      <w:pPr>
        <w:pStyle w:val="ListParagraph"/>
        <w:numPr>
          <w:ilvl w:val="0"/>
          <w:numId w:val="4"/>
        </w:numPr>
        <w:spacing w:after="0" w:line="240" w:lineRule="auto"/>
        <w:ind w:left="0" w:firstLine="0"/>
        <w:jc w:val="both"/>
        <w:rPr>
          <w:rFonts w:ascii="Verdana" w:hAnsi="Verdana"/>
          <w:sz w:val="20"/>
          <w:szCs w:val="20"/>
          <w:lang w:val="es-CR"/>
        </w:rPr>
      </w:pPr>
      <w:r>
        <w:rPr>
          <w:rFonts w:ascii="Verdana" w:hAnsi="Verdana"/>
          <w:sz w:val="20"/>
          <w:szCs w:val="20"/>
          <w:lang w:val="es-CR"/>
        </w:rPr>
        <w:lastRenderedPageBreak/>
        <w:t xml:space="preserve">Mantener abierto el procedimiento de supervisión de cumplimiento de las siguientes medidas de reparación: </w:t>
      </w:r>
    </w:p>
    <w:p w14:paraId="72BAA4C3" w14:textId="77777777" w:rsidR="004B75C2" w:rsidRPr="00131521" w:rsidRDefault="004B75C2" w:rsidP="006D0DD1">
      <w:pPr>
        <w:pStyle w:val="ListParagraph"/>
        <w:numPr>
          <w:ilvl w:val="1"/>
          <w:numId w:val="8"/>
        </w:numPr>
        <w:spacing w:after="0" w:line="240" w:lineRule="auto"/>
        <w:ind w:left="709" w:hanging="425"/>
        <w:jc w:val="both"/>
        <w:rPr>
          <w:rFonts w:ascii="Verdana" w:hAnsi="Verdana"/>
          <w:sz w:val="18"/>
          <w:szCs w:val="18"/>
          <w:lang w:val="es-CR"/>
        </w:rPr>
      </w:pPr>
      <w:r w:rsidRPr="00131521">
        <w:rPr>
          <w:rFonts w:ascii="Verdana" w:hAnsi="Verdana"/>
          <w:sz w:val="18"/>
          <w:szCs w:val="18"/>
          <w:lang w:val="es-CR"/>
        </w:rPr>
        <w:t>investigar de forma seria y efectiva los hechos que originaron las violaciones declaradas en la Sentencia, con el propósito de juzgar y, eventualmente, sancionar a los presuntos responsables (</w:t>
      </w:r>
      <w:r w:rsidRPr="0084593A">
        <w:rPr>
          <w:rFonts w:ascii="Verdana" w:hAnsi="Verdana"/>
          <w:i/>
          <w:sz w:val="18"/>
          <w:szCs w:val="18"/>
          <w:lang w:val="es-CR"/>
        </w:rPr>
        <w:t>punto resolutivo segundo de la Sentencia</w:t>
      </w:r>
      <w:r w:rsidRPr="00131521">
        <w:rPr>
          <w:rFonts w:ascii="Verdana" w:hAnsi="Verdana"/>
          <w:sz w:val="18"/>
          <w:szCs w:val="18"/>
          <w:lang w:val="es-CR"/>
        </w:rPr>
        <w:t xml:space="preserve">); </w:t>
      </w:r>
    </w:p>
    <w:p w14:paraId="7D4FB177" w14:textId="77777777" w:rsidR="004B75C2" w:rsidRPr="00131521" w:rsidRDefault="004B75C2" w:rsidP="006D0DD1">
      <w:pPr>
        <w:pStyle w:val="ListParagraph"/>
        <w:numPr>
          <w:ilvl w:val="1"/>
          <w:numId w:val="8"/>
        </w:numPr>
        <w:spacing w:after="0" w:line="240" w:lineRule="auto"/>
        <w:ind w:left="709" w:hanging="425"/>
        <w:jc w:val="both"/>
        <w:rPr>
          <w:rFonts w:ascii="Verdana" w:hAnsi="Verdana"/>
          <w:sz w:val="18"/>
          <w:szCs w:val="18"/>
          <w:lang w:val="es-CR"/>
        </w:rPr>
      </w:pPr>
      <w:r w:rsidRPr="00131521">
        <w:rPr>
          <w:rFonts w:ascii="Verdana" w:hAnsi="Verdana"/>
          <w:sz w:val="18"/>
          <w:szCs w:val="18"/>
          <w:lang w:val="es-CR"/>
        </w:rPr>
        <w:t>realizar una búsqueda efectiva del paradero de las víctimas desaparecidas forzadamente (</w:t>
      </w:r>
      <w:r w:rsidRPr="0084593A">
        <w:rPr>
          <w:rFonts w:ascii="Verdana" w:hAnsi="Verdana"/>
          <w:i/>
          <w:sz w:val="18"/>
          <w:szCs w:val="18"/>
          <w:lang w:val="es-CR"/>
        </w:rPr>
        <w:t>punto resolutivo tercero de la Sentencia</w:t>
      </w:r>
      <w:r w:rsidRPr="00131521">
        <w:rPr>
          <w:rFonts w:ascii="Verdana" w:hAnsi="Verdana"/>
          <w:sz w:val="18"/>
          <w:szCs w:val="18"/>
          <w:lang w:val="es-CR"/>
        </w:rPr>
        <w:t xml:space="preserve">); </w:t>
      </w:r>
    </w:p>
    <w:p w14:paraId="75582055" w14:textId="77777777" w:rsidR="004B75C2" w:rsidRPr="00131521" w:rsidRDefault="004B75C2" w:rsidP="006D0DD1">
      <w:pPr>
        <w:pStyle w:val="ListParagraph"/>
        <w:numPr>
          <w:ilvl w:val="1"/>
          <w:numId w:val="8"/>
        </w:numPr>
        <w:spacing w:after="0" w:line="240" w:lineRule="auto"/>
        <w:ind w:left="709" w:hanging="425"/>
        <w:jc w:val="both"/>
        <w:rPr>
          <w:rFonts w:ascii="Verdana" w:hAnsi="Verdana"/>
          <w:sz w:val="18"/>
          <w:szCs w:val="18"/>
          <w:lang w:val="es-CR"/>
        </w:rPr>
      </w:pPr>
      <w:r w:rsidRPr="00131521">
        <w:rPr>
          <w:rFonts w:ascii="Verdana" w:hAnsi="Verdana"/>
          <w:sz w:val="18"/>
          <w:szCs w:val="18"/>
          <w:lang w:val="es-CR"/>
        </w:rPr>
        <w:t>realizar un acto público de reconocimiento de responsabilidad internacional por los hechos del presente caso (</w:t>
      </w:r>
      <w:r w:rsidRPr="0084593A">
        <w:rPr>
          <w:rFonts w:ascii="Verdana" w:hAnsi="Verdana"/>
          <w:i/>
          <w:sz w:val="18"/>
          <w:szCs w:val="18"/>
          <w:lang w:val="es-CR"/>
        </w:rPr>
        <w:t>punto resolutivo quinto de la Sentencia</w:t>
      </w:r>
      <w:r w:rsidRPr="00131521">
        <w:rPr>
          <w:rFonts w:ascii="Verdana" w:hAnsi="Verdana"/>
          <w:sz w:val="18"/>
          <w:szCs w:val="18"/>
          <w:lang w:val="es-CR"/>
        </w:rPr>
        <w:t xml:space="preserve">); </w:t>
      </w:r>
    </w:p>
    <w:p w14:paraId="50DD51B1" w14:textId="77777777" w:rsidR="004B75C2" w:rsidRPr="00131521" w:rsidRDefault="004B75C2" w:rsidP="006D0DD1">
      <w:pPr>
        <w:pStyle w:val="ListParagraph"/>
        <w:numPr>
          <w:ilvl w:val="1"/>
          <w:numId w:val="8"/>
        </w:numPr>
        <w:spacing w:after="0" w:line="240" w:lineRule="auto"/>
        <w:ind w:left="709" w:hanging="425"/>
        <w:jc w:val="both"/>
        <w:rPr>
          <w:rFonts w:ascii="Verdana" w:hAnsi="Verdana"/>
          <w:sz w:val="18"/>
          <w:szCs w:val="18"/>
          <w:lang w:val="es-CR"/>
        </w:rPr>
      </w:pPr>
      <w:r w:rsidRPr="00131521">
        <w:rPr>
          <w:rFonts w:ascii="Verdana" w:hAnsi="Verdana"/>
          <w:sz w:val="18"/>
          <w:szCs w:val="18"/>
          <w:lang w:val="es-CR"/>
        </w:rPr>
        <w:t xml:space="preserve">realizar las obras de infraestructura e implementación de servicios básicos a favor de los miembros de la comunidad </w:t>
      </w:r>
      <w:r w:rsidR="00BA0DF7">
        <w:rPr>
          <w:rFonts w:ascii="Verdana" w:hAnsi="Verdana"/>
          <w:sz w:val="18"/>
          <w:szCs w:val="18"/>
          <w:lang w:val="es-CR"/>
        </w:rPr>
        <w:t>de Río Negro que residen en la C</w:t>
      </w:r>
      <w:r w:rsidRPr="00131521">
        <w:rPr>
          <w:rFonts w:ascii="Verdana" w:hAnsi="Verdana"/>
          <w:sz w:val="18"/>
          <w:szCs w:val="18"/>
          <w:lang w:val="es-CR"/>
        </w:rPr>
        <w:t>olonia Pacux (</w:t>
      </w:r>
      <w:r w:rsidRPr="0084593A">
        <w:rPr>
          <w:rFonts w:ascii="Verdana" w:hAnsi="Verdana"/>
          <w:i/>
          <w:sz w:val="18"/>
          <w:szCs w:val="18"/>
          <w:lang w:val="es-CR"/>
        </w:rPr>
        <w:t>punto resolutivo sexto de la Sentencia</w:t>
      </w:r>
      <w:r w:rsidRPr="00131521">
        <w:rPr>
          <w:rFonts w:ascii="Verdana" w:hAnsi="Verdana"/>
          <w:sz w:val="18"/>
          <w:szCs w:val="18"/>
          <w:lang w:val="es-CR"/>
        </w:rPr>
        <w:t xml:space="preserve">); </w:t>
      </w:r>
    </w:p>
    <w:p w14:paraId="5593D408" w14:textId="77777777" w:rsidR="00F5196C" w:rsidRPr="00131521" w:rsidRDefault="004B75C2" w:rsidP="006D0DD1">
      <w:pPr>
        <w:pStyle w:val="ListParagraph"/>
        <w:numPr>
          <w:ilvl w:val="1"/>
          <w:numId w:val="8"/>
        </w:numPr>
        <w:spacing w:after="0" w:line="240" w:lineRule="auto"/>
        <w:ind w:left="709" w:hanging="425"/>
        <w:jc w:val="both"/>
        <w:rPr>
          <w:rFonts w:ascii="Verdana" w:hAnsi="Verdana"/>
          <w:sz w:val="18"/>
          <w:szCs w:val="18"/>
          <w:lang w:val="es-CR"/>
        </w:rPr>
      </w:pPr>
      <w:r w:rsidRPr="00131521">
        <w:rPr>
          <w:rFonts w:ascii="Verdana" w:hAnsi="Verdana"/>
          <w:sz w:val="18"/>
          <w:szCs w:val="18"/>
          <w:lang w:val="es-CR"/>
        </w:rPr>
        <w:t>diseñar e implementar un proyecto para el rescate de la cultura maya Achí (</w:t>
      </w:r>
      <w:r w:rsidRPr="0084593A">
        <w:rPr>
          <w:rFonts w:ascii="Verdana" w:hAnsi="Verdana"/>
          <w:i/>
          <w:sz w:val="18"/>
          <w:szCs w:val="18"/>
          <w:lang w:val="es-CR"/>
        </w:rPr>
        <w:t>punto resolutivo séptimo de la Sentencia</w:t>
      </w:r>
      <w:r w:rsidRPr="00131521">
        <w:rPr>
          <w:rFonts w:ascii="Verdana" w:hAnsi="Verdana"/>
          <w:sz w:val="18"/>
          <w:szCs w:val="18"/>
          <w:lang w:val="es-CR"/>
        </w:rPr>
        <w:t xml:space="preserve">); </w:t>
      </w:r>
    </w:p>
    <w:p w14:paraId="233A23DB" w14:textId="77777777" w:rsidR="004B75C2" w:rsidRPr="00131521" w:rsidRDefault="004B75C2" w:rsidP="006D0DD1">
      <w:pPr>
        <w:pStyle w:val="ListParagraph"/>
        <w:numPr>
          <w:ilvl w:val="1"/>
          <w:numId w:val="8"/>
        </w:numPr>
        <w:spacing w:after="0" w:line="240" w:lineRule="auto"/>
        <w:ind w:left="709" w:hanging="425"/>
        <w:jc w:val="both"/>
        <w:rPr>
          <w:rFonts w:ascii="Verdana" w:hAnsi="Verdana"/>
          <w:sz w:val="18"/>
          <w:szCs w:val="18"/>
          <w:lang w:val="es-CR"/>
        </w:rPr>
      </w:pPr>
      <w:r w:rsidRPr="00131521">
        <w:rPr>
          <w:rFonts w:ascii="Verdana" w:hAnsi="Verdana"/>
          <w:sz w:val="18"/>
          <w:szCs w:val="18"/>
          <w:lang w:val="es-CR"/>
        </w:rPr>
        <w:t>brindar tratamiento médico y psicológico a las víctimas del presente caso (</w:t>
      </w:r>
      <w:r w:rsidRPr="0084593A">
        <w:rPr>
          <w:rFonts w:ascii="Verdana" w:hAnsi="Verdana"/>
          <w:i/>
          <w:sz w:val="18"/>
          <w:szCs w:val="18"/>
          <w:lang w:val="es-CR"/>
        </w:rPr>
        <w:t>punto resolutivo octavo de la Sentencia</w:t>
      </w:r>
      <w:r w:rsidRPr="00131521">
        <w:rPr>
          <w:rFonts w:ascii="Verdana" w:hAnsi="Verdana"/>
          <w:sz w:val="18"/>
          <w:szCs w:val="18"/>
          <w:lang w:val="es-CR"/>
        </w:rPr>
        <w:t xml:space="preserve">); </w:t>
      </w:r>
    </w:p>
    <w:p w14:paraId="087E4016" w14:textId="77777777" w:rsidR="004B75C2" w:rsidRPr="00131521" w:rsidRDefault="004B75C2" w:rsidP="006D0DD1">
      <w:pPr>
        <w:pStyle w:val="ListParagraph"/>
        <w:numPr>
          <w:ilvl w:val="1"/>
          <w:numId w:val="8"/>
        </w:numPr>
        <w:spacing w:after="0" w:line="240" w:lineRule="auto"/>
        <w:ind w:left="709" w:hanging="425"/>
        <w:jc w:val="both"/>
        <w:rPr>
          <w:rFonts w:ascii="Verdana" w:hAnsi="Verdana"/>
          <w:sz w:val="18"/>
          <w:szCs w:val="18"/>
          <w:lang w:val="es-CR"/>
        </w:rPr>
      </w:pPr>
      <w:r w:rsidRPr="00131521">
        <w:rPr>
          <w:rFonts w:ascii="Verdana" w:hAnsi="Verdana"/>
          <w:sz w:val="18"/>
          <w:szCs w:val="18"/>
          <w:lang w:val="es-CR"/>
        </w:rPr>
        <w:t xml:space="preserve">pagar </w:t>
      </w:r>
      <w:r w:rsidR="00F5196C" w:rsidRPr="00131521">
        <w:rPr>
          <w:rFonts w:ascii="Verdana" w:hAnsi="Verdana"/>
          <w:sz w:val="18"/>
          <w:szCs w:val="18"/>
          <w:lang w:val="es-CR"/>
        </w:rPr>
        <w:t xml:space="preserve">las </w:t>
      </w:r>
      <w:r w:rsidRPr="00131521">
        <w:rPr>
          <w:rFonts w:ascii="Verdana" w:hAnsi="Verdana"/>
          <w:sz w:val="18"/>
          <w:szCs w:val="18"/>
          <w:lang w:val="es-CR"/>
        </w:rPr>
        <w:t>indemnizaciones por concepto de daño material e inmaterial (</w:t>
      </w:r>
      <w:r w:rsidRPr="0084593A">
        <w:rPr>
          <w:rFonts w:ascii="Verdana" w:hAnsi="Verdana"/>
          <w:i/>
          <w:sz w:val="18"/>
          <w:szCs w:val="18"/>
          <w:lang w:val="es-CR"/>
        </w:rPr>
        <w:t>punto res</w:t>
      </w:r>
      <w:r w:rsidR="00004A75" w:rsidRPr="0084593A">
        <w:rPr>
          <w:rFonts w:ascii="Verdana" w:hAnsi="Verdana"/>
          <w:i/>
          <w:sz w:val="18"/>
          <w:szCs w:val="18"/>
          <w:lang w:val="es-CR"/>
        </w:rPr>
        <w:t>olutivo noveno de la Sentencia</w:t>
      </w:r>
      <w:r w:rsidR="00004A75" w:rsidRPr="00131521">
        <w:rPr>
          <w:rFonts w:ascii="Verdana" w:hAnsi="Verdana"/>
          <w:sz w:val="18"/>
          <w:szCs w:val="18"/>
          <w:lang w:val="es-CR"/>
        </w:rPr>
        <w:t>),</w:t>
      </w:r>
      <w:r w:rsidRPr="00131521">
        <w:rPr>
          <w:rFonts w:ascii="Verdana" w:hAnsi="Verdana"/>
          <w:sz w:val="18"/>
          <w:szCs w:val="18"/>
          <w:lang w:val="es-CR"/>
        </w:rPr>
        <w:t xml:space="preserve"> y </w:t>
      </w:r>
    </w:p>
    <w:p w14:paraId="6E6D2FF5" w14:textId="77777777" w:rsidR="00F96ACD" w:rsidRPr="00131521" w:rsidRDefault="004B75C2" w:rsidP="006D0DD1">
      <w:pPr>
        <w:pStyle w:val="ListParagraph"/>
        <w:numPr>
          <w:ilvl w:val="1"/>
          <w:numId w:val="8"/>
        </w:numPr>
        <w:spacing w:after="0" w:line="240" w:lineRule="auto"/>
        <w:ind w:left="709" w:hanging="425"/>
        <w:jc w:val="both"/>
        <w:rPr>
          <w:rFonts w:ascii="Verdana" w:hAnsi="Verdana"/>
          <w:sz w:val="18"/>
          <w:szCs w:val="18"/>
          <w:lang w:val="es-CR"/>
        </w:rPr>
      </w:pPr>
      <w:r w:rsidRPr="00131521">
        <w:rPr>
          <w:rFonts w:ascii="Verdana" w:hAnsi="Verdana"/>
          <w:sz w:val="18"/>
          <w:szCs w:val="18"/>
          <w:lang w:val="es-CR"/>
        </w:rPr>
        <w:t>establecer un mecanismo adecuado para que otros miembros de la comunidad de Río Negro puedan ser considerados víctimas de alguna violación de derechos humanos declarada en el Fallo y reciban reparaciones individuales y colectivas como las ordenadas en Sentencia (</w:t>
      </w:r>
      <w:r w:rsidRPr="0084593A">
        <w:rPr>
          <w:rFonts w:ascii="Verdana" w:hAnsi="Verdana"/>
          <w:i/>
          <w:sz w:val="18"/>
          <w:szCs w:val="18"/>
          <w:lang w:val="es-CR"/>
        </w:rPr>
        <w:t>punto resolutivo décimo de la Sentencia</w:t>
      </w:r>
      <w:r w:rsidRPr="00131521">
        <w:rPr>
          <w:rFonts w:ascii="Verdana" w:hAnsi="Verdana"/>
          <w:sz w:val="18"/>
          <w:szCs w:val="18"/>
          <w:lang w:val="es-CR"/>
        </w:rPr>
        <w:t>).</w:t>
      </w:r>
    </w:p>
    <w:p w14:paraId="6DD5AB09" w14:textId="77777777" w:rsidR="00F96ACD" w:rsidRPr="00F96ACD" w:rsidRDefault="00F96ACD" w:rsidP="00F96ACD">
      <w:pPr>
        <w:spacing w:after="0" w:line="240" w:lineRule="auto"/>
        <w:jc w:val="both"/>
        <w:rPr>
          <w:rFonts w:ascii="Verdana" w:hAnsi="Verdana"/>
          <w:sz w:val="20"/>
          <w:szCs w:val="20"/>
          <w:lang w:val="es-CR"/>
        </w:rPr>
      </w:pPr>
    </w:p>
    <w:p w14:paraId="390F5ACD" w14:textId="4A0EB3B4" w:rsidR="00D76230" w:rsidRDefault="00F96ACD" w:rsidP="00F96ACD">
      <w:pPr>
        <w:pStyle w:val="ListParagraph"/>
        <w:numPr>
          <w:ilvl w:val="0"/>
          <w:numId w:val="4"/>
        </w:numPr>
        <w:spacing w:after="0" w:line="240" w:lineRule="auto"/>
        <w:ind w:left="0" w:firstLine="0"/>
        <w:jc w:val="both"/>
        <w:rPr>
          <w:rFonts w:ascii="Verdana" w:hAnsi="Verdana"/>
          <w:sz w:val="20"/>
          <w:szCs w:val="20"/>
          <w:lang w:val="es-CR"/>
        </w:rPr>
      </w:pPr>
      <w:r w:rsidRPr="00F96ACD">
        <w:rPr>
          <w:rFonts w:ascii="Verdana" w:hAnsi="Verdana"/>
          <w:sz w:val="20"/>
          <w:szCs w:val="20"/>
          <w:lang w:val="es-CR"/>
        </w:rPr>
        <w:t>Requerir a la Secretaría de la Corte que notifique la presente Resolución al Estado, a l</w:t>
      </w:r>
      <w:r w:rsidR="004B75C2">
        <w:rPr>
          <w:rFonts w:ascii="Verdana" w:hAnsi="Verdana"/>
          <w:sz w:val="20"/>
          <w:szCs w:val="20"/>
          <w:lang w:val="es-CR"/>
        </w:rPr>
        <w:t>a</w:t>
      </w:r>
      <w:r w:rsidRPr="00F96ACD">
        <w:rPr>
          <w:rFonts w:ascii="Verdana" w:hAnsi="Verdana"/>
          <w:sz w:val="20"/>
          <w:szCs w:val="20"/>
          <w:lang w:val="es-CR"/>
        </w:rPr>
        <w:t xml:space="preserve"> representante de las víctimas y a la Comisión Interamericana de Derechos Humanos.</w:t>
      </w:r>
      <w:r w:rsidR="00CA1AA3">
        <w:rPr>
          <w:rFonts w:ascii="Verdana" w:hAnsi="Verdana"/>
          <w:sz w:val="20"/>
          <w:szCs w:val="20"/>
          <w:lang w:val="es-CR"/>
        </w:rPr>
        <w:t xml:space="preserve"> </w:t>
      </w:r>
    </w:p>
    <w:p w14:paraId="3110DD9A" w14:textId="77777777" w:rsidR="00D76230" w:rsidRDefault="00D76230">
      <w:pPr>
        <w:rPr>
          <w:rFonts w:ascii="Verdana" w:hAnsi="Verdana"/>
          <w:sz w:val="20"/>
          <w:szCs w:val="20"/>
          <w:lang w:val="es-CR"/>
        </w:rPr>
      </w:pPr>
      <w:r>
        <w:rPr>
          <w:rFonts w:ascii="Verdana" w:hAnsi="Verdana"/>
          <w:sz w:val="20"/>
          <w:szCs w:val="20"/>
          <w:lang w:val="es-CR"/>
        </w:rPr>
        <w:br w:type="page"/>
      </w:r>
    </w:p>
    <w:p w14:paraId="7D0C8ABB" w14:textId="77777777" w:rsidR="00422035" w:rsidRPr="00422035" w:rsidRDefault="00422035" w:rsidP="00422035">
      <w:pPr>
        <w:keepNext/>
        <w:spacing w:after="0" w:line="240" w:lineRule="auto"/>
        <w:jc w:val="both"/>
        <w:outlineLvl w:val="0"/>
        <w:rPr>
          <w:rFonts w:ascii="Verdana" w:eastAsia="Times" w:hAnsi="Verdana" w:cs="Verdana"/>
          <w:b/>
          <w:bCs/>
          <w:sz w:val="20"/>
          <w:szCs w:val="20"/>
          <w:lang w:val="es-ES"/>
        </w:rPr>
      </w:pPr>
      <w:r w:rsidRPr="00422035">
        <w:rPr>
          <w:rFonts w:ascii="Verdana" w:eastAsia="Times" w:hAnsi="Verdana" w:cs="Courier New"/>
          <w:noProof/>
          <w:sz w:val="20"/>
          <w:szCs w:val="20"/>
          <w:lang w:val="es-AR"/>
        </w:rPr>
        <w:lastRenderedPageBreak/>
        <w:t xml:space="preserve">Corte IDH. </w:t>
      </w:r>
      <w:r w:rsidRPr="00422035">
        <w:rPr>
          <w:rFonts w:ascii="Verdana" w:eastAsia="Times" w:hAnsi="Verdana" w:cs="Times New Roman"/>
          <w:bCs/>
          <w:i/>
          <w:sz w:val="20"/>
          <w:szCs w:val="20"/>
          <w:lang w:val="es-CR"/>
        </w:rPr>
        <w:t xml:space="preserve">Caso Masacres de Río Negro Vs. Guatemala.  Supervisión de Cumplimiento de Sentencia. </w:t>
      </w:r>
      <w:r w:rsidRPr="00422035">
        <w:rPr>
          <w:rFonts w:ascii="Verdana" w:eastAsia="Times" w:hAnsi="Verdana" w:cs="Times New Roman"/>
          <w:sz w:val="20"/>
          <w:szCs w:val="20"/>
          <w:lang w:val="es-CR"/>
        </w:rPr>
        <w:t xml:space="preserve"> </w:t>
      </w:r>
      <w:r w:rsidRPr="00422035">
        <w:rPr>
          <w:rFonts w:ascii="Verdana" w:eastAsia="Times" w:hAnsi="Verdana" w:cs="Times New Roman"/>
          <w:sz w:val="20"/>
          <w:szCs w:val="20"/>
          <w:lang w:val="es-ES"/>
        </w:rPr>
        <w:t xml:space="preserve">Resolución de la Corte Interamericana de Derechos Humanos de </w:t>
      </w:r>
      <w:r w:rsidRPr="00422035">
        <w:rPr>
          <w:rFonts w:ascii="Verdana" w:eastAsia="Times" w:hAnsi="Verdana" w:cs="Times New Roman"/>
          <w:sz w:val="20"/>
          <w:szCs w:val="20"/>
          <w:lang w:val="es-CR"/>
        </w:rPr>
        <w:t>14 de marzo de 2018</w:t>
      </w:r>
      <w:r w:rsidRPr="00422035">
        <w:rPr>
          <w:rFonts w:ascii="Verdana" w:eastAsia="Times" w:hAnsi="Verdana" w:cs="Times New Roman"/>
          <w:sz w:val="20"/>
          <w:szCs w:val="20"/>
          <w:lang w:val="es-ES"/>
        </w:rPr>
        <w:t xml:space="preserve">. </w:t>
      </w:r>
    </w:p>
    <w:p w14:paraId="65332942" w14:textId="77777777" w:rsidR="00422035" w:rsidRPr="00422035" w:rsidRDefault="00422035" w:rsidP="00422035">
      <w:pPr>
        <w:spacing w:after="0" w:line="240" w:lineRule="auto"/>
        <w:jc w:val="center"/>
        <w:rPr>
          <w:rFonts w:ascii="Verdana" w:eastAsia="Times" w:hAnsi="Verdana" w:cs="Times New Roman"/>
          <w:sz w:val="20"/>
          <w:szCs w:val="20"/>
          <w:lang w:val="es-ES"/>
        </w:rPr>
      </w:pPr>
    </w:p>
    <w:p w14:paraId="76C2B672" w14:textId="77777777" w:rsidR="00422035" w:rsidRPr="00422035" w:rsidRDefault="00422035" w:rsidP="00422035">
      <w:pPr>
        <w:spacing w:after="0" w:line="240" w:lineRule="auto"/>
        <w:jc w:val="center"/>
        <w:rPr>
          <w:rFonts w:ascii="Verdana" w:eastAsia="Times" w:hAnsi="Verdana" w:cs="Times New Roman"/>
          <w:sz w:val="20"/>
          <w:szCs w:val="20"/>
          <w:lang w:val="es-ES"/>
        </w:rPr>
      </w:pPr>
    </w:p>
    <w:p w14:paraId="26DE1BB7" w14:textId="77777777" w:rsidR="00422035" w:rsidRPr="00422035" w:rsidRDefault="00422035" w:rsidP="00422035">
      <w:pPr>
        <w:spacing w:after="0" w:line="240" w:lineRule="auto"/>
        <w:rPr>
          <w:rFonts w:ascii="Verdana" w:eastAsia="Calibri" w:hAnsi="Verdana" w:cs="Times New Roman"/>
          <w:b/>
          <w:i/>
          <w:sz w:val="20"/>
          <w:szCs w:val="20"/>
          <w:lang w:val="es-CR"/>
        </w:rPr>
      </w:pPr>
    </w:p>
    <w:p w14:paraId="31DA0F54" w14:textId="77777777" w:rsidR="00422035" w:rsidRPr="00422035" w:rsidRDefault="00422035" w:rsidP="00422035">
      <w:pPr>
        <w:spacing w:after="0" w:line="240" w:lineRule="auto"/>
        <w:rPr>
          <w:rFonts w:ascii="Verdana" w:eastAsia="Calibri" w:hAnsi="Verdana" w:cs="Times New Roman"/>
          <w:b/>
          <w:i/>
          <w:sz w:val="20"/>
          <w:szCs w:val="20"/>
          <w:lang w:val="es-CR"/>
        </w:rPr>
      </w:pPr>
    </w:p>
    <w:p w14:paraId="158AC6CF" w14:textId="77777777" w:rsidR="00422035" w:rsidRPr="00422035" w:rsidRDefault="00422035" w:rsidP="00422035">
      <w:pPr>
        <w:spacing w:after="0" w:line="240" w:lineRule="auto"/>
        <w:rPr>
          <w:rFonts w:ascii="Verdana" w:eastAsia="Times" w:hAnsi="Verdana" w:cs="Times New Roman"/>
          <w:sz w:val="20"/>
          <w:szCs w:val="20"/>
          <w:lang w:val="es-MX"/>
        </w:rPr>
      </w:pPr>
    </w:p>
    <w:p w14:paraId="07F9BD02" w14:textId="77777777" w:rsidR="00422035" w:rsidRPr="00422035" w:rsidRDefault="00422035" w:rsidP="00422035">
      <w:pPr>
        <w:spacing w:after="0" w:line="240" w:lineRule="auto"/>
        <w:jc w:val="center"/>
        <w:rPr>
          <w:rFonts w:ascii="Verdana" w:eastAsia="Times" w:hAnsi="Verdana" w:cs="Times New Roman"/>
          <w:sz w:val="20"/>
          <w:szCs w:val="20"/>
          <w:lang w:val="es-ES"/>
        </w:rPr>
      </w:pPr>
      <w:r w:rsidRPr="00422035">
        <w:rPr>
          <w:rFonts w:ascii="Verdana" w:eastAsia="Times" w:hAnsi="Verdana" w:cs="Times New Roman"/>
          <w:sz w:val="20"/>
          <w:szCs w:val="20"/>
          <w:lang w:val="es-ES"/>
        </w:rPr>
        <w:t>Eduardo Ferrer Mac-Gregor Poisot</w:t>
      </w:r>
      <w:r w:rsidRPr="00422035">
        <w:rPr>
          <w:rFonts w:ascii="Verdana" w:eastAsia="Times" w:hAnsi="Verdana" w:cs="Times New Roman"/>
          <w:sz w:val="20"/>
          <w:szCs w:val="20"/>
          <w:lang w:val="es-ES"/>
        </w:rPr>
        <w:tab/>
      </w:r>
    </w:p>
    <w:p w14:paraId="12D4A5FC" w14:textId="77777777" w:rsidR="00422035" w:rsidRPr="00422035" w:rsidRDefault="00422035" w:rsidP="00422035">
      <w:pPr>
        <w:spacing w:after="0" w:line="240" w:lineRule="auto"/>
        <w:jc w:val="center"/>
        <w:rPr>
          <w:rFonts w:ascii="Verdana" w:eastAsia="Times" w:hAnsi="Verdana" w:cs="Times New Roman"/>
          <w:sz w:val="20"/>
          <w:szCs w:val="20"/>
          <w:lang w:val="es-ES"/>
        </w:rPr>
      </w:pPr>
      <w:r w:rsidRPr="00422035">
        <w:rPr>
          <w:rFonts w:ascii="Verdana" w:eastAsia="Times" w:hAnsi="Verdana" w:cs="Times New Roman"/>
          <w:sz w:val="20"/>
          <w:szCs w:val="20"/>
          <w:lang w:val="es-ES"/>
        </w:rPr>
        <w:t xml:space="preserve">Presidente </w:t>
      </w:r>
    </w:p>
    <w:p w14:paraId="02F06721" w14:textId="77777777" w:rsidR="00422035" w:rsidRPr="00422035" w:rsidRDefault="00422035" w:rsidP="00422035">
      <w:pPr>
        <w:spacing w:after="0" w:line="240" w:lineRule="auto"/>
        <w:jc w:val="both"/>
        <w:rPr>
          <w:rFonts w:ascii="Verdana" w:eastAsia="Times" w:hAnsi="Verdana" w:cs="Times New Roman"/>
          <w:sz w:val="20"/>
          <w:szCs w:val="20"/>
          <w:lang w:val="es-ES"/>
        </w:rPr>
      </w:pPr>
    </w:p>
    <w:p w14:paraId="5BB10167" w14:textId="77777777" w:rsidR="00422035" w:rsidRPr="00422035" w:rsidRDefault="00422035" w:rsidP="00422035">
      <w:pPr>
        <w:tabs>
          <w:tab w:val="left" w:pos="1485"/>
        </w:tabs>
        <w:spacing w:after="0" w:line="240" w:lineRule="auto"/>
        <w:jc w:val="both"/>
        <w:rPr>
          <w:rFonts w:ascii="Verdana" w:eastAsia="Times" w:hAnsi="Verdana" w:cs="Times New Roman"/>
          <w:sz w:val="20"/>
          <w:szCs w:val="20"/>
          <w:lang w:val="es-ES"/>
        </w:rPr>
      </w:pPr>
      <w:r w:rsidRPr="00422035">
        <w:rPr>
          <w:rFonts w:ascii="Verdana" w:eastAsia="Times" w:hAnsi="Verdana" w:cs="Times New Roman"/>
          <w:sz w:val="20"/>
          <w:szCs w:val="20"/>
          <w:lang w:val="es-ES"/>
        </w:rPr>
        <w:tab/>
      </w:r>
    </w:p>
    <w:p w14:paraId="308FB0E7" w14:textId="77777777" w:rsidR="00422035" w:rsidRPr="00422035" w:rsidRDefault="00422035" w:rsidP="00422035">
      <w:pPr>
        <w:spacing w:after="0" w:line="240" w:lineRule="auto"/>
        <w:jc w:val="both"/>
        <w:rPr>
          <w:rFonts w:ascii="Verdana" w:eastAsia="Times" w:hAnsi="Verdana" w:cs="Times New Roman"/>
          <w:sz w:val="20"/>
          <w:szCs w:val="20"/>
          <w:lang w:val="es-ES"/>
        </w:rPr>
      </w:pPr>
    </w:p>
    <w:p w14:paraId="1382484A" w14:textId="77777777" w:rsidR="00422035" w:rsidRPr="00422035" w:rsidRDefault="00422035" w:rsidP="00422035">
      <w:pPr>
        <w:spacing w:after="0" w:line="240" w:lineRule="auto"/>
        <w:jc w:val="both"/>
        <w:rPr>
          <w:rFonts w:ascii="Verdana" w:eastAsia="Times" w:hAnsi="Verdana" w:cs="Times New Roman"/>
          <w:sz w:val="20"/>
          <w:szCs w:val="20"/>
          <w:lang w:val="es-ES"/>
        </w:rPr>
      </w:pPr>
    </w:p>
    <w:p w14:paraId="081C0578" w14:textId="77777777" w:rsidR="00422035" w:rsidRPr="00422035" w:rsidRDefault="00422035" w:rsidP="00422035">
      <w:pPr>
        <w:spacing w:after="0" w:line="240" w:lineRule="auto"/>
        <w:jc w:val="both"/>
        <w:rPr>
          <w:rFonts w:ascii="Verdana" w:eastAsia="Times" w:hAnsi="Verdana" w:cs="Times New Roman"/>
          <w:sz w:val="20"/>
          <w:szCs w:val="20"/>
          <w:lang w:val="es-ES"/>
        </w:rPr>
      </w:pPr>
    </w:p>
    <w:p w14:paraId="360A841E" w14:textId="77777777" w:rsidR="00422035" w:rsidRPr="00422035" w:rsidRDefault="00422035" w:rsidP="00422035">
      <w:pPr>
        <w:spacing w:after="0" w:line="240" w:lineRule="auto"/>
        <w:jc w:val="both"/>
        <w:rPr>
          <w:rFonts w:ascii="Verdana" w:eastAsia="Times" w:hAnsi="Verdana" w:cs="Times New Roman"/>
          <w:sz w:val="20"/>
          <w:szCs w:val="20"/>
          <w:lang w:val="es-ES"/>
        </w:rPr>
      </w:pPr>
      <w:r w:rsidRPr="00422035">
        <w:rPr>
          <w:rFonts w:ascii="Verdana" w:eastAsia="Times" w:hAnsi="Verdana" w:cs="Times New Roman"/>
          <w:sz w:val="20"/>
          <w:szCs w:val="20"/>
          <w:lang w:val="es-ES"/>
        </w:rPr>
        <w:t>Eduardo Vio Grossi</w:t>
      </w:r>
      <w:r w:rsidRPr="00422035">
        <w:rPr>
          <w:rFonts w:ascii="Verdana" w:eastAsia="Times" w:hAnsi="Verdana" w:cs="Times New Roman"/>
          <w:sz w:val="20"/>
          <w:szCs w:val="20"/>
          <w:lang w:val="es-ES"/>
        </w:rPr>
        <w:tab/>
      </w:r>
      <w:r w:rsidRPr="00422035">
        <w:rPr>
          <w:rFonts w:ascii="Verdana" w:eastAsia="Times" w:hAnsi="Verdana" w:cs="Times New Roman"/>
          <w:sz w:val="20"/>
          <w:szCs w:val="20"/>
          <w:lang w:val="es-ES"/>
        </w:rPr>
        <w:tab/>
      </w:r>
      <w:r w:rsidRPr="00422035">
        <w:rPr>
          <w:rFonts w:ascii="Verdana" w:eastAsia="Times" w:hAnsi="Verdana" w:cs="Times New Roman"/>
          <w:sz w:val="20"/>
          <w:szCs w:val="20"/>
          <w:lang w:val="es-ES"/>
        </w:rPr>
        <w:tab/>
      </w:r>
      <w:r w:rsidRPr="00422035">
        <w:rPr>
          <w:rFonts w:ascii="Verdana" w:eastAsia="Times" w:hAnsi="Verdana" w:cs="Times New Roman"/>
          <w:sz w:val="20"/>
          <w:szCs w:val="20"/>
          <w:lang w:val="es-ES"/>
        </w:rPr>
        <w:tab/>
      </w:r>
      <w:r w:rsidRPr="00422035">
        <w:rPr>
          <w:rFonts w:ascii="Verdana" w:eastAsia="Times" w:hAnsi="Verdana" w:cs="Times New Roman"/>
          <w:sz w:val="20"/>
          <w:szCs w:val="20"/>
          <w:lang w:val="es-ES"/>
        </w:rPr>
        <w:tab/>
      </w:r>
      <w:r w:rsidRPr="00422035">
        <w:rPr>
          <w:rFonts w:ascii="Verdana" w:eastAsia="Times" w:hAnsi="Verdana" w:cs="Times New Roman"/>
          <w:sz w:val="20"/>
          <w:szCs w:val="20"/>
          <w:lang w:val="es-ES"/>
        </w:rPr>
        <w:tab/>
        <w:t>Humberto Antonio Sierra Porto</w:t>
      </w:r>
      <w:r w:rsidRPr="00422035">
        <w:rPr>
          <w:rFonts w:ascii="Verdana" w:eastAsia="Times" w:hAnsi="Verdana" w:cs="Times New Roman"/>
          <w:sz w:val="20"/>
          <w:szCs w:val="20"/>
          <w:lang w:val="es-ES"/>
        </w:rPr>
        <w:tab/>
      </w:r>
    </w:p>
    <w:p w14:paraId="4C7B3D3A" w14:textId="77777777" w:rsidR="00422035" w:rsidRPr="00422035" w:rsidRDefault="00422035" w:rsidP="00422035">
      <w:pPr>
        <w:spacing w:after="0" w:line="240" w:lineRule="auto"/>
        <w:jc w:val="both"/>
        <w:rPr>
          <w:rFonts w:ascii="Verdana" w:eastAsia="Times" w:hAnsi="Verdana" w:cs="Times New Roman"/>
          <w:sz w:val="20"/>
          <w:szCs w:val="20"/>
          <w:lang w:val="es-ES"/>
        </w:rPr>
      </w:pPr>
    </w:p>
    <w:p w14:paraId="2EE8BB1B" w14:textId="77777777" w:rsidR="00422035" w:rsidRPr="00422035" w:rsidRDefault="00422035" w:rsidP="00422035">
      <w:pPr>
        <w:spacing w:after="0" w:line="240" w:lineRule="auto"/>
        <w:jc w:val="both"/>
        <w:rPr>
          <w:rFonts w:ascii="Verdana" w:eastAsia="Times" w:hAnsi="Verdana" w:cs="Times New Roman"/>
          <w:sz w:val="20"/>
          <w:szCs w:val="20"/>
          <w:lang w:val="es-ES"/>
        </w:rPr>
      </w:pPr>
    </w:p>
    <w:p w14:paraId="315EB6E7" w14:textId="77777777" w:rsidR="00422035" w:rsidRPr="00422035" w:rsidRDefault="00422035" w:rsidP="00422035">
      <w:pPr>
        <w:spacing w:after="0" w:line="240" w:lineRule="auto"/>
        <w:jc w:val="both"/>
        <w:rPr>
          <w:rFonts w:ascii="Verdana" w:eastAsia="Times" w:hAnsi="Verdana" w:cs="Times New Roman"/>
          <w:sz w:val="20"/>
          <w:szCs w:val="20"/>
          <w:lang w:val="es-ES"/>
        </w:rPr>
      </w:pPr>
    </w:p>
    <w:p w14:paraId="199B8952" w14:textId="77777777" w:rsidR="00422035" w:rsidRPr="00422035" w:rsidRDefault="00422035" w:rsidP="00422035">
      <w:pPr>
        <w:spacing w:after="0" w:line="240" w:lineRule="auto"/>
        <w:jc w:val="both"/>
        <w:rPr>
          <w:rFonts w:ascii="Verdana" w:eastAsia="Times" w:hAnsi="Verdana" w:cs="Times New Roman"/>
          <w:sz w:val="20"/>
          <w:szCs w:val="20"/>
          <w:lang w:val="es-ES"/>
        </w:rPr>
      </w:pPr>
    </w:p>
    <w:p w14:paraId="7EEFDA9D" w14:textId="77777777" w:rsidR="00422035" w:rsidRPr="00422035" w:rsidRDefault="00422035" w:rsidP="00422035">
      <w:pPr>
        <w:spacing w:after="0" w:line="240" w:lineRule="auto"/>
        <w:jc w:val="both"/>
        <w:rPr>
          <w:rFonts w:ascii="Verdana" w:eastAsia="Times" w:hAnsi="Verdana" w:cs="Times New Roman"/>
          <w:sz w:val="20"/>
          <w:szCs w:val="20"/>
          <w:lang w:val="es-ES"/>
        </w:rPr>
      </w:pPr>
      <w:r w:rsidRPr="00422035">
        <w:rPr>
          <w:rFonts w:ascii="Verdana" w:eastAsia="Times" w:hAnsi="Verdana" w:cs="Times New Roman"/>
          <w:sz w:val="20"/>
          <w:szCs w:val="20"/>
          <w:lang w:val="es-ES"/>
        </w:rPr>
        <w:t xml:space="preserve">Elizabeth Odio Benito </w:t>
      </w:r>
      <w:r w:rsidRPr="00422035">
        <w:rPr>
          <w:rFonts w:ascii="Verdana" w:eastAsia="Times" w:hAnsi="Verdana" w:cs="Times New Roman"/>
          <w:sz w:val="20"/>
          <w:szCs w:val="20"/>
          <w:lang w:val="es-ES"/>
        </w:rPr>
        <w:tab/>
      </w:r>
      <w:r w:rsidRPr="00422035">
        <w:rPr>
          <w:rFonts w:ascii="Verdana" w:eastAsia="Times" w:hAnsi="Verdana" w:cs="Times New Roman"/>
          <w:sz w:val="20"/>
          <w:szCs w:val="20"/>
          <w:lang w:val="es-ES"/>
        </w:rPr>
        <w:tab/>
      </w:r>
      <w:r w:rsidRPr="00422035">
        <w:rPr>
          <w:rFonts w:ascii="Verdana" w:eastAsia="Times" w:hAnsi="Verdana" w:cs="Times New Roman"/>
          <w:sz w:val="20"/>
          <w:szCs w:val="20"/>
          <w:lang w:val="es-ES"/>
        </w:rPr>
        <w:tab/>
      </w:r>
      <w:r w:rsidRPr="00422035">
        <w:rPr>
          <w:rFonts w:ascii="Verdana" w:eastAsia="Times" w:hAnsi="Verdana" w:cs="Times New Roman"/>
          <w:sz w:val="20"/>
          <w:szCs w:val="20"/>
          <w:lang w:val="es-ES"/>
        </w:rPr>
        <w:tab/>
      </w:r>
      <w:r w:rsidRPr="00422035">
        <w:rPr>
          <w:rFonts w:ascii="Verdana" w:eastAsia="Times" w:hAnsi="Verdana" w:cs="Times New Roman"/>
          <w:sz w:val="20"/>
          <w:szCs w:val="20"/>
          <w:lang w:val="es-ES"/>
        </w:rPr>
        <w:tab/>
        <w:t xml:space="preserve">Eugenio Raúl Zaffaroni </w:t>
      </w:r>
    </w:p>
    <w:p w14:paraId="52A2B258" w14:textId="77777777" w:rsidR="00422035" w:rsidRPr="00422035" w:rsidRDefault="00422035" w:rsidP="00422035">
      <w:pPr>
        <w:spacing w:after="0" w:line="240" w:lineRule="auto"/>
        <w:jc w:val="both"/>
        <w:rPr>
          <w:rFonts w:ascii="Verdana" w:eastAsia="Times" w:hAnsi="Verdana" w:cs="Times New Roman"/>
          <w:sz w:val="20"/>
          <w:szCs w:val="20"/>
          <w:lang w:val="es-ES"/>
        </w:rPr>
      </w:pPr>
    </w:p>
    <w:p w14:paraId="46A0B6CE" w14:textId="77777777" w:rsidR="00422035" w:rsidRPr="00422035" w:rsidRDefault="00422035" w:rsidP="00422035">
      <w:pPr>
        <w:spacing w:after="0" w:line="240" w:lineRule="auto"/>
        <w:jc w:val="both"/>
        <w:rPr>
          <w:rFonts w:ascii="Verdana" w:eastAsia="Times" w:hAnsi="Verdana" w:cs="Times New Roman"/>
          <w:sz w:val="20"/>
          <w:szCs w:val="20"/>
          <w:lang w:val="es-ES"/>
        </w:rPr>
      </w:pPr>
    </w:p>
    <w:p w14:paraId="1E91D8B3" w14:textId="77777777" w:rsidR="00422035" w:rsidRPr="00422035" w:rsidRDefault="00422035" w:rsidP="00422035">
      <w:pPr>
        <w:spacing w:after="0" w:line="240" w:lineRule="auto"/>
        <w:jc w:val="both"/>
        <w:rPr>
          <w:rFonts w:ascii="Verdana" w:eastAsia="Times" w:hAnsi="Verdana" w:cs="Times New Roman"/>
          <w:sz w:val="20"/>
          <w:szCs w:val="20"/>
          <w:lang w:val="es-ES"/>
        </w:rPr>
      </w:pPr>
    </w:p>
    <w:p w14:paraId="5C331907" w14:textId="77777777" w:rsidR="00422035" w:rsidRPr="00422035" w:rsidRDefault="00422035" w:rsidP="00422035">
      <w:pPr>
        <w:spacing w:after="0" w:line="240" w:lineRule="auto"/>
        <w:jc w:val="both"/>
        <w:rPr>
          <w:rFonts w:ascii="Verdana" w:eastAsia="Times" w:hAnsi="Verdana" w:cs="Times New Roman"/>
          <w:sz w:val="20"/>
          <w:szCs w:val="20"/>
          <w:lang w:val="es-ES"/>
        </w:rPr>
      </w:pPr>
    </w:p>
    <w:p w14:paraId="2F53FEC1" w14:textId="77777777" w:rsidR="00422035" w:rsidRPr="00422035" w:rsidRDefault="00422035" w:rsidP="00422035">
      <w:pPr>
        <w:spacing w:after="0" w:line="240" w:lineRule="auto"/>
        <w:jc w:val="both"/>
        <w:rPr>
          <w:rFonts w:ascii="Verdana" w:eastAsia="Times" w:hAnsi="Verdana" w:cs="Times New Roman"/>
          <w:sz w:val="20"/>
          <w:szCs w:val="20"/>
          <w:lang w:val="es-ES"/>
        </w:rPr>
      </w:pPr>
    </w:p>
    <w:p w14:paraId="44610A74" w14:textId="77777777" w:rsidR="00422035" w:rsidRPr="00422035" w:rsidRDefault="00422035" w:rsidP="00422035">
      <w:pPr>
        <w:spacing w:after="0" w:line="240" w:lineRule="auto"/>
        <w:jc w:val="center"/>
        <w:rPr>
          <w:rFonts w:ascii="Verdana" w:eastAsia="Times" w:hAnsi="Verdana" w:cs="Times New Roman"/>
          <w:sz w:val="20"/>
          <w:szCs w:val="20"/>
          <w:lang w:val="es-ES"/>
        </w:rPr>
      </w:pPr>
      <w:r w:rsidRPr="00422035">
        <w:rPr>
          <w:rFonts w:ascii="Verdana" w:eastAsia="Times" w:hAnsi="Verdana" w:cs="Times New Roman"/>
          <w:sz w:val="20"/>
          <w:szCs w:val="20"/>
          <w:lang w:val="es-ES"/>
        </w:rPr>
        <w:t>L. Patricio Pazmiño Freire</w:t>
      </w:r>
    </w:p>
    <w:p w14:paraId="59DAE3E6" w14:textId="77777777" w:rsidR="00422035" w:rsidRPr="00422035" w:rsidRDefault="00422035" w:rsidP="00422035">
      <w:pPr>
        <w:spacing w:after="0" w:line="240" w:lineRule="auto"/>
        <w:jc w:val="both"/>
        <w:rPr>
          <w:rFonts w:ascii="Verdana" w:eastAsia="Times" w:hAnsi="Verdana" w:cs="Times New Roman"/>
          <w:sz w:val="20"/>
          <w:szCs w:val="20"/>
          <w:lang w:val="es-ES"/>
        </w:rPr>
      </w:pPr>
    </w:p>
    <w:p w14:paraId="3D65CDA4" w14:textId="77777777" w:rsidR="00422035" w:rsidRPr="00422035" w:rsidRDefault="00422035" w:rsidP="00422035">
      <w:pPr>
        <w:spacing w:after="0" w:line="240" w:lineRule="auto"/>
        <w:jc w:val="both"/>
        <w:rPr>
          <w:rFonts w:ascii="Verdana" w:eastAsia="Times" w:hAnsi="Verdana" w:cs="Times New Roman"/>
          <w:sz w:val="20"/>
          <w:szCs w:val="20"/>
          <w:lang w:val="es-ES"/>
        </w:rPr>
      </w:pPr>
    </w:p>
    <w:p w14:paraId="058ED350" w14:textId="77777777" w:rsidR="00422035" w:rsidRPr="00422035" w:rsidRDefault="00422035" w:rsidP="00422035">
      <w:pPr>
        <w:spacing w:after="0" w:line="240" w:lineRule="auto"/>
        <w:jc w:val="both"/>
        <w:rPr>
          <w:rFonts w:ascii="Verdana" w:eastAsia="Times" w:hAnsi="Verdana" w:cs="Times New Roman"/>
          <w:sz w:val="20"/>
          <w:szCs w:val="20"/>
          <w:lang w:val="es-ES"/>
        </w:rPr>
      </w:pPr>
    </w:p>
    <w:p w14:paraId="534D6985" w14:textId="77777777" w:rsidR="00422035" w:rsidRPr="00422035" w:rsidRDefault="00422035" w:rsidP="00422035">
      <w:pPr>
        <w:spacing w:after="0" w:line="240" w:lineRule="auto"/>
        <w:jc w:val="both"/>
        <w:rPr>
          <w:rFonts w:ascii="Verdana" w:eastAsia="Times" w:hAnsi="Verdana" w:cs="Times New Roman"/>
          <w:sz w:val="20"/>
          <w:szCs w:val="20"/>
          <w:lang w:val="es-CR"/>
        </w:rPr>
      </w:pPr>
    </w:p>
    <w:p w14:paraId="5BD5FBC4" w14:textId="77777777" w:rsidR="00422035" w:rsidRPr="00422035" w:rsidRDefault="00422035" w:rsidP="00422035">
      <w:pPr>
        <w:spacing w:after="0" w:line="240" w:lineRule="auto"/>
        <w:jc w:val="both"/>
        <w:rPr>
          <w:rFonts w:ascii="Verdana" w:eastAsia="Times" w:hAnsi="Verdana" w:cs="Times New Roman"/>
          <w:sz w:val="20"/>
          <w:szCs w:val="20"/>
          <w:lang w:val="es-ES"/>
        </w:rPr>
      </w:pPr>
    </w:p>
    <w:p w14:paraId="3B286FFC" w14:textId="77777777" w:rsidR="00422035" w:rsidRPr="00422035" w:rsidRDefault="00422035" w:rsidP="00422035">
      <w:pPr>
        <w:spacing w:after="0" w:line="240" w:lineRule="auto"/>
        <w:jc w:val="center"/>
        <w:rPr>
          <w:rFonts w:ascii="Verdana" w:eastAsia="Times" w:hAnsi="Verdana" w:cs="Times New Roman"/>
          <w:sz w:val="20"/>
          <w:szCs w:val="20"/>
          <w:lang w:val="es-ES"/>
        </w:rPr>
      </w:pPr>
      <w:r w:rsidRPr="00422035">
        <w:rPr>
          <w:rFonts w:ascii="Verdana" w:eastAsia="Times" w:hAnsi="Verdana" w:cs="Times New Roman"/>
          <w:sz w:val="20"/>
          <w:szCs w:val="20"/>
          <w:lang w:val="es-ES"/>
        </w:rPr>
        <w:t>Pablo Saavedra Alessandri</w:t>
      </w:r>
    </w:p>
    <w:p w14:paraId="195CF1F6" w14:textId="77777777" w:rsidR="00422035" w:rsidRPr="00422035" w:rsidRDefault="00422035" w:rsidP="00422035">
      <w:pPr>
        <w:spacing w:after="0" w:line="240" w:lineRule="auto"/>
        <w:jc w:val="center"/>
        <w:rPr>
          <w:rFonts w:ascii="Verdana" w:eastAsia="Times" w:hAnsi="Verdana" w:cs="Times New Roman"/>
          <w:sz w:val="20"/>
          <w:szCs w:val="20"/>
          <w:lang w:val="es-ES"/>
        </w:rPr>
      </w:pPr>
      <w:r w:rsidRPr="00422035">
        <w:rPr>
          <w:rFonts w:ascii="Verdana" w:eastAsia="Times" w:hAnsi="Verdana" w:cs="Times New Roman"/>
          <w:sz w:val="20"/>
          <w:szCs w:val="20"/>
          <w:lang w:val="es-ES"/>
        </w:rPr>
        <w:t>Secretario</w:t>
      </w:r>
    </w:p>
    <w:p w14:paraId="1DBB34EC" w14:textId="77777777" w:rsidR="00422035" w:rsidRPr="00422035" w:rsidRDefault="00422035" w:rsidP="00422035">
      <w:pPr>
        <w:spacing w:after="0" w:line="240" w:lineRule="auto"/>
        <w:rPr>
          <w:rFonts w:ascii="Verdana" w:eastAsia="Times" w:hAnsi="Verdana" w:cs="Times New Roman"/>
          <w:sz w:val="20"/>
          <w:szCs w:val="20"/>
          <w:lang w:val="es-ES"/>
        </w:rPr>
      </w:pPr>
    </w:p>
    <w:p w14:paraId="31EA114F" w14:textId="77777777" w:rsidR="00422035" w:rsidRPr="00422035" w:rsidRDefault="00422035" w:rsidP="00422035">
      <w:pPr>
        <w:spacing w:after="0" w:line="240" w:lineRule="auto"/>
        <w:jc w:val="both"/>
        <w:rPr>
          <w:rFonts w:ascii="Verdana" w:eastAsia="Times" w:hAnsi="Verdana" w:cs="Times New Roman"/>
          <w:sz w:val="20"/>
          <w:szCs w:val="20"/>
          <w:lang w:val="es-ES"/>
        </w:rPr>
      </w:pPr>
    </w:p>
    <w:p w14:paraId="7BA6D9CA" w14:textId="77777777" w:rsidR="00422035" w:rsidRPr="00422035" w:rsidRDefault="00422035" w:rsidP="00422035">
      <w:pPr>
        <w:spacing w:after="0" w:line="240" w:lineRule="auto"/>
        <w:jc w:val="both"/>
        <w:rPr>
          <w:rFonts w:ascii="Verdana" w:eastAsia="Times" w:hAnsi="Verdana" w:cs="Times New Roman"/>
          <w:sz w:val="20"/>
          <w:szCs w:val="20"/>
          <w:lang w:val="es-ES"/>
        </w:rPr>
      </w:pPr>
      <w:r w:rsidRPr="00422035">
        <w:rPr>
          <w:rFonts w:ascii="Verdana" w:eastAsia="Times" w:hAnsi="Verdana" w:cs="Times New Roman"/>
          <w:sz w:val="20"/>
          <w:szCs w:val="20"/>
          <w:lang w:val="es-ES"/>
        </w:rPr>
        <w:t>Comuníquese y ejecútese,</w:t>
      </w:r>
    </w:p>
    <w:p w14:paraId="4AFE0F45" w14:textId="77777777" w:rsidR="00422035" w:rsidRPr="00422035" w:rsidRDefault="00422035" w:rsidP="00422035">
      <w:pPr>
        <w:spacing w:after="0" w:line="240" w:lineRule="auto"/>
        <w:jc w:val="both"/>
        <w:rPr>
          <w:rFonts w:ascii="Verdana" w:eastAsia="Times" w:hAnsi="Verdana" w:cs="Times New Roman"/>
          <w:sz w:val="20"/>
          <w:szCs w:val="20"/>
          <w:lang w:val="es-ES"/>
        </w:rPr>
      </w:pPr>
    </w:p>
    <w:p w14:paraId="0F9CB1B2" w14:textId="77777777" w:rsidR="00422035" w:rsidRPr="00422035" w:rsidRDefault="00422035" w:rsidP="00422035">
      <w:pPr>
        <w:spacing w:after="0" w:line="240" w:lineRule="auto"/>
        <w:jc w:val="both"/>
        <w:rPr>
          <w:rFonts w:ascii="Verdana" w:eastAsia="Times" w:hAnsi="Verdana" w:cs="Times New Roman"/>
          <w:sz w:val="20"/>
          <w:szCs w:val="20"/>
          <w:lang w:val="es-ES"/>
        </w:rPr>
      </w:pPr>
    </w:p>
    <w:p w14:paraId="0959B529" w14:textId="77777777" w:rsidR="00422035" w:rsidRPr="00422035" w:rsidRDefault="00422035" w:rsidP="00422035">
      <w:pPr>
        <w:spacing w:after="0" w:line="240" w:lineRule="auto"/>
        <w:jc w:val="both"/>
        <w:rPr>
          <w:rFonts w:ascii="Verdana" w:eastAsia="Times" w:hAnsi="Verdana" w:cs="Times New Roman"/>
          <w:sz w:val="20"/>
          <w:szCs w:val="20"/>
          <w:lang w:val="es-ES"/>
        </w:rPr>
      </w:pPr>
    </w:p>
    <w:p w14:paraId="5187A1E9" w14:textId="77777777" w:rsidR="00422035" w:rsidRPr="00422035" w:rsidRDefault="00422035" w:rsidP="00422035">
      <w:pPr>
        <w:spacing w:after="0" w:line="240" w:lineRule="auto"/>
        <w:jc w:val="both"/>
        <w:rPr>
          <w:rFonts w:ascii="Verdana" w:eastAsia="Times" w:hAnsi="Verdana" w:cs="Times New Roman"/>
          <w:sz w:val="20"/>
          <w:szCs w:val="20"/>
          <w:lang w:val="es-ES"/>
        </w:rPr>
      </w:pPr>
      <w:r w:rsidRPr="00422035">
        <w:rPr>
          <w:rFonts w:ascii="Verdana" w:eastAsia="Times" w:hAnsi="Verdana" w:cs="Times New Roman"/>
          <w:sz w:val="20"/>
          <w:szCs w:val="20"/>
          <w:lang w:val="es-ES"/>
        </w:rPr>
        <w:t xml:space="preserve"> </w:t>
      </w:r>
    </w:p>
    <w:p w14:paraId="5B5B5470" w14:textId="77777777" w:rsidR="00422035" w:rsidRPr="00422035" w:rsidRDefault="00422035" w:rsidP="00422035">
      <w:pPr>
        <w:spacing w:after="0" w:line="240" w:lineRule="auto"/>
        <w:jc w:val="both"/>
        <w:rPr>
          <w:rFonts w:ascii="Verdana" w:eastAsia="Times" w:hAnsi="Verdana" w:cs="Times New Roman"/>
          <w:sz w:val="20"/>
          <w:szCs w:val="20"/>
          <w:lang w:val="es-ES"/>
        </w:rPr>
      </w:pPr>
    </w:p>
    <w:p w14:paraId="59C342FF" w14:textId="77777777" w:rsidR="00422035" w:rsidRPr="00422035" w:rsidRDefault="00422035" w:rsidP="00422035">
      <w:pPr>
        <w:spacing w:after="0" w:line="240" w:lineRule="auto"/>
        <w:ind w:left="4956"/>
        <w:jc w:val="center"/>
        <w:rPr>
          <w:rFonts w:ascii="Verdana" w:eastAsia="Times" w:hAnsi="Verdana" w:cs="Times New Roman"/>
          <w:sz w:val="20"/>
          <w:szCs w:val="20"/>
          <w:lang w:val="es-ES"/>
        </w:rPr>
      </w:pPr>
      <w:r w:rsidRPr="00422035">
        <w:rPr>
          <w:rFonts w:ascii="Verdana" w:eastAsia="Times" w:hAnsi="Verdana" w:cs="Times New Roman"/>
          <w:sz w:val="20"/>
          <w:szCs w:val="20"/>
          <w:lang w:val="es-ES"/>
        </w:rPr>
        <w:t>Eduardo Ferrer Mac-Gregor Poisot</w:t>
      </w:r>
      <w:r w:rsidRPr="00422035">
        <w:rPr>
          <w:rFonts w:ascii="Verdana" w:eastAsia="Times" w:hAnsi="Verdana" w:cs="Times New Roman"/>
          <w:sz w:val="20"/>
          <w:szCs w:val="20"/>
          <w:lang w:val="es-ES"/>
        </w:rPr>
        <w:tab/>
      </w:r>
    </w:p>
    <w:p w14:paraId="32EE2992" w14:textId="77777777" w:rsidR="00422035" w:rsidRPr="00422035" w:rsidRDefault="00422035" w:rsidP="00422035">
      <w:pPr>
        <w:spacing w:after="0" w:line="240" w:lineRule="auto"/>
        <w:ind w:left="4956" w:firstLine="708"/>
        <w:rPr>
          <w:rFonts w:ascii="Verdana" w:eastAsia="Times" w:hAnsi="Verdana" w:cs="Times New Roman"/>
          <w:sz w:val="20"/>
          <w:szCs w:val="20"/>
          <w:lang w:val="es-ES"/>
        </w:rPr>
      </w:pPr>
      <w:r w:rsidRPr="00422035">
        <w:rPr>
          <w:rFonts w:ascii="Verdana" w:eastAsia="Times" w:hAnsi="Verdana" w:cs="Times New Roman"/>
          <w:sz w:val="20"/>
          <w:szCs w:val="20"/>
          <w:lang w:val="es-ES"/>
        </w:rPr>
        <w:t xml:space="preserve">        Presidente </w:t>
      </w:r>
    </w:p>
    <w:p w14:paraId="75BDA652" w14:textId="77777777" w:rsidR="00422035" w:rsidRPr="00422035" w:rsidRDefault="00422035" w:rsidP="00422035">
      <w:pPr>
        <w:spacing w:after="0" w:line="240" w:lineRule="auto"/>
        <w:jc w:val="both"/>
        <w:rPr>
          <w:rFonts w:ascii="Verdana" w:eastAsia="Times" w:hAnsi="Verdana" w:cs="Times New Roman"/>
          <w:sz w:val="20"/>
          <w:szCs w:val="20"/>
          <w:lang w:val="es-ES"/>
        </w:rPr>
      </w:pPr>
    </w:p>
    <w:p w14:paraId="07A2814B" w14:textId="77777777" w:rsidR="00422035" w:rsidRPr="00422035" w:rsidRDefault="00422035" w:rsidP="00422035">
      <w:pPr>
        <w:spacing w:after="0" w:line="240" w:lineRule="auto"/>
        <w:jc w:val="both"/>
        <w:rPr>
          <w:rFonts w:ascii="Verdana" w:eastAsia="Times" w:hAnsi="Verdana" w:cs="Times New Roman"/>
          <w:sz w:val="20"/>
          <w:szCs w:val="20"/>
          <w:lang w:val="es-ES"/>
        </w:rPr>
      </w:pPr>
    </w:p>
    <w:p w14:paraId="0046C423" w14:textId="77777777" w:rsidR="00422035" w:rsidRPr="00422035" w:rsidRDefault="00422035" w:rsidP="00422035">
      <w:pPr>
        <w:spacing w:after="0" w:line="240" w:lineRule="auto"/>
        <w:jc w:val="both"/>
        <w:rPr>
          <w:rFonts w:ascii="Verdana" w:eastAsia="Times" w:hAnsi="Verdana" w:cs="Times New Roman"/>
          <w:sz w:val="20"/>
          <w:szCs w:val="20"/>
          <w:lang w:val="es-ES"/>
        </w:rPr>
      </w:pPr>
    </w:p>
    <w:p w14:paraId="35DF146F" w14:textId="77777777" w:rsidR="00422035" w:rsidRPr="00422035" w:rsidRDefault="00422035" w:rsidP="00422035">
      <w:pPr>
        <w:spacing w:after="0" w:line="240" w:lineRule="auto"/>
        <w:jc w:val="both"/>
        <w:rPr>
          <w:rFonts w:ascii="Verdana" w:eastAsia="Times" w:hAnsi="Verdana" w:cs="Times New Roman"/>
          <w:sz w:val="20"/>
          <w:szCs w:val="20"/>
          <w:lang w:val="es-ES"/>
        </w:rPr>
      </w:pPr>
    </w:p>
    <w:p w14:paraId="4A1FB620" w14:textId="77777777" w:rsidR="00422035" w:rsidRPr="00422035" w:rsidRDefault="00422035" w:rsidP="00422035">
      <w:pPr>
        <w:spacing w:after="0" w:line="240" w:lineRule="auto"/>
        <w:jc w:val="both"/>
        <w:rPr>
          <w:rFonts w:ascii="Verdana" w:eastAsia="Times" w:hAnsi="Verdana" w:cs="Times New Roman"/>
          <w:sz w:val="20"/>
          <w:szCs w:val="20"/>
          <w:lang w:val="es-ES"/>
        </w:rPr>
      </w:pPr>
    </w:p>
    <w:p w14:paraId="3D9ABCA5" w14:textId="77777777" w:rsidR="00422035" w:rsidRPr="00422035" w:rsidRDefault="00422035" w:rsidP="00422035">
      <w:pPr>
        <w:spacing w:after="0" w:line="240" w:lineRule="auto"/>
        <w:jc w:val="both"/>
        <w:rPr>
          <w:rFonts w:ascii="Verdana" w:eastAsia="Times" w:hAnsi="Verdana" w:cs="Times New Roman"/>
          <w:sz w:val="20"/>
          <w:szCs w:val="20"/>
          <w:lang w:val="es-ES"/>
        </w:rPr>
      </w:pPr>
    </w:p>
    <w:p w14:paraId="7443E9AB" w14:textId="77777777" w:rsidR="00422035" w:rsidRPr="00422035" w:rsidRDefault="00422035" w:rsidP="00422035">
      <w:pPr>
        <w:spacing w:after="0" w:line="240" w:lineRule="auto"/>
        <w:jc w:val="both"/>
        <w:rPr>
          <w:rFonts w:ascii="Verdana" w:eastAsia="Times" w:hAnsi="Verdana" w:cs="Times New Roman"/>
          <w:sz w:val="20"/>
          <w:szCs w:val="20"/>
          <w:lang w:val="es-ES"/>
        </w:rPr>
      </w:pPr>
      <w:r w:rsidRPr="00422035">
        <w:rPr>
          <w:rFonts w:ascii="Verdana" w:eastAsia="Times" w:hAnsi="Verdana" w:cs="Times New Roman"/>
          <w:sz w:val="20"/>
          <w:szCs w:val="20"/>
          <w:lang w:val="es-ES"/>
        </w:rPr>
        <w:t>Pablo Saavedra Alessandri</w:t>
      </w:r>
    </w:p>
    <w:p w14:paraId="6C683C41" w14:textId="77777777" w:rsidR="00422035" w:rsidRPr="00422035" w:rsidRDefault="00422035" w:rsidP="00422035">
      <w:pPr>
        <w:spacing w:after="0" w:line="240" w:lineRule="auto"/>
        <w:rPr>
          <w:rFonts w:ascii="Verdana" w:eastAsia="Times" w:hAnsi="Verdana" w:cs="Times New Roman"/>
          <w:sz w:val="20"/>
          <w:szCs w:val="20"/>
          <w:lang w:val="es-CR"/>
        </w:rPr>
      </w:pPr>
      <w:r w:rsidRPr="00422035">
        <w:rPr>
          <w:rFonts w:ascii="Verdana" w:eastAsia="Times" w:hAnsi="Verdana" w:cs="Times New Roman"/>
          <w:sz w:val="20"/>
          <w:szCs w:val="20"/>
          <w:lang w:val="es-ES"/>
        </w:rPr>
        <w:tab/>
      </w:r>
      <w:r w:rsidRPr="00422035">
        <w:rPr>
          <w:rFonts w:ascii="Verdana" w:eastAsia="Times" w:hAnsi="Verdana" w:cs="Times New Roman"/>
          <w:sz w:val="20"/>
          <w:szCs w:val="20"/>
          <w:lang w:val="es-CR"/>
        </w:rPr>
        <w:t>Secretario</w:t>
      </w:r>
    </w:p>
    <w:p w14:paraId="5F513943" w14:textId="77777777" w:rsidR="00F96ACD" w:rsidRPr="00F96ACD" w:rsidRDefault="00F96ACD" w:rsidP="00D76230">
      <w:pPr>
        <w:pStyle w:val="ListParagraph"/>
        <w:spacing w:after="0" w:line="240" w:lineRule="auto"/>
        <w:ind w:left="0"/>
        <w:jc w:val="both"/>
        <w:rPr>
          <w:rFonts w:ascii="Verdana" w:hAnsi="Verdana"/>
          <w:sz w:val="20"/>
          <w:szCs w:val="20"/>
          <w:lang w:val="es-CR"/>
        </w:rPr>
      </w:pPr>
    </w:p>
    <w:sectPr w:rsidR="00F96ACD" w:rsidRPr="00F96ACD" w:rsidSect="000274AA">
      <w:headerReference w:type="even" r:id="rId9"/>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6B172" w14:textId="77777777" w:rsidR="00B6025A" w:rsidRDefault="00B6025A" w:rsidP="00C1515A">
      <w:pPr>
        <w:spacing w:after="0" w:line="240" w:lineRule="auto"/>
      </w:pPr>
      <w:r>
        <w:separator/>
      </w:r>
    </w:p>
  </w:endnote>
  <w:endnote w:type="continuationSeparator" w:id="0">
    <w:p w14:paraId="4AB7A8F0" w14:textId="77777777" w:rsidR="00B6025A" w:rsidRDefault="00B6025A" w:rsidP="00C15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A3C5E" w14:textId="684ADDE6" w:rsidR="003301C3" w:rsidRDefault="003301C3">
    <w:pPr>
      <w:pStyle w:val="Footer"/>
      <w:jc w:val="center"/>
    </w:pPr>
  </w:p>
  <w:p w14:paraId="7CEAB850" w14:textId="77777777" w:rsidR="003301C3" w:rsidRDefault="003301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B3EEB" w14:textId="77777777" w:rsidR="00B6025A" w:rsidRDefault="00B6025A" w:rsidP="00C1515A">
      <w:pPr>
        <w:spacing w:after="0" w:line="240" w:lineRule="auto"/>
      </w:pPr>
      <w:r>
        <w:separator/>
      </w:r>
    </w:p>
  </w:footnote>
  <w:footnote w:type="continuationSeparator" w:id="0">
    <w:p w14:paraId="558E778F" w14:textId="77777777" w:rsidR="00B6025A" w:rsidRDefault="00B6025A" w:rsidP="00C1515A">
      <w:pPr>
        <w:spacing w:after="0" w:line="240" w:lineRule="auto"/>
      </w:pPr>
      <w:r>
        <w:continuationSeparator/>
      </w:r>
    </w:p>
  </w:footnote>
  <w:footnote w:id="1">
    <w:p w14:paraId="558F157A" w14:textId="77777777" w:rsidR="003250E8" w:rsidRPr="0090510D" w:rsidRDefault="003250E8" w:rsidP="003250E8">
      <w:pPr>
        <w:pStyle w:val="FootnoteText"/>
        <w:jc w:val="both"/>
        <w:rPr>
          <w:rFonts w:ascii="Verdana" w:eastAsia="Times New Roman" w:hAnsi="Verdana"/>
          <w:sz w:val="16"/>
          <w:szCs w:val="16"/>
          <w:lang w:val="es-CR" w:eastAsia="es-ES"/>
        </w:rPr>
      </w:pPr>
      <w:r w:rsidRPr="0090510D">
        <w:rPr>
          <w:rStyle w:val="FootnoteReference"/>
          <w:rFonts w:ascii="Verdana" w:hAnsi="Verdana"/>
          <w:sz w:val="16"/>
          <w:szCs w:val="16"/>
          <w:lang w:val="es-CR"/>
        </w:rPr>
        <w:t>*</w:t>
      </w:r>
      <w:r w:rsidRPr="0090510D">
        <w:rPr>
          <w:rFonts w:ascii="Verdana" w:hAnsi="Verdana"/>
          <w:sz w:val="16"/>
          <w:szCs w:val="16"/>
          <w:lang w:val="es-CR"/>
        </w:rPr>
        <w:tab/>
      </w:r>
      <w:r>
        <w:rPr>
          <w:rFonts w:ascii="Verdana" w:hAnsi="Verdana"/>
          <w:sz w:val="16"/>
          <w:szCs w:val="16"/>
          <w:lang w:val="es-CR"/>
        </w:rPr>
        <w:t>El Juez Roberto F. Caldas no participó en la deliberación y firma de la presente Resolución por razones de fuerza mayor.</w:t>
      </w:r>
    </w:p>
  </w:footnote>
  <w:footnote w:id="2">
    <w:p w14:paraId="6D37C40E" w14:textId="7F921090" w:rsidR="00C1515A" w:rsidRPr="00107634" w:rsidRDefault="00C1515A" w:rsidP="00C1515A">
      <w:pPr>
        <w:pStyle w:val="FootnoteText"/>
        <w:jc w:val="both"/>
        <w:rPr>
          <w:rFonts w:ascii="Verdana" w:hAnsi="Verdana"/>
          <w:sz w:val="16"/>
          <w:szCs w:val="16"/>
          <w:lang w:val="es-CR"/>
        </w:rPr>
      </w:pPr>
      <w:r w:rsidRPr="00107634">
        <w:rPr>
          <w:rStyle w:val="FootnoteReference"/>
          <w:rFonts w:ascii="Verdana" w:hAnsi="Verdana"/>
          <w:sz w:val="16"/>
          <w:szCs w:val="16"/>
        </w:rPr>
        <w:footnoteRef/>
      </w:r>
      <w:r w:rsidRPr="00107634">
        <w:rPr>
          <w:rFonts w:ascii="Verdana" w:hAnsi="Verdana"/>
          <w:sz w:val="16"/>
          <w:szCs w:val="16"/>
          <w:lang w:val="es-CR"/>
        </w:rPr>
        <w:t xml:space="preserve"> </w:t>
      </w:r>
      <w:r w:rsidRPr="00107634">
        <w:rPr>
          <w:rFonts w:ascii="Verdana" w:hAnsi="Verdana"/>
          <w:sz w:val="16"/>
          <w:szCs w:val="16"/>
          <w:lang w:val="es-CR"/>
        </w:rPr>
        <w:tab/>
      </w:r>
      <w:r w:rsidRPr="00107634">
        <w:rPr>
          <w:rFonts w:ascii="Verdana" w:hAnsi="Verdana"/>
          <w:i/>
          <w:sz w:val="16"/>
          <w:szCs w:val="16"/>
          <w:lang w:val="es-CR"/>
        </w:rPr>
        <w:t>Cfr. Caso Masacres</w:t>
      </w:r>
      <w:r w:rsidR="00F85C4F">
        <w:rPr>
          <w:rFonts w:ascii="Verdana" w:hAnsi="Verdana"/>
          <w:i/>
          <w:sz w:val="16"/>
          <w:szCs w:val="16"/>
          <w:lang w:val="es-CR"/>
        </w:rPr>
        <w:t xml:space="preserve"> de</w:t>
      </w:r>
      <w:r w:rsidRPr="00107634">
        <w:rPr>
          <w:rFonts w:ascii="Verdana" w:hAnsi="Verdana"/>
          <w:i/>
          <w:sz w:val="16"/>
          <w:szCs w:val="16"/>
          <w:lang w:val="es-CR"/>
        </w:rPr>
        <w:t xml:space="preserve"> </w:t>
      </w:r>
      <w:r w:rsidR="00107634" w:rsidRPr="00107634">
        <w:rPr>
          <w:rFonts w:ascii="Verdana" w:hAnsi="Verdana"/>
          <w:i/>
          <w:sz w:val="16"/>
          <w:szCs w:val="16"/>
          <w:lang w:val="es-CR"/>
        </w:rPr>
        <w:t>Río Negro</w:t>
      </w:r>
      <w:r w:rsidRPr="00107634">
        <w:rPr>
          <w:rFonts w:ascii="Verdana" w:hAnsi="Verdana"/>
          <w:i/>
          <w:sz w:val="16"/>
          <w:szCs w:val="16"/>
          <w:lang w:val="es-CR"/>
        </w:rPr>
        <w:t xml:space="preserve"> Vs. </w:t>
      </w:r>
      <w:r w:rsidR="00107634" w:rsidRPr="00107634">
        <w:rPr>
          <w:rFonts w:ascii="Verdana" w:hAnsi="Verdana"/>
          <w:i/>
          <w:sz w:val="16"/>
          <w:szCs w:val="16"/>
          <w:lang w:val="es-CR"/>
        </w:rPr>
        <w:t>Guatemala</w:t>
      </w:r>
      <w:r w:rsidRPr="00107634">
        <w:rPr>
          <w:rFonts w:ascii="Verdana" w:hAnsi="Verdana"/>
          <w:i/>
          <w:sz w:val="16"/>
          <w:szCs w:val="16"/>
          <w:lang w:val="es-CR"/>
        </w:rPr>
        <w:t xml:space="preserve">. </w:t>
      </w:r>
      <w:r w:rsidR="00107634" w:rsidRPr="00107634">
        <w:rPr>
          <w:rFonts w:ascii="Verdana" w:hAnsi="Verdana"/>
          <w:i/>
          <w:sz w:val="16"/>
          <w:szCs w:val="16"/>
          <w:lang w:val="es-CR"/>
        </w:rPr>
        <w:t xml:space="preserve">Excepción Preliminar, </w:t>
      </w:r>
      <w:r w:rsidRPr="00107634">
        <w:rPr>
          <w:rFonts w:ascii="Verdana" w:hAnsi="Verdana"/>
          <w:i/>
          <w:sz w:val="16"/>
          <w:szCs w:val="16"/>
          <w:lang w:val="es-CR"/>
        </w:rPr>
        <w:t>Fondo, Reparaciones y Costas.</w:t>
      </w:r>
      <w:r w:rsidRPr="00107634">
        <w:rPr>
          <w:rFonts w:ascii="Verdana" w:hAnsi="Verdana"/>
          <w:sz w:val="16"/>
          <w:szCs w:val="16"/>
          <w:lang w:val="es-CR"/>
        </w:rPr>
        <w:t xml:space="preserve"> </w:t>
      </w:r>
      <w:r w:rsidR="00107634" w:rsidRPr="00107634">
        <w:rPr>
          <w:rFonts w:ascii="Verdana" w:hAnsi="Verdana"/>
          <w:sz w:val="16"/>
          <w:szCs w:val="16"/>
          <w:lang w:val="es-CR"/>
        </w:rPr>
        <w:t>Sentencia de 4</w:t>
      </w:r>
      <w:r w:rsidRPr="00107634">
        <w:rPr>
          <w:rFonts w:ascii="Verdana" w:hAnsi="Verdana"/>
          <w:sz w:val="16"/>
          <w:szCs w:val="16"/>
          <w:lang w:val="es-CR"/>
        </w:rPr>
        <w:t xml:space="preserve"> de </w:t>
      </w:r>
      <w:r w:rsidR="00107634" w:rsidRPr="00107634">
        <w:rPr>
          <w:rFonts w:ascii="Verdana" w:hAnsi="Verdana"/>
          <w:sz w:val="16"/>
          <w:szCs w:val="16"/>
          <w:lang w:val="es-CR"/>
        </w:rPr>
        <w:t>septiembre</w:t>
      </w:r>
      <w:r w:rsidRPr="00107634">
        <w:rPr>
          <w:rFonts w:ascii="Verdana" w:hAnsi="Verdana"/>
          <w:sz w:val="16"/>
          <w:szCs w:val="16"/>
          <w:lang w:val="es-CR"/>
        </w:rPr>
        <w:t xml:space="preserve"> de 2012. Serie C No. 25</w:t>
      </w:r>
      <w:r w:rsidR="00107634" w:rsidRPr="00107634">
        <w:rPr>
          <w:rFonts w:ascii="Verdana" w:hAnsi="Verdana"/>
          <w:sz w:val="16"/>
          <w:szCs w:val="16"/>
          <w:lang w:val="es-CR"/>
        </w:rPr>
        <w:t>0</w:t>
      </w:r>
      <w:r w:rsidRPr="00107634">
        <w:rPr>
          <w:rFonts w:ascii="Verdana" w:hAnsi="Verdana"/>
          <w:sz w:val="16"/>
          <w:szCs w:val="16"/>
          <w:lang w:val="es-CR"/>
        </w:rPr>
        <w:t xml:space="preserve">. El texto íntegro de la Sentencia se encuentra disponible en: </w:t>
      </w:r>
      <w:hyperlink r:id="rId1" w:history="1">
        <w:r w:rsidR="00107634" w:rsidRPr="00107634">
          <w:rPr>
            <w:rStyle w:val="Hyperlink"/>
            <w:rFonts w:ascii="Verdana" w:hAnsi="Verdana"/>
            <w:sz w:val="16"/>
            <w:szCs w:val="16"/>
            <w:lang w:val="es-CR"/>
          </w:rPr>
          <w:t>http://www.corteidh.or.cr/docs/casos/articulos/seriec_250_esp.pdf</w:t>
        </w:r>
      </w:hyperlink>
      <w:r w:rsidR="00107634" w:rsidRPr="00107634">
        <w:rPr>
          <w:rFonts w:ascii="Verdana" w:hAnsi="Verdana"/>
          <w:sz w:val="16"/>
          <w:szCs w:val="16"/>
          <w:lang w:val="es-CR"/>
        </w:rPr>
        <w:t xml:space="preserve">. </w:t>
      </w:r>
      <w:r w:rsidRPr="00107634">
        <w:rPr>
          <w:rFonts w:ascii="Verdana" w:hAnsi="Verdana"/>
          <w:sz w:val="16"/>
          <w:szCs w:val="16"/>
          <w:lang w:val="es-CR"/>
        </w:rPr>
        <w:t>La Sentencia fue notificada al Estado el 1</w:t>
      </w:r>
      <w:r w:rsidR="00107634" w:rsidRPr="00107634">
        <w:rPr>
          <w:rFonts w:ascii="Verdana" w:hAnsi="Verdana"/>
          <w:sz w:val="16"/>
          <w:szCs w:val="16"/>
          <w:lang w:val="es-CR"/>
        </w:rPr>
        <w:t>9</w:t>
      </w:r>
      <w:r w:rsidRPr="00107634">
        <w:rPr>
          <w:rFonts w:ascii="Verdana" w:hAnsi="Verdana"/>
          <w:sz w:val="16"/>
          <w:szCs w:val="16"/>
          <w:lang w:val="es-CR"/>
        </w:rPr>
        <w:t xml:space="preserve"> de </w:t>
      </w:r>
      <w:r w:rsidR="00107634" w:rsidRPr="00107634">
        <w:rPr>
          <w:rFonts w:ascii="Verdana" w:hAnsi="Verdana"/>
          <w:sz w:val="16"/>
          <w:szCs w:val="16"/>
          <w:lang w:val="es-CR"/>
        </w:rPr>
        <w:t>octubre</w:t>
      </w:r>
      <w:r w:rsidRPr="00107634">
        <w:rPr>
          <w:rFonts w:ascii="Verdana" w:hAnsi="Verdana"/>
          <w:sz w:val="16"/>
          <w:szCs w:val="16"/>
          <w:lang w:val="es-CR"/>
        </w:rPr>
        <w:t xml:space="preserve"> de 2012.</w:t>
      </w:r>
    </w:p>
  </w:footnote>
  <w:footnote w:id="3">
    <w:p w14:paraId="0F694C05" w14:textId="0951E041" w:rsidR="00695785" w:rsidRPr="00695785" w:rsidRDefault="00695785" w:rsidP="00695785">
      <w:pPr>
        <w:pStyle w:val="FootnoteText"/>
        <w:jc w:val="both"/>
        <w:rPr>
          <w:rFonts w:ascii="Verdana" w:hAnsi="Verdana"/>
          <w:sz w:val="16"/>
          <w:szCs w:val="16"/>
          <w:lang w:val="es-CR"/>
        </w:rPr>
      </w:pPr>
      <w:r w:rsidRPr="00695785">
        <w:rPr>
          <w:rStyle w:val="FootnoteReference"/>
          <w:rFonts w:ascii="Verdana" w:hAnsi="Verdana"/>
          <w:sz w:val="16"/>
          <w:szCs w:val="16"/>
        </w:rPr>
        <w:footnoteRef/>
      </w:r>
      <w:r w:rsidRPr="00695785">
        <w:rPr>
          <w:rFonts w:ascii="Verdana" w:hAnsi="Verdana"/>
          <w:sz w:val="16"/>
          <w:szCs w:val="16"/>
          <w:lang w:val="es-CR"/>
        </w:rPr>
        <w:t xml:space="preserve"> </w:t>
      </w:r>
      <w:r w:rsidRPr="00695785">
        <w:rPr>
          <w:rFonts w:ascii="Verdana" w:hAnsi="Verdana"/>
          <w:sz w:val="16"/>
          <w:szCs w:val="16"/>
          <w:lang w:val="es-CR"/>
        </w:rPr>
        <w:tab/>
        <w:t>Ramona Lajuj, Manuel Chen Sánchez, Aurelia Alvarado Ivoy, Cornelio Osorio Lajúj, Demetria Osorio Tahuico, Fermin Tum Chén, Francisco Chen Osorio, Francísco Sánchez Sic, Héctor López Osorio, Jerónimo Osorio Chen, Luciano Osorio Chen, Pablo Osorio Tahuico, Pedro Chén Rojas, Pedro López Osorio, Pedro Osorio Chén, Sebastiana Osorio Tahuico y Soterio Pérez Tum</w:t>
      </w:r>
      <w:r w:rsidR="00F85C4F">
        <w:rPr>
          <w:rFonts w:ascii="Verdana" w:hAnsi="Verdana"/>
          <w:sz w:val="16"/>
          <w:szCs w:val="16"/>
          <w:lang w:val="es-CR"/>
        </w:rPr>
        <w:t>.</w:t>
      </w:r>
    </w:p>
  </w:footnote>
  <w:footnote w:id="4">
    <w:p w14:paraId="559603E7" w14:textId="77777777" w:rsidR="00417C29" w:rsidRPr="009836B3" w:rsidRDefault="00417C29" w:rsidP="00417C29">
      <w:pPr>
        <w:pStyle w:val="FootnoteText"/>
        <w:jc w:val="both"/>
        <w:rPr>
          <w:rFonts w:ascii="Verdana" w:hAnsi="Verdana"/>
          <w:sz w:val="16"/>
          <w:szCs w:val="16"/>
          <w:lang w:val="es-CR"/>
        </w:rPr>
      </w:pPr>
      <w:r w:rsidRPr="009836B3">
        <w:rPr>
          <w:rStyle w:val="FootnoteReference"/>
          <w:rFonts w:ascii="Verdana" w:hAnsi="Verdana"/>
          <w:sz w:val="16"/>
          <w:szCs w:val="16"/>
        </w:rPr>
        <w:footnoteRef/>
      </w:r>
      <w:r w:rsidRPr="009836B3">
        <w:rPr>
          <w:rFonts w:ascii="Verdana" w:hAnsi="Verdana"/>
          <w:sz w:val="16"/>
          <w:szCs w:val="16"/>
          <w:lang w:val="es-CR"/>
        </w:rPr>
        <w:t xml:space="preserve"> </w:t>
      </w:r>
      <w:r w:rsidRPr="009836B3">
        <w:rPr>
          <w:rFonts w:ascii="Verdana" w:hAnsi="Verdana"/>
          <w:sz w:val="16"/>
          <w:szCs w:val="16"/>
          <w:lang w:val="es-CR"/>
        </w:rPr>
        <w:tab/>
      </w:r>
      <w:r w:rsidR="00695785">
        <w:rPr>
          <w:rFonts w:ascii="Verdana" w:hAnsi="Verdana"/>
          <w:sz w:val="16"/>
          <w:szCs w:val="16"/>
          <w:lang w:val="es-CR"/>
        </w:rPr>
        <w:t>D</w:t>
      </w:r>
      <w:r w:rsidRPr="009836B3">
        <w:rPr>
          <w:rFonts w:ascii="Verdana" w:hAnsi="Verdana"/>
          <w:sz w:val="16"/>
          <w:szCs w:val="16"/>
          <w:lang w:val="es-CR"/>
        </w:rPr>
        <w:t xml:space="preserve">isponible en: </w:t>
      </w:r>
      <w:hyperlink r:id="rId2" w:history="1">
        <w:r w:rsidR="009836B3" w:rsidRPr="009836B3">
          <w:rPr>
            <w:rStyle w:val="Hyperlink"/>
            <w:rFonts w:ascii="Verdana" w:hAnsi="Verdana"/>
            <w:sz w:val="16"/>
            <w:szCs w:val="16"/>
            <w:lang w:val="es-CR"/>
          </w:rPr>
          <w:t>http://www.corteidh.or.cr/docs/supervisiones/Rio_Negro_y_Gudiel_21_08_14.pdf</w:t>
        </w:r>
      </w:hyperlink>
      <w:r w:rsidR="009836B3" w:rsidRPr="009836B3">
        <w:rPr>
          <w:rFonts w:ascii="Verdana" w:hAnsi="Verdana"/>
          <w:sz w:val="16"/>
          <w:szCs w:val="16"/>
          <w:lang w:val="es-CR"/>
        </w:rPr>
        <w:t xml:space="preserve">. </w:t>
      </w:r>
      <w:r w:rsidRPr="009836B3">
        <w:rPr>
          <w:rFonts w:ascii="Verdana" w:hAnsi="Verdana"/>
          <w:sz w:val="16"/>
          <w:szCs w:val="16"/>
          <w:lang w:val="es-CR"/>
        </w:rPr>
        <w:t xml:space="preserve"> </w:t>
      </w:r>
    </w:p>
  </w:footnote>
  <w:footnote w:id="5">
    <w:p w14:paraId="77209593" w14:textId="77777777" w:rsidR="00417C29" w:rsidRPr="00417C29" w:rsidRDefault="00417C29" w:rsidP="00E17292">
      <w:pPr>
        <w:pStyle w:val="Default"/>
        <w:jc w:val="both"/>
        <w:rPr>
          <w:sz w:val="16"/>
          <w:szCs w:val="16"/>
        </w:rPr>
      </w:pPr>
      <w:r w:rsidRPr="00981395">
        <w:rPr>
          <w:rStyle w:val="FootnoteReference"/>
          <w:sz w:val="16"/>
          <w:szCs w:val="16"/>
        </w:rPr>
        <w:footnoteRef/>
      </w:r>
      <w:r w:rsidRPr="00981395">
        <w:rPr>
          <w:sz w:val="16"/>
          <w:szCs w:val="16"/>
        </w:rPr>
        <w:t xml:space="preserve"> </w:t>
      </w:r>
      <w:r w:rsidRPr="00981395">
        <w:rPr>
          <w:sz w:val="16"/>
          <w:szCs w:val="16"/>
        </w:rPr>
        <w:tab/>
      </w:r>
      <w:r w:rsidR="00981395" w:rsidRPr="00981395">
        <w:rPr>
          <w:sz w:val="16"/>
          <w:szCs w:val="16"/>
        </w:rPr>
        <w:t xml:space="preserve">En esta Resolución se valoró la información recabada de forma directa a través de la visita que se celebró a la Colonia Pacux el 27 de marzo de 2017 </w:t>
      </w:r>
      <w:r w:rsidR="00981395">
        <w:rPr>
          <w:sz w:val="16"/>
          <w:szCs w:val="16"/>
        </w:rPr>
        <w:t>respecto del</w:t>
      </w:r>
      <w:r w:rsidR="00981395" w:rsidRPr="00981395">
        <w:rPr>
          <w:sz w:val="16"/>
          <w:szCs w:val="16"/>
        </w:rPr>
        <w:t xml:space="preserve"> </w:t>
      </w:r>
      <w:r w:rsidR="008E646D">
        <w:rPr>
          <w:sz w:val="16"/>
          <w:szCs w:val="16"/>
        </w:rPr>
        <w:t xml:space="preserve">cumplimiento de las seis reparaciones de carácter colectivo dispuestas en el </w:t>
      </w:r>
      <w:r w:rsidR="00981395" w:rsidRPr="00981395">
        <w:rPr>
          <w:sz w:val="16"/>
          <w:szCs w:val="16"/>
        </w:rPr>
        <w:t xml:space="preserve">punto resolutivo </w:t>
      </w:r>
      <w:r w:rsidR="00981395">
        <w:rPr>
          <w:sz w:val="16"/>
          <w:szCs w:val="16"/>
        </w:rPr>
        <w:t xml:space="preserve">sexto </w:t>
      </w:r>
      <w:r w:rsidR="00981395" w:rsidRPr="00981395">
        <w:rPr>
          <w:sz w:val="16"/>
          <w:szCs w:val="16"/>
        </w:rPr>
        <w:t xml:space="preserve">de la Sentencia. Igualmente, </w:t>
      </w:r>
      <w:r w:rsidR="008E646D">
        <w:rPr>
          <w:sz w:val="16"/>
          <w:szCs w:val="16"/>
        </w:rPr>
        <w:t>valoró</w:t>
      </w:r>
      <w:r w:rsidR="00981395" w:rsidRPr="00981395">
        <w:rPr>
          <w:sz w:val="16"/>
          <w:szCs w:val="16"/>
        </w:rPr>
        <w:t xml:space="preserve"> el cumplimiento de las publicaciones de la Sentencia y su resumen</w:t>
      </w:r>
      <w:r w:rsidR="008E646D">
        <w:rPr>
          <w:sz w:val="16"/>
          <w:szCs w:val="16"/>
        </w:rPr>
        <w:t>.</w:t>
      </w:r>
      <w:r w:rsidR="00981395" w:rsidRPr="009836B3">
        <w:rPr>
          <w:i/>
          <w:sz w:val="16"/>
          <w:szCs w:val="16"/>
        </w:rPr>
        <w:t xml:space="preserve"> </w:t>
      </w:r>
      <w:r w:rsidR="00064ABB" w:rsidRPr="00064ABB">
        <w:rPr>
          <w:sz w:val="16"/>
          <w:szCs w:val="16"/>
        </w:rPr>
        <w:t>La Resolución está</w:t>
      </w:r>
      <w:r w:rsidR="00064ABB">
        <w:rPr>
          <w:i/>
          <w:sz w:val="16"/>
          <w:szCs w:val="16"/>
        </w:rPr>
        <w:t xml:space="preserve"> </w:t>
      </w:r>
      <w:r w:rsidRPr="009836B3">
        <w:rPr>
          <w:sz w:val="16"/>
          <w:szCs w:val="16"/>
        </w:rPr>
        <w:t xml:space="preserve">disponible en: </w:t>
      </w:r>
      <w:hyperlink r:id="rId3" w:history="1">
        <w:r w:rsidR="009836B3" w:rsidRPr="009836B3">
          <w:rPr>
            <w:rStyle w:val="Hyperlink"/>
            <w:sz w:val="16"/>
            <w:szCs w:val="16"/>
          </w:rPr>
          <w:t>http://www.corteidh.or.cr/docs/supervisiones/rionegro_25_05_17.pdf</w:t>
        </w:r>
      </w:hyperlink>
      <w:r w:rsidR="009836B3" w:rsidRPr="009836B3">
        <w:rPr>
          <w:sz w:val="16"/>
          <w:szCs w:val="16"/>
        </w:rPr>
        <w:t>.</w:t>
      </w:r>
      <w:r w:rsidR="009836B3">
        <w:t xml:space="preserve"> </w:t>
      </w:r>
      <w:r w:rsidRPr="00417C29">
        <w:rPr>
          <w:sz w:val="16"/>
          <w:szCs w:val="16"/>
        </w:rPr>
        <w:t xml:space="preserve"> </w:t>
      </w:r>
    </w:p>
  </w:footnote>
  <w:footnote w:id="6">
    <w:p w14:paraId="38170E61" w14:textId="77777777" w:rsidR="002A750C" w:rsidRPr="002A750C" w:rsidRDefault="002A750C" w:rsidP="002A750C">
      <w:pPr>
        <w:pStyle w:val="FootnoteText"/>
        <w:jc w:val="both"/>
        <w:rPr>
          <w:rFonts w:ascii="Verdana" w:hAnsi="Verdana"/>
          <w:sz w:val="16"/>
          <w:szCs w:val="16"/>
          <w:lang w:val="es-CR"/>
        </w:rPr>
      </w:pPr>
      <w:r w:rsidRPr="002A750C">
        <w:rPr>
          <w:rStyle w:val="FootnoteReference"/>
          <w:rFonts w:ascii="Verdana" w:hAnsi="Verdana"/>
          <w:sz w:val="16"/>
          <w:szCs w:val="16"/>
        </w:rPr>
        <w:footnoteRef/>
      </w:r>
      <w:r w:rsidR="00C4716F">
        <w:rPr>
          <w:rFonts w:ascii="Verdana" w:hAnsi="Verdana"/>
          <w:sz w:val="16"/>
          <w:szCs w:val="16"/>
          <w:lang w:val="es-CR"/>
        </w:rPr>
        <w:t xml:space="preserve"> </w:t>
      </w:r>
      <w:r w:rsidR="00367595">
        <w:rPr>
          <w:rFonts w:ascii="Verdana" w:hAnsi="Verdana"/>
          <w:sz w:val="16"/>
          <w:szCs w:val="16"/>
          <w:lang w:val="es-CR"/>
        </w:rPr>
        <w:tab/>
      </w:r>
      <w:r w:rsidRPr="002A750C">
        <w:rPr>
          <w:rFonts w:ascii="Verdana" w:hAnsi="Verdana"/>
          <w:sz w:val="16"/>
          <w:szCs w:val="16"/>
          <w:lang w:val="es-CR"/>
        </w:rPr>
        <w:t xml:space="preserve">Escritos de </w:t>
      </w:r>
      <w:r w:rsidR="00ED5E82">
        <w:rPr>
          <w:rFonts w:ascii="Verdana" w:hAnsi="Verdana"/>
          <w:sz w:val="16"/>
          <w:szCs w:val="16"/>
          <w:lang w:val="es-CR"/>
        </w:rPr>
        <w:t>28 de junio, 9 de septiembre, 21 de octubre y 16 de diciembre de 2016, 27 de marzo y 29 de mayo de 2017 y 9 de enero de 2018.</w:t>
      </w:r>
    </w:p>
  </w:footnote>
  <w:footnote w:id="7">
    <w:p w14:paraId="678F8151" w14:textId="77777777" w:rsidR="00131521" w:rsidRPr="00131521" w:rsidRDefault="00131521" w:rsidP="00131521">
      <w:pPr>
        <w:pStyle w:val="FootnoteText"/>
        <w:jc w:val="both"/>
        <w:rPr>
          <w:rFonts w:ascii="Verdana" w:hAnsi="Verdana"/>
          <w:sz w:val="16"/>
          <w:szCs w:val="16"/>
          <w:lang w:val="es-CR"/>
        </w:rPr>
      </w:pPr>
      <w:r w:rsidRPr="00131521">
        <w:rPr>
          <w:rStyle w:val="FootnoteReference"/>
          <w:rFonts w:ascii="Verdana" w:hAnsi="Verdana"/>
          <w:sz w:val="16"/>
          <w:szCs w:val="16"/>
        </w:rPr>
        <w:footnoteRef/>
      </w:r>
      <w:r w:rsidRPr="00131521">
        <w:rPr>
          <w:rFonts w:ascii="Verdana" w:hAnsi="Verdana"/>
          <w:sz w:val="16"/>
          <w:szCs w:val="16"/>
          <w:lang w:val="es-CR"/>
        </w:rPr>
        <w:t xml:space="preserve"> </w:t>
      </w:r>
      <w:r w:rsidRPr="00131521">
        <w:rPr>
          <w:rFonts w:ascii="Verdana" w:hAnsi="Verdana"/>
          <w:sz w:val="16"/>
          <w:szCs w:val="16"/>
          <w:lang w:val="es-CR"/>
        </w:rPr>
        <w:tab/>
        <w:t>Actualmente, se encuentran corriendo los plazos para que los representantes y la Comisión presenten observaciones al último informe estatal.</w:t>
      </w:r>
    </w:p>
  </w:footnote>
  <w:footnote w:id="8">
    <w:p w14:paraId="0760F7B7" w14:textId="77777777" w:rsidR="00FB5EDA" w:rsidRPr="002A750C" w:rsidRDefault="00FB5EDA" w:rsidP="00FB5EDA">
      <w:pPr>
        <w:pStyle w:val="FootnoteText"/>
        <w:jc w:val="both"/>
        <w:rPr>
          <w:rFonts w:ascii="Verdana" w:hAnsi="Verdana"/>
          <w:sz w:val="16"/>
          <w:szCs w:val="16"/>
          <w:lang w:val="es-CR"/>
        </w:rPr>
      </w:pPr>
      <w:r w:rsidRPr="002A750C">
        <w:rPr>
          <w:rStyle w:val="FootnoteReference"/>
          <w:rFonts w:ascii="Verdana" w:hAnsi="Verdana"/>
          <w:sz w:val="16"/>
          <w:szCs w:val="16"/>
        </w:rPr>
        <w:footnoteRef/>
      </w:r>
      <w:r w:rsidR="00C4716F">
        <w:rPr>
          <w:rFonts w:ascii="Verdana" w:hAnsi="Verdana"/>
          <w:sz w:val="16"/>
          <w:szCs w:val="16"/>
          <w:lang w:val="es-CR"/>
        </w:rPr>
        <w:t xml:space="preserve"> </w:t>
      </w:r>
      <w:r w:rsidR="00367595">
        <w:rPr>
          <w:rFonts w:ascii="Verdana" w:hAnsi="Verdana"/>
          <w:sz w:val="16"/>
          <w:szCs w:val="16"/>
          <w:lang w:val="es-CR"/>
        </w:rPr>
        <w:tab/>
      </w:r>
      <w:r w:rsidRPr="002A750C">
        <w:rPr>
          <w:rFonts w:ascii="Verdana" w:hAnsi="Verdana"/>
          <w:sz w:val="16"/>
          <w:szCs w:val="16"/>
          <w:lang w:val="es-CR"/>
        </w:rPr>
        <w:t xml:space="preserve">Escritos de </w:t>
      </w:r>
      <w:r>
        <w:rPr>
          <w:rFonts w:ascii="Verdana" w:hAnsi="Verdana"/>
          <w:sz w:val="16"/>
          <w:szCs w:val="16"/>
          <w:lang w:val="es-CR"/>
        </w:rPr>
        <w:t>21 de julio, 18 de noviembre, 12 y 20 de diciembre de 2016, 5 de julio de 2017 y 2 de febrero de 2018</w:t>
      </w:r>
      <w:r w:rsidRPr="002A750C">
        <w:rPr>
          <w:rFonts w:ascii="Verdana" w:hAnsi="Verdana"/>
          <w:sz w:val="16"/>
          <w:szCs w:val="16"/>
          <w:lang w:val="es-CR"/>
        </w:rPr>
        <w:t>.</w:t>
      </w:r>
    </w:p>
  </w:footnote>
  <w:footnote w:id="9">
    <w:p w14:paraId="2E0BE18D" w14:textId="77777777" w:rsidR="00FB5EDA" w:rsidRPr="002A750C" w:rsidRDefault="00FB5EDA" w:rsidP="00FB5EDA">
      <w:pPr>
        <w:pStyle w:val="FootnoteText"/>
        <w:jc w:val="both"/>
        <w:rPr>
          <w:rFonts w:ascii="Verdana" w:hAnsi="Verdana"/>
          <w:sz w:val="16"/>
          <w:szCs w:val="16"/>
          <w:lang w:val="es-CR"/>
        </w:rPr>
      </w:pPr>
      <w:r w:rsidRPr="002A750C">
        <w:rPr>
          <w:rStyle w:val="FootnoteReference"/>
          <w:rFonts w:ascii="Verdana" w:hAnsi="Verdana"/>
          <w:sz w:val="16"/>
          <w:szCs w:val="16"/>
        </w:rPr>
        <w:footnoteRef/>
      </w:r>
      <w:r w:rsidRPr="002A750C">
        <w:rPr>
          <w:rFonts w:ascii="Verdana" w:hAnsi="Verdana"/>
          <w:sz w:val="16"/>
          <w:szCs w:val="16"/>
          <w:lang w:val="es-CR"/>
        </w:rPr>
        <w:t xml:space="preserve"> </w:t>
      </w:r>
      <w:r w:rsidRPr="002A750C">
        <w:rPr>
          <w:rFonts w:ascii="Verdana" w:hAnsi="Verdana"/>
          <w:sz w:val="16"/>
          <w:szCs w:val="16"/>
          <w:lang w:val="es-CR"/>
        </w:rPr>
        <w:tab/>
      </w:r>
      <w:r>
        <w:rPr>
          <w:rFonts w:ascii="Verdana" w:hAnsi="Verdana"/>
          <w:sz w:val="16"/>
          <w:szCs w:val="16"/>
          <w:lang w:val="es-CR"/>
        </w:rPr>
        <w:t>Las víctimas son representadas por la Asociación para el Desarrollo Integral de las Víctimas de la Violencia en las Verapaces, Maya Achí</w:t>
      </w:r>
      <w:r w:rsidRPr="002A750C">
        <w:rPr>
          <w:rFonts w:ascii="Verdana" w:hAnsi="Verdana"/>
          <w:sz w:val="16"/>
          <w:szCs w:val="16"/>
          <w:lang w:val="es-CR"/>
        </w:rPr>
        <w:t xml:space="preserve"> (</w:t>
      </w:r>
      <w:r>
        <w:rPr>
          <w:rFonts w:ascii="Verdana" w:hAnsi="Verdana"/>
          <w:sz w:val="16"/>
          <w:szCs w:val="16"/>
          <w:lang w:val="es-CR"/>
        </w:rPr>
        <w:t>ADIVIMA</w:t>
      </w:r>
      <w:r w:rsidRPr="002A750C">
        <w:rPr>
          <w:rFonts w:ascii="Verdana" w:hAnsi="Verdana"/>
          <w:sz w:val="16"/>
          <w:szCs w:val="16"/>
          <w:lang w:val="es-CR"/>
        </w:rPr>
        <w:t>).</w:t>
      </w:r>
    </w:p>
  </w:footnote>
  <w:footnote w:id="10">
    <w:p w14:paraId="18D8AF4C" w14:textId="77777777" w:rsidR="002A750C" w:rsidRPr="002A750C" w:rsidRDefault="002A750C" w:rsidP="002A750C">
      <w:pPr>
        <w:pStyle w:val="FootnoteText"/>
        <w:jc w:val="both"/>
        <w:rPr>
          <w:rFonts w:ascii="Verdana" w:hAnsi="Verdana"/>
          <w:sz w:val="16"/>
          <w:szCs w:val="16"/>
          <w:lang w:val="es-CR"/>
        </w:rPr>
      </w:pPr>
      <w:r w:rsidRPr="002A750C">
        <w:rPr>
          <w:rStyle w:val="FootnoteReference"/>
          <w:rFonts w:ascii="Verdana" w:hAnsi="Verdana"/>
          <w:sz w:val="16"/>
          <w:szCs w:val="16"/>
        </w:rPr>
        <w:footnoteRef/>
      </w:r>
      <w:r w:rsidRPr="002A750C">
        <w:rPr>
          <w:rFonts w:ascii="Verdana" w:hAnsi="Verdana"/>
          <w:sz w:val="16"/>
          <w:szCs w:val="16"/>
          <w:lang w:val="es-CR"/>
        </w:rPr>
        <w:t xml:space="preserve"> </w:t>
      </w:r>
      <w:r w:rsidRPr="002A750C">
        <w:rPr>
          <w:rFonts w:ascii="Verdana" w:hAnsi="Verdana"/>
          <w:sz w:val="16"/>
          <w:szCs w:val="16"/>
          <w:lang w:val="es-CR"/>
        </w:rPr>
        <w:tab/>
        <w:t xml:space="preserve">Escritos de </w:t>
      </w:r>
      <w:r w:rsidR="00ED5E82">
        <w:rPr>
          <w:rFonts w:ascii="Verdana" w:hAnsi="Verdana"/>
          <w:sz w:val="16"/>
          <w:szCs w:val="16"/>
          <w:lang w:val="es-CR"/>
        </w:rPr>
        <w:t>19</w:t>
      </w:r>
      <w:r w:rsidRPr="002A750C">
        <w:rPr>
          <w:rFonts w:ascii="Verdana" w:hAnsi="Verdana"/>
          <w:sz w:val="16"/>
          <w:szCs w:val="16"/>
          <w:lang w:val="es-CR"/>
        </w:rPr>
        <w:t xml:space="preserve"> de agosto</w:t>
      </w:r>
      <w:r w:rsidR="00ED5E82">
        <w:rPr>
          <w:rFonts w:ascii="Verdana" w:hAnsi="Verdana"/>
          <w:sz w:val="16"/>
          <w:szCs w:val="16"/>
          <w:lang w:val="es-CR"/>
        </w:rPr>
        <w:t xml:space="preserve"> y 28 de octubre de 2016, 26 de enero y 5 de abril de 2017.</w:t>
      </w:r>
    </w:p>
  </w:footnote>
  <w:footnote w:id="11">
    <w:p w14:paraId="4BC9BE9D" w14:textId="77777777" w:rsidR="00C15C7E" w:rsidRPr="00C15C7E" w:rsidRDefault="00C15C7E" w:rsidP="00C15C7E">
      <w:pPr>
        <w:pStyle w:val="FootnoteText"/>
        <w:jc w:val="both"/>
        <w:rPr>
          <w:rFonts w:ascii="Verdana" w:hAnsi="Verdana"/>
          <w:sz w:val="16"/>
          <w:szCs w:val="16"/>
          <w:lang w:val="es-CR"/>
        </w:rPr>
      </w:pPr>
      <w:r w:rsidRPr="00C15C7E">
        <w:rPr>
          <w:rStyle w:val="FootnoteReference"/>
          <w:rFonts w:ascii="Verdana" w:hAnsi="Verdana"/>
          <w:sz w:val="16"/>
          <w:szCs w:val="16"/>
        </w:rPr>
        <w:footnoteRef/>
      </w:r>
      <w:r w:rsidRPr="00C15C7E">
        <w:rPr>
          <w:rFonts w:ascii="Verdana" w:hAnsi="Verdana"/>
          <w:sz w:val="16"/>
          <w:szCs w:val="16"/>
          <w:lang w:val="es-CR"/>
        </w:rPr>
        <w:t xml:space="preserve"> </w:t>
      </w:r>
      <w:r w:rsidRPr="00C15C7E">
        <w:rPr>
          <w:rFonts w:ascii="Verdana" w:hAnsi="Verdana"/>
          <w:sz w:val="16"/>
          <w:szCs w:val="16"/>
          <w:lang w:val="es-CR"/>
        </w:rPr>
        <w:tab/>
        <w:t>Facultad que además se desprende de lo dispuesto en los artículos 33, 62.1, 62.3 y 65 de la Convención</w:t>
      </w:r>
    </w:p>
    <w:p w14:paraId="15A27C3B" w14:textId="77777777" w:rsidR="00C15C7E" w:rsidRPr="00C15C7E" w:rsidRDefault="00C15C7E" w:rsidP="00C15C7E">
      <w:pPr>
        <w:pStyle w:val="FootnoteText"/>
        <w:jc w:val="both"/>
        <w:rPr>
          <w:lang w:val="es-CR"/>
        </w:rPr>
      </w:pPr>
      <w:r w:rsidRPr="00C15C7E">
        <w:rPr>
          <w:rFonts w:ascii="Verdana" w:hAnsi="Verdana"/>
          <w:sz w:val="16"/>
          <w:szCs w:val="16"/>
          <w:lang w:val="es-CR"/>
        </w:rPr>
        <w:t>Americana y 30 de su Estatuto y se encuentra regulada en el artículo 69 de su Reglamento.</w:t>
      </w:r>
    </w:p>
  </w:footnote>
  <w:footnote w:id="12">
    <w:p w14:paraId="1584AC31" w14:textId="77777777" w:rsidR="00C15C7E" w:rsidRPr="00C15C7E" w:rsidRDefault="00C15C7E" w:rsidP="00C15C7E">
      <w:pPr>
        <w:pStyle w:val="FootnoteText"/>
        <w:jc w:val="both"/>
        <w:rPr>
          <w:lang w:val="es-CR"/>
        </w:rPr>
      </w:pPr>
      <w:r w:rsidRPr="00C15C7E">
        <w:rPr>
          <w:rStyle w:val="FootnoteReference"/>
          <w:rFonts w:ascii="Verdana" w:hAnsi="Verdana"/>
          <w:sz w:val="16"/>
          <w:szCs w:val="16"/>
        </w:rPr>
        <w:footnoteRef/>
      </w:r>
      <w:r w:rsidRPr="00C15C7E">
        <w:rPr>
          <w:rFonts w:ascii="Verdana" w:hAnsi="Verdana"/>
          <w:sz w:val="16"/>
          <w:szCs w:val="16"/>
          <w:lang w:val="es-CR"/>
        </w:rPr>
        <w:t xml:space="preserve"> </w:t>
      </w:r>
      <w:r w:rsidRPr="00C15C7E">
        <w:rPr>
          <w:rFonts w:ascii="Verdana" w:hAnsi="Verdana"/>
          <w:sz w:val="16"/>
          <w:szCs w:val="16"/>
          <w:lang w:val="es-CR"/>
        </w:rPr>
        <w:tab/>
        <w:t xml:space="preserve">El Tribunal declaró que </w:t>
      </w:r>
      <w:r w:rsidR="004960DE">
        <w:rPr>
          <w:rFonts w:ascii="Verdana" w:hAnsi="Verdana"/>
          <w:sz w:val="16"/>
          <w:szCs w:val="16"/>
          <w:lang w:val="es-CR"/>
        </w:rPr>
        <w:t>Guatemala</w:t>
      </w:r>
      <w:r w:rsidRPr="00C15C7E">
        <w:rPr>
          <w:rFonts w:ascii="Verdana" w:hAnsi="Verdana"/>
          <w:sz w:val="16"/>
          <w:szCs w:val="16"/>
          <w:lang w:val="es-CR"/>
        </w:rPr>
        <w:t xml:space="preserve"> dio cumplimiento total a la medida de reparación correspondiente a la</w:t>
      </w:r>
      <w:r>
        <w:rPr>
          <w:rFonts w:ascii="Verdana" w:hAnsi="Verdana"/>
          <w:sz w:val="16"/>
          <w:szCs w:val="16"/>
          <w:lang w:val="es-CR"/>
        </w:rPr>
        <w:t xml:space="preserve"> </w:t>
      </w:r>
      <w:r w:rsidRPr="00C15C7E">
        <w:rPr>
          <w:rFonts w:ascii="Verdana" w:hAnsi="Verdana"/>
          <w:sz w:val="16"/>
          <w:szCs w:val="16"/>
          <w:lang w:val="es-CR"/>
        </w:rPr>
        <w:t>publicación de la sentencia y su resumen oficial (</w:t>
      </w:r>
      <w:r w:rsidRPr="00C15C7E">
        <w:rPr>
          <w:rFonts w:ascii="Verdana" w:hAnsi="Verdana"/>
          <w:i/>
          <w:sz w:val="16"/>
          <w:szCs w:val="16"/>
          <w:lang w:val="es-CR"/>
        </w:rPr>
        <w:t xml:space="preserve">punto resolutivo </w:t>
      </w:r>
      <w:r w:rsidR="004960DE">
        <w:rPr>
          <w:rFonts w:ascii="Verdana" w:hAnsi="Verdana"/>
          <w:i/>
          <w:sz w:val="16"/>
          <w:szCs w:val="16"/>
          <w:lang w:val="es-CR"/>
        </w:rPr>
        <w:t>cuarto</w:t>
      </w:r>
      <w:r w:rsidRPr="00C15C7E">
        <w:rPr>
          <w:rFonts w:ascii="Verdana" w:hAnsi="Verdana"/>
          <w:i/>
          <w:sz w:val="16"/>
          <w:szCs w:val="16"/>
          <w:lang w:val="es-CR"/>
        </w:rPr>
        <w:t xml:space="preserve"> de la Sentencia</w:t>
      </w:r>
      <w:r w:rsidRPr="00C15C7E">
        <w:rPr>
          <w:rFonts w:ascii="Verdana" w:hAnsi="Verdana"/>
          <w:sz w:val="16"/>
          <w:szCs w:val="16"/>
          <w:lang w:val="es-CR"/>
        </w:rPr>
        <w:t>).</w:t>
      </w:r>
    </w:p>
  </w:footnote>
  <w:footnote w:id="13">
    <w:p w14:paraId="1DCE9597" w14:textId="77777777" w:rsidR="00226C10" w:rsidRPr="00226C10" w:rsidRDefault="00226C10" w:rsidP="00226C10">
      <w:pPr>
        <w:pStyle w:val="FootnoteText"/>
        <w:jc w:val="both"/>
        <w:rPr>
          <w:rFonts w:ascii="Verdana" w:hAnsi="Verdana"/>
          <w:sz w:val="16"/>
          <w:szCs w:val="16"/>
          <w:lang w:val="es-CR"/>
        </w:rPr>
      </w:pPr>
      <w:r w:rsidRPr="00226C10">
        <w:rPr>
          <w:rStyle w:val="FootnoteReference"/>
          <w:rFonts w:ascii="Verdana" w:hAnsi="Verdana"/>
          <w:sz w:val="16"/>
          <w:szCs w:val="16"/>
        </w:rPr>
        <w:footnoteRef/>
      </w:r>
      <w:r w:rsidRPr="00226C10">
        <w:rPr>
          <w:rFonts w:ascii="Verdana" w:hAnsi="Verdana"/>
          <w:sz w:val="16"/>
          <w:szCs w:val="16"/>
          <w:lang w:val="es-CR"/>
        </w:rPr>
        <w:t xml:space="preserve"> </w:t>
      </w:r>
      <w:r w:rsidRPr="00226C10">
        <w:rPr>
          <w:rFonts w:ascii="Verdana" w:hAnsi="Verdana"/>
          <w:sz w:val="16"/>
          <w:szCs w:val="16"/>
          <w:lang w:val="es-CR"/>
        </w:rPr>
        <w:tab/>
      </w:r>
      <w:r w:rsidRPr="0053546C">
        <w:rPr>
          <w:rFonts w:ascii="Verdana" w:hAnsi="Verdana"/>
          <w:i/>
          <w:sz w:val="16"/>
          <w:szCs w:val="16"/>
          <w:lang w:val="es-CR"/>
        </w:rPr>
        <w:t>Cfr. Caso Cinco Pensionistas Vs. Perú.</w:t>
      </w:r>
      <w:r w:rsidR="0053546C">
        <w:rPr>
          <w:rFonts w:ascii="Verdana" w:hAnsi="Verdana"/>
          <w:i/>
          <w:sz w:val="16"/>
          <w:szCs w:val="16"/>
          <w:lang w:val="es-CR"/>
        </w:rPr>
        <w:t xml:space="preserve"> Supervisión de Cumplimiento de Sentencia.</w:t>
      </w:r>
      <w:r w:rsidRPr="00226C10">
        <w:rPr>
          <w:rFonts w:ascii="Verdana" w:hAnsi="Verdana"/>
          <w:sz w:val="16"/>
          <w:szCs w:val="16"/>
          <w:lang w:val="es-CR"/>
        </w:rPr>
        <w:t xml:space="preserve"> Resolución de la Corte Interamericana de Derechos Humanos de 17 de noviembre de 2004, Considerando 5, y </w:t>
      </w:r>
      <w:r w:rsidRPr="0053546C">
        <w:rPr>
          <w:rFonts w:ascii="Verdana" w:hAnsi="Verdana"/>
          <w:i/>
          <w:sz w:val="16"/>
          <w:szCs w:val="16"/>
          <w:lang w:val="es-CR"/>
        </w:rPr>
        <w:t xml:space="preserve">Caso </w:t>
      </w:r>
      <w:r w:rsidR="00367595">
        <w:rPr>
          <w:rFonts w:ascii="Verdana" w:hAnsi="Verdana"/>
          <w:i/>
          <w:sz w:val="16"/>
          <w:szCs w:val="16"/>
          <w:lang w:val="es-CR"/>
        </w:rPr>
        <w:t>Andrade Salmón Vs. Bolivia</w:t>
      </w:r>
      <w:r w:rsidRPr="0053546C">
        <w:rPr>
          <w:rFonts w:ascii="Verdana" w:hAnsi="Verdana"/>
          <w:i/>
          <w:sz w:val="16"/>
          <w:szCs w:val="16"/>
          <w:lang w:val="es-CR"/>
        </w:rPr>
        <w:t>. Supervisión de Cumplimiento de Sentencia.</w:t>
      </w:r>
      <w:r w:rsidRPr="00226C10">
        <w:rPr>
          <w:rFonts w:ascii="Verdana" w:hAnsi="Verdana"/>
          <w:sz w:val="16"/>
          <w:szCs w:val="16"/>
          <w:lang w:val="es-CR"/>
        </w:rPr>
        <w:t xml:space="preserve"> Resolución de la Corte Interamericana de Derechos Humanos 5 de </w:t>
      </w:r>
      <w:r w:rsidR="00367595">
        <w:rPr>
          <w:rFonts w:ascii="Verdana" w:hAnsi="Verdana"/>
          <w:sz w:val="16"/>
          <w:szCs w:val="16"/>
          <w:lang w:val="es-CR"/>
        </w:rPr>
        <w:t>febrero</w:t>
      </w:r>
      <w:r w:rsidRPr="00226C10">
        <w:rPr>
          <w:rFonts w:ascii="Verdana" w:hAnsi="Verdana"/>
          <w:sz w:val="16"/>
          <w:szCs w:val="16"/>
          <w:lang w:val="es-CR"/>
        </w:rPr>
        <w:t xml:space="preserve"> de 201</w:t>
      </w:r>
      <w:r w:rsidR="00367595">
        <w:rPr>
          <w:rFonts w:ascii="Verdana" w:hAnsi="Verdana"/>
          <w:sz w:val="16"/>
          <w:szCs w:val="16"/>
          <w:lang w:val="es-CR"/>
        </w:rPr>
        <w:t>8</w:t>
      </w:r>
      <w:r w:rsidRPr="00226C10">
        <w:rPr>
          <w:rFonts w:ascii="Verdana" w:hAnsi="Verdana"/>
          <w:sz w:val="16"/>
          <w:szCs w:val="16"/>
          <w:lang w:val="es-CR"/>
        </w:rPr>
        <w:t>, Considerando 2.</w:t>
      </w:r>
    </w:p>
  </w:footnote>
  <w:footnote w:id="14">
    <w:p w14:paraId="194D87C4" w14:textId="77777777" w:rsidR="00226C10" w:rsidRPr="00226C10" w:rsidRDefault="00226C10" w:rsidP="00226C10">
      <w:pPr>
        <w:pStyle w:val="FootnoteText"/>
        <w:jc w:val="both"/>
        <w:rPr>
          <w:rFonts w:ascii="Verdana" w:hAnsi="Verdana"/>
          <w:sz w:val="16"/>
          <w:szCs w:val="16"/>
          <w:lang w:val="es-CR"/>
        </w:rPr>
      </w:pPr>
      <w:r w:rsidRPr="00226C10">
        <w:rPr>
          <w:rStyle w:val="FootnoteReference"/>
          <w:rFonts w:ascii="Verdana" w:hAnsi="Verdana"/>
          <w:sz w:val="16"/>
          <w:szCs w:val="16"/>
        </w:rPr>
        <w:footnoteRef/>
      </w:r>
      <w:r w:rsidRPr="00226C10">
        <w:rPr>
          <w:rFonts w:ascii="Verdana" w:hAnsi="Verdana"/>
          <w:sz w:val="16"/>
          <w:szCs w:val="16"/>
          <w:lang w:val="es-CR"/>
        </w:rPr>
        <w:t xml:space="preserve"> </w:t>
      </w:r>
      <w:r w:rsidRPr="00226C10">
        <w:rPr>
          <w:rFonts w:ascii="Verdana" w:hAnsi="Verdana"/>
          <w:sz w:val="16"/>
          <w:szCs w:val="16"/>
          <w:lang w:val="es-CR"/>
        </w:rPr>
        <w:tab/>
      </w:r>
      <w:r w:rsidRPr="0053546C">
        <w:rPr>
          <w:rFonts w:ascii="Verdana" w:hAnsi="Verdana"/>
          <w:i/>
          <w:sz w:val="16"/>
          <w:szCs w:val="16"/>
          <w:lang w:val="es-CR"/>
        </w:rPr>
        <w:t>Cfr. Caso Ivcher Bronstein Vs. Perú. Competencia.</w:t>
      </w:r>
      <w:r w:rsidRPr="00226C10">
        <w:rPr>
          <w:rFonts w:ascii="Verdana" w:hAnsi="Verdana"/>
          <w:sz w:val="16"/>
          <w:szCs w:val="16"/>
          <w:lang w:val="es-CR"/>
        </w:rPr>
        <w:t xml:space="preserve"> Sentencia de la Corte Interamericana de Derechos Humanos de 24 de septiembre de 1999. Serie C No. 54, párr. 37, y </w:t>
      </w:r>
      <w:r w:rsidRPr="0053546C">
        <w:rPr>
          <w:rFonts w:ascii="Verdana" w:hAnsi="Verdana"/>
          <w:i/>
          <w:sz w:val="16"/>
          <w:szCs w:val="16"/>
          <w:lang w:val="es-CR"/>
        </w:rPr>
        <w:t xml:space="preserve">Caso </w:t>
      </w:r>
      <w:r w:rsidR="00367595">
        <w:rPr>
          <w:rFonts w:ascii="Verdana" w:hAnsi="Verdana"/>
          <w:i/>
          <w:sz w:val="16"/>
          <w:szCs w:val="16"/>
          <w:lang w:val="es-CR"/>
        </w:rPr>
        <w:t>Andrade Salmón Vs. Bolivia</w:t>
      </w:r>
      <w:r w:rsidR="00C4716F">
        <w:rPr>
          <w:rFonts w:ascii="Verdana" w:hAnsi="Verdana"/>
          <w:i/>
          <w:sz w:val="16"/>
          <w:szCs w:val="16"/>
          <w:lang w:val="es-CR"/>
        </w:rPr>
        <w:t xml:space="preserve">, supra </w:t>
      </w:r>
      <w:r w:rsidR="00C4716F" w:rsidRPr="00C4716F">
        <w:rPr>
          <w:rFonts w:ascii="Verdana" w:hAnsi="Verdana"/>
          <w:sz w:val="16"/>
          <w:szCs w:val="16"/>
          <w:lang w:val="es-CR"/>
        </w:rPr>
        <w:t>nota 1</w:t>
      </w:r>
      <w:r w:rsidR="00367595">
        <w:rPr>
          <w:rFonts w:ascii="Verdana" w:hAnsi="Verdana"/>
          <w:sz w:val="16"/>
          <w:szCs w:val="16"/>
          <w:lang w:val="es-CR"/>
        </w:rPr>
        <w:t>2</w:t>
      </w:r>
      <w:r w:rsidRPr="00C4716F">
        <w:rPr>
          <w:rFonts w:ascii="Verdana" w:hAnsi="Verdana"/>
          <w:sz w:val="16"/>
          <w:szCs w:val="16"/>
          <w:lang w:val="es-CR"/>
        </w:rPr>
        <w:t>,</w:t>
      </w:r>
      <w:r w:rsidRPr="00226C10">
        <w:rPr>
          <w:rFonts w:ascii="Verdana" w:hAnsi="Verdana"/>
          <w:sz w:val="16"/>
          <w:szCs w:val="16"/>
          <w:lang w:val="es-CR"/>
        </w:rPr>
        <w:t xml:space="preserve"> Considerando 2.</w:t>
      </w:r>
    </w:p>
  </w:footnote>
  <w:footnote w:id="15">
    <w:p w14:paraId="4E5E2FBC" w14:textId="77777777" w:rsidR="0084593A" w:rsidRPr="00131521" w:rsidRDefault="0084593A" w:rsidP="0084593A">
      <w:pPr>
        <w:pStyle w:val="FootnoteText"/>
        <w:rPr>
          <w:rFonts w:ascii="Verdana" w:hAnsi="Verdana"/>
          <w:sz w:val="16"/>
          <w:szCs w:val="16"/>
          <w:lang w:val="es-CR"/>
        </w:rPr>
      </w:pPr>
      <w:r w:rsidRPr="00131521">
        <w:rPr>
          <w:rStyle w:val="FootnoteReference"/>
          <w:rFonts w:ascii="Verdana" w:hAnsi="Verdana"/>
          <w:sz w:val="16"/>
          <w:szCs w:val="16"/>
        </w:rPr>
        <w:footnoteRef/>
      </w:r>
      <w:r w:rsidRPr="00131521">
        <w:rPr>
          <w:rFonts w:ascii="Verdana" w:hAnsi="Verdana"/>
          <w:sz w:val="16"/>
          <w:szCs w:val="16"/>
          <w:lang w:val="es-CR"/>
        </w:rPr>
        <w:t xml:space="preserve"> </w:t>
      </w:r>
      <w:r w:rsidRPr="00131521">
        <w:rPr>
          <w:rFonts w:ascii="Verdana" w:hAnsi="Verdana"/>
          <w:sz w:val="16"/>
          <w:szCs w:val="16"/>
          <w:lang w:val="es-CR"/>
        </w:rPr>
        <w:tab/>
        <w:t>Indicó que “el Estado de Guatemala dio cumplimiento a la medida”.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23575" w14:textId="77777777" w:rsidR="000274AA" w:rsidRDefault="000274AA" w:rsidP="006F26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BF1840" w14:textId="77777777" w:rsidR="000274AA" w:rsidRDefault="000274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973B1" w14:textId="77777777" w:rsidR="000274AA" w:rsidRDefault="000274AA" w:rsidP="006F26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477D">
      <w:rPr>
        <w:rStyle w:val="PageNumber"/>
        <w:noProof/>
      </w:rPr>
      <w:t>5</w:t>
    </w:r>
    <w:r>
      <w:rPr>
        <w:rStyle w:val="PageNumber"/>
      </w:rPr>
      <w:fldChar w:fldCharType="end"/>
    </w:r>
  </w:p>
  <w:p w14:paraId="7A9CAD82" w14:textId="39DF6683" w:rsidR="002349A0" w:rsidRPr="002349A0" w:rsidRDefault="002349A0" w:rsidP="002349A0">
    <w:pPr>
      <w:pStyle w:val="Header"/>
      <w:jc w:val="right"/>
      <w:rPr>
        <w:b/>
        <w:lang w:val="es-C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2D65"/>
    <w:multiLevelType w:val="hybridMultilevel"/>
    <w:tmpl w:val="75D02A0E"/>
    <w:lvl w:ilvl="0" w:tplc="140A000F">
      <w:start w:val="1"/>
      <w:numFmt w:val="decimal"/>
      <w:lvlText w:val="%1."/>
      <w:lvlJc w:val="left"/>
      <w:pPr>
        <w:ind w:left="720" w:hanging="360"/>
      </w:pPr>
      <w:rPr>
        <w:b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
    <w:nsid w:val="25764B3C"/>
    <w:multiLevelType w:val="hybridMultilevel"/>
    <w:tmpl w:val="EA92608E"/>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396A68B0"/>
    <w:multiLevelType w:val="hybridMultilevel"/>
    <w:tmpl w:val="1CE62738"/>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3B783BD6"/>
    <w:multiLevelType w:val="hybridMultilevel"/>
    <w:tmpl w:val="7484749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445A7617"/>
    <w:multiLevelType w:val="hybridMultilevel"/>
    <w:tmpl w:val="303A9F10"/>
    <w:lvl w:ilvl="0" w:tplc="71F64FA2">
      <w:start w:val="1"/>
      <w:numFmt w:val="decimal"/>
      <w:lvlText w:val="%1."/>
      <w:lvlJc w:val="left"/>
      <w:pPr>
        <w:ind w:left="720" w:hanging="360"/>
      </w:pPr>
      <w:rPr>
        <w:rFonts w:hint="default"/>
        <w:b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5B2977ED"/>
    <w:multiLevelType w:val="hybridMultilevel"/>
    <w:tmpl w:val="C6B4A02C"/>
    <w:lvl w:ilvl="0" w:tplc="31B0B8D6">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5C947550"/>
    <w:multiLevelType w:val="hybridMultilevel"/>
    <w:tmpl w:val="939AFCFA"/>
    <w:lvl w:ilvl="0" w:tplc="140A0017">
      <w:start w:val="1"/>
      <w:numFmt w:val="lowerLetter"/>
      <w:lvlText w:val="%1)"/>
      <w:lvlJc w:val="left"/>
      <w:pPr>
        <w:ind w:left="720" w:hanging="360"/>
      </w:pPr>
    </w:lvl>
    <w:lvl w:ilvl="1" w:tplc="140A0017">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5F2728D5"/>
    <w:multiLevelType w:val="hybridMultilevel"/>
    <w:tmpl w:val="CCBA9F7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608C38E4"/>
    <w:multiLevelType w:val="hybridMultilevel"/>
    <w:tmpl w:val="405C8402"/>
    <w:lvl w:ilvl="0" w:tplc="140A000F">
      <w:start w:val="1"/>
      <w:numFmt w:val="decimal"/>
      <w:lvlText w:val="%1."/>
      <w:lvlJc w:val="left"/>
      <w:pPr>
        <w:ind w:left="720" w:hanging="360"/>
      </w:pPr>
      <w:rPr>
        <w:rFonts w:hint="default"/>
      </w:rPr>
    </w:lvl>
    <w:lvl w:ilvl="1" w:tplc="13562E16">
      <w:start w:val="1"/>
      <w:numFmt w:val="lowerLetter"/>
      <w:lvlText w:val="%2)"/>
      <w:lvlJc w:val="left"/>
      <w:pPr>
        <w:ind w:left="1440" w:hanging="36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7BB64F80"/>
    <w:multiLevelType w:val="hybridMultilevel"/>
    <w:tmpl w:val="4AAAD25E"/>
    <w:lvl w:ilvl="0" w:tplc="140A0017">
      <w:start w:val="1"/>
      <w:numFmt w:val="lowerLetter"/>
      <w:lvlText w:val="%1)"/>
      <w:lvlJc w:val="left"/>
      <w:pPr>
        <w:ind w:left="720" w:hanging="360"/>
      </w:pPr>
    </w:lvl>
    <w:lvl w:ilvl="1" w:tplc="140A0017">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8"/>
  </w:num>
  <w:num w:numId="5">
    <w:abstractNumId w:val="1"/>
  </w:num>
  <w:num w:numId="6">
    <w:abstractNumId w:val="9"/>
  </w:num>
  <w:num w:numId="7">
    <w:abstractNumId w:val="4"/>
  </w:num>
  <w:num w:numId="8">
    <w:abstractNumId w:val="6"/>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15A"/>
    <w:rsid w:val="00004A75"/>
    <w:rsid w:val="000274AA"/>
    <w:rsid w:val="00050DE9"/>
    <w:rsid w:val="00064ABB"/>
    <w:rsid w:val="00072E53"/>
    <w:rsid w:val="000B3F42"/>
    <w:rsid w:val="000D2259"/>
    <w:rsid w:val="000E5129"/>
    <w:rsid w:val="000F3192"/>
    <w:rsid w:val="00107634"/>
    <w:rsid w:val="00131521"/>
    <w:rsid w:val="00131CDE"/>
    <w:rsid w:val="00150529"/>
    <w:rsid w:val="00154D84"/>
    <w:rsid w:val="00185198"/>
    <w:rsid w:val="00196269"/>
    <w:rsid w:val="00226C10"/>
    <w:rsid w:val="002349A0"/>
    <w:rsid w:val="0024299B"/>
    <w:rsid w:val="002905E3"/>
    <w:rsid w:val="002A750C"/>
    <w:rsid w:val="002D0E0F"/>
    <w:rsid w:val="00322769"/>
    <w:rsid w:val="003250E8"/>
    <w:rsid w:val="003301C3"/>
    <w:rsid w:val="003466A2"/>
    <w:rsid w:val="003561C4"/>
    <w:rsid w:val="00367595"/>
    <w:rsid w:val="0038023F"/>
    <w:rsid w:val="003B1E9A"/>
    <w:rsid w:val="003D590D"/>
    <w:rsid w:val="00417C29"/>
    <w:rsid w:val="00422035"/>
    <w:rsid w:val="00475D6D"/>
    <w:rsid w:val="004960DE"/>
    <w:rsid w:val="004A5966"/>
    <w:rsid w:val="004B75C2"/>
    <w:rsid w:val="004C75F4"/>
    <w:rsid w:val="00504055"/>
    <w:rsid w:val="0053546C"/>
    <w:rsid w:val="005E48B2"/>
    <w:rsid w:val="0061239E"/>
    <w:rsid w:val="006309B0"/>
    <w:rsid w:val="00695785"/>
    <w:rsid w:val="006C4AD5"/>
    <w:rsid w:val="006D0DD1"/>
    <w:rsid w:val="006F13D9"/>
    <w:rsid w:val="0076670A"/>
    <w:rsid w:val="0077088C"/>
    <w:rsid w:val="00796DDB"/>
    <w:rsid w:val="007E1410"/>
    <w:rsid w:val="007F664A"/>
    <w:rsid w:val="00800C3E"/>
    <w:rsid w:val="008109D5"/>
    <w:rsid w:val="0084593A"/>
    <w:rsid w:val="00885904"/>
    <w:rsid w:val="008B59F4"/>
    <w:rsid w:val="008E646D"/>
    <w:rsid w:val="008F4C18"/>
    <w:rsid w:val="00981395"/>
    <w:rsid w:val="009836B3"/>
    <w:rsid w:val="009A2C06"/>
    <w:rsid w:val="00A04452"/>
    <w:rsid w:val="00A16B10"/>
    <w:rsid w:val="00A70F2E"/>
    <w:rsid w:val="00AF33D1"/>
    <w:rsid w:val="00B03698"/>
    <w:rsid w:val="00B22612"/>
    <w:rsid w:val="00B35DB1"/>
    <w:rsid w:val="00B46360"/>
    <w:rsid w:val="00B6025A"/>
    <w:rsid w:val="00B774AB"/>
    <w:rsid w:val="00BA0DF7"/>
    <w:rsid w:val="00BA689B"/>
    <w:rsid w:val="00BB0974"/>
    <w:rsid w:val="00BC32D4"/>
    <w:rsid w:val="00BD4AEB"/>
    <w:rsid w:val="00BF18DF"/>
    <w:rsid w:val="00C10A6D"/>
    <w:rsid w:val="00C1515A"/>
    <w:rsid w:val="00C15C7E"/>
    <w:rsid w:val="00C4716F"/>
    <w:rsid w:val="00C74660"/>
    <w:rsid w:val="00CA1AA3"/>
    <w:rsid w:val="00CE7AD0"/>
    <w:rsid w:val="00D22268"/>
    <w:rsid w:val="00D76230"/>
    <w:rsid w:val="00D81A03"/>
    <w:rsid w:val="00DA73DA"/>
    <w:rsid w:val="00DC0408"/>
    <w:rsid w:val="00DD4F2C"/>
    <w:rsid w:val="00DE477D"/>
    <w:rsid w:val="00E050CA"/>
    <w:rsid w:val="00E053C1"/>
    <w:rsid w:val="00E17292"/>
    <w:rsid w:val="00E4192C"/>
    <w:rsid w:val="00E5152E"/>
    <w:rsid w:val="00E71CBC"/>
    <w:rsid w:val="00E81753"/>
    <w:rsid w:val="00E92E50"/>
    <w:rsid w:val="00EB08CC"/>
    <w:rsid w:val="00ED5E82"/>
    <w:rsid w:val="00F304A3"/>
    <w:rsid w:val="00F370A4"/>
    <w:rsid w:val="00F5196C"/>
    <w:rsid w:val="00F62B5A"/>
    <w:rsid w:val="00F85C4F"/>
    <w:rsid w:val="00F86987"/>
    <w:rsid w:val="00F94BC4"/>
    <w:rsid w:val="00F951D2"/>
    <w:rsid w:val="00F96ACD"/>
    <w:rsid w:val="00FB5EDA"/>
    <w:rsid w:val="00FD3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75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61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15A"/>
  </w:style>
  <w:style w:type="paragraph" w:styleId="Footer">
    <w:name w:val="footer"/>
    <w:basedOn w:val="Normal"/>
    <w:link w:val="FooterChar"/>
    <w:uiPriority w:val="99"/>
    <w:unhideWhenUsed/>
    <w:rsid w:val="00C15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15A"/>
  </w:style>
  <w:style w:type="paragraph" w:styleId="ListParagraph">
    <w:name w:val="List Paragraph"/>
    <w:basedOn w:val="Normal"/>
    <w:uiPriority w:val="34"/>
    <w:qFormat/>
    <w:rsid w:val="00C1515A"/>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unhideWhenUsed/>
    <w:qFormat/>
    <w:rsid w:val="00C1515A"/>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C1515A"/>
    <w:rPr>
      <w:sz w:val="20"/>
      <w:szCs w:val="20"/>
    </w:rPr>
  </w:style>
  <w:style w:type="character" w:styleId="FootnoteReference">
    <w:name w:val="footnote reference"/>
    <w:aliases w:val="Texto de nota al pie,Footnotes refss,Appel note de bas de page,Footnote number,referencia nota al pie,BVI fnr,f,4_G,16 Point,Superscript 6 Point,Footnote Reference Char3,Footnote Reference Char1 Char,Footnote Reference Char Char Char"/>
    <w:basedOn w:val="DefaultParagraphFont"/>
    <w:uiPriority w:val="99"/>
    <w:unhideWhenUsed/>
    <w:qFormat/>
    <w:rsid w:val="00C1515A"/>
    <w:rPr>
      <w:vertAlign w:val="superscript"/>
    </w:rPr>
  </w:style>
  <w:style w:type="character" w:styleId="Hyperlink">
    <w:name w:val="Hyperlink"/>
    <w:basedOn w:val="DefaultParagraphFont"/>
    <w:uiPriority w:val="99"/>
    <w:unhideWhenUsed/>
    <w:rsid w:val="00C1515A"/>
    <w:rPr>
      <w:color w:val="0000FF" w:themeColor="hyperlink"/>
      <w:u w:val="single"/>
    </w:rPr>
  </w:style>
  <w:style w:type="character" w:customStyle="1" w:styleId="Heading1Char">
    <w:name w:val="Heading 1 Char"/>
    <w:basedOn w:val="DefaultParagraphFont"/>
    <w:link w:val="Heading1"/>
    <w:uiPriority w:val="9"/>
    <w:rsid w:val="003561C4"/>
    <w:rPr>
      <w:rFonts w:asciiTheme="majorHAnsi" w:eastAsiaTheme="majorEastAsia" w:hAnsiTheme="majorHAnsi" w:cstheme="majorBidi"/>
      <w:b/>
      <w:bCs/>
      <w:color w:val="365F91" w:themeColor="accent1" w:themeShade="BF"/>
      <w:sz w:val="28"/>
      <w:szCs w:val="28"/>
    </w:rPr>
  </w:style>
  <w:style w:type="character" w:styleId="LineNumber">
    <w:name w:val="line number"/>
    <w:basedOn w:val="DefaultParagraphFont"/>
    <w:uiPriority w:val="99"/>
    <w:semiHidden/>
    <w:unhideWhenUsed/>
    <w:rsid w:val="00E5152E"/>
  </w:style>
  <w:style w:type="character" w:styleId="CommentReference">
    <w:name w:val="annotation reference"/>
    <w:basedOn w:val="DefaultParagraphFont"/>
    <w:uiPriority w:val="99"/>
    <w:semiHidden/>
    <w:unhideWhenUsed/>
    <w:rsid w:val="0061239E"/>
    <w:rPr>
      <w:sz w:val="16"/>
      <w:szCs w:val="16"/>
    </w:rPr>
  </w:style>
  <w:style w:type="paragraph" w:styleId="CommentText">
    <w:name w:val="annotation text"/>
    <w:basedOn w:val="Normal"/>
    <w:link w:val="CommentTextChar"/>
    <w:uiPriority w:val="99"/>
    <w:semiHidden/>
    <w:unhideWhenUsed/>
    <w:rsid w:val="0061239E"/>
    <w:pPr>
      <w:spacing w:line="240" w:lineRule="auto"/>
    </w:pPr>
    <w:rPr>
      <w:sz w:val="20"/>
      <w:szCs w:val="20"/>
    </w:rPr>
  </w:style>
  <w:style w:type="character" w:customStyle="1" w:styleId="CommentTextChar">
    <w:name w:val="Comment Text Char"/>
    <w:basedOn w:val="DefaultParagraphFont"/>
    <w:link w:val="CommentText"/>
    <w:uiPriority w:val="99"/>
    <w:semiHidden/>
    <w:rsid w:val="0061239E"/>
    <w:rPr>
      <w:sz w:val="20"/>
      <w:szCs w:val="20"/>
    </w:rPr>
  </w:style>
  <w:style w:type="paragraph" w:styleId="CommentSubject">
    <w:name w:val="annotation subject"/>
    <w:basedOn w:val="CommentText"/>
    <w:next w:val="CommentText"/>
    <w:link w:val="CommentSubjectChar"/>
    <w:uiPriority w:val="99"/>
    <w:semiHidden/>
    <w:unhideWhenUsed/>
    <w:rsid w:val="0061239E"/>
    <w:rPr>
      <w:b/>
      <w:bCs/>
    </w:rPr>
  </w:style>
  <w:style w:type="character" w:customStyle="1" w:styleId="CommentSubjectChar">
    <w:name w:val="Comment Subject Char"/>
    <w:basedOn w:val="CommentTextChar"/>
    <w:link w:val="CommentSubject"/>
    <w:uiPriority w:val="99"/>
    <w:semiHidden/>
    <w:rsid w:val="0061239E"/>
    <w:rPr>
      <w:b/>
      <w:bCs/>
      <w:sz w:val="20"/>
      <w:szCs w:val="20"/>
    </w:rPr>
  </w:style>
  <w:style w:type="paragraph" w:styleId="BalloonText">
    <w:name w:val="Balloon Text"/>
    <w:basedOn w:val="Normal"/>
    <w:link w:val="BalloonTextChar"/>
    <w:uiPriority w:val="99"/>
    <w:semiHidden/>
    <w:unhideWhenUsed/>
    <w:rsid w:val="00612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39E"/>
    <w:rPr>
      <w:rFonts w:ascii="Tahoma" w:hAnsi="Tahoma" w:cs="Tahoma"/>
      <w:sz w:val="16"/>
      <w:szCs w:val="16"/>
    </w:rPr>
  </w:style>
  <w:style w:type="paragraph" w:customStyle="1" w:styleId="Default">
    <w:name w:val="Default"/>
    <w:rsid w:val="00981395"/>
    <w:pPr>
      <w:autoSpaceDE w:val="0"/>
      <w:autoSpaceDN w:val="0"/>
      <w:adjustRightInd w:val="0"/>
      <w:spacing w:after="0" w:line="240" w:lineRule="auto"/>
    </w:pPr>
    <w:rPr>
      <w:rFonts w:ascii="Verdana" w:hAnsi="Verdana" w:cs="Verdana"/>
      <w:color w:val="000000"/>
      <w:sz w:val="24"/>
      <w:szCs w:val="24"/>
      <w:lang w:val="es-CR"/>
    </w:rPr>
  </w:style>
  <w:style w:type="paragraph" w:styleId="EndnoteText">
    <w:name w:val="endnote text"/>
    <w:basedOn w:val="Normal"/>
    <w:link w:val="EndnoteTextChar"/>
    <w:uiPriority w:val="99"/>
    <w:semiHidden/>
    <w:unhideWhenUsed/>
    <w:rsid w:val="006957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5785"/>
    <w:rPr>
      <w:sz w:val="20"/>
      <w:szCs w:val="20"/>
    </w:rPr>
  </w:style>
  <w:style w:type="character" w:styleId="EndnoteReference">
    <w:name w:val="endnote reference"/>
    <w:basedOn w:val="DefaultParagraphFont"/>
    <w:uiPriority w:val="99"/>
    <w:semiHidden/>
    <w:unhideWhenUsed/>
    <w:rsid w:val="00695785"/>
    <w:rPr>
      <w:vertAlign w:val="superscript"/>
    </w:rPr>
  </w:style>
  <w:style w:type="character" w:styleId="PageNumber">
    <w:name w:val="page number"/>
    <w:basedOn w:val="DefaultParagraphFont"/>
    <w:uiPriority w:val="99"/>
    <w:semiHidden/>
    <w:unhideWhenUsed/>
    <w:rsid w:val="000274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61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15A"/>
  </w:style>
  <w:style w:type="paragraph" w:styleId="Footer">
    <w:name w:val="footer"/>
    <w:basedOn w:val="Normal"/>
    <w:link w:val="FooterChar"/>
    <w:uiPriority w:val="99"/>
    <w:unhideWhenUsed/>
    <w:rsid w:val="00C15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15A"/>
  </w:style>
  <w:style w:type="paragraph" w:styleId="ListParagraph">
    <w:name w:val="List Paragraph"/>
    <w:basedOn w:val="Normal"/>
    <w:uiPriority w:val="34"/>
    <w:qFormat/>
    <w:rsid w:val="00C1515A"/>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unhideWhenUsed/>
    <w:qFormat/>
    <w:rsid w:val="00C1515A"/>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C1515A"/>
    <w:rPr>
      <w:sz w:val="20"/>
      <w:szCs w:val="20"/>
    </w:rPr>
  </w:style>
  <w:style w:type="character" w:styleId="FootnoteReference">
    <w:name w:val="footnote reference"/>
    <w:aliases w:val="Texto de nota al pie,Footnotes refss,Appel note de bas de page,Footnote number,referencia nota al pie,BVI fnr,f,4_G,16 Point,Superscript 6 Point,Footnote Reference Char3,Footnote Reference Char1 Char,Footnote Reference Char Char Char"/>
    <w:basedOn w:val="DefaultParagraphFont"/>
    <w:uiPriority w:val="99"/>
    <w:unhideWhenUsed/>
    <w:qFormat/>
    <w:rsid w:val="00C1515A"/>
    <w:rPr>
      <w:vertAlign w:val="superscript"/>
    </w:rPr>
  </w:style>
  <w:style w:type="character" w:styleId="Hyperlink">
    <w:name w:val="Hyperlink"/>
    <w:basedOn w:val="DefaultParagraphFont"/>
    <w:uiPriority w:val="99"/>
    <w:unhideWhenUsed/>
    <w:rsid w:val="00C1515A"/>
    <w:rPr>
      <w:color w:val="0000FF" w:themeColor="hyperlink"/>
      <w:u w:val="single"/>
    </w:rPr>
  </w:style>
  <w:style w:type="character" w:customStyle="1" w:styleId="Heading1Char">
    <w:name w:val="Heading 1 Char"/>
    <w:basedOn w:val="DefaultParagraphFont"/>
    <w:link w:val="Heading1"/>
    <w:uiPriority w:val="9"/>
    <w:rsid w:val="003561C4"/>
    <w:rPr>
      <w:rFonts w:asciiTheme="majorHAnsi" w:eastAsiaTheme="majorEastAsia" w:hAnsiTheme="majorHAnsi" w:cstheme="majorBidi"/>
      <w:b/>
      <w:bCs/>
      <w:color w:val="365F91" w:themeColor="accent1" w:themeShade="BF"/>
      <w:sz w:val="28"/>
      <w:szCs w:val="28"/>
    </w:rPr>
  </w:style>
  <w:style w:type="character" w:styleId="LineNumber">
    <w:name w:val="line number"/>
    <w:basedOn w:val="DefaultParagraphFont"/>
    <w:uiPriority w:val="99"/>
    <w:semiHidden/>
    <w:unhideWhenUsed/>
    <w:rsid w:val="00E5152E"/>
  </w:style>
  <w:style w:type="character" w:styleId="CommentReference">
    <w:name w:val="annotation reference"/>
    <w:basedOn w:val="DefaultParagraphFont"/>
    <w:uiPriority w:val="99"/>
    <w:semiHidden/>
    <w:unhideWhenUsed/>
    <w:rsid w:val="0061239E"/>
    <w:rPr>
      <w:sz w:val="16"/>
      <w:szCs w:val="16"/>
    </w:rPr>
  </w:style>
  <w:style w:type="paragraph" w:styleId="CommentText">
    <w:name w:val="annotation text"/>
    <w:basedOn w:val="Normal"/>
    <w:link w:val="CommentTextChar"/>
    <w:uiPriority w:val="99"/>
    <w:semiHidden/>
    <w:unhideWhenUsed/>
    <w:rsid w:val="0061239E"/>
    <w:pPr>
      <w:spacing w:line="240" w:lineRule="auto"/>
    </w:pPr>
    <w:rPr>
      <w:sz w:val="20"/>
      <w:szCs w:val="20"/>
    </w:rPr>
  </w:style>
  <w:style w:type="character" w:customStyle="1" w:styleId="CommentTextChar">
    <w:name w:val="Comment Text Char"/>
    <w:basedOn w:val="DefaultParagraphFont"/>
    <w:link w:val="CommentText"/>
    <w:uiPriority w:val="99"/>
    <w:semiHidden/>
    <w:rsid w:val="0061239E"/>
    <w:rPr>
      <w:sz w:val="20"/>
      <w:szCs w:val="20"/>
    </w:rPr>
  </w:style>
  <w:style w:type="paragraph" w:styleId="CommentSubject">
    <w:name w:val="annotation subject"/>
    <w:basedOn w:val="CommentText"/>
    <w:next w:val="CommentText"/>
    <w:link w:val="CommentSubjectChar"/>
    <w:uiPriority w:val="99"/>
    <w:semiHidden/>
    <w:unhideWhenUsed/>
    <w:rsid w:val="0061239E"/>
    <w:rPr>
      <w:b/>
      <w:bCs/>
    </w:rPr>
  </w:style>
  <w:style w:type="character" w:customStyle="1" w:styleId="CommentSubjectChar">
    <w:name w:val="Comment Subject Char"/>
    <w:basedOn w:val="CommentTextChar"/>
    <w:link w:val="CommentSubject"/>
    <w:uiPriority w:val="99"/>
    <w:semiHidden/>
    <w:rsid w:val="0061239E"/>
    <w:rPr>
      <w:b/>
      <w:bCs/>
      <w:sz w:val="20"/>
      <w:szCs w:val="20"/>
    </w:rPr>
  </w:style>
  <w:style w:type="paragraph" w:styleId="BalloonText">
    <w:name w:val="Balloon Text"/>
    <w:basedOn w:val="Normal"/>
    <w:link w:val="BalloonTextChar"/>
    <w:uiPriority w:val="99"/>
    <w:semiHidden/>
    <w:unhideWhenUsed/>
    <w:rsid w:val="00612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39E"/>
    <w:rPr>
      <w:rFonts w:ascii="Tahoma" w:hAnsi="Tahoma" w:cs="Tahoma"/>
      <w:sz w:val="16"/>
      <w:szCs w:val="16"/>
    </w:rPr>
  </w:style>
  <w:style w:type="paragraph" w:customStyle="1" w:styleId="Default">
    <w:name w:val="Default"/>
    <w:rsid w:val="00981395"/>
    <w:pPr>
      <w:autoSpaceDE w:val="0"/>
      <w:autoSpaceDN w:val="0"/>
      <w:adjustRightInd w:val="0"/>
      <w:spacing w:after="0" w:line="240" w:lineRule="auto"/>
    </w:pPr>
    <w:rPr>
      <w:rFonts w:ascii="Verdana" w:hAnsi="Verdana" w:cs="Verdana"/>
      <w:color w:val="000000"/>
      <w:sz w:val="24"/>
      <w:szCs w:val="24"/>
      <w:lang w:val="es-CR"/>
    </w:rPr>
  </w:style>
  <w:style w:type="paragraph" w:styleId="EndnoteText">
    <w:name w:val="endnote text"/>
    <w:basedOn w:val="Normal"/>
    <w:link w:val="EndnoteTextChar"/>
    <w:uiPriority w:val="99"/>
    <w:semiHidden/>
    <w:unhideWhenUsed/>
    <w:rsid w:val="006957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5785"/>
    <w:rPr>
      <w:sz w:val="20"/>
      <w:szCs w:val="20"/>
    </w:rPr>
  </w:style>
  <w:style w:type="character" w:styleId="EndnoteReference">
    <w:name w:val="endnote reference"/>
    <w:basedOn w:val="DefaultParagraphFont"/>
    <w:uiPriority w:val="99"/>
    <w:semiHidden/>
    <w:unhideWhenUsed/>
    <w:rsid w:val="00695785"/>
    <w:rPr>
      <w:vertAlign w:val="superscript"/>
    </w:rPr>
  </w:style>
  <w:style w:type="character" w:styleId="PageNumber">
    <w:name w:val="page number"/>
    <w:basedOn w:val="DefaultParagraphFont"/>
    <w:uiPriority w:val="99"/>
    <w:semiHidden/>
    <w:unhideWhenUsed/>
    <w:rsid w:val="00027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75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orteidh.or.cr/docs/supervisiones/rionegro_25_05_17.pdf" TargetMode="External"/><Relationship Id="rId2" Type="http://schemas.openxmlformats.org/officeDocument/2006/relationships/hyperlink" Target="http://www.corteidh.or.cr/docs/supervisiones/Rio_Negro_y_Gudiel_21_08_14.pdf" TargetMode="External"/><Relationship Id="rId1" Type="http://schemas.openxmlformats.org/officeDocument/2006/relationships/hyperlink" Target="http://www.corteidh.or.cr/docs/casos/articulos/seriec_250_e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264E7-5E14-439D-A864-C9FC06D4D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1319</Words>
  <Characters>7256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2</cp:revision>
  <cp:lastPrinted>2018-04-20T15:23:00Z</cp:lastPrinted>
  <dcterms:created xsi:type="dcterms:W3CDTF">2018-04-20T15:42:00Z</dcterms:created>
  <dcterms:modified xsi:type="dcterms:W3CDTF">2018-04-20T15:42:00Z</dcterms:modified>
</cp:coreProperties>
</file>