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D1FC" w14:textId="77777777" w:rsidR="00A72709" w:rsidRDefault="00A72709" w:rsidP="00396968">
      <w:pPr>
        <w:spacing w:after="0" w:line="240" w:lineRule="auto"/>
        <w:jc w:val="both"/>
        <w:rPr>
          <w:rFonts w:ascii="Verdana" w:hAnsi="Verdana"/>
          <w:b/>
          <w:sz w:val="20"/>
          <w:szCs w:val="20"/>
          <w:lang w:val="es-CR"/>
        </w:rPr>
      </w:pPr>
      <w:bookmarkStart w:id="0" w:name="_GoBack"/>
      <w:bookmarkEnd w:id="0"/>
    </w:p>
    <w:p w14:paraId="127A6A2B" w14:textId="1BB4F6D9" w:rsidR="009F16AE" w:rsidRDefault="009F16AE" w:rsidP="00396968">
      <w:pPr>
        <w:spacing w:after="0" w:line="240" w:lineRule="auto"/>
        <w:jc w:val="both"/>
        <w:rPr>
          <w:rFonts w:ascii="Verdana" w:hAnsi="Verdana"/>
          <w:b/>
          <w:sz w:val="20"/>
          <w:szCs w:val="20"/>
          <w:lang w:val="es-CR"/>
        </w:rPr>
      </w:pPr>
    </w:p>
    <w:p w14:paraId="7D47C13E" w14:textId="77777777" w:rsidR="009F16AE" w:rsidRDefault="009F16AE" w:rsidP="00396968">
      <w:pPr>
        <w:spacing w:after="0" w:line="240" w:lineRule="auto"/>
        <w:jc w:val="both"/>
        <w:rPr>
          <w:rFonts w:ascii="Verdana" w:hAnsi="Verdana"/>
          <w:b/>
          <w:sz w:val="20"/>
          <w:szCs w:val="20"/>
          <w:lang w:val="es-CR"/>
        </w:rPr>
      </w:pPr>
    </w:p>
    <w:p w14:paraId="44CD6E9F" w14:textId="77777777" w:rsidR="009F16AE" w:rsidRDefault="009F16AE" w:rsidP="00396968">
      <w:pPr>
        <w:spacing w:after="0" w:line="240" w:lineRule="auto"/>
        <w:jc w:val="both"/>
        <w:rPr>
          <w:rFonts w:ascii="Verdana" w:hAnsi="Verdana"/>
          <w:b/>
          <w:sz w:val="20"/>
          <w:szCs w:val="20"/>
          <w:lang w:val="es-CR"/>
        </w:rPr>
      </w:pPr>
    </w:p>
    <w:p w14:paraId="27C63DBA" w14:textId="77777777" w:rsidR="009F16AE" w:rsidRDefault="009F16AE" w:rsidP="001E5411">
      <w:pPr>
        <w:spacing w:after="0" w:line="240" w:lineRule="auto"/>
        <w:jc w:val="center"/>
        <w:rPr>
          <w:rFonts w:ascii="Verdana" w:hAnsi="Verdana"/>
          <w:b/>
          <w:sz w:val="20"/>
          <w:szCs w:val="20"/>
          <w:lang w:val="es-CR"/>
        </w:rPr>
      </w:pPr>
    </w:p>
    <w:p w14:paraId="7C075D2C" w14:textId="77777777" w:rsidR="0008015D" w:rsidRDefault="0008015D" w:rsidP="001E5411">
      <w:pPr>
        <w:spacing w:after="0" w:line="240" w:lineRule="auto"/>
        <w:jc w:val="center"/>
        <w:rPr>
          <w:rFonts w:ascii="Verdana" w:hAnsi="Verdana"/>
          <w:b/>
          <w:sz w:val="20"/>
          <w:szCs w:val="20"/>
          <w:lang w:val="es-CR"/>
        </w:rPr>
      </w:pPr>
    </w:p>
    <w:p w14:paraId="7B3ACEC6" w14:textId="77777777" w:rsidR="009F16AE" w:rsidRDefault="009F16AE" w:rsidP="001E5411">
      <w:pPr>
        <w:spacing w:after="0" w:line="240" w:lineRule="auto"/>
        <w:jc w:val="center"/>
        <w:rPr>
          <w:rFonts w:ascii="Verdana" w:hAnsi="Verdana"/>
          <w:b/>
          <w:sz w:val="20"/>
          <w:szCs w:val="20"/>
          <w:lang w:val="es-CR"/>
        </w:rPr>
      </w:pPr>
    </w:p>
    <w:p w14:paraId="1A1B89B4" w14:textId="77777777" w:rsidR="000E1545" w:rsidRDefault="000E1545" w:rsidP="001E5411">
      <w:pPr>
        <w:spacing w:after="0" w:line="240" w:lineRule="auto"/>
        <w:jc w:val="center"/>
        <w:rPr>
          <w:rFonts w:ascii="Verdana" w:hAnsi="Verdana"/>
          <w:b/>
          <w:sz w:val="20"/>
          <w:szCs w:val="20"/>
          <w:lang w:val="es-CR"/>
        </w:rPr>
      </w:pPr>
    </w:p>
    <w:p w14:paraId="2D7E76F7" w14:textId="77777777" w:rsidR="002F04AF"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67A69A86" w14:textId="77777777" w:rsidR="001E5411" w:rsidRDefault="001E5411" w:rsidP="001E5411">
      <w:pPr>
        <w:spacing w:after="0" w:line="240" w:lineRule="auto"/>
        <w:jc w:val="center"/>
        <w:rPr>
          <w:rFonts w:ascii="Verdana" w:hAnsi="Verdana"/>
          <w:b/>
          <w:sz w:val="20"/>
          <w:szCs w:val="20"/>
          <w:lang w:val="es-CR"/>
        </w:rPr>
      </w:pPr>
    </w:p>
    <w:p w14:paraId="7D82FABD" w14:textId="50E01CA2"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935B21">
        <w:rPr>
          <w:rStyle w:val="FootnoteReference"/>
          <w:rFonts w:ascii="Verdana" w:hAnsi="Verdana"/>
          <w:b/>
          <w:sz w:val="20"/>
          <w:lang w:val="es-MX"/>
        </w:rPr>
        <w:footnoteReference w:customMarkFollows="1" w:id="1"/>
        <w:t>*</w:t>
      </w:r>
    </w:p>
    <w:p w14:paraId="24DA32BA" w14:textId="77777777" w:rsidR="001E5411" w:rsidRDefault="001E5411" w:rsidP="001E5411">
      <w:pPr>
        <w:spacing w:after="0" w:line="240" w:lineRule="auto"/>
        <w:jc w:val="center"/>
        <w:rPr>
          <w:rFonts w:ascii="Verdana" w:hAnsi="Verdana"/>
          <w:b/>
          <w:sz w:val="20"/>
          <w:szCs w:val="20"/>
          <w:lang w:val="es-CR"/>
        </w:rPr>
      </w:pPr>
    </w:p>
    <w:p w14:paraId="61D8CC08" w14:textId="27B5FB4C"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935B21">
        <w:rPr>
          <w:rFonts w:ascii="Verdana" w:hAnsi="Verdana"/>
          <w:b/>
          <w:sz w:val="20"/>
          <w:szCs w:val="20"/>
          <w:lang w:val="es-CR"/>
        </w:rPr>
        <w:t>5</w:t>
      </w:r>
      <w:r>
        <w:rPr>
          <w:rFonts w:ascii="Verdana" w:hAnsi="Verdana"/>
          <w:b/>
          <w:sz w:val="20"/>
          <w:szCs w:val="20"/>
          <w:lang w:val="es-CR"/>
        </w:rPr>
        <w:t xml:space="preserve"> DE </w:t>
      </w:r>
      <w:r w:rsidR="00935B21">
        <w:rPr>
          <w:rFonts w:ascii="Verdana" w:hAnsi="Verdana"/>
          <w:b/>
          <w:sz w:val="20"/>
          <w:szCs w:val="20"/>
          <w:lang w:val="es-CR"/>
        </w:rPr>
        <w:t>FEBRERO</w:t>
      </w:r>
      <w:r w:rsidR="00761555">
        <w:rPr>
          <w:rFonts w:ascii="Verdana" w:hAnsi="Verdana"/>
          <w:b/>
          <w:sz w:val="20"/>
          <w:szCs w:val="20"/>
          <w:lang w:val="es-CR"/>
        </w:rPr>
        <w:t xml:space="preserve"> DE 2018</w:t>
      </w:r>
    </w:p>
    <w:p w14:paraId="55182D2A" w14:textId="77777777" w:rsidR="001E5411" w:rsidRDefault="001E5411" w:rsidP="001E5411">
      <w:pPr>
        <w:spacing w:after="0" w:line="240" w:lineRule="auto"/>
        <w:jc w:val="center"/>
        <w:rPr>
          <w:rFonts w:ascii="Verdana" w:hAnsi="Verdana"/>
          <w:b/>
          <w:sz w:val="20"/>
          <w:szCs w:val="20"/>
          <w:lang w:val="es-CR"/>
        </w:rPr>
      </w:pPr>
    </w:p>
    <w:p w14:paraId="1B89916E"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3360C4">
        <w:rPr>
          <w:rFonts w:ascii="Verdana" w:hAnsi="Verdana"/>
          <w:b/>
          <w:sz w:val="20"/>
          <w:szCs w:val="20"/>
          <w:lang w:val="es-CR"/>
        </w:rPr>
        <w:t>RUANO TORRES Y OTROS</w:t>
      </w:r>
      <w:r>
        <w:rPr>
          <w:rFonts w:ascii="Verdana" w:hAnsi="Verdana"/>
          <w:b/>
          <w:sz w:val="20"/>
          <w:szCs w:val="20"/>
          <w:lang w:val="es-CR"/>
        </w:rPr>
        <w:t xml:space="preserve"> VS. </w:t>
      </w:r>
      <w:r w:rsidR="003360C4">
        <w:rPr>
          <w:rFonts w:ascii="Verdana" w:hAnsi="Verdana"/>
          <w:b/>
          <w:sz w:val="20"/>
          <w:szCs w:val="20"/>
          <w:lang w:val="es-CR"/>
        </w:rPr>
        <w:t>EL SALVADOR</w:t>
      </w:r>
    </w:p>
    <w:p w14:paraId="079CF564" w14:textId="77777777" w:rsidR="001E5411" w:rsidRDefault="001E5411" w:rsidP="001E5411">
      <w:pPr>
        <w:spacing w:after="0" w:line="240" w:lineRule="auto"/>
        <w:jc w:val="center"/>
        <w:rPr>
          <w:rFonts w:ascii="Verdana" w:hAnsi="Verdana"/>
          <w:b/>
          <w:sz w:val="20"/>
          <w:szCs w:val="20"/>
          <w:lang w:val="es-CR"/>
        </w:rPr>
      </w:pPr>
    </w:p>
    <w:p w14:paraId="2B7EBB4C"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37E40E67" w14:textId="77777777" w:rsidR="001E5411" w:rsidRDefault="001E5411" w:rsidP="001E5411">
      <w:pPr>
        <w:spacing w:after="0" w:line="240" w:lineRule="auto"/>
        <w:rPr>
          <w:rFonts w:ascii="Verdana" w:hAnsi="Verdana"/>
          <w:b/>
          <w:sz w:val="20"/>
          <w:szCs w:val="20"/>
          <w:lang w:val="es-CR"/>
        </w:rPr>
      </w:pPr>
    </w:p>
    <w:p w14:paraId="43095D4F" w14:textId="77777777" w:rsidR="001E5411" w:rsidRDefault="001E5411" w:rsidP="001E5411">
      <w:pPr>
        <w:spacing w:after="0" w:line="240" w:lineRule="auto"/>
        <w:rPr>
          <w:rFonts w:ascii="Verdana" w:hAnsi="Verdana"/>
          <w:b/>
          <w:sz w:val="20"/>
          <w:szCs w:val="20"/>
          <w:lang w:val="es-CR"/>
        </w:rPr>
      </w:pPr>
      <w:r>
        <w:rPr>
          <w:rFonts w:ascii="Verdana" w:hAnsi="Verdana"/>
          <w:b/>
          <w:sz w:val="20"/>
          <w:szCs w:val="20"/>
          <w:lang w:val="es-CR"/>
        </w:rPr>
        <w:t>VISTO:</w:t>
      </w:r>
    </w:p>
    <w:p w14:paraId="594D7C02" w14:textId="77777777" w:rsidR="001E5411" w:rsidRDefault="001E5411" w:rsidP="001E5411">
      <w:pPr>
        <w:spacing w:after="0" w:line="240" w:lineRule="auto"/>
        <w:rPr>
          <w:rFonts w:ascii="Verdana" w:hAnsi="Verdana"/>
          <w:sz w:val="20"/>
          <w:szCs w:val="20"/>
          <w:lang w:val="es-CR"/>
        </w:rPr>
      </w:pPr>
    </w:p>
    <w:p w14:paraId="0C9B508A" w14:textId="1AAB55E7" w:rsidR="00B30A18" w:rsidRDefault="00B30A18" w:rsidP="003557DD">
      <w:pPr>
        <w:pStyle w:val="ListParagraph"/>
        <w:numPr>
          <w:ilvl w:val="0"/>
          <w:numId w:val="1"/>
        </w:numPr>
        <w:spacing w:after="0" w:line="240" w:lineRule="auto"/>
        <w:ind w:left="0" w:firstLine="0"/>
        <w:jc w:val="both"/>
        <w:rPr>
          <w:rFonts w:ascii="Verdana" w:hAnsi="Verdana"/>
          <w:sz w:val="20"/>
          <w:szCs w:val="20"/>
          <w:lang w:val="es-CR"/>
        </w:rPr>
      </w:pPr>
      <w:bookmarkStart w:id="1" w:name="_Ref504381338"/>
      <w:r>
        <w:rPr>
          <w:rFonts w:ascii="Verdana" w:hAnsi="Verdana"/>
          <w:sz w:val="20"/>
          <w:szCs w:val="20"/>
          <w:lang w:val="es-CR"/>
        </w:rPr>
        <w:t xml:space="preserve">La Sentencia de fondo, reparaciones y costas dictada por la Corte Interamericana de Derechos Humanos (en adelante “la Corte”, “la Corte Interamericana” o “el Tribunal”) el </w:t>
      </w:r>
      <w:r w:rsidR="003360C4">
        <w:rPr>
          <w:rFonts w:ascii="Verdana" w:hAnsi="Verdana"/>
          <w:sz w:val="20"/>
          <w:szCs w:val="20"/>
          <w:lang w:val="es-CR"/>
        </w:rPr>
        <w:t>5</w:t>
      </w:r>
      <w:r>
        <w:rPr>
          <w:rFonts w:ascii="Verdana" w:hAnsi="Verdana"/>
          <w:sz w:val="20"/>
          <w:szCs w:val="20"/>
          <w:lang w:val="es-CR"/>
        </w:rPr>
        <w:t xml:space="preserve"> de </w:t>
      </w:r>
      <w:r w:rsidR="003360C4">
        <w:rPr>
          <w:rFonts w:ascii="Verdana" w:hAnsi="Verdana"/>
          <w:sz w:val="20"/>
          <w:szCs w:val="20"/>
          <w:lang w:val="es-CR"/>
        </w:rPr>
        <w:t>octubre de 2015</w:t>
      </w:r>
      <w:r>
        <w:rPr>
          <w:rStyle w:val="FootnoteReference"/>
          <w:rFonts w:ascii="Verdana" w:hAnsi="Verdana"/>
          <w:sz w:val="20"/>
          <w:szCs w:val="20"/>
          <w:lang w:val="es-CR"/>
        </w:rPr>
        <w:footnoteReference w:id="2"/>
      </w:r>
      <w:r>
        <w:rPr>
          <w:rFonts w:ascii="Verdana" w:hAnsi="Verdana"/>
          <w:sz w:val="20"/>
          <w:szCs w:val="20"/>
          <w:lang w:val="es-CR"/>
        </w:rPr>
        <w:t>.</w:t>
      </w:r>
      <w:r w:rsidR="00385150">
        <w:rPr>
          <w:rFonts w:ascii="Verdana" w:hAnsi="Verdana"/>
          <w:sz w:val="20"/>
          <w:szCs w:val="20"/>
          <w:lang w:val="es-CR"/>
        </w:rPr>
        <w:t xml:space="preserve"> En dicha Sentencia, la Corte</w:t>
      </w:r>
      <w:r w:rsidR="00782BD1">
        <w:rPr>
          <w:rFonts w:ascii="Verdana" w:hAnsi="Verdana"/>
          <w:sz w:val="20"/>
          <w:szCs w:val="20"/>
          <w:lang w:val="es-CR"/>
        </w:rPr>
        <w:t xml:space="preserve">, tomando en cuenta el reconocimiento de responsabilidad internacional realizado por el Estado de El Salvador (en adelante “el Estado” o “El Salvador”), </w:t>
      </w:r>
      <w:r w:rsidR="00385150">
        <w:rPr>
          <w:rFonts w:ascii="Verdana" w:hAnsi="Verdana"/>
          <w:sz w:val="20"/>
          <w:szCs w:val="20"/>
          <w:lang w:val="es-CR"/>
        </w:rPr>
        <w:t>declaró la responsabilidad internacional de</w:t>
      </w:r>
      <w:r w:rsidR="00782BD1">
        <w:rPr>
          <w:rFonts w:ascii="Verdana" w:hAnsi="Verdana"/>
          <w:sz w:val="20"/>
          <w:szCs w:val="20"/>
          <w:lang w:val="es-CR"/>
        </w:rPr>
        <w:t xml:space="preserve"> éste</w:t>
      </w:r>
      <w:r w:rsidR="00385150">
        <w:rPr>
          <w:rFonts w:ascii="Verdana" w:hAnsi="Verdana"/>
          <w:sz w:val="20"/>
          <w:szCs w:val="20"/>
          <w:lang w:val="es-CR"/>
        </w:rPr>
        <w:t xml:space="preserve"> por haber </w:t>
      </w:r>
      <w:r w:rsidR="00D44755">
        <w:rPr>
          <w:rFonts w:ascii="Verdana" w:hAnsi="Verdana"/>
          <w:sz w:val="20"/>
          <w:szCs w:val="20"/>
          <w:lang w:val="es-CR"/>
        </w:rPr>
        <w:t>violado</w:t>
      </w:r>
      <w:r w:rsidR="00385150">
        <w:rPr>
          <w:rFonts w:ascii="Verdana" w:hAnsi="Verdana"/>
          <w:sz w:val="20"/>
          <w:szCs w:val="20"/>
          <w:lang w:val="es-CR"/>
        </w:rPr>
        <w:t xml:space="preserve"> el derecho</w:t>
      </w:r>
      <w:r w:rsidR="003360C4">
        <w:rPr>
          <w:rFonts w:ascii="Verdana" w:hAnsi="Verdana"/>
          <w:sz w:val="20"/>
          <w:szCs w:val="20"/>
          <w:lang w:val="es-CR"/>
        </w:rPr>
        <w:t xml:space="preserve"> a la integridad personal y la prohibición de la tortura, el derecho a la libertad personal, </w:t>
      </w:r>
      <w:r w:rsidR="007C67B0">
        <w:rPr>
          <w:rFonts w:ascii="Verdana" w:hAnsi="Verdana"/>
          <w:sz w:val="20"/>
          <w:szCs w:val="20"/>
          <w:lang w:val="es-CR"/>
        </w:rPr>
        <w:t>a</w:t>
      </w:r>
      <w:r w:rsidR="003360C4">
        <w:rPr>
          <w:rFonts w:ascii="Verdana" w:hAnsi="Verdana"/>
          <w:sz w:val="20"/>
          <w:szCs w:val="20"/>
          <w:lang w:val="es-CR"/>
        </w:rPr>
        <w:t xml:space="preserve"> la presunción de inocencia, </w:t>
      </w:r>
      <w:r w:rsidR="007C67B0">
        <w:rPr>
          <w:rFonts w:ascii="Verdana" w:hAnsi="Verdana"/>
          <w:sz w:val="20"/>
          <w:szCs w:val="20"/>
          <w:lang w:val="es-CR"/>
        </w:rPr>
        <w:t>al</w:t>
      </w:r>
      <w:r w:rsidR="003360C4">
        <w:rPr>
          <w:rFonts w:ascii="Verdana" w:hAnsi="Verdana"/>
          <w:sz w:val="20"/>
          <w:szCs w:val="20"/>
          <w:lang w:val="es-CR"/>
        </w:rPr>
        <w:t xml:space="preserve"> derecho a la defensa y a ser oído con las debidas garantías, y </w:t>
      </w:r>
      <w:r w:rsidR="007C67B0">
        <w:rPr>
          <w:rFonts w:ascii="Verdana" w:hAnsi="Verdana"/>
          <w:sz w:val="20"/>
          <w:szCs w:val="20"/>
          <w:lang w:val="es-CR"/>
        </w:rPr>
        <w:t>a</w:t>
      </w:r>
      <w:r w:rsidR="003360C4">
        <w:rPr>
          <w:rFonts w:ascii="Verdana" w:hAnsi="Verdana"/>
          <w:sz w:val="20"/>
          <w:szCs w:val="20"/>
          <w:lang w:val="es-CR"/>
        </w:rPr>
        <w:t>l derecho a la protección judicial, en perjuicio de Jos</w:t>
      </w:r>
      <w:r w:rsidR="00782BD1">
        <w:rPr>
          <w:rFonts w:ascii="Verdana" w:hAnsi="Verdana"/>
          <w:sz w:val="20"/>
          <w:szCs w:val="20"/>
          <w:lang w:val="es-CR"/>
        </w:rPr>
        <w:t xml:space="preserve">é Agapito Ruano Torres, </w:t>
      </w:r>
      <w:r w:rsidR="00C03503">
        <w:rPr>
          <w:rFonts w:ascii="Verdana" w:hAnsi="Verdana"/>
          <w:sz w:val="20"/>
          <w:szCs w:val="20"/>
          <w:lang w:val="es-CR"/>
        </w:rPr>
        <w:t xml:space="preserve">por la forma </w:t>
      </w:r>
      <w:r w:rsidR="007C67B0">
        <w:rPr>
          <w:rFonts w:ascii="Verdana" w:hAnsi="Verdana"/>
          <w:sz w:val="20"/>
          <w:szCs w:val="20"/>
          <w:lang w:val="es-CR"/>
        </w:rPr>
        <w:t xml:space="preserve">en que </w:t>
      </w:r>
      <w:r w:rsidR="00C03503">
        <w:rPr>
          <w:rFonts w:ascii="Verdana" w:hAnsi="Verdana"/>
          <w:sz w:val="20"/>
          <w:szCs w:val="20"/>
          <w:lang w:val="es-CR"/>
        </w:rPr>
        <w:t>fue vinculado a</w:t>
      </w:r>
      <w:r w:rsidR="007C67B0">
        <w:rPr>
          <w:rFonts w:ascii="Verdana" w:hAnsi="Verdana"/>
          <w:sz w:val="20"/>
          <w:szCs w:val="20"/>
          <w:lang w:val="es-CR"/>
        </w:rPr>
        <w:t xml:space="preserve"> </w:t>
      </w:r>
      <w:r w:rsidR="00C03503">
        <w:rPr>
          <w:rFonts w:ascii="Verdana" w:hAnsi="Verdana"/>
          <w:sz w:val="20"/>
          <w:szCs w:val="20"/>
          <w:lang w:val="es-CR"/>
        </w:rPr>
        <w:t>proceso, detenido</w:t>
      </w:r>
      <w:r w:rsidR="00001333">
        <w:rPr>
          <w:rFonts w:ascii="Verdana" w:hAnsi="Verdana"/>
          <w:sz w:val="20"/>
          <w:szCs w:val="20"/>
          <w:lang w:val="es-CR"/>
        </w:rPr>
        <w:t>, ejercida su defensa legal pública</w:t>
      </w:r>
      <w:r w:rsidR="00C03503">
        <w:rPr>
          <w:rFonts w:ascii="Verdana" w:hAnsi="Verdana"/>
          <w:sz w:val="20"/>
          <w:szCs w:val="20"/>
          <w:lang w:val="es-CR"/>
        </w:rPr>
        <w:t xml:space="preserve"> y condenado penal</w:t>
      </w:r>
      <w:r w:rsidR="00001333">
        <w:rPr>
          <w:rFonts w:ascii="Verdana" w:hAnsi="Verdana"/>
          <w:sz w:val="20"/>
          <w:szCs w:val="20"/>
          <w:lang w:val="es-CR"/>
        </w:rPr>
        <w:t>mente</w:t>
      </w:r>
      <w:r w:rsidR="00C03503">
        <w:rPr>
          <w:rFonts w:ascii="Verdana" w:hAnsi="Verdana"/>
          <w:sz w:val="20"/>
          <w:szCs w:val="20"/>
          <w:lang w:val="es-CR"/>
        </w:rPr>
        <w:t xml:space="preserve"> por el delito de secuestro</w:t>
      </w:r>
      <w:r w:rsidR="004612B4">
        <w:rPr>
          <w:rFonts w:ascii="Verdana" w:hAnsi="Verdana"/>
          <w:sz w:val="20"/>
          <w:szCs w:val="20"/>
          <w:lang w:val="es-CR"/>
        </w:rPr>
        <w:t xml:space="preserve">. </w:t>
      </w:r>
      <w:r w:rsidR="00C03503">
        <w:rPr>
          <w:rFonts w:ascii="Verdana" w:hAnsi="Verdana"/>
          <w:sz w:val="20"/>
          <w:szCs w:val="20"/>
          <w:lang w:val="es-CR"/>
        </w:rPr>
        <w:t xml:space="preserve">El señor Ruano Torres fue torturado </w:t>
      </w:r>
      <w:r w:rsidR="004612B4">
        <w:rPr>
          <w:rFonts w:ascii="Verdana" w:hAnsi="Verdana"/>
          <w:sz w:val="20"/>
          <w:szCs w:val="20"/>
          <w:lang w:val="es-CR"/>
        </w:rPr>
        <w:t xml:space="preserve">por las autoridades policiales al momento de </w:t>
      </w:r>
      <w:r w:rsidR="00C03503">
        <w:rPr>
          <w:rFonts w:ascii="Verdana" w:hAnsi="Verdana"/>
          <w:sz w:val="20"/>
          <w:szCs w:val="20"/>
          <w:lang w:val="es-CR"/>
        </w:rPr>
        <w:t>su</w:t>
      </w:r>
      <w:r w:rsidR="004612B4">
        <w:rPr>
          <w:rFonts w:ascii="Verdana" w:hAnsi="Verdana"/>
          <w:sz w:val="20"/>
          <w:szCs w:val="20"/>
          <w:lang w:val="es-CR"/>
        </w:rPr>
        <w:t xml:space="preserve"> detención </w:t>
      </w:r>
      <w:r w:rsidR="00C03503">
        <w:rPr>
          <w:rFonts w:ascii="Verdana" w:hAnsi="Verdana"/>
          <w:sz w:val="20"/>
          <w:szCs w:val="20"/>
          <w:lang w:val="es-CR"/>
        </w:rPr>
        <w:t xml:space="preserve">y </w:t>
      </w:r>
      <w:r w:rsidR="004612B4">
        <w:rPr>
          <w:rFonts w:ascii="Verdana" w:hAnsi="Verdana"/>
          <w:sz w:val="20"/>
          <w:szCs w:val="20"/>
          <w:lang w:val="es-CR"/>
        </w:rPr>
        <w:t xml:space="preserve">el Estado no inició de oficio y con la debida diligencia una investigación sobre dichos actos. Asimismo, la Corte determinó que el Estado no adoptó medidas mínimas para dilucidar las dudas que habían en torno a la identidad del señor Ruano Torres </w:t>
      </w:r>
      <w:r w:rsidR="009372E9">
        <w:rPr>
          <w:rFonts w:ascii="Verdana" w:hAnsi="Verdana"/>
          <w:sz w:val="20"/>
          <w:szCs w:val="20"/>
          <w:lang w:val="es-CR"/>
        </w:rPr>
        <w:t xml:space="preserve">con respecto a la persona que había sido identificado como uno de los autores de un </w:t>
      </w:r>
      <w:r w:rsidR="007B6AF5">
        <w:rPr>
          <w:rFonts w:ascii="Verdana" w:hAnsi="Verdana"/>
          <w:sz w:val="20"/>
          <w:szCs w:val="20"/>
          <w:lang w:val="es-CR"/>
        </w:rPr>
        <w:t>delito</w:t>
      </w:r>
      <w:r w:rsidR="009137B7">
        <w:rPr>
          <w:rFonts w:ascii="Verdana" w:hAnsi="Verdana"/>
          <w:sz w:val="20"/>
          <w:szCs w:val="20"/>
          <w:lang w:val="es-CR"/>
        </w:rPr>
        <w:t xml:space="preserve"> de secuestro</w:t>
      </w:r>
      <w:r w:rsidR="007B6AF5">
        <w:rPr>
          <w:rFonts w:ascii="Verdana" w:hAnsi="Verdana"/>
          <w:sz w:val="20"/>
          <w:szCs w:val="20"/>
          <w:lang w:val="es-CR"/>
        </w:rPr>
        <w:t xml:space="preserve">. </w:t>
      </w:r>
      <w:r w:rsidR="00D91870">
        <w:rPr>
          <w:rFonts w:ascii="Verdana" w:hAnsi="Verdana"/>
          <w:sz w:val="20"/>
          <w:szCs w:val="20"/>
          <w:lang w:val="es-CR"/>
        </w:rPr>
        <w:t>Aunado a ello</w:t>
      </w:r>
      <w:r w:rsidR="009B5EDF">
        <w:rPr>
          <w:rFonts w:ascii="Verdana" w:hAnsi="Verdana"/>
          <w:sz w:val="20"/>
          <w:szCs w:val="20"/>
          <w:lang w:val="es-CR"/>
        </w:rPr>
        <w:t>, la Corte consideró que los recursos de revisión</w:t>
      </w:r>
      <w:r w:rsidR="009137B7">
        <w:rPr>
          <w:rFonts w:ascii="Verdana" w:hAnsi="Verdana"/>
          <w:sz w:val="20"/>
          <w:szCs w:val="20"/>
          <w:lang w:val="es-CR"/>
        </w:rPr>
        <w:t xml:space="preserve"> interpuestos por el señor José Agapito Ruano Torres,</w:t>
      </w:r>
      <w:r w:rsidR="00F5021C">
        <w:rPr>
          <w:rFonts w:ascii="Verdana" w:hAnsi="Verdana"/>
          <w:sz w:val="20"/>
          <w:szCs w:val="20"/>
          <w:lang w:val="es-CR"/>
        </w:rPr>
        <w:t xml:space="preserve"> ante </w:t>
      </w:r>
      <w:r w:rsidR="007C67B0">
        <w:rPr>
          <w:rFonts w:ascii="Verdana" w:hAnsi="Verdana"/>
          <w:sz w:val="20"/>
          <w:szCs w:val="20"/>
          <w:lang w:val="es-CR"/>
        </w:rPr>
        <w:t>las distintas instancias judiciales en El</w:t>
      </w:r>
      <w:r w:rsidR="00F5021C">
        <w:rPr>
          <w:rFonts w:ascii="Verdana" w:hAnsi="Verdana"/>
          <w:sz w:val="20"/>
          <w:szCs w:val="20"/>
          <w:lang w:val="es-CR"/>
        </w:rPr>
        <w:t xml:space="preserve"> Salvador,</w:t>
      </w:r>
      <w:r w:rsidR="009B5EDF">
        <w:rPr>
          <w:rFonts w:ascii="Verdana" w:hAnsi="Verdana"/>
          <w:sz w:val="20"/>
          <w:szCs w:val="20"/>
          <w:lang w:val="es-CR"/>
        </w:rPr>
        <w:t xml:space="preserve"> no constituyeron un recurso efectivo para remediar las vulneraciones de derechos humanos y, en particular, para controlar el respeto a la presunción de inocencia </w:t>
      </w:r>
      <w:r w:rsidR="00D91870">
        <w:rPr>
          <w:rFonts w:ascii="Verdana" w:hAnsi="Verdana"/>
          <w:sz w:val="20"/>
          <w:szCs w:val="20"/>
          <w:lang w:val="es-CR"/>
        </w:rPr>
        <w:t xml:space="preserve">y al derecho a la defensa y, además, que la defensa técnica proveída por el Estado al señor Ruano actuó sin la diligencia debida. Finalmente, la Corte constató que </w:t>
      </w:r>
      <w:r w:rsidR="00D44755">
        <w:rPr>
          <w:rFonts w:ascii="Verdana" w:hAnsi="Verdana"/>
          <w:sz w:val="20"/>
          <w:szCs w:val="20"/>
          <w:lang w:val="es-CR"/>
        </w:rPr>
        <w:t xml:space="preserve">María Maribel Guevara de Ruano, </w:t>
      </w:r>
      <w:r w:rsidR="00D91870">
        <w:rPr>
          <w:rFonts w:ascii="Verdana" w:hAnsi="Verdana"/>
          <w:sz w:val="20"/>
          <w:szCs w:val="20"/>
          <w:lang w:val="es-CR"/>
        </w:rPr>
        <w:t>esposa del señor José Agapito Ruano Torres, sus hijos</w:t>
      </w:r>
      <w:r w:rsidR="007C6093">
        <w:rPr>
          <w:rFonts w:ascii="Verdana" w:hAnsi="Verdana"/>
          <w:sz w:val="20"/>
          <w:szCs w:val="20"/>
          <w:lang w:val="es-CR"/>
        </w:rPr>
        <w:t xml:space="preserve"> Oscar Manuel Ruano Guevara y Keily Lisbeth Ruano Guevara,</w:t>
      </w:r>
      <w:r w:rsidR="00D91870">
        <w:rPr>
          <w:rFonts w:ascii="Verdana" w:hAnsi="Verdana"/>
          <w:sz w:val="20"/>
          <w:szCs w:val="20"/>
          <w:lang w:val="es-CR"/>
        </w:rPr>
        <w:t xml:space="preserve"> y </w:t>
      </w:r>
      <w:r w:rsidR="007C6093">
        <w:rPr>
          <w:rFonts w:ascii="Verdana" w:hAnsi="Verdana"/>
          <w:sz w:val="20"/>
          <w:szCs w:val="20"/>
          <w:lang w:val="es-CR"/>
        </w:rPr>
        <w:t xml:space="preserve">su primo </w:t>
      </w:r>
      <w:r w:rsidR="00D91870">
        <w:rPr>
          <w:rFonts w:ascii="Verdana" w:hAnsi="Verdana"/>
          <w:sz w:val="20"/>
          <w:szCs w:val="20"/>
          <w:lang w:val="es-CR"/>
        </w:rPr>
        <w:t xml:space="preserve">Pedro Torres Hércules, sufrieron afectaciones tanto a la integridad psíquica como moral, y al desarrollo personal, </w:t>
      </w:r>
      <w:r w:rsidR="00D44755">
        <w:rPr>
          <w:rFonts w:ascii="Verdana" w:hAnsi="Verdana"/>
          <w:sz w:val="20"/>
          <w:szCs w:val="20"/>
          <w:lang w:val="es-CR"/>
        </w:rPr>
        <w:t>violándose</w:t>
      </w:r>
      <w:r w:rsidR="00123A5F">
        <w:rPr>
          <w:rFonts w:ascii="Verdana" w:hAnsi="Verdana"/>
          <w:sz w:val="20"/>
          <w:szCs w:val="20"/>
          <w:lang w:val="es-CR"/>
        </w:rPr>
        <w:t xml:space="preserve"> su</w:t>
      </w:r>
      <w:r w:rsidR="00D91870">
        <w:rPr>
          <w:rFonts w:ascii="Verdana" w:hAnsi="Verdana"/>
          <w:sz w:val="20"/>
          <w:szCs w:val="20"/>
          <w:lang w:val="es-CR"/>
        </w:rPr>
        <w:t xml:space="preserve"> derecho a la integridad personal. </w:t>
      </w:r>
      <w:r w:rsidR="00F71C32" w:rsidRPr="004612B4">
        <w:rPr>
          <w:rFonts w:ascii="Verdana" w:hAnsi="Verdana"/>
          <w:sz w:val="20"/>
          <w:szCs w:val="20"/>
          <w:lang w:val="es-CR"/>
        </w:rPr>
        <w:t>El</w:t>
      </w:r>
      <w:r w:rsidR="00F71C32">
        <w:rPr>
          <w:rFonts w:ascii="Verdana" w:hAnsi="Verdana"/>
          <w:sz w:val="20"/>
          <w:szCs w:val="20"/>
          <w:lang w:val="es-CR"/>
        </w:rPr>
        <w:t xml:space="preserve"> Tribunal estableció que su Sentencia constituye por sí misma una forma de reparación y, adicionalmente, ordenó al Estado determinadas medidas de reparación (</w:t>
      </w:r>
      <w:r w:rsidR="00396968">
        <w:rPr>
          <w:rFonts w:ascii="Verdana" w:hAnsi="Verdana"/>
          <w:i/>
          <w:sz w:val="20"/>
          <w:szCs w:val="20"/>
          <w:lang w:val="es-CR"/>
        </w:rPr>
        <w:t>infra</w:t>
      </w:r>
      <w:r w:rsidR="00F71C32">
        <w:rPr>
          <w:rFonts w:ascii="Verdana" w:hAnsi="Verdana"/>
          <w:i/>
          <w:sz w:val="20"/>
          <w:szCs w:val="20"/>
          <w:lang w:val="es-CR"/>
        </w:rPr>
        <w:t xml:space="preserve"> </w:t>
      </w:r>
      <w:r w:rsidR="00F71C32">
        <w:rPr>
          <w:rFonts w:ascii="Verdana" w:hAnsi="Verdana"/>
          <w:sz w:val="20"/>
          <w:szCs w:val="20"/>
          <w:lang w:val="es-CR"/>
        </w:rPr>
        <w:t xml:space="preserve">Considerando </w:t>
      </w:r>
      <w:r w:rsidR="00291668">
        <w:rPr>
          <w:rFonts w:ascii="Verdana" w:hAnsi="Verdana"/>
          <w:sz w:val="20"/>
          <w:szCs w:val="20"/>
          <w:lang w:val="es-CR"/>
        </w:rPr>
        <w:fldChar w:fldCharType="begin"/>
      </w:r>
      <w:r w:rsidR="00291668">
        <w:rPr>
          <w:rFonts w:ascii="Verdana" w:hAnsi="Verdana"/>
          <w:sz w:val="20"/>
          <w:szCs w:val="20"/>
          <w:lang w:val="es-CR"/>
        </w:rPr>
        <w:instrText xml:space="preserve"> REF _Ref504381323 \r \h </w:instrText>
      </w:r>
      <w:r w:rsidR="00291668">
        <w:rPr>
          <w:rFonts w:ascii="Verdana" w:hAnsi="Verdana"/>
          <w:sz w:val="20"/>
          <w:szCs w:val="20"/>
          <w:lang w:val="es-CR"/>
        </w:rPr>
      </w:r>
      <w:r w:rsidR="00291668">
        <w:rPr>
          <w:rFonts w:ascii="Verdana" w:hAnsi="Verdana"/>
          <w:sz w:val="20"/>
          <w:szCs w:val="20"/>
          <w:lang w:val="es-CR"/>
        </w:rPr>
        <w:fldChar w:fldCharType="separate"/>
      </w:r>
      <w:r w:rsidR="00925686">
        <w:rPr>
          <w:rFonts w:ascii="Verdana" w:hAnsi="Verdana"/>
          <w:sz w:val="20"/>
          <w:szCs w:val="20"/>
          <w:lang w:val="es-CR"/>
        </w:rPr>
        <w:t>1</w:t>
      </w:r>
      <w:r w:rsidR="00291668">
        <w:rPr>
          <w:rFonts w:ascii="Verdana" w:hAnsi="Verdana"/>
          <w:sz w:val="20"/>
          <w:szCs w:val="20"/>
          <w:lang w:val="es-CR"/>
        </w:rPr>
        <w:fldChar w:fldCharType="end"/>
      </w:r>
      <w:r w:rsidR="00F71C32">
        <w:rPr>
          <w:rFonts w:ascii="Verdana" w:hAnsi="Verdana"/>
          <w:sz w:val="20"/>
          <w:szCs w:val="20"/>
          <w:lang w:val="es-CR"/>
        </w:rPr>
        <w:t>).</w:t>
      </w:r>
      <w:bookmarkEnd w:id="1"/>
      <w:r w:rsidR="00F71C32">
        <w:rPr>
          <w:rFonts w:ascii="Verdana" w:hAnsi="Verdana"/>
          <w:sz w:val="20"/>
          <w:szCs w:val="20"/>
          <w:lang w:val="es-CR"/>
        </w:rPr>
        <w:t xml:space="preserve"> </w:t>
      </w:r>
    </w:p>
    <w:p w14:paraId="3D6D829E" w14:textId="77777777" w:rsidR="000119AE" w:rsidRPr="000119AE" w:rsidRDefault="000119AE" w:rsidP="000119AE">
      <w:pPr>
        <w:spacing w:after="0" w:line="240" w:lineRule="auto"/>
        <w:jc w:val="both"/>
        <w:rPr>
          <w:rFonts w:ascii="Verdana" w:hAnsi="Verdana"/>
          <w:sz w:val="20"/>
          <w:szCs w:val="20"/>
          <w:lang w:val="es-CR"/>
        </w:rPr>
      </w:pPr>
    </w:p>
    <w:p w14:paraId="2D38C1FD" w14:textId="5862A0AE" w:rsidR="003557DD" w:rsidRPr="00F71C32" w:rsidRDefault="00F71C32"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 xml:space="preserve">Los </w:t>
      </w:r>
      <w:r w:rsidR="00761555">
        <w:rPr>
          <w:rFonts w:ascii="Verdana" w:hAnsi="Verdana"/>
          <w:sz w:val="20"/>
          <w:szCs w:val="20"/>
          <w:lang w:val="es-CR"/>
        </w:rPr>
        <w:t>tres</w:t>
      </w:r>
      <w:r>
        <w:rPr>
          <w:rFonts w:ascii="Verdana" w:hAnsi="Verdana"/>
          <w:sz w:val="20"/>
          <w:szCs w:val="20"/>
          <w:lang w:val="es-CR"/>
        </w:rPr>
        <w:t xml:space="preserve"> informes presentados por el Estado de </w:t>
      </w:r>
      <w:r w:rsidR="00BE1A2F">
        <w:rPr>
          <w:rFonts w:ascii="Verdana" w:hAnsi="Verdana"/>
          <w:sz w:val="20"/>
          <w:szCs w:val="20"/>
          <w:lang w:val="es-CR"/>
        </w:rPr>
        <w:t>El Salvador</w:t>
      </w:r>
      <w:r>
        <w:rPr>
          <w:rFonts w:ascii="Verdana" w:hAnsi="Verdana"/>
          <w:sz w:val="20"/>
          <w:szCs w:val="20"/>
          <w:lang w:val="es-CR"/>
        </w:rPr>
        <w:t xml:space="preserve"> e</w:t>
      </w:r>
      <w:r w:rsidR="00761555">
        <w:rPr>
          <w:rFonts w:ascii="Verdana" w:hAnsi="Verdana"/>
          <w:sz w:val="20"/>
          <w:szCs w:val="20"/>
          <w:lang w:val="es-CR"/>
        </w:rPr>
        <w:t>ntre mayo y octubre de 2017</w:t>
      </w:r>
      <w:r w:rsidR="00761555">
        <w:rPr>
          <w:rStyle w:val="FootnoteReference"/>
          <w:rFonts w:ascii="Verdana" w:hAnsi="Verdana"/>
          <w:sz w:val="20"/>
          <w:szCs w:val="20"/>
          <w:lang w:val="es-CR"/>
        </w:rPr>
        <w:footnoteReference w:id="3"/>
      </w:r>
      <w:r w:rsidR="00761555">
        <w:rPr>
          <w:rFonts w:ascii="Verdana" w:hAnsi="Verdana"/>
          <w:sz w:val="20"/>
          <w:szCs w:val="20"/>
          <w:lang w:val="es-CR"/>
        </w:rPr>
        <w:t>.</w:t>
      </w:r>
      <w:r w:rsidR="003557DD">
        <w:rPr>
          <w:rFonts w:ascii="Verdana" w:hAnsi="Verdana"/>
          <w:b/>
          <w:sz w:val="20"/>
          <w:szCs w:val="20"/>
          <w:lang w:val="es-CR"/>
        </w:rPr>
        <w:t xml:space="preserve">  </w:t>
      </w:r>
    </w:p>
    <w:p w14:paraId="7576D189" w14:textId="77777777" w:rsidR="00F71C32" w:rsidRPr="00F71C32" w:rsidRDefault="00F71C32" w:rsidP="00F71C32">
      <w:pPr>
        <w:pStyle w:val="ListParagraph"/>
        <w:rPr>
          <w:rFonts w:ascii="Verdana" w:hAnsi="Verdana"/>
          <w:sz w:val="20"/>
          <w:szCs w:val="20"/>
          <w:lang w:val="es-CR"/>
        </w:rPr>
      </w:pPr>
    </w:p>
    <w:p w14:paraId="6A5171AC" w14:textId="24CD42FB" w:rsidR="00F71C32" w:rsidRDefault="00761555"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Los dos</w:t>
      </w:r>
      <w:r w:rsidR="00BE1A2F">
        <w:rPr>
          <w:rFonts w:ascii="Verdana" w:hAnsi="Verdana"/>
          <w:sz w:val="20"/>
          <w:szCs w:val="20"/>
          <w:lang w:val="es-CR"/>
        </w:rPr>
        <w:t xml:space="preserve"> e</w:t>
      </w:r>
      <w:r w:rsidR="00F71C32">
        <w:rPr>
          <w:rFonts w:ascii="Verdana" w:hAnsi="Verdana"/>
          <w:sz w:val="20"/>
          <w:szCs w:val="20"/>
          <w:lang w:val="es-CR"/>
        </w:rPr>
        <w:t>scrito</w:t>
      </w:r>
      <w:r>
        <w:rPr>
          <w:rFonts w:ascii="Verdana" w:hAnsi="Verdana"/>
          <w:sz w:val="20"/>
          <w:szCs w:val="20"/>
          <w:lang w:val="es-CR"/>
        </w:rPr>
        <w:t>s</w:t>
      </w:r>
      <w:r w:rsidR="00F71C32">
        <w:rPr>
          <w:rFonts w:ascii="Verdana" w:hAnsi="Verdana"/>
          <w:sz w:val="20"/>
          <w:szCs w:val="20"/>
          <w:lang w:val="es-CR"/>
        </w:rPr>
        <w:t xml:space="preserve"> de observaciones presentado</w:t>
      </w:r>
      <w:r>
        <w:rPr>
          <w:rFonts w:ascii="Verdana" w:hAnsi="Verdana"/>
          <w:sz w:val="20"/>
          <w:szCs w:val="20"/>
          <w:lang w:val="es-CR"/>
        </w:rPr>
        <w:t>s</w:t>
      </w:r>
      <w:r w:rsidR="00F71C32">
        <w:rPr>
          <w:rFonts w:ascii="Verdana" w:hAnsi="Verdana"/>
          <w:sz w:val="20"/>
          <w:szCs w:val="20"/>
          <w:lang w:val="es-CR"/>
        </w:rPr>
        <w:t xml:space="preserve"> por </w:t>
      </w:r>
      <w:r w:rsidR="00227136">
        <w:rPr>
          <w:rFonts w:ascii="Verdana" w:hAnsi="Verdana"/>
          <w:sz w:val="20"/>
          <w:szCs w:val="20"/>
          <w:lang w:val="es-CR"/>
        </w:rPr>
        <w:t>el representante de la</w:t>
      </w:r>
      <w:r w:rsidR="0094684F">
        <w:rPr>
          <w:rFonts w:ascii="Verdana" w:hAnsi="Verdana"/>
          <w:sz w:val="20"/>
          <w:szCs w:val="20"/>
          <w:lang w:val="es-CR"/>
        </w:rPr>
        <w:t>s</w:t>
      </w:r>
      <w:r w:rsidR="00227136">
        <w:rPr>
          <w:rFonts w:ascii="Verdana" w:hAnsi="Verdana"/>
          <w:sz w:val="20"/>
          <w:szCs w:val="20"/>
          <w:lang w:val="es-CR"/>
        </w:rPr>
        <w:t xml:space="preserve"> víctima</w:t>
      </w:r>
      <w:r w:rsidR="0094684F">
        <w:rPr>
          <w:rFonts w:ascii="Verdana" w:hAnsi="Verdana"/>
          <w:sz w:val="20"/>
          <w:szCs w:val="20"/>
          <w:lang w:val="es-CR"/>
        </w:rPr>
        <w:t>s</w:t>
      </w:r>
      <w:r w:rsidR="00B84117">
        <w:rPr>
          <w:rStyle w:val="FootnoteReference"/>
          <w:rFonts w:ascii="Verdana" w:hAnsi="Verdana"/>
          <w:sz w:val="20"/>
          <w:szCs w:val="20"/>
          <w:lang w:val="es-CR"/>
        </w:rPr>
        <w:footnoteReference w:id="4"/>
      </w:r>
      <w:r w:rsidR="00B208BB">
        <w:rPr>
          <w:rFonts w:ascii="Verdana" w:hAnsi="Verdana"/>
          <w:sz w:val="20"/>
          <w:szCs w:val="20"/>
          <w:lang w:val="es-CR"/>
        </w:rPr>
        <w:t xml:space="preserve"> (en adelante “el representante”),</w:t>
      </w:r>
      <w:r w:rsidR="00227136">
        <w:rPr>
          <w:rFonts w:ascii="Verdana" w:hAnsi="Verdana"/>
          <w:sz w:val="20"/>
          <w:szCs w:val="20"/>
          <w:lang w:val="es-CR"/>
        </w:rPr>
        <w:t xml:space="preserve"> el 1</w:t>
      </w:r>
      <w:r w:rsidR="00BE1A2F">
        <w:rPr>
          <w:rFonts w:ascii="Verdana" w:hAnsi="Verdana"/>
          <w:sz w:val="20"/>
          <w:szCs w:val="20"/>
          <w:lang w:val="es-CR"/>
        </w:rPr>
        <w:t>9</w:t>
      </w:r>
      <w:r w:rsidR="00227136">
        <w:rPr>
          <w:rFonts w:ascii="Verdana" w:hAnsi="Verdana"/>
          <w:sz w:val="20"/>
          <w:szCs w:val="20"/>
          <w:lang w:val="es-CR"/>
        </w:rPr>
        <w:t xml:space="preserve"> de ju</w:t>
      </w:r>
      <w:r w:rsidR="00BE1A2F">
        <w:rPr>
          <w:rFonts w:ascii="Verdana" w:hAnsi="Verdana"/>
          <w:sz w:val="20"/>
          <w:szCs w:val="20"/>
          <w:lang w:val="es-CR"/>
        </w:rPr>
        <w:t>l</w:t>
      </w:r>
      <w:r w:rsidR="00227136">
        <w:rPr>
          <w:rFonts w:ascii="Verdana" w:hAnsi="Verdana"/>
          <w:sz w:val="20"/>
          <w:szCs w:val="20"/>
          <w:lang w:val="es-CR"/>
        </w:rPr>
        <w:t xml:space="preserve">io </w:t>
      </w:r>
      <w:r>
        <w:rPr>
          <w:rFonts w:ascii="Verdana" w:hAnsi="Verdana"/>
          <w:sz w:val="20"/>
          <w:szCs w:val="20"/>
          <w:lang w:val="es-CR"/>
        </w:rPr>
        <w:t xml:space="preserve">y el 24 de octubre de 2017. </w:t>
      </w:r>
    </w:p>
    <w:p w14:paraId="5182CBE5" w14:textId="77777777" w:rsidR="00F71C32" w:rsidRPr="00F71C32" w:rsidRDefault="00F71C32" w:rsidP="00F71C32">
      <w:pPr>
        <w:pStyle w:val="ListParagraph"/>
        <w:rPr>
          <w:rFonts w:ascii="Verdana" w:hAnsi="Verdana"/>
          <w:sz w:val="20"/>
          <w:szCs w:val="20"/>
          <w:lang w:val="es-CR"/>
        </w:rPr>
      </w:pPr>
    </w:p>
    <w:p w14:paraId="21D4E610" w14:textId="265A4B94" w:rsidR="00F71C32" w:rsidRDefault="00F71C32" w:rsidP="00BD0976">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El escrito de observaciones presentado por la Comisión Interamericana de Derechos Humanos (en adelante “la Comisión Interamericana” o “la Comisión”) el </w:t>
      </w:r>
      <w:r w:rsidR="004E6612">
        <w:rPr>
          <w:rFonts w:ascii="Verdana" w:hAnsi="Verdana"/>
          <w:sz w:val="20"/>
          <w:szCs w:val="20"/>
          <w:lang w:val="es-CR"/>
        </w:rPr>
        <w:t xml:space="preserve">2 de septiembre de 2017. </w:t>
      </w:r>
      <w:r w:rsidR="004E6612">
        <w:rPr>
          <w:rFonts w:ascii="Verdana" w:hAnsi="Verdana"/>
          <w:b/>
          <w:sz w:val="20"/>
          <w:szCs w:val="20"/>
          <w:lang w:val="es-CR"/>
        </w:rPr>
        <w:t xml:space="preserve"> </w:t>
      </w:r>
    </w:p>
    <w:p w14:paraId="7F8AAD6E" w14:textId="77777777" w:rsidR="00BD0976" w:rsidRDefault="00BD0976" w:rsidP="00BD0976">
      <w:pPr>
        <w:spacing w:after="0" w:line="240" w:lineRule="auto"/>
        <w:jc w:val="both"/>
        <w:rPr>
          <w:rFonts w:ascii="Verdana" w:hAnsi="Verdana"/>
          <w:sz w:val="20"/>
          <w:szCs w:val="20"/>
          <w:lang w:val="es-CR"/>
        </w:rPr>
      </w:pPr>
    </w:p>
    <w:p w14:paraId="062C48F4" w14:textId="77777777" w:rsidR="00BD0976" w:rsidRDefault="00BD0976" w:rsidP="00BD0976">
      <w:pPr>
        <w:spacing w:after="0" w:line="240" w:lineRule="auto"/>
        <w:jc w:val="both"/>
        <w:rPr>
          <w:rFonts w:ascii="Verdana" w:hAnsi="Verdana"/>
          <w:sz w:val="20"/>
          <w:szCs w:val="20"/>
          <w:lang w:val="es-CR"/>
        </w:rPr>
      </w:pPr>
      <w:r>
        <w:rPr>
          <w:rFonts w:ascii="Verdana" w:hAnsi="Verdana"/>
          <w:b/>
          <w:sz w:val="20"/>
          <w:szCs w:val="20"/>
          <w:lang w:val="es-CR"/>
        </w:rPr>
        <w:t>CONSIDERANDO QUE:</w:t>
      </w:r>
    </w:p>
    <w:p w14:paraId="6BF77302" w14:textId="77777777" w:rsidR="00BD0976" w:rsidRDefault="00BD0976" w:rsidP="00BD0976">
      <w:pPr>
        <w:spacing w:after="0" w:line="240" w:lineRule="auto"/>
        <w:jc w:val="both"/>
        <w:rPr>
          <w:rFonts w:ascii="Verdana" w:hAnsi="Verdana"/>
          <w:sz w:val="20"/>
          <w:szCs w:val="20"/>
          <w:lang w:val="es-CR"/>
        </w:rPr>
      </w:pPr>
    </w:p>
    <w:p w14:paraId="6CE1CD80" w14:textId="2FFEC59C" w:rsidR="002303F1" w:rsidRDefault="00BD0976" w:rsidP="00763AFC">
      <w:pPr>
        <w:pStyle w:val="ListParagraph"/>
        <w:numPr>
          <w:ilvl w:val="0"/>
          <w:numId w:val="2"/>
        </w:numPr>
        <w:spacing w:line="240" w:lineRule="auto"/>
        <w:ind w:left="0" w:firstLine="0"/>
        <w:jc w:val="both"/>
        <w:rPr>
          <w:rFonts w:ascii="Verdana" w:hAnsi="Verdana"/>
          <w:sz w:val="20"/>
          <w:szCs w:val="20"/>
          <w:lang w:val="es-CR"/>
        </w:rPr>
      </w:pPr>
      <w:bookmarkStart w:id="2" w:name="_Ref504381323"/>
      <w:r w:rsidRPr="002303F1">
        <w:rPr>
          <w:rFonts w:ascii="Verdana" w:hAnsi="Verdana"/>
          <w:sz w:val="20"/>
          <w:szCs w:val="20"/>
          <w:lang w:val="es-CR"/>
        </w:rPr>
        <w:t>En el ejercicio de su función jurisdiccional de supervisar el cumplimiento de sus decisiones</w:t>
      </w:r>
      <w:r>
        <w:rPr>
          <w:rStyle w:val="FootnoteReference"/>
          <w:rFonts w:ascii="Verdana" w:hAnsi="Verdana"/>
          <w:lang w:val="es-CR"/>
        </w:rPr>
        <w:footnoteReference w:id="5"/>
      </w:r>
      <w:r w:rsidRPr="002303F1">
        <w:rPr>
          <w:rFonts w:ascii="Verdana" w:hAnsi="Verdana"/>
          <w:sz w:val="20"/>
          <w:szCs w:val="20"/>
          <w:lang w:val="es-CR"/>
        </w:rPr>
        <w:t xml:space="preserve">, la Corte ha venido supervisando la ejecución de la Sentencia emitida en el presente caso </w:t>
      </w:r>
      <w:r w:rsidR="00BE1A2F" w:rsidRPr="002303F1">
        <w:rPr>
          <w:rFonts w:ascii="Verdana" w:hAnsi="Verdana"/>
          <w:sz w:val="20"/>
          <w:szCs w:val="20"/>
          <w:lang w:val="es-CR"/>
        </w:rPr>
        <w:t>en el año 2015</w:t>
      </w:r>
      <w:r w:rsidRPr="002303F1">
        <w:rPr>
          <w:rFonts w:ascii="Verdana" w:hAnsi="Verdana"/>
          <w:sz w:val="20"/>
          <w:szCs w:val="20"/>
          <w:lang w:val="es-CR"/>
        </w:rPr>
        <w:t xml:space="preserve"> (</w:t>
      </w:r>
      <w:r w:rsidRPr="002303F1">
        <w:rPr>
          <w:rFonts w:ascii="Verdana" w:hAnsi="Verdana"/>
          <w:i/>
          <w:sz w:val="20"/>
          <w:szCs w:val="20"/>
          <w:lang w:val="es-CR"/>
        </w:rPr>
        <w:t xml:space="preserve">supra </w:t>
      </w:r>
      <w:r w:rsidRPr="002303F1">
        <w:rPr>
          <w:rFonts w:ascii="Verdana" w:hAnsi="Verdana"/>
          <w:sz w:val="20"/>
          <w:szCs w:val="20"/>
          <w:lang w:val="es-CR"/>
        </w:rPr>
        <w:t xml:space="preserve">Visto </w:t>
      </w:r>
      <w:r w:rsidR="00B208BB" w:rsidRPr="002303F1">
        <w:rPr>
          <w:rFonts w:ascii="Verdana" w:hAnsi="Verdana"/>
          <w:sz w:val="20"/>
          <w:szCs w:val="20"/>
          <w:lang w:val="es-CR"/>
        </w:rPr>
        <w:fldChar w:fldCharType="begin"/>
      </w:r>
      <w:r w:rsidR="00B208BB" w:rsidRPr="002303F1">
        <w:rPr>
          <w:rFonts w:ascii="Verdana" w:hAnsi="Verdana"/>
          <w:sz w:val="20"/>
          <w:szCs w:val="20"/>
          <w:lang w:val="es-CR"/>
        </w:rPr>
        <w:instrText xml:space="preserve"> REF _Ref504381338 \r \h </w:instrText>
      </w:r>
      <w:r w:rsidR="00B208BB" w:rsidRPr="002303F1">
        <w:rPr>
          <w:rFonts w:ascii="Verdana" w:hAnsi="Verdana"/>
          <w:sz w:val="20"/>
          <w:szCs w:val="20"/>
          <w:lang w:val="es-CR"/>
        </w:rPr>
      </w:r>
      <w:r w:rsidR="00B208BB" w:rsidRPr="002303F1">
        <w:rPr>
          <w:rFonts w:ascii="Verdana" w:hAnsi="Verdana"/>
          <w:sz w:val="20"/>
          <w:szCs w:val="20"/>
          <w:lang w:val="es-CR"/>
        </w:rPr>
        <w:fldChar w:fldCharType="separate"/>
      </w:r>
      <w:r w:rsidR="00925686">
        <w:rPr>
          <w:rFonts w:ascii="Verdana" w:hAnsi="Verdana"/>
          <w:sz w:val="20"/>
          <w:szCs w:val="20"/>
          <w:lang w:val="es-CR"/>
        </w:rPr>
        <w:t>1</w:t>
      </w:r>
      <w:r w:rsidR="00B208BB" w:rsidRPr="002303F1">
        <w:rPr>
          <w:rFonts w:ascii="Verdana" w:hAnsi="Verdana"/>
          <w:sz w:val="20"/>
          <w:szCs w:val="20"/>
          <w:lang w:val="es-CR"/>
        </w:rPr>
        <w:fldChar w:fldCharType="end"/>
      </w:r>
      <w:r w:rsidRPr="002303F1">
        <w:rPr>
          <w:rFonts w:ascii="Verdana" w:hAnsi="Verdana"/>
          <w:sz w:val="20"/>
          <w:szCs w:val="20"/>
          <w:lang w:val="es-CR"/>
        </w:rPr>
        <w:t xml:space="preserve">). </w:t>
      </w:r>
      <w:r w:rsidR="00BB6DF3" w:rsidRPr="002303F1">
        <w:rPr>
          <w:rFonts w:ascii="Verdana" w:hAnsi="Verdana"/>
          <w:sz w:val="20"/>
          <w:szCs w:val="20"/>
          <w:lang w:val="es-CR"/>
        </w:rPr>
        <w:t>En la Sentencia, la Corte dispuso</w:t>
      </w:r>
      <w:r w:rsidR="00D44755" w:rsidRPr="002303F1">
        <w:rPr>
          <w:rFonts w:ascii="Verdana" w:hAnsi="Verdana"/>
          <w:sz w:val="20"/>
          <w:szCs w:val="20"/>
          <w:lang w:val="es-CR"/>
        </w:rPr>
        <w:t xml:space="preserve"> 11 medidas de reparación y el reintegro al Fondo Legal de Víctimas (</w:t>
      </w:r>
      <w:r w:rsidR="00D44755" w:rsidRPr="002303F1">
        <w:rPr>
          <w:rFonts w:ascii="Verdana" w:hAnsi="Verdana"/>
          <w:i/>
          <w:sz w:val="20"/>
          <w:szCs w:val="20"/>
          <w:lang w:val="es-CR"/>
        </w:rPr>
        <w:t>infra</w:t>
      </w:r>
      <w:r w:rsidR="00D44755" w:rsidRPr="002303F1">
        <w:rPr>
          <w:rFonts w:ascii="Verdana" w:hAnsi="Verdana"/>
          <w:sz w:val="20"/>
          <w:szCs w:val="20"/>
          <w:lang w:val="es-CR"/>
        </w:rPr>
        <w:t xml:space="preserve"> Considerandos 4, 9, 12, 15 y 18).</w:t>
      </w:r>
    </w:p>
    <w:p w14:paraId="279AA485" w14:textId="2D95A442" w:rsidR="00763AFC" w:rsidRPr="002303F1" w:rsidRDefault="006545B3" w:rsidP="002303F1">
      <w:pPr>
        <w:pStyle w:val="ListParagraph"/>
        <w:spacing w:line="240" w:lineRule="auto"/>
        <w:ind w:left="0"/>
        <w:jc w:val="both"/>
        <w:rPr>
          <w:rFonts w:ascii="Verdana" w:hAnsi="Verdana"/>
          <w:sz w:val="20"/>
          <w:szCs w:val="20"/>
          <w:lang w:val="es-CR"/>
        </w:rPr>
      </w:pPr>
      <w:r w:rsidRPr="002303F1">
        <w:rPr>
          <w:rFonts w:ascii="Verdana" w:hAnsi="Verdana"/>
          <w:sz w:val="20"/>
          <w:szCs w:val="20"/>
          <w:lang w:val="es-CR"/>
        </w:rPr>
        <w:t xml:space="preserve"> </w:t>
      </w:r>
      <w:bookmarkEnd w:id="2"/>
    </w:p>
    <w:p w14:paraId="72A65A94" w14:textId="67536271" w:rsidR="00B50C62" w:rsidRDefault="00BD0976" w:rsidP="00B50C62">
      <w:pPr>
        <w:pStyle w:val="ListParagraph"/>
        <w:numPr>
          <w:ilvl w:val="0"/>
          <w:numId w:val="2"/>
        </w:numPr>
        <w:spacing w:line="240" w:lineRule="auto"/>
        <w:ind w:left="0" w:firstLine="0"/>
        <w:jc w:val="both"/>
        <w:rPr>
          <w:rFonts w:ascii="Verdana" w:hAnsi="Verdana"/>
          <w:sz w:val="20"/>
          <w:szCs w:val="20"/>
          <w:lang w:val="es-CR"/>
        </w:rPr>
      </w:pPr>
      <w:r w:rsidRPr="00763AFC">
        <w:rPr>
          <w:rFonts w:ascii="Verdana" w:hAnsi="Verdana"/>
          <w:sz w:val="20"/>
          <w:szCs w:val="20"/>
          <w:lang w:val="es-CR"/>
        </w:rPr>
        <w:t>D</w:t>
      </w:r>
      <w:r w:rsidRPr="00C956BF">
        <w:rPr>
          <w:rFonts w:ascii="Verdana" w:hAnsi="Verdana"/>
          <w:i/>
          <w:sz w:val="20"/>
          <w:szCs w:val="20"/>
          <w:lang w:val="es-CR"/>
        </w:rPr>
        <w:t>e</w:t>
      </w:r>
      <w:r>
        <w:rPr>
          <w:rFonts w:ascii="Verdana" w:hAnsi="Verdana"/>
          <w:sz w:val="20"/>
          <w:szCs w:val="20"/>
          <w:lang w:val="es-CR"/>
        </w:rPr>
        <w:t xml:space="preserv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por ésta, lo cual es fundamental para evaluar el estado de cumplimiento de la Sentencia en su conjunto</w:t>
      </w:r>
      <w:r w:rsidR="00BD1E56">
        <w:rPr>
          <w:rStyle w:val="FootnoteReference"/>
          <w:rFonts w:ascii="Verdana" w:hAnsi="Verdana"/>
          <w:sz w:val="20"/>
          <w:szCs w:val="20"/>
          <w:lang w:val="es-CR"/>
        </w:rPr>
        <w:footnoteReference w:id="6"/>
      </w:r>
      <w:r>
        <w:rPr>
          <w:rFonts w:ascii="Verdana" w:hAnsi="Verdana"/>
          <w:sz w:val="20"/>
          <w:szCs w:val="20"/>
          <w:lang w:val="es-CR"/>
        </w:rPr>
        <w:t>. Los Estados Parte en la Convención deben garantizar el cumplimiento de las disposiciones convencionales y sus efectos propios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7"/>
      </w:r>
      <w:r>
        <w:rPr>
          <w:rFonts w:ascii="Verdana" w:hAnsi="Verdana"/>
          <w:sz w:val="20"/>
          <w:szCs w:val="20"/>
          <w:lang w:val="es-CR"/>
        </w:rPr>
        <w:t>.</w:t>
      </w:r>
    </w:p>
    <w:p w14:paraId="72EDDEEB" w14:textId="77777777" w:rsidR="00B50C62" w:rsidRDefault="00B50C62" w:rsidP="00B50C62">
      <w:pPr>
        <w:pStyle w:val="ListParagraph"/>
        <w:spacing w:line="240" w:lineRule="auto"/>
        <w:ind w:left="0"/>
        <w:jc w:val="both"/>
        <w:rPr>
          <w:rFonts w:ascii="Verdana" w:hAnsi="Verdana"/>
          <w:sz w:val="20"/>
          <w:szCs w:val="20"/>
          <w:lang w:val="es-CR"/>
        </w:rPr>
      </w:pPr>
    </w:p>
    <w:p w14:paraId="2A8DC0A7" w14:textId="70A2E072" w:rsidR="00B50C62" w:rsidRPr="00A72709" w:rsidRDefault="00B50C62" w:rsidP="00BD0976">
      <w:pPr>
        <w:pStyle w:val="ListParagraph"/>
        <w:numPr>
          <w:ilvl w:val="0"/>
          <w:numId w:val="2"/>
        </w:numPr>
        <w:spacing w:after="0" w:line="240" w:lineRule="auto"/>
        <w:ind w:left="0" w:firstLine="0"/>
        <w:jc w:val="both"/>
        <w:rPr>
          <w:rFonts w:ascii="Verdana" w:hAnsi="Verdana"/>
          <w:sz w:val="20"/>
          <w:szCs w:val="20"/>
          <w:lang w:val="es-CR"/>
        </w:rPr>
      </w:pPr>
      <w:r w:rsidRPr="00B50C62">
        <w:rPr>
          <w:rFonts w:ascii="Verdana" w:hAnsi="Verdana"/>
          <w:sz w:val="20"/>
          <w:szCs w:val="20"/>
          <w:lang w:val="es-CR"/>
        </w:rPr>
        <w:t>En la presente Resolución, este Tribunal se pronunciará</w:t>
      </w:r>
      <w:r w:rsidR="00590630">
        <w:rPr>
          <w:rFonts w:ascii="Verdana" w:hAnsi="Verdana"/>
          <w:sz w:val="20"/>
          <w:szCs w:val="20"/>
          <w:lang w:val="es-CR"/>
        </w:rPr>
        <w:t xml:space="preserve"> </w:t>
      </w:r>
      <w:r w:rsidRPr="00B50C62">
        <w:rPr>
          <w:rFonts w:ascii="Verdana" w:hAnsi="Verdana"/>
          <w:sz w:val="20"/>
          <w:szCs w:val="20"/>
          <w:lang w:val="es-CR"/>
        </w:rPr>
        <w:t xml:space="preserve">sobre </w:t>
      </w:r>
      <w:r w:rsidR="00763AFC">
        <w:rPr>
          <w:rFonts w:ascii="Verdana" w:hAnsi="Verdana"/>
          <w:sz w:val="20"/>
          <w:szCs w:val="20"/>
          <w:lang w:val="es-CR"/>
        </w:rPr>
        <w:t>cuatro</w:t>
      </w:r>
      <w:r w:rsidRPr="00B50C62">
        <w:rPr>
          <w:rFonts w:ascii="Verdana" w:hAnsi="Verdana"/>
          <w:sz w:val="20"/>
          <w:szCs w:val="20"/>
          <w:lang w:val="es-CR"/>
        </w:rPr>
        <w:t xml:space="preserve"> medidas de reparación respecto de las cuales estima que las partes han aportado información suficiente para realizar una valoración acerca de su cumplimiento</w:t>
      </w:r>
      <w:r w:rsidR="008E404C">
        <w:rPr>
          <w:rFonts w:ascii="Verdana" w:hAnsi="Verdana"/>
          <w:sz w:val="20"/>
          <w:szCs w:val="20"/>
          <w:lang w:val="es-CR"/>
        </w:rPr>
        <w:t xml:space="preserve"> y realizará una solicitud de información específica sobre las demás medidas de reparación pendientes de cumplimiento</w:t>
      </w:r>
      <w:r w:rsidRPr="00B50C62">
        <w:rPr>
          <w:rFonts w:ascii="Verdana" w:hAnsi="Verdana"/>
          <w:sz w:val="20"/>
          <w:szCs w:val="20"/>
          <w:lang w:val="es-CR"/>
        </w:rPr>
        <w:t xml:space="preserve">. </w:t>
      </w:r>
      <w:r w:rsidR="00763AFC">
        <w:rPr>
          <w:rFonts w:ascii="Verdana" w:hAnsi="Verdana"/>
          <w:sz w:val="20"/>
          <w:lang w:val="es-CR"/>
        </w:rPr>
        <w:t xml:space="preserve">El Tribunal estructurará sus consideraciones en el siguiente orden: </w:t>
      </w:r>
    </w:p>
    <w:p w14:paraId="1B249412" w14:textId="77777777" w:rsidR="00A72709" w:rsidRPr="00590630" w:rsidRDefault="00A72709" w:rsidP="00C94117">
      <w:pPr>
        <w:pStyle w:val="ListParagraph"/>
        <w:ind w:left="1440" w:right="1138"/>
        <w:rPr>
          <w:rFonts w:ascii="Verdana" w:hAnsi="Verdana"/>
          <w:sz w:val="16"/>
          <w:szCs w:val="16"/>
          <w:lang w:val="es-CR"/>
        </w:rPr>
      </w:pPr>
    </w:p>
    <w:p w14:paraId="667D17DF" w14:textId="797B0AAB" w:rsidR="00590630" w:rsidRPr="00C94117" w:rsidRDefault="00A72709" w:rsidP="00C94117">
      <w:pPr>
        <w:pStyle w:val="TOC1"/>
        <w:tabs>
          <w:tab w:val="left" w:pos="660"/>
          <w:tab w:val="right" w:leader="dot" w:pos="9350"/>
        </w:tabs>
        <w:spacing w:after="0"/>
        <w:ind w:left="720" w:right="1138"/>
        <w:jc w:val="both"/>
        <w:rPr>
          <w:rFonts w:ascii="Verdana" w:eastAsiaTheme="minorEastAsia" w:hAnsi="Verdana"/>
          <w:i/>
          <w:noProof/>
          <w:sz w:val="16"/>
          <w:szCs w:val="16"/>
          <w:lang w:val="es-CR" w:eastAsia="es-CR"/>
        </w:rPr>
      </w:pPr>
      <w:r w:rsidRPr="00BD1E56">
        <w:rPr>
          <w:rFonts w:ascii="Verdana" w:hAnsi="Verdana"/>
          <w:i/>
          <w:sz w:val="16"/>
          <w:szCs w:val="16"/>
          <w:lang w:val="es-CR"/>
        </w:rPr>
        <w:fldChar w:fldCharType="begin"/>
      </w:r>
      <w:r w:rsidRPr="00BD1E56">
        <w:rPr>
          <w:rFonts w:ascii="Verdana" w:hAnsi="Verdana"/>
          <w:i/>
          <w:sz w:val="16"/>
          <w:szCs w:val="16"/>
          <w:lang w:val="es-CR"/>
        </w:rPr>
        <w:instrText xml:space="preserve"> TOC \o "1-3" \h \z \u </w:instrText>
      </w:r>
      <w:r w:rsidRPr="00BD1E56">
        <w:rPr>
          <w:rFonts w:ascii="Verdana" w:hAnsi="Verdana"/>
          <w:i/>
          <w:sz w:val="16"/>
          <w:szCs w:val="16"/>
          <w:lang w:val="es-CR"/>
        </w:rPr>
        <w:fldChar w:fldCharType="separate"/>
      </w:r>
      <w:hyperlink w:anchor="_Toc504128812" w:history="1">
        <w:r w:rsidR="00590630" w:rsidRPr="00C94117">
          <w:rPr>
            <w:rStyle w:val="Hyperlink"/>
            <w:rFonts w:ascii="Verdana" w:hAnsi="Verdana"/>
            <w:i/>
            <w:noProof/>
            <w:sz w:val="16"/>
            <w:szCs w:val="16"/>
            <w:lang w:val="es-CR"/>
          </w:rPr>
          <w:t>A.Tratamiento psicológico y/o psiquiátrico</w:t>
        </w:r>
        <w:r w:rsidR="00590630" w:rsidRPr="00C94117">
          <w:rPr>
            <w:rFonts w:ascii="Verdana" w:hAnsi="Verdana"/>
            <w:i/>
            <w:noProof/>
            <w:webHidden/>
            <w:sz w:val="16"/>
            <w:szCs w:val="16"/>
          </w:rPr>
          <w:tab/>
        </w:r>
        <w:r w:rsidR="00590630" w:rsidRPr="00C94117">
          <w:rPr>
            <w:rFonts w:ascii="Verdana" w:hAnsi="Verdana"/>
            <w:i/>
            <w:noProof/>
            <w:webHidden/>
            <w:sz w:val="16"/>
            <w:szCs w:val="16"/>
          </w:rPr>
          <w:fldChar w:fldCharType="begin"/>
        </w:r>
        <w:r w:rsidR="00590630" w:rsidRPr="00C94117">
          <w:rPr>
            <w:rFonts w:ascii="Verdana" w:hAnsi="Verdana"/>
            <w:i/>
            <w:noProof/>
            <w:webHidden/>
            <w:sz w:val="16"/>
            <w:szCs w:val="16"/>
          </w:rPr>
          <w:instrText xml:space="preserve"> PAGEREF _Toc504128812 \h </w:instrText>
        </w:r>
        <w:r w:rsidR="00590630" w:rsidRPr="00C94117">
          <w:rPr>
            <w:rFonts w:ascii="Verdana" w:hAnsi="Verdana"/>
            <w:i/>
            <w:noProof/>
            <w:webHidden/>
            <w:sz w:val="16"/>
            <w:szCs w:val="16"/>
          </w:rPr>
        </w:r>
        <w:r w:rsidR="00590630" w:rsidRPr="00C94117">
          <w:rPr>
            <w:rFonts w:ascii="Verdana" w:hAnsi="Verdana"/>
            <w:i/>
            <w:noProof/>
            <w:webHidden/>
            <w:sz w:val="16"/>
            <w:szCs w:val="16"/>
          </w:rPr>
          <w:fldChar w:fldCharType="separate"/>
        </w:r>
        <w:r w:rsidR="00925686">
          <w:rPr>
            <w:rFonts w:ascii="Verdana" w:hAnsi="Verdana"/>
            <w:i/>
            <w:noProof/>
            <w:webHidden/>
            <w:sz w:val="16"/>
            <w:szCs w:val="16"/>
          </w:rPr>
          <w:t>3</w:t>
        </w:r>
        <w:r w:rsidR="00590630" w:rsidRPr="00C94117">
          <w:rPr>
            <w:rFonts w:ascii="Verdana" w:hAnsi="Verdana"/>
            <w:i/>
            <w:noProof/>
            <w:webHidden/>
            <w:sz w:val="16"/>
            <w:szCs w:val="16"/>
          </w:rPr>
          <w:fldChar w:fldCharType="end"/>
        </w:r>
      </w:hyperlink>
    </w:p>
    <w:p w14:paraId="6809A911" w14:textId="2F9D988A" w:rsidR="00590630" w:rsidRPr="00C94117" w:rsidRDefault="00FB280E" w:rsidP="00C94117">
      <w:pPr>
        <w:pStyle w:val="TOC1"/>
        <w:tabs>
          <w:tab w:val="left" w:pos="660"/>
          <w:tab w:val="right" w:leader="dot" w:pos="9350"/>
        </w:tabs>
        <w:spacing w:after="0"/>
        <w:ind w:left="720" w:right="1138"/>
        <w:jc w:val="both"/>
        <w:rPr>
          <w:rFonts w:ascii="Verdana" w:eastAsiaTheme="minorEastAsia" w:hAnsi="Verdana"/>
          <w:i/>
          <w:noProof/>
          <w:sz w:val="16"/>
          <w:szCs w:val="16"/>
          <w:lang w:val="es-CR" w:eastAsia="es-CR"/>
        </w:rPr>
      </w:pPr>
      <w:hyperlink w:anchor="_Toc504128813" w:history="1">
        <w:r w:rsidR="00590630" w:rsidRPr="00C94117">
          <w:rPr>
            <w:rStyle w:val="Hyperlink"/>
            <w:rFonts w:ascii="Verdana" w:hAnsi="Verdana"/>
            <w:i/>
            <w:noProof/>
            <w:sz w:val="16"/>
            <w:szCs w:val="16"/>
            <w:lang w:val="es-CR"/>
          </w:rPr>
          <w:t>B.Publicación y difusión de la Sentencia</w:t>
        </w:r>
        <w:r w:rsidR="00590630" w:rsidRPr="00C94117">
          <w:rPr>
            <w:rFonts w:ascii="Verdana" w:hAnsi="Verdana"/>
            <w:i/>
            <w:noProof/>
            <w:webHidden/>
            <w:sz w:val="16"/>
            <w:szCs w:val="16"/>
          </w:rPr>
          <w:tab/>
        </w:r>
        <w:r w:rsidR="00590630" w:rsidRPr="00C94117">
          <w:rPr>
            <w:rFonts w:ascii="Verdana" w:hAnsi="Verdana"/>
            <w:i/>
            <w:noProof/>
            <w:webHidden/>
            <w:sz w:val="16"/>
            <w:szCs w:val="16"/>
          </w:rPr>
          <w:fldChar w:fldCharType="begin"/>
        </w:r>
        <w:r w:rsidR="00590630" w:rsidRPr="00C94117">
          <w:rPr>
            <w:rFonts w:ascii="Verdana" w:hAnsi="Verdana"/>
            <w:i/>
            <w:noProof/>
            <w:webHidden/>
            <w:sz w:val="16"/>
            <w:szCs w:val="16"/>
          </w:rPr>
          <w:instrText xml:space="preserve"> PAGEREF _Toc504128813 \h </w:instrText>
        </w:r>
        <w:r w:rsidR="00590630" w:rsidRPr="00C94117">
          <w:rPr>
            <w:rFonts w:ascii="Verdana" w:hAnsi="Verdana"/>
            <w:i/>
            <w:noProof/>
            <w:webHidden/>
            <w:sz w:val="16"/>
            <w:szCs w:val="16"/>
          </w:rPr>
        </w:r>
        <w:r w:rsidR="00590630" w:rsidRPr="00C94117">
          <w:rPr>
            <w:rFonts w:ascii="Verdana" w:hAnsi="Verdana"/>
            <w:i/>
            <w:noProof/>
            <w:webHidden/>
            <w:sz w:val="16"/>
            <w:szCs w:val="16"/>
          </w:rPr>
          <w:fldChar w:fldCharType="separate"/>
        </w:r>
        <w:r w:rsidR="00925686">
          <w:rPr>
            <w:rFonts w:ascii="Verdana" w:hAnsi="Verdana"/>
            <w:i/>
            <w:noProof/>
            <w:webHidden/>
            <w:sz w:val="16"/>
            <w:szCs w:val="16"/>
          </w:rPr>
          <w:t>4</w:t>
        </w:r>
        <w:r w:rsidR="00590630" w:rsidRPr="00C94117">
          <w:rPr>
            <w:rFonts w:ascii="Verdana" w:hAnsi="Verdana"/>
            <w:i/>
            <w:noProof/>
            <w:webHidden/>
            <w:sz w:val="16"/>
            <w:szCs w:val="16"/>
          </w:rPr>
          <w:fldChar w:fldCharType="end"/>
        </w:r>
      </w:hyperlink>
    </w:p>
    <w:p w14:paraId="55A7CFF6" w14:textId="48FFDEFC" w:rsidR="00590630" w:rsidRPr="00C94117" w:rsidRDefault="00FB280E" w:rsidP="00C94117">
      <w:pPr>
        <w:pStyle w:val="TOC1"/>
        <w:tabs>
          <w:tab w:val="left" w:pos="660"/>
          <w:tab w:val="right" w:leader="dot" w:pos="9350"/>
        </w:tabs>
        <w:spacing w:after="0"/>
        <w:ind w:left="720" w:right="1138"/>
        <w:jc w:val="both"/>
        <w:rPr>
          <w:rFonts w:ascii="Verdana" w:eastAsiaTheme="minorEastAsia" w:hAnsi="Verdana"/>
          <w:i/>
          <w:noProof/>
          <w:sz w:val="16"/>
          <w:szCs w:val="16"/>
          <w:lang w:val="es-CR" w:eastAsia="es-CR"/>
        </w:rPr>
      </w:pPr>
      <w:hyperlink w:anchor="_Toc504128814" w:history="1">
        <w:r w:rsidR="00590630" w:rsidRPr="00C94117">
          <w:rPr>
            <w:rStyle w:val="Hyperlink"/>
            <w:rFonts w:ascii="Verdana" w:hAnsi="Verdana"/>
            <w:i/>
            <w:noProof/>
            <w:sz w:val="16"/>
            <w:szCs w:val="16"/>
            <w:lang w:val="es-CR"/>
          </w:rPr>
          <w:t>C.Colocar una placa para evitar la repetición de hechos violatorios</w:t>
        </w:r>
        <w:r w:rsidR="00590630" w:rsidRPr="00C94117">
          <w:rPr>
            <w:rFonts w:ascii="Verdana" w:hAnsi="Verdana"/>
            <w:i/>
            <w:noProof/>
            <w:webHidden/>
            <w:sz w:val="16"/>
            <w:szCs w:val="16"/>
          </w:rPr>
          <w:tab/>
        </w:r>
        <w:r w:rsidR="00590630" w:rsidRPr="00C94117">
          <w:rPr>
            <w:rFonts w:ascii="Verdana" w:hAnsi="Verdana"/>
            <w:i/>
            <w:noProof/>
            <w:webHidden/>
            <w:sz w:val="16"/>
            <w:szCs w:val="16"/>
          </w:rPr>
          <w:fldChar w:fldCharType="begin"/>
        </w:r>
        <w:r w:rsidR="00590630" w:rsidRPr="00C94117">
          <w:rPr>
            <w:rFonts w:ascii="Verdana" w:hAnsi="Verdana"/>
            <w:i/>
            <w:noProof/>
            <w:webHidden/>
            <w:sz w:val="16"/>
            <w:szCs w:val="16"/>
          </w:rPr>
          <w:instrText xml:space="preserve"> PAGEREF _Toc504128814 \h </w:instrText>
        </w:r>
        <w:r w:rsidR="00590630" w:rsidRPr="00C94117">
          <w:rPr>
            <w:rFonts w:ascii="Verdana" w:hAnsi="Verdana"/>
            <w:i/>
            <w:noProof/>
            <w:webHidden/>
            <w:sz w:val="16"/>
            <w:szCs w:val="16"/>
          </w:rPr>
        </w:r>
        <w:r w:rsidR="00590630" w:rsidRPr="00C94117">
          <w:rPr>
            <w:rFonts w:ascii="Verdana" w:hAnsi="Verdana"/>
            <w:i/>
            <w:noProof/>
            <w:webHidden/>
            <w:sz w:val="16"/>
            <w:szCs w:val="16"/>
          </w:rPr>
          <w:fldChar w:fldCharType="separate"/>
        </w:r>
        <w:r w:rsidR="00925686">
          <w:rPr>
            <w:rFonts w:ascii="Verdana" w:hAnsi="Verdana"/>
            <w:i/>
            <w:noProof/>
            <w:webHidden/>
            <w:sz w:val="16"/>
            <w:szCs w:val="16"/>
          </w:rPr>
          <w:t>5</w:t>
        </w:r>
        <w:r w:rsidR="00590630" w:rsidRPr="00C94117">
          <w:rPr>
            <w:rFonts w:ascii="Verdana" w:hAnsi="Verdana"/>
            <w:i/>
            <w:noProof/>
            <w:webHidden/>
            <w:sz w:val="16"/>
            <w:szCs w:val="16"/>
          </w:rPr>
          <w:fldChar w:fldCharType="end"/>
        </w:r>
      </w:hyperlink>
    </w:p>
    <w:p w14:paraId="21E1E197" w14:textId="6F538A98" w:rsidR="00590630" w:rsidRPr="00C94117" w:rsidRDefault="00FB280E" w:rsidP="00C94117">
      <w:pPr>
        <w:pStyle w:val="TOC1"/>
        <w:tabs>
          <w:tab w:val="left" w:pos="660"/>
          <w:tab w:val="right" w:leader="dot" w:pos="9350"/>
        </w:tabs>
        <w:spacing w:after="0"/>
        <w:ind w:left="720" w:right="1138"/>
        <w:jc w:val="both"/>
        <w:rPr>
          <w:rFonts w:ascii="Verdana" w:eastAsiaTheme="minorEastAsia" w:hAnsi="Verdana"/>
          <w:i/>
          <w:noProof/>
          <w:sz w:val="16"/>
          <w:szCs w:val="16"/>
          <w:lang w:val="es-CR" w:eastAsia="es-CR"/>
        </w:rPr>
      </w:pPr>
      <w:hyperlink w:anchor="_Toc504128815" w:history="1">
        <w:r w:rsidR="00590630" w:rsidRPr="00C94117">
          <w:rPr>
            <w:rStyle w:val="Hyperlink"/>
            <w:rFonts w:ascii="Verdana" w:hAnsi="Verdana"/>
            <w:i/>
            <w:noProof/>
            <w:sz w:val="16"/>
            <w:szCs w:val="16"/>
            <w:lang w:val="es-CR"/>
          </w:rPr>
          <w:t>D.Reintegro al Fondo de Asistencia Legal de Víctimas</w:t>
        </w:r>
        <w:r w:rsidR="00590630" w:rsidRPr="00C94117">
          <w:rPr>
            <w:rFonts w:ascii="Verdana" w:hAnsi="Verdana"/>
            <w:i/>
            <w:noProof/>
            <w:webHidden/>
            <w:sz w:val="16"/>
            <w:szCs w:val="16"/>
          </w:rPr>
          <w:tab/>
        </w:r>
        <w:r w:rsidR="00590630" w:rsidRPr="00C94117">
          <w:rPr>
            <w:rFonts w:ascii="Verdana" w:hAnsi="Verdana"/>
            <w:i/>
            <w:noProof/>
            <w:webHidden/>
            <w:sz w:val="16"/>
            <w:szCs w:val="16"/>
          </w:rPr>
          <w:fldChar w:fldCharType="begin"/>
        </w:r>
        <w:r w:rsidR="00590630" w:rsidRPr="00C94117">
          <w:rPr>
            <w:rFonts w:ascii="Verdana" w:hAnsi="Verdana"/>
            <w:i/>
            <w:noProof/>
            <w:webHidden/>
            <w:sz w:val="16"/>
            <w:szCs w:val="16"/>
          </w:rPr>
          <w:instrText xml:space="preserve"> PAGEREF _Toc504128815 \h </w:instrText>
        </w:r>
        <w:r w:rsidR="00590630" w:rsidRPr="00C94117">
          <w:rPr>
            <w:rFonts w:ascii="Verdana" w:hAnsi="Verdana"/>
            <w:i/>
            <w:noProof/>
            <w:webHidden/>
            <w:sz w:val="16"/>
            <w:szCs w:val="16"/>
          </w:rPr>
        </w:r>
        <w:r w:rsidR="00590630" w:rsidRPr="00C94117">
          <w:rPr>
            <w:rFonts w:ascii="Verdana" w:hAnsi="Verdana"/>
            <w:i/>
            <w:noProof/>
            <w:webHidden/>
            <w:sz w:val="16"/>
            <w:szCs w:val="16"/>
          </w:rPr>
          <w:fldChar w:fldCharType="separate"/>
        </w:r>
        <w:r w:rsidR="00925686">
          <w:rPr>
            <w:rFonts w:ascii="Verdana" w:hAnsi="Verdana"/>
            <w:i/>
            <w:noProof/>
            <w:webHidden/>
            <w:sz w:val="16"/>
            <w:szCs w:val="16"/>
          </w:rPr>
          <w:t>6</w:t>
        </w:r>
        <w:r w:rsidR="00590630" w:rsidRPr="00C94117">
          <w:rPr>
            <w:rFonts w:ascii="Verdana" w:hAnsi="Verdana"/>
            <w:i/>
            <w:noProof/>
            <w:webHidden/>
            <w:sz w:val="16"/>
            <w:szCs w:val="16"/>
          </w:rPr>
          <w:fldChar w:fldCharType="end"/>
        </w:r>
      </w:hyperlink>
    </w:p>
    <w:p w14:paraId="719833CC" w14:textId="5C66082A" w:rsidR="00590630" w:rsidRPr="00C94117" w:rsidRDefault="00FB280E" w:rsidP="00C94117">
      <w:pPr>
        <w:pStyle w:val="TOC1"/>
        <w:tabs>
          <w:tab w:val="left" w:pos="440"/>
          <w:tab w:val="right" w:leader="dot" w:pos="9350"/>
        </w:tabs>
        <w:spacing w:after="0"/>
        <w:ind w:left="720" w:right="1138"/>
        <w:jc w:val="both"/>
        <w:rPr>
          <w:rFonts w:ascii="Verdana" w:eastAsiaTheme="minorEastAsia" w:hAnsi="Verdana"/>
          <w:i/>
          <w:noProof/>
          <w:sz w:val="16"/>
          <w:szCs w:val="16"/>
          <w:lang w:val="es-CR" w:eastAsia="es-CR"/>
        </w:rPr>
      </w:pPr>
      <w:hyperlink w:anchor="_Toc504128816" w:history="1">
        <w:r w:rsidR="00590630" w:rsidRPr="00C94117">
          <w:rPr>
            <w:rStyle w:val="Hyperlink"/>
            <w:rFonts w:ascii="Verdana" w:hAnsi="Verdana"/>
            <w:i/>
            <w:noProof/>
            <w:sz w:val="16"/>
            <w:szCs w:val="16"/>
            <w:lang w:val="es-CR"/>
          </w:rPr>
          <w:t>E.Solicitud de información sobre reparaciones pendientes de cumplimiento</w:t>
        </w:r>
        <w:r w:rsidR="00590630" w:rsidRPr="00C94117">
          <w:rPr>
            <w:rFonts w:ascii="Verdana" w:hAnsi="Verdana"/>
            <w:i/>
            <w:noProof/>
            <w:webHidden/>
            <w:sz w:val="16"/>
            <w:szCs w:val="16"/>
          </w:rPr>
          <w:tab/>
        </w:r>
        <w:r w:rsidR="00590630" w:rsidRPr="00C94117">
          <w:rPr>
            <w:rFonts w:ascii="Verdana" w:hAnsi="Verdana"/>
            <w:i/>
            <w:noProof/>
            <w:webHidden/>
            <w:sz w:val="16"/>
            <w:szCs w:val="16"/>
          </w:rPr>
          <w:fldChar w:fldCharType="begin"/>
        </w:r>
        <w:r w:rsidR="00590630" w:rsidRPr="00C94117">
          <w:rPr>
            <w:rFonts w:ascii="Verdana" w:hAnsi="Verdana"/>
            <w:i/>
            <w:noProof/>
            <w:webHidden/>
            <w:sz w:val="16"/>
            <w:szCs w:val="16"/>
          </w:rPr>
          <w:instrText xml:space="preserve"> PAGEREF _Toc504128816 \h </w:instrText>
        </w:r>
        <w:r w:rsidR="00590630" w:rsidRPr="00C94117">
          <w:rPr>
            <w:rFonts w:ascii="Verdana" w:hAnsi="Verdana"/>
            <w:i/>
            <w:noProof/>
            <w:webHidden/>
            <w:sz w:val="16"/>
            <w:szCs w:val="16"/>
          </w:rPr>
        </w:r>
        <w:r w:rsidR="00590630" w:rsidRPr="00C94117">
          <w:rPr>
            <w:rFonts w:ascii="Verdana" w:hAnsi="Verdana"/>
            <w:i/>
            <w:noProof/>
            <w:webHidden/>
            <w:sz w:val="16"/>
            <w:szCs w:val="16"/>
          </w:rPr>
          <w:fldChar w:fldCharType="separate"/>
        </w:r>
        <w:r w:rsidR="00925686">
          <w:rPr>
            <w:rFonts w:ascii="Verdana" w:hAnsi="Verdana"/>
            <w:i/>
            <w:noProof/>
            <w:webHidden/>
            <w:sz w:val="16"/>
            <w:szCs w:val="16"/>
          </w:rPr>
          <w:t>7</w:t>
        </w:r>
        <w:r w:rsidR="00590630" w:rsidRPr="00C94117">
          <w:rPr>
            <w:rFonts w:ascii="Verdana" w:hAnsi="Verdana"/>
            <w:i/>
            <w:noProof/>
            <w:webHidden/>
            <w:sz w:val="16"/>
            <w:szCs w:val="16"/>
          </w:rPr>
          <w:fldChar w:fldCharType="end"/>
        </w:r>
      </w:hyperlink>
    </w:p>
    <w:p w14:paraId="1D728F16" w14:textId="77777777" w:rsidR="00B50C62" w:rsidRDefault="00A72709" w:rsidP="00C94117">
      <w:pPr>
        <w:spacing w:after="0" w:line="240" w:lineRule="auto"/>
        <w:ind w:left="720" w:right="1138"/>
        <w:jc w:val="both"/>
        <w:rPr>
          <w:rFonts w:ascii="Verdana" w:hAnsi="Verdana"/>
          <w:i/>
          <w:sz w:val="16"/>
          <w:szCs w:val="16"/>
          <w:lang w:val="es-CR"/>
        </w:rPr>
      </w:pPr>
      <w:r w:rsidRPr="00BD1E56">
        <w:rPr>
          <w:rFonts w:ascii="Verdana" w:hAnsi="Verdana"/>
          <w:i/>
          <w:sz w:val="16"/>
          <w:szCs w:val="16"/>
          <w:lang w:val="es-CR"/>
        </w:rPr>
        <w:fldChar w:fldCharType="end"/>
      </w:r>
    </w:p>
    <w:p w14:paraId="22947515" w14:textId="77777777" w:rsidR="009A1644" w:rsidRDefault="009A1644" w:rsidP="00C94117">
      <w:pPr>
        <w:spacing w:after="0" w:line="240" w:lineRule="auto"/>
        <w:ind w:left="720" w:right="1138"/>
        <w:jc w:val="both"/>
        <w:rPr>
          <w:rFonts w:ascii="Verdana" w:hAnsi="Verdana"/>
          <w:sz w:val="20"/>
          <w:szCs w:val="20"/>
          <w:lang w:val="es-CR"/>
        </w:rPr>
      </w:pPr>
    </w:p>
    <w:p w14:paraId="4B35D7C5" w14:textId="79B54766" w:rsidR="00467E3F" w:rsidRPr="008E404C" w:rsidRDefault="00467E3F" w:rsidP="00467E3F">
      <w:pPr>
        <w:pStyle w:val="Heading1"/>
        <w:numPr>
          <w:ilvl w:val="0"/>
          <w:numId w:val="11"/>
        </w:numPr>
        <w:rPr>
          <w:rFonts w:ascii="Verdana" w:hAnsi="Verdana"/>
          <w:color w:val="auto"/>
          <w:sz w:val="20"/>
          <w:szCs w:val="20"/>
          <w:lang w:val="es-CR"/>
        </w:rPr>
      </w:pPr>
      <w:bookmarkStart w:id="3" w:name="_Toc504128812"/>
      <w:r w:rsidRPr="007E0A0A">
        <w:rPr>
          <w:rFonts w:ascii="Verdana" w:hAnsi="Verdana"/>
          <w:color w:val="auto"/>
          <w:sz w:val="20"/>
          <w:szCs w:val="20"/>
          <w:lang w:val="es-CR"/>
        </w:rPr>
        <w:t>Tratamiento</w:t>
      </w:r>
      <w:r w:rsidR="004E6612">
        <w:rPr>
          <w:rFonts w:ascii="Verdana" w:hAnsi="Verdana"/>
          <w:color w:val="auto"/>
          <w:sz w:val="20"/>
          <w:szCs w:val="20"/>
          <w:lang w:val="es-CR"/>
        </w:rPr>
        <w:t xml:space="preserve"> </w:t>
      </w:r>
      <w:r w:rsidRPr="007E0A0A">
        <w:rPr>
          <w:rFonts w:ascii="Verdana" w:hAnsi="Verdana"/>
          <w:color w:val="auto"/>
          <w:sz w:val="20"/>
          <w:szCs w:val="20"/>
          <w:lang w:val="es-CR"/>
        </w:rPr>
        <w:t>psicológico</w:t>
      </w:r>
      <w:r w:rsidRPr="008E404C">
        <w:rPr>
          <w:rFonts w:ascii="Verdana" w:hAnsi="Verdana"/>
          <w:color w:val="auto"/>
          <w:sz w:val="20"/>
          <w:szCs w:val="20"/>
          <w:lang w:val="es-CR"/>
        </w:rPr>
        <w:t xml:space="preserve"> y/o psiquiátrico</w:t>
      </w:r>
      <w:bookmarkEnd w:id="3"/>
    </w:p>
    <w:p w14:paraId="6BA38F62" w14:textId="77777777" w:rsidR="00467E3F" w:rsidRDefault="00467E3F" w:rsidP="00467E3F">
      <w:pPr>
        <w:spacing w:after="0" w:line="240" w:lineRule="auto"/>
        <w:jc w:val="both"/>
        <w:rPr>
          <w:rFonts w:ascii="Verdana" w:hAnsi="Verdana"/>
          <w:b/>
          <w:sz w:val="20"/>
          <w:lang w:val="es-CR"/>
        </w:rPr>
      </w:pPr>
    </w:p>
    <w:p w14:paraId="7CC0953D" w14:textId="5F92ECD4" w:rsidR="00467E3F" w:rsidRDefault="00BD1E56" w:rsidP="004C6180">
      <w:pPr>
        <w:spacing w:after="0" w:line="240" w:lineRule="auto"/>
        <w:ind w:firstLine="720"/>
        <w:jc w:val="both"/>
        <w:rPr>
          <w:rFonts w:ascii="Verdana" w:hAnsi="Verdana"/>
          <w:i/>
          <w:sz w:val="20"/>
          <w:lang w:val="es-CR"/>
        </w:rPr>
      </w:pPr>
      <w:r>
        <w:rPr>
          <w:rFonts w:ascii="Verdana" w:hAnsi="Verdana"/>
          <w:i/>
          <w:sz w:val="20"/>
          <w:lang w:val="es-CR"/>
        </w:rPr>
        <w:t>A</w:t>
      </w:r>
      <w:r w:rsidR="00467E3F">
        <w:rPr>
          <w:rFonts w:ascii="Verdana" w:hAnsi="Verdana"/>
          <w:i/>
          <w:sz w:val="20"/>
          <w:lang w:val="es-CR"/>
        </w:rPr>
        <w:t>.1. Medida ordenada por la Corte</w:t>
      </w:r>
    </w:p>
    <w:p w14:paraId="032A41EB" w14:textId="77777777" w:rsidR="00467E3F" w:rsidRDefault="00467E3F" w:rsidP="00467E3F">
      <w:pPr>
        <w:spacing w:after="0" w:line="240" w:lineRule="auto"/>
        <w:jc w:val="both"/>
        <w:rPr>
          <w:rFonts w:ascii="Verdana" w:hAnsi="Verdana"/>
          <w:i/>
          <w:sz w:val="20"/>
          <w:lang w:val="es-CR"/>
        </w:rPr>
      </w:pPr>
    </w:p>
    <w:p w14:paraId="072F987C" w14:textId="0B47891A" w:rsidR="00467E3F" w:rsidRPr="000B73C8" w:rsidRDefault="00467E3F" w:rsidP="00467E3F">
      <w:pPr>
        <w:pStyle w:val="ListParagraph"/>
        <w:numPr>
          <w:ilvl w:val="0"/>
          <w:numId w:val="2"/>
        </w:numPr>
        <w:spacing w:after="0" w:line="240" w:lineRule="auto"/>
        <w:ind w:left="0" w:firstLine="0"/>
        <w:jc w:val="both"/>
        <w:rPr>
          <w:rFonts w:ascii="Verdana" w:hAnsi="Verdana"/>
          <w:sz w:val="20"/>
          <w:lang w:val="es-CR"/>
        </w:rPr>
      </w:pPr>
      <w:bookmarkStart w:id="4" w:name="_Ref504381349"/>
      <w:r w:rsidRPr="000B73C8">
        <w:rPr>
          <w:rFonts w:ascii="Verdana" w:hAnsi="Verdana"/>
          <w:sz w:val="20"/>
          <w:lang w:val="es-CR"/>
        </w:rPr>
        <w:t xml:space="preserve">En el punto resolutivo décimo tercero y en los párrafos 215 y 216 de la Sentencia, </w:t>
      </w:r>
      <w:r w:rsidR="00BC1A94">
        <w:rPr>
          <w:rFonts w:ascii="Verdana" w:hAnsi="Verdana"/>
          <w:sz w:val="20"/>
          <w:lang w:val="es-CR"/>
        </w:rPr>
        <w:t>se</w:t>
      </w:r>
      <w:r w:rsidRPr="000B73C8">
        <w:rPr>
          <w:rFonts w:ascii="Verdana" w:hAnsi="Verdana"/>
          <w:sz w:val="20"/>
          <w:lang w:val="es-CR"/>
        </w:rPr>
        <w:t xml:space="preserve"> ordenó al Estado “brindar gratuitamente, a través de sus instituciones de salud especializadas, y de forma inmediata, adecuada y efectiva, el tratamiento psicológico y/o psiquiátrico si así lo solicitan, previo consentimiento informado, incluyendo el suministro gratuito  de los medicamentos que eventualmente se requieran”.</w:t>
      </w:r>
      <w:bookmarkEnd w:id="4"/>
      <w:r w:rsidRPr="000B73C8">
        <w:rPr>
          <w:rFonts w:ascii="Verdana" w:hAnsi="Verdana"/>
          <w:sz w:val="20"/>
          <w:lang w:val="es-CR"/>
        </w:rPr>
        <w:t xml:space="preserve"> </w:t>
      </w:r>
      <w:r w:rsidR="00BC1A94">
        <w:rPr>
          <w:rFonts w:ascii="Verdana" w:hAnsi="Verdana"/>
          <w:sz w:val="20"/>
          <w:lang w:val="es-CR"/>
        </w:rPr>
        <w:t xml:space="preserve"> La Corte estableció que las víctimas, o sus representantes, disponen de un plazo de seis meses a partir de la notificación de la Sentencia para dar a conocer al Estado su intención de recibir tratamiento psicológico y/o psiquiátrico. </w:t>
      </w:r>
    </w:p>
    <w:p w14:paraId="47F984CC" w14:textId="77777777" w:rsidR="00467E3F" w:rsidRDefault="00467E3F" w:rsidP="00467E3F">
      <w:pPr>
        <w:spacing w:after="0" w:line="240" w:lineRule="auto"/>
        <w:jc w:val="both"/>
        <w:rPr>
          <w:rFonts w:ascii="Verdana" w:hAnsi="Verdana"/>
          <w:i/>
          <w:sz w:val="20"/>
          <w:lang w:val="es-CR"/>
        </w:rPr>
      </w:pPr>
    </w:p>
    <w:p w14:paraId="4A6855F9" w14:textId="2CEA948E" w:rsidR="00467E3F" w:rsidRDefault="00BD1E56" w:rsidP="004C6180">
      <w:pPr>
        <w:spacing w:after="0" w:line="240" w:lineRule="auto"/>
        <w:ind w:firstLine="720"/>
        <w:jc w:val="both"/>
        <w:rPr>
          <w:rFonts w:ascii="Verdana" w:hAnsi="Verdana"/>
          <w:i/>
          <w:sz w:val="20"/>
          <w:lang w:val="es-CR"/>
        </w:rPr>
      </w:pPr>
      <w:r>
        <w:rPr>
          <w:rFonts w:ascii="Verdana" w:hAnsi="Verdana"/>
          <w:i/>
          <w:sz w:val="20"/>
          <w:lang w:val="es-CR"/>
        </w:rPr>
        <w:t>A</w:t>
      </w:r>
      <w:r w:rsidR="00467E3F">
        <w:rPr>
          <w:rFonts w:ascii="Verdana" w:hAnsi="Verdana"/>
          <w:i/>
          <w:sz w:val="20"/>
          <w:lang w:val="es-CR"/>
        </w:rPr>
        <w:t>.2. Consideraciones de la Corte</w:t>
      </w:r>
    </w:p>
    <w:p w14:paraId="1FB71424" w14:textId="77777777" w:rsidR="00467E3F" w:rsidRDefault="00467E3F" w:rsidP="00467E3F">
      <w:pPr>
        <w:spacing w:after="0" w:line="240" w:lineRule="auto"/>
        <w:jc w:val="both"/>
        <w:rPr>
          <w:rFonts w:ascii="Verdana" w:hAnsi="Verdana"/>
          <w:i/>
          <w:sz w:val="20"/>
          <w:lang w:val="es-CR"/>
        </w:rPr>
      </w:pPr>
    </w:p>
    <w:p w14:paraId="3176E14B" w14:textId="2AD9334E" w:rsidR="00BE51B1" w:rsidRPr="00C374FE" w:rsidRDefault="0053588B" w:rsidP="00467E3F">
      <w:pPr>
        <w:pStyle w:val="ListParagraph"/>
        <w:numPr>
          <w:ilvl w:val="0"/>
          <w:numId w:val="2"/>
        </w:numPr>
        <w:spacing w:after="0" w:line="240" w:lineRule="auto"/>
        <w:ind w:left="0" w:firstLine="0"/>
        <w:jc w:val="both"/>
        <w:rPr>
          <w:rFonts w:ascii="Verdana" w:hAnsi="Verdana"/>
          <w:sz w:val="20"/>
          <w:lang w:val="es-CR"/>
        </w:rPr>
      </w:pPr>
      <w:bookmarkStart w:id="5" w:name="_Ref504381432"/>
      <w:r w:rsidRPr="00C374FE">
        <w:rPr>
          <w:rFonts w:ascii="Verdana" w:hAnsi="Verdana"/>
          <w:sz w:val="20"/>
          <w:lang w:val="es-CR"/>
        </w:rPr>
        <w:t xml:space="preserve">De acuerdo </w:t>
      </w:r>
      <w:r w:rsidR="00BD1E56">
        <w:rPr>
          <w:rFonts w:ascii="Verdana" w:hAnsi="Verdana"/>
          <w:sz w:val="20"/>
          <w:lang w:val="es-CR"/>
        </w:rPr>
        <w:t>con</w:t>
      </w:r>
      <w:r w:rsidRPr="00C374FE">
        <w:rPr>
          <w:rFonts w:ascii="Verdana" w:hAnsi="Verdana"/>
          <w:sz w:val="20"/>
          <w:lang w:val="es-CR"/>
        </w:rPr>
        <w:t xml:space="preserve"> </w:t>
      </w:r>
      <w:r w:rsidR="00467E3F" w:rsidRPr="00C374FE">
        <w:rPr>
          <w:rFonts w:ascii="Verdana" w:hAnsi="Verdana"/>
          <w:sz w:val="20"/>
          <w:lang w:val="es-CR"/>
        </w:rPr>
        <w:t xml:space="preserve">la información proporcionada por el Estado </w:t>
      </w:r>
      <w:r w:rsidRPr="00C374FE">
        <w:rPr>
          <w:rFonts w:ascii="Verdana" w:hAnsi="Verdana"/>
          <w:sz w:val="20"/>
          <w:lang w:val="es-CR"/>
        </w:rPr>
        <w:t xml:space="preserve">en su informe de </w:t>
      </w:r>
      <w:r w:rsidR="00467E3F" w:rsidRPr="00C374FE">
        <w:rPr>
          <w:rFonts w:ascii="Verdana" w:hAnsi="Verdana"/>
          <w:sz w:val="20"/>
          <w:lang w:val="es-CR"/>
        </w:rPr>
        <w:t>junio de 2017, “funcionarios de la Dirección General de Derechos Humanos de la Cancillería y de la Oficina por el Acceso a la Salud del Ministerio de Salud, sostuvieron reunión con el señor José Agapito Ruano Torres y sus familiares, en abril de 2016, en la cual se dieron a conocer a los beneficiarios los servicios locales en salud y se ofreció la posibilidad de una atención médica integral, más allá del tratamiento psicológico y/o psiquiátrico determinado a favor de estos</w:t>
      </w:r>
      <w:r w:rsidR="004D2147" w:rsidRPr="00C374FE">
        <w:rPr>
          <w:rFonts w:ascii="Verdana" w:hAnsi="Verdana"/>
          <w:sz w:val="20"/>
          <w:lang w:val="es-CR"/>
        </w:rPr>
        <w:t>”</w:t>
      </w:r>
      <w:r w:rsidR="00467E3F" w:rsidRPr="00C374FE">
        <w:rPr>
          <w:rFonts w:ascii="Verdana" w:hAnsi="Verdana"/>
          <w:sz w:val="20"/>
          <w:lang w:val="es-CR"/>
        </w:rPr>
        <w:t xml:space="preserve">. </w:t>
      </w:r>
      <w:r w:rsidR="004D2147" w:rsidRPr="00C374FE">
        <w:rPr>
          <w:rFonts w:ascii="Verdana" w:hAnsi="Verdana"/>
          <w:sz w:val="20"/>
          <w:lang w:val="es-CR"/>
        </w:rPr>
        <w:t>Según lo indicado por el Estado, e</w:t>
      </w:r>
      <w:r w:rsidR="00467E3F" w:rsidRPr="00C374FE">
        <w:rPr>
          <w:rFonts w:ascii="Verdana" w:hAnsi="Verdana"/>
          <w:sz w:val="20"/>
          <w:lang w:val="es-CR"/>
        </w:rPr>
        <w:t xml:space="preserve">n esta reunión </w:t>
      </w:r>
      <w:r w:rsidR="004D2147" w:rsidRPr="00C374FE">
        <w:rPr>
          <w:rFonts w:ascii="Verdana" w:hAnsi="Verdana"/>
          <w:sz w:val="20"/>
          <w:lang w:val="es-CR"/>
        </w:rPr>
        <w:t>“</w:t>
      </w:r>
      <w:r w:rsidR="00467E3F" w:rsidRPr="00C374FE">
        <w:rPr>
          <w:rFonts w:ascii="Verdana" w:hAnsi="Verdana"/>
          <w:sz w:val="20"/>
          <w:lang w:val="es-CR"/>
        </w:rPr>
        <w:t xml:space="preserve">se acordó la designación de la Directora de la Unidad Comunitaria de Salud Familiar del Municipio de Guazapa como enlace oficial para la atención de los beneficiarios, por ser ese el establecimiento de salud más cercano al domicilio de los beneficiarios de esta medida”. Asimismo, </w:t>
      </w:r>
      <w:r w:rsidR="004D2147" w:rsidRPr="00C374FE">
        <w:rPr>
          <w:rFonts w:ascii="Verdana" w:hAnsi="Verdana"/>
          <w:sz w:val="20"/>
          <w:lang w:val="es-CR"/>
        </w:rPr>
        <w:t xml:space="preserve">El Salvador </w:t>
      </w:r>
      <w:r w:rsidR="00467E3F" w:rsidRPr="00C374FE">
        <w:rPr>
          <w:rFonts w:ascii="Verdana" w:hAnsi="Verdana"/>
          <w:sz w:val="20"/>
          <w:lang w:val="es-CR"/>
        </w:rPr>
        <w:t>presentó un informe realizado por el Ministerio de Salud, en donde se puede constatar que</w:t>
      </w:r>
      <w:r w:rsidR="00396968" w:rsidRPr="00C374FE">
        <w:rPr>
          <w:rFonts w:ascii="Verdana" w:hAnsi="Verdana"/>
          <w:sz w:val="20"/>
          <w:lang w:val="es-CR"/>
        </w:rPr>
        <w:t xml:space="preserve"> la víctima María Maribel Guevara de Ruano recibió atención psicológica en junio de 2016.</w:t>
      </w:r>
      <w:r w:rsidR="00C374FE">
        <w:rPr>
          <w:rFonts w:ascii="Verdana" w:hAnsi="Verdana"/>
          <w:sz w:val="20"/>
          <w:lang w:val="es-CR"/>
        </w:rPr>
        <w:t xml:space="preserve"> En dicho informe, el Ministerio de Salud señaló que “</w:t>
      </w:r>
      <w:r w:rsidR="008D1D1A">
        <w:rPr>
          <w:rFonts w:ascii="Verdana" w:hAnsi="Verdana"/>
          <w:sz w:val="20"/>
          <w:lang w:val="es-CR"/>
        </w:rPr>
        <w:t>[</w:t>
      </w:r>
      <w:r w:rsidR="00C374FE">
        <w:rPr>
          <w:rFonts w:ascii="Verdana" w:hAnsi="Verdana"/>
          <w:sz w:val="20"/>
          <w:lang w:val="es-CR"/>
        </w:rPr>
        <w:t>s</w:t>
      </w:r>
      <w:r w:rsidR="008D1D1A">
        <w:rPr>
          <w:rFonts w:ascii="Verdana" w:hAnsi="Verdana"/>
          <w:sz w:val="20"/>
          <w:lang w:val="es-CR"/>
        </w:rPr>
        <w:t>]</w:t>
      </w:r>
      <w:r w:rsidR="00C374FE">
        <w:rPr>
          <w:rFonts w:ascii="Verdana" w:hAnsi="Verdana"/>
          <w:sz w:val="20"/>
          <w:lang w:val="es-CR"/>
        </w:rPr>
        <w:t>e hizo la oferta de atención psicológica con la especialista de la micro</w:t>
      </w:r>
      <w:r w:rsidR="008D1D1A">
        <w:rPr>
          <w:rFonts w:ascii="Verdana" w:hAnsi="Verdana"/>
          <w:sz w:val="20"/>
          <w:lang w:val="es-CR"/>
        </w:rPr>
        <w:t xml:space="preserve"> </w:t>
      </w:r>
      <w:r w:rsidR="00C374FE">
        <w:rPr>
          <w:rFonts w:ascii="Verdana" w:hAnsi="Verdana"/>
          <w:sz w:val="20"/>
          <w:lang w:val="es-CR"/>
        </w:rPr>
        <w:t xml:space="preserve">red a la que pertenece el establecimiento de salud [Unidad Comunitaria de Salud Familia de Guazapa] ante la cual </w:t>
      </w:r>
      <w:r w:rsidR="00C34B0B">
        <w:rPr>
          <w:rFonts w:ascii="Verdana" w:hAnsi="Verdana"/>
          <w:sz w:val="20"/>
          <w:lang w:val="es-CR"/>
        </w:rPr>
        <w:t>[las víctimas]</w:t>
      </w:r>
      <w:r w:rsidR="00C374FE">
        <w:rPr>
          <w:rFonts w:ascii="Verdana" w:hAnsi="Verdana"/>
          <w:sz w:val="20"/>
          <w:lang w:val="es-CR"/>
        </w:rPr>
        <w:t xml:space="preserve"> se mostraron de acuerdo a recibir dicha atención pero de una manera programada por el hecho de la disponibilidad de tiempo”.</w:t>
      </w:r>
      <w:r w:rsidR="00396968" w:rsidRPr="00C374FE">
        <w:rPr>
          <w:rFonts w:ascii="Verdana" w:hAnsi="Verdana"/>
          <w:sz w:val="20"/>
          <w:lang w:val="es-CR"/>
        </w:rPr>
        <w:t xml:space="preserve"> Además, se desprende de dicho informe que</w:t>
      </w:r>
      <w:r w:rsidR="00467E3F" w:rsidRPr="00C374FE">
        <w:rPr>
          <w:rFonts w:ascii="Verdana" w:hAnsi="Verdana"/>
          <w:sz w:val="20"/>
          <w:lang w:val="es-CR"/>
        </w:rPr>
        <w:t xml:space="preserve"> las víctimas</w:t>
      </w:r>
      <w:r w:rsidR="00396968" w:rsidRPr="00C374FE">
        <w:rPr>
          <w:rFonts w:ascii="Verdana" w:hAnsi="Verdana"/>
          <w:sz w:val="20"/>
          <w:lang w:val="es-CR"/>
        </w:rPr>
        <w:t>, en adición a lo ordenado en la Sentencia,</w:t>
      </w:r>
      <w:r w:rsidR="00467E3F" w:rsidRPr="00C374FE">
        <w:rPr>
          <w:rFonts w:ascii="Verdana" w:hAnsi="Verdana"/>
          <w:sz w:val="20"/>
          <w:lang w:val="es-CR"/>
        </w:rPr>
        <w:t xml:space="preserve"> han recibido</w:t>
      </w:r>
      <w:r w:rsidR="00396968" w:rsidRPr="00C374FE">
        <w:rPr>
          <w:rFonts w:ascii="Verdana" w:hAnsi="Verdana"/>
          <w:sz w:val="20"/>
          <w:lang w:val="es-CR"/>
        </w:rPr>
        <w:t xml:space="preserve"> </w:t>
      </w:r>
      <w:r w:rsidR="00467E3F" w:rsidRPr="00C374FE">
        <w:rPr>
          <w:rFonts w:ascii="Verdana" w:hAnsi="Verdana"/>
          <w:sz w:val="20"/>
          <w:lang w:val="es-CR"/>
        </w:rPr>
        <w:t>atención médica</w:t>
      </w:r>
      <w:r w:rsidR="00396968" w:rsidRPr="00C374FE">
        <w:rPr>
          <w:rFonts w:ascii="Verdana" w:hAnsi="Verdana"/>
          <w:sz w:val="20"/>
          <w:lang w:val="es-CR"/>
        </w:rPr>
        <w:t xml:space="preserve"> </w:t>
      </w:r>
      <w:r w:rsidR="00467E3F" w:rsidRPr="00C374FE">
        <w:rPr>
          <w:rFonts w:ascii="Verdana" w:hAnsi="Verdana"/>
          <w:sz w:val="20"/>
          <w:lang w:val="es-CR"/>
        </w:rPr>
        <w:t xml:space="preserve">entre </w:t>
      </w:r>
      <w:r w:rsidR="008D1D1A">
        <w:rPr>
          <w:rFonts w:ascii="Verdana" w:hAnsi="Verdana"/>
          <w:sz w:val="20"/>
          <w:lang w:val="es-CR"/>
        </w:rPr>
        <w:t>abril</w:t>
      </w:r>
      <w:r w:rsidR="008D1D1A" w:rsidRPr="00C374FE">
        <w:rPr>
          <w:rFonts w:ascii="Verdana" w:hAnsi="Verdana"/>
          <w:sz w:val="20"/>
          <w:lang w:val="es-CR"/>
        </w:rPr>
        <w:t xml:space="preserve"> </w:t>
      </w:r>
      <w:r w:rsidR="003838B7" w:rsidRPr="00C374FE">
        <w:rPr>
          <w:rFonts w:ascii="Verdana" w:hAnsi="Verdana"/>
          <w:sz w:val="20"/>
          <w:lang w:val="es-CR"/>
        </w:rPr>
        <w:t xml:space="preserve">y noviembre </w:t>
      </w:r>
      <w:r w:rsidR="00467E3F" w:rsidRPr="00C374FE">
        <w:rPr>
          <w:rFonts w:ascii="Verdana" w:hAnsi="Verdana"/>
          <w:sz w:val="20"/>
          <w:lang w:val="es-CR"/>
        </w:rPr>
        <w:t>de 2016</w:t>
      </w:r>
      <w:r w:rsidR="00467E3F" w:rsidRPr="00C374FE">
        <w:rPr>
          <w:rStyle w:val="FootnoteReference"/>
          <w:rFonts w:ascii="Verdana" w:hAnsi="Verdana"/>
          <w:sz w:val="20"/>
          <w:lang w:val="es-CR"/>
        </w:rPr>
        <w:footnoteReference w:id="8"/>
      </w:r>
      <w:r w:rsidR="00467E3F" w:rsidRPr="00C374FE">
        <w:rPr>
          <w:rFonts w:ascii="Verdana" w:hAnsi="Verdana"/>
          <w:sz w:val="20"/>
          <w:lang w:val="es-CR"/>
        </w:rPr>
        <w:t>.</w:t>
      </w:r>
      <w:bookmarkEnd w:id="5"/>
      <w:r w:rsidR="00467E3F" w:rsidRPr="00C374FE">
        <w:rPr>
          <w:rFonts w:ascii="Verdana" w:hAnsi="Verdana"/>
          <w:sz w:val="20"/>
          <w:lang w:val="es-CR"/>
        </w:rPr>
        <w:t xml:space="preserve"> </w:t>
      </w:r>
    </w:p>
    <w:p w14:paraId="6D4E08BF" w14:textId="77777777" w:rsidR="00BE51B1" w:rsidRDefault="00BE51B1" w:rsidP="00C46E3A">
      <w:pPr>
        <w:pStyle w:val="ListParagraph"/>
        <w:spacing w:after="0" w:line="240" w:lineRule="auto"/>
        <w:ind w:left="0"/>
        <w:jc w:val="both"/>
        <w:rPr>
          <w:rFonts w:ascii="Verdana" w:hAnsi="Verdana"/>
          <w:sz w:val="20"/>
          <w:lang w:val="es-CR"/>
        </w:rPr>
      </w:pPr>
    </w:p>
    <w:p w14:paraId="3E259BC1" w14:textId="57ADDDE4" w:rsidR="00396968" w:rsidRDefault="00396968" w:rsidP="00BE51B1">
      <w:pPr>
        <w:pStyle w:val="ListParagraph"/>
        <w:numPr>
          <w:ilvl w:val="0"/>
          <w:numId w:val="2"/>
        </w:numPr>
        <w:spacing w:after="0" w:line="240" w:lineRule="auto"/>
        <w:ind w:left="0" w:firstLine="0"/>
        <w:jc w:val="both"/>
        <w:rPr>
          <w:rFonts w:ascii="Verdana" w:hAnsi="Verdana"/>
          <w:sz w:val="20"/>
          <w:lang w:val="es-CR"/>
        </w:rPr>
      </w:pPr>
      <w:r>
        <w:rPr>
          <w:rFonts w:ascii="Verdana" w:hAnsi="Verdana"/>
          <w:sz w:val="20"/>
          <w:lang w:val="es-CR"/>
        </w:rPr>
        <w:t>E</w:t>
      </w:r>
      <w:r w:rsidR="00F0722B">
        <w:rPr>
          <w:rFonts w:ascii="Verdana" w:hAnsi="Verdana"/>
          <w:sz w:val="20"/>
          <w:lang w:val="es-CR"/>
        </w:rPr>
        <w:t>l</w:t>
      </w:r>
      <w:r w:rsidR="00467E3F" w:rsidRPr="000B73C8">
        <w:rPr>
          <w:rFonts w:ascii="Verdana" w:hAnsi="Verdana"/>
          <w:sz w:val="20"/>
          <w:lang w:val="es-CR"/>
        </w:rPr>
        <w:t xml:space="preserve"> </w:t>
      </w:r>
      <w:r w:rsidR="00467E3F" w:rsidRPr="006440E4">
        <w:rPr>
          <w:rFonts w:ascii="Verdana" w:hAnsi="Verdana"/>
          <w:i/>
          <w:sz w:val="20"/>
          <w:lang w:val="es-CR"/>
        </w:rPr>
        <w:t>representante</w:t>
      </w:r>
      <w:r w:rsidR="00F0722B">
        <w:rPr>
          <w:rFonts w:ascii="Verdana" w:hAnsi="Verdana"/>
          <w:i/>
          <w:sz w:val="20"/>
          <w:lang w:val="es-CR"/>
        </w:rPr>
        <w:t xml:space="preserve"> de la</w:t>
      </w:r>
      <w:r>
        <w:rPr>
          <w:rFonts w:ascii="Verdana" w:hAnsi="Verdana"/>
          <w:i/>
          <w:sz w:val="20"/>
          <w:lang w:val="es-CR"/>
        </w:rPr>
        <w:t>s</w:t>
      </w:r>
      <w:r w:rsidR="00F0722B">
        <w:rPr>
          <w:rFonts w:ascii="Verdana" w:hAnsi="Verdana"/>
          <w:i/>
          <w:sz w:val="20"/>
          <w:lang w:val="es-CR"/>
        </w:rPr>
        <w:t xml:space="preserve"> víctima</w:t>
      </w:r>
      <w:r>
        <w:rPr>
          <w:rFonts w:ascii="Verdana" w:hAnsi="Verdana"/>
          <w:i/>
          <w:sz w:val="20"/>
          <w:lang w:val="es-CR"/>
        </w:rPr>
        <w:t>s</w:t>
      </w:r>
      <w:r w:rsidR="00F0722B">
        <w:rPr>
          <w:rFonts w:ascii="Verdana" w:hAnsi="Verdana"/>
          <w:i/>
          <w:sz w:val="20"/>
          <w:lang w:val="es-CR"/>
        </w:rPr>
        <w:t xml:space="preserve"> </w:t>
      </w:r>
      <w:r>
        <w:rPr>
          <w:rFonts w:ascii="Verdana" w:hAnsi="Verdana"/>
          <w:sz w:val="20"/>
          <w:lang w:val="es-CR"/>
        </w:rPr>
        <w:t>argumentó</w:t>
      </w:r>
      <w:r w:rsidR="00467E3F" w:rsidRPr="000B73C8">
        <w:rPr>
          <w:rFonts w:ascii="Verdana" w:hAnsi="Verdana"/>
          <w:sz w:val="20"/>
          <w:lang w:val="es-CR"/>
        </w:rPr>
        <w:t xml:space="preserve"> </w:t>
      </w:r>
      <w:r>
        <w:rPr>
          <w:rFonts w:ascii="Verdana" w:hAnsi="Verdana"/>
          <w:sz w:val="20"/>
          <w:lang w:val="es-CR"/>
        </w:rPr>
        <w:t xml:space="preserve">que </w:t>
      </w:r>
      <w:r w:rsidR="00467E3F">
        <w:rPr>
          <w:rFonts w:ascii="Verdana" w:hAnsi="Verdana"/>
          <w:sz w:val="20"/>
          <w:lang w:val="es-CR"/>
        </w:rPr>
        <w:t xml:space="preserve">no </w:t>
      </w:r>
      <w:r w:rsidR="00467E3F" w:rsidRPr="000B73C8">
        <w:rPr>
          <w:rFonts w:ascii="Verdana" w:hAnsi="Verdana"/>
          <w:sz w:val="20"/>
          <w:lang w:val="es-CR"/>
        </w:rPr>
        <w:t>se había cumplido dicha medida de reparación</w:t>
      </w:r>
      <w:r w:rsidR="00467E3F">
        <w:rPr>
          <w:rFonts w:ascii="Verdana" w:hAnsi="Verdana"/>
          <w:sz w:val="20"/>
          <w:lang w:val="es-CR"/>
        </w:rPr>
        <w:t>,</w:t>
      </w:r>
      <w:r>
        <w:rPr>
          <w:rFonts w:ascii="Verdana" w:hAnsi="Verdana"/>
          <w:sz w:val="20"/>
          <w:lang w:val="es-CR"/>
        </w:rPr>
        <w:t xml:space="preserve"> puesto</w:t>
      </w:r>
      <w:r w:rsidR="00BE51B1">
        <w:rPr>
          <w:rFonts w:ascii="Verdana" w:hAnsi="Verdana"/>
          <w:sz w:val="20"/>
          <w:lang w:val="es-CR"/>
        </w:rPr>
        <w:t xml:space="preserve"> </w:t>
      </w:r>
      <w:r w:rsidR="00467E3F">
        <w:rPr>
          <w:rFonts w:ascii="Verdana" w:hAnsi="Verdana"/>
          <w:sz w:val="20"/>
          <w:lang w:val="es-CR"/>
        </w:rPr>
        <w:t>que los servicios proporcionados son “</w:t>
      </w:r>
      <w:r w:rsidR="00467E3F" w:rsidRPr="000B73C8">
        <w:rPr>
          <w:rFonts w:ascii="Verdana" w:hAnsi="Verdana"/>
          <w:sz w:val="20"/>
          <w:lang w:val="es-CR"/>
        </w:rPr>
        <w:t>parte de las obligaciones de todo Estado de brindarle Salud a todos los habitantes de cualquier país democrático hoy día en el mundo”</w:t>
      </w:r>
      <w:r w:rsidR="00A700B4">
        <w:rPr>
          <w:rFonts w:ascii="Verdana" w:hAnsi="Verdana"/>
          <w:sz w:val="20"/>
          <w:lang w:val="es-CR"/>
        </w:rPr>
        <w:t>.</w:t>
      </w:r>
      <w:r w:rsidR="00467E3F" w:rsidRPr="000B73C8">
        <w:rPr>
          <w:rFonts w:ascii="Verdana" w:hAnsi="Verdana"/>
          <w:sz w:val="20"/>
          <w:lang w:val="es-CR"/>
        </w:rPr>
        <w:t xml:space="preserve"> </w:t>
      </w:r>
      <w:r w:rsidR="00C161DB">
        <w:rPr>
          <w:rFonts w:ascii="Verdana" w:hAnsi="Verdana"/>
          <w:sz w:val="20"/>
          <w:lang w:val="es-CR"/>
        </w:rPr>
        <w:t>El</w:t>
      </w:r>
      <w:r w:rsidR="00467E3F">
        <w:rPr>
          <w:rFonts w:ascii="Verdana" w:hAnsi="Verdana"/>
          <w:sz w:val="20"/>
          <w:lang w:val="es-CR"/>
        </w:rPr>
        <w:t xml:space="preserve"> representante no controvirti</w:t>
      </w:r>
      <w:r w:rsidR="00C161DB">
        <w:rPr>
          <w:rFonts w:ascii="Verdana" w:hAnsi="Verdana"/>
          <w:sz w:val="20"/>
          <w:lang w:val="es-CR"/>
        </w:rPr>
        <w:t>ó</w:t>
      </w:r>
      <w:r w:rsidR="00467E3F">
        <w:rPr>
          <w:rFonts w:ascii="Verdana" w:hAnsi="Verdana"/>
          <w:sz w:val="20"/>
          <w:lang w:val="es-CR"/>
        </w:rPr>
        <w:t xml:space="preserve"> la información </w:t>
      </w:r>
      <w:r w:rsidR="00BE51B1">
        <w:rPr>
          <w:rFonts w:ascii="Verdana" w:hAnsi="Verdana"/>
          <w:sz w:val="20"/>
          <w:lang w:val="es-CR"/>
        </w:rPr>
        <w:t>d</w:t>
      </w:r>
      <w:r w:rsidR="00062390">
        <w:rPr>
          <w:rFonts w:ascii="Verdana" w:hAnsi="Verdana"/>
          <w:sz w:val="20"/>
          <w:lang w:val="es-CR"/>
        </w:rPr>
        <w:t>el</w:t>
      </w:r>
      <w:r w:rsidR="00467E3F">
        <w:rPr>
          <w:rFonts w:ascii="Verdana" w:hAnsi="Verdana"/>
          <w:sz w:val="20"/>
          <w:lang w:val="es-CR"/>
        </w:rPr>
        <w:t xml:space="preserve"> Ministerio de Salud, ni present</w:t>
      </w:r>
      <w:r w:rsidR="00315EE5">
        <w:rPr>
          <w:rFonts w:ascii="Verdana" w:hAnsi="Verdana"/>
          <w:sz w:val="20"/>
          <w:lang w:val="es-CR"/>
        </w:rPr>
        <w:t>ó</w:t>
      </w:r>
      <w:r w:rsidR="00467E3F">
        <w:rPr>
          <w:rFonts w:ascii="Verdana" w:hAnsi="Verdana"/>
          <w:sz w:val="20"/>
          <w:lang w:val="es-CR"/>
        </w:rPr>
        <w:t xml:space="preserve"> objeciones específicas sobre la </w:t>
      </w:r>
      <w:r w:rsidR="002B2E3A">
        <w:rPr>
          <w:rFonts w:ascii="Verdana" w:hAnsi="Verdana"/>
          <w:sz w:val="20"/>
          <w:lang w:val="es-CR"/>
        </w:rPr>
        <w:t xml:space="preserve">atención psicológica o </w:t>
      </w:r>
      <w:r>
        <w:rPr>
          <w:rFonts w:ascii="Verdana" w:hAnsi="Verdana"/>
          <w:sz w:val="20"/>
          <w:lang w:val="es-CR"/>
        </w:rPr>
        <w:t>psiquiátrica que se habría recibido hasta el momento</w:t>
      </w:r>
      <w:r w:rsidR="00467E3F">
        <w:rPr>
          <w:rFonts w:ascii="Verdana" w:hAnsi="Verdana"/>
          <w:sz w:val="20"/>
          <w:lang w:val="es-CR"/>
        </w:rPr>
        <w:t xml:space="preserve">. </w:t>
      </w:r>
      <w:r w:rsidR="00B76214">
        <w:rPr>
          <w:rFonts w:ascii="Verdana" w:hAnsi="Verdana"/>
          <w:sz w:val="20"/>
          <w:lang w:val="es-CR"/>
        </w:rPr>
        <w:t>Al respecto, la Corte recuerda que la medida ordenada puede ser brindada a través de las instituciones públicas de salud</w:t>
      </w:r>
      <w:r w:rsidR="00A16314">
        <w:rPr>
          <w:rFonts w:ascii="Verdana" w:hAnsi="Verdana"/>
          <w:sz w:val="20"/>
          <w:lang w:val="es-CR"/>
        </w:rPr>
        <w:t xml:space="preserve"> si cumple con los criterios indicados en la Sentencia</w:t>
      </w:r>
      <w:r w:rsidR="00A2451F">
        <w:rPr>
          <w:rFonts w:ascii="Verdana" w:hAnsi="Verdana"/>
          <w:sz w:val="20"/>
          <w:lang w:val="es-CR"/>
        </w:rPr>
        <w:t>, de manera que se les brinde un tratamiento diferenciado por su carácter de víctimas</w:t>
      </w:r>
      <w:r w:rsidR="00A16314">
        <w:rPr>
          <w:rFonts w:ascii="Verdana" w:hAnsi="Verdana"/>
          <w:sz w:val="20"/>
          <w:lang w:val="es-CR"/>
        </w:rPr>
        <w:t xml:space="preserve"> (</w:t>
      </w:r>
      <w:r w:rsidR="00A16314" w:rsidRPr="00C34B0B">
        <w:rPr>
          <w:rFonts w:ascii="Verdana" w:hAnsi="Verdana"/>
          <w:i/>
          <w:sz w:val="20"/>
          <w:lang w:val="es-CR"/>
        </w:rPr>
        <w:t>supra</w:t>
      </w:r>
      <w:r w:rsidR="00A16314">
        <w:rPr>
          <w:rFonts w:ascii="Verdana" w:hAnsi="Verdana"/>
          <w:sz w:val="20"/>
          <w:lang w:val="es-CR"/>
        </w:rPr>
        <w:t xml:space="preserve"> Considerando </w:t>
      </w:r>
      <w:r w:rsidR="00B208BB">
        <w:rPr>
          <w:rFonts w:ascii="Verdana" w:hAnsi="Verdana"/>
          <w:sz w:val="20"/>
          <w:lang w:val="es-CR"/>
        </w:rPr>
        <w:fldChar w:fldCharType="begin"/>
      </w:r>
      <w:r w:rsidR="00B208BB">
        <w:rPr>
          <w:rFonts w:ascii="Verdana" w:hAnsi="Verdana"/>
          <w:sz w:val="20"/>
          <w:lang w:val="es-CR"/>
        </w:rPr>
        <w:instrText xml:space="preserve"> REF _Ref504381349 \r \h </w:instrText>
      </w:r>
      <w:r w:rsidR="00B208BB">
        <w:rPr>
          <w:rFonts w:ascii="Verdana" w:hAnsi="Verdana"/>
          <w:sz w:val="20"/>
          <w:lang w:val="es-CR"/>
        </w:rPr>
      </w:r>
      <w:r w:rsidR="00B208BB">
        <w:rPr>
          <w:rFonts w:ascii="Verdana" w:hAnsi="Verdana"/>
          <w:sz w:val="20"/>
          <w:lang w:val="es-CR"/>
        </w:rPr>
        <w:fldChar w:fldCharType="separate"/>
      </w:r>
      <w:r w:rsidR="00925686">
        <w:rPr>
          <w:rFonts w:ascii="Verdana" w:hAnsi="Verdana"/>
          <w:sz w:val="20"/>
          <w:lang w:val="es-CR"/>
        </w:rPr>
        <w:t>4</w:t>
      </w:r>
      <w:r w:rsidR="00B208BB">
        <w:rPr>
          <w:rFonts w:ascii="Verdana" w:hAnsi="Verdana"/>
          <w:sz w:val="20"/>
          <w:lang w:val="es-CR"/>
        </w:rPr>
        <w:fldChar w:fldCharType="end"/>
      </w:r>
      <w:r w:rsidR="00A16314">
        <w:rPr>
          <w:rFonts w:ascii="Verdana" w:hAnsi="Verdana"/>
          <w:sz w:val="20"/>
          <w:lang w:val="es-CR"/>
        </w:rPr>
        <w:t xml:space="preserve">). </w:t>
      </w:r>
      <w:r w:rsidR="00A2451F">
        <w:rPr>
          <w:rFonts w:ascii="Verdana" w:hAnsi="Verdana"/>
          <w:sz w:val="20"/>
          <w:lang w:val="es-CR"/>
        </w:rPr>
        <w:t>Sobre este último aspecto r</w:t>
      </w:r>
      <w:r w:rsidR="00D960C3">
        <w:rPr>
          <w:rFonts w:ascii="Verdana" w:hAnsi="Verdana"/>
          <w:sz w:val="20"/>
          <w:lang w:val="es-CR"/>
        </w:rPr>
        <w:t xml:space="preserve">esulta positivo que </w:t>
      </w:r>
      <w:r w:rsidR="00A2451F">
        <w:rPr>
          <w:rFonts w:ascii="Verdana" w:hAnsi="Verdana"/>
          <w:sz w:val="20"/>
          <w:lang w:val="es-CR"/>
        </w:rPr>
        <w:t>el Estado dispuso una funcionaria que servirá</w:t>
      </w:r>
      <w:r w:rsidR="00D960C3">
        <w:rPr>
          <w:rFonts w:ascii="Verdana" w:hAnsi="Verdana"/>
          <w:sz w:val="20"/>
          <w:lang w:val="es-CR"/>
        </w:rPr>
        <w:t xml:space="preserve"> de “enlace” entre las</w:t>
      </w:r>
      <w:r w:rsidR="00C46E3A">
        <w:rPr>
          <w:rFonts w:ascii="Verdana" w:hAnsi="Verdana"/>
          <w:sz w:val="20"/>
          <w:lang w:val="es-CR"/>
        </w:rPr>
        <w:t xml:space="preserve"> autoridades de salud y </w:t>
      </w:r>
      <w:r w:rsidR="00C46E3A">
        <w:rPr>
          <w:rFonts w:ascii="Verdana" w:hAnsi="Verdana"/>
          <w:sz w:val="20"/>
          <w:lang w:val="es-CR"/>
        </w:rPr>
        <w:lastRenderedPageBreak/>
        <w:t>las víc</w:t>
      </w:r>
      <w:r w:rsidR="00D960C3">
        <w:rPr>
          <w:rFonts w:ascii="Verdana" w:hAnsi="Verdana"/>
          <w:sz w:val="20"/>
          <w:lang w:val="es-CR"/>
        </w:rPr>
        <w:t>t</w:t>
      </w:r>
      <w:r w:rsidR="00C46E3A">
        <w:rPr>
          <w:rFonts w:ascii="Verdana" w:hAnsi="Verdana"/>
          <w:sz w:val="20"/>
          <w:lang w:val="es-CR"/>
        </w:rPr>
        <w:t>i</w:t>
      </w:r>
      <w:r w:rsidR="00D960C3">
        <w:rPr>
          <w:rFonts w:ascii="Verdana" w:hAnsi="Verdana"/>
          <w:sz w:val="20"/>
          <w:lang w:val="es-CR"/>
        </w:rPr>
        <w:t>mas beneficiarias de esta reparación, lo cual puede coadyuvar a solventar de forma pronta cualquier inconveniente que se presente con la ejecución de</w:t>
      </w:r>
      <w:r w:rsidR="008D1D1A">
        <w:rPr>
          <w:rFonts w:ascii="Verdana" w:hAnsi="Verdana"/>
          <w:sz w:val="20"/>
          <w:lang w:val="es-CR"/>
        </w:rPr>
        <w:t xml:space="preserve"> </w:t>
      </w:r>
      <w:r w:rsidR="00D960C3">
        <w:rPr>
          <w:rFonts w:ascii="Verdana" w:hAnsi="Verdana"/>
          <w:sz w:val="20"/>
          <w:lang w:val="es-CR"/>
        </w:rPr>
        <w:t>la medida</w:t>
      </w:r>
      <w:r w:rsidR="00D960C3">
        <w:rPr>
          <w:rStyle w:val="FootnoteReference"/>
          <w:rFonts w:ascii="Verdana" w:hAnsi="Verdana"/>
          <w:sz w:val="20"/>
          <w:lang w:val="es-CR"/>
        </w:rPr>
        <w:footnoteReference w:id="9"/>
      </w:r>
      <w:r w:rsidR="00D960C3">
        <w:rPr>
          <w:rFonts w:ascii="Verdana" w:hAnsi="Verdana"/>
          <w:sz w:val="20"/>
          <w:lang w:val="es-CR"/>
        </w:rPr>
        <w:t xml:space="preserve">. </w:t>
      </w:r>
    </w:p>
    <w:p w14:paraId="209C3821" w14:textId="77777777" w:rsidR="00396968" w:rsidRPr="00396968" w:rsidRDefault="00396968" w:rsidP="00396968">
      <w:pPr>
        <w:pStyle w:val="ListParagraph"/>
        <w:rPr>
          <w:rFonts w:ascii="Verdana" w:hAnsi="Verdana"/>
          <w:sz w:val="20"/>
          <w:lang w:val="es-CR"/>
        </w:rPr>
      </w:pPr>
    </w:p>
    <w:p w14:paraId="306A8349" w14:textId="02BE1C63" w:rsidR="00BE51B1" w:rsidRDefault="00396968" w:rsidP="00BE51B1">
      <w:pPr>
        <w:pStyle w:val="ListParagraph"/>
        <w:numPr>
          <w:ilvl w:val="0"/>
          <w:numId w:val="2"/>
        </w:numPr>
        <w:spacing w:after="0" w:line="240" w:lineRule="auto"/>
        <w:ind w:left="0" w:firstLine="0"/>
        <w:jc w:val="both"/>
        <w:rPr>
          <w:rFonts w:ascii="Verdana" w:hAnsi="Verdana"/>
          <w:sz w:val="20"/>
          <w:lang w:val="es-CR"/>
        </w:rPr>
      </w:pPr>
      <w:r>
        <w:rPr>
          <w:rFonts w:ascii="Verdana" w:hAnsi="Verdana"/>
          <w:sz w:val="20"/>
          <w:lang w:val="es-CR"/>
        </w:rPr>
        <w:t xml:space="preserve">El Tribunal valora positivamente que el Estado haya brindado atención psicológica a la víctima que así lo solicitó. </w:t>
      </w:r>
      <w:r w:rsidR="00A16314">
        <w:rPr>
          <w:rFonts w:ascii="Verdana" w:hAnsi="Verdana"/>
          <w:sz w:val="20"/>
          <w:lang w:val="es-CR"/>
        </w:rPr>
        <w:t>Sin embargo, aun este Tribunal no puede evaluar de forma adecuada el cumplimiento de la medida por</w:t>
      </w:r>
      <w:r w:rsidR="00D93C6C">
        <w:rPr>
          <w:rFonts w:ascii="Verdana" w:hAnsi="Verdana"/>
          <w:sz w:val="20"/>
          <w:lang w:val="es-CR"/>
        </w:rPr>
        <w:t xml:space="preserve"> cuanto</w:t>
      </w:r>
      <w:r w:rsidR="00A16314">
        <w:rPr>
          <w:rFonts w:ascii="Verdana" w:hAnsi="Verdana"/>
          <w:sz w:val="20"/>
          <w:lang w:val="es-CR"/>
        </w:rPr>
        <w:t xml:space="preserve"> el Estado no ha proporcionado información específica sobre la atención psicológica o psiquiatrica que se estaría brindando a las víctimas, que fue lo ordenado en la Sentencia</w:t>
      </w:r>
      <w:r>
        <w:rPr>
          <w:rFonts w:ascii="Verdana" w:hAnsi="Verdana"/>
          <w:sz w:val="20"/>
          <w:lang w:val="es-CR"/>
        </w:rPr>
        <w:t>, más allá de la única atención que fue recibida en junio de 2016 (</w:t>
      </w:r>
      <w:r>
        <w:rPr>
          <w:rFonts w:ascii="Verdana" w:hAnsi="Verdana"/>
          <w:i/>
          <w:sz w:val="20"/>
          <w:lang w:val="es-CR"/>
        </w:rPr>
        <w:t>supra</w:t>
      </w:r>
      <w:r>
        <w:rPr>
          <w:rFonts w:ascii="Verdana" w:hAnsi="Verdana"/>
          <w:sz w:val="20"/>
          <w:lang w:val="es-CR"/>
        </w:rPr>
        <w:t xml:space="preserve"> Considerando </w:t>
      </w:r>
      <w:r w:rsidR="00B208BB">
        <w:rPr>
          <w:rFonts w:ascii="Verdana" w:hAnsi="Verdana"/>
          <w:sz w:val="20"/>
          <w:lang w:val="es-CR"/>
        </w:rPr>
        <w:fldChar w:fldCharType="begin"/>
      </w:r>
      <w:r w:rsidR="00B208BB">
        <w:rPr>
          <w:rFonts w:ascii="Verdana" w:hAnsi="Verdana"/>
          <w:sz w:val="20"/>
          <w:lang w:val="es-CR"/>
        </w:rPr>
        <w:instrText xml:space="preserve"> REF _Ref504381432 \r \h </w:instrText>
      </w:r>
      <w:r w:rsidR="00B208BB">
        <w:rPr>
          <w:rFonts w:ascii="Verdana" w:hAnsi="Verdana"/>
          <w:sz w:val="20"/>
          <w:lang w:val="es-CR"/>
        </w:rPr>
      </w:r>
      <w:r w:rsidR="00B208BB">
        <w:rPr>
          <w:rFonts w:ascii="Verdana" w:hAnsi="Verdana"/>
          <w:sz w:val="20"/>
          <w:lang w:val="es-CR"/>
        </w:rPr>
        <w:fldChar w:fldCharType="separate"/>
      </w:r>
      <w:r w:rsidR="00925686">
        <w:rPr>
          <w:rFonts w:ascii="Verdana" w:hAnsi="Verdana"/>
          <w:sz w:val="20"/>
          <w:lang w:val="es-CR"/>
        </w:rPr>
        <w:t>5</w:t>
      </w:r>
      <w:r w:rsidR="00B208BB">
        <w:rPr>
          <w:rFonts w:ascii="Verdana" w:hAnsi="Verdana"/>
          <w:sz w:val="20"/>
          <w:lang w:val="es-CR"/>
        </w:rPr>
        <w:fldChar w:fldCharType="end"/>
      </w:r>
      <w:r>
        <w:rPr>
          <w:rFonts w:ascii="Verdana" w:hAnsi="Verdana"/>
          <w:sz w:val="20"/>
          <w:lang w:val="es-CR"/>
        </w:rPr>
        <w:t>)</w:t>
      </w:r>
      <w:r w:rsidR="00A16314">
        <w:rPr>
          <w:rFonts w:ascii="Verdana" w:hAnsi="Verdana"/>
          <w:sz w:val="20"/>
          <w:lang w:val="es-CR"/>
        </w:rPr>
        <w:t xml:space="preserve">. </w:t>
      </w:r>
      <w:r w:rsidR="00C374FE">
        <w:rPr>
          <w:rFonts w:ascii="Verdana" w:hAnsi="Verdana"/>
          <w:sz w:val="20"/>
          <w:lang w:val="es-CR"/>
        </w:rPr>
        <w:t xml:space="preserve">Por otra parte, el Tribunal estima necesario </w:t>
      </w:r>
      <w:r w:rsidR="00C374FE" w:rsidRPr="00C374FE">
        <w:rPr>
          <w:rFonts w:ascii="Verdana" w:hAnsi="Verdana"/>
          <w:sz w:val="20"/>
          <w:lang w:val="es-CR"/>
        </w:rPr>
        <w:t xml:space="preserve">que las víctimas indiquen claramente a la Corte, a través de su representante, si desean o no </w:t>
      </w:r>
      <w:r w:rsidR="00C374FE">
        <w:rPr>
          <w:rFonts w:ascii="Verdana" w:hAnsi="Verdana"/>
          <w:sz w:val="20"/>
          <w:lang w:val="es-CR"/>
        </w:rPr>
        <w:t>recibir</w:t>
      </w:r>
      <w:r w:rsidR="00C374FE" w:rsidRPr="00C374FE">
        <w:rPr>
          <w:rFonts w:ascii="Verdana" w:hAnsi="Verdana"/>
          <w:sz w:val="20"/>
          <w:lang w:val="es-CR"/>
        </w:rPr>
        <w:t xml:space="preserve"> la referida atención</w:t>
      </w:r>
      <w:r w:rsidR="00C374FE">
        <w:rPr>
          <w:rFonts w:ascii="Verdana" w:hAnsi="Verdana"/>
          <w:sz w:val="20"/>
          <w:lang w:val="es-CR"/>
        </w:rPr>
        <w:t xml:space="preserve"> psicológica, o que especifiquen si tienen alguna objeción con relación a la ofrecida por el Estado</w:t>
      </w:r>
      <w:r w:rsidR="006252AD">
        <w:rPr>
          <w:rFonts w:ascii="Verdana" w:hAnsi="Verdana"/>
          <w:sz w:val="20"/>
          <w:lang w:val="es-CR"/>
        </w:rPr>
        <w:t xml:space="preserve">. De no indicar lo señalado, se entenderá que solo la víctima </w:t>
      </w:r>
      <w:r w:rsidR="006252AD" w:rsidRPr="00C374FE">
        <w:rPr>
          <w:rFonts w:ascii="Verdana" w:hAnsi="Verdana"/>
          <w:sz w:val="20"/>
          <w:lang w:val="es-CR"/>
        </w:rPr>
        <w:t>María Maribel Guevara de Ruano</w:t>
      </w:r>
      <w:r w:rsidR="006252AD">
        <w:rPr>
          <w:rFonts w:ascii="Verdana" w:hAnsi="Verdana"/>
          <w:sz w:val="20"/>
          <w:lang w:val="es-CR"/>
        </w:rPr>
        <w:t xml:space="preserve"> habría manifestado su voluntad de recibir el tratamiento.</w:t>
      </w:r>
      <w:r w:rsidR="00C374FE" w:rsidRPr="00C374FE">
        <w:rPr>
          <w:rFonts w:ascii="Verdana" w:hAnsi="Verdana"/>
          <w:sz w:val="20"/>
          <w:lang w:val="es-CR"/>
        </w:rPr>
        <w:t xml:space="preserve"> </w:t>
      </w:r>
      <w:r w:rsidR="00FC2E72">
        <w:rPr>
          <w:rFonts w:ascii="Verdana" w:hAnsi="Verdana"/>
          <w:sz w:val="20"/>
          <w:lang w:val="es-CR"/>
        </w:rPr>
        <w:t>El</w:t>
      </w:r>
      <w:r w:rsidR="00C374FE" w:rsidRPr="00C374FE">
        <w:rPr>
          <w:rFonts w:ascii="Verdana" w:hAnsi="Verdana"/>
          <w:sz w:val="20"/>
          <w:lang w:val="es-CR"/>
        </w:rPr>
        <w:t xml:space="preserve"> representante deberá presentar dicha información junto con las observaciones requeridas en el punto resolutivo </w:t>
      </w:r>
      <w:r w:rsidR="00243225">
        <w:rPr>
          <w:rFonts w:ascii="Verdana" w:hAnsi="Verdana"/>
          <w:sz w:val="20"/>
          <w:lang w:val="es-CR"/>
        </w:rPr>
        <w:t>4</w:t>
      </w:r>
      <w:r w:rsidR="00C374FE" w:rsidRPr="00C374FE">
        <w:rPr>
          <w:rFonts w:ascii="Verdana" w:hAnsi="Verdana"/>
          <w:sz w:val="20"/>
          <w:lang w:val="es-CR"/>
        </w:rPr>
        <w:t xml:space="preserve"> de la presente Resolución</w:t>
      </w:r>
      <w:r w:rsidR="00C374FE">
        <w:rPr>
          <w:rFonts w:ascii="Verdana" w:hAnsi="Verdana"/>
          <w:sz w:val="20"/>
          <w:lang w:val="es-CR"/>
        </w:rPr>
        <w:t xml:space="preserve">. </w:t>
      </w:r>
      <w:r w:rsidR="00A16314">
        <w:rPr>
          <w:rFonts w:ascii="Verdana" w:hAnsi="Verdana"/>
          <w:sz w:val="20"/>
          <w:lang w:val="es-CR"/>
        </w:rPr>
        <w:t>La Corte valora positivamente que</w:t>
      </w:r>
      <w:r w:rsidR="00D960C3">
        <w:rPr>
          <w:rFonts w:ascii="Verdana" w:hAnsi="Verdana"/>
          <w:sz w:val="20"/>
          <w:lang w:val="es-CR"/>
        </w:rPr>
        <w:t>,</w:t>
      </w:r>
      <w:r w:rsidR="00A16314">
        <w:rPr>
          <w:rFonts w:ascii="Verdana" w:hAnsi="Verdana"/>
          <w:sz w:val="20"/>
          <w:lang w:val="es-CR"/>
        </w:rPr>
        <w:t xml:space="preserve"> </w:t>
      </w:r>
      <w:r w:rsidR="00D960C3">
        <w:rPr>
          <w:rFonts w:ascii="Verdana" w:hAnsi="Verdana"/>
          <w:sz w:val="20"/>
          <w:lang w:val="es-CR"/>
        </w:rPr>
        <w:t>de forma adicional, El Salvador haya ofrecido formalmente brindar atención médica</w:t>
      </w:r>
      <w:r w:rsidR="00FC2E72">
        <w:rPr>
          <w:rFonts w:ascii="Verdana" w:hAnsi="Verdana"/>
          <w:sz w:val="20"/>
          <w:lang w:val="es-CR"/>
        </w:rPr>
        <w:t xml:space="preserve"> a las víctimas</w:t>
      </w:r>
      <w:r w:rsidR="00D960C3">
        <w:rPr>
          <w:rFonts w:ascii="Verdana" w:hAnsi="Verdana"/>
          <w:sz w:val="20"/>
          <w:lang w:val="es-CR"/>
        </w:rPr>
        <w:t xml:space="preserve">, pero requiere mayor información sobre la atención psicológica o </w:t>
      </w:r>
      <w:r w:rsidR="00C374FE">
        <w:rPr>
          <w:rFonts w:ascii="Verdana" w:hAnsi="Verdana"/>
          <w:sz w:val="20"/>
          <w:lang w:val="es-CR"/>
        </w:rPr>
        <w:t>psiquiátrica</w:t>
      </w:r>
      <w:r>
        <w:rPr>
          <w:rFonts w:ascii="Verdana" w:hAnsi="Verdana"/>
          <w:sz w:val="20"/>
          <w:lang w:val="es-CR"/>
        </w:rPr>
        <w:t>.</w:t>
      </w:r>
      <w:r w:rsidR="00C374FE">
        <w:rPr>
          <w:rFonts w:ascii="Verdana" w:hAnsi="Verdana"/>
          <w:sz w:val="20"/>
          <w:lang w:val="es-CR"/>
        </w:rPr>
        <w:t xml:space="preserve"> </w:t>
      </w:r>
    </w:p>
    <w:p w14:paraId="14F76D69" w14:textId="77777777" w:rsidR="00BE51B1" w:rsidRDefault="00BE51B1" w:rsidP="00396968">
      <w:pPr>
        <w:pStyle w:val="ListParagraph"/>
        <w:spacing w:after="0" w:line="240" w:lineRule="auto"/>
        <w:ind w:left="0"/>
        <w:jc w:val="both"/>
        <w:rPr>
          <w:rFonts w:ascii="Verdana" w:hAnsi="Verdana"/>
          <w:sz w:val="20"/>
          <w:lang w:val="es-CR"/>
        </w:rPr>
      </w:pPr>
    </w:p>
    <w:p w14:paraId="7EE81152" w14:textId="71E5B064" w:rsidR="00467E3F" w:rsidRPr="000B73C8" w:rsidRDefault="001D0D92" w:rsidP="00BE51B1">
      <w:pPr>
        <w:pStyle w:val="ListParagraph"/>
        <w:numPr>
          <w:ilvl w:val="0"/>
          <w:numId w:val="2"/>
        </w:numPr>
        <w:spacing w:after="0" w:line="240" w:lineRule="auto"/>
        <w:ind w:left="0" w:firstLine="0"/>
        <w:jc w:val="both"/>
        <w:rPr>
          <w:rFonts w:ascii="Verdana" w:hAnsi="Verdana"/>
          <w:sz w:val="20"/>
          <w:lang w:val="es-CR"/>
        </w:rPr>
      </w:pPr>
      <w:r>
        <w:rPr>
          <w:rFonts w:ascii="Verdana" w:hAnsi="Verdana"/>
          <w:sz w:val="20"/>
          <w:lang w:val="es-CR"/>
        </w:rPr>
        <w:t>Por lo anterior</w:t>
      </w:r>
      <w:r w:rsidR="00467E3F" w:rsidRPr="000B73C8">
        <w:rPr>
          <w:rFonts w:ascii="Verdana" w:hAnsi="Verdana"/>
          <w:sz w:val="20"/>
          <w:lang w:val="es-CR"/>
        </w:rPr>
        <w:t xml:space="preserve">, la Corte considera que </w:t>
      </w:r>
      <w:r>
        <w:rPr>
          <w:rFonts w:ascii="Verdana" w:hAnsi="Verdana"/>
          <w:sz w:val="20"/>
          <w:lang w:val="es-CR"/>
        </w:rPr>
        <w:t xml:space="preserve">se encuentra pendiente de cumplimiento la reparación relativa a brindar </w:t>
      </w:r>
      <w:r w:rsidRPr="000B73C8">
        <w:rPr>
          <w:rFonts w:ascii="Verdana" w:hAnsi="Verdana"/>
          <w:sz w:val="20"/>
          <w:lang w:val="es-CR"/>
        </w:rPr>
        <w:t>tratamiento psicológico y/o psiquiátrico</w:t>
      </w:r>
      <w:r w:rsidR="00FC2E72">
        <w:rPr>
          <w:rFonts w:ascii="Verdana" w:hAnsi="Verdana"/>
          <w:sz w:val="20"/>
          <w:lang w:val="es-CR"/>
        </w:rPr>
        <w:t xml:space="preserve"> a las víctimas</w:t>
      </w:r>
      <w:r w:rsidRPr="000B73C8">
        <w:rPr>
          <w:rFonts w:ascii="Verdana" w:hAnsi="Verdana"/>
          <w:sz w:val="20"/>
          <w:lang w:val="es-CR"/>
        </w:rPr>
        <w:t xml:space="preserve"> </w:t>
      </w:r>
      <w:r>
        <w:rPr>
          <w:rFonts w:ascii="Verdana" w:hAnsi="Verdana"/>
          <w:sz w:val="20"/>
          <w:lang w:val="es-CR"/>
        </w:rPr>
        <w:t xml:space="preserve">dispuesta en el punto resolutivo décimo tercero de la Sentencia. </w:t>
      </w:r>
      <w:r w:rsidR="00467E3F" w:rsidRPr="000B73C8">
        <w:rPr>
          <w:rFonts w:ascii="Verdana" w:hAnsi="Verdana"/>
          <w:sz w:val="20"/>
          <w:lang w:val="es-CR"/>
        </w:rPr>
        <w:tab/>
      </w:r>
    </w:p>
    <w:p w14:paraId="4EE7F53D" w14:textId="77777777" w:rsidR="00B50C62" w:rsidRPr="00F00C02" w:rsidRDefault="00A5546E" w:rsidP="00F00C02">
      <w:pPr>
        <w:pStyle w:val="Heading1"/>
        <w:numPr>
          <w:ilvl w:val="0"/>
          <w:numId w:val="11"/>
        </w:numPr>
        <w:rPr>
          <w:rFonts w:ascii="Verdana" w:hAnsi="Verdana"/>
          <w:color w:val="auto"/>
          <w:sz w:val="20"/>
          <w:szCs w:val="20"/>
          <w:lang w:val="es-CR"/>
        </w:rPr>
      </w:pPr>
      <w:bookmarkStart w:id="6" w:name="_Toc504128813"/>
      <w:r w:rsidRPr="00F00C02">
        <w:rPr>
          <w:rFonts w:ascii="Verdana" w:hAnsi="Verdana"/>
          <w:color w:val="auto"/>
          <w:sz w:val="20"/>
          <w:szCs w:val="20"/>
          <w:lang w:val="es-CR"/>
        </w:rPr>
        <w:t>Publicación y difusión de la Sentencia</w:t>
      </w:r>
      <w:bookmarkEnd w:id="6"/>
    </w:p>
    <w:p w14:paraId="33B8127B" w14:textId="77777777" w:rsidR="00B50C62" w:rsidRDefault="00B50C62" w:rsidP="00B50C62">
      <w:pPr>
        <w:spacing w:after="0" w:line="240" w:lineRule="auto"/>
        <w:jc w:val="both"/>
        <w:rPr>
          <w:rFonts w:ascii="Verdana" w:hAnsi="Verdana"/>
          <w:sz w:val="20"/>
          <w:szCs w:val="20"/>
          <w:lang w:val="es-CR"/>
        </w:rPr>
      </w:pPr>
    </w:p>
    <w:p w14:paraId="37A9D30C" w14:textId="5938AFE7" w:rsidR="00B50C62" w:rsidRDefault="00243225" w:rsidP="00B50C62">
      <w:pPr>
        <w:spacing w:after="0" w:line="240" w:lineRule="auto"/>
        <w:ind w:firstLine="360"/>
        <w:jc w:val="both"/>
        <w:rPr>
          <w:rFonts w:ascii="Verdana" w:hAnsi="Verdana"/>
          <w:i/>
          <w:sz w:val="20"/>
          <w:szCs w:val="20"/>
          <w:lang w:val="es-CR"/>
        </w:rPr>
      </w:pPr>
      <w:r>
        <w:rPr>
          <w:rFonts w:ascii="Verdana" w:hAnsi="Verdana"/>
          <w:i/>
          <w:sz w:val="20"/>
          <w:szCs w:val="20"/>
          <w:lang w:val="es-CR"/>
        </w:rPr>
        <w:t>B</w:t>
      </w:r>
      <w:r w:rsidR="00B50C62">
        <w:rPr>
          <w:rFonts w:ascii="Verdana" w:hAnsi="Verdana"/>
          <w:i/>
          <w:sz w:val="20"/>
          <w:szCs w:val="20"/>
          <w:lang w:val="es-CR"/>
        </w:rPr>
        <w:t>.1. Medida</w:t>
      </w:r>
      <w:r w:rsidR="000163A7">
        <w:rPr>
          <w:rFonts w:ascii="Verdana" w:hAnsi="Verdana"/>
          <w:i/>
          <w:sz w:val="20"/>
          <w:szCs w:val="20"/>
          <w:lang w:val="es-CR"/>
        </w:rPr>
        <w:t>s</w:t>
      </w:r>
      <w:r w:rsidR="00B50C62">
        <w:rPr>
          <w:rFonts w:ascii="Verdana" w:hAnsi="Verdana"/>
          <w:i/>
          <w:sz w:val="20"/>
          <w:szCs w:val="20"/>
          <w:lang w:val="es-CR"/>
        </w:rPr>
        <w:t xml:space="preserve"> ordenada</w:t>
      </w:r>
      <w:r w:rsidR="000163A7">
        <w:rPr>
          <w:rFonts w:ascii="Verdana" w:hAnsi="Verdana"/>
          <w:i/>
          <w:sz w:val="20"/>
          <w:szCs w:val="20"/>
          <w:lang w:val="es-CR"/>
        </w:rPr>
        <w:t>s</w:t>
      </w:r>
      <w:r w:rsidR="00B50C62">
        <w:rPr>
          <w:rFonts w:ascii="Verdana" w:hAnsi="Verdana"/>
          <w:i/>
          <w:sz w:val="20"/>
          <w:szCs w:val="20"/>
          <w:lang w:val="es-CR"/>
        </w:rPr>
        <w:t xml:space="preserve"> por la Corte</w:t>
      </w:r>
    </w:p>
    <w:p w14:paraId="09124F73" w14:textId="77777777" w:rsidR="00284438" w:rsidRDefault="00284438" w:rsidP="00284438">
      <w:pPr>
        <w:spacing w:after="0" w:line="240" w:lineRule="auto"/>
        <w:jc w:val="both"/>
        <w:rPr>
          <w:rFonts w:ascii="Verdana" w:hAnsi="Verdana"/>
          <w:i/>
          <w:sz w:val="20"/>
          <w:szCs w:val="20"/>
          <w:lang w:val="es-CR"/>
        </w:rPr>
      </w:pPr>
    </w:p>
    <w:p w14:paraId="1E7EAB52" w14:textId="59B37148" w:rsidR="00284438" w:rsidRDefault="00284438" w:rsidP="00EA42CF">
      <w:pPr>
        <w:pStyle w:val="ListParagraph"/>
        <w:numPr>
          <w:ilvl w:val="0"/>
          <w:numId w:val="2"/>
        </w:numPr>
        <w:spacing w:after="0" w:line="240" w:lineRule="auto"/>
        <w:ind w:left="0" w:firstLine="0"/>
        <w:jc w:val="both"/>
        <w:rPr>
          <w:rFonts w:ascii="Verdana" w:hAnsi="Verdana"/>
          <w:sz w:val="20"/>
          <w:szCs w:val="20"/>
          <w:lang w:val="es-CR"/>
        </w:rPr>
      </w:pPr>
      <w:bookmarkStart w:id="7" w:name="_Ref504381360"/>
      <w:r>
        <w:rPr>
          <w:rFonts w:ascii="Verdana" w:hAnsi="Verdana"/>
          <w:sz w:val="20"/>
          <w:szCs w:val="20"/>
          <w:lang w:val="es-CR"/>
        </w:rPr>
        <w:t xml:space="preserve">En el punto resolutivo </w:t>
      </w:r>
      <w:r w:rsidR="00D3062E">
        <w:rPr>
          <w:rFonts w:ascii="Verdana" w:hAnsi="Verdana"/>
          <w:sz w:val="20"/>
          <w:szCs w:val="20"/>
          <w:lang w:val="es-CR"/>
        </w:rPr>
        <w:t>décimo quinto</w:t>
      </w:r>
      <w:r>
        <w:rPr>
          <w:rFonts w:ascii="Verdana" w:hAnsi="Verdana"/>
          <w:sz w:val="20"/>
          <w:szCs w:val="20"/>
          <w:lang w:val="es-CR"/>
        </w:rPr>
        <w:t xml:space="preserve"> y en</w:t>
      </w:r>
      <w:r w:rsidR="00D3062E">
        <w:rPr>
          <w:rFonts w:ascii="Verdana" w:hAnsi="Verdana"/>
          <w:sz w:val="20"/>
          <w:szCs w:val="20"/>
          <w:lang w:val="es-CR"/>
        </w:rPr>
        <w:t xml:space="preserve"> el</w:t>
      </w:r>
      <w:r>
        <w:rPr>
          <w:rFonts w:ascii="Verdana" w:hAnsi="Verdana"/>
          <w:sz w:val="20"/>
          <w:szCs w:val="20"/>
          <w:lang w:val="es-CR"/>
        </w:rPr>
        <w:t xml:space="preserve"> párrafo</w:t>
      </w:r>
      <w:r w:rsidR="00D3062E">
        <w:rPr>
          <w:rFonts w:ascii="Verdana" w:hAnsi="Verdana"/>
          <w:sz w:val="20"/>
          <w:szCs w:val="20"/>
          <w:lang w:val="es-CR"/>
        </w:rPr>
        <w:t xml:space="preserve"> 222</w:t>
      </w:r>
      <w:r>
        <w:rPr>
          <w:rFonts w:ascii="Verdana" w:hAnsi="Verdana"/>
          <w:sz w:val="20"/>
          <w:szCs w:val="20"/>
          <w:lang w:val="es-CR"/>
        </w:rPr>
        <w:t xml:space="preserve"> de la Sentencia, la Corte dispuso que, “[e]l Estado </w:t>
      </w:r>
      <w:r w:rsidR="00D3062E">
        <w:rPr>
          <w:rFonts w:ascii="Verdana" w:hAnsi="Verdana"/>
          <w:sz w:val="20"/>
          <w:szCs w:val="20"/>
          <w:lang w:val="es-CR"/>
        </w:rPr>
        <w:t xml:space="preserve">publique […]: a) el resumen oficial de la </w:t>
      </w:r>
      <w:r w:rsidR="00243225">
        <w:rPr>
          <w:rFonts w:ascii="Verdana" w:hAnsi="Verdana"/>
          <w:sz w:val="20"/>
          <w:szCs w:val="20"/>
          <w:lang w:val="es-CR"/>
        </w:rPr>
        <w:t xml:space="preserve">[…] </w:t>
      </w:r>
      <w:r w:rsidR="00D3062E">
        <w:rPr>
          <w:rFonts w:ascii="Verdana" w:hAnsi="Verdana"/>
          <w:sz w:val="20"/>
          <w:szCs w:val="20"/>
          <w:lang w:val="es-CR"/>
        </w:rPr>
        <w:t xml:space="preserve">Sentencia elaborado por la Corte, por una sola vez, en el Diario Oficial; b) el resumen oficial de la </w:t>
      </w:r>
      <w:r w:rsidR="00243225">
        <w:rPr>
          <w:rFonts w:ascii="Verdana" w:hAnsi="Verdana"/>
          <w:sz w:val="20"/>
          <w:szCs w:val="20"/>
          <w:lang w:val="es-CR"/>
        </w:rPr>
        <w:t xml:space="preserve">[…] </w:t>
      </w:r>
      <w:r w:rsidR="00D3062E">
        <w:rPr>
          <w:rFonts w:ascii="Verdana" w:hAnsi="Verdana"/>
          <w:sz w:val="20"/>
          <w:szCs w:val="20"/>
          <w:lang w:val="es-CR"/>
        </w:rPr>
        <w:t xml:space="preserve">Sentencia elaborado por la Corte, por una sola vez, en un diario de amplia circulación nacional, y c) la </w:t>
      </w:r>
      <w:r w:rsidR="00243225">
        <w:rPr>
          <w:rFonts w:ascii="Verdana" w:hAnsi="Verdana"/>
          <w:sz w:val="20"/>
          <w:szCs w:val="20"/>
          <w:lang w:val="es-CR"/>
        </w:rPr>
        <w:t xml:space="preserve">[…] </w:t>
      </w:r>
      <w:r w:rsidR="00D3062E">
        <w:rPr>
          <w:rFonts w:ascii="Verdana" w:hAnsi="Verdana"/>
          <w:sz w:val="20"/>
          <w:szCs w:val="20"/>
          <w:lang w:val="es-CR"/>
        </w:rPr>
        <w:t xml:space="preserve">Sentencia en su integridad, disponible por </w:t>
      </w:r>
      <w:r w:rsidR="00243225">
        <w:rPr>
          <w:rFonts w:ascii="Verdana" w:hAnsi="Verdana"/>
          <w:sz w:val="20"/>
          <w:szCs w:val="20"/>
          <w:lang w:val="es-CR"/>
        </w:rPr>
        <w:t xml:space="preserve">un </w:t>
      </w:r>
      <w:r w:rsidR="00D3062E">
        <w:rPr>
          <w:rFonts w:ascii="Verdana" w:hAnsi="Verdana"/>
          <w:sz w:val="20"/>
          <w:szCs w:val="20"/>
          <w:lang w:val="es-CR"/>
        </w:rPr>
        <w:t xml:space="preserve">período de un año, en la página principal de un sitio </w:t>
      </w:r>
      <w:r w:rsidR="00D3062E">
        <w:rPr>
          <w:rFonts w:ascii="Verdana" w:hAnsi="Verdana"/>
          <w:i/>
          <w:sz w:val="20"/>
          <w:szCs w:val="20"/>
          <w:lang w:val="es-CR"/>
        </w:rPr>
        <w:t xml:space="preserve">web </w:t>
      </w:r>
      <w:r w:rsidR="00D3062E">
        <w:rPr>
          <w:rFonts w:ascii="Verdana" w:hAnsi="Verdana"/>
          <w:sz w:val="20"/>
          <w:szCs w:val="20"/>
          <w:lang w:val="es-CR"/>
        </w:rPr>
        <w:t>oficial de carácter nacional, d</w:t>
      </w:r>
      <w:r w:rsidR="004E6612">
        <w:rPr>
          <w:rFonts w:ascii="Verdana" w:hAnsi="Verdana"/>
          <w:sz w:val="20"/>
          <w:szCs w:val="20"/>
          <w:lang w:val="es-CR"/>
        </w:rPr>
        <w:t>e manera accesible al público”. Para cumplir con dicha medida, la Corte otorgó un plazo de seis meses a partir de la notificación de la Sentencia.</w:t>
      </w:r>
      <w:bookmarkEnd w:id="7"/>
      <w:r w:rsidR="004E6612">
        <w:rPr>
          <w:rFonts w:ascii="Verdana" w:hAnsi="Verdana"/>
          <w:sz w:val="20"/>
          <w:szCs w:val="20"/>
          <w:lang w:val="es-CR"/>
        </w:rPr>
        <w:t xml:space="preserve"> </w:t>
      </w:r>
    </w:p>
    <w:p w14:paraId="7C7F39A2" w14:textId="77777777" w:rsidR="00284438" w:rsidRDefault="00284438" w:rsidP="00284438">
      <w:pPr>
        <w:spacing w:after="0" w:line="240" w:lineRule="auto"/>
        <w:jc w:val="both"/>
        <w:rPr>
          <w:rFonts w:ascii="Verdana" w:hAnsi="Verdana"/>
          <w:sz w:val="20"/>
          <w:szCs w:val="20"/>
          <w:lang w:val="es-CR"/>
        </w:rPr>
      </w:pPr>
    </w:p>
    <w:p w14:paraId="418E50A1" w14:textId="77777777" w:rsidR="0008015D" w:rsidRDefault="0008015D" w:rsidP="00284438">
      <w:pPr>
        <w:spacing w:after="0" w:line="240" w:lineRule="auto"/>
        <w:jc w:val="both"/>
        <w:rPr>
          <w:rFonts w:ascii="Verdana" w:hAnsi="Verdana"/>
          <w:sz w:val="20"/>
          <w:szCs w:val="20"/>
          <w:lang w:val="es-CR"/>
        </w:rPr>
      </w:pPr>
    </w:p>
    <w:p w14:paraId="37D2FBAE" w14:textId="77777777" w:rsidR="00284438" w:rsidRDefault="00284438" w:rsidP="00284438">
      <w:pPr>
        <w:spacing w:after="0" w:line="240" w:lineRule="auto"/>
        <w:ind w:left="360"/>
        <w:jc w:val="both"/>
        <w:rPr>
          <w:rFonts w:ascii="Verdana" w:hAnsi="Verdana"/>
          <w:i/>
          <w:sz w:val="20"/>
          <w:szCs w:val="20"/>
          <w:lang w:val="es-CR"/>
        </w:rPr>
      </w:pPr>
      <w:r>
        <w:rPr>
          <w:rFonts w:ascii="Verdana" w:hAnsi="Verdana"/>
          <w:i/>
          <w:sz w:val="20"/>
          <w:szCs w:val="20"/>
          <w:lang w:val="es-CR"/>
        </w:rPr>
        <w:t>A.2. Consideraciones de la Corte</w:t>
      </w:r>
    </w:p>
    <w:p w14:paraId="340E178E" w14:textId="77777777" w:rsidR="00035F60" w:rsidRDefault="00035F60" w:rsidP="00035F60">
      <w:pPr>
        <w:spacing w:after="0" w:line="240" w:lineRule="auto"/>
        <w:jc w:val="both"/>
        <w:rPr>
          <w:rFonts w:ascii="Verdana" w:hAnsi="Verdana"/>
          <w:i/>
          <w:sz w:val="20"/>
          <w:szCs w:val="20"/>
          <w:lang w:val="es-CR"/>
        </w:rPr>
      </w:pPr>
    </w:p>
    <w:p w14:paraId="1BAA7828" w14:textId="6BF31E54" w:rsidR="001B0E7C" w:rsidRDefault="00A72709" w:rsidP="001B0E7C">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La Corte ha constatado, con base en la información presentada por e</w:t>
      </w:r>
      <w:r w:rsidR="00035F60">
        <w:rPr>
          <w:rFonts w:ascii="Verdana" w:hAnsi="Verdana"/>
          <w:sz w:val="20"/>
          <w:szCs w:val="20"/>
          <w:lang w:val="es-CR"/>
        </w:rPr>
        <w:t>l Estado</w:t>
      </w:r>
      <w:r w:rsidR="001B0E7C">
        <w:rPr>
          <w:rFonts w:ascii="Verdana" w:hAnsi="Verdana"/>
          <w:sz w:val="20"/>
          <w:szCs w:val="20"/>
          <w:lang w:val="es-CR"/>
        </w:rPr>
        <w:t xml:space="preserve"> y lo reconocido por </w:t>
      </w:r>
      <w:r w:rsidR="00FC2E72">
        <w:rPr>
          <w:rFonts w:ascii="Verdana" w:hAnsi="Verdana"/>
          <w:sz w:val="20"/>
          <w:szCs w:val="20"/>
          <w:lang w:val="es-CR"/>
        </w:rPr>
        <w:t>el</w:t>
      </w:r>
      <w:r w:rsidR="001B0E7C">
        <w:rPr>
          <w:rFonts w:ascii="Verdana" w:hAnsi="Verdana"/>
          <w:sz w:val="20"/>
          <w:szCs w:val="20"/>
          <w:lang w:val="es-CR"/>
        </w:rPr>
        <w:t xml:space="preserve"> representante</w:t>
      </w:r>
      <w:r w:rsidR="001B0E7C">
        <w:rPr>
          <w:rStyle w:val="FootnoteReference"/>
          <w:rFonts w:ascii="Verdana" w:hAnsi="Verdana"/>
          <w:sz w:val="20"/>
          <w:szCs w:val="20"/>
          <w:lang w:val="es-CR"/>
        </w:rPr>
        <w:footnoteReference w:id="10"/>
      </w:r>
      <w:r w:rsidR="00035F60">
        <w:rPr>
          <w:rFonts w:ascii="Verdana" w:hAnsi="Verdana"/>
          <w:sz w:val="20"/>
          <w:szCs w:val="20"/>
          <w:lang w:val="es-CR"/>
        </w:rPr>
        <w:t xml:space="preserve">, </w:t>
      </w:r>
      <w:r w:rsidR="001B0E7C">
        <w:rPr>
          <w:rFonts w:ascii="Verdana" w:hAnsi="Verdana"/>
          <w:sz w:val="20"/>
          <w:szCs w:val="20"/>
          <w:lang w:val="es-CR"/>
        </w:rPr>
        <w:t>que El Salvador dio cumplimiento</w:t>
      </w:r>
      <w:r w:rsidR="004E6612">
        <w:rPr>
          <w:rFonts w:ascii="Verdana" w:hAnsi="Verdana"/>
          <w:sz w:val="20"/>
          <w:szCs w:val="20"/>
          <w:lang w:val="es-CR"/>
        </w:rPr>
        <w:t>, dentro del plazo dispuesto en la Sentencia</w:t>
      </w:r>
      <w:r w:rsidR="00243225">
        <w:rPr>
          <w:rStyle w:val="FootnoteReference"/>
          <w:rFonts w:ascii="Verdana" w:hAnsi="Verdana"/>
          <w:sz w:val="20"/>
          <w:szCs w:val="20"/>
          <w:lang w:val="es-CR"/>
        </w:rPr>
        <w:footnoteReference w:id="11"/>
      </w:r>
      <w:r w:rsidR="004E6612">
        <w:rPr>
          <w:rFonts w:ascii="Verdana" w:hAnsi="Verdana"/>
          <w:sz w:val="20"/>
          <w:szCs w:val="20"/>
          <w:lang w:val="es-CR"/>
        </w:rPr>
        <w:t>,</w:t>
      </w:r>
      <w:r w:rsidR="001B0E7C">
        <w:rPr>
          <w:rFonts w:ascii="Verdana" w:hAnsi="Verdana"/>
          <w:sz w:val="20"/>
          <w:szCs w:val="20"/>
          <w:lang w:val="es-CR"/>
        </w:rPr>
        <w:t xml:space="preserve"> a las medidas relativas a publicar el resumen de la Sentencia en el Diario Oficial</w:t>
      </w:r>
      <w:r w:rsidR="001B0E7C">
        <w:rPr>
          <w:rStyle w:val="FootnoteReference"/>
          <w:rFonts w:ascii="Verdana" w:hAnsi="Verdana"/>
          <w:sz w:val="20"/>
          <w:szCs w:val="20"/>
          <w:lang w:val="es-CR"/>
        </w:rPr>
        <w:footnoteReference w:id="12"/>
      </w:r>
      <w:r w:rsidR="001B0E7C">
        <w:rPr>
          <w:rFonts w:ascii="Verdana" w:hAnsi="Verdana"/>
          <w:sz w:val="20"/>
          <w:szCs w:val="20"/>
          <w:lang w:val="es-CR"/>
        </w:rPr>
        <w:t xml:space="preserve"> y en un diario de amplia circulación nacional</w:t>
      </w:r>
      <w:r w:rsidR="007C6093">
        <w:rPr>
          <w:rStyle w:val="FootnoteReference"/>
          <w:rFonts w:ascii="Verdana" w:hAnsi="Verdana"/>
          <w:sz w:val="20"/>
          <w:szCs w:val="20"/>
          <w:lang w:val="es-CR"/>
        </w:rPr>
        <w:footnoteReference w:id="13"/>
      </w:r>
      <w:r w:rsidR="001B0E7C">
        <w:rPr>
          <w:rFonts w:ascii="Verdana" w:hAnsi="Verdana"/>
          <w:sz w:val="20"/>
          <w:szCs w:val="20"/>
          <w:lang w:val="es-CR"/>
        </w:rPr>
        <w:t xml:space="preserve">. En lo que respecta a la </w:t>
      </w:r>
      <w:r w:rsidR="001B0E7C">
        <w:rPr>
          <w:rFonts w:ascii="Verdana" w:hAnsi="Verdana"/>
          <w:sz w:val="20"/>
          <w:szCs w:val="20"/>
          <w:lang w:val="es-CR"/>
        </w:rPr>
        <w:lastRenderedPageBreak/>
        <w:t xml:space="preserve">publicación de la Sentencia de manera íntegra en un sitio </w:t>
      </w:r>
      <w:r w:rsidR="001B0E7C">
        <w:rPr>
          <w:rFonts w:ascii="Verdana" w:hAnsi="Verdana"/>
          <w:i/>
          <w:sz w:val="20"/>
          <w:szCs w:val="20"/>
          <w:lang w:val="es-CR"/>
        </w:rPr>
        <w:t xml:space="preserve">web </w:t>
      </w:r>
      <w:r w:rsidR="001B0E7C">
        <w:rPr>
          <w:rFonts w:ascii="Verdana" w:hAnsi="Verdana"/>
          <w:sz w:val="20"/>
          <w:szCs w:val="20"/>
          <w:lang w:val="es-CR"/>
        </w:rPr>
        <w:t>oficial por el período de un año, la Corte constata que esta fue realizada en la página de la Procuraduría General de la República</w:t>
      </w:r>
      <w:r w:rsidR="001B0E7C">
        <w:rPr>
          <w:rStyle w:val="FootnoteReference"/>
          <w:rFonts w:ascii="Verdana" w:hAnsi="Verdana"/>
          <w:sz w:val="20"/>
          <w:szCs w:val="20"/>
          <w:lang w:val="es-CR"/>
        </w:rPr>
        <w:footnoteReference w:id="14"/>
      </w:r>
      <w:r w:rsidR="001B0E7C">
        <w:rPr>
          <w:rFonts w:ascii="Verdana" w:hAnsi="Verdana"/>
          <w:sz w:val="20"/>
          <w:szCs w:val="20"/>
          <w:lang w:val="es-CR"/>
        </w:rPr>
        <w:t>. La Corte considera que el Estado ha dado cumplimiento a esta medida, pero estima que debe mantener su difusión al menos hasta el 8 de junio de 2018, debido a que indicó el enlace a dicha publicación el 8 de junio de 2017 y la misma debe estar disponible al menos un año</w:t>
      </w:r>
      <w:r w:rsidR="009F16AE">
        <w:rPr>
          <w:rStyle w:val="FootnoteReference"/>
          <w:rFonts w:ascii="Verdana" w:hAnsi="Verdana"/>
          <w:sz w:val="20"/>
          <w:szCs w:val="20"/>
          <w:lang w:val="es-CR"/>
        </w:rPr>
        <w:footnoteReference w:id="15"/>
      </w:r>
      <w:r w:rsidR="006B388E" w:rsidRPr="001B0E7C">
        <w:rPr>
          <w:rFonts w:ascii="Verdana" w:hAnsi="Verdana"/>
          <w:sz w:val="20"/>
          <w:szCs w:val="20"/>
          <w:lang w:val="es-CR"/>
        </w:rPr>
        <w:t>.</w:t>
      </w:r>
    </w:p>
    <w:p w14:paraId="5CA950C7" w14:textId="77777777" w:rsidR="0038539C" w:rsidRDefault="0038539C" w:rsidP="0038539C">
      <w:pPr>
        <w:pStyle w:val="ListParagraph"/>
        <w:spacing w:after="0" w:line="240" w:lineRule="auto"/>
        <w:ind w:left="0"/>
        <w:jc w:val="both"/>
        <w:rPr>
          <w:rFonts w:ascii="Verdana" w:hAnsi="Verdana"/>
          <w:sz w:val="20"/>
          <w:szCs w:val="20"/>
          <w:lang w:val="es-CR"/>
        </w:rPr>
      </w:pPr>
    </w:p>
    <w:p w14:paraId="553223B0" w14:textId="3F3CCE0F" w:rsidR="00284438" w:rsidRPr="001B0E7C" w:rsidRDefault="001B0E7C" w:rsidP="001B0E7C">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En consecuencia, la Corte considera que el Estado dio cumplimiento total a las medidas de publicación </w:t>
      </w:r>
      <w:r w:rsidR="00B37B23">
        <w:rPr>
          <w:rFonts w:ascii="Verdana" w:hAnsi="Verdana"/>
          <w:sz w:val="20"/>
          <w:szCs w:val="20"/>
          <w:lang w:val="es-CR"/>
        </w:rPr>
        <w:t>de la Sentencia o su</w:t>
      </w:r>
      <w:r>
        <w:rPr>
          <w:rFonts w:ascii="Verdana" w:hAnsi="Verdana"/>
          <w:sz w:val="20"/>
          <w:szCs w:val="20"/>
          <w:lang w:val="es-CR"/>
        </w:rPr>
        <w:t xml:space="preserve"> resumen oficial ordenadas en el punto resolutivo décimo quinto de la Sentencia.  </w:t>
      </w:r>
      <w:r w:rsidR="006B388E" w:rsidRPr="001B0E7C">
        <w:rPr>
          <w:rFonts w:ascii="Verdana" w:hAnsi="Verdana"/>
          <w:sz w:val="20"/>
          <w:szCs w:val="20"/>
          <w:lang w:val="es-CR"/>
        </w:rPr>
        <w:t xml:space="preserve"> </w:t>
      </w:r>
    </w:p>
    <w:p w14:paraId="7F8FF62B" w14:textId="7943350F" w:rsidR="00284438" w:rsidRPr="00F00C02" w:rsidRDefault="00A5546E" w:rsidP="00F00C02">
      <w:pPr>
        <w:pStyle w:val="Heading1"/>
        <w:numPr>
          <w:ilvl w:val="0"/>
          <w:numId w:val="11"/>
        </w:numPr>
        <w:rPr>
          <w:rFonts w:ascii="Verdana" w:hAnsi="Verdana"/>
          <w:color w:val="auto"/>
          <w:sz w:val="20"/>
          <w:szCs w:val="20"/>
          <w:lang w:val="es-CR"/>
        </w:rPr>
      </w:pPr>
      <w:bookmarkStart w:id="8" w:name="_Toc504128814"/>
      <w:r w:rsidRPr="00F00C02">
        <w:rPr>
          <w:rFonts w:ascii="Verdana" w:hAnsi="Verdana"/>
          <w:color w:val="auto"/>
          <w:sz w:val="20"/>
          <w:szCs w:val="20"/>
          <w:lang w:val="es-CR"/>
        </w:rPr>
        <w:t xml:space="preserve">Colocar una placa </w:t>
      </w:r>
      <w:r w:rsidR="002C4504">
        <w:rPr>
          <w:rFonts w:ascii="Verdana" w:hAnsi="Verdana"/>
          <w:color w:val="auto"/>
          <w:sz w:val="20"/>
          <w:szCs w:val="20"/>
          <w:lang w:val="es-CR"/>
        </w:rPr>
        <w:t>para evitar la repetición de hechos violatorios</w:t>
      </w:r>
      <w:bookmarkEnd w:id="8"/>
      <w:r w:rsidR="002C4504">
        <w:rPr>
          <w:rFonts w:ascii="Verdana" w:hAnsi="Verdana"/>
          <w:color w:val="auto"/>
          <w:sz w:val="20"/>
          <w:szCs w:val="20"/>
          <w:lang w:val="es-CR"/>
        </w:rPr>
        <w:t xml:space="preserve">  </w:t>
      </w:r>
    </w:p>
    <w:p w14:paraId="50E3CAA7" w14:textId="77777777" w:rsidR="00284438" w:rsidRDefault="00284438" w:rsidP="00284438">
      <w:pPr>
        <w:spacing w:after="0" w:line="240" w:lineRule="auto"/>
        <w:jc w:val="both"/>
        <w:rPr>
          <w:rFonts w:ascii="Verdana" w:hAnsi="Verdana"/>
          <w:sz w:val="20"/>
          <w:szCs w:val="20"/>
          <w:lang w:val="es-CR"/>
        </w:rPr>
      </w:pPr>
    </w:p>
    <w:p w14:paraId="4DE24C66" w14:textId="668CCAD1" w:rsidR="00284438" w:rsidRDefault="00E31150" w:rsidP="00284438">
      <w:pPr>
        <w:spacing w:after="0" w:line="240" w:lineRule="auto"/>
        <w:ind w:left="360"/>
        <w:jc w:val="both"/>
        <w:rPr>
          <w:rFonts w:ascii="Verdana" w:hAnsi="Verdana"/>
          <w:i/>
          <w:sz w:val="20"/>
          <w:szCs w:val="20"/>
          <w:lang w:val="es-CR"/>
        </w:rPr>
      </w:pPr>
      <w:r>
        <w:rPr>
          <w:rFonts w:ascii="Verdana" w:hAnsi="Verdana"/>
          <w:i/>
          <w:sz w:val="20"/>
          <w:szCs w:val="20"/>
          <w:lang w:val="es-CR"/>
        </w:rPr>
        <w:t>C</w:t>
      </w:r>
      <w:r w:rsidR="00284438">
        <w:rPr>
          <w:rFonts w:ascii="Verdana" w:hAnsi="Verdana"/>
          <w:i/>
          <w:sz w:val="20"/>
          <w:szCs w:val="20"/>
          <w:lang w:val="es-CR"/>
        </w:rPr>
        <w:t>.1. Medida ordenada por la Corte</w:t>
      </w:r>
    </w:p>
    <w:p w14:paraId="7D99B5D3" w14:textId="77777777" w:rsidR="00284438" w:rsidRDefault="00284438" w:rsidP="00284438">
      <w:pPr>
        <w:spacing w:after="0" w:line="240" w:lineRule="auto"/>
        <w:ind w:left="360"/>
        <w:jc w:val="both"/>
        <w:rPr>
          <w:rFonts w:ascii="Verdana" w:hAnsi="Verdana"/>
          <w:i/>
          <w:sz w:val="20"/>
          <w:szCs w:val="20"/>
          <w:lang w:val="es-CR"/>
        </w:rPr>
      </w:pPr>
    </w:p>
    <w:p w14:paraId="0CE15884" w14:textId="36807024" w:rsidR="00876249" w:rsidRPr="00876249" w:rsidRDefault="00EA42CF" w:rsidP="00876249">
      <w:pPr>
        <w:pStyle w:val="ListParagraph"/>
        <w:numPr>
          <w:ilvl w:val="0"/>
          <w:numId w:val="2"/>
        </w:numPr>
        <w:spacing w:after="0" w:line="240" w:lineRule="auto"/>
        <w:ind w:left="0" w:firstLine="0"/>
        <w:jc w:val="both"/>
        <w:rPr>
          <w:rFonts w:ascii="Verdana" w:hAnsi="Verdana"/>
          <w:sz w:val="20"/>
          <w:szCs w:val="20"/>
          <w:lang w:val="es-CR"/>
        </w:rPr>
      </w:pPr>
      <w:bookmarkStart w:id="9" w:name="_Ref504381379"/>
      <w:r>
        <w:rPr>
          <w:rFonts w:ascii="Verdana" w:hAnsi="Verdana"/>
          <w:sz w:val="20"/>
          <w:szCs w:val="20"/>
          <w:lang w:val="es-CR"/>
        </w:rPr>
        <w:t xml:space="preserve">En el punto resolutivo décimo </w:t>
      </w:r>
      <w:r w:rsidR="00B479D6">
        <w:rPr>
          <w:rFonts w:ascii="Verdana" w:hAnsi="Verdana"/>
          <w:sz w:val="20"/>
          <w:szCs w:val="20"/>
          <w:lang w:val="es-CR"/>
        </w:rPr>
        <w:t xml:space="preserve">sexto </w:t>
      </w:r>
      <w:r>
        <w:rPr>
          <w:rFonts w:ascii="Verdana" w:hAnsi="Verdana"/>
          <w:sz w:val="20"/>
          <w:szCs w:val="20"/>
          <w:lang w:val="es-CR"/>
        </w:rPr>
        <w:t xml:space="preserve">y en </w:t>
      </w:r>
      <w:r w:rsidR="00B479D6">
        <w:rPr>
          <w:rFonts w:ascii="Verdana" w:hAnsi="Verdana"/>
          <w:sz w:val="20"/>
          <w:szCs w:val="20"/>
          <w:lang w:val="es-CR"/>
        </w:rPr>
        <w:t>el</w:t>
      </w:r>
      <w:r>
        <w:rPr>
          <w:rFonts w:ascii="Verdana" w:hAnsi="Verdana"/>
          <w:sz w:val="20"/>
          <w:szCs w:val="20"/>
          <w:lang w:val="es-CR"/>
        </w:rPr>
        <w:t xml:space="preserve"> párrafo </w:t>
      </w:r>
      <w:r w:rsidR="00B479D6">
        <w:rPr>
          <w:rFonts w:ascii="Verdana" w:hAnsi="Verdana"/>
          <w:sz w:val="20"/>
          <w:szCs w:val="20"/>
          <w:lang w:val="es-CR"/>
        </w:rPr>
        <w:t xml:space="preserve">225 </w:t>
      </w:r>
      <w:r>
        <w:rPr>
          <w:rFonts w:ascii="Verdana" w:hAnsi="Verdana"/>
          <w:sz w:val="20"/>
          <w:szCs w:val="20"/>
          <w:lang w:val="es-CR"/>
        </w:rPr>
        <w:t>de la Sentencia, la Corte ordenó al Estado “</w:t>
      </w:r>
      <w:r w:rsidR="00B479D6">
        <w:rPr>
          <w:rFonts w:ascii="Verdana" w:hAnsi="Verdana"/>
          <w:sz w:val="20"/>
          <w:szCs w:val="20"/>
          <w:lang w:val="es-CR"/>
        </w:rPr>
        <w:t>colo</w:t>
      </w:r>
      <w:r w:rsidR="009F16AE">
        <w:rPr>
          <w:rFonts w:ascii="Verdana" w:hAnsi="Verdana"/>
          <w:sz w:val="20"/>
          <w:szCs w:val="20"/>
          <w:lang w:val="es-CR"/>
        </w:rPr>
        <w:t>car</w:t>
      </w:r>
      <w:r w:rsidR="00B479D6">
        <w:rPr>
          <w:rFonts w:ascii="Verdana" w:hAnsi="Verdana"/>
          <w:sz w:val="20"/>
          <w:szCs w:val="20"/>
          <w:lang w:val="es-CR"/>
        </w:rPr>
        <w:t xml:space="preserve"> una placa en un lugar visible de la sede de la Unidad de la Defensoría Pública con el propósito de despertar la conciencia institucional para evitar la repetición de hechos como los ocurridos en el presente caso</w:t>
      </w:r>
      <w:r w:rsidR="00876249">
        <w:rPr>
          <w:rFonts w:ascii="Verdana" w:hAnsi="Verdana"/>
          <w:sz w:val="20"/>
          <w:szCs w:val="20"/>
          <w:lang w:val="es-CR"/>
        </w:rPr>
        <w:t>”.</w:t>
      </w:r>
      <w:bookmarkEnd w:id="9"/>
      <w:r>
        <w:rPr>
          <w:rFonts w:ascii="Verdana" w:hAnsi="Verdana"/>
          <w:sz w:val="20"/>
          <w:szCs w:val="20"/>
          <w:lang w:val="es-CR"/>
        </w:rPr>
        <w:t xml:space="preserve"> </w:t>
      </w:r>
    </w:p>
    <w:p w14:paraId="3C0D72FB" w14:textId="77777777" w:rsidR="00EA42CF" w:rsidRDefault="00EA42CF" w:rsidP="00EA42CF">
      <w:pPr>
        <w:spacing w:after="0" w:line="240" w:lineRule="auto"/>
        <w:ind w:left="360"/>
        <w:jc w:val="both"/>
        <w:rPr>
          <w:rFonts w:ascii="Verdana" w:hAnsi="Verdana"/>
          <w:sz w:val="20"/>
          <w:szCs w:val="20"/>
          <w:lang w:val="es-CR"/>
        </w:rPr>
      </w:pPr>
    </w:p>
    <w:p w14:paraId="0BB8083C" w14:textId="77777777" w:rsidR="0008015D" w:rsidRPr="00EA42CF" w:rsidRDefault="0008015D" w:rsidP="00EA42CF">
      <w:pPr>
        <w:spacing w:after="0" w:line="240" w:lineRule="auto"/>
        <w:ind w:left="360"/>
        <w:jc w:val="both"/>
        <w:rPr>
          <w:rFonts w:ascii="Verdana" w:hAnsi="Verdana"/>
          <w:sz w:val="20"/>
          <w:szCs w:val="20"/>
          <w:lang w:val="es-CR"/>
        </w:rPr>
      </w:pPr>
    </w:p>
    <w:p w14:paraId="6B00D568" w14:textId="785AE001" w:rsidR="00EA42CF" w:rsidRDefault="00E31150" w:rsidP="00EA42CF">
      <w:pPr>
        <w:spacing w:after="0" w:line="240" w:lineRule="auto"/>
        <w:ind w:firstLine="360"/>
        <w:jc w:val="both"/>
        <w:rPr>
          <w:rFonts w:ascii="Verdana" w:hAnsi="Verdana"/>
          <w:i/>
          <w:sz w:val="20"/>
          <w:szCs w:val="20"/>
          <w:lang w:val="es-CR"/>
        </w:rPr>
      </w:pPr>
      <w:r>
        <w:rPr>
          <w:rFonts w:ascii="Verdana" w:hAnsi="Verdana"/>
          <w:i/>
          <w:sz w:val="20"/>
          <w:szCs w:val="20"/>
          <w:lang w:val="es-CR"/>
        </w:rPr>
        <w:t>C</w:t>
      </w:r>
      <w:r w:rsidR="00EA42CF">
        <w:rPr>
          <w:rFonts w:ascii="Verdana" w:hAnsi="Verdana"/>
          <w:i/>
          <w:sz w:val="20"/>
          <w:szCs w:val="20"/>
          <w:lang w:val="es-CR"/>
        </w:rPr>
        <w:t>.2. Consideraciones de la Corte</w:t>
      </w:r>
    </w:p>
    <w:p w14:paraId="1A07E8E6" w14:textId="77777777" w:rsidR="00C502B5" w:rsidRDefault="00C502B5" w:rsidP="00C502B5">
      <w:pPr>
        <w:spacing w:after="0" w:line="240" w:lineRule="auto"/>
        <w:jc w:val="both"/>
        <w:rPr>
          <w:rFonts w:ascii="Verdana" w:hAnsi="Verdana"/>
          <w:sz w:val="20"/>
          <w:szCs w:val="20"/>
          <w:lang w:val="es-CR"/>
        </w:rPr>
      </w:pPr>
    </w:p>
    <w:p w14:paraId="2DAC6A19" w14:textId="626C6514" w:rsidR="00A768F4" w:rsidRDefault="00A768F4" w:rsidP="00A768F4">
      <w:pPr>
        <w:pStyle w:val="ListParagraph"/>
        <w:numPr>
          <w:ilvl w:val="0"/>
          <w:numId w:val="2"/>
        </w:numPr>
        <w:spacing w:after="0" w:line="240" w:lineRule="auto"/>
        <w:ind w:left="0" w:firstLine="0"/>
        <w:jc w:val="both"/>
        <w:rPr>
          <w:rFonts w:ascii="Verdana" w:hAnsi="Verdana"/>
          <w:sz w:val="20"/>
          <w:szCs w:val="20"/>
          <w:lang w:val="es-CR"/>
        </w:rPr>
      </w:pPr>
      <w:bookmarkStart w:id="10" w:name="_Ref504381466"/>
      <w:r>
        <w:rPr>
          <w:rFonts w:ascii="Verdana" w:hAnsi="Verdana"/>
          <w:sz w:val="20"/>
          <w:szCs w:val="20"/>
          <w:lang w:val="es-CR"/>
        </w:rPr>
        <w:t>La Corte observa que mediante acuerdo de 13 de julio de 2016, suscrito por la Directora de Sistemas Internacionales de Protección y varios funcionarios de dicha institución, de la Procurad</w:t>
      </w:r>
      <w:r w:rsidR="0038539C">
        <w:rPr>
          <w:rFonts w:ascii="Verdana" w:hAnsi="Verdana"/>
          <w:sz w:val="20"/>
          <w:szCs w:val="20"/>
          <w:lang w:val="es-CR"/>
        </w:rPr>
        <w:t>u</w:t>
      </w:r>
      <w:r>
        <w:rPr>
          <w:rFonts w:ascii="Verdana" w:hAnsi="Verdana"/>
          <w:sz w:val="20"/>
          <w:szCs w:val="20"/>
          <w:lang w:val="es-CR"/>
        </w:rPr>
        <w:t>ría Adjunt</w:t>
      </w:r>
      <w:r w:rsidR="00C971DE">
        <w:rPr>
          <w:rFonts w:ascii="Verdana" w:hAnsi="Verdana"/>
          <w:sz w:val="20"/>
          <w:szCs w:val="20"/>
          <w:lang w:val="es-CR"/>
        </w:rPr>
        <w:t>a</w:t>
      </w:r>
      <w:r>
        <w:rPr>
          <w:rFonts w:ascii="Verdana" w:hAnsi="Verdana"/>
          <w:sz w:val="20"/>
          <w:szCs w:val="20"/>
          <w:lang w:val="es-CR"/>
        </w:rPr>
        <w:t xml:space="preserve"> Penal de la Procuraduría General de la República, y las víctimas Jose Agapito Ruano Torres y Pedro Torres Hércules, se acordó que </w:t>
      </w:r>
      <w:r w:rsidRPr="00A768F4">
        <w:rPr>
          <w:rFonts w:ascii="Verdana" w:hAnsi="Verdana"/>
          <w:sz w:val="20"/>
          <w:szCs w:val="20"/>
          <w:lang w:val="es-CR"/>
        </w:rPr>
        <w:t>“la colocación y acto de develación de la placa sea realizado en la sede central de la Procuraduría General de la República, considerándose el mayor acceso al público al texto de la placa”</w:t>
      </w:r>
      <w:r w:rsidR="00C971DE">
        <w:rPr>
          <w:rFonts w:ascii="Verdana" w:hAnsi="Verdana"/>
          <w:sz w:val="20"/>
          <w:szCs w:val="20"/>
          <w:lang w:val="es-CR"/>
        </w:rPr>
        <w:t>.</w:t>
      </w:r>
      <w:r w:rsidRPr="00A768F4">
        <w:rPr>
          <w:rFonts w:ascii="Verdana" w:hAnsi="Verdana"/>
          <w:sz w:val="20"/>
          <w:szCs w:val="20"/>
          <w:lang w:val="es-CR"/>
        </w:rPr>
        <w:t xml:space="preserve"> </w:t>
      </w:r>
      <w:r w:rsidR="00C971DE">
        <w:rPr>
          <w:rFonts w:ascii="Verdana" w:hAnsi="Verdana"/>
          <w:sz w:val="20"/>
          <w:szCs w:val="20"/>
          <w:lang w:val="es-CR"/>
        </w:rPr>
        <w:t>A</w:t>
      </w:r>
      <w:r w:rsidRPr="00A768F4">
        <w:rPr>
          <w:rFonts w:ascii="Verdana" w:hAnsi="Verdana"/>
          <w:sz w:val="20"/>
          <w:szCs w:val="20"/>
          <w:lang w:val="es-CR"/>
        </w:rPr>
        <w:t xml:space="preserve">demás, </w:t>
      </w:r>
      <w:r w:rsidR="00C971DE">
        <w:rPr>
          <w:rFonts w:ascii="Verdana" w:hAnsi="Verdana"/>
          <w:sz w:val="20"/>
          <w:szCs w:val="20"/>
          <w:lang w:val="es-CR"/>
        </w:rPr>
        <w:t>se acordó procurar</w:t>
      </w:r>
      <w:r w:rsidRPr="00A768F4">
        <w:rPr>
          <w:rFonts w:ascii="Verdana" w:hAnsi="Verdana"/>
          <w:sz w:val="20"/>
          <w:szCs w:val="20"/>
          <w:lang w:val="es-CR"/>
        </w:rPr>
        <w:t xml:space="preserve"> “la participación de los representantes de la Procuraduría General de la República, Fiscalía General de la República, Policía Nacional Civil y Dirección General de Centros Penales, entre otras instituciones vinculadas al presente caso, haciéndose extensiva además la invitación a los medios de comunicación para que cubran dicho acto”</w:t>
      </w:r>
      <w:r>
        <w:rPr>
          <w:rStyle w:val="FootnoteReference"/>
          <w:rFonts w:ascii="Verdana" w:hAnsi="Verdana"/>
          <w:sz w:val="20"/>
          <w:szCs w:val="20"/>
          <w:lang w:val="es-CR"/>
        </w:rPr>
        <w:footnoteReference w:id="16"/>
      </w:r>
      <w:r w:rsidRPr="00A768F4">
        <w:rPr>
          <w:rFonts w:ascii="Verdana" w:hAnsi="Verdana"/>
          <w:sz w:val="20"/>
          <w:szCs w:val="20"/>
          <w:lang w:val="es-CR"/>
        </w:rPr>
        <w:t>.</w:t>
      </w:r>
      <w:bookmarkEnd w:id="10"/>
      <w:r w:rsidRPr="00A768F4">
        <w:rPr>
          <w:rFonts w:ascii="Verdana" w:hAnsi="Verdana"/>
          <w:sz w:val="20"/>
          <w:szCs w:val="20"/>
          <w:lang w:val="es-CR"/>
        </w:rPr>
        <w:t xml:space="preserve"> </w:t>
      </w:r>
      <w:r>
        <w:rPr>
          <w:rFonts w:ascii="Verdana" w:hAnsi="Verdana"/>
          <w:sz w:val="20"/>
          <w:szCs w:val="20"/>
          <w:lang w:val="es-CR"/>
        </w:rPr>
        <w:t xml:space="preserve"> </w:t>
      </w:r>
    </w:p>
    <w:p w14:paraId="4A177AD0" w14:textId="4A6F0A10" w:rsidR="00A768F4" w:rsidRDefault="00A768F4" w:rsidP="00A768F4">
      <w:pPr>
        <w:pStyle w:val="ListParagraph"/>
        <w:spacing w:after="0" w:line="240" w:lineRule="auto"/>
        <w:ind w:left="0"/>
        <w:jc w:val="both"/>
        <w:rPr>
          <w:rFonts w:ascii="Verdana" w:hAnsi="Verdana"/>
          <w:sz w:val="20"/>
          <w:szCs w:val="20"/>
          <w:lang w:val="es-CR"/>
        </w:rPr>
      </w:pPr>
      <w:r>
        <w:rPr>
          <w:rFonts w:ascii="Verdana" w:hAnsi="Verdana"/>
          <w:sz w:val="20"/>
          <w:szCs w:val="20"/>
          <w:lang w:val="es-CR"/>
        </w:rPr>
        <w:t xml:space="preserve"> </w:t>
      </w:r>
    </w:p>
    <w:p w14:paraId="3C7E8B9C" w14:textId="18149626" w:rsidR="001E58B8" w:rsidRDefault="00A768F4" w:rsidP="00511B35">
      <w:pPr>
        <w:pStyle w:val="ListParagraph"/>
        <w:numPr>
          <w:ilvl w:val="0"/>
          <w:numId w:val="2"/>
        </w:numPr>
        <w:spacing w:after="0" w:line="240" w:lineRule="auto"/>
        <w:ind w:left="0" w:firstLine="0"/>
        <w:jc w:val="both"/>
        <w:rPr>
          <w:rFonts w:ascii="Verdana" w:hAnsi="Verdana"/>
          <w:sz w:val="20"/>
          <w:szCs w:val="20"/>
          <w:lang w:val="es-CR"/>
        </w:rPr>
      </w:pPr>
      <w:bookmarkStart w:id="11" w:name="_Ref504381503"/>
      <w:r>
        <w:rPr>
          <w:rFonts w:ascii="Verdana" w:hAnsi="Verdana"/>
          <w:sz w:val="20"/>
          <w:szCs w:val="20"/>
          <w:lang w:val="es-CR"/>
        </w:rPr>
        <w:t>Así, l</w:t>
      </w:r>
      <w:r w:rsidR="00F54BEA">
        <w:rPr>
          <w:rFonts w:ascii="Verdana" w:hAnsi="Verdana"/>
          <w:sz w:val="20"/>
          <w:szCs w:val="20"/>
          <w:lang w:val="es-CR"/>
        </w:rPr>
        <w:t>a Corte constata que</w:t>
      </w:r>
      <w:r w:rsidR="00DF4963">
        <w:rPr>
          <w:rFonts w:ascii="Verdana" w:hAnsi="Verdana"/>
          <w:sz w:val="20"/>
          <w:szCs w:val="20"/>
          <w:lang w:val="es-CR"/>
        </w:rPr>
        <w:t xml:space="preserve"> el 3 de octubre de 2016</w:t>
      </w:r>
      <w:r w:rsidR="00511B35">
        <w:rPr>
          <w:rFonts w:ascii="Verdana" w:hAnsi="Verdana"/>
          <w:sz w:val="20"/>
          <w:szCs w:val="20"/>
          <w:lang w:val="es-CR"/>
        </w:rPr>
        <w:t xml:space="preserve">, </w:t>
      </w:r>
      <w:r w:rsidR="00F54BEA">
        <w:rPr>
          <w:rFonts w:ascii="Verdana" w:hAnsi="Verdana"/>
          <w:sz w:val="20"/>
          <w:szCs w:val="20"/>
          <w:lang w:val="es-CR"/>
        </w:rPr>
        <w:t xml:space="preserve">se develó </w:t>
      </w:r>
      <w:r>
        <w:rPr>
          <w:rFonts w:ascii="Verdana" w:hAnsi="Verdana"/>
          <w:sz w:val="20"/>
          <w:szCs w:val="20"/>
          <w:lang w:val="es-CR"/>
        </w:rPr>
        <w:t>la</w:t>
      </w:r>
      <w:r w:rsidR="00F54BEA">
        <w:rPr>
          <w:rFonts w:ascii="Verdana" w:hAnsi="Verdana"/>
          <w:sz w:val="20"/>
          <w:szCs w:val="20"/>
          <w:lang w:val="es-CR"/>
        </w:rPr>
        <w:t xml:space="preserve"> placa en la sede de la Procuraduría General de la República</w:t>
      </w:r>
      <w:r w:rsidR="00511B35">
        <w:rPr>
          <w:rStyle w:val="FootnoteReference"/>
          <w:rFonts w:ascii="Verdana" w:hAnsi="Verdana"/>
          <w:sz w:val="20"/>
          <w:szCs w:val="20"/>
          <w:lang w:val="es-CR"/>
        </w:rPr>
        <w:footnoteReference w:id="17"/>
      </w:r>
      <w:r w:rsidR="00DF4963">
        <w:rPr>
          <w:rFonts w:ascii="Verdana" w:hAnsi="Verdana"/>
          <w:sz w:val="20"/>
          <w:szCs w:val="20"/>
          <w:lang w:val="es-CR"/>
        </w:rPr>
        <w:t xml:space="preserve">, </w:t>
      </w:r>
      <w:r w:rsidR="00BE1920">
        <w:rPr>
          <w:rFonts w:ascii="Verdana" w:hAnsi="Verdana"/>
          <w:sz w:val="20"/>
          <w:szCs w:val="20"/>
          <w:lang w:val="es-CR"/>
        </w:rPr>
        <w:t>“</w:t>
      </w:r>
      <w:r w:rsidR="00DF4963">
        <w:rPr>
          <w:rFonts w:ascii="Verdana" w:hAnsi="Verdana"/>
          <w:sz w:val="20"/>
          <w:szCs w:val="20"/>
          <w:lang w:val="es-CR"/>
        </w:rPr>
        <w:t xml:space="preserve">mediante ceremonia pública presidida por el </w:t>
      </w:r>
      <w:r w:rsidR="00DF4963">
        <w:rPr>
          <w:rFonts w:ascii="Verdana" w:hAnsi="Verdana"/>
          <w:sz w:val="20"/>
          <w:szCs w:val="20"/>
          <w:lang w:val="es-CR"/>
        </w:rPr>
        <w:lastRenderedPageBreak/>
        <w:t xml:space="preserve">Ministro de Relaciones Exteriores y </w:t>
      </w:r>
      <w:r w:rsidR="00DF4963" w:rsidRPr="00A768F4">
        <w:rPr>
          <w:rFonts w:ascii="Verdana" w:hAnsi="Verdana"/>
          <w:sz w:val="20"/>
          <w:szCs w:val="20"/>
          <w:lang w:val="es-CR"/>
        </w:rPr>
        <w:t xml:space="preserve">la </w:t>
      </w:r>
      <w:r w:rsidR="00BE1920" w:rsidRPr="00A768F4">
        <w:rPr>
          <w:rFonts w:ascii="Verdana" w:hAnsi="Verdana"/>
          <w:sz w:val="20"/>
          <w:szCs w:val="20"/>
          <w:lang w:val="es-CR"/>
        </w:rPr>
        <w:t xml:space="preserve">[…] </w:t>
      </w:r>
      <w:r w:rsidR="00DF4963" w:rsidRPr="00A768F4">
        <w:rPr>
          <w:rFonts w:ascii="Verdana" w:hAnsi="Verdana"/>
          <w:sz w:val="20"/>
          <w:szCs w:val="20"/>
          <w:lang w:val="es-CR"/>
        </w:rPr>
        <w:t>Procuradora General de la República</w:t>
      </w:r>
      <w:r w:rsidR="00BE1920" w:rsidRPr="00A768F4">
        <w:rPr>
          <w:rFonts w:ascii="Verdana" w:hAnsi="Verdana"/>
          <w:sz w:val="20"/>
          <w:szCs w:val="20"/>
          <w:lang w:val="es-CR"/>
        </w:rPr>
        <w:t xml:space="preserve">, </w:t>
      </w:r>
      <w:r w:rsidR="00DF4963" w:rsidRPr="00A768F4">
        <w:rPr>
          <w:rFonts w:ascii="Verdana" w:hAnsi="Verdana"/>
          <w:sz w:val="20"/>
          <w:szCs w:val="20"/>
          <w:lang w:val="es-CR"/>
        </w:rPr>
        <w:t xml:space="preserve">quien al momento de su intervención, reconoció los hechos establecidos en la </w:t>
      </w:r>
      <w:r w:rsidR="00BE1920" w:rsidRPr="00A768F4">
        <w:rPr>
          <w:rFonts w:ascii="Verdana" w:hAnsi="Verdana"/>
          <w:sz w:val="20"/>
          <w:szCs w:val="20"/>
          <w:lang w:val="es-CR"/>
        </w:rPr>
        <w:t>[</w:t>
      </w:r>
      <w:r w:rsidR="00362FAA" w:rsidRPr="00A768F4">
        <w:rPr>
          <w:rFonts w:ascii="Verdana" w:hAnsi="Verdana"/>
          <w:sz w:val="20"/>
          <w:szCs w:val="20"/>
          <w:lang w:val="es-CR"/>
        </w:rPr>
        <w:t>S</w:t>
      </w:r>
      <w:r w:rsidR="00BE1920" w:rsidRPr="00A768F4">
        <w:rPr>
          <w:rFonts w:ascii="Verdana" w:hAnsi="Verdana"/>
          <w:sz w:val="20"/>
          <w:szCs w:val="20"/>
          <w:lang w:val="es-CR"/>
        </w:rPr>
        <w:t>]</w:t>
      </w:r>
      <w:r w:rsidR="00DF4963" w:rsidRPr="00A768F4">
        <w:rPr>
          <w:rFonts w:ascii="Verdana" w:hAnsi="Verdana"/>
          <w:sz w:val="20"/>
          <w:szCs w:val="20"/>
          <w:lang w:val="es-CR"/>
        </w:rPr>
        <w:t xml:space="preserve">entencia, reiteró el reconocimiento de responsabilidad estatal por dichos hechos y recordó el compromiso de reparación a favor de las víctimas”. </w:t>
      </w:r>
      <w:r w:rsidR="00BE1920" w:rsidRPr="00A768F4">
        <w:rPr>
          <w:rFonts w:ascii="Verdana" w:hAnsi="Verdana"/>
          <w:sz w:val="20"/>
          <w:szCs w:val="20"/>
          <w:lang w:val="es-CR"/>
        </w:rPr>
        <w:t>Si bien dicha placa se colocó en una institución estatal distinta a la que fue ordenada en la Sentencia</w:t>
      </w:r>
      <w:r w:rsidR="00C971DE">
        <w:rPr>
          <w:rFonts w:ascii="Verdana" w:hAnsi="Verdana"/>
          <w:sz w:val="20"/>
          <w:szCs w:val="20"/>
          <w:lang w:val="es-CR"/>
        </w:rPr>
        <w:t xml:space="preserve"> (</w:t>
      </w:r>
      <w:r w:rsidR="00C971DE">
        <w:rPr>
          <w:rFonts w:ascii="Verdana" w:hAnsi="Verdana"/>
          <w:i/>
          <w:sz w:val="20"/>
          <w:szCs w:val="20"/>
          <w:lang w:val="es-CR"/>
        </w:rPr>
        <w:t>supra</w:t>
      </w:r>
      <w:r w:rsidR="00C971DE">
        <w:rPr>
          <w:rFonts w:ascii="Verdana" w:hAnsi="Verdana"/>
          <w:sz w:val="20"/>
          <w:szCs w:val="20"/>
          <w:lang w:val="es-CR"/>
        </w:rPr>
        <w:t xml:space="preserve"> Considerando 12)</w:t>
      </w:r>
      <w:r w:rsidR="00BE1920" w:rsidRPr="00A768F4">
        <w:rPr>
          <w:rFonts w:ascii="Verdana" w:hAnsi="Verdana"/>
          <w:sz w:val="20"/>
          <w:szCs w:val="20"/>
          <w:lang w:val="es-CR"/>
        </w:rPr>
        <w:t>, ello fue acordado así las víctimas</w:t>
      </w:r>
      <w:r w:rsidRPr="00A768F4">
        <w:rPr>
          <w:rFonts w:ascii="Verdana" w:hAnsi="Verdana"/>
          <w:sz w:val="20"/>
          <w:szCs w:val="20"/>
          <w:lang w:val="es-CR"/>
        </w:rPr>
        <w:t xml:space="preserve"> (</w:t>
      </w:r>
      <w:r w:rsidRPr="00A768F4">
        <w:rPr>
          <w:rFonts w:ascii="Verdana" w:hAnsi="Verdana"/>
          <w:i/>
          <w:sz w:val="20"/>
          <w:szCs w:val="20"/>
          <w:lang w:val="es-CR"/>
        </w:rPr>
        <w:t>supra</w:t>
      </w:r>
      <w:r w:rsidRPr="00A768F4">
        <w:rPr>
          <w:rFonts w:ascii="Verdana" w:hAnsi="Verdana"/>
          <w:sz w:val="20"/>
          <w:szCs w:val="20"/>
          <w:lang w:val="es-CR"/>
        </w:rPr>
        <w:t xml:space="preserve"> Considerando </w:t>
      </w:r>
      <w:r w:rsidR="00B208BB">
        <w:rPr>
          <w:rFonts w:ascii="Verdana" w:hAnsi="Verdana"/>
          <w:sz w:val="20"/>
          <w:szCs w:val="20"/>
          <w:lang w:val="es-CR"/>
        </w:rPr>
        <w:fldChar w:fldCharType="begin"/>
      </w:r>
      <w:r w:rsidR="00B208BB">
        <w:rPr>
          <w:rFonts w:ascii="Verdana" w:hAnsi="Verdana"/>
          <w:sz w:val="20"/>
          <w:szCs w:val="20"/>
          <w:lang w:val="es-CR"/>
        </w:rPr>
        <w:instrText xml:space="preserve"> REF _Ref504381466 \r \h </w:instrText>
      </w:r>
      <w:r w:rsidR="00B208BB">
        <w:rPr>
          <w:rFonts w:ascii="Verdana" w:hAnsi="Verdana"/>
          <w:sz w:val="20"/>
          <w:szCs w:val="20"/>
          <w:lang w:val="es-CR"/>
        </w:rPr>
      </w:r>
      <w:r w:rsidR="00B208BB">
        <w:rPr>
          <w:rFonts w:ascii="Verdana" w:hAnsi="Verdana"/>
          <w:sz w:val="20"/>
          <w:szCs w:val="20"/>
          <w:lang w:val="es-CR"/>
        </w:rPr>
        <w:fldChar w:fldCharType="separate"/>
      </w:r>
      <w:r w:rsidR="00925686">
        <w:rPr>
          <w:rFonts w:ascii="Verdana" w:hAnsi="Verdana"/>
          <w:sz w:val="20"/>
          <w:szCs w:val="20"/>
          <w:lang w:val="es-CR"/>
        </w:rPr>
        <w:t>13</w:t>
      </w:r>
      <w:r w:rsidR="00B208BB">
        <w:rPr>
          <w:rFonts w:ascii="Verdana" w:hAnsi="Verdana"/>
          <w:sz w:val="20"/>
          <w:szCs w:val="20"/>
          <w:lang w:val="es-CR"/>
        </w:rPr>
        <w:fldChar w:fldCharType="end"/>
      </w:r>
      <w:r w:rsidRPr="00A768F4">
        <w:rPr>
          <w:rFonts w:ascii="Verdana" w:hAnsi="Verdana"/>
          <w:sz w:val="20"/>
          <w:szCs w:val="20"/>
          <w:lang w:val="es-CR"/>
        </w:rPr>
        <w:t>)</w:t>
      </w:r>
      <w:r w:rsidR="00BE1920" w:rsidRPr="00A768F4">
        <w:rPr>
          <w:rFonts w:ascii="Verdana" w:hAnsi="Verdana"/>
          <w:sz w:val="20"/>
          <w:szCs w:val="20"/>
          <w:lang w:val="es-CR"/>
        </w:rPr>
        <w:t>, quienes expresaron que se consideraba la medida cumplida</w:t>
      </w:r>
      <w:r w:rsidR="00BE1920" w:rsidRPr="00A768F4">
        <w:rPr>
          <w:rStyle w:val="FootnoteReference"/>
          <w:rFonts w:ascii="Verdana" w:hAnsi="Verdana"/>
          <w:sz w:val="20"/>
          <w:szCs w:val="20"/>
          <w:lang w:val="es-CR"/>
        </w:rPr>
        <w:footnoteReference w:id="18"/>
      </w:r>
      <w:r w:rsidR="00BE1920" w:rsidRPr="00A768F4">
        <w:rPr>
          <w:rFonts w:ascii="Verdana" w:hAnsi="Verdana"/>
          <w:sz w:val="20"/>
          <w:szCs w:val="20"/>
          <w:lang w:val="es-CR"/>
        </w:rPr>
        <w:t xml:space="preserve">. </w:t>
      </w:r>
      <w:r w:rsidR="00DF4963" w:rsidRPr="00A768F4">
        <w:rPr>
          <w:rFonts w:ascii="Verdana" w:hAnsi="Verdana"/>
          <w:sz w:val="20"/>
          <w:szCs w:val="20"/>
          <w:lang w:val="es-CR"/>
        </w:rPr>
        <w:t xml:space="preserve">Con base en dicha información y tomando en cuenta </w:t>
      </w:r>
      <w:r w:rsidR="00BE1920" w:rsidRPr="00A768F4">
        <w:rPr>
          <w:rFonts w:ascii="Verdana" w:hAnsi="Verdana"/>
          <w:sz w:val="20"/>
          <w:szCs w:val="20"/>
          <w:lang w:val="es-CR"/>
        </w:rPr>
        <w:t>el reconocimiento del cumplimiento de la medida por parte d</w:t>
      </w:r>
      <w:r w:rsidR="00511B35" w:rsidRPr="00A768F4">
        <w:rPr>
          <w:rFonts w:ascii="Verdana" w:hAnsi="Verdana"/>
          <w:sz w:val="20"/>
          <w:szCs w:val="20"/>
          <w:lang w:val="es-CR"/>
        </w:rPr>
        <w:t>el representante</w:t>
      </w:r>
      <w:r w:rsidR="00DF4963" w:rsidRPr="00A768F4">
        <w:rPr>
          <w:rFonts w:ascii="Verdana" w:hAnsi="Verdana"/>
          <w:sz w:val="20"/>
          <w:szCs w:val="20"/>
          <w:lang w:val="es-CR"/>
        </w:rPr>
        <w:t>, la Corte considera que el Estado ha dado cumplimiento total a la medida de reparación relativa a colocar</w:t>
      </w:r>
      <w:r w:rsidR="00DF4963" w:rsidRPr="00511B35">
        <w:rPr>
          <w:rFonts w:ascii="Verdana" w:hAnsi="Verdana"/>
          <w:sz w:val="20"/>
          <w:szCs w:val="20"/>
          <w:lang w:val="es-CR"/>
        </w:rPr>
        <w:t xml:space="preserve"> una placa</w:t>
      </w:r>
      <w:r w:rsidR="00EF3CE6">
        <w:rPr>
          <w:rFonts w:ascii="Verdana" w:hAnsi="Verdana"/>
          <w:sz w:val="20"/>
          <w:szCs w:val="20"/>
          <w:lang w:val="es-CR"/>
        </w:rPr>
        <w:t xml:space="preserve"> para evitar la repetición de hechos violatorios como los del presente caso</w:t>
      </w:r>
      <w:r w:rsidR="002235D2">
        <w:rPr>
          <w:rFonts w:ascii="Verdana" w:hAnsi="Verdana"/>
          <w:sz w:val="20"/>
          <w:szCs w:val="20"/>
          <w:lang w:val="es-CR"/>
        </w:rPr>
        <w:t xml:space="preserve">, </w:t>
      </w:r>
      <w:r w:rsidR="008558D1">
        <w:rPr>
          <w:rFonts w:ascii="Verdana" w:hAnsi="Verdana"/>
          <w:sz w:val="20"/>
          <w:szCs w:val="20"/>
          <w:lang w:val="es-CR"/>
        </w:rPr>
        <w:t>dispuesta</w:t>
      </w:r>
      <w:r w:rsidR="00511B35">
        <w:rPr>
          <w:rFonts w:ascii="Verdana" w:hAnsi="Verdana"/>
          <w:sz w:val="20"/>
          <w:szCs w:val="20"/>
          <w:lang w:val="es-CR"/>
        </w:rPr>
        <w:t xml:space="preserve"> en el punto resolutivo décimo sexto de la Sentencia</w:t>
      </w:r>
      <w:r w:rsidR="00DF4963" w:rsidRPr="00511B35">
        <w:rPr>
          <w:rFonts w:ascii="Verdana" w:hAnsi="Verdana"/>
          <w:sz w:val="20"/>
          <w:szCs w:val="20"/>
          <w:lang w:val="es-CR"/>
        </w:rPr>
        <w:t>.</w:t>
      </w:r>
      <w:bookmarkEnd w:id="11"/>
      <w:r w:rsidR="00DF4963" w:rsidRPr="00511B35">
        <w:rPr>
          <w:rFonts w:ascii="Verdana" w:hAnsi="Verdana"/>
          <w:sz w:val="20"/>
          <w:szCs w:val="20"/>
          <w:lang w:val="es-CR"/>
        </w:rPr>
        <w:t xml:space="preserve"> </w:t>
      </w:r>
    </w:p>
    <w:p w14:paraId="5DBEA128" w14:textId="77777777" w:rsidR="008E404C" w:rsidRDefault="008E404C" w:rsidP="008E404C">
      <w:pPr>
        <w:pStyle w:val="Heading1"/>
        <w:numPr>
          <w:ilvl w:val="0"/>
          <w:numId w:val="11"/>
        </w:numPr>
        <w:rPr>
          <w:rFonts w:ascii="Verdana" w:hAnsi="Verdana"/>
          <w:color w:val="auto"/>
          <w:sz w:val="20"/>
          <w:szCs w:val="20"/>
          <w:lang w:val="es-CR"/>
        </w:rPr>
      </w:pPr>
      <w:bookmarkStart w:id="12" w:name="_Toc504128815"/>
      <w:r w:rsidRPr="008E404C">
        <w:rPr>
          <w:rFonts w:ascii="Verdana" w:hAnsi="Verdana"/>
          <w:color w:val="auto"/>
          <w:sz w:val="20"/>
          <w:szCs w:val="20"/>
          <w:lang w:val="es-CR"/>
        </w:rPr>
        <w:t>Reintegro al Fondo de Asistencia Legal de Víctimas</w:t>
      </w:r>
      <w:bookmarkEnd w:id="12"/>
    </w:p>
    <w:p w14:paraId="37E27D44" w14:textId="26C03D49" w:rsidR="008E404C" w:rsidRPr="007E0A0A" w:rsidRDefault="0051670E" w:rsidP="007E0A0A">
      <w:pPr>
        <w:ind w:left="360"/>
        <w:rPr>
          <w:rFonts w:ascii="Verdana" w:hAnsi="Verdana"/>
          <w:sz w:val="20"/>
          <w:szCs w:val="20"/>
          <w:lang w:val="es-CR"/>
        </w:rPr>
      </w:pPr>
      <w:r>
        <w:rPr>
          <w:rFonts w:ascii="Verdana" w:hAnsi="Verdana"/>
          <w:i/>
          <w:sz w:val="20"/>
          <w:szCs w:val="20"/>
          <w:lang w:val="es-CR"/>
        </w:rPr>
        <w:t>D</w:t>
      </w:r>
      <w:r w:rsidR="007E0A0A" w:rsidRPr="007E0A0A">
        <w:rPr>
          <w:rFonts w:ascii="Verdana" w:hAnsi="Verdana"/>
          <w:i/>
          <w:sz w:val="20"/>
          <w:szCs w:val="20"/>
          <w:lang w:val="es-CR"/>
        </w:rPr>
        <w:t>.1. Medida ordenada por la Corte</w:t>
      </w:r>
    </w:p>
    <w:p w14:paraId="06EC6143" w14:textId="0B4FB1B2" w:rsidR="008E404C" w:rsidRPr="00F74D3E" w:rsidRDefault="002235D2" w:rsidP="00F74D3E">
      <w:pPr>
        <w:pStyle w:val="ListParagraph"/>
        <w:numPr>
          <w:ilvl w:val="0"/>
          <w:numId w:val="2"/>
        </w:numPr>
        <w:spacing w:after="0" w:line="240" w:lineRule="auto"/>
        <w:ind w:left="0" w:firstLine="0"/>
        <w:jc w:val="both"/>
        <w:rPr>
          <w:rFonts w:ascii="Verdana" w:hAnsi="Verdana"/>
          <w:sz w:val="20"/>
          <w:szCs w:val="20"/>
          <w:lang w:val="es-CR"/>
        </w:rPr>
      </w:pPr>
      <w:bookmarkStart w:id="13" w:name="_Ref504381394"/>
      <w:r w:rsidRPr="00F74D3E">
        <w:rPr>
          <w:rFonts w:ascii="Verdana" w:hAnsi="Verdana"/>
          <w:sz w:val="20"/>
          <w:szCs w:val="20"/>
          <w:lang w:val="es-CR"/>
        </w:rPr>
        <w:t xml:space="preserve">En el punto resolutivo vigésimo primero y en el párrafo 259 de la Sentencia, </w:t>
      </w:r>
      <w:r w:rsidR="00C971DE">
        <w:rPr>
          <w:rFonts w:ascii="Verdana" w:hAnsi="Verdana"/>
          <w:sz w:val="20"/>
          <w:szCs w:val="20"/>
          <w:lang w:val="es-CR"/>
        </w:rPr>
        <w:t>se</w:t>
      </w:r>
      <w:r w:rsidRPr="00F74D3E">
        <w:rPr>
          <w:rFonts w:ascii="Verdana" w:hAnsi="Verdana"/>
          <w:sz w:val="20"/>
          <w:szCs w:val="20"/>
          <w:lang w:val="es-CR"/>
        </w:rPr>
        <w:t xml:space="preserve"> ordenó al Estado “el reintegro a</w:t>
      </w:r>
      <w:r w:rsidR="00F74D3E" w:rsidRPr="00F74D3E">
        <w:rPr>
          <w:rFonts w:ascii="Verdana" w:hAnsi="Verdana"/>
          <w:sz w:val="20"/>
          <w:szCs w:val="20"/>
          <w:lang w:val="es-CR"/>
        </w:rPr>
        <w:t>[</w:t>
      </w:r>
      <w:r w:rsidRPr="00F74D3E">
        <w:rPr>
          <w:rFonts w:ascii="Verdana" w:hAnsi="Verdana"/>
          <w:sz w:val="20"/>
          <w:szCs w:val="20"/>
          <w:lang w:val="es-CR"/>
        </w:rPr>
        <w:t>l</w:t>
      </w:r>
      <w:r w:rsidR="00F74D3E" w:rsidRPr="00F74D3E">
        <w:rPr>
          <w:rFonts w:ascii="Verdana" w:hAnsi="Verdana"/>
          <w:sz w:val="20"/>
          <w:szCs w:val="20"/>
          <w:lang w:val="es-CR"/>
        </w:rPr>
        <w:t>…]</w:t>
      </w:r>
      <w:r w:rsidRPr="00F74D3E">
        <w:rPr>
          <w:rFonts w:ascii="Verdana" w:hAnsi="Verdana"/>
          <w:sz w:val="20"/>
          <w:szCs w:val="20"/>
          <w:lang w:val="es-CR"/>
        </w:rPr>
        <w:t xml:space="preserve"> Fondo </w:t>
      </w:r>
      <w:r w:rsidR="00F74D3E" w:rsidRPr="00F74D3E">
        <w:rPr>
          <w:rFonts w:ascii="Verdana" w:hAnsi="Verdana"/>
          <w:sz w:val="20"/>
          <w:szCs w:val="20"/>
          <w:lang w:val="es-CR"/>
        </w:rPr>
        <w:t>[</w:t>
      </w:r>
      <w:r w:rsidRPr="00F74D3E">
        <w:rPr>
          <w:rFonts w:ascii="Verdana" w:hAnsi="Verdana"/>
          <w:sz w:val="20"/>
          <w:szCs w:val="20"/>
          <w:lang w:val="es-CR"/>
        </w:rPr>
        <w:t>de Asistencia Legal</w:t>
      </w:r>
      <w:r w:rsidR="00D64DBF">
        <w:rPr>
          <w:rFonts w:ascii="Verdana" w:hAnsi="Verdana"/>
          <w:sz w:val="20"/>
          <w:szCs w:val="20"/>
          <w:lang w:val="es-CR"/>
        </w:rPr>
        <w:t xml:space="preserve"> de</w:t>
      </w:r>
      <w:r w:rsidR="0051670E">
        <w:rPr>
          <w:rFonts w:ascii="Verdana" w:hAnsi="Verdana"/>
          <w:sz w:val="20"/>
          <w:szCs w:val="20"/>
          <w:lang w:val="es-CR"/>
        </w:rPr>
        <w:t xml:space="preserve"> Víctimas de la Corte</w:t>
      </w:r>
      <w:r w:rsidR="00F74D3E" w:rsidRPr="00F74D3E">
        <w:rPr>
          <w:rFonts w:ascii="Verdana" w:hAnsi="Verdana"/>
          <w:sz w:val="20"/>
          <w:szCs w:val="20"/>
          <w:lang w:val="es-CR"/>
        </w:rPr>
        <w:t xml:space="preserve">] la cantidad de US$ 4.555,62  (cuatro mil quinientos cincuenta y cinco dólares de los Estados Unidos de América con sesenta y dos centavos) por concepto de los gastos necesarios realizados para la comparecencia de los declarantes y de los defensores interamericanos en la audiencia pública del presente caso, así como para la formalización y envío de los </w:t>
      </w:r>
      <w:r w:rsidR="00F74D3E">
        <w:rPr>
          <w:rFonts w:ascii="Verdana" w:hAnsi="Verdana"/>
          <w:sz w:val="20"/>
          <w:szCs w:val="20"/>
          <w:lang w:val="es-CR"/>
        </w:rPr>
        <w:t>afidávits”.</w:t>
      </w:r>
      <w:bookmarkEnd w:id="13"/>
      <w:r w:rsidRPr="00F74D3E">
        <w:rPr>
          <w:rFonts w:ascii="Verdana" w:hAnsi="Verdana"/>
          <w:sz w:val="20"/>
          <w:szCs w:val="20"/>
          <w:lang w:val="es-CR"/>
        </w:rPr>
        <w:t xml:space="preserve">  </w:t>
      </w:r>
    </w:p>
    <w:p w14:paraId="355C0CB9" w14:textId="77777777" w:rsidR="007E0A0A" w:rsidRDefault="007E0A0A" w:rsidP="007E0A0A">
      <w:pPr>
        <w:spacing w:after="0" w:line="240" w:lineRule="auto"/>
        <w:ind w:left="360"/>
        <w:jc w:val="both"/>
        <w:rPr>
          <w:rFonts w:ascii="Verdana" w:hAnsi="Verdana"/>
          <w:sz w:val="20"/>
          <w:szCs w:val="20"/>
          <w:lang w:val="es-CR"/>
        </w:rPr>
      </w:pPr>
    </w:p>
    <w:p w14:paraId="2E208DCF" w14:textId="77777777" w:rsidR="0008015D" w:rsidRPr="007E0A0A" w:rsidRDefault="0008015D" w:rsidP="007E0A0A">
      <w:pPr>
        <w:spacing w:after="0" w:line="240" w:lineRule="auto"/>
        <w:ind w:left="360"/>
        <w:jc w:val="both"/>
        <w:rPr>
          <w:rFonts w:ascii="Verdana" w:hAnsi="Verdana"/>
          <w:sz w:val="20"/>
          <w:szCs w:val="20"/>
          <w:lang w:val="es-CR"/>
        </w:rPr>
      </w:pPr>
    </w:p>
    <w:p w14:paraId="2760F6B1" w14:textId="37FBD58A" w:rsidR="007E0A0A" w:rsidRDefault="0051670E" w:rsidP="007E0A0A">
      <w:pPr>
        <w:spacing w:after="0" w:line="240" w:lineRule="auto"/>
        <w:ind w:left="360"/>
        <w:jc w:val="both"/>
        <w:rPr>
          <w:rFonts w:ascii="Verdana" w:hAnsi="Verdana"/>
          <w:i/>
          <w:sz w:val="20"/>
          <w:szCs w:val="20"/>
          <w:lang w:val="es-CR"/>
        </w:rPr>
      </w:pPr>
      <w:r>
        <w:rPr>
          <w:rFonts w:ascii="Verdana" w:hAnsi="Verdana"/>
          <w:i/>
          <w:sz w:val="20"/>
          <w:szCs w:val="20"/>
          <w:lang w:val="es-CR"/>
        </w:rPr>
        <w:t>D</w:t>
      </w:r>
      <w:r w:rsidR="007E0A0A" w:rsidRPr="007E0A0A">
        <w:rPr>
          <w:rFonts w:ascii="Verdana" w:hAnsi="Verdana"/>
          <w:i/>
          <w:sz w:val="20"/>
          <w:szCs w:val="20"/>
          <w:lang w:val="es-CR"/>
        </w:rPr>
        <w:t>.2. Consideraciones de la Corte</w:t>
      </w:r>
    </w:p>
    <w:p w14:paraId="4DE4A3D7" w14:textId="77777777" w:rsidR="007E0A0A" w:rsidRDefault="007E0A0A" w:rsidP="007E0A0A">
      <w:pPr>
        <w:spacing w:after="0" w:line="240" w:lineRule="auto"/>
        <w:jc w:val="both"/>
        <w:rPr>
          <w:rFonts w:ascii="Verdana" w:hAnsi="Verdana"/>
          <w:i/>
          <w:sz w:val="20"/>
          <w:szCs w:val="20"/>
          <w:lang w:val="es-CR"/>
        </w:rPr>
      </w:pPr>
    </w:p>
    <w:p w14:paraId="576E4A24" w14:textId="467CAC94" w:rsidR="007E0A0A" w:rsidRDefault="007300CF" w:rsidP="007E0A0A">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Mediante el pago realizado por medio de </w:t>
      </w:r>
      <w:r w:rsidR="0076680D">
        <w:rPr>
          <w:rFonts w:ascii="Verdana" w:hAnsi="Verdana"/>
          <w:sz w:val="20"/>
          <w:szCs w:val="20"/>
          <w:lang w:val="es-CR"/>
        </w:rPr>
        <w:t xml:space="preserve">cheque </w:t>
      </w:r>
      <w:r w:rsidR="007E0A0A">
        <w:rPr>
          <w:rFonts w:ascii="Verdana" w:hAnsi="Verdana"/>
          <w:sz w:val="20"/>
          <w:szCs w:val="20"/>
          <w:lang w:val="es-CR"/>
        </w:rPr>
        <w:t>el 18 de octubre de 2017</w:t>
      </w:r>
      <w:r w:rsidR="007E0A0A">
        <w:rPr>
          <w:rStyle w:val="FootnoteReference"/>
          <w:rFonts w:ascii="Verdana" w:hAnsi="Verdana"/>
          <w:sz w:val="20"/>
          <w:szCs w:val="20"/>
          <w:lang w:val="es-CR"/>
        </w:rPr>
        <w:footnoteReference w:id="19"/>
      </w:r>
      <w:r w:rsidR="007E0A0A">
        <w:rPr>
          <w:rFonts w:ascii="Verdana" w:hAnsi="Verdana"/>
          <w:sz w:val="20"/>
          <w:szCs w:val="20"/>
          <w:lang w:val="es-CR"/>
        </w:rPr>
        <w:t xml:space="preserve">, </w:t>
      </w:r>
      <w:r w:rsidR="00467E3F">
        <w:rPr>
          <w:rFonts w:ascii="Verdana" w:hAnsi="Verdana"/>
          <w:sz w:val="20"/>
          <w:szCs w:val="20"/>
          <w:lang w:val="es-CR"/>
        </w:rPr>
        <w:t>El Salvador</w:t>
      </w:r>
      <w:r w:rsidR="007E0A0A">
        <w:rPr>
          <w:rFonts w:ascii="Verdana" w:hAnsi="Verdana"/>
          <w:sz w:val="20"/>
          <w:szCs w:val="20"/>
          <w:lang w:val="es-CR"/>
        </w:rPr>
        <w:t xml:space="preserve"> ha cumplido con reintegrar al Fondo de Asistencia Legal de Víctimas la cantidad dispuesta en el párrafo 259 de la Sentencia.</w:t>
      </w:r>
      <w:r w:rsidR="00467E3F">
        <w:rPr>
          <w:rFonts w:ascii="Verdana" w:hAnsi="Verdana"/>
          <w:sz w:val="20"/>
          <w:szCs w:val="20"/>
          <w:lang w:val="es-CR"/>
        </w:rPr>
        <w:t xml:space="preserve"> Sin embargo, realizó el pago </w:t>
      </w:r>
      <w:r w:rsidR="00B70268">
        <w:rPr>
          <w:rFonts w:ascii="Verdana" w:hAnsi="Verdana"/>
          <w:sz w:val="20"/>
          <w:szCs w:val="20"/>
          <w:lang w:val="es-CR"/>
        </w:rPr>
        <w:t xml:space="preserve">un año y </w:t>
      </w:r>
      <w:r w:rsidR="00C971DE">
        <w:rPr>
          <w:rFonts w:ascii="Verdana" w:hAnsi="Verdana"/>
          <w:sz w:val="20"/>
          <w:szCs w:val="20"/>
          <w:lang w:val="es-CR"/>
        </w:rPr>
        <w:t>siete</w:t>
      </w:r>
      <w:r w:rsidR="00B70268">
        <w:rPr>
          <w:rFonts w:ascii="Verdana" w:hAnsi="Verdana"/>
          <w:sz w:val="20"/>
          <w:szCs w:val="20"/>
          <w:lang w:val="es-CR"/>
        </w:rPr>
        <w:t xml:space="preserve"> meses</w:t>
      </w:r>
      <w:r w:rsidR="00467E3F">
        <w:rPr>
          <w:rFonts w:ascii="Verdana" w:hAnsi="Verdana"/>
          <w:sz w:val="20"/>
          <w:szCs w:val="20"/>
          <w:lang w:val="es-CR"/>
        </w:rPr>
        <w:t xml:space="preserve"> después del vencimiento del plazo de 90 días dispuesto en el Fallo (</w:t>
      </w:r>
      <w:r w:rsidR="00467E3F">
        <w:rPr>
          <w:rFonts w:ascii="Verdana" w:hAnsi="Verdana"/>
          <w:i/>
          <w:sz w:val="20"/>
          <w:szCs w:val="20"/>
          <w:lang w:val="es-CR"/>
        </w:rPr>
        <w:t xml:space="preserve">supra </w:t>
      </w:r>
      <w:r w:rsidR="00467E3F">
        <w:rPr>
          <w:rFonts w:ascii="Verdana" w:hAnsi="Verdana"/>
          <w:sz w:val="20"/>
          <w:szCs w:val="20"/>
          <w:lang w:val="es-CR"/>
        </w:rPr>
        <w:t xml:space="preserve">Visto </w:t>
      </w:r>
      <w:r w:rsidR="00B208BB">
        <w:rPr>
          <w:rFonts w:ascii="Verdana" w:hAnsi="Verdana"/>
          <w:sz w:val="20"/>
          <w:szCs w:val="20"/>
          <w:lang w:val="es-CR"/>
        </w:rPr>
        <w:fldChar w:fldCharType="begin"/>
      </w:r>
      <w:r w:rsidR="00B208BB">
        <w:rPr>
          <w:rFonts w:ascii="Verdana" w:hAnsi="Verdana"/>
          <w:sz w:val="20"/>
          <w:szCs w:val="20"/>
          <w:lang w:val="es-CR"/>
        </w:rPr>
        <w:instrText xml:space="preserve"> REF _Ref504381338 \r \h </w:instrText>
      </w:r>
      <w:r w:rsidR="00B208BB">
        <w:rPr>
          <w:rFonts w:ascii="Verdana" w:hAnsi="Verdana"/>
          <w:sz w:val="20"/>
          <w:szCs w:val="20"/>
          <w:lang w:val="es-CR"/>
        </w:rPr>
      </w:r>
      <w:r w:rsidR="00B208BB">
        <w:rPr>
          <w:rFonts w:ascii="Verdana" w:hAnsi="Verdana"/>
          <w:sz w:val="20"/>
          <w:szCs w:val="20"/>
          <w:lang w:val="es-CR"/>
        </w:rPr>
        <w:fldChar w:fldCharType="separate"/>
      </w:r>
      <w:r w:rsidR="00925686">
        <w:rPr>
          <w:rFonts w:ascii="Verdana" w:hAnsi="Verdana"/>
          <w:sz w:val="20"/>
          <w:szCs w:val="20"/>
          <w:lang w:val="es-CR"/>
        </w:rPr>
        <w:t>1</w:t>
      </w:r>
      <w:r w:rsidR="00B208BB">
        <w:rPr>
          <w:rFonts w:ascii="Verdana" w:hAnsi="Verdana"/>
          <w:sz w:val="20"/>
          <w:szCs w:val="20"/>
          <w:lang w:val="es-CR"/>
        </w:rPr>
        <w:fldChar w:fldCharType="end"/>
      </w:r>
      <w:r w:rsidR="00467E3F">
        <w:rPr>
          <w:rFonts w:ascii="Verdana" w:hAnsi="Verdana"/>
          <w:sz w:val="20"/>
          <w:szCs w:val="20"/>
          <w:lang w:val="es-CR"/>
        </w:rPr>
        <w:t>)</w:t>
      </w:r>
      <w:r w:rsidR="00467E3F">
        <w:rPr>
          <w:rStyle w:val="FootnoteReference"/>
          <w:rFonts w:ascii="Verdana" w:hAnsi="Verdana"/>
          <w:sz w:val="20"/>
          <w:szCs w:val="20"/>
          <w:lang w:val="es-CR"/>
        </w:rPr>
        <w:footnoteReference w:id="20"/>
      </w:r>
      <w:r w:rsidR="00467E3F">
        <w:rPr>
          <w:rFonts w:ascii="Verdana" w:hAnsi="Verdana"/>
          <w:sz w:val="20"/>
          <w:szCs w:val="20"/>
          <w:lang w:val="es-CR"/>
        </w:rPr>
        <w:t>, y no incluyó un monto por concepto de los intereses moratorios derivados de ese tiempo de retraso</w:t>
      </w:r>
      <w:r w:rsidR="005A7ADD">
        <w:rPr>
          <w:rStyle w:val="FootnoteReference"/>
          <w:rFonts w:ascii="Verdana" w:hAnsi="Verdana"/>
          <w:sz w:val="20"/>
          <w:szCs w:val="20"/>
          <w:lang w:val="es-CR"/>
        </w:rPr>
        <w:footnoteReference w:id="21"/>
      </w:r>
      <w:r w:rsidR="00467E3F">
        <w:rPr>
          <w:rFonts w:ascii="Verdana" w:hAnsi="Verdana"/>
          <w:sz w:val="20"/>
          <w:szCs w:val="20"/>
          <w:lang w:val="es-CR"/>
        </w:rPr>
        <w:t xml:space="preserve">. Por lo tanto, se requiere al Estado que, a la brevedad, pague al Fondo de Asistencia de la Corte el monto correspondiente a los referidos intereses moratorios. </w:t>
      </w:r>
    </w:p>
    <w:p w14:paraId="3D1F3B84" w14:textId="77777777" w:rsidR="007E0A0A" w:rsidRDefault="007E0A0A" w:rsidP="007E0A0A">
      <w:pPr>
        <w:pStyle w:val="ListParagraph"/>
        <w:spacing w:after="0" w:line="240" w:lineRule="auto"/>
        <w:ind w:left="0"/>
        <w:jc w:val="both"/>
        <w:rPr>
          <w:rFonts w:ascii="Verdana" w:hAnsi="Verdana"/>
          <w:sz w:val="20"/>
          <w:szCs w:val="20"/>
          <w:lang w:val="es-CR"/>
        </w:rPr>
      </w:pPr>
    </w:p>
    <w:p w14:paraId="723B1B21" w14:textId="76116E30" w:rsidR="007E0A0A" w:rsidRPr="007E0A0A" w:rsidRDefault="007E0A0A" w:rsidP="00F74D3E">
      <w:pPr>
        <w:pStyle w:val="ListParagraph"/>
        <w:numPr>
          <w:ilvl w:val="0"/>
          <w:numId w:val="2"/>
        </w:numPr>
        <w:spacing w:line="240" w:lineRule="auto"/>
        <w:ind w:left="0" w:firstLine="0"/>
        <w:jc w:val="both"/>
        <w:rPr>
          <w:rFonts w:ascii="Verdana" w:hAnsi="Verdana"/>
          <w:sz w:val="20"/>
          <w:szCs w:val="20"/>
          <w:lang w:val="es-CR"/>
        </w:rPr>
      </w:pPr>
      <w:r w:rsidRPr="007E0A0A">
        <w:rPr>
          <w:rFonts w:ascii="Verdana" w:hAnsi="Verdana"/>
          <w:sz w:val="20"/>
          <w:szCs w:val="20"/>
          <w:lang w:val="es-CR"/>
        </w:rPr>
        <w:t>El Tribunal recuerda que la creación del Fondo de Asistencia Legal del Sistema Interamericano fue aprobada en el 2008 por la Asamblea General de la OEA</w:t>
      </w:r>
      <w:r>
        <w:rPr>
          <w:rStyle w:val="FootnoteReference"/>
          <w:rFonts w:ascii="Verdana" w:hAnsi="Verdana"/>
          <w:sz w:val="20"/>
          <w:szCs w:val="20"/>
        </w:rPr>
        <w:footnoteReference w:id="22"/>
      </w:r>
      <w:r w:rsidRPr="007E0A0A">
        <w:rPr>
          <w:rFonts w:ascii="Verdana" w:hAnsi="Verdana"/>
          <w:sz w:val="20"/>
          <w:szCs w:val="20"/>
          <w:lang w:val="es-CR"/>
        </w:rPr>
        <w:t xml:space="preserve">, y se aprobó que tuviera dos cuentas separadas: una para la Comisión Interamericana y otra para la </w:t>
      </w:r>
      <w:r w:rsidRPr="007E0A0A">
        <w:rPr>
          <w:rFonts w:ascii="Verdana" w:hAnsi="Verdana"/>
          <w:sz w:val="20"/>
          <w:szCs w:val="20"/>
          <w:lang w:val="es-CR"/>
        </w:rPr>
        <w:lastRenderedPageBreak/>
        <w:t>Corte Interamericana</w:t>
      </w:r>
      <w:r>
        <w:rPr>
          <w:rStyle w:val="FootnoteReference"/>
          <w:rFonts w:ascii="Verdana" w:hAnsi="Verdana"/>
          <w:sz w:val="20"/>
          <w:szCs w:val="20"/>
        </w:rPr>
        <w:footnoteReference w:id="23"/>
      </w:r>
      <w:r w:rsidRPr="007E0A0A">
        <w:rPr>
          <w:rFonts w:ascii="Verdana" w:hAnsi="Verdana"/>
          <w:sz w:val="20"/>
          <w:szCs w:val="20"/>
          <w:lang w:val="es-CR"/>
        </w:rPr>
        <w:t xml:space="preserve">. En lo que respecta al financiamiento del Fondo de Asistencia de la Corte, desde su funcionamiento a partir del 2010, este ha dependido de los </w:t>
      </w:r>
      <w:r w:rsidRPr="007E0A0A">
        <w:rPr>
          <w:rFonts w:ascii="Verdana" w:hAnsi="Verdana" w:cs="Verdana"/>
          <w:sz w:val="20"/>
          <w:szCs w:val="20"/>
          <w:lang w:val="es-CR"/>
        </w:rPr>
        <w:t>aportes de capital voluntarios de fuentes cooperantes y del aporte de un Estado miembro de la OEA</w:t>
      </w:r>
      <w:r>
        <w:rPr>
          <w:rStyle w:val="FootnoteReference"/>
          <w:rFonts w:ascii="Verdana" w:hAnsi="Verdana" w:cs="Verdana"/>
          <w:sz w:val="20"/>
          <w:szCs w:val="20"/>
        </w:rPr>
        <w:footnoteReference w:id="24"/>
      </w:r>
      <w:r w:rsidRPr="007E0A0A">
        <w:rPr>
          <w:rFonts w:ascii="Verdana" w:hAnsi="Verdana" w:cs="Verdana"/>
          <w:sz w:val="20"/>
          <w:szCs w:val="20"/>
          <w:lang w:val="es-CR"/>
        </w:rPr>
        <w:t xml:space="preserve">, así como de los reintegros que realicen los Estados responsables, razón por la cual los recursos </w:t>
      </w:r>
      <w:r w:rsidRPr="007E0A0A">
        <w:rPr>
          <w:rFonts w:ascii="Verdana" w:hAnsi="Verdana" w:cs="Verdana"/>
          <w:bCs/>
          <w:sz w:val="20"/>
          <w:szCs w:val="20"/>
          <w:lang w:val="es-CR"/>
        </w:rPr>
        <w:t xml:space="preserve">disponibles en el mismo son limitados. Es por ello que el </w:t>
      </w:r>
      <w:r w:rsidRPr="007E0A0A">
        <w:rPr>
          <w:rFonts w:ascii="Verdana" w:hAnsi="Verdana"/>
          <w:sz w:val="20"/>
          <w:szCs w:val="20"/>
          <w:lang w:val="es-CR"/>
        </w:rPr>
        <w:t>Tribunal</w:t>
      </w:r>
      <w:r w:rsidRPr="007E0A0A">
        <w:rPr>
          <w:rFonts w:ascii="Verdana" w:hAnsi="Verdana" w:cs="Verdana"/>
          <w:bCs/>
          <w:sz w:val="20"/>
          <w:szCs w:val="20"/>
          <w:lang w:val="es-CR"/>
        </w:rPr>
        <w:t xml:space="preserve"> </w:t>
      </w:r>
      <w:r w:rsidRPr="007E0A0A">
        <w:rPr>
          <w:rFonts w:ascii="Verdana" w:hAnsi="Verdana"/>
          <w:sz w:val="20"/>
          <w:szCs w:val="20"/>
          <w:lang w:val="es-CR"/>
        </w:rPr>
        <w:t xml:space="preserve">resalta la voluntad de cumplimiento de sus obligaciones internacionales demostrada por el Estado de </w:t>
      </w:r>
      <w:r w:rsidR="006440E4">
        <w:rPr>
          <w:rFonts w:ascii="Verdana" w:hAnsi="Verdana"/>
          <w:sz w:val="20"/>
          <w:szCs w:val="20"/>
          <w:lang w:val="es-CR"/>
        </w:rPr>
        <w:t>El Salvador</w:t>
      </w:r>
      <w:r w:rsidRPr="007E0A0A">
        <w:rPr>
          <w:rFonts w:ascii="Verdana" w:hAnsi="Verdana"/>
          <w:sz w:val="20"/>
          <w:szCs w:val="20"/>
          <w:lang w:val="es-CR"/>
        </w:rPr>
        <w:t xml:space="preserve"> al reintegrar los recursos al referido Fondo de Asistencia. El reintegro realizado por</w:t>
      </w:r>
      <w:r w:rsidR="006440E4">
        <w:rPr>
          <w:rFonts w:ascii="Verdana" w:hAnsi="Verdana"/>
          <w:sz w:val="20"/>
          <w:szCs w:val="20"/>
          <w:lang w:val="es-CR"/>
        </w:rPr>
        <w:t xml:space="preserve"> El Salvador </w:t>
      </w:r>
      <w:r w:rsidRPr="007E0A0A">
        <w:rPr>
          <w:rFonts w:ascii="Verdana" w:hAnsi="Verdana"/>
          <w:sz w:val="20"/>
          <w:szCs w:val="20"/>
          <w:lang w:val="es-CR"/>
        </w:rPr>
        <w:t>contribuirá a la sostenibilidad de dicho Fondo, el cual está dirigido a brindar asistencia económica a las presuntas víctimas que carecen de recursos económicos suficientes para sufragar los gastos del litigio ante la Corte Interamericana, garantizando su acceso a la justicia en términos igualitarios.</w:t>
      </w:r>
    </w:p>
    <w:p w14:paraId="07A5028D" w14:textId="247A079A" w:rsidR="008E404C" w:rsidRPr="008E404C" w:rsidRDefault="008E404C" w:rsidP="008E404C">
      <w:pPr>
        <w:pStyle w:val="Heading1"/>
        <w:numPr>
          <w:ilvl w:val="0"/>
          <w:numId w:val="11"/>
        </w:numPr>
        <w:rPr>
          <w:rFonts w:ascii="Verdana" w:hAnsi="Verdana"/>
          <w:color w:val="auto"/>
          <w:sz w:val="20"/>
          <w:szCs w:val="20"/>
          <w:lang w:val="es-CR"/>
        </w:rPr>
      </w:pPr>
      <w:bookmarkStart w:id="14" w:name="_Toc504128816"/>
      <w:r w:rsidRPr="008E404C">
        <w:rPr>
          <w:rFonts w:ascii="Verdana" w:hAnsi="Verdana"/>
          <w:color w:val="auto"/>
          <w:sz w:val="20"/>
          <w:szCs w:val="20"/>
          <w:lang w:val="es-CR"/>
        </w:rPr>
        <w:t>Solicitud de información</w:t>
      </w:r>
      <w:r w:rsidR="00BE1920">
        <w:rPr>
          <w:rFonts w:ascii="Verdana" w:hAnsi="Verdana"/>
          <w:color w:val="auto"/>
          <w:sz w:val="20"/>
          <w:szCs w:val="20"/>
          <w:lang w:val="es-CR"/>
        </w:rPr>
        <w:t xml:space="preserve"> sobre reparaciones pendientes de cumplimiento</w:t>
      </w:r>
      <w:bookmarkEnd w:id="14"/>
    </w:p>
    <w:p w14:paraId="605F89AD" w14:textId="77777777" w:rsidR="008E404C" w:rsidRDefault="008E404C" w:rsidP="000E24F5">
      <w:pPr>
        <w:spacing w:after="0" w:line="240" w:lineRule="auto"/>
        <w:jc w:val="both"/>
        <w:rPr>
          <w:rFonts w:ascii="Verdana" w:hAnsi="Verdana"/>
          <w:b/>
          <w:sz w:val="20"/>
          <w:lang w:val="es-CR"/>
        </w:rPr>
      </w:pPr>
    </w:p>
    <w:p w14:paraId="4C31A35D" w14:textId="73FFD32F" w:rsidR="00BC0C03" w:rsidRDefault="00A87C79" w:rsidP="00A87C79">
      <w:pPr>
        <w:pStyle w:val="ListParagraph"/>
        <w:numPr>
          <w:ilvl w:val="0"/>
          <w:numId w:val="2"/>
        </w:numPr>
        <w:spacing w:after="0" w:line="240" w:lineRule="auto"/>
        <w:ind w:left="0" w:firstLine="0"/>
        <w:jc w:val="both"/>
        <w:rPr>
          <w:rFonts w:ascii="Verdana" w:hAnsi="Verdana"/>
          <w:sz w:val="20"/>
          <w:lang w:val="es-CR"/>
        </w:rPr>
      </w:pPr>
      <w:bookmarkStart w:id="15" w:name="_Ref504381542"/>
      <w:r>
        <w:rPr>
          <w:rFonts w:ascii="Verdana" w:hAnsi="Verdana"/>
          <w:sz w:val="20"/>
          <w:lang w:val="es-CR"/>
        </w:rPr>
        <w:t>Est</w:t>
      </w:r>
      <w:r w:rsidR="00BE1920">
        <w:rPr>
          <w:rFonts w:ascii="Verdana" w:hAnsi="Verdana"/>
          <w:sz w:val="20"/>
          <w:lang w:val="es-CR"/>
        </w:rPr>
        <w:t xml:space="preserve">a Corte considera necesario que El Salvador presente información específica y actualizada respecto a las reparaciones ordenadas en la Sentencia que se encuentran pendientes de cumplimiento. En consecuencia, se solicita al Estado que </w:t>
      </w:r>
      <w:r w:rsidR="005A7ADD">
        <w:rPr>
          <w:rFonts w:ascii="Verdana" w:hAnsi="Verdana"/>
          <w:sz w:val="20"/>
          <w:lang w:val="es-CR"/>
        </w:rPr>
        <w:t xml:space="preserve">el </w:t>
      </w:r>
      <w:r w:rsidR="00BE1920">
        <w:rPr>
          <w:rFonts w:ascii="Verdana" w:hAnsi="Verdana"/>
          <w:sz w:val="20"/>
          <w:lang w:val="es-CR"/>
        </w:rPr>
        <w:t>informe</w:t>
      </w:r>
      <w:r w:rsidR="005A7ADD">
        <w:rPr>
          <w:rFonts w:ascii="Verdana" w:hAnsi="Verdana"/>
          <w:sz w:val="20"/>
          <w:lang w:val="es-CR"/>
        </w:rPr>
        <w:t xml:space="preserve"> requerido en el punto resolutivo tercero de esta Resolución</w:t>
      </w:r>
      <w:r w:rsidR="00BE1920">
        <w:rPr>
          <w:rFonts w:ascii="Verdana" w:hAnsi="Verdana"/>
          <w:sz w:val="20"/>
          <w:lang w:val="es-CR"/>
        </w:rPr>
        <w:t xml:space="preserve"> se refiera, en particular, a </w:t>
      </w:r>
      <w:r w:rsidR="00C72610">
        <w:rPr>
          <w:rFonts w:ascii="Verdana" w:hAnsi="Verdana"/>
          <w:sz w:val="20"/>
          <w:lang w:val="es-CR"/>
        </w:rPr>
        <w:t>lo siguiente</w:t>
      </w:r>
      <w:r w:rsidR="00BC0C03" w:rsidRPr="00A87C79">
        <w:rPr>
          <w:rFonts w:ascii="Verdana" w:hAnsi="Verdana"/>
          <w:sz w:val="20"/>
          <w:lang w:val="es-CR"/>
        </w:rPr>
        <w:t>:</w:t>
      </w:r>
      <w:bookmarkEnd w:id="15"/>
      <w:r w:rsidR="00BC0C03" w:rsidRPr="00A87C79">
        <w:rPr>
          <w:rFonts w:ascii="Verdana" w:hAnsi="Verdana"/>
          <w:sz w:val="20"/>
          <w:lang w:val="es-CR"/>
        </w:rPr>
        <w:t xml:space="preserve"> </w:t>
      </w:r>
    </w:p>
    <w:p w14:paraId="739FB2C7" w14:textId="77777777" w:rsidR="00A768F4" w:rsidRPr="00A87C79" w:rsidRDefault="00A768F4" w:rsidP="00A768F4">
      <w:pPr>
        <w:pStyle w:val="ListParagraph"/>
        <w:spacing w:after="0" w:line="240" w:lineRule="auto"/>
        <w:ind w:left="0"/>
        <w:jc w:val="both"/>
        <w:rPr>
          <w:rFonts w:ascii="Verdana" w:hAnsi="Verdana"/>
          <w:sz w:val="20"/>
          <w:lang w:val="es-CR"/>
        </w:rPr>
      </w:pPr>
    </w:p>
    <w:p w14:paraId="275507BF" w14:textId="26D5143D" w:rsidR="00BC0C03" w:rsidRPr="00F96057" w:rsidRDefault="005A7ADD" w:rsidP="00A87C79">
      <w:pPr>
        <w:pStyle w:val="ListParagraph"/>
        <w:numPr>
          <w:ilvl w:val="0"/>
          <w:numId w:val="13"/>
        </w:numPr>
        <w:spacing w:after="0" w:line="240" w:lineRule="auto"/>
        <w:ind w:left="709"/>
        <w:jc w:val="both"/>
        <w:rPr>
          <w:rFonts w:ascii="Verdana" w:hAnsi="Verdana"/>
          <w:sz w:val="20"/>
          <w:lang w:val="es-CR"/>
        </w:rPr>
      </w:pPr>
      <w:r>
        <w:rPr>
          <w:rFonts w:ascii="Verdana" w:hAnsi="Verdana"/>
          <w:sz w:val="20"/>
          <w:lang w:val="es-CR"/>
        </w:rPr>
        <w:t>c</w:t>
      </w:r>
      <w:r w:rsidR="006440E4">
        <w:rPr>
          <w:rFonts w:ascii="Verdana" w:hAnsi="Verdana"/>
          <w:sz w:val="20"/>
          <w:lang w:val="es-CR"/>
        </w:rPr>
        <w:t>on respecto a la obligación de continuar eficazmente la investigación y proceso penal de los actos violatorios cometidos en contra del señor José Agapito Ruano Torres</w:t>
      </w:r>
      <w:r w:rsidR="00D44755">
        <w:rPr>
          <w:rStyle w:val="FootnoteReference"/>
          <w:rFonts w:ascii="Verdana" w:hAnsi="Verdana"/>
          <w:sz w:val="20"/>
          <w:lang w:val="es-CR"/>
        </w:rPr>
        <w:footnoteReference w:id="25"/>
      </w:r>
      <w:r w:rsidR="006440E4">
        <w:rPr>
          <w:rFonts w:ascii="Verdana" w:hAnsi="Verdana"/>
          <w:sz w:val="20"/>
          <w:lang w:val="es-CR"/>
        </w:rPr>
        <w:t xml:space="preserve">, </w:t>
      </w:r>
      <w:r w:rsidR="00BC0C03" w:rsidRPr="00F96057">
        <w:rPr>
          <w:rFonts w:ascii="Verdana" w:hAnsi="Verdana"/>
          <w:sz w:val="20"/>
          <w:lang w:val="es-CR"/>
        </w:rPr>
        <w:t xml:space="preserve">se solicita </w:t>
      </w:r>
      <w:r w:rsidR="00C72610">
        <w:rPr>
          <w:rFonts w:ascii="Verdana" w:hAnsi="Verdana"/>
          <w:sz w:val="20"/>
          <w:lang w:val="es-CR"/>
        </w:rPr>
        <w:t xml:space="preserve">que incluya </w:t>
      </w:r>
      <w:r w:rsidR="00BC0C03" w:rsidRPr="00F96057">
        <w:rPr>
          <w:rFonts w:ascii="Verdana" w:hAnsi="Verdana"/>
          <w:sz w:val="20"/>
          <w:lang w:val="es-CR"/>
        </w:rPr>
        <w:t xml:space="preserve"> las resultas de lo indicado en el informe</w:t>
      </w:r>
      <w:r w:rsidR="00B70268">
        <w:rPr>
          <w:rFonts w:ascii="Verdana" w:hAnsi="Verdana"/>
          <w:sz w:val="20"/>
          <w:lang w:val="es-CR"/>
        </w:rPr>
        <w:t xml:space="preserve"> estatal</w:t>
      </w:r>
      <w:r w:rsidR="00BC0C03" w:rsidRPr="00F96057">
        <w:rPr>
          <w:rFonts w:ascii="Verdana" w:hAnsi="Verdana"/>
          <w:sz w:val="20"/>
          <w:lang w:val="es-CR"/>
        </w:rPr>
        <w:t xml:space="preserve"> presentado recientemente, relativo a las diligencias pendientes de realizar</w:t>
      </w:r>
      <w:r w:rsidR="00B70268">
        <w:rPr>
          <w:rStyle w:val="FootnoteReference"/>
          <w:rFonts w:ascii="Verdana" w:hAnsi="Verdana"/>
          <w:sz w:val="20"/>
          <w:lang w:val="es-CR"/>
        </w:rPr>
        <w:footnoteReference w:id="26"/>
      </w:r>
      <w:r w:rsidR="00BC0C03" w:rsidRPr="00F96057">
        <w:rPr>
          <w:rFonts w:ascii="Verdana" w:hAnsi="Verdana"/>
          <w:sz w:val="20"/>
          <w:lang w:val="es-CR"/>
        </w:rPr>
        <w:t xml:space="preserve">; </w:t>
      </w:r>
    </w:p>
    <w:p w14:paraId="0416DF84" w14:textId="58B2F48E" w:rsidR="00BC0C03" w:rsidRPr="00C76CA4" w:rsidRDefault="005A7ADD" w:rsidP="00A87C79">
      <w:pPr>
        <w:pStyle w:val="ListParagraph"/>
        <w:numPr>
          <w:ilvl w:val="0"/>
          <w:numId w:val="13"/>
        </w:numPr>
        <w:spacing w:after="0" w:line="240" w:lineRule="auto"/>
        <w:ind w:left="709"/>
        <w:jc w:val="both"/>
        <w:rPr>
          <w:rFonts w:ascii="Verdana" w:hAnsi="Verdana"/>
          <w:sz w:val="20"/>
          <w:lang w:val="es-CR"/>
        </w:rPr>
      </w:pPr>
      <w:r w:rsidRPr="00C76CA4">
        <w:rPr>
          <w:rFonts w:ascii="Verdana" w:hAnsi="Verdana"/>
          <w:sz w:val="20"/>
          <w:lang w:val="es-CR"/>
        </w:rPr>
        <w:t>e</w:t>
      </w:r>
      <w:r w:rsidR="006440E4" w:rsidRPr="00C76CA4">
        <w:rPr>
          <w:rFonts w:ascii="Verdana" w:hAnsi="Verdana"/>
          <w:sz w:val="20"/>
          <w:lang w:val="es-CR"/>
        </w:rPr>
        <w:t>n cuanto a la determinación de las eventuales responsabilidades de los funcionarios de la defensoría pública que contribuyeron con su actuación a la violación de los derechos en perjuicio de José Agapito Ruano Torres</w:t>
      </w:r>
      <w:r w:rsidR="00D44755" w:rsidRPr="00C76CA4">
        <w:rPr>
          <w:rStyle w:val="FootnoteReference"/>
          <w:rFonts w:ascii="Verdana" w:hAnsi="Verdana"/>
          <w:sz w:val="20"/>
          <w:lang w:val="es-CR"/>
        </w:rPr>
        <w:footnoteReference w:id="27"/>
      </w:r>
      <w:r w:rsidR="006440E4" w:rsidRPr="00C76CA4">
        <w:rPr>
          <w:rFonts w:ascii="Verdana" w:hAnsi="Verdana"/>
          <w:sz w:val="20"/>
          <w:lang w:val="es-CR"/>
        </w:rPr>
        <w:t>, se requiere a</w:t>
      </w:r>
      <w:r w:rsidR="00BC0C03" w:rsidRPr="00C76CA4">
        <w:rPr>
          <w:rFonts w:ascii="Verdana" w:hAnsi="Verdana"/>
          <w:sz w:val="20"/>
          <w:lang w:val="es-CR"/>
        </w:rPr>
        <w:t>l Estado</w:t>
      </w:r>
      <w:r w:rsidR="006440E4" w:rsidRPr="00C76CA4">
        <w:rPr>
          <w:rFonts w:ascii="Verdana" w:hAnsi="Verdana"/>
          <w:sz w:val="20"/>
          <w:lang w:val="es-CR"/>
        </w:rPr>
        <w:t xml:space="preserve"> que</w:t>
      </w:r>
      <w:r w:rsidR="00BC0C03" w:rsidRPr="00C76CA4">
        <w:rPr>
          <w:rFonts w:ascii="Verdana" w:hAnsi="Verdana"/>
          <w:sz w:val="20"/>
          <w:lang w:val="es-CR"/>
        </w:rPr>
        <w:t xml:space="preserve"> </w:t>
      </w:r>
      <w:r w:rsidRPr="00C76CA4">
        <w:rPr>
          <w:rFonts w:ascii="Verdana" w:hAnsi="Verdana"/>
          <w:sz w:val="20"/>
          <w:lang w:val="es-CR"/>
        </w:rPr>
        <w:t xml:space="preserve">indique los avances en el procedimiento administrativo </w:t>
      </w:r>
      <w:r w:rsidR="00807282" w:rsidRPr="00C76CA4">
        <w:rPr>
          <w:rFonts w:ascii="Verdana" w:hAnsi="Verdana"/>
          <w:sz w:val="20"/>
          <w:lang w:val="es-CR"/>
        </w:rPr>
        <w:t xml:space="preserve">sancionatorio </w:t>
      </w:r>
      <w:r w:rsidRPr="00C76CA4">
        <w:rPr>
          <w:rFonts w:ascii="Verdana" w:hAnsi="Verdana"/>
          <w:sz w:val="20"/>
          <w:lang w:val="es-CR"/>
        </w:rPr>
        <w:t>llevado a cabo en contra de la funcionaria de la Defensoría Penal indicada</w:t>
      </w:r>
      <w:r w:rsidR="00B70268" w:rsidRPr="00C76CA4">
        <w:rPr>
          <w:rStyle w:val="FootnoteReference"/>
          <w:rFonts w:ascii="Verdana" w:hAnsi="Verdana"/>
          <w:sz w:val="20"/>
          <w:lang w:val="es-CR"/>
        </w:rPr>
        <w:footnoteReference w:id="28"/>
      </w:r>
      <w:r w:rsidRPr="00C76CA4">
        <w:rPr>
          <w:rFonts w:ascii="Verdana" w:hAnsi="Verdana"/>
          <w:sz w:val="20"/>
          <w:lang w:val="es-CR"/>
        </w:rPr>
        <w:t xml:space="preserve">. Además, se requiere al </w:t>
      </w:r>
      <w:r w:rsidRPr="00C76CA4">
        <w:rPr>
          <w:rFonts w:ascii="Verdana" w:hAnsi="Verdana"/>
          <w:sz w:val="20"/>
          <w:lang w:val="es-CR"/>
        </w:rPr>
        <w:lastRenderedPageBreak/>
        <w:t xml:space="preserve">Estado que indique si hay algún otro ámbito distinto al administrativo en el que se pueda </w:t>
      </w:r>
      <w:r w:rsidR="00807282" w:rsidRPr="00C76CA4">
        <w:rPr>
          <w:rFonts w:ascii="Verdana" w:hAnsi="Verdana"/>
          <w:sz w:val="20"/>
          <w:lang w:val="es-CR"/>
        </w:rPr>
        <w:t xml:space="preserve">investigar la posible </w:t>
      </w:r>
      <w:r w:rsidRPr="00C76CA4">
        <w:rPr>
          <w:rFonts w:ascii="Verdana" w:hAnsi="Verdana"/>
          <w:sz w:val="20"/>
          <w:lang w:val="es-CR"/>
        </w:rPr>
        <w:t>r</w:t>
      </w:r>
      <w:r w:rsidR="008F2E96" w:rsidRPr="00C76CA4">
        <w:rPr>
          <w:rFonts w:ascii="Verdana" w:hAnsi="Verdana"/>
          <w:sz w:val="20"/>
          <w:lang w:val="es-CR"/>
        </w:rPr>
        <w:t>esponsabilidad</w:t>
      </w:r>
      <w:r w:rsidR="00807282" w:rsidRPr="00C76CA4">
        <w:rPr>
          <w:rFonts w:ascii="Verdana" w:hAnsi="Verdana"/>
          <w:sz w:val="20"/>
          <w:lang w:val="es-CR"/>
        </w:rPr>
        <w:t xml:space="preserve"> </w:t>
      </w:r>
      <w:r w:rsidR="00807282" w:rsidRPr="00C76CA4">
        <w:rPr>
          <w:rFonts w:ascii="Verdana" w:hAnsi="Verdana"/>
          <w:sz w:val="20"/>
          <w:szCs w:val="20"/>
          <w:lang w:val="es-CR"/>
        </w:rPr>
        <w:t>de otros funcionarios que participaron en la defensa técnica del señor Ruano Torres que ya no laboraran en la Defensoría Penal</w:t>
      </w:r>
      <w:r w:rsidR="00BC0C03" w:rsidRPr="00C76CA4">
        <w:rPr>
          <w:rFonts w:ascii="Verdana" w:hAnsi="Verdana"/>
          <w:sz w:val="20"/>
          <w:lang w:val="es-CR"/>
        </w:rPr>
        <w:t xml:space="preserve">; </w:t>
      </w:r>
    </w:p>
    <w:p w14:paraId="7C89761C" w14:textId="27AB9356" w:rsidR="001257C8" w:rsidRDefault="005A7ADD" w:rsidP="00A87C79">
      <w:pPr>
        <w:pStyle w:val="ListParagraph"/>
        <w:numPr>
          <w:ilvl w:val="0"/>
          <w:numId w:val="13"/>
        </w:numPr>
        <w:spacing w:after="0" w:line="240" w:lineRule="auto"/>
        <w:ind w:left="709"/>
        <w:jc w:val="both"/>
        <w:rPr>
          <w:rFonts w:ascii="Verdana" w:hAnsi="Verdana"/>
          <w:sz w:val="20"/>
          <w:lang w:val="es-CR"/>
        </w:rPr>
      </w:pPr>
      <w:r>
        <w:rPr>
          <w:rFonts w:ascii="Verdana" w:hAnsi="Verdana"/>
          <w:sz w:val="20"/>
          <w:lang w:val="es-CR"/>
        </w:rPr>
        <w:t>s</w:t>
      </w:r>
      <w:r w:rsidR="006440E4">
        <w:rPr>
          <w:rFonts w:ascii="Verdana" w:hAnsi="Verdana"/>
          <w:sz w:val="20"/>
          <w:lang w:val="es-CR"/>
        </w:rPr>
        <w:t>obre la obligación de a</w:t>
      </w:r>
      <w:r w:rsidR="001257C8">
        <w:rPr>
          <w:rFonts w:ascii="Verdana" w:hAnsi="Verdana"/>
          <w:sz w:val="20"/>
          <w:lang w:val="es-CR"/>
        </w:rPr>
        <w:t>doptar las medidas necesarias para dejar sin efecto las consecuencias de la sentencia de condena emitida en cont</w:t>
      </w:r>
      <w:r w:rsidR="006440E4">
        <w:rPr>
          <w:rFonts w:ascii="Verdana" w:hAnsi="Verdana"/>
          <w:sz w:val="20"/>
          <w:lang w:val="es-CR"/>
        </w:rPr>
        <w:t>ra de José Agapito Ruano Torres</w:t>
      </w:r>
      <w:r w:rsidR="00D44755">
        <w:rPr>
          <w:rStyle w:val="FootnoteReference"/>
          <w:rFonts w:ascii="Verdana" w:hAnsi="Verdana"/>
          <w:sz w:val="20"/>
          <w:lang w:val="es-CR"/>
        </w:rPr>
        <w:footnoteReference w:id="29"/>
      </w:r>
      <w:r w:rsidR="006440E4">
        <w:rPr>
          <w:rFonts w:ascii="Verdana" w:hAnsi="Verdana"/>
          <w:sz w:val="20"/>
          <w:lang w:val="es-CR"/>
        </w:rPr>
        <w:t>,</w:t>
      </w:r>
      <w:r w:rsidR="001257C8">
        <w:rPr>
          <w:rFonts w:ascii="Verdana" w:hAnsi="Verdana"/>
          <w:sz w:val="20"/>
          <w:lang w:val="es-CR"/>
        </w:rPr>
        <w:t xml:space="preserve"> </w:t>
      </w:r>
      <w:r w:rsidR="00F70455">
        <w:rPr>
          <w:rFonts w:ascii="Verdana" w:hAnsi="Verdana"/>
          <w:sz w:val="20"/>
          <w:lang w:val="es-CR"/>
        </w:rPr>
        <w:t>se solicita al Estado</w:t>
      </w:r>
      <w:r w:rsidR="00695CC7">
        <w:rPr>
          <w:rStyle w:val="FootnoteReference"/>
          <w:rFonts w:ascii="Verdana" w:hAnsi="Verdana"/>
          <w:sz w:val="20"/>
          <w:lang w:val="es-CR"/>
        </w:rPr>
        <w:footnoteReference w:id="30"/>
      </w:r>
      <w:r w:rsidR="00F70455">
        <w:rPr>
          <w:rFonts w:ascii="Verdana" w:hAnsi="Verdana"/>
          <w:sz w:val="20"/>
          <w:lang w:val="es-CR"/>
        </w:rPr>
        <w:t xml:space="preserve"> que se refiera a la objeción planteada por </w:t>
      </w:r>
      <w:r w:rsidR="00695CC7">
        <w:rPr>
          <w:rFonts w:ascii="Verdana" w:hAnsi="Verdana"/>
          <w:sz w:val="20"/>
          <w:lang w:val="es-CR"/>
        </w:rPr>
        <w:t>el</w:t>
      </w:r>
      <w:r w:rsidR="00F70455">
        <w:rPr>
          <w:rFonts w:ascii="Verdana" w:hAnsi="Verdana"/>
          <w:sz w:val="20"/>
          <w:lang w:val="es-CR"/>
        </w:rPr>
        <w:t xml:space="preserve"> representante </w:t>
      </w:r>
      <w:r w:rsidR="00695CC7">
        <w:rPr>
          <w:rFonts w:ascii="Verdana" w:hAnsi="Verdana"/>
          <w:sz w:val="20"/>
          <w:lang w:val="es-CR"/>
        </w:rPr>
        <w:t xml:space="preserve">de las víctimas </w:t>
      </w:r>
      <w:r w:rsidR="00F70455">
        <w:rPr>
          <w:rFonts w:ascii="Verdana" w:hAnsi="Verdana"/>
          <w:sz w:val="20"/>
          <w:lang w:val="es-CR"/>
        </w:rPr>
        <w:t xml:space="preserve">respecto a que “los antecedentes penales y policiales siguen aún vigentes y la ficha en el régimen penitenciario </w:t>
      </w:r>
      <w:r w:rsidR="002F04AF">
        <w:rPr>
          <w:rFonts w:ascii="Verdana" w:hAnsi="Verdana"/>
          <w:sz w:val="20"/>
          <w:lang w:val="es-CR"/>
        </w:rPr>
        <w:t>sigue vigente como consecuencia de la sentencia de condena extinguida por cumplimiento, pero nunca por anulación de la sentencia ordenada por un Tribunal ya sea Constitucional u ordinario</w:t>
      </w:r>
      <w:r w:rsidR="00F96057">
        <w:rPr>
          <w:rFonts w:ascii="Verdana" w:hAnsi="Verdana"/>
          <w:sz w:val="20"/>
          <w:lang w:val="es-CR"/>
        </w:rPr>
        <w:t xml:space="preserve"> de la República del Salvador”;</w:t>
      </w:r>
    </w:p>
    <w:p w14:paraId="408501FD" w14:textId="53F5C1F3" w:rsidR="002F04AF" w:rsidRPr="00C76CA4" w:rsidRDefault="005A7ADD" w:rsidP="008F2E96">
      <w:pPr>
        <w:pStyle w:val="ListParagraph"/>
        <w:numPr>
          <w:ilvl w:val="0"/>
          <w:numId w:val="13"/>
        </w:numPr>
        <w:spacing w:after="0" w:line="240" w:lineRule="auto"/>
        <w:jc w:val="both"/>
        <w:rPr>
          <w:rFonts w:ascii="Verdana" w:hAnsi="Verdana"/>
          <w:sz w:val="20"/>
          <w:szCs w:val="20"/>
          <w:lang w:val="es-CR"/>
        </w:rPr>
      </w:pPr>
      <w:r w:rsidRPr="00C76CA4">
        <w:rPr>
          <w:rFonts w:ascii="Verdana" w:hAnsi="Verdana"/>
          <w:sz w:val="20"/>
          <w:szCs w:val="20"/>
          <w:lang w:val="es-CR"/>
        </w:rPr>
        <w:t>a</w:t>
      </w:r>
      <w:r w:rsidR="006440E4" w:rsidRPr="00C76CA4">
        <w:rPr>
          <w:rFonts w:ascii="Verdana" w:hAnsi="Verdana"/>
          <w:sz w:val="20"/>
          <w:szCs w:val="20"/>
          <w:lang w:val="es-CR"/>
        </w:rPr>
        <w:t>cerca de la obligación correspondiente a o</w:t>
      </w:r>
      <w:r w:rsidR="002F04AF" w:rsidRPr="00C76CA4">
        <w:rPr>
          <w:rFonts w:ascii="Verdana" w:hAnsi="Verdana"/>
          <w:sz w:val="20"/>
          <w:szCs w:val="20"/>
          <w:lang w:val="es-CR"/>
        </w:rPr>
        <w:t xml:space="preserve">torgar becas en instituciones públicas salvadoreñas en beneficio de </w:t>
      </w:r>
      <w:r w:rsidR="00BE1920" w:rsidRPr="00C76CA4">
        <w:rPr>
          <w:rFonts w:ascii="Verdana" w:hAnsi="Verdana"/>
          <w:sz w:val="20"/>
          <w:szCs w:val="20"/>
          <w:lang w:val="es-CR"/>
        </w:rPr>
        <w:t>José Agapito Ruano Torres y sus familiares María Maribel Guevara de Ruano, Oscar Manuel Ruano Guevara, Keily Lisbeth Ruano Guevara y Pedro Torres Hércules</w:t>
      </w:r>
      <w:r w:rsidR="002303F1" w:rsidRPr="00C76CA4">
        <w:rPr>
          <w:rStyle w:val="FootnoteReference"/>
          <w:rFonts w:ascii="Verdana" w:hAnsi="Verdana"/>
          <w:sz w:val="20"/>
          <w:szCs w:val="20"/>
          <w:lang w:val="es-CR"/>
        </w:rPr>
        <w:footnoteReference w:id="31"/>
      </w:r>
      <w:r w:rsidR="00BE1920" w:rsidRPr="00C76CA4">
        <w:rPr>
          <w:rFonts w:ascii="Verdana" w:hAnsi="Verdana"/>
          <w:sz w:val="20"/>
          <w:szCs w:val="20"/>
          <w:lang w:val="es-CR"/>
        </w:rPr>
        <w:t xml:space="preserve">, </w:t>
      </w:r>
      <w:r w:rsidR="008F2E96" w:rsidRPr="00C76CA4">
        <w:rPr>
          <w:rFonts w:ascii="Verdana" w:hAnsi="Verdana"/>
          <w:sz w:val="20"/>
          <w:szCs w:val="20"/>
          <w:lang w:val="es-CR"/>
        </w:rPr>
        <w:t xml:space="preserve">el Estado </w:t>
      </w:r>
      <w:r w:rsidR="002140B5" w:rsidRPr="00C76CA4">
        <w:rPr>
          <w:rFonts w:ascii="Verdana" w:hAnsi="Verdana"/>
          <w:sz w:val="20"/>
          <w:szCs w:val="20"/>
          <w:lang w:val="es-CR"/>
        </w:rPr>
        <w:t xml:space="preserve">afirmó que </w:t>
      </w:r>
      <w:r w:rsidR="008F2E96" w:rsidRPr="00C76CA4">
        <w:rPr>
          <w:rFonts w:ascii="Verdana" w:hAnsi="Verdana"/>
          <w:sz w:val="20"/>
          <w:szCs w:val="20"/>
          <w:lang w:val="es-CR"/>
        </w:rPr>
        <w:t>ofreció al señor Ruano Torres “la opción de estudiar una carrera técnica en el Instituto Tecnológico de Chalatenango”, contando para ello con una beca y estipendio</w:t>
      </w:r>
      <w:r w:rsidR="008F2E96" w:rsidRPr="00C76CA4">
        <w:rPr>
          <w:rStyle w:val="FootnoteReference"/>
          <w:rFonts w:ascii="Verdana" w:hAnsi="Verdana"/>
          <w:sz w:val="20"/>
          <w:szCs w:val="20"/>
          <w:vertAlign w:val="baseline"/>
          <w:lang w:val="es-CR"/>
        </w:rPr>
        <w:t xml:space="preserve">, y que </w:t>
      </w:r>
      <w:r w:rsidR="008F2E96" w:rsidRPr="00C76CA4">
        <w:rPr>
          <w:rFonts w:ascii="Verdana" w:hAnsi="Verdana"/>
          <w:sz w:val="20"/>
          <w:szCs w:val="20"/>
          <w:lang w:val="es-CR"/>
        </w:rPr>
        <w:t>a los familiares del señor Ruano Torres, “se ofreció su incorporación a un programa flexible, previo examen de suficiencia […] para continuar con sus estudios de educación media”</w:t>
      </w:r>
      <w:r w:rsidR="00B70268" w:rsidRPr="00C76CA4">
        <w:rPr>
          <w:rStyle w:val="FootnoteReference"/>
          <w:rFonts w:ascii="Verdana" w:hAnsi="Verdana"/>
          <w:sz w:val="20"/>
          <w:szCs w:val="20"/>
          <w:lang w:val="es-CR"/>
        </w:rPr>
        <w:footnoteReference w:id="32"/>
      </w:r>
      <w:r w:rsidR="008F2E96" w:rsidRPr="00C76CA4">
        <w:rPr>
          <w:rFonts w:ascii="Verdana" w:hAnsi="Verdana"/>
          <w:sz w:val="20"/>
          <w:szCs w:val="20"/>
          <w:lang w:val="es-CR"/>
        </w:rPr>
        <w:t xml:space="preserve">. </w:t>
      </w:r>
      <w:r w:rsidR="00765EB0" w:rsidRPr="00C76CA4">
        <w:rPr>
          <w:rFonts w:ascii="Verdana" w:hAnsi="Verdana"/>
          <w:sz w:val="20"/>
          <w:szCs w:val="20"/>
          <w:lang w:val="es-CR"/>
        </w:rPr>
        <w:t xml:space="preserve">No resultan suficientes las afirmaciones del </w:t>
      </w:r>
      <w:r w:rsidR="008F2E96" w:rsidRPr="00C76CA4">
        <w:rPr>
          <w:rFonts w:ascii="Verdana" w:hAnsi="Verdana"/>
          <w:sz w:val="20"/>
          <w:szCs w:val="20"/>
          <w:lang w:val="es-CR"/>
        </w:rPr>
        <w:t xml:space="preserve">representante </w:t>
      </w:r>
      <w:r w:rsidR="00765EB0" w:rsidRPr="00C76CA4">
        <w:rPr>
          <w:rFonts w:ascii="Verdana" w:hAnsi="Verdana"/>
          <w:sz w:val="20"/>
          <w:szCs w:val="20"/>
          <w:lang w:val="es-CR"/>
        </w:rPr>
        <w:t>de las víctimas relativas a que el Estado “</w:t>
      </w:r>
      <w:r w:rsidR="008F2E96" w:rsidRPr="00C76CA4">
        <w:rPr>
          <w:rFonts w:ascii="Verdana" w:hAnsi="Verdana"/>
          <w:sz w:val="20"/>
          <w:szCs w:val="20"/>
          <w:lang w:val="es-CR"/>
        </w:rPr>
        <w:t>no acompañ</w:t>
      </w:r>
      <w:r w:rsidR="00765EB0" w:rsidRPr="00C76CA4">
        <w:rPr>
          <w:rFonts w:ascii="Verdana" w:hAnsi="Verdana"/>
          <w:sz w:val="20"/>
          <w:szCs w:val="20"/>
          <w:lang w:val="es-CR"/>
        </w:rPr>
        <w:t>[ó]</w:t>
      </w:r>
      <w:r w:rsidR="008F2E96" w:rsidRPr="00C76CA4">
        <w:rPr>
          <w:rFonts w:ascii="Verdana" w:hAnsi="Verdana"/>
          <w:sz w:val="20"/>
          <w:szCs w:val="20"/>
          <w:lang w:val="es-CR"/>
        </w:rPr>
        <w:t xml:space="preserve"> ningún atestado que demuestre tal extremo”. </w:t>
      </w:r>
      <w:r w:rsidR="00765EB0" w:rsidRPr="00C76CA4">
        <w:rPr>
          <w:rFonts w:ascii="Verdana" w:hAnsi="Verdana"/>
          <w:sz w:val="20"/>
          <w:szCs w:val="20"/>
          <w:lang w:val="es-CR"/>
        </w:rPr>
        <w:t xml:space="preserve">Es preciso que confirme si se realizaron dichos ofrecimientos y que </w:t>
      </w:r>
      <w:r w:rsidR="008F2E96" w:rsidRPr="00C76CA4">
        <w:rPr>
          <w:rFonts w:ascii="Verdana" w:hAnsi="Verdana"/>
          <w:sz w:val="20"/>
          <w:szCs w:val="20"/>
          <w:lang w:val="es-CR"/>
        </w:rPr>
        <w:t>las víctimas, por intermedio de su representante, indiquen si están interesados en la oferta realizada por el Estado.</w:t>
      </w:r>
      <w:r w:rsidR="002F04AF" w:rsidRPr="00C76CA4">
        <w:rPr>
          <w:rFonts w:ascii="Verdana" w:hAnsi="Verdana"/>
          <w:sz w:val="20"/>
          <w:szCs w:val="20"/>
          <w:lang w:val="es-CR"/>
        </w:rPr>
        <w:t xml:space="preserve"> </w:t>
      </w:r>
      <w:r w:rsidR="008F2E96" w:rsidRPr="00C76CA4">
        <w:rPr>
          <w:rFonts w:ascii="Verdana" w:hAnsi="Verdana"/>
          <w:sz w:val="20"/>
          <w:szCs w:val="20"/>
          <w:lang w:val="es-CR"/>
        </w:rPr>
        <w:t>Por otra parte, se solicita información actualizada y detallada sobre la posible</w:t>
      </w:r>
      <w:r w:rsidR="002F04AF" w:rsidRPr="00C76CA4">
        <w:rPr>
          <w:rFonts w:ascii="Verdana" w:hAnsi="Verdana"/>
          <w:sz w:val="20"/>
          <w:szCs w:val="20"/>
          <w:lang w:val="es-CR"/>
        </w:rPr>
        <w:t xml:space="preserve"> “firma de un convenio con la Universidad de El Salvador o una Universidad privada</w:t>
      </w:r>
      <w:r w:rsidR="00EB30C6" w:rsidRPr="00C76CA4">
        <w:rPr>
          <w:rFonts w:ascii="Verdana" w:hAnsi="Verdana"/>
          <w:sz w:val="20"/>
          <w:szCs w:val="20"/>
          <w:lang w:val="es-CR"/>
        </w:rPr>
        <w:t xml:space="preserve">, de cara a la educación superior universitaria que pudiese ser requerida por los beneficiarios </w:t>
      </w:r>
      <w:r w:rsidR="008430D4" w:rsidRPr="00C76CA4">
        <w:rPr>
          <w:rFonts w:ascii="Verdana" w:hAnsi="Verdana"/>
          <w:sz w:val="20"/>
          <w:szCs w:val="20"/>
          <w:lang w:val="es-CR"/>
        </w:rPr>
        <w:t>conforme al avance progresivo de sus estudios</w:t>
      </w:r>
      <w:r w:rsidR="00F96057" w:rsidRPr="00C76CA4">
        <w:rPr>
          <w:rFonts w:ascii="Verdana" w:hAnsi="Verdana"/>
          <w:sz w:val="20"/>
          <w:szCs w:val="20"/>
          <w:lang w:val="es-CR"/>
        </w:rPr>
        <w:t>”</w:t>
      </w:r>
      <w:r w:rsidR="001D6CB2" w:rsidRPr="00C76CA4">
        <w:rPr>
          <w:rFonts w:ascii="Verdana" w:hAnsi="Verdana"/>
          <w:sz w:val="20"/>
          <w:szCs w:val="20"/>
          <w:lang w:val="es-CR"/>
        </w:rPr>
        <w:t>;</w:t>
      </w:r>
    </w:p>
    <w:p w14:paraId="49AA1D74" w14:textId="6C8F696F" w:rsidR="002F04AF" w:rsidRDefault="005A7ADD" w:rsidP="00A87C79">
      <w:pPr>
        <w:pStyle w:val="ListParagraph"/>
        <w:numPr>
          <w:ilvl w:val="0"/>
          <w:numId w:val="13"/>
        </w:numPr>
        <w:spacing w:after="0" w:line="240" w:lineRule="auto"/>
        <w:ind w:left="709"/>
        <w:jc w:val="both"/>
        <w:rPr>
          <w:rFonts w:ascii="Verdana" w:hAnsi="Verdana"/>
          <w:sz w:val="20"/>
          <w:lang w:val="es-CR"/>
        </w:rPr>
      </w:pPr>
      <w:r>
        <w:rPr>
          <w:rFonts w:ascii="Verdana" w:hAnsi="Verdana"/>
          <w:sz w:val="20"/>
          <w:lang w:val="es-CR"/>
        </w:rPr>
        <w:t>e</w:t>
      </w:r>
      <w:r w:rsidR="006440E4">
        <w:rPr>
          <w:rFonts w:ascii="Verdana" w:hAnsi="Verdana"/>
          <w:sz w:val="20"/>
          <w:lang w:val="es-CR"/>
        </w:rPr>
        <w:t>n relación con el d</w:t>
      </w:r>
      <w:r w:rsidR="002F04AF">
        <w:rPr>
          <w:rFonts w:ascii="Verdana" w:hAnsi="Verdana"/>
          <w:sz w:val="20"/>
          <w:lang w:val="es-CR"/>
        </w:rPr>
        <w:t xml:space="preserve">eber de implementar programas o cursos obligatorios </w:t>
      </w:r>
      <w:r w:rsidR="00BE1920">
        <w:rPr>
          <w:rFonts w:ascii="Verdana" w:hAnsi="Verdana"/>
          <w:sz w:val="20"/>
          <w:lang w:val="es-CR"/>
        </w:rPr>
        <w:t>dirigidos al personal de la Policía Nacional y de la Fiscalía General de la República</w:t>
      </w:r>
      <w:r w:rsidR="002303F1">
        <w:rPr>
          <w:rStyle w:val="FootnoteReference"/>
          <w:rFonts w:ascii="Verdana" w:hAnsi="Verdana"/>
          <w:sz w:val="20"/>
          <w:lang w:val="es-CR"/>
        </w:rPr>
        <w:footnoteReference w:id="33"/>
      </w:r>
      <w:r w:rsidR="00BE1920">
        <w:rPr>
          <w:rFonts w:ascii="Verdana" w:hAnsi="Verdana"/>
          <w:sz w:val="20"/>
          <w:lang w:val="es-CR"/>
        </w:rPr>
        <w:t>,</w:t>
      </w:r>
      <w:r w:rsidR="00BB3CCC">
        <w:rPr>
          <w:rFonts w:ascii="Verdana" w:hAnsi="Verdana"/>
          <w:sz w:val="20"/>
          <w:lang w:val="es-CR"/>
        </w:rPr>
        <w:t xml:space="preserve"> </w:t>
      </w:r>
      <w:r w:rsidR="00582A1D">
        <w:rPr>
          <w:rFonts w:ascii="Verdana" w:hAnsi="Verdana"/>
          <w:sz w:val="20"/>
          <w:lang w:val="es-CR"/>
        </w:rPr>
        <w:t xml:space="preserve">la Corte valora positivamente </w:t>
      </w:r>
      <w:r w:rsidR="00BB3CCC">
        <w:rPr>
          <w:rFonts w:ascii="Verdana" w:hAnsi="Verdana"/>
          <w:sz w:val="20"/>
          <w:lang w:val="es-CR"/>
        </w:rPr>
        <w:t>los esfuerzos que el Estado ha realizado</w:t>
      </w:r>
      <w:r w:rsidR="00582A1D">
        <w:rPr>
          <w:rFonts w:ascii="Verdana" w:hAnsi="Verdana"/>
          <w:sz w:val="20"/>
          <w:lang w:val="es-CR"/>
        </w:rPr>
        <w:t xml:space="preserve"> para brindar a las </w:t>
      </w:r>
      <w:r w:rsidR="00582A1D">
        <w:rPr>
          <w:rFonts w:ascii="Verdana" w:hAnsi="Verdana"/>
          <w:sz w:val="20"/>
          <w:lang w:val="es-CR"/>
        </w:rPr>
        <w:lastRenderedPageBreak/>
        <w:t>referidas instituciones cursos y capacitaciones e</w:t>
      </w:r>
      <w:r w:rsidR="000021E1">
        <w:rPr>
          <w:rFonts w:ascii="Verdana" w:hAnsi="Verdana"/>
          <w:sz w:val="20"/>
          <w:lang w:val="es-CR"/>
        </w:rPr>
        <w:t>n materia de derechos humanos</w:t>
      </w:r>
      <w:r w:rsidR="00EB30C6">
        <w:rPr>
          <w:rStyle w:val="FootnoteReference"/>
          <w:rFonts w:ascii="Verdana" w:hAnsi="Verdana"/>
          <w:sz w:val="20"/>
          <w:lang w:val="es-CR"/>
        </w:rPr>
        <w:footnoteReference w:id="34"/>
      </w:r>
      <w:r w:rsidR="00A87C79">
        <w:rPr>
          <w:rFonts w:ascii="Verdana" w:hAnsi="Verdana"/>
          <w:sz w:val="20"/>
          <w:lang w:val="es-CR"/>
        </w:rPr>
        <w:t xml:space="preserve">. </w:t>
      </w:r>
      <w:r w:rsidR="00582A1D">
        <w:rPr>
          <w:rFonts w:ascii="Verdana" w:hAnsi="Verdana"/>
          <w:sz w:val="20"/>
          <w:lang w:val="es-CR"/>
        </w:rPr>
        <w:t>No obstante,</w:t>
      </w:r>
      <w:r w:rsidR="00A87C79">
        <w:rPr>
          <w:rFonts w:ascii="Verdana" w:hAnsi="Verdana"/>
          <w:sz w:val="20"/>
          <w:lang w:val="es-CR"/>
        </w:rPr>
        <w:t xml:space="preserve"> </w:t>
      </w:r>
      <w:r w:rsidR="00582A1D">
        <w:rPr>
          <w:rFonts w:ascii="Verdana" w:hAnsi="Verdana"/>
          <w:sz w:val="20"/>
          <w:lang w:val="es-CR"/>
        </w:rPr>
        <w:t>teniendo en cuenta lo dispuesto en la Sentencia, la Corte requiere a</w:t>
      </w:r>
      <w:r w:rsidR="00A87C79">
        <w:rPr>
          <w:rFonts w:ascii="Verdana" w:hAnsi="Verdana"/>
          <w:sz w:val="20"/>
          <w:lang w:val="es-CR"/>
        </w:rPr>
        <w:t xml:space="preserve">l Estado </w:t>
      </w:r>
      <w:r w:rsidR="00582A1D">
        <w:rPr>
          <w:rFonts w:ascii="Verdana" w:hAnsi="Verdana"/>
          <w:sz w:val="20"/>
          <w:lang w:val="es-CR"/>
        </w:rPr>
        <w:t>que precise</w:t>
      </w:r>
      <w:r w:rsidR="00A87C79">
        <w:rPr>
          <w:rFonts w:ascii="Verdana" w:hAnsi="Verdana"/>
          <w:sz w:val="20"/>
          <w:lang w:val="es-CR"/>
        </w:rPr>
        <w:t xml:space="preserve"> información concerniente a: </w:t>
      </w:r>
      <w:r w:rsidR="00D02FE8">
        <w:rPr>
          <w:rFonts w:ascii="Verdana" w:hAnsi="Verdana"/>
          <w:sz w:val="20"/>
          <w:lang w:val="es-CR"/>
        </w:rPr>
        <w:t>i</w:t>
      </w:r>
      <w:r w:rsidR="00A87C79">
        <w:rPr>
          <w:rFonts w:ascii="Verdana" w:hAnsi="Verdana"/>
          <w:sz w:val="20"/>
          <w:lang w:val="es-CR"/>
        </w:rPr>
        <w:t xml:space="preserve">) </w:t>
      </w:r>
      <w:r w:rsidR="00BE1920">
        <w:rPr>
          <w:rFonts w:ascii="Verdana" w:hAnsi="Verdana"/>
          <w:sz w:val="20"/>
          <w:lang w:val="es-CR"/>
        </w:rPr>
        <w:t>el carácter permanente de los cursos</w:t>
      </w:r>
      <w:r w:rsidR="00A87C79">
        <w:rPr>
          <w:rFonts w:ascii="Verdana" w:hAnsi="Verdana"/>
          <w:sz w:val="20"/>
          <w:lang w:val="es-CR"/>
        </w:rPr>
        <w:t xml:space="preserve">; </w:t>
      </w:r>
      <w:r w:rsidR="00D02FE8">
        <w:rPr>
          <w:rFonts w:ascii="Verdana" w:hAnsi="Verdana"/>
          <w:sz w:val="20"/>
          <w:lang w:val="es-CR"/>
        </w:rPr>
        <w:t>ii</w:t>
      </w:r>
      <w:r w:rsidR="00A87C79">
        <w:rPr>
          <w:rFonts w:ascii="Verdana" w:hAnsi="Verdana"/>
          <w:sz w:val="20"/>
          <w:lang w:val="es-CR"/>
        </w:rPr>
        <w:t>) los funcionarios que han participado o participan en cada capacitación</w:t>
      </w:r>
      <w:r w:rsidR="00582A1D">
        <w:rPr>
          <w:rFonts w:ascii="Verdana" w:hAnsi="Verdana"/>
          <w:sz w:val="20"/>
          <w:lang w:val="es-CR"/>
        </w:rPr>
        <w:t>, y particularmente, si forman parte de la Policía Nacional Civil y de la Fiscalía General de la República</w:t>
      </w:r>
      <w:r w:rsidR="00A87C79">
        <w:rPr>
          <w:rFonts w:ascii="Verdana" w:hAnsi="Verdana"/>
          <w:sz w:val="20"/>
          <w:lang w:val="es-CR"/>
        </w:rPr>
        <w:t xml:space="preserve">; y </w:t>
      </w:r>
      <w:r w:rsidR="00D02FE8">
        <w:rPr>
          <w:rFonts w:ascii="Verdana" w:hAnsi="Verdana"/>
          <w:sz w:val="20"/>
          <w:lang w:val="es-CR"/>
        </w:rPr>
        <w:t>iii</w:t>
      </w:r>
      <w:r w:rsidR="00A87C79">
        <w:rPr>
          <w:rFonts w:ascii="Verdana" w:hAnsi="Verdana"/>
          <w:sz w:val="20"/>
          <w:lang w:val="es-CR"/>
        </w:rPr>
        <w:t>) el detalle de los contenidos de cada capacitación en las distintas instituciones</w:t>
      </w:r>
      <w:r w:rsidR="00582A1D">
        <w:rPr>
          <w:rFonts w:ascii="Verdana" w:hAnsi="Verdana"/>
          <w:sz w:val="20"/>
          <w:lang w:val="es-CR"/>
        </w:rPr>
        <w:t>, y en específico, si en los mismos se encuentra la temática dispuesta en la Sentencia relativa a la investigación y documentación eficaces de la tortura y otros tratos o penas crueles, inhumanos, o degradantes</w:t>
      </w:r>
      <w:r w:rsidR="000021E1">
        <w:rPr>
          <w:rFonts w:ascii="Verdana" w:hAnsi="Verdana"/>
          <w:sz w:val="20"/>
          <w:lang w:val="es-CR"/>
        </w:rPr>
        <w:t>;</w:t>
      </w:r>
      <w:r w:rsidR="00A87C79">
        <w:rPr>
          <w:rFonts w:ascii="Verdana" w:hAnsi="Verdana"/>
          <w:sz w:val="20"/>
          <w:lang w:val="es-CR"/>
        </w:rPr>
        <w:t xml:space="preserve">  </w:t>
      </w:r>
    </w:p>
    <w:p w14:paraId="5DC8C045" w14:textId="77777777" w:rsidR="00D572B5" w:rsidRDefault="005A7ADD" w:rsidP="00A87C79">
      <w:pPr>
        <w:pStyle w:val="ListParagraph"/>
        <w:numPr>
          <w:ilvl w:val="0"/>
          <w:numId w:val="13"/>
        </w:numPr>
        <w:spacing w:after="0" w:line="240" w:lineRule="auto"/>
        <w:ind w:left="709"/>
        <w:jc w:val="both"/>
        <w:rPr>
          <w:rFonts w:ascii="Verdana" w:hAnsi="Verdana"/>
          <w:sz w:val="20"/>
          <w:lang w:val="es-CR"/>
        </w:rPr>
      </w:pPr>
      <w:r>
        <w:rPr>
          <w:rFonts w:ascii="Verdana" w:hAnsi="Verdana"/>
          <w:sz w:val="20"/>
          <w:lang w:val="es-CR"/>
        </w:rPr>
        <w:t>r</w:t>
      </w:r>
      <w:r w:rsidR="006440E4">
        <w:rPr>
          <w:rFonts w:ascii="Verdana" w:hAnsi="Verdana"/>
          <w:sz w:val="20"/>
          <w:lang w:val="es-CR"/>
        </w:rPr>
        <w:t>especto a la obligación de r</w:t>
      </w:r>
      <w:r w:rsidR="00CC102D">
        <w:rPr>
          <w:rFonts w:ascii="Verdana" w:hAnsi="Verdana"/>
          <w:sz w:val="20"/>
          <w:lang w:val="es-CR"/>
        </w:rPr>
        <w:t xml:space="preserve">eforzar el sistema de </w:t>
      </w:r>
      <w:r w:rsidR="006440E4">
        <w:rPr>
          <w:rFonts w:ascii="Verdana" w:hAnsi="Verdana"/>
          <w:sz w:val="20"/>
          <w:lang w:val="es-CR"/>
        </w:rPr>
        <w:t>selección de la defensa pública</w:t>
      </w:r>
      <w:r w:rsidR="002303F1">
        <w:rPr>
          <w:rStyle w:val="FootnoteReference"/>
          <w:rFonts w:ascii="Verdana" w:hAnsi="Verdana"/>
          <w:sz w:val="20"/>
          <w:lang w:val="es-CR"/>
        </w:rPr>
        <w:footnoteReference w:id="35"/>
      </w:r>
      <w:r w:rsidR="006440E4">
        <w:rPr>
          <w:rFonts w:ascii="Verdana" w:hAnsi="Verdana"/>
          <w:sz w:val="20"/>
          <w:lang w:val="es-CR"/>
        </w:rPr>
        <w:t>,</w:t>
      </w:r>
      <w:r w:rsidR="00CC102D">
        <w:rPr>
          <w:rFonts w:ascii="Verdana" w:hAnsi="Verdana"/>
          <w:sz w:val="20"/>
          <w:lang w:val="es-CR"/>
        </w:rPr>
        <w:t xml:space="preserve"> dado que el Estado indicó que “</w:t>
      </w:r>
      <w:r w:rsidR="00F96057">
        <w:rPr>
          <w:rFonts w:ascii="Verdana" w:hAnsi="Verdana"/>
          <w:sz w:val="20"/>
          <w:lang w:val="es-CR"/>
        </w:rPr>
        <w:t>la Procuraduría General de la República ha comunicado la conformación de una Comisión en la que convergen la Unidad de Recursos Humanos, la Unidad de Administración General, la Unidad de Calidad y la oficina de la Procuraduría Adjunta Penal, a fin de valorar el fortalecimiento de los sistemas de selección de defensores públicos”, se requiere al Estado que presente información actualizada sobre el resultado de dicha valoración;</w:t>
      </w:r>
    </w:p>
    <w:p w14:paraId="1E38BD1D" w14:textId="2D22F860" w:rsidR="00CC102D" w:rsidRPr="00C76CA4" w:rsidRDefault="00D572B5" w:rsidP="00A87C79">
      <w:pPr>
        <w:pStyle w:val="ListParagraph"/>
        <w:numPr>
          <w:ilvl w:val="0"/>
          <w:numId w:val="13"/>
        </w:numPr>
        <w:spacing w:after="0" w:line="240" w:lineRule="auto"/>
        <w:ind w:left="709"/>
        <w:jc w:val="both"/>
        <w:rPr>
          <w:rFonts w:ascii="Verdana" w:hAnsi="Verdana"/>
          <w:sz w:val="20"/>
          <w:lang w:val="es-CR"/>
        </w:rPr>
      </w:pPr>
      <w:r w:rsidRPr="00C76CA4">
        <w:rPr>
          <w:rFonts w:ascii="Verdana" w:hAnsi="Verdana"/>
          <w:sz w:val="20"/>
          <w:lang w:val="es-CR"/>
        </w:rPr>
        <w:t>con relación a la medida correspondiente a la implementación o fortalecimiento de programas de capacitación a los defensores públicos</w:t>
      </w:r>
      <w:r w:rsidRPr="00C76CA4">
        <w:rPr>
          <w:rStyle w:val="FootnoteReference"/>
          <w:rFonts w:ascii="Verdana" w:hAnsi="Verdana"/>
          <w:sz w:val="20"/>
          <w:lang w:val="es-CR"/>
        </w:rPr>
        <w:footnoteReference w:id="36"/>
      </w:r>
      <w:r w:rsidRPr="00C76CA4">
        <w:rPr>
          <w:rFonts w:ascii="Verdana" w:hAnsi="Verdana"/>
          <w:sz w:val="20"/>
          <w:lang w:val="es-CR"/>
        </w:rPr>
        <w:t>,</w:t>
      </w:r>
      <w:r w:rsidR="00F96057" w:rsidRPr="00C76CA4">
        <w:rPr>
          <w:rFonts w:ascii="Verdana" w:hAnsi="Verdana"/>
          <w:sz w:val="20"/>
          <w:lang w:val="es-CR"/>
        </w:rPr>
        <w:t xml:space="preserve"> </w:t>
      </w:r>
      <w:r w:rsidRPr="00C76CA4">
        <w:rPr>
          <w:rFonts w:ascii="Verdana" w:hAnsi="Verdana"/>
          <w:sz w:val="20"/>
          <w:lang w:val="es-CR"/>
        </w:rPr>
        <w:t>la Corte nota que el Estado se limitó a informar sobre las capacitaciones indicadas en el Considerando 18.e de la presente Resolución. Teniendo en cuenta lo anterior, se solicita al Estado que indique si alguna de esas capacitaciones está dirigida a dar cumplimiento esta medida de reparación o</w:t>
      </w:r>
      <w:r w:rsidR="00AF6D97" w:rsidRPr="00C76CA4">
        <w:rPr>
          <w:rFonts w:ascii="Verdana" w:hAnsi="Verdana"/>
          <w:sz w:val="20"/>
          <w:lang w:val="es-CR"/>
        </w:rPr>
        <w:t>,</w:t>
      </w:r>
      <w:r w:rsidRPr="00C76CA4">
        <w:rPr>
          <w:rFonts w:ascii="Verdana" w:hAnsi="Verdana"/>
          <w:sz w:val="20"/>
          <w:lang w:val="es-CR"/>
        </w:rPr>
        <w:t xml:space="preserve"> de no ser el caso, que presente información sobre las medidas que adoptará para dar cumplimiento a la misma, y,</w:t>
      </w:r>
    </w:p>
    <w:p w14:paraId="01BBD070" w14:textId="400E7E9C" w:rsidR="00CC102D" w:rsidRPr="00BC0C03" w:rsidRDefault="005A7ADD" w:rsidP="00A87C79">
      <w:pPr>
        <w:pStyle w:val="ListParagraph"/>
        <w:numPr>
          <w:ilvl w:val="0"/>
          <w:numId w:val="13"/>
        </w:numPr>
        <w:spacing w:after="0" w:line="240" w:lineRule="auto"/>
        <w:ind w:left="709"/>
        <w:jc w:val="both"/>
        <w:rPr>
          <w:rFonts w:ascii="Verdana" w:hAnsi="Verdana"/>
          <w:sz w:val="20"/>
          <w:lang w:val="es-CR"/>
        </w:rPr>
      </w:pPr>
      <w:r>
        <w:rPr>
          <w:rFonts w:ascii="Verdana" w:hAnsi="Verdana"/>
          <w:sz w:val="20"/>
          <w:lang w:val="es-CR"/>
        </w:rPr>
        <w:t>c</w:t>
      </w:r>
      <w:r w:rsidR="006440E4">
        <w:rPr>
          <w:rFonts w:ascii="Verdana" w:hAnsi="Verdana"/>
          <w:sz w:val="20"/>
          <w:lang w:val="es-CR"/>
        </w:rPr>
        <w:t>on relación al pago de indemnizaciones</w:t>
      </w:r>
      <w:r w:rsidR="002303F1">
        <w:rPr>
          <w:rStyle w:val="FootnoteReference"/>
          <w:rFonts w:ascii="Verdana" w:hAnsi="Verdana"/>
          <w:sz w:val="20"/>
          <w:lang w:val="es-CR"/>
        </w:rPr>
        <w:footnoteReference w:id="37"/>
      </w:r>
      <w:r w:rsidR="006440E4">
        <w:rPr>
          <w:rFonts w:ascii="Verdana" w:hAnsi="Verdana"/>
          <w:sz w:val="20"/>
          <w:lang w:val="es-CR"/>
        </w:rPr>
        <w:t>,</w:t>
      </w:r>
      <w:r w:rsidR="00CC102D">
        <w:rPr>
          <w:rFonts w:ascii="Verdana" w:hAnsi="Verdana"/>
          <w:sz w:val="20"/>
          <w:lang w:val="es-CR"/>
        </w:rPr>
        <w:t xml:space="preserve"> en virtud de la información remitida por el Estado, </w:t>
      </w:r>
      <w:r w:rsidR="005C0934">
        <w:rPr>
          <w:rFonts w:ascii="Verdana" w:hAnsi="Verdana"/>
          <w:sz w:val="20"/>
          <w:lang w:val="es-CR"/>
        </w:rPr>
        <w:t>la Corte valora positivamente que ha e</w:t>
      </w:r>
      <w:r w:rsidR="00D572B5">
        <w:rPr>
          <w:rFonts w:ascii="Verdana" w:hAnsi="Verdana"/>
          <w:sz w:val="20"/>
          <w:lang w:val="es-CR"/>
        </w:rPr>
        <w:t>fectuado</w:t>
      </w:r>
      <w:r w:rsidR="007948E5">
        <w:rPr>
          <w:rFonts w:ascii="Verdana" w:hAnsi="Verdana"/>
          <w:sz w:val="20"/>
          <w:lang w:val="es-CR"/>
        </w:rPr>
        <w:t xml:space="preserve"> gestiones dirigidas a </w:t>
      </w:r>
      <w:r w:rsidR="001D6CB2">
        <w:rPr>
          <w:rFonts w:ascii="Verdana" w:hAnsi="Verdana"/>
          <w:sz w:val="20"/>
          <w:lang w:val="es-CR"/>
        </w:rPr>
        <w:t>realizar</w:t>
      </w:r>
      <w:r w:rsidR="007948E5">
        <w:rPr>
          <w:rFonts w:ascii="Verdana" w:hAnsi="Verdana"/>
          <w:sz w:val="20"/>
          <w:lang w:val="es-CR"/>
        </w:rPr>
        <w:t xml:space="preserve"> </w:t>
      </w:r>
      <w:r w:rsidR="007948E5">
        <w:rPr>
          <w:rFonts w:ascii="Verdana" w:hAnsi="Verdana"/>
          <w:sz w:val="20"/>
          <w:lang w:val="es-CR"/>
        </w:rPr>
        <w:lastRenderedPageBreak/>
        <w:t>los pagos</w:t>
      </w:r>
      <w:r w:rsidR="007948E5">
        <w:rPr>
          <w:rStyle w:val="FootnoteReference"/>
          <w:rFonts w:ascii="Verdana" w:hAnsi="Verdana"/>
          <w:sz w:val="20"/>
          <w:lang w:val="es-CR"/>
        </w:rPr>
        <w:footnoteReference w:id="38"/>
      </w:r>
      <w:r w:rsidR="001D6CB2">
        <w:rPr>
          <w:rFonts w:ascii="Verdana" w:hAnsi="Verdana"/>
          <w:sz w:val="20"/>
          <w:lang w:val="es-CR"/>
        </w:rPr>
        <w:t xml:space="preserve"> indicados</w:t>
      </w:r>
      <w:r w:rsidR="005C0934">
        <w:rPr>
          <w:rFonts w:ascii="Verdana" w:hAnsi="Verdana"/>
          <w:sz w:val="20"/>
          <w:lang w:val="es-CR"/>
        </w:rPr>
        <w:t>. No obstante,</w:t>
      </w:r>
      <w:r w:rsidR="00D572B5">
        <w:rPr>
          <w:rFonts w:ascii="Verdana" w:hAnsi="Verdana"/>
          <w:sz w:val="20"/>
          <w:lang w:val="es-CR"/>
        </w:rPr>
        <w:t xml:space="preserve"> el plazo para realizar dichos pagos venció el  21 de diciembre de 2016.</w:t>
      </w:r>
      <w:r w:rsidR="005C0934">
        <w:rPr>
          <w:rFonts w:ascii="Verdana" w:hAnsi="Verdana"/>
          <w:sz w:val="20"/>
          <w:lang w:val="es-CR"/>
        </w:rPr>
        <w:t xml:space="preserve"> </w:t>
      </w:r>
      <w:r w:rsidR="00D572B5">
        <w:rPr>
          <w:rFonts w:ascii="Verdana" w:hAnsi="Verdana"/>
          <w:sz w:val="20"/>
          <w:lang w:val="es-CR"/>
        </w:rPr>
        <w:t>C</w:t>
      </w:r>
      <w:r w:rsidR="005C0934">
        <w:rPr>
          <w:rFonts w:ascii="Verdana" w:hAnsi="Verdana"/>
          <w:sz w:val="20"/>
          <w:lang w:val="es-CR"/>
        </w:rPr>
        <w:t>on el fin de supervisar el cumplimiento íntegro de la reparación,</w:t>
      </w:r>
      <w:r w:rsidR="00CC102D">
        <w:rPr>
          <w:rFonts w:ascii="Verdana" w:hAnsi="Verdana"/>
          <w:sz w:val="20"/>
          <w:lang w:val="es-CR"/>
        </w:rPr>
        <w:t xml:space="preserve"> se solicita al Estado que: (i) indique la fecha para cuando estima se va</w:t>
      </w:r>
      <w:r w:rsidR="001D6CB2">
        <w:rPr>
          <w:rFonts w:ascii="Verdana" w:hAnsi="Verdana"/>
          <w:sz w:val="20"/>
          <w:lang w:val="es-CR"/>
        </w:rPr>
        <w:t>n</w:t>
      </w:r>
      <w:r w:rsidR="00CC102D">
        <w:rPr>
          <w:rFonts w:ascii="Verdana" w:hAnsi="Verdana"/>
          <w:sz w:val="20"/>
          <w:lang w:val="es-CR"/>
        </w:rPr>
        <w:t xml:space="preserve"> a hacer </w:t>
      </w:r>
      <w:r w:rsidR="001D6CB2">
        <w:rPr>
          <w:rFonts w:ascii="Verdana" w:hAnsi="Verdana"/>
          <w:sz w:val="20"/>
          <w:lang w:val="es-CR"/>
        </w:rPr>
        <w:t>los pagos correspondientes</w:t>
      </w:r>
      <w:r w:rsidR="00CC102D">
        <w:rPr>
          <w:rFonts w:ascii="Verdana" w:hAnsi="Verdana"/>
          <w:sz w:val="20"/>
          <w:lang w:val="es-CR"/>
        </w:rPr>
        <w:t xml:space="preserve">, y (ii) remitir los comprobantes de dichos pagos en el momento en que los realice. </w:t>
      </w:r>
    </w:p>
    <w:p w14:paraId="1D38166E" w14:textId="77777777" w:rsidR="00BC0C03" w:rsidRDefault="00BC0C03" w:rsidP="000E24F5">
      <w:pPr>
        <w:spacing w:after="0" w:line="240" w:lineRule="auto"/>
        <w:jc w:val="both"/>
        <w:rPr>
          <w:rFonts w:ascii="Verdana" w:hAnsi="Verdana"/>
          <w:b/>
          <w:sz w:val="20"/>
          <w:lang w:val="es-CR"/>
        </w:rPr>
      </w:pPr>
    </w:p>
    <w:p w14:paraId="31ED17E4" w14:textId="77777777" w:rsidR="0008015D" w:rsidRDefault="0008015D" w:rsidP="000E24F5">
      <w:pPr>
        <w:spacing w:after="0" w:line="240" w:lineRule="auto"/>
        <w:jc w:val="both"/>
        <w:rPr>
          <w:rFonts w:ascii="Verdana" w:hAnsi="Verdana"/>
          <w:b/>
          <w:sz w:val="20"/>
          <w:lang w:val="es-CR"/>
        </w:rPr>
      </w:pPr>
    </w:p>
    <w:p w14:paraId="6FBA4990" w14:textId="77777777" w:rsidR="0008015D" w:rsidRDefault="0008015D" w:rsidP="000E24F5">
      <w:pPr>
        <w:spacing w:after="0" w:line="240" w:lineRule="auto"/>
        <w:jc w:val="both"/>
        <w:rPr>
          <w:rFonts w:ascii="Verdana" w:hAnsi="Verdana"/>
          <w:b/>
          <w:sz w:val="20"/>
          <w:lang w:val="es-CR"/>
        </w:rPr>
      </w:pPr>
    </w:p>
    <w:p w14:paraId="0BC14738"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POR TANTO:</w:t>
      </w:r>
    </w:p>
    <w:p w14:paraId="10D5DDE1" w14:textId="77777777" w:rsidR="000E24F5" w:rsidRDefault="000E24F5" w:rsidP="000E24F5">
      <w:pPr>
        <w:spacing w:after="0" w:line="240" w:lineRule="auto"/>
        <w:jc w:val="both"/>
        <w:rPr>
          <w:rFonts w:ascii="Verdana" w:hAnsi="Verdana"/>
          <w:b/>
          <w:sz w:val="20"/>
          <w:lang w:val="es-CR"/>
        </w:rPr>
      </w:pPr>
    </w:p>
    <w:p w14:paraId="77ADAC7E" w14:textId="289B5B95" w:rsidR="000E24F5" w:rsidRDefault="000E24F5" w:rsidP="000E24F5">
      <w:pPr>
        <w:spacing w:after="0" w:line="240" w:lineRule="auto"/>
        <w:jc w:val="both"/>
        <w:rPr>
          <w:rFonts w:ascii="Verdana" w:hAnsi="Verdana"/>
          <w:sz w:val="20"/>
          <w:lang w:val="es-CR"/>
        </w:rPr>
      </w:pPr>
      <w:r>
        <w:rPr>
          <w:rFonts w:ascii="Verdana" w:hAnsi="Verdana"/>
          <w:sz w:val="20"/>
          <w:lang w:val="es-CR"/>
        </w:rPr>
        <w:t>en el ejercicio de sus atribuciones de supervisión de</w:t>
      </w:r>
      <w:r w:rsidR="00291668">
        <w:rPr>
          <w:rFonts w:ascii="Verdana" w:hAnsi="Verdana"/>
          <w:sz w:val="20"/>
          <w:lang w:val="es-CR"/>
        </w:rPr>
        <w:t>l</w:t>
      </w:r>
      <w:r>
        <w:rPr>
          <w:rFonts w:ascii="Verdana" w:hAnsi="Verdana"/>
          <w:sz w:val="20"/>
          <w:lang w:val="es-CR"/>
        </w:rPr>
        <w:t xml:space="preserve"> cumplimiento de sus decisiones, de conformidad con los artículos 33, 62.1, 62.3, 65 y 67 y 68.1 de la Convención Americana sobre Derechos Humanos, 24, 25 y 30 del Estatuto y 31.2 y 69 de su Reglamento,</w:t>
      </w:r>
    </w:p>
    <w:p w14:paraId="5CBF60F9" w14:textId="77777777" w:rsidR="000E24F5" w:rsidRDefault="000E24F5" w:rsidP="000E24F5">
      <w:pPr>
        <w:spacing w:after="0" w:line="240" w:lineRule="auto"/>
        <w:jc w:val="both"/>
        <w:rPr>
          <w:rFonts w:ascii="Verdana" w:hAnsi="Verdana"/>
          <w:sz w:val="20"/>
          <w:lang w:val="es-CR"/>
        </w:rPr>
      </w:pPr>
    </w:p>
    <w:p w14:paraId="58A4FAF1" w14:textId="77777777" w:rsidR="0008015D" w:rsidRDefault="0008015D" w:rsidP="000E24F5">
      <w:pPr>
        <w:spacing w:after="0" w:line="240" w:lineRule="auto"/>
        <w:jc w:val="both"/>
        <w:rPr>
          <w:rFonts w:ascii="Verdana" w:hAnsi="Verdana"/>
          <w:sz w:val="20"/>
          <w:lang w:val="es-CR"/>
        </w:rPr>
      </w:pPr>
    </w:p>
    <w:p w14:paraId="34F80C65"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RESUELVE:</w:t>
      </w:r>
    </w:p>
    <w:p w14:paraId="2B0053A9" w14:textId="77777777" w:rsidR="000E24F5" w:rsidRDefault="000E24F5" w:rsidP="000E24F5">
      <w:pPr>
        <w:spacing w:after="0" w:line="240" w:lineRule="auto"/>
        <w:jc w:val="both"/>
        <w:rPr>
          <w:rFonts w:ascii="Verdana" w:hAnsi="Verdana"/>
          <w:b/>
          <w:sz w:val="20"/>
          <w:lang w:val="es-CR"/>
        </w:rPr>
      </w:pPr>
    </w:p>
    <w:p w14:paraId="4696537C" w14:textId="34A7DF6C" w:rsidR="000E24F5" w:rsidRDefault="000E24F5"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 xml:space="preserve">Declarar, de conformidad con lo señalado en </w:t>
      </w:r>
      <w:r w:rsidR="00D572B5">
        <w:rPr>
          <w:rFonts w:ascii="Verdana" w:hAnsi="Verdana"/>
          <w:sz w:val="20"/>
          <w:lang w:val="es-CR"/>
        </w:rPr>
        <w:t>los Considerandos</w:t>
      </w:r>
      <w:r w:rsidR="00CF56E4">
        <w:rPr>
          <w:rFonts w:ascii="Verdana" w:hAnsi="Verdana"/>
          <w:sz w:val="20"/>
          <w:lang w:val="es-CR"/>
        </w:rPr>
        <w:t xml:space="preserve"> 11, 14 y 16</w:t>
      </w:r>
      <w:r>
        <w:rPr>
          <w:rFonts w:ascii="Verdana" w:hAnsi="Verdana"/>
          <w:sz w:val="20"/>
          <w:lang w:val="es-CR"/>
        </w:rPr>
        <w:t xml:space="preserve"> de la presente Resolución, que el Estado ha dado cumplimiento total a las siguientes medidas de reparación:</w:t>
      </w:r>
    </w:p>
    <w:p w14:paraId="100D94C4" w14:textId="77777777" w:rsidR="000E24F5" w:rsidRDefault="000E24F5" w:rsidP="000E24F5">
      <w:pPr>
        <w:spacing w:after="0" w:line="240" w:lineRule="auto"/>
        <w:jc w:val="both"/>
        <w:rPr>
          <w:rFonts w:ascii="Verdana" w:hAnsi="Verdana"/>
          <w:sz w:val="20"/>
          <w:lang w:val="es-CR"/>
        </w:rPr>
      </w:pPr>
    </w:p>
    <w:p w14:paraId="7410D913" w14:textId="7F778752" w:rsidR="007B1CBB" w:rsidRPr="007B1CBB" w:rsidRDefault="007B1CBB" w:rsidP="007B1CBB">
      <w:pPr>
        <w:pStyle w:val="ListParagraph"/>
        <w:numPr>
          <w:ilvl w:val="0"/>
          <w:numId w:val="7"/>
        </w:numPr>
        <w:spacing w:after="0" w:line="240" w:lineRule="auto"/>
        <w:jc w:val="both"/>
        <w:rPr>
          <w:rFonts w:ascii="Verdana" w:hAnsi="Verdana"/>
          <w:sz w:val="20"/>
          <w:lang w:val="es-CR"/>
        </w:rPr>
      </w:pPr>
      <w:r>
        <w:rPr>
          <w:rFonts w:ascii="Verdana" w:hAnsi="Verdana"/>
          <w:sz w:val="20"/>
          <w:lang w:val="es-CR"/>
        </w:rPr>
        <w:t xml:space="preserve">realizar las publicaciones </w:t>
      </w:r>
      <w:r w:rsidR="0023789D">
        <w:rPr>
          <w:rFonts w:ascii="Verdana" w:hAnsi="Verdana"/>
          <w:sz w:val="20"/>
          <w:lang w:val="es-CR"/>
        </w:rPr>
        <w:t xml:space="preserve">de la Sentencia y su resumen oficial ordenadas en la misma </w:t>
      </w:r>
      <w:r>
        <w:rPr>
          <w:rFonts w:ascii="Verdana" w:hAnsi="Verdana"/>
          <w:sz w:val="20"/>
          <w:lang w:val="es-CR"/>
        </w:rPr>
        <w:t>(</w:t>
      </w:r>
      <w:r>
        <w:rPr>
          <w:rFonts w:ascii="Verdana" w:hAnsi="Verdana"/>
          <w:i/>
          <w:sz w:val="20"/>
          <w:lang w:val="es-CR"/>
        </w:rPr>
        <w:t>punto resolutivo décimo quinto de la Sentencia</w:t>
      </w:r>
      <w:r w:rsidR="0056306A">
        <w:rPr>
          <w:rFonts w:ascii="Verdana" w:hAnsi="Verdana"/>
          <w:sz w:val="20"/>
          <w:lang w:val="es-CR"/>
        </w:rPr>
        <w:t xml:space="preserve">); </w:t>
      </w:r>
    </w:p>
    <w:p w14:paraId="45649EBF" w14:textId="7FB6F4FB" w:rsidR="000E24F5" w:rsidRPr="0056306A" w:rsidRDefault="007B1CBB" w:rsidP="000E24F5">
      <w:pPr>
        <w:pStyle w:val="ListParagraph"/>
        <w:numPr>
          <w:ilvl w:val="0"/>
          <w:numId w:val="7"/>
        </w:numPr>
        <w:spacing w:after="0" w:line="240" w:lineRule="auto"/>
        <w:jc w:val="both"/>
        <w:rPr>
          <w:rFonts w:ascii="Verdana" w:hAnsi="Verdana"/>
          <w:sz w:val="20"/>
          <w:lang w:val="es-CR"/>
        </w:rPr>
      </w:pPr>
      <w:r>
        <w:rPr>
          <w:rFonts w:ascii="Verdana" w:hAnsi="Verdana"/>
          <w:sz w:val="20"/>
          <w:szCs w:val="20"/>
          <w:lang w:val="es-CR"/>
        </w:rPr>
        <w:t>colocar una placa en un lugar visible con el propósito de despertar la conciencia institucional para evitar la repetición de hechos como los ocurridos en el presente caso</w:t>
      </w:r>
      <w:r w:rsidR="000E24F5">
        <w:rPr>
          <w:rFonts w:ascii="Verdana" w:hAnsi="Verdana"/>
          <w:sz w:val="20"/>
          <w:szCs w:val="20"/>
          <w:lang w:val="es-CR"/>
        </w:rPr>
        <w:t xml:space="preserve"> (</w:t>
      </w:r>
      <w:r w:rsidR="000E24F5">
        <w:rPr>
          <w:rFonts w:ascii="Verdana" w:hAnsi="Verdana"/>
          <w:i/>
          <w:sz w:val="20"/>
          <w:szCs w:val="20"/>
          <w:lang w:val="es-CR"/>
        </w:rPr>
        <w:t xml:space="preserve">punto resolutivo </w:t>
      </w:r>
      <w:r>
        <w:rPr>
          <w:rFonts w:ascii="Verdana" w:hAnsi="Verdana"/>
          <w:i/>
          <w:sz w:val="20"/>
          <w:szCs w:val="20"/>
          <w:lang w:val="es-CR"/>
        </w:rPr>
        <w:t>décimo sexto</w:t>
      </w:r>
      <w:r w:rsidR="000E24F5">
        <w:rPr>
          <w:rFonts w:ascii="Verdana" w:hAnsi="Verdana"/>
          <w:i/>
          <w:sz w:val="20"/>
          <w:szCs w:val="20"/>
          <w:lang w:val="es-CR"/>
        </w:rPr>
        <w:t xml:space="preserve"> de la Sentencia</w:t>
      </w:r>
      <w:r>
        <w:rPr>
          <w:rFonts w:ascii="Verdana" w:hAnsi="Verdana"/>
          <w:sz w:val="20"/>
          <w:szCs w:val="20"/>
          <w:lang w:val="es-CR"/>
        </w:rPr>
        <w:t>)</w:t>
      </w:r>
      <w:r w:rsidR="005A4A37">
        <w:rPr>
          <w:rFonts w:ascii="Verdana" w:hAnsi="Verdana"/>
          <w:sz w:val="20"/>
          <w:szCs w:val="20"/>
          <w:lang w:val="es-CR"/>
        </w:rPr>
        <w:t xml:space="preserve">. De acuerdo a lo que se indica en los Considerandos </w:t>
      </w:r>
      <w:r w:rsidR="00B208BB">
        <w:rPr>
          <w:rFonts w:ascii="Verdana" w:hAnsi="Verdana"/>
          <w:sz w:val="20"/>
          <w:szCs w:val="20"/>
          <w:lang w:val="es-CR"/>
        </w:rPr>
        <w:fldChar w:fldCharType="begin"/>
      </w:r>
      <w:r w:rsidR="00B208BB">
        <w:rPr>
          <w:rFonts w:ascii="Verdana" w:hAnsi="Verdana"/>
          <w:sz w:val="20"/>
          <w:szCs w:val="20"/>
          <w:lang w:val="es-CR"/>
        </w:rPr>
        <w:instrText xml:space="preserve"> REF _Ref504381466 \r \h </w:instrText>
      </w:r>
      <w:r w:rsidR="00B208BB">
        <w:rPr>
          <w:rFonts w:ascii="Verdana" w:hAnsi="Verdana"/>
          <w:sz w:val="20"/>
          <w:szCs w:val="20"/>
          <w:lang w:val="es-CR"/>
        </w:rPr>
      </w:r>
      <w:r w:rsidR="00B208BB">
        <w:rPr>
          <w:rFonts w:ascii="Verdana" w:hAnsi="Verdana"/>
          <w:sz w:val="20"/>
          <w:szCs w:val="20"/>
          <w:lang w:val="es-CR"/>
        </w:rPr>
        <w:fldChar w:fldCharType="separate"/>
      </w:r>
      <w:r w:rsidR="00925686">
        <w:rPr>
          <w:rFonts w:ascii="Verdana" w:hAnsi="Verdana"/>
          <w:sz w:val="20"/>
          <w:szCs w:val="20"/>
          <w:lang w:val="es-CR"/>
        </w:rPr>
        <w:t>13</w:t>
      </w:r>
      <w:r w:rsidR="00B208BB">
        <w:rPr>
          <w:rFonts w:ascii="Verdana" w:hAnsi="Verdana"/>
          <w:sz w:val="20"/>
          <w:szCs w:val="20"/>
          <w:lang w:val="es-CR"/>
        </w:rPr>
        <w:fldChar w:fldCharType="end"/>
      </w:r>
      <w:r w:rsidR="00291668">
        <w:rPr>
          <w:rFonts w:ascii="Verdana" w:hAnsi="Verdana"/>
          <w:sz w:val="20"/>
          <w:szCs w:val="20"/>
          <w:lang w:val="es-CR"/>
        </w:rPr>
        <w:t xml:space="preserve"> y </w:t>
      </w:r>
      <w:r w:rsidR="00B208BB">
        <w:rPr>
          <w:rFonts w:ascii="Verdana" w:hAnsi="Verdana"/>
          <w:sz w:val="20"/>
          <w:szCs w:val="20"/>
          <w:lang w:val="es-CR"/>
        </w:rPr>
        <w:fldChar w:fldCharType="begin"/>
      </w:r>
      <w:r w:rsidR="00B208BB">
        <w:rPr>
          <w:rFonts w:ascii="Verdana" w:hAnsi="Verdana"/>
          <w:sz w:val="20"/>
          <w:szCs w:val="20"/>
          <w:lang w:val="es-CR"/>
        </w:rPr>
        <w:instrText xml:space="preserve"> REF _Ref504381503 \r \h </w:instrText>
      </w:r>
      <w:r w:rsidR="00B208BB">
        <w:rPr>
          <w:rFonts w:ascii="Verdana" w:hAnsi="Verdana"/>
          <w:sz w:val="20"/>
          <w:szCs w:val="20"/>
          <w:lang w:val="es-CR"/>
        </w:rPr>
      </w:r>
      <w:r w:rsidR="00B208BB">
        <w:rPr>
          <w:rFonts w:ascii="Verdana" w:hAnsi="Verdana"/>
          <w:sz w:val="20"/>
          <w:szCs w:val="20"/>
          <w:lang w:val="es-CR"/>
        </w:rPr>
        <w:fldChar w:fldCharType="separate"/>
      </w:r>
      <w:r w:rsidR="00925686">
        <w:rPr>
          <w:rFonts w:ascii="Verdana" w:hAnsi="Verdana"/>
          <w:sz w:val="20"/>
          <w:szCs w:val="20"/>
          <w:lang w:val="es-CR"/>
        </w:rPr>
        <w:t>14</w:t>
      </w:r>
      <w:r w:rsidR="00B208BB">
        <w:rPr>
          <w:rFonts w:ascii="Verdana" w:hAnsi="Verdana"/>
          <w:sz w:val="20"/>
          <w:szCs w:val="20"/>
          <w:lang w:val="es-CR"/>
        </w:rPr>
        <w:fldChar w:fldCharType="end"/>
      </w:r>
      <w:r w:rsidR="005A4A37">
        <w:rPr>
          <w:rFonts w:ascii="Verdana" w:hAnsi="Verdana"/>
          <w:sz w:val="20"/>
          <w:szCs w:val="20"/>
          <w:lang w:val="es-CR"/>
        </w:rPr>
        <w:t xml:space="preserve"> de la presente resolución, las partes acordaron que la placa que la Corte ordenó colocar en la Defensoría P</w:t>
      </w:r>
      <w:r w:rsidR="00CF56E4">
        <w:rPr>
          <w:rFonts w:ascii="Verdana" w:hAnsi="Verdana"/>
          <w:sz w:val="20"/>
          <w:szCs w:val="20"/>
          <w:lang w:val="es-CR"/>
        </w:rPr>
        <w:t>ú</w:t>
      </w:r>
      <w:r w:rsidR="005A4A37">
        <w:rPr>
          <w:rFonts w:ascii="Verdana" w:hAnsi="Verdana"/>
          <w:sz w:val="20"/>
          <w:szCs w:val="20"/>
          <w:lang w:val="es-CR"/>
        </w:rPr>
        <w:t xml:space="preserve">blica fuera colocada en la Procuraduría </w:t>
      </w:r>
      <w:r w:rsidR="001D6CB2">
        <w:rPr>
          <w:rFonts w:ascii="Verdana" w:hAnsi="Verdana"/>
          <w:sz w:val="20"/>
          <w:szCs w:val="20"/>
          <w:lang w:val="es-CR"/>
        </w:rPr>
        <w:t>General de la República</w:t>
      </w:r>
      <w:r w:rsidR="00CF56E4">
        <w:rPr>
          <w:rFonts w:ascii="Verdana" w:hAnsi="Verdana"/>
          <w:sz w:val="20"/>
          <w:szCs w:val="20"/>
          <w:lang w:val="es-CR"/>
        </w:rPr>
        <w:t>,</w:t>
      </w:r>
      <w:r w:rsidR="0056306A">
        <w:rPr>
          <w:rFonts w:ascii="Verdana" w:hAnsi="Verdana"/>
          <w:sz w:val="20"/>
          <w:szCs w:val="20"/>
          <w:lang w:val="es-CR"/>
        </w:rPr>
        <w:t xml:space="preserve"> y</w:t>
      </w:r>
    </w:p>
    <w:p w14:paraId="402ACE24" w14:textId="3BADB093" w:rsidR="0056306A" w:rsidRPr="000E24F5" w:rsidRDefault="005C0934" w:rsidP="000E24F5">
      <w:pPr>
        <w:pStyle w:val="ListParagraph"/>
        <w:numPr>
          <w:ilvl w:val="0"/>
          <w:numId w:val="7"/>
        </w:numPr>
        <w:spacing w:after="0" w:line="240" w:lineRule="auto"/>
        <w:jc w:val="both"/>
        <w:rPr>
          <w:rFonts w:ascii="Verdana" w:hAnsi="Verdana"/>
          <w:sz w:val="20"/>
          <w:lang w:val="es-CR"/>
        </w:rPr>
      </w:pPr>
      <w:r>
        <w:rPr>
          <w:rFonts w:ascii="Verdana" w:hAnsi="Verdana"/>
          <w:sz w:val="20"/>
          <w:szCs w:val="20"/>
          <w:lang w:val="es-CR"/>
        </w:rPr>
        <w:t>r</w:t>
      </w:r>
      <w:r w:rsidR="0056306A">
        <w:rPr>
          <w:rFonts w:ascii="Verdana" w:hAnsi="Verdana"/>
          <w:sz w:val="20"/>
          <w:szCs w:val="20"/>
          <w:lang w:val="es-CR"/>
        </w:rPr>
        <w:t>eintegrar al Fondo de Asistencia Legal de Víctimas de la Corte Interamericana de Derechos Humanos la cantidad erogada durante la tramitación del caso (</w:t>
      </w:r>
      <w:r w:rsidR="0056306A">
        <w:rPr>
          <w:rFonts w:ascii="Verdana" w:hAnsi="Verdana"/>
          <w:i/>
          <w:sz w:val="20"/>
          <w:szCs w:val="20"/>
          <w:lang w:val="es-CR"/>
        </w:rPr>
        <w:t>punto resolutivo vigésimo primero de la Sentencia</w:t>
      </w:r>
      <w:r w:rsidR="0056306A">
        <w:rPr>
          <w:rFonts w:ascii="Verdana" w:hAnsi="Verdana"/>
          <w:sz w:val="20"/>
          <w:szCs w:val="20"/>
          <w:lang w:val="es-CR"/>
        </w:rPr>
        <w:t>).</w:t>
      </w:r>
    </w:p>
    <w:p w14:paraId="5A3F7980" w14:textId="77777777" w:rsidR="0056306A" w:rsidRDefault="0056306A" w:rsidP="0056306A">
      <w:pPr>
        <w:pStyle w:val="ListParagraph"/>
        <w:spacing w:after="0" w:line="240" w:lineRule="auto"/>
        <w:ind w:left="0"/>
        <w:jc w:val="both"/>
        <w:rPr>
          <w:rFonts w:ascii="Verdana" w:hAnsi="Verdana"/>
          <w:sz w:val="20"/>
          <w:lang w:val="es-CR"/>
        </w:rPr>
      </w:pPr>
    </w:p>
    <w:p w14:paraId="502512EB" w14:textId="77777777" w:rsidR="000E24F5" w:rsidRPr="006D684B" w:rsidRDefault="000E24F5"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Mantener abierto el procedimiento de supervisión de cumplimiento respecto de las siguientes medidas de reparación</w:t>
      </w:r>
      <w:r w:rsidRPr="000E24F5">
        <w:rPr>
          <w:rFonts w:ascii="Verdana" w:hAnsi="Verdana"/>
          <w:sz w:val="20"/>
          <w:lang w:val="es-CR"/>
        </w:rPr>
        <w:t>:</w:t>
      </w:r>
    </w:p>
    <w:p w14:paraId="39539F08" w14:textId="77777777" w:rsidR="000E24F5" w:rsidRDefault="000E24F5" w:rsidP="007B1CBB">
      <w:pPr>
        <w:spacing w:after="0" w:line="240" w:lineRule="auto"/>
        <w:jc w:val="both"/>
        <w:rPr>
          <w:rFonts w:ascii="Verdana" w:hAnsi="Verdana"/>
          <w:sz w:val="20"/>
          <w:lang w:val="es-CR"/>
        </w:rPr>
      </w:pPr>
    </w:p>
    <w:p w14:paraId="5808D1B1" w14:textId="77777777"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iniciar y conducir eficazmente, en un plazo razonable, la investigación y proceso penal de los actos violatorios del artículo 5.2 de la Convención cometidos en contra del señor José Agapito Ruano Torres, para determinar las eventuales responsabilidades penales y, en su caso, aplicar efectivamente las sanciones y consecuencias que la ley prevea (</w:t>
      </w:r>
      <w:r w:rsidRPr="007B1CBB">
        <w:rPr>
          <w:rFonts w:ascii="Verdana" w:hAnsi="Verdana"/>
          <w:i/>
          <w:sz w:val="20"/>
          <w:lang w:val="es-CR"/>
        </w:rPr>
        <w:t>punto resolutivo décimo de la Sentencia</w:t>
      </w:r>
      <w:r w:rsidRPr="007B1CBB">
        <w:rPr>
          <w:rFonts w:ascii="Verdana" w:hAnsi="Verdana"/>
          <w:sz w:val="20"/>
          <w:lang w:val="es-CR"/>
        </w:rPr>
        <w:t xml:space="preserve">); </w:t>
      </w:r>
    </w:p>
    <w:p w14:paraId="656160B2" w14:textId="77777777"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determinar, por intermedio de las instituciones públicas competentes, las eventuales responsabilidades de los funcionarios de la defensoría pública que contribuyeron con su actuación a la violación de los derechos en perjuicio de José Agapito Ruano Torres y, en la medida que corresponda, aplicar las consecuencias que la ley prevea (</w:t>
      </w:r>
      <w:r w:rsidRPr="007B1CBB">
        <w:rPr>
          <w:rFonts w:ascii="Verdana" w:hAnsi="Verdana"/>
          <w:i/>
          <w:sz w:val="20"/>
          <w:lang w:val="es-CR"/>
        </w:rPr>
        <w:t>punto resolutivo décimo primero de la Sentencia</w:t>
      </w:r>
      <w:r w:rsidRPr="007B1CBB">
        <w:rPr>
          <w:rFonts w:ascii="Verdana" w:hAnsi="Verdana"/>
          <w:sz w:val="20"/>
          <w:lang w:val="es-CR"/>
        </w:rPr>
        <w:t xml:space="preserve">); </w:t>
      </w:r>
    </w:p>
    <w:p w14:paraId="63C76DFE" w14:textId="7388B7AC"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 xml:space="preserve">adoptar todas las medidas necesarias para hacer efectiva la declaratoria contenida en el párrafo 211 de la </w:t>
      </w:r>
      <w:r w:rsidR="00CF56E4">
        <w:rPr>
          <w:rFonts w:ascii="Verdana" w:hAnsi="Verdana"/>
          <w:sz w:val="20"/>
          <w:lang w:val="es-CR"/>
        </w:rPr>
        <w:t>S</w:t>
      </w:r>
      <w:r w:rsidRPr="007B1CBB">
        <w:rPr>
          <w:rFonts w:ascii="Verdana" w:hAnsi="Verdana"/>
          <w:sz w:val="20"/>
          <w:lang w:val="es-CR"/>
        </w:rPr>
        <w:t>entencia y, por lo tanto, dejar sin efecto todas las consecuencias que</w:t>
      </w:r>
      <w:r w:rsidR="00CF56E4">
        <w:rPr>
          <w:rFonts w:ascii="Verdana" w:hAnsi="Verdana"/>
          <w:sz w:val="20"/>
          <w:lang w:val="es-CR"/>
        </w:rPr>
        <w:t xml:space="preserve"> se derivan</w:t>
      </w:r>
      <w:r w:rsidRPr="007B1CBB">
        <w:rPr>
          <w:rFonts w:ascii="Verdana" w:hAnsi="Verdana"/>
          <w:sz w:val="20"/>
          <w:lang w:val="es-CR"/>
        </w:rPr>
        <w:t xml:space="preserve"> de la sentencia de condena que fue emitida en el </w:t>
      </w:r>
      <w:r w:rsidRPr="007B1CBB">
        <w:rPr>
          <w:rFonts w:ascii="Verdana" w:hAnsi="Verdana"/>
          <w:sz w:val="20"/>
          <w:lang w:val="es-CR"/>
        </w:rPr>
        <w:lastRenderedPageBreak/>
        <w:t>proceso penal No. 77-2001- 2 en contra de José Agapito Ruano Torres, así como los antecedentes judiciales o administrativos, penales o policiales, que existan en su contra a raíz de dicho proceso (</w:t>
      </w:r>
      <w:r w:rsidRPr="007B1CBB">
        <w:rPr>
          <w:rFonts w:ascii="Verdana" w:hAnsi="Verdana"/>
          <w:i/>
          <w:sz w:val="20"/>
          <w:lang w:val="es-CR"/>
        </w:rPr>
        <w:t>punto resolutivo décimo segundo de la Sentencia</w:t>
      </w:r>
      <w:r w:rsidRPr="007B1CBB">
        <w:rPr>
          <w:rFonts w:ascii="Verdana" w:hAnsi="Verdana"/>
          <w:sz w:val="20"/>
          <w:lang w:val="es-CR"/>
        </w:rPr>
        <w:t xml:space="preserve">); </w:t>
      </w:r>
    </w:p>
    <w:p w14:paraId="74D3A79A" w14:textId="77777777"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brindar gratuitamente, a través de sus instituciones de salud especializadas, y de forma inmediata, adecuada y efectiva, el tratamiento psicológico y/o psiquiátrico si así lo solicitan, previo consentimiento informado, incluyendo el suministro gratuito de los medicamentos que eventualmente se requieran (</w:t>
      </w:r>
      <w:r w:rsidRPr="007B1CBB">
        <w:rPr>
          <w:rFonts w:ascii="Verdana" w:hAnsi="Verdana"/>
          <w:i/>
          <w:sz w:val="20"/>
          <w:lang w:val="es-CR"/>
        </w:rPr>
        <w:t>punto resolutivo décimo tercero de la Sentencia</w:t>
      </w:r>
      <w:r w:rsidRPr="007B1CBB">
        <w:rPr>
          <w:rFonts w:ascii="Verdana" w:hAnsi="Verdana"/>
          <w:sz w:val="20"/>
          <w:lang w:val="es-CR"/>
        </w:rPr>
        <w:t xml:space="preserve">); </w:t>
      </w:r>
    </w:p>
    <w:p w14:paraId="76D1A239" w14:textId="77777777" w:rsidR="007B1CBB" w:rsidRDefault="007B1CBB" w:rsidP="007B1CBB">
      <w:pPr>
        <w:pStyle w:val="ListParagraph"/>
        <w:numPr>
          <w:ilvl w:val="0"/>
          <w:numId w:val="8"/>
        </w:numPr>
        <w:spacing w:after="0" w:line="240" w:lineRule="auto"/>
        <w:jc w:val="both"/>
        <w:rPr>
          <w:rFonts w:ascii="Verdana" w:hAnsi="Verdana"/>
          <w:sz w:val="20"/>
          <w:lang w:val="es-CR"/>
        </w:rPr>
      </w:pPr>
      <w:r>
        <w:rPr>
          <w:rFonts w:ascii="Verdana" w:hAnsi="Verdana"/>
          <w:sz w:val="20"/>
          <w:lang w:val="es-CR"/>
        </w:rPr>
        <w:t>o</w:t>
      </w:r>
      <w:r w:rsidRPr="007B1CBB">
        <w:rPr>
          <w:rFonts w:ascii="Verdana" w:hAnsi="Verdana"/>
          <w:sz w:val="20"/>
          <w:lang w:val="es-CR"/>
        </w:rPr>
        <w:t>torgar becas en instituciones públicas salvadoreñas, en beneficio de José Agapito Ruano Torres y sus familiares María Maribel Guevara de Ruano, Oscar Manuel Ruano Guevara, Keily Lisbeth Ruano Guevara y Pedro Torres Hércules, que cubran todos los costos de su educación hasta la conclusión de sus estudios superiores, bien sean técnicos o universitarios (</w:t>
      </w:r>
      <w:r w:rsidRPr="007B1CBB">
        <w:rPr>
          <w:rFonts w:ascii="Verdana" w:hAnsi="Verdana"/>
          <w:i/>
          <w:sz w:val="20"/>
          <w:lang w:val="es-CR"/>
        </w:rPr>
        <w:t>punto resolutivo décimo cuarto de la Sentencia</w:t>
      </w:r>
      <w:r w:rsidRPr="007B1CBB">
        <w:rPr>
          <w:rFonts w:ascii="Verdana" w:hAnsi="Verdana"/>
          <w:sz w:val="20"/>
          <w:lang w:val="es-CR"/>
        </w:rPr>
        <w:t xml:space="preserve">); </w:t>
      </w:r>
    </w:p>
    <w:p w14:paraId="63495878" w14:textId="77777777"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implementar, en un plazo razonable y con la respectiva disposición presupuestaria, programas o cursos obligatorios y permanentes sobre los principios y normas de la protección de los derechos humanos, en particular las normas internacionales establecidas en los principios relativos a la investigación y documentación eficaces de la tortura y otros tratos o penas crueles, inhumanos, o degradantes dirigidos al personal de la Policía Nacional Civil y de la Fiscalía General de la República (</w:t>
      </w:r>
      <w:r w:rsidRPr="007B1CBB">
        <w:rPr>
          <w:rFonts w:ascii="Verdana" w:hAnsi="Verdana"/>
          <w:i/>
          <w:sz w:val="20"/>
          <w:lang w:val="es-CR"/>
        </w:rPr>
        <w:t>punto resolutivo décimo séptimo de la Sentencia</w:t>
      </w:r>
      <w:r w:rsidRPr="007B1CBB">
        <w:rPr>
          <w:rFonts w:ascii="Verdana" w:hAnsi="Verdana"/>
          <w:sz w:val="20"/>
          <w:lang w:val="es-CR"/>
        </w:rPr>
        <w:t xml:space="preserve">); </w:t>
      </w:r>
    </w:p>
    <w:p w14:paraId="0FD3E5DD" w14:textId="77777777"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reforzar, en un plazo razonable, los sistemas de selección de defensores públicos que aseguren la designación de personas que cumplan con los requisitos de idoneidad y capacidad técnica comprobada, así como desarrollar controles a través de protocolos para asegurar la eficacia de la gestión de la defensa pública en materia penal (</w:t>
      </w:r>
      <w:r w:rsidRPr="007B1CBB">
        <w:rPr>
          <w:rFonts w:ascii="Verdana" w:hAnsi="Verdana"/>
          <w:i/>
          <w:sz w:val="20"/>
          <w:lang w:val="es-CR"/>
        </w:rPr>
        <w:t>punto resolutivo décimo octavo de la Sentencia</w:t>
      </w:r>
      <w:r w:rsidRPr="007B1CBB">
        <w:rPr>
          <w:rFonts w:ascii="Verdana" w:hAnsi="Verdana"/>
          <w:sz w:val="20"/>
          <w:lang w:val="es-CR"/>
        </w:rPr>
        <w:t xml:space="preserve">); </w:t>
      </w:r>
    </w:p>
    <w:p w14:paraId="4F2602D6" w14:textId="7F6645AD" w:rsidR="007B1CBB" w:rsidRDefault="007B1CBB" w:rsidP="007B1CBB">
      <w:pPr>
        <w:pStyle w:val="ListParagraph"/>
        <w:numPr>
          <w:ilvl w:val="0"/>
          <w:numId w:val="8"/>
        </w:numPr>
        <w:spacing w:after="0" w:line="240" w:lineRule="auto"/>
        <w:jc w:val="both"/>
        <w:rPr>
          <w:rFonts w:ascii="Verdana" w:hAnsi="Verdana"/>
          <w:sz w:val="20"/>
          <w:lang w:val="es-CR"/>
        </w:rPr>
      </w:pPr>
      <w:r w:rsidRPr="007B1CBB">
        <w:rPr>
          <w:rFonts w:ascii="Verdana" w:hAnsi="Verdana"/>
          <w:sz w:val="20"/>
          <w:lang w:val="es-CR"/>
        </w:rPr>
        <w:t>implementar, en un plazo razonable, si no existieran actualmente o, en su caso, fortalecer los programas de capacitación, como sistema de formación continua, dirigidos a los defensores públicos, lo cual deberá apoyar con las asignaciones presupuestarias adecuadas (</w:t>
      </w:r>
      <w:r w:rsidRPr="007B1CBB">
        <w:rPr>
          <w:rFonts w:ascii="Verdana" w:hAnsi="Verdana"/>
          <w:i/>
          <w:sz w:val="20"/>
          <w:lang w:val="es-CR"/>
        </w:rPr>
        <w:t>punto resolutivo décimo noveno de la Sentencia</w:t>
      </w:r>
      <w:r w:rsidRPr="007B1CBB">
        <w:rPr>
          <w:rFonts w:ascii="Verdana" w:hAnsi="Verdana"/>
          <w:sz w:val="20"/>
          <w:lang w:val="es-CR"/>
        </w:rPr>
        <w:t>)</w:t>
      </w:r>
      <w:r w:rsidR="00CF56E4">
        <w:rPr>
          <w:rFonts w:ascii="Verdana" w:hAnsi="Verdana"/>
          <w:sz w:val="20"/>
          <w:lang w:val="es-CR"/>
        </w:rPr>
        <w:t>,</w:t>
      </w:r>
      <w:r w:rsidRPr="007B1CBB">
        <w:rPr>
          <w:rFonts w:ascii="Verdana" w:hAnsi="Verdana"/>
          <w:sz w:val="20"/>
          <w:lang w:val="es-CR"/>
        </w:rPr>
        <w:t xml:space="preserve"> </w:t>
      </w:r>
      <w:r w:rsidR="00CF56E4">
        <w:rPr>
          <w:rFonts w:ascii="Verdana" w:hAnsi="Verdana"/>
          <w:sz w:val="20"/>
          <w:lang w:val="es-CR"/>
        </w:rPr>
        <w:t>e</w:t>
      </w:r>
    </w:p>
    <w:p w14:paraId="0047A463" w14:textId="0C7066F0" w:rsidR="007B1CBB" w:rsidRDefault="007B1CBB" w:rsidP="007B1CBB">
      <w:pPr>
        <w:pStyle w:val="ListParagraph"/>
        <w:numPr>
          <w:ilvl w:val="0"/>
          <w:numId w:val="8"/>
        </w:numPr>
        <w:spacing w:after="0" w:line="240" w:lineRule="auto"/>
        <w:jc w:val="both"/>
        <w:rPr>
          <w:rFonts w:ascii="Verdana" w:hAnsi="Verdana"/>
          <w:sz w:val="20"/>
          <w:lang w:val="es-CR"/>
        </w:rPr>
      </w:pPr>
      <w:r>
        <w:rPr>
          <w:rFonts w:ascii="Verdana" w:hAnsi="Verdana"/>
          <w:sz w:val="20"/>
          <w:lang w:val="es-CR"/>
        </w:rPr>
        <w:t>p</w:t>
      </w:r>
      <w:r w:rsidRPr="007B1CBB">
        <w:rPr>
          <w:rFonts w:ascii="Verdana" w:hAnsi="Verdana"/>
          <w:sz w:val="20"/>
          <w:lang w:val="es-CR"/>
        </w:rPr>
        <w:t>agar las cantidades fijadas en los párrafos 243, 245 y 251 de la presente sentencia, por concepto de indemnización de los daños materiales e inmateriales (</w:t>
      </w:r>
      <w:r w:rsidRPr="007B1CBB">
        <w:rPr>
          <w:rFonts w:ascii="Verdana" w:hAnsi="Verdana"/>
          <w:i/>
          <w:sz w:val="20"/>
          <w:lang w:val="es-CR"/>
        </w:rPr>
        <w:t>punto resolutivo vigésimo de la Sentencia</w:t>
      </w:r>
      <w:r w:rsidRPr="007B1CBB">
        <w:rPr>
          <w:rFonts w:ascii="Verdana" w:hAnsi="Verdana"/>
          <w:sz w:val="20"/>
          <w:lang w:val="es-CR"/>
        </w:rPr>
        <w:t>)</w:t>
      </w:r>
      <w:r w:rsidR="000E6FBC">
        <w:rPr>
          <w:rFonts w:ascii="Verdana" w:hAnsi="Verdana"/>
          <w:sz w:val="20"/>
          <w:lang w:val="es-CR"/>
        </w:rPr>
        <w:t>.</w:t>
      </w:r>
    </w:p>
    <w:p w14:paraId="577A18DE" w14:textId="77777777" w:rsidR="007B1CBB" w:rsidRDefault="007B1CBB" w:rsidP="007B1CBB">
      <w:pPr>
        <w:spacing w:after="0" w:line="240" w:lineRule="auto"/>
        <w:jc w:val="both"/>
        <w:rPr>
          <w:rFonts w:ascii="Verdana" w:hAnsi="Verdana"/>
          <w:sz w:val="20"/>
          <w:lang w:val="es-CR"/>
        </w:rPr>
      </w:pPr>
    </w:p>
    <w:p w14:paraId="4C3BE377" w14:textId="77777777" w:rsidR="0008015D" w:rsidRPr="007B1CBB" w:rsidRDefault="0008015D" w:rsidP="007B1CBB">
      <w:pPr>
        <w:spacing w:after="0" w:line="240" w:lineRule="auto"/>
        <w:jc w:val="both"/>
        <w:rPr>
          <w:rFonts w:ascii="Verdana" w:hAnsi="Verdana"/>
          <w:sz w:val="20"/>
          <w:lang w:val="es-CR"/>
        </w:rPr>
      </w:pPr>
    </w:p>
    <w:p w14:paraId="0218F19E" w14:textId="7AE884CC" w:rsidR="000E24F5" w:rsidRPr="00FD7552" w:rsidRDefault="000E6FBC"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 xml:space="preserve">Disponer que el Estado de El Salvador presente a la Corte Interamericana de Derechos Humanos, a más tardar el </w:t>
      </w:r>
      <w:r w:rsidR="0094187F">
        <w:rPr>
          <w:rFonts w:ascii="Verdana" w:hAnsi="Verdana"/>
          <w:sz w:val="20"/>
          <w:lang w:val="es-CR"/>
        </w:rPr>
        <w:t>29</w:t>
      </w:r>
      <w:r>
        <w:rPr>
          <w:rFonts w:ascii="Verdana" w:hAnsi="Verdana"/>
          <w:sz w:val="20"/>
          <w:lang w:val="es-CR"/>
        </w:rPr>
        <w:t xml:space="preserve"> de </w:t>
      </w:r>
      <w:r w:rsidR="00246397">
        <w:rPr>
          <w:rFonts w:ascii="Verdana" w:hAnsi="Verdana"/>
          <w:sz w:val="20"/>
          <w:lang w:val="es-CR"/>
        </w:rPr>
        <w:t>junio</w:t>
      </w:r>
      <w:r>
        <w:rPr>
          <w:rFonts w:ascii="Verdana" w:hAnsi="Verdana"/>
          <w:sz w:val="20"/>
          <w:lang w:val="es-CR"/>
        </w:rPr>
        <w:t xml:space="preserve"> de 2018, un informe en el cual haga referencia a todas las reparaciones pendientes de cumplimiento</w:t>
      </w:r>
      <w:r w:rsidR="00CF56E4">
        <w:rPr>
          <w:rFonts w:ascii="Verdana" w:hAnsi="Verdana"/>
          <w:sz w:val="20"/>
          <w:lang w:val="es-CR"/>
        </w:rPr>
        <w:t xml:space="preserve"> indicados en el punto resolutivo anterior</w:t>
      </w:r>
      <w:r>
        <w:rPr>
          <w:rFonts w:ascii="Verdana" w:hAnsi="Verdana"/>
          <w:sz w:val="20"/>
          <w:lang w:val="es-CR"/>
        </w:rPr>
        <w:t xml:space="preserve">, </w:t>
      </w:r>
      <w:r w:rsidR="00CF56E4">
        <w:rPr>
          <w:rFonts w:ascii="Verdana" w:hAnsi="Verdana"/>
          <w:sz w:val="20"/>
          <w:lang w:val="es-CR"/>
        </w:rPr>
        <w:t>tomando en cuenta</w:t>
      </w:r>
      <w:r>
        <w:rPr>
          <w:rFonts w:ascii="Verdana" w:hAnsi="Verdana"/>
          <w:sz w:val="20"/>
          <w:lang w:val="es-CR"/>
        </w:rPr>
        <w:t xml:space="preserve"> lo solicitado en </w:t>
      </w:r>
      <w:r w:rsidR="00246397">
        <w:rPr>
          <w:rFonts w:ascii="Verdana" w:hAnsi="Verdana"/>
          <w:sz w:val="20"/>
          <w:lang w:val="es-CR"/>
        </w:rPr>
        <w:t>los</w:t>
      </w:r>
      <w:r>
        <w:rPr>
          <w:rFonts w:ascii="Verdana" w:hAnsi="Verdana"/>
          <w:sz w:val="20"/>
          <w:lang w:val="es-CR"/>
        </w:rPr>
        <w:t xml:space="preserve"> Considerando</w:t>
      </w:r>
      <w:r w:rsidR="00246397">
        <w:rPr>
          <w:rFonts w:ascii="Verdana" w:hAnsi="Verdana"/>
          <w:sz w:val="20"/>
          <w:lang w:val="es-CR"/>
        </w:rPr>
        <w:t>s 7 y</w:t>
      </w:r>
      <w:r>
        <w:rPr>
          <w:rFonts w:ascii="Verdana" w:hAnsi="Verdana"/>
          <w:sz w:val="20"/>
          <w:lang w:val="es-CR"/>
        </w:rPr>
        <w:t xml:space="preserve"> </w:t>
      </w:r>
      <w:r w:rsidR="00B208BB">
        <w:rPr>
          <w:rFonts w:ascii="Verdana" w:hAnsi="Verdana"/>
          <w:sz w:val="20"/>
          <w:lang w:val="es-CR"/>
        </w:rPr>
        <w:fldChar w:fldCharType="begin"/>
      </w:r>
      <w:r w:rsidR="00B208BB">
        <w:rPr>
          <w:rFonts w:ascii="Verdana" w:hAnsi="Verdana"/>
          <w:sz w:val="20"/>
          <w:lang w:val="es-CR"/>
        </w:rPr>
        <w:instrText xml:space="preserve"> REF _Ref504381542 \r \h </w:instrText>
      </w:r>
      <w:r w:rsidR="00B208BB">
        <w:rPr>
          <w:rFonts w:ascii="Verdana" w:hAnsi="Verdana"/>
          <w:sz w:val="20"/>
          <w:lang w:val="es-CR"/>
        </w:rPr>
      </w:r>
      <w:r w:rsidR="00B208BB">
        <w:rPr>
          <w:rFonts w:ascii="Verdana" w:hAnsi="Verdana"/>
          <w:sz w:val="20"/>
          <w:lang w:val="es-CR"/>
        </w:rPr>
        <w:fldChar w:fldCharType="separate"/>
      </w:r>
      <w:r w:rsidR="00925686">
        <w:rPr>
          <w:rFonts w:ascii="Verdana" w:hAnsi="Verdana"/>
          <w:sz w:val="20"/>
          <w:lang w:val="es-CR"/>
        </w:rPr>
        <w:t>18</w:t>
      </w:r>
      <w:r w:rsidR="00B208BB">
        <w:rPr>
          <w:rFonts w:ascii="Verdana" w:hAnsi="Verdana"/>
          <w:sz w:val="20"/>
          <w:lang w:val="es-CR"/>
        </w:rPr>
        <w:fldChar w:fldCharType="end"/>
      </w:r>
      <w:r>
        <w:rPr>
          <w:rFonts w:ascii="Verdana" w:hAnsi="Verdana"/>
          <w:sz w:val="20"/>
          <w:lang w:val="es-CR"/>
        </w:rPr>
        <w:t xml:space="preserve"> de la presente Resolución. </w:t>
      </w:r>
    </w:p>
    <w:p w14:paraId="11F9EAA8" w14:textId="77777777" w:rsidR="000E24F5" w:rsidRDefault="000E24F5" w:rsidP="000E24F5">
      <w:pPr>
        <w:pStyle w:val="ListParagraph"/>
        <w:spacing w:after="0" w:line="240" w:lineRule="auto"/>
        <w:jc w:val="both"/>
        <w:rPr>
          <w:rFonts w:ascii="Verdana" w:hAnsi="Verdana"/>
          <w:sz w:val="20"/>
          <w:lang w:val="es-CR"/>
        </w:rPr>
      </w:pPr>
    </w:p>
    <w:p w14:paraId="3BABE19C" w14:textId="5751F54D" w:rsidR="000E24F5" w:rsidRDefault="000E24F5"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Requerir al representante de la</w:t>
      </w:r>
      <w:r w:rsidR="0094684F">
        <w:rPr>
          <w:rFonts w:ascii="Verdana" w:hAnsi="Verdana"/>
          <w:sz w:val="20"/>
          <w:lang w:val="es-CR"/>
        </w:rPr>
        <w:t>s</w:t>
      </w:r>
      <w:r>
        <w:rPr>
          <w:rFonts w:ascii="Verdana" w:hAnsi="Verdana"/>
          <w:sz w:val="20"/>
          <w:lang w:val="es-CR"/>
        </w:rPr>
        <w:t xml:space="preserve"> víctima</w:t>
      </w:r>
      <w:r w:rsidR="0094684F">
        <w:rPr>
          <w:rFonts w:ascii="Verdana" w:hAnsi="Verdana"/>
          <w:sz w:val="20"/>
          <w:lang w:val="es-CR"/>
        </w:rPr>
        <w:t>s</w:t>
      </w:r>
      <w:r>
        <w:rPr>
          <w:rFonts w:ascii="Verdana" w:hAnsi="Verdana"/>
          <w:sz w:val="20"/>
          <w:lang w:val="es-CR"/>
        </w:rPr>
        <w:t xml:space="preserve"> y a la Comisión Interamericana de Derechos Humanos que presenten observaciones al informe del Estado mencionado en el punto resolutivo anterior, en los plazos de cuatro y seis semanas, respectivamente, contados a partir de la recepción del informe. </w:t>
      </w:r>
    </w:p>
    <w:p w14:paraId="4BFAFF74" w14:textId="77777777" w:rsidR="000E24F5" w:rsidRPr="00FD7552" w:rsidRDefault="000E24F5" w:rsidP="000E24F5">
      <w:pPr>
        <w:pStyle w:val="ListParagraph"/>
        <w:spacing w:after="0" w:line="240" w:lineRule="auto"/>
        <w:jc w:val="both"/>
        <w:rPr>
          <w:rFonts w:ascii="Verdana" w:hAnsi="Verdana"/>
          <w:sz w:val="20"/>
          <w:lang w:val="es-CR"/>
        </w:rPr>
      </w:pPr>
    </w:p>
    <w:p w14:paraId="7726E08D" w14:textId="4176FA33" w:rsidR="000E24F5" w:rsidRPr="001901D0" w:rsidRDefault="000E24F5"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Requerir a la Secretaría de la Corte que notifique la presente Resolución al Estado, al representante de la</w:t>
      </w:r>
      <w:r w:rsidR="0094684F">
        <w:rPr>
          <w:rFonts w:ascii="Verdana" w:hAnsi="Verdana"/>
          <w:sz w:val="20"/>
          <w:lang w:val="es-CR"/>
        </w:rPr>
        <w:t>s</w:t>
      </w:r>
      <w:r>
        <w:rPr>
          <w:rFonts w:ascii="Verdana" w:hAnsi="Verdana"/>
          <w:sz w:val="20"/>
          <w:lang w:val="es-CR"/>
        </w:rPr>
        <w:t xml:space="preserve"> víctima</w:t>
      </w:r>
      <w:r w:rsidR="0094684F">
        <w:rPr>
          <w:rFonts w:ascii="Verdana" w:hAnsi="Verdana"/>
          <w:sz w:val="20"/>
          <w:lang w:val="es-CR"/>
        </w:rPr>
        <w:t>s</w:t>
      </w:r>
      <w:r>
        <w:rPr>
          <w:rFonts w:ascii="Verdana" w:hAnsi="Verdana"/>
          <w:sz w:val="20"/>
          <w:lang w:val="es-CR"/>
        </w:rPr>
        <w:t xml:space="preserve"> y a la Comisión Interamericana de Derechos Humanos. </w:t>
      </w:r>
    </w:p>
    <w:p w14:paraId="29817224" w14:textId="77777777" w:rsidR="000E24F5" w:rsidRDefault="000E24F5" w:rsidP="000E24F5">
      <w:pPr>
        <w:spacing w:after="0" w:line="240" w:lineRule="auto"/>
        <w:jc w:val="both"/>
        <w:rPr>
          <w:rFonts w:ascii="Verdana" w:hAnsi="Verdana"/>
          <w:sz w:val="20"/>
          <w:szCs w:val="20"/>
          <w:lang w:val="es-CR"/>
        </w:rPr>
      </w:pPr>
    </w:p>
    <w:p w14:paraId="7396B086" w14:textId="77777777" w:rsidR="00925686" w:rsidRDefault="00925686" w:rsidP="000E24F5">
      <w:pPr>
        <w:spacing w:after="0" w:line="240" w:lineRule="auto"/>
        <w:jc w:val="both"/>
        <w:rPr>
          <w:rFonts w:ascii="Verdana" w:hAnsi="Verdana"/>
          <w:sz w:val="20"/>
          <w:szCs w:val="20"/>
          <w:lang w:val="es-CR"/>
        </w:rPr>
      </w:pPr>
    </w:p>
    <w:p w14:paraId="76FEF059" w14:textId="77777777" w:rsidR="00925686" w:rsidRDefault="00925686" w:rsidP="000E24F5">
      <w:pPr>
        <w:spacing w:after="0" w:line="240" w:lineRule="auto"/>
        <w:jc w:val="both"/>
        <w:rPr>
          <w:rFonts w:ascii="Verdana" w:hAnsi="Verdana"/>
          <w:sz w:val="20"/>
          <w:szCs w:val="20"/>
          <w:lang w:val="es-CR"/>
        </w:rPr>
      </w:pPr>
    </w:p>
    <w:p w14:paraId="2D578749" w14:textId="77777777" w:rsidR="00925686" w:rsidRDefault="00925686" w:rsidP="000E24F5">
      <w:pPr>
        <w:spacing w:after="0" w:line="240" w:lineRule="auto"/>
        <w:jc w:val="both"/>
        <w:rPr>
          <w:rFonts w:ascii="Verdana" w:hAnsi="Verdana"/>
          <w:sz w:val="20"/>
          <w:szCs w:val="20"/>
          <w:lang w:val="es-CR"/>
        </w:rPr>
      </w:pPr>
    </w:p>
    <w:p w14:paraId="11EDC63A" w14:textId="77777777" w:rsidR="00925686" w:rsidRDefault="00925686" w:rsidP="000E24F5">
      <w:pPr>
        <w:spacing w:after="0" w:line="240" w:lineRule="auto"/>
        <w:jc w:val="both"/>
        <w:rPr>
          <w:rFonts w:ascii="Verdana" w:hAnsi="Verdana"/>
          <w:sz w:val="20"/>
          <w:szCs w:val="20"/>
          <w:lang w:val="es-CR"/>
        </w:rPr>
      </w:pPr>
    </w:p>
    <w:p w14:paraId="69DA5637" w14:textId="77777777" w:rsidR="00925686" w:rsidRDefault="00925686" w:rsidP="000E24F5">
      <w:pPr>
        <w:spacing w:after="0" w:line="240" w:lineRule="auto"/>
        <w:jc w:val="both"/>
        <w:rPr>
          <w:rFonts w:ascii="Verdana" w:hAnsi="Verdana"/>
          <w:sz w:val="20"/>
          <w:szCs w:val="20"/>
          <w:lang w:val="es-CR"/>
        </w:rPr>
      </w:pPr>
    </w:p>
    <w:p w14:paraId="0B0BD819" w14:textId="77777777" w:rsidR="00925686" w:rsidRPr="008F69D4" w:rsidRDefault="00925686" w:rsidP="00925686">
      <w:pPr>
        <w:keepNext/>
        <w:jc w:val="both"/>
        <w:outlineLvl w:val="0"/>
        <w:rPr>
          <w:rFonts w:ascii="Verdana" w:hAnsi="Verdana" w:cs="Verdana"/>
          <w:b/>
          <w:bCs/>
          <w:sz w:val="20"/>
          <w:lang w:val="es-ES"/>
        </w:rPr>
      </w:pPr>
      <w:r w:rsidRPr="008F69D4">
        <w:rPr>
          <w:rFonts w:ascii="Verdana" w:hAnsi="Verdana" w:cs="Courier New"/>
          <w:noProof/>
          <w:sz w:val="20"/>
          <w:lang w:val="es-AR"/>
        </w:rPr>
        <w:lastRenderedPageBreak/>
        <w:t xml:space="preserve">Corte IDH. </w:t>
      </w:r>
      <w:r w:rsidRPr="008F69D4">
        <w:rPr>
          <w:rFonts w:ascii="Verdana" w:hAnsi="Verdana"/>
          <w:bCs/>
          <w:i/>
          <w:sz w:val="20"/>
          <w:lang w:val="es-CR"/>
        </w:rPr>
        <w:t xml:space="preserve">Caso </w:t>
      </w:r>
      <w:r>
        <w:rPr>
          <w:rFonts w:ascii="Verdana" w:hAnsi="Verdana"/>
          <w:bCs/>
          <w:i/>
          <w:sz w:val="20"/>
          <w:lang w:val="es-CR"/>
        </w:rPr>
        <w:t>Ruano Torres y otros</w:t>
      </w:r>
      <w:r w:rsidRPr="008F69D4">
        <w:rPr>
          <w:rFonts w:ascii="Verdana" w:hAnsi="Verdana"/>
          <w:bCs/>
          <w:i/>
          <w:sz w:val="20"/>
          <w:lang w:val="es-CR"/>
        </w:rPr>
        <w:t xml:space="preserve"> Vs. </w:t>
      </w:r>
      <w:r>
        <w:rPr>
          <w:rFonts w:ascii="Verdana" w:hAnsi="Verdana"/>
          <w:bCs/>
          <w:i/>
          <w:sz w:val="20"/>
          <w:lang w:val="es-CR"/>
        </w:rPr>
        <w:t>El Salvador</w:t>
      </w:r>
      <w:r w:rsidRPr="008F69D4">
        <w:rPr>
          <w:rFonts w:ascii="Verdana" w:hAnsi="Verdana"/>
          <w:i/>
          <w:sz w:val="20"/>
          <w:lang w:val="es-ES"/>
        </w:rPr>
        <w:t>.</w:t>
      </w:r>
      <w:r w:rsidRPr="008F69D4">
        <w:rPr>
          <w:rFonts w:ascii="Verdana" w:hAnsi="Verdana" w:cs="Arial"/>
          <w:i/>
          <w:sz w:val="20"/>
          <w:lang w:val="es-CR"/>
        </w:rPr>
        <w:t xml:space="preserve"> </w:t>
      </w:r>
      <w:r w:rsidRPr="008F69D4">
        <w:rPr>
          <w:rFonts w:ascii="Verdana" w:hAnsi="Verdana"/>
          <w:sz w:val="20"/>
          <w:lang w:val="es-CR"/>
        </w:rPr>
        <w:t xml:space="preserve">Supervisión de cumplimiento de sentencia. </w:t>
      </w:r>
      <w:r w:rsidRPr="008F69D4">
        <w:rPr>
          <w:rFonts w:ascii="Verdana" w:hAnsi="Verdana"/>
          <w:sz w:val="20"/>
          <w:lang w:val="es-ES"/>
        </w:rPr>
        <w:t xml:space="preserve">Resolución de la Corte Interamericana de Derechos Humanos de </w:t>
      </w:r>
      <w:r w:rsidRPr="00DE312D">
        <w:rPr>
          <w:rFonts w:ascii="Verdana" w:hAnsi="Verdana"/>
          <w:sz w:val="20"/>
          <w:lang w:val="es-CR"/>
        </w:rPr>
        <w:t>5</w:t>
      </w:r>
      <w:r w:rsidRPr="008F69D4">
        <w:rPr>
          <w:rFonts w:ascii="Verdana" w:hAnsi="Verdana"/>
          <w:sz w:val="20"/>
          <w:lang w:val="es-CR"/>
        </w:rPr>
        <w:t xml:space="preserve"> de </w:t>
      </w:r>
      <w:r>
        <w:rPr>
          <w:rFonts w:ascii="Verdana" w:hAnsi="Verdana"/>
          <w:sz w:val="20"/>
          <w:lang w:val="es-CR"/>
        </w:rPr>
        <w:t>febrero de 2018</w:t>
      </w:r>
      <w:r w:rsidRPr="008F69D4">
        <w:rPr>
          <w:rFonts w:ascii="Verdana" w:hAnsi="Verdana"/>
          <w:sz w:val="20"/>
          <w:lang w:val="es-ES"/>
        </w:rPr>
        <w:t xml:space="preserve">. </w:t>
      </w:r>
    </w:p>
    <w:p w14:paraId="606DF20D" w14:textId="77777777" w:rsidR="00925686" w:rsidRDefault="00925686" w:rsidP="00925686">
      <w:pPr>
        <w:jc w:val="center"/>
        <w:rPr>
          <w:rFonts w:ascii="Verdana" w:hAnsi="Verdana"/>
          <w:sz w:val="20"/>
          <w:lang w:val="es-ES"/>
        </w:rPr>
      </w:pPr>
    </w:p>
    <w:p w14:paraId="74EBB4B0" w14:textId="77777777" w:rsidR="00925686" w:rsidRDefault="00925686" w:rsidP="00925686">
      <w:pPr>
        <w:spacing w:after="0" w:line="240" w:lineRule="auto"/>
        <w:jc w:val="center"/>
        <w:rPr>
          <w:rFonts w:ascii="Verdana" w:hAnsi="Verdana"/>
          <w:sz w:val="20"/>
          <w:lang w:val="es-ES"/>
        </w:rPr>
      </w:pPr>
    </w:p>
    <w:p w14:paraId="2BA75737" w14:textId="77777777" w:rsidR="00925686" w:rsidRPr="00EA2C27" w:rsidRDefault="00925686" w:rsidP="00925686">
      <w:pPr>
        <w:spacing w:after="0" w:line="240" w:lineRule="auto"/>
        <w:rPr>
          <w:rFonts w:ascii="Verdana" w:hAnsi="Verdana"/>
          <w:sz w:val="20"/>
          <w:lang w:val="es-MX"/>
        </w:rPr>
      </w:pPr>
    </w:p>
    <w:p w14:paraId="4DC9ABED" w14:textId="77777777" w:rsidR="00925686" w:rsidRPr="004B7A1D" w:rsidRDefault="00925686" w:rsidP="00925686">
      <w:pPr>
        <w:spacing w:after="0" w:line="240" w:lineRule="auto"/>
        <w:jc w:val="center"/>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p>
    <w:p w14:paraId="4CD57FDC" w14:textId="77777777" w:rsidR="00925686" w:rsidRPr="004B7A1D" w:rsidRDefault="00925686" w:rsidP="00925686">
      <w:pPr>
        <w:spacing w:after="0" w:line="240" w:lineRule="auto"/>
        <w:jc w:val="center"/>
        <w:rPr>
          <w:rFonts w:ascii="Verdana" w:hAnsi="Verdana"/>
          <w:sz w:val="20"/>
          <w:lang w:val="es-ES"/>
        </w:rPr>
      </w:pPr>
      <w:r w:rsidRPr="004B7A1D">
        <w:rPr>
          <w:rFonts w:ascii="Verdana" w:hAnsi="Verdana"/>
          <w:sz w:val="20"/>
          <w:lang w:val="es-ES"/>
        </w:rPr>
        <w:t xml:space="preserve">Presidente </w:t>
      </w:r>
    </w:p>
    <w:p w14:paraId="3596EFD1" w14:textId="77777777" w:rsidR="00925686" w:rsidRPr="004B7A1D" w:rsidRDefault="00925686" w:rsidP="00925686">
      <w:pPr>
        <w:spacing w:after="0" w:line="240" w:lineRule="auto"/>
        <w:jc w:val="both"/>
        <w:rPr>
          <w:rFonts w:ascii="Verdana" w:hAnsi="Verdana"/>
          <w:sz w:val="20"/>
          <w:lang w:val="es-ES"/>
        </w:rPr>
      </w:pPr>
    </w:p>
    <w:p w14:paraId="7A7AF70B" w14:textId="3FB37768" w:rsidR="00925686" w:rsidRPr="004B7A1D" w:rsidRDefault="00925686" w:rsidP="00925686">
      <w:pPr>
        <w:tabs>
          <w:tab w:val="left" w:pos="1485"/>
        </w:tabs>
        <w:spacing w:after="0" w:line="240" w:lineRule="auto"/>
        <w:jc w:val="both"/>
        <w:rPr>
          <w:rFonts w:ascii="Verdana" w:hAnsi="Verdana"/>
          <w:sz w:val="20"/>
          <w:lang w:val="es-ES"/>
        </w:rPr>
      </w:pPr>
    </w:p>
    <w:p w14:paraId="5A646432" w14:textId="77777777" w:rsidR="00925686" w:rsidRPr="004B7A1D" w:rsidRDefault="00925686" w:rsidP="00925686">
      <w:pPr>
        <w:spacing w:after="0" w:line="240" w:lineRule="auto"/>
        <w:jc w:val="both"/>
        <w:rPr>
          <w:rFonts w:ascii="Verdana" w:hAnsi="Verdana"/>
          <w:sz w:val="20"/>
          <w:lang w:val="es-ES"/>
        </w:rPr>
      </w:pPr>
    </w:p>
    <w:p w14:paraId="5864AE1A" w14:textId="77777777" w:rsidR="00925686" w:rsidRDefault="00925686" w:rsidP="00925686">
      <w:pPr>
        <w:spacing w:after="0" w:line="240" w:lineRule="auto"/>
        <w:jc w:val="both"/>
        <w:rPr>
          <w:rFonts w:ascii="Verdana" w:hAnsi="Verdana"/>
          <w:sz w:val="20"/>
          <w:lang w:val="es-ES"/>
        </w:rPr>
      </w:pPr>
    </w:p>
    <w:p w14:paraId="2977F06A" w14:textId="77777777" w:rsidR="00925686" w:rsidRPr="004B7A1D" w:rsidRDefault="00925686" w:rsidP="00925686">
      <w:pPr>
        <w:spacing w:after="0" w:line="240" w:lineRule="auto"/>
        <w:jc w:val="both"/>
        <w:rPr>
          <w:rFonts w:ascii="Verdana" w:hAnsi="Verdana"/>
          <w:sz w:val="20"/>
          <w:lang w:val="es-ES"/>
        </w:rPr>
      </w:pPr>
    </w:p>
    <w:p w14:paraId="794EEB98" w14:textId="77777777" w:rsidR="00925686" w:rsidRPr="004B7A1D" w:rsidRDefault="00925686" w:rsidP="00925686">
      <w:pPr>
        <w:spacing w:after="0" w:line="240" w:lineRule="auto"/>
        <w:jc w:val="both"/>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Humberto Antonio Sierra Porto</w:t>
      </w:r>
      <w:r>
        <w:rPr>
          <w:rFonts w:ascii="Verdana" w:hAnsi="Verdana"/>
          <w:sz w:val="20"/>
          <w:lang w:val="es-ES"/>
        </w:rPr>
        <w:tab/>
      </w:r>
    </w:p>
    <w:p w14:paraId="63B1254C" w14:textId="77777777" w:rsidR="00925686" w:rsidRPr="004B7A1D" w:rsidRDefault="00925686" w:rsidP="00925686">
      <w:pPr>
        <w:spacing w:after="0" w:line="240" w:lineRule="auto"/>
        <w:jc w:val="both"/>
        <w:rPr>
          <w:rFonts w:ascii="Verdana" w:hAnsi="Verdana"/>
          <w:sz w:val="20"/>
          <w:lang w:val="es-ES"/>
        </w:rPr>
      </w:pPr>
    </w:p>
    <w:p w14:paraId="1DF0B0D9" w14:textId="77777777" w:rsidR="00925686" w:rsidRPr="004B7A1D" w:rsidRDefault="00925686" w:rsidP="00925686">
      <w:pPr>
        <w:spacing w:after="0" w:line="240" w:lineRule="auto"/>
        <w:jc w:val="both"/>
        <w:rPr>
          <w:rFonts w:ascii="Verdana" w:hAnsi="Verdana"/>
          <w:sz w:val="20"/>
          <w:lang w:val="es-ES"/>
        </w:rPr>
      </w:pPr>
    </w:p>
    <w:p w14:paraId="35BD3F50" w14:textId="77777777" w:rsidR="00925686" w:rsidRPr="004B7A1D" w:rsidRDefault="00925686" w:rsidP="00925686">
      <w:pPr>
        <w:spacing w:after="0" w:line="240" w:lineRule="auto"/>
        <w:jc w:val="both"/>
        <w:rPr>
          <w:rFonts w:ascii="Verdana" w:hAnsi="Verdana"/>
          <w:sz w:val="20"/>
          <w:lang w:val="es-ES"/>
        </w:rPr>
      </w:pPr>
    </w:p>
    <w:p w14:paraId="3832A8AB" w14:textId="77777777" w:rsidR="00925686" w:rsidRPr="004B7A1D" w:rsidRDefault="00925686" w:rsidP="00925686">
      <w:pPr>
        <w:spacing w:after="0" w:line="240" w:lineRule="auto"/>
        <w:jc w:val="both"/>
        <w:rPr>
          <w:rFonts w:ascii="Verdana" w:hAnsi="Verdana"/>
          <w:sz w:val="20"/>
          <w:lang w:val="es-ES"/>
        </w:rPr>
      </w:pPr>
    </w:p>
    <w:p w14:paraId="0A7D8257" w14:textId="77777777" w:rsidR="00925686" w:rsidRDefault="00925686" w:rsidP="00925686">
      <w:pPr>
        <w:spacing w:after="0" w:line="240" w:lineRule="auto"/>
        <w:jc w:val="both"/>
        <w:rPr>
          <w:rFonts w:ascii="Verdana" w:hAnsi="Verdana"/>
          <w:sz w:val="20"/>
          <w:lang w:val="es-ES"/>
        </w:rPr>
      </w:pPr>
      <w:r>
        <w:rPr>
          <w:rFonts w:ascii="Verdana" w:hAnsi="Verdana"/>
          <w:sz w:val="20"/>
          <w:lang w:val="es-ES"/>
        </w:rPr>
        <w:t>Elizabeth Odio Benito</w:t>
      </w:r>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Eugenio Raúl Zaffaroni</w:t>
      </w:r>
      <w:r w:rsidRPr="004B7A1D">
        <w:rPr>
          <w:rFonts w:ascii="Verdana" w:hAnsi="Verdana"/>
          <w:sz w:val="20"/>
          <w:lang w:val="es-ES"/>
        </w:rPr>
        <w:t xml:space="preserve"> </w:t>
      </w:r>
    </w:p>
    <w:p w14:paraId="0BFDEB65" w14:textId="77777777" w:rsidR="00925686" w:rsidRDefault="00925686" w:rsidP="00925686">
      <w:pPr>
        <w:spacing w:after="0" w:line="240" w:lineRule="auto"/>
        <w:jc w:val="both"/>
        <w:rPr>
          <w:rFonts w:ascii="Verdana" w:hAnsi="Verdana"/>
          <w:sz w:val="20"/>
          <w:lang w:val="es-ES"/>
        </w:rPr>
      </w:pPr>
    </w:p>
    <w:p w14:paraId="273C467A" w14:textId="77777777" w:rsidR="00925686" w:rsidRDefault="00925686" w:rsidP="00925686">
      <w:pPr>
        <w:spacing w:after="0" w:line="240" w:lineRule="auto"/>
        <w:jc w:val="both"/>
        <w:rPr>
          <w:rFonts w:ascii="Verdana" w:hAnsi="Verdana"/>
          <w:sz w:val="20"/>
          <w:lang w:val="es-ES"/>
        </w:rPr>
      </w:pPr>
    </w:p>
    <w:p w14:paraId="1AF99762" w14:textId="77777777" w:rsidR="00925686" w:rsidRDefault="00925686" w:rsidP="00925686">
      <w:pPr>
        <w:spacing w:after="0" w:line="240" w:lineRule="auto"/>
        <w:jc w:val="both"/>
        <w:rPr>
          <w:rFonts w:ascii="Verdana" w:hAnsi="Verdana"/>
          <w:sz w:val="20"/>
          <w:lang w:val="es-ES"/>
        </w:rPr>
      </w:pPr>
    </w:p>
    <w:p w14:paraId="74313C47" w14:textId="77777777" w:rsidR="00925686" w:rsidRDefault="00925686" w:rsidP="00925686">
      <w:pPr>
        <w:spacing w:after="0" w:line="240" w:lineRule="auto"/>
        <w:jc w:val="both"/>
        <w:rPr>
          <w:rFonts w:ascii="Verdana" w:hAnsi="Verdana"/>
          <w:sz w:val="20"/>
          <w:lang w:val="es-ES"/>
        </w:rPr>
      </w:pPr>
    </w:p>
    <w:p w14:paraId="1FE25A0B" w14:textId="77777777" w:rsidR="00925686" w:rsidRPr="004B7A1D" w:rsidRDefault="00925686" w:rsidP="00925686">
      <w:pPr>
        <w:spacing w:after="0" w:line="240" w:lineRule="auto"/>
        <w:jc w:val="center"/>
        <w:rPr>
          <w:rFonts w:ascii="Verdana" w:hAnsi="Verdana"/>
          <w:sz w:val="20"/>
          <w:lang w:val="es-ES"/>
        </w:rPr>
      </w:pPr>
      <w:r>
        <w:rPr>
          <w:rFonts w:ascii="Verdana" w:hAnsi="Verdana"/>
          <w:sz w:val="20"/>
          <w:lang w:val="es-ES"/>
        </w:rPr>
        <w:t>L. Patricio Pazmiño Freire</w:t>
      </w:r>
    </w:p>
    <w:p w14:paraId="49A52133" w14:textId="77777777" w:rsidR="00925686" w:rsidRPr="004B7A1D" w:rsidRDefault="00925686" w:rsidP="00925686">
      <w:pPr>
        <w:spacing w:after="0" w:line="240" w:lineRule="auto"/>
        <w:jc w:val="both"/>
        <w:rPr>
          <w:rFonts w:ascii="Verdana" w:hAnsi="Verdana"/>
          <w:sz w:val="20"/>
          <w:lang w:val="es-ES"/>
        </w:rPr>
      </w:pPr>
    </w:p>
    <w:p w14:paraId="5EF78D1F" w14:textId="77777777" w:rsidR="00925686" w:rsidRPr="004B7A1D" w:rsidRDefault="00925686" w:rsidP="00925686">
      <w:pPr>
        <w:spacing w:after="0" w:line="240" w:lineRule="auto"/>
        <w:jc w:val="both"/>
        <w:rPr>
          <w:rFonts w:ascii="Verdana" w:hAnsi="Verdana"/>
          <w:sz w:val="20"/>
          <w:lang w:val="es-ES"/>
        </w:rPr>
      </w:pPr>
    </w:p>
    <w:p w14:paraId="59EDD82B" w14:textId="77777777" w:rsidR="00925686" w:rsidRPr="004B7A1D" w:rsidRDefault="00925686" w:rsidP="00925686">
      <w:pPr>
        <w:spacing w:after="0" w:line="240" w:lineRule="auto"/>
        <w:jc w:val="both"/>
        <w:rPr>
          <w:rFonts w:ascii="Verdana" w:hAnsi="Verdana"/>
          <w:sz w:val="20"/>
          <w:lang w:val="es-ES"/>
        </w:rPr>
      </w:pPr>
    </w:p>
    <w:p w14:paraId="148AD7C5" w14:textId="77777777" w:rsidR="00925686" w:rsidRPr="004B7A1D" w:rsidRDefault="00925686" w:rsidP="00925686">
      <w:pPr>
        <w:spacing w:after="0" w:line="240" w:lineRule="auto"/>
        <w:jc w:val="both"/>
        <w:rPr>
          <w:rFonts w:ascii="Verdana" w:hAnsi="Verdana"/>
          <w:sz w:val="20"/>
          <w:lang w:val="es-CR"/>
        </w:rPr>
      </w:pPr>
    </w:p>
    <w:p w14:paraId="2D84547E" w14:textId="77777777" w:rsidR="00925686" w:rsidRPr="004B7A1D" w:rsidRDefault="00925686" w:rsidP="00925686">
      <w:pPr>
        <w:spacing w:after="0" w:line="240" w:lineRule="auto"/>
        <w:jc w:val="both"/>
        <w:rPr>
          <w:rFonts w:ascii="Verdana" w:hAnsi="Verdana"/>
          <w:sz w:val="20"/>
          <w:lang w:val="es-ES"/>
        </w:rPr>
      </w:pPr>
    </w:p>
    <w:p w14:paraId="48AA3AE4" w14:textId="77777777" w:rsidR="00925686" w:rsidRPr="004B7A1D" w:rsidRDefault="00925686" w:rsidP="00925686">
      <w:pPr>
        <w:spacing w:after="0" w:line="240" w:lineRule="auto"/>
        <w:jc w:val="center"/>
        <w:rPr>
          <w:rFonts w:ascii="Verdana" w:hAnsi="Verdana"/>
          <w:sz w:val="20"/>
          <w:lang w:val="es-ES"/>
        </w:rPr>
      </w:pPr>
      <w:r w:rsidRPr="004B7A1D">
        <w:rPr>
          <w:rFonts w:ascii="Verdana" w:hAnsi="Verdana"/>
          <w:sz w:val="20"/>
          <w:lang w:val="es-ES"/>
        </w:rPr>
        <w:t>Pablo Saavedra Alessandri</w:t>
      </w:r>
    </w:p>
    <w:p w14:paraId="45A223DB" w14:textId="77777777" w:rsidR="00925686" w:rsidRPr="004B7A1D" w:rsidRDefault="00925686" w:rsidP="00925686">
      <w:pPr>
        <w:spacing w:after="0" w:line="240" w:lineRule="auto"/>
        <w:jc w:val="center"/>
        <w:rPr>
          <w:rFonts w:ascii="Verdana" w:hAnsi="Verdana"/>
          <w:sz w:val="20"/>
          <w:lang w:val="es-ES"/>
        </w:rPr>
      </w:pPr>
      <w:r w:rsidRPr="004B7A1D">
        <w:rPr>
          <w:rFonts w:ascii="Verdana" w:hAnsi="Verdana"/>
          <w:sz w:val="20"/>
          <w:lang w:val="es-ES"/>
        </w:rPr>
        <w:t>Secretario</w:t>
      </w:r>
    </w:p>
    <w:p w14:paraId="78465907" w14:textId="77777777" w:rsidR="00925686" w:rsidRPr="004B7A1D" w:rsidRDefault="00925686" w:rsidP="00925686">
      <w:pPr>
        <w:spacing w:after="0" w:line="240" w:lineRule="auto"/>
        <w:rPr>
          <w:rFonts w:ascii="Verdana" w:hAnsi="Verdana"/>
          <w:sz w:val="20"/>
          <w:lang w:val="es-ES"/>
        </w:rPr>
      </w:pPr>
    </w:p>
    <w:p w14:paraId="3DD264E5" w14:textId="77777777" w:rsidR="00925686" w:rsidRPr="004B7A1D" w:rsidRDefault="00925686" w:rsidP="00925686">
      <w:pPr>
        <w:pStyle w:val="FootnoteText"/>
        <w:rPr>
          <w:rFonts w:ascii="Verdana" w:hAnsi="Verdana"/>
          <w:lang w:val="es-ES"/>
        </w:rPr>
      </w:pPr>
    </w:p>
    <w:p w14:paraId="4B7568B4" w14:textId="77777777" w:rsidR="00925686" w:rsidRPr="004B7A1D" w:rsidRDefault="00925686" w:rsidP="00925686">
      <w:pPr>
        <w:pStyle w:val="FootnoteText"/>
        <w:rPr>
          <w:rFonts w:ascii="Verdana" w:hAnsi="Verdana"/>
          <w:lang w:val="es-ES"/>
        </w:rPr>
      </w:pPr>
    </w:p>
    <w:p w14:paraId="723E8E1D" w14:textId="77777777" w:rsidR="00925686" w:rsidRPr="004B7A1D" w:rsidRDefault="00925686" w:rsidP="00925686">
      <w:pPr>
        <w:spacing w:after="0" w:line="240" w:lineRule="auto"/>
        <w:jc w:val="both"/>
        <w:rPr>
          <w:rFonts w:ascii="Verdana" w:hAnsi="Verdana"/>
          <w:sz w:val="20"/>
          <w:lang w:val="es-ES"/>
        </w:rPr>
      </w:pPr>
      <w:r w:rsidRPr="004B7A1D">
        <w:rPr>
          <w:rFonts w:ascii="Verdana" w:hAnsi="Verdana"/>
          <w:sz w:val="20"/>
          <w:lang w:val="es-ES"/>
        </w:rPr>
        <w:t>Comuníquese y ejecútese,</w:t>
      </w:r>
    </w:p>
    <w:p w14:paraId="64DEEEBC" w14:textId="77777777" w:rsidR="00925686" w:rsidRPr="004B7A1D" w:rsidRDefault="00925686" w:rsidP="00925686">
      <w:pPr>
        <w:spacing w:after="0" w:line="240" w:lineRule="auto"/>
        <w:jc w:val="both"/>
        <w:rPr>
          <w:rFonts w:ascii="Verdana" w:hAnsi="Verdana"/>
          <w:sz w:val="20"/>
          <w:lang w:val="es-ES"/>
        </w:rPr>
      </w:pPr>
    </w:p>
    <w:p w14:paraId="57799A68" w14:textId="77777777" w:rsidR="00925686" w:rsidRPr="004B7A1D" w:rsidRDefault="00925686" w:rsidP="00925686">
      <w:pPr>
        <w:spacing w:after="0" w:line="240" w:lineRule="auto"/>
        <w:jc w:val="both"/>
        <w:rPr>
          <w:rFonts w:ascii="Verdana" w:hAnsi="Verdana"/>
          <w:sz w:val="20"/>
          <w:lang w:val="es-ES"/>
        </w:rPr>
      </w:pPr>
    </w:p>
    <w:p w14:paraId="6F256823" w14:textId="77777777" w:rsidR="00925686" w:rsidRDefault="00925686" w:rsidP="00925686">
      <w:pPr>
        <w:spacing w:after="0" w:line="240" w:lineRule="auto"/>
        <w:jc w:val="both"/>
        <w:rPr>
          <w:rFonts w:ascii="Verdana" w:hAnsi="Verdana"/>
          <w:sz w:val="20"/>
          <w:lang w:val="es-ES"/>
        </w:rPr>
      </w:pPr>
    </w:p>
    <w:p w14:paraId="0918F730" w14:textId="77777777" w:rsidR="00925686" w:rsidRPr="004B7A1D" w:rsidRDefault="00925686" w:rsidP="00925686">
      <w:pPr>
        <w:spacing w:after="0" w:line="240" w:lineRule="auto"/>
        <w:jc w:val="both"/>
        <w:rPr>
          <w:rFonts w:ascii="Verdana" w:hAnsi="Verdana"/>
          <w:sz w:val="20"/>
          <w:lang w:val="es-ES"/>
        </w:rPr>
      </w:pPr>
      <w:r>
        <w:rPr>
          <w:rFonts w:ascii="Verdana" w:hAnsi="Verdana"/>
          <w:sz w:val="20"/>
          <w:lang w:val="es-ES"/>
        </w:rPr>
        <w:t xml:space="preserve"> </w:t>
      </w:r>
    </w:p>
    <w:p w14:paraId="1DCF9247" w14:textId="77777777" w:rsidR="00925686" w:rsidRPr="004B7A1D" w:rsidRDefault="00925686" w:rsidP="00925686">
      <w:pPr>
        <w:spacing w:after="0" w:line="240" w:lineRule="auto"/>
        <w:jc w:val="both"/>
        <w:rPr>
          <w:rFonts w:ascii="Verdana" w:hAnsi="Verdana"/>
          <w:sz w:val="20"/>
          <w:lang w:val="es-ES"/>
        </w:rPr>
      </w:pPr>
    </w:p>
    <w:p w14:paraId="3F2B7D38" w14:textId="77777777" w:rsidR="00925686" w:rsidRPr="004B7A1D" w:rsidRDefault="00925686" w:rsidP="00925686">
      <w:pPr>
        <w:spacing w:after="0" w:line="240" w:lineRule="auto"/>
        <w:ind w:left="4956"/>
        <w:jc w:val="center"/>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p>
    <w:p w14:paraId="026F9581" w14:textId="77777777" w:rsidR="00925686" w:rsidRPr="004B7A1D" w:rsidRDefault="00925686" w:rsidP="00925686">
      <w:pPr>
        <w:spacing w:after="0" w:line="240" w:lineRule="auto"/>
        <w:ind w:left="4956" w:firstLine="708"/>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14:paraId="0DC72645" w14:textId="77777777" w:rsidR="00925686" w:rsidRPr="004B7A1D" w:rsidRDefault="00925686" w:rsidP="00925686">
      <w:pPr>
        <w:spacing w:after="0" w:line="240" w:lineRule="auto"/>
        <w:jc w:val="both"/>
        <w:rPr>
          <w:rFonts w:ascii="Verdana" w:hAnsi="Verdana"/>
          <w:sz w:val="20"/>
          <w:lang w:val="es-ES"/>
        </w:rPr>
      </w:pPr>
    </w:p>
    <w:p w14:paraId="2C13E595" w14:textId="77777777" w:rsidR="00925686" w:rsidRDefault="00925686" w:rsidP="00925686">
      <w:pPr>
        <w:spacing w:after="0" w:line="240" w:lineRule="auto"/>
        <w:jc w:val="both"/>
        <w:rPr>
          <w:rFonts w:ascii="Verdana" w:hAnsi="Verdana"/>
          <w:sz w:val="20"/>
          <w:lang w:val="es-ES"/>
        </w:rPr>
      </w:pPr>
    </w:p>
    <w:p w14:paraId="125B5EAC" w14:textId="77777777" w:rsidR="00925686" w:rsidRPr="004B7A1D" w:rsidRDefault="00925686" w:rsidP="00925686">
      <w:pPr>
        <w:spacing w:after="0" w:line="240" w:lineRule="auto"/>
        <w:jc w:val="both"/>
        <w:rPr>
          <w:rFonts w:ascii="Verdana" w:hAnsi="Verdana"/>
          <w:sz w:val="20"/>
          <w:lang w:val="es-ES"/>
        </w:rPr>
      </w:pPr>
    </w:p>
    <w:p w14:paraId="564BA248" w14:textId="77777777" w:rsidR="00925686" w:rsidRPr="004B7A1D" w:rsidRDefault="00925686" w:rsidP="00925686">
      <w:pPr>
        <w:spacing w:after="0" w:line="240" w:lineRule="auto"/>
        <w:jc w:val="both"/>
        <w:rPr>
          <w:rFonts w:ascii="Verdana" w:hAnsi="Verdana"/>
          <w:sz w:val="20"/>
          <w:lang w:val="es-ES"/>
        </w:rPr>
      </w:pPr>
    </w:p>
    <w:p w14:paraId="2E9D8E08" w14:textId="77777777" w:rsidR="00925686" w:rsidRPr="004B7A1D" w:rsidRDefault="00925686" w:rsidP="00925686">
      <w:pPr>
        <w:spacing w:after="0" w:line="240" w:lineRule="auto"/>
        <w:jc w:val="both"/>
        <w:rPr>
          <w:rFonts w:ascii="Verdana" w:hAnsi="Verdana"/>
          <w:sz w:val="20"/>
          <w:lang w:val="es-ES"/>
        </w:rPr>
      </w:pPr>
      <w:r w:rsidRPr="004B7A1D">
        <w:rPr>
          <w:rFonts w:ascii="Verdana" w:hAnsi="Verdana"/>
          <w:sz w:val="20"/>
          <w:lang w:val="es-ES"/>
        </w:rPr>
        <w:t>Pablo Saavedra Alessandri</w:t>
      </w:r>
    </w:p>
    <w:p w14:paraId="6D5E95A1" w14:textId="77777777" w:rsidR="00925686" w:rsidRPr="004B7A1D" w:rsidRDefault="00925686" w:rsidP="00925686">
      <w:pPr>
        <w:spacing w:after="0" w:line="240" w:lineRule="auto"/>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782A7031" w14:textId="77777777" w:rsidR="00925686" w:rsidRDefault="00925686" w:rsidP="00925686">
      <w:pPr>
        <w:spacing w:after="0" w:line="240" w:lineRule="auto"/>
        <w:jc w:val="both"/>
        <w:rPr>
          <w:rFonts w:ascii="Verdana" w:hAnsi="Verdana"/>
          <w:sz w:val="20"/>
          <w:szCs w:val="20"/>
          <w:lang w:val="es-CR"/>
        </w:rPr>
      </w:pPr>
    </w:p>
    <w:p w14:paraId="32ED9245" w14:textId="77777777" w:rsidR="00925686" w:rsidRPr="000E24F5" w:rsidRDefault="00925686" w:rsidP="00925686">
      <w:pPr>
        <w:spacing w:after="0" w:line="240" w:lineRule="auto"/>
        <w:jc w:val="both"/>
        <w:rPr>
          <w:rFonts w:ascii="Verdana" w:hAnsi="Verdana"/>
          <w:sz w:val="20"/>
          <w:szCs w:val="20"/>
          <w:lang w:val="es-CR"/>
        </w:rPr>
      </w:pPr>
    </w:p>
    <w:sectPr w:rsidR="00925686" w:rsidRPr="000E24F5" w:rsidSect="00935B2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0DC3" w14:textId="77777777" w:rsidR="007948E5" w:rsidRDefault="007948E5" w:rsidP="001E5411">
      <w:pPr>
        <w:spacing w:after="0" w:line="240" w:lineRule="auto"/>
      </w:pPr>
      <w:r>
        <w:separator/>
      </w:r>
    </w:p>
  </w:endnote>
  <w:endnote w:type="continuationSeparator" w:id="0">
    <w:p w14:paraId="251F996D" w14:textId="77777777" w:rsidR="007948E5" w:rsidRDefault="007948E5"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8029" w14:textId="17490D01" w:rsidR="00EC5BDC" w:rsidRDefault="00EC5BDC">
    <w:pPr>
      <w:pStyle w:val="Footer"/>
      <w:jc w:val="center"/>
    </w:pPr>
  </w:p>
  <w:p w14:paraId="1591903A" w14:textId="77777777" w:rsidR="00EC5BDC" w:rsidRDefault="00EC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78B54" w14:textId="77777777" w:rsidR="007948E5" w:rsidRDefault="007948E5" w:rsidP="001E5411">
      <w:pPr>
        <w:spacing w:after="0" w:line="240" w:lineRule="auto"/>
      </w:pPr>
      <w:r>
        <w:separator/>
      </w:r>
    </w:p>
  </w:footnote>
  <w:footnote w:type="continuationSeparator" w:id="0">
    <w:p w14:paraId="460E10AC" w14:textId="77777777" w:rsidR="007948E5" w:rsidRDefault="007948E5" w:rsidP="001E5411">
      <w:pPr>
        <w:spacing w:after="0" w:line="240" w:lineRule="auto"/>
      </w:pPr>
      <w:r>
        <w:continuationSeparator/>
      </w:r>
    </w:p>
  </w:footnote>
  <w:footnote w:id="1">
    <w:p w14:paraId="40B764E5" w14:textId="2DB64C0C" w:rsidR="00935B21" w:rsidRPr="00B43C03" w:rsidRDefault="00935B21" w:rsidP="00935B21">
      <w:pPr>
        <w:pStyle w:val="FootnoteText"/>
        <w:jc w:val="both"/>
        <w:rPr>
          <w:rFonts w:ascii="Verdana" w:hAnsi="Verdana"/>
          <w:sz w:val="16"/>
          <w:szCs w:val="16"/>
          <w:lang w:val="es-CR"/>
        </w:rPr>
      </w:pPr>
      <w:r w:rsidRPr="00B43C03">
        <w:rPr>
          <w:rStyle w:val="FootnoteReference"/>
          <w:rFonts w:ascii="Verdana" w:hAnsi="Verdana"/>
          <w:sz w:val="16"/>
          <w:szCs w:val="16"/>
          <w:lang w:val="es-CR"/>
        </w:rPr>
        <w:t>*</w:t>
      </w:r>
      <w:r w:rsidRPr="00B43C03">
        <w:rPr>
          <w:rFonts w:ascii="Verdana" w:hAnsi="Verdana"/>
          <w:sz w:val="16"/>
          <w:szCs w:val="16"/>
          <w:lang w:val="es-CR"/>
        </w:rPr>
        <w:tab/>
      </w:r>
      <w:r w:rsidR="0038539C">
        <w:rPr>
          <w:rFonts w:ascii="Verdana" w:hAnsi="Verdana"/>
          <w:sz w:val="16"/>
          <w:szCs w:val="16"/>
          <w:lang w:val="es-CR"/>
        </w:rPr>
        <w:t>El Juez Roberto F. Caldas no participó en la deliberación y firma de la presente Resolución por razones de fuerza mayor.</w:t>
      </w:r>
      <w:r w:rsidRPr="00B43C03">
        <w:rPr>
          <w:rFonts w:ascii="Verdana" w:hAnsi="Verdana"/>
          <w:sz w:val="16"/>
          <w:szCs w:val="16"/>
          <w:lang w:val="es-CR"/>
        </w:rPr>
        <w:t xml:space="preserve"> </w:t>
      </w:r>
    </w:p>
  </w:footnote>
  <w:footnote w:id="2">
    <w:p w14:paraId="06D70C8F" w14:textId="77777777" w:rsidR="007948E5" w:rsidRPr="00761555" w:rsidRDefault="007948E5" w:rsidP="00B84117">
      <w:pPr>
        <w:pStyle w:val="FootnoteText"/>
        <w:jc w:val="both"/>
        <w:rPr>
          <w:rFonts w:ascii="Verdana" w:hAnsi="Verdana"/>
          <w:sz w:val="16"/>
          <w:szCs w:val="16"/>
          <w:lang w:val="es-CR"/>
        </w:rPr>
      </w:pPr>
      <w:r w:rsidRPr="00761555">
        <w:rPr>
          <w:rStyle w:val="FootnoteReference"/>
          <w:rFonts w:ascii="Verdana" w:hAnsi="Verdana"/>
          <w:sz w:val="16"/>
          <w:szCs w:val="16"/>
        </w:rPr>
        <w:footnoteRef/>
      </w:r>
      <w:r w:rsidRPr="00761555">
        <w:rPr>
          <w:rFonts w:ascii="Verdana" w:hAnsi="Verdana"/>
          <w:sz w:val="16"/>
          <w:szCs w:val="16"/>
          <w:lang w:val="es-CR"/>
        </w:rPr>
        <w:t xml:space="preserve"> </w:t>
      </w:r>
      <w:r w:rsidRPr="00761555">
        <w:rPr>
          <w:rFonts w:ascii="Verdana" w:hAnsi="Verdana"/>
          <w:sz w:val="16"/>
          <w:szCs w:val="16"/>
          <w:lang w:val="es-CR"/>
        </w:rPr>
        <w:tab/>
      </w:r>
      <w:r w:rsidRPr="00761555">
        <w:rPr>
          <w:rFonts w:ascii="Verdana" w:hAnsi="Verdana"/>
          <w:i/>
          <w:sz w:val="16"/>
          <w:szCs w:val="16"/>
          <w:lang w:val="es-CR"/>
        </w:rPr>
        <w:t xml:space="preserve">Cfr. Caso Ruano Torres y otros Vs. El Salvador. Fondo, Reparaciones y Costas. </w:t>
      </w:r>
      <w:r w:rsidRPr="00761555">
        <w:rPr>
          <w:rFonts w:ascii="Verdana" w:hAnsi="Verdana"/>
          <w:sz w:val="16"/>
          <w:szCs w:val="16"/>
          <w:lang w:val="es-CR"/>
        </w:rPr>
        <w:t xml:space="preserve">Sentencia de 5 de octubre de 2015. Serie C No. 303. El texto íntegro de la Sentencia se encuentra disponible en: </w:t>
      </w:r>
      <w:hyperlink r:id="rId1" w:history="1">
        <w:r w:rsidRPr="00761555">
          <w:rPr>
            <w:rStyle w:val="Hyperlink"/>
            <w:rFonts w:ascii="Verdana" w:hAnsi="Verdana"/>
            <w:sz w:val="16"/>
            <w:szCs w:val="16"/>
            <w:lang w:val="es-CR"/>
          </w:rPr>
          <w:t>http://www.corteidh.or.cr/docs/casos/articulos/seriec_303_esp.pdf</w:t>
        </w:r>
      </w:hyperlink>
      <w:r w:rsidRPr="00761555">
        <w:rPr>
          <w:rFonts w:ascii="Verdana" w:hAnsi="Verdana"/>
          <w:sz w:val="16"/>
          <w:szCs w:val="16"/>
          <w:lang w:val="es-CR"/>
        </w:rPr>
        <w:t>. La Sentencia fue notificada al Estado el 18 de diciembre de 2015.</w:t>
      </w:r>
    </w:p>
  </w:footnote>
  <w:footnote w:id="3">
    <w:p w14:paraId="5ABB13DE" w14:textId="289F5197" w:rsidR="007948E5" w:rsidRPr="00761555" w:rsidRDefault="007948E5" w:rsidP="00761555">
      <w:pPr>
        <w:pStyle w:val="FootnoteText"/>
        <w:jc w:val="both"/>
        <w:rPr>
          <w:rFonts w:ascii="Verdana" w:hAnsi="Verdana"/>
          <w:sz w:val="16"/>
          <w:szCs w:val="16"/>
          <w:lang w:val="es-CR"/>
        </w:rPr>
      </w:pPr>
      <w:r w:rsidRPr="00761555">
        <w:rPr>
          <w:rStyle w:val="FootnoteReference"/>
          <w:rFonts w:ascii="Verdana" w:hAnsi="Verdana"/>
          <w:sz w:val="16"/>
          <w:szCs w:val="16"/>
        </w:rPr>
        <w:footnoteRef/>
      </w:r>
      <w:r w:rsidRPr="00761555">
        <w:rPr>
          <w:rFonts w:ascii="Verdana" w:hAnsi="Verdana"/>
          <w:sz w:val="16"/>
          <w:szCs w:val="16"/>
          <w:lang w:val="es-CR"/>
        </w:rPr>
        <w:t xml:space="preserve"> </w:t>
      </w:r>
      <w:r w:rsidRPr="00761555">
        <w:rPr>
          <w:rFonts w:ascii="Verdana" w:hAnsi="Verdana"/>
          <w:sz w:val="16"/>
          <w:szCs w:val="16"/>
          <w:lang w:val="es-CR"/>
        </w:rPr>
        <w:tab/>
        <w:t>Escritos de: 29 de mayo</w:t>
      </w:r>
      <w:r>
        <w:rPr>
          <w:rFonts w:ascii="Verdana" w:hAnsi="Verdana"/>
          <w:sz w:val="16"/>
          <w:szCs w:val="16"/>
          <w:lang w:val="es-CR"/>
        </w:rPr>
        <w:t xml:space="preserve">, </w:t>
      </w:r>
      <w:r w:rsidRPr="00761555">
        <w:rPr>
          <w:rFonts w:ascii="Verdana" w:hAnsi="Verdana"/>
          <w:sz w:val="16"/>
          <w:szCs w:val="16"/>
          <w:lang w:val="es-CR"/>
        </w:rPr>
        <w:t xml:space="preserve">8 de junio </w:t>
      </w:r>
      <w:r>
        <w:rPr>
          <w:rFonts w:ascii="Verdana" w:hAnsi="Verdana"/>
          <w:sz w:val="16"/>
          <w:szCs w:val="16"/>
          <w:lang w:val="es-CR"/>
        </w:rPr>
        <w:t xml:space="preserve">y 19 de octubre </w:t>
      </w:r>
      <w:r w:rsidRPr="00761555">
        <w:rPr>
          <w:rFonts w:ascii="Verdana" w:hAnsi="Verdana"/>
          <w:sz w:val="16"/>
          <w:szCs w:val="16"/>
          <w:lang w:val="es-CR"/>
        </w:rPr>
        <w:t>de 2017</w:t>
      </w:r>
      <w:r>
        <w:rPr>
          <w:rFonts w:ascii="Verdana" w:hAnsi="Verdana"/>
          <w:sz w:val="16"/>
          <w:szCs w:val="16"/>
          <w:lang w:val="es-CR"/>
        </w:rPr>
        <w:t xml:space="preserve">. </w:t>
      </w:r>
    </w:p>
  </w:footnote>
  <w:footnote w:id="4">
    <w:p w14:paraId="03096BD2" w14:textId="6C8D2EFC" w:rsidR="007948E5" w:rsidRPr="00B84117" w:rsidRDefault="007948E5" w:rsidP="00B84117">
      <w:pPr>
        <w:pStyle w:val="FootnoteText"/>
        <w:jc w:val="both"/>
        <w:rPr>
          <w:rFonts w:ascii="Verdana" w:hAnsi="Verdana"/>
          <w:sz w:val="16"/>
          <w:szCs w:val="16"/>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t xml:space="preserve">El señor </w:t>
      </w:r>
      <w:r>
        <w:rPr>
          <w:rFonts w:ascii="Verdana" w:hAnsi="Verdana"/>
          <w:sz w:val="16"/>
          <w:szCs w:val="16"/>
          <w:lang w:val="es-CR"/>
        </w:rPr>
        <w:t>Ruddy Orlando Arreola Higueros,</w:t>
      </w:r>
      <w:r w:rsidRPr="00B84117">
        <w:rPr>
          <w:rFonts w:ascii="Verdana" w:hAnsi="Verdana"/>
          <w:sz w:val="16"/>
          <w:szCs w:val="16"/>
          <w:lang w:val="es-CR"/>
        </w:rPr>
        <w:t xml:space="preserve"> </w:t>
      </w:r>
      <w:r>
        <w:rPr>
          <w:rFonts w:ascii="Verdana" w:hAnsi="Verdana"/>
          <w:sz w:val="16"/>
          <w:szCs w:val="16"/>
          <w:lang w:val="es-CR"/>
        </w:rPr>
        <w:t>Defensor interamericano</w:t>
      </w:r>
      <w:r w:rsidRPr="00B84117">
        <w:rPr>
          <w:rFonts w:ascii="Verdana" w:hAnsi="Verdana"/>
          <w:sz w:val="16"/>
          <w:szCs w:val="16"/>
          <w:lang w:val="es-CR"/>
        </w:rPr>
        <w:t xml:space="preserve">. </w:t>
      </w:r>
    </w:p>
  </w:footnote>
  <w:footnote w:id="5">
    <w:p w14:paraId="1B7A0EAA" w14:textId="77777777" w:rsidR="007948E5" w:rsidRPr="006A700C" w:rsidRDefault="007948E5"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6">
    <w:p w14:paraId="04F48942" w14:textId="0C732225" w:rsidR="00BD1E56" w:rsidRPr="00C94117" w:rsidRDefault="00BD1E56" w:rsidP="00C94117">
      <w:pPr>
        <w:pStyle w:val="FootnoteText"/>
        <w:jc w:val="both"/>
        <w:rPr>
          <w:rFonts w:ascii="Verdana" w:hAnsi="Verdana"/>
          <w:sz w:val="16"/>
          <w:szCs w:val="16"/>
          <w:lang w:val="es-CR"/>
        </w:rPr>
      </w:pPr>
      <w:r w:rsidRPr="00C94117">
        <w:rPr>
          <w:rStyle w:val="FootnoteReference"/>
          <w:rFonts w:ascii="Verdana" w:hAnsi="Verdana"/>
          <w:sz w:val="16"/>
          <w:szCs w:val="16"/>
        </w:rPr>
        <w:footnoteRef/>
      </w:r>
      <w:r w:rsidRPr="00C94117">
        <w:rPr>
          <w:rFonts w:ascii="Verdana" w:hAnsi="Verdana"/>
          <w:sz w:val="16"/>
          <w:szCs w:val="16"/>
          <w:lang w:val="es-CR"/>
        </w:rPr>
        <w:t xml:space="preserve"> </w:t>
      </w:r>
      <w:r w:rsidRPr="00C94117">
        <w:rPr>
          <w:rFonts w:ascii="Verdana" w:hAnsi="Verdana"/>
          <w:sz w:val="16"/>
          <w:szCs w:val="16"/>
          <w:lang w:val="es-CR"/>
        </w:rPr>
        <w:tab/>
      </w:r>
      <w:r w:rsidRPr="00C94117">
        <w:rPr>
          <w:rFonts w:ascii="Verdana" w:hAnsi="Verdana"/>
          <w:i/>
          <w:sz w:val="16"/>
          <w:szCs w:val="16"/>
          <w:lang w:val="es-CR"/>
        </w:rPr>
        <w:t xml:space="preserve">Cfr. Caso Cinco Pensionistas Vs. Perú. Supervisión de Cumplimiento de Sentencia. </w:t>
      </w:r>
      <w:r w:rsidRPr="00C94117">
        <w:rPr>
          <w:rFonts w:ascii="Verdana" w:hAnsi="Verdana"/>
          <w:sz w:val="16"/>
          <w:szCs w:val="16"/>
          <w:lang w:val="es-CR"/>
        </w:rPr>
        <w:t xml:space="preserve">Resolución de la Corte Interamericana de Derechos Humanos de 17 de noviembre de 2004, Considerando 5, y </w:t>
      </w:r>
      <w:r w:rsidRPr="00BD1E56">
        <w:rPr>
          <w:rFonts w:ascii="Verdana" w:hAnsi="Verdana"/>
          <w:i/>
          <w:sz w:val="16"/>
          <w:szCs w:val="16"/>
          <w:lang w:val="es-CR"/>
        </w:rPr>
        <w:t xml:space="preserve">Caso I.V. Vs. Bolivia. Supervisión de Cumplimiento de Sentencia. </w:t>
      </w:r>
      <w:r w:rsidRPr="00243225">
        <w:rPr>
          <w:rFonts w:ascii="Verdana" w:hAnsi="Verdana"/>
          <w:sz w:val="16"/>
          <w:szCs w:val="16"/>
          <w:lang w:val="es-CR"/>
        </w:rPr>
        <w:t xml:space="preserve">Resolución de la Corte Interamericana de Derechos Humanos de </w:t>
      </w:r>
      <w:r w:rsidRPr="00E31150">
        <w:rPr>
          <w:rFonts w:ascii="Verdana" w:hAnsi="Verdana"/>
          <w:sz w:val="16"/>
          <w:szCs w:val="16"/>
          <w:lang w:val="es-CR"/>
        </w:rPr>
        <w:t xml:space="preserve">14 </w:t>
      </w:r>
      <w:r w:rsidRPr="00291668">
        <w:rPr>
          <w:rFonts w:ascii="Verdana" w:hAnsi="Verdana"/>
          <w:sz w:val="16"/>
          <w:szCs w:val="16"/>
          <w:lang w:val="es-CR"/>
        </w:rPr>
        <w:t>de noviembre de 2017, Considerando 2.</w:t>
      </w:r>
    </w:p>
  </w:footnote>
  <w:footnote w:id="7">
    <w:p w14:paraId="34914C27" w14:textId="37DEDBE7" w:rsidR="007948E5" w:rsidRPr="006A700C" w:rsidRDefault="007948E5"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r>
      <w:r w:rsidRPr="006A700C">
        <w:rPr>
          <w:rFonts w:ascii="Verdana" w:hAnsi="Verdana"/>
          <w:i/>
          <w:sz w:val="16"/>
          <w:szCs w:val="16"/>
          <w:lang w:val="es-CR"/>
        </w:rPr>
        <w:t xml:space="preserve">Cfr. Caso Ivcher Bronstein Vs. Perú. Competencia. </w:t>
      </w:r>
      <w:r w:rsidRPr="006A700C">
        <w:rPr>
          <w:rFonts w:ascii="Verdana" w:hAnsi="Verdana"/>
          <w:sz w:val="16"/>
          <w:szCs w:val="16"/>
          <w:lang w:val="es-CR"/>
        </w:rPr>
        <w:t xml:space="preserve">Sentencia de la Corte Interamericana de Derechos Humanos de 24 de septiembre de 2011. Serie C No 54, párr. 37, y </w:t>
      </w:r>
      <w:r w:rsidRPr="006A700C">
        <w:rPr>
          <w:rFonts w:ascii="Verdana" w:hAnsi="Verdana"/>
          <w:i/>
          <w:sz w:val="16"/>
          <w:szCs w:val="16"/>
          <w:lang w:val="es-CR"/>
        </w:rPr>
        <w:t xml:space="preserve">Caso </w:t>
      </w:r>
      <w:r w:rsidR="00BD1E56">
        <w:rPr>
          <w:rFonts w:ascii="Verdana" w:hAnsi="Verdana"/>
          <w:i/>
          <w:sz w:val="16"/>
          <w:szCs w:val="16"/>
          <w:lang w:val="es-CR"/>
        </w:rPr>
        <w:t>I.V.</w:t>
      </w:r>
      <w:r w:rsidRPr="006A700C">
        <w:rPr>
          <w:rFonts w:ascii="Verdana" w:hAnsi="Verdana"/>
          <w:i/>
          <w:sz w:val="16"/>
          <w:szCs w:val="16"/>
          <w:lang w:val="es-CR"/>
        </w:rPr>
        <w:t xml:space="preserve"> Vs.</w:t>
      </w:r>
      <w:r>
        <w:rPr>
          <w:rFonts w:ascii="Verdana" w:hAnsi="Verdana"/>
          <w:i/>
          <w:sz w:val="16"/>
          <w:szCs w:val="16"/>
          <w:lang w:val="es-CR"/>
        </w:rPr>
        <w:t xml:space="preserve"> </w:t>
      </w:r>
      <w:r w:rsidR="00BD1E56">
        <w:rPr>
          <w:rFonts w:ascii="Verdana" w:hAnsi="Verdana"/>
          <w:i/>
          <w:sz w:val="16"/>
          <w:szCs w:val="16"/>
          <w:lang w:val="es-CR"/>
        </w:rPr>
        <w:t>Bolivia</w:t>
      </w:r>
      <w:r w:rsidRPr="006A700C">
        <w:rPr>
          <w:rFonts w:ascii="Verdana" w:hAnsi="Verdana"/>
          <w:i/>
          <w:sz w:val="16"/>
          <w:szCs w:val="16"/>
          <w:lang w:val="es-CR"/>
        </w:rPr>
        <w:t xml:space="preserve">. Supervisión de Cumplimiento de Sentencia. </w:t>
      </w:r>
      <w:r w:rsidRPr="006A700C">
        <w:rPr>
          <w:rFonts w:ascii="Verdana" w:hAnsi="Verdana"/>
          <w:sz w:val="16"/>
          <w:szCs w:val="16"/>
          <w:lang w:val="es-CR"/>
        </w:rPr>
        <w:t xml:space="preserve">Resolución de la Corte Interamericana de Derechos Humanos de </w:t>
      </w:r>
      <w:r w:rsidR="00BD1E56">
        <w:rPr>
          <w:rFonts w:ascii="Verdana" w:hAnsi="Verdana"/>
          <w:sz w:val="16"/>
          <w:szCs w:val="16"/>
          <w:lang w:val="es-CR"/>
        </w:rPr>
        <w:t>14</w:t>
      </w:r>
      <w:r w:rsidR="00BD1E56" w:rsidRPr="006A700C">
        <w:rPr>
          <w:rFonts w:ascii="Verdana" w:hAnsi="Verdana"/>
          <w:sz w:val="16"/>
          <w:szCs w:val="16"/>
          <w:lang w:val="es-CR"/>
        </w:rPr>
        <w:t xml:space="preserve"> </w:t>
      </w:r>
      <w:r w:rsidRPr="006A700C">
        <w:rPr>
          <w:rFonts w:ascii="Verdana" w:hAnsi="Verdana"/>
          <w:sz w:val="16"/>
          <w:szCs w:val="16"/>
          <w:lang w:val="es-CR"/>
        </w:rPr>
        <w:t xml:space="preserve">de </w:t>
      </w:r>
      <w:r w:rsidR="00BD1E56">
        <w:rPr>
          <w:rFonts w:ascii="Verdana" w:hAnsi="Verdana"/>
          <w:sz w:val="16"/>
          <w:szCs w:val="16"/>
          <w:lang w:val="es-CR"/>
        </w:rPr>
        <w:t>noviembre</w:t>
      </w:r>
      <w:r w:rsidRPr="006A700C">
        <w:rPr>
          <w:rFonts w:ascii="Verdana" w:hAnsi="Verdana"/>
          <w:sz w:val="16"/>
          <w:szCs w:val="16"/>
          <w:lang w:val="es-CR"/>
        </w:rPr>
        <w:t xml:space="preserve"> de 2017, Considerando 2. </w:t>
      </w:r>
    </w:p>
  </w:footnote>
  <w:footnote w:id="8">
    <w:p w14:paraId="27ED74E5" w14:textId="7ADADF9B" w:rsidR="007948E5" w:rsidRPr="00596AF0" w:rsidRDefault="007948E5" w:rsidP="00467E3F">
      <w:pPr>
        <w:pStyle w:val="FootnoteText"/>
        <w:jc w:val="both"/>
        <w:rPr>
          <w:rFonts w:ascii="Verdana" w:hAnsi="Verdana"/>
          <w:sz w:val="16"/>
          <w:szCs w:val="16"/>
          <w:lang w:val="es-CR"/>
        </w:rPr>
      </w:pPr>
      <w:r w:rsidRPr="00596AF0">
        <w:rPr>
          <w:rStyle w:val="FootnoteReference"/>
          <w:rFonts w:ascii="Verdana" w:hAnsi="Verdana"/>
          <w:sz w:val="16"/>
          <w:szCs w:val="16"/>
        </w:rPr>
        <w:footnoteRef/>
      </w:r>
      <w:r w:rsidRPr="00596AF0">
        <w:rPr>
          <w:rFonts w:ascii="Verdana" w:hAnsi="Verdana"/>
          <w:sz w:val="16"/>
          <w:szCs w:val="16"/>
          <w:lang w:val="es-CR"/>
        </w:rPr>
        <w:t xml:space="preserve"> </w:t>
      </w:r>
      <w:r w:rsidRPr="00596AF0">
        <w:rPr>
          <w:rFonts w:ascii="Verdana" w:hAnsi="Verdana"/>
          <w:sz w:val="16"/>
          <w:szCs w:val="16"/>
          <w:lang w:val="es-CR"/>
        </w:rPr>
        <w:tab/>
      </w:r>
      <w:r>
        <w:rPr>
          <w:rFonts w:ascii="Verdana" w:hAnsi="Verdana"/>
          <w:i/>
          <w:sz w:val="16"/>
          <w:szCs w:val="16"/>
          <w:lang w:val="es-CR"/>
        </w:rPr>
        <w:t xml:space="preserve">Cfr. </w:t>
      </w:r>
      <w:r w:rsidR="00C34B0B">
        <w:rPr>
          <w:rFonts w:ascii="Verdana" w:hAnsi="Verdana"/>
          <w:sz w:val="16"/>
          <w:szCs w:val="16"/>
          <w:lang w:val="es-CR"/>
        </w:rPr>
        <w:t>Informe d</w:t>
      </w:r>
      <w:r w:rsidRPr="00596AF0">
        <w:rPr>
          <w:rFonts w:ascii="Verdana" w:hAnsi="Verdana"/>
          <w:sz w:val="16"/>
          <w:szCs w:val="16"/>
          <w:lang w:val="es-CR"/>
        </w:rPr>
        <w:t xml:space="preserve">el </w:t>
      </w:r>
      <w:r w:rsidR="00C34B0B">
        <w:rPr>
          <w:rFonts w:ascii="Verdana" w:hAnsi="Verdana"/>
          <w:sz w:val="16"/>
          <w:szCs w:val="16"/>
          <w:lang w:val="es-CR"/>
        </w:rPr>
        <w:t>“</w:t>
      </w:r>
      <w:r w:rsidRPr="00596AF0">
        <w:rPr>
          <w:rFonts w:ascii="Verdana" w:hAnsi="Verdana"/>
          <w:sz w:val="16"/>
          <w:szCs w:val="16"/>
          <w:lang w:val="es-CR"/>
        </w:rPr>
        <w:t>Ministerio de Salud</w:t>
      </w:r>
      <w:r w:rsidR="00C34B0B">
        <w:rPr>
          <w:rFonts w:ascii="Verdana" w:hAnsi="Verdana"/>
          <w:sz w:val="16"/>
          <w:szCs w:val="16"/>
          <w:lang w:val="es-CR"/>
        </w:rPr>
        <w:t>”</w:t>
      </w:r>
      <w:r w:rsidRPr="00596AF0">
        <w:rPr>
          <w:rFonts w:ascii="Verdana" w:hAnsi="Verdana"/>
          <w:sz w:val="16"/>
          <w:szCs w:val="16"/>
          <w:lang w:val="es-CR"/>
        </w:rPr>
        <w:t xml:space="preserve"> </w:t>
      </w:r>
      <w:r w:rsidR="00FC2E72">
        <w:rPr>
          <w:rFonts w:ascii="Verdana" w:hAnsi="Verdana"/>
          <w:sz w:val="16"/>
          <w:szCs w:val="16"/>
          <w:lang w:val="es-CR"/>
        </w:rPr>
        <w:t xml:space="preserve">de 2016 </w:t>
      </w:r>
      <w:r w:rsidRPr="00596AF0">
        <w:rPr>
          <w:rFonts w:ascii="Verdana" w:hAnsi="Verdana"/>
          <w:sz w:val="16"/>
          <w:szCs w:val="16"/>
          <w:lang w:val="es-CR"/>
        </w:rPr>
        <w:t>sobre atención brindada a las víctimas (anexo al informe presentado por el Estado el 8 de junio de 2017)</w:t>
      </w:r>
      <w:r w:rsidR="008D1D1A">
        <w:rPr>
          <w:rFonts w:ascii="Verdana" w:hAnsi="Verdana"/>
          <w:sz w:val="16"/>
          <w:szCs w:val="16"/>
          <w:lang w:val="es-CR"/>
        </w:rPr>
        <w:t>.</w:t>
      </w:r>
      <w:r w:rsidR="00C34B0B">
        <w:rPr>
          <w:rFonts w:ascii="Verdana" w:hAnsi="Verdana"/>
          <w:sz w:val="16"/>
          <w:szCs w:val="16"/>
          <w:lang w:val="es-CR"/>
        </w:rPr>
        <w:t xml:space="preserve"> El Estado presentó dicho informe indicando que fue emitido por el Ministerio de Salud. Sin embargo, no se encuentra firmado por ninguna autoridad de dicho ministerio. </w:t>
      </w:r>
      <w:r w:rsidR="00FC2E72">
        <w:rPr>
          <w:rFonts w:ascii="Verdana" w:hAnsi="Verdana"/>
          <w:sz w:val="16"/>
          <w:szCs w:val="16"/>
          <w:lang w:val="es-CR"/>
        </w:rPr>
        <w:t>Aun</w:t>
      </w:r>
      <w:r w:rsidR="00C34B0B">
        <w:rPr>
          <w:rFonts w:ascii="Verdana" w:hAnsi="Verdana"/>
          <w:sz w:val="16"/>
          <w:szCs w:val="16"/>
          <w:lang w:val="es-CR"/>
        </w:rPr>
        <w:t xml:space="preserve"> así, ni los representantes ni la Comisión lo controvirtieron. </w:t>
      </w:r>
    </w:p>
  </w:footnote>
  <w:footnote w:id="9">
    <w:p w14:paraId="587BA74F" w14:textId="77CC5CD7" w:rsidR="007948E5" w:rsidRPr="00E6006B" w:rsidRDefault="007948E5" w:rsidP="00E6006B">
      <w:pPr>
        <w:pStyle w:val="FootnoteText"/>
        <w:jc w:val="both"/>
        <w:rPr>
          <w:rFonts w:ascii="Verdana" w:hAnsi="Verdana"/>
          <w:sz w:val="16"/>
          <w:szCs w:val="16"/>
          <w:u w:val="single"/>
          <w:lang w:val="es-ES_tradnl"/>
        </w:rPr>
      </w:pPr>
      <w:r w:rsidRPr="00C46E3A">
        <w:rPr>
          <w:rStyle w:val="FootnoteReference"/>
          <w:rFonts w:ascii="Verdana" w:hAnsi="Verdana"/>
          <w:sz w:val="16"/>
          <w:szCs w:val="16"/>
        </w:rPr>
        <w:footnoteRef/>
      </w:r>
      <w:r w:rsidRPr="00C46E3A">
        <w:rPr>
          <w:rFonts w:ascii="Verdana" w:hAnsi="Verdana"/>
          <w:sz w:val="16"/>
          <w:szCs w:val="16"/>
          <w:lang w:val="es-CR"/>
        </w:rPr>
        <w:t xml:space="preserve"> </w:t>
      </w:r>
      <w:r w:rsidRPr="00C46E3A">
        <w:rPr>
          <w:rFonts w:ascii="Verdana" w:hAnsi="Verdana"/>
          <w:sz w:val="16"/>
          <w:szCs w:val="16"/>
          <w:lang w:val="es-ES_tradnl"/>
        </w:rPr>
        <w:tab/>
      </w:r>
      <w:r w:rsidR="008D1D1A">
        <w:rPr>
          <w:rFonts w:ascii="Verdana" w:hAnsi="Verdana"/>
          <w:i/>
          <w:sz w:val="16"/>
          <w:szCs w:val="16"/>
          <w:lang w:val="es-ES_tradnl"/>
        </w:rPr>
        <w:t xml:space="preserve">Cfr. Casos Fernández Ortega y otros y Rosendo Cantú y otra Vs. México. </w:t>
      </w:r>
      <w:r w:rsidR="008D1D1A" w:rsidRPr="00E6006B">
        <w:rPr>
          <w:rFonts w:ascii="Verdana" w:hAnsi="Verdana"/>
          <w:i/>
          <w:sz w:val="16"/>
          <w:szCs w:val="16"/>
          <w:lang w:val="es-ES_tradnl"/>
        </w:rPr>
        <w:t xml:space="preserve">Supervisión de Cumplimiento de Sentencia. </w:t>
      </w:r>
      <w:r w:rsidR="008D1D1A" w:rsidRPr="00E6006B">
        <w:rPr>
          <w:rFonts w:ascii="Verdana" w:hAnsi="Verdana"/>
          <w:sz w:val="16"/>
          <w:szCs w:val="16"/>
          <w:lang w:val="es-ES_tradnl"/>
        </w:rPr>
        <w:t xml:space="preserve">Resolución de la Corte Interamericana de Derechos Humanos de 21 de noviembre de 2014, </w:t>
      </w:r>
      <w:r w:rsidR="00243225" w:rsidRPr="00E6006B">
        <w:rPr>
          <w:rFonts w:ascii="Verdana" w:hAnsi="Verdana"/>
          <w:sz w:val="16"/>
          <w:szCs w:val="16"/>
          <w:lang w:val="es-ES_tradnl"/>
        </w:rPr>
        <w:t xml:space="preserve">Considerando 19. </w:t>
      </w:r>
    </w:p>
  </w:footnote>
  <w:footnote w:id="10">
    <w:p w14:paraId="45234E15" w14:textId="7C33ADC8" w:rsidR="007948E5" w:rsidRPr="00993505" w:rsidRDefault="007948E5" w:rsidP="001B0E7C">
      <w:pPr>
        <w:pStyle w:val="FootnoteText"/>
        <w:jc w:val="both"/>
        <w:rPr>
          <w:rFonts w:ascii="Verdana" w:hAnsi="Verdana"/>
          <w:b/>
          <w:sz w:val="16"/>
          <w:szCs w:val="16"/>
          <w:lang w:val="es-CR"/>
        </w:rPr>
      </w:pPr>
      <w:r w:rsidRPr="00993505">
        <w:rPr>
          <w:rStyle w:val="FootnoteReference"/>
          <w:rFonts w:ascii="Verdana" w:hAnsi="Verdana"/>
          <w:sz w:val="16"/>
          <w:szCs w:val="16"/>
        </w:rPr>
        <w:footnoteRef/>
      </w:r>
      <w:r w:rsidRPr="00993505">
        <w:rPr>
          <w:rFonts w:ascii="Verdana" w:hAnsi="Verdana"/>
          <w:sz w:val="16"/>
          <w:szCs w:val="16"/>
          <w:lang w:val="es-CR"/>
        </w:rPr>
        <w:t xml:space="preserve"> </w:t>
      </w:r>
      <w:r w:rsidRPr="00993505">
        <w:rPr>
          <w:rFonts w:ascii="Verdana" w:hAnsi="Verdana"/>
          <w:sz w:val="16"/>
          <w:szCs w:val="16"/>
          <w:lang w:val="es-CR"/>
        </w:rPr>
        <w:tab/>
        <w:t xml:space="preserve">El representante señaló que “el Estado del Salvador ha cumplido materialmente […] con la publicación de la sentencia de condena emitida por la </w:t>
      </w:r>
      <w:r w:rsidR="00243225">
        <w:rPr>
          <w:rFonts w:ascii="Verdana" w:hAnsi="Verdana"/>
          <w:sz w:val="16"/>
          <w:szCs w:val="16"/>
          <w:lang w:val="es-CR"/>
        </w:rPr>
        <w:t>[…]</w:t>
      </w:r>
      <w:r w:rsidR="00243225" w:rsidRPr="00993505">
        <w:rPr>
          <w:rFonts w:ascii="Verdana" w:hAnsi="Verdana"/>
          <w:sz w:val="16"/>
          <w:szCs w:val="16"/>
          <w:lang w:val="es-CR"/>
        </w:rPr>
        <w:t xml:space="preserve"> </w:t>
      </w:r>
      <w:r w:rsidRPr="00993505">
        <w:rPr>
          <w:rFonts w:ascii="Verdana" w:hAnsi="Verdana"/>
          <w:sz w:val="16"/>
          <w:szCs w:val="16"/>
          <w:lang w:val="es-CR"/>
        </w:rPr>
        <w:t xml:space="preserve">Corte IDH, lo cual ha hecho en un sitio Web, en el Diario Oficial y en otro de mayor circulación en la República del Salvador…”. </w:t>
      </w:r>
    </w:p>
  </w:footnote>
  <w:footnote w:id="11">
    <w:p w14:paraId="5EEE782A" w14:textId="21412B3B" w:rsidR="00243225" w:rsidRPr="00E6006B" w:rsidRDefault="00243225" w:rsidP="00E6006B">
      <w:pPr>
        <w:pStyle w:val="FootnoteText"/>
        <w:jc w:val="both"/>
        <w:rPr>
          <w:rFonts w:ascii="Verdana" w:hAnsi="Verdana"/>
          <w:sz w:val="16"/>
          <w:szCs w:val="16"/>
          <w:lang w:val="es-CR"/>
        </w:rPr>
      </w:pPr>
      <w:r w:rsidRPr="00E6006B">
        <w:rPr>
          <w:rStyle w:val="FootnoteReference"/>
          <w:rFonts w:ascii="Verdana" w:hAnsi="Verdana"/>
          <w:sz w:val="16"/>
          <w:szCs w:val="16"/>
        </w:rPr>
        <w:footnoteRef/>
      </w:r>
      <w:r w:rsidRPr="00E6006B">
        <w:rPr>
          <w:rFonts w:ascii="Verdana" w:hAnsi="Verdana"/>
          <w:sz w:val="16"/>
          <w:szCs w:val="16"/>
          <w:lang w:val="es-CR"/>
        </w:rPr>
        <w:t xml:space="preserve"> </w:t>
      </w:r>
      <w:r w:rsidRPr="00E6006B">
        <w:rPr>
          <w:rFonts w:ascii="Verdana" w:hAnsi="Verdana"/>
          <w:sz w:val="16"/>
          <w:szCs w:val="16"/>
          <w:lang w:val="es-CR"/>
        </w:rPr>
        <w:tab/>
        <w:t>El plazo vencía el 18 de junio de 2016.</w:t>
      </w:r>
    </w:p>
  </w:footnote>
  <w:footnote w:id="12">
    <w:p w14:paraId="76775444" w14:textId="68DF6B42" w:rsidR="007948E5" w:rsidRPr="001B0E7C" w:rsidRDefault="007948E5" w:rsidP="0038539C">
      <w:pPr>
        <w:pStyle w:val="FootnoteText"/>
        <w:jc w:val="both"/>
        <w:rPr>
          <w:lang w:val="es-CR"/>
        </w:rPr>
      </w:pPr>
      <w:r w:rsidRPr="00D241C1">
        <w:rPr>
          <w:rStyle w:val="FootnoteReference"/>
          <w:rFonts w:ascii="Verdana" w:hAnsi="Verdana"/>
          <w:sz w:val="16"/>
          <w:szCs w:val="16"/>
        </w:rPr>
        <w:footnoteRef/>
      </w:r>
      <w:r w:rsidRPr="00D241C1">
        <w:rPr>
          <w:rFonts w:ascii="Verdana" w:hAnsi="Verdana"/>
          <w:sz w:val="16"/>
          <w:szCs w:val="16"/>
          <w:lang w:val="es-CR"/>
        </w:rPr>
        <w:t xml:space="preserve"> </w:t>
      </w:r>
      <w:r>
        <w:rPr>
          <w:lang w:val="es-CR"/>
        </w:rPr>
        <w:tab/>
      </w:r>
      <w:r w:rsidRPr="00456029">
        <w:rPr>
          <w:rFonts w:ascii="Verdana" w:hAnsi="Verdana"/>
          <w:i/>
          <w:sz w:val="16"/>
          <w:szCs w:val="16"/>
          <w:lang w:val="es-CR"/>
        </w:rPr>
        <w:t xml:space="preserve">Cfr. </w:t>
      </w:r>
      <w:r w:rsidRPr="00456029">
        <w:rPr>
          <w:rFonts w:ascii="Verdana" w:hAnsi="Verdana"/>
          <w:sz w:val="16"/>
          <w:szCs w:val="16"/>
          <w:lang w:val="es-CR"/>
        </w:rPr>
        <w:t>Diario Oficial de San Salvador de 9 de junio de 2016, pág. 124 (Anexo al informe presentado por el Estado el 29 de mayo de 2017)</w:t>
      </w:r>
      <w:r>
        <w:rPr>
          <w:rFonts w:ascii="Verdana" w:hAnsi="Verdana"/>
          <w:sz w:val="16"/>
          <w:szCs w:val="16"/>
          <w:lang w:val="es-CR"/>
        </w:rPr>
        <w:t xml:space="preserve">. </w:t>
      </w:r>
    </w:p>
  </w:footnote>
  <w:footnote w:id="13">
    <w:p w14:paraId="488E176F" w14:textId="041AECE0" w:rsidR="007948E5" w:rsidRPr="007C6093" w:rsidRDefault="007948E5" w:rsidP="007C6093">
      <w:pPr>
        <w:pStyle w:val="FootnoteText"/>
        <w:jc w:val="both"/>
        <w:rPr>
          <w:rFonts w:ascii="Verdana" w:hAnsi="Verdana"/>
          <w:b/>
          <w:sz w:val="16"/>
          <w:szCs w:val="16"/>
          <w:lang w:val="es-CR"/>
        </w:rPr>
      </w:pPr>
      <w:r w:rsidRPr="007C6093">
        <w:rPr>
          <w:rStyle w:val="FootnoteReference"/>
          <w:rFonts w:ascii="Verdana" w:hAnsi="Verdana"/>
          <w:sz w:val="16"/>
          <w:szCs w:val="16"/>
        </w:rPr>
        <w:footnoteRef/>
      </w:r>
      <w:r w:rsidRPr="007C6093">
        <w:rPr>
          <w:rFonts w:ascii="Verdana" w:hAnsi="Verdana"/>
          <w:sz w:val="16"/>
          <w:szCs w:val="16"/>
          <w:lang w:val="es-CR"/>
        </w:rPr>
        <w:t xml:space="preserve"> </w:t>
      </w:r>
      <w:r w:rsidRPr="007C6093">
        <w:rPr>
          <w:rFonts w:ascii="Verdana" w:hAnsi="Verdana"/>
          <w:sz w:val="16"/>
          <w:szCs w:val="16"/>
          <w:lang w:val="es-CR"/>
        </w:rPr>
        <w:tab/>
      </w:r>
      <w:r w:rsidRPr="007C6093">
        <w:rPr>
          <w:rFonts w:ascii="Verdana" w:hAnsi="Verdana"/>
          <w:i/>
          <w:sz w:val="16"/>
          <w:szCs w:val="16"/>
          <w:lang w:val="es-CR"/>
        </w:rPr>
        <w:t xml:space="preserve">Cfr. </w:t>
      </w:r>
      <w:r>
        <w:rPr>
          <w:rFonts w:ascii="Verdana" w:hAnsi="Verdana"/>
          <w:sz w:val="16"/>
          <w:szCs w:val="16"/>
          <w:lang w:val="es-CR"/>
        </w:rPr>
        <w:t xml:space="preserve">Copia del diario </w:t>
      </w:r>
      <w:r w:rsidRPr="007C6093">
        <w:rPr>
          <w:rFonts w:ascii="Verdana" w:hAnsi="Verdana"/>
          <w:sz w:val="16"/>
          <w:szCs w:val="16"/>
          <w:lang w:val="es-CR"/>
        </w:rPr>
        <w:t xml:space="preserve">La Prensa Gráfica de 9 de junio de 2016 (Anexo al informe presentado por el Estado el </w:t>
      </w:r>
      <w:r w:rsidR="00E31150">
        <w:rPr>
          <w:rFonts w:ascii="Verdana" w:hAnsi="Verdana"/>
          <w:sz w:val="16"/>
          <w:szCs w:val="16"/>
          <w:lang w:val="es-CR"/>
        </w:rPr>
        <w:t>8</w:t>
      </w:r>
      <w:r w:rsidRPr="007C6093">
        <w:rPr>
          <w:rFonts w:ascii="Verdana" w:hAnsi="Verdana"/>
          <w:sz w:val="16"/>
          <w:szCs w:val="16"/>
          <w:lang w:val="es-CR"/>
        </w:rPr>
        <w:t xml:space="preserve"> de </w:t>
      </w:r>
      <w:r w:rsidR="00E31150">
        <w:rPr>
          <w:rFonts w:ascii="Verdana" w:hAnsi="Verdana"/>
          <w:sz w:val="16"/>
          <w:szCs w:val="16"/>
          <w:lang w:val="es-CR"/>
        </w:rPr>
        <w:t>junio</w:t>
      </w:r>
      <w:r w:rsidR="00E31150" w:rsidRPr="007C6093">
        <w:rPr>
          <w:rFonts w:ascii="Verdana" w:hAnsi="Verdana"/>
          <w:sz w:val="16"/>
          <w:szCs w:val="16"/>
          <w:lang w:val="es-CR"/>
        </w:rPr>
        <w:t xml:space="preserve"> </w:t>
      </w:r>
      <w:r w:rsidRPr="007C6093">
        <w:rPr>
          <w:rFonts w:ascii="Verdana" w:hAnsi="Verdana"/>
          <w:sz w:val="16"/>
          <w:szCs w:val="16"/>
          <w:lang w:val="es-CR"/>
        </w:rPr>
        <w:t xml:space="preserve">de 2017). </w:t>
      </w:r>
    </w:p>
  </w:footnote>
  <w:footnote w:id="14">
    <w:p w14:paraId="2BC1A1FE" w14:textId="54932404" w:rsidR="007948E5" w:rsidRPr="006B388E" w:rsidRDefault="007948E5" w:rsidP="00243225">
      <w:pPr>
        <w:pStyle w:val="FootnoteText"/>
        <w:jc w:val="both"/>
        <w:rPr>
          <w:b/>
          <w:lang w:val="es-CR"/>
        </w:rPr>
      </w:pPr>
      <w:r w:rsidRPr="006B388E">
        <w:rPr>
          <w:rStyle w:val="FootnoteReference"/>
          <w:rFonts w:ascii="Verdana" w:hAnsi="Verdana"/>
          <w:sz w:val="16"/>
          <w:szCs w:val="16"/>
        </w:rPr>
        <w:footnoteRef/>
      </w:r>
      <w:r w:rsidRPr="006B388E">
        <w:rPr>
          <w:rFonts w:ascii="Verdana" w:hAnsi="Verdana"/>
          <w:sz w:val="16"/>
          <w:szCs w:val="16"/>
          <w:lang w:val="es-CR"/>
        </w:rPr>
        <w:t xml:space="preserve"> </w:t>
      </w:r>
      <w:r w:rsidRPr="006B388E">
        <w:rPr>
          <w:rFonts w:ascii="Verdana" w:hAnsi="Verdana"/>
          <w:sz w:val="16"/>
          <w:szCs w:val="16"/>
          <w:lang w:val="es-CR"/>
        </w:rPr>
        <w:tab/>
      </w:r>
      <w:r w:rsidR="00FC2E72">
        <w:rPr>
          <w:rFonts w:ascii="Verdana" w:hAnsi="Verdana"/>
          <w:sz w:val="16"/>
          <w:szCs w:val="16"/>
          <w:lang w:val="es-CR"/>
        </w:rPr>
        <w:t>En su informe de 8 de junio de 2017, e</w:t>
      </w:r>
      <w:r w:rsidRPr="006B388E">
        <w:rPr>
          <w:rFonts w:ascii="Verdana" w:hAnsi="Verdana"/>
          <w:sz w:val="16"/>
          <w:szCs w:val="16"/>
          <w:lang w:val="es-CR"/>
        </w:rPr>
        <w:t xml:space="preserve">l Estado comunicó que “la publicación íntegra de la sentencia en un sitio </w:t>
      </w:r>
      <w:r w:rsidRPr="006B388E">
        <w:rPr>
          <w:rFonts w:ascii="Verdana" w:hAnsi="Verdana"/>
          <w:i/>
          <w:sz w:val="16"/>
          <w:szCs w:val="16"/>
          <w:lang w:val="es-CR"/>
        </w:rPr>
        <w:t xml:space="preserve">web </w:t>
      </w:r>
      <w:r w:rsidRPr="006B388E">
        <w:rPr>
          <w:rFonts w:ascii="Verdana" w:hAnsi="Verdana"/>
          <w:sz w:val="16"/>
          <w:szCs w:val="16"/>
          <w:lang w:val="es-CR"/>
        </w:rPr>
        <w:t>oficial ha sido realizada en la página de la Procuraduría General de la República, la que a la fecha del presente informe se encuentra disponible al público en general y puede ser consultada en el siguiente enlace:</w:t>
      </w:r>
      <w:r w:rsidR="00243225">
        <w:rPr>
          <w:rFonts w:ascii="Verdana" w:hAnsi="Verdana"/>
          <w:sz w:val="16"/>
          <w:szCs w:val="16"/>
          <w:lang w:val="es-CR"/>
        </w:rPr>
        <w:t xml:space="preserve"> </w:t>
      </w:r>
      <w:hyperlink r:id="rId2" w:history="1">
        <w:r w:rsidR="00243225" w:rsidRPr="0044235D">
          <w:rPr>
            <w:rStyle w:val="Hyperlink"/>
            <w:rFonts w:ascii="Verdana" w:hAnsi="Verdana"/>
            <w:sz w:val="16"/>
            <w:szCs w:val="16"/>
            <w:lang w:val="es-CR"/>
          </w:rPr>
          <w:t>http://www.pgr.gob.sv/documentos/CASO%20RUANO%20TORRES%20Y%20OTROS%20VS%20EL%20SALVADOR.pdf</w:t>
        </w:r>
      </w:hyperlink>
      <w:r w:rsidRPr="006B388E">
        <w:rPr>
          <w:rFonts w:ascii="Verdana" w:hAnsi="Verdana"/>
          <w:sz w:val="16"/>
          <w:szCs w:val="16"/>
          <w:lang w:val="es-CR"/>
        </w:rPr>
        <w:t xml:space="preserve">. </w:t>
      </w:r>
    </w:p>
  </w:footnote>
  <w:footnote w:id="15">
    <w:p w14:paraId="3E706371" w14:textId="126A2809" w:rsidR="007948E5" w:rsidRPr="009F16AE" w:rsidRDefault="007948E5" w:rsidP="009F16AE">
      <w:pPr>
        <w:pStyle w:val="FootnoteText"/>
        <w:jc w:val="both"/>
        <w:rPr>
          <w:rFonts w:ascii="Verdana" w:hAnsi="Verdana"/>
          <w:sz w:val="16"/>
          <w:szCs w:val="16"/>
          <w:lang w:val="es-CR"/>
        </w:rPr>
      </w:pPr>
      <w:r w:rsidRPr="009F16AE">
        <w:rPr>
          <w:rStyle w:val="FootnoteReference"/>
          <w:rFonts w:ascii="Verdana" w:hAnsi="Verdana"/>
          <w:sz w:val="16"/>
          <w:szCs w:val="16"/>
        </w:rPr>
        <w:footnoteRef/>
      </w:r>
      <w:r w:rsidRPr="009F16AE">
        <w:rPr>
          <w:rFonts w:ascii="Verdana" w:hAnsi="Verdana"/>
          <w:sz w:val="16"/>
          <w:szCs w:val="16"/>
          <w:lang w:val="es-CR"/>
        </w:rPr>
        <w:t xml:space="preserve"> </w:t>
      </w:r>
      <w:r w:rsidRPr="009F16AE">
        <w:rPr>
          <w:rFonts w:ascii="Verdana" w:hAnsi="Verdana"/>
          <w:sz w:val="16"/>
          <w:szCs w:val="16"/>
          <w:lang w:val="es-CR"/>
        </w:rPr>
        <w:tab/>
      </w:r>
      <w:r w:rsidRPr="009F16AE">
        <w:rPr>
          <w:rFonts w:ascii="Verdana" w:hAnsi="Verdana"/>
          <w:i/>
          <w:sz w:val="16"/>
          <w:szCs w:val="16"/>
          <w:lang w:val="es-CR"/>
        </w:rPr>
        <w:t>Cfr. Caso Familia Pacheco Tineo Vs. Bolivia</w:t>
      </w:r>
      <w:r w:rsidRPr="009F16AE">
        <w:rPr>
          <w:rFonts w:ascii="Verdana" w:hAnsi="Verdana"/>
          <w:sz w:val="16"/>
          <w:szCs w:val="16"/>
          <w:lang w:val="es-CR"/>
        </w:rPr>
        <w:t xml:space="preserve">. Supervisión de Cumplimiento de Sentencia. Resolución de la Corte Interamericana de Derechos Humanos de 17 de abril de 2015, Considerando 9, y </w:t>
      </w:r>
      <w:r w:rsidRPr="009F16AE">
        <w:rPr>
          <w:rFonts w:ascii="Verdana" w:hAnsi="Verdana"/>
          <w:i/>
          <w:sz w:val="16"/>
          <w:szCs w:val="16"/>
          <w:lang w:val="es-CR"/>
        </w:rPr>
        <w:t xml:space="preserve">Caso </w:t>
      </w:r>
      <w:r w:rsidR="00E31150">
        <w:rPr>
          <w:rFonts w:ascii="Verdana" w:hAnsi="Verdana"/>
          <w:i/>
          <w:sz w:val="16"/>
          <w:szCs w:val="16"/>
          <w:lang w:val="es-CR"/>
        </w:rPr>
        <w:t>I.V. Vs. Bolivia</w:t>
      </w:r>
      <w:r w:rsidRPr="009F16AE">
        <w:rPr>
          <w:rFonts w:ascii="Verdana" w:hAnsi="Verdana"/>
          <w:i/>
          <w:sz w:val="16"/>
          <w:szCs w:val="16"/>
          <w:lang w:val="es-CR"/>
        </w:rPr>
        <w:t xml:space="preserve">. </w:t>
      </w:r>
      <w:r w:rsidRPr="0038539C">
        <w:rPr>
          <w:rFonts w:ascii="Verdana" w:hAnsi="Verdana"/>
          <w:i/>
          <w:sz w:val="16"/>
          <w:szCs w:val="16"/>
          <w:lang w:val="es-CR"/>
        </w:rPr>
        <w:t>Supervisión de Cumplimiento de Sentencia.</w:t>
      </w:r>
      <w:r w:rsidRPr="009F16AE">
        <w:rPr>
          <w:rFonts w:ascii="Verdana" w:hAnsi="Verdana"/>
          <w:sz w:val="16"/>
          <w:szCs w:val="16"/>
          <w:lang w:val="es-CR"/>
        </w:rPr>
        <w:t xml:space="preserve"> Resolución de la Corte Interamericana de Derechos Humanos de </w:t>
      </w:r>
      <w:r w:rsidR="00E31150">
        <w:rPr>
          <w:rFonts w:ascii="Verdana" w:hAnsi="Verdana"/>
          <w:sz w:val="16"/>
          <w:szCs w:val="16"/>
          <w:lang w:val="es-CR"/>
        </w:rPr>
        <w:t>14</w:t>
      </w:r>
      <w:r w:rsidRPr="009F16AE">
        <w:rPr>
          <w:rFonts w:ascii="Verdana" w:hAnsi="Verdana"/>
          <w:sz w:val="16"/>
          <w:szCs w:val="16"/>
          <w:lang w:val="es-CR"/>
        </w:rPr>
        <w:t xml:space="preserve"> de </w:t>
      </w:r>
      <w:r w:rsidR="00E31150">
        <w:rPr>
          <w:rFonts w:ascii="Verdana" w:hAnsi="Verdana"/>
          <w:sz w:val="16"/>
          <w:szCs w:val="16"/>
          <w:lang w:val="es-CR"/>
        </w:rPr>
        <w:t>noviembre</w:t>
      </w:r>
      <w:r w:rsidR="00E31150" w:rsidRPr="009F16AE">
        <w:rPr>
          <w:rFonts w:ascii="Verdana" w:hAnsi="Verdana"/>
          <w:sz w:val="16"/>
          <w:szCs w:val="16"/>
          <w:lang w:val="es-CR"/>
        </w:rPr>
        <w:t xml:space="preserve"> </w:t>
      </w:r>
      <w:r w:rsidRPr="009F16AE">
        <w:rPr>
          <w:rFonts w:ascii="Verdana" w:hAnsi="Verdana"/>
          <w:sz w:val="16"/>
          <w:szCs w:val="16"/>
          <w:lang w:val="es-CR"/>
        </w:rPr>
        <w:t>de 2017</w:t>
      </w:r>
      <w:r w:rsidR="00E31150">
        <w:rPr>
          <w:rFonts w:ascii="Verdana" w:hAnsi="Verdana"/>
          <w:sz w:val="16"/>
          <w:szCs w:val="16"/>
          <w:lang w:val="es-CR"/>
        </w:rPr>
        <w:t>, Considerando 9</w:t>
      </w:r>
      <w:r w:rsidRPr="009F16AE">
        <w:rPr>
          <w:rFonts w:ascii="Verdana" w:hAnsi="Verdana"/>
          <w:sz w:val="16"/>
          <w:szCs w:val="16"/>
          <w:lang w:val="es-CR"/>
        </w:rPr>
        <w:t>.</w:t>
      </w:r>
    </w:p>
  </w:footnote>
  <w:footnote w:id="16">
    <w:p w14:paraId="41FDB59F" w14:textId="58DF3879" w:rsidR="00A768F4" w:rsidRPr="00A768F4" w:rsidRDefault="00A768F4" w:rsidP="00A768F4">
      <w:pPr>
        <w:pStyle w:val="FootnoteText"/>
        <w:jc w:val="both"/>
        <w:rPr>
          <w:rFonts w:ascii="Verdana" w:hAnsi="Verdana"/>
          <w:sz w:val="16"/>
          <w:szCs w:val="16"/>
          <w:lang w:val="es-CR"/>
        </w:rPr>
      </w:pPr>
      <w:r w:rsidRPr="00A768F4">
        <w:rPr>
          <w:rStyle w:val="FootnoteReference"/>
          <w:rFonts w:ascii="Verdana" w:hAnsi="Verdana"/>
          <w:sz w:val="16"/>
          <w:szCs w:val="16"/>
        </w:rPr>
        <w:footnoteRef/>
      </w:r>
      <w:r w:rsidRPr="00A768F4">
        <w:rPr>
          <w:rFonts w:ascii="Verdana" w:hAnsi="Verdana"/>
          <w:sz w:val="16"/>
          <w:szCs w:val="16"/>
          <w:lang w:val="es-CR"/>
        </w:rPr>
        <w:t xml:space="preserve"> </w:t>
      </w:r>
      <w:r w:rsidRPr="00A768F4">
        <w:rPr>
          <w:rFonts w:ascii="Verdana" w:hAnsi="Verdana"/>
          <w:sz w:val="16"/>
          <w:szCs w:val="16"/>
          <w:lang w:val="es-CR"/>
        </w:rPr>
        <w:tab/>
        <w:t>Del acta consta que “</w:t>
      </w:r>
      <w:r w:rsidR="00E31150">
        <w:rPr>
          <w:rFonts w:ascii="Verdana" w:hAnsi="Verdana"/>
          <w:sz w:val="16"/>
          <w:szCs w:val="16"/>
          <w:lang w:val="es-CR"/>
        </w:rPr>
        <w:t>[</w:t>
      </w:r>
      <w:r w:rsidRPr="00A768F4">
        <w:rPr>
          <w:rFonts w:ascii="Verdana" w:hAnsi="Verdana"/>
          <w:sz w:val="16"/>
          <w:szCs w:val="16"/>
          <w:lang w:val="es-CR"/>
        </w:rPr>
        <w:t>e</w:t>
      </w:r>
      <w:r w:rsidR="00E31150">
        <w:rPr>
          <w:rFonts w:ascii="Verdana" w:hAnsi="Verdana"/>
          <w:sz w:val="16"/>
          <w:szCs w:val="16"/>
          <w:lang w:val="es-CR"/>
        </w:rPr>
        <w:t>]</w:t>
      </w:r>
      <w:r w:rsidRPr="00A768F4">
        <w:rPr>
          <w:rFonts w:ascii="Verdana" w:hAnsi="Verdana"/>
          <w:sz w:val="16"/>
          <w:szCs w:val="16"/>
          <w:lang w:val="es-CR"/>
        </w:rPr>
        <w:t xml:space="preserve">l señor Jose Agapito Ruano Torres dio su consentimiento para que la colocación y develación de la placa sea realizada en los términos antes dicho por parte de los funcionarios del Ministerio de Relaciones Exteriores”. </w:t>
      </w:r>
    </w:p>
  </w:footnote>
  <w:footnote w:id="17">
    <w:p w14:paraId="3C5EA700" w14:textId="6C446CF3" w:rsidR="007948E5" w:rsidRPr="002235D2" w:rsidRDefault="007948E5" w:rsidP="002235D2">
      <w:pPr>
        <w:pStyle w:val="FootnoteText"/>
        <w:jc w:val="both"/>
        <w:rPr>
          <w:rFonts w:ascii="Verdana" w:hAnsi="Verdana"/>
          <w:sz w:val="16"/>
          <w:szCs w:val="16"/>
          <w:lang w:val="es-CR"/>
        </w:rPr>
      </w:pPr>
      <w:r w:rsidRPr="002235D2">
        <w:rPr>
          <w:rStyle w:val="FootnoteReference"/>
          <w:rFonts w:ascii="Verdana" w:hAnsi="Verdana"/>
          <w:sz w:val="16"/>
          <w:szCs w:val="16"/>
        </w:rPr>
        <w:footnoteRef/>
      </w:r>
      <w:r w:rsidRPr="002235D2">
        <w:rPr>
          <w:rFonts w:ascii="Verdana" w:hAnsi="Verdana"/>
          <w:sz w:val="16"/>
          <w:szCs w:val="16"/>
          <w:lang w:val="es-CR"/>
        </w:rPr>
        <w:t xml:space="preserve"> </w:t>
      </w:r>
      <w:r w:rsidRPr="002235D2">
        <w:rPr>
          <w:rFonts w:ascii="Verdana" w:hAnsi="Verdana"/>
          <w:sz w:val="16"/>
          <w:szCs w:val="16"/>
          <w:lang w:val="es-CR"/>
        </w:rPr>
        <w:tab/>
      </w:r>
      <w:r w:rsidRPr="002235D2">
        <w:rPr>
          <w:rFonts w:ascii="Verdana" w:hAnsi="Verdana"/>
          <w:i/>
          <w:sz w:val="16"/>
          <w:szCs w:val="16"/>
          <w:lang w:val="es-CR"/>
        </w:rPr>
        <w:t xml:space="preserve">Cfr. </w:t>
      </w:r>
      <w:r w:rsidRPr="002235D2">
        <w:rPr>
          <w:rFonts w:ascii="Verdana" w:hAnsi="Verdana"/>
          <w:sz w:val="16"/>
          <w:szCs w:val="16"/>
          <w:lang w:val="es-CR"/>
        </w:rPr>
        <w:t>Nota de Prensa</w:t>
      </w:r>
      <w:r w:rsidR="00C971DE">
        <w:rPr>
          <w:rFonts w:ascii="Verdana" w:hAnsi="Verdana"/>
          <w:sz w:val="16"/>
          <w:szCs w:val="16"/>
          <w:lang w:val="es-CR"/>
        </w:rPr>
        <w:t xml:space="preserve"> titulada</w:t>
      </w:r>
      <w:r w:rsidRPr="002235D2">
        <w:rPr>
          <w:rFonts w:ascii="Verdana" w:hAnsi="Verdana"/>
          <w:sz w:val="16"/>
          <w:szCs w:val="16"/>
          <w:lang w:val="es-CR"/>
        </w:rPr>
        <w:t xml:space="preserve"> “Estado salvadoreño realiza acto de develación de placa sobre caso Ruano Torres”, disponible en el siguiente enlace: </w:t>
      </w:r>
      <w:hyperlink r:id="rId3" w:history="1">
        <w:r w:rsidRPr="002235D2">
          <w:rPr>
            <w:rStyle w:val="Hyperlink"/>
            <w:rFonts w:ascii="Verdana" w:hAnsi="Verdana"/>
            <w:sz w:val="16"/>
            <w:szCs w:val="16"/>
            <w:lang w:val="es-CR"/>
          </w:rPr>
          <w:t>http://www.rree.gob.sv/index.php?option=com_k2&amp;view=item&amp;id=6182:estado-salvadoreno-realiza-acto-de-develacion-de-placa-sobre-caso-ruano-torres&amp;Itemid=1770</w:t>
        </w:r>
      </w:hyperlink>
      <w:r w:rsidRPr="002235D2">
        <w:rPr>
          <w:rFonts w:ascii="Verdana" w:hAnsi="Verdana"/>
          <w:sz w:val="16"/>
          <w:szCs w:val="16"/>
          <w:lang w:val="es-CR"/>
        </w:rPr>
        <w:t xml:space="preserve"> (anexo al informe presentado </w:t>
      </w:r>
      <w:r w:rsidR="00C971DE">
        <w:rPr>
          <w:rFonts w:ascii="Verdana" w:hAnsi="Verdana"/>
          <w:sz w:val="16"/>
          <w:szCs w:val="16"/>
          <w:lang w:val="es-CR"/>
        </w:rPr>
        <w:t xml:space="preserve">por </w:t>
      </w:r>
      <w:r w:rsidRPr="002235D2">
        <w:rPr>
          <w:rFonts w:ascii="Verdana" w:hAnsi="Verdana"/>
          <w:sz w:val="16"/>
          <w:szCs w:val="16"/>
          <w:lang w:val="es-CR"/>
        </w:rPr>
        <w:t xml:space="preserve">el Estado de 8 de junio de 2017). </w:t>
      </w:r>
    </w:p>
  </w:footnote>
  <w:footnote w:id="18">
    <w:p w14:paraId="4DA625DE" w14:textId="17456122" w:rsidR="00BE1920" w:rsidRPr="00766275" w:rsidRDefault="00BE1920" w:rsidP="00BE1920">
      <w:pPr>
        <w:pStyle w:val="FootnoteText"/>
        <w:jc w:val="both"/>
        <w:rPr>
          <w:rFonts w:ascii="Verdana" w:hAnsi="Verdana"/>
          <w:sz w:val="16"/>
          <w:szCs w:val="16"/>
          <w:lang w:val="es-CR"/>
        </w:rPr>
      </w:pPr>
      <w:r w:rsidRPr="00DF4963">
        <w:rPr>
          <w:rStyle w:val="FootnoteReference"/>
          <w:rFonts w:ascii="Verdana" w:hAnsi="Verdana"/>
          <w:sz w:val="16"/>
          <w:szCs w:val="16"/>
        </w:rPr>
        <w:footnoteRef/>
      </w:r>
      <w:r w:rsidRPr="00DF4963">
        <w:rPr>
          <w:rFonts w:ascii="Verdana" w:hAnsi="Verdana"/>
          <w:sz w:val="16"/>
          <w:szCs w:val="16"/>
          <w:lang w:val="es-CR"/>
        </w:rPr>
        <w:t xml:space="preserve"> </w:t>
      </w:r>
      <w:r w:rsidRPr="00DF4963">
        <w:rPr>
          <w:rFonts w:ascii="Verdana" w:hAnsi="Verdana"/>
          <w:sz w:val="16"/>
          <w:szCs w:val="16"/>
          <w:lang w:val="es-CR"/>
        </w:rPr>
        <w:tab/>
        <w:t xml:space="preserve">El representante indicó que </w:t>
      </w:r>
      <w:r w:rsidR="005A7ADD">
        <w:rPr>
          <w:rFonts w:ascii="Verdana" w:hAnsi="Verdana"/>
          <w:sz w:val="16"/>
          <w:szCs w:val="16"/>
          <w:lang w:val="es-CR"/>
        </w:rPr>
        <w:t xml:space="preserve">se </w:t>
      </w:r>
      <w:r w:rsidRPr="00DF4963">
        <w:rPr>
          <w:rFonts w:ascii="Verdana" w:hAnsi="Verdana"/>
          <w:sz w:val="16"/>
          <w:szCs w:val="16"/>
          <w:lang w:val="es-CR"/>
        </w:rPr>
        <w:t xml:space="preserve">“cumplió con develar una placa en la sede de la </w:t>
      </w:r>
      <w:r>
        <w:rPr>
          <w:rFonts w:ascii="Verdana" w:hAnsi="Verdana"/>
          <w:sz w:val="16"/>
          <w:szCs w:val="16"/>
          <w:lang w:val="es-CR"/>
        </w:rPr>
        <w:t xml:space="preserve">[Procuraduría General de la República] </w:t>
      </w:r>
      <w:r w:rsidRPr="00DF4963">
        <w:rPr>
          <w:rFonts w:ascii="Verdana" w:hAnsi="Verdana"/>
          <w:sz w:val="16"/>
          <w:szCs w:val="16"/>
          <w:lang w:val="es-CR"/>
        </w:rPr>
        <w:t xml:space="preserve">y ofrecer disculpas en nombre del Estado a favor de las víctimas en el presente caso, lo cual es parte del resarcimiento por el daño moral provocado a las víctimas…”. </w:t>
      </w:r>
      <w:r>
        <w:rPr>
          <w:rFonts w:ascii="Verdana" w:hAnsi="Verdana"/>
          <w:b/>
          <w:sz w:val="16"/>
          <w:szCs w:val="16"/>
          <w:lang w:val="es-CR"/>
        </w:rPr>
        <w:t xml:space="preserve"> </w:t>
      </w:r>
    </w:p>
  </w:footnote>
  <w:footnote w:id="19">
    <w:p w14:paraId="38EBEF4B" w14:textId="5BAC24ED" w:rsidR="007948E5" w:rsidRPr="007C6093" w:rsidRDefault="007948E5">
      <w:pPr>
        <w:pStyle w:val="FootnoteText"/>
        <w:rPr>
          <w:rFonts w:ascii="Verdana" w:hAnsi="Verdana"/>
          <w:sz w:val="16"/>
          <w:szCs w:val="16"/>
          <w:lang w:val="es-CR"/>
        </w:rPr>
      </w:pPr>
      <w:r w:rsidRPr="007C6093">
        <w:rPr>
          <w:rStyle w:val="FootnoteReference"/>
          <w:rFonts w:ascii="Verdana" w:hAnsi="Verdana"/>
          <w:sz w:val="16"/>
          <w:szCs w:val="16"/>
        </w:rPr>
        <w:footnoteRef/>
      </w:r>
      <w:r w:rsidRPr="007C6093">
        <w:rPr>
          <w:rFonts w:ascii="Verdana" w:hAnsi="Verdana"/>
          <w:sz w:val="16"/>
          <w:szCs w:val="16"/>
          <w:lang w:val="es-CR"/>
        </w:rPr>
        <w:t xml:space="preserve"> </w:t>
      </w:r>
      <w:r w:rsidRPr="007C6093">
        <w:rPr>
          <w:rFonts w:ascii="Verdana" w:hAnsi="Verdana"/>
          <w:sz w:val="16"/>
          <w:szCs w:val="16"/>
          <w:lang w:val="es-CR"/>
        </w:rPr>
        <w:tab/>
        <w:t xml:space="preserve">Cheque N°2423-6 emitido por el Consulado General de El Salvador en Costa Rica. </w:t>
      </w:r>
    </w:p>
  </w:footnote>
  <w:footnote w:id="20">
    <w:p w14:paraId="22091E40" w14:textId="08682BB3" w:rsidR="007948E5" w:rsidRPr="00467E3F" w:rsidRDefault="007948E5" w:rsidP="00467E3F">
      <w:pPr>
        <w:pStyle w:val="FootnoteText"/>
        <w:jc w:val="both"/>
        <w:rPr>
          <w:rFonts w:ascii="Verdana" w:hAnsi="Verdana"/>
          <w:sz w:val="16"/>
          <w:szCs w:val="16"/>
          <w:lang w:val="es-CR"/>
        </w:rPr>
      </w:pPr>
      <w:r w:rsidRPr="00467E3F">
        <w:rPr>
          <w:rStyle w:val="FootnoteReference"/>
          <w:rFonts w:ascii="Verdana" w:hAnsi="Verdana"/>
          <w:sz w:val="16"/>
          <w:szCs w:val="16"/>
        </w:rPr>
        <w:footnoteRef/>
      </w:r>
      <w:r w:rsidRPr="00467E3F">
        <w:rPr>
          <w:rFonts w:ascii="Verdana" w:hAnsi="Verdana"/>
          <w:sz w:val="16"/>
          <w:szCs w:val="16"/>
          <w:lang w:val="es-CR"/>
        </w:rPr>
        <w:t xml:space="preserve"> </w:t>
      </w:r>
      <w:r w:rsidRPr="00467E3F">
        <w:rPr>
          <w:rFonts w:ascii="Verdana" w:hAnsi="Verdana"/>
          <w:sz w:val="16"/>
          <w:szCs w:val="16"/>
          <w:lang w:val="es-CR"/>
        </w:rPr>
        <w:tab/>
        <w:t xml:space="preserve">El plazo de noventa días dispuesto en la Sentencia para el reintegro al Fondo de Asistencia vencía el </w:t>
      </w:r>
      <w:r>
        <w:rPr>
          <w:rFonts w:ascii="Verdana" w:hAnsi="Verdana"/>
          <w:sz w:val="16"/>
          <w:szCs w:val="16"/>
          <w:lang w:val="es-CR"/>
        </w:rPr>
        <w:t>1</w:t>
      </w:r>
      <w:r w:rsidR="0051670E">
        <w:rPr>
          <w:rFonts w:ascii="Verdana" w:hAnsi="Verdana"/>
          <w:sz w:val="16"/>
          <w:szCs w:val="16"/>
          <w:lang w:val="es-CR"/>
        </w:rPr>
        <w:t>7</w:t>
      </w:r>
      <w:r>
        <w:rPr>
          <w:rFonts w:ascii="Verdana" w:hAnsi="Verdana"/>
          <w:sz w:val="16"/>
          <w:szCs w:val="16"/>
          <w:lang w:val="es-CR"/>
        </w:rPr>
        <w:t xml:space="preserve"> de marzo de 2016</w:t>
      </w:r>
      <w:r w:rsidRPr="00467E3F">
        <w:rPr>
          <w:rFonts w:ascii="Verdana" w:hAnsi="Verdana"/>
          <w:sz w:val="16"/>
          <w:szCs w:val="16"/>
          <w:lang w:val="es-CR"/>
        </w:rPr>
        <w:t>. El Estado hizo efectivo el pago por dicho concepto entregando a la Corte un cheque el 18 de octubre de 2017.</w:t>
      </w:r>
    </w:p>
  </w:footnote>
  <w:footnote w:id="21">
    <w:p w14:paraId="37F58DA5" w14:textId="1039DFA4" w:rsidR="005A7ADD" w:rsidRPr="005A7ADD" w:rsidRDefault="005A7ADD" w:rsidP="005A7ADD">
      <w:pPr>
        <w:pStyle w:val="FootnoteText"/>
        <w:jc w:val="both"/>
        <w:rPr>
          <w:rFonts w:ascii="Verdana" w:hAnsi="Verdana"/>
          <w:sz w:val="16"/>
          <w:szCs w:val="16"/>
          <w:lang w:val="es-CR"/>
        </w:rPr>
      </w:pPr>
      <w:r w:rsidRPr="005A7ADD">
        <w:rPr>
          <w:rStyle w:val="FootnoteReference"/>
          <w:rFonts w:ascii="Verdana" w:hAnsi="Verdana"/>
          <w:sz w:val="16"/>
          <w:szCs w:val="16"/>
        </w:rPr>
        <w:footnoteRef/>
      </w:r>
      <w:r w:rsidRPr="005A7ADD">
        <w:rPr>
          <w:rFonts w:ascii="Verdana" w:hAnsi="Verdana"/>
          <w:sz w:val="16"/>
          <w:szCs w:val="16"/>
          <w:lang w:val="es-CR"/>
        </w:rPr>
        <w:t xml:space="preserve"> </w:t>
      </w:r>
      <w:r w:rsidRPr="005A7ADD">
        <w:rPr>
          <w:rFonts w:ascii="Verdana" w:hAnsi="Verdana"/>
          <w:sz w:val="16"/>
          <w:szCs w:val="16"/>
          <w:lang w:val="es-CR"/>
        </w:rPr>
        <w:tab/>
        <w:t>En el párrafo 265 de la Sentencia, la Corte dispuso que “[e]n caso de que el Estado incurriera en mora […]deberá pagar un interés sobre la cantidad adeudada correspondiente al interés bancario moratorio en la República de El Salvador”.</w:t>
      </w:r>
    </w:p>
  </w:footnote>
  <w:footnote w:id="22">
    <w:p w14:paraId="4E47E870" w14:textId="77777777" w:rsidR="007948E5" w:rsidRPr="007E0A0A" w:rsidRDefault="007948E5" w:rsidP="007E0A0A">
      <w:pPr>
        <w:pStyle w:val="FootnoteText"/>
        <w:jc w:val="both"/>
        <w:rPr>
          <w:rFonts w:ascii="Verdana" w:hAnsi="Verdana"/>
          <w:sz w:val="16"/>
          <w:szCs w:val="16"/>
          <w:lang w:val="es-CR"/>
        </w:rPr>
      </w:pPr>
      <w:r>
        <w:rPr>
          <w:rStyle w:val="FootnoteReference"/>
          <w:rFonts w:ascii="Verdana" w:hAnsi="Verdana"/>
          <w:sz w:val="16"/>
          <w:szCs w:val="16"/>
        </w:rPr>
        <w:footnoteRef/>
      </w:r>
      <w:r w:rsidRPr="007E0A0A">
        <w:rPr>
          <w:rFonts w:ascii="Verdana" w:hAnsi="Verdana"/>
          <w:sz w:val="16"/>
          <w:szCs w:val="16"/>
          <w:lang w:val="es-CR"/>
        </w:rPr>
        <w:t xml:space="preserve"> </w:t>
      </w:r>
      <w:r w:rsidRPr="007E0A0A">
        <w:rPr>
          <w:rFonts w:ascii="Verdana" w:hAnsi="Verdana"/>
          <w:sz w:val="16"/>
          <w:szCs w:val="16"/>
          <w:lang w:val="es-CR"/>
        </w:rPr>
        <w:tab/>
        <w:t>Con el “objeto [de] facilitar acceso al sistema interamericano de derechos humanos a aquellas personas que actualmente no tienen los recursos necesarios para llevar su caso al sistema”. 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párrafo dispositivo 2.</w:t>
      </w:r>
      <w:r>
        <w:rPr>
          <w:rFonts w:ascii="Verdana" w:hAnsi="Verdana"/>
          <w:sz w:val="16"/>
          <w:szCs w:val="16"/>
          <w:lang w:val="es-ES"/>
        </w:rPr>
        <w:t>a</w:t>
      </w:r>
      <w:r w:rsidRPr="007E0A0A">
        <w:rPr>
          <w:rFonts w:ascii="Verdana" w:hAnsi="Verdana"/>
          <w:sz w:val="16"/>
          <w:szCs w:val="16"/>
          <w:lang w:val="es-CR"/>
        </w:rPr>
        <w:t>.</w:t>
      </w:r>
    </w:p>
  </w:footnote>
  <w:footnote w:id="23">
    <w:p w14:paraId="37ACE283" w14:textId="77777777" w:rsidR="007948E5" w:rsidRPr="007E0A0A" w:rsidRDefault="007948E5" w:rsidP="007E0A0A">
      <w:pPr>
        <w:pStyle w:val="FootnoteText"/>
        <w:jc w:val="both"/>
        <w:rPr>
          <w:rFonts w:ascii="Verdana" w:hAnsi="Verdana"/>
          <w:sz w:val="16"/>
          <w:szCs w:val="16"/>
          <w:lang w:val="es-CR"/>
        </w:rPr>
      </w:pPr>
      <w:r>
        <w:rPr>
          <w:rStyle w:val="FootnoteReference"/>
          <w:rFonts w:ascii="Verdana" w:hAnsi="Verdana"/>
          <w:sz w:val="16"/>
          <w:szCs w:val="16"/>
        </w:rPr>
        <w:footnoteRef/>
      </w:r>
      <w:r w:rsidRPr="007E0A0A">
        <w:rPr>
          <w:rFonts w:ascii="Verdana" w:hAnsi="Verdana"/>
          <w:sz w:val="16"/>
          <w:szCs w:val="16"/>
          <w:lang w:val="es-CR"/>
        </w:rPr>
        <w:t xml:space="preserve"> </w:t>
      </w:r>
      <w:r w:rsidRPr="007E0A0A">
        <w:rPr>
          <w:rFonts w:ascii="Verdana" w:hAnsi="Verdana"/>
          <w:sz w:val="16"/>
          <w:szCs w:val="16"/>
          <w:lang w:val="es-CR"/>
        </w:rPr>
        <w:tab/>
        <w:t xml:space="preserve">El artículo 2.1 del Reglamento del Fondo de Asistencia Legal de Víctimas del Sistema Interamericano, estipuló que éste se financia por medio de los “[a]portes de capital voluntarios de los Estados miembros de la OEA, de los Estados Observadores Permanentes, y de otros Estados y donantes que deseen colaborar”. CP/RES. 963 (1728/09), Resolución adoptada el 11 de noviembre de 2009 por el Consejo Permanente de la OEA, “Reglamento para el Funcionamiento del Fondo de Asistencia Legal del Sistema Interamericano de Derechos Humanos”, artículo 2.1. </w:t>
      </w:r>
    </w:p>
  </w:footnote>
  <w:footnote w:id="24">
    <w:p w14:paraId="7E7A7C8D" w14:textId="77777777" w:rsidR="007948E5" w:rsidRDefault="007948E5" w:rsidP="007E0A0A">
      <w:pPr>
        <w:pStyle w:val="FootnoteText"/>
        <w:jc w:val="both"/>
        <w:rPr>
          <w:rFonts w:ascii="Verdana" w:hAnsi="Verdana"/>
          <w:sz w:val="16"/>
          <w:szCs w:val="16"/>
          <w:lang w:val="es-CR"/>
        </w:rPr>
      </w:pPr>
      <w:r>
        <w:rPr>
          <w:rStyle w:val="FootnoteReference"/>
          <w:rFonts w:ascii="Verdana" w:hAnsi="Verdana"/>
          <w:sz w:val="16"/>
          <w:szCs w:val="16"/>
        </w:rPr>
        <w:footnoteRef/>
      </w:r>
      <w:r w:rsidRPr="007E0A0A">
        <w:rPr>
          <w:rFonts w:ascii="Verdana" w:hAnsi="Verdana"/>
          <w:sz w:val="16"/>
          <w:szCs w:val="16"/>
          <w:lang w:val="es-CR"/>
        </w:rPr>
        <w:t xml:space="preserve"> </w:t>
      </w:r>
      <w:r w:rsidRPr="007E0A0A">
        <w:rPr>
          <w:rFonts w:ascii="Verdana" w:hAnsi="Verdana"/>
          <w:sz w:val="16"/>
          <w:szCs w:val="16"/>
          <w:lang w:val="es-CR"/>
        </w:rPr>
        <w:tab/>
        <w:t>El Fondo de Asistencia Legal de Víctimas de la Corte Interamericana no cuenta con recursos del presupuesto ordinario de la OEA. Hasta la fecha los fondos provienen de proyectos de cooperación firmados por el Tribunal con Noruega y Dinamarca, y del aporte voluntario realizado por Colombia. Al respecto ver: Informe Anual de la Corte Interamericana de Derechos Humanos de 201</w:t>
      </w:r>
      <w:r>
        <w:rPr>
          <w:rFonts w:ascii="Verdana" w:hAnsi="Verdana"/>
          <w:sz w:val="16"/>
          <w:szCs w:val="16"/>
          <w:lang w:val="es-CR"/>
        </w:rPr>
        <w:t>6</w:t>
      </w:r>
      <w:r w:rsidRPr="007E0A0A">
        <w:rPr>
          <w:rFonts w:ascii="Verdana" w:hAnsi="Verdana"/>
          <w:sz w:val="16"/>
          <w:szCs w:val="16"/>
          <w:lang w:val="es-CR"/>
        </w:rPr>
        <w:t xml:space="preserve">, págs. </w:t>
      </w:r>
      <w:r>
        <w:rPr>
          <w:rFonts w:ascii="Verdana" w:hAnsi="Verdana"/>
          <w:sz w:val="16"/>
          <w:szCs w:val="16"/>
          <w:lang w:val="es-CR"/>
        </w:rPr>
        <w:t>177</w:t>
      </w:r>
      <w:r w:rsidRPr="007E0A0A">
        <w:rPr>
          <w:rFonts w:ascii="Verdana" w:hAnsi="Verdana"/>
          <w:sz w:val="16"/>
          <w:szCs w:val="16"/>
          <w:lang w:val="es-CR"/>
        </w:rPr>
        <w:t xml:space="preserve"> a </w:t>
      </w:r>
      <w:r>
        <w:rPr>
          <w:rFonts w:ascii="Verdana" w:hAnsi="Verdana"/>
          <w:sz w:val="16"/>
          <w:szCs w:val="16"/>
          <w:lang w:val="es-CR"/>
        </w:rPr>
        <w:t>187</w:t>
      </w:r>
      <w:r w:rsidRPr="007E0A0A">
        <w:rPr>
          <w:rFonts w:ascii="Verdana" w:hAnsi="Verdana"/>
          <w:sz w:val="16"/>
          <w:szCs w:val="16"/>
          <w:lang w:val="es-CR"/>
        </w:rPr>
        <w:t xml:space="preserve">, disponible en: </w:t>
      </w:r>
      <w:hyperlink r:id="rId4" w:history="1">
        <w:r w:rsidRPr="007E0A0A">
          <w:rPr>
            <w:rStyle w:val="Hyperlink"/>
            <w:rFonts w:ascii="Verdana" w:hAnsi="Verdana"/>
            <w:sz w:val="16"/>
            <w:szCs w:val="16"/>
            <w:lang w:val="es-CR"/>
          </w:rPr>
          <w:t>http://www.corteidh.or.cr/sitios/informes/docs/SPA/spa_2016.pdf</w:t>
        </w:r>
      </w:hyperlink>
      <w:r>
        <w:rPr>
          <w:rFonts w:ascii="Verdana" w:hAnsi="Verdana"/>
          <w:sz w:val="16"/>
          <w:szCs w:val="16"/>
          <w:lang w:val="es-CR"/>
        </w:rPr>
        <w:t xml:space="preserve">. </w:t>
      </w:r>
    </w:p>
  </w:footnote>
  <w:footnote w:id="25">
    <w:p w14:paraId="03EDEB82" w14:textId="7A5BD775" w:rsidR="00D44755" w:rsidRPr="00D44755" w:rsidRDefault="00D44755" w:rsidP="00D44755">
      <w:pPr>
        <w:pStyle w:val="FootnoteText"/>
        <w:jc w:val="both"/>
        <w:rPr>
          <w:rFonts w:ascii="Verdana" w:hAnsi="Verdana"/>
          <w:sz w:val="16"/>
          <w:szCs w:val="16"/>
          <w:lang w:val="es-CR"/>
        </w:rPr>
      </w:pPr>
      <w:r w:rsidRPr="00D44755">
        <w:rPr>
          <w:rStyle w:val="FootnoteReference"/>
          <w:rFonts w:ascii="Verdana" w:hAnsi="Verdana"/>
          <w:sz w:val="16"/>
          <w:szCs w:val="16"/>
        </w:rPr>
        <w:footnoteRef/>
      </w:r>
      <w:r w:rsidRPr="00D44755">
        <w:rPr>
          <w:rFonts w:ascii="Verdana" w:hAnsi="Verdana"/>
          <w:sz w:val="16"/>
          <w:szCs w:val="16"/>
          <w:lang w:val="es-CR"/>
        </w:rPr>
        <w:t xml:space="preserve"> </w:t>
      </w:r>
      <w:r w:rsidRPr="00D44755">
        <w:rPr>
          <w:rFonts w:ascii="Verdana" w:hAnsi="Verdana"/>
          <w:sz w:val="16"/>
          <w:szCs w:val="16"/>
          <w:lang w:val="es-CR"/>
        </w:rPr>
        <w:tab/>
      </w:r>
      <w:r>
        <w:rPr>
          <w:rFonts w:ascii="Verdana" w:hAnsi="Verdana"/>
          <w:sz w:val="16"/>
          <w:szCs w:val="16"/>
          <w:lang w:val="es-CR"/>
        </w:rPr>
        <w:t>En el punto resolutivo décimo de la Sentencia, l</w:t>
      </w:r>
      <w:r w:rsidRPr="00D44755">
        <w:rPr>
          <w:rFonts w:ascii="Verdana" w:hAnsi="Verdana"/>
          <w:sz w:val="16"/>
          <w:szCs w:val="16"/>
          <w:lang w:val="es-CR"/>
        </w:rPr>
        <w:t>a Corte ordenó iniciar y conducir eficazmente, en un plazo razonable, la investigación y proceso penal de los actos violatorios del artículo 5.2 de la Convención cometidos en contra del señor José Agapito Ruano Torres, para determinar las eventuales responsabilidades penales y, en su caso, aplicar efectivamente las sanciones y consecuencias que la ley prevea</w:t>
      </w:r>
      <w:r>
        <w:rPr>
          <w:rFonts w:ascii="Verdana" w:hAnsi="Verdana"/>
          <w:sz w:val="16"/>
          <w:szCs w:val="16"/>
          <w:lang w:val="es-CR"/>
        </w:rPr>
        <w:t>.</w:t>
      </w:r>
    </w:p>
  </w:footnote>
  <w:footnote w:id="26">
    <w:p w14:paraId="3A952469" w14:textId="487C8202" w:rsidR="007948E5" w:rsidRPr="008430D4" w:rsidRDefault="007948E5" w:rsidP="008430D4">
      <w:pPr>
        <w:pStyle w:val="FootnoteText"/>
        <w:jc w:val="both"/>
        <w:rPr>
          <w:rFonts w:ascii="Verdana" w:hAnsi="Verdana"/>
          <w:sz w:val="16"/>
          <w:szCs w:val="16"/>
          <w:lang w:val="es-ES_tradnl"/>
        </w:rPr>
      </w:pPr>
      <w:r w:rsidRPr="008430D4">
        <w:rPr>
          <w:rStyle w:val="FootnoteReference"/>
          <w:rFonts w:ascii="Verdana" w:hAnsi="Verdana"/>
          <w:sz w:val="16"/>
          <w:szCs w:val="16"/>
        </w:rPr>
        <w:footnoteRef/>
      </w:r>
      <w:r w:rsidRPr="008430D4">
        <w:rPr>
          <w:rFonts w:ascii="Verdana" w:hAnsi="Verdana"/>
          <w:sz w:val="16"/>
          <w:szCs w:val="16"/>
          <w:lang w:val="es-CR"/>
        </w:rPr>
        <w:t xml:space="preserve"> </w:t>
      </w:r>
      <w:r w:rsidRPr="008430D4">
        <w:rPr>
          <w:rFonts w:ascii="Verdana" w:hAnsi="Verdana"/>
          <w:sz w:val="16"/>
          <w:szCs w:val="16"/>
          <w:lang w:val="es-CR"/>
        </w:rPr>
        <w:tab/>
        <w:t>El Estado indicó que “[e]ntre las diligencias pendientes de realizar, la Fiscalía General de la República ha informado de la toma de entrevista al señor Ruano Torres, así como de la ubicación de posibles testigos y la práctica de peritaje en la víctima que permita establecer las secuelas físicas y psicológicas de los hechos”.</w:t>
      </w:r>
    </w:p>
  </w:footnote>
  <w:footnote w:id="27">
    <w:p w14:paraId="1E6C989C" w14:textId="4C8F499A" w:rsidR="00D44755" w:rsidRPr="00D44755" w:rsidRDefault="00D44755" w:rsidP="00D44755">
      <w:pPr>
        <w:pStyle w:val="FootnoteText"/>
        <w:jc w:val="both"/>
        <w:rPr>
          <w:rFonts w:ascii="Verdana" w:hAnsi="Verdana"/>
          <w:sz w:val="16"/>
          <w:szCs w:val="16"/>
          <w:lang w:val="es-CR"/>
        </w:rPr>
      </w:pPr>
      <w:r w:rsidRPr="00D44755">
        <w:rPr>
          <w:rStyle w:val="FootnoteReference"/>
          <w:rFonts w:ascii="Verdana" w:hAnsi="Verdana"/>
          <w:sz w:val="16"/>
          <w:szCs w:val="16"/>
        </w:rPr>
        <w:footnoteRef/>
      </w:r>
      <w:r w:rsidRPr="00D44755">
        <w:rPr>
          <w:rFonts w:ascii="Verdana" w:hAnsi="Verdana"/>
          <w:sz w:val="16"/>
          <w:szCs w:val="16"/>
          <w:lang w:val="es-CR"/>
        </w:rPr>
        <w:t xml:space="preserve"> </w:t>
      </w:r>
      <w:r w:rsidRPr="00D44755">
        <w:rPr>
          <w:rFonts w:ascii="Verdana" w:hAnsi="Verdana"/>
          <w:sz w:val="16"/>
          <w:szCs w:val="16"/>
          <w:lang w:val="es-CR"/>
        </w:rPr>
        <w:tab/>
        <w:t>En el punto resolutivo décimo primero de la Sentencia, la Corte ordenó determinar, por intermedio de las instituciones públicas competentes, las eventuales responsabilidades de los funcionarios de la defensoría pública que contribuyeron con su actuación a la violación de los derechos en perjuicio de José Agapito Ruano Torres y, en la medida que corresponda, aplicar las consecuencias que la ley prevea</w:t>
      </w:r>
      <w:r>
        <w:rPr>
          <w:rFonts w:ascii="Verdana" w:hAnsi="Verdana"/>
          <w:sz w:val="16"/>
          <w:szCs w:val="16"/>
          <w:lang w:val="es-CR"/>
        </w:rPr>
        <w:t>.</w:t>
      </w:r>
    </w:p>
  </w:footnote>
  <w:footnote w:id="28">
    <w:p w14:paraId="3F8A7CCA" w14:textId="6DDFCC69" w:rsidR="007948E5" w:rsidRPr="008430D4" w:rsidRDefault="007948E5" w:rsidP="008430D4">
      <w:pPr>
        <w:pStyle w:val="FootnoteText"/>
        <w:jc w:val="both"/>
        <w:rPr>
          <w:rFonts w:ascii="Verdana" w:hAnsi="Verdana"/>
          <w:b/>
          <w:sz w:val="16"/>
          <w:szCs w:val="16"/>
          <w:lang w:val="es-ES_tradnl"/>
        </w:rPr>
      </w:pPr>
      <w:r w:rsidRPr="008430D4">
        <w:rPr>
          <w:rStyle w:val="FootnoteReference"/>
          <w:rFonts w:ascii="Verdana" w:hAnsi="Verdana"/>
          <w:sz w:val="16"/>
          <w:szCs w:val="16"/>
        </w:rPr>
        <w:footnoteRef/>
      </w:r>
      <w:r w:rsidRPr="008430D4">
        <w:rPr>
          <w:rFonts w:ascii="Verdana" w:hAnsi="Verdana"/>
          <w:sz w:val="16"/>
          <w:szCs w:val="16"/>
          <w:lang w:val="es-CR"/>
        </w:rPr>
        <w:t xml:space="preserve"> </w:t>
      </w:r>
      <w:r w:rsidRPr="008430D4">
        <w:rPr>
          <w:rFonts w:ascii="Verdana" w:hAnsi="Verdana"/>
          <w:sz w:val="16"/>
          <w:szCs w:val="16"/>
          <w:lang w:val="es-CR"/>
        </w:rPr>
        <w:tab/>
        <w:t xml:space="preserve">El Estado informó que la “Procuraduría General de la República ha iniciado un proceso administrativo sancionatorio respecto de una de las funcionarias de la Defensoría Penal que fue responsable del ejercicio de la defensa técnica del señor Ruano Torres, a quien se han respetado las garantías de un debido proceso en el ejercicio de su defensa y actualmente se está a la espera de la decisión administrativa final. En lo que respecta a otros funcionarios que participaron en la defensa técnica del señor Ruano Torres y que ya dejaron de laborar para esa institución, la Procuraduría General de la República ha comunicado la imposibilidad de promover un proceso administrativo para la determinación de responsabilidad”. </w:t>
      </w:r>
    </w:p>
  </w:footnote>
  <w:footnote w:id="29">
    <w:p w14:paraId="1C22BD62" w14:textId="3BF17BCF" w:rsidR="00D44755" w:rsidRPr="00D44755" w:rsidRDefault="00D44755" w:rsidP="00D44755">
      <w:pPr>
        <w:pStyle w:val="FootnoteText"/>
        <w:jc w:val="both"/>
        <w:rPr>
          <w:rFonts w:ascii="Verdana" w:hAnsi="Verdana"/>
          <w:sz w:val="16"/>
          <w:szCs w:val="16"/>
          <w:lang w:val="es-CR"/>
        </w:rPr>
      </w:pPr>
      <w:r w:rsidRPr="00D44755">
        <w:rPr>
          <w:rStyle w:val="FootnoteReference"/>
          <w:rFonts w:ascii="Verdana" w:hAnsi="Verdana"/>
          <w:sz w:val="16"/>
          <w:szCs w:val="16"/>
        </w:rPr>
        <w:footnoteRef/>
      </w:r>
      <w:r w:rsidRPr="00D44755">
        <w:rPr>
          <w:rFonts w:ascii="Verdana" w:hAnsi="Verdana"/>
          <w:sz w:val="16"/>
          <w:szCs w:val="16"/>
          <w:lang w:val="es-CR"/>
        </w:rPr>
        <w:t xml:space="preserve"> </w:t>
      </w:r>
      <w:r w:rsidRPr="00D44755">
        <w:rPr>
          <w:rFonts w:ascii="Verdana" w:hAnsi="Verdana"/>
          <w:sz w:val="16"/>
          <w:szCs w:val="16"/>
          <w:lang w:val="es-CR"/>
        </w:rPr>
        <w:tab/>
        <w:t>En el punto resolutivo décimo segundo de la Sentencia, la Corte dispuso adoptar todas las medidas necesarias para hacer efectiva la declaratoria contenida en el párrafo 211 de la sentencia y, por lo tanto, dejar sin efecto todas las consecuencias que se derivan de la sentencia de condena que fue emitida en el proceso penal No. 77-2001- 2 en contra de José Agapito Ruano Torres, así como los antecedentes judiciales o administrativos, penales o policiales, que existan en su contra a raíz de dicho proceso.</w:t>
      </w:r>
    </w:p>
  </w:footnote>
  <w:footnote w:id="30">
    <w:p w14:paraId="49DC6C8B" w14:textId="3DB1CEC2" w:rsidR="007948E5" w:rsidRPr="00C46E3A" w:rsidRDefault="007948E5" w:rsidP="00C46E3A">
      <w:pPr>
        <w:pStyle w:val="FootnoteText"/>
        <w:jc w:val="both"/>
        <w:rPr>
          <w:lang w:val="es-ES_tradnl"/>
        </w:rPr>
      </w:pPr>
      <w:r w:rsidRPr="00C46E3A">
        <w:rPr>
          <w:rStyle w:val="FootnoteReference"/>
          <w:rFonts w:ascii="Verdana" w:hAnsi="Verdana"/>
          <w:sz w:val="16"/>
          <w:szCs w:val="16"/>
        </w:rPr>
        <w:footnoteRef/>
      </w:r>
      <w:r w:rsidRPr="00C46E3A">
        <w:rPr>
          <w:rFonts w:ascii="Verdana" w:hAnsi="Verdana"/>
          <w:sz w:val="16"/>
          <w:szCs w:val="16"/>
          <w:lang w:val="es-CR"/>
        </w:rPr>
        <w:t xml:space="preserve"> </w:t>
      </w:r>
      <w:r w:rsidRPr="00C46E3A">
        <w:rPr>
          <w:rFonts w:ascii="Verdana" w:hAnsi="Verdana"/>
          <w:sz w:val="16"/>
          <w:szCs w:val="16"/>
          <w:lang w:val="es-ES_tradnl"/>
        </w:rPr>
        <w:tab/>
      </w:r>
      <w:r>
        <w:rPr>
          <w:rFonts w:ascii="Verdana" w:hAnsi="Verdana"/>
          <w:sz w:val="16"/>
          <w:szCs w:val="16"/>
          <w:lang w:val="es-ES_tradnl"/>
        </w:rPr>
        <w:t xml:space="preserve">En su informe de </w:t>
      </w:r>
      <w:r w:rsidR="00BE1920">
        <w:rPr>
          <w:rFonts w:ascii="Verdana" w:hAnsi="Verdana"/>
          <w:sz w:val="16"/>
          <w:szCs w:val="16"/>
          <w:lang w:val="es-ES_tradnl"/>
        </w:rPr>
        <w:t>junio de 2017</w:t>
      </w:r>
      <w:r>
        <w:rPr>
          <w:rFonts w:ascii="Verdana" w:hAnsi="Verdana"/>
          <w:sz w:val="16"/>
          <w:szCs w:val="16"/>
          <w:lang w:val="es-ES_tradnl"/>
        </w:rPr>
        <w:t xml:space="preserve"> </w:t>
      </w:r>
      <w:r w:rsidRPr="00C46E3A">
        <w:rPr>
          <w:rFonts w:ascii="Verdana" w:hAnsi="Verdana"/>
          <w:sz w:val="16"/>
          <w:szCs w:val="16"/>
          <w:lang w:val="es-CR"/>
        </w:rPr>
        <w:t xml:space="preserve">el Estado indicó que “la Fiscalía General de la República […] ha gestionado la eliminación interna de los registros existentes en el Sistema de Información y Gestión Automatizada del Proceso Fiscal […] relacionados con el proceso judicializado en contra del señor Ruano Torres”. Asimismo, informó que “la Dirección General de Centros Penales registra la declaración de la extinción de </w:t>
      </w:r>
      <w:r w:rsidR="00FE11B2">
        <w:rPr>
          <w:rFonts w:ascii="Verdana" w:hAnsi="Verdana"/>
          <w:sz w:val="16"/>
          <w:szCs w:val="16"/>
          <w:lang w:val="es-CR"/>
        </w:rPr>
        <w:t xml:space="preserve">la </w:t>
      </w:r>
      <w:r w:rsidRPr="00C46E3A">
        <w:rPr>
          <w:rFonts w:ascii="Verdana" w:hAnsi="Verdana"/>
          <w:sz w:val="16"/>
          <w:szCs w:val="16"/>
          <w:lang w:val="es-CR"/>
        </w:rPr>
        <w:t xml:space="preserve">responsabilidad penal a favor del señor Ruano Torres, por parte del Juzgado Primero de Vigilancia Penitenciaria y Ejecución de la Pena de San Salvador, por lo que a la fecha del […] informe el señor José Agapito Ruano Torres no posee antecedentes penales, solo registro del ingreso que tuvo al Sistema Penitenciario”. </w:t>
      </w:r>
    </w:p>
  </w:footnote>
  <w:footnote w:id="31">
    <w:p w14:paraId="56285BE6" w14:textId="1A2C7DC9" w:rsidR="002303F1" w:rsidRPr="002303F1" w:rsidRDefault="002303F1" w:rsidP="002303F1">
      <w:pPr>
        <w:pStyle w:val="FootnoteText"/>
        <w:jc w:val="both"/>
        <w:rPr>
          <w:rFonts w:ascii="Verdana" w:hAnsi="Verdana"/>
          <w:sz w:val="16"/>
          <w:szCs w:val="16"/>
          <w:lang w:val="es-CR"/>
        </w:rPr>
      </w:pPr>
      <w:r w:rsidRPr="002303F1">
        <w:rPr>
          <w:rStyle w:val="FootnoteReference"/>
          <w:rFonts w:ascii="Verdana" w:hAnsi="Verdana"/>
          <w:sz w:val="16"/>
          <w:szCs w:val="16"/>
        </w:rPr>
        <w:footnoteRef/>
      </w:r>
      <w:r w:rsidRPr="002303F1">
        <w:rPr>
          <w:rFonts w:ascii="Verdana" w:hAnsi="Verdana"/>
          <w:sz w:val="16"/>
          <w:szCs w:val="16"/>
          <w:lang w:val="es-CR"/>
        </w:rPr>
        <w:t xml:space="preserve"> </w:t>
      </w:r>
      <w:r w:rsidRPr="002303F1">
        <w:rPr>
          <w:rFonts w:ascii="Verdana" w:hAnsi="Verdana"/>
          <w:sz w:val="16"/>
          <w:szCs w:val="16"/>
          <w:lang w:val="es-CR"/>
        </w:rPr>
        <w:tab/>
        <w:t>En el punto resolutivo décimo cuarto de la Sentencia, la Corte ordenó otorgar becas en instituciones públicas salvadoreñas, en beneficio de José Agapito Ruano Torres y sus familiares María Maribel Guevara de Ruano, Oscar Manuel Ruano Guevara, Keily Lisbeth Ruano Guevara y Pedro Torres Hércules, que cubran todos los costos de su educación hasta la conclusión de sus estudios superiores, bien sean técnicos o universitarios</w:t>
      </w:r>
    </w:p>
  </w:footnote>
  <w:footnote w:id="32">
    <w:p w14:paraId="042AF442" w14:textId="6B1CA724" w:rsidR="007948E5" w:rsidRPr="00EB30C6" w:rsidRDefault="007948E5" w:rsidP="00EB30C6">
      <w:pPr>
        <w:pStyle w:val="FootnoteText"/>
        <w:jc w:val="both"/>
        <w:rPr>
          <w:rFonts w:ascii="Verdana" w:hAnsi="Verdana"/>
          <w:b/>
          <w:sz w:val="16"/>
          <w:szCs w:val="16"/>
          <w:lang w:val="es-CR"/>
        </w:rPr>
      </w:pPr>
      <w:r w:rsidRPr="00F8523E">
        <w:rPr>
          <w:rStyle w:val="FootnoteReference"/>
          <w:rFonts w:ascii="Verdana" w:hAnsi="Verdana"/>
          <w:sz w:val="16"/>
          <w:szCs w:val="16"/>
        </w:rPr>
        <w:footnoteRef/>
      </w:r>
      <w:r w:rsidRPr="00F8523E">
        <w:rPr>
          <w:rFonts w:ascii="Verdana" w:hAnsi="Verdana"/>
          <w:sz w:val="16"/>
          <w:szCs w:val="16"/>
          <w:lang w:val="es-CR"/>
        </w:rPr>
        <w:t xml:space="preserve"> </w:t>
      </w:r>
      <w:r w:rsidRPr="00F8523E">
        <w:rPr>
          <w:rFonts w:ascii="Verdana" w:hAnsi="Verdana"/>
          <w:sz w:val="16"/>
          <w:szCs w:val="16"/>
          <w:lang w:val="es-CR"/>
        </w:rPr>
        <w:tab/>
      </w:r>
      <w:r>
        <w:rPr>
          <w:rFonts w:ascii="Verdana" w:hAnsi="Verdana"/>
          <w:sz w:val="16"/>
          <w:szCs w:val="16"/>
          <w:lang w:val="es-CR"/>
        </w:rPr>
        <w:t>E</w:t>
      </w:r>
      <w:r w:rsidRPr="00C46E3A">
        <w:rPr>
          <w:rFonts w:ascii="Verdana" w:hAnsi="Verdana"/>
          <w:sz w:val="16"/>
          <w:szCs w:val="16"/>
          <w:lang w:val="es-CR"/>
        </w:rPr>
        <w:t>l Estado i</w:t>
      </w:r>
      <w:r>
        <w:rPr>
          <w:rFonts w:ascii="Verdana" w:hAnsi="Verdana"/>
          <w:sz w:val="16"/>
          <w:szCs w:val="16"/>
          <w:lang w:val="es-CR"/>
        </w:rPr>
        <w:t>nform</w:t>
      </w:r>
      <w:r w:rsidRPr="00C46E3A">
        <w:rPr>
          <w:rFonts w:ascii="Verdana" w:hAnsi="Verdana"/>
          <w:sz w:val="16"/>
          <w:szCs w:val="16"/>
          <w:lang w:val="es-CR"/>
        </w:rPr>
        <w:t>ó que en “enero de 2017, funcionarios […] del Ministerio de Educación sostuvieron reunión con el señor José Agapito Ruano Torres y el señor Pedro Torres Hércules” en donde se les explicó las</w:t>
      </w:r>
      <w:r w:rsidR="008F2E96">
        <w:rPr>
          <w:rFonts w:ascii="Verdana" w:hAnsi="Verdana"/>
          <w:sz w:val="16"/>
          <w:szCs w:val="16"/>
          <w:lang w:val="es-CR"/>
        </w:rPr>
        <w:t xml:space="preserve"> referidas</w:t>
      </w:r>
      <w:r w:rsidRPr="00C46E3A">
        <w:rPr>
          <w:rFonts w:ascii="Verdana" w:hAnsi="Verdana"/>
          <w:sz w:val="16"/>
          <w:szCs w:val="16"/>
          <w:lang w:val="es-CR"/>
        </w:rPr>
        <w:t xml:space="preserve"> posibilidades del sistema ed</w:t>
      </w:r>
      <w:r w:rsidR="008F2E96">
        <w:rPr>
          <w:rFonts w:ascii="Verdana" w:hAnsi="Verdana"/>
          <w:sz w:val="16"/>
          <w:szCs w:val="16"/>
          <w:lang w:val="es-CR"/>
        </w:rPr>
        <w:t>ucativo nacional</w:t>
      </w:r>
      <w:r w:rsidRPr="00C46E3A">
        <w:rPr>
          <w:rFonts w:ascii="Verdana" w:hAnsi="Verdana"/>
          <w:sz w:val="16"/>
          <w:szCs w:val="16"/>
          <w:lang w:val="es-CR"/>
        </w:rPr>
        <w:t>. Al respecto, el representante de las víctimas indicó</w:t>
      </w:r>
      <w:r>
        <w:rPr>
          <w:rFonts w:ascii="Verdana" w:hAnsi="Verdana"/>
          <w:lang w:val="es-CR"/>
        </w:rPr>
        <w:t xml:space="preserve"> </w:t>
      </w:r>
      <w:r w:rsidRPr="00EB30C6">
        <w:rPr>
          <w:rFonts w:ascii="Verdana" w:hAnsi="Verdana"/>
          <w:sz w:val="16"/>
          <w:szCs w:val="16"/>
          <w:lang w:val="es-CR"/>
        </w:rPr>
        <w:t xml:space="preserve">que </w:t>
      </w:r>
    </w:p>
  </w:footnote>
  <w:footnote w:id="33">
    <w:p w14:paraId="6AFC2B37" w14:textId="6BF38AB7" w:rsidR="002303F1" w:rsidRPr="002303F1" w:rsidRDefault="002303F1" w:rsidP="002303F1">
      <w:pPr>
        <w:pStyle w:val="FootnoteText"/>
        <w:jc w:val="both"/>
        <w:rPr>
          <w:rFonts w:ascii="Verdana" w:hAnsi="Verdana"/>
          <w:sz w:val="16"/>
          <w:szCs w:val="16"/>
          <w:lang w:val="es-CR"/>
        </w:rPr>
      </w:pPr>
      <w:r w:rsidRPr="002303F1">
        <w:rPr>
          <w:rStyle w:val="FootnoteReference"/>
          <w:rFonts w:ascii="Verdana" w:hAnsi="Verdana"/>
          <w:sz w:val="16"/>
          <w:szCs w:val="16"/>
        </w:rPr>
        <w:footnoteRef/>
      </w:r>
      <w:r w:rsidRPr="002303F1">
        <w:rPr>
          <w:rFonts w:ascii="Verdana" w:hAnsi="Verdana"/>
          <w:sz w:val="16"/>
          <w:szCs w:val="16"/>
          <w:lang w:val="es-CR"/>
        </w:rPr>
        <w:t xml:space="preserve"> </w:t>
      </w:r>
      <w:r w:rsidRPr="002303F1">
        <w:rPr>
          <w:rFonts w:ascii="Verdana" w:hAnsi="Verdana"/>
          <w:sz w:val="16"/>
          <w:szCs w:val="16"/>
          <w:lang w:val="es-CR"/>
        </w:rPr>
        <w:tab/>
        <w:t>En el punto resolutivo décimo séptimo de la Sentencia, la Corte ordenó implementar programas o cursos obligatorios y permanentes sobre los principios y normas de la protección de los derechos humanos, en particular las normas internacionales establecidas en los principios relativos a la investigación y documentación eficaces de la tortura y otros tratos o penas crueles, inhumanos, o degradantes dirigidos al personal de la Policía Nacional Civil y de la Fiscalía General de la República</w:t>
      </w:r>
    </w:p>
  </w:footnote>
  <w:footnote w:id="34">
    <w:p w14:paraId="06D78E44" w14:textId="17660D9F" w:rsidR="007948E5" w:rsidRPr="00582A1D" w:rsidRDefault="007948E5" w:rsidP="00EB30C6">
      <w:pPr>
        <w:pStyle w:val="FootnoteText"/>
        <w:jc w:val="both"/>
        <w:rPr>
          <w:rFonts w:ascii="Verdana" w:hAnsi="Verdana"/>
          <w:sz w:val="16"/>
          <w:szCs w:val="16"/>
          <w:lang w:val="es-CR"/>
        </w:rPr>
      </w:pPr>
      <w:r w:rsidRPr="00582A1D">
        <w:rPr>
          <w:rStyle w:val="FootnoteReference"/>
          <w:rFonts w:ascii="Verdana" w:hAnsi="Verdana"/>
          <w:sz w:val="16"/>
          <w:szCs w:val="16"/>
        </w:rPr>
        <w:footnoteRef/>
      </w:r>
      <w:r w:rsidRPr="00582A1D">
        <w:rPr>
          <w:rFonts w:ascii="Verdana" w:hAnsi="Verdana"/>
          <w:sz w:val="16"/>
          <w:szCs w:val="16"/>
          <w:lang w:val="es-CR"/>
        </w:rPr>
        <w:t xml:space="preserve"> </w:t>
      </w:r>
      <w:r w:rsidRPr="00582A1D">
        <w:rPr>
          <w:rFonts w:ascii="Verdana" w:hAnsi="Verdana"/>
          <w:sz w:val="16"/>
          <w:szCs w:val="16"/>
          <w:lang w:val="es-CR"/>
        </w:rPr>
        <w:tab/>
      </w:r>
      <w:r w:rsidR="00582A1D" w:rsidRPr="00582A1D">
        <w:rPr>
          <w:rFonts w:ascii="Verdana" w:hAnsi="Verdana"/>
          <w:sz w:val="16"/>
          <w:szCs w:val="16"/>
          <w:lang w:val="es-CR"/>
        </w:rPr>
        <w:t xml:space="preserve">El Estado indicó que ha realizado programas en las siguientes instituciones: (i) Academia Nacional de Seguridad Pública, sobre el cual informó que ha implementado el estudio de los Manuales y Convenciones relativas a la tortura, así como que también agregó al curso de formación inicial </w:t>
      </w:r>
      <w:r w:rsidR="008E2B9A">
        <w:rPr>
          <w:rFonts w:ascii="Verdana" w:hAnsi="Verdana"/>
          <w:sz w:val="16"/>
          <w:szCs w:val="16"/>
          <w:lang w:val="es-CR"/>
        </w:rPr>
        <w:t xml:space="preserve">dirigido a agentes </w:t>
      </w:r>
      <w:r w:rsidR="00582A1D" w:rsidRPr="00582A1D">
        <w:rPr>
          <w:rFonts w:ascii="Verdana" w:hAnsi="Verdana"/>
          <w:sz w:val="16"/>
          <w:szCs w:val="16"/>
          <w:lang w:val="es-CR"/>
        </w:rPr>
        <w:t>un apartado especial para el estudio de los derechos humanos; (ii) Fiscalía General de la República, sobre el cual indicó que la escuela de capacitación fiscal ha “ejecutado múltiples acciones formativas en materia de derechos humanos” y que además está coordinando con la Unidad Técnica Ejecutiva del Sector Justicia, representantes de</w:t>
      </w:r>
      <w:r w:rsidR="00886884">
        <w:rPr>
          <w:rFonts w:ascii="Verdana" w:hAnsi="Verdana"/>
          <w:sz w:val="16"/>
          <w:szCs w:val="16"/>
          <w:lang w:val="es-CR"/>
        </w:rPr>
        <w:t xml:space="preserve"> </w:t>
      </w:r>
      <w:r w:rsidR="00582A1D" w:rsidRPr="00582A1D">
        <w:rPr>
          <w:rFonts w:ascii="Verdana" w:hAnsi="Verdana"/>
          <w:sz w:val="16"/>
          <w:szCs w:val="16"/>
          <w:lang w:val="es-CR"/>
        </w:rPr>
        <w:t>l</w:t>
      </w:r>
      <w:r w:rsidR="00886884">
        <w:rPr>
          <w:rFonts w:ascii="Verdana" w:hAnsi="Verdana"/>
          <w:sz w:val="16"/>
          <w:szCs w:val="16"/>
          <w:lang w:val="es-CR"/>
        </w:rPr>
        <w:t>as Escuelas del</w:t>
      </w:r>
      <w:r w:rsidR="00582A1D" w:rsidRPr="00582A1D">
        <w:rPr>
          <w:rFonts w:ascii="Verdana" w:hAnsi="Verdana"/>
          <w:sz w:val="16"/>
          <w:szCs w:val="16"/>
          <w:lang w:val="es-CR"/>
        </w:rPr>
        <w:t xml:space="preserve"> Ministerio Público, la Academia Nacional de Seguridad Pública y el Ministerio de Gobernación, “para la elaboración de un Módulo de Formación que contemple el estudio de los principios constitucionales, normas nacionales e internacionales para la eficacia en la protección de los derechos humanos”; (iii) Unidad Técnica Ejecutiva del Sector Justicia, respecto al cual el Estado informó que “en diciembre de 2016 organizó un conversatorio dirigido al personal de las escuelas de capacitación del Sector Justicia” y que, como resultado del conversatorio, se identificó la necesidad de incorporar los temas de las normas ius cogens, presunción de inocencia, prueba, tortura, Protocolo de Estambul y procedimiento de identificación en un futuro módulo de trabajo en donde participen las instituciones vinculadas al sector justicia; (iv) Consejo Nacional de la Judicatura, en el que refirió que “desde octubre de 2013 imparte el curso denominado ‘Sistema Interamericano de Derechos Humanos’, a través del cual se procura capacitar a los funcionarios judiciales sobre cómo las diferentes resoluciones de los órganos que integran el Sistema Interamericano se vinculan con la administración de justicia interna”, así como también señaló el curso “Instrumentos de Protección Internacional de los Derechos Humanos”, dirigido a la “formación y capacitación a operadores de justicia”; y (v) Procuraduría General de la República, respecto del cual informó de la “conformación de su propia escuela de capacitación” y se indicó la “posibilidad de contratar a un consultor a fin de que evalúe y refuerce los programas de capacitación con los que actualmente cuenta [dicha] escuela de capacitación”. </w:t>
      </w:r>
      <w:r w:rsidRPr="00582A1D">
        <w:rPr>
          <w:rFonts w:ascii="Verdana" w:hAnsi="Verdana"/>
          <w:sz w:val="16"/>
          <w:szCs w:val="16"/>
          <w:lang w:val="es-CR"/>
        </w:rPr>
        <w:t>Los representantes observaron que “esas capacitaciones las proporcionan hoy día a todos los funcionarios del sector justicia por la USAID en la mayoría de los países del Continente Americano y ello no es exclusivo sólo para el caso 12.679 sino para todos los funcionarios”.</w:t>
      </w:r>
    </w:p>
  </w:footnote>
  <w:footnote w:id="35">
    <w:p w14:paraId="12DE6F3F" w14:textId="7E333DFF" w:rsidR="002303F1" w:rsidRPr="002303F1" w:rsidRDefault="002303F1" w:rsidP="002303F1">
      <w:pPr>
        <w:pStyle w:val="FootnoteText"/>
        <w:jc w:val="both"/>
        <w:rPr>
          <w:rFonts w:ascii="Verdana" w:hAnsi="Verdana"/>
          <w:sz w:val="16"/>
          <w:szCs w:val="16"/>
          <w:lang w:val="es-CR"/>
        </w:rPr>
      </w:pPr>
      <w:r w:rsidRPr="002303F1">
        <w:rPr>
          <w:rStyle w:val="FootnoteReference"/>
          <w:rFonts w:ascii="Verdana" w:hAnsi="Verdana"/>
          <w:sz w:val="16"/>
          <w:szCs w:val="16"/>
        </w:rPr>
        <w:footnoteRef/>
      </w:r>
      <w:r w:rsidRPr="002303F1">
        <w:rPr>
          <w:rFonts w:ascii="Verdana" w:hAnsi="Verdana"/>
          <w:sz w:val="16"/>
          <w:szCs w:val="16"/>
          <w:lang w:val="es-CR"/>
        </w:rPr>
        <w:t xml:space="preserve"> </w:t>
      </w:r>
      <w:r w:rsidRPr="002303F1">
        <w:rPr>
          <w:rFonts w:ascii="Verdana" w:hAnsi="Verdana"/>
          <w:sz w:val="16"/>
          <w:szCs w:val="16"/>
          <w:lang w:val="es-CR"/>
        </w:rPr>
        <w:tab/>
        <w:t>En el punto resolutivo décimo octavo de la Sentencia, la Corte dispuso reforzar, en un plazo razonable, los sistemas de selección de defensores públicos que aseguren la designación de personas que cumplan con los requisitos de idoneidad y capacidad técnica comprobada, así como desarrollar controles a través de protocolos para asegurar la eficacia de la gestión de la defensa pública en materia penal.</w:t>
      </w:r>
    </w:p>
  </w:footnote>
  <w:footnote w:id="36">
    <w:p w14:paraId="3ADAD34A" w14:textId="01766DA6" w:rsidR="00D572B5" w:rsidRPr="00D572B5" w:rsidRDefault="00D572B5" w:rsidP="00D572B5">
      <w:pPr>
        <w:pStyle w:val="FootnoteText"/>
        <w:jc w:val="both"/>
        <w:rPr>
          <w:rFonts w:ascii="Verdana" w:hAnsi="Verdana"/>
          <w:sz w:val="16"/>
          <w:szCs w:val="16"/>
          <w:lang w:val="es-CR"/>
        </w:rPr>
      </w:pPr>
      <w:r w:rsidRPr="00D572B5">
        <w:rPr>
          <w:rStyle w:val="FootnoteReference"/>
          <w:rFonts w:ascii="Verdana" w:hAnsi="Verdana"/>
          <w:sz w:val="16"/>
          <w:szCs w:val="16"/>
        </w:rPr>
        <w:footnoteRef/>
      </w:r>
      <w:r w:rsidRPr="00D572B5">
        <w:rPr>
          <w:rFonts w:ascii="Verdana" w:hAnsi="Verdana"/>
          <w:sz w:val="16"/>
          <w:szCs w:val="16"/>
          <w:lang w:val="es-CR"/>
        </w:rPr>
        <w:t xml:space="preserve"> </w:t>
      </w:r>
      <w:r w:rsidRPr="00D572B5">
        <w:rPr>
          <w:rFonts w:ascii="Verdana" w:hAnsi="Verdana"/>
          <w:sz w:val="16"/>
          <w:szCs w:val="16"/>
          <w:lang w:val="es-CR"/>
        </w:rPr>
        <w:tab/>
        <w:t>En el punto resolutivo décimo noveno de la Sentencia, la Corte dispuso implementar, en un plazo razonable, si no existieran actualmente o, en su caso, fortalecer los programas de capacitación, como sistema de formación continua, dirigidos a los defensores públicos, lo cual deberá apoyar con las asignaciones presupuestarias adecuadas.</w:t>
      </w:r>
    </w:p>
  </w:footnote>
  <w:footnote w:id="37">
    <w:p w14:paraId="795E5D0D" w14:textId="7B3D102F" w:rsidR="002303F1" w:rsidRPr="002303F1" w:rsidRDefault="002303F1" w:rsidP="002303F1">
      <w:pPr>
        <w:pStyle w:val="FootnoteText"/>
        <w:jc w:val="both"/>
        <w:rPr>
          <w:rFonts w:ascii="Verdana" w:hAnsi="Verdana"/>
          <w:sz w:val="16"/>
          <w:szCs w:val="16"/>
          <w:lang w:val="es-CR"/>
        </w:rPr>
      </w:pPr>
      <w:r w:rsidRPr="002303F1">
        <w:rPr>
          <w:rStyle w:val="FootnoteReference"/>
          <w:rFonts w:ascii="Verdana" w:hAnsi="Verdana"/>
          <w:sz w:val="16"/>
          <w:szCs w:val="16"/>
        </w:rPr>
        <w:footnoteRef/>
      </w:r>
      <w:r w:rsidRPr="002303F1">
        <w:rPr>
          <w:rFonts w:ascii="Verdana" w:hAnsi="Verdana"/>
          <w:sz w:val="16"/>
          <w:szCs w:val="16"/>
          <w:lang w:val="es-CR"/>
        </w:rPr>
        <w:t xml:space="preserve"> </w:t>
      </w:r>
      <w:r w:rsidRPr="002303F1">
        <w:rPr>
          <w:rFonts w:ascii="Verdana" w:hAnsi="Verdana"/>
          <w:sz w:val="16"/>
          <w:szCs w:val="16"/>
          <w:lang w:val="es-CR"/>
        </w:rPr>
        <w:tab/>
        <w:t>En el punto resolutivo vigésimo de la Sentencia, la Corte ordenó pagar las cantidades fijadas en los párrafos 243, 245 y 251 de la sentencia, por concepto de indemnizaci</w:t>
      </w:r>
      <w:r w:rsidR="00BC1A94">
        <w:rPr>
          <w:rFonts w:ascii="Verdana" w:hAnsi="Verdana"/>
          <w:sz w:val="16"/>
          <w:szCs w:val="16"/>
          <w:lang w:val="es-CR"/>
        </w:rPr>
        <w:t>o</w:t>
      </w:r>
      <w:r w:rsidRPr="002303F1">
        <w:rPr>
          <w:rFonts w:ascii="Verdana" w:hAnsi="Verdana"/>
          <w:sz w:val="16"/>
          <w:szCs w:val="16"/>
          <w:lang w:val="es-CR"/>
        </w:rPr>
        <w:t>n</w:t>
      </w:r>
      <w:r w:rsidR="00BC1A94">
        <w:rPr>
          <w:rFonts w:ascii="Verdana" w:hAnsi="Verdana"/>
          <w:sz w:val="16"/>
          <w:szCs w:val="16"/>
          <w:lang w:val="es-CR"/>
        </w:rPr>
        <w:t>es</w:t>
      </w:r>
      <w:r w:rsidRPr="002303F1">
        <w:rPr>
          <w:rFonts w:ascii="Verdana" w:hAnsi="Verdana"/>
          <w:sz w:val="16"/>
          <w:szCs w:val="16"/>
          <w:lang w:val="es-CR"/>
        </w:rPr>
        <w:t xml:space="preserve"> de los daños materiales e inmateriales</w:t>
      </w:r>
      <w:r>
        <w:rPr>
          <w:rFonts w:ascii="Verdana" w:hAnsi="Verdana"/>
          <w:sz w:val="16"/>
          <w:szCs w:val="16"/>
          <w:lang w:val="es-CR"/>
        </w:rPr>
        <w:t>.</w:t>
      </w:r>
    </w:p>
  </w:footnote>
  <w:footnote w:id="38">
    <w:p w14:paraId="64D656E3" w14:textId="4F125F54" w:rsidR="007948E5" w:rsidRPr="001D6CB2" w:rsidRDefault="007948E5" w:rsidP="00C46E3A">
      <w:pPr>
        <w:pStyle w:val="FootnoteText"/>
        <w:jc w:val="both"/>
        <w:rPr>
          <w:rFonts w:ascii="Verdana" w:hAnsi="Verdana"/>
          <w:sz w:val="16"/>
          <w:szCs w:val="16"/>
          <w:lang w:val="es-ES_tradnl"/>
        </w:rPr>
      </w:pPr>
      <w:r w:rsidRPr="00C46E3A">
        <w:rPr>
          <w:rStyle w:val="FootnoteReference"/>
          <w:rFonts w:ascii="Verdana" w:hAnsi="Verdana"/>
          <w:sz w:val="16"/>
          <w:szCs w:val="16"/>
        </w:rPr>
        <w:footnoteRef/>
      </w:r>
      <w:r w:rsidRPr="00C46E3A">
        <w:rPr>
          <w:rFonts w:ascii="Verdana" w:hAnsi="Verdana"/>
          <w:sz w:val="16"/>
          <w:szCs w:val="16"/>
          <w:lang w:val="es-CR"/>
        </w:rPr>
        <w:t xml:space="preserve"> </w:t>
      </w:r>
      <w:r w:rsidRPr="00C46E3A">
        <w:rPr>
          <w:rFonts w:ascii="Verdana" w:hAnsi="Verdana"/>
          <w:sz w:val="16"/>
          <w:szCs w:val="16"/>
          <w:lang w:val="es-ES_tradnl"/>
        </w:rPr>
        <w:tab/>
        <w:t xml:space="preserve">El Salvador informó que </w:t>
      </w:r>
      <w:r w:rsidRPr="00C46E3A">
        <w:rPr>
          <w:rFonts w:ascii="Verdana" w:hAnsi="Verdana"/>
          <w:sz w:val="16"/>
          <w:szCs w:val="16"/>
          <w:lang w:val="es-CR"/>
        </w:rPr>
        <w:t xml:space="preserve">“se encuentra realizando las gestiones necesarias que permitan efectuar el pago de las cantidades establecidas en la sentencia” y que “se encuentra realizando en forma periódica el pago de obligaciones pecuniarias derivadas de sentencias de </w:t>
      </w:r>
      <w:r w:rsidR="00886884">
        <w:rPr>
          <w:rFonts w:ascii="Verdana" w:hAnsi="Verdana"/>
          <w:sz w:val="16"/>
          <w:szCs w:val="16"/>
          <w:lang w:val="es-CR"/>
        </w:rPr>
        <w:t>[la]</w:t>
      </w:r>
      <w:r w:rsidR="00886884" w:rsidRPr="00C46E3A">
        <w:rPr>
          <w:rFonts w:ascii="Verdana" w:hAnsi="Verdana"/>
          <w:sz w:val="16"/>
          <w:szCs w:val="16"/>
          <w:lang w:val="es-CR"/>
        </w:rPr>
        <w:t xml:space="preserve"> </w:t>
      </w:r>
      <w:r w:rsidRPr="00C46E3A">
        <w:rPr>
          <w:rFonts w:ascii="Verdana" w:hAnsi="Verdana"/>
          <w:sz w:val="16"/>
          <w:szCs w:val="16"/>
          <w:lang w:val="es-CR"/>
        </w:rPr>
        <w:t>Corte, en un orden de prioridad que considera la fecha de notificación de las mismas al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61736"/>
      <w:docPartObj>
        <w:docPartGallery w:val="Page Numbers (Top of Page)"/>
        <w:docPartUnique/>
      </w:docPartObj>
    </w:sdtPr>
    <w:sdtEndPr>
      <w:rPr>
        <w:rFonts w:ascii="Verdana" w:hAnsi="Verdana"/>
        <w:noProof/>
        <w:sz w:val="20"/>
        <w:szCs w:val="20"/>
      </w:rPr>
    </w:sdtEndPr>
    <w:sdtContent>
      <w:p w14:paraId="538846EA" w14:textId="7CB9E0B2" w:rsidR="00935B21" w:rsidRPr="005361DA" w:rsidRDefault="005361DA">
        <w:pPr>
          <w:pStyle w:val="Header"/>
          <w:jc w:val="center"/>
          <w:rPr>
            <w:rFonts w:ascii="Verdana" w:hAnsi="Verdana"/>
            <w:sz w:val="20"/>
            <w:szCs w:val="20"/>
          </w:rPr>
        </w:pPr>
        <w:r>
          <w:t>-</w:t>
        </w:r>
        <w:r w:rsidR="00935B21" w:rsidRPr="005361DA">
          <w:rPr>
            <w:rFonts w:ascii="Verdana" w:hAnsi="Verdana"/>
            <w:sz w:val="20"/>
            <w:szCs w:val="20"/>
          </w:rPr>
          <w:fldChar w:fldCharType="begin"/>
        </w:r>
        <w:r w:rsidR="00935B21" w:rsidRPr="005361DA">
          <w:rPr>
            <w:rFonts w:ascii="Verdana" w:hAnsi="Verdana"/>
            <w:sz w:val="20"/>
            <w:szCs w:val="20"/>
          </w:rPr>
          <w:instrText xml:space="preserve"> PAGE   \* MERGEFORMAT </w:instrText>
        </w:r>
        <w:r w:rsidR="00935B21" w:rsidRPr="005361DA">
          <w:rPr>
            <w:rFonts w:ascii="Verdana" w:hAnsi="Verdana"/>
            <w:sz w:val="20"/>
            <w:szCs w:val="20"/>
          </w:rPr>
          <w:fldChar w:fldCharType="separate"/>
        </w:r>
        <w:r w:rsidR="00FB280E">
          <w:rPr>
            <w:rFonts w:ascii="Verdana" w:hAnsi="Verdana"/>
            <w:noProof/>
            <w:sz w:val="20"/>
            <w:szCs w:val="20"/>
          </w:rPr>
          <w:t>2</w:t>
        </w:r>
        <w:r w:rsidR="00935B21" w:rsidRPr="005361DA">
          <w:rPr>
            <w:rFonts w:ascii="Verdana" w:hAnsi="Verdana"/>
            <w:noProof/>
            <w:sz w:val="20"/>
            <w:szCs w:val="20"/>
          </w:rPr>
          <w:fldChar w:fldCharType="end"/>
        </w:r>
        <w:r>
          <w:rPr>
            <w:rFonts w:ascii="Verdana" w:hAnsi="Verdana"/>
            <w:noProof/>
            <w:sz w:val="20"/>
            <w:szCs w:val="20"/>
          </w:rPr>
          <w:t>-</w:t>
        </w:r>
      </w:p>
    </w:sdtContent>
  </w:sdt>
  <w:p w14:paraId="452B4DEF" w14:textId="77777777" w:rsidR="00935B21" w:rsidRDefault="00935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168A2" w14:textId="7370F2B9" w:rsidR="00935B21" w:rsidRDefault="00935B21">
    <w:pPr>
      <w:pStyle w:val="Header"/>
      <w:jc w:val="center"/>
    </w:pPr>
  </w:p>
  <w:p w14:paraId="38B4D8AB" w14:textId="77777777" w:rsidR="00935B21" w:rsidRDefault="00935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8B"/>
    <w:multiLevelType w:val="hybridMultilevel"/>
    <w:tmpl w:val="D8549D0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46B2D65"/>
    <w:multiLevelType w:val="hybridMultilevel"/>
    <w:tmpl w:val="75D02A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99C446F"/>
    <w:multiLevelType w:val="hybridMultilevel"/>
    <w:tmpl w:val="0CA8F61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EFF7F1E"/>
    <w:multiLevelType w:val="hybridMultilevel"/>
    <w:tmpl w:val="4F168C9C"/>
    <w:lvl w:ilvl="0" w:tplc="55806DD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4B751C6"/>
    <w:multiLevelType w:val="hybridMultilevel"/>
    <w:tmpl w:val="4F168C9C"/>
    <w:lvl w:ilvl="0" w:tplc="55806DD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AA32ADB"/>
    <w:multiLevelType w:val="hybridMultilevel"/>
    <w:tmpl w:val="E1BC73B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9"/>
  </w:num>
  <w:num w:numId="5">
    <w:abstractNumId w:val="5"/>
  </w:num>
  <w:num w:numId="6">
    <w:abstractNumId w:val="1"/>
  </w:num>
  <w:num w:numId="7">
    <w:abstractNumId w:val="12"/>
  </w:num>
  <w:num w:numId="8">
    <w:abstractNumId w:val="6"/>
  </w:num>
  <w:num w:numId="9">
    <w:abstractNumId w:val="0"/>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1333"/>
    <w:rsid w:val="000021E1"/>
    <w:rsid w:val="000119AE"/>
    <w:rsid w:val="000163A7"/>
    <w:rsid w:val="00035F60"/>
    <w:rsid w:val="00046013"/>
    <w:rsid w:val="00062390"/>
    <w:rsid w:val="00065EDB"/>
    <w:rsid w:val="00072E53"/>
    <w:rsid w:val="0007627A"/>
    <w:rsid w:val="0008015D"/>
    <w:rsid w:val="000A497C"/>
    <w:rsid w:val="000A4D17"/>
    <w:rsid w:val="000B73C8"/>
    <w:rsid w:val="000C5C4E"/>
    <w:rsid w:val="000D6292"/>
    <w:rsid w:val="000D78F1"/>
    <w:rsid w:val="000E1545"/>
    <w:rsid w:val="000E24F5"/>
    <w:rsid w:val="000E6FBC"/>
    <w:rsid w:val="00112ADB"/>
    <w:rsid w:val="00123A5F"/>
    <w:rsid w:val="001257C8"/>
    <w:rsid w:val="00135176"/>
    <w:rsid w:val="00136710"/>
    <w:rsid w:val="00141D1B"/>
    <w:rsid w:val="0014437C"/>
    <w:rsid w:val="00175FC1"/>
    <w:rsid w:val="001A0A5F"/>
    <w:rsid w:val="001B0E7C"/>
    <w:rsid w:val="001B31C4"/>
    <w:rsid w:val="001D0D92"/>
    <w:rsid w:val="001D6CB2"/>
    <w:rsid w:val="001E5411"/>
    <w:rsid w:val="001E58B8"/>
    <w:rsid w:val="002140B5"/>
    <w:rsid w:val="002235D2"/>
    <w:rsid w:val="00227136"/>
    <w:rsid w:val="002303F1"/>
    <w:rsid w:val="0023789D"/>
    <w:rsid w:val="00243225"/>
    <w:rsid w:val="00246397"/>
    <w:rsid w:val="002466DF"/>
    <w:rsid w:val="00263DA8"/>
    <w:rsid w:val="00284438"/>
    <w:rsid w:val="00290E64"/>
    <w:rsid w:val="00291668"/>
    <w:rsid w:val="00292E15"/>
    <w:rsid w:val="002B2E3A"/>
    <w:rsid w:val="002C308D"/>
    <w:rsid w:val="002C4504"/>
    <w:rsid w:val="002F04AF"/>
    <w:rsid w:val="00310E95"/>
    <w:rsid w:val="00315EE5"/>
    <w:rsid w:val="0033593C"/>
    <w:rsid w:val="003360C4"/>
    <w:rsid w:val="00336C10"/>
    <w:rsid w:val="0034577D"/>
    <w:rsid w:val="0035506E"/>
    <w:rsid w:val="003557DD"/>
    <w:rsid w:val="00362FAA"/>
    <w:rsid w:val="00382CBF"/>
    <w:rsid w:val="003838B7"/>
    <w:rsid w:val="00385150"/>
    <w:rsid w:val="0038539C"/>
    <w:rsid w:val="00396968"/>
    <w:rsid w:val="003E5640"/>
    <w:rsid w:val="003F20D2"/>
    <w:rsid w:val="003F3FCF"/>
    <w:rsid w:val="00403BF9"/>
    <w:rsid w:val="00447F88"/>
    <w:rsid w:val="00456029"/>
    <w:rsid w:val="004612B4"/>
    <w:rsid w:val="00467E3F"/>
    <w:rsid w:val="004C6180"/>
    <w:rsid w:val="004D2147"/>
    <w:rsid w:val="004D362B"/>
    <w:rsid w:val="004E6612"/>
    <w:rsid w:val="00510BD2"/>
    <w:rsid w:val="00511B35"/>
    <w:rsid w:val="0051670E"/>
    <w:rsid w:val="0053588B"/>
    <w:rsid w:val="005361DA"/>
    <w:rsid w:val="0056306A"/>
    <w:rsid w:val="0057445F"/>
    <w:rsid w:val="00582A1D"/>
    <w:rsid w:val="00590630"/>
    <w:rsid w:val="00596AF0"/>
    <w:rsid w:val="005A4A37"/>
    <w:rsid w:val="005A7ADD"/>
    <w:rsid w:val="005C0934"/>
    <w:rsid w:val="005C68F7"/>
    <w:rsid w:val="005E134F"/>
    <w:rsid w:val="005F07EE"/>
    <w:rsid w:val="006252AD"/>
    <w:rsid w:val="006375F1"/>
    <w:rsid w:val="006440E4"/>
    <w:rsid w:val="006545B3"/>
    <w:rsid w:val="00664728"/>
    <w:rsid w:val="00695CC7"/>
    <w:rsid w:val="006A700C"/>
    <w:rsid w:val="006B388E"/>
    <w:rsid w:val="006C5E2A"/>
    <w:rsid w:val="006C6CC5"/>
    <w:rsid w:val="006D6795"/>
    <w:rsid w:val="006F162E"/>
    <w:rsid w:val="007300CF"/>
    <w:rsid w:val="0074011F"/>
    <w:rsid w:val="00761555"/>
    <w:rsid w:val="00763AFC"/>
    <w:rsid w:val="00765EB0"/>
    <w:rsid w:val="007667B4"/>
    <w:rsid w:val="0076680D"/>
    <w:rsid w:val="00767961"/>
    <w:rsid w:val="00782BD1"/>
    <w:rsid w:val="007907C3"/>
    <w:rsid w:val="007948E5"/>
    <w:rsid w:val="007B1CBB"/>
    <w:rsid w:val="007B6AF5"/>
    <w:rsid w:val="007C6093"/>
    <w:rsid w:val="007C67B0"/>
    <w:rsid w:val="007E0A0A"/>
    <w:rsid w:val="00807282"/>
    <w:rsid w:val="008430D4"/>
    <w:rsid w:val="008558D1"/>
    <w:rsid w:val="008679B3"/>
    <w:rsid w:val="00867A5F"/>
    <w:rsid w:val="00873E0C"/>
    <w:rsid w:val="00876249"/>
    <w:rsid w:val="00886884"/>
    <w:rsid w:val="008A3BED"/>
    <w:rsid w:val="008D1D1A"/>
    <w:rsid w:val="008E2B9A"/>
    <w:rsid w:val="008E404C"/>
    <w:rsid w:val="008F2E96"/>
    <w:rsid w:val="00905598"/>
    <w:rsid w:val="009137B7"/>
    <w:rsid w:val="00925686"/>
    <w:rsid w:val="00935B21"/>
    <w:rsid w:val="009372E9"/>
    <w:rsid w:val="0094187F"/>
    <w:rsid w:val="0094684F"/>
    <w:rsid w:val="00966BC0"/>
    <w:rsid w:val="00967DBE"/>
    <w:rsid w:val="00993505"/>
    <w:rsid w:val="009A1644"/>
    <w:rsid w:val="009B5EDF"/>
    <w:rsid w:val="009F0C65"/>
    <w:rsid w:val="009F16AE"/>
    <w:rsid w:val="00A04452"/>
    <w:rsid w:val="00A14BF8"/>
    <w:rsid w:val="00A16314"/>
    <w:rsid w:val="00A2451F"/>
    <w:rsid w:val="00A33C5C"/>
    <w:rsid w:val="00A347C5"/>
    <w:rsid w:val="00A362F3"/>
    <w:rsid w:val="00A461A7"/>
    <w:rsid w:val="00A5546E"/>
    <w:rsid w:val="00A700B4"/>
    <w:rsid w:val="00A72709"/>
    <w:rsid w:val="00A768F4"/>
    <w:rsid w:val="00A87C79"/>
    <w:rsid w:val="00AD2674"/>
    <w:rsid w:val="00AF1DC9"/>
    <w:rsid w:val="00AF6D97"/>
    <w:rsid w:val="00B208BB"/>
    <w:rsid w:val="00B26560"/>
    <w:rsid w:val="00B302AE"/>
    <w:rsid w:val="00B30A18"/>
    <w:rsid w:val="00B37B23"/>
    <w:rsid w:val="00B479D6"/>
    <w:rsid w:val="00B50C62"/>
    <w:rsid w:val="00B70268"/>
    <w:rsid w:val="00B717CC"/>
    <w:rsid w:val="00B71C18"/>
    <w:rsid w:val="00B76214"/>
    <w:rsid w:val="00B84117"/>
    <w:rsid w:val="00B91666"/>
    <w:rsid w:val="00B94509"/>
    <w:rsid w:val="00BB3CCC"/>
    <w:rsid w:val="00BB6DF3"/>
    <w:rsid w:val="00BC0C03"/>
    <w:rsid w:val="00BC1A94"/>
    <w:rsid w:val="00BC46DC"/>
    <w:rsid w:val="00BD0976"/>
    <w:rsid w:val="00BD1E56"/>
    <w:rsid w:val="00BE1920"/>
    <w:rsid w:val="00BE1A2F"/>
    <w:rsid w:val="00BE3306"/>
    <w:rsid w:val="00BE51B1"/>
    <w:rsid w:val="00C0181A"/>
    <w:rsid w:val="00C03503"/>
    <w:rsid w:val="00C161DB"/>
    <w:rsid w:val="00C211FE"/>
    <w:rsid w:val="00C34B0B"/>
    <w:rsid w:val="00C374FE"/>
    <w:rsid w:val="00C46E3A"/>
    <w:rsid w:val="00C502B5"/>
    <w:rsid w:val="00C53A19"/>
    <w:rsid w:val="00C55B8B"/>
    <w:rsid w:val="00C72610"/>
    <w:rsid w:val="00C76CA4"/>
    <w:rsid w:val="00C87B55"/>
    <w:rsid w:val="00C87E08"/>
    <w:rsid w:val="00C94117"/>
    <w:rsid w:val="00C956BF"/>
    <w:rsid w:val="00C971DE"/>
    <w:rsid w:val="00CC102D"/>
    <w:rsid w:val="00CF56E4"/>
    <w:rsid w:val="00CF7FC1"/>
    <w:rsid w:val="00D00179"/>
    <w:rsid w:val="00D02FE8"/>
    <w:rsid w:val="00D0726E"/>
    <w:rsid w:val="00D16D21"/>
    <w:rsid w:val="00D22A67"/>
    <w:rsid w:val="00D241C1"/>
    <w:rsid w:val="00D3062E"/>
    <w:rsid w:val="00D4450A"/>
    <w:rsid w:val="00D44755"/>
    <w:rsid w:val="00D572B5"/>
    <w:rsid w:val="00D64DBF"/>
    <w:rsid w:val="00D85682"/>
    <w:rsid w:val="00D85CF9"/>
    <w:rsid w:val="00D91870"/>
    <w:rsid w:val="00D93C6C"/>
    <w:rsid w:val="00D960C3"/>
    <w:rsid w:val="00DA3822"/>
    <w:rsid w:val="00DB0E4F"/>
    <w:rsid w:val="00DF4963"/>
    <w:rsid w:val="00DF75BB"/>
    <w:rsid w:val="00E31150"/>
    <w:rsid w:val="00E5277F"/>
    <w:rsid w:val="00E6006B"/>
    <w:rsid w:val="00E74D45"/>
    <w:rsid w:val="00EA42CF"/>
    <w:rsid w:val="00EB30C6"/>
    <w:rsid w:val="00EC5BDC"/>
    <w:rsid w:val="00ED630C"/>
    <w:rsid w:val="00EF3CE6"/>
    <w:rsid w:val="00F00C02"/>
    <w:rsid w:val="00F0722B"/>
    <w:rsid w:val="00F36513"/>
    <w:rsid w:val="00F5021C"/>
    <w:rsid w:val="00F54BEA"/>
    <w:rsid w:val="00F70455"/>
    <w:rsid w:val="00F71C32"/>
    <w:rsid w:val="00F74D3E"/>
    <w:rsid w:val="00F8523E"/>
    <w:rsid w:val="00F96057"/>
    <w:rsid w:val="00F97167"/>
    <w:rsid w:val="00FA0D4D"/>
    <w:rsid w:val="00FA4E82"/>
    <w:rsid w:val="00FB280E"/>
    <w:rsid w:val="00FC0972"/>
    <w:rsid w:val="00FC2E72"/>
    <w:rsid w:val="00FE0A74"/>
    <w:rsid w:val="00FE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B52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character" w:styleId="CommentReference">
    <w:name w:val="annotation reference"/>
    <w:basedOn w:val="DefaultParagraphFont"/>
    <w:uiPriority w:val="99"/>
    <w:semiHidden/>
    <w:unhideWhenUsed/>
    <w:rsid w:val="00F54BEA"/>
    <w:rPr>
      <w:sz w:val="16"/>
      <w:szCs w:val="16"/>
    </w:rPr>
  </w:style>
  <w:style w:type="paragraph" w:styleId="CommentText">
    <w:name w:val="annotation text"/>
    <w:basedOn w:val="Normal"/>
    <w:link w:val="CommentTextChar"/>
    <w:uiPriority w:val="99"/>
    <w:semiHidden/>
    <w:unhideWhenUsed/>
    <w:rsid w:val="00F54BEA"/>
    <w:pPr>
      <w:spacing w:line="240" w:lineRule="auto"/>
    </w:pPr>
    <w:rPr>
      <w:sz w:val="20"/>
      <w:szCs w:val="20"/>
    </w:rPr>
  </w:style>
  <w:style w:type="character" w:customStyle="1" w:styleId="CommentTextChar">
    <w:name w:val="Comment Text Char"/>
    <w:basedOn w:val="DefaultParagraphFont"/>
    <w:link w:val="CommentText"/>
    <w:uiPriority w:val="99"/>
    <w:semiHidden/>
    <w:rsid w:val="00F54BEA"/>
    <w:rPr>
      <w:sz w:val="20"/>
      <w:szCs w:val="20"/>
    </w:rPr>
  </w:style>
  <w:style w:type="paragraph" w:styleId="CommentSubject">
    <w:name w:val="annotation subject"/>
    <w:basedOn w:val="CommentText"/>
    <w:next w:val="CommentText"/>
    <w:link w:val="CommentSubjectChar"/>
    <w:uiPriority w:val="99"/>
    <w:semiHidden/>
    <w:unhideWhenUsed/>
    <w:rsid w:val="00F54BEA"/>
    <w:rPr>
      <w:b/>
      <w:bCs/>
    </w:rPr>
  </w:style>
  <w:style w:type="character" w:customStyle="1" w:styleId="CommentSubjectChar">
    <w:name w:val="Comment Subject Char"/>
    <w:basedOn w:val="CommentTextChar"/>
    <w:link w:val="CommentSubject"/>
    <w:uiPriority w:val="99"/>
    <w:semiHidden/>
    <w:rsid w:val="00F54BEA"/>
    <w:rPr>
      <w:b/>
      <w:bCs/>
      <w:sz w:val="20"/>
      <w:szCs w:val="20"/>
    </w:rPr>
  </w:style>
  <w:style w:type="paragraph" w:styleId="BalloonText">
    <w:name w:val="Balloon Text"/>
    <w:basedOn w:val="Normal"/>
    <w:link w:val="BalloonTextChar"/>
    <w:uiPriority w:val="99"/>
    <w:semiHidden/>
    <w:unhideWhenUsed/>
    <w:rsid w:val="00F5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EA"/>
    <w:rPr>
      <w:rFonts w:ascii="Tahoma" w:hAnsi="Tahoma" w:cs="Tahoma"/>
      <w:sz w:val="16"/>
      <w:szCs w:val="16"/>
    </w:rPr>
  </w:style>
  <w:style w:type="character" w:customStyle="1" w:styleId="Heading1Char">
    <w:name w:val="Heading 1 Char"/>
    <w:basedOn w:val="DefaultParagraphFont"/>
    <w:link w:val="Heading1"/>
    <w:uiPriority w:val="9"/>
    <w:rsid w:val="00F00C0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72709"/>
    <w:pPr>
      <w:spacing w:after="100"/>
    </w:pPr>
  </w:style>
  <w:style w:type="paragraph" w:styleId="Revision">
    <w:name w:val="Revision"/>
    <w:hidden/>
    <w:uiPriority w:val="99"/>
    <w:semiHidden/>
    <w:rsid w:val="00B76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character" w:styleId="CommentReference">
    <w:name w:val="annotation reference"/>
    <w:basedOn w:val="DefaultParagraphFont"/>
    <w:uiPriority w:val="99"/>
    <w:semiHidden/>
    <w:unhideWhenUsed/>
    <w:rsid w:val="00F54BEA"/>
    <w:rPr>
      <w:sz w:val="16"/>
      <w:szCs w:val="16"/>
    </w:rPr>
  </w:style>
  <w:style w:type="paragraph" w:styleId="CommentText">
    <w:name w:val="annotation text"/>
    <w:basedOn w:val="Normal"/>
    <w:link w:val="CommentTextChar"/>
    <w:uiPriority w:val="99"/>
    <w:semiHidden/>
    <w:unhideWhenUsed/>
    <w:rsid w:val="00F54BEA"/>
    <w:pPr>
      <w:spacing w:line="240" w:lineRule="auto"/>
    </w:pPr>
    <w:rPr>
      <w:sz w:val="20"/>
      <w:szCs w:val="20"/>
    </w:rPr>
  </w:style>
  <w:style w:type="character" w:customStyle="1" w:styleId="CommentTextChar">
    <w:name w:val="Comment Text Char"/>
    <w:basedOn w:val="DefaultParagraphFont"/>
    <w:link w:val="CommentText"/>
    <w:uiPriority w:val="99"/>
    <w:semiHidden/>
    <w:rsid w:val="00F54BEA"/>
    <w:rPr>
      <w:sz w:val="20"/>
      <w:szCs w:val="20"/>
    </w:rPr>
  </w:style>
  <w:style w:type="paragraph" w:styleId="CommentSubject">
    <w:name w:val="annotation subject"/>
    <w:basedOn w:val="CommentText"/>
    <w:next w:val="CommentText"/>
    <w:link w:val="CommentSubjectChar"/>
    <w:uiPriority w:val="99"/>
    <w:semiHidden/>
    <w:unhideWhenUsed/>
    <w:rsid w:val="00F54BEA"/>
    <w:rPr>
      <w:b/>
      <w:bCs/>
    </w:rPr>
  </w:style>
  <w:style w:type="character" w:customStyle="1" w:styleId="CommentSubjectChar">
    <w:name w:val="Comment Subject Char"/>
    <w:basedOn w:val="CommentTextChar"/>
    <w:link w:val="CommentSubject"/>
    <w:uiPriority w:val="99"/>
    <w:semiHidden/>
    <w:rsid w:val="00F54BEA"/>
    <w:rPr>
      <w:b/>
      <w:bCs/>
      <w:sz w:val="20"/>
      <w:szCs w:val="20"/>
    </w:rPr>
  </w:style>
  <w:style w:type="paragraph" w:styleId="BalloonText">
    <w:name w:val="Balloon Text"/>
    <w:basedOn w:val="Normal"/>
    <w:link w:val="BalloonTextChar"/>
    <w:uiPriority w:val="99"/>
    <w:semiHidden/>
    <w:unhideWhenUsed/>
    <w:rsid w:val="00F5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EA"/>
    <w:rPr>
      <w:rFonts w:ascii="Tahoma" w:hAnsi="Tahoma" w:cs="Tahoma"/>
      <w:sz w:val="16"/>
      <w:szCs w:val="16"/>
    </w:rPr>
  </w:style>
  <w:style w:type="character" w:customStyle="1" w:styleId="Heading1Char">
    <w:name w:val="Heading 1 Char"/>
    <w:basedOn w:val="DefaultParagraphFont"/>
    <w:link w:val="Heading1"/>
    <w:uiPriority w:val="9"/>
    <w:rsid w:val="00F00C0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72709"/>
    <w:pPr>
      <w:spacing w:after="100"/>
    </w:pPr>
  </w:style>
  <w:style w:type="paragraph" w:styleId="Revision">
    <w:name w:val="Revision"/>
    <w:hidden/>
    <w:uiPriority w:val="99"/>
    <w:semiHidden/>
    <w:rsid w:val="00B76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0012">
      <w:bodyDiv w:val="1"/>
      <w:marLeft w:val="0"/>
      <w:marRight w:val="0"/>
      <w:marTop w:val="0"/>
      <w:marBottom w:val="0"/>
      <w:divBdr>
        <w:top w:val="none" w:sz="0" w:space="0" w:color="auto"/>
        <w:left w:val="none" w:sz="0" w:space="0" w:color="auto"/>
        <w:bottom w:val="none" w:sz="0" w:space="0" w:color="auto"/>
        <w:right w:val="none" w:sz="0" w:space="0" w:color="auto"/>
      </w:divBdr>
      <w:divsChild>
        <w:div w:id="515271024">
          <w:marLeft w:val="0"/>
          <w:marRight w:val="0"/>
          <w:marTop w:val="0"/>
          <w:marBottom w:val="0"/>
          <w:divBdr>
            <w:top w:val="none" w:sz="0" w:space="0" w:color="auto"/>
            <w:left w:val="none" w:sz="0" w:space="0" w:color="auto"/>
            <w:bottom w:val="none" w:sz="0" w:space="0" w:color="auto"/>
            <w:right w:val="none" w:sz="0" w:space="0" w:color="auto"/>
          </w:divBdr>
          <w:divsChild>
            <w:div w:id="159078687">
              <w:marLeft w:val="0"/>
              <w:marRight w:val="0"/>
              <w:marTop w:val="0"/>
              <w:marBottom w:val="0"/>
              <w:divBdr>
                <w:top w:val="none" w:sz="0" w:space="0" w:color="auto"/>
                <w:left w:val="none" w:sz="0" w:space="0" w:color="auto"/>
                <w:bottom w:val="none" w:sz="0" w:space="0" w:color="auto"/>
                <w:right w:val="none" w:sz="0" w:space="0" w:color="auto"/>
              </w:divBdr>
              <w:divsChild>
                <w:div w:id="3722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1266">
      <w:bodyDiv w:val="1"/>
      <w:marLeft w:val="0"/>
      <w:marRight w:val="0"/>
      <w:marTop w:val="0"/>
      <w:marBottom w:val="0"/>
      <w:divBdr>
        <w:top w:val="none" w:sz="0" w:space="0" w:color="auto"/>
        <w:left w:val="none" w:sz="0" w:space="0" w:color="auto"/>
        <w:bottom w:val="none" w:sz="0" w:space="0" w:color="auto"/>
        <w:right w:val="none" w:sz="0" w:space="0" w:color="auto"/>
      </w:divBdr>
      <w:divsChild>
        <w:div w:id="829518670">
          <w:marLeft w:val="0"/>
          <w:marRight w:val="0"/>
          <w:marTop w:val="0"/>
          <w:marBottom w:val="0"/>
          <w:divBdr>
            <w:top w:val="none" w:sz="0" w:space="0" w:color="auto"/>
            <w:left w:val="none" w:sz="0" w:space="0" w:color="auto"/>
            <w:bottom w:val="none" w:sz="0" w:space="0" w:color="auto"/>
            <w:right w:val="none" w:sz="0" w:space="0" w:color="auto"/>
          </w:divBdr>
          <w:divsChild>
            <w:div w:id="730273421">
              <w:marLeft w:val="0"/>
              <w:marRight w:val="0"/>
              <w:marTop w:val="0"/>
              <w:marBottom w:val="0"/>
              <w:divBdr>
                <w:top w:val="none" w:sz="0" w:space="0" w:color="auto"/>
                <w:left w:val="none" w:sz="0" w:space="0" w:color="auto"/>
                <w:bottom w:val="none" w:sz="0" w:space="0" w:color="auto"/>
                <w:right w:val="none" w:sz="0" w:space="0" w:color="auto"/>
              </w:divBdr>
              <w:divsChild>
                <w:div w:id="18275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ree.gob.sv/index.php?option=com_k2&amp;view=item&amp;id=6182:estado-salvadoreno-realiza-acto-de-develacion-de-placa-sobre-caso-ruano-torres&amp;Itemid=1770" TargetMode="External"/><Relationship Id="rId2" Type="http://schemas.openxmlformats.org/officeDocument/2006/relationships/hyperlink" Target="http://www.pgr.gob.sv/documentos/CASO%20RUANO%20TORRES%20Y%20OTROS%20VS%20EL%20SALVADOR.pdf" TargetMode="External"/><Relationship Id="rId1" Type="http://schemas.openxmlformats.org/officeDocument/2006/relationships/hyperlink" Target="http://www.corteidh.or.cr/docs/casos/articulos/seriec_303_esp.pdf" TargetMode="External"/><Relationship Id="rId4" Type="http://schemas.openxmlformats.org/officeDocument/2006/relationships/hyperlink" Target="http://www.corteidh.or.cr/sitios/informes/docs/SPA/spa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0370-54CC-49C1-B64C-5E991377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4500</Words>
  <Characters>24752</Characters>
  <Application>Microsoft Office Word</Application>
  <DocSecurity>4</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2018-04-02T22:50:00Z</cp:lastPrinted>
  <dcterms:created xsi:type="dcterms:W3CDTF">2018-04-02T23:31:00Z</dcterms:created>
  <dcterms:modified xsi:type="dcterms:W3CDTF">2018-04-02T23:31:00Z</dcterms:modified>
</cp:coreProperties>
</file>