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EFC64" w14:textId="77777777" w:rsidR="00E54903" w:rsidRDefault="00E54903" w:rsidP="00E54903"/>
    <w:p w14:paraId="0E074A19" w14:textId="77777777" w:rsidR="00E54903" w:rsidRDefault="00E54903" w:rsidP="00E54903">
      <w:pPr>
        <w:jc w:val="center"/>
        <w:rPr>
          <w:rFonts w:ascii="Verdana" w:hAnsi="Verdana"/>
          <w:b/>
          <w:sz w:val="20"/>
          <w:lang w:val="es-MX"/>
        </w:rPr>
      </w:pPr>
    </w:p>
    <w:p w14:paraId="1362DBD4" w14:textId="77777777" w:rsidR="009123F9" w:rsidRDefault="009123F9" w:rsidP="00E54903">
      <w:pPr>
        <w:jc w:val="center"/>
        <w:rPr>
          <w:rFonts w:ascii="Verdana" w:hAnsi="Verdana"/>
          <w:b/>
          <w:sz w:val="20"/>
          <w:lang w:val="es-MX"/>
        </w:rPr>
      </w:pPr>
    </w:p>
    <w:p w14:paraId="206241C2" w14:textId="77777777" w:rsidR="004A1227" w:rsidRDefault="004A1227" w:rsidP="00E54903">
      <w:pPr>
        <w:jc w:val="center"/>
        <w:rPr>
          <w:rFonts w:ascii="Verdana" w:hAnsi="Verdana"/>
          <w:b/>
          <w:sz w:val="20"/>
          <w:lang w:val="es-MX"/>
        </w:rPr>
      </w:pPr>
    </w:p>
    <w:p w14:paraId="48B26C76" w14:textId="77777777" w:rsidR="00E54903" w:rsidRDefault="00E54903" w:rsidP="00E54903">
      <w:pPr>
        <w:jc w:val="center"/>
        <w:rPr>
          <w:rFonts w:ascii="Verdana" w:hAnsi="Verdana"/>
          <w:b/>
          <w:sz w:val="20"/>
          <w:lang w:val="es-MX"/>
        </w:rPr>
      </w:pPr>
    </w:p>
    <w:p w14:paraId="5DB57745" w14:textId="77777777" w:rsidR="00E54903" w:rsidRDefault="00E54903" w:rsidP="00E54903">
      <w:pPr>
        <w:jc w:val="center"/>
        <w:rPr>
          <w:rFonts w:ascii="Verdana" w:hAnsi="Verdana"/>
          <w:b/>
          <w:sz w:val="20"/>
          <w:lang w:val="es-MX"/>
        </w:rPr>
      </w:pPr>
    </w:p>
    <w:p w14:paraId="15AD8B14" w14:textId="1E7E07FE" w:rsidR="00E54903" w:rsidRDefault="002F4EDD" w:rsidP="00E54903">
      <w:pPr>
        <w:jc w:val="center"/>
        <w:rPr>
          <w:rFonts w:ascii="Verdana" w:hAnsi="Verdana"/>
          <w:b/>
          <w:sz w:val="20"/>
          <w:lang w:val="es-MX"/>
        </w:rPr>
      </w:pPr>
      <w:r>
        <w:rPr>
          <w:rFonts w:ascii="Verdana" w:hAnsi="Verdana"/>
          <w:b/>
          <w:sz w:val="20"/>
          <w:lang w:val="es-MX"/>
        </w:rPr>
        <w:tab/>
      </w:r>
    </w:p>
    <w:p w14:paraId="3DBD3F27" w14:textId="77777777" w:rsidR="00E54903" w:rsidRDefault="00E54903" w:rsidP="00E54903">
      <w:pPr>
        <w:jc w:val="center"/>
        <w:rPr>
          <w:rFonts w:ascii="Verdana" w:hAnsi="Verdana"/>
          <w:b/>
          <w:sz w:val="20"/>
          <w:lang w:val="es-MX"/>
        </w:rPr>
      </w:pPr>
      <w:r>
        <w:rPr>
          <w:rFonts w:ascii="Verdana" w:hAnsi="Verdana"/>
          <w:b/>
          <w:sz w:val="20"/>
          <w:lang w:val="es-MX"/>
        </w:rPr>
        <w:t xml:space="preserve">RESOLUCIÓN DE LA </w:t>
      </w:r>
    </w:p>
    <w:p w14:paraId="447F8CCB" w14:textId="77777777" w:rsidR="00913E65" w:rsidRDefault="00913E65" w:rsidP="00E54903">
      <w:pPr>
        <w:jc w:val="center"/>
        <w:rPr>
          <w:rFonts w:ascii="Verdana" w:hAnsi="Verdana"/>
          <w:b/>
          <w:sz w:val="20"/>
          <w:lang w:val="es-MX"/>
        </w:rPr>
      </w:pPr>
    </w:p>
    <w:p w14:paraId="202CA08C" w14:textId="24773ADB" w:rsidR="00E54903" w:rsidRDefault="00E54903" w:rsidP="00E54903">
      <w:pPr>
        <w:jc w:val="center"/>
        <w:rPr>
          <w:rFonts w:ascii="Verdana" w:hAnsi="Verdana"/>
          <w:b/>
          <w:sz w:val="20"/>
          <w:lang w:val="es-CR"/>
        </w:rPr>
      </w:pPr>
      <w:r>
        <w:rPr>
          <w:rFonts w:ascii="Verdana" w:hAnsi="Verdana"/>
          <w:b/>
          <w:sz w:val="20"/>
          <w:lang w:val="es-MX"/>
        </w:rPr>
        <w:t>CORTE INTERAMERICANA DE DERECHOS HUMANOS</w:t>
      </w:r>
      <w:r w:rsidR="009123F9">
        <w:rPr>
          <w:rStyle w:val="FootnoteReference"/>
          <w:rFonts w:ascii="Verdana" w:hAnsi="Verdana"/>
          <w:b/>
          <w:sz w:val="20"/>
          <w:lang w:val="es-MX"/>
        </w:rPr>
        <w:footnoteReference w:customMarkFollows="1" w:id="1"/>
        <w:t>*</w:t>
      </w:r>
      <w:r>
        <w:rPr>
          <w:rFonts w:ascii="Verdana" w:hAnsi="Verdana"/>
          <w:b/>
          <w:sz w:val="20"/>
          <w:lang w:val="es-MX"/>
        </w:rPr>
        <w:t xml:space="preserve"> </w:t>
      </w:r>
    </w:p>
    <w:p w14:paraId="6B17EB7B" w14:textId="77777777" w:rsidR="00E54903" w:rsidRDefault="00E54903" w:rsidP="00E54903">
      <w:pPr>
        <w:jc w:val="center"/>
        <w:rPr>
          <w:rFonts w:ascii="Verdana" w:hAnsi="Verdana"/>
          <w:b/>
          <w:sz w:val="20"/>
          <w:lang w:val="es-MX"/>
        </w:rPr>
      </w:pPr>
    </w:p>
    <w:p w14:paraId="0FB1B89C" w14:textId="3AF77C29" w:rsidR="00E54903" w:rsidRDefault="00675CE9" w:rsidP="00E54903">
      <w:pPr>
        <w:jc w:val="center"/>
        <w:rPr>
          <w:rFonts w:ascii="Verdana" w:hAnsi="Verdana"/>
          <w:b/>
          <w:sz w:val="20"/>
          <w:lang w:val="es-CR"/>
        </w:rPr>
      </w:pPr>
      <w:r>
        <w:rPr>
          <w:rFonts w:ascii="Verdana" w:hAnsi="Verdana"/>
          <w:b/>
          <w:sz w:val="20"/>
          <w:lang w:val="es-CR"/>
        </w:rPr>
        <w:t>26</w:t>
      </w:r>
      <w:r w:rsidR="00E54903">
        <w:rPr>
          <w:rFonts w:ascii="Verdana" w:hAnsi="Verdana"/>
          <w:b/>
          <w:sz w:val="20"/>
          <w:lang w:val="es-CR"/>
        </w:rPr>
        <w:t xml:space="preserve"> DE </w:t>
      </w:r>
      <w:r w:rsidR="0088461B">
        <w:rPr>
          <w:rFonts w:ascii="Verdana" w:hAnsi="Verdana"/>
          <w:b/>
          <w:sz w:val="20"/>
          <w:lang w:val="es-CR"/>
        </w:rPr>
        <w:t>SEPTIEMBRE</w:t>
      </w:r>
      <w:r w:rsidR="00E54903">
        <w:rPr>
          <w:rFonts w:ascii="Verdana" w:hAnsi="Verdana"/>
          <w:b/>
          <w:sz w:val="20"/>
          <w:lang w:val="es-CR"/>
        </w:rPr>
        <w:t xml:space="preserve"> DE </w:t>
      </w:r>
      <w:r w:rsidR="001F388D" w:rsidRPr="000B505A">
        <w:rPr>
          <w:rFonts w:ascii="Verdana" w:hAnsi="Verdana"/>
          <w:b/>
          <w:sz w:val="20"/>
          <w:lang w:val="es-CR"/>
        </w:rPr>
        <w:t>201</w:t>
      </w:r>
      <w:r w:rsidR="001F388D">
        <w:rPr>
          <w:rFonts w:ascii="Verdana" w:hAnsi="Verdana"/>
          <w:b/>
          <w:sz w:val="20"/>
          <w:lang w:val="es-CR"/>
        </w:rPr>
        <w:t>8</w:t>
      </w:r>
    </w:p>
    <w:p w14:paraId="3003F3F1" w14:textId="77777777" w:rsidR="00E54903" w:rsidRDefault="00E54903" w:rsidP="00E54903">
      <w:pPr>
        <w:jc w:val="center"/>
        <w:rPr>
          <w:rFonts w:ascii="Verdana" w:hAnsi="Verdana"/>
          <w:b/>
          <w:sz w:val="20"/>
          <w:lang w:val="es-CR"/>
        </w:rPr>
      </w:pPr>
    </w:p>
    <w:p w14:paraId="22B23207" w14:textId="77777777" w:rsidR="00E54903" w:rsidRDefault="00E54903" w:rsidP="00E54903">
      <w:pPr>
        <w:jc w:val="center"/>
        <w:rPr>
          <w:rFonts w:ascii="Verdana" w:hAnsi="Verdana"/>
          <w:b/>
          <w:i/>
          <w:sz w:val="20"/>
          <w:lang w:val="es-CR"/>
        </w:rPr>
      </w:pPr>
      <w:r>
        <w:rPr>
          <w:rFonts w:ascii="Verdana" w:hAnsi="Verdana"/>
          <w:b/>
          <w:i/>
          <w:sz w:val="20"/>
          <w:lang w:val="es-CR"/>
        </w:rPr>
        <w:t xml:space="preserve">CASO </w:t>
      </w:r>
      <w:r w:rsidR="006413C9">
        <w:rPr>
          <w:rFonts w:ascii="Verdana" w:hAnsi="Verdana"/>
          <w:b/>
          <w:i/>
          <w:sz w:val="20"/>
          <w:lang w:val="es-CR"/>
        </w:rPr>
        <w:t>DEL</w:t>
      </w:r>
      <w:r>
        <w:rPr>
          <w:rFonts w:ascii="Verdana" w:hAnsi="Verdana"/>
          <w:b/>
          <w:i/>
          <w:sz w:val="20"/>
          <w:lang w:val="es-CR"/>
        </w:rPr>
        <w:t xml:space="preserve"> </w:t>
      </w:r>
      <w:r w:rsidR="006413C9">
        <w:rPr>
          <w:rFonts w:ascii="Verdana" w:hAnsi="Verdana"/>
          <w:b/>
          <w:i/>
          <w:sz w:val="20"/>
          <w:lang w:val="es-CR"/>
        </w:rPr>
        <w:t>PUEBLO</w:t>
      </w:r>
      <w:r>
        <w:rPr>
          <w:rFonts w:ascii="Verdana" w:hAnsi="Verdana"/>
          <w:b/>
          <w:i/>
          <w:sz w:val="20"/>
          <w:lang w:val="es-CR"/>
        </w:rPr>
        <w:t xml:space="preserve"> </w:t>
      </w:r>
      <w:r w:rsidR="00D66443">
        <w:rPr>
          <w:rFonts w:ascii="Verdana" w:hAnsi="Verdana"/>
          <w:b/>
          <w:i/>
          <w:sz w:val="20"/>
          <w:lang w:val="es-CR"/>
        </w:rPr>
        <w:t>SARAMAKA</w:t>
      </w:r>
      <w:r>
        <w:rPr>
          <w:rFonts w:ascii="Verdana" w:hAnsi="Verdana"/>
          <w:b/>
          <w:i/>
          <w:sz w:val="20"/>
          <w:lang w:val="es-CR"/>
        </w:rPr>
        <w:t xml:space="preserve"> VS. SURINAM</w:t>
      </w:r>
    </w:p>
    <w:p w14:paraId="29360957" w14:textId="77777777" w:rsidR="00E54903" w:rsidRDefault="00E54903" w:rsidP="00E54903">
      <w:pPr>
        <w:jc w:val="center"/>
        <w:rPr>
          <w:rFonts w:ascii="Verdana" w:hAnsi="Verdana"/>
          <w:b/>
          <w:sz w:val="20"/>
          <w:lang w:val="es-MX"/>
        </w:rPr>
      </w:pPr>
    </w:p>
    <w:p w14:paraId="19111D6F" w14:textId="77777777" w:rsidR="00E54903" w:rsidRDefault="00E54903" w:rsidP="00E54903">
      <w:pPr>
        <w:jc w:val="center"/>
        <w:rPr>
          <w:rFonts w:ascii="Times New Roman" w:eastAsiaTheme="minorHAnsi" w:hAnsi="Times New Roman"/>
          <w:szCs w:val="24"/>
          <w:lang w:val="es-CR" w:eastAsia="es-CR"/>
        </w:rPr>
      </w:pPr>
      <w:r>
        <w:rPr>
          <w:rFonts w:ascii="Verdana" w:hAnsi="Verdana"/>
          <w:b/>
          <w:sz w:val="20"/>
          <w:lang w:val="es-MX"/>
        </w:rPr>
        <w:t>SUPERVISIÓN DE CUMPLIMIENTO DE SENTENCIA</w:t>
      </w:r>
    </w:p>
    <w:p w14:paraId="40A2E219" w14:textId="77777777" w:rsidR="00E54903" w:rsidRPr="00434643" w:rsidRDefault="00E54903" w:rsidP="00E54903">
      <w:pPr>
        <w:jc w:val="both"/>
        <w:rPr>
          <w:rFonts w:ascii="Verdana" w:hAnsi="Verdana"/>
          <w:b/>
          <w:sz w:val="20"/>
          <w:szCs w:val="22"/>
          <w:lang w:val="es-CR"/>
        </w:rPr>
      </w:pPr>
    </w:p>
    <w:p w14:paraId="43C8AA74" w14:textId="77777777" w:rsidR="00E54903" w:rsidRPr="0082778F" w:rsidRDefault="00E54903" w:rsidP="00E54903">
      <w:pPr>
        <w:jc w:val="both"/>
        <w:rPr>
          <w:rFonts w:ascii="Verdana" w:hAnsi="Verdana"/>
          <w:b/>
          <w:sz w:val="20"/>
          <w:lang w:val="es-MX"/>
        </w:rPr>
      </w:pPr>
      <w:r w:rsidRPr="0082778F">
        <w:rPr>
          <w:rFonts w:ascii="Verdana" w:hAnsi="Verdana"/>
          <w:b/>
          <w:sz w:val="20"/>
          <w:lang w:val="es-MX"/>
        </w:rPr>
        <w:t>VISTO:</w:t>
      </w:r>
    </w:p>
    <w:p w14:paraId="04400806" w14:textId="77777777" w:rsidR="00E54903" w:rsidRDefault="00E54903" w:rsidP="00E54903">
      <w:pPr>
        <w:rPr>
          <w:lang w:val="es-MX"/>
        </w:rPr>
      </w:pPr>
    </w:p>
    <w:p w14:paraId="27808687" w14:textId="51B7DCD4" w:rsidR="00E54903" w:rsidRPr="005173AF" w:rsidRDefault="00E54903" w:rsidP="00E54903">
      <w:pPr>
        <w:numPr>
          <w:ilvl w:val="0"/>
          <w:numId w:val="1"/>
        </w:numPr>
        <w:ind w:left="0" w:firstLine="0"/>
        <w:jc w:val="both"/>
        <w:rPr>
          <w:rFonts w:ascii="Verdana" w:hAnsi="Verdana"/>
          <w:sz w:val="20"/>
          <w:lang w:val="es-VE"/>
        </w:rPr>
      </w:pPr>
      <w:bookmarkStart w:id="0" w:name="_Ref437273668"/>
      <w:r w:rsidRPr="0076390D">
        <w:rPr>
          <w:rFonts w:ascii="Verdana" w:hAnsi="Verdana"/>
          <w:sz w:val="20"/>
          <w:lang w:val="es-MX"/>
        </w:rPr>
        <w:t>La Sentencia de</w:t>
      </w:r>
      <w:r>
        <w:rPr>
          <w:rFonts w:ascii="Verdana" w:hAnsi="Verdana"/>
          <w:color w:val="00B050"/>
          <w:sz w:val="20"/>
          <w:lang w:val="es-MX"/>
        </w:rPr>
        <w:t xml:space="preserve"> </w:t>
      </w:r>
      <w:r w:rsidRPr="00F95938">
        <w:rPr>
          <w:rFonts w:ascii="Verdana" w:hAnsi="Verdana"/>
          <w:sz w:val="20"/>
          <w:lang w:val="es-MX"/>
        </w:rPr>
        <w:t>excepciones preliminares, fondo, reparaciones y costas</w:t>
      </w:r>
      <w:r w:rsidRPr="005173AF">
        <w:rPr>
          <w:rFonts w:ascii="Verdana" w:hAnsi="Verdana"/>
          <w:color w:val="00B050"/>
          <w:sz w:val="20"/>
          <w:lang w:val="es-MX"/>
        </w:rPr>
        <w:t xml:space="preserve"> </w:t>
      </w:r>
      <w:r w:rsidRPr="0076390D">
        <w:rPr>
          <w:rFonts w:ascii="Verdana" w:hAnsi="Verdana"/>
          <w:sz w:val="20"/>
          <w:lang w:val="es-MX"/>
        </w:rPr>
        <w:t xml:space="preserve">(en adelante “la Sentencia”) dictada por la Corte Interamericana de Derechos Humanos (en adelante “la Corte”, “la Corte Interamericana” o “el Tribunal”) el </w:t>
      </w:r>
      <w:r w:rsidR="0001668C">
        <w:rPr>
          <w:rFonts w:ascii="Verdana" w:hAnsi="Verdana"/>
          <w:sz w:val="20"/>
          <w:lang w:val="es-MX"/>
        </w:rPr>
        <w:t>28</w:t>
      </w:r>
      <w:r w:rsidRPr="005173AF">
        <w:rPr>
          <w:rFonts w:ascii="Verdana" w:hAnsi="Verdana"/>
          <w:color w:val="00B050"/>
          <w:sz w:val="20"/>
          <w:lang w:val="es-MX"/>
        </w:rPr>
        <w:t xml:space="preserve"> </w:t>
      </w:r>
      <w:r w:rsidRPr="0076390D">
        <w:rPr>
          <w:rFonts w:ascii="Verdana" w:hAnsi="Verdana"/>
          <w:sz w:val="20"/>
          <w:lang w:val="es-MX"/>
        </w:rPr>
        <w:t xml:space="preserve">de </w:t>
      </w:r>
      <w:r w:rsidR="0001668C">
        <w:rPr>
          <w:rFonts w:ascii="Verdana" w:hAnsi="Verdana"/>
          <w:sz w:val="20"/>
          <w:lang w:val="es-MX"/>
        </w:rPr>
        <w:t>noviembre</w:t>
      </w:r>
      <w:r w:rsidRPr="005173AF">
        <w:rPr>
          <w:rFonts w:ascii="Verdana" w:hAnsi="Verdana"/>
          <w:color w:val="00B050"/>
          <w:sz w:val="20"/>
          <w:lang w:val="es-MX"/>
        </w:rPr>
        <w:t xml:space="preserve"> </w:t>
      </w:r>
      <w:r w:rsidRPr="0076390D">
        <w:rPr>
          <w:rFonts w:ascii="Verdana" w:hAnsi="Verdana"/>
          <w:sz w:val="20"/>
          <w:lang w:val="es-MX"/>
        </w:rPr>
        <w:t xml:space="preserve">de </w:t>
      </w:r>
      <w:r w:rsidR="0001668C">
        <w:rPr>
          <w:rFonts w:ascii="Verdana" w:hAnsi="Verdana"/>
          <w:sz w:val="20"/>
          <w:lang w:val="es-MX"/>
        </w:rPr>
        <w:t>2007</w:t>
      </w:r>
      <w:r w:rsidRPr="0076390D">
        <w:rPr>
          <w:rStyle w:val="FootnoteReference"/>
          <w:rFonts w:ascii="Verdana" w:hAnsi="Verdana"/>
          <w:sz w:val="20"/>
          <w:lang w:val="es-MX"/>
        </w:rPr>
        <w:footnoteReference w:id="2"/>
      </w:r>
      <w:r w:rsidRPr="0076390D">
        <w:rPr>
          <w:rFonts w:ascii="Verdana" w:hAnsi="Verdana"/>
          <w:sz w:val="20"/>
          <w:lang w:val="es-MX"/>
        </w:rPr>
        <w:t xml:space="preserve">. </w:t>
      </w:r>
      <w:r>
        <w:rPr>
          <w:rFonts w:ascii="Verdana" w:hAnsi="Verdana"/>
          <w:sz w:val="20"/>
          <w:lang w:val="es-MX"/>
        </w:rPr>
        <w:t>En dicho caso, la Corte declaró responsable internacionalmente a la República de Surinam (en ade</w:t>
      </w:r>
      <w:r w:rsidR="00524465">
        <w:rPr>
          <w:rFonts w:ascii="Verdana" w:hAnsi="Verdana"/>
          <w:sz w:val="20"/>
          <w:lang w:val="es-MX"/>
        </w:rPr>
        <w:t xml:space="preserve">lante “el Estado” o “Surinam”) </w:t>
      </w:r>
      <w:r>
        <w:rPr>
          <w:rFonts w:ascii="Verdana" w:hAnsi="Verdana"/>
          <w:sz w:val="20"/>
          <w:lang w:val="es-MX"/>
        </w:rPr>
        <w:t xml:space="preserve">por las violaciones perpetradas en contra del </w:t>
      </w:r>
      <w:r w:rsidR="00497AA9">
        <w:rPr>
          <w:rFonts w:ascii="Verdana" w:hAnsi="Verdana"/>
          <w:sz w:val="20"/>
          <w:lang w:val="es-MX"/>
        </w:rPr>
        <w:t xml:space="preserve">Pueblo </w:t>
      </w:r>
      <w:proofErr w:type="spellStart"/>
      <w:r w:rsidR="00497AA9">
        <w:rPr>
          <w:rFonts w:ascii="Verdana" w:hAnsi="Verdana"/>
          <w:sz w:val="20"/>
          <w:lang w:val="es-MX"/>
        </w:rPr>
        <w:t>Saramaka</w:t>
      </w:r>
      <w:proofErr w:type="spellEnd"/>
      <w:r w:rsidRPr="0076390D">
        <w:rPr>
          <w:rFonts w:ascii="Verdana" w:hAnsi="Verdana"/>
          <w:sz w:val="20"/>
        </w:rPr>
        <w:t xml:space="preserve">. </w:t>
      </w:r>
      <w:r w:rsidR="00322CC1">
        <w:rPr>
          <w:rFonts w:ascii="Verdana" w:hAnsi="Verdana"/>
          <w:sz w:val="20"/>
        </w:rPr>
        <w:t xml:space="preserve">Entre </w:t>
      </w:r>
      <w:r w:rsidR="00CA6E8E">
        <w:rPr>
          <w:rFonts w:ascii="Verdana" w:hAnsi="Verdana"/>
          <w:sz w:val="20"/>
        </w:rPr>
        <w:t>1997</w:t>
      </w:r>
      <w:r w:rsidR="00322CC1">
        <w:rPr>
          <w:rFonts w:ascii="Verdana" w:hAnsi="Verdana"/>
          <w:sz w:val="20"/>
        </w:rPr>
        <w:t xml:space="preserve"> y 2004</w:t>
      </w:r>
      <w:r w:rsidR="00CA5FB5">
        <w:rPr>
          <w:rFonts w:ascii="Verdana" w:hAnsi="Verdana"/>
          <w:sz w:val="20"/>
        </w:rPr>
        <w:t xml:space="preserve"> </w:t>
      </w:r>
      <w:r w:rsidR="009F1A72">
        <w:rPr>
          <w:rFonts w:ascii="Verdana" w:hAnsi="Verdana"/>
          <w:sz w:val="20"/>
        </w:rPr>
        <w:t xml:space="preserve">Surinam tuvo como práctica la emisión de concesiones madereras sobre las tierras y los recursos naturales que los miembros del </w:t>
      </w:r>
      <w:r w:rsidR="00C1771A">
        <w:rPr>
          <w:rFonts w:ascii="Verdana" w:hAnsi="Verdana"/>
          <w:sz w:val="20"/>
        </w:rPr>
        <w:t>P</w:t>
      </w:r>
      <w:r w:rsidR="009F1A72">
        <w:rPr>
          <w:rFonts w:ascii="Verdana" w:hAnsi="Verdana"/>
          <w:sz w:val="20"/>
        </w:rPr>
        <w:t xml:space="preserve">ueblo </w:t>
      </w:r>
      <w:proofErr w:type="spellStart"/>
      <w:r w:rsidR="009F1A72">
        <w:rPr>
          <w:rFonts w:ascii="Verdana" w:hAnsi="Verdana"/>
          <w:sz w:val="20"/>
        </w:rPr>
        <w:t>Saramaka</w:t>
      </w:r>
      <w:proofErr w:type="spellEnd"/>
      <w:r w:rsidR="009F1A72">
        <w:rPr>
          <w:rFonts w:ascii="Verdana" w:hAnsi="Verdana"/>
          <w:sz w:val="20"/>
        </w:rPr>
        <w:t xml:space="preserve"> venían utilizando de manera tradicional. Respecto de éstas, el Estado no llevó a cabo o supervisó estudios ambientales y sociales previos ni puso en práctica garantías o mecanismos a fin de asegurar que estas concesiones madereras no causaran un daño mayor al territorio y comunidades </w:t>
      </w:r>
      <w:proofErr w:type="spellStart"/>
      <w:r w:rsidR="009F1A72">
        <w:rPr>
          <w:rFonts w:ascii="Verdana" w:hAnsi="Verdana"/>
          <w:sz w:val="20"/>
        </w:rPr>
        <w:t>Saramaka</w:t>
      </w:r>
      <w:proofErr w:type="spellEnd"/>
      <w:r w:rsidR="009F1A72">
        <w:rPr>
          <w:rFonts w:ascii="Verdana" w:hAnsi="Verdana"/>
          <w:sz w:val="20"/>
        </w:rPr>
        <w:t xml:space="preserve">. Asimismo, Surinam no permitió la participación efectiva del </w:t>
      </w:r>
      <w:r w:rsidR="00C1771A">
        <w:rPr>
          <w:rFonts w:ascii="Verdana" w:hAnsi="Verdana"/>
          <w:sz w:val="20"/>
        </w:rPr>
        <w:t>P</w:t>
      </w:r>
      <w:r w:rsidR="009F1A72">
        <w:rPr>
          <w:rFonts w:ascii="Verdana" w:hAnsi="Verdana"/>
          <w:sz w:val="20"/>
        </w:rPr>
        <w:t xml:space="preserve">ueblo </w:t>
      </w:r>
      <w:proofErr w:type="spellStart"/>
      <w:r w:rsidR="009F1A72">
        <w:rPr>
          <w:rFonts w:ascii="Verdana" w:hAnsi="Verdana"/>
          <w:sz w:val="20"/>
        </w:rPr>
        <w:t>Saramaka</w:t>
      </w:r>
      <w:proofErr w:type="spellEnd"/>
      <w:r w:rsidR="009F1A72">
        <w:rPr>
          <w:rFonts w:ascii="Verdana" w:hAnsi="Verdana"/>
          <w:sz w:val="20"/>
        </w:rPr>
        <w:t xml:space="preserve"> en el proceso de toma de decisiones respecto de las concesiones madereras y éstos, a su vez, no recibieron ningún beneficio de la extracción maderera en su territorio. Por último, se constató que el Estado no reconoció </w:t>
      </w:r>
      <w:r w:rsidR="00CA5FB5">
        <w:rPr>
          <w:rFonts w:ascii="Verdana" w:hAnsi="Verdana"/>
          <w:sz w:val="20"/>
        </w:rPr>
        <w:t>a</w:t>
      </w:r>
      <w:r w:rsidR="009F1A72">
        <w:rPr>
          <w:rFonts w:ascii="Verdana" w:hAnsi="Verdana"/>
          <w:sz w:val="20"/>
        </w:rPr>
        <w:t xml:space="preserve">l </w:t>
      </w:r>
      <w:r w:rsidR="00C1771A">
        <w:rPr>
          <w:rFonts w:ascii="Verdana" w:hAnsi="Verdana"/>
          <w:sz w:val="20"/>
        </w:rPr>
        <w:t>P</w:t>
      </w:r>
      <w:r w:rsidR="009F1A72">
        <w:rPr>
          <w:rFonts w:ascii="Verdana" w:hAnsi="Verdana"/>
          <w:sz w:val="20"/>
        </w:rPr>
        <w:t xml:space="preserve">ueblo </w:t>
      </w:r>
      <w:proofErr w:type="spellStart"/>
      <w:r w:rsidR="009F1A72">
        <w:rPr>
          <w:rFonts w:ascii="Verdana" w:hAnsi="Verdana"/>
          <w:sz w:val="20"/>
        </w:rPr>
        <w:t>Saramaka</w:t>
      </w:r>
      <w:proofErr w:type="spellEnd"/>
      <w:r w:rsidR="009F1A72">
        <w:rPr>
          <w:rFonts w:ascii="Verdana" w:hAnsi="Verdana"/>
          <w:sz w:val="20"/>
        </w:rPr>
        <w:t xml:space="preserve"> la capacidad jurídica para gozar, colectivamente, del derecho a la propiedad y para reclamar la violación de dicho derecho ante los tribunales internos. </w:t>
      </w:r>
      <w:r w:rsidR="00D55DB2">
        <w:rPr>
          <w:rFonts w:ascii="Verdana" w:hAnsi="Verdana"/>
          <w:sz w:val="20"/>
        </w:rPr>
        <w:t>Por lo anterior, la Corte declaró que el Estado había viol</w:t>
      </w:r>
      <w:r w:rsidR="00C1771A">
        <w:rPr>
          <w:rFonts w:ascii="Verdana" w:hAnsi="Verdana"/>
          <w:sz w:val="20"/>
        </w:rPr>
        <w:t>ado</w:t>
      </w:r>
      <w:r w:rsidR="00D55DB2">
        <w:rPr>
          <w:rFonts w:ascii="Verdana" w:hAnsi="Verdana"/>
          <w:sz w:val="20"/>
        </w:rPr>
        <w:t xml:space="preserve"> el derecho de propiedad, el derecho al reconocimiento de la personalidad jurídica y el derecho a la protección judicial, reconocidos en la Convención Americana sobre Derechos Humanos</w:t>
      </w:r>
      <w:r w:rsidR="00CA5FB5">
        <w:rPr>
          <w:rFonts w:ascii="Verdana" w:hAnsi="Verdana"/>
          <w:sz w:val="20"/>
        </w:rPr>
        <w:t>,</w:t>
      </w:r>
      <w:r w:rsidR="00D55DB2">
        <w:rPr>
          <w:rFonts w:ascii="Verdana" w:hAnsi="Verdana"/>
          <w:sz w:val="20"/>
        </w:rPr>
        <w:t xml:space="preserve"> en perjuicio de los miembros del </w:t>
      </w:r>
      <w:r w:rsidR="00C1771A">
        <w:rPr>
          <w:rFonts w:ascii="Verdana" w:hAnsi="Verdana"/>
          <w:sz w:val="20"/>
        </w:rPr>
        <w:t>P</w:t>
      </w:r>
      <w:r w:rsidR="00D55DB2">
        <w:rPr>
          <w:rFonts w:ascii="Verdana" w:hAnsi="Verdana"/>
          <w:sz w:val="20"/>
        </w:rPr>
        <w:t xml:space="preserve">ueblo </w:t>
      </w:r>
      <w:proofErr w:type="spellStart"/>
      <w:r w:rsidR="00D55DB2">
        <w:rPr>
          <w:rFonts w:ascii="Verdana" w:hAnsi="Verdana"/>
          <w:sz w:val="20"/>
        </w:rPr>
        <w:t>Saramaka</w:t>
      </w:r>
      <w:proofErr w:type="spellEnd"/>
      <w:r w:rsidR="00D55DB2">
        <w:rPr>
          <w:rFonts w:ascii="Verdana" w:hAnsi="Verdana"/>
          <w:sz w:val="20"/>
        </w:rPr>
        <w:t xml:space="preserve">. </w:t>
      </w:r>
      <w:r w:rsidRPr="0076390D">
        <w:rPr>
          <w:rFonts w:ascii="Verdana" w:hAnsi="Verdana"/>
          <w:sz w:val="20"/>
        </w:rPr>
        <w:t>La Corte determinó que la referida Sentencia constituía</w:t>
      </w:r>
      <w:r>
        <w:rPr>
          <w:rFonts w:ascii="Verdana" w:hAnsi="Verdana"/>
          <w:sz w:val="20"/>
        </w:rPr>
        <w:t>, por sí misma,</w:t>
      </w:r>
      <w:r w:rsidRPr="0076390D">
        <w:rPr>
          <w:rFonts w:ascii="Verdana" w:hAnsi="Verdana"/>
          <w:sz w:val="20"/>
        </w:rPr>
        <w:t xml:space="preserve"> una forma de reparación, y ordenó al Estado </w:t>
      </w:r>
      <w:r w:rsidR="001D07E8">
        <w:rPr>
          <w:rFonts w:ascii="Verdana" w:hAnsi="Verdana"/>
          <w:sz w:val="20"/>
        </w:rPr>
        <w:t xml:space="preserve">la adopción de </w:t>
      </w:r>
      <w:r w:rsidRPr="0076390D">
        <w:rPr>
          <w:rFonts w:ascii="Verdana" w:hAnsi="Verdana"/>
          <w:sz w:val="20"/>
        </w:rPr>
        <w:t>medidas</w:t>
      </w:r>
      <w:r w:rsidR="001D07E8">
        <w:rPr>
          <w:rFonts w:ascii="Verdana" w:hAnsi="Verdana"/>
          <w:sz w:val="20"/>
        </w:rPr>
        <w:t xml:space="preserve"> adicionales</w:t>
      </w:r>
      <w:r w:rsidRPr="0076390D">
        <w:rPr>
          <w:rFonts w:ascii="Verdana" w:hAnsi="Verdana"/>
          <w:sz w:val="20"/>
        </w:rPr>
        <w:t xml:space="preserve"> de reparación</w:t>
      </w:r>
      <w:r>
        <w:rPr>
          <w:rFonts w:ascii="Verdana" w:hAnsi="Verdana"/>
          <w:sz w:val="20"/>
        </w:rPr>
        <w:t xml:space="preserve"> (</w:t>
      </w:r>
      <w:r>
        <w:rPr>
          <w:rFonts w:ascii="Verdana" w:hAnsi="Verdana"/>
          <w:i/>
          <w:sz w:val="20"/>
        </w:rPr>
        <w:t>infra</w:t>
      </w:r>
      <w:r>
        <w:rPr>
          <w:rFonts w:ascii="Verdana" w:hAnsi="Verdana"/>
          <w:sz w:val="20"/>
        </w:rPr>
        <w:t xml:space="preserve"> Considerando </w:t>
      </w:r>
      <w:r w:rsidR="00CC4F6B">
        <w:rPr>
          <w:rFonts w:ascii="Verdana" w:hAnsi="Verdana"/>
          <w:sz w:val="20"/>
        </w:rPr>
        <w:fldChar w:fldCharType="begin"/>
      </w:r>
      <w:r w:rsidR="00CC4F6B">
        <w:rPr>
          <w:rFonts w:ascii="Verdana" w:hAnsi="Verdana"/>
          <w:sz w:val="20"/>
        </w:rPr>
        <w:instrText xml:space="preserve"> REF _Ref526770998 \r \h </w:instrText>
      </w:r>
      <w:r w:rsidR="00CC4F6B">
        <w:rPr>
          <w:rFonts w:ascii="Verdana" w:hAnsi="Verdana"/>
          <w:sz w:val="20"/>
        </w:rPr>
      </w:r>
      <w:r w:rsidR="00CC4F6B">
        <w:rPr>
          <w:rFonts w:ascii="Verdana" w:hAnsi="Verdana"/>
          <w:sz w:val="20"/>
        </w:rPr>
        <w:fldChar w:fldCharType="separate"/>
      </w:r>
      <w:r w:rsidR="009356EF">
        <w:rPr>
          <w:rFonts w:ascii="Verdana" w:hAnsi="Verdana"/>
          <w:sz w:val="20"/>
        </w:rPr>
        <w:t>1</w:t>
      </w:r>
      <w:r w:rsidR="00CC4F6B">
        <w:rPr>
          <w:rFonts w:ascii="Verdana" w:hAnsi="Verdana"/>
          <w:sz w:val="20"/>
        </w:rPr>
        <w:fldChar w:fldCharType="end"/>
      </w:r>
      <w:r>
        <w:rPr>
          <w:rFonts w:ascii="Verdana" w:hAnsi="Verdana"/>
          <w:sz w:val="20"/>
        </w:rPr>
        <w:t>)</w:t>
      </w:r>
      <w:r w:rsidRPr="0076390D">
        <w:rPr>
          <w:rFonts w:ascii="Verdana" w:hAnsi="Verdana"/>
          <w:sz w:val="20"/>
        </w:rPr>
        <w:t>.</w:t>
      </w:r>
      <w:bookmarkEnd w:id="0"/>
    </w:p>
    <w:p w14:paraId="08B5B34D" w14:textId="77777777" w:rsidR="00E54903" w:rsidRPr="005173AF" w:rsidRDefault="00E54903" w:rsidP="00E54903">
      <w:pPr>
        <w:jc w:val="both"/>
        <w:rPr>
          <w:rFonts w:ascii="Verdana" w:hAnsi="Verdana"/>
          <w:sz w:val="20"/>
          <w:lang w:val="es-VE"/>
        </w:rPr>
      </w:pPr>
    </w:p>
    <w:p w14:paraId="3DAC44AC" w14:textId="2F580E5A" w:rsidR="00E54903" w:rsidRDefault="00E54903" w:rsidP="00E54903">
      <w:pPr>
        <w:numPr>
          <w:ilvl w:val="0"/>
          <w:numId w:val="1"/>
        </w:numPr>
        <w:ind w:left="0" w:firstLine="0"/>
        <w:jc w:val="both"/>
        <w:rPr>
          <w:rFonts w:ascii="Verdana" w:eastAsia="Times New Roman" w:hAnsi="Verdana"/>
          <w:sz w:val="20"/>
          <w:lang w:val="es-CO"/>
        </w:rPr>
      </w:pPr>
      <w:bookmarkStart w:id="1" w:name="_Ref526523090"/>
      <w:r>
        <w:rPr>
          <w:rFonts w:ascii="Verdana" w:eastAsia="Times New Roman" w:hAnsi="Verdana"/>
          <w:sz w:val="20"/>
          <w:lang w:val="es-CO"/>
        </w:rPr>
        <w:lastRenderedPageBreak/>
        <w:t xml:space="preserve">La </w:t>
      </w:r>
      <w:r w:rsidRPr="005173AF">
        <w:rPr>
          <w:rFonts w:ascii="Verdana" w:hAnsi="Verdana"/>
          <w:sz w:val="20"/>
          <w:lang w:val="es-MX"/>
        </w:rPr>
        <w:t>Sentencia</w:t>
      </w:r>
      <w:r w:rsidR="006332B3">
        <w:rPr>
          <w:rFonts w:ascii="Verdana" w:eastAsia="Times New Roman" w:hAnsi="Verdana"/>
          <w:sz w:val="20"/>
          <w:lang w:val="es-CO"/>
        </w:rPr>
        <w:t xml:space="preserve"> de </w:t>
      </w:r>
      <w:r w:rsidR="00322CC1">
        <w:rPr>
          <w:rFonts w:ascii="Verdana" w:eastAsia="Times New Roman" w:hAnsi="Verdana"/>
          <w:sz w:val="20"/>
          <w:lang w:val="es-CO"/>
        </w:rPr>
        <w:t>I</w:t>
      </w:r>
      <w:r w:rsidR="006332B3">
        <w:rPr>
          <w:rFonts w:ascii="Verdana" w:eastAsia="Times New Roman" w:hAnsi="Verdana"/>
          <w:sz w:val="20"/>
          <w:lang w:val="es-CO"/>
        </w:rPr>
        <w:t>nterpretación</w:t>
      </w:r>
      <w:r w:rsidR="00322CC1">
        <w:rPr>
          <w:rFonts w:ascii="Verdana" w:eastAsia="Times New Roman" w:hAnsi="Verdana"/>
          <w:sz w:val="20"/>
          <w:lang w:val="es-CO"/>
        </w:rPr>
        <w:t xml:space="preserve"> de la Sentencia (en adelante “la Sentencia de interpretación”)</w:t>
      </w:r>
      <w:r>
        <w:rPr>
          <w:rFonts w:ascii="Verdana" w:eastAsia="Times New Roman" w:hAnsi="Verdana"/>
          <w:sz w:val="20"/>
          <w:lang w:val="es-CO"/>
        </w:rPr>
        <w:t xml:space="preserve"> emitida por la Corte el </w:t>
      </w:r>
      <w:r w:rsidR="003C14AC">
        <w:rPr>
          <w:rFonts w:ascii="Verdana" w:eastAsia="Times New Roman" w:hAnsi="Verdana"/>
          <w:sz w:val="20"/>
          <w:lang w:val="es-CO"/>
        </w:rPr>
        <w:t>12</w:t>
      </w:r>
      <w:r w:rsidRPr="005173AF">
        <w:rPr>
          <w:rFonts w:ascii="Verdana" w:eastAsia="Times New Roman" w:hAnsi="Verdana"/>
          <w:color w:val="00B050"/>
          <w:sz w:val="20"/>
          <w:lang w:val="es-CO"/>
        </w:rPr>
        <w:t xml:space="preserve"> </w:t>
      </w:r>
      <w:r>
        <w:rPr>
          <w:rFonts w:ascii="Verdana" w:eastAsia="Times New Roman" w:hAnsi="Verdana"/>
          <w:sz w:val="20"/>
          <w:lang w:val="es-CO"/>
        </w:rPr>
        <w:t xml:space="preserve">de </w:t>
      </w:r>
      <w:r w:rsidR="003C14AC">
        <w:rPr>
          <w:rFonts w:ascii="Verdana" w:eastAsia="Times New Roman" w:hAnsi="Verdana"/>
          <w:sz w:val="20"/>
          <w:lang w:val="es-CO"/>
        </w:rPr>
        <w:t>agosto</w:t>
      </w:r>
      <w:r w:rsidRPr="005173AF">
        <w:rPr>
          <w:rFonts w:ascii="Verdana" w:eastAsia="Times New Roman" w:hAnsi="Verdana"/>
          <w:color w:val="00B050"/>
          <w:sz w:val="20"/>
          <w:lang w:val="es-CO"/>
        </w:rPr>
        <w:t xml:space="preserve"> </w:t>
      </w:r>
      <w:r>
        <w:rPr>
          <w:rFonts w:ascii="Verdana" w:eastAsia="Times New Roman" w:hAnsi="Verdana"/>
          <w:sz w:val="20"/>
          <w:lang w:val="es-CO"/>
        </w:rPr>
        <w:t>de 20</w:t>
      </w:r>
      <w:r w:rsidR="003C14AC">
        <w:rPr>
          <w:rFonts w:ascii="Verdana" w:eastAsia="Times New Roman" w:hAnsi="Verdana"/>
          <w:sz w:val="20"/>
          <w:lang w:val="es-CO"/>
        </w:rPr>
        <w:t>08</w:t>
      </w:r>
      <w:r>
        <w:rPr>
          <w:rStyle w:val="FootnoteReference"/>
          <w:rFonts w:ascii="Verdana" w:eastAsia="Times New Roman" w:hAnsi="Verdana"/>
          <w:sz w:val="20"/>
          <w:lang w:val="es-CO"/>
        </w:rPr>
        <w:footnoteReference w:id="3"/>
      </w:r>
      <w:r>
        <w:rPr>
          <w:rFonts w:ascii="Verdana" w:eastAsia="Times New Roman" w:hAnsi="Verdana"/>
          <w:sz w:val="20"/>
          <w:lang w:val="es-CO"/>
        </w:rPr>
        <w:t>.</w:t>
      </w:r>
      <w:bookmarkEnd w:id="1"/>
      <w:r>
        <w:rPr>
          <w:rFonts w:ascii="Verdana" w:eastAsia="Times New Roman" w:hAnsi="Verdana"/>
          <w:sz w:val="20"/>
          <w:lang w:val="es-CO"/>
        </w:rPr>
        <w:t xml:space="preserve"> </w:t>
      </w:r>
    </w:p>
    <w:p w14:paraId="14D36110" w14:textId="77777777" w:rsidR="00E54903" w:rsidRDefault="00E54903" w:rsidP="00E54903">
      <w:pPr>
        <w:pStyle w:val="ListParagraph"/>
        <w:rPr>
          <w:rFonts w:ascii="Verdana" w:eastAsia="Times New Roman" w:hAnsi="Verdana"/>
          <w:sz w:val="20"/>
          <w:lang w:val="es-CO"/>
        </w:rPr>
      </w:pPr>
    </w:p>
    <w:p w14:paraId="0C3F6FD8" w14:textId="5C3FD788" w:rsidR="00E54903" w:rsidRPr="005173AF" w:rsidRDefault="00E54903" w:rsidP="00E54903">
      <w:pPr>
        <w:numPr>
          <w:ilvl w:val="0"/>
          <w:numId w:val="1"/>
        </w:numPr>
        <w:ind w:left="0" w:firstLine="0"/>
        <w:jc w:val="both"/>
        <w:rPr>
          <w:rFonts w:ascii="Verdana" w:hAnsi="Verdana"/>
          <w:sz w:val="20"/>
          <w:lang w:val="es-MX"/>
        </w:rPr>
      </w:pPr>
      <w:bookmarkStart w:id="2" w:name="_Ref437587895"/>
      <w:r>
        <w:rPr>
          <w:rFonts w:ascii="Verdana" w:hAnsi="Verdana"/>
          <w:bCs/>
          <w:sz w:val="20"/>
          <w:lang w:val="es-MX"/>
        </w:rPr>
        <w:t xml:space="preserve">Las </w:t>
      </w:r>
      <w:r w:rsidR="004F6325">
        <w:rPr>
          <w:rFonts w:ascii="Verdana" w:hAnsi="Verdana"/>
          <w:bCs/>
          <w:sz w:val="20"/>
          <w:lang w:val="es-MX"/>
        </w:rPr>
        <w:t xml:space="preserve">dos </w:t>
      </w:r>
      <w:r>
        <w:rPr>
          <w:rFonts w:ascii="Verdana" w:hAnsi="Verdana"/>
          <w:sz w:val="20"/>
          <w:lang w:val="es-MX"/>
        </w:rPr>
        <w:t>Resoluciones</w:t>
      </w:r>
      <w:r>
        <w:rPr>
          <w:rFonts w:ascii="Verdana" w:hAnsi="Verdana"/>
          <w:bCs/>
          <w:sz w:val="20"/>
          <w:lang w:val="es-MX"/>
        </w:rPr>
        <w:t xml:space="preserve"> de supervisión de cumplimiento de sentencia dictadas por la Corte </w:t>
      </w:r>
      <w:r w:rsidR="00361DE8">
        <w:rPr>
          <w:rFonts w:ascii="Verdana" w:hAnsi="Verdana"/>
          <w:bCs/>
          <w:sz w:val="20"/>
          <w:lang w:val="es-MX"/>
        </w:rPr>
        <w:t>el 23 de</w:t>
      </w:r>
      <w:r>
        <w:rPr>
          <w:rFonts w:ascii="Verdana" w:hAnsi="Verdana"/>
          <w:bCs/>
          <w:sz w:val="20"/>
          <w:lang w:val="es-MX"/>
        </w:rPr>
        <w:t xml:space="preserve"> </w:t>
      </w:r>
      <w:r w:rsidR="004316A0">
        <w:rPr>
          <w:rFonts w:ascii="Verdana" w:hAnsi="Verdana"/>
          <w:bCs/>
          <w:sz w:val="20"/>
          <w:lang w:val="es-MX"/>
        </w:rPr>
        <w:t>noviembre de 20</w:t>
      </w:r>
      <w:r>
        <w:rPr>
          <w:rFonts w:ascii="Verdana" w:hAnsi="Verdana"/>
          <w:bCs/>
          <w:sz w:val="20"/>
          <w:lang w:val="es-MX"/>
        </w:rPr>
        <w:t>1</w:t>
      </w:r>
      <w:r w:rsidR="004316A0">
        <w:rPr>
          <w:rFonts w:ascii="Verdana" w:hAnsi="Verdana"/>
          <w:bCs/>
          <w:sz w:val="20"/>
          <w:lang w:val="es-MX"/>
        </w:rPr>
        <w:t>1</w:t>
      </w:r>
      <w:r>
        <w:rPr>
          <w:rFonts w:ascii="Verdana" w:hAnsi="Verdana"/>
          <w:bCs/>
          <w:sz w:val="20"/>
          <w:lang w:val="es-MX"/>
        </w:rPr>
        <w:t xml:space="preserve"> </w:t>
      </w:r>
      <w:r w:rsidRPr="00ED2754">
        <w:rPr>
          <w:rFonts w:ascii="Verdana" w:hAnsi="Verdana"/>
          <w:bCs/>
          <w:sz w:val="20"/>
          <w:lang w:val="es-MX"/>
        </w:rPr>
        <w:t xml:space="preserve">y </w:t>
      </w:r>
      <w:r w:rsidR="00361DE8">
        <w:rPr>
          <w:rFonts w:ascii="Verdana" w:hAnsi="Verdana"/>
          <w:bCs/>
          <w:sz w:val="20"/>
          <w:lang w:val="es-MX"/>
        </w:rPr>
        <w:t xml:space="preserve">el 4 de </w:t>
      </w:r>
      <w:r w:rsidR="003C14AC" w:rsidRPr="00ED2754">
        <w:rPr>
          <w:rFonts w:ascii="Verdana" w:hAnsi="Verdana"/>
          <w:bCs/>
          <w:sz w:val="20"/>
          <w:lang w:val="es-MX"/>
        </w:rPr>
        <w:t>septiembre</w:t>
      </w:r>
      <w:r w:rsidRPr="00ED2754">
        <w:rPr>
          <w:rFonts w:ascii="Verdana" w:hAnsi="Verdana"/>
          <w:bCs/>
          <w:sz w:val="20"/>
          <w:lang w:val="es-MX"/>
        </w:rPr>
        <w:t xml:space="preserve"> de 20</w:t>
      </w:r>
      <w:r w:rsidR="003C14AC" w:rsidRPr="00ED2754">
        <w:rPr>
          <w:rFonts w:ascii="Verdana" w:hAnsi="Verdana"/>
          <w:bCs/>
          <w:sz w:val="20"/>
          <w:lang w:val="es-MX"/>
        </w:rPr>
        <w:t>13</w:t>
      </w:r>
      <w:r>
        <w:rPr>
          <w:rStyle w:val="FootnoteReference"/>
          <w:rFonts w:ascii="Verdana" w:hAnsi="Verdana"/>
          <w:bCs/>
          <w:sz w:val="20"/>
          <w:lang w:val="es-MX"/>
        </w:rPr>
        <w:footnoteReference w:id="4"/>
      </w:r>
      <w:r>
        <w:rPr>
          <w:rFonts w:ascii="Verdana" w:hAnsi="Verdana"/>
          <w:bCs/>
          <w:sz w:val="20"/>
          <w:lang w:val="es-MX"/>
        </w:rPr>
        <w:t>.</w:t>
      </w:r>
      <w:bookmarkEnd w:id="2"/>
      <w:r w:rsidR="00767BA7">
        <w:rPr>
          <w:rFonts w:ascii="Verdana" w:hAnsi="Verdana"/>
          <w:bCs/>
          <w:sz w:val="20"/>
          <w:lang w:val="es-MX"/>
        </w:rPr>
        <w:t xml:space="preserve"> </w:t>
      </w:r>
    </w:p>
    <w:p w14:paraId="78B25A74" w14:textId="77777777" w:rsidR="00E54903" w:rsidRDefault="00E54903" w:rsidP="00E54903">
      <w:pPr>
        <w:jc w:val="both"/>
        <w:rPr>
          <w:rFonts w:ascii="Verdana" w:hAnsi="Verdana"/>
          <w:sz w:val="20"/>
          <w:lang w:val="es-MX"/>
        </w:rPr>
      </w:pPr>
    </w:p>
    <w:p w14:paraId="6D44FBB0" w14:textId="66A78070" w:rsidR="00E54903" w:rsidRPr="004C0F69" w:rsidRDefault="00BB32B5" w:rsidP="00E54903">
      <w:pPr>
        <w:numPr>
          <w:ilvl w:val="0"/>
          <w:numId w:val="1"/>
        </w:numPr>
        <w:ind w:left="0" w:firstLine="0"/>
        <w:jc w:val="both"/>
        <w:rPr>
          <w:rFonts w:ascii="Verdana" w:eastAsiaTheme="minorHAnsi" w:hAnsi="Verdana"/>
          <w:sz w:val="20"/>
          <w:lang w:val="es-CR" w:eastAsia="es-CR"/>
        </w:rPr>
      </w:pPr>
      <w:r>
        <w:rPr>
          <w:rFonts w:ascii="Verdana" w:eastAsiaTheme="minorHAnsi" w:hAnsi="Verdana"/>
          <w:sz w:val="20"/>
          <w:lang w:val="es-CR" w:eastAsia="es-CR"/>
        </w:rPr>
        <w:t>Los</w:t>
      </w:r>
      <w:r w:rsidR="004316A0">
        <w:rPr>
          <w:rFonts w:ascii="Verdana" w:eastAsiaTheme="minorHAnsi" w:hAnsi="Verdana"/>
          <w:sz w:val="20"/>
          <w:lang w:val="es-CR" w:eastAsia="es-CR"/>
        </w:rPr>
        <w:t xml:space="preserve"> informe</w:t>
      </w:r>
      <w:r>
        <w:rPr>
          <w:rFonts w:ascii="Verdana" w:eastAsiaTheme="minorHAnsi" w:hAnsi="Verdana"/>
          <w:sz w:val="20"/>
          <w:lang w:val="es-CR" w:eastAsia="es-CR"/>
        </w:rPr>
        <w:t>s</w:t>
      </w:r>
      <w:r w:rsidR="004316A0">
        <w:rPr>
          <w:rFonts w:ascii="Verdana" w:eastAsiaTheme="minorHAnsi" w:hAnsi="Verdana"/>
          <w:sz w:val="20"/>
          <w:lang w:val="es-CR" w:eastAsia="es-CR"/>
        </w:rPr>
        <w:t xml:space="preserve"> presentado</w:t>
      </w:r>
      <w:r>
        <w:rPr>
          <w:rFonts w:ascii="Verdana" w:eastAsiaTheme="minorHAnsi" w:hAnsi="Verdana"/>
          <w:sz w:val="20"/>
          <w:lang w:val="es-CR" w:eastAsia="es-CR"/>
        </w:rPr>
        <w:t>s</w:t>
      </w:r>
      <w:r w:rsidR="004316A0">
        <w:rPr>
          <w:rFonts w:ascii="Verdana" w:eastAsiaTheme="minorHAnsi" w:hAnsi="Verdana"/>
          <w:sz w:val="20"/>
          <w:lang w:val="es-CR" w:eastAsia="es-CR"/>
        </w:rPr>
        <w:t xml:space="preserve"> por el Estado el 22 de marzo </w:t>
      </w:r>
      <w:r>
        <w:rPr>
          <w:rFonts w:ascii="Verdana" w:eastAsiaTheme="minorHAnsi" w:hAnsi="Verdana"/>
          <w:sz w:val="20"/>
          <w:lang w:val="es-CR" w:eastAsia="es-CR"/>
        </w:rPr>
        <w:t xml:space="preserve">y el 12 de abril </w:t>
      </w:r>
      <w:r w:rsidR="004316A0">
        <w:rPr>
          <w:rFonts w:ascii="Verdana" w:eastAsiaTheme="minorHAnsi" w:hAnsi="Verdana"/>
          <w:sz w:val="20"/>
          <w:lang w:val="es-CR" w:eastAsia="es-CR"/>
        </w:rPr>
        <w:t xml:space="preserve">de 2013. </w:t>
      </w:r>
    </w:p>
    <w:p w14:paraId="0A789058" w14:textId="77777777" w:rsidR="00E54903" w:rsidRPr="004C0F69" w:rsidRDefault="00E54903" w:rsidP="00E54903">
      <w:pPr>
        <w:pStyle w:val="ListParagraph"/>
        <w:jc w:val="both"/>
        <w:rPr>
          <w:rFonts w:ascii="Verdana" w:eastAsiaTheme="minorHAnsi" w:hAnsi="Verdana"/>
          <w:sz w:val="20"/>
          <w:lang w:val="es-CR" w:eastAsia="es-CR"/>
        </w:rPr>
      </w:pPr>
    </w:p>
    <w:p w14:paraId="4E4627C1" w14:textId="6DA07C63" w:rsidR="00E54903" w:rsidRPr="004C0F69" w:rsidRDefault="00BB32B5" w:rsidP="00E54903">
      <w:pPr>
        <w:numPr>
          <w:ilvl w:val="0"/>
          <w:numId w:val="1"/>
        </w:numPr>
        <w:ind w:left="0" w:firstLine="0"/>
        <w:jc w:val="both"/>
        <w:rPr>
          <w:rFonts w:ascii="Verdana" w:eastAsiaTheme="minorHAnsi" w:hAnsi="Verdana"/>
          <w:sz w:val="20"/>
          <w:lang w:val="es-CR" w:eastAsia="es-CR"/>
        </w:rPr>
      </w:pPr>
      <w:r>
        <w:rPr>
          <w:rFonts w:ascii="Verdana" w:eastAsiaTheme="minorHAnsi" w:hAnsi="Verdana"/>
          <w:sz w:val="20"/>
          <w:lang w:val="es-CR" w:eastAsia="es-CR"/>
        </w:rPr>
        <w:t>Los</w:t>
      </w:r>
      <w:r w:rsidR="004316A0">
        <w:rPr>
          <w:rFonts w:ascii="Verdana" w:eastAsiaTheme="minorHAnsi" w:hAnsi="Verdana"/>
          <w:sz w:val="20"/>
          <w:lang w:val="es-CR" w:eastAsia="es-CR"/>
        </w:rPr>
        <w:t xml:space="preserve"> escrito</w:t>
      </w:r>
      <w:r>
        <w:rPr>
          <w:rFonts w:ascii="Verdana" w:eastAsiaTheme="minorHAnsi" w:hAnsi="Verdana"/>
          <w:sz w:val="20"/>
          <w:lang w:val="es-CR" w:eastAsia="es-CR"/>
        </w:rPr>
        <w:t>s</w:t>
      </w:r>
      <w:r w:rsidR="00E54903" w:rsidRPr="004C0F69">
        <w:rPr>
          <w:rFonts w:ascii="Verdana" w:eastAsiaTheme="minorHAnsi" w:hAnsi="Verdana"/>
          <w:sz w:val="20"/>
          <w:lang w:val="es-CR" w:eastAsia="es-CR"/>
        </w:rPr>
        <w:t xml:space="preserve"> de ob</w:t>
      </w:r>
      <w:r w:rsidR="00D3246C">
        <w:rPr>
          <w:rFonts w:ascii="Verdana" w:eastAsiaTheme="minorHAnsi" w:hAnsi="Verdana"/>
          <w:sz w:val="20"/>
          <w:lang w:val="es-CR" w:eastAsia="es-CR"/>
        </w:rPr>
        <w:t>servaciones presentado</w:t>
      </w:r>
      <w:r>
        <w:rPr>
          <w:rFonts w:ascii="Verdana" w:eastAsiaTheme="minorHAnsi" w:hAnsi="Verdana"/>
          <w:sz w:val="20"/>
          <w:lang w:val="es-CR" w:eastAsia="es-CR"/>
        </w:rPr>
        <w:t>s</w:t>
      </w:r>
      <w:r w:rsidR="00D3246C">
        <w:rPr>
          <w:rFonts w:ascii="Verdana" w:eastAsiaTheme="minorHAnsi" w:hAnsi="Verdana"/>
          <w:sz w:val="20"/>
          <w:lang w:val="es-CR" w:eastAsia="es-CR"/>
        </w:rPr>
        <w:t xml:space="preserve"> por los r</w:t>
      </w:r>
      <w:r w:rsidR="00E54903" w:rsidRPr="004C0F69">
        <w:rPr>
          <w:rFonts w:ascii="Verdana" w:eastAsiaTheme="minorHAnsi" w:hAnsi="Verdana"/>
          <w:sz w:val="20"/>
          <w:lang w:val="es-CR" w:eastAsia="es-CR"/>
        </w:rPr>
        <w:t>epresentantes de las víctimas</w:t>
      </w:r>
      <w:r w:rsidR="00E54903" w:rsidRPr="004C0F69">
        <w:rPr>
          <w:rStyle w:val="FootnoteReference"/>
          <w:rFonts w:ascii="Verdana" w:eastAsiaTheme="minorHAnsi" w:hAnsi="Verdana"/>
          <w:sz w:val="20"/>
          <w:lang w:val="es-CR" w:eastAsia="es-CR"/>
        </w:rPr>
        <w:footnoteReference w:id="5"/>
      </w:r>
      <w:r w:rsidR="004316A0">
        <w:rPr>
          <w:rFonts w:ascii="Verdana" w:eastAsiaTheme="minorHAnsi" w:hAnsi="Verdana"/>
          <w:sz w:val="20"/>
          <w:lang w:val="es-CR" w:eastAsia="es-CR"/>
        </w:rPr>
        <w:t xml:space="preserve"> </w:t>
      </w:r>
      <w:r w:rsidR="00D3246C">
        <w:rPr>
          <w:rFonts w:ascii="Verdana" w:eastAsiaTheme="minorHAnsi" w:hAnsi="Verdana"/>
          <w:sz w:val="20"/>
          <w:lang w:val="es-CR" w:eastAsia="es-CR"/>
        </w:rPr>
        <w:t xml:space="preserve">(en adelante “los representantes”) </w:t>
      </w:r>
      <w:r w:rsidR="004316A0">
        <w:rPr>
          <w:rFonts w:ascii="Verdana" w:eastAsiaTheme="minorHAnsi" w:hAnsi="Verdana"/>
          <w:sz w:val="20"/>
          <w:lang w:val="es-CR" w:eastAsia="es-CR"/>
        </w:rPr>
        <w:t xml:space="preserve">el 10 de febrero </w:t>
      </w:r>
      <w:r>
        <w:rPr>
          <w:rFonts w:ascii="Verdana" w:eastAsiaTheme="minorHAnsi" w:hAnsi="Verdana"/>
          <w:sz w:val="20"/>
          <w:lang w:val="es-CR" w:eastAsia="es-CR"/>
        </w:rPr>
        <w:t xml:space="preserve">y el 4 de marzo </w:t>
      </w:r>
      <w:r w:rsidR="004316A0">
        <w:rPr>
          <w:rFonts w:ascii="Verdana" w:eastAsiaTheme="minorHAnsi" w:hAnsi="Verdana"/>
          <w:sz w:val="20"/>
          <w:lang w:val="es-CR" w:eastAsia="es-CR"/>
        </w:rPr>
        <w:t xml:space="preserve">de 2013. </w:t>
      </w:r>
    </w:p>
    <w:p w14:paraId="74700242" w14:textId="77777777" w:rsidR="00E54903" w:rsidRPr="004C0F69" w:rsidRDefault="00E54903" w:rsidP="00E54903">
      <w:pPr>
        <w:pStyle w:val="ListParagraph"/>
        <w:jc w:val="both"/>
        <w:rPr>
          <w:rFonts w:ascii="Verdana" w:eastAsiaTheme="minorHAnsi" w:hAnsi="Verdana"/>
          <w:sz w:val="20"/>
          <w:lang w:val="es-CR" w:eastAsia="es-CR"/>
        </w:rPr>
      </w:pPr>
    </w:p>
    <w:p w14:paraId="08139471" w14:textId="40D0CED6" w:rsidR="00E54903" w:rsidRPr="004316A0" w:rsidRDefault="004316A0" w:rsidP="00E54903">
      <w:pPr>
        <w:numPr>
          <w:ilvl w:val="0"/>
          <w:numId w:val="1"/>
        </w:numPr>
        <w:ind w:left="0" w:firstLine="0"/>
        <w:jc w:val="both"/>
        <w:rPr>
          <w:rFonts w:ascii="Verdana" w:eastAsiaTheme="minorHAnsi" w:hAnsi="Verdana"/>
          <w:sz w:val="20"/>
          <w:lang w:val="es-CR" w:eastAsia="es-CR"/>
        </w:rPr>
      </w:pPr>
      <w:bookmarkStart w:id="3" w:name="_Ref526522490"/>
      <w:r>
        <w:rPr>
          <w:rFonts w:ascii="Verdana" w:eastAsiaTheme="minorHAnsi" w:hAnsi="Verdana"/>
          <w:sz w:val="20"/>
          <w:lang w:val="es-CR" w:eastAsia="es-CR"/>
        </w:rPr>
        <w:t>El</w:t>
      </w:r>
      <w:r w:rsidR="008E19B4">
        <w:rPr>
          <w:rFonts w:ascii="Verdana" w:eastAsiaTheme="minorHAnsi" w:hAnsi="Verdana"/>
          <w:sz w:val="20"/>
          <w:lang w:val="es-CR" w:eastAsia="es-CR"/>
        </w:rPr>
        <w:t xml:space="preserve"> escrito</w:t>
      </w:r>
      <w:r w:rsidR="00E54903" w:rsidRPr="004C0F69">
        <w:rPr>
          <w:rFonts w:ascii="Verdana" w:eastAsiaTheme="minorHAnsi" w:hAnsi="Verdana"/>
          <w:sz w:val="20"/>
          <w:lang w:val="es-CR" w:eastAsia="es-CR"/>
        </w:rPr>
        <w:t xml:space="preserve"> de observaciones presentado por la Comisión Interamericana de Derechos Humanos (en adelante “la Comisión Interamericana” o “la Comisión”) el </w:t>
      </w:r>
      <w:r>
        <w:rPr>
          <w:rFonts w:ascii="Verdana" w:eastAsiaTheme="minorHAnsi" w:hAnsi="Verdana"/>
          <w:sz w:val="20"/>
          <w:lang w:val="es-CR" w:eastAsia="es-CR"/>
        </w:rPr>
        <w:t xml:space="preserve">12 de marzo de 2013. </w:t>
      </w:r>
      <w:bookmarkEnd w:id="3"/>
    </w:p>
    <w:p w14:paraId="72326D44" w14:textId="77777777" w:rsidR="004316A0" w:rsidRDefault="004316A0" w:rsidP="004316A0">
      <w:pPr>
        <w:pStyle w:val="ListParagraph"/>
        <w:rPr>
          <w:rFonts w:ascii="Verdana" w:eastAsiaTheme="minorHAnsi" w:hAnsi="Verdana"/>
          <w:sz w:val="20"/>
          <w:lang w:val="es-CR" w:eastAsia="es-CR"/>
        </w:rPr>
      </w:pPr>
    </w:p>
    <w:p w14:paraId="1396CF14" w14:textId="77777777" w:rsidR="004316A0" w:rsidRDefault="004316A0" w:rsidP="00E54903">
      <w:pPr>
        <w:numPr>
          <w:ilvl w:val="0"/>
          <w:numId w:val="1"/>
        </w:numPr>
        <w:ind w:left="0" w:firstLine="0"/>
        <w:jc w:val="both"/>
        <w:rPr>
          <w:rFonts w:ascii="Verdana" w:eastAsiaTheme="minorHAnsi" w:hAnsi="Verdana"/>
          <w:sz w:val="20"/>
          <w:lang w:val="es-CR" w:eastAsia="es-CR"/>
        </w:rPr>
      </w:pPr>
      <w:r>
        <w:rPr>
          <w:rFonts w:ascii="Verdana" w:eastAsiaTheme="minorHAnsi" w:hAnsi="Verdana"/>
          <w:sz w:val="20"/>
          <w:lang w:val="es-CR" w:eastAsia="es-CR"/>
        </w:rPr>
        <w:t xml:space="preserve">La audiencia privada </w:t>
      </w:r>
      <w:r w:rsidR="004437EF">
        <w:rPr>
          <w:rFonts w:ascii="Verdana" w:eastAsiaTheme="minorHAnsi" w:hAnsi="Verdana"/>
          <w:sz w:val="20"/>
          <w:lang w:val="es-CR" w:eastAsia="es-CR"/>
        </w:rPr>
        <w:t>de supervisión de cumplimiento de sentencia celebrada</w:t>
      </w:r>
      <w:r>
        <w:rPr>
          <w:rFonts w:ascii="Verdana" w:eastAsiaTheme="minorHAnsi" w:hAnsi="Verdana"/>
          <w:sz w:val="20"/>
          <w:lang w:val="es-CR" w:eastAsia="es-CR"/>
        </w:rPr>
        <w:t xml:space="preserve"> el 28 de mayo de 2013</w:t>
      </w:r>
      <w:r w:rsidR="004437EF">
        <w:rPr>
          <w:rStyle w:val="FootnoteReference"/>
          <w:rFonts w:ascii="Verdana" w:eastAsiaTheme="minorHAnsi" w:hAnsi="Verdana"/>
          <w:sz w:val="20"/>
          <w:lang w:val="es-CR" w:eastAsia="es-CR"/>
        </w:rPr>
        <w:footnoteReference w:id="6"/>
      </w:r>
      <w:r>
        <w:rPr>
          <w:rFonts w:ascii="Verdana" w:eastAsiaTheme="minorHAnsi" w:hAnsi="Verdana"/>
          <w:sz w:val="20"/>
          <w:lang w:val="es-CR" w:eastAsia="es-CR"/>
        </w:rPr>
        <w:t>.</w:t>
      </w:r>
    </w:p>
    <w:p w14:paraId="1B92F208" w14:textId="77777777" w:rsidR="004316A0" w:rsidRDefault="004316A0" w:rsidP="004316A0">
      <w:pPr>
        <w:pStyle w:val="ListParagraph"/>
        <w:rPr>
          <w:rFonts w:ascii="Verdana" w:eastAsiaTheme="minorHAnsi" w:hAnsi="Verdana"/>
          <w:sz w:val="20"/>
          <w:lang w:val="es-CR" w:eastAsia="es-CR"/>
        </w:rPr>
      </w:pPr>
    </w:p>
    <w:p w14:paraId="6F5BE67C" w14:textId="77777777" w:rsidR="004316A0" w:rsidRDefault="004316A0" w:rsidP="004316A0">
      <w:pPr>
        <w:numPr>
          <w:ilvl w:val="0"/>
          <w:numId w:val="1"/>
        </w:numPr>
        <w:ind w:left="0" w:firstLine="0"/>
        <w:jc w:val="both"/>
        <w:rPr>
          <w:rFonts w:ascii="Verdana" w:eastAsiaTheme="minorHAnsi" w:hAnsi="Verdana"/>
          <w:sz w:val="20"/>
          <w:lang w:val="es-CR" w:eastAsia="es-CR"/>
        </w:rPr>
      </w:pPr>
      <w:bookmarkStart w:id="4" w:name="_Ref526519911"/>
      <w:r w:rsidRPr="004437EF">
        <w:rPr>
          <w:rFonts w:ascii="Verdana" w:eastAsiaTheme="minorHAnsi" w:hAnsi="Verdana"/>
          <w:sz w:val="20"/>
          <w:lang w:val="es-CR" w:eastAsia="es-CR"/>
        </w:rPr>
        <w:t xml:space="preserve">Los </w:t>
      </w:r>
      <w:r w:rsidR="00D3246C">
        <w:rPr>
          <w:rFonts w:ascii="Verdana" w:eastAsiaTheme="minorHAnsi" w:hAnsi="Verdana"/>
          <w:sz w:val="20"/>
          <w:lang w:val="es-CR" w:eastAsia="es-CR"/>
        </w:rPr>
        <w:t>seis</w:t>
      </w:r>
      <w:r w:rsidRPr="004437EF">
        <w:rPr>
          <w:rFonts w:ascii="Verdana" w:eastAsiaTheme="minorHAnsi" w:hAnsi="Verdana"/>
          <w:sz w:val="20"/>
          <w:lang w:val="es-CR" w:eastAsia="es-CR"/>
        </w:rPr>
        <w:t xml:space="preserve"> informes presentados</w:t>
      </w:r>
      <w:r w:rsidR="004437EF" w:rsidRPr="004437EF">
        <w:rPr>
          <w:rFonts w:ascii="Verdana" w:eastAsiaTheme="minorHAnsi" w:hAnsi="Verdana"/>
          <w:sz w:val="20"/>
          <w:lang w:val="es-CR" w:eastAsia="es-CR"/>
        </w:rPr>
        <w:t xml:space="preserve"> por el Estado entre</w:t>
      </w:r>
      <w:r w:rsidR="00FA5197" w:rsidRPr="004437EF">
        <w:rPr>
          <w:rFonts w:ascii="Verdana" w:eastAsiaTheme="minorHAnsi" w:hAnsi="Verdana"/>
          <w:sz w:val="20"/>
          <w:lang w:val="es-CR" w:eastAsia="es-CR"/>
        </w:rPr>
        <w:t xml:space="preserve"> julio </w:t>
      </w:r>
      <w:r w:rsidRPr="004437EF">
        <w:rPr>
          <w:rFonts w:ascii="Verdana" w:eastAsiaTheme="minorHAnsi" w:hAnsi="Verdana"/>
          <w:sz w:val="20"/>
          <w:lang w:val="es-CR" w:eastAsia="es-CR"/>
        </w:rPr>
        <w:t>de 2013 y abril de 2015</w:t>
      </w:r>
      <w:r w:rsidR="00FA5197">
        <w:rPr>
          <w:rStyle w:val="FootnoteReference"/>
          <w:rFonts w:ascii="Verdana" w:eastAsiaTheme="minorHAnsi" w:hAnsi="Verdana"/>
          <w:sz w:val="20"/>
          <w:lang w:val="es-CR" w:eastAsia="es-CR"/>
        </w:rPr>
        <w:footnoteReference w:id="7"/>
      </w:r>
      <w:r w:rsidRPr="004437EF">
        <w:rPr>
          <w:rFonts w:ascii="Verdana" w:eastAsiaTheme="minorHAnsi" w:hAnsi="Verdana"/>
          <w:sz w:val="20"/>
          <w:lang w:val="es-CR" w:eastAsia="es-CR"/>
        </w:rPr>
        <w:t>.</w:t>
      </w:r>
      <w:bookmarkEnd w:id="4"/>
      <w:r w:rsidR="004437EF" w:rsidRPr="004437EF">
        <w:rPr>
          <w:rFonts w:ascii="Verdana" w:eastAsiaTheme="minorHAnsi" w:hAnsi="Verdana"/>
          <w:sz w:val="20"/>
          <w:lang w:val="es-CR" w:eastAsia="es-CR"/>
        </w:rPr>
        <w:t xml:space="preserve"> </w:t>
      </w:r>
    </w:p>
    <w:p w14:paraId="33A60B20" w14:textId="77777777" w:rsidR="004437EF" w:rsidRPr="004437EF" w:rsidRDefault="004437EF" w:rsidP="004437EF">
      <w:pPr>
        <w:jc w:val="both"/>
        <w:rPr>
          <w:rFonts w:ascii="Verdana" w:eastAsiaTheme="minorHAnsi" w:hAnsi="Verdana"/>
          <w:sz w:val="20"/>
          <w:lang w:val="es-CR" w:eastAsia="es-CR"/>
        </w:rPr>
      </w:pPr>
    </w:p>
    <w:p w14:paraId="040589A5" w14:textId="77777777" w:rsidR="004316A0" w:rsidRDefault="004316A0" w:rsidP="00E54903">
      <w:pPr>
        <w:numPr>
          <w:ilvl w:val="0"/>
          <w:numId w:val="1"/>
        </w:numPr>
        <w:ind w:left="0" w:firstLine="0"/>
        <w:jc w:val="both"/>
        <w:rPr>
          <w:rFonts w:ascii="Verdana" w:eastAsiaTheme="minorHAnsi" w:hAnsi="Verdana"/>
          <w:sz w:val="20"/>
          <w:lang w:val="es-CR" w:eastAsia="es-CR"/>
        </w:rPr>
      </w:pPr>
      <w:r>
        <w:rPr>
          <w:rFonts w:ascii="Verdana" w:eastAsiaTheme="minorHAnsi" w:hAnsi="Verdana"/>
          <w:sz w:val="20"/>
          <w:lang w:val="es-CR" w:eastAsia="es-CR"/>
        </w:rPr>
        <w:t xml:space="preserve">Los </w:t>
      </w:r>
      <w:r w:rsidR="004437EF">
        <w:rPr>
          <w:rFonts w:ascii="Verdana" w:eastAsiaTheme="minorHAnsi" w:hAnsi="Verdana"/>
          <w:sz w:val="20"/>
          <w:lang w:val="es-CR" w:eastAsia="es-CR"/>
        </w:rPr>
        <w:t>cuatro</w:t>
      </w:r>
      <w:r>
        <w:rPr>
          <w:rFonts w:ascii="Verdana" w:eastAsiaTheme="minorHAnsi" w:hAnsi="Verdana"/>
          <w:sz w:val="20"/>
          <w:lang w:val="es-CR" w:eastAsia="es-CR"/>
        </w:rPr>
        <w:t xml:space="preserve"> escritos de obs</w:t>
      </w:r>
      <w:r w:rsidR="00D3246C">
        <w:rPr>
          <w:rFonts w:ascii="Verdana" w:eastAsiaTheme="minorHAnsi" w:hAnsi="Verdana"/>
          <w:sz w:val="20"/>
          <w:lang w:val="es-CR" w:eastAsia="es-CR"/>
        </w:rPr>
        <w:t>ervaciones presentados por los r</w:t>
      </w:r>
      <w:r>
        <w:rPr>
          <w:rFonts w:ascii="Verdana" w:eastAsiaTheme="minorHAnsi" w:hAnsi="Verdana"/>
          <w:sz w:val="20"/>
          <w:lang w:val="es-CR" w:eastAsia="es-CR"/>
        </w:rPr>
        <w:t>epresentantes entre agosto de 2013 y mayo de 2015</w:t>
      </w:r>
      <w:r>
        <w:rPr>
          <w:rStyle w:val="FootnoteReference"/>
          <w:rFonts w:ascii="Verdana" w:eastAsiaTheme="minorHAnsi" w:hAnsi="Verdana"/>
          <w:sz w:val="20"/>
          <w:lang w:val="es-CR" w:eastAsia="es-CR"/>
        </w:rPr>
        <w:footnoteReference w:id="8"/>
      </w:r>
      <w:r>
        <w:rPr>
          <w:rFonts w:ascii="Verdana" w:eastAsiaTheme="minorHAnsi" w:hAnsi="Verdana"/>
          <w:sz w:val="20"/>
          <w:lang w:val="es-CR" w:eastAsia="es-CR"/>
        </w:rPr>
        <w:t xml:space="preserve">. </w:t>
      </w:r>
    </w:p>
    <w:p w14:paraId="637E2933" w14:textId="77777777" w:rsidR="004316A0" w:rsidRDefault="004316A0" w:rsidP="004316A0">
      <w:pPr>
        <w:pStyle w:val="ListParagraph"/>
        <w:rPr>
          <w:rFonts w:ascii="Verdana" w:eastAsiaTheme="minorHAnsi" w:hAnsi="Verdana"/>
          <w:sz w:val="20"/>
          <w:lang w:val="es-CR" w:eastAsia="es-CR"/>
        </w:rPr>
      </w:pPr>
    </w:p>
    <w:p w14:paraId="79FF7472" w14:textId="77777777" w:rsidR="004437EF" w:rsidRPr="004C0F69" w:rsidRDefault="004316A0" w:rsidP="004437EF">
      <w:pPr>
        <w:numPr>
          <w:ilvl w:val="0"/>
          <w:numId w:val="1"/>
        </w:numPr>
        <w:ind w:left="0" w:firstLine="0"/>
        <w:jc w:val="both"/>
        <w:rPr>
          <w:rFonts w:ascii="Verdana" w:hAnsi="Verdana"/>
          <w:sz w:val="20"/>
          <w:lang w:val="es-VE"/>
        </w:rPr>
      </w:pPr>
      <w:r>
        <w:rPr>
          <w:rFonts w:ascii="Verdana" w:eastAsiaTheme="minorHAnsi" w:hAnsi="Verdana"/>
          <w:sz w:val="20"/>
          <w:lang w:val="es-CR" w:eastAsia="es-CR"/>
        </w:rPr>
        <w:t xml:space="preserve">Los </w:t>
      </w:r>
      <w:r w:rsidR="00FA5197">
        <w:rPr>
          <w:rFonts w:ascii="Verdana" w:eastAsiaTheme="minorHAnsi" w:hAnsi="Verdana"/>
          <w:sz w:val="20"/>
          <w:lang w:val="es-CR" w:eastAsia="es-CR"/>
        </w:rPr>
        <w:t>tres</w:t>
      </w:r>
      <w:r>
        <w:rPr>
          <w:rFonts w:ascii="Verdana" w:eastAsiaTheme="minorHAnsi" w:hAnsi="Verdana"/>
          <w:sz w:val="20"/>
          <w:lang w:val="es-CR" w:eastAsia="es-CR"/>
        </w:rPr>
        <w:t xml:space="preserve"> escritos</w:t>
      </w:r>
      <w:r w:rsidRPr="004C0F69">
        <w:rPr>
          <w:rFonts w:ascii="Verdana" w:eastAsiaTheme="minorHAnsi" w:hAnsi="Verdana"/>
          <w:sz w:val="20"/>
          <w:lang w:val="es-CR" w:eastAsia="es-CR"/>
        </w:rPr>
        <w:t xml:space="preserve"> de observaciones presentado</w:t>
      </w:r>
      <w:r>
        <w:rPr>
          <w:rFonts w:ascii="Verdana" w:eastAsiaTheme="minorHAnsi" w:hAnsi="Verdana"/>
          <w:sz w:val="20"/>
          <w:lang w:val="es-CR" w:eastAsia="es-CR"/>
        </w:rPr>
        <w:t>s</w:t>
      </w:r>
      <w:r w:rsidRPr="004C0F69">
        <w:rPr>
          <w:rFonts w:ascii="Verdana" w:eastAsiaTheme="minorHAnsi" w:hAnsi="Verdana"/>
          <w:sz w:val="20"/>
          <w:lang w:val="es-CR" w:eastAsia="es-CR"/>
        </w:rPr>
        <w:t xml:space="preserve"> por la Comisión Interamericana e</w:t>
      </w:r>
      <w:r w:rsidR="004437EF">
        <w:rPr>
          <w:rFonts w:ascii="Verdana" w:eastAsiaTheme="minorHAnsi" w:hAnsi="Verdana"/>
          <w:sz w:val="20"/>
          <w:lang w:val="es-CR" w:eastAsia="es-CR"/>
        </w:rPr>
        <w:t>ntre agosto de 2013 y junio de 2015</w:t>
      </w:r>
      <w:r w:rsidR="006332B3">
        <w:rPr>
          <w:rStyle w:val="FootnoteReference"/>
          <w:rFonts w:ascii="Verdana" w:eastAsiaTheme="minorHAnsi" w:hAnsi="Verdana"/>
          <w:sz w:val="20"/>
          <w:lang w:val="es-CR" w:eastAsia="es-CR"/>
        </w:rPr>
        <w:footnoteReference w:id="9"/>
      </w:r>
      <w:r w:rsidR="004437EF">
        <w:rPr>
          <w:rFonts w:ascii="Verdana" w:eastAsiaTheme="minorHAnsi" w:hAnsi="Verdana"/>
          <w:sz w:val="20"/>
          <w:lang w:val="es-CR" w:eastAsia="es-CR"/>
        </w:rPr>
        <w:t xml:space="preserve">. </w:t>
      </w:r>
    </w:p>
    <w:p w14:paraId="58234155" w14:textId="77777777" w:rsidR="00E54903" w:rsidRPr="004C0F69" w:rsidRDefault="00E54903" w:rsidP="00E54903">
      <w:pPr>
        <w:jc w:val="both"/>
        <w:rPr>
          <w:rFonts w:ascii="Verdana" w:hAnsi="Verdana"/>
          <w:sz w:val="20"/>
          <w:lang w:val="es-VE"/>
        </w:rPr>
      </w:pPr>
    </w:p>
    <w:p w14:paraId="295BE45B" w14:textId="38743F1D" w:rsidR="00E54903" w:rsidRPr="0062559F" w:rsidRDefault="00E54903" w:rsidP="0062559F">
      <w:pPr>
        <w:numPr>
          <w:ilvl w:val="0"/>
          <w:numId w:val="1"/>
        </w:numPr>
        <w:ind w:left="0" w:firstLine="0"/>
        <w:jc w:val="both"/>
        <w:rPr>
          <w:rFonts w:ascii="Verdana" w:hAnsi="Verdana"/>
          <w:sz w:val="20"/>
          <w:lang w:val="es-MX"/>
        </w:rPr>
      </w:pPr>
      <w:bookmarkStart w:id="5" w:name="_Ref526519903"/>
      <w:r w:rsidRPr="004C0F69">
        <w:rPr>
          <w:rFonts w:ascii="Verdana" w:hAnsi="Verdana" w:cs="Arial"/>
          <w:sz w:val="20"/>
          <w:lang w:val="es-MX"/>
        </w:rPr>
        <w:t>La nota de la Secretaría de la Corte</w:t>
      </w:r>
      <w:r w:rsidR="00023701">
        <w:rPr>
          <w:rStyle w:val="FootnoteReference"/>
          <w:rFonts w:ascii="Verdana" w:hAnsi="Verdana" w:cs="Arial"/>
          <w:sz w:val="20"/>
          <w:lang w:val="es-MX"/>
        </w:rPr>
        <w:t xml:space="preserve"> </w:t>
      </w:r>
      <w:r w:rsidR="00023701">
        <w:rPr>
          <w:rFonts w:ascii="Verdana" w:hAnsi="Verdana" w:cs="Arial"/>
          <w:sz w:val="20"/>
          <w:lang w:val="es-MX"/>
        </w:rPr>
        <w:t>de 21 de diciembre de 2016</w:t>
      </w:r>
      <w:r w:rsidR="00023701" w:rsidRPr="004C0F69">
        <w:rPr>
          <w:rFonts w:ascii="Verdana" w:hAnsi="Verdana" w:cs="Arial"/>
          <w:sz w:val="20"/>
          <w:lang w:val="es-MX"/>
        </w:rPr>
        <w:t xml:space="preserve">, </w:t>
      </w:r>
      <w:r w:rsidRPr="004C0F69">
        <w:rPr>
          <w:rFonts w:ascii="Verdana" w:hAnsi="Verdana" w:cs="Arial"/>
          <w:sz w:val="20"/>
          <w:lang w:val="es-MX"/>
        </w:rPr>
        <w:t xml:space="preserve">mediante la cual, siguiendo instrucciones del Presidente del Tribunal, </w:t>
      </w:r>
      <w:r w:rsidRPr="004C0F69">
        <w:rPr>
          <w:rFonts w:ascii="Verdana" w:hAnsi="Verdana"/>
          <w:sz w:val="20"/>
          <w:lang w:val="es-MX"/>
        </w:rPr>
        <w:t xml:space="preserve">se solicitó al Estado que presentara un informe sobre el cumplimiento de las reparaciones a más tardar el </w:t>
      </w:r>
      <w:r w:rsidR="00B30DFD">
        <w:rPr>
          <w:rFonts w:ascii="Verdana" w:hAnsi="Verdana"/>
          <w:sz w:val="20"/>
          <w:lang w:val="es-MX"/>
        </w:rPr>
        <w:t>17</w:t>
      </w:r>
      <w:r w:rsidRPr="004C0F69">
        <w:rPr>
          <w:rFonts w:ascii="Verdana" w:hAnsi="Verdana"/>
          <w:sz w:val="20"/>
          <w:lang w:val="es-MX"/>
        </w:rPr>
        <w:t xml:space="preserve"> de marzo de 2017</w:t>
      </w:r>
      <w:bookmarkEnd w:id="5"/>
      <w:r w:rsidR="0062559F">
        <w:rPr>
          <w:rFonts w:ascii="Verdana" w:hAnsi="Verdana"/>
          <w:sz w:val="20"/>
          <w:lang w:val="es-MX"/>
        </w:rPr>
        <w:t xml:space="preserve">, y las </w:t>
      </w:r>
      <w:bookmarkStart w:id="6" w:name="_Ref526763738"/>
      <w:r w:rsidRPr="0062559F">
        <w:rPr>
          <w:rFonts w:ascii="Verdana" w:hAnsi="Verdana"/>
          <w:sz w:val="20"/>
          <w:lang w:val="es-MX"/>
        </w:rPr>
        <w:t>nota</w:t>
      </w:r>
      <w:r w:rsidR="006332B3" w:rsidRPr="0062559F">
        <w:rPr>
          <w:rFonts w:ascii="Verdana" w:hAnsi="Verdana"/>
          <w:sz w:val="20"/>
          <w:lang w:val="es-MX"/>
        </w:rPr>
        <w:t>s</w:t>
      </w:r>
      <w:r w:rsidRPr="0062559F">
        <w:rPr>
          <w:rFonts w:ascii="Verdana" w:hAnsi="Verdana"/>
          <w:sz w:val="20"/>
          <w:lang w:val="es-MX"/>
        </w:rPr>
        <w:t xml:space="preserve"> de la Secretaría de la Corte</w:t>
      </w:r>
      <w:r w:rsidR="00023701" w:rsidRPr="0062559F">
        <w:rPr>
          <w:rStyle w:val="FootnoteReference"/>
          <w:rFonts w:ascii="Verdana" w:hAnsi="Verdana"/>
          <w:sz w:val="20"/>
          <w:lang w:val="es-MX"/>
        </w:rPr>
        <w:t xml:space="preserve"> </w:t>
      </w:r>
      <w:r w:rsidR="00023701" w:rsidRPr="0062559F">
        <w:rPr>
          <w:rFonts w:ascii="Verdana" w:hAnsi="Verdana"/>
          <w:sz w:val="20"/>
          <w:lang w:val="es-MX"/>
        </w:rPr>
        <w:t xml:space="preserve">de 9 de agosto </w:t>
      </w:r>
      <w:r w:rsidR="006332B3" w:rsidRPr="0062559F">
        <w:rPr>
          <w:rFonts w:ascii="Verdana" w:hAnsi="Verdana"/>
          <w:sz w:val="20"/>
          <w:lang w:val="es-MX"/>
        </w:rPr>
        <w:t xml:space="preserve">y 10 de octubre </w:t>
      </w:r>
      <w:r w:rsidR="00023701" w:rsidRPr="0062559F">
        <w:rPr>
          <w:rFonts w:ascii="Verdana" w:hAnsi="Verdana"/>
          <w:sz w:val="20"/>
          <w:lang w:val="es-MX"/>
        </w:rPr>
        <w:lastRenderedPageBreak/>
        <w:t xml:space="preserve">de 2017, </w:t>
      </w:r>
      <w:r w:rsidRPr="0062559F">
        <w:rPr>
          <w:rFonts w:ascii="Verdana" w:hAnsi="Verdana"/>
          <w:sz w:val="20"/>
          <w:lang w:val="es-MX"/>
        </w:rPr>
        <w:t>mediante la</w:t>
      </w:r>
      <w:r w:rsidR="006332B3" w:rsidRPr="0062559F">
        <w:rPr>
          <w:rFonts w:ascii="Verdana" w:hAnsi="Verdana"/>
          <w:sz w:val="20"/>
          <w:lang w:val="es-MX"/>
        </w:rPr>
        <w:t>s</w:t>
      </w:r>
      <w:r w:rsidRPr="0062559F">
        <w:rPr>
          <w:rFonts w:ascii="Verdana" w:hAnsi="Verdana"/>
          <w:sz w:val="20"/>
          <w:lang w:val="es-MX"/>
        </w:rPr>
        <w:t xml:space="preserve"> cual</w:t>
      </w:r>
      <w:r w:rsidR="006332B3" w:rsidRPr="0062559F">
        <w:rPr>
          <w:rFonts w:ascii="Verdana" w:hAnsi="Verdana"/>
          <w:sz w:val="20"/>
          <w:lang w:val="es-MX"/>
        </w:rPr>
        <w:t>es</w:t>
      </w:r>
      <w:r w:rsidR="0062559F">
        <w:rPr>
          <w:rFonts w:ascii="Verdana" w:hAnsi="Verdana"/>
          <w:sz w:val="20"/>
          <w:lang w:val="es-MX"/>
        </w:rPr>
        <w:t xml:space="preserve"> se recordó al Estado del vencimiento de dicho plazo (</w:t>
      </w:r>
      <w:r w:rsidR="0062559F">
        <w:rPr>
          <w:rFonts w:ascii="Verdana" w:hAnsi="Verdana"/>
          <w:i/>
          <w:sz w:val="20"/>
          <w:lang w:val="es-MX"/>
        </w:rPr>
        <w:t>infra</w:t>
      </w:r>
      <w:r w:rsidR="0062559F">
        <w:rPr>
          <w:rFonts w:ascii="Verdana" w:hAnsi="Verdana"/>
          <w:sz w:val="20"/>
          <w:lang w:val="es-MX"/>
        </w:rPr>
        <w:t xml:space="preserve"> Considerando </w:t>
      </w:r>
      <w:r w:rsidR="0062559F">
        <w:rPr>
          <w:rFonts w:ascii="Verdana" w:hAnsi="Verdana"/>
          <w:sz w:val="20"/>
          <w:lang w:val="es-MX"/>
        </w:rPr>
        <w:fldChar w:fldCharType="begin"/>
      </w:r>
      <w:r w:rsidR="0062559F">
        <w:rPr>
          <w:rFonts w:ascii="Verdana" w:hAnsi="Verdana"/>
          <w:sz w:val="20"/>
          <w:lang w:val="es-MX"/>
        </w:rPr>
        <w:instrText xml:space="preserve"> REF _Ref526850072 \r \h </w:instrText>
      </w:r>
      <w:r w:rsidR="0062559F">
        <w:rPr>
          <w:rFonts w:ascii="Verdana" w:hAnsi="Verdana"/>
          <w:sz w:val="20"/>
          <w:lang w:val="es-MX"/>
        </w:rPr>
      </w:r>
      <w:r w:rsidR="0062559F">
        <w:rPr>
          <w:rFonts w:ascii="Verdana" w:hAnsi="Verdana"/>
          <w:sz w:val="20"/>
          <w:lang w:val="es-MX"/>
        </w:rPr>
        <w:fldChar w:fldCharType="separate"/>
      </w:r>
      <w:r w:rsidR="009356EF">
        <w:rPr>
          <w:rFonts w:ascii="Verdana" w:hAnsi="Verdana"/>
          <w:sz w:val="20"/>
          <w:lang w:val="es-MX"/>
        </w:rPr>
        <w:t>4</w:t>
      </w:r>
      <w:r w:rsidR="0062559F">
        <w:rPr>
          <w:rFonts w:ascii="Verdana" w:hAnsi="Verdana"/>
          <w:sz w:val="20"/>
          <w:lang w:val="es-MX"/>
        </w:rPr>
        <w:fldChar w:fldCharType="end"/>
      </w:r>
      <w:r w:rsidR="0062559F">
        <w:rPr>
          <w:rFonts w:ascii="Verdana" w:hAnsi="Verdana"/>
          <w:sz w:val="20"/>
          <w:lang w:val="es-MX"/>
        </w:rPr>
        <w:t>)</w:t>
      </w:r>
      <w:r w:rsidRPr="0062559F">
        <w:rPr>
          <w:rFonts w:ascii="Verdana" w:hAnsi="Verdana"/>
          <w:sz w:val="20"/>
          <w:lang w:val="es-MX"/>
        </w:rPr>
        <w:t>.</w:t>
      </w:r>
      <w:bookmarkEnd w:id="6"/>
    </w:p>
    <w:p w14:paraId="4554322D" w14:textId="77777777" w:rsidR="00E54903" w:rsidRDefault="00E54903" w:rsidP="00E54903">
      <w:pPr>
        <w:pStyle w:val="ListParagraph"/>
        <w:rPr>
          <w:rFonts w:ascii="Verdana" w:eastAsiaTheme="minorHAnsi" w:hAnsi="Verdana"/>
          <w:sz w:val="20"/>
          <w:lang w:val="es-CR" w:eastAsia="es-CR"/>
        </w:rPr>
      </w:pPr>
    </w:p>
    <w:p w14:paraId="4A15CE40" w14:textId="77777777" w:rsidR="00E54903" w:rsidRDefault="00E54903" w:rsidP="00E54903">
      <w:pPr>
        <w:jc w:val="both"/>
        <w:rPr>
          <w:rFonts w:ascii="Verdana" w:hAnsi="Verdana"/>
          <w:b/>
          <w:sz w:val="20"/>
          <w:lang w:val="es-MX"/>
        </w:rPr>
      </w:pPr>
      <w:r>
        <w:rPr>
          <w:rFonts w:ascii="Verdana" w:hAnsi="Verdana"/>
          <w:b/>
          <w:sz w:val="20"/>
          <w:lang w:val="es-MX"/>
        </w:rPr>
        <w:t xml:space="preserve">CONSIDERANDO QUE: </w:t>
      </w:r>
    </w:p>
    <w:p w14:paraId="4196484A" w14:textId="77777777" w:rsidR="00E54903" w:rsidRDefault="00E54903" w:rsidP="00E54903">
      <w:pPr>
        <w:rPr>
          <w:lang w:val="es-VE"/>
        </w:rPr>
      </w:pPr>
    </w:p>
    <w:p w14:paraId="3D600CF5" w14:textId="417C5291" w:rsidR="00E54903" w:rsidRPr="003B6EC8" w:rsidRDefault="00E54903" w:rsidP="00E54903">
      <w:pPr>
        <w:numPr>
          <w:ilvl w:val="0"/>
          <w:numId w:val="2"/>
        </w:numPr>
        <w:ind w:left="0" w:firstLine="0"/>
        <w:jc w:val="both"/>
        <w:rPr>
          <w:rFonts w:ascii="Times New Roman" w:hAnsi="Times New Roman"/>
          <w:szCs w:val="24"/>
          <w:lang w:val="es-CR" w:eastAsia="es-CR"/>
        </w:rPr>
      </w:pPr>
      <w:bookmarkStart w:id="7" w:name="_Ref526770998"/>
      <w:r>
        <w:rPr>
          <w:rFonts w:ascii="Verdana" w:hAnsi="Verdana" w:cs="Verdana"/>
          <w:bCs/>
          <w:sz w:val="20"/>
          <w:lang w:val="es-CR"/>
        </w:rPr>
        <w:t xml:space="preserve">En el ejercicio de su función jurisdiccional de supervisar el cumplimiento de sus </w:t>
      </w:r>
      <w:r>
        <w:rPr>
          <w:rFonts w:ascii="Verdana" w:hAnsi="Verdana" w:cs="Verdana"/>
          <w:bCs/>
          <w:sz w:val="20"/>
          <w:lang w:val="es-ES"/>
        </w:rPr>
        <w:t>decisiones</w:t>
      </w:r>
      <w:r>
        <w:rPr>
          <w:rStyle w:val="FootnoteReference"/>
          <w:rFonts w:ascii="Verdana" w:hAnsi="Verdana" w:cs="Verdana"/>
          <w:bCs/>
          <w:sz w:val="20"/>
          <w:lang w:val="es-CR"/>
        </w:rPr>
        <w:footnoteReference w:id="10"/>
      </w:r>
      <w:r>
        <w:rPr>
          <w:rFonts w:ascii="Verdana" w:hAnsi="Verdana" w:cs="Verdana"/>
          <w:bCs/>
          <w:sz w:val="20"/>
          <w:lang w:val="es-CR"/>
        </w:rPr>
        <w:t xml:space="preserve">, la </w:t>
      </w:r>
      <w:r w:rsidRPr="00767BA7">
        <w:rPr>
          <w:rFonts w:ascii="Verdana" w:hAnsi="Verdana" w:cs="Verdana"/>
          <w:bCs/>
          <w:sz w:val="20"/>
          <w:lang w:val="es-CR"/>
        </w:rPr>
        <w:t xml:space="preserve">Corte </w:t>
      </w:r>
      <w:r w:rsidRPr="00133754">
        <w:rPr>
          <w:rFonts w:ascii="Verdana" w:hAnsi="Verdana"/>
          <w:sz w:val="20"/>
          <w:lang w:val="es-CR" w:eastAsia="es-CR"/>
        </w:rPr>
        <w:t>ha</w:t>
      </w:r>
      <w:r w:rsidRPr="00767BA7">
        <w:rPr>
          <w:rFonts w:ascii="Verdana" w:hAnsi="Verdana" w:cs="Verdana"/>
          <w:bCs/>
          <w:sz w:val="20"/>
          <w:lang w:val="es-CR"/>
        </w:rPr>
        <w:t xml:space="preserve"> venido</w:t>
      </w:r>
      <w:r>
        <w:rPr>
          <w:rFonts w:ascii="Verdana" w:hAnsi="Verdana" w:cs="Verdana"/>
          <w:bCs/>
          <w:sz w:val="20"/>
          <w:lang w:val="es-CR"/>
        </w:rPr>
        <w:t xml:space="preserve"> supervisando la ejecución de la Sentencia emitida en el presente </w:t>
      </w:r>
      <w:r w:rsidRPr="00174292">
        <w:rPr>
          <w:rFonts w:ascii="Verdana" w:hAnsi="Verdana"/>
          <w:sz w:val="20"/>
        </w:rPr>
        <w:t>caso</w:t>
      </w:r>
      <w:r>
        <w:rPr>
          <w:rFonts w:ascii="Verdana" w:hAnsi="Verdana" w:cs="Verdana"/>
          <w:bCs/>
          <w:sz w:val="20"/>
          <w:lang w:val="es-CR"/>
        </w:rPr>
        <w:t xml:space="preserve"> hace</w:t>
      </w:r>
      <w:r w:rsidR="00B94347">
        <w:rPr>
          <w:rFonts w:ascii="Verdana" w:hAnsi="Verdana" w:cs="Verdana"/>
          <w:bCs/>
          <w:sz w:val="20"/>
          <w:lang w:val="es-CR"/>
        </w:rPr>
        <w:t xml:space="preserve"> casi</w:t>
      </w:r>
      <w:r>
        <w:rPr>
          <w:rFonts w:ascii="Verdana" w:hAnsi="Verdana" w:cs="Verdana"/>
          <w:bCs/>
          <w:sz w:val="20"/>
          <w:lang w:val="es-CR"/>
        </w:rPr>
        <w:t xml:space="preserve"> </w:t>
      </w:r>
      <w:r w:rsidR="00B94347">
        <w:rPr>
          <w:rFonts w:ascii="Verdana" w:hAnsi="Verdana" w:cs="Verdana"/>
          <w:bCs/>
          <w:sz w:val="20"/>
          <w:lang w:val="es-CR"/>
        </w:rPr>
        <w:t>once</w:t>
      </w:r>
      <w:r>
        <w:rPr>
          <w:rFonts w:ascii="Verdana" w:hAnsi="Verdana" w:cs="Verdana"/>
          <w:bCs/>
          <w:sz w:val="20"/>
          <w:lang w:val="es-CR"/>
        </w:rPr>
        <w:t xml:space="preserve"> años (</w:t>
      </w:r>
      <w:r>
        <w:rPr>
          <w:rFonts w:ascii="Verdana" w:hAnsi="Verdana" w:cs="Verdana"/>
          <w:bCs/>
          <w:i/>
          <w:sz w:val="20"/>
          <w:lang w:val="es-CR"/>
        </w:rPr>
        <w:t xml:space="preserve">supra </w:t>
      </w:r>
      <w:r>
        <w:rPr>
          <w:rFonts w:ascii="Verdana" w:hAnsi="Verdana" w:cs="Verdana"/>
          <w:bCs/>
          <w:sz w:val="20"/>
          <w:lang w:val="es-CR"/>
        </w:rPr>
        <w:t xml:space="preserve">Visto 1). </w:t>
      </w:r>
      <w:r w:rsidRPr="003B6EC8">
        <w:rPr>
          <w:rFonts w:ascii="Verdana" w:hAnsi="Verdana" w:cs="Verdana"/>
          <w:bCs/>
          <w:sz w:val="20"/>
          <w:lang w:val="es-CR"/>
        </w:rPr>
        <w:t>En la Resoluci</w:t>
      </w:r>
      <w:r w:rsidR="00EE60FB">
        <w:rPr>
          <w:rFonts w:ascii="Verdana" w:hAnsi="Verdana" w:cs="Verdana"/>
          <w:bCs/>
          <w:sz w:val="20"/>
          <w:lang w:val="es-CR"/>
        </w:rPr>
        <w:t>ón</w:t>
      </w:r>
      <w:r w:rsidRPr="003B6EC8">
        <w:rPr>
          <w:rFonts w:ascii="Verdana" w:hAnsi="Verdana" w:cs="Verdana"/>
          <w:bCs/>
          <w:sz w:val="20"/>
          <w:lang w:val="es-CR"/>
        </w:rPr>
        <w:t xml:space="preserve"> dictada por el Tribunal en noviembre de 20</w:t>
      </w:r>
      <w:r w:rsidR="00EE60FB">
        <w:rPr>
          <w:rFonts w:ascii="Verdana" w:hAnsi="Verdana" w:cs="Verdana"/>
          <w:bCs/>
          <w:sz w:val="20"/>
          <w:lang w:val="es-CR"/>
        </w:rPr>
        <w:t>11</w:t>
      </w:r>
      <w:r w:rsidRPr="003B6EC8">
        <w:rPr>
          <w:rFonts w:ascii="Verdana" w:hAnsi="Verdana" w:cs="Verdana"/>
          <w:bCs/>
          <w:sz w:val="20"/>
          <w:lang w:val="es-CR"/>
        </w:rPr>
        <w:t xml:space="preserve"> (</w:t>
      </w:r>
      <w:r w:rsidRPr="003B6EC8">
        <w:rPr>
          <w:rFonts w:ascii="Verdana" w:hAnsi="Verdana" w:cs="Verdana"/>
          <w:bCs/>
          <w:i/>
          <w:sz w:val="20"/>
          <w:lang w:val="es-CR"/>
        </w:rPr>
        <w:t xml:space="preserve">supra </w:t>
      </w:r>
      <w:r w:rsidRPr="003B6EC8">
        <w:rPr>
          <w:rFonts w:ascii="Verdana" w:hAnsi="Verdana" w:cs="Verdana"/>
          <w:bCs/>
          <w:sz w:val="20"/>
          <w:lang w:val="es-CR"/>
        </w:rPr>
        <w:t xml:space="preserve">Visto 2) se declaró que el Estado había dado cumplimiento total a </w:t>
      </w:r>
      <w:r w:rsidR="00EE60FB">
        <w:rPr>
          <w:rFonts w:ascii="Verdana" w:hAnsi="Verdana" w:cs="Verdana"/>
          <w:bCs/>
          <w:sz w:val="20"/>
          <w:lang w:val="es-CR"/>
        </w:rPr>
        <w:t>tres</w:t>
      </w:r>
      <w:r w:rsidRPr="003B6EC8">
        <w:rPr>
          <w:rFonts w:ascii="Verdana" w:hAnsi="Verdana" w:cs="Verdana"/>
          <w:bCs/>
          <w:sz w:val="20"/>
          <w:lang w:val="es-CR"/>
        </w:rPr>
        <w:t xml:space="preserve"> reparaciones</w:t>
      </w:r>
      <w:r w:rsidRPr="003B6EC8">
        <w:rPr>
          <w:rStyle w:val="FootnoteReference"/>
          <w:rFonts w:ascii="Verdana" w:hAnsi="Verdana" w:cs="Verdana"/>
          <w:bCs/>
          <w:sz w:val="20"/>
          <w:lang w:val="es-CR"/>
        </w:rPr>
        <w:footnoteReference w:id="11"/>
      </w:r>
      <w:r w:rsidRPr="003B6EC8">
        <w:rPr>
          <w:rFonts w:ascii="Verdana" w:hAnsi="Verdana" w:cs="Verdana"/>
          <w:bCs/>
          <w:sz w:val="20"/>
          <w:lang w:val="es-CR"/>
        </w:rPr>
        <w:t xml:space="preserve">, </w:t>
      </w:r>
      <w:r w:rsidRPr="003B6EC8">
        <w:rPr>
          <w:rFonts w:ascii="Verdana" w:hAnsi="Verdana"/>
          <w:sz w:val="20"/>
          <w:lang w:val="es-CR"/>
        </w:rPr>
        <w:t>y que continuaba</w:t>
      </w:r>
      <w:r w:rsidR="00F2090E">
        <w:rPr>
          <w:rFonts w:ascii="Verdana" w:hAnsi="Verdana"/>
          <w:sz w:val="20"/>
          <w:lang w:val="es-CR"/>
        </w:rPr>
        <w:t xml:space="preserve">n pendientes de cumplimiento </w:t>
      </w:r>
      <w:r w:rsidR="00F2090E" w:rsidRPr="00894F18">
        <w:rPr>
          <w:rFonts w:ascii="Verdana" w:hAnsi="Verdana"/>
          <w:sz w:val="20"/>
          <w:lang w:val="es-CR"/>
        </w:rPr>
        <w:t>siete</w:t>
      </w:r>
      <w:r w:rsidRPr="00894F18">
        <w:rPr>
          <w:rFonts w:ascii="Verdana" w:hAnsi="Verdana"/>
          <w:sz w:val="20"/>
          <w:lang w:val="es-CR"/>
        </w:rPr>
        <w:t xml:space="preserve"> </w:t>
      </w:r>
      <w:r w:rsidRPr="003B6EC8">
        <w:rPr>
          <w:rFonts w:ascii="Verdana" w:hAnsi="Verdana"/>
          <w:sz w:val="20"/>
          <w:lang w:val="es-CR"/>
        </w:rPr>
        <w:t>reparaciones</w:t>
      </w:r>
      <w:r w:rsidR="00FF3B4F">
        <w:rPr>
          <w:rFonts w:ascii="Verdana" w:hAnsi="Verdana"/>
          <w:sz w:val="20"/>
          <w:lang w:val="es-CR"/>
        </w:rPr>
        <w:t xml:space="preserve"> (</w:t>
      </w:r>
      <w:r w:rsidR="00FF3B4F">
        <w:rPr>
          <w:rFonts w:ascii="Verdana" w:hAnsi="Verdana"/>
          <w:i/>
          <w:sz w:val="20"/>
          <w:lang w:val="es-CR"/>
        </w:rPr>
        <w:t xml:space="preserve">infra </w:t>
      </w:r>
      <w:r w:rsidR="00FF3B4F">
        <w:rPr>
          <w:rFonts w:ascii="Verdana" w:hAnsi="Verdana"/>
          <w:sz w:val="20"/>
          <w:lang w:val="es-CR"/>
        </w:rPr>
        <w:t xml:space="preserve">Considerandos </w:t>
      </w:r>
      <w:r w:rsidR="002E0E26">
        <w:rPr>
          <w:rFonts w:ascii="Verdana" w:hAnsi="Verdana"/>
          <w:sz w:val="20"/>
          <w:lang w:val="es-CR"/>
        </w:rPr>
        <w:fldChar w:fldCharType="begin"/>
      </w:r>
      <w:r w:rsidR="002E0E26">
        <w:rPr>
          <w:rFonts w:ascii="Verdana" w:hAnsi="Verdana"/>
          <w:sz w:val="20"/>
          <w:lang w:val="es-CR"/>
        </w:rPr>
        <w:instrText xml:space="preserve"> REF _Ref526850386 \r \h </w:instrText>
      </w:r>
      <w:r w:rsidR="002E0E26">
        <w:rPr>
          <w:rFonts w:ascii="Verdana" w:hAnsi="Verdana"/>
          <w:sz w:val="20"/>
          <w:lang w:val="es-CR"/>
        </w:rPr>
      </w:r>
      <w:r w:rsidR="002E0E26">
        <w:rPr>
          <w:rFonts w:ascii="Verdana" w:hAnsi="Verdana"/>
          <w:sz w:val="20"/>
          <w:lang w:val="es-CR"/>
        </w:rPr>
        <w:fldChar w:fldCharType="separate"/>
      </w:r>
      <w:r w:rsidR="009356EF">
        <w:rPr>
          <w:rFonts w:ascii="Verdana" w:hAnsi="Verdana"/>
          <w:sz w:val="20"/>
          <w:lang w:val="es-CR"/>
        </w:rPr>
        <w:t>5</w:t>
      </w:r>
      <w:r w:rsidR="002E0E26">
        <w:rPr>
          <w:rFonts w:ascii="Verdana" w:hAnsi="Verdana"/>
          <w:sz w:val="20"/>
          <w:lang w:val="es-CR"/>
        </w:rPr>
        <w:fldChar w:fldCharType="end"/>
      </w:r>
      <w:r w:rsidR="00FF3B4F">
        <w:rPr>
          <w:rFonts w:ascii="Verdana" w:hAnsi="Verdana"/>
          <w:sz w:val="20"/>
          <w:lang w:val="es-CR"/>
        </w:rPr>
        <w:t xml:space="preserve">, </w:t>
      </w:r>
      <w:r w:rsidR="002E0E26">
        <w:rPr>
          <w:rFonts w:ascii="Verdana" w:hAnsi="Verdana"/>
          <w:sz w:val="20"/>
          <w:lang w:val="es-CR"/>
        </w:rPr>
        <w:fldChar w:fldCharType="begin"/>
      </w:r>
      <w:r w:rsidR="002E0E26">
        <w:rPr>
          <w:rFonts w:ascii="Verdana" w:hAnsi="Verdana"/>
          <w:sz w:val="20"/>
          <w:lang w:val="es-CR"/>
        </w:rPr>
        <w:instrText xml:space="preserve"> REF _Ref526765096 \r \h </w:instrText>
      </w:r>
      <w:r w:rsidR="002E0E26">
        <w:rPr>
          <w:rFonts w:ascii="Verdana" w:hAnsi="Verdana"/>
          <w:sz w:val="20"/>
          <w:lang w:val="es-CR"/>
        </w:rPr>
      </w:r>
      <w:r w:rsidR="002E0E26">
        <w:rPr>
          <w:rFonts w:ascii="Verdana" w:hAnsi="Verdana"/>
          <w:sz w:val="20"/>
          <w:lang w:val="es-CR"/>
        </w:rPr>
        <w:fldChar w:fldCharType="separate"/>
      </w:r>
      <w:r w:rsidR="009356EF">
        <w:rPr>
          <w:rFonts w:ascii="Verdana" w:hAnsi="Verdana"/>
          <w:sz w:val="20"/>
          <w:lang w:val="es-CR"/>
        </w:rPr>
        <w:t>12</w:t>
      </w:r>
      <w:r w:rsidR="002E0E26">
        <w:rPr>
          <w:rFonts w:ascii="Verdana" w:hAnsi="Verdana"/>
          <w:sz w:val="20"/>
          <w:lang w:val="es-CR"/>
        </w:rPr>
        <w:fldChar w:fldCharType="end"/>
      </w:r>
      <w:r w:rsidR="00FF3B4F">
        <w:rPr>
          <w:rFonts w:ascii="Verdana" w:hAnsi="Verdana"/>
          <w:sz w:val="20"/>
          <w:lang w:val="es-CR"/>
        </w:rPr>
        <w:t xml:space="preserve"> y </w:t>
      </w:r>
      <w:r w:rsidR="002E0E26">
        <w:rPr>
          <w:rFonts w:ascii="Verdana" w:hAnsi="Verdana"/>
          <w:sz w:val="20"/>
          <w:lang w:val="es-CR"/>
        </w:rPr>
        <w:fldChar w:fldCharType="begin"/>
      </w:r>
      <w:r w:rsidR="002E0E26">
        <w:rPr>
          <w:rFonts w:ascii="Verdana" w:hAnsi="Verdana"/>
          <w:sz w:val="20"/>
          <w:lang w:val="es-CR"/>
        </w:rPr>
        <w:instrText xml:space="preserve"> REF _Ref526850412 \r \h </w:instrText>
      </w:r>
      <w:r w:rsidR="002E0E26">
        <w:rPr>
          <w:rFonts w:ascii="Verdana" w:hAnsi="Verdana"/>
          <w:sz w:val="20"/>
          <w:lang w:val="es-CR"/>
        </w:rPr>
      </w:r>
      <w:r w:rsidR="002E0E26">
        <w:rPr>
          <w:rFonts w:ascii="Verdana" w:hAnsi="Verdana"/>
          <w:sz w:val="20"/>
          <w:lang w:val="es-CR"/>
        </w:rPr>
        <w:fldChar w:fldCharType="separate"/>
      </w:r>
      <w:r w:rsidR="009356EF">
        <w:rPr>
          <w:rFonts w:ascii="Verdana" w:hAnsi="Verdana"/>
          <w:sz w:val="20"/>
          <w:lang w:val="es-CR"/>
        </w:rPr>
        <w:t>34</w:t>
      </w:r>
      <w:r w:rsidR="002E0E26">
        <w:rPr>
          <w:rFonts w:ascii="Verdana" w:hAnsi="Verdana"/>
          <w:sz w:val="20"/>
          <w:lang w:val="es-CR"/>
        </w:rPr>
        <w:fldChar w:fldCharType="end"/>
      </w:r>
      <w:r w:rsidR="00FF3B4F">
        <w:rPr>
          <w:rFonts w:ascii="Verdana" w:hAnsi="Verdana"/>
          <w:sz w:val="20"/>
          <w:lang w:val="es-CR"/>
        </w:rPr>
        <w:t>)</w:t>
      </w:r>
      <w:r w:rsidRPr="003B6EC8">
        <w:rPr>
          <w:rFonts w:ascii="Verdana" w:hAnsi="Verdana"/>
          <w:sz w:val="20"/>
          <w:lang w:val="es-CR"/>
        </w:rPr>
        <w:t>.</w:t>
      </w:r>
      <w:r w:rsidR="005C24FB">
        <w:rPr>
          <w:rFonts w:ascii="Verdana" w:hAnsi="Verdana"/>
          <w:sz w:val="20"/>
          <w:lang w:val="es-CR"/>
        </w:rPr>
        <w:t xml:space="preserve"> Posteriormente, en su Resolución de 2013, la Corte se pronunció sobre una solicitud de medidas provisionales respecto de un proyecto de explotación minera, determinando que “el análisis y valoración de la información remitida con relación al proyecto de explotación minera en territorio </w:t>
      </w:r>
      <w:proofErr w:type="spellStart"/>
      <w:r w:rsidR="005C24FB">
        <w:rPr>
          <w:rFonts w:ascii="Verdana" w:hAnsi="Verdana"/>
          <w:sz w:val="20"/>
          <w:lang w:val="es-CR"/>
        </w:rPr>
        <w:t>Saramaka</w:t>
      </w:r>
      <w:proofErr w:type="spellEnd"/>
      <w:r w:rsidR="005C24FB">
        <w:rPr>
          <w:rFonts w:ascii="Verdana" w:hAnsi="Verdana"/>
          <w:sz w:val="20"/>
          <w:lang w:val="es-CR"/>
        </w:rPr>
        <w:t>, se encuentra vinculado con la supervisión del cumplimiento de la Sentencia” y</w:t>
      </w:r>
      <w:r w:rsidR="00537543">
        <w:rPr>
          <w:rFonts w:ascii="Verdana" w:hAnsi="Verdana"/>
          <w:sz w:val="20"/>
          <w:lang w:val="es-CR"/>
        </w:rPr>
        <w:t>,</w:t>
      </w:r>
      <w:r w:rsidR="005C24FB">
        <w:rPr>
          <w:rFonts w:ascii="Verdana" w:hAnsi="Verdana"/>
          <w:sz w:val="20"/>
          <w:lang w:val="es-CR"/>
        </w:rPr>
        <w:t xml:space="preserve"> por lo tanto, realizó una solicitud de información al Estado al respecto (</w:t>
      </w:r>
      <w:r w:rsidR="005C24FB">
        <w:rPr>
          <w:rFonts w:ascii="Verdana" w:hAnsi="Verdana"/>
          <w:i/>
          <w:sz w:val="20"/>
          <w:lang w:val="es-CR"/>
        </w:rPr>
        <w:t>infra</w:t>
      </w:r>
      <w:r w:rsidR="005C24FB">
        <w:rPr>
          <w:rFonts w:ascii="Verdana" w:hAnsi="Verdana"/>
          <w:sz w:val="20"/>
          <w:lang w:val="es-CR"/>
        </w:rPr>
        <w:t xml:space="preserve"> Considerando </w:t>
      </w:r>
      <w:r w:rsidR="002E0E26">
        <w:rPr>
          <w:rFonts w:ascii="Verdana" w:hAnsi="Verdana"/>
          <w:sz w:val="20"/>
          <w:lang w:val="es-CR"/>
        </w:rPr>
        <w:fldChar w:fldCharType="begin"/>
      </w:r>
      <w:r w:rsidR="002E0E26">
        <w:rPr>
          <w:rFonts w:ascii="Verdana" w:hAnsi="Verdana"/>
          <w:sz w:val="20"/>
          <w:lang w:val="es-CR"/>
        </w:rPr>
        <w:instrText xml:space="preserve"> REF _Ref526771394 \r \h </w:instrText>
      </w:r>
      <w:r w:rsidR="002E0E26">
        <w:rPr>
          <w:rFonts w:ascii="Verdana" w:hAnsi="Verdana"/>
          <w:sz w:val="20"/>
          <w:lang w:val="es-CR"/>
        </w:rPr>
      </w:r>
      <w:r w:rsidR="002E0E26">
        <w:rPr>
          <w:rFonts w:ascii="Verdana" w:hAnsi="Verdana"/>
          <w:sz w:val="20"/>
          <w:lang w:val="es-CR"/>
        </w:rPr>
        <w:fldChar w:fldCharType="separate"/>
      </w:r>
      <w:r w:rsidR="009356EF">
        <w:rPr>
          <w:rFonts w:ascii="Verdana" w:hAnsi="Verdana"/>
          <w:sz w:val="20"/>
          <w:lang w:val="es-CR"/>
        </w:rPr>
        <w:t>18</w:t>
      </w:r>
      <w:r w:rsidR="002E0E26">
        <w:rPr>
          <w:rFonts w:ascii="Verdana" w:hAnsi="Verdana"/>
          <w:sz w:val="20"/>
          <w:lang w:val="es-CR"/>
        </w:rPr>
        <w:fldChar w:fldCharType="end"/>
      </w:r>
      <w:r w:rsidR="005C24FB">
        <w:rPr>
          <w:rFonts w:ascii="Verdana" w:hAnsi="Verdana"/>
          <w:sz w:val="20"/>
          <w:lang w:val="es-CR"/>
        </w:rPr>
        <w:t>).</w:t>
      </w:r>
      <w:bookmarkEnd w:id="7"/>
      <w:r w:rsidR="005C24FB">
        <w:rPr>
          <w:rFonts w:ascii="Verdana" w:hAnsi="Verdana"/>
          <w:sz w:val="20"/>
          <w:lang w:val="es-CR"/>
        </w:rPr>
        <w:t xml:space="preserve"> </w:t>
      </w:r>
    </w:p>
    <w:p w14:paraId="28DDF72F" w14:textId="77777777" w:rsidR="00E54903" w:rsidRPr="00174292" w:rsidRDefault="00E54903" w:rsidP="00E54903">
      <w:pPr>
        <w:jc w:val="both"/>
        <w:rPr>
          <w:rFonts w:ascii="Times New Roman" w:hAnsi="Times New Roman"/>
          <w:szCs w:val="24"/>
          <w:lang w:val="es-CR" w:eastAsia="es-CR"/>
        </w:rPr>
      </w:pPr>
    </w:p>
    <w:p w14:paraId="66609A4B" w14:textId="77777777" w:rsidR="00E54903" w:rsidRPr="00174292" w:rsidRDefault="00E54903" w:rsidP="00E54903">
      <w:pPr>
        <w:numPr>
          <w:ilvl w:val="0"/>
          <w:numId w:val="2"/>
        </w:numPr>
        <w:ind w:left="0" w:firstLine="0"/>
        <w:jc w:val="both"/>
        <w:rPr>
          <w:rFonts w:ascii="Verdana" w:hAnsi="Verdana"/>
          <w:sz w:val="20"/>
          <w:lang w:val="es-ES"/>
        </w:rPr>
      </w:pPr>
      <w:bookmarkStart w:id="8" w:name="_Ref437274109"/>
      <w:r>
        <w:rPr>
          <w:rFonts w:ascii="Verdana" w:hAnsi="Verdana"/>
          <w:sz w:val="20"/>
          <w:lang w:val="es-MX"/>
        </w:rPr>
        <w:t>D</w:t>
      </w:r>
      <w:proofErr w:type="spellStart"/>
      <w:r>
        <w:rPr>
          <w:rFonts w:ascii="Verdana" w:hAnsi="Verdana"/>
          <w:sz w:val="20"/>
        </w:rPr>
        <w:t>e</w:t>
      </w:r>
      <w:proofErr w:type="spellEnd"/>
      <w:r>
        <w:rPr>
          <w:rFonts w:ascii="Verdana" w:hAnsi="Verdana"/>
          <w:sz w:val="20"/>
        </w:rPr>
        <w:t xml:space="preserve"> conformidad con lo establecido en el artículo </w:t>
      </w:r>
      <w:r>
        <w:rPr>
          <w:rFonts w:ascii="Verdana" w:hAnsi="Verdana"/>
          <w:color w:val="000000"/>
          <w:sz w:val="20"/>
          <w:lang w:val="es-CO"/>
        </w:rPr>
        <w:t xml:space="preserve">68.1 de la Convención Americana, “[l]os Estados Partes en la Convención se comprometen a cumplir la decisión de la Corte en todo caso en </w:t>
      </w:r>
      <w:r w:rsidRPr="00174292">
        <w:rPr>
          <w:rFonts w:ascii="Verdana" w:hAnsi="Verdana" w:cs="Verdana"/>
          <w:bCs/>
          <w:sz w:val="20"/>
          <w:lang w:val="es-CR"/>
        </w:rPr>
        <w:t>que</w:t>
      </w:r>
      <w:r>
        <w:rPr>
          <w:rFonts w:ascii="Verdana" w:hAnsi="Verdana"/>
          <w:color w:val="000000"/>
          <w:sz w:val="20"/>
          <w:lang w:val="es-CO"/>
        </w:rPr>
        <w:t xml:space="preserve"> sean partes”</w:t>
      </w:r>
      <w:r>
        <w:rPr>
          <w:rFonts w:ascii="Verdana" w:hAnsi="Verdana" w:cs="Verdana"/>
          <w:sz w:val="20"/>
        </w:rPr>
        <w:t xml:space="preserve">. </w:t>
      </w:r>
      <w:r>
        <w:rPr>
          <w:rFonts w:ascii="Verdana" w:hAnsi="Verdana"/>
          <w:sz w:val="20"/>
        </w:rPr>
        <w:t>Esta obligación incluye el deber del Estado de informar a la Corte sobre las medidas adoptadas para cumplir cada uno de los puntos ordenados, lo cual es fundamental para evaluar el estado de cumplimiento de la Sentencia en su conjunto</w:t>
      </w:r>
      <w:r>
        <w:rPr>
          <w:rStyle w:val="FootnoteReference"/>
          <w:rFonts w:ascii="Verdana" w:hAnsi="Verdana"/>
          <w:sz w:val="20"/>
        </w:rPr>
        <w:footnoteReference w:id="12"/>
      </w:r>
      <w:r>
        <w:rPr>
          <w:rFonts w:ascii="Verdana" w:hAnsi="Verdana"/>
          <w:sz w:val="20"/>
        </w:rPr>
        <w:t xml:space="preserve">. </w:t>
      </w:r>
      <w:r>
        <w:rPr>
          <w:rFonts w:ascii="Verdana" w:eastAsia="Times New Roman" w:hAnsi="Verdana"/>
          <w:sz w:val="20"/>
          <w:shd w:val="clear" w:color="auto" w:fill="FFFFFF"/>
        </w:rPr>
        <w:t>Al efecto, cabe tener presente, además, que, según el artículo 67 de la Convención Americana, “[e]</w:t>
      </w:r>
      <w:r>
        <w:rPr>
          <w:rFonts w:ascii="Verdana" w:eastAsia="Calibri" w:hAnsi="Verdana" w:cs="Tahoma"/>
          <w:sz w:val="20"/>
          <w:lang w:val="es-CL"/>
        </w:rPr>
        <w:t xml:space="preserve">l fallo de la Corte será definitivo e inapelable”, de manera que, </w:t>
      </w:r>
      <w:r>
        <w:rPr>
          <w:rFonts w:ascii="Verdana" w:eastAsia="Times New Roman" w:hAnsi="Verdana"/>
          <w:sz w:val="20"/>
          <w:shd w:val="clear" w:color="auto" w:fill="FFFFFF"/>
        </w:rPr>
        <w:t>una</w:t>
      </w:r>
      <w:r>
        <w:rPr>
          <w:rFonts w:ascii="Verdana" w:eastAsia="Times New Roman" w:hAnsi="Verdana"/>
          <w:sz w:val="20"/>
          <w:lang w:val="es-CO"/>
        </w:rPr>
        <w:t xml:space="preserve"> vez que este Tribunal dicta sentencia, ella produce los efectos de cosa juzgada</w:t>
      </w:r>
      <w:r>
        <w:rPr>
          <w:rFonts w:ascii="Verdana" w:eastAsia="Times New Roman" w:hAnsi="Verdana"/>
          <w:sz w:val="20"/>
        </w:rPr>
        <w:t xml:space="preserve"> y</w:t>
      </w:r>
      <w:r>
        <w:rPr>
          <w:rFonts w:ascii="Verdana" w:eastAsia="Times New Roman" w:hAnsi="Verdana"/>
          <w:sz w:val="20"/>
          <w:shd w:val="clear" w:color="auto" w:fill="FFFFFF"/>
        </w:rPr>
        <w:t xml:space="preserve"> debe ser prontamente cumplida por el Estado en forma íntegra.</w:t>
      </w:r>
      <w:bookmarkEnd w:id="8"/>
    </w:p>
    <w:p w14:paraId="230C0F62" w14:textId="77777777" w:rsidR="00E54903" w:rsidRDefault="00E54903" w:rsidP="00E54903">
      <w:pPr>
        <w:tabs>
          <w:tab w:val="left" w:pos="851"/>
        </w:tabs>
        <w:jc w:val="both"/>
        <w:rPr>
          <w:rFonts w:ascii="Verdana" w:hAnsi="Verdana"/>
          <w:sz w:val="20"/>
          <w:lang w:val="es-ES"/>
        </w:rPr>
      </w:pPr>
    </w:p>
    <w:p w14:paraId="20B6D7CE" w14:textId="77777777" w:rsidR="00E54903" w:rsidRPr="00133754" w:rsidRDefault="00840AA2" w:rsidP="00E54903">
      <w:pPr>
        <w:numPr>
          <w:ilvl w:val="0"/>
          <w:numId w:val="2"/>
        </w:numPr>
        <w:ind w:left="0" w:firstLine="0"/>
        <w:jc w:val="both"/>
        <w:rPr>
          <w:rFonts w:ascii="Verdana" w:hAnsi="Verdana"/>
          <w:sz w:val="18"/>
          <w:szCs w:val="18"/>
        </w:rPr>
      </w:pPr>
      <w:r>
        <w:rPr>
          <w:rFonts w:ascii="Verdana" w:eastAsia="Times New Roman" w:hAnsi="Verdana"/>
          <w:color w:val="000000"/>
          <w:sz w:val="20"/>
          <w:lang w:val="es-CO"/>
        </w:rPr>
        <w:t>L</w:t>
      </w:r>
      <w:r w:rsidR="00E54903">
        <w:rPr>
          <w:rFonts w:ascii="Verdana" w:eastAsia="Times New Roman" w:hAnsi="Verdana"/>
          <w:color w:val="000000"/>
          <w:sz w:val="20"/>
          <w:lang w:val="es-CO"/>
        </w:rPr>
        <w:t xml:space="preserve">os Estados Partes de la Convención Americana tienen la obligación convencional de implementar tanto a nivel internacional como interno y </w:t>
      </w:r>
      <w:r w:rsidR="00E54903">
        <w:rPr>
          <w:rFonts w:ascii="Verdana" w:eastAsia="Times New Roman" w:hAnsi="Verdana"/>
          <w:color w:val="000000"/>
          <w:sz w:val="20"/>
        </w:rPr>
        <w:t xml:space="preserve">de forma pronta e íntegra, lo </w:t>
      </w:r>
      <w:r w:rsidR="00E54903">
        <w:rPr>
          <w:rFonts w:ascii="Verdana" w:eastAsia="Times New Roman" w:hAnsi="Verdana"/>
          <w:color w:val="000000"/>
          <w:sz w:val="20"/>
          <w:lang w:val="es-CO"/>
        </w:rPr>
        <w:t>dispuesto por el Tribunal en las Sentencias que a ellos conciernan, obligación que, como lo señala el derecho internacional consuetudinario y lo ha recordado la Corte, vincula a todos los poderes y órganos estatales</w:t>
      </w:r>
      <w:r w:rsidR="00E54903">
        <w:rPr>
          <w:rStyle w:val="FootnoteReference"/>
          <w:rFonts w:ascii="Verdana" w:hAnsi="Verdana" w:cs="Verdana"/>
          <w:sz w:val="20"/>
        </w:rPr>
        <w:footnoteReference w:id="13"/>
      </w:r>
      <w:r w:rsidR="00E54903">
        <w:rPr>
          <w:rFonts w:ascii="Verdana" w:eastAsia="Times New Roman" w:hAnsi="Verdana"/>
          <w:color w:val="000000"/>
          <w:sz w:val="20"/>
        </w:rPr>
        <w:t xml:space="preserve"> y, de no cumplirse, se incurre en un ilícito internacional</w:t>
      </w:r>
      <w:r w:rsidR="00E54903">
        <w:rPr>
          <w:rFonts w:ascii="Verdana" w:eastAsia="Times New Roman" w:hAnsi="Verdana"/>
          <w:color w:val="000000"/>
          <w:sz w:val="20"/>
          <w:lang w:val="pl-PL"/>
        </w:rPr>
        <w:t xml:space="preserve">. Al respecto, es menester añadir que siempre, según el derecho internacional consuetudinario y lo afirmado por la Corte, al producirse un hecho ilícito atribuible a un Estado, surge la responsabilidad </w:t>
      </w:r>
      <w:r w:rsidR="00E54903">
        <w:rPr>
          <w:rFonts w:ascii="Verdana" w:eastAsia="Times New Roman" w:hAnsi="Verdana"/>
          <w:color w:val="000000"/>
          <w:sz w:val="20"/>
          <w:lang w:val="pl-PL"/>
        </w:rPr>
        <w:lastRenderedPageBreak/>
        <w:t>internacional de éste por violación de una norma internacional, dándose así origen a una relación jurídica nueva que consiste en la obligación de reparar</w:t>
      </w:r>
      <w:r w:rsidR="00E54903">
        <w:rPr>
          <w:rStyle w:val="FootnoteReference"/>
          <w:rFonts w:ascii="Verdana" w:hAnsi="Verdana"/>
          <w:sz w:val="20"/>
        </w:rPr>
        <w:footnoteReference w:id="14"/>
      </w:r>
      <w:r w:rsidR="00E54903">
        <w:rPr>
          <w:rFonts w:ascii="Verdana" w:eastAsia="Times New Roman" w:hAnsi="Verdana"/>
          <w:color w:val="000000"/>
          <w:sz w:val="20"/>
          <w:lang w:val="pl-PL"/>
        </w:rPr>
        <w:t xml:space="preserve">. </w:t>
      </w:r>
      <w:r w:rsidR="00E54903">
        <w:rPr>
          <w:rFonts w:ascii="Verdana" w:hAnsi="Verdana"/>
          <w:sz w:val="20"/>
          <w:lang w:val="pl-PL"/>
        </w:rPr>
        <w:t>Tal como ha indicado la Corte</w:t>
      </w:r>
      <w:r w:rsidR="00E54903">
        <w:rPr>
          <w:rStyle w:val="FootnoteReference"/>
          <w:rFonts w:ascii="Verdana" w:hAnsi="Verdana"/>
          <w:sz w:val="20"/>
        </w:rPr>
        <w:footnoteReference w:id="15"/>
      </w:r>
      <w:r w:rsidR="00E54903">
        <w:rPr>
          <w:rFonts w:ascii="Verdana" w:hAnsi="Verdana"/>
          <w:sz w:val="20"/>
          <w:lang w:val="pl-PL"/>
        </w:rPr>
        <w:t>, el artículo 63.1 de la Convención reproduce el texto de una norma consuetudinaria que constituye uno de los principios fundamentales del derecho de la responsabilidad internacional de los Estados</w:t>
      </w:r>
      <w:r w:rsidR="00E54903">
        <w:rPr>
          <w:rStyle w:val="FootnoteReference"/>
          <w:rFonts w:ascii="Verdana" w:hAnsi="Verdana"/>
          <w:sz w:val="20"/>
        </w:rPr>
        <w:footnoteReference w:id="16"/>
      </w:r>
      <w:r w:rsidR="00E54903">
        <w:rPr>
          <w:rFonts w:ascii="Verdana" w:hAnsi="Verdana"/>
          <w:sz w:val="20"/>
          <w:lang w:val="pl-PL"/>
        </w:rPr>
        <w:t>. La falta de la ejecución de las reparaciones en el ámbito interno implica la negación al derecho de acceso a la justicia internacional</w:t>
      </w:r>
      <w:r w:rsidR="00E54903">
        <w:rPr>
          <w:rStyle w:val="FootnoteReference"/>
          <w:rFonts w:ascii="Verdana" w:hAnsi="Verdana"/>
          <w:sz w:val="20"/>
          <w:lang w:val="pl-PL"/>
        </w:rPr>
        <w:footnoteReference w:id="17"/>
      </w:r>
      <w:r w:rsidR="00E54903">
        <w:rPr>
          <w:rFonts w:ascii="Verdana" w:hAnsi="Verdana"/>
          <w:sz w:val="20"/>
          <w:lang w:val="pl-PL"/>
        </w:rPr>
        <w:t>.</w:t>
      </w:r>
    </w:p>
    <w:p w14:paraId="2181ABF7" w14:textId="77777777" w:rsidR="00840AA2" w:rsidRPr="00133754" w:rsidRDefault="00840AA2" w:rsidP="00133754">
      <w:pPr>
        <w:jc w:val="both"/>
        <w:rPr>
          <w:rFonts w:ascii="Verdana" w:hAnsi="Verdana"/>
          <w:sz w:val="18"/>
          <w:szCs w:val="18"/>
        </w:rPr>
      </w:pPr>
    </w:p>
    <w:p w14:paraId="06AEEA11" w14:textId="44679EAA" w:rsidR="00840AA2" w:rsidRDefault="004917E1" w:rsidP="00C11927">
      <w:pPr>
        <w:numPr>
          <w:ilvl w:val="0"/>
          <w:numId w:val="2"/>
        </w:numPr>
        <w:ind w:left="0" w:firstLine="0"/>
        <w:jc w:val="both"/>
        <w:rPr>
          <w:rFonts w:ascii="Verdana" w:hAnsi="Verdana"/>
          <w:sz w:val="20"/>
        </w:rPr>
      </w:pPr>
      <w:bookmarkStart w:id="9" w:name="_Ref526850072"/>
      <w:r>
        <w:rPr>
          <w:rFonts w:ascii="Verdana" w:hAnsi="Verdana"/>
          <w:sz w:val="20"/>
        </w:rPr>
        <w:t>Con posterioridad a</w:t>
      </w:r>
      <w:r w:rsidR="00840AA2" w:rsidRPr="00133754">
        <w:rPr>
          <w:rFonts w:ascii="Verdana" w:hAnsi="Verdana"/>
          <w:sz w:val="20"/>
        </w:rPr>
        <w:t xml:space="preserve"> la Resolución de la Corte de </w:t>
      </w:r>
      <w:r w:rsidR="00767BA7">
        <w:rPr>
          <w:rFonts w:ascii="Verdana" w:hAnsi="Verdana"/>
          <w:sz w:val="20"/>
        </w:rPr>
        <w:t>2011</w:t>
      </w:r>
      <w:r w:rsidR="00840AA2" w:rsidRPr="00133754">
        <w:rPr>
          <w:rFonts w:ascii="Verdana" w:hAnsi="Verdana"/>
          <w:sz w:val="20"/>
        </w:rPr>
        <w:t xml:space="preserve"> (</w:t>
      </w:r>
      <w:r w:rsidR="00840AA2" w:rsidRPr="00133754">
        <w:rPr>
          <w:rFonts w:ascii="Verdana" w:hAnsi="Verdana"/>
          <w:i/>
          <w:sz w:val="20"/>
        </w:rPr>
        <w:t>supra</w:t>
      </w:r>
      <w:r w:rsidR="00840AA2" w:rsidRPr="00133754">
        <w:rPr>
          <w:rFonts w:ascii="Verdana" w:hAnsi="Verdana"/>
          <w:sz w:val="20"/>
        </w:rPr>
        <w:t xml:space="preserve"> </w:t>
      </w:r>
      <w:r w:rsidR="00605DF8">
        <w:rPr>
          <w:rFonts w:ascii="Verdana" w:hAnsi="Verdana"/>
          <w:sz w:val="20"/>
        </w:rPr>
        <w:t>Visto</w:t>
      </w:r>
      <w:r w:rsidR="00605DF8" w:rsidRPr="00133754">
        <w:rPr>
          <w:rFonts w:ascii="Verdana" w:hAnsi="Verdana"/>
          <w:sz w:val="20"/>
        </w:rPr>
        <w:t xml:space="preserve"> </w:t>
      </w:r>
      <w:r w:rsidR="00605DF8">
        <w:rPr>
          <w:rFonts w:ascii="Verdana" w:hAnsi="Verdana"/>
          <w:sz w:val="20"/>
        </w:rPr>
        <w:fldChar w:fldCharType="begin"/>
      </w:r>
      <w:r w:rsidR="00605DF8">
        <w:rPr>
          <w:rFonts w:ascii="Verdana" w:hAnsi="Verdana"/>
          <w:sz w:val="20"/>
        </w:rPr>
        <w:instrText xml:space="preserve"> REF _Ref437587895 \r \h </w:instrText>
      </w:r>
      <w:r w:rsidR="00605DF8">
        <w:rPr>
          <w:rFonts w:ascii="Verdana" w:hAnsi="Verdana"/>
          <w:sz w:val="20"/>
        </w:rPr>
      </w:r>
      <w:r w:rsidR="00605DF8">
        <w:rPr>
          <w:rFonts w:ascii="Verdana" w:hAnsi="Verdana"/>
          <w:sz w:val="20"/>
        </w:rPr>
        <w:fldChar w:fldCharType="separate"/>
      </w:r>
      <w:r w:rsidR="009356EF">
        <w:rPr>
          <w:rFonts w:ascii="Verdana" w:hAnsi="Verdana"/>
          <w:sz w:val="20"/>
        </w:rPr>
        <w:t>3</w:t>
      </w:r>
      <w:r w:rsidR="00605DF8">
        <w:rPr>
          <w:rFonts w:ascii="Verdana" w:hAnsi="Verdana"/>
          <w:sz w:val="20"/>
        </w:rPr>
        <w:fldChar w:fldCharType="end"/>
      </w:r>
      <w:r w:rsidR="00840AA2" w:rsidRPr="00133754">
        <w:rPr>
          <w:rFonts w:ascii="Verdana" w:hAnsi="Verdana"/>
          <w:sz w:val="20"/>
        </w:rPr>
        <w:t xml:space="preserve">), </w:t>
      </w:r>
      <w:r w:rsidR="00C11927">
        <w:rPr>
          <w:rFonts w:ascii="Verdana" w:hAnsi="Verdana"/>
          <w:sz w:val="20"/>
        </w:rPr>
        <w:t>el Estado ha presentado varios informes, siendo el último de ellos el remitido en abril de 2015 (</w:t>
      </w:r>
      <w:r w:rsidR="00C11927">
        <w:rPr>
          <w:rFonts w:ascii="Verdana" w:hAnsi="Verdana"/>
          <w:i/>
          <w:sz w:val="20"/>
        </w:rPr>
        <w:t>supra</w:t>
      </w:r>
      <w:r w:rsidR="00C11927">
        <w:rPr>
          <w:rFonts w:ascii="Verdana" w:hAnsi="Verdana"/>
          <w:sz w:val="20"/>
        </w:rPr>
        <w:t xml:space="preserve"> Visto </w:t>
      </w:r>
      <w:r w:rsidR="00605DF8">
        <w:rPr>
          <w:rFonts w:ascii="Verdana" w:hAnsi="Verdana"/>
          <w:sz w:val="20"/>
        </w:rPr>
        <w:fldChar w:fldCharType="begin"/>
      </w:r>
      <w:r w:rsidR="00605DF8">
        <w:rPr>
          <w:rFonts w:ascii="Verdana" w:hAnsi="Verdana"/>
          <w:sz w:val="20"/>
        </w:rPr>
        <w:instrText xml:space="preserve"> REF _Ref526519911 \r \h </w:instrText>
      </w:r>
      <w:r w:rsidR="00605DF8">
        <w:rPr>
          <w:rFonts w:ascii="Verdana" w:hAnsi="Verdana"/>
          <w:sz w:val="20"/>
        </w:rPr>
      </w:r>
      <w:r w:rsidR="00605DF8">
        <w:rPr>
          <w:rFonts w:ascii="Verdana" w:hAnsi="Verdana"/>
          <w:sz w:val="20"/>
        </w:rPr>
        <w:fldChar w:fldCharType="separate"/>
      </w:r>
      <w:r w:rsidR="009356EF">
        <w:rPr>
          <w:rFonts w:ascii="Verdana" w:hAnsi="Verdana"/>
          <w:sz w:val="20"/>
        </w:rPr>
        <w:t>8</w:t>
      </w:r>
      <w:r w:rsidR="00605DF8">
        <w:rPr>
          <w:rFonts w:ascii="Verdana" w:hAnsi="Verdana"/>
          <w:sz w:val="20"/>
        </w:rPr>
        <w:fldChar w:fldCharType="end"/>
      </w:r>
      <w:r w:rsidR="00C11927">
        <w:rPr>
          <w:rFonts w:ascii="Verdana" w:hAnsi="Verdana"/>
          <w:sz w:val="20"/>
        </w:rPr>
        <w:t xml:space="preserve">). Surinam </w:t>
      </w:r>
      <w:r w:rsidR="00B94347">
        <w:rPr>
          <w:rFonts w:ascii="Verdana" w:hAnsi="Verdana"/>
          <w:sz w:val="20"/>
        </w:rPr>
        <w:t>no remitió el</w:t>
      </w:r>
      <w:r w:rsidR="00C11927">
        <w:rPr>
          <w:rFonts w:ascii="Verdana" w:hAnsi="Verdana"/>
          <w:sz w:val="20"/>
        </w:rPr>
        <w:t xml:space="preserve"> informe solicitado por el Presidente del Tribunal</w:t>
      </w:r>
      <w:r w:rsidR="00B94347">
        <w:rPr>
          <w:rFonts w:ascii="Verdana" w:hAnsi="Verdana"/>
          <w:sz w:val="20"/>
        </w:rPr>
        <w:t xml:space="preserve"> en diciembre de 2016</w:t>
      </w:r>
      <w:r w:rsidR="00C11927">
        <w:rPr>
          <w:rFonts w:ascii="Verdana" w:hAnsi="Verdana"/>
          <w:sz w:val="20"/>
        </w:rPr>
        <w:t xml:space="preserve"> (</w:t>
      </w:r>
      <w:r w:rsidR="00C11927" w:rsidRPr="005F0D31">
        <w:rPr>
          <w:rFonts w:ascii="Verdana" w:hAnsi="Verdana"/>
          <w:i/>
          <w:sz w:val="20"/>
        </w:rPr>
        <w:t>supra</w:t>
      </w:r>
      <w:r w:rsidR="00C11927">
        <w:rPr>
          <w:rFonts w:ascii="Verdana" w:hAnsi="Verdana"/>
          <w:sz w:val="20"/>
        </w:rPr>
        <w:t xml:space="preserve"> Visto</w:t>
      </w:r>
      <w:r w:rsidR="00605DF8">
        <w:rPr>
          <w:rFonts w:ascii="Verdana" w:hAnsi="Verdana"/>
          <w:sz w:val="20"/>
        </w:rPr>
        <w:t xml:space="preserve"> </w:t>
      </w:r>
      <w:r w:rsidR="00605DF8">
        <w:rPr>
          <w:rFonts w:ascii="Verdana" w:hAnsi="Verdana"/>
          <w:sz w:val="20"/>
          <w:lang w:val="es-CR"/>
        </w:rPr>
        <w:fldChar w:fldCharType="begin"/>
      </w:r>
      <w:r w:rsidR="00605DF8">
        <w:rPr>
          <w:rFonts w:ascii="Verdana" w:hAnsi="Verdana"/>
          <w:sz w:val="20"/>
        </w:rPr>
        <w:instrText xml:space="preserve"> REF _Ref526519903 \r \h </w:instrText>
      </w:r>
      <w:r w:rsidR="00605DF8">
        <w:rPr>
          <w:rFonts w:ascii="Verdana" w:hAnsi="Verdana"/>
          <w:sz w:val="20"/>
          <w:lang w:val="es-CR"/>
        </w:rPr>
      </w:r>
      <w:r w:rsidR="00605DF8">
        <w:rPr>
          <w:rFonts w:ascii="Verdana" w:hAnsi="Verdana"/>
          <w:sz w:val="20"/>
          <w:lang w:val="es-CR"/>
        </w:rPr>
        <w:fldChar w:fldCharType="separate"/>
      </w:r>
      <w:r w:rsidR="009356EF">
        <w:rPr>
          <w:rFonts w:ascii="Verdana" w:hAnsi="Verdana"/>
          <w:sz w:val="20"/>
        </w:rPr>
        <w:t>11</w:t>
      </w:r>
      <w:r w:rsidR="00605DF8">
        <w:rPr>
          <w:rFonts w:ascii="Verdana" w:hAnsi="Verdana"/>
          <w:sz w:val="20"/>
          <w:lang w:val="es-CR"/>
        </w:rPr>
        <w:fldChar w:fldCharType="end"/>
      </w:r>
      <w:r w:rsidR="00CD545A">
        <w:rPr>
          <w:rFonts w:ascii="Verdana" w:hAnsi="Verdana"/>
          <w:sz w:val="20"/>
          <w:lang w:val="es-CR"/>
        </w:rPr>
        <w:t xml:space="preserve"> </w:t>
      </w:r>
      <w:proofErr w:type="spellStart"/>
      <w:r w:rsidR="00CD545A">
        <w:rPr>
          <w:rFonts w:ascii="Verdana" w:hAnsi="Verdana"/>
          <w:sz w:val="20"/>
          <w:lang w:val="es-CR"/>
        </w:rPr>
        <w:t>e</w:t>
      </w:r>
      <w:proofErr w:type="spellEnd"/>
      <w:r w:rsidR="00CD545A">
        <w:rPr>
          <w:rFonts w:ascii="Verdana" w:hAnsi="Verdana"/>
          <w:sz w:val="20"/>
          <w:lang w:val="es-CR"/>
        </w:rPr>
        <w:t xml:space="preserve"> </w:t>
      </w:r>
      <w:r w:rsidR="00CD545A">
        <w:rPr>
          <w:rFonts w:ascii="Verdana" w:hAnsi="Verdana"/>
          <w:i/>
          <w:sz w:val="20"/>
          <w:lang w:val="es-CR"/>
        </w:rPr>
        <w:t>infra</w:t>
      </w:r>
      <w:r w:rsidR="00CD545A">
        <w:rPr>
          <w:rFonts w:ascii="Verdana" w:hAnsi="Verdana"/>
          <w:sz w:val="20"/>
          <w:lang w:val="es-CR"/>
        </w:rPr>
        <w:t xml:space="preserve"> Considerando </w:t>
      </w:r>
      <w:r w:rsidR="00CD545A">
        <w:rPr>
          <w:rFonts w:ascii="Verdana" w:hAnsi="Verdana"/>
          <w:sz w:val="20"/>
          <w:lang w:val="es-CR"/>
        </w:rPr>
        <w:fldChar w:fldCharType="begin"/>
      </w:r>
      <w:r w:rsidR="00CD545A">
        <w:rPr>
          <w:rFonts w:ascii="Verdana" w:hAnsi="Verdana"/>
          <w:sz w:val="20"/>
          <w:lang w:val="es-CR"/>
        </w:rPr>
        <w:instrText xml:space="preserve"> REF _Ref526851896 \r \h </w:instrText>
      </w:r>
      <w:r w:rsidR="00CD545A">
        <w:rPr>
          <w:rFonts w:ascii="Verdana" w:hAnsi="Verdana"/>
          <w:sz w:val="20"/>
          <w:lang w:val="es-CR"/>
        </w:rPr>
      </w:r>
      <w:r w:rsidR="00CD545A">
        <w:rPr>
          <w:rFonts w:ascii="Verdana" w:hAnsi="Verdana"/>
          <w:sz w:val="20"/>
          <w:lang w:val="es-CR"/>
        </w:rPr>
        <w:fldChar w:fldCharType="separate"/>
      </w:r>
      <w:r w:rsidR="009356EF">
        <w:rPr>
          <w:rFonts w:ascii="Verdana" w:hAnsi="Verdana"/>
          <w:sz w:val="20"/>
          <w:lang w:val="es-CR"/>
        </w:rPr>
        <w:t>46</w:t>
      </w:r>
      <w:r w:rsidR="00CD545A">
        <w:rPr>
          <w:rFonts w:ascii="Verdana" w:hAnsi="Verdana"/>
          <w:sz w:val="20"/>
          <w:lang w:val="es-CR"/>
        </w:rPr>
        <w:fldChar w:fldCharType="end"/>
      </w:r>
      <w:r w:rsidR="00C11927">
        <w:rPr>
          <w:rFonts w:ascii="Verdana" w:hAnsi="Verdana"/>
          <w:sz w:val="20"/>
        </w:rPr>
        <w:t>).</w:t>
      </w:r>
      <w:r w:rsidR="00B94347">
        <w:rPr>
          <w:rFonts w:ascii="Verdana" w:hAnsi="Verdana"/>
          <w:sz w:val="20"/>
        </w:rPr>
        <w:t xml:space="preserve"> El Tribunal valorará el grado de cumplimiento de la reparación con base en la información aportada por las partes.</w:t>
      </w:r>
      <w:r w:rsidR="00C11927">
        <w:rPr>
          <w:rFonts w:ascii="Verdana" w:hAnsi="Verdana"/>
          <w:sz w:val="20"/>
        </w:rPr>
        <w:t xml:space="preserve"> El Tribunal estructurará sus consideraciones en el siguiente orden</w:t>
      </w:r>
      <w:r w:rsidR="00767BA7">
        <w:rPr>
          <w:rFonts w:ascii="Verdana" w:hAnsi="Verdana"/>
          <w:sz w:val="20"/>
        </w:rPr>
        <w:t>:</w:t>
      </w:r>
      <w:bookmarkEnd w:id="9"/>
    </w:p>
    <w:p w14:paraId="7F563EA7" w14:textId="77777777" w:rsidR="00767BA7" w:rsidRDefault="00767BA7" w:rsidP="007857BA">
      <w:pPr>
        <w:pStyle w:val="ListParagraph"/>
        <w:rPr>
          <w:rFonts w:ascii="Verdana" w:hAnsi="Verdana"/>
          <w:sz w:val="20"/>
        </w:rPr>
      </w:pPr>
    </w:p>
    <w:p w14:paraId="21671ABB" w14:textId="1F909298" w:rsidR="00EF48AB" w:rsidRPr="00CD545A" w:rsidRDefault="007857BA" w:rsidP="00CD545A">
      <w:pPr>
        <w:pStyle w:val="TOC1"/>
        <w:tabs>
          <w:tab w:val="left" w:pos="660"/>
        </w:tabs>
        <w:spacing w:after="0"/>
        <w:ind w:left="284" w:right="616"/>
        <w:jc w:val="both"/>
        <w:rPr>
          <w:rFonts w:ascii="Verdana" w:eastAsiaTheme="minorEastAsia" w:hAnsi="Verdana" w:cstheme="minorBidi"/>
          <w:i/>
          <w:noProof/>
          <w:sz w:val="18"/>
          <w:szCs w:val="18"/>
          <w:lang w:val="es-CR" w:eastAsia="es-CR"/>
        </w:rPr>
      </w:pPr>
      <w:r w:rsidRPr="00CD545A">
        <w:rPr>
          <w:rFonts w:ascii="Verdana" w:hAnsi="Verdana"/>
          <w:i/>
          <w:sz w:val="18"/>
          <w:szCs w:val="18"/>
        </w:rPr>
        <w:fldChar w:fldCharType="begin"/>
      </w:r>
      <w:r w:rsidRPr="00CD545A">
        <w:rPr>
          <w:rFonts w:ascii="Verdana" w:hAnsi="Verdana"/>
          <w:i/>
          <w:sz w:val="18"/>
          <w:szCs w:val="18"/>
        </w:rPr>
        <w:instrText xml:space="preserve"> TOC \o "1-3" \h \z \u </w:instrText>
      </w:r>
      <w:r w:rsidRPr="00CD545A">
        <w:rPr>
          <w:rFonts w:ascii="Verdana" w:hAnsi="Verdana"/>
          <w:i/>
          <w:sz w:val="18"/>
          <w:szCs w:val="18"/>
        </w:rPr>
        <w:fldChar w:fldCharType="separate"/>
      </w:r>
      <w:hyperlink w:anchor="_Toc524447982" w:history="1">
        <w:r w:rsidR="00EF48AB" w:rsidRPr="00CD545A">
          <w:rPr>
            <w:rStyle w:val="Hyperlink"/>
            <w:rFonts w:ascii="Verdana" w:hAnsi="Verdana"/>
            <w:i/>
            <w:noProof/>
            <w:sz w:val="18"/>
            <w:szCs w:val="18"/>
          </w:rPr>
          <w:t>A.</w:t>
        </w:r>
        <w:r w:rsidR="00EF48AB" w:rsidRPr="00CD545A">
          <w:rPr>
            <w:rFonts w:ascii="Verdana" w:eastAsiaTheme="minorEastAsia" w:hAnsi="Verdana" w:cstheme="minorBidi"/>
            <w:i/>
            <w:noProof/>
            <w:sz w:val="18"/>
            <w:szCs w:val="18"/>
            <w:lang w:val="es-CR" w:eastAsia="es-CR"/>
          </w:rPr>
          <w:tab/>
        </w:r>
        <w:r w:rsidR="00B94347">
          <w:rPr>
            <w:rStyle w:val="Hyperlink"/>
            <w:rFonts w:ascii="Verdana" w:hAnsi="Verdana"/>
            <w:i/>
            <w:noProof/>
            <w:sz w:val="18"/>
            <w:szCs w:val="18"/>
          </w:rPr>
          <w:t>Indemnizació</w:t>
        </w:r>
        <w:r w:rsidR="00EF48AB" w:rsidRPr="00CD545A">
          <w:rPr>
            <w:rStyle w:val="Hyperlink"/>
            <w:rFonts w:ascii="Verdana" w:hAnsi="Verdana"/>
            <w:i/>
            <w:noProof/>
            <w:sz w:val="18"/>
            <w:szCs w:val="18"/>
          </w:rPr>
          <w:t>s por daños materiales e inmateriales</w:t>
        </w:r>
        <w:r w:rsidR="00EF48AB" w:rsidRPr="00CD545A">
          <w:rPr>
            <w:rFonts w:ascii="Verdana" w:hAnsi="Verdana"/>
            <w:i/>
            <w:noProof/>
            <w:webHidden/>
            <w:sz w:val="18"/>
            <w:szCs w:val="18"/>
          </w:rPr>
          <w:tab/>
        </w:r>
        <w:r w:rsidR="00CD545A">
          <w:rPr>
            <w:rFonts w:ascii="Verdana" w:hAnsi="Verdana"/>
            <w:i/>
            <w:noProof/>
            <w:webHidden/>
            <w:sz w:val="18"/>
            <w:szCs w:val="18"/>
          </w:rPr>
          <w:tab/>
        </w:r>
        <w:r w:rsidR="00CD545A">
          <w:rPr>
            <w:rFonts w:ascii="Verdana" w:hAnsi="Verdana"/>
            <w:i/>
            <w:noProof/>
            <w:webHidden/>
            <w:sz w:val="18"/>
            <w:szCs w:val="18"/>
          </w:rPr>
          <w:tab/>
        </w:r>
        <w:r w:rsidR="00CD545A">
          <w:rPr>
            <w:rFonts w:ascii="Verdana" w:hAnsi="Verdana"/>
            <w:i/>
            <w:noProof/>
            <w:webHidden/>
            <w:sz w:val="18"/>
            <w:szCs w:val="18"/>
          </w:rPr>
          <w:tab/>
        </w:r>
        <w:r w:rsidR="00EF48AB" w:rsidRPr="00CD545A">
          <w:rPr>
            <w:rFonts w:ascii="Verdana" w:hAnsi="Verdana"/>
            <w:i/>
            <w:noProof/>
            <w:webHidden/>
            <w:sz w:val="18"/>
            <w:szCs w:val="18"/>
          </w:rPr>
          <w:fldChar w:fldCharType="begin"/>
        </w:r>
        <w:r w:rsidR="00EF48AB" w:rsidRPr="00CD545A">
          <w:rPr>
            <w:rFonts w:ascii="Verdana" w:hAnsi="Verdana"/>
            <w:i/>
            <w:noProof/>
            <w:webHidden/>
            <w:sz w:val="18"/>
            <w:szCs w:val="18"/>
          </w:rPr>
          <w:instrText xml:space="preserve"> PAGEREF _Toc524447982 \h </w:instrText>
        </w:r>
        <w:r w:rsidR="00EF48AB" w:rsidRPr="00CD545A">
          <w:rPr>
            <w:rFonts w:ascii="Verdana" w:hAnsi="Verdana"/>
            <w:i/>
            <w:noProof/>
            <w:webHidden/>
            <w:sz w:val="18"/>
            <w:szCs w:val="18"/>
          </w:rPr>
        </w:r>
        <w:r w:rsidR="00EF48AB" w:rsidRPr="00CD545A">
          <w:rPr>
            <w:rFonts w:ascii="Verdana" w:hAnsi="Verdana"/>
            <w:i/>
            <w:noProof/>
            <w:webHidden/>
            <w:sz w:val="18"/>
            <w:szCs w:val="18"/>
          </w:rPr>
          <w:fldChar w:fldCharType="separate"/>
        </w:r>
        <w:r w:rsidR="009356EF">
          <w:rPr>
            <w:rFonts w:ascii="Verdana" w:hAnsi="Verdana"/>
            <w:i/>
            <w:noProof/>
            <w:webHidden/>
            <w:sz w:val="18"/>
            <w:szCs w:val="18"/>
          </w:rPr>
          <w:t>4</w:t>
        </w:r>
        <w:r w:rsidR="00EF48AB" w:rsidRPr="00CD545A">
          <w:rPr>
            <w:rFonts w:ascii="Verdana" w:hAnsi="Verdana"/>
            <w:i/>
            <w:noProof/>
            <w:webHidden/>
            <w:sz w:val="18"/>
            <w:szCs w:val="18"/>
          </w:rPr>
          <w:fldChar w:fldCharType="end"/>
        </w:r>
      </w:hyperlink>
    </w:p>
    <w:p w14:paraId="0B793767" w14:textId="08AD1D4B" w:rsidR="00EF48AB" w:rsidRPr="00CD545A" w:rsidRDefault="009356EF" w:rsidP="00CD545A">
      <w:pPr>
        <w:pStyle w:val="TOC1"/>
        <w:tabs>
          <w:tab w:val="left" w:pos="660"/>
        </w:tabs>
        <w:spacing w:after="0"/>
        <w:ind w:left="284" w:right="616"/>
        <w:jc w:val="both"/>
        <w:rPr>
          <w:rFonts w:ascii="Verdana" w:eastAsiaTheme="minorEastAsia" w:hAnsi="Verdana" w:cstheme="minorBidi"/>
          <w:i/>
          <w:noProof/>
          <w:sz w:val="18"/>
          <w:szCs w:val="18"/>
          <w:lang w:val="es-CR" w:eastAsia="es-CR"/>
        </w:rPr>
      </w:pPr>
      <w:hyperlink w:anchor="_Toc524447983" w:history="1">
        <w:r w:rsidR="00EF48AB" w:rsidRPr="00CD545A">
          <w:rPr>
            <w:rStyle w:val="Hyperlink"/>
            <w:rFonts w:ascii="Verdana" w:hAnsi="Verdana"/>
            <w:i/>
            <w:noProof/>
            <w:sz w:val="18"/>
            <w:szCs w:val="18"/>
          </w:rPr>
          <w:t>B.</w:t>
        </w:r>
        <w:r w:rsidR="00EF48AB" w:rsidRPr="00CD545A">
          <w:rPr>
            <w:rFonts w:ascii="Verdana" w:eastAsiaTheme="minorEastAsia" w:hAnsi="Verdana" w:cstheme="minorBidi"/>
            <w:i/>
            <w:noProof/>
            <w:sz w:val="18"/>
            <w:szCs w:val="18"/>
            <w:lang w:val="es-CR" w:eastAsia="es-CR"/>
          </w:rPr>
          <w:tab/>
        </w:r>
        <w:r w:rsidR="00EF48AB" w:rsidRPr="00CD545A">
          <w:rPr>
            <w:rStyle w:val="Hyperlink"/>
            <w:rFonts w:ascii="Verdana" w:hAnsi="Verdana"/>
            <w:i/>
            <w:noProof/>
            <w:sz w:val="18"/>
            <w:szCs w:val="18"/>
          </w:rPr>
          <w:t>Delimitar, demarcar y otorgar título colectivo del territorio de los miembros del Pueblo Saramaka</w:t>
        </w:r>
        <w:r w:rsidR="00EF48AB" w:rsidRPr="00CD545A">
          <w:rPr>
            <w:rFonts w:ascii="Verdana" w:hAnsi="Verdana"/>
            <w:i/>
            <w:noProof/>
            <w:webHidden/>
            <w:sz w:val="18"/>
            <w:szCs w:val="18"/>
          </w:rPr>
          <w:tab/>
        </w:r>
        <w:r w:rsidR="00CD545A">
          <w:rPr>
            <w:rFonts w:ascii="Verdana" w:hAnsi="Verdana"/>
            <w:i/>
            <w:noProof/>
            <w:webHidden/>
            <w:sz w:val="18"/>
            <w:szCs w:val="18"/>
          </w:rPr>
          <w:tab/>
        </w:r>
        <w:r w:rsidR="00CD545A">
          <w:rPr>
            <w:rFonts w:ascii="Verdana" w:hAnsi="Verdana"/>
            <w:i/>
            <w:noProof/>
            <w:webHidden/>
            <w:sz w:val="18"/>
            <w:szCs w:val="18"/>
          </w:rPr>
          <w:tab/>
        </w:r>
        <w:r w:rsidR="00CD545A">
          <w:rPr>
            <w:rFonts w:ascii="Verdana" w:hAnsi="Verdana"/>
            <w:i/>
            <w:noProof/>
            <w:webHidden/>
            <w:sz w:val="18"/>
            <w:szCs w:val="18"/>
          </w:rPr>
          <w:tab/>
        </w:r>
        <w:r w:rsidR="00CD545A">
          <w:rPr>
            <w:rFonts w:ascii="Verdana" w:hAnsi="Verdana"/>
            <w:i/>
            <w:noProof/>
            <w:webHidden/>
            <w:sz w:val="18"/>
            <w:szCs w:val="18"/>
          </w:rPr>
          <w:tab/>
        </w:r>
        <w:r w:rsidR="00CD545A">
          <w:rPr>
            <w:rFonts w:ascii="Verdana" w:hAnsi="Verdana"/>
            <w:i/>
            <w:noProof/>
            <w:webHidden/>
            <w:sz w:val="18"/>
            <w:szCs w:val="18"/>
          </w:rPr>
          <w:tab/>
        </w:r>
        <w:r w:rsidR="00CD545A">
          <w:rPr>
            <w:rFonts w:ascii="Verdana" w:hAnsi="Verdana"/>
            <w:i/>
            <w:noProof/>
            <w:webHidden/>
            <w:sz w:val="18"/>
            <w:szCs w:val="18"/>
          </w:rPr>
          <w:tab/>
        </w:r>
        <w:r w:rsidR="00CD545A">
          <w:rPr>
            <w:rFonts w:ascii="Verdana" w:hAnsi="Verdana"/>
            <w:i/>
            <w:noProof/>
            <w:webHidden/>
            <w:sz w:val="18"/>
            <w:szCs w:val="18"/>
          </w:rPr>
          <w:tab/>
        </w:r>
        <w:r w:rsidR="00CD545A">
          <w:rPr>
            <w:rFonts w:ascii="Verdana" w:hAnsi="Verdana"/>
            <w:i/>
            <w:noProof/>
            <w:webHidden/>
            <w:sz w:val="18"/>
            <w:szCs w:val="18"/>
          </w:rPr>
          <w:tab/>
        </w:r>
        <w:r w:rsidR="00EF48AB" w:rsidRPr="00CD545A">
          <w:rPr>
            <w:rFonts w:ascii="Verdana" w:hAnsi="Verdana"/>
            <w:i/>
            <w:noProof/>
            <w:webHidden/>
            <w:sz w:val="18"/>
            <w:szCs w:val="18"/>
          </w:rPr>
          <w:fldChar w:fldCharType="begin"/>
        </w:r>
        <w:r w:rsidR="00EF48AB" w:rsidRPr="00CD545A">
          <w:rPr>
            <w:rFonts w:ascii="Verdana" w:hAnsi="Verdana"/>
            <w:i/>
            <w:noProof/>
            <w:webHidden/>
            <w:sz w:val="18"/>
            <w:szCs w:val="18"/>
          </w:rPr>
          <w:instrText xml:space="preserve"> PAGEREF _Toc524447983 \h </w:instrText>
        </w:r>
        <w:r w:rsidR="00EF48AB" w:rsidRPr="00CD545A">
          <w:rPr>
            <w:rFonts w:ascii="Verdana" w:hAnsi="Verdana"/>
            <w:i/>
            <w:noProof/>
            <w:webHidden/>
            <w:sz w:val="18"/>
            <w:szCs w:val="18"/>
          </w:rPr>
        </w:r>
        <w:r w:rsidR="00EF48AB" w:rsidRPr="00CD545A">
          <w:rPr>
            <w:rFonts w:ascii="Verdana" w:hAnsi="Verdana"/>
            <w:i/>
            <w:noProof/>
            <w:webHidden/>
            <w:sz w:val="18"/>
            <w:szCs w:val="18"/>
          </w:rPr>
          <w:fldChar w:fldCharType="separate"/>
        </w:r>
        <w:r>
          <w:rPr>
            <w:rFonts w:ascii="Verdana" w:hAnsi="Verdana"/>
            <w:i/>
            <w:noProof/>
            <w:webHidden/>
            <w:sz w:val="18"/>
            <w:szCs w:val="18"/>
          </w:rPr>
          <w:t>6</w:t>
        </w:r>
        <w:r w:rsidR="00EF48AB" w:rsidRPr="00CD545A">
          <w:rPr>
            <w:rFonts w:ascii="Verdana" w:hAnsi="Verdana"/>
            <w:i/>
            <w:noProof/>
            <w:webHidden/>
            <w:sz w:val="18"/>
            <w:szCs w:val="18"/>
          </w:rPr>
          <w:fldChar w:fldCharType="end"/>
        </w:r>
      </w:hyperlink>
    </w:p>
    <w:p w14:paraId="444F1820" w14:textId="58D3625B" w:rsidR="00EF48AB" w:rsidRPr="00CD545A" w:rsidRDefault="009356EF" w:rsidP="00CD545A">
      <w:pPr>
        <w:pStyle w:val="TOC1"/>
        <w:tabs>
          <w:tab w:val="left" w:pos="660"/>
        </w:tabs>
        <w:spacing w:after="0"/>
        <w:ind w:left="284" w:right="616"/>
        <w:jc w:val="both"/>
        <w:rPr>
          <w:rFonts w:ascii="Verdana" w:eastAsiaTheme="minorEastAsia" w:hAnsi="Verdana" w:cstheme="minorBidi"/>
          <w:i/>
          <w:noProof/>
          <w:sz w:val="18"/>
          <w:szCs w:val="18"/>
          <w:lang w:val="es-CR" w:eastAsia="es-CR"/>
        </w:rPr>
      </w:pPr>
      <w:hyperlink w:anchor="_Toc524447984" w:history="1">
        <w:r w:rsidR="00EF48AB" w:rsidRPr="00CD545A">
          <w:rPr>
            <w:rStyle w:val="Hyperlink"/>
            <w:rFonts w:ascii="Verdana" w:hAnsi="Verdana"/>
            <w:i/>
            <w:noProof/>
            <w:sz w:val="18"/>
            <w:szCs w:val="18"/>
          </w:rPr>
          <w:t>C.</w:t>
        </w:r>
        <w:r w:rsidR="00EF48AB" w:rsidRPr="00CD545A">
          <w:rPr>
            <w:rFonts w:ascii="Verdana" w:eastAsiaTheme="minorEastAsia" w:hAnsi="Verdana" w:cstheme="minorBidi"/>
            <w:i/>
            <w:noProof/>
            <w:sz w:val="18"/>
            <w:szCs w:val="18"/>
            <w:lang w:val="es-CR" w:eastAsia="es-CR"/>
          </w:rPr>
          <w:tab/>
        </w:r>
        <w:r w:rsidR="00EF48AB" w:rsidRPr="00CD545A">
          <w:rPr>
            <w:rStyle w:val="Hyperlink"/>
            <w:rFonts w:ascii="Verdana" w:hAnsi="Verdana"/>
            <w:i/>
            <w:noProof/>
            <w:sz w:val="18"/>
            <w:szCs w:val="18"/>
          </w:rPr>
          <w:t>Sobre las demás medidas de reparación</w:t>
        </w:r>
        <w:r w:rsidR="00EF48AB" w:rsidRPr="00CD545A">
          <w:rPr>
            <w:rFonts w:ascii="Verdana" w:hAnsi="Verdana"/>
            <w:i/>
            <w:noProof/>
            <w:webHidden/>
            <w:sz w:val="18"/>
            <w:szCs w:val="18"/>
          </w:rPr>
          <w:tab/>
        </w:r>
        <w:r w:rsidR="00CD545A">
          <w:rPr>
            <w:rFonts w:ascii="Verdana" w:hAnsi="Verdana"/>
            <w:i/>
            <w:noProof/>
            <w:webHidden/>
            <w:sz w:val="18"/>
            <w:szCs w:val="18"/>
          </w:rPr>
          <w:tab/>
        </w:r>
        <w:r w:rsidR="00CD545A">
          <w:rPr>
            <w:rFonts w:ascii="Verdana" w:hAnsi="Verdana"/>
            <w:i/>
            <w:noProof/>
            <w:webHidden/>
            <w:sz w:val="18"/>
            <w:szCs w:val="18"/>
          </w:rPr>
          <w:tab/>
        </w:r>
        <w:r w:rsidR="00CD545A">
          <w:rPr>
            <w:rFonts w:ascii="Verdana" w:hAnsi="Verdana"/>
            <w:i/>
            <w:noProof/>
            <w:webHidden/>
            <w:sz w:val="18"/>
            <w:szCs w:val="18"/>
          </w:rPr>
          <w:tab/>
        </w:r>
        <w:r w:rsidR="00CD545A">
          <w:rPr>
            <w:rFonts w:ascii="Verdana" w:hAnsi="Verdana"/>
            <w:i/>
            <w:noProof/>
            <w:webHidden/>
            <w:sz w:val="18"/>
            <w:szCs w:val="18"/>
          </w:rPr>
          <w:tab/>
        </w:r>
        <w:r w:rsidR="00CD545A">
          <w:rPr>
            <w:rFonts w:ascii="Verdana" w:hAnsi="Verdana"/>
            <w:i/>
            <w:noProof/>
            <w:webHidden/>
            <w:sz w:val="18"/>
            <w:szCs w:val="18"/>
          </w:rPr>
          <w:tab/>
        </w:r>
        <w:r w:rsidR="00EF48AB" w:rsidRPr="00CD545A">
          <w:rPr>
            <w:rFonts w:ascii="Verdana" w:hAnsi="Verdana"/>
            <w:i/>
            <w:noProof/>
            <w:webHidden/>
            <w:sz w:val="18"/>
            <w:szCs w:val="18"/>
          </w:rPr>
          <w:fldChar w:fldCharType="begin"/>
        </w:r>
        <w:r w:rsidR="00EF48AB" w:rsidRPr="00CD545A">
          <w:rPr>
            <w:rFonts w:ascii="Verdana" w:hAnsi="Verdana"/>
            <w:i/>
            <w:noProof/>
            <w:webHidden/>
            <w:sz w:val="18"/>
            <w:szCs w:val="18"/>
          </w:rPr>
          <w:instrText xml:space="preserve"> PAGEREF _Toc524447984 \h </w:instrText>
        </w:r>
        <w:r w:rsidR="00EF48AB" w:rsidRPr="00CD545A">
          <w:rPr>
            <w:rFonts w:ascii="Verdana" w:hAnsi="Verdana"/>
            <w:i/>
            <w:noProof/>
            <w:webHidden/>
            <w:sz w:val="18"/>
            <w:szCs w:val="18"/>
          </w:rPr>
        </w:r>
        <w:r w:rsidR="00EF48AB" w:rsidRPr="00CD545A">
          <w:rPr>
            <w:rFonts w:ascii="Verdana" w:hAnsi="Verdana"/>
            <w:i/>
            <w:noProof/>
            <w:webHidden/>
            <w:sz w:val="18"/>
            <w:szCs w:val="18"/>
          </w:rPr>
          <w:fldChar w:fldCharType="separate"/>
        </w:r>
        <w:r>
          <w:rPr>
            <w:rFonts w:ascii="Verdana" w:hAnsi="Verdana"/>
            <w:i/>
            <w:noProof/>
            <w:webHidden/>
            <w:sz w:val="18"/>
            <w:szCs w:val="18"/>
          </w:rPr>
          <w:t>12</w:t>
        </w:r>
        <w:r w:rsidR="00EF48AB" w:rsidRPr="00CD545A">
          <w:rPr>
            <w:rFonts w:ascii="Verdana" w:hAnsi="Verdana"/>
            <w:i/>
            <w:noProof/>
            <w:webHidden/>
            <w:sz w:val="18"/>
            <w:szCs w:val="18"/>
          </w:rPr>
          <w:fldChar w:fldCharType="end"/>
        </w:r>
      </w:hyperlink>
    </w:p>
    <w:p w14:paraId="295D55D3" w14:textId="40712429" w:rsidR="00EF48AB" w:rsidRPr="00CD545A" w:rsidRDefault="009356EF" w:rsidP="00CD545A">
      <w:pPr>
        <w:pStyle w:val="TOC1"/>
        <w:tabs>
          <w:tab w:val="left" w:pos="660"/>
        </w:tabs>
        <w:spacing w:after="0"/>
        <w:ind w:left="284" w:right="616"/>
        <w:jc w:val="both"/>
        <w:rPr>
          <w:rFonts w:ascii="Verdana" w:eastAsiaTheme="minorEastAsia" w:hAnsi="Verdana" w:cstheme="minorBidi"/>
          <w:i/>
          <w:noProof/>
          <w:sz w:val="18"/>
          <w:szCs w:val="18"/>
          <w:lang w:val="es-CR" w:eastAsia="es-CR"/>
        </w:rPr>
      </w:pPr>
      <w:hyperlink w:anchor="_Toc524447985" w:history="1">
        <w:r w:rsidR="00EF48AB" w:rsidRPr="00CD545A">
          <w:rPr>
            <w:rStyle w:val="Hyperlink"/>
            <w:rFonts w:ascii="Verdana" w:hAnsi="Verdana"/>
            <w:i/>
            <w:noProof/>
            <w:sz w:val="18"/>
            <w:szCs w:val="18"/>
          </w:rPr>
          <w:t>D.</w:t>
        </w:r>
        <w:r w:rsidR="00EF48AB" w:rsidRPr="00CD545A">
          <w:rPr>
            <w:rFonts w:ascii="Verdana" w:eastAsiaTheme="minorEastAsia" w:hAnsi="Verdana" w:cstheme="minorBidi"/>
            <w:i/>
            <w:noProof/>
            <w:sz w:val="18"/>
            <w:szCs w:val="18"/>
            <w:lang w:val="es-CR" w:eastAsia="es-CR"/>
          </w:rPr>
          <w:tab/>
        </w:r>
        <w:r w:rsidR="00EF48AB" w:rsidRPr="00CD545A">
          <w:rPr>
            <w:rStyle w:val="Hyperlink"/>
            <w:rFonts w:ascii="Verdana" w:hAnsi="Verdana"/>
            <w:i/>
            <w:noProof/>
            <w:sz w:val="18"/>
            <w:szCs w:val="18"/>
          </w:rPr>
          <w:t>Informe pendiente de presentación y posible visita de supervisión</w:t>
        </w:r>
        <w:r w:rsidR="00EF48AB" w:rsidRPr="00CD545A">
          <w:rPr>
            <w:rFonts w:ascii="Verdana" w:hAnsi="Verdana"/>
            <w:i/>
            <w:noProof/>
            <w:webHidden/>
            <w:sz w:val="18"/>
            <w:szCs w:val="18"/>
          </w:rPr>
          <w:tab/>
        </w:r>
        <w:r w:rsidR="00CD545A">
          <w:rPr>
            <w:rFonts w:ascii="Verdana" w:hAnsi="Verdana"/>
            <w:i/>
            <w:noProof/>
            <w:webHidden/>
            <w:sz w:val="18"/>
            <w:szCs w:val="18"/>
          </w:rPr>
          <w:tab/>
        </w:r>
        <w:r w:rsidR="00EF48AB" w:rsidRPr="00CD545A">
          <w:rPr>
            <w:rFonts w:ascii="Verdana" w:hAnsi="Verdana"/>
            <w:i/>
            <w:noProof/>
            <w:webHidden/>
            <w:sz w:val="18"/>
            <w:szCs w:val="18"/>
          </w:rPr>
          <w:fldChar w:fldCharType="begin"/>
        </w:r>
        <w:r w:rsidR="00EF48AB" w:rsidRPr="00CD545A">
          <w:rPr>
            <w:rFonts w:ascii="Verdana" w:hAnsi="Verdana"/>
            <w:i/>
            <w:noProof/>
            <w:webHidden/>
            <w:sz w:val="18"/>
            <w:szCs w:val="18"/>
          </w:rPr>
          <w:instrText xml:space="preserve"> PAGEREF _Toc524447985 \h </w:instrText>
        </w:r>
        <w:r w:rsidR="00EF48AB" w:rsidRPr="00CD545A">
          <w:rPr>
            <w:rFonts w:ascii="Verdana" w:hAnsi="Verdana"/>
            <w:i/>
            <w:noProof/>
            <w:webHidden/>
            <w:sz w:val="18"/>
            <w:szCs w:val="18"/>
          </w:rPr>
        </w:r>
        <w:r w:rsidR="00EF48AB" w:rsidRPr="00CD545A">
          <w:rPr>
            <w:rFonts w:ascii="Verdana" w:hAnsi="Verdana"/>
            <w:i/>
            <w:noProof/>
            <w:webHidden/>
            <w:sz w:val="18"/>
            <w:szCs w:val="18"/>
          </w:rPr>
          <w:fldChar w:fldCharType="separate"/>
        </w:r>
        <w:r>
          <w:rPr>
            <w:rFonts w:ascii="Verdana" w:hAnsi="Verdana"/>
            <w:i/>
            <w:noProof/>
            <w:webHidden/>
            <w:sz w:val="18"/>
            <w:szCs w:val="18"/>
          </w:rPr>
          <w:t>16</w:t>
        </w:r>
        <w:r w:rsidR="00EF48AB" w:rsidRPr="00CD545A">
          <w:rPr>
            <w:rFonts w:ascii="Verdana" w:hAnsi="Verdana"/>
            <w:i/>
            <w:noProof/>
            <w:webHidden/>
            <w:sz w:val="18"/>
            <w:szCs w:val="18"/>
          </w:rPr>
          <w:fldChar w:fldCharType="end"/>
        </w:r>
      </w:hyperlink>
    </w:p>
    <w:p w14:paraId="4DF54610" w14:textId="77777777" w:rsidR="00BC4FF3" w:rsidRDefault="007857BA" w:rsidP="00CD545A">
      <w:pPr>
        <w:ind w:left="284" w:right="616"/>
        <w:jc w:val="both"/>
        <w:rPr>
          <w:rFonts w:ascii="Verdana" w:hAnsi="Verdana"/>
          <w:sz w:val="20"/>
        </w:rPr>
      </w:pPr>
      <w:r w:rsidRPr="00CD545A">
        <w:rPr>
          <w:rFonts w:ascii="Verdana" w:hAnsi="Verdana"/>
          <w:i/>
          <w:sz w:val="18"/>
          <w:szCs w:val="18"/>
        </w:rPr>
        <w:fldChar w:fldCharType="end"/>
      </w:r>
    </w:p>
    <w:p w14:paraId="558DA3C3" w14:textId="47DFCB5C" w:rsidR="004E1B86" w:rsidRPr="0040761F" w:rsidRDefault="004E1B86" w:rsidP="007857BA">
      <w:pPr>
        <w:pStyle w:val="Heading1"/>
        <w:numPr>
          <w:ilvl w:val="0"/>
          <w:numId w:val="10"/>
        </w:numPr>
        <w:rPr>
          <w:rFonts w:ascii="Verdana" w:hAnsi="Verdana"/>
          <w:color w:val="auto"/>
          <w:sz w:val="20"/>
          <w:szCs w:val="20"/>
        </w:rPr>
      </w:pPr>
      <w:bookmarkStart w:id="10" w:name="_Toc524447982"/>
      <w:r w:rsidRPr="00A36755">
        <w:rPr>
          <w:rFonts w:ascii="Verdana" w:hAnsi="Verdana"/>
          <w:color w:val="auto"/>
          <w:sz w:val="20"/>
          <w:szCs w:val="20"/>
        </w:rPr>
        <w:t>Indemnizaci</w:t>
      </w:r>
      <w:r w:rsidR="00605DF8" w:rsidRPr="00A36755">
        <w:rPr>
          <w:rFonts w:ascii="Verdana" w:hAnsi="Verdana"/>
          <w:color w:val="auto"/>
          <w:sz w:val="20"/>
          <w:szCs w:val="20"/>
        </w:rPr>
        <w:t>ó</w:t>
      </w:r>
      <w:r w:rsidRPr="00A36755">
        <w:rPr>
          <w:rFonts w:ascii="Verdana" w:hAnsi="Verdana"/>
          <w:color w:val="auto"/>
          <w:sz w:val="20"/>
          <w:szCs w:val="20"/>
        </w:rPr>
        <w:t>n</w:t>
      </w:r>
      <w:r w:rsidRPr="0040761F">
        <w:rPr>
          <w:rFonts w:ascii="Verdana" w:hAnsi="Verdana"/>
          <w:color w:val="auto"/>
          <w:sz w:val="20"/>
          <w:szCs w:val="20"/>
        </w:rPr>
        <w:t xml:space="preserve"> por daños materiales e inmateriales</w:t>
      </w:r>
      <w:bookmarkEnd w:id="10"/>
    </w:p>
    <w:p w14:paraId="35D04269" w14:textId="77777777" w:rsidR="004E1B86" w:rsidRDefault="004E1B86" w:rsidP="004E1B86">
      <w:pPr>
        <w:rPr>
          <w:rFonts w:ascii="Verdana" w:hAnsi="Verdana"/>
          <w:b/>
          <w:sz w:val="20"/>
        </w:rPr>
      </w:pPr>
    </w:p>
    <w:p w14:paraId="1190966E" w14:textId="77777777" w:rsidR="004E1B86" w:rsidRDefault="004E1B86" w:rsidP="004E1B86">
      <w:pPr>
        <w:ind w:left="360"/>
        <w:jc w:val="both"/>
        <w:rPr>
          <w:rFonts w:ascii="Verdana" w:hAnsi="Verdana"/>
          <w:i/>
          <w:sz w:val="20"/>
        </w:rPr>
      </w:pPr>
      <w:r>
        <w:rPr>
          <w:rFonts w:ascii="Verdana" w:hAnsi="Verdana"/>
          <w:i/>
          <w:sz w:val="20"/>
        </w:rPr>
        <w:t>A.1. Medida ordenada por la Corte y supervisión realizada en Resoluci</w:t>
      </w:r>
      <w:r w:rsidR="00AE5D85">
        <w:rPr>
          <w:rFonts w:ascii="Verdana" w:hAnsi="Verdana"/>
          <w:i/>
          <w:sz w:val="20"/>
        </w:rPr>
        <w:t>ón</w:t>
      </w:r>
      <w:r>
        <w:rPr>
          <w:rFonts w:ascii="Verdana" w:hAnsi="Verdana"/>
          <w:i/>
          <w:sz w:val="20"/>
        </w:rPr>
        <w:t xml:space="preserve"> anterior</w:t>
      </w:r>
    </w:p>
    <w:p w14:paraId="72E7BD18" w14:textId="09511690" w:rsidR="004E1B86" w:rsidRDefault="00A36755" w:rsidP="00A36755">
      <w:pPr>
        <w:tabs>
          <w:tab w:val="left" w:pos="2282"/>
        </w:tabs>
        <w:rPr>
          <w:rFonts w:ascii="Verdana" w:hAnsi="Verdana"/>
          <w:i/>
          <w:sz w:val="20"/>
        </w:rPr>
      </w:pPr>
      <w:r>
        <w:rPr>
          <w:rFonts w:ascii="Verdana" w:hAnsi="Verdana"/>
          <w:i/>
          <w:sz w:val="20"/>
        </w:rPr>
        <w:tab/>
      </w:r>
    </w:p>
    <w:p w14:paraId="3F4E3855" w14:textId="2D39600C" w:rsidR="00F252CA" w:rsidRDefault="004E1B86" w:rsidP="00F252CA">
      <w:pPr>
        <w:pStyle w:val="ListParagraph"/>
        <w:numPr>
          <w:ilvl w:val="0"/>
          <w:numId w:val="2"/>
        </w:numPr>
        <w:ind w:left="0" w:firstLine="0"/>
        <w:jc w:val="both"/>
        <w:rPr>
          <w:rFonts w:ascii="Verdana" w:hAnsi="Verdana"/>
          <w:sz w:val="20"/>
        </w:rPr>
      </w:pPr>
      <w:bookmarkStart w:id="11" w:name="_Ref526850386"/>
      <w:r>
        <w:rPr>
          <w:rFonts w:ascii="Verdana" w:hAnsi="Verdana"/>
          <w:sz w:val="20"/>
        </w:rPr>
        <w:t xml:space="preserve">En el punto resolutivo décimo tercero y en los párrafos 199, 201, 202, 208 y 210 </w:t>
      </w:r>
      <w:r w:rsidR="00605DF8">
        <w:rPr>
          <w:rFonts w:ascii="Verdana" w:hAnsi="Verdana"/>
          <w:sz w:val="20"/>
        </w:rPr>
        <w:t xml:space="preserve">a 212 </w:t>
      </w:r>
      <w:r>
        <w:rPr>
          <w:rFonts w:ascii="Verdana" w:hAnsi="Verdana"/>
          <w:sz w:val="20"/>
        </w:rPr>
        <w:t xml:space="preserve">de la Sentencia, la Corte dispuso que el Estado debía “asignar las cantidades fijadas en [la] Sentencia como indemnización por el daño material e inmaterial a un fondo de desarrollo comunitario creado y establecido a beneficio de los miembros del pueblo </w:t>
      </w:r>
      <w:proofErr w:type="spellStart"/>
      <w:r>
        <w:rPr>
          <w:rFonts w:ascii="Verdana" w:hAnsi="Verdana"/>
          <w:sz w:val="20"/>
        </w:rPr>
        <w:t>Saramaka</w:t>
      </w:r>
      <w:proofErr w:type="spellEnd"/>
      <w:r>
        <w:rPr>
          <w:rFonts w:ascii="Verdana" w:hAnsi="Verdana"/>
          <w:sz w:val="20"/>
        </w:rPr>
        <w:t xml:space="preserve"> en su propio territorio tradicional”.</w:t>
      </w:r>
      <w:r w:rsidR="00F252CA">
        <w:rPr>
          <w:rFonts w:ascii="Verdana" w:hAnsi="Verdana"/>
          <w:sz w:val="20"/>
        </w:rPr>
        <w:t xml:space="preserve"> </w:t>
      </w:r>
      <w:r w:rsidR="00F252CA" w:rsidRPr="00F252CA">
        <w:rPr>
          <w:rFonts w:ascii="Verdana" w:hAnsi="Verdana"/>
          <w:sz w:val="20"/>
        </w:rPr>
        <w:t>Conforme a los párrafos 199 y 201 de la Sentencia, el Estado debía pagar</w:t>
      </w:r>
      <w:r w:rsidR="00A36755">
        <w:rPr>
          <w:rFonts w:ascii="Verdana" w:hAnsi="Verdana"/>
          <w:sz w:val="20"/>
        </w:rPr>
        <w:t xml:space="preserve"> a dicho fondo</w:t>
      </w:r>
      <w:r w:rsidR="00F252CA" w:rsidRPr="00F252CA">
        <w:rPr>
          <w:rFonts w:ascii="Verdana" w:hAnsi="Verdana"/>
          <w:sz w:val="20"/>
        </w:rPr>
        <w:t xml:space="preserve">, por concepto de daño material, la cantidad de US$ 75.000,00 (setenta y cinco mil dólares estadounidenses) a favor del </w:t>
      </w:r>
      <w:r w:rsidR="003B4863">
        <w:rPr>
          <w:rFonts w:ascii="Verdana" w:hAnsi="Verdana"/>
          <w:sz w:val="20"/>
        </w:rPr>
        <w:t>P</w:t>
      </w:r>
      <w:r w:rsidR="00F252CA" w:rsidRPr="00F252CA">
        <w:rPr>
          <w:rFonts w:ascii="Verdana" w:hAnsi="Verdana"/>
          <w:sz w:val="20"/>
        </w:rPr>
        <w:t xml:space="preserve">ueblo </w:t>
      </w:r>
      <w:proofErr w:type="spellStart"/>
      <w:r w:rsidR="00F252CA" w:rsidRPr="00F252CA">
        <w:rPr>
          <w:rFonts w:ascii="Verdana" w:hAnsi="Verdana"/>
          <w:sz w:val="20"/>
        </w:rPr>
        <w:t>Saramaka</w:t>
      </w:r>
      <w:proofErr w:type="spellEnd"/>
      <w:r w:rsidR="00F252CA" w:rsidRPr="00F252CA">
        <w:rPr>
          <w:rFonts w:ascii="Verdana" w:hAnsi="Verdana"/>
          <w:sz w:val="20"/>
        </w:rPr>
        <w:t>, y por concepto de daño inmaterial la cantidad de US$ 600.000,00 (seiscientos mil dólares estadounidenses).</w:t>
      </w:r>
      <w:bookmarkEnd w:id="11"/>
      <w:r>
        <w:rPr>
          <w:rFonts w:ascii="Verdana" w:hAnsi="Verdana"/>
          <w:sz w:val="20"/>
        </w:rPr>
        <w:t xml:space="preserve"> </w:t>
      </w:r>
    </w:p>
    <w:p w14:paraId="36D3DD09" w14:textId="77777777" w:rsidR="00F252CA" w:rsidRDefault="00F252CA" w:rsidP="00F252CA">
      <w:pPr>
        <w:pStyle w:val="ListParagraph"/>
        <w:ind w:left="0"/>
        <w:jc w:val="both"/>
        <w:rPr>
          <w:rFonts w:ascii="Verdana" w:hAnsi="Verdana"/>
          <w:sz w:val="20"/>
        </w:rPr>
      </w:pPr>
    </w:p>
    <w:p w14:paraId="78D37909" w14:textId="77777777" w:rsidR="00F252CA" w:rsidRDefault="00E66BDC" w:rsidP="00F252CA">
      <w:pPr>
        <w:pStyle w:val="ListParagraph"/>
        <w:numPr>
          <w:ilvl w:val="0"/>
          <w:numId w:val="2"/>
        </w:numPr>
        <w:ind w:left="0" w:firstLine="0"/>
        <w:jc w:val="both"/>
        <w:rPr>
          <w:rFonts w:ascii="Verdana" w:hAnsi="Verdana"/>
          <w:sz w:val="20"/>
        </w:rPr>
      </w:pPr>
      <w:bookmarkStart w:id="12" w:name="_Ref526523079"/>
      <w:r>
        <w:rPr>
          <w:rFonts w:ascii="Verdana" w:hAnsi="Verdana"/>
          <w:sz w:val="20"/>
        </w:rPr>
        <w:t xml:space="preserve">Respecto al manejo de dicho fondo, en la Sentencia se dispuso que </w:t>
      </w:r>
      <w:r w:rsidR="004E1B86">
        <w:rPr>
          <w:rFonts w:ascii="Verdana" w:hAnsi="Verdana"/>
          <w:sz w:val="20"/>
        </w:rPr>
        <w:t xml:space="preserve">tendría “como objetivo financiar proyectos educativos, de vivienda, agrícolas y sanitarios, así como proporcionar electricidad y agua potable, de ser necesario, a favor del pueblo </w:t>
      </w:r>
      <w:proofErr w:type="spellStart"/>
      <w:r w:rsidR="004E1B86">
        <w:rPr>
          <w:rFonts w:ascii="Verdana" w:hAnsi="Verdana"/>
          <w:sz w:val="20"/>
        </w:rPr>
        <w:t>Saramaka</w:t>
      </w:r>
      <w:proofErr w:type="spellEnd"/>
      <w:r w:rsidR="004E1B86">
        <w:rPr>
          <w:rFonts w:ascii="Verdana" w:hAnsi="Verdana"/>
          <w:sz w:val="20"/>
        </w:rPr>
        <w:t xml:space="preserve">”. </w:t>
      </w:r>
      <w:r w:rsidR="00F252CA">
        <w:rPr>
          <w:rFonts w:ascii="Verdana" w:hAnsi="Verdana"/>
          <w:sz w:val="20"/>
        </w:rPr>
        <w:t xml:space="preserve">En el párrafo 202 de la misma, </w:t>
      </w:r>
      <w:r w:rsidR="002F4E48">
        <w:rPr>
          <w:rFonts w:ascii="Verdana" w:hAnsi="Verdana"/>
          <w:sz w:val="20"/>
        </w:rPr>
        <w:t xml:space="preserve">se </w:t>
      </w:r>
      <w:r w:rsidR="00F252CA">
        <w:rPr>
          <w:rFonts w:ascii="Verdana" w:hAnsi="Verdana"/>
          <w:sz w:val="20"/>
        </w:rPr>
        <w:t>dispuso que:</w:t>
      </w:r>
      <w:bookmarkEnd w:id="12"/>
      <w:r w:rsidR="00F252CA">
        <w:rPr>
          <w:rFonts w:ascii="Verdana" w:hAnsi="Verdana"/>
          <w:sz w:val="20"/>
        </w:rPr>
        <w:t xml:space="preserve"> </w:t>
      </w:r>
    </w:p>
    <w:p w14:paraId="63D73525" w14:textId="77777777" w:rsidR="009A33F4" w:rsidRPr="009A33F4" w:rsidRDefault="009A33F4" w:rsidP="009A33F4">
      <w:pPr>
        <w:jc w:val="both"/>
        <w:rPr>
          <w:rFonts w:ascii="Verdana" w:hAnsi="Verdana"/>
          <w:sz w:val="20"/>
        </w:rPr>
      </w:pPr>
    </w:p>
    <w:p w14:paraId="521EB56A" w14:textId="77777777" w:rsidR="009A33F4" w:rsidRPr="009A33F4" w:rsidRDefault="009A33F4" w:rsidP="009A33F4">
      <w:pPr>
        <w:pStyle w:val="ListParagraph"/>
        <w:ind w:right="474"/>
        <w:jc w:val="both"/>
        <w:rPr>
          <w:rFonts w:ascii="Verdana" w:hAnsi="Verdana"/>
          <w:sz w:val="16"/>
          <w:szCs w:val="16"/>
        </w:rPr>
      </w:pPr>
      <w:r w:rsidRPr="009A33F4">
        <w:rPr>
          <w:rFonts w:ascii="Verdana" w:hAnsi="Verdana"/>
          <w:sz w:val="16"/>
          <w:szCs w:val="16"/>
        </w:rPr>
        <w:t xml:space="preserve">El Estado deberá crear un comité, compuesto por tres miembros, el cual será responsable de designar cómo se implementarán los proyectos. El Comité de implementación estará </w:t>
      </w:r>
      <w:r w:rsidRPr="009A33F4">
        <w:rPr>
          <w:rFonts w:ascii="Verdana" w:hAnsi="Verdana"/>
          <w:sz w:val="16"/>
          <w:szCs w:val="16"/>
        </w:rPr>
        <w:lastRenderedPageBreak/>
        <w:t xml:space="preserve">compuesto por un representante designado por las víctimas, un representante designado por el Estado y otro representante designado, conjuntamente, por las víctimas y el Estado.  El Comité deberá consultar con el pueblo </w:t>
      </w:r>
      <w:proofErr w:type="spellStart"/>
      <w:r w:rsidRPr="009A33F4">
        <w:rPr>
          <w:rFonts w:ascii="Verdana" w:hAnsi="Verdana"/>
          <w:sz w:val="16"/>
          <w:szCs w:val="16"/>
        </w:rPr>
        <w:t>Saramaka</w:t>
      </w:r>
      <w:proofErr w:type="spellEnd"/>
      <w:r w:rsidRPr="009A33F4">
        <w:rPr>
          <w:rFonts w:ascii="Verdana" w:hAnsi="Verdana"/>
          <w:sz w:val="16"/>
          <w:szCs w:val="16"/>
        </w:rPr>
        <w:t xml:space="preserve"> antes de que las decisiones se tomen e implementen. Además, los miembros del comité de implementación deberán ser elegidos dentro de un plazo de seis meses, contado a partir de la notificación de la presente Sentencia.  En caso de que el Estado y los representantes no lleguen a un acuerdo respecto de la composición de los miembros del comité de implementación dentro del plazo establecido de seis meses, contado a partir de la notificación de la presente Sentencia, la Corte podrá convocar a una reunión para resolver este asunto.</w:t>
      </w:r>
    </w:p>
    <w:p w14:paraId="7F228FB3" w14:textId="77777777" w:rsidR="004E1B86" w:rsidRDefault="004E1B86" w:rsidP="004E1B86">
      <w:pPr>
        <w:pStyle w:val="ListParagraph"/>
        <w:ind w:left="0"/>
        <w:jc w:val="both"/>
        <w:rPr>
          <w:rFonts w:ascii="Verdana" w:hAnsi="Verdana"/>
          <w:sz w:val="20"/>
        </w:rPr>
      </w:pPr>
    </w:p>
    <w:p w14:paraId="6BEFD151" w14:textId="16582BE6" w:rsidR="009A33F4" w:rsidRPr="001B3698" w:rsidRDefault="009A33F4" w:rsidP="009A33F4">
      <w:pPr>
        <w:pStyle w:val="ListParagraph"/>
        <w:numPr>
          <w:ilvl w:val="0"/>
          <w:numId w:val="2"/>
        </w:numPr>
        <w:ind w:left="0" w:firstLine="0"/>
        <w:jc w:val="both"/>
        <w:rPr>
          <w:rFonts w:ascii="Verdana" w:hAnsi="Verdana"/>
          <w:sz w:val="20"/>
        </w:rPr>
      </w:pPr>
      <w:r>
        <w:rPr>
          <w:rFonts w:ascii="Verdana" w:hAnsi="Verdana"/>
          <w:sz w:val="20"/>
        </w:rPr>
        <w:t>Finalmente, en el párrafo 208 de la Sentencia, la Corte indicó que “</w:t>
      </w:r>
      <w:r w:rsidR="00060F6C">
        <w:rPr>
          <w:rFonts w:ascii="Verdana" w:hAnsi="Verdana"/>
          <w:sz w:val="20"/>
        </w:rPr>
        <w:t>[</w:t>
      </w:r>
      <w:r>
        <w:rPr>
          <w:rFonts w:ascii="Verdana" w:hAnsi="Verdana"/>
          <w:sz w:val="20"/>
        </w:rPr>
        <w:t>d</w:t>
      </w:r>
      <w:r w:rsidR="00060F6C">
        <w:rPr>
          <w:rFonts w:ascii="Verdana" w:hAnsi="Verdana"/>
          <w:sz w:val="20"/>
        </w:rPr>
        <w:t>]</w:t>
      </w:r>
      <w:r w:rsidRPr="001B3698">
        <w:rPr>
          <w:rFonts w:ascii="Verdana" w:hAnsi="Verdana"/>
          <w:sz w:val="20"/>
        </w:rPr>
        <w:t>entro de un año, contado a partir de la notificación de la presente Sentencia, el Estado deberá designar al menos US$ 225,000.00 (doscientos veinticinco mil dólares estadounidenses) para el fondo de desarrollo mencionado en los párrafos 199 y 201, y el resto deberá ser designado dentro de tres años, contados a partir de la notificación de esta Sentencia</w:t>
      </w:r>
      <w:r>
        <w:rPr>
          <w:rFonts w:ascii="Verdana" w:hAnsi="Verdana"/>
          <w:sz w:val="20"/>
        </w:rPr>
        <w:t xml:space="preserve">”. Los plazos indicados vencieron el </w:t>
      </w:r>
      <w:r w:rsidR="00C11927">
        <w:rPr>
          <w:rFonts w:ascii="Verdana" w:hAnsi="Verdana"/>
          <w:sz w:val="20"/>
        </w:rPr>
        <w:t>19 de diciembre de 2008</w:t>
      </w:r>
      <w:r>
        <w:rPr>
          <w:rFonts w:ascii="Verdana" w:hAnsi="Verdana"/>
          <w:sz w:val="20"/>
        </w:rPr>
        <w:t xml:space="preserve"> y el </w:t>
      </w:r>
      <w:r w:rsidR="00C11927">
        <w:rPr>
          <w:rFonts w:ascii="Verdana" w:hAnsi="Verdana"/>
          <w:sz w:val="20"/>
        </w:rPr>
        <w:t>19 de diciembre de 2010</w:t>
      </w:r>
      <w:r>
        <w:rPr>
          <w:rFonts w:ascii="Verdana" w:hAnsi="Verdana"/>
          <w:sz w:val="20"/>
        </w:rPr>
        <w:t>, respectivamente</w:t>
      </w:r>
      <w:r w:rsidRPr="001B3698">
        <w:rPr>
          <w:rFonts w:ascii="Verdana" w:hAnsi="Verdana"/>
          <w:sz w:val="20"/>
        </w:rPr>
        <w:t>.</w:t>
      </w:r>
      <w:r>
        <w:rPr>
          <w:rFonts w:ascii="Verdana" w:hAnsi="Verdana"/>
          <w:sz w:val="20"/>
        </w:rPr>
        <w:t xml:space="preserve"> También, la Corte indicó que e</w:t>
      </w:r>
      <w:r w:rsidRPr="009A33F4">
        <w:rPr>
          <w:rFonts w:ascii="Verdana" w:hAnsi="Verdana"/>
          <w:sz w:val="20"/>
        </w:rPr>
        <w:t xml:space="preserve">n </w:t>
      </w:r>
      <w:r>
        <w:rPr>
          <w:rFonts w:ascii="Verdana" w:hAnsi="Verdana"/>
          <w:sz w:val="20"/>
        </w:rPr>
        <w:t>“</w:t>
      </w:r>
      <w:r w:rsidRPr="009A33F4">
        <w:rPr>
          <w:rFonts w:ascii="Verdana" w:hAnsi="Verdana"/>
          <w:sz w:val="20"/>
        </w:rPr>
        <w:t>el caso que el Estado se atrasara en el establecimiento del fondo de desarrollo, deberá pagarse la cantidad adeudada con sujeción al interés bancario moratorio en Surinam</w:t>
      </w:r>
      <w:r>
        <w:rPr>
          <w:rFonts w:ascii="Verdana" w:hAnsi="Verdana"/>
          <w:sz w:val="20"/>
        </w:rPr>
        <w:t>”</w:t>
      </w:r>
      <w:r w:rsidRPr="009A33F4">
        <w:rPr>
          <w:rFonts w:ascii="Verdana" w:hAnsi="Verdana"/>
          <w:sz w:val="20"/>
        </w:rPr>
        <w:t>.</w:t>
      </w:r>
    </w:p>
    <w:p w14:paraId="6A3E040A" w14:textId="77777777" w:rsidR="009A33F4" w:rsidRPr="009A33F4" w:rsidRDefault="009A33F4" w:rsidP="009A33F4">
      <w:pPr>
        <w:pStyle w:val="ListParagraph"/>
        <w:ind w:left="0"/>
        <w:jc w:val="both"/>
        <w:rPr>
          <w:rFonts w:ascii="Verdana" w:hAnsi="Verdana"/>
          <w:i/>
          <w:sz w:val="20"/>
        </w:rPr>
      </w:pPr>
    </w:p>
    <w:p w14:paraId="31284B28" w14:textId="7ADAFB7F" w:rsidR="000E3711" w:rsidRPr="00BE401B" w:rsidRDefault="004E1B86" w:rsidP="00BE401B">
      <w:pPr>
        <w:pStyle w:val="ListParagraph"/>
        <w:numPr>
          <w:ilvl w:val="0"/>
          <w:numId w:val="2"/>
        </w:numPr>
        <w:ind w:left="0" w:firstLine="0"/>
        <w:jc w:val="both"/>
        <w:rPr>
          <w:rFonts w:ascii="Verdana" w:hAnsi="Verdana"/>
          <w:i/>
          <w:sz w:val="20"/>
        </w:rPr>
      </w:pPr>
      <w:r w:rsidRPr="004D7DA1">
        <w:rPr>
          <w:rFonts w:ascii="Verdana" w:hAnsi="Verdana"/>
          <w:sz w:val="20"/>
        </w:rPr>
        <w:t xml:space="preserve">En la Resolución emitida </w:t>
      </w:r>
      <w:r>
        <w:rPr>
          <w:rFonts w:ascii="Verdana" w:hAnsi="Verdana"/>
          <w:sz w:val="20"/>
        </w:rPr>
        <w:t xml:space="preserve">en </w:t>
      </w:r>
      <w:r w:rsidR="00C239A5">
        <w:rPr>
          <w:rFonts w:ascii="Verdana" w:hAnsi="Verdana"/>
          <w:sz w:val="20"/>
        </w:rPr>
        <w:t xml:space="preserve">el </w:t>
      </w:r>
      <w:r>
        <w:rPr>
          <w:rFonts w:ascii="Verdana" w:hAnsi="Verdana"/>
          <w:sz w:val="20"/>
        </w:rPr>
        <w:t xml:space="preserve">2011, la Corte </w:t>
      </w:r>
      <w:r w:rsidR="0081751C">
        <w:rPr>
          <w:rFonts w:ascii="Verdana" w:hAnsi="Verdana"/>
          <w:sz w:val="20"/>
        </w:rPr>
        <w:t xml:space="preserve">declaró el cumplimiento parcial de esta medida </w:t>
      </w:r>
      <w:r w:rsidR="00417850">
        <w:rPr>
          <w:rFonts w:ascii="Verdana" w:hAnsi="Verdana"/>
          <w:sz w:val="20"/>
        </w:rPr>
        <w:t xml:space="preserve">ya que </w:t>
      </w:r>
      <w:r>
        <w:rPr>
          <w:rFonts w:ascii="Verdana" w:hAnsi="Verdana"/>
          <w:sz w:val="20"/>
        </w:rPr>
        <w:t>el Estado pag</w:t>
      </w:r>
      <w:r w:rsidR="00417850">
        <w:rPr>
          <w:rFonts w:ascii="Verdana" w:hAnsi="Verdana"/>
          <w:sz w:val="20"/>
        </w:rPr>
        <w:t>ó</w:t>
      </w:r>
      <w:r>
        <w:rPr>
          <w:rFonts w:ascii="Verdana" w:hAnsi="Verdana"/>
          <w:sz w:val="20"/>
        </w:rPr>
        <w:t xml:space="preserve"> USD $600.000,00 </w:t>
      </w:r>
      <w:r w:rsidR="00417850">
        <w:rPr>
          <w:rFonts w:ascii="Verdana" w:hAnsi="Verdana"/>
          <w:sz w:val="20"/>
        </w:rPr>
        <w:t xml:space="preserve">de la indemnización por concepto de </w:t>
      </w:r>
      <w:r>
        <w:rPr>
          <w:rFonts w:ascii="Verdana" w:hAnsi="Verdana"/>
          <w:sz w:val="20"/>
        </w:rPr>
        <w:t>daños inmateriales</w:t>
      </w:r>
      <w:r w:rsidR="00F83978">
        <w:rPr>
          <w:rFonts w:ascii="Verdana" w:hAnsi="Verdana"/>
          <w:sz w:val="20"/>
        </w:rPr>
        <w:t xml:space="preserve"> a la cuenta del </w:t>
      </w:r>
      <w:r w:rsidR="00BF6499" w:rsidRPr="00E35849">
        <w:rPr>
          <w:rFonts w:ascii="Verdana" w:hAnsi="Verdana"/>
          <w:sz w:val="20"/>
        </w:rPr>
        <w:t xml:space="preserve">Fondo de Desarrollo Comunitario del Pueblo </w:t>
      </w:r>
      <w:proofErr w:type="spellStart"/>
      <w:r w:rsidR="00BF6499" w:rsidRPr="00E35849">
        <w:rPr>
          <w:rFonts w:ascii="Verdana" w:hAnsi="Verdana"/>
          <w:sz w:val="20"/>
        </w:rPr>
        <w:t>Saramaka</w:t>
      </w:r>
      <w:proofErr w:type="spellEnd"/>
      <w:r w:rsidR="00F83978">
        <w:rPr>
          <w:rFonts w:ascii="Verdana" w:hAnsi="Verdana"/>
          <w:sz w:val="20"/>
        </w:rPr>
        <w:t>. El Estado indicó que dicho fondo fue creado</w:t>
      </w:r>
      <w:r w:rsidR="00BF6499" w:rsidRPr="00E35849">
        <w:rPr>
          <w:rFonts w:ascii="Verdana" w:hAnsi="Verdana"/>
          <w:sz w:val="20"/>
        </w:rPr>
        <w:t xml:space="preserve"> en cumplimiento </w:t>
      </w:r>
      <w:r w:rsidR="00F83978">
        <w:rPr>
          <w:rFonts w:ascii="Verdana" w:hAnsi="Verdana"/>
          <w:sz w:val="20"/>
        </w:rPr>
        <w:t xml:space="preserve">de </w:t>
      </w:r>
      <w:r w:rsidR="00BF6499" w:rsidRPr="00E35849">
        <w:rPr>
          <w:rFonts w:ascii="Verdana" w:hAnsi="Verdana"/>
          <w:sz w:val="20"/>
        </w:rPr>
        <w:t>lo ordenado por la Corte</w:t>
      </w:r>
      <w:r w:rsidR="00F83978">
        <w:rPr>
          <w:rFonts w:ascii="Verdana" w:hAnsi="Verdana"/>
          <w:sz w:val="20"/>
        </w:rPr>
        <w:t xml:space="preserve"> con la composición dispuesta en la Sentencia</w:t>
      </w:r>
      <w:r w:rsidR="00A36755">
        <w:rPr>
          <w:rStyle w:val="FootnoteReference"/>
          <w:rFonts w:ascii="Verdana" w:hAnsi="Verdana"/>
          <w:sz w:val="20"/>
        </w:rPr>
        <w:footnoteReference w:id="18"/>
      </w:r>
      <w:r w:rsidR="00F83978">
        <w:rPr>
          <w:rFonts w:ascii="Verdana" w:hAnsi="Verdana"/>
          <w:sz w:val="20"/>
        </w:rPr>
        <w:t xml:space="preserve"> (</w:t>
      </w:r>
      <w:r w:rsidR="00F83978" w:rsidRPr="00BE401B">
        <w:rPr>
          <w:rFonts w:ascii="Verdana" w:hAnsi="Verdana"/>
          <w:i/>
          <w:sz w:val="20"/>
        </w:rPr>
        <w:t>supra</w:t>
      </w:r>
      <w:r w:rsidR="00F83978">
        <w:rPr>
          <w:rFonts w:ascii="Verdana" w:hAnsi="Verdana"/>
          <w:sz w:val="20"/>
        </w:rPr>
        <w:t xml:space="preserve"> Considerando </w:t>
      </w:r>
      <w:r w:rsidR="00060F6C">
        <w:rPr>
          <w:rFonts w:ascii="Verdana" w:hAnsi="Verdana"/>
          <w:sz w:val="20"/>
        </w:rPr>
        <w:fldChar w:fldCharType="begin"/>
      </w:r>
      <w:r w:rsidR="00060F6C">
        <w:rPr>
          <w:rFonts w:ascii="Verdana" w:hAnsi="Verdana"/>
          <w:sz w:val="20"/>
        </w:rPr>
        <w:instrText xml:space="preserve"> REF _Ref526522490 \r \h </w:instrText>
      </w:r>
      <w:r w:rsidR="00060F6C">
        <w:rPr>
          <w:rFonts w:ascii="Verdana" w:hAnsi="Verdana"/>
          <w:sz w:val="20"/>
        </w:rPr>
      </w:r>
      <w:r w:rsidR="00060F6C">
        <w:rPr>
          <w:rFonts w:ascii="Verdana" w:hAnsi="Verdana"/>
          <w:sz w:val="20"/>
        </w:rPr>
        <w:fldChar w:fldCharType="separate"/>
      </w:r>
      <w:r w:rsidR="009356EF">
        <w:rPr>
          <w:rFonts w:ascii="Verdana" w:hAnsi="Verdana"/>
          <w:sz w:val="20"/>
        </w:rPr>
        <w:t>6</w:t>
      </w:r>
      <w:r w:rsidR="00060F6C">
        <w:rPr>
          <w:rFonts w:ascii="Verdana" w:hAnsi="Verdana"/>
          <w:sz w:val="20"/>
        </w:rPr>
        <w:fldChar w:fldCharType="end"/>
      </w:r>
      <w:r w:rsidR="00F83978">
        <w:rPr>
          <w:rFonts w:ascii="Verdana" w:hAnsi="Verdana"/>
          <w:sz w:val="20"/>
        </w:rPr>
        <w:t>)</w:t>
      </w:r>
      <w:r w:rsidR="00BF6499">
        <w:rPr>
          <w:rFonts w:ascii="Verdana" w:hAnsi="Verdana"/>
          <w:sz w:val="20"/>
        </w:rPr>
        <w:t>.</w:t>
      </w:r>
      <w:r>
        <w:rPr>
          <w:rFonts w:ascii="Verdana" w:hAnsi="Verdana"/>
          <w:sz w:val="20"/>
        </w:rPr>
        <w:t xml:space="preserve"> </w:t>
      </w:r>
      <w:r w:rsidR="004032AB">
        <w:rPr>
          <w:rFonts w:ascii="Verdana" w:hAnsi="Verdana"/>
          <w:sz w:val="20"/>
        </w:rPr>
        <w:t xml:space="preserve">En virtud de que la Corte no contaba con la “prueba para verificar [las] declaraciones” realizadas por el Estado, solicitó a éste y a los representantes “presentar información ante la Corte sobre si la suma de USD $75.000,00 […] también fue depositada en el fondo de desarrollo comunitario a fin de cumplir a cabalidad con lo ordenado por la Corte y </w:t>
      </w:r>
      <w:r w:rsidR="00060F6C">
        <w:rPr>
          <w:rFonts w:ascii="Verdana" w:hAnsi="Verdana"/>
          <w:sz w:val="20"/>
        </w:rPr>
        <w:t xml:space="preserve">si </w:t>
      </w:r>
      <w:r w:rsidR="004032AB">
        <w:rPr>
          <w:rFonts w:ascii="Verdana" w:hAnsi="Verdana"/>
          <w:sz w:val="20"/>
        </w:rPr>
        <w:t>siguen pendientes pagos por intereses”</w:t>
      </w:r>
      <w:r w:rsidR="00A36755">
        <w:rPr>
          <w:rFonts w:ascii="Verdana" w:hAnsi="Verdana"/>
          <w:sz w:val="20"/>
        </w:rPr>
        <w:t>.</w:t>
      </w:r>
      <w:r w:rsidR="00BE401B" w:rsidRPr="00BE401B">
        <w:t xml:space="preserve"> </w:t>
      </w:r>
    </w:p>
    <w:p w14:paraId="344DB789" w14:textId="77777777" w:rsidR="00BE401B" w:rsidRPr="006B7C00" w:rsidRDefault="00BE401B" w:rsidP="00BE401B">
      <w:pPr>
        <w:pStyle w:val="ListParagraph"/>
        <w:ind w:left="0"/>
        <w:jc w:val="both"/>
        <w:rPr>
          <w:rFonts w:ascii="Verdana" w:hAnsi="Verdana"/>
          <w:i/>
          <w:sz w:val="20"/>
        </w:rPr>
      </w:pPr>
    </w:p>
    <w:p w14:paraId="6B461E91" w14:textId="77777777" w:rsidR="004E1B86" w:rsidRDefault="004E1B86" w:rsidP="004E1B86">
      <w:pPr>
        <w:ind w:firstLine="360"/>
        <w:rPr>
          <w:rFonts w:ascii="Verdana" w:hAnsi="Verdana"/>
          <w:i/>
          <w:sz w:val="20"/>
        </w:rPr>
      </w:pPr>
      <w:r>
        <w:rPr>
          <w:rFonts w:ascii="Verdana" w:hAnsi="Verdana"/>
          <w:i/>
          <w:sz w:val="20"/>
        </w:rPr>
        <w:t>A.2. Consideraciones de la Corte</w:t>
      </w:r>
    </w:p>
    <w:p w14:paraId="7C0FA359" w14:textId="77777777" w:rsidR="004E1B86" w:rsidRDefault="004E1B86" w:rsidP="004E1B86">
      <w:pPr>
        <w:rPr>
          <w:rFonts w:ascii="Verdana" w:hAnsi="Verdana"/>
          <w:i/>
          <w:sz w:val="20"/>
        </w:rPr>
      </w:pPr>
    </w:p>
    <w:p w14:paraId="7EFA8524" w14:textId="6CA4AC0B" w:rsidR="00BF6499" w:rsidRDefault="004E1B86" w:rsidP="004E1B86">
      <w:pPr>
        <w:pStyle w:val="ListParagraph"/>
        <w:numPr>
          <w:ilvl w:val="0"/>
          <w:numId w:val="2"/>
        </w:numPr>
        <w:ind w:left="0" w:firstLine="0"/>
        <w:jc w:val="both"/>
        <w:rPr>
          <w:rFonts w:ascii="Verdana" w:hAnsi="Verdana"/>
          <w:sz w:val="20"/>
        </w:rPr>
      </w:pPr>
      <w:bookmarkStart w:id="13" w:name="_Ref526857221"/>
      <w:r w:rsidRPr="004E1B86">
        <w:rPr>
          <w:rFonts w:ascii="Verdana" w:hAnsi="Verdana"/>
          <w:sz w:val="20"/>
        </w:rPr>
        <w:t>Con base en la información aportada por el Estado</w:t>
      </w:r>
      <w:r w:rsidR="006E2EA5">
        <w:rPr>
          <w:rStyle w:val="FootnoteReference"/>
          <w:rFonts w:ascii="Verdana" w:hAnsi="Verdana"/>
          <w:sz w:val="20"/>
        </w:rPr>
        <w:footnoteReference w:id="19"/>
      </w:r>
      <w:r w:rsidRPr="004E1B86">
        <w:rPr>
          <w:rFonts w:ascii="Verdana" w:hAnsi="Verdana"/>
          <w:sz w:val="20"/>
        </w:rPr>
        <w:t xml:space="preserve"> y </w:t>
      </w:r>
      <w:r w:rsidR="003B4863">
        <w:rPr>
          <w:rFonts w:ascii="Verdana" w:hAnsi="Verdana"/>
          <w:sz w:val="20"/>
        </w:rPr>
        <w:t xml:space="preserve">lo </w:t>
      </w:r>
      <w:r w:rsidRPr="004E1B86">
        <w:rPr>
          <w:rFonts w:ascii="Verdana" w:hAnsi="Verdana"/>
          <w:sz w:val="20"/>
        </w:rPr>
        <w:t>reconocid</w:t>
      </w:r>
      <w:r w:rsidR="003B4863">
        <w:rPr>
          <w:rFonts w:ascii="Verdana" w:hAnsi="Verdana"/>
          <w:sz w:val="20"/>
        </w:rPr>
        <w:t>o</w:t>
      </w:r>
      <w:r w:rsidRPr="004E1B86">
        <w:rPr>
          <w:rFonts w:ascii="Verdana" w:hAnsi="Verdana"/>
          <w:sz w:val="20"/>
        </w:rPr>
        <w:t xml:space="preserve"> por los representantes, la Corte </w:t>
      </w:r>
      <w:r w:rsidR="00BE53E7">
        <w:rPr>
          <w:rFonts w:ascii="Verdana" w:hAnsi="Verdana"/>
          <w:sz w:val="20"/>
        </w:rPr>
        <w:t>constata</w:t>
      </w:r>
      <w:r w:rsidRPr="004E1B86">
        <w:rPr>
          <w:rFonts w:ascii="Verdana" w:hAnsi="Verdana"/>
          <w:sz w:val="20"/>
        </w:rPr>
        <w:t xml:space="preserve"> que en el año 2009 fue pagada la totalidad de los USD $675.000,00 dispuesta en la Sentencia por </w:t>
      </w:r>
      <w:r w:rsidR="003B4863">
        <w:rPr>
          <w:rFonts w:ascii="Verdana" w:hAnsi="Verdana"/>
          <w:sz w:val="20"/>
        </w:rPr>
        <w:t xml:space="preserve"> indemnización por </w:t>
      </w:r>
      <w:r w:rsidRPr="004E1B86">
        <w:rPr>
          <w:rFonts w:ascii="Verdana" w:hAnsi="Verdana"/>
          <w:sz w:val="20"/>
        </w:rPr>
        <w:t>concepto de daños materiales e inmateriales al fondo de desarrollo co</w:t>
      </w:r>
      <w:r w:rsidR="00BF6499">
        <w:rPr>
          <w:rFonts w:ascii="Verdana" w:hAnsi="Verdana"/>
          <w:sz w:val="20"/>
        </w:rPr>
        <w:t xml:space="preserve">munitario del Pueblo </w:t>
      </w:r>
      <w:proofErr w:type="spellStart"/>
      <w:r w:rsidR="00BF6499">
        <w:rPr>
          <w:rFonts w:ascii="Verdana" w:hAnsi="Verdana"/>
          <w:sz w:val="20"/>
        </w:rPr>
        <w:t>Saramaka</w:t>
      </w:r>
      <w:proofErr w:type="spellEnd"/>
      <w:r w:rsidR="00BF6499">
        <w:rPr>
          <w:rFonts w:ascii="Verdana" w:hAnsi="Verdana"/>
          <w:sz w:val="20"/>
        </w:rPr>
        <w:t xml:space="preserve">, dentro del plazo dispuesto en la Sentencia. La Corte destaca que </w:t>
      </w:r>
      <w:r w:rsidR="00BF6499" w:rsidRPr="00BF6499">
        <w:rPr>
          <w:rFonts w:ascii="Verdana" w:hAnsi="Verdana"/>
          <w:sz w:val="20"/>
        </w:rPr>
        <w:t>los representantes</w:t>
      </w:r>
      <w:r w:rsidR="003B4863">
        <w:rPr>
          <w:rFonts w:ascii="Verdana" w:hAnsi="Verdana"/>
          <w:sz w:val="20"/>
        </w:rPr>
        <w:t>, en agosto de 2013,</w:t>
      </w:r>
      <w:r w:rsidR="00BF6499" w:rsidRPr="00BF6499">
        <w:rPr>
          <w:rFonts w:ascii="Verdana" w:hAnsi="Verdana"/>
          <w:sz w:val="20"/>
        </w:rPr>
        <w:t xml:space="preserve"> reconocieron que dicha medida de r</w:t>
      </w:r>
      <w:r w:rsidR="00BF6499">
        <w:rPr>
          <w:rFonts w:ascii="Verdana" w:hAnsi="Verdana"/>
          <w:sz w:val="20"/>
        </w:rPr>
        <w:t>eparación se encuentra cumplida</w:t>
      </w:r>
      <w:r w:rsidR="00BF6499">
        <w:rPr>
          <w:rStyle w:val="FootnoteReference"/>
          <w:rFonts w:ascii="Verdana" w:hAnsi="Verdana"/>
          <w:sz w:val="20"/>
        </w:rPr>
        <w:footnoteReference w:id="20"/>
      </w:r>
      <w:r w:rsidR="00BF6499">
        <w:rPr>
          <w:rFonts w:ascii="Verdana" w:hAnsi="Verdana"/>
          <w:sz w:val="20"/>
        </w:rPr>
        <w:t>, y que</w:t>
      </w:r>
      <w:r w:rsidR="00BF6499" w:rsidRPr="00BF6499">
        <w:rPr>
          <w:rFonts w:ascii="Verdana" w:hAnsi="Verdana"/>
          <w:sz w:val="20"/>
        </w:rPr>
        <w:t xml:space="preserve"> </w:t>
      </w:r>
      <w:r w:rsidR="00BF6499">
        <w:rPr>
          <w:rFonts w:ascii="Verdana" w:hAnsi="Verdana"/>
          <w:sz w:val="20"/>
        </w:rPr>
        <w:t>c</w:t>
      </w:r>
      <w:r w:rsidR="00BF6499" w:rsidRPr="00BF6499">
        <w:rPr>
          <w:rFonts w:ascii="Verdana" w:hAnsi="Verdana"/>
          <w:sz w:val="20"/>
        </w:rPr>
        <w:t>on posterioridad a esa oportunidad, los representantes no se han referido a dicha medida de reparación ni han planteado objeción alguna al respecto.</w:t>
      </w:r>
      <w:bookmarkEnd w:id="13"/>
    </w:p>
    <w:p w14:paraId="6BD2A100" w14:textId="77777777" w:rsidR="00BF6499" w:rsidRDefault="00BF6499" w:rsidP="00BF6499">
      <w:pPr>
        <w:pStyle w:val="ListParagraph"/>
        <w:ind w:left="0"/>
        <w:jc w:val="both"/>
        <w:rPr>
          <w:rFonts w:ascii="Verdana" w:hAnsi="Verdana"/>
          <w:sz w:val="20"/>
        </w:rPr>
      </w:pPr>
    </w:p>
    <w:p w14:paraId="0A775EA3" w14:textId="64BF1DBA" w:rsidR="00BF6499" w:rsidRDefault="00BF6499" w:rsidP="004E1B86">
      <w:pPr>
        <w:pStyle w:val="ListParagraph"/>
        <w:numPr>
          <w:ilvl w:val="0"/>
          <w:numId w:val="2"/>
        </w:numPr>
        <w:ind w:left="0" w:firstLine="0"/>
        <w:jc w:val="both"/>
        <w:rPr>
          <w:rFonts w:ascii="Verdana" w:hAnsi="Verdana"/>
          <w:sz w:val="20"/>
        </w:rPr>
      </w:pPr>
      <w:r>
        <w:rPr>
          <w:rFonts w:ascii="Verdana" w:hAnsi="Verdana"/>
          <w:sz w:val="20"/>
        </w:rPr>
        <w:t>Por otra parte, en lo que respecta al manejo de dicho fondo (</w:t>
      </w:r>
      <w:r>
        <w:rPr>
          <w:rFonts w:ascii="Verdana" w:hAnsi="Verdana"/>
          <w:i/>
          <w:sz w:val="20"/>
        </w:rPr>
        <w:t>supra</w:t>
      </w:r>
      <w:r>
        <w:rPr>
          <w:rFonts w:ascii="Verdana" w:hAnsi="Verdana"/>
          <w:sz w:val="20"/>
        </w:rPr>
        <w:t xml:space="preserve"> Considerando </w:t>
      </w:r>
      <w:r w:rsidR="00060F6C">
        <w:rPr>
          <w:rFonts w:ascii="Verdana" w:hAnsi="Verdana"/>
          <w:sz w:val="20"/>
        </w:rPr>
        <w:fldChar w:fldCharType="begin"/>
      </w:r>
      <w:r w:rsidR="00060F6C">
        <w:rPr>
          <w:rFonts w:ascii="Verdana" w:hAnsi="Verdana"/>
          <w:sz w:val="20"/>
        </w:rPr>
        <w:instrText xml:space="preserve"> REF _Ref526523079 \r \h </w:instrText>
      </w:r>
      <w:r w:rsidR="00060F6C">
        <w:rPr>
          <w:rFonts w:ascii="Verdana" w:hAnsi="Verdana"/>
          <w:sz w:val="20"/>
        </w:rPr>
      </w:r>
      <w:r w:rsidR="00060F6C">
        <w:rPr>
          <w:rFonts w:ascii="Verdana" w:hAnsi="Verdana"/>
          <w:sz w:val="20"/>
        </w:rPr>
        <w:fldChar w:fldCharType="separate"/>
      </w:r>
      <w:r w:rsidR="009356EF">
        <w:rPr>
          <w:rFonts w:ascii="Verdana" w:hAnsi="Verdana"/>
          <w:sz w:val="20"/>
        </w:rPr>
        <w:t>6</w:t>
      </w:r>
      <w:r w:rsidR="00060F6C">
        <w:rPr>
          <w:rFonts w:ascii="Verdana" w:hAnsi="Verdana"/>
          <w:sz w:val="20"/>
        </w:rPr>
        <w:fldChar w:fldCharType="end"/>
      </w:r>
      <w:r>
        <w:rPr>
          <w:rFonts w:ascii="Verdana" w:hAnsi="Verdana"/>
          <w:sz w:val="20"/>
        </w:rPr>
        <w:t xml:space="preserve">), </w:t>
      </w:r>
      <w:r w:rsidR="00367E96">
        <w:rPr>
          <w:rFonts w:ascii="Verdana" w:hAnsi="Verdana"/>
          <w:sz w:val="20"/>
        </w:rPr>
        <w:t xml:space="preserve">la Corte </w:t>
      </w:r>
      <w:r w:rsidR="004032AB">
        <w:rPr>
          <w:rFonts w:ascii="Verdana" w:hAnsi="Verdana"/>
          <w:sz w:val="20"/>
        </w:rPr>
        <w:t>recuerda</w:t>
      </w:r>
      <w:r w:rsidR="00367E96">
        <w:rPr>
          <w:rFonts w:ascii="Verdana" w:hAnsi="Verdana"/>
          <w:sz w:val="20"/>
        </w:rPr>
        <w:t xml:space="preserve"> que </w:t>
      </w:r>
      <w:r w:rsidR="004032AB">
        <w:rPr>
          <w:rFonts w:ascii="Verdana" w:hAnsi="Verdana"/>
          <w:sz w:val="20"/>
        </w:rPr>
        <w:t>en la Resolución emitida en el 2011 (</w:t>
      </w:r>
      <w:r w:rsidR="004032AB">
        <w:rPr>
          <w:rFonts w:ascii="Verdana" w:hAnsi="Verdana"/>
          <w:i/>
          <w:sz w:val="20"/>
        </w:rPr>
        <w:t xml:space="preserve">supra </w:t>
      </w:r>
      <w:r w:rsidR="004032AB">
        <w:rPr>
          <w:rFonts w:ascii="Verdana" w:hAnsi="Verdana"/>
          <w:sz w:val="20"/>
        </w:rPr>
        <w:t xml:space="preserve">Visto </w:t>
      </w:r>
      <w:r w:rsidR="00060F6C">
        <w:rPr>
          <w:rFonts w:ascii="Verdana" w:hAnsi="Verdana"/>
          <w:sz w:val="20"/>
        </w:rPr>
        <w:fldChar w:fldCharType="begin"/>
      </w:r>
      <w:r w:rsidR="00060F6C">
        <w:rPr>
          <w:rFonts w:ascii="Verdana" w:hAnsi="Verdana"/>
          <w:sz w:val="20"/>
        </w:rPr>
        <w:instrText xml:space="preserve"> REF _Ref526523090 \r \h </w:instrText>
      </w:r>
      <w:r w:rsidR="00060F6C">
        <w:rPr>
          <w:rFonts w:ascii="Verdana" w:hAnsi="Verdana"/>
          <w:sz w:val="20"/>
        </w:rPr>
      </w:r>
      <w:r w:rsidR="00060F6C">
        <w:rPr>
          <w:rFonts w:ascii="Verdana" w:hAnsi="Verdana"/>
          <w:sz w:val="20"/>
        </w:rPr>
        <w:fldChar w:fldCharType="separate"/>
      </w:r>
      <w:r w:rsidR="009356EF">
        <w:rPr>
          <w:rFonts w:ascii="Verdana" w:hAnsi="Verdana"/>
          <w:sz w:val="20"/>
        </w:rPr>
        <w:t>2</w:t>
      </w:r>
      <w:r w:rsidR="00060F6C">
        <w:rPr>
          <w:rFonts w:ascii="Verdana" w:hAnsi="Verdana"/>
          <w:sz w:val="20"/>
        </w:rPr>
        <w:fldChar w:fldCharType="end"/>
      </w:r>
      <w:r w:rsidR="004032AB">
        <w:rPr>
          <w:rFonts w:ascii="Verdana" w:hAnsi="Verdana"/>
          <w:sz w:val="20"/>
        </w:rPr>
        <w:t xml:space="preserve">) se dejó constando que había una objeción de los representantes con respecto a que “‘los fondos habían sido transferidos al fondo de desarrollo ordenado por la Corte’, pero indicaron que </w:t>
      </w:r>
      <w:r w:rsidR="00A36755">
        <w:rPr>
          <w:rFonts w:ascii="Verdana" w:hAnsi="Verdana"/>
          <w:sz w:val="20"/>
        </w:rPr>
        <w:t>‘</w:t>
      </w:r>
      <w:r w:rsidR="004032AB">
        <w:rPr>
          <w:rFonts w:ascii="Verdana" w:hAnsi="Verdana"/>
          <w:sz w:val="20"/>
        </w:rPr>
        <w:t xml:space="preserve">hasta el presente, no se habían utilizado los fondos para actividades en el territorio </w:t>
      </w:r>
      <w:proofErr w:type="spellStart"/>
      <w:r w:rsidR="004032AB">
        <w:rPr>
          <w:rFonts w:ascii="Verdana" w:hAnsi="Verdana"/>
          <w:sz w:val="20"/>
        </w:rPr>
        <w:t>Saramaka</w:t>
      </w:r>
      <w:proofErr w:type="spellEnd"/>
      <w:r w:rsidR="004032AB">
        <w:rPr>
          <w:rFonts w:ascii="Verdana" w:hAnsi="Verdana"/>
          <w:sz w:val="20"/>
        </w:rPr>
        <w:t xml:space="preserve">’”. Sin embargo, la Corte advierte que con </w:t>
      </w:r>
      <w:r w:rsidR="004032AB">
        <w:rPr>
          <w:rFonts w:ascii="Verdana" w:hAnsi="Verdana"/>
          <w:sz w:val="20"/>
        </w:rPr>
        <w:lastRenderedPageBreak/>
        <w:t>posterioridad a dicha Resolución</w:t>
      </w:r>
      <w:r w:rsidR="001D07E8">
        <w:rPr>
          <w:rFonts w:ascii="Verdana" w:hAnsi="Verdana"/>
          <w:sz w:val="20"/>
        </w:rPr>
        <w:t>,</w:t>
      </w:r>
      <w:r w:rsidR="004032AB">
        <w:rPr>
          <w:rFonts w:ascii="Verdana" w:hAnsi="Verdana"/>
          <w:sz w:val="20"/>
        </w:rPr>
        <w:t xml:space="preserve"> los representantes no han vuelto a hacer alusión al manejo del fondo ni la ejecución del dinero en el mismo. Por el contrario, en su escrito de observaciones de </w:t>
      </w:r>
      <w:r w:rsidR="008E69E1">
        <w:rPr>
          <w:rFonts w:ascii="Verdana" w:hAnsi="Verdana"/>
          <w:sz w:val="20"/>
        </w:rPr>
        <w:t>5 de agosto de 2013, los representantes indicaron que el punto resolutivo décimo tercero se encontraría cumplido</w:t>
      </w:r>
      <w:r w:rsidR="00A36755">
        <w:rPr>
          <w:rFonts w:ascii="Verdana" w:hAnsi="Verdana"/>
          <w:sz w:val="20"/>
        </w:rPr>
        <w:t xml:space="preserve"> (</w:t>
      </w:r>
      <w:r w:rsidR="00A36755">
        <w:rPr>
          <w:rFonts w:ascii="Verdana" w:hAnsi="Verdana"/>
          <w:i/>
          <w:sz w:val="20"/>
        </w:rPr>
        <w:t>supra</w:t>
      </w:r>
      <w:r w:rsidR="00A36755">
        <w:rPr>
          <w:rFonts w:ascii="Verdana" w:hAnsi="Verdana"/>
          <w:sz w:val="20"/>
        </w:rPr>
        <w:t xml:space="preserve"> Considerando </w:t>
      </w:r>
      <w:r w:rsidR="00A36755">
        <w:rPr>
          <w:rFonts w:ascii="Verdana" w:hAnsi="Verdana"/>
          <w:sz w:val="20"/>
        </w:rPr>
        <w:fldChar w:fldCharType="begin"/>
      </w:r>
      <w:r w:rsidR="00A36755">
        <w:rPr>
          <w:rFonts w:ascii="Verdana" w:hAnsi="Verdana"/>
          <w:sz w:val="20"/>
        </w:rPr>
        <w:instrText xml:space="preserve"> REF _Ref526857221 \r \h </w:instrText>
      </w:r>
      <w:r w:rsidR="00A36755">
        <w:rPr>
          <w:rFonts w:ascii="Verdana" w:hAnsi="Verdana"/>
          <w:sz w:val="20"/>
        </w:rPr>
      </w:r>
      <w:r w:rsidR="00A36755">
        <w:rPr>
          <w:rFonts w:ascii="Verdana" w:hAnsi="Verdana"/>
          <w:sz w:val="20"/>
        </w:rPr>
        <w:fldChar w:fldCharType="separate"/>
      </w:r>
      <w:r w:rsidR="009356EF">
        <w:rPr>
          <w:rFonts w:ascii="Verdana" w:hAnsi="Verdana"/>
          <w:sz w:val="20"/>
        </w:rPr>
        <w:t>9</w:t>
      </w:r>
      <w:r w:rsidR="00A36755">
        <w:rPr>
          <w:rFonts w:ascii="Verdana" w:hAnsi="Verdana"/>
          <w:sz w:val="20"/>
        </w:rPr>
        <w:fldChar w:fldCharType="end"/>
      </w:r>
      <w:r w:rsidR="00A36755">
        <w:rPr>
          <w:rFonts w:ascii="Verdana" w:hAnsi="Verdana"/>
          <w:sz w:val="20"/>
        </w:rPr>
        <w:t>)</w:t>
      </w:r>
      <w:r w:rsidR="008E69E1">
        <w:rPr>
          <w:rFonts w:ascii="Verdana" w:hAnsi="Verdana"/>
          <w:sz w:val="20"/>
        </w:rPr>
        <w:t xml:space="preserve">. Por esa razón, este Tribunal no va a realizar consideraciones adicionales sobre el manejo o ejecución del dinero del fondo. Sin embargo, la Corte recuerda </w:t>
      </w:r>
      <w:r w:rsidR="00AF6005">
        <w:rPr>
          <w:rFonts w:ascii="Verdana" w:hAnsi="Verdana"/>
          <w:sz w:val="20"/>
        </w:rPr>
        <w:t xml:space="preserve">que, de conformidad con lo dispuesto en los párrafos 200 y 201 de la Sentencia, el monto asignado para el fondo de desarrollo comunitario tiene como objetivo “financiar proyectos educativos, de vivienda, agrícolas y sanitarios, así como proporcionar electricidad y agua potable, de ser necesario, a favor del pueblo </w:t>
      </w:r>
      <w:proofErr w:type="spellStart"/>
      <w:r w:rsidR="00AF6005">
        <w:rPr>
          <w:rFonts w:ascii="Verdana" w:hAnsi="Verdana"/>
          <w:sz w:val="20"/>
        </w:rPr>
        <w:t>Saramaka</w:t>
      </w:r>
      <w:proofErr w:type="spellEnd"/>
      <w:r w:rsidR="00AF6005">
        <w:rPr>
          <w:rFonts w:ascii="Verdana" w:hAnsi="Verdana"/>
          <w:sz w:val="20"/>
        </w:rPr>
        <w:t>”</w:t>
      </w:r>
      <w:r w:rsidR="00F7258D">
        <w:rPr>
          <w:rFonts w:ascii="Verdana" w:hAnsi="Verdana"/>
          <w:sz w:val="20"/>
        </w:rPr>
        <w:t xml:space="preserve"> (</w:t>
      </w:r>
      <w:r w:rsidR="00F7258D">
        <w:rPr>
          <w:rFonts w:ascii="Verdana" w:hAnsi="Verdana"/>
          <w:i/>
          <w:sz w:val="20"/>
        </w:rPr>
        <w:t>supra</w:t>
      </w:r>
      <w:r w:rsidR="00F7258D">
        <w:rPr>
          <w:rFonts w:ascii="Verdana" w:hAnsi="Verdana"/>
          <w:sz w:val="20"/>
        </w:rPr>
        <w:t xml:space="preserve"> Considerando </w:t>
      </w:r>
      <w:r w:rsidR="00F7258D">
        <w:rPr>
          <w:rFonts w:ascii="Verdana" w:hAnsi="Verdana"/>
          <w:sz w:val="20"/>
        </w:rPr>
        <w:fldChar w:fldCharType="begin"/>
      </w:r>
      <w:r w:rsidR="00F7258D">
        <w:rPr>
          <w:rFonts w:ascii="Verdana" w:hAnsi="Verdana"/>
          <w:sz w:val="20"/>
        </w:rPr>
        <w:instrText xml:space="preserve"> REF _Ref526523079 \r \h </w:instrText>
      </w:r>
      <w:r w:rsidR="00F7258D">
        <w:rPr>
          <w:rFonts w:ascii="Verdana" w:hAnsi="Verdana"/>
          <w:sz w:val="20"/>
        </w:rPr>
      </w:r>
      <w:r w:rsidR="00F7258D">
        <w:rPr>
          <w:rFonts w:ascii="Verdana" w:hAnsi="Verdana"/>
          <w:sz w:val="20"/>
        </w:rPr>
        <w:fldChar w:fldCharType="separate"/>
      </w:r>
      <w:r w:rsidR="009356EF">
        <w:rPr>
          <w:rFonts w:ascii="Verdana" w:hAnsi="Verdana"/>
          <w:sz w:val="20"/>
        </w:rPr>
        <w:t>6</w:t>
      </w:r>
      <w:r w:rsidR="00F7258D">
        <w:rPr>
          <w:rFonts w:ascii="Verdana" w:hAnsi="Verdana"/>
          <w:sz w:val="20"/>
        </w:rPr>
        <w:fldChar w:fldCharType="end"/>
      </w:r>
      <w:r w:rsidR="00F7258D">
        <w:rPr>
          <w:rFonts w:ascii="Verdana" w:hAnsi="Verdana"/>
          <w:sz w:val="20"/>
        </w:rPr>
        <w:t>)</w:t>
      </w:r>
      <w:r w:rsidR="00AF6005">
        <w:rPr>
          <w:rFonts w:ascii="Verdana" w:hAnsi="Verdana"/>
          <w:sz w:val="20"/>
        </w:rPr>
        <w:t xml:space="preserve">. </w:t>
      </w:r>
    </w:p>
    <w:p w14:paraId="20763A68" w14:textId="77777777" w:rsidR="00BF6499" w:rsidRDefault="00BF6499" w:rsidP="00BF6499">
      <w:pPr>
        <w:pStyle w:val="ListParagraph"/>
        <w:ind w:left="0"/>
        <w:jc w:val="both"/>
        <w:rPr>
          <w:rFonts w:ascii="Verdana" w:hAnsi="Verdana"/>
          <w:sz w:val="20"/>
        </w:rPr>
      </w:pPr>
    </w:p>
    <w:p w14:paraId="72AB5B2E" w14:textId="54A86BF2" w:rsidR="004E1B86" w:rsidRPr="00846F1D" w:rsidRDefault="004E1B86" w:rsidP="00846F1D">
      <w:pPr>
        <w:pStyle w:val="ListParagraph"/>
        <w:numPr>
          <w:ilvl w:val="0"/>
          <w:numId w:val="2"/>
        </w:numPr>
        <w:ind w:left="0" w:firstLine="0"/>
        <w:jc w:val="both"/>
        <w:rPr>
          <w:rFonts w:ascii="Verdana" w:hAnsi="Verdana"/>
          <w:sz w:val="20"/>
        </w:rPr>
      </w:pPr>
      <w:bookmarkStart w:id="14" w:name="_Ref526530161"/>
      <w:r w:rsidRPr="00846F1D">
        <w:rPr>
          <w:rFonts w:ascii="Verdana" w:hAnsi="Verdana"/>
          <w:sz w:val="20"/>
        </w:rPr>
        <w:t xml:space="preserve">En virtud de lo anterior, esta Corte considera que el Estado ha dado cumplimiento total a la medida de reparación relativa al pago de </w:t>
      </w:r>
      <w:r w:rsidR="00F7258D">
        <w:rPr>
          <w:rFonts w:ascii="Verdana" w:hAnsi="Verdana"/>
          <w:sz w:val="20"/>
        </w:rPr>
        <w:t xml:space="preserve">las </w:t>
      </w:r>
      <w:r w:rsidRPr="00846F1D">
        <w:rPr>
          <w:rFonts w:ascii="Verdana" w:hAnsi="Verdana"/>
          <w:sz w:val="20"/>
        </w:rPr>
        <w:t>indemnizaci</w:t>
      </w:r>
      <w:r w:rsidR="00F7258D">
        <w:rPr>
          <w:rFonts w:ascii="Verdana" w:hAnsi="Verdana"/>
          <w:sz w:val="20"/>
        </w:rPr>
        <w:t>o</w:t>
      </w:r>
      <w:r w:rsidRPr="00846F1D">
        <w:rPr>
          <w:rFonts w:ascii="Verdana" w:hAnsi="Verdana"/>
          <w:sz w:val="20"/>
        </w:rPr>
        <w:t>n</w:t>
      </w:r>
      <w:r w:rsidR="00F7258D">
        <w:rPr>
          <w:rFonts w:ascii="Verdana" w:hAnsi="Verdana"/>
          <w:sz w:val="20"/>
        </w:rPr>
        <w:t>es</w:t>
      </w:r>
      <w:r w:rsidRPr="00846F1D">
        <w:rPr>
          <w:rFonts w:ascii="Verdana" w:hAnsi="Verdana"/>
          <w:sz w:val="20"/>
        </w:rPr>
        <w:t xml:space="preserve"> por concepto de daño</w:t>
      </w:r>
      <w:r w:rsidR="00F7258D">
        <w:rPr>
          <w:rFonts w:ascii="Verdana" w:hAnsi="Verdana"/>
          <w:sz w:val="20"/>
        </w:rPr>
        <w:t>s</w:t>
      </w:r>
      <w:r w:rsidRPr="00846F1D">
        <w:rPr>
          <w:rFonts w:ascii="Verdana" w:hAnsi="Verdana"/>
          <w:sz w:val="20"/>
        </w:rPr>
        <w:t xml:space="preserve"> material</w:t>
      </w:r>
      <w:r w:rsidR="00F7258D">
        <w:rPr>
          <w:rFonts w:ascii="Verdana" w:hAnsi="Verdana"/>
          <w:sz w:val="20"/>
        </w:rPr>
        <w:t>es</w:t>
      </w:r>
      <w:r w:rsidRPr="00846F1D">
        <w:rPr>
          <w:rFonts w:ascii="Verdana" w:hAnsi="Verdana"/>
          <w:sz w:val="20"/>
        </w:rPr>
        <w:t xml:space="preserve"> e inmaterial</w:t>
      </w:r>
      <w:r w:rsidR="00F7258D">
        <w:rPr>
          <w:rFonts w:ascii="Verdana" w:hAnsi="Verdana"/>
          <w:sz w:val="20"/>
        </w:rPr>
        <w:t>es</w:t>
      </w:r>
      <w:r w:rsidRPr="00846F1D">
        <w:rPr>
          <w:rFonts w:ascii="Verdana" w:hAnsi="Verdana"/>
          <w:sz w:val="20"/>
        </w:rPr>
        <w:t>.</w:t>
      </w:r>
      <w:bookmarkEnd w:id="14"/>
      <w:r w:rsidR="008E69E1" w:rsidRPr="00846F1D">
        <w:rPr>
          <w:rFonts w:ascii="Verdana" w:hAnsi="Verdana"/>
          <w:sz w:val="20"/>
        </w:rPr>
        <w:t xml:space="preserve"> </w:t>
      </w:r>
    </w:p>
    <w:p w14:paraId="32D5E4C7" w14:textId="77777777" w:rsidR="00BC4FF3" w:rsidRPr="0040761F" w:rsidRDefault="00BC4FF3" w:rsidP="009A33F4">
      <w:pPr>
        <w:pStyle w:val="Heading1"/>
        <w:numPr>
          <w:ilvl w:val="0"/>
          <w:numId w:val="10"/>
        </w:numPr>
        <w:jc w:val="both"/>
        <w:rPr>
          <w:rFonts w:ascii="Verdana" w:hAnsi="Verdana"/>
          <w:color w:val="auto"/>
          <w:sz w:val="20"/>
          <w:szCs w:val="20"/>
        </w:rPr>
      </w:pPr>
      <w:bookmarkStart w:id="15" w:name="_Toc524447983"/>
      <w:r w:rsidRPr="0040761F">
        <w:rPr>
          <w:rFonts w:ascii="Verdana" w:hAnsi="Verdana"/>
          <w:color w:val="auto"/>
          <w:sz w:val="20"/>
          <w:szCs w:val="20"/>
        </w:rPr>
        <w:t xml:space="preserve">Delimitar, demarcar y otorgar título colectivo del territorio de los miembros del Pueblo </w:t>
      </w:r>
      <w:proofErr w:type="spellStart"/>
      <w:r w:rsidRPr="0040761F">
        <w:rPr>
          <w:rFonts w:ascii="Verdana" w:hAnsi="Verdana"/>
          <w:color w:val="auto"/>
          <w:sz w:val="20"/>
          <w:szCs w:val="20"/>
        </w:rPr>
        <w:t>Saramaka</w:t>
      </w:r>
      <w:bookmarkEnd w:id="15"/>
      <w:proofErr w:type="spellEnd"/>
      <w:r w:rsidRPr="0040761F">
        <w:rPr>
          <w:rFonts w:ascii="Verdana" w:hAnsi="Verdana"/>
          <w:color w:val="auto"/>
          <w:sz w:val="20"/>
          <w:szCs w:val="20"/>
        </w:rPr>
        <w:t xml:space="preserve"> </w:t>
      </w:r>
    </w:p>
    <w:p w14:paraId="52B683E1" w14:textId="77777777" w:rsidR="00BC4FF3" w:rsidRPr="00BC4FF3" w:rsidRDefault="00BC4FF3" w:rsidP="00BC4FF3">
      <w:pPr>
        <w:jc w:val="both"/>
        <w:rPr>
          <w:rFonts w:ascii="Verdana" w:hAnsi="Verdana"/>
          <w:b/>
          <w:sz w:val="20"/>
        </w:rPr>
      </w:pPr>
    </w:p>
    <w:p w14:paraId="3EEE238F" w14:textId="30638577" w:rsidR="00BC4FF3" w:rsidRPr="00BC4FF3" w:rsidRDefault="001D07E8" w:rsidP="00F303E4">
      <w:pPr>
        <w:ind w:left="360"/>
        <w:jc w:val="both"/>
        <w:rPr>
          <w:rFonts w:ascii="Verdana" w:hAnsi="Verdana"/>
          <w:i/>
          <w:sz w:val="20"/>
        </w:rPr>
      </w:pPr>
      <w:r>
        <w:rPr>
          <w:rFonts w:ascii="Verdana" w:hAnsi="Verdana"/>
          <w:i/>
          <w:sz w:val="20"/>
        </w:rPr>
        <w:t>B</w:t>
      </w:r>
      <w:r w:rsidR="00BC4FF3" w:rsidRPr="00BC4FF3">
        <w:rPr>
          <w:rFonts w:ascii="Verdana" w:hAnsi="Verdana"/>
          <w:i/>
          <w:sz w:val="20"/>
        </w:rPr>
        <w:t>.1. Medida ordenada por la Corte</w:t>
      </w:r>
      <w:r w:rsidR="00F94C71">
        <w:rPr>
          <w:rFonts w:ascii="Verdana" w:hAnsi="Verdana"/>
          <w:i/>
          <w:sz w:val="20"/>
        </w:rPr>
        <w:t xml:space="preserve"> y supervisión realizada en Resoluci</w:t>
      </w:r>
      <w:r w:rsidR="00201BB4">
        <w:rPr>
          <w:rFonts w:ascii="Verdana" w:hAnsi="Verdana"/>
          <w:i/>
          <w:sz w:val="20"/>
        </w:rPr>
        <w:t>ones</w:t>
      </w:r>
      <w:r w:rsidR="00F94C71">
        <w:rPr>
          <w:rFonts w:ascii="Verdana" w:hAnsi="Verdana"/>
          <w:i/>
          <w:sz w:val="20"/>
        </w:rPr>
        <w:t xml:space="preserve"> anterior</w:t>
      </w:r>
      <w:r w:rsidR="00201BB4">
        <w:rPr>
          <w:rFonts w:ascii="Verdana" w:hAnsi="Verdana"/>
          <w:i/>
          <w:sz w:val="20"/>
        </w:rPr>
        <w:t>es</w:t>
      </w:r>
    </w:p>
    <w:p w14:paraId="50D6F01A" w14:textId="77777777" w:rsidR="00BC4FF3" w:rsidRPr="00BC4FF3" w:rsidRDefault="00BC4FF3" w:rsidP="00BC4FF3">
      <w:pPr>
        <w:jc w:val="both"/>
        <w:rPr>
          <w:rFonts w:ascii="Verdana" w:hAnsi="Verdana"/>
          <w:sz w:val="20"/>
        </w:rPr>
      </w:pPr>
    </w:p>
    <w:p w14:paraId="1706C119" w14:textId="10053ACC" w:rsidR="00FE28F0" w:rsidRDefault="00BC4FF3" w:rsidP="00BC4FF3">
      <w:pPr>
        <w:pStyle w:val="ListParagraph"/>
        <w:numPr>
          <w:ilvl w:val="0"/>
          <w:numId w:val="2"/>
        </w:numPr>
        <w:ind w:left="0" w:firstLine="0"/>
        <w:jc w:val="both"/>
        <w:rPr>
          <w:rFonts w:ascii="Verdana" w:hAnsi="Verdana"/>
          <w:sz w:val="20"/>
        </w:rPr>
      </w:pPr>
      <w:bookmarkStart w:id="16" w:name="_Ref526765096"/>
      <w:r w:rsidRPr="00BC4FF3">
        <w:rPr>
          <w:rFonts w:ascii="Verdana" w:hAnsi="Verdana"/>
          <w:sz w:val="20"/>
        </w:rPr>
        <w:t>En el punto resolutivo quinto de la Sentencia, la Corte ordenó al Estado</w:t>
      </w:r>
      <w:r w:rsidR="004F14EA">
        <w:rPr>
          <w:rFonts w:ascii="Verdana" w:hAnsi="Verdana"/>
          <w:sz w:val="20"/>
        </w:rPr>
        <w:t>,</w:t>
      </w:r>
      <w:bookmarkEnd w:id="16"/>
      <w:r w:rsidRPr="00BC4FF3">
        <w:rPr>
          <w:rFonts w:ascii="Verdana" w:hAnsi="Verdana"/>
          <w:sz w:val="20"/>
        </w:rPr>
        <w:t xml:space="preserve"> </w:t>
      </w:r>
    </w:p>
    <w:p w14:paraId="03638CD1" w14:textId="64395592" w:rsidR="00FE28F0" w:rsidRDefault="00B10FEF" w:rsidP="00B10FEF">
      <w:pPr>
        <w:pStyle w:val="ListParagraph"/>
        <w:tabs>
          <w:tab w:val="left" w:pos="3400"/>
        </w:tabs>
        <w:ind w:left="709" w:right="616"/>
        <w:jc w:val="both"/>
        <w:rPr>
          <w:rFonts w:ascii="Verdana" w:hAnsi="Verdana"/>
          <w:sz w:val="16"/>
          <w:szCs w:val="16"/>
        </w:rPr>
      </w:pPr>
      <w:r>
        <w:rPr>
          <w:rFonts w:ascii="Verdana" w:hAnsi="Verdana"/>
          <w:sz w:val="16"/>
          <w:szCs w:val="16"/>
        </w:rPr>
        <w:tab/>
      </w:r>
    </w:p>
    <w:p w14:paraId="50631011" w14:textId="741A9064" w:rsidR="001F1849" w:rsidRDefault="00BC4FF3" w:rsidP="00435758">
      <w:pPr>
        <w:pStyle w:val="ListParagraph"/>
        <w:ind w:left="709" w:right="616"/>
        <w:jc w:val="both"/>
        <w:rPr>
          <w:rFonts w:ascii="Verdana" w:hAnsi="Verdana"/>
          <w:sz w:val="20"/>
        </w:rPr>
      </w:pPr>
      <w:proofErr w:type="gramStart"/>
      <w:r w:rsidRPr="00B10FEF">
        <w:rPr>
          <w:rFonts w:ascii="Verdana" w:hAnsi="Verdana"/>
          <w:sz w:val="16"/>
          <w:szCs w:val="16"/>
        </w:rPr>
        <w:t>delimitar</w:t>
      </w:r>
      <w:proofErr w:type="gramEnd"/>
      <w:r w:rsidRPr="00B10FEF">
        <w:rPr>
          <w:rFonts w:ascii="Verdana" w:hAnsi="Verdana"/>
          <w:sz w:val="16"/>
          <w:szCs w:val="16"/>
        </w:rPr>
        <w:t xml:space="preserve">, demarcar y otorgar título colectivo del territorio de los miembros del pueblo </w:t>
      </w:r>
      <w:proofErr w:type="spellStart"/>
      <w:r w:rsidRPr="00B10FEF">
        <w:rPr>
          <w:rFonts w:ascii="Verdana" w:hAnsi="Verdana"/>
          <w:sz w:val="16"/>
          <w:szCs w:val="16"/>
        </w:rPr>
        <w:t>Saramaka</w:t>
      </w:r>
      <w:proofErr w:type="spellEnd"/>
      <w:r w:rsidRPr="00B10FEF">
        <w:rPr>
          <w:rFonts w:ascii="Verdana" w:hAnsi="Verdana"/>
          <w:sz w:val="16"/>
          <w:szCs w:val="16"/>
        </w:rPr>
        <w:t xml:space="preserve">, de conformidad con su derecho consuetudinario, y a través de consultas previas, efectivas y plenamente informadas con el pueblo </w:t>
      </w:r>
      <w:proofErr w:type="spellStart"/>
      <w:r w:rsidRPr="00B10FEF">
        <w:rPr>
          <w:rFonts w:ascii="Verdana" w:hAnsi="Verdana"/>
          <w:sz w:val="16"/>
          <w:szCs w:val="16"/>
        </w:rPr>
        <w:t>Saramaka</w:t>
      </w:r>
      <w:proofErr w:type="spellEnd"/>
      <w:r w:rsidRPr="00B10FEF">
        <w:rPr>
          <w:rFonts w:ascii="Verdana" w:hAnsi="Verdana"/>
          <w:sz w:val="16"/>
          <w:szCs w:val="16"/>
        </w:rPr>
        <w:t xml:space="preserve">, sin perjuicio de otras comunidades indígenas y tribales. Hasta tanto no se lleve a cabo dicha delimitación, demarcación u otorgamiento de título colectivo respecto del territorio </w:t>
      </w:r>
      <w:proofErr w:type="spellStart"/>
      <w:r w:rsidRPr="00B10FEF">
        <w:rPr>
          <w:rFonts w:ascii="Verdana" w:hAnsi="Verdana"/>
          <w:sz w:val="16"/>
          <w:szCs w:val="16"/>
        </w:rPr>
        <w:t>Saramaka</w:t>
      </w:r>
      <w:proofErr w:type="spellEnd"/>
      <w:r w:rsidRPr="00B10FEF">
        <w:rPr>
          <w:rFonts w:ascii="Verdana" w:hAnsi="Verdana"/>
          <w:sz w:val="16"/>
          <w:szCs w:val="16"/>
        </w:rPr>
        <w:t xml:space="preserve">, Surinam debe abstenerse de realizar actos que podrían dar lugar a que agentes del propio Estado o terceros, actuando con consentimiento o tolerancia del Estado, puedan afectar la existencia, valor, uso o goce del territorio al cual tienen derecho los integrantes del pueblo </w:t>
      </w:r>
      <w:proofErr w:type="spellStart"/>
      <w:r w:rsidRPr="00B10FEF">
        <w:rPr>
          <w:rFonts w:ascii="Verdana" w:hAnsi="Verdana"/>
          <w:sz w:val="16"/>
          <w:szCs w:val="16"/>
        </w:rPr>
        <w:t>Saramaka</w:t>
      </w:r>
      <w:proofErr w:type="spellEnd"/>
      <w:r w:rsidRPr="00B10FEF">
        <w:rPr>
          <w:rFonts w:ascii="Verdana" w:hAnsi="Verdana"/>
          <w:sz w:val="16"/>
          <w:szCs w:val="16"/>
        </w:rPr>
        <w:t xml:space="preserve">, a menos que el Estado obtenga el consentimiento previo, libre e informado de dicho pueblo. Respecto de las concesiones ya otorgadas dentro del territorio tradicional </w:t>
      </w:r>
      <w:proofErr w:type="spellStart"/>
      <w:r w:rsidRPr="00B10FEF">
        <w:rPr>
          <w:rFonts w:ascii="Verdana" w:hAnsi="Verdana"/>
          <w:sz w:val="16"/>
          <w:szCs w:val="16"/>
        </w:rPr>
        <w:t>Saramaka</w:t>
      </w:r>
      <w:proofErr w:type="spellEnd"/>
      <w:r w:rsidRPr="00B10FEF">
        <w:rPr>
          <w:rFonts w:ascii="Verdana" w:hAnsi="Verdana"/>
          <w:sz w:val="16"/>
          <w:szCs w:val="16"/>
        </w:rPr>
        <w:t>, el Estado debe revisarlas, a la luz de la […] Sentencia y la jurisprudencia de este Tribunal, con el fin de evaluar si es necesaria una modificación a los derechos de los concesionarios para preservar la su</w:t>
      </w:r>
      <w:r w:rsidR="00FE28F0">
        <w:rPr>
          <w:rFonts w:ascii="Verdana" w:hAnsi="Verdana"/>
          <w:sz w:val="16"/>
          <w:szCs w:val="16"/>
        </w:rPr>
        <w:t xml:space="preserve">pervivencia del pueblo </w:t>
      </w:r>
      <w:proofErr w:type="spellStart"/>
      <w:r w:rsidR="00FE28F0">
        <w:rPr>
          <w:rFonts w:ascii="Verdana" w:hAnsi="Verdana"/>
          <w:sz w:val="16"/>
          <w:szCs w:val="16"/>
        </w:rPr>
        <w:t>Saramaka</w:t>
      </w:r>
      <w:proofErr w:type="spellEnd"/>
      <w:r w:rsidR="00FE28F0">
        <w:rPr>
          <w:rFonts w:ascii="Verdana" w:hAnsi="Verdana"/>
          <w:sz w:val="16"/>
          <w:szCs w:val="16"/>
        </w:rPr>
        <w:t>, en los términos de los párrafos 101, 115, 129-137, 143, 147, 155, 157, 158 y 194(a) de esta Sentencia</w:t>
      </w:r>
      <w:r w:rsidRPr="00B10FEF">
        <w:rPr>
          <w:rFonts w:ascii="Verdana" w:hAnsi="Verdana"/>
          <w:sz w:val="16"/>
          <w:szCs w:val="16"/>
        </w:rPr>
        <w:t>.</w:t>
      </w:r>
      <w:r w:rsidRPr="00BC4FF3">
        <w:rPr>
          <w:rFonts w:ascii="Verdana" w:hAnsi="Verdana"/>
          <w:sz w:val="20"/>
        </w:rPr>
        <w:t xml:space="preserve"> </w:t>
      </w:r>
      <w:r w:rsidR="009A33F4">
        <w:rPr>
          <w:rFonts w:ascii="Verdana" w:hAnsi="Verdana"/>
          <w:sz w:val="20"/>
        </w:rPr>
        <w:t xml:space="preserve"> </w:t>
      </w:r>
    </w:p>
    <w:p w14:paraId="3A479750" w14:textId="0748D602" w:rsidR="008E69E1" w:rsidRPr="00846F1D" w:rsidRDefault="00A36755" w:rsidP="00B10FEF">
      <w:pPr>
        <w:pStyle w:val="ListParagraph"/>
        <w:ind w:left="0"/>
        <w:jc w:val="both"/>
        <w:rPr>
          <w:rFonts w:ascii="Verdana" w:hAnsi="Verdana"/>
          <w:b/>
          <w:color w:val="00B050"/>
          <w:sz w:val="18"/>
        </w:rPr>
      </w:pPr>
      <w:r>
        <w:rPr>
          <w:rFonts w:ascii="Verdana" w:hAnsi="Verdana"/>
          <w:color w:val="00B050"/>
          <w:sz w:val="16"/>
          <w:szCs w:val="16"/>
        </w:rPr>
        <w:tab/>
      </w:r>
    </w:p>
    <w:p w14:paraId="60C5F667" w14:textId="1449390F" w:rsidR="00BC4FF3" w:rsidRDefault="000D0E36" w:rsidP="00BC4FF3">
      <w:pPr>
        <w:pStyle w:val="ListParagraph"/>
        <w:numPr>
          <w:ilvl w:val="0"/>
          <w:numId w:val="2"/>
        </w:numPr>
        <w:ind w:left="0" w:firstLine="0"/>
        <w:jc w:val="both"/>
        <w:rPr>
          <w:rFonts w:ascii="Verdana" w:hAnsi="Verdana"/>
          <w:sz w:val="20"/>
        </w:rPr>
      </w:pPr>
      <w:bookmarkStart w:id="17" w:name="_Ref526765088"/>
      <w:r>
        <w:rPr>
          <w:rFonts w:ascii="Verdana" w:hAnsi="Verdana"/>
          <w:sz w:val="20"/>
        </w:rPr>
        <w:t xml:space="preserve">En el párrafo </w:t>
      </w:r>
      <w:r w:rsidR="00B10FEF">
        <w:rPr>
          <w:rFonts w:ascii="Verdana" w:hAnsi="Verdana"/>
          <w:sz w:val="20"/>
        </w:rPr>
        <w:t>194.a</w:t>
      </w:r>
      <w:r>
        <w:rPr>
          <w:rFonts w:ascii="Verdana" w:hAnsi="Verdana"/>
          <w:sz w:val="20"/>
        </w:rPr>
        <w:t xml:space="preserve"> de la Sentencia, l</w:t>
      </w:r>
      <w:r w:rsidR="009A33F4">
        <w:rPr>
          <w:rFonts w:ascii="Verdana" w:hAnsi="Verdana"/>
          <w:sz w:val="20"/>
        </w:rPr>
        <w:t>a Corte indic</w:t>
      </w:r>
      <w:r>
        <w:rPr>
          <w:rFonts w:ascii="Verdana" w:hAnsi="Verdana"/>
          <w:sz w:val="20"/>
        </w:rPr>
        <w:t>ó</w:t>
      </w:r>
      <w:r w:rsidR="009A33F4">
        <w:rPr>
          <w:rFonts w:ascii="Verdana" w:hAnsi="Verdana"/>
          <w:sz w:val="20"/>
        </w:rPr>
        <w:t xml:space="preserve"> que “[e]</w:t>
      </w:r>
      <w:r w:rsidR="009A33F4" w:rsidRPr="001B3698">
        <w:rPr>
          <w:rFonts w:ascii="Verdana" w:hAnsi="Verdana"/>
          <w:sz w:val="20"/>
        </w:rPr>
        <w:t xml:space="preserve">l Estado deberá comenzar el proceso de delimitación, demarcación y titulación del territorio tradicional </w:t>
      </w:r>
      <w:proofErr w:type="spellStart"/>
      <w:r w:rsidR="009A33F4" w:rsidRPr="001B3698">
        <w:rPr>
          <w:rFonts w:ascii="Verdana" w:hAnsi="Verdana"/>
          <w:sz w:val="20"/>
        </w:rPr>
        <w:t>Saramaka</w:t>
      </w:r>
      <w:proofErr w:type="spellEnd"/>
      <w:r w:rsidR="009A33F4" w:rsidRPr="001B3698">
        <w:rPr>
          <w:rFonts w:ascii="Verdana" w:hAnsi="Verdana"/>
          <w:sz w:val="20"/>
        </w:rPr>
        <w:t xml:space="preserve"> dentro del período de tres meses, contado a partir de la notificación de la presente Sentencia, y deberá completar dicho proceso dentro de los</w:t>
      </w:r>
      <w:r w:rsidR="009A33F4">
        <w:rPr>
          <w:rFonts w:ascii="Verdana" w:hAnsi="Verdana"/>
          <w:sz w:val="20"/>
        </w:rPr>
        <w:t xml:space="preserve"> tres años luego de dicha fecha”.</w:t>
      </w:r>
      <w:bookmarkEnd w:id="17"/>
    </w:p>
    <w:p w14:paraId="258AA8E8" w14:textId="77777777" w:rsidR="003A3D45" w:rsidRDefault="003A3D45" w:rsidP="003A3D45">
      <w:pPr>
        <w:pStyle w:val="ListParagraph"/>
        <w:ind w:left="0"/>
        <w:jc w:val="both"/>
        <w:rPr>
          <w:rFonts w:ascii="Verdana" w:hAnsi="Verdana"/>
          <w:sz w:val="20"/>
        </w:rPr>
      </w:pPr>
    </w:p>
    <w:p w14:paraId="537E9DCD" w14:textId="034A0FD9" w:rsidR="003A3D45" w:rsidRDefault="003A3D45" w:rsidP="00BC4FF3">
      <w:pPr>
        <w:pStyle w:val="ListParagraph"/>
        <w:numPr>
          <w:ilvl w:val="0"/>
          <w:numId w:val="2"/>
        </w:numPr>
        <w:ind w:left="0" w:firstLine="0"/>
        <w:jc w:val="both"/>
        <w:rPr>
          <w:rFonts w:ascii="Verdana" w:hAnsi="Verdana"/>
          <w:sz w:val="20"/>
        </w:rPr>
      </w:pPr>
      <w:r>
        <w:rPr>
          <w:rFonts w:ascii="Verdana" w:hAnsi="Verdana"/>
          <w:sz w:val="20"/>
        </w:rPr>
        <w:t xml:space="preserve">En los párrafos </w:t>
      </w:r>
      <w:r w:rsidR="00977AD2">
        <w:rPr>
          <w:rFonts w:ascii="Verdana" w:hAnsi="Verdana"/>
          <w:sz w:val="20"/>
        </w:rPr>
        <w:t xml:space="preserve">129, 133, 143 y 155 </w:t>
      </w:r>
      <w:r>
        <w:rPr>
          <w:rFonts w:ascii="Verdana" w:hAnsi="Verdana"/>
          <w:sz w:val="20"/>
        </w:rPr>
        <w:t xml:space="preserve"> de la Sentencia, se determinó que:</w:t>
      </w:r>
    </w:p>
    <w:p w14:paraId="3ADF310B" w14:textId="77777777" w:rsidR="003A3D45" w:rsidRPr="003A3D45" w:rsidRDefault="003A3D45" w:rsidP="0064739F">
      <w:pPr>
        <w:ind w:right="616"/>
        <w:jc w:val="both"/>
        <w:rPr>
          <w:rFonts w:ascii="Verdana" w:hAnsi="Verdana"/>
          <w:sz w:val="16"/>
          <w:szCs w:val="16"/>
        </w:rPr>
      </w:pPr>
    </w:p>
    <w:p w14:paraId="02589E03" w14:textId="62AF972F" w:rsidR="003A3D45" w:rsidRPr="003A3D45" w:rsidRDefault="003A3D45" w:rsidP="0064739F">
      <w:pPr>
        <w:ind w:left="567" w:right="616"/>
        <w:jc w:val="both"/>
        <w:rPr>
          <w:rFonts w:ascii="Verdana" w:hAnsi="Verdana"/>
          <w:sz w:val="16"/>
          <w:szCs w:val="16"/>
        </w:rPr>
      </w:pPr>
      <w:r w:rsidRPr="003A3D45">
        <w:rPr>
          <w:rFonts w:ascii="Verdana" w:hAnsi="Verdana"/>
          <w:sz w:val="16"/>
          <w:szCs w:val="16"/>
        </w:rPr>
        <w:t>129.</w:t>
      </w:r>
      <w:r w:rsidRPr="003A3D45">
        <w:rPr>
          <w:rFonts w:ascii="Verdana" w:hAnsi="Verdana"/>
          <w:sz w:val="16"/>
          <w:szCs w:val="16"/>
        </w:rPr>
        <w:tab/>
        <w:t xml:space="preserve">En este caso en particular, las restricciones en cuestión corresponden a la emisión de las concesiones madereras y mineras para la exploración y extracción de ciertos recursos naturales que se encuentran dentro del territorio </w:t>
      </w:r>
      <w:proofErr w:type="spellStart"/>
      <w:r w:rsidRPr="003A3D45">
        <w:rPr>
          <w:rFonts w:ascii="Verdana" w:hAnsi="Verdana"/>
          <w:sz w:val="16"/>
          <w:szCs w:val="16"/>
        </w:rPr>
        <w:t>Saramaka</w:t>
      </w:r>
      <w:proofErr w:type="spellEnd"/>
      <w:r w:rsidRPr="003A3D45">
        <w:rPr>
          <w:rFonts w:ascii="Verdana" w:hAnsi="Verdana"/>
          <w:sz w:val="16"/>
          <w:szCs w:val="16"/>
        </w:rPr>
        <w:t xml:space="preserve">.  Por ello, de conformidad con el artículo 1.1 de la Convención, a fin de garantizar que las restricciones impuestas a los </w:t>
      </w:r>
      <w:proofErr w:type="spellStart"/>
      <w:r w:rsidRPr="003A3D45">
        <w:rPr>
          <w:rFonts w:ascii="Verdana" w:hAnsi="Verdana"/>
          <w:sz w:val="16"/>
          <w:szCs w:val="16"/>
        </w:rPr>
        <w:t>Saramakas</w:t>
      </w:r>
      <w:proofErr w:type="spellEnd"/>
      <w:r w:rsidRPr="003A3D45">
        <w:rPr>
          <w:rFonts w:ascii="Verdana" w:hAnsi="Verdana"/>
          <w:sz w:val="16"/>
          <w:szCs w:val="16"/>
        </w:rPr>
        <w:t xml:space="preserve"> respecto del derecho a la propiedad por la emisión de concesiones dentro de su territorio no impliquen una denegación de su subsistencia como pueblo tribal, el Estado debe cumplir con las siguientes tres garantías:  primero, el Estado debe asegurar la participación efectiva de los miembros del pueblo </w:t>
      </w:r>
      <w:proofErr w:type="spellStart"/>
      <w:r w:rsidRPr="003A3D45">
        <w:rPr>
          <w:rFonts w:ascii="Verdana" w:hAnsi="Verdana"/>
          <w:sz w:val="16"/>
          <w:szCs w:val="16"/>
        </w:rPr>
        <w:t>Saramaka</w:t>
      </w:r>
      <w:proofErr w:type="spellEnd"/>
      <w:r w:rsidRPr="003A3D45">
        <w:rPr>
          <w:rFonts w:ascii="Verdana" w:hAnsi="Verdana"/>
          <w:sz w:val="16"/>
          <w:szCs w:val="16"/>
        </w:rPr>
        <w:t xml:space="preserve">, de conformidad con sus costumbres y tradiciones, en relación con todo plan de desarrollo, inversión, exploración o extracción (en adelante “plan de desarrollo o inversión”)  que se lleve a cabo dentro del territorio </w:t>
      </w:r>
      <w:proofErr w:type="spellStart"/>
      <w:r w:rsidRPr="003A3D45">
        <w:rPr>
          <w:rFonts w:ascii="Verdana" w:hAnsi="Verdana"/>
          <w:sz w:val="16"/>
          <w:szCs w:val="16"/>
        </w:rPr>
        <w:t>Saramaka</w:t>
      </w:r>
      <w:proofErr w:type="spellEnd"/>
      <w:r w:rsidRPr="003A3D45">
        <w:rPr>
          <w:rFonts w:ascii="Verdana" w:hAnsi="Verdana"/>
          <w:sz w:val="16"/>
          <w:szCs w:val="16"/>
        </w:rPr>
        <w:t xml:space="preserve">.  Segundo, el Estado debe garantizar que los miembros del pueblo </w:t>
      </w:r>
      <w:proofErr w:type="spellStart"/>
      <w:r w:rsidRPr="003A3D45">
        <w:rPr>
          <w:rFonts w:ascii="Verdana" w:hAnsi="Verdana"/>
          <w:sz w:val="16"/>
          <w:szCs w:val="16"/>
        </w:rPr>
        <w:t>Saramaka</w:t>
      </w:r>
      <w:proofErr w:type="spellEnd"/>
      <w:r w:rsidRPr="003A3D45">
        <w:rPr>
          <w:rFonts w:ascii="Verdana" w:hAnsi="Verdana"/>
          <w:sz w:val="16"/>
          <w:szCs w:val="16"/>
        </w:rPr>
        <w:t xml:space="preserve"> se beneficien razonablemente del plan que se lleve a cabo dentro de su territorio. Tercero, el Estado debe </w:t>
      </w:r>
      <w:r w:rsidRPr="003A3D45">
        <w:rPr>
          <w:rFonts w:ascii="Verdana" w:hAnsi="Verdana"/>
          <w:sz w:val="16"/>
          <w:szCs w:val="16"/>
        </w:rPr>
        <w:lastRenderedPageBreak/>
        <w:t xml:space="preserve">garantizar que no se emitirá ninguna concesión dentro del territorio </w:t>
      </w:r>
      <w:proofErr w:type="spellStart"/>
      <w:r w:rsidRPr="003A3D45">
        <w:rPr>
          <w:rFonts w:ascii="Verdana" w:hAnsi="Verdana"/>
          <w:sz w:val="16"/>
          <w:szCs w:val="16"/>
        </w:rPr>
        <w:t>Saramaka</w:t>
      </w:r>
      <w:proofErr w:type="spellEnd"/>
      <w:r w:rsidRPr="003A3D45">
        <w:rPr>
          <w:rFonts w:ascii="Verdana" w:hAnsi="Verdana"/>
          <w:sz w:val="16"/>
          <w:szCs w:val="16"/>
        </w:rPr>
        <w:t xml:space="preserve"> a menos y hasta que entidades independientes y técnicamente capaces, bajo la supervisión del Estado, realicen un estudio previo de impacto social y ambiental.  Mediante estas salvaguardas se intenta preservar, proteger y garantizar la relación especial que los miembros del pueblo </w:t>
      </w:r>
      <w:proofErr w:type="spellStart"/>
      <w:r w:rsidRPr="003A3D45">
        <w:rPr>
          <w:rFonts w:ascii="Verdana" w:hAnsi="Verdana"/>
          <w:sz w:val="16"/>
          <w:szCs w:val="16"/>
        </w:rPr>
        <w:t>Saramaka</w:t>
      </w:r>
      <w:proofErr w:type="spellEnd"/>
      <w:r w:rsidRPr="003A3D45">
        <w:rPr>
          <w:rFonts w:ascii="Verdana" w:hAnsi="Verdana"/>
          <w:sz w:val="16"/>
          <w:szCs w:val="16"/>
        </w:rPr>
        <w:t xml:space="preserve"> tienen con su territorio, la cual a su vez, garantiza su subsistencia como pueblo tribal.</w:t>
      </w:r>
    </w:p>
    <w:p w14:paraId="074079F1" w14:textId="1558F53F" w:rsidR="003A3D45" w:rsidRPr="003A3D45" w:rsidRDefault="003A3D45" w:rsidP="0064739F">
      <w:pPr>
        <w:ind w:left="567" w:right="616"/>
        <w:jc w:val="both"/>
        <w:rPr>
          <w:rFonts w:ascii="Verdana" w:hAnsi="Verdana"/>
          <w:sz w:val="16"/>
          <w:szCs w:val="16"/>
        </w:rPr>
      </w:pPr>
      <w:r>
        <w:rPr>
          <w:rFonts w:ascii="Verdana" w:hAnsi="Verdana"/>
          <w:sz w:val="16"/>
          <w:szCs w:val="16"/>
        </w:rPr>
        <w:t>[…]</w:t>
      </w:r>
    </w:p>
    <w:p w14:paraId="144D902B" w14:textId="5D26CF64" w:rsidR="003A3D45" w:rsidRPr="003A3D45" w:rsidRDefault="003A3D45" w:rsidP="0064739F">
      <w:pPr>
        <w:ind w:left="567" w:right="616"/>
        <w:jc w:val="both"/>
        <w:rPr>
          <w:rFonts w:ascii="Verdana" w:hAnsi="Verdana"/>
          <w:sz w:val="16"/>
          <w:szCs w:val="16"/>
        </w:rPr>
      </w:pPr>
      <w:r w:rsidRPr="003A3D45">
        <w:rPr>
          <w:rFonts w:ascii="Verdana" w:hAnsi="Verdana"/>
          <w:sz w:val="16"/>
          <w:szCs w:val="16"/>
        </w:rPr>
        <w:t>133.</w:t>
      </w:r>
      <w:r w:rsidRPr="003A3D45">
        <w:rPr>
          <w:rFonts w:ascii="Verdana" w:hAnsi="Verdana"/>
          <w:sz w:val="16"/>
          <w:szCs w:val="16"/>
        </w:rPr>
        <w:tab/>
        <w:t xml:space="preserve">Primero, la Corte ha manifestado que al garantizar la participación efectiva de los integrantes del pueblo </w:t>
      </w:r>
      <w:proofErr w:type="spellStart"/>
      <w:r w:rsidRPr="003A3D45">
        <w:rPr>
          <w:rFonts w:ascii="Verdana" w:hAnsi="Verdana"/>
          <w:sz w:val="16"/>
          <w:szCs w:val="16"/>
        </w:rPr>
        <w:t>Saramaka</w:t>
      </w:r>
      <w:proofErr w:type="spellEnd"/>
      <w:r w:rsidRPr="003A3D45">
        <w:rPr>
          <w:rFonts w:ascii="Verdana" w:hAnsi="Verdana"/>
          <w:sz w:val="16"/>
          <w:szCs w:val="16"/>
        </w:rPr>
        <w:t xml:space="preserve"> en los planes de desarrollo o inversión dentro de su territorio, el Estado tiene el deber de consultar, activamente, con dicha comunidad, según sus costumbres y tradiciones (supra párr. 129).  Este deber requiere que el Estado acepte y brinde información, e implica una comunicación constante entre las partes.  Las consultas deben realizarse de buena fe, a través de procedimientos culturalmente adecuados y deben tener como fin llegar a un acuerdo.  Asimismo, se debe consultar con el pueblo </w:t>
      </w:r>
      <w:proofErr w:type="spellStart"/>
      <w:r w:rsidRPr="003A3D45">
        <w:rPr>
          <w:rFonts w:ascii="Verdana" w:hAnsi="Verdana"/>
          <w:sz w:val="16"/>
          <w:szCs w:val="16"/>
        </w:rPr>
        <w:t>Saramaka</w:t>
      </w:r>
      <w:proofErr w:type="spellEnd"/>
      <w:r w:rsidRPr="003A3D45">
        <w:rPr>
          <w:rFonts w:ascii="Verdana" w:hAnsi="Verdana"/>
          <w:sz w:val="16"/>
          <w:szCs w:val="16"/>
        </w:rPr>
        <w:t xml:space="preserve">, de conformidad con sus propias tradiciones, en las primeras etapas del plan de desarrollo o inversión y no únicamente cuando surja la necesidad de obtener la aprobación de la comunidad, si éste fuera el caso.  El aviso temprano proporciona un tiempo para la discusión interna dentro de las comunidades y para brindar una adecuada respuesta al Estado.  El Estado, asimismo, debe asegurarse que los miembros del pueblo </w:t>
      </w:r>
      <w:proofErr w:type="spellStart"/>
      <w:r w:rsidRPr="003A3D45">
        <w:rPr>
          <w:rFonts w:ascii="Verdana" w:hAnsi="Verdana"/>
          <w:sz w:val="16"/>
          <w:szCs w:val="16"/>
        </w:rPr>
        <w:t>Saramaka</w:t>
      </w:r>
      <w:proofErr w:type="spellEnd"/>
      <w:r w:rsidRPr="003A3D45">
        <w:rPr>
          <w:rFonts w:ascii="Verdana" w:hAnsi="Verdana"/>
          <w:sz w:val="16"/>
          <w:szCs w:val="16"/>
        </w:rPr>
        <w:t xml:space="preserve"> tengan conocimiento de los posibles riesgos, incluido los riesgos ambientales y de salubridad, a fin de que acepten el plan de desarrollo o inversión propuesto con conocimiento y de forma voluntaria.  Por último, la consulta debería tener en cuenta los métodos tradicionales del pueblo </w:t>
      </w:r>
      <w:proofErr w:type="spellStart"/>
      <w:r w:rsidRPr="003A3D45">
        <w:rPr>
          <w:rFonts w:ascii="Verdana" w:hAnsi="Verdana"/>
          <w:sz w:val="16"/>
          <w:szCs w:val="16"/>
        </w:rPr>
        <w:t>Saramaka</w:t>
      </w:r>
      <w:proofErr w:type="spellEnd"/>
      <w:r w:rsidRPr="003A3D45">
        <w:rPr>
          <w:rFonts w:ascii="Verdana" w:hAnsi="Verdana"/>
          <w:sz w:val="16"/>
          <w:szCs w:val="16"/>
        </w:rPr>
        <w:t xml:space="preserve"> para la toma de decisiones.</w:t>
      </w:r>
    </w:p>
    <w:p w14:paraId="6F459465" w14:textId="487AA2B6" w:rsidR="003A3D45" w:rsidRPr="003A3D45" w:rsidRDefault="003A3D45" w:rsidP="0064739F">
      <w:pPr>
        <w:ind w:left="567" w:right="616"/>
        <w:jc w:val="both"/>
        <w:rPr>
          <w:rFonts w:ascii="Verdana" w:hAnsi="Verdana"/>
          <w:sz w:val="16"/>
          <w:szCs w:val="16"/>
        </w:rPr>
      </w:pPr>
      <w:r w:rsidRPr="003A3D45">
        <w:rPr>
          <w:rFonts w:ascii="Verdana" w:hAnsi="Verdana"/>
          <w:sz w:val="16"/>
          <w:szCs w:val="16"/>
        </w:rPr>
        <w:t>[…]</w:t>
      </w:r>
    </w:p>
    <w:p w14:paraId="47140B10" w14:textId="494EE3AD" w:rsidR="003A3D45" w:rsidRPr="003A3D45" w:rsidRDefault="003A3D45" w:rsidP="0064739F">
      <w:pPr>
        <w:ind w:left="567" w:right="616"/>
        <w:jc w:val="both"/>
        <w:rPr>
          <w:rFonts w:ascii="Verdana" w:hAnsi="Verdana"/>
          <w:sz w:val="16"/>
          <w:szCs w:val="16"/>
        </w:rPr>
      </w:pPr>
      <w:r w:rsidRPr="003A3D45">
        <w:rPr>
          <w:rFonts w:ascii="Verdana" w:hAnsi="Verdana"/>
          <w:sz w:val="16"/>
          <w:szCs w:val="16"/>
        </w:rPr>
        <w:t>143.</w:t>
      </w:r>
      <w:r w:rsidRPr="003A3D45">
        <w:rPr>
          <w:rFonts w:ascii="Verdana" w:hAnsi="Verdana"/>
          <w:sz w:val="16"/>
          <w:szCs w:val="16"/>
        </w:rPr>
        <w:tab/>
        <w:t xml:space="preserve">Como se mencionó anteriormente, el artículo 21 de la Convención no prohíbe per se la emisión de concesiones para la exploración o explotación de los recursos naturales en territorios indígenas o tribales.  Sin embargo, si el Estado quisiera restringir, legítimamente, los derechos a la propiedad comunal de los miembros del pueblo </w:t>
      </w:r>
      <w:proofErr w:type="spellStart"/>
      <w:r w:rsidRPr="003A3D45">
        <w:rPr>
          <w:rFonts w:ascii="Verdana" w:hAnsi="Verdana"/>
          <w:sz w:val="16"/>
          <w:szCs w:val="16"/>
        </w:rPr>
        <w:t>Saramaka</w:t>
      </w:r>
      <w:proofErr w:type="spellEnd"/>
      <w:r w:rsidRPr="003A3D45">
        <w:rPr>
          <w:rFonts w:ascii="Verdana" w:hAnsi="Verdana"/>
          <w:sz w:val="16"/>
          <w:szCs w:val="16"/>
        </w:rPr>
        <w:t xml:space="preserve">, debe consultar con las comunidades afectadas respecto de los proyectos de desarrollo que se lleven a cabo en los territorios ocupados tradicionalmente, compartir los beneficios razonables con ellas, y realizar evaluaciones previas de impacto ambiental y social (supra </w:t>
      </w:r>
      <w:proofErr w:type="spellStart"/>
      <w:r w:rsidRPr="003A3D45">
        <w:rPr>
          <w:rFonts w:ascii="Verdana" w:hAnsi="Verdana"/>
          <w:sz w:val="16"/>
          <w:szCs w:val="16"/>
        </w:rPr>
        <w:t>párrs</w:t>
      </w:r>
      <w:proofErr w:type="spellEnd"/>
      <w:r w:rsidRPr="003A3D45">
        <w:rPr>
          <w:rFonts w:ascii="Verdana" w:hAnsi="Verdana"/>
          <w:sz w:val="16"/>
          <w:szCs w:val="16"/>
        </w:rPr>
        <w:t>. 126-129).</w:t>
      </w:r>
    </w:p>
    <w:p w14:paraId="494E8F2D" w14:textId="66CAE30D" w:rsidR="003A3D45" w:rsidRPr="003A3D45" w:rsidRDefault="003A3D45" w:rsidP="0064739F">
      <w:pPr>
        <w:ind w:left="567" w:right="616"/>
        <w:jc w:val="both"/>
        <w:rPr>
          <w:rFonts w:ascii="Verdana" w:hAnsi="Verdana"/>
          <w:sz w:val="16"/>
          <w:szCs w:val="16"/>
        </w:rPr>
      </w:pPr>
      <w:r w:rsidRPr="003A3D45">
        <w:rPr>
          <w:rFonts w:ascii="Verdana" w:hAnsi="Verdana"/>
          <w:sz w:val="16"/>
          <w:szCs w:val="16"/>
        </w:rPr>
        <w:t>[…]</w:t>
      </w:r>
    </w:p>
    <w:p w14:paraId="65D788A3" w14:textId="34EF0D4A" w:rsidR="003A3D45" w:rsidRPr="003A3D45" w:rsidRDefault="003A3D45" w:rsidP="003A3D45">
      <w:pPr>
        <w:ind w:left="567" w:right="616"/>
        <w:jc w:val="both"/>
        <w:rPr>
          <w:rFonts w:ascii="Verdana" w:hAnsi="Verdana"/>
          <w:sz w:val="16"/>
          <w:szCs w:val="16"/>
        </w:rPr>
      </w:pPr>
      <w:r w:rsidRPr="003A3D45">
        <w:rPr>
          <w:rFonts w:ascii="Verdana" w:hAnsi="Verdana"/>
          <w:sz w:val="16"/>
          <w:szCs w:val="16"/>
        </w:rPr>
        <w:t>155.</w:t>
      </w:r>
      <w:r w:rsidRPr="003A3D45">
        <w:rPr>
          <w:rFonts w:ascii="Verdana" w:hAnsi="Verdana"/>
          <w:sz w:val="16"/>
          <w:szCs w:val="16"/>
        </w:rPr>
        <w:tab/>
        <w:t xml:space="preserve">La Corte también debe analizar si las concesiones otorgadas a empresas mineras auríferas dentro del territorio tradicional </w:t>
      </w:r>
      <w:proofErr w:type="spellStart"/>
      <w:r w:rsidRPr="003A3D45">
        <w:rPr>
          <w:rFonts w:ascii="Verdana" w:hAnsi="Verdana"/>
          <w:sz w:val="16"/>
          <w:szCs w:val="16"/>
        </w:rPr>
        <w:t>Saramaka</w:t>
      </w:r>
      <w:proofErr w:type="spellEnd"/>
      <w:r w:rsidRPr="003A3D45">
        <w:rPr>
          <w:rFonts w:ascii="Verdana" w:hAnsi="Verdana"/>
          <w:sz w:val="16"/>
          <w:szCs w:val="16"/>
        </w:rPr>
        <w:t xml:space="preserve"> afectaron los recursos naturales que los miembros del pueblo </w:t>
      </w:r>
      <w:proofErr w:type="spellStart"/>
      <w:r w:rsidRPr="003A3D45">
        <w:rPr>
          <w:rFonts w:ascii="Verdana" w:hAnsi="Verdana"/>
          <w:sz w:val="16"/>
          <w:szCs w:val="16"/>
        </w:rPr>
        <w:t>Saramaka</w:t>
      </w:r>
      <w:proofErr w:type="spellEnd"/>
      <w:r w:rsidRPr="003A3D45">
        <w:rPr>
          <w:rFonts w:ascii="Verdana" w:hAnsi="Verdana"/>
          <w:sz w:val="16"/>
          <w:szCs w:val="16"/>
        </w:rPr>
        <w:t xml:space="preserve"> han utilizado tradicionalmente y que son necesarios para su subsistencia cultural.  De acuerdo con la prueba presentada ante la Corte, los integrantes del pueblo </w:t>
      </w:r>
      <w:proofErr w:type="spellStart"/>
      <w:r w:rsidRPr="003A3D45">
        <w:rPr>
          <w:rFonts w:ascii="Verdana" w:hAnsi="Verdana"/>
          <w:sz w:val="16"/>
          <w:szCs w:val="16"/>
        </w:rPr>
        <w:t>Saramaka</w:t>
      </w:r>
      <w:proofErr w:type="spellEnd"/>
      <w:r w:rsidRPr="003A3D45">
        <w:rPr>
          <w:rFonts w:ascii="Verdana" w:hAnsi="Verdana"/>
          <w:sz w:val="16"/>
          <w:szCs w:val="16"/>
        </w:rPr>
        <w:t xml:space="preserve"> no han utilizado el oro tradicionalmente como parte de su identidad cultural o sistema económico.  Salvo algunas posibles excepciones individuales, los </w:t>
      </w:r>
      <w:proofErr w:type="spellStart"/>
      <w:r w:rsidRPr="003A3D45">
        <w:rPr>
          <w:rFonts w:ascii="Verdana" w:hAnsi="Verdana"/>
          <w:sz w:val="16"/>
          <w:szCs w:val="16"/>
        </w:rPr>
        <w:t>Saramaka</w:t>
      </w:r>
      <w:proofErr w:type="spellEnd"/>
      <w:r w:rsidRPr="003A3D45">
        <w:rPr>
          <w:rFonts w:ascii="Verdana" w:hAnsi="Verdana"/>
          <w:sz w:val="16"/>
          <w:szCs w:val="16"/>
        </w:rPr>
        <w:t xml:space="preserve"> no se identifican con el oro ni han demostrado una relación particular con este recurso natural en especial, más que reclamar el derecho general de “ser titular de todo, desde lo más alto de los árboles hasta el lugar más profundo bajo la superficie”.  Sin embargo, como se mencionó anteriormente (supra </w:t>
      </w:r>
      <w:proofErr w:type="spellStart"/>
      <w:r w:rsidRPr="003A3D45">
        <w:rPr>
          <w:rFonts w:ascii="Verdana" w:hAnsi="Verdana"/>
          <w:sz w:val="16"/>
          <w:szCs w:val="16"/>
        </w:rPr>
        <w:t>párrs</w:t>
      </w:r>
      <w:proofErr w:type="spellEnd"/>
      <w:r w:rsidRPr="003A3D45">
        <w:rPr>
          <w:rFonts w:ascii="Verdana" w:hAnsi="Verdana"/>
          <w:sz w:val="16"/>
          <w:szCs w:val="16"/>
        </w:rPr>
        <w:t xml:space="preserve">. 126-129), dado que toda actividad minera especializada en el oro dentro del territorio </w:t>
      </w:r>
      <w:proofErr w:type="spellStart"/>
      <w:r w:rsidRPr="003A3D45">
        <w:rPr>
          <w:rFonts w:ascii="Verdana" w:hAnsi="Verdana"/>
          <w:sz w:val="16"/>
          <w:szCs w:val="16"/>
        </w:rPr>
        <w:t>Saramaka</w:t>
      </w:r>
      <w:proofErr w:type="spellEnd"/>
      <w:r w:rsidRPr="003A3D45">
        <w:rPr>
          <w:rFonts w:ascii="Verdana" w:hAnsi="Verdana"/>
          <w:sz w:val="16"/>
          <w:szCs w:val="16"/>
        </w:rPr>
        <w:t xml:space="preserve"> afectará, inevitablemente, a otros recursos naturales necesarios para la subsistencia de dicho pueblo, como los canales navegables, por ejemplo, el Estado tiene el deber de consultar al pueblo </w:t>
      </w:r>
      <w:proofErr w:type="spellStart"/>
      <w:r w:rsidRPr="003A3D45">
        <w:rPr>
          <w:rFonts w:ascii="Verdana" w:hAnsi="Verdana"/>
          <w:sz w:val="16"/>
          <w:szCs w:val="16"/>
        </w:rPr>
        <w:t>Saramaka</w:t>
      </w:r>
      <w:proofErr w:type="spellEnd"/>
      <w:r w:rsidRPr="003A3D45">
        <w:rPr>
          <w:rFonts w:ascii="Verdana" w:hAnsi="Verdana"/>
          <w:sz w:val="16"/>
          <w:szCs w:val="16"/>
        </w:rPr>
        <w:t xml:space="preserve">, de conformidad con sus costumbres y tradiciones, respecto de toda concesión minera propuesta dentro del territorio </w:t>
      </w:r>
      <w:proofErr w:type="spellStart"/>
      <w:r w:rsidRPr="003A3D45">
        <w:rPr>
          <w:rFonts w:ascii="Verdana" w:hAnsi="Verdana"/>
          <w:sz w:val="16"/>
          <w:szCs w:val="16"/>
        </w:rPr>
        <w:t>Saramaka</w:t>
      </w:r>
      <w:proofErr w:type="spellEnd"/>
      <w:r w:rsidRPr="003A3D45">
        <w:rPr>
          <w:rFonts w:ascii="Verdana" w:hAnsi="Verdana"/>
          <w:sz w:val="16"/>
          <w:szCs w:val="16"/>
        </w:rPr>
        <w:t xml:space="preserve">, permitir la participación de los miembros del pueblo en los beneficios que se deriven de dicha posible concesión y realizar o supervisar un estudio previo de impacto ambiental y social.  El mismo análisis se aplica respecto de otras concesiones dentro del territorio </w:t>
      </w:r>
      <w:proofErr w:type="spellStart"/>
      <w:r w:rsidRPr="003A3D45">
        <w:rPr>
          <w:rFonts w:ascii="Verdana" w:hAnsi="Verdana"/>
          <w:sz w:val="16"/>
          <w:szCs w:val="16"/>
        </w:rPr>
        <w:t>Saramaka</w:t>
      </w:r>
      <w:proofErr w:type="spellEnd"/>
      <w:r w:rsidRPr="003A3D45">
        <w:rPr>
          <w:rFonts w:ascii="Verdana" w:hAnsi="Verdana"/>
          <w:sz w:val="16"/>
          <w:szCs w:val="16"/>
        </w:rPr>
        <w:t xml:space="preserve"> que involucren recursos naturales que los miembros del pueblo no han utilizado tradicionalmente, pero que su extracción afectaría, inevitablemente, otros recursos que son vitales para su modo de vida.  </w:t>
      </w:r>
    </w:p>
    <w:p w14:paraId="087D70F6" w14:textId="77777777" w:rsidR="00F94C71" w:rsidRDefault="00F94C71" w:rsidP="00133754">
      <w:pPr>
        <w:pStyle w:val="ListParagraph"/>
        <w:ind w:left="0"/>
        <w:jc w:val="both"/>
        <w:rPr>
          <w:rFonts w:ascii="Verdana" w:hAnsi="Verdana"/>
          <w:sz w:val="20"/>
        </w:rPr>
      </w:pPr>
    </w:p>
    <w:p w14:paraId="4F6348A3" w14:textId="16D3D06C" w:rsidR="00515461" w:rsidRDefault="004E1B86" w:rsidP="00BC4FF3">
      <w:pPr>
        <w:pStyle w:val="ListParagraph"/>
        <w:numPr>
          <w:ilvl w:val="0"/>
          <w:numId w:val="2"/>
        </w:numPr>
        <w:ind w:left="0" w:firstLine="0"/>
        <w:jc w:val="both"/>
        <w:rPr>
          <w:rFonts w:ascii="Verdana" w:hAnsi="Verdana"/>
          <w:sz w:val="20"/>
        </w:rPr>
      </w:pPr>
      <w:r>
        <w:rPr>
          <w:rFonts w:ascii="Verdana" w:hAnsi="Verdana"/>
          <w:sz w:val="20"/>
        </w:rPr>
        <w:t>En</w:t>
      </w:r>
      <w:r w:rsidR="00F119A9">
        <w:rPr>
          <w:rFonts w:ascii="Verdana" w:hAnsi="Verdana"/>
          <w:sz w:val="20"/>
        </w:rPr>
        <w:t xml:space="preserve"> la Resolución emitida el </w:t>
      </w:r>
      <w:r w:rsidR="00770F54">
        <w:rPr>
          <w:rFonts w:ascii="Verdana" w:hAnsi="Verdana"/>
          <w:sz w:val="20"/>
        </w:rPr>
        <w:t>23</w:t>
      </w:r>
      <w:r w:rsidR="002565E0">
        <w:rPr>
          <w:rFonts w:ascii="Verdana" w:hAnsi="Verdana"/>
          <w:sz w:val="20"/>
        </w:rPr>
        <w:t xml:space="preserve"> de </w:t>
      </w:r>
      <w:r w:rsidR="00770F54">
        <w:rPr>
          <w:rFonts w:ascii="Verdana" w:hAnsi="Verdana"/>
          <w:sz w:val="20"/>
        </w:rPr>
        <w:t>noviembre</w:t>
      </w:r>
      <w:r w:rsidR="002565E0">
        <w:rPr>
          <w:rFonts w:ascii="Verdana" w:hAnsi="Verdana"/>
          <w:sz w:val="20"/>
        </w:rPr>
        <w:t xml:space="preserve"> de 2011, el Tribunal </w:t>
      </w:r>
      <w:r w:rsidR="00C84F6E">
        <w:rPr>
          <w:rFonts w:ascii="Verdana" w:hAnsi="Verdana"/>
          <w:sz w:val="20"/>
        </w:rPr>
        <w:t>consideró que “el Estado no ha[</w:t>
      </w:r>
      <w:proofErr w:type="spellStart"/>
      <w:r w:rsidR="00C84F6E">
        <w:rPr>
          <w:rFonts w:ascii="Verdana" w:hAnsi="Verdana"/>
          <w:sz w:val="20"/>
        </w:rPr>
        <w:t>bía</w:t>
      </w:r>
      <w:proofErr w:type="spellEnd"/>
      <w:r w:rsidR="00C84F6E">
        <w:rPr>
          <w:rFonts w:ascii="Verdana" w:hAnsi="Verdana"/>
          <w:sz w:val="20"/>
        </w:rPr>
        <w:t xml:space="preserve">] cumplido con esta obligación y </w:t>
      </w:r>
      <w:proofErr w:type="spellStart"/>
      <w:r w:rsidR="00C84F6E">
        <w:rPr>
          <w:rFonts w:ascii="Verdana" w:hAnsi="Verdana"/>
          <w:sz w:val="20"/>
        </w:rPr>
        <w:t>deb</w:t>
      </w:r>
      <w:proofErr w:type="spellEnd"/>
      <w:r w:rsidR="00C84F6E">
        <w:rPr>
          <w:rFonts w:ascii="Verdana" w:hAnsi="Verdana"/>
          <w:sz w:val="20"/>
        </w:rPr>
        <w:t>[</w:t>
      </w:r>
      <w:proofErr w:type="spellStart"/>
      <w:r w:rsidR="00C84F6E">
        <w:rPr>
          <w:rFonts w:ascii="Verdana" w:hAnsi="Verdana"/>
          <w:sz w:val="20"/>
        </w:rPr>
        <w:t>ía</w:t>
      </w:r>
      <w:proofErr w:type="spellEnd"/>
      <w:r w:rsidR="00C84F6E">
        <w:rPr>
          <w:rFonts w:ascii="Verdana" w:hAnsi="Verdana"/>
          <w:sz w:val="20"/>
        </w:rPr>
        <w:t xml:space="preserve">], por lo tanto, presentar información actualizada y detallada sobre las medidas específicas que </w:t>
      </w:r>
      <w:proofErr w:type="spellStart"/>
      <w:r w:rsidR="00C84F6E">
        <w:rPr>
          <w:rFonts w:ascii="Verdana" w:hAnsi="Verdana"/>
          <w:sz w:val="20"/>
        </w:rPr>
        <w:t>est</w:t>
      </w:r>
      <w:proofErr w:type="spellEnd"/>
      <w:r w:rsidR="00C84F6E">
        <w:rPr>
          <w:rFonts w:ascii="Verdana" w:hAnsi="Verdana"/>
          <w:sz w:val="20"/>
        </w:rPr>
        <w:t>[</w:t>
      </w:r>
      <w:proofErr w:type="spellStart"/>
      <w:r w:rsidR="00C84F6E">
        <w:rPr>
          <w:rFonts w:ascii="Verdana" w:hAnsi="Verdana"/>
          <w:sz w:val="20"/>
        </w:rPr>
        <w:t>aría</w:t>
      </w:r>
      <w:proofErr w:type="spellEnd"/>
      <w:r w:rsidR="00C84F6E">
        <w:rPr>
          <w:rFonts w:ascii="Verdana" w:hAnsi="Verdana"/>
          <w:sz w:val="20"/>
        </w:rPr>
        <w:t xml:space="preserve">] implementando para delimitar, demarcar y otorgar títulos sobre los territorios </w:t>
      </w:r>
      <w:proofErr w:type="spellStart"/>
      <w:r w:rsidR="00C84F6E">
        <w:rPr>
          <w:rFonts w:ascii="Verdana" w:hAnsi="Verdana"/>
          <w:sz w:val="20"/>
        </w:rPr>
        <w:t>Saramaka</w:t>
      </w:r>
      <w:proofErr w:type="spellEnd"/>
      <w:r w:rsidR="00C84F6E">
        <w:rPr>
          <w:rFonts w:ascii="Verdana" w:hAnsi="Verdana"/>
          <w:sz w:val="20"/>
        </w:rPr>
        <w:t xml:space="preserve"> como se </w:t>
      </w:r>
      <w:proofErr w:type="spellStart"/>
      <w:r w:rsidR="00C84F6E">
        <w:rPr>
          <w:rFonts w:ascii="Verdana" w:hAnsi="Verdana"/>
          <w:sz w:val="20"/>
        </w:rPr>
        <w:t>indic</w:t>
      </w:r>
      <w:proofErr w:type="spellEnd"/>
      <w:r w:rsidR="00C84F6E">
        <w:rPr>
          <w:rFonts w:ascii="Verdana" w:hAnsi="Verdana"/>
          <w:sz w:val="20"/>
        </w:rPr>
        <w:t>[</w:t>
      </w:r>
      <w:proofErr w:type="spellStart"/>
      <w:r w:rsidR="00C84F6E">
        <w:rPr>
          <w:rFonts w:ascii="Verdana" w:hAnsi="Verdana"/>
          <w:sz w:val="20"/>
        </w:rPr>
        <w:t>ó</w:t>
      </w:r>
      <w:proofErr w:type="spellEnd"/>
      <w:r w:rsidR="00C84F6E">
        <w:rPr>
          <w:rFonts w:ascii="Verdana" w:hAnsi="Verdana"/>
          <w:sz w:val="20"/>
        </w:rPr>
        <w:t>] en la Sentencia”.</w:t>
      </w:r>
      <w:r>
        <w:rPr>
          <w:rFonts w:ascii="Verdana" w:hAnsi="Verdana"/>
          <w:sz w:val="20"/>
        </w:rPr>
        <w:t xml:space="preserve"> Igualmente, requirió que informara “sobre las medidas que está adoptando para llevar a cabo las consultas con el pueblo </w:t>
      </w:r>
      <w:proofErr w:type="spellStart"/>
      <w:r>
        <w:rPr>
          <w:rFonts w:ascii="Verdana" w:hAnsi="Verdana"/>
          <w:sz w:val="20"/>
        </w:rPr>
        <w:t>Saramaka</w:t>
      </w:r>
      <w:proofErr w:type="spellEnd"/>
      <w:r>
        <w:rPr>
          <w:rFonts w:ascii="Verdana" w:hAnsi="Verdana"/>
          <w:sz w:val="20"/>
        </w:rPr>
        <w:t xml:space="preserve"> sobre la implementación de esta obligación en particular, así como sobre los resultados de dichas consultas”. Finalmente, requirió </w:t>
      </w:r>
      <w:r w:rsidR="00F303E4">
        <w:rPr>
          <w:rFonts w:ascii="Verdana" w:hAnsi="Verdana"/>
          <w:sz w:val="20"/>
        </w:rPr>
        <w:t xml:space="preserve">a Surinam que presentara </w:t>
      </w:r>
      <w:r>
        <w:rPr>
          <w:rFonts w:ascii="Verdana" w:hAnsi="Verdana"/>
          <w:sz w:val="20"/>
        </w:rPr>
        <w:t xml:space="preserve">“un cronograma  detallado para el cumplimiento con esta obligación” y un mapa </w:t>
      </w:r>
      <w:r>
        <w:rPr>
          <w:rFonts w:ascii="Verdana" w:hAnsi="Verdana"/>
          <w:sz w:val="20"/>
        </w:rPr>
        <w:lastRenderedPageBreak/>
        <w:t xml:space="preserve">consistente en un “croquis topográfico” que “fue utilizado por la Asociación de Autoridades </w:t>
      </w:r>
      <w:proofErr w:type="spellStart"/>
      <w:r>
        <w:rPr>
          <w:rFonts w:ascii="Verdana" w:hAnsi="Verdana"/>
          <w:sz w:val="20"/>
        </w:rPr>
        <w:t>Sar</w:t>
      </w:r>
      <w:r w:rsidR="00C520EC">
        <w:rPr>
          <w:rFonts w:ascii="Verdana" w:hAnsi="Verdana"/>
          <w:sz w:val="20"/>
        </w:rPr>
        <w:t>a</w:t>
      </w:r>
      <w:r>
        <w:rPr>
          <w:rFonts w:ascii="Verdana" w:hAnsi="Verdana"/>
          <w:sz w:val="20"/>
        </w:rPr>
        <w:t>maka</w:t>
      </w:r>
      <w:proofErr w:type="spellEnd"/>
      <w:r>
        <w:rPr>
          <w:rFonts w:ascii="Verdana" w:hAnsi="Verdana"/>
          <w:sz w:val="20"/>
        </w:rPr>
        <w:t xml:space="preserve"> para realizar ‘consultas en […] las áreas </w:t>
      </w:r>
      <w:proofErr w:type="spellStart"/>
      <w:r>
        <w:rPr>
          <w:rFonts w:ascii="Verdana" w:hAnsi="Verdana"/>
          <w:sz w:val="20"/>
        </w:rPr>
        <w:t>Saramaka</w:t>
      </w:r>
      <w:proofErr w:type="spellEnd"/>
      <w:r w:rsidR="004503F7">
        <w:rPr>
          <w:rFonts w:ascii="Verdana" w:hAnsi="Verdana"/>
          <w:sz w:val="20"/>
        </w:rPr>
        <w:t>’</w:t>
      </w:r>
      <w:r>
        <w:rPr>
          <w:rFonts w:ascii="Verdana" w:hAnsi="Verdana"/>
          <w:sz w:val="20"/>
        </w:rPr>
        <w:t>”.</w:t>
      </w:r>
      <w:r w:rsidR="00C84F6E">
        <w:rPr>
          <w:rFonts w:ascii="Verdana" w:hAnsi="Verdana"/>
          <w:sz w:val="20"/>
        </w:rPr>
        <w:t xml:space="preserve"> </w:t>
      </w:r>
    </w:p>
    <w:p w14:paraId="2EE662B1" w14:textId="77777777" w:rsidR="00573BEA" w:rsidRDefault="00573BEA" w:rsidP="00573BEA">
      <w:pPr>
        <w:pStyle w:val="ListParagraph"/>
        <w:ind w:left="0"/>
        <w:jc w:val="both"/>
        <w:rPr>
          <w:rFonts w:ascii="Verdana" w:hAnsi="Verdana"/>
          <w:sz w:val="20"/>
        </w:rPr>
      </w:pPr>
    </w:p>
    <w:p w14:paraId="5764F318" w14:textId="0C7E6EA3" w:rsidR="00573BEA" w:rsidRDefault="00573BEA" w:rsidP="00BC4FF3">
      <w:pPr>
        <w:pStyle w:val="ListParagraph"/>
        <w:numPr>
          <w:ilvl w:val="0"/>
          <w:numId w:val="2"/>
        </w:numPr>
        <w:ind w:left="0" w:firstLine="0"/>
        <w:jc w:val="both"/>
        <w:rPr>
          <w:rFonts w:ascii="Verdana" w:hAnsi="Verdana"/>
          <w:sz w:val="20"/>
        </w:rPr>
      </w:pPr>
      <w:r>
        <w:rPr>
          <w:rFonts w:ascii="Verdana" w:hAnsi="Verdana"/>
          <w:sz w:val="20"/>
        </w:rPr>
        <w:t>Aunado a ello, la Corte resaltó que</w:t>
      </w:r>
      <w:r w:rsidR="00F303E4">
        <w:rPr>
          <w:rFonts w:ascii="Verdana" w:hAnsi="Verdana"/>
          <w:sz w:val="20"/>
        </w:rPr>
        <w:t>,</w:t>
      </w:r>
      <w:r>
        <w:rPr>
          <w:rFonts w:ascii="Verdana" w:hAnsi="Verdana"/>
          <w:sz w:val="20"/>
        </w:rPr>
        <w:t xml:space="preserve"> </w:t>
      </w:r>
      <w:r w:rsidRPr="00573BEA">
        <w:rPr>
          <w:rFonts w:ascii="Verdana" w:hAnsi="Verdana"/>
          <w:sz w:val="20"/>
        </w:rPr>
        <w:t>conforme</w:t>
      </w:r>
      <w:r w:rsidR="00F303E4">
        <w:rPr>
          <w:rFonts w:ascii="Verdana" w:hAnsi="Verdana"/>
          <w:sz w:val="20"/>
        </w:rPr>
        <w:t xml:space="preserve"> al plazo dispuesto en</w:t>
      </w:r>
      <w:r w:rsidRPr="00573BEA">
        <w:rPr>
          <w:rFonts w:ascii="Verdana" w:hAnsi="Verdana"/>
          <w:sz w:val="20"/>
        </w:rPr>
        <w:t xml:space="preserve"> la Sentencia, el Estado debía </w:t>
      </w:r>
      <w:r w:rsidR="00F303E4">
        <w:rPr>
          <w:rFonts w:ascii="Verdana" w:hAnsi="Verdana"/>
          <w:sz w:val="20"/>
        </w:rPr>
        <w:t>cumplir con esta reparación</w:t>
      </w:r>
      <w:r w:rsidRPr="00573BEA">
        <w:rPr>
          <w:rFonts w:ascii="Verdana" w:hAnsi="Verdana"/>
          <w:sz w:val="20"/>
        </w:rPr>
        <w:t xml:space="preserve"> dentro de los tres años posteriores a </w:t>
      </w:r>
      <w:r w:rsidR="00F303E4">
        <w:rPr>
          <w:rFonts w:ascii="Verdana" w:hAnsi="Verdana"/>
          <w:sz w:val="20"/>
        </w:rPr>
        <w:t>la notificación de la misma</w:t>
      </w:r>
      <w:r w:rsidRPr="00573BEA">
        <w:rPr>
          <w:rFonts w:ascii="Verdana" w:hAnsi="Verdana"/>
          <w:sz w:val="20"/>
        </w:rPr>
        <w:t xml:space="preserve">. Por lo tanto, </w:t>
      </w:r>
      <w:r w:rsidR="00F303E4">
        <w:rPr>
          <w:rFonts w:ascii="Verdana" w:hAnsi="Verdana"/>
          <w:sz w:val="20"/>
        </w:rPr>
        <w:t>“</w:t>
      </w:r>
      <w:r w:rsidRPr="00573BEA">
        <w:rPr>
          <w:rFonts w:ascii="Verdana" w:hAnsi="Verdana"/>
          <w:sz w:val="20"/>
        </w:rPr>
        <w:t>esta medida de reparación debió haber sido implementada, a más tardar, en diciembre 2010</w:t>
      </w:r>
      <w:r>
        <w:rPr>
          <w:rFonts w:ascii="Verdana" w:hAnsi="Verdana"/>
          <w:sz w:val="20"/>
        </w:rPr>
        <w:t>”</w:t>
      </w:r>
      <w:r w:rsidRPr="00573BEA">
        <w:rPr>
          <w:rFonts w:ascii="Verdana" w:hAnsi="Verdana"/>
          <w:sz w:val="20"/>
        </w:rPr>
        <w:t>.</w:t>
      </w:r>
    </w:p>
    <w:p w14:paraId="56CED4E8" w14:textId="77777777" w:rsidR="00515461" w:rsidRPr="00515461" w:rsidRDefault="00515461" w:rsidP="00515461">
      <w:pPr>
        <w:pStyle w:val="ListParagraph"/>
        <w:rPr>
          <w:rFonts w:ascii="Verdana" w:hAnsi="Verdana"/>
          <w:sz w:val="20"/>
        </w:rPr>
      </w:pPr>
    </w:p>
    <w:p w14:paraId="57CAA56A" w14:textId="2E105CF3" w:rsidR="00F119A9" w:rsidRDefault="00515461" w:rsidP="00BC4FF3">
      <w:pPr>
        <w:pStyle w:val="ListParagraph"/>
        <w:numPr>
          <w:ilvl w:val="0"/>
          <w:numId w:val="2"/>
        </w:numPr>
        <w:ind w:left="0" w:firstLine="0"/>
        <w:jc w:val="both"/>
        <w:rPr>
          <w:rFonts w:ascii="Verdana" w:hAnsi="Verdana"/>
          <w:sz w:val="20"/>
        </w:rPr>
      </w:pPr>
      <w:bookmarkStart w:id="18" w:name="_Ref526771051"/>
      <w:r>
        <w:rPr>
          <w:rFonts w:ascii="Verdana" w:hAnsi="Verdana"/>
          <w:sz w:val="20"/>
        </w:rPr>
        <w:t>Por otro lado, en la referida Resolución de 2011,</w:t>
      </w:r>
      <w:r w:rsidR="00770F54">
        <w:rPr>
          <w:rFonts w:ascii="Verdana" w:hAnsi="Verdana"/>
          <w:sz w:val="20"/>
        </w:rPr>
        <w:t xml:space="preserve"> la Corte determinó que, en virtud de que la “titularización de </w:t>
      </w:r>
      <w:r w:rsidR="00BE4CCA">
        <w:rPr>
          <w:rFonts w:ascii="Verdana" w:hAnsi="Verdana"/>
          <w:sz w:val="20"/>
        </w:rPr>
        <w:t xml:space="preserve">las </w:t>
      </w:r>
      <w:r w:rsidR="00770F54">
        <w:rPr>
          <w:rFonts w:ascii="Verdana" w:hAnsi="Verdana"/>
          <w:sz w:val="20"/>
        </w:rPr>
        <w:t xml:space="preserve">tierras </w:t>
      </w:r>
      <w:proofErr w:type="spellStart"/>
      <w:r w:rsidR="00770F54">
        <w:rPr>
          <w:rFonts w:ascii="Verdana" w:hAnsi="Verdana"/>
          <w:sz w:val="20"/>
        </w:rPr>
        <w:t>Saramaka</w:t>
      </w:r>
      <w:proofErr w:type="spellEnd"/>
      <w:r w:rsidR="00770F54">
        <w:rPr>
          <w:rFonts w:ascii="Verdana" w:hAnsi="Verdana"/>
          <w:sz w:val="20"/>
        </w:rPr>
        <w:t xml:space="preserve"> aún no se ha[</w:t>
      </w:r>
      <w:proofErr w:type="spellStart"/>
      <w:r w:rsidR="00770F54">
        <w:rPr>
          <w:rFonts w:ascii="Verdana" w:hAnsi="Verdana"/>
          <w:sz w:val="20"/>
        </w:rPr>
        <w:t>bía</w:t>
      </w:r>
      <w:proofErr w:type="spellEnd"/>
      <w:r w:rsidR="00770F54">
        <w:rPr>
          <w:rFonts w:ascii="Verdana" w:hAnsi="Verdana"/>
          <w:sz w:val="20"/>
        </w:rPr>
        <w:t xml:space="preserve">] llevado a cabo [...,] el otorgamiento de cualquier concesión nueva en estos territorios después del 19 de diciembre de 2007, fecha en que se notificó la Sentencia, sin el consentimiento de los </w:t>
      </w:r>
      <w:proofErr w:type="spellStart"/>
      <w:r w:rsidR="00770F54">
        <w:rPr>
          <w:rFonts w:ascii="Verdana" w:hAnsi="Verdana"/>
          <w:sz w:val="20"/>
        </w:rPr>
        <w:t>Saramaka</w:t>
      </w:r>
      <w:proofErr w:type="spellEnd"/>
      <w:r w:rsidR="00770F54">
        <w:rPr>
          <w:rFonts w:ascii="Verdana" w:hAnsi="Verdana"/>
          <w:sz w:val="20"/>
        </w:rPr>
        <w:t xml:space="preserve"> y sin la realización de estudios previos de impacto ambiental y social, </w:t>
      </w:r>
      <w:proofErr w:type="spellStart"/>
      <w:r w:rsidR="00770F54">
        <w:rPr>
          <w:rFonts w:ascii="Verdana" w:hAnsi="Verdana"/>
          <w:sz w:val="20"/>
        </w:rPr>
        <w:t>constitu</w:t>
      </w:r>
      <w:proofErr w:type="spellEnd"/>
      <w:r w:rsidR="00770F54">
        <w:rPr>
          <w:rFonts w:ascii="Verdana" w:hAnsi="Verdana"/>
          <w:sz w:val="20"/>
        </w:rPr>
        <w:t>[</w:t>
      </w:r>
      <w:proofErr w:type="spellStart"/>
      <w:r w:rsidR="00770F54">
        <w:rPr>
          <w:rFonts w:ascii="Verdana" w:hAnsi="Verdana"/>
          <w:sz w:val="20"/>
        </w:rPr>
        <w:t>ía</w:t>
      </w:r>
      <w:proofErr w:type="spellEnd"/>
      <w:r w:rsidR="00770F54">
        <w:rPr>
          <w:rFonts w:ascii="Verdana" w:hAnsi="Verdana"/>
          <w:sz w:val="20"/>
        </w:rPr>
        <w:t>] una violación directa de la decisión de la Corte y, por consiguiente, de las obligaciones convenciona</w:t>
      </w:r>
      <w:r w:rsidR="004E1B86">
        <w:rPr>
          <w:rFonts w:ascii="Verdana" w:hAnsi="Verdana"/>
          <w:sz w:val="20"/>
        </w:rPr>
        <w:t>les internacionales del Estado</w:t>
      </w:r>
      <w:r w:rsidR="00C84F6E">
        <w:rPr>
          <w:rFonts w:ascii="Verdana" w:hAnsi="Verdana"/>
          <w:sz w:val="20"/>
        </w:rPr>
        <w:t>”</w:t>
      </w:r>
      <w:r w:rsidR="00215CC4">
        <w:rPr>
          <w:rFonts w:ascii="Verdana" w:hAnsi="Verdana"/>
          <w:sz w:val="20"/>
        </w:rPr>
        <w:t>. Adicionalmente, se</w:t>
      </w:r>
      <w:r w:rsidR="004E1B86">
        <w:rPr>
          <w:rFonts w:ascii="Verdana" w:hAnsi="Verdana"/>
          <w:sz w:val="20"/>
        </w:rPr>
        <w:t xml:space="preserve"> requirió </w:t>
      </w:r>
      <w:r w:rsidR="00215CC4">
        <w:rPr>
          <w:rFonts w:ascii="Verdana" w:hAnsi="Verdana"/>
          <w:sz w:val="20"/>
        </w:rPr>
        <w:t xml:space="preserve">al </w:t>
      </w:r>
      <w:r w:rsidR="004E1B86">
        <w:rPr>
          <w:rFonts w:ascii="Verdana" w:hAnsi="Verdana"/>
          <w:sz w:val="20"/>
        </w:rPr>
        <w:t xml:space="preserve">Estado </w:t>
      </w:r>
      <w:r w:rsidR="00215CC4">
        <w:rPr>
          <w:rFonts w:ascii="Verdana" w:hAnsi="Verdana"/>
          <w:sz w:val="20"/>
        </w:rPr>
        <w:t xml:space="preserve">que </w:t>
      </w:r>
      <w:r w:rsidR="004E1B86">
        <w:rPr>
          <w:rFonts w:ascii="Verdana" w:hAnsi="Verdana"/>
          <w:sz w:val="20"/>
        </w:rPr>
        <w:t xml:space="preserve">proporcione “información detallada en la cual deberá indicar si ha revisado las concesiones existentes en el territorio </w:t>
      </w:r>
      <w:proofErr w:type="spellStart"/>
      <w:r w:rsidR="004E1B86">
        <w:rPr>
          <w:rFonts w:ascii="Verdana" w:hAnsi="Verdana"/>
          <w:sz w:val="20"/>
        </w:rPr>
        <w:t>Saramaka</w:t>
      </w:r>
      <w:proofErr w:type="spellEnd"/>
      <w:r w:rsidR="004E1B86">
        <w:rPr>
          <w:rFonts w:ascii="Verdana" w:hAnsi="Verdana"/>
          <w:sz w:val="20"/>
        </w:rPr>
        <w:t xml:space="preserve"> antes del dictado de la Sentencia”</w:t>
      </w:r>
      <w:r w:rsidR="004E1B86">
        <w:rPr>
          <w:rStyle w:val="FootnoteReference"/>
          <w:rFonts w:ascii="Verdana" w:hAnsi="Verdana"/>
          <w:sz w:val="20"/>
        </w:rPr>
        <w:footnoteReference w:id="21"/>
      </w:r>
      <w:r w:rsidR="004E1B86">
        <w:rPr>
          <w:rFonts w:ascii="Verdana" w:hAnsi="Verdana"/>
          <w:sz w:val="20"/>
        </w:rPr>
        <w:t xml:space="preserve"> y sobre “las concesiones madereras y mineras supuestamente otorgadas después de notificada la Sentencia”</w:t>
      </w:r>
      <w:r>
        <w:rPr>
          <w:rStyle w:val="FootnoteReference"/>
          <w:rFonts w:ascii="Verdana" w:hAnsi="Verdana"/>
          <w:sz w:val="20"/>
        </w:rPr>
        <w:footnoteReference w:id="22"/>
      </w:r>
      <w:r w:rsidR="00C84F6E">
        <w:rPr>
          <w:rFonts w:ascii="Verdana" w:hAnsi="Verdana"/>
          <w:sz w:val="20"/>
        </w:rPr>
        <w:t>.</w:t>
      </w:r>
      <w:bookmarkEnd w:id="18"/>
      <w:r w:rsidR="00C84F6E">
        <w:rPr>
          <w:rFonts w:ascii="Verdana" w:hAnsi="Verdana"/>
          <w:sz w:val="20"/>
        </w:rPr>
        <w:t xml:space="preserve"> </w:t>
      </w:r>
    </w:p>
    <w:p w14:paraId="1438CB3F" w14:textId="77777777" w:rsidR="00770F54" w:rsidRPr="00770F54" w:rsidRDefault="00770F54" w:rsidP="00770F54">
      <w:pPr>
        <w:pStyle w:val="ListParagraph"/>
        <w:rPr>
          <w:rFonts w:ascii="Verdana" w:hAnsi="Verdana"/>
          <w:sz w:val="20"/>
        </w:rPr>
      </w:pPr>
    </w:p>
    <w:p w14:paraId="61D9ED67" w14:textId="2DE0864A" w:rsidR="00770F54" w:rsidRPr="007A38C8" w:rsidRDefault="00770F54" w:rsidP="00BC4FF3">
      <w:pPr>
        <w:pStyle w:val="ListParagraph"/>
        <w:numPr>
          <w:ilvl w:val="0"/>
          <w:numId w:val="2"/>
        </w:numPr>
        <w:ind w:left="0" w:firstLine="0"/>
        <w:jc w:val="both"/>
        <w:rPr>
          <w:rFonts w:ascii="Verdana" w:hAnsi="Verdana"/>
          <w:sz w:val="20"/>
        </w:rPr>
      </w:pPr>
      <w:bookmarkStart w:id="19" w:name="_Ref526771394"/>
      <w:r>
        <w:rPr>
          <w:rFonts w:ascii="Verdana" w:hAnsi="Verdana"/>
          <w:sz w:val="20"/>
        </w:rPr>
        <w:t>Finalmente, en la Resolución de septiembre de 2013, la Corte solicitó al Estado “remitir a la Corte un informe completo, pormenorizado y específico</w:t>
      </w:r>
      <w:r w:rsidR="001E7971">
        <w:rPr>
          <w:rFonts w:ascii="Verdana" w:hAnsi="Verdana"/>
          <w:sz w:val="20"/>
        </w:rPr>
        <w:t>”</w:t>
      </w:r>
      <w:r>
        <w:rPr>
          <w:rFonts w:ascii="Verdana" w:hAnsi="Verdana"/>
          <w:sz w:val="20"/>
        </w:rPr>
        <w:t xml:space="preserve"> sobre el alegado otorgamiento </w:t>
      </w:r>
      <w:r w:rsidR="001E7971">
        <w:rPr>
          <w:rFonts w:ascii="Verdana" w:hAnsi="Verdana"/>
          <w:sz w:val="20"/>
        </w:rPr>
        <w:t xml:space="preserve">en </w:t>
      </w:r>
      <w:r w:rsidR="00B10FEF">
        <w:rPr>
          <w:rFonts w:ascii="Verdana" w:hAnsi="Verdana"/>
          <w:sz w:val="20"/>
        </w:rPr>
        <w:t>junio de 2013</w:t>
      </w:r>
      <w:r w:rsidR="001E7971">
        <w:rPr>
          <w:rFonts w:ascii="Verdana" w:hAnsi="Verdana"/>
          <w:sz w:val="20"/>
        </w:rPr>
        <w:t xml:space="preserve"> </w:t>
      </w:r>
      <w:r>
        <w:rPr>
          <w:rFonts w:ascii="Verdana" w:hAnsi="Verdana"/>
          <w:sz w:val="20"/>
        </w:rPr>
        <w:t xml:space="preserve">de </w:t>
      </w:r>
      <w:r w:rsidR="001E7971">
        <w:rPr>
          <w:rFonts w:ascii="Verdana" w:hAnsi="Verdana"/>
          <w:sz w:val="20"/>
        </w:rPr>
        <w:t>una</w:t>
      </w:r>
      <w:r>
        <w:rPr>
          <w:rFonts w:ascii="Verdana" w:hAnsi="Verdana"/>
          <w:sz w:val="20"/>
        </w:rPr>
        <w:t xml:space="preserve"> concesión minera a favor de la empresa IAMGOLD en el territorio </w:t>
      </w:r>
      <w:proofErr w:type="spellStart"/>
      <w:r>
        <w:rPr>
          <w:rFonts w:ascii="Verdana" w:hAnsi="Verdana"/>
          <w:sz w:val="20"/>
        </w:rPr>
        <w:t>Saramaka</w:t>
      </w:r>
      <w:proofErr w:type="spellEnd"/>
      <w:r w:rsidR="00F830A7">
        <w:rPr>
          <w:rStyle w:val="FootnoteReference"/>
          <w:rFonts w:ascii="Verdana" w:hAnsi="Verdana"/>
          <w:sz w:val="20"/>
        </w:rPr>
        <w:footnoteReference w:id="23"/>
      </w:r>
      <w:r>
        <w:rPr>
          <w:rFonts w:ascii="Verdana" w:hAnsi="Verdana"/>
          <w:sz w:val="20"/>
        </w:rPr>
        <w:t>, en el cual deb</w:t>
      </w:r>
      <w:r w:rsidR="001E7971">
        <w:rPr>
          <w:rFonts w:ascii="Verdana" w:hAnsi="Verdana"/>
          <w:sz w:val="20"/>
        </w:rPr>
        <w:t>ía</w:t>
      </w:r>
      <w:r>
        <w:rPr>
          <w:rFonts w:ascii="Verdana" w:hAnsi="Verdana"/>
          <w:sz w:val="20"/>
        </w:rPr>
        <w:t xml:space="preserve"> indicar: </w:t>
      </w:r>
      <w:r w:rsidR="001E7971">
        <w:rPr>
          <w:rFonts w:ascii="Verdana" w:hAnsi="Verdana"/>
          <w:sz w:val="20"/>
        </w:rPr>
        <w:t>“</w:t>
      </w:r>
      <w:r>
        <w:rPr>
          <w:rFonts w:ascii="Verdana" w:hAnsi="Verdana"/>
          <w:sz w:val="20"/>
        </w:rPr>
        <w:t xml:space="preserve">a) el contenido y alcance de dicha concesión, b) si el Pueblo </w:t>
      </w:r>
      <w:proofErr w:type="spellStart"/>
      <w:r>
        <w:rPr>
          <w:rFonts w:ascii="Verdana" w:hAnsi="Verdana"/>
          <w:sz w:val="20"/>
        </w:rPr>
        <w:t>Saramaka</w:t>
      </w:r>
      <w:proofErr w:type="spellEnd"/>
      <w:r>
        <w:rPr>
          <w:rFonts w:ascii="Verdana" w:hAnsi="Verdana"/>
          <w:sz w:val="20"/>
        </w:rPr>
        <w:t xml:space="preserve"> fue consultado y cuáles fueron las medidas realizadas para tal fin, c) si dicha concesión fue precedida de estudios de impacto ambiental y social, y d) en su caso, los beneficios a favor del Pueblo </w:t>
      </w:r>
      <w:proofErr w:type="spellStart"/>
      <w:r>
        <w:rPr>
          <w:rFonts w:ascii="Verdana" w:hAnsi="Verdana"/>
          <w:sz w:val="20"/>
        </w:rPr>
        <w:t>Saramaka</w:t>
      </w:r>
      <w:proofErr w:type="spellEnd"/>
      <w:r>
        <w:rPr>
          <w:rFonts w:ascii="Verdana" w:hAnsi="Verdana"/>
          <w:sz w:val="20"/>
        </w:rPr>
        <w:t xml:space="preserve">”. </w:t>
      </w:r>
      <w:bookmarkEnd w:id="19"/>
    </w:p>
    <w:p w14:paraId="00756722" w14:textId="65D83C97" w:rsidR="00FB56C6" w:rsidRDefault="00542A44" w:rsidP="00542A44">
      <w:pPr>
        <w:tabs>
          <w:tab w:val="left" w:pos="3198"/>
        </w:tabs>
        <w:jc w:val="both"/>
        <w:rPr>
          <w:rFonts w:ascii="Verdana" w:hAnsi="Verdana"/>
          <w:sz w:val="20"/>
        </w:rPr>
      </w:pPr>
      <w:r>
        <w:rPr>
          <w:rFonts w:ascii="Verdana" w:hAnsi="Verdana"/>
          <w:sz w:val="20"/>
        </w:rPr>
        <w:tab/>
      </w:r>
    </w:p>
    <w:p w14:paraId="3302273E" w14:textId="15F853E0" w:rsidR="00770F54" w:rsidRDefault="001D07E8" w:rsidP="00F303E4">
      <w:pPr>
        <w:ind w:firstLine="720"/>
        <w:jc w:val="both"/>
        <w:rPr>
          <w:rFonts w:ascii="Verdana" w:hAnsi="Verdana"/>
          <w:i/>
          <w:sz w:val="20"/>
        </w:rPr>
      </w:pPr>
      <w:r>
        <w:rPr>
          <w:rFonts w:ascii="Verdana" w:hAnsi="Verdana"/>
          <w:i/>
          <w:sz w:val="20"/>
        </w:rPr>
        <w:t>B</w:t>
      </w:r>
      <w:r w:rsidR="00FB56C6">
        <w:rPr>
          <w:rFonts w:ascii="Verdana" w:hAnsi="Verdana"/>
          <w:i/>
          <w:sz w:val="20"/>
        </w:rPr>
        <w:t>.2. Consideraciones de la Corte</w:t>
      </w:r>
    </w:p>
    <w:p w14:paraId="74A84F96" w14:textId="77777777" w:rsidR="006E1E66" w:rsidRDefault="006E1E66" w:rsidP="00FB56C6">
      <w:pPr>
        <w:jc w:val="both"/>
        <w:rPr>
          <w:rFonts w:ascii="Verdana" w:hAnsi="Verdana"/>
          <w:i/>
          <w:sz w:val="20"/>
        </w:rPr>
      </w:pPr>
    </w:p>
    <w:p w14:paraId="78021F91" w14:textId="7EB83D83" w:rsidR="00573BEA" w:rsidRDefault="007C0BD8" w:rsidP="005E4B9B">
      <w:pPr>
        <w:pStyle w:val="ListParagraph"/>
        <w:numPr>
          <w:ilvl w:val="0"/>
          <w:numId w:val="2"/>
        </w:numPr>
        <w:ind w:left="0" w:firstLine="0"/>
        <w:jc w:val="both"/>
        <w:rPr>
          <w:rFonts w:ascii="Verdana" w:hAnsi="Verdana"/>
          <w:sz w:val="20"/>
        </w:rPr>
      </w:pPr>
      <w:r w:rsidRPr="00505C73">
        <w:rPr>
          <w:rFonts w:ascii="Verdana" w:hAnsi="Verdana"/>
          <w:sz w:val="20"/>
        </w:rPr>
        <w:t xml:space="preserve">En lo que respecta a la obligación de </w:t>
      </w:r>
      <w:r w:rsidRPr="00505C73">
        <w:rPr>
          <w:rFonts w:ascii="Verdana" w:hAnsi="Verdana"/>
          <w:i/>
          <w:sz w:val="20"/>
        </w:rPr>
        <w:t>“</w:t>
      </w:r>
      <w:r w:rsidRPr="00505C73">
        <w:rPr>
          <w:rFonts w:ascii="Verdana" w:hAnsi="Verdana"/>
          <w:sz w:val="20"/>
        </w:rPr>
        <w:t xml:space="preserve">delimitar, demarcar y otorgar título colectivo del territorio de los miembros del </w:t>
      </w:r>
      <w:r w:rsidR="003E39E1">
        <w:rPr>
          <w:rFonts w:ascii="Verdana" w:hAnsi="Verdana"/>
          <w:sz w:val="20"/>
        </w:rPr>
        <w:t>p</w:t>
      </w:r>
      <w:r w:rsidRPr="00505C73">
        <w:rPr>
          <w:rFonts w:ascii="Verdana" w:hAnsi="Verdana"/>
          <w:sz w:val="20"/>
        </w:rPr>
        <w:t xml:space="preserve">ueblo </w:t>
      </w:r>
      <w:proofErr w:type="spellStart"/>
      <w:r w:rsidRPr="00505C73">
        <w:rPr>
          <w:rFonts w:ascii="Verdana" w:hAnsi="Verdana"/>
          <w:sz w:val="20"/>
        </w:rPr>
        <w:t>Saramaka</w:t>
      </w:r>
      <w:proofErr w:type="spellEnd"/>
      <w:r w:rsidRPr="00505C73">
        <w:rPr>
          <w:rFonts w:ascii="Verdana" w:hAnsi="Verdana"/>
          <w:i/>
          <w:sz w:val="20"/>
        </w:rPr>
        <w:t xml:space="preserve">”, </w:t>
      </w:r>
      <w:r w:rsidRPr="00505C73">
        <w:rPr>
          <w:rFonts w:ascii="Verdana" w:hAnsi="Verdana"/>
          <w:sz w:val="20"/>
        </w:rPr>
        <w:t xml:space="preserve">en el informe estatal de marzo de 2013 el Estado indicó que “había contratado un consultor aceptado por la Asociación de Autoridades </w:t>
      </w:r>
      <w:proofErr w:type="spellStart"/>
      <w:r w:rsidRPr="00505C73">
        <w:rPr>
          <w:rFonts w:ascii="Verdana" w:hAnsi="Verdana"/>
          <w:sz w:val="20"/>
        </w:rPr>
        <w:t>Saramaka</w:t>
      </w:r>
      <w:proofErr w:type="spellEnd"/>
      <w:r w:rsidRPr="00505C73">
        <w:rPr>
          <w:rFonts w:ascii="Verdana" w:hAnsi="Verdana"/>
          <w:sz w:val="20"/>
        </w:rPr>
        <w:t xml:space="preserve"> (VSG, por sus siglas en inglés) para realizar una demarcación del área residencial y comunal de los </w:t>
      </w:r>
      <w:proofErr w:type="spellStart"/>
      <w:r w:rsidRPr="00505C73">
        <w:rPr>
          <w:rFonts w:ascii="Verdana" w:hAnsi="Verdana"/>
          <w:sz w:val="20"/>
        </w:rPr>
        <w:t>Saramaka</w:t>
      </w:r>
      <w:proofErr w:type="spellEnd"/>
      <w:r w:rsidR="001041F1">
        <w:rPr>
          <w:rFonts w:ascii="Verdana" w:hAnsi="Verdana"/>
          <w:sz w:val="20"/>
        </w:rPr>
        <w:t xml:space="preserve">”, que se había dibujado </w:t>
      </w:r>
      <w:r w:rsidRPr="00505C73">
        <w:rPr>
          <w:rFonts w:ascii="Verdana" w:hAnsi="Verdana"/>
          <w:sz w:val="20"/>
        </w:rPr>
        <w:t xml:space="preserve"> </w:t>
      </w:r>
      <w:r w:rsidR="001041F1">
        <w:rPr>
          <w:rFonts w:ascii="Verdana" w:hAnsi="Verdana"/>
          <w:sz w:val="20"/>
        </w:rPr>
        <w:t>u</w:t>
      </w:r>
      <w:r w:rsidRPr="00505C73">
        <w:rPr>
          <w:rFonts w:ascii="Verdana" w:hAnsi="Verdana"/>
          <w:sz w:val="20"/>
        </w:rPr>
        <w:t xml:space="preserve">n </w:t>
      </w:r>
      <w:r w:rsidR="001041F1">
        <w:rPr>
          <w:rFonts w:ascii="Verdana" w:hAnsi="Verdana"/>
          <w:sz w:val="20"/>
        </w:rPr>
        <w:t>“</w:t>
      </w:r>
      <w:r w:rsidRPr="00505C73">
        <w:rPr>
          <w:rFonts w:ascii="Verdana" w:hAnsi="Verdana"/>
          <w:sz w:val="20"/>
        </w:rPr>
        <w:t>borrador del mapa</w:t>
      </w:r>
      <w:r w:rsidR="001041F1">
        <w:rPr>
          <w:rFonts w:ascii="Verdana" w:hAnsi="Verdana"/>
          <w:sz w:val="20"/>
        </w:rPr>
        <w:t>”</w:t>
      </w:r>
      <w:r w:rsidRPr="00505C73">
        <w:rPr>
          <w:rFonts w:ascii="Verdana" w:hAnsi="Verdana"/>
          <w:sz w:val="20"/>
        </w:rPr>
        <w:t xml:space="preserve"> </w:t>
      </w:r>
      <w:r w:rsidR="001041F1">
        <w:rPr>
          <w:rFonts w:ascii="Verdana" w:hAnsi="Verdana"/>
          <w:sz w:val="20"/>
        </w:rPr>
        <w:t>y que “l</w:t>
      </w:r>
      <w:r w:rsidRPr="00505C73">
        <w:rPr>
          <w:rFonts w:ascii="Verdana" w:hAnsi="Verdana"/>
          <w:sz w:val="20"/>
        </w:rPr>
        <w:t xml:space="preserve">os </w:t>
      </w:r>
      <w:proofErr w:type="spellStart"/>
      <w:r w:rsidRPr="00505C73">
        <w:rPr>
          <w:rFonts w:ascii="Verdana" w:hAnsi="Verdana"/>
          <w:sz w:val="20"/>
        </w:rPr>
        <w:t>Saramaka</w:t>
      </w:r>
      <w:proofErr w:type="spellEnd"/>
      <w:r w:rsidRPr="00505C73">
        <w:rPr>
          <w:rFonts w:ascii="Verdana" w:hAnsi="Verdana"/>
          <w:sz w:val="20"/>
        </w:rPr>
        <w:t xml:space="preserve"> han aceptado este borrador y lo aprobaron, pero no se ha llegado a un acuerdo con toda la sociedad”.</w:t>
      </w:r>
      <w:r w:rsidR="00350165">
        <w:rPr>
          <w:rFonts w:ascii="Verdana" w:hAnsi="Verdana"/>
          <w:sz w:val="20"/>
        </w:rPr>
        <w:t xml:space="preserve"> </w:t>
      </w:r>
      <w:r w:rsidRPr="00505C73">
        <w:rPr>
          <w:rFonts w:ascii="Verdana" w:hAnsi="Verdana"/>
          <w:sz w:val="20"/>
        </w:rPr>
        <w:t xml:space="preserve">Con </w:t>
      </w:r>
      <w:r w:rsidRPr="00505C73">
        <w:rPr>
          <w:rFonts w:ascii="Verdana" w:hAnsi="Verdana"/>
          <w:sz w:val="20"/>
        </w:rPr>
        <w:lastRenderedPageBreak/>
        <w:t xml:space="preserve">posterioridad a </w:t>
      </w:r>
      <w:r w:rsidR="005E4B9B">
        <w:rPr>
          <w:rFonts w:ascii="Verdana" w:hAnsi="Verdana"/>
          <w:sz w:val="20"/>
        </w:rPr>
        <w:t>esa</w:t>
      </w:r>
      <w:r w:rsidRPr="00505C73">
        <w:rPr>
          <w:rFonts w:ascii="Verdana" w:hAnsi="Verdana"/>
          <w:sz w:val="20"/>
        </w:rPr>
        <w:t xml:space="preserve"> oportunidad,</w:t>
      </w:r>
      <w:r w:rsidR="005E4B9B">
        <w:rPr>
          <w:rFonts w:ascii="Verdana" w:hAnsi="Verdana"/>
          <w:sz w:val="20"/>
        </w:rPr>
        <w:t xml:space="preserve"> e</w:t>
      </w:r>
      <w:r w:rsidR="005E4B9B" w:rsidRPr="005E4B9B">
        <w:rPr>
          <w:rFonts w:ascii="Verdana" w:hAnsi="Verdana"/>
          <w:sz w:val="20"/>
        </w:rPr>
        <w:t xml:space="preserve">l Estado, </w:t>
      </w:r>
      <w:r w:rsidR="005E4B9B">
        <w:rPr>
          <w:rFonts w:ascii="Verdana" w:hAnsi="Verdana"/>
          <w:sz w:val="20"/>
        </w:rPr>
        <w:t xml:space="preserve">solo </w:t>
      </w:r>
      <w:r w:rsidR="005E4B9B" w:rsidRPr="005E4B9B">
        <w:rPr>
          <w:rFonts w:ascii="Verdana" w:hAnsi="Verdana"/>
          <w:sz w:val="20"/>
        </w:rPr>
        <w:t xml:space="preserve">se refirió a la imposibilidad de cumplir con este y con los demás extremos de la Sentencia por una supuesta “crisis de autoridad” por la muerte de un líder </w:t>
      </w:r>
      <w:proofErr w:type="spellStart"/>
      <w:r w:rsidR="005E4B9B" w:rsidRPr="005E4B9B">
        <w:rPr>
          <w:rFonts w:ascii="Verdana" w:hAnsi="Verdana"/>
          <w:sz w:val="20"/>
        </w:rPr>
        <w:t>Saramaka</w:t>
      </w:r>
      <w:proofErr w:type="spellEnd"/>
      <w:r w:rsidR="005E4B9B" w:rsidRPr="005E4B9B">
        <w:rPr>
          <w:rFonts w:ascii="Verdana" w:hAnsi="Verdana"/>
          <w:sz w:val="20"/>
        </w:rPr>
        <w:t xml:space="preserve">, y por la falta de unanimidad entre los clanes que integran el pueblo </w:t>
      </w:r>
      <w:proofErr w:type="spellStart"/>
      <w:r w:rsidR="005E4B9B" w:rsidRPr="005E4B9B">
        <w:rPr>
          <w:rFonts w:ascii="Verdana" w:hAnsi="Verdana"/>
          <w:sz w:val="20"/>
        </w:rPr>
        <w:t>Saramaka</w:t>
      </w:r>
      <w:proofErr w:type="spellEnd"/>
      <w:r w:rsidR="005E4B9B" w:rsidRPr="005E4B9B">
        <w:rPr>
          <w:rFonts w:ascii="Verdana" w:hAnsi="Verdana"/>
          <w:sz w:val="20"/>
        </w:rPr>
        <w:t>, lo cual según el Estado imposibilita el cumplimiento de las medidas</w:t>
      </w:r>
      <w:r w:rsidR="005E4B9B">
        <w:rPr>
          <w:rFonts w:ascii="Verdana" w:hAnsi="Verdana"/>
          <w:sz w:val="20"/>
        </w:rPr>
        <w:t xml:space="preserve"> </w:t>
      </w:r>
      <w:r w:rsidR="005E4B9B" w:rsidRPr="005E4B9B">
        <w:rPr>
          <w:rFonts w:ascii="Verdana" w:hAnsi="Verdana"/>
          <w:sz w:val="20"/>
        </w:rPr>
        <w:t xml:space="preserve">(infra Considerando </w:t>
      </w:r>
      <w:r w:rsidR="005E4B9B">
        <w:rPr>
          <w:rFonts w:ascii="Verdana" w:hAnsi="Verdana"/>
          <w:sz w:val="20"/>
        </w:rPr>
        <w:fldChar w:fldCharType="begin"/>
      </w:r>
      <w:r w:rsidR="005E4B9B">
        <w:rPr>
          <w:rFonts w:ascii="Verdana" w:hAnsi="Verdana"/>
          <w:sz w:val="20"/>
        </w:rPr>
        <w:instrText xml:space="preserve"> REF _Ref528141244 \r \h </w:instrText>
      </w:r>
      <w:r w:rsidR="005E4B9B">
        <w:rPr>
          <w:rFonts w:ascii="Verdana" w:hAnsi="Verdana"/>
          <w:sz w:val="20"/>
        </w:rPr>
      </w:r>
      <w:r w:rsidR="005E4B9B">
        <w:rPr>
          <w:rFonts w:ascii="Verdana" w:hAnsi="Verdana"/>
          <w:sz w:val="20"/>
        </w:rPr>
        <w:fldChar w:fldCharType="separate"/>
      </w:r>
      <w:r w:rsidR="009356EF">
        <w:rPr>
          <w:rFonts w:ascii="Verdana" w:hAnsi="Verdana"/>
          <w:sz w:val="20"/>
        </w:rPr>
        <w:t>40</w:t>
      </w:r>
      <w:r w:rsidR="005E4B9B">
        <w:rPr>
          <w:rFonts w:ascii="Verdana" w:hAnsi="Verdana"/>
          <w:sz w:val="20"/>
        </w:rPr>
        <w:fldChar w:fldCharType="end"/>
      </w:r>
      <w:r w:rsidR="005E4B9B" w:rsidRPr="005E4B9B">
        <w:rPr>
          <w:rFonts w:ascii="Verdana" w:hAnsi="Verdana"/>
          <w:sz w:val="20"/>
        </w:rPr>
        <w:t>)</w:t>
      </w:r>
      <w:r w:rsidRPr="00505C73">
        <w:rPr>
          <w:rFonts w:ascii="Verdana" w:hAnsi="Verdana"/>
          <w:sz w:val="20"/>
        </w:rPr>
        <w:t xml:space="preserve">. Por </w:t>
      </w:r>
      <w:r w:rsidR="005E4B9B">
        <w:rPr>
          <w:rFonts w:ascii="Verdana" w:hAnsi="Verdana"/>
          <w:sz w:val="20"/>
        </w:rPr>
        <w:t>otra parte</w:t>
      </w:r>
      <w:r w:rsidRPr="00505C73">
        <w:rPr>
          <w:rFonts w:ascii="Verdana" w:hAnsi="Verdana"/>
          <w:sz w:val="20"/>
        </w:rPr>
        <w:t xml:space="preserve">, los representantes, en sus observaciones de 2014 y 2015, han insistido en la falta de medidas adoptadas por </w:t>
      </w:r>
      <w:r w:rsidR="00646D74">
        <w:rPr>
          <w:rFonts w:ascii="Verdana" w:hAnsi="Verdana"/>
          <w:sz w:val="20"/>
        </w:rPr>
        <w:t>Surinam</w:t>
      </w:r>
      <w:r w:rsidRPr="00505C73">
        <w:rPr>
          <w:rFonts w:ascii="Verdana" w:hAnsi="Verdana"/>
          <w:sz w:val="20"/>
        </w:rPr>
        <w:t xml:space="preserve"> para dar cumplimiento a este extremo de la medida de reparación. </w:t>
      </w:r>
    </w:p>
    <w:p w14:paraId="0481FFD5" w14:textId="77777777" w:rsidR="00573BEA" w:rsidRDefault="00573BEA" w:rsidP="00573BEA">
      <w:pPr>
        <w:pStyle w:val="ListParagraph"/>
        <w:ind w:left="0"/>
        <w:jc w:val="both"/>
        <w:rPr>
          <w:rFonts w:ascii="Verdana" w:hAnsi="Verdana"/>
          <w:sz w:val="20"/>
        </w:rPr>
      </w:pPr>
    </w:p>
    <w:p w14:paraId="0A402F20" w14:textId="6A087D70" w:rsidR="005627F9" w:rsidRDefault="005627F9" w:rsidP="007C0BD8">
      <w:pPr>
        <w:pStyle w:val="ListParagraph"/>
        <w:numPr>
          <w:ilvl w:val="0"/>
          <w:numId w:val="2"/>
        </w:numPr>
        <w:ind w:left="0" w:firstLine="0"/>
        <w:jc w:val="both"/>
        <w:rPr>
          <w:rFonts w:ascii="Verdana" w:hAnsi="Verdana"/>
          <w:sz w:val="20"/>
        </w:rPr>
      </w:pPr>
      <w:r>
        <w:rPr>
          <w:rFonts w:ascii="Verdana" w:hAnsi="Verdana"/>
          <w:sz w:val="20"/>
        </w:rPr>
        <w:t>La Corte destaca que el Estado no ha presentado</w:t>
      </w:r>
      <w:r w:rsidRPr="00505C73">
        <w:rPr>
          <w:rFonts w:ascii="Verdana" w:hAnsi="Verdana"/>
          <w:sz w:val="20"/>
        </w:rPr>
        <w:t xml:space="preserve"> información actualizada</w:t>
      </w:r>
      <w:r>
        <w:rPr>
          <w:rFonts w:ascii="Verdana" w:hAnsi="Verdana"/>
          <w:sz w:val="20"/>
        </w:rPr>
        <w:t xml:space="preserve"> y precisa</w:t>
      </w:r>
      <w:r w:rsidRPr="00505C73">
        <w:rPr>
          <w:rFonts w:ascii="Verdana" w:hAnsi="Verdana"/>
          <w:sz w:val="20"/>
        </w:rPr>
        <w:t xml:space="preserve"> sobre este extremo de la medida, a pesar de las solicitudes de información</w:t>
      </w:r>
      <w:r>
        <w:rPr>
          <w:rFonts w:ascii="Verdana" w:hAnsi="Verdana"/>
          <w:sz w:val="20"/>
        </w:rPr>
        <w:t xml:space="preserve"> y</w:t>
      </w:r>
      <w:r w:rsidRPr="00505C73">
        <w:rPr>
          <w:rFonts w:ascii="Verdana" w:hAnsi="Verdana"/>
          <w:sz w:val="20"/>
        </w:rPr>
        <w:t xml:space="preserve"> los recordatorios realizados mediante notas de Secretaría</w:t>
      </w:r>
      <w:r>
        <w:rPr>
          <w:rFonts w:ascii="Verdana" w:hAnsi="Verdana"/>
          <w:sz w:val="20"/>
        </w:rPr>
        <w:t xml:space="preserve"> (</w:t>
      </w:r>
      <w:r>
        <w:rPr>
          <w:rFonts w:ascii="Verdana" w:hAnsi="Verdana"/>
          <w:i/>
          <w:sz w:val="20"/>
        </w:rPr>
        <w:t>supra</w:t>
      </w:r>
      <w:r>
        <w:rPr>
          <w:rFonts w:ascii="Verdana" w:hAnsi="Verdana"/>
          <w:sz w:val="20"/>
        </w:rPr>
        <w:t xml:space="preserve"> </w:t>
      </w:r>
      <w:r w:rsidR="0011436E">
        <w:rPr>
          <w:rFonts w:ascii="Verdana" w:hAnsi="Verdana"/>
          <w:sz w:val="20"/>
        </w:rPr>
        <w:t xml:space="preserve">Visto </w:t>
      </w:r>
      <w:r w:rsidR="0011436E">
        <w:rPr>
          <w:rFonts w:ascii="Verdana" w:hAnsi="Verdana"/>
          <w:sz w:val="20"/>
        </w:rPr>
        <w:fldChar w:fldCharType="begin"/>
      </w:r>
      <w:r w:rsidR="0011436E">
        <w:rPr>
          <w:rFonts w:ascii="Verdana" w:hAnsi="Verdana"/>
          <w:sz w:val="20"/>
        </w:rPr>
        <w:instrText xml:space="preserve"> REF _Ref526519903 \r \h </w:instrText>
      </w:r>
      <w:r w:rsidR="0011436E">
        <w:rPr>
          <w:rFonts w:ascii="Verdana" w:hAnsi="Verdana"/>
          <w:sz w:val="20"/>
        </w:rPr>
      </w:r>
      <w:r w:rsidR="0011436E">
        <w:rPr>
          <w:rFonts w:ascii="Verdana" w:hAnsi="Verdana"/>
          <w:sz w:val="20"/>
        </w:rPr>
        <w:fldChar w:fldCharType="separate"/>
      </w:r>
      <w:r w:rsidR="009356EF">
        <w:rPr>
          <w:rFonts w:ascii="Verdana" w:hAnsi="Verdana"/>
          <w:sz w:val="20"/>
        </w:rPr>
        <w:t>11</w:t>
      </w:r>
      <w:r w:rsidR="0011436E">
        <w:rPr>
          <w:rFonts w:ascii="Verdana" w:hAnsi="Verdana"/>
          <w:sz w:val="20"/>
        </w:rPr>
        <w:fldChar w:fldCharType="end"/>
      </w:r>
      <w:r>
        <w:rPr>
          <w:rFonts w:ascii="Verdana" w:hAnsi="Verdana"/>
          <w:sz w:val="20"/>
        </w:rPr>
        <w:t xml:space="preserve">). Teniendo esto en cuenta, </w:t>
      </w:r>
      <w:r w:rsidRPr="00B10FEF">
        <w:rPr>
          <w:rFonts w:ascii="Verdana" w:hAnsi="Verdana"/>
          <w:sz w:val="20"/>
        </w:rPr>
        <w:t>l</w:t>
      </w:r>
      <w:r w:rsidR="00573BEA" w:rsidRPr="00B10FEF">
        <w:rPr>
          <w:rFonts w:ascii="Verdana" w:hAnsi="Verdana"/>
          <w:sz w:val="20"/>
        </w:rPr>
        <w:t>a Corte reitera, tal como lo hizo en su Resolución de 2011,</w:t>
      </w:r>
      <w:r w:rsidR="00573BEA">
        <w:rPr>
          <w:rFonts w:ascii="Verdana" w:hAnsi="Verdana"/>
          <w:b/>
          <w:sz w:val="20"/>
        </w:rPr>
        <w:t xml:space="preserve"> </w:t>
      </w:r>
      <w:r w:rsidR="00573BEA">
        <w:rPr>
          <w:rFonts w:ascii="Verdana" w:hAnsi="Verdana"/>
          <w:sz w:val="20"/>
        </w:rPr>
        <w:t xml:space="preserve">que el cumplimiento total de la presente medida de reparación debió haberse realizado, a más tardar, el </w:t>
      </w:r>
      <w:r w:rsidR="00C11927">
        <w:rPr>
          <w:rFonts w:ascii="Verdana" w:hAnsi="Verdana"/>
          <w:sz w:val="20"/>
        </w:rPr>
        <w:t>19</w:t>
      </w:r>
      <w:r w:rsidR="00573BEA">
        <w:rPr>
          <w:rFonts w:ascii="Verdana" w:hAnsi="Verdana"/>
          <w:sz w:val="20"/>
        </w:rPr>
        <w:t xml:space="preserve"> de diciembre de 2010.</w:t>
      </w:r>
      <w:r>
        <w:rPr>
          <w:rFonts w:ascii="Verdana" w:hAnsi="Verdana"/>
          <w:sz w:val="20"/>
        </w:rPr>
        <w:t xml:space="preserve"> En este sentido, el plazo de tres años que fue dispuesto en la Sentencia venció hace aproximadamente siete años y nueve meses, sin que hasta la fecha se desprenda que el Estado haya </w:t>
      </w:r>
      <w:r w:rsidR="00646D74">
        <w:rPr>
          <w:rFonts w:ascii="Verdana" w:hAnsi="Verdana"/>
          <w:sz w:val="20"/>
        </w:rPr>
        <w:t xml:space="preserve"> avanzado sustancialmente en el cumplimiento de la misma</w:t>
      </w:r>
      <w:r>
        <w:rPr>
          <w:rFonts w:ascii="Verdana" w:hAnsi="Verdana"/>
          <w:sz w:val="20"/>
        </w:rPr>
        <w:t>. Por el contrario, dados</w:t>
      </w:r>
      <w:r w:rsidR="007C0BD8" w:rsidRPr="00505C73">
        <w:rPr>
          <w:rFonts w:ascii="Verdana" w:hAnsi="Verdana"/>
          <w:sz w:val="20"/>
        </w:rPr>
        <w:t xml:space="preserve"> los señalamientos de los representantes sobre la falta de medidas dirigidas para dar cumplimiento a la misma, la Corte </w:t>
      </w:r>
      <w:r w:rsidR="00C33884">
        <w:rPr>
          <w:rFonts w:ascii="Verdana" w:hAnsi="Verdana"/>
          <w:sz w:val="20"/>
        </w:rPr>
        <w:t>considera</w:t>
      </w:r>
      <w:r w:rsidR="007C0BD8" w:rsidRPr="00505C73">
        <w:rPr>
          <w:rFonts w:ascii="Verdana" w:hAnsi="Verdana"/>
          <w:sz w:val="20"/>
        </w:rPr>
        <w:t xml:space="preserve"> que </w:t>
      </w:r>
      <w:r>
        <w:rPr>
          <w:rFonts w:ascii="Verdana" w:hAnsi="Verdana"/>
          <w:sz w:val="20"/>
        </w:rPr>
        <w:t xml:space="preserve">ha existido un incumplimiento </w:t>
      </w:r>
      <w:r w:rsidR="00646D74">
        <w:rPr>
          <w:rFonts w:ascii="Verdana" w:hAnsi="Verdana"/>
          <w:sz w:val="20"/>
        </w:rPr>
        <w:t>del</w:t>
      </w:r>
      <w:r>
        <w:rPr>
          <w:rFonts w:ascii="Verdana" w:hAnsi="Verdana"/>
          <w:sz w:val="20"/>
        </w:rPr>
        <w:t xml:space="preserve"> plazo dispuestos en la Sentencia.</w:t>
      </w:r>
      <w:r w:rsidR="007C0BD8" w:rsidRPr="00505C73">
        <w:rPr>
          <w:rFonts w:ascii="Verdana" w:hAnsi="Verdana"/>
          <w:sz w:val="20"/>
        </w:rPr>
        <w:t xml:space="preserve"> </w:t>
      </w:r>
    </w:p>
    <w:p w14:paraId="5B5CA090" w14:textId="77777777" w:rsidR="005627F9" w:rsidRPr="005627F9" w:rsidRDefault="005627F9" w:rsidP="005627F9">
      <w:pPr>
        <w:jc w:val="both"/>
        <w:rPr>
          <w:rFonts w:ascii="Verdana" w:hAnsi="Verdana"/>
          <w:sz w:val="20"/>
        </w:rPr>
      </w:pPr>
    </w:p>
    <w:p w14:paraId="0B888829" w14:textId="77777777" w:rsidR="005627F9" w:rsidRDefault="005627F9" w:rsidP="007C0BD8">
      <w:pPr>
        <w:pStyle w:val="ListParagraph"/>
        <w:numPr>
          <w:ilvl w:val="0"/>
          <w:numId w:val="2"/>
        </w:numPr>
        <w:ind w:left="0" w:firstLine="0"/>
        <w:jc w:val="both"/>
        <w:rPr>
          <w:rFonts w:ascii="Verdana" w:hAnsi="Verdana"/>
          <w:sz w:val="20"/>
        </w:rPr>
      </w:pPr>
      <w:r>
        <w:rPr>
          <w:rFonts w:ascii="Verdana" w:hAnsi="Verdana"/>
          <w:sz w:val="20"/>
        </w:rPr>
        <w:t xml:space="preserve">El cumplimiento de esta medida tiene una especial relevancia para el Pueblo </w:t>
      </w:r>
      <w:proofErr w:type="spellStart"/>
      <w:r>
        <w:rPr>
          <w:rFonts w:ascii="Verdana" w:hAnsi="Verdana"/>
          <w:sz w:val="20"/>
        </w:rPr>
        <w:t>Saramaka</w:t>
      </w:r>
      <w:proofErr w:type="spellEnd"/>
      <w:r>
        <w:rPr>
          <w:rFonts w:ascii="Verdana" w:hAnsi="Verdana"/>
          <w:sz w:val="20"/>
        </w:rPr>
        <w:t>. Tal como fue establecido en la Sentencia:</w:t>
      </w:r>
    </w:p>
    <w:p w14:paraId="0FDC4A30" w14:textId="77777777" w:rsidR="005627F9" w:rsidRDefault="005627F9" w:rsidP="005627F9">
      <w:pPr>
        <w:jc w:val="both"/>
        <w:rPr>
          <w:rFonts w:ascii="Verdana" w:hAnsi="Verdana"/>
          <w:sz w:val="20"/>
        </w:rPr>
      </w:pPr>
    </w:p>
    <w:p w14:paraId="1116DD3F" w14:textId="32E06821" w:rsidR="005627F9" w:rsidRPr="005627F9" w:rsidRDefault="005627F9" w:rsidP="005627F9">
      <w:pPr>
        <w:ind w:left="567" w:right="474"/>
        <w:jc w:val="both"/>
        <w:rPr>
          <w:rFonts w:ascii="Verdana" w:hAnsi="Verdana"/>
          <w:sz w:val="16"/>
          <w:szCs w:val="16"/>
        </w:rPr>
      </w:pPr>
      <w:r w:rsidRPr="005627F9">
        <w:rPr>
          <w:rFonts w:ascii="Verdana" w:hAnsi="Verdana"/>
          <w:sz w:val="16"/>
          <w:szCs w:val="16"/>
        </w:rPr>
        <w:t>82.</w:t>
      </w:r>
      <w:r w:rsidRPr="005627F9">
        <w:rPr>
          <w:rFonts w:ascii="Verdana" w:hAnsi="Verdana"/>
          <w:sz w:val="16"/>
          <w:szCs w:val="16"/>
        </w:rPr>
        <w:tab/>
        <w:t xml:space="preserve">Su cultura es muy parecida a aquella de los pueblos tribales en tanto los integrantes del pueblo </w:t>
      </w:r>
      <w:proofErr w:type="spellStart"/>
      <w:r w:rsidRPr="005627F9">
        <w:rPr>
          <w:rFonts w:ascii="Verdana" w:hAnsi="Verdana"/>
          <w:sz w:val="16"/>
          <w:szCs w:val="16"/>
        </w:rPr>
        <w:t>Saramaka</w:t>
      </w:r>
      <w:proofErr w:type="spellEnd"/>
      <w:r w:rsidRPr="005627F9">
        <w:rPr>
          <w:rFonts w:ascii="Verdana" w:hAnsi="Verdana"/>
          <w:sz w:val="16"/>
          <w:szCs w:val="16"/>
        </w:rPr>
        <w:t xml:space="preserve"> mantienen una fuerte relación espiritual con el territorio  ancestral que han usado y ocupado tradicionalmente.  La tierra significa más que meramente una fuente de subsistencia para ellos; también es una fuente necesaria para la continuidad de la vida y de la identidad cultural de los miembros del pueblo </w:t>
      </w:r>
      <w:proofErr w:type="spellStart"/>
      <w:r w:rsidRPr="005627F9">
        <w:rPr>
          <w:rFonts w:ascii="Verdana" w:hAnsi="Verdana"/>
          <w:sz w:val="16"/>
          <w:szCs w:val="16"/>
        </w:rPr>
        <w:t>Saramaka</w:t>
      </w:r>
      <w:proofErr w:type="spellEnd"/>
      <w:r w:rsidRPr="005627F9">
        <w:rPr>
          <w:rFonts w:ascii="Verdana" w:hAnsi="Verdana"/>
          <w:sz w:val="16"/>
          <w:szCs w:val="16"/>
        </w:rPr>
        <w:t xml:space="preserve">.  Las tierras y los recursos del pueblo </w:t>
      </w:r>
      <w:proofErr w:type="spellStart"/>
      <w:r w:rsidRPr="005627F9">
        <w:rPr>
          <w:rFonts w:ascii="Verdana" w:hAnsi="Verdana"/>
          <w:sz w:val="16"/>
          <w:szCs w:val="16"/>
        </w:rPr>
        <w:t>Saramaka</w:t>
      </w:r>
      <w:proofErr w:type="spellEnd"/>
      <w:r w:rsidRPr="005627F9">
        <w:rPr>
          <w:rFonts w:ascii="Verdana" w:hAnsi="Verdana"/>
          <w:sz w:val="16"/>
          <w:szCs w:val="16"/>
        </w:rPr>
        <w:t xml:space="preserve"> forman parte de su esencia social, ancestral y espiritual.  En este territorio, el pueblo </w:t>
      </w:r>
      <w:proofErr w:type="spellStart"/>
      <w:r w:rsidRPr="005627F9">
        <w:rPr>
          <w:rFonts w:ascii="Verdana" w:hAnsi="Verdana"/>
          <w:sz w:val="16"/>
          <w:szCs w:val="16"/>
        </w:rPr>
        <w:t>Saramaka</w:t>
      </w:r>
      <w:proofErr w:type="spellEnd"/>
      <w:r w:rsidRPr="005627F9">
        <w:rPr>
          <w:rFonts w:ascii="Verdana" w:hAnsi="Verdana"/>
          <w:sz w:val="16"/>
          <w:szCs w:val="16"/>
        </w:rPr>
        <w:t xml:space="preserve"> caza, pesca y cosecha, y recogen agua, plantas para fines medicinales, aceites, minerales y </w:t>
      </w:r>
      <w:proofErr w:type="gramStart"/>
      <w:r w:rsidRPr="005627F9">
        <w:rPr>
          <w:rFonts w:ascii="Verdana" w:hAnsi="Verdana"/>
          <w:sz w:val="16"/>
          <w:szCs w:val="16"/>
        </w:rPr>
        <w:t>madera .</w:t>
      </w:r>
      <w:proofErr w:type="gramEnd"/>
      <w:r w:rsidRPr="005627F9">
        <w:rPr>
          <w:rFonts w:ascii="Verdana" w:hAnsi="Verdana"/>
          <w:sz w:val="16"/>
          <w:szCs w:val="16"/>
        </w:rPr>
        <w:t xml:space="preserve">  Los sitios sagrados están distribuidos en todo el territorio, a la vez que el territorio en sí tiene un valor sagrado para ellos.  En especial, la identidad de los integrantes del pueblo con la tierra está </w:t>
      </w:r>
      <w:proofErr w:type="spellStart"/>
      <w:r w:rsidRPr="005627F9">
        <w:rPr>
          <w:rFonts w:ascii="Verdana" w:hAnsi="Verdana"/>
          <w:sz w:val="16"/>
          <w:szCs w:val="16"/>
        </w:rPr>
        <w:t>intrínsicamente</w:t>
      </w:r>
      <w:proofErr w:type="spellEnd"/>
      <w:r w:rsidRPr="005627F9">
        <w:rPr>
          <w:rFonts w:ascii="Verdana" w:hAnsi="Verdana"/>
          <w:sz w:val="16"/>
          <w:szCs w:val="16"/>
        </w:rPr>
        <w:t xml:space="preserve"> relacionada con la lucha histórica por la libertad en contra de la esclavitud, llamada la sagrada “primera vez”. Durante la audiencia pública del presente caso el Capitán Jefe </w:t>
      </w:r>
      <w:proofErr w:type="spellStart"/>
      <w:r w:rsidRPr="005627F9">
        <w:rPr>
          <w:rFonts w:ascii="Verdana" w:hAnsi="Verdana"/>
          <w:sz w:val="16"/>
          <w:szCs w:val="16"/>
        </w:rPr>
        <w:t>Wazen</w:t>
      </w:r>
      <w:proofErr w:type="spellEnd"/>
      <w:r w:rsidRPr="005627F9">
        <w:rPr>
          <w:rFonts w:ascii="Verdana" w:hAnsi="Verdana"/>
          <w:sz w:val="16"/>
          <w:szCs w:val="16"/>
        </w:rPr>
        <w:t xml:space="preserve"> Edwards describió la especial relación que tienen con la tierra del siguiente modo:  </w:t>
      </w:r>
    </w:p>
    <w:p w14:paraId="35326A24" w14:textId="77777777" w:rsidR="005627F9" w:rsidRPr="005627F9" w:rsidRDefault="005627F9" w:rsidP="005627F9">
      <w:pPr>
        <w:ind w:left="567" w:right="474"/>
        <w:jc w:val="both"/>
        <w:rPr>
          <w:rFonts w:ascii="Verdana" w:hAnsi="Verdana"/>
          <w:sz w:val="20"/>
        </w:rPr>
      </w:pPr>
    </w:p>
    <w:p w14:paraId="6A1EC004" w14:textId="66079985" w:rsidR="005627F9" w:rsidRPr="005627F9" w:rsidRDefault="005627F9" w:rsidP="00646D74">
      <w:pPr>
        <w:ind w:left="567" w:right="474" w:firstLine="153"/>
        <w:jc w:val="both"/>
        <w:rPr>
          <w:rFonts w:ascii="Verdana" w:hAnsi="Verdana"/>
          <w:sz w:val="16"/>
          <w:szCs w:val="16"/>
        </w:rPr>
      </w:pPr>
      <w:r w:rsidRPr="005627F9">
        <w:rPr>
          <w:rFonts w:ascii="Verdana" w:hAnsi="Verdana"/>
          <w:sz w:val="16"/>
          <w:szCs w:val="16"/>
        </w:rPr>
        <w:t>El bosque es como nuestro mercado local; allí obtenemos nuestras medicinas, nuestras plantas medicinales.  Allí cazamos para tener carne que comer.  El bosque constituye verdaderamente nuestra vida entera.  Cuando nuestros ancestros se escaparon al bosque, no llevaban nada con ellos.  Aprendieron cómo sobrevivir, qué plantas comer, cómo manejar sus necesidades de subsistencia una vez que llegaron al bosque.  Es toda nuestra forma de vida.</w:t>
      </w:r>
    </w:p>
    <w:p w14:paraId="376F8DB3" w14:textId="77777777" w:rsidR="005627F9" w:rsidRPr="005627F9" w:rsidRDefault="005627F9" w:rsidP="005627F9">
      <w:pPr>
        <w:jc w:val="both"/>
        <w:rPr>
          <w:rFonts w:ascii="Verdana" w:hAnsi="Verdana"/>
          <w:sz w:val="20"/>
        </w:rPr>
      </w:pPr>
    </w:p>
    <w:p w14:paraId="4D9BD5C2" w14:textId="7478707F" w:rsidR="007C0BD8" w:rsidRPr="00505C73" w:rsidRDefault="005627F9" w:rsidP="007C0BD8">
      <w:pPr>
        <w:pStyle w:val="ListParagraph"/>
        <w:numPr>
          <w:ilvl w:val="0"/>
          <w:numId w:val="2"/>
        </w:numPr>
        <w:ind w:left="0" w:firstLine="0"/>
        <w:jc w:val="both"/>
        <w:rPr>
          <w:rFonts w:ascii="Verdana" w:hAnsi="Verdana"/>
          <w:sz w:val="20"/>
        </w:rPr>
      </w:pPr>
      <w:r>
        <w:rPr>
          <w:rFonts w:ascii="Verdana" w:hAnsi="Verdana"/>
          <w:sz w:val="20"/>
        </w:rPr>
        <w:t>En consecuencia, la Corte</w:t>
      </w:r>
      <w:r w:rsidR="007C0BD8" w:rsidRPr="00505C73">
        <w:rPr>
          <w:rFonts w:ascii="Verdana" w:hAnsi="Verdana"/>
          <w:sz w:val="20"/>
        </w:rPr>
        <w:t xml:space="preserve"> requiere al Estado que</w:t>
      </w:r>
      <w:r>
        <w:rPr>
          <w:rFonts w:ascii="Verdana" w:hAnsi="Verdana"/>
          <w:sz w:val="20"/>
        </w:rPr>
        <w:t xml:space="preserve"> adopte</w:t>
      </w:r>
      <w:r w:rsidR="00406773">
        <w:rPr>
          <w:rFonts w:ascii="Verdana" w:hAnsi="Verdana"/>
          <w:sz w:val="20"/>
        </w:rPr>
        <w:t>, a la mayor brevedad,</w:t>
      </w:r>
      <w:r>
        <w:rPr>
          <w:rFonts w:ascii="Verdana" w:hAnsi="Verdana"/>
          <w:sz w:val="20"/>
        </w:rPr>
        <w:t xml:space="preserve"> las medidas necesarias para finalmente delimitar, demarcar y otorgar el título colectivo de las tierras correspondientes al Pueblo </w:t>
      </w:r>
      <w:proofErr w:type="spellStart"/>
      <w:r>
        <w:rPr>
          <w:rFonts w:ascii="Verdana" w:hAnsi="Verdana"/>
          <w:sz w:val="20"/>
        </w:rPr>
        <w:t>Saramaka</w:t>
      </w:r>
      <w:proofErr w:type="spellEnd"/>
      <w:r>
        <w:rPr>
          <w:rFonts w:ascii="Verdana" w:hAnsi="Verdana"/>
          <w:sz w:val="20"/>
        </w:rPr>
        <w:t>. En este sentido, el Estado debe presentar</w:t>
      </w:r>
      <w:r w:rsidR="007C0BD8" w:rsidRPr="00505C73">
        <w:rPr>
          <w:rFonts w:ascii="Verdana" w:hAnsi="Verdana"/>
          <w:sz w:val="20"/>
        </w:rPr>
        <w:t xml:space="preserve"> un cronograma detallado </w:t>
      </w:r>
      <w:r>
        <w:rPr>
          <w:rFonts w:ascii="Verdana" w:hAnsi="Verdana"/>
          <w:sz w:val="20"/>
        </w:rPr>
        <w:t>para el cumplimiento de esta obligación.</w:t>
      </w:r>
      <w:r w:rsidR="007C0BD8" w:rsidRPr="00505C73">
        <w:rPr>
          <w:rFonts w:ascii="Verdana" w:hAnsi="Verdana"/>
          <w:sz w:val="20"/>
        </w:rPr>
        <w:t xml:space="preserve"> </w:t>
      </w:r>
    </w:p>
    <w:p w14:paraId="6E64431F" w14:textId="77777777" w:rsidR="007C0BD8" w:rsidRPr="00505C73" w:rsidRDefault="007C0BD8" w:rsidP="007C0BD8">
      <w:pPr>
        <w:pStyle w:val="ListParagraph"/>
        <w:ind w:left="0"/>
        <w:jc w:val="both"/>
        <w:rPr>
          <w:rFonts w:ascii="Verdana" w:hAnsi="Verdana"/>
          <w:sz w:val="20"/>
        </w:rPr>
      </w:pPr>
    </w:p>
    <w:p w14:paraId="176FFFB0" w14:textId="07EE6F79" w:rsidR="007C0BD8" w:rsidRPr="00505C73" w:rsidRDefault="007C0BD8" w:rsidP="007C0BD8">
      <w:pPr>
        <w:pStyle w:val="ListParagraph"/>
        <w:numPr>
          <w:ilvl w:val="0"/>
          <w:numId w:val="2"/>
        </w:numPr>
        <w:ind w:left="0" w:firstLine="0"/>
        <w:jc w:val="both"/>
        <w:rPr>
          <w:rFonts w:ascii="Verdana" w:hAnsi="Verdana"/>
          <w:sz w:val="20"/>
        </w:rPr>
      </w:pPr>
      <w:r w:rsidRPr="003A34A7">
        <w:rPr>
          <w:rFonts w:ascii="Verdana" w:hAnsi="Verdana"/>
          <w:sz w:val="20"/>
        </w:rPr>
        <w:t>Por</w:t>
      </w:r>
      <w:r w:rsidRPr="00505C73">
        <w:rPr>
          <w:rFonts w:ascii="Verdana" w:hAnsi="Verdana"/>
          <w:sz w:val="20"/>
        </w:rPr>
        <w:t xml:space="preserve"> su parte, en lo que respecta a la obligación de </w:t>
      </w:r>
      <w:r w:rsidR="003A34A7">
        <w:rPr>
          <w:rFonts w:ascii="Verdana" w:hAnsi="Verdana"/>
          <w:sz w:val="20"/>
        </w:rPr>
        <w:t xml:space="preserve">revisar las concesiones que </w:t>
      </w:r>
      <w:r w:rsidR="00B258E0">
        <w:rPr>
          <w:rFonts w:ascii="Verdana" w:hAnsi="Verdana"/>
          <w:sz w:val="20"/>
        </w:rPr>
        <w:t xml:space="preserve">habían sido </w:t>
      </w:r>
      <w:r w:rsidR="003A34A7">
        <w:rPr>
          <w:rFonts w:ascii="Verdana" w:hAnsi="Verdana"/>
          <w:sz w:val="20"/>
        </w:rPr>
        <w:t xml:space="preserve">otorgadas en el territorio correspondiente al Pueblo </w:t>
      </w:r>
      <w:proofErr w:type="spellStart"/>
      <w:r w:rsidR="003A34A7">
        <w:rPr>
          <w:rFonts w:ascii="Verdana" w:hAnsi="Verdana"/>
          <w:sz w:val="20"/>
        </w:rPr>
        <w:t>Saramaka</w:t>
      </w:r>
      <w:proofErr w:type="spellEnd"/>
      <w:r w:rsidR="005B3145">
        <w:rPr>
          <w:rFonts w:ascii="Verdana" w:hAnsi="Verdana"/>
          <w:sz w:val="20"/>
        </w:rPr>
        <w:t xml:space="preserve"> </w:t>
      </w:r>
      <w:r w:rsidR="005B3145" w:rsidRPr="00505C73">
        <w:rPr>
          <w:rFonts w:ascii="Verdana" w:hAnsi="Verdana"/>
          <w:sz w:val="20"/>
        </w:rPr>
        <w:t>antes del dictado de la Sentencia</w:t>
      </w:r>
      <w:r w:rsidR="00646D74">
        <w:rPr>
          <w:rFonts w:ascii="Verdana" w:hAnsi="Verdana"/>
          <w:sz w:val="20"/>
        </w:rPr>
        <w:t xml:space="preserve"> (</w:t>
      </w:r>
      <w:r w:rsidR="00646D74">
        <w:rPr>
          <w:rFonts w:ascii="Verdana" w:hAnsi="Verdana"/>
          <w:i/>
          <w:sz w:val="20"/>
        </w:rPr>
        <w:t>supra</w:t>
      </w:r>
      <w:r w:rsidR="00646D74">
        <w:rPr>
          <w:rFonts w:ascii="Verdana" w:hAnsi="Verdana"/>
          <w:sz w:val="20"/>
        </w:rPr>
        <w:t xml:space="preserve"> Considerando </w:t>
      </w:r>
      <w:r w:rsidR="00646D74">
        <w:rPr>
          <w:rFonts w:ascii="Verdana" w:hAnsi="Verdana"/>
          <w:sz w:val="20"/>
        </w:rPr>
        <w:fldChar w:fldCharType="begin"/>
      </w:r>
      <w:r w:rsidR="00646D74">
        <w:rPr>
          <w:rFonts w:ascii="Verdana" w:hAnsi="Verdana"/>
          <w:sz w:val="20"/>
        </w:rPr>
        <w:instrText xml:space="preserve"> REF _Ref526765096 \r \h </w:instrText>
      </w:r>
      <w:r w:rsidR="00646D74">
        <w:rPr>
          <w:rFonts w:ascii="Verdana" w:hAnsi="Verdana"/>
          <w:sz w:val="20"/>
        </w:rPr>
      </w:r>
      <w:r w:rsidR="00646D74">
        <w:rPr>
          <w:rFonts w:ascii="Verdana" w:hAnsi="Verdana"/>
          <w:sz w:val="20"/>
        </w:rPr>
        <w:fldChar w:fldCharType="separate"/>
      </w:r>
      <w:r w:rsidR="009356EF">
        <w:rPr>
          <w:rFonts w:ascii="Verdana" w:hAnsi="Verdana"/>
          <w:sz w:val="20"/>
        </w:rPr>
        <w:t>12</w:t>
      </w:r>
      <w:r w:rsidR="00646D74">
        <w:rPr>
          <w:rFonts w:ascii="Verdana" w:hAnsi="Verdana"/>
          <w:sz w:val="20"/>
        </w:rPr>
        <w:fldChar w:fldCharType="end"/>
      </w:r>
      <w:r w:rsidR="00646D74">
        <w:rPr>
          <w:rFonts w:ascii="Verdana" w:hAnsi="Verdana"/>
          <w:sz w:val="20"/>
        </w:rPr>
        <w:t>)</w:t>
      </w:r>
      <w:r w:rsidRPr="00505C73">
        <w:rPr>
          <w:rFonts w:ascii="Verdana" w:hAnsi="Verdana"/>
          <w:sz w:val="20"/>
        </w:rPr>
        <w:t>,</w:t>
      </w:r>
      <w:r w:rsidR="00826C90">
        <w:rPr>
          <w:rFonts w:ascii="Verdana" w:hAnsi="Verdana"/>
          <w:sz w:val="20"/>
        </w:rPr>
        <w:t xml:space="preserve"> la Corte observa que</w:t>
      </w:r>
      <w:r w:rsidRPr="00505C73">
        <w:rPr>
          <w:rFonts w:ascii="Verdana" w:hAnsi="Verdana"/>
          <w:sz w:val="20"/>
        </w:rPr>
        <w:t xml:space="preserve"> el </w:t>
      </w:r>
      <w:r w:rsidRPr="00505C73">
        <w:rPr>
          <w:rFonts w:ascii="Verdana" w:hAnsi="Verdana"/>
          <w:i/>
          <w:sz w:val="20"/>
        </w:rPr>
        <w:t>Estado</w:t>
      </w:r>
      <w:r w:rsidRPr="00505C73">
        <w:rPr>
          <w:rFonts w:ascii="Verdana" w:hAnsi="Verdana"/>
          <w:sz w:val="20"/>
        </w:rPr>
        <w:t xml:space="preserve"> </w:t>
      </w:r>
      <w:r w:rsidR="00646D74">
        <w:rPr>
          <w:rFonts w:ascii="Verdana" w:hAnsi="Verdana"/>
          <w:sz w:val="20"/>
        </w:rPr>
        <w:t>no</w:t>
      </w:r>
      <w:r w:rsidRPr="00505C73">
        <w:rPr>
          <w:rFonts w:ascii="Verdana" w:hAnsi="Verdana"/>
          <w:sz w:val="20"/>
        </w:rPr>
        <w:t xml:space="preserve"> ha proporcionado información</w:t>
      </w:r>
      <w:r w:rsidR="005B3145">
        <w:rPr>
          <w:rFonts w:ascii="Verdana" w:hAnsi="Verdana"/>
          <w:sz w:val="20"/>
        </w:rPr>
        <w:t>,</w:t>
      </w:r>
      <w:r w:rsidRPr="00505C73">
        <w:rPr>
          <w:rFonts w:ascii="Verdana" w:hAnsi="Verdana"/>
          <w:sz w:val="20"/>
        </w:rPr>
        <w:t xml:space="preserve"> con posterioridad a la Resolución de 2011</w:t>
      </w:r>
      <w:r w:rsidR="005B3145">
        <w:rPr>
          <w:rFonts w:ascii="Verdana" w:hAnsi="Verdana"/>
          <w:sz w:val="20"/>
        </w:rPr>
        <w:t>,</w:t>
      </w:r>
      <w:r w:rsidR="003A34A7">
        <w:rPr>
          <w:rFonts w:ascii="Verdana" w:hAnsi="Verdana"/>
          <w:sz w:val="20"/>
        </w:rPr>
        <w:t xml:space="preserve"> </w:t>
      </w:r>
      <w:r w:rsidRPr="00505C73">
        <w:rPr>
          <w:rFonts w:ascii="Verdana" w:hAnsi="Verdana"/>
          <w:sz w:val="20"/>
        </w:rPr>
        <w:t xml:space="preserve">de la que se desprenda que ha adoptado alguna medida dirigida a revisar </w:t>
      </w:r>
      <w:r w:rsidR="005B3145">
        <w:rPr>
          <w:rFonts w:ascii="Verdana" w:hAnsi="Verdana"/>
          <w:sz w:val="20"/>
        </w:rPr>
        <w:t>dichas</w:t>
      </w:r>
      <w:r w:rsidRPr="00505C73">
        <w:rPr>
          <w:rFonts w:ascii="Verdana" w:hAnsi="Verdana"/>
          <w:sz w:val="20"/>
        </w:rPr>
        <w:t xml:space="preserve"> concesiones. </w:t>
      </w:r>
      <w:r>
        <w:rPr>
          <w:rFonts w:ascii="Verdana" w:hAnsi="Verdana"/>
          <w:sz w:val="20"/>
        </w:rPr>
        <w:t xml:space="preserve">En consecuencia, </w:t>
      </w:r>
      <w:r w:rsidR="005B3145">
        <w:rPr>
          <w:rFonts w:ascii="Verdana" w:hAnsi="Verdana"/>
          <w:sz w:val="20"/>
        </w:rPr>
        <w:t xml:space="preserve">se </w:t>
      </w:r>
      <w:r>
        <w:rPr>
          <w:rFonts w:ascii="Verdana" w:hAnsi="Verdana"/>
          <w:sz w:val="20"/>
        </w:rPr>
        <w:t xml:space="preserve">requiere al Estado que precise cuáles concesiones fueron otorgadas y persisten dentro del territorio </w:t>
      </w:r>
      <w:proofErr w:type="spellStart"/>
      <w:r>
        <w:rPr>
          <w:rFonts w:ascii="Verdana" w:hAnsi="Verdana"/>
          <w:sz w:val="20"/>
        </w:rPr>
        <w:t>Saramaka</w:t>
      </w:r>
      <w:proofErr w:type="spellEnd"/>
      <w:r>
        <w:rPr>
          <w:rFonts w:ascii="Verdana" w:hAnsi="Verdana"/>
          <w:sz w:val="20"/>
        </w:rPr>
        <w:t>, y qué medidas ha adoptado para revisar</w:t>
      </w:r>
      <w:r w:rsidR="00646D74">
        <w:rPr>
          <w:rFonts w:ascii="Verdana" w:hAnsi="Verdana"/>
          <w:sz w:val="20"/>
        </w:rPr>
        <w:t>las</w:t>
      </w:r>
      <w:r>
        <w:rPr>
          <w:rFonts w:ascii="Verdana" w:hAnsi="Verdana"/>
          <w:sz w:val="20"/>
        </w:rPr>
        <w:t xml:space="preserve">. </w:t>
      </w:r>
      <w:r>
        <w:rPr>
          <w:rFonts w:ascii="Verdana" w:hAnsi="Verdana"/>
          <w:sz w:val="20"/>
        </w:rPr>
        <w:lastRenderedPageBreak/>
        <w:t xml:space="preserve">Surinam deberá hacer referencia a </w:t>
      </w:r>
      <w:r w:rsidRPr="00945C54">
        <w:rPr>
          <w:rFonts w:ascii="Verdana" w:hAnsi="Verdana"/>
          <w:sz w:val="20"/>
        </w:rPr>
        <w:t xml:space="preserve">si ha consultado con </w:t>
      </w:r>
      <w:r>
        <w:rPr>
          <w:rFonts w:ascii="Verdana" w:hAnsi="Verdana"/>
          <w:sz w:val="20"/>
        </w:rPr>
        <w:t xml:space="preserve">los </w:t>
      </w:r>
      <w:proofErr w:type="spellStart"/>
      <w:r>
        <w:rPr>
          <w:rFonts w:ascii="Verdana" w:hAnsi="Verdana"/>
          <w:sz w:val="20"/>
        </w:rPr>
        <w:t>Saramaka</w:t>
      </w:r>
      <w:proofErr w:type="spellEnd"/>
      <w:r>
        <w:rPr>
          <w:rFonts w:ascii="Verdana" w:hAnsi="Verdana"/>
          <w:sz w:val="20"/>
        </w:rPr>
        <w:t xml:space="preserve"> y les ha garantizado</w:t>
      </w:r>
      <w:r w:rsidRPr="00945C54">
        <w:rPr>
          <w:rFonts w:ascii="Verdana" w:hAnsi="Verdana"/>
          <w:sz w:val="20"/>
        </w:rPr>
        <w:t xml:space="preserve"> su participación efectiva en esas revisiones; </w:t>
      </w:r>
      <w:r w:rsidR="00EC3A7C">
        <w:rPr>
          <w:rFonts w:ascii="Verdana" w:hAnsi="Verdana"/>
          <w:sz w:val="20"/>
        </w:rPr>
        <w:t>en su caso, si</w:t>
      </w:r>
      <w:r w:rsidRPr="00945C54">
        <w:rPr>
          <w:rFonts w:ascii="Verdana" w:hAnsi="Verdana"/>
          <w:sz w:val="20"/>
        </w:rPr>
        <w:t xml:space="preserve"> está garantizando que los miembros del pueblo </w:t>
      </w:r>
      <w:proofErr w:type="spellStart"/>
      <w:r w:rsidRPr="00945C54">
        <w:rPr>
          <w:rFonts w:ascii="Verdana" w:hAnsi="Verdana"/>
          <w:sz w:val="20"/>
        </w:rPr>
        <w:t>Saramaka</w:t>
      </w:r>
      <w:proofErr w:type="spellEnd"/>
      <w:r w:rsidRPr="00945C54">
        <w:rPr>
          <w:rFonts w:ascii="Verdana" w:hAnsi="Verdana"/>
          <w:sz w:val="20"/>
        </w:rPr>
        <w:t xml:space="preserve"> recib</w:t>
      </w:r>
      <w:r w:rsidR="00C520EC">
        <w:rPr>
          <w:rFonts w:ascii="Verdana" w:hAnsi="Verdana"/>
          <w:sz w:val="20"/>
        </w:rPr>
        <w:t>an</w:t>
      </w:r>
      <w:r w:rsidRPr="00945C54">
        <w:rPr>
          <w:rFonts w:ascii="Verdana" w:hAnsi="Verdana"/>
          <w:sz w:val="20"/>
        </w:rPr>
        <w:t xml:space="preserve"> beneficios razonables de dichas concesiones; y si se han realizado estudio</w:t>
      </w:r>
      <w:r w:rsidR="003F7BC8">
        <w:rPr>
          <w:rFonts w:ascii="Verdana" w:hAnsi="Verdana"/>
          <w:sz w:val="20"/>
        </w:rPr>
        <w:t>s</w:t>
      </w:r>
      <w:r w:rsidRPr="00945C54">
        <w:rPr>
          <w:rFonts w:ascii="Verdana" w:hAnsi="Verdana"/>
          <w:sz w:val="20"/>
        </w:rPr>
        <w:t xml:space="preserve"> de impacto ambiental y social</w:t>
      </w:r>
      <w:r w:rsidR="003F7BC8">
        <w:rPr>
          <w:rFonts w:ascii="Verdana" w:hAnsi="Verdana"/>
          <w:sz w:val="20"/>
        </w:rPr>
        <w:t xml:space="preserve"> al respecto</w:t>
      </w:r>
      <w:r w:rsidR="00EC3A7C">
        <w:rPr>
          <w:rStyle w:val="FootnoteReference"/>
          <w:rFonts w:ascii="Verdana" w:hAnsi="Verdana"/>
          <w:sz w:val="20"/>
        </w:rPr>
        <w:footnoteReference w:id="24"/>
      </w:r>
      <w:r>
        <w:rPr>
          <w:rFonts w:ascii="Verdana" w:hAnsi="Verdana"/>
          <w:sz w:val="20"/>
        </w:rPr>
        <w:t xml:space="preserve">. </w:t>
      </w:r>
    </w:p>
    <w:p w14:paraId="3EB0CD7E" w14:textId="77777777" w:rsidR="007C0BD8" w:rsidRPr="00505C73" w:rsidRDefault="007C0BD8" w:rsidP="007C0BD8">
      <w:pPr>
        <w:jc w:val="both"/>
        <w:rPr>
          <w:rFonts w:ascii="Verdana" w:hAnsi="Verdana"/>
          <w:sz w:val="20"/>
        </w:rPr>
      </w:pPr>
    </w:p>
    <w:p w14:paraId="1FC82A59" w14:textId="43105290" w:rsidR="003F7BC8" w:rsidRDefault="007C0BD8" w:rsidP="003A34A7">
      <w:pPr>
        <w:pStyle w:val="ListParagraph"/>
        <w:numPr>
          <w:ilvl w:val="0"/>
          <w:numId w:val="2"/>
        </w:numPr>
        <w:ind w:left="0" w:firstLine="0"/>
        <w:jc w:val="both"/>
        <w:rPr>
          <w:rFonts w:ascii="Verdana" w:hAnsi="Verdana"/>
          <w:sz w:val="20"/>
        </w:rPr>
      </w:pPr>
      <w:bookmarkStart w:id="20" w:name="_Ref526771383"/>
      <w:r w:rsidRPr="003F7BC8">
        <w:rPr>
          <w:rFonts w:ascii="Verdana" w:hAnsi="Verdana"/>
          <w:sz w:val="20"/>
        </w:rPr>
        <w:t>Finalmente, en lo que respecta</w:t>
      </w:r>
      <w:r w:rsidR="00F452E2" w:rsidRPr="003F7BC8">
        <w:rPr>
          <w:rFonts w:ascii="Verdana" w:hAnsi="Verdana"/>
          <w:sz w:val="20"/>
        </w:rPr>
        <w:t xml:space="preserve"> a</w:t>
      </w:r>
      <w:r w:rsidR="003A34A7">
        <w:rPr>
          <w:rFonts w:ascii="Verdana" w:hAnsi="Verdana"/>
          <w:sz w:val="20"/>
        </w:rPr>
        <w:t xml:space="preserve"> las</w:t>
      </w:r>
      <w:r w:rsidRPr="003F7BC8">
        <w:rPr>
          <w:rFonts w:ascii="Verdana" w:hAnsi="Verdana"/>
          <w:sz w:val="20"/>
        </w:rPr>
        <w:t xml:space="preserve"> concesi</w:t>
      </w:r>
      <w:r w:rsidR="00826C90" w:rsidRPr="003F7BC8">
        <w:rPr>
          <w:rFonts w:ascii="Verdana" w:hAnsi="Verdana"/>
          <w:sz w:val="20"/>
        </w:rPr>
        <w:t>o</w:t>
      </w:r>
      <w:r w:rsidRPr="003F7BC8">
        <w:rPr>
          <w:rFonts w:ascii="Verdana" w:hAnsi="Verdana"/>
          <w:sz w:val="20"/>
        </w:rPr>
        <w:t>n</w:t>
      </w:r>
      <w:r w:rsidR="00826C90" w:rsidRPr="003F7BC8">
        <w:rPr>
          <w:rFonts w:ascii="Verdana" w:hAnsi="Verdana"/>
          <w:sz w:val="20"/>
        </w:rPr>
        <w:t>es</w:t>
      </w:r>
      <w:r w:rsidRPr="003F7BC8">
        <w:rPr>
          <w:rFonts w:ascii="Verdana" w:hAnsi="Verdana"/>
          <w:sz w:val="20"/>
        </w:rPr>
        <w:t xml:space="preserve"> maderera</w:t>
      </w:r>
      <w:r w:rsidR="00826C90" w:rsidRPr="003F7BC8">
        <w:rPr>
          <w:rFonts w:ascii="Verdana" w:hAnsi="Verdana"/>
          <w:sz w:val="20"/>
        </w:rPr>
        <w:t>s</w:t>
      </w:r>
      <w:r w:rsidRPr="003F7BC8">
        <w:rPr>
          <w:rFonts w:ascii="Verdana" w:hAnsi="Verdana"/>
          <w:sz w:val="20"/>
        </w:rPr>
        <w:t xml:space="preserve"> y minera</w:t>
      </w:r>
      <w:r w:rsidR="00826C90" w:rsidRPr="003F7BC8">
        <w:rPr>
          <w:rFonts w:ascii="Verdana" w:hAnsi="Verdana"/>
          <w:sz w:val="20"/>
        </w:rPr>
        <w:t xml:space="preserve">s </w:t>
      </w:r>
      <w:r w:rsidR="00CF4D8A">
        <w:rPr>
          <w:rFonts w:ascii="Verdana" w:hAnsi="Verdana"/>
          <w:sz w:val="20"/>
        </w:rPr>
        <w:t xml:space="preserve">otorgadas </w:t>
      </w:r>
      <w:r w:rsidRPr="003F7BC8">
        <w:rPr>
          <w:rFonts w:ascii="Verdana" w:hAnsi="Verdana"/>
          <w:sz w:val="20"/>
        </w:rPr>
        <w:t>con posterioridad a la Sentencia</w:t>
      </w:r>
      <w:r w:rsidR="003A34A7">
        <w:rPr>
          <w:rFonts w:ascii="Verdana" w:hAnsi="Verdana"/>
          <w:sz w:val="20"/>
        </w:rPr>
        <w:t xml:space="preserve"> y al deber del Estado de “</w:t>
      </w:r>
      <w:r w:rsidR="003A34A7" w:rsidRPr="003A34A7">
        <w:rPr>
          <w:rFonts w:ascii="Verdana" w:hAnsi="Verdana"/>
          <w:sz w:val="20"/>
        </w:rPr>
        <w:t xml:space="preserve">abstenerse de realizar actos que podrían dar lugar a que agentes del propio Estado o terceros, actuando con consentimiento o tolerancia del Estado, puedan afectar la existencia, valor, uso o goce del territorio al cual tienen derecho los integrantes del pueblo </w:t>
      </w:r>
      <w:proofErr w:type="spellStart"/>
      <w:r w:rsidR="003A34A7" w:rsidRPr="003A34A7">
        <w:rPr>
          <w:rFonts w:ascii="Verdana" w:hAnsi="Verdana"/>
          <w:sz w:val="20"/>
        </w:rPr>
        <w:t>Saramaka</w:t>
      </w:r>
      <w:proofErr w:type="spellEnd"/>
      <w:r w:rsidR="003A34A7">
        <w:rPr>
          <w:rFonts w:ascii="Verdana" w:hAnsi="Verdana"/>
          <w:sz w:val="20"/>
        </w:rPr>
        <w:t>”</w:t>
      </w:r>
      <w:r w:rsidR="00646D74">
        <w:rPr>
          <w:rFonts w:ascii="Verdana" w:hAnsi="Verdana"/>
          <w:sz w:val="20"/>
        </w:rPr>
        <w:t xml:space="preserve"> (</w:t>
      </w:r>
      <w:r w:rsidR="00646D74">
        <w:rPr>
          <w:rFonts w:ascii="Verdana" w:hAnsi="Verdana"/>
          <w:i/>
          <w:sz w:val="20"/>
        </w:rPr>
        <w:t>supra</w:t>
      </w:r>
      <w:r w:rsidR="00646D74">
        <w:rPr>
          <w:rFonts w:ascii="Verdana" w:hAnsi="Verdana"/>
          <w:sz w:val="20"/>
        </w:rPr>
        <w:t xml:space="preserve"> Considerando </w:t>
      </w:r>
      <w:r w:rsidR="00646D74">
        <w:rPr>
          <w:rFonts w:ascii="Verdana" w:hAnsi="Verdana"/>
          <w:sz w:val="20"/>
        </w:rPr>
        <w:fldChar w:fldCharType="begin"/>
      </w:r>
      <w:r w:rsidR="00646D74">
        <w:rPr>
          <w:rFonts w:ascii="Verdana" w:hAnsi="Verdana"/>
          <w:sz w:val="20"/>
        </w:rPr>
        <w:instrText xml:space="preserve"> REF _Ref526765096 \r \h </w:instrText>
      </w:r>
      <w:r w:rsidR="00646D74">
        <w:rPr>
          <w:rFonts w:ascii="Verdana" w:hAnsi="Verdana"/>
          <w:sz w:val="20"/>
        </w:rPr>
      </w:r>
      <w:r w:rsidR="00646D74">
        <w:rPr>
          <w:rFonts w:ascii="Verdana" w:hAnsi="Verdana"/>
          <w:sz w:val="20"/>
        </w:rPr>
        <w:fldChar w:fldCharType="separate"/>
      </w:r>
      <w:r w:rsidR="009356EF">
        <w:rPr>
          <w:rFonts w:ascii="Verdana" w:hAnsi="Verdana"/>
          <w:sz w:val="20"/>
        </w:rPr>
        <w:t>12</w:t>
      </w:r>
      <w:r w:rsidR="00646D74">
        <w:rPr>
          <w:rFonts w:ascii="Verdana" w:hAnsi="Verdana"/>
          <w:sz w:val="20"/>
        </w:rPr>
        <w:fldChar w:fldCharType="end"/>
      </w:r>
      <w:r w:rsidR="00646D74">
        <w:rPr>
          <w:rFonts w:ascii="Verdana" w:hAnsi="Verdana"/>
          <w:sz w:val="20"/>
        </w:rPr>
        <w:t>)</w:t>
      </w:r>
      <w:r w:rsidRPr="003F7BC8">
        <w:rPr>
          <w:rFonts w:ascii="Verdana" w:hAnsi="Verdana"/>
          <w:sz w:val="20"/>
        </w:rPr>
        <w:t>, la Corte observa que con posterioridad a</w:t>
      </w:r>
      <w:r w:rsidR="00646D74">
        <w:rPr>
          <w:rFonts w:ascii="Verdana" w:hAnsi="Verdana"/>
          <w:sz w:val="20"/>
        </w:rPr>
        <w:t>l</w:t>
      </w:r>
      <w:r w:rsidRPr="003F7BC8">
        <w:rPr>
          <w:rFonts w:ascii="Verdana" w:hAnsi="Verdana"/>
          <w:sz w:val="20"/>
        </w:rPr>
        <w:t xml:space="preserve"> 2011 la discusión jurídica sobre </w:t>
      </w:r>
      <w:r w:rsidR="0034353D">
        <w:rPr>
          <w:rFonts w:ascii="Verdana" w:hAnsi="Verdana"/>
          <w:sz w:val="20"/>
        </w:rPr>
        <w:t>el</w:t>
      </w:r>
      <w:r w:rsidRPr="003F7BC8">
        <w:rPr>
          <w:rFonts w:ascii="Verdana" w:hAnsi="Verdana"/>
          <w:sz w:val="20"/>
        </w:rPr>
        <w:t xml:space="preserve"> presente</w:t>
      </w:r>
      <w:r w:rsidR="0034353D">
        <w:rPr>
          <w:rFonts w:ascii="Verdana" w:hAnsi="Verdana"/>
          <w:sz w:val="20"/>
        </w:rPr>
        <w:t xml:space="preserve"> extremo de la</w:t>
      </w:r>
      <w:r w:rsidRPr="003F7BC8">
        <w:rPr>
          <w:rFonts w:ascii="Verdana" w:hAnsi="Verdana"/>
          <w:sz w:val="20"/>
        </w:rPr>
        <w:t xml:space="preserve"> medida se ha circunscrito a la alegada concesión otorgada a favor de la compañía IAMGOLD</w:t>
      </w:r>
      <w:r w:rsidR="00EC3A7C">
        <w:rPr>
          <w:rFonts w:ascii="Verdana" w:hAnsi="Verdana"/>
          <w:sz w:val="20"/>
        </w:rPr>
        <w:t>,</w:t>
      </w:r>
      <w:r w:rsidR="003F7BC8" w:rsidRPr="003F7BC8">
        <w:rPr>
          <w:rFonts w:ascii="Verdana" w:hAnsi="Verdana"/>
          <w:sz w:val="20"/>
        </w:rPr>
        <w:t xml:space="preserve"> </w:t>
      </w:r>
      <w:r w:rsidR="00EC3A7C" w:rsidRPr="003F7BC8">
        <w:rPr>
          <w:rFonts w:ascii="Verdana" w:hAnsi="Verdana"/>
          <w:sz w:val="20"/>
        </w:rPr>
        <w:t xml:space="preserve">a la cual esta Corte hizo referencia </w:t>
      </w:r>
      <w:r w:rsidR="0034353D">
        <w:rPr>
          <w:rFonts w:ascii="Verdana" w:hAnsi="Verdana"/>
          <w:sz w:val="20"/>
        </w:rPr>
        <w:t xml:space="preserve">en </w:t>
      </w:r>
      <w:r w:rsidR="00EC3A7C" w:rsidRPr="003F7BC8">
        <w:rPr>
          <w:rFonts w:ascii="Verdana" w:hAnsi="Verdana"/>
          <w:sz w:val="20"/>
        </w:rPr>
        <w:t>la Resolución de 2013 (</w:t>
      </w:r>
      <w:r w:rsidR="00EC3A7C" w:rsidRPr="003F7BC8">
        <w:rPr>
          <w:rFonts w:ascii="Verdana" w:hAnsi="Verdana"/>
          <w:i/>
          <w:sz w:val="20"/>
        </w:rPr>
        <w:t>supra</w:t>
      </w:r>
      <w:r w:rsidR="00EC3A7C" w:rsidRPr="003F7BC8">
        <w:rPr>
          <w:rFonts w:ascii="Verdana" w:hAnsi="Verdana"/>
          <w:sz w:val="20"/>
        </w:rPr>
        <w:t xml:space="preserve"> Considerando </w:t>
      </w:r>
      <w:r w:rsidR="00CC4F6B">
        <w:rPr>
          <w:rFonts w:ascii="Verdana" w:hAnsi="Verdana"/>
          <w:sz w:val="20"/>
        </w:rPr>
        <w:fldChar w:fldCharType="begin"/>
      </w:r>
      <w:r w:rsidR="00CC4F6B">
        <w:rPr>
          <w:rFonts w:ascii="Verdana" w:hAnsi="Verdana"/>
          <w:sz w:val="20"/>
        </w:rPr>
        <w:instrText xml:space="preserve"> REF _Ref526771394 \r \h </w:instrText>
      </w:r>
      <w:r w:rsidR="00CC4F6B">
        <w:rPr>
          <w:rFonts w:ascii="Verdana" w:hAnsi="Verdana"/>
          <w:sz w:val="20"/>
        </w:rPr>
      </w:r>
      <w:r w:rsidR="00CC4F6B">
        <w:rPr>
          <w:rFonts w:ascii="Verdana" w:hAnsi="Verdana"/>
          <w:sz w:val="20"/>
        </w:rPr>
        <w:fldChar w:fldCharType="separate"/>
      </w:r>
      <w:r w:rsidR="009356EF">
        <w:rPr>
          <w:rFonts w:ascii="Verdana" w:hAnsi="Verdana"/>
          <w:sz w:val="20"/>
        </w:rPr>
        <w:t>18</w:t>
      </w:r>
      <w:r w:rsidR="00CC4F6B">
        <w:rPr>
          <w:rFonts w:ascii="Verdana" w:hAnsi="Verdana"/>
          <w:sz w:val="20"/>
        </w:rPr>
        <w:fldChar w:fldCharType="end"/>
      </w:r>
      <w:r w:rsidR="00EC3A7C" w:rsidRPr="003F7BC8">
        <w:rPr>
          <w:rFonts w:ascii="Verdana" w:hAnsi="Verdana"/>
          <w:sz w:val="20"/>
        </w:rPr>
        <w:t>)</w:t>
      </w:r>
      <w:r w:rsidR="00EC3A7C">
        <w:rPr>
          <w:rFonts w:ascii="Verdana" w:hAnsi="Verdana"/>
          <w:sz w:val="20"/>
        </w:rPr>
        <w:t xml:space="preserve"> </w:t>
      </w:r>
      <w:r w:rsidR="003F7BC8" w:rsidRPr="003F7BC8">
        <w:rPr>
          <w:rFonts w:ascii="Verdana" w:hAnsi="Verdana"/>
          <w:sz w:val="20"/>
        </w:rPr>
        <w:t xml:space="preserve">y a la modificación mediante enmienda de </w:t>
      </w:r>
      <w:r w:rsidR="00CC4F6B">
        <w:rPr>
          <w:rFonts w:ascii="Verdana" w:hAnsi="Verdana"/>
          <w:sz w:val="20"/>
        </w:rPr>
        <w:t>abril</w:t>
      </w:r>
      <w:r w:rsidR="00CC4F6B" w:rsidRPr="003F7BC8">
        <w:rPr>
          <w:rFonts w:ascii="Verdana" w:hAnsi="Verdana"/>
          <w:sz w:val="20"/>
        </w:rPr>
        <w:t xml:space="preserve"> </w:t>
      </w:r>
      <w:r w:rsidR="003F7BC8" w:rsidRPr="003F7BC8">
        <w:rPr>
          <w:rFonts w:ascii="Verdana" w:hAnsi="Verdana"/>
          <w:sz w:val="20"/>
        </w:rPr>
        <w:t xml:space="preserve">de 2013 del </w:t>
      </w:r>
      <w:proofErr w:type="spellStart"/>
      <w:r w:rsidR="003F7BC8" w:rsidRPr="003F7BC8">
        <w:rPr>
          <w:rFonts w:ascii="Verdana" w:hAnsi="Verdana"/>
          <w:i/>
          <w:sz w:val="20"/>
        </w:rPr>
        <w:t>Rosebel</w:t>
      </w:r>
      <w:proofErr w:type="spellEnd"/>
      <w:r w:rsidR="003F7BC8" w:rsidRPr="003F7BC8">
        <w:rPr>
          <w:rFonts w:ascii="Verdana" w:hAnsi="Verdana"/>
          <w:i/>
          <w:sz w:val="20"/>
        </w:rPr>
        <w:t xml:space="preserve"> Mineral </w:t>
      </w:r>
      <w:proofErr w:type="spellStart"/>
      <w:r w:rsidR="003F7BC8" w:rsidRPr="003F7BC8">
        <w:rPr>
          <w:rFonts w:ascii="Verdana" w:hAnsi="Verdana"/>
          <w:i/>
          <w:sz w:val="20"/>
        </w:rPr>
        <w:t>Agreement</w:t>
      </w:r>
      <w:proofErr w:type="spellEnd"/>
      <w:r w:rsidR="003F7BC8" w:rsidRPr="003F7BC8">
        <w:rPr>
          <w:rFonts w:ascii="Verdana" w:hAnsi="Verdana"/>
          <w:sz w:val="20"/>
        </w:rPr>
        <w:t>, vigente desde abril de 1994</w:t>
      </w:r>
      <w:r w:rsidR="0034353D">
        <w:rPr>
          <w:rFonts w:ascii="Verdana" w:hAnsi="Verdana"/>
          <w:sz w:val="20"/>
        </w:rPr>
        <w:t xml:space="preserve"> (</w:t>
      </w:r>
      <w:r w:rsidR="0034353D">
        <w:rPr>
          <w:rFonts w:ascii="Verdana" w:hAnsi="Verdana"/>
          <w:i/>
          <w:sz w:val="20"/>
        </w:rPr>
        <w:t>infra</w:t>
      </w:r>
      <w:r w:rsidR="0034353D">
        <w:rPr>
          <w:rFonts w:ascii="Verdana" w:hAnsi="Verdana"/>
          <w:sz w:val="20"/>
        </w:rPr>
        <w:t xml:space="preserve"> Considerando </w:t>
      </w:r>
      <w:r w:rsidR="0034353D">
        <w:rPr>
          <w:rFonts w:ascii="Verdana" w:hAnsi="Verdana"/>
          <w:sz w:val="20"/>
        </w:rPr>
        <w:fldChar w:fldCharType="begin"/>
      </w:r>
      <w:r w:rsidR="0034353D">
        <w:rPr>
          <w:rFonts w:ascii="Verdana" w:hAnsi="Verdana"/>
          <w:sz w:val="20"/>
        </w:rPr>
        <w:instrText xml:space="preserve"> REF _Ref526858848 \r \h </w:instrText>
      </w:r>
      <w:r w:rsidR="0034353D">
        <w:rPr>
          <w:rFonts w:ascii="Verdana" w:hAnsi="Verdana"/>
          <w:sz w:val="20"/>
        </w:rPr>
      </w:r>
      <w:r w:rsidR="0034353D">
        <w:rPr>
          <w:rFonts w:ascii="Verdana" w:hAnsi="Verdana"/>
          <w:sz w:val="20"/>
        </w:rPr>
        <w:fldChar w:fldCharType="separate"/>
      </w:r>
      <w:r w:rsidR="009356EF">
        <w:rPr>
          <w:rFonts w:ascii="Verdana" w:hAnsi="Verdana"/>
          <w:sz w:val="20"/>
        </w:rPr>
        <w:t>25</w:t>
      </w:r>
      <w:r w:rsidR="0034353D">
        <w:rPr>
          <w:rFonts w:ascii="Verdana" w:hAnsi="Verdana"/>
          <w:sz w:val="20"/>
        </w:rPr>
        <w:fldChar w:fldCharType="end"/>
      </w:r>
      <w:r w:rsidR="0034353D">
        <w:rPr>
          <w:rFonts w:ascii="Verdana" w:hAnsi="Verdana"/>
          <w:sz w:val="20"/>
        </w:rPr>
        <w:t>)</w:t>
      </w:r>
      <w:r w:rsidR="00EC3A7C">
        <w:rPr>
          <w:rFonts w:ascii="Verdana" w:hAnsi="Verdana"/>
          <w:sz w:val="20"/>
        </w:rPr>
        <w:t>.</w:t>
      </w:r>
      <w:bookmarkEnd w:id="20"/>
      <w:r w:rsidR="003F7BC8" w:rsidRPr="003F7BC8">
        <w:rPr>
          <w:rFonts w:ascii="Verdana" w:hAnsi="Verdana"/>
          <w:sz w:val="20"/>
        </w:rPr>
        <w:t xml:space="preserve"> </w:t>
      </w:r>
    </w:p>
    <w:p w14:paraId="5D0D6E6C" w14:textId="77777777" w:rsidR="003F7BC8" w:rsidRPr="003F7BC8" w:rsidRDefault="003F7BC8" w:rsidP="003F7BC8">
      <w:pPr>
        <w:pStyle w:val="ListParagraph"/>
        <w:ind w:left="0"/>
        <w:jc w:val="both"/>
        <w:rPr>
          <w:rFonts w:ascii="Verdana" w:hAnsi="Verdana"/>
          <w:sz w:val="20"/>
        </w:rPr>
      </w:pPr>
    </w:p>
    <w:p w14:paraId="67521A1F" w14:textId="0F8960DF" w:rsidR="003F7BC8" w:rsidRDefault="003F7BC8" w:rsidP="003F7BC8">
      <w:pPr>
        <w:pStyle w:val="ListParagraph"/>
        <w:numPr>
          <w:ilvl w:val="0"/>
          <w:numId w:val="2"/>
        </w:numPr>
        <w:ind w:left="0" w:firstLine="0"/>
        <w:jc w:val="both"/>
        <w:rPr>
          <w:rFonts w:ascii="Verdana" w:hAnsi="Verdana"/>
          <w:sz w:val="20"/>
        </w:rPr>
      </w:pPr>
      <w:bookmarkStart w:id="21" w:name="_Ref526858848"/>
      <w:r>
        <w:rPr>
          <w:rFonts w:ascii="Verdana" w:hAnsi="Verdana"/>
          <w:sz w:val="20"/>
        </w:rPr>
        <w:t xml:space="preserve">Al respecto, con base en la información aportada por las partes, en </w:t>
      </w:r>
      <w:r w:rsidR="004D3CE1">
        <w:rPr>
          <w:rFonts w:ascii="Verdana" w:hAnsi="Verdana"/>
          <w:sz w:val="20"/>
        </w:rPr>
        <w:t xml:space="preserve">abril </w:t>
      </w:r>
      <w:r>
        <w:rPr>
          <w:rFonts w:ascii="Verdana" w:hAnsi="Verdana"/>
          <w:sz w:val="20"/>
        </w:rPr>
        <w:t xml:space="preserve">de 2013 fue enmendado el </w:t>
      </w:r>
      <w:proofErr w:type="spellStart"/>
      <w:r w:rsidRPr="003F7BC8">
        <w:rPr>
          <w:rFonts w:ascii="Verdana" w:hAnsi="Verdana"/>
          <w:i/>
          <w:sz w:val="20"/>
        </w:rPr>
        <w:t>Rosebel</w:t>
      </w:r>
      <w:proofErr w:type="spellEnd"/>
      <w:r w:rsidRPr="003F7BC8">
        <w:rPr>
          <w:rFonts w:ascii="Verdana" w:hAnsi="Verdana"/>
          <w:i/>
          <w:sz w:val="20"/>
        </w:rPr>
        <w:t xml:space="preserve"> Mineral </w:t>
      </w:r>
      <w:proofErr w:type="spellStart"/>
      <w:r w:rsidRPr="003F7BC8">
        <w:rPr>
          <w:rFonts w:ascii="Verdana" w:hAnsi="Verdana"/>
          <w:i/>
          <w:sz w:val="20"/>
        </w:rPr>
        <w:t>Agreement</w:t>
      </w:r>
      <w:proofErr w:type="spellEnd"/>
      <w:r>
        <w:rPr>
          <w:rFonts w:ascii="Verdana" w:hAnsi="Verdana"/>
          <w:sz w:val="20"/>
        </w:rPr>
        <w:t xml:space="preserve">, el cual regulaba los términos del derecho de exploración y explotación sobre recursos minerales en determinadas “áreas de interés”, por parte de la empresa IAMGOLD y su subsidiaria, </w:t>
      </w:r>
      <w:proofErr w:type="spellStart"/>
      <w:r>
        <w:rPr>
          <w:rFonts w:ascii="Verdana" w:hAnsi="Verdana"/>
          <w:sz w:val="20"/>
        </w:rPr>
        <w:t>Rosebel</w:t>
      </w:r>
      <w:proofErr w:type="spellEnd"/>
      <w:r>
        <w:rPr>
          <w:rFonts w:ascii="Verdana" w:hAnsi="Verdana"/>
          <w:sz w:val="20"/>
        </w:rPr>
        <w:t xml:space="preserve"> Gold Mine</w:t>
      </w:r>
      <w:r w:rsidR="004D3CE1">
        <w:rPr>
          <w:rFonts w:ascii="Verdana" w:hAnsi="Verdana"/>
          <w:sz w:val="20"/>
        </w:rPr>
        <w:t>s</w:t>
      </w:r>
      <w:r>
        <w:rPr>
          <w:rFonts w:ascii="Verdana" w:hAnsi="Verdana"/>
          <w:sz w:val="20"/>
        </w:rPr>
        <w:t xml:space="preserve"> (“RGM”). </w:t>
      </w:r>
      <w:r w:rsidR="00272CCA">
        <w:rPr>
          <w:rFonts w:ascii="Verdana" w:hAnsi="Verdana"/>
          <w:sz w:val="20"/>
        </w:rPr>
        <w:t>T</w:t>
      </w:r>
      <w:r>
        <w:rPr>
          <w:rFonts w:ascii="Verdana" w:hAnsi="Verdana"/>
          <w:sz w:val="20"/>
        </w:rPr>
        <w:t xml:space="preserve">al como lo destacaron los representantes en sus observaciones de 2013, 2014 y 2015, </w:t>
      </w:r>
      <w:r w:rsidR="00272CCA">
        <w:rPr>
          <w:rFonts w:ascii="Verdana" w:hAnsi="Verdana"/>
          <w:sz w:val="20"/>
        </w:rPr>
        <w:t xml:space="preserve">Surinam </w:t>
      </w:r>
      <w:r>
        <w:rPr>
          <w:rFonts w:ascii="Verdana" w:hAnsi="Verdana"/>
          <w:sz w:val="20"/>
        </w:rPr>
        <w:t xml:space="preserve">no ha proporcionado a la Corte copia del referido </w:t>
      </w:r>
      <w:proofErr w:type="spellStart"/>
      <w:r w:rsidRPr="003F7BC8">
        <w:rPr>
          <w:rFonts w:ascii="Verdana" w:hAnsi="Verdana"/>
          <w:i/>
          <w:sz w:val="20"/>
        </w:rPr>
        <w:t>Rosebel</w:t>
      </w:r>
      <w:proofErr w:type="spellEnd"/>
      <w:r w:rsidRPr="003F7BC8">
        <w:rPr>
          <w:rFonts w:ascii="Verdana" w:hAnsi="Verdana"/>
          <w:i/>
          <w:sz w:val="20"/>
        </w:rPr>
        <w:t xml:space="preserve"> Mineral </w:t>
      </w:r>
      <w:proofErr w:type="spellStart"/>
      <w:r w:rsidRPr="003F7BC8">
        <w:rPr>
          <w:rFonts w:ascii="Verdana" w:hAnsi="Verdana"/>
          <w:i/>
          <w:sz w:val="20"/>
        </w:rPr>
        <w:t>A</w:t>
      </w:r>
      <w:r>
        <w:rPr>
          <w:rFonts w:ascii="Verdana" w:hAnsi="Verdana"/>
          <w:i/>
          <w:sz w:val="20"/>
        </w:rPr>
        <w:t>greement</w:t>
      </w:r>
      <w:proofErr w:type="spellEnd"/>
      <w:r>
        <w:rPr>
          <w:rFonts w:ascii="Verdana" w:hAnsi="Verdana"/>
          <w:i/>
          <w:sz w:val="20"/>
        </w:rPr>
        <w:t xml:space="preserve"> </w:t>
      </w:r>
      <w:r>
        <w:rPr>
          <w:rFonts w:ascii="Verdana" w:hAnsi="Verdana"/>
          <w:sz w:val="20"/>
        </w:rPr>
        <w:t>en los términos que se encuentran vigentes a la fecha, por lo que no se tiene certeza del contenido de dichos acuerdos ni sobre cuáles son las áreas de interés que serían afectadas por dicha enmienda.</w:t>
      </w:r>
      <w:bookmarkEnd w:id="21"/>
      <w:r>
        <w:rPr>
          <w:rFonts w:ascii="Verdana" w:hAnsi="Verdana"/>
          <w:sz w:val="20"/>
        </w:rPr>
        <w:t xml:space="preserve"> </w:t>
      </w:r>
    </w:p>
    <w:p w14:paraId="53C0FEE3" w14:textId="77777777" w:rsidR="003F7BC8" w:rsidRPr="003F7BC8" w:rsidRDefault="003F7BC8" w:rsidP="003F7BC8">
      <w:pPr>
        <w:pStyle w:val="ListParagraph"/>
        <w:jc w:val="center"/>
        <w:rPr>
          <w:rFonts w:ascii="Verdana" w:hAnsi="Verdana"/>
          <w:sz w:val="20"/>
        </w:rPr>
      </w:pPr>
    </w:p>
    <w:p w14:paraId="2DFF2C53" w14:textId="38F621B9" w:rsidR="003A34A7" w:rsidRDefault="00824CC8" w:rsidP="003F7BC8">
      <w:pPr>
        <w:pStyle w:val="ListParagraph"/>
        <w:numPr>
          <w:ilvl w:val="0"/>
          <w:numId w:val="2"/>
        </w:numPr>
        <w:ind w:left="0" w:firstLine="0"/>
        <w:jc w:val="both"/>
        <w:rPr>
          <w:rFonts w:ascii="Verdana" w:hAnsi="Verdana"/>
          <w:sz w:val="20"/>
        </w:rPr>
      </w:pPr>
      <w:r>
        <w:rPr>
          <w:rFonts w:ascii="Verdana" w:hAnsi="Verdana"/>
          <w:sz w:val="20"/>
        </w:rPr>
        <w:t xml:space="preserve">Las </w:t>
      </w:r>
      <w:r w:rsidR="003F7BC8" w:rsidRPr="003F7BC8">
        <w:rPr>
          <w:rFonts w:ascii="Verdana" w:hAnsi="Verdana"/>
          <w:sz w:val="20"/>
        </w:rPr>
        <w:t>partes sostienen posiciones contradictorias</w:t>
      </w:r>
      <w:r w:rsidR="003A34A7">
        <w:rPr>
          <w:rFonts w:ascii="Verdana" w:hAnsi="Verdana"/>
          <w:sz w:val="20"/>
        </w:rPr>
        <w:t xml:space="preserve"> (</w:t>
      </w:r>
      <w:r w:rsidR="003A34A7">
        <w:rPr>
          <w:rFonts w:ascii="Verdana" w:hAnsi="Verdana"/>
          <w:i/>
          <w:sz w:val="20"/>
        </w:rPr>
        <w:t>infra</w:t>
      </w:r>
      <w:r w:rsidR="003A34A7">
        <w:rPr>
          <w:rFonts w:ascii="Verdana" w:hAnsi="Verdana"/>
          <w:sz w:val="20"/>
        </w:rPr>
        <w:t xml:space="preserve"> Considerandos </w:t>
      </w:r>
      <w:r w:rsidR="00BF4902" w:rsidRPr="00BF4902">
        <w:rPr>
          <w:rFonts w:ascii="Verdana" w:hAnsi="Verdana"/>
          <w:sz w:val="20"/>
        </w:rPr>
        <w:fldChar w:fldCharType="begin"/>
      </w:r>
      <w:r w:rsidR="00BF4902" w:rsidRPr="00BF4902">
        <w:rPr>
          <w:rFonts w:ascii="Verdana" w:hAnsi="Verdana"/>
          <w:sz w:val="20"/>
        </w:rPr>
        <w:instrText xml:space="preserve"> REF _Ref526858989 \r \h </w:instrText>
      </w:r>
      <w:r w:rsidR="00BF4902">
        <w:rPr>
          <w:rFonts w:ascii="Verdana" w:hAnsi="Verdana"/>
          <w:sz w:val="20"/>
        </w:rPr>
        <w:instrText xml:space="preserve"> \* MERGEFORMAT </w:instrText>
      </w:r>
      <w:r w:rsidR="00BF4902" w:rsidRPr="00BF4902">
        <w:rPr>
          <w:rFonts w:ascii="Verdana" w:hAnsi="Verdana"/>
          <w:sz w:val="20"/>
        </w:rPr>
      </w:r>
      <w:r w:rsidR="00BF4902" w:rsidRPr="00BF4902">
        <w:rPr>
          <w:rFonts w:ascii="Verdana" w:hAnsi="Verdana"/>
          <w:sz w:val="20"/>
        </w:rPr>
        <w:fldChar w:fldCharType="separate"/>
      </w:r>
      <w:r w:rsidR="009356EF">
        <w:rPr>
          <w:rFonts w:ascii="Verdana" w:hAnsi="Verdana"/>
          <w:sz w:val="20"/>
        </w:rPr>
        <w:t>27</w:t>
      </w:r>
      <w:r w:rsidR="00BF4902" w:rsidRPr="00BF4902">
        <w:rPr>
          <w:rFonts w:ascii="Verdana" w:hAnsi="Verdana"/>
          <w:sz w:val="20"/>
        </w:rPr>
        <w:fldChar w:fldCharType="end"/>
      </w:r>
      <w:r w:rsidR="00BF4902" w:rsidRPr="00BF4902">
        <w:rPr>
          <w:rFonts w:ascii="Verdana" w:hAnsi="Verdana"/>
          <w:sz w:val="20"/>
        </w:rPr>
        <w:t xml:space="preserve"> </w:t>
      </w:r>
      <w:r w:rsidR="003A34A7" w:rsidRPr="00BF4902">
        <w:rPr>
          <w:rFonts w:ascii="Verdana" w:hAnsi="Verdana"/>
          <w:sz w:val="20"/>
        </w:rPr>
        <w:t xml:space="preserve">y </w:t>
      </w:r>
      <w:r w:rsidR="00BF4902" w:rsidRPr="00BF4902">
        <w:rPr>
          <w:rFonts w:ascii="Verdana" w:hAnsi="Verdana"/>
          <w:sz w:val="20"/>
        </w:rPr>
        <w:fldChar w:fldCharType="begin"/>
      </w:r>
      <w:r w:rsidR="00BF4902" w:rsidRPr="00BF4902">
        <w:rPr>
          <w:rFonts w:ascii="Verdana" w:hAnsi="Verdana"/>
          <w:sz w:val="20"/>
        </w:rPr>
        <w:instrText xml:space="preserve"> REF _Ref526774467 \r \h </w:instrText>
      </w:r>
      <w:r w:rsidR="00BF4902">
        <w:rPr>
          <w:rFonts w:ascii="Verdana" w:hAnsi="Verdana"/>
          <w:sz w:val="20"/>
        </w:rPr>
        <w:instrText xml:space="preserve"> \* MERGEFORMAT </w:instrText>
      </w:r>
      <w:r w:rsidR="00BF4902" w:rsidRPr="00BF4902">
        <w:rPr>
          <w:rFonts w:ascii="Verdana" w:hAnsi="Verdana"/>
          <w:sz w:val="20"/>
        </w:rPr>
      </w:r>
      <w:r w:rsidR="00BF4902" w:rsidRPr="00BF4902">
        <w:rPr>
          <w:rFonts w:ascii="Verdana" w:hAnsi="Verdana"/>
          <w:sz w:val="20"/>
        </w:rPr>
        <w:fldChar w:fldCharType="separate"/>
      </w:r>
      <w:r w:rsidR="009356EF">
        <w:rPr>
          <w:rFonts w:ascii="Verdana" w:hAnsi="Verdana"/>
          <w:sz w:val="20"/>
        </w:rPr>
        <w:t>28</w:t>
      </w:r>
      <w:r w:rsidR="00BF4902" w:rsidRPr="00BF4902">
        <w:rPr>
          <w:rFonts w:ascii="Verdana" w:hAnsi="Verdana"/>
          <w:sz w:val="20"/>
        </w:rPr>
        <w:fldChar w:fldCharType="end"/>
      </w:r>
      <w:r w:rsidR="003A34A7" w:rsidRPr="00BF4902">
        <w:rPr>
          <w:rFonts w:ascii="Verdana" w:hAnsi="Verdana"/>
          <w:sz w:val="20"/>
        </w:rPr>
        <w:t>)</w:t>
      </w:r>
      <w:r w:rsidR="003F7BC8" w:rsidRPr="00BF4902">
        <w:rPr>
          <w:rFonts w:ascii="Verdana" w:hAnsi="Verdana"/>
          <w:sz w:val="20"/>
        </w:rPr>
        <w:t xml:space="preserve"> con relación al alcance y contenido del acuerdo</w:t>
      </w:r>
      <w:r w:rsidR="003A34A7" w:rsidRPr="00BF4902">
        <w:rPr>
          <w:rFonts w:ascii="Verdana" w:hAnsi="Verdana"/>
          <w:sz w:val="20"/>
        </w:rPr>
        <w:t xml:space="preserve"> referido</w:t>
      </w:r>
      <w:r w:rsidR="003F7BC8" w:rsidRPr="00BF4902">
        <w:rPr>
          <w:rFonts w:ascii="Verdana" w:hAnsi="Verdana"/>
          <w:sz w:val="20"/>
        </w:rPr>
        <w:t>, al igual que sobre</w:t>
      </w:r>
      <w:r w:rsidR="003F7BC8" w:rsidRPr="003F7BC8">
        <w:rPr>
          <w:rFonts w:ascii="Verdana" w:hAnsi="Verdana"/>
          <w:sz w:val="20"/>
        </w:rPr>
        <w:t xml:space="preserve"> si el Estado cumplió con sus obligaciones internacionales para la restricción legítima del derecho de propiedad del Pueblo </w:t>
      </w:r>
      <w:proofErr w:type="spellStart"/>
      <w:r w:rsidR="003F7BC8" w:rsidRPr="003F7BC8">
        <w:rPr>
          <w:rFonts w:ascii="Verdana" w:hAnsi="Verdana"/>
          <w:sz w:val="20"/>
        </w:rPr>
        <w:t>Saramaka</w:t>
      </w:r>
      <w:proofErr w:type="spellEnd"/>
      <w:r w:rsidR="003F7BC8" w:rsidRPr="003F7BC8">
        <w:rPr>
          <w:rFonts w:ascii="Verdana" w:hAnsi="Verdana"/>
          <w:sz w:val="20"/>
        </w:rPr>
        <w:t xml:space="preserve"> sobre sus territorios, desarrolladas en la Sentencia</w:t>
      </w:r>
      <w:r w:rsidR="003F7BC8" w:rsidRPr="003F7BC8">
        <w:rPr>
          <w:rStyle w:val="FootnoteReference"/>
          <w:rFonts w:ascii="Verdana" w:hAnsi="Verdana"/>
          <w:sz w:val="20"/>
        </w:rPr>
        <w:footnoteReference w:id="25"/>
      </w:r>
      <w:r w:rsidR="003F7BC8" w:rsidRPr="003F7BC8">
        <w:rPr>
          <w:rFonts w:ascii="Verdana" w:hAnsi="Verdana"/>
          <w:sz w:val="20"/>
        </w:rPr>
        <w:t xml:space="preserve">. </w:t>
      </w:r>
    </w:p>
    <w:p w14:paraId="3154282C" w14:textId="77777777" w:rsidR="003A34A7" w:rsidRPr="003A34A7" w:rsidRDefault="003A34A7" w:rsidP="003A34A7">
      <w:pPr>
        <w:pStyle w:val="ListParagraph"/>
        <w:rPr>
          <w:rFonts w:ascii="Verdana" w:hAnsi="Verdana"/>
          <w:sz w:val="20"/>
        </w:rPr>
      </w:pPr>
    </w:p>
    <w:p w14:paraId="0495E66C" w14:textId="24972927" w:rsidR="003F7BC8" w:rsidRPr="003F7BC8" w:rsidRDefault="003F7BC8" w:rsidP="003F7BC8">
      <w:pPr>
        <w:pStyle w:val="ListParagraph"/>
        <w:numPr>
          <w:ilvl w:val="0"/>
          <w:numId w:val="2"/>
        </w:numPr>
        <w:ind w:left="0" w:firstLine="0"/>
        <w:jc w:val="both"/>
        <w:rPr>
          <w:rFonts w:ascii="Verdana" w:hAnsi="Verdana"/>
          <w:sz w:val="20"/>
        </w:rPr>
      </w:pPr>
      <w:bookmarkStart w:id="22" w:name="_Ref526858989"/>
      <w:r w:rsidRPr="003F7BC8">
        <w:rPr>
          <w:rFonts w:ascii="Verdana" w:hAnsi="Verdana"/>
          <w:sz w:val="20"/>
        </w:rPr>
        <w:t xml:space="preserve">El </w:t>
      </w:r>
      <w:r w:rsidRPr="003F7BC8">
        <w:rPr>
          <w:rFonts w:ascii="Verdana" w:hAnsi="Verdana"/>
          <w:i/>
          <w:sz w:val="20"/>
        </w:rPr>
        <w:t xml:space="preserve">Estado, </w:t>
      </w:r>
      <w:r w:rsidRPr="003F7BC8">
        <w:rPr>
          <w:rFonts w:ascii="Verdana" w:hAnsi="Verdana"/>
          <w:sz w:val="20"/>
        </w:rPr>
        <w:t xml:space="preserve">en su informe de 2013, indicó que dicha enmienda al acuerdo </w:t>
      </w:r>
      <w:r w:rsidRPr="003F7BC8">
        <w:rPr>
          <w:rFonts w:ascii="Verdana" w:hAnsi="Verdana"/>
          <w:sz w:val="20"/>
          <w:szCs w:val="18"/>
        </w:rPr>
        <w:t xml:space="preserve">“no otorga a la subsidiaria de IAMGOLD, RGM, ninguna concesión nueva de exploración o explotación dentro del área de interés”, por lo que “no existe un escenario concebible” en el que la actividad minera desempeñada por el proyecto conjunto entre RGM y el Estado de Surinam será conducida dentro del territorio </w:t>
      </w:r>
      <w:proofErr w:type="spellStart"/>
      <w:r w:rsidRPr="003F7BC8">
        <w:rPr>
          <w:rFonts w:ascii="Verdana" w:hAnsi="Verdana"/>
          <w:sz w:val="20"/>
          <w:szCs w:val="18"/>
        </w:rPr>
        <w:t>Saramaka</w:t>
      </w:r>
      <w:proofErr w:type="spellEnd"/>
      <w:r w:rsidRPr="003F7BC8">
        <w:rPr>
          <w:rFonts w:ascii="Verdana" w:hAnsi="Verdana"/>
          <w:sz w:val="20"/>
          <w:szCs w:val="18"/>
        </w:rPr>
        <w:t>.</w:t>
      </w:r>
      <w:r>
        <w:rPr>
          <w:rFonts w:ascii="Verdana" w:hAnsi="Verdana"/>
          <w:sz w:val="20"/>
          <w:szCs w:val="18"/>
        </w:rPr>
        <w:t xml:space="preserve"> El Estado, además, afirmó que RGM estaría obligado a completar un estudio de impacto ambiental y social sobre la explotación que planifica realizar y cualquier impacto que causare sob</w:t>
      </w:r>
      <w:r w:rsidR="001D6CC4">
        <w:rPr>
          <w:rFonts w:ascii="Verdana" w:hAnsi="Verdana"/>
          <w:sz w:val="20"/>
          <w:szCs w:val="18"/>
        </w:rPr>
        <w:t>re la</w:t>
      </w:r>
      <w:r>
        <w:rPr>
          <w:rFonts w:ascii="Verdana" w:hAnsi="Verdana"/>
          <w:sz w:val="20"/>
          <w:szCs w:val="18"/>
        </w:rPr>
        <w:t>s</w:t>
      </w:r>
      <w:r w:rsidR="001D6CC4">
        <w:rPr>
          <w:rFonts w:ascii="Verdana" w:hAnsi="Verdana"/>
          <w:sz w:val="20"/>
          <w:szCs w:val="18"/>
        </w:rPr>
        <w:t xml:space="preserve"> comunidades del</w:t>
      </w:r>
      <w:r>
        <w:rPr>
          <w:rFonts w:ascii="Verdana" w:hAnsi="Verdana"/>
          <w:sz w:val="20"/>
          <w:szCs w:val="18"/>
        </w:rPr>
        <w:t xml:space="preserve"> Pueblos </w:t>
      </w:r>
      <w:proofErr w:type="spellStart"/>
      <w:r>
        <w:rPr>
          <w:rFonts w:ascii="Verdana" w:hAnsi="Verdana"/>
          <w:sz w:val="20"/>
          <w:szCs w:val="18"/>
        </w:rPr>
        <w:t>Saramaka</w:t>
      </w:r>
      <w:proofErr w:type="spellEnd"/>
      <w:r w:rsidR="00BF4902">
        <w:rPr>
          <w:rFonts w:ascii="Verdana" w:hAnsi="Verdana"/>
          <w:sz w:val="20"/>
          <w:szCs w:val="18"/>
        </w:rPr>
        <w:t>.</w:t>
      </w:r>
      <w:r>
        <w:rPr>
          <w:rFonts w:ascii="Verdana" w:hAnsi="Verdana"/>
          <w:sz w:val="20"/>
          <w:szCs w:val="18"/>
        </w:rPr>
        <w:t xml:space="preserve"> </w:t>
      </w:r>
      <w:r w:rsidR="00ED36D4">
        <w:rPr>
          <w:rFonts w:ascii="Verdana" w:hAnsi="Verdana"/>
          <w:sz w:val="20"/>
          <w:szCs w:val="18"/>
        </w:rPr>
        <w:t>También indicó</w:t>
      </w:r>
      <w:r w:rsidRPr="003F7BC8">
        <w:rPr>
          <w:rFonts w:ascii="Verdana" w:hAnsi="Verdana"/>
          <w:sz w:val="20"/>
          <w:szCs w:val="18"/>
        </w:rPr>
        <w:t xml:space="preserve"> </w:t>
      </w:r>
      <w:r>
        <w:rPr>
          <w:rFonts w:ascii="Verdana" w:hAnsi="Verdana"/>
          <w:sz w:val="20"/>
          <w:szCs w:val="18"/>
        </w:rPr>
        <w:t xml:space="preserve">que se brindó la oportunidad a las </w:t>
      </w:r>
      <w:r>
        <w:rPr>
          <w:rFonts w:ascii="Verdana" w:hAnsi="Verdana"/>
          <w:sz w:val="20"/>
          <w:szCs w:val="18"/>
        </w:rPr>
        <w:lastRenderedPageBreak/>
        <w:t xml:space="preserve">comunidades de compartir sus opiniones sobre la modificación del acuerdo antedicho, sin que hubiese objeción por parte del Pueblo </w:t>
      </w:r>
      <w:proofErr w:type="spellStart"/>
      <w:r>
        <w:rPr>
          <w:rFonts w:ascii="Verdana" w:hAnsi="Verdana"/>
          <w:sz w:val="20"/>
          <w:szCs w:val="18"/>
        </w:rPr>
        <w:t>Saramaka</w:t>
      </w:r>
      <w:proofErr w:type="spellEnd"/>
      <w:r>
        <w:rPr>
          <w:rFonts w:ascii="Verdana" w:hAnsi="Verdana"/>
          <w:sz w:val="20"/>
          <w:szCs w:val="18"/>
        </w:rPr>
        <w:t xml:space="preserve"> a la modificación del acuerdo o a las actividades de IAMGOLD en sus distritos, y que existirían beneficios a favor de las comunidades locales, indicando que </w:t>
      </w:r>
      <w:r w:rsidRPr="003F7BC8">
        <w:rPr>
          <w:rFonts w:ascii="Verdana" w:hAnsi="Verdana"/>
          <w:sz w:val="20"/>
          <w:szCs w:val="18"/>
        </w:rPr>
        <w:t xml:space="preserve">“RGM aporta a las comunidades locales oportunidades significantes al comprometerse y consultar con ellos, generando empleo y financiando proyectos de desarrollo sostenible”. </w:t>
      </w:r>
      <w:r>
        <w:rPr>
          <w:rFonts w:ascii="Verdana" w:hAnsi="Verdana"/>
          <w:sz w:val="20"/>
          <w:szCs w:val="18"/>
        </w:rPr>
        <w:t xml:space="preserve">El Estado no proporcionó elemento probatorio alguno que sustentara las afirmaciones indicadas. </w:t>
      </w:r>
      <w:r w:rsidR="00ED36D4">
        <w:rPr>
          <w:rFonts w:ascii="Verdana" w:hAnsi="Verdana"/>
          <w:sz w:val="20"/>
          <w:szCs w:val="18"/>
        </w:rPr>
        <w:t>C</w:t>
      </w:r>
      <w:r>
        <w:rPr>
          <w:rFonts w:ascii="Verdana" w:hAnsi="Verdana"/>
          <w:sz w:val="20"/>
          <w:szCs w:val="18"/>
        </w:rPr>
        <w:t>on posterioridad a</w:t>
      </w:r>
      <w:r w:rsidR="00ED36D4">
        <w:rPr>
          <w:rFonts w:ascii="Verdana" w:hAnsi="Verdana"/>
          <w:sz w:val="20"/>
          <w:szCs w:val="18"/>
        </w:rPr>
        <w:t>l 2013</w:t>
      </w:r>
      <w:r>
        <w:rPr>
          <w:rFonts w:ascii="Verdana" w:hAnsi="Verdana"/>
          <w:sz w:val="20"/>
          <w:szCs w:val="18"/>
        </w:rPr>
        <w:t>, el Estado no proporcionó más información sobre dicha enmienda, a pesar de los requerimientos realizados siguiendo instrucciones del Presidente del Tribunal (</w:t>
      </w:r>
      <w:r>
        <w:rPr>
          <w:rFonts w:ascii="Verdana" w:hAnsi="Verdana"/>
          <w:i/>
          <w:sz w:val="20"/>
          <w:szCs w:val="18"/>
        </w:rPr>
        <w:t>supra</w:t>
      </w:r>
      <w:r>
        <w:rPr>
          <w:rFonts w:ascii="Verdana" w:hAnsi="Verdana"/>
          <w:sz w:val="20"/>
          <w:szCs w:val="18"/>
        </w:rPr>
        <w:t xml:space="preserve"> </w:t>
      </w:r>
      <w:r w:rsidR="004D3CE1">
        <w:rPr>
          <w:rFonts w:ascii="Verdana" w:hAnsi="Verdana"/>
          <w:sz w:val="20"/>
          <w:szCs w:val="18"/>
        </w:rPr>
        <w:t xml:space="preserve">Visto </w:t>
      </w:r>
      <w:r w:rsidR="004D3CE1">
        <w:rPr>
          <w:rFonts w:ascii="Verdana" w:hAnsi="Verdana"/>
          <w:sz w:val="20"/>
          <w:szCs w:val="18"/>
        </w:rPr>
        <w:fldChar w:fldCharType="begin"/>
      </w:r>
      <w:r w:rsidR="004D3CE1">
        <w:rPr>
          <w:rFonts w:ascii="Verdana" w:hAnsi="Verdana"/>
          <w:sz w:val="20"/>
          <w:szCs w:val="18"/>
        </w:rPr>
        <w:instrText xml:space="preserve"> REF _Ref526519903 \r \h </w:instrText>
      </w:r>
      <w:r w:rsidR="004D3CE1">
        <w:rPr>
          <w:rFonts w:ascii="Verdana" w:hAnsi="Verdana"/>
          <w:sz w:val="20"/>
          <w:szCs w:val="18"/>
        </w:rPr>
      </w:r>
      <w:r w:rsidR="004D3CE1">
        <w:rPr>
          <w:rFonts w:ascii="Verdana" w:hAnsi="Verdana"/>
          <w:sz w:val="20"/>
          <w:szCs w:val="18"/>
        </w:rPr>
        <w:fldChar w:fldCharType="separate"/>
      </w:r>
      <w:r w:rsidR="009356EF">
        <w:rPr>
          <w:rFonts w:ascii="Verdana" w:hAnsi="Verdana"/>
          <w:sz w:val="20"/>
          <w:szCs w:val="18"/>
        </w:rPr>
        <w:t>11</w:t>
      </w:r>
      <w:r w:rsidR="004D3CE1">
        <w:rPr>
          <w:rFonts w:ascii="Verdana" w:hAnsi="Verdana"/>
          <w:sz w:val="20"/>
          <w:szCs w:val="18"/>
        </w:rPr>
        <w:fldChar w:fldCharType="end"/>
      </w:r>
      <w:r>
        <w:rPr>
          <w:rFonts w:ascii="Verdana" w:hAnsi="Verdana"/>
          <w:sz w:val="20"/>
          <w:szCs w:val="18"/>
        </w:rPr>
        <w:t>).</w:t>
      </w:r>
      <w:bookmarkEnd w:id="22"/>
    </w:p>
    <w:p w14:paraId="05B566D3" w14:textId="77777777" w:rsidR="003F7BC8" w:rsidRPr="003F7BC8" w:rsidRDefault="003F7BC8" w:rsidP="003F7BC8">
      <w:pPr>
        <w:pStyle w:val="ListParagraph"/>
        <w:ind w:left="0"/>
        <w:jc w:val="both"/>
        <w:rPr>
          <w:rFonts w:ascii="Verdana" w:hAnsi="Verdana"/>
          <w:sz w:val="20"/>
        </w:rPr>
      </w:pPr>
    </w:p>
    <w:p w14:paraId="1B3658DD" w14:textId="482E0C93" w:rsidR="003F7BC8" w:rsidRPr="00F427BA" w:rsidRDefault="003F7BC8" w:rsidP="003F7BC8">
      <w:pPr>
        <w:pStyle w:val="ListParagraph"/>
        <w:numPr>
          <w:ilvl w:val="0"/>
          <w:numId w:val="2"/>
        </w:numPr>
        <w:ind w:left="0" w:firstLine="0"/>
        <w:jc w:val="both"/>
        <w:rPr>
          <w:rFonts w:ascii="Verdana" w:hAnsi="Verdana"/>
          <w:sz w:val="20"/>
        </w:rPr>
      </w:pPr>
      <w:bookmarkStart w:id="23" w:name="_Ref526861739"/>
      <w:bookmarkStart w:id="24" w:name="_Ref526774467"/>
      <w:r w:rsidRPr="00F427BA">
        <w:rPr>
          <w:rFonts w:ascii="Verdana" w:hAnsi="Verdana"/>
          <w:sz w:val="20"/>
        </w:rPr>
        <w:t xml:space="preserve">Por el contrario, </w:t>
      </w:r>
      <w:r w:rsidRPr="00F427BA">
        <w:rPr>
          <w:rFonts w:ascii="Verdana" w:hAnsi="Verdana"/>
          <w:i/>
          <w:sz w:val="20"/>
        </w:rPr>
        <w:t>los representantes</w:t>
      </w:r>
      <w:r w:rsidRPr="00F427BA">
        <w:rPr>
          <w:rFonts w:ascii="Verdana" w:hAnsi="Verdana"/>
          <w:sz w:val="20"/>
        </w:rPr>
        <w:t xml:space="preserve"> afirmaron que el acuerdo del Estado con la empresa IAMGOLD afecta a 33 comunidades </w:t>
      </w:r>
      <w:proofErr w:type="spellStart"/>
      <w:r w:rsidRPr="00F427BA">
        <w:rPr>
          <w:rFonts w:ascii="Verdana" w:hAnsi="Verdana"/>
          <w:sz w:val="20"/>
        </w:rPr>
        <w:t>Saramaka</w:t>
      </w:r>
      <w:proofErr w:type="spellEnd"/>
      <w:r w:rsidRPr="00F427BA">
        <w:rPr>
          <w:rFonts w:ascii="Verdana" w:hAnsi="Verdana"/>
          <w:sz w:val="20"/>
        </w:rPr>
        <w:t xml:space="preserve">, y que indirectamente afecta a todas las demás, que se encuentran dentro de las “áreas de interés” que se incorporan al </w:t>
      </w:r>
      <w:proofErr w:type="spellStart"/>
      <w:r w:rsidRPr="00F427BA">
        <w:rPr>
          <w:rFonts w:ascii="Verdana" w:hAnsi="Verdana"/>
          <w:i/>
          <w:sz w:val="20"/>
        </w:rPr>
        <w:t>Rosebel</w:t>
      </w:r>
      <w:proofErr w:type="spellEnd"/>
      <w:r w:rsidRPr="00F427BA">
        <w:rPr>
          <w:rFonts w:ascii="Verdana" w:hAnsi="Verdana"/>
          <w:i/>
          <w:sz w:val="20"/>
        </w:rPr>
        <w:t xml:space="preserve"> Mineral </w:t>
      </w:r>
      <w:proofErr w:type="spellStart"/>
      <w:r w:rsidRPr="00F427BA">
        <w:rPr>
          <w:rFonts w:ascii="Verdana" w:hAnsi="Verdana"/>
          <w:i/>
          <w:sz w:val="20"/>
        </w:rPr>
        <w:t>Agreement</w:t>
      </w:r>
      <w:proofErr w:type="spellEnd"/>
      <w:r w:rsidRPr="00F427BA">
        <w:rPr>
          <w:rFonts w:ascii="Verdana" w:hAnsi="Verdana"/>
          <w:sz w:val="20"/>
        </w:rPr>
        <w:t>. Además, hacen notar que el término de “área de interés” utilizado en el texto del referido acuerdo tiene los mismos efectos jurídicos que los derechos mineros regulados en el Decreto de Exploración Minera de 1986, en el sentido de que concederían la potestad de reconocimiento, exploración y explotación sobre las tierras indicadas en el “área de interés”, por lo que la relación jurídica nueva generada sobre las “áreas de interés” es la de una concesión otorgada a favor de IAMGOLD</w:t>
      </w:r>
      <w:r w:rsidR="00BF4902" w:rsidRPr="00F427BA">
        <w:rPr>
          <w:rFonts w:ascii="Verdana" w:hAnsi="Verdana"/>
          <w:sz w:val="20"/>
        </w:rPr>
        <w:t>.</w:t>
      </w:r>
      <w:r w:rsidRPr="00F427BA">
        <w:rPr>
          <w:rFonts w:ascii="Verdana" w:hAnsi="Verdana"/>
          <w:sz w:val="20"/>
        </w:rPr>
        <w:t xml:space="preserve"> Hicieron igualmente notar que dichos derechos concedidos a IAMGOLD son exclusivos, lo </w:t>
      </w:r>
      <w:r w:rsidR="00CF4E42" w:rsidRPr="00F427BA">
        <w:rPr>
          <w:rFonts w:ascii="Verdana" w:hAnsi="Verdana"/>
          <w:sz w:val="20"/>
        </w:rPr>
        <w:t xml:space="preserve">cual incluye “el derecho de excluir a los </w:t>
      </w:r>
      <w:proofErr w:type="spellStart"/>
      <w:r w:rsidR="00CF4E42" w:rsidRPr="00F427BA">
        <w:rPr>
          <w:rFonts w:ascii="Verdana" w:hAnsi="Verdana"/>
          <w:sz w:val="20"/>
        </w:rPr>
        <w:t>Saramaka</w:t>
      </w:r>
      <w:proofErr w:type="spellEnd"/>
      <w:r w:rsidR="00CF4E42" w:rsidRPr="00F427BA">
        <w:rPr>
          <w:rFonts w:ascii="Verdana" w:hAnsi="Verdana"/>
          <w:sz w:val="20"/>
        </w:rPr>
        <w:t xml:space="preserve"> de las áreas en que opera o tiene intención de operar”</w:t>
      </w:r>
      <w:r w:rsidRPr="00F427BA">
        <w:rPr>
          <w:rFonts w:ascii="Verdana" w:hAnsi="Verdana"/>
          <w:sz w:val="20"/>
        </w:rPr>
        <w:t xml:space="preserve">. </w:t>
      </w:r>
      <w:r w:rsidR="00213947" w:rsidRPr="00F427BA">
        <w:rPr>
          <w:rFonts w:ascii="Verdana" w:hAnsi="Verdana"/>
          <w:sz w:val="20"/>
        </w:rPr>
        <w:t>L</w:t>
      </w:r>
      <w:r w:rsidRPr="00F427BA">
        <w:rPr>
          <w:rFonts w:ascii="Verdana" w:hAnsi="Verdana"/>
          <w:sz w:val="20"/>
        </w:rPr>
        <w:t xml:space="preserve">os representantes negaron que el Estado haya realizado una consulta previa, y aportaron además una nota en la que </w:t>
      </w:r>
      <w:r w:rsidR="00F427BA" w:rsidRPr="00F427BA">
        <w:rPr>
          <w:rFonts w:ascii="Verdana" w:hAnsi="Verdana"/>
          <w:sz w:val="20"/>
        </w:rPr>
        <w:t>“autoridades tradicionales”</w:t>
      </w:r>
      <w:r w:rsidRPr="00F427BA">
        <w:rPr>
          <w:rFonts w:ascii="Verdana" w:hAnsi="Verdana"/>
          <w:sz w:val="20"/>
        </w:rPr>
        <w:t xml:space="preserve"> </w:t>
      </w:r>
      <w:r w:rsidR="00F427BA" w:rsidRPr="00F427BA">
        <w:rPr>
          <w:rFonts w:ascii="Verdana" w:hAnsi="Verdana"/>
          <w:sz w:val="20"/>
        </w:rPr>
        <w:t xml:space="preserve">del Pueblo </w:t>
      </w:r>
      <w:proofErr w:type="spellStart"/>
      <w:r w:rsidR="00F427BA" w:rsidRPr="00F427BA">
        <w:rPr>
          <w:rFonts w:ascii="Verdana" w:hAnsi="Verdana"/>
          <w:sz w:val="20"/>
        </w:rPr>
        <w:t>Saramaka</w:t>
      </w:r>
      <w:proofErr w:type="spellEnd"/>
      <w:r w:rsidR="00F427BA" w:rsidRPr="00F427BA">
        <w:rPr>
          <w:rFonts w:ascii="Verdana" w:hAnsi="Verdana"/>
          <w:sz w:val="20"/>
        </w:rPr>
        <w:t xml:space="preserve"> </w:t>
      </w:r>
      <w:r w:rsidRPr="00F427BA">
        <w:rPr>
          <w:rFonts w:ascii="Verdana" w:hAnsi="Verdana"/>
          <w:sz w:val="20"/>
        </w:rPr>
        <w:t xml:space="preserve">afirmaron </w:t>
      </w:r>
      <w:r w:rsidR="0033259E" w:rsidRPr="00F427BA">
        <w:rPr>
          <w:rFonts w:ascii="Verdana" w:hAnsi="Verdana"/>
          <w:sz w:val="20"/>
        </w:rPr>
        <w:t>que no fueron</w:t>
      </w:r>
      <w:r w:rsidRPr="00F427BA">
        <w:rPr>
          <w:rFonts w:ascii="Verdana" w:hAnsi="Verdana"/>
          <w:sz w:val="20"/>
        </w:rPr>
        <w:t xml:space="preserve"> consultados en lo que respecta a la ampliación de operaciones de la empresa IAMGOLD</w:t>
      </w:r>
      <w:r w:rsidR="00BF5193" w:rsidRPr="00F427BA">
        <w:rPr>
          <w:rStyle w:val="FootnoteReference"/>
          <w:rFonts w:ascii="Verdana" w:hAnsi="Verdana"/>
          <w:sz w:val="20"/>
        </w:rPr>
        <w:footnoteReference w:id="26"/>
      </w:r>
      <w:r w:rsidR="00BA6A25" w:rsidRPr="00F427BA">
        <w:rPr>
          <w:rFonts w:ascii="Verdana" w:hAnsi="Verdana"/>
          <w:sz w:val="20"/>
        </w:rPr>
        <w:t>.</w:t>
      </w:r>
      <w:r w:rsidRPr="00F427BA">
        <w:rPr>
          <w:rFonts w:ascii="Verdana" w:hAnsi="Verdana"/>
          <w:sz w:val="20"/>
        </w:rPr>
        <w:t xml:space="preserve"> Sobre este último punto, también recordaron que</w:t>
      </w:r>
      <w:r w:rsidR="00E11622" w:rsidRPr="00F427BA">
        <w:rPr>
          <w:rFonts w:ascii="Verdana" w:hAnsi="Verdana"/>
          <w:sz w:val="20"/>
        </w:rPr>
        <w:t>,</w:t>
      </w:r>
      <w:r w:rsidRPr="00F427BA">
        <w:rPr>
          <w:rFonts w:ascii="Verdana" w:hAnsi="Verdana"/>
          <w:sz w:val="20"/>
        </w:rPr>
        <w:t xml:space="preserve"> conforme a la Sentencia, </w:t>
      </w:r>
      <w:r w:rsidR="00E11622" w:rsidRPr="00F427BA">
        <w:rPr>
          <w:rFonts w:ascii="Verdana" w:hAnsi="Verdana"/>
          <w:sz w:val="20"/>
        </w:rPr>
        <w:t>Surinam</w:t>
      </w:r>
      <w:r w:rsidRPr="00F427BA">
        <w:rPr>
          <w:rFonts w:ascii="Verdana" w:hAnsi="Verdana"/>
          <w:sz w:val="20"/>
        </w:rPr>
        <w:t xml:space="preserve"> debía obtener el consentimiento del Pueblo </w:t>
      </w:r>
      <w:proofErr w:type="spellStart"/>
      <w:r w:rsidRPr="00F427BA">
        <w:rPr>
          <w:rFonts w:ascii="Verdana" w:hAnsi="Verdana"/>
          <w:sz w:val="20"/>
        </w:rPr>
        <w:t>Saramaka</w:t>
      </w:r>
      <w:proofErr w:type="spellEnd"/>
      <w:r w:rsidRPr="00F427BA">
        <w:rPr>
          <w:rFonts w:ascii="Verdana" w:hAnsi="Verdana"/>
          <w:sz w:val="20"/>
        </w:rPr>
        <w:t xml:space="preserve"> para realizar dichas actividades. También manifestaron estar disconformes con que las propuestas señaladas por el Estado constituyeran beneficios compartidos a favor del Pueblo </w:t>
      </w:r>
      <w:proofErr w:type="spellStart"/>
      <w:r w:rsidRPr="00F427BA">
        <w:rPr>
          <w:rFonts w:ascii="Verdana" w:hAnsi="Verdana"/>
          <w:sz w:val="20"/>
        </w:rPr>
        <w:t>Saramaka</w:t>
      </w:r>
      <w:proofErr w:type="spellEnd"/>
      <w:r w:rsidRPr="00F427BA">
        <w:rPr>
          <w:rFonts w:ascii="Verdana" w:hAnsi="Verdana"/>
          <w:sz w:val="20"/>
        </w:rPr>
        <w:t xml:space="preserve">. Finalmente, consideraron que los estudios de impacto ambiental señalados por el Estado no se correlacionan con la presente modificación al </w:t>
      </w:r>
      <w:proofErr w:type="spellStart"/>
      <w:r w:rsidRPr="00F427BA">
        <w:rPr>
          <w:rFonts w:ascii="Verdana" w:hAnsi="Verdana"/>
          <w:i/>
          <w:sz w:val="20"/>
        </w:rPr>
        <w:t>Rosebel</w:t>
      </w:r>
      <w:proofErr w:type="spellEnd"/>
      <w:r w:rsidRPr="00F427BA">
        <w:rPr>
          <w:rFonts w:ascii="Verdana" w:hAnsi="Verdana"/>
          <w:i/>
          <w:sz w:val="20"/>
        </w:rPr>
        <w:t xml:space="preserve"> Mineral </w:t>
      </w:r>
      <w:proofErr w:type="spellStart"/>
      <w:r w:rsidRPr="00F427BA">
        <w:rPr>
          <w:rFonts w:ascii="Verdana" w:hAnsi="Verdana"/>
          <w:i/>
          <w:sz w:val="20"/>
        </w:rPr>
        <w:t>Agreement</w:t>
      </w:r>
      <w:proofErr w:type="spellEnd"/>
      <w:r w:rsidRPr="00F427BA">
        <w:rPr>
          <w:rFonts w:ascii="Verdana" w:hAnsi="Verdana"/>
          <w:sz w:val="20"/>
        </w:rPr>
        <w:t>. Los</w:t>
      </w:r>
      <w:r w:rsidRPr="00F427BA">
        <w:rPr>
          <w:rFonts w:ascii="Verdana" w:hAnsi="Verdana"/>
          <w:i/>
          <w:sz w:val="20"/>
        </w:rPr>
        <w:t xml:space="preserve"> representantes</w:t>
      </w:r>
      <w:r w:rsidRPr="00F427BA">
        <w:rPr>
          <w:rFonts w:ascii="Verdana" w:hAnsi="Verdana"/>
          <w:sz w:val="20"/>
        </w:rPr>
        <w:t>, en su escrito de observaciones de mayo de 2015, solicitaron que la Corte se refiera a la validez de las actividades de explotación minera antes señaladas.</w:t>
      </w:r>
      <w:bookmarkEnd w:id="23"/>
      <w:r w:rsidRPr="00F427BA">
        <w:rPr>
          <w:rFonts w:ascii="Verdana" w:hAnsi="Verdana"/>
          <w:sz w:val="20"/>
        </w:rPr>
        <w:t xml:space="preserve"> </w:t>
      </w:r>
      <w:bookmarkEnd w:id="24"/>
    </w:p>
    <w:p w14:paraId="0EFBD035" w14:textId="2DBA42A6" w:rsidR="003F7BC8" w:rsidRDefault="0033259E" w:rsidP="0033259E">
      <w:pPr>
        <w:pStyle w:val="ListParagraph"/>
        <w:tabs>
          <w:tab w:val="left" w:pos="7058"/>
        </w:tabs>
        <w:ind w:left="0"/>
        <w:jc w:val="both"/>
        <w:rPr>
          <w:rFonts w:ascii="Verdana" w:hAnsi="Verdana"/>
          <w:sz w:val="20"/>
        </w:rPr>
      </w:pPr>
      <w:r>
        <w:rPr>
          <w:rFonts w:ascii="Verdana" w:hAnsi="Verdana"/>
          <w:sz w:val="20"/>
        </w:rPr>
        <w:tab/>
      </w:r>
    </w:p>
    <w:p w14:paraId="6D6F4463" w14:textId="5EB7D52B" w:rsidR="003F7BC8" w:rsidRPr="00816F81" w:rsidRDefault="003F7BC8" w:rsidP="003F7BC8">
      <w:pPr>
        <w:pStyle w:val="ListParagraph"/>
        <w:numPr>
          <w:ilvl w:val="0"/>
          <w:numId w:val="2"/>
        </w:numPr>
        <w:ind w:left="0" w:firstLine="0"/>
        <w:jc w:val="both"/>
        <w:rPr>
          <w:rFonts w:ascii="Verdana" w:hAnsi="Verdana"/>
          <w:sz w:val="20"/>
        </w:rPr>
      </w:pPr>
      <w:r w:rsidRPr="00816F81">
        <w:rPr>
          <w:rFonts w:ascii="Verdana" w:hAnsi="Verdana"/>
          <w:sz w:val="20"/>
        </w:rPr>
        <w:t xml:space="preserve">Por su parte, la </w:t>
      </w:r>
      <w:r w:rsidRPr="00816F81">
        <w:rPr>
          <w:rFonts w:ascii="Verdana" w:hAnsi="Verdana"/>
          <w:i/>
          <w:sz w:val="20"/>
        </w:rPr>
        <w:t>Comisión</w:t>
      </w:r>
      <w:r w:rsidRPr="00816F81">
        <w:rPr>
          <w:rFonts w:ascii="Verdana" w:hAnsi="Verdana"/>
          <w:sz w:val="20"/>
        </w:rPr>
        <w:t xml:space="preserve"> indicó, en sus observaciones de diciembre de 2013, que el Estado </w:t>
      </w:r>
      <w:r w:rsidR="006F26B0" w:rsidRPr="00816F81">
        <w:rPr>
          <w:rFonts w:ascii="Verdana" w:hAnsi="Verdana"/>
          <w:sz w:val="20"/>
        </w:rPr>
        <w:t>continúa</w:t>
      </w:r>
      <w:r w:rsidRPr="00816F81">
        <w:rPr>
          <w:rFonts w:ascii="Verdana" w:hAnsi="Verdana"/>
          <w:sz w:val="20"/>
        </w:rPr>
        <w:t xml:space="preserve"> “promoviendo acciones que directamente contravienen con las obligaciones dispuestas por la Corte”, y que “la información indicada por el Estado no prueba que las actividades mineras de IAMGOLD no afectarían al territorio </w:t>
      </w:r>
      <w:proofErr w:type="spellStart"/>
      <w:r w:rsidRPr="00816F81">
        <w:rPr>
          <w:rFonts w:ascii="Verdana" w:hAnsi="Verdana"/>
          <w:sz w:val="20"/>
        </w:rPr>
        <w:t>Saramaka</w:t>
      </w:r>
      <w:proofErr w:type="spellEnd"/>
      <w:r w:rsidRPr="00816F81">
        <w:rPr>
          <w:rFonts w:ascii="Verdana" w:hAnsi="Verdana"/>
          <w:sz w:val="20"/>
        </w:rPr>
        <w:t xml:space="preserve">”. Posteriormente, en sus observaciones de junio de 2015, la Comisión </w:t>
      </w:r>
      <w:r w:rsidR="00C10FF6" w:rsidRPr="00816F81">
        <w:rPr>
          <w:rFonts w:ascii="Verdana" w:hAnsi="Verdana"/>
          <w:sz w:val="20"/>
        </w:rPr>
        <w:t xml:space="preserve">hizo notar </w:t>
      </w:r>
      <w:r w:rsidRPr="00816F81">
        <w:rPr>
          <w:rFonts w:ascii="Verdana" w:hAnsi="Verdana"/>
          <w:sz w:val="20"/>
        </w:rPr>
        <w:t xml:space="preserve">que el Estado no presentó la información solicitada mediante la Resolución de 2013 de la Corte, y requirió </w:t>
      </w:r>
      <w:r w:rsidR="00340106" w:rsidRPr="00816F81">
        <w:rPr>
          <w:rFonts w:ascii="Verdana" w:hAnsi="Verdana"/>
          <w:sz w:val="20"/>
        </w:rPr>
        <w:t xml:space="preserve">a </w:t>
      </w:r>
      <w:r w:rsidRPr="00816F81">
        <w:rPr>
          <w:rFonts w:ascii="Verdana" w:hAnsi="Verdana"/>
          <w:sz w:val="20"/>
        </w:rPr>
        <w:t>la Corte</w:t>
      </w:r>
      <w:r w:rsidR="00340106" w:rsidRPr="00816F81">
        <w:rPr>
          <w:rFonts w:ascii="Verdana" w:hAnsi="Verdana"/>
          <w:sz w:val="20"/>
        </w:rPr>
        <w:t xml:space="preserve"> solicitar al Estado</w:t>
      </w:r>
      <w:r w:rsidRPr="00816F81">
        <w:rPr>
          <w:rFonts w:ascii="Verdana" w:hAnsi="Verdana"/>
          <w:sz w:val="20"/>
        </w:rPr>
        <w:t xml:space="preserve"> </w:t>
      </w:r>
      <w:r w:rsidR="00340106" w:rsidRPr="00816F81">
        <w:rPr>
          <w:rFonts w:ascii="Verdana" w:hAnsi="Verdana"/>
          <w:sz w:val="20"/>
        </w:rPr>
        <w:t>“</w:t>
      </w:r>
      <w:r w:rsidRPr="00816F81">
        <w:rPr>
          <w:rFonts w:ascii="Verdana" w:hAnsi="Verdana"/>
          <w:sz w:val="20"/>
        </w:rPr>
        <w:t>información</w:t>
      </w:r>
      <w:r w:rsidR="00340106" w:rsidRPr="00816F81">
        <w:rPr>
          <w:rFonts w:ascii="Verdana" w:hAnsi="Verdana"/>
          <w:sz w:val="20"/>
        </w:rPr>
        <w:t xml:space="preserve"> concreta respecto a la implementación de las</w:t>
      </w:r>
      <w:r w:rsidRPr="00816F81">
        <w:rPr>
          <w:rFonts w:ascii="Verdana" w:hAnsi="Verdana"/>
          <w:sz w:val="20"/>
        </w:rPr>
        <w:t xml:space="preserve"> medidas</w:t>
      </w:r>
      <w:r w:rsidR="00340106" w:rsidRPr="00816F81">
        <w:rPr>
          <w:rFonts w:ascii="Verdana" w:hAnsi="Verdana"/>
          <w:sz w:val="20"/>
        </w:rPr>
        <w:t xml:space="preserve"> de reparación</w:t>
      </w:r>
      <w:r w:rsidR="001D6CC4">
        <w:rPr>
          <w:rFonts w:ascii="Verdana" w:hAnsi="Verdana"/>
          <w:sz w:val="20"/>
        </w:rPr>
        <w:t>”</w:t>
      </w:r>
      <w:r w:rsidRPr="00816F81">
        <w:rPr>
          <w:rFonts w:ascii="Verdana" w:hAnsi="Verdana"/>
          <w:sz w:val="20"/>
        </w:rPr>
        <w:t xml:space="preserve">. </w:t>
      </w:r>
    </w:p>
    <w:p w14:paraId="609F8093" w14:textId="77777777" w:rsidR="003F7BC8" w:rsidRPr="003F7BC8" w:rsidRDefault="003F7BC8" w:rsidP="003F7BC8">
      <w:pPr>
        <w:pStyle w:val="ListParagraph"/>
        <w:rPr>
          <w:rFonts w:ascii="Verdana" w:hAnsi="Verdana"/>
          <w:sz w:val="20"/>
        </w:rPr>
      </w:pPr>
    </w:p>
    <w:p w14:paraId="621475EB" w14:textId="37AF56A1" w:rsidR="003F7BC8" w:rsidRDefault="003F7BC8" w:rsidP="003F7BC8">
      <w:pPr>
        <w:pStyle w:val="ListParagraph"/>
        <w:numPr>
          <w:ilvl w:val="0"/>
          <w:numId w:val="2"/>
        </w:numPr>
        <w:ind w:left="0" w:firstLine="0"/>
        <w:jc w:val="both"/>
        <w:rPr>
          <w:rFonts w:ascii="Verdana" w:hAnsi="Verdana"/>
          <w:sz w:val="20"/>
        </w:rPr>
      </w:pPr>
      <w:r>
        <w:rPr>
          <w:rFonts w:ascii="Verdana" w:hAnsi="Verdana"/>
          <w:sz w:val="20"/>
        </w:rPr>
        <w:t xml:space="preserve">La Corte </w:t>
      </w:r>
      <w:r w:rsidR="00C10FF6">
        <w:rPr>
          <w:rFonts w:ascii="Verdana" w:hAnsi="Verdana"/>
          <w:sz w:val="20"/>
        </w:rPr>
        <w:t>destaca</w:t>
      </w:r>
      <w:r>
        <w:rPr>
          <w:rFonts w:ascii="Verdana" w:hAnsi="Verdana"/>
          <w:sz w:val="20"/>
        </w:rPr>
        <w:t xml:space="preserve"> que el Estado no ha proporcionado la información necesaria para realizar una valoración sobre el cumplimiento de este extremo de la medida de </w:t>
      </w:r>
      <w:r>
        <w:rPr>
          <w:rFonts w:ascii="Verdana" w:hAnsi="Verdana"/>
          <w:sz w:val="20"/>
        </w:rPr>
        <w:lastRenderedPageBreak/>
        <w:t xml:space="preserve">reparación. </w:t>
      </w:r>
      <w:r w:rsidR="00AA6548">
        <w:rPr>
          <w:rFonts w:ascii="Verdana" w:hAnsi="Verdana"/>
          <w:sz w:val="20"/>
        </w:rPr>
        <w:t xml:space="preserve">Además de no aportar elementos </w:t>
      </w:r>
      <w:r w:rsidR="005C2D89">
        <w:rPr>
          <w:rFonts w:ascii="Verdana" w:hAnsi="Verdana"/>
          <w:sz w:val="20"/>
        </w:rPr>
        <w:t xml:space="preserve">probatorios </w:t>
      </w:r>
      <w:r w:rsidR="00AA6548">
        <w:rPr>
          <w:rFonts w:ascii="Verdana" w:hAnsi="Verdana"/>
          <w:sz w:val="20"/>
        </w:rPr>
        <w:t>sobre cualquiera de sus afirmaciones relacionadas con esta medida</w:t>
      </w:r>
      <w:r w:rsidR="005C2D89">
        <w:rPr>
          <w:rFonts w:ascii="Verdana" w:hAnsi="Verdana"/>
          <w:sz w:val="20"/>
        </w:rPr>
        <w:t>,</w:t>
      </w:r>
      <w:r w:rsidR="00AA6548">
        <w:rPr>
          <w:rFonts w:ascii="Verdana" w:hAnsi="Verdana"/>
          <w:sz w:val="20"/>
        </w:rPr>
        <w:t xml:space="preserve"> </w:t>
      </w:r>
      <w:r w:rsidR="005C2D89">
        <w:rPr>
          <w:rFonts w:ascii="Verdana" w:hAnsi="Verdana"/>
          <w:sz w:val="20"/>
        </w:rPr>
        <w:t>d</w:t>
      </w:r>
      <w:r w:rsidR="00AA6548">
        <w:rPr>
          <w:rFonts w:ascii="Verdana" w:hAnsi="Verdana"/>
          <w:sz w:val="20"/>
        </w:rPr>
        <w:t xml:space="preserve">esde el 2013 </w:t>
      </w:r>
      <w:r w:rsidR="005C2D89">
        <w:rPr>
          <w:rFonts w:ascii="Verdana" w:hAnsi="Verdana"/>
          <w:sz w:val="20"/>
        </w:rPr>
        <w:t xml:space="preserve">no ha remitido </w:t>
      </w:r>
      <w:r w:rsidR="00AA6548">
        <w:rPr>
          <w:rFonts w:ascii="Verdana" w:hAnsi="Verdana"/>
          <w:sz w:val="20"/>
        </w:rPr>
        <w:t>la información requerida, a pesar de las solicitudes efectuadas por el Presidente del Tribunal (</w:t>
      </w:r>
      <w:r w:rsidR="00AA6548">
        <w:rPr>
          <w:rFonts w:ascii="Verdana" w:hAnsi="Verdana"/>
          <w:i/>
          <w:sz w:val="20"/>
        </w:rPr>
        <w:t>supra</w:t>
      </w:r>
      <w:r w:rsidR="005C2D89">
        <w:rPr>
          <w:rFonts w:ascii="Verdana" w:hAnsi="Verdana"/>
          <w:sz w:val="20"/>
        </w:rPr>
        <w:t xml:space="preserve"> </w:t>
      </w:r>
      <w:r w:rsidR="00CF4E42">
        <w:rPr>
          <w:rFonts w:ascii="Verdana" w:hAnsi="Verdana"/>
          <w:sz w:val="20"/>
        </w:rPr>
        <w:t xml:space="preserve">Visto </w:t>
      </w:r>
      <w:r w:rsidR="00CF4E42">
        <w:rPr>
          <w:rFonts w:ascii="Verdana" w:hAnsi="Verdana"/>
          <w:sz w:val="20"/>
        </w:rPr>
        <w:fldChar w:fldCharType="begin"/>
      </w:r>
      <w:r w:rsidR="00CF4E42">
        <w:rPr>
          <w:rFonts w:ascii="Verdana" w:hAnsi="Verdana"/>
          <w:sz w:val="20"/>
        </w:rPr>
        <w:instrText xml:space="preserve"> REF _Ref526519903 \r \h </w:instrText>
      </w:r>
      <w:r w:rsidR="00CF4E42">
        <w:rPr>
          <w:rFonts w:ascii="Verdana" w:hAnsi="Verdana"/>
          <w:sz w:val="20"/>
        </w:rPr>
      </w:r>
      <w:r w:rsidR="00CF4E42">
        <w:rPr>
          <w:rFonts w:ascii="Verdana" w:hAnsi="Verdana"/>
          <w:sz w:val="20"/>
        </w:rPr>
        <w:fldChar w:fldCharType="separate"/>
      </w:r>
      <w:r w:rsidR="009356EF">
        <w:rPr>
          <w:rFonts w:ascii="Verdana" w:hAnsi="Verdana"/>
          <w:sz w:val="20"/>
        </w:rPr>
        <w:t>11</w:t>
      </w:r>
      <w:r w:rsidR="00CF4E42">
        <w:rPr>
          <w:rFonts w:ascii="Verdana" w:hAnsi="Verdana"/>
          <w:sz w:val="20"/>
        </w:rPr>
        <w:fldChar w:fldCharType="end"/>
      </w:r>
      <w:r w:rsidR="005C2D89">
        <w:rPr>
          <w:rFonts w:ascii="Verdana" w:hAnsi="Verdana"/>
          <w:sz w:val="20"/>
        </w:rPr>
        <w:t>).</w:t>
      </w:r>
      <w:r w:rsidR="00AA6548">
        <w:rPr>
          <w:rFonts w:ascii="Verdana" w:hAnsi="Verdana"/>
          <w:sz w:val="20"/>
        </w:rPr>
        <w:t xml:space="preserve"> </w:t>
      </w:r>
      <w:r w:rsidR="00F3434E">
        <w:rPr>
          <w:rFonts w:ascii="Verdana" w:hAnsi="Verdana"/>
          <w:sz w:val="20"/>
        </w:rPr>
        <w:t>L</w:t>
      </w:r>
      <w:r>
        <w:rPr>
          <w:rFonts w:ascii="Verdana" w:hAnsi="Verdana"/>
          <w:sz w:val="20"/>
        </w:rPr>
        <w:t xml:space="preserve">a información disponible, tal como la nota de </w:t>
      </w:r>
      <w:r w:rsidR="00F427BA">
        <w:rPr>
          <w:rFonts w:ascii="Verdana" w:hAnsi="Verdana"/>
          <w:sz w:val="20"/>
        </w:rPr>
        <w:t>“autoridades tradicionales” del Pueblo</w:t>
      </w:r>
      <w:r>
        <w:rPr>
          <w:rFonts w:ascii="Verdana" w:hAnsi="Verdana"/>
          <w:sz w:val="20"/>
        </w:rPr>
        <w:t xml:space="preserve"> </w:t>
      </w:r>
      <w:proofErr w:type="spellStart"/>
      <w:r>
        <w:rPr>
          <w:rFonts w:ascii="Verdana" w:hAnsi="Verdana"/>
          <w:sz w:val="20"/>
        </w:rPr>
        <w:t>Saramaka</w:t>
      </w:r>
      <w:proofErr w:type="spellEnd"/>
      <w:r>
        <w:rPr>
          <w:rFonts w:ascii="Verdana" w:hAnsi="Verdana"/>
          <w:sz w:val="20"/>
        </w:rPr>
        <w:t xml:space="preserve"> oponiéndose a la ampliación de actividades por parte de IAMGOLD</w:t>
      </w:r>
      <w:r w:rsidR="0033259E">
        <w:rPr>
          <w:rFonts w:ascii="Verdana" w:hAnsi="Verdana"/>
          <w:sz w:val="20"/>
        </w:rPr>
        <w:t xml:space="preserve"> (</w:t>
      </w:r>
      <w:r w:rsidR="0033259E">
        <w:rPr>
          <w:rFonts w:ascii="Verdana" w:hAnsi="Verdana"/>
          <w:i/>
          <w:sz w:val="20"/>
        </w:rPr>
        <w:t>supra</w:t>
      </w:r>
      <w:r w:rsidR="0033259E">
        <w:rPr>
          <w:rFonts w:ascii="Verdana" w:hAnsi="Verdana"/>
          <w:sz w:val="20"/>
        </w:rPr>
        <w:t xml:space="preserve"> Considerando </w:t>
      </w:r>
      <w:r w:rsidR="0033259E">
        <w:rPr>
          <w:rFonts w:ascii="Verdana" w:hAnsi="Verdana"/>
          <w:sz w:val="20"/>
        </w:rPr>
        <w:fldChar w:fldCharType="begin"/>
      </w:r>
      <w:r w:rsidR="0033259E">
        <w:rPr>
          <w:rFonts w:ascii="Verdana" w:hAnsi="Verdana"/>
          <w:sz w:val="20"/>
        </w:rPr>
        <w:instrText xml:space="preserve"> REF _Ref526861739 \r \h </w:instrText>
      </w:r>
      <w:r w:rsidR="0033259E">
        <w:rPr>
          <w:rFonts w:ascii="Verdana" w:hAnsi="Verdana"/>
          <w:sz w:val="20"/>
        </w:rPr>
      </w:r>
      <w:r w:rsidR="0033259E">
        <w:rPr>
          <w:rFonts w:ascii="Verdana" w:hAnsi="Verdana"/>
          <w:sz w:val="20"/>
        </w:rPr>
        <w:fldChar w:fldCharType="separate"/>
      </w:r>
      <w:r w:rsidR="009356EF">
        <w:rPr>
          <w:rFonts w:ascii="Verdana" w:hAnsi="Verdana"/>
          <w:sz w:val="20"/>
        </w:rPr>
        <w:t>28</w:t>
      </w:r>
      <w:r w:rsidR="0033259E">
        <w:rPr>
          <w:rFonts w:ascii="Verdana" w:hAnsi="Verdana"/>
          <w:sz w:val="20"/>
        </w:rPr>
        <w:fldChar w:fldCharType="end"/>
      </w:r>
      <w:r w:rsidR="0033259E">
        <w:rPr>
          <w:rFonts w:ascii="Verdana" w:hAnsi="Verdana"/>
          <w:sz w:val="20"/>
        </w:rPr>
        <w:t>)</w:t>
      </w:r>
      <w:r w:rsidR="00777621">
        <w:rPr>
          <w:rFonts w:ascii="Verdana" w:hAnsi="Verdana"/>
          <w:sz w:val="20"/>
        </w:rPr>
        <w:t xml:space="preserve"> y</w:t>
      </w:r>
      <w:r>
        <w:rPr>
          <w:rFonts w:ascii="Verdana" w:hAnsi="Verdana"/>
          <w:sz w:val="20"/>
        </w:rPr>
        <w:t xml:space="preserve"> una nota de prensa en la que el presidente de la referida empresa reconoce que estaría ampliándose la concesión a su favor para la explotación de oro</w:t>
      </w:r>
      <w:r>
        <w:rPr>
          <w:rStyle w:val="FootnoteReference"/>
          <w:rFonts w:ascii="Verdana" w:hAnsi="Verdana"/>
          <w:sz w:val="20"/>
        </w:rPr>
        <w:footnoteReference w:id="27"/>
      </w:r>
      <w:r>
        <w:rPr>
          <w:rFonts w:ascii="Verdana" w:hAnsi="Verdana"/>
          <w:sz w:val="20"/>
        </w:rPr>
        <w:t xml:space="preserve">, </w:t>
      </w:r>
      <w:r w:rsidR="00BF5193">
        <w:rPr>
          <w:rFonts w:ascii="Verdana" w:hAnsi="Verdana"/>
          <w:sz w:val="20"/>
        </w:rPr>
        <w:t>permite a la Corte</w:t>
      </w:r>
      <w:r>
        <w:rPr>
          <w:rFonts w:ascii="Verdana" w:hAnsi="Verdana"/>
          <w:sz w:val="20"/>
        </w:rPr>
        <w:t xml:space="preserve"> considerar que la segunda enmienda al </w:t>
      </w:r>
      <w:proofErr w:type="spellStart"/>
      <w:r>
        <w:rPr>
          <w:rFonts w:ascii="Verdana" w:hAnsi="Verdana"/>
          <w:i/>
          <w:sz w:val="20"/>
        </w:rPr>
        <w:t>Rosebel</w:t>
      </w:r>
      <w:proofErr w:type="spellEnd"/>
      <w:r>
        <w:rPr>
          <w:rFonts w:ascii="Verdana" w:hAnsi="Verdana"/>
          <w:i/>
          <w:sz w:val="20"/>
        </w:rPr>
        <w:t xml:space="preserve"> Mineral </w:t>
      </w:r>
      <w:proofErr w:type="spellStart"/>
      <w:r>
        <w:rPr>
          <w:rFonts w:ascii="Verdana" w:hAnsi="Verdana"/>
          <w:i/>
          <w:sz w:val="20"/>
        </w:rPr>
        <w:t>Agreement</w:t>
      </w:r>
      <w:proofErr w:type="spellEnd"/>
      <w:r>
        <w:rPr>
          <w:rFonts w:ascii="Verdana" w:hAnsi="Verdana"/>
          <w:sz w:val="20"/>
        </w:rPr>
        <w:t xml:space="preserve"> podría tener efectos similares a los del otorgamiento de una nueva concesión, que dicha concesión sí podría haber afectado territorios propios de las comunidades </w:t>
      </w:r>
      <w:proofErr w:type="spellStart"/>
      <w:r>
        <w:rPr>
          <w:rFonts w:ascii="Verdana" w:hAnsi="Verdana"/>
          <w:sz w:val="20"/>
        </w:rPr>
        <w:t>Saramaka</w:t>
      </w:r>
      <w:proofErr w:type="spellEnd"/>
      <w:r>
        <w:rPr>
          <w:rFonts w:ascii="Verdana" w:hAnsi="Verdana"/>
          <w:sz w:val="20"/>
        </w:rPr>
        <w:t xml:space="preserve">, y que no se habrían adoptado medidas para garantizar una consulta previa, estudios de impacto ambiental y social, ni beneficios compartidos a favor del Pueblo </w:t>
      </w:r>
      <w:proofErr w:type="spellStart"/>
      <w:r>
        <w:rPr>
          <w:rFonts w:ascii="Verdana" w:hAnsi="Verdana"/>
          <w:sz w:val="20"/>
        </w:rPr>
        <w:t>Saramaka</w:t>
      </w:r>
      <w:proofErr w:type="spellEnd"/>
      <w:r>
        <w:rPr>
          <w:rFonts w:ascii="Verdana" w:hAnsi="Verdana"/>
          <w:sz w:val="20"/>
        </w:rPr>
        <w:t>.</w:t>
      </w:r>
    </w:p>
    <w:p w14:paraId="45FCB580" w14:textId="77777777" w:rsidR="003F7BC8" w:rsidRDefault="003F7BC8" w:rsidP="003F7BC8">
      <w:pPr>
        <w:pStyle w:val="ListParagraph"/>
        <w:ind w:left="0"/>
        <w:jc w:val="both"/>
        <w:rPr>
          <w:rFonts w:ascii="Verdana" w:hAnsi="Verdana"/>
          <w:sz w:val="20"/>
        </w:rPr>
      </w:pPr>
    </w:p>
    <w:p w14:paraId="15300DF2" w14:textId="77777777" w:rsidR="00E75FEF" w:rsidRDefault="003F7BC8" w:rsidP="00563488">
      <w:pPr>
        <w:pStyle w:val="ListParagraph"/>
        <w:numPr>
          <w:ilvl w:val="0"/>
          <w:numId w:val="2"/>
        </w:numPr>
        <w:ind w:left="0" w:firstLine="0"/>
        <w:jc w:val="both"/>
        <w:rPr>
          <w:rFonts w:ascii="Verdana" w:hAnsi="Verdana"/>
          <w:sz w:val="20"/>
        </w:rPr>
      </w:pPr>
      <w:r>
        <w:rPr>
          <w:rFonts w:ascii="Verdana" w:hAnsi="Verdana"/>
          <w:sz w:val="20"/>
        </w:rPr>
        <w:t xml:space="preserve">En este sentido, en su Resolución de 2011, </w:t>
      </w:r>
      <w:r w:rsidR="00F4317B">
        <w:rPr>
          <w:rFonts w:ascii="Verdana" w:hAnsi="Verdana"/>
          <w:sz w:val="20"/>
        </w:rPr>
        <w:t xml:space="preserve">se </w:t>
      </w:r>
      <w:r>
        <w:rPr>
          <w:rFonts w:ascii="Verdana" w:hAnsi="Verdana"/>
          <w:sz w:val="20"/>
        </w:rPr>
        <w:t>dispuso que “</w:t>
      </w:r>
      <w:r w:rsidRPr="003F7BC8">
        <w:rPr>
          <w:rFonts w:ascii="Verdana" w:hAnsi="Verdana"/>
          <w:sz w:val="20"/>
        </w:rPr>
        <w:t xml:space="preserve">dado que la titularización de las tierras </w:t>
      </w:r>
      <w:proofErr w:type="spellStart"/>
      <w:r w:rsidRPr="003F7BC8">
        <w:rPr>
          <w:rFonts w:ascii="Verdana" w:hAnsi="Verdana"/>
          <w:sz w:val="20"/>
        </w:rPr>
        <w:t>Saramaka</w:t>
      </w:r>
      <w:proofErr w:type="spellEnd"/>
      <w:r w:rsidRPr="003F7BC8">
        <w:rPr>
          <w:rFonts w:ascii="Verdana" w:hAnsi="Verdana"/>
          <w:sz w:val="20"/>
        </w:rPr>
        <w:t xml:space="preserve"> aún no se ha llevado a cabo </w:t>
      </w:r>
      <w:r>
        <w:rPr>
          <w:rFonts w:ascii="Verdana" w:hAnsi="Verdana"/>
          <w:sz w:val="20"/>
        </w:rPr>
        <w:t>[…]</w:t>
      </w:r>
      <w:r w:rsidRPr="003F7BC8">
        <w:rPr>
          <w:rFonts w:ascii="Verdana" w:hAnsi="Verdana"/>
          <w:sz w:val="20"/>
        </w:rPr>
        <w:t xml:space="preserve">, la Corte considera que el otorgamiento de cualquier concesión nueva en esos territorios después del 19 de diciembre de 2007, fecha en que se notificó la Sentencia, sin el consentimiento de los </w:t>
      </w:r>
      <w:proofErr w:type="spellStart"/>
      <w:r w:rsidRPr="003F7BC8">
        <w:rPr>
          <w:rFonts w:ascii="Verdana" w:hAnsi="Verdana"/>
          <w:sz w:val="20"/>
        </w:rPr>
        <w:t>Saramaka</w:t>
      </w:r>
      <w:proofErr w:type="spellEnd"/>
      <w:r w:rsidRPr="003F7BC8">
        <w:rPr>
          <w:rFonts w:ascii="Verdana" w:hAnsi="Verdana"/>
          <w:sz w:val="20"/>
        </w:rPr>
        <w:t xml:space="preserve"> y sin la realización de estudios previos de impacto ambiental y social, constituiría una violación directa de la decisión de la Corte y, por consiguiente, de las obligaciones convencionales internacionales del Estado</w:t>
      </w:r>
      <w:r>
        <w:rPr>
          <w:rFonts w:ascii="Verdana" w:hAnsi="Verdana"/>
          <w:sz w:val="20"/>
        </w:rPr>
        <w:t>”</w:t>
      </w:r>
      <w:r w:rsidR="00C92D9B">
        <w:rPr>
          <w:rStyle w:val="FootnoteReference"/>
          <w:rFonts w:ascii="Verdana" w:hAnsi="Verdana"/>
          <w:sz w:val="20"/>
        </w:rPr>
        <w:footnoteReference w:id="28"/>
      </w:r>
      <w:r>
        <w:rPr>
          <w:rFonts w:ascii="Verdana" w:hAnsi="Verdana"/>
          <w:sz w:val="20"/>
        </w:rPr>
        <w:t>.</w:t>
      </w:r>
      <w:r w:rsidR="00563488">
        <w:rPr>
          <w:rFonts w:ascii="Verdana" w:hAnsi="Verdana"/>
          <w:sz w:val="20"/>
        </w:rPr>
        <w:t xml:space="preserve"> </w:t>
      </w:r>
    </w:p>
    <w:p w14:paraId="1668A03B" w14:textId="77777777" w:rsidR="00E75FEF" w:rsidRPr="00E75FEF" w:rsidRDefault="00E75FEF" w:rsidP="00E75FEF">
      <w:pPr>
        <w:pStyle w:val="ListParagraph"/>
        <w:rPr>
          <w:rFonts w:ascii="Verdana" w:hAnsi="Verdana"/>
          <w:sz w:val="20"/>
        </w:rPr>
      </w:pPr>
    </w:p>
    <w:p w14:paraId="0ACBD661" w14:textId="2C4E1545" w:rsidR="007805E4" w:rsidRDefault="001D6CC4" w:rsidP="00563488">
      <w:pPr>
        <w:pStyle w:val="ListParagraph"/>
        <w:numPr>
          <w:ilvl w:val="0"/>
          <w:numId w:val="2"/>
        </w:numPr>
        <w:ind w:left="0" w:firstLine="0"/>
        <w:jc w:val="both"/>
        <w:rPr>
          <w:rFonts w:ascii="Verdana" w:hAnsi="Verdana"/>
          <w:sz w:val="20"/>
        </w:rPr>
      </w:pPr>
      <w:r>
        <w:rPr>
          <w:rFonts w:ascii="Verdana" w:hAnsi="Verdana"/>
          <w:sz w:val="20"/>
        </w:rPr>
        <w:t xml:space="preserve">Con base en las anteriores consideraciones, </w:t>
      </w:r>
      <w:r w:rsidR="00563488">
        <w:rPr>
          <w:rFonts w:ascii="Verdana" w:hAnsi="Verdana"/>
          <w:sz w:val="20"/>
        </w:rPr>
        <w:t xml:space="preserve">la Corte considera que Surinam se encuentra </w:t>
      </w:r>
      <w:r w:rsidR="000B0837">
        <w:rPr>
          <w:rFonts w:ascii="Verdana" w:hAnsi="Verdana"/>
          <w:sz w:val="20"/>
        </w:rPr>
        <w:t>incumpliendo</w:t>
      </w:r>
      <w:r w:rsidR="00563488">
        <w:rPr>
          <w:rFonts w:ascii="Verdana" w:hAnsi="Verdana"/>
          <w:sz w:val="20"/>
        </w:rPr>
        <w:t xml:space="preserve"> la presente medida de reparación. </w:t>
      </w:r>
      <w:r w:rsidR="00A07E10">
        <w:rPr>
          <w:rFonts w:ascii="Verdana" w:hAnsi="Verdana"/>
          <w:sz w:val="20"/>
        </w:rPr>
        <w:t>Ello reviste especial gravedad tomando en cuenta</w:t>
      </w:r>
      <w:r w:rsidR="00EF48AB">
        <w:rPr>
          <w:rFonts w:ascii="Verdana" w:hAnsi="Verdana"/>
          <w:sz w:val="20"/>
        </w:rPr>
        <w:t xml:space="preserve"> que han transcurrido más de siete años y nueve meses desde que venció el plazo dispuesto en la Sentencia para dar cumplimiento a la misma</w:t>
      </w:r>
      <w:r w:rsidR="00B96B24">
        <w:rPr>
          <w:rFonts w:ascii="Verdana" w:hAnsi="Verdana"/>
          <w:sz w:val="20"/>
        </w:rPr>
        <w:t>.</w:t>
      </w:r>
      <w:r w:rsidR="00EF48AB">
        <w:rPr>
          <w:rFonts w:ascii="Verdana" w:hAnsi="Verdana"/>
          <w:sz w:val="20"/>
        </w:rPr>
        <w:t xml:space="preserve"> </w:t>
      </w:r>
    </w:p>
    <w:p w14:paraId="48EC09C6" w14:textId="77777777" w:rsidR="00563488" w:rsidRPr="00563488" w:rsidRDefault="00563488" w:rsidP="00563488">
      <w:pPr>
        <w:pStyle w:val="ListParagraph"/>
        <w:rPr>
          <w:rFonts w:ascii="Verdana" w:hAnsi="Verdana"/>
          <w:sz w:val="20"/>
        </w:rPr>
      </w:pPr>
    </w:p>
    <w:p w14:paraId="223FD629" w14:textId="0C54DEE7" w:rsidR="00563488" w:rsidRPr="00E75FEF" w:rsidRDefault="00E75FEF" w:rsidP="00563488">
      <w:pPr>
        <w:pStyle w:val="ListParagraph"/>
        <w:numPr>
          <w:ilvl w:val="0"/>
          <w:numId w:val="2"/>
        </w:numPr>
        <w:ind w:left="0" w:firstLine="0"/>
        <w:jc w:val="both"/>
        <w:rPr>
          <w:rFonts w:ascii="Verdana" w:hAnsi="Verdana"/>
          <w:sz w:val="20"/>
        </w:rPr>
      </w:pPr>
      <w:r w:rsidRPr="00E75FEF">
        <w:rPr>
          <w:rFonts w:ascii="Verdana" w:hAnsi="Verdana"/>
          <w:sz w:val="20"/>
        </w:rPr>
        <w:t>Teniendo en cuenta todo lo anterior</w:t>
      </w:r>
      <w:r w:rsidR="00563488" w:rsidRPr="00E75FEF">
        <w:rPr>
          <w:rFonts w:ascii="Verdana" w:hAnsi="Verdana"/>
          <w:sz w:val="20"/>
        </w:rPr>
        <w:t xml:space="preserve">, la Corte requiere que el Estado </w:t>
      </w:r>
      <w:r w:rsidRPr="00E75FEF">
        <w:rPr>
          <w:rFonts w:ascii="Verdana" w:hAnsi="Verdana"/>
          <w:sz w:val="20"/>
        </w:rPr>
        <w:t xml:space="preserve">adopte medidas dirigidas a cesar la situación de incumplimiento en la que se encuentra la presente medida de reparación, y que, fundamentalmente, proceda a la brevedad posible a delimitar, demarcar y titular las tierras tradicionales que le corresponden al Pueblo </w:t>
      </w:r>
      <w:proofErr w:type="spellStart"/>
      <w:r w:rsidRPr="00E75FEF">
        <w:rPr>
          <w:rFonts w:ascii="Verdana" w:hAnsi="Verdana"/>
          <w:sz w:val="20"/>
        </w:rPr>
        <w:t>Saramaka</w:t>
      </w:r>
      <w:proofErr w:type="spellEnd"/>
      <w:r w:rsidRPr="00E75FEF">
        <w:rPr>
          <w:rFonts w:ascii="Verdana" w:hAnsi="Verdana"/>
          <w:sz w:val="20"/>
        </w:rPr>
        <w:t xml:space="preserve">. </w:t>
      </w:r>
      <w:r>
        <w:rPr>
          <w:rFonts w:ascii="Verdana" w:hAnsi="Verdana"/>
          <w:sz w:val="20"/>
        </w:rPr>
        <w:t>Al respecto, se requiere al Estado que informe sobre las medidas que adoptará para dar cumplimiento a lo indicado.</w:t>
      </w:r>
    </w:p>
    <w:p w14:paraId="0607A596" w14:textId="48D5C0CF" w:rsidR="0014747A" w:rsidRPr="0040761F" w:rsidRDefault="004A323A" w:rsidP="0040761F">
      <w:pPr>
        <w:pStyle w:val="Heading1"/>
        <w:numPr>
          <w:ilvl w:val="0"/>
          <w:numId w:val="10"/>
        </w:numPr>
        <w:rPr>
          <w:rFonts w:ascii="Verdana" w:hAnsi="Verdana"/>
          <w:color w:val="auto"/>
          <w:sz w:val="20"/>
          <w:szCs w:val="20"/>
        </w:rPr>
      </w:pPr>
      <w:bookmarkStart w:id="25" w:name="_Toc524447984"/>
      <w:r>
        <w:rPr>
          <w:rFonts w:ascii="Verdana" w:hAnsi="Verdana"/>
          <w:color w:val="auto"/>
          <w:sz w:val="20"/>
          <w:szCs w:val="20"/>
        </w:rPr>
        <w:t>S</w:t>
      </w:r>
      <w:r w:rsidR="00A50252">
        <w:rPr>
          <w:rFonts w:ascii="Verdana" w:hAnsi="Verdana"/>
          <w:color w:val="auto"/>
          <w:sz w:val="20"/>
          <w:szCs w:val="20"/>
        </w:rPr>
        <w:t xml:space="preserve">obre </w:t>
      </w:r>
      <w:r w:rsidR="0088461B">
        <w:rPr>
          <w:rFonts w:ascii="Verdana" w:hAnsi="Verdana"/>
          <w:color w:val="auto"/>
          <w:sz w:val="20"/>
          <w:szCs w:val="20"/>
        </w:rPr>
        <w:t>las demás medidas de reparación</w:t>
      </w:r>
      <w:bookmarkEnd w:id="25"/>
    </w:p>
    <w:p w14:paraId="6E6811EE" w14:textId="77777777" w:rsidR="0014747A" w:rsidRDefault="0014747A" w:rsidP="0014747A">
      <w:pPr>
        <w:jc w:val="both"/>
        <w:rPr>
          <w:rFonts w:ascii="Verdana" w:hAnsi="Verdana"/>
          <w:b/>
          <w:sz w:val="20"/>
        </w:rPr>
      </w:pPr>
    </w:p>
    <w:p w14:paraId="657957CF" w14:textId="2EF7EF61" w:rsidR="00B10FEF" w:rsidRDefault="00B10FEF" w:rsidP="0091457E">
      <w:pPr>
        <w:pStyle w:val="ListParagraph"/>
        <w:numPr>
          <w:ilvl w:val="0"/>
          <w:numId w:val="2"/>
        </w:numPr>
        <w:ind w:left="0" w:firstLine="0"/>
        <w:jc w:val="both"/>
        <w:rPr>
          <w:rFonts w:ascii="Verdana" w:hAnsi="Verdana"/>
          <w:sz w:val="20"/>
        </w:rPr>
      </w:pPr>
      <w:bookmarkStart w:id="26" w:name="_Ref526850412"/>
      <w:r>
        <w:rPr>
          <w:rFonts w:ascii="Verdana" w:hAnsi="Verdana"/>
          <w:sz w:val="20"/>
        </w:rPr>
        <w:t>Además de las medidas de reparación valoradas en los capítulos anteriores, en la Sentencia la Corte ordenó las siguientes reparaciones:</w:t>
      </w:r>
      <w:bookmarkEnd w:id="26"/>
    </w:p>
    <w:p w14:paraId="7666AC5D" w14:textId="77777777" w:rsidR="00B10FEF" w:rsidRDefault="00B10FEF" w:rsidP="00B10FEF">
      <w:pPr>
        <w:jc w:val="both"/>
        <w:rPr>
          <w:rFonts w:ascii="Verdana" w:hAnsi="Verdana"/>
          <w:sz w:val="20"/>
        </w:rPr>
      </w:pPr>
    </w:p>
    <w:p w14:paraId="1670C105" w14:textId="77777777" w:rsidR="00B10FEF" w:rsidRPr="00681938" w:rsidRDefault="00B10FEF" w:rsidP="00B10FEF">
      <w:pPr>
        <w:pStyle w:val="FootnoteText"/>
        <w:ind w:left="567" w:right="616"/>
        <w:jc w:val="both"/>
        <w:rPr>
          <w:rFonts w:ascii="Verdana" w:hAnsi="Verdana"/>
          <w:sz w:val="16"/>
          <w:szCs w:val="16"/>
        </w:rPr>
      </w:pPr>
      <w:r w:rsidRPr="00681938">
        <w:rPr>
          <w:rFonts w:ascii="Verdana" w:hAnsi="Verdana"/>
          <w:sz w:val="16"/>
          <w:szCs w:val="16"/>
        </w:rPr>
        <w:t>a)</w:t>
      </w:r>
      <w:r w:rsidRPr="00681938">
        <w:rPr>
          <w:rFonts w:ascii="Verdana" w:hAnsi="Verdana"/>
          <w:sz w:val="16"/>
          <w:szCs w:val="16"/>
        </w:rPr>
        <w:tab/>
        <w:t xml:space="preserve">otorgar a los miembros del pueblo </w:t>
      </w:r>
      <w:proofErr w:type="spellStart"/>
      <w:r w:rsidRPr="00681938">
        <w:rPr>
          <w:rFonts w:ascii="Verdana" w:hAnsi="Verdana"/>
          <w:sz w:val="16"/>
          <w:szCs w:val="16"/>
        </w:rPr>
        <w:t>Saramaka</w:t>
      </w:r>
      <w:proofErr w:type="spellEnd"/>
      <w:r w:rsidRPr="00681938">
        <w:rPr>
          <w:rFonts w:ascii="Verdana" w:hAnsi="Verdana"/>
          <w:sz w:val="16"/>
          <w:szCs w:val="16"/>
        </w:rPr>
        <w:t xml:space="preserve"> el reconocimiento legal de la capacidad jurídica colectiva correspondiente a la comunidad que ellos integran, con el propósito de garantizarles el ejercicio y goce pleno de su derecho a la propiedad de carácter comunal, así como el acceso a la justicia como comunidad, de conformidad con su derecho consuetudinario y tradiciones </w:t>
      </w:r>
      <w:r w:rsidRPr="00B96B24">
        <w:rPr>
          <w:rFonts w:ascii="Verdana" w:hAnsi="Verdana"/>
          <w:i/>
          <w:sz w:val="16"/>
          <w:szCs w:val="16"/>
        </w:rPr>
        <w:t>(punto resolutivo sexto de la Sentencia)</w:t>
      </w:r>
      <w:r w:rsidRPr="00681938">
        <w:rPr>
          <w:rFonts w:ascii="Verdana" w:hAnsi="Verdana"/>
          <w:sz w:val="16"/>
          <w:szCs w:val="16"/>
        </w:rPr>
        <w:t>;</w:t>
      </w:r>
    </w:p>
    <w:p w14:paraId="7EA98EF1" w14:textId="77777777" w:rsidR="00B10FEF" w:rsidRPr="00681938" w:rsidRDefault="00B10FEF" w:rsidP="00314487">
      <w:pPr>
        <w:pStyle w:val="FootnoteText"/>
        <w:spacing w:after="120"/>
        <w:ind w:left="567" w:right="616"/>
        <w:jc w:val="both"/>
        <w:rPr>
          <w:rFonts w:ascii="Verdana" w:hAnsi="Verdana"/>
          <w:sz w:val="16"/>
          <w:szCs w:val="16"/>
        </w:rPr>
      </w:pPr>
      <w:r w:rsidRPr="00681938">
        <w:rPr>
          <w:rFonts w:ascii="Verdana" w:hAnsi="Verdana"/>
          <w:sz w:val="16"/>
          <w:szCs w:val="16"/>
        </w:rPr>
        <w:lastRenderedPageBreak/>
        <w:t>b)</w:t>
      </w:r>
      <w:r w:rsidRPr="00681938">
        <w:rPr>
          <w:rFonts w:ascii="Verdana" w:hAnsi="Verdana"/>
          <w:sz w:val="16"/>
          <w:szCs w:val="16"/>
        </w:rPr>
        <w:tab/>
        <w:t xml:space="preserve">eliminar o modificar las disposiciones legales que impiden la protección del derecho a la propiedad de los miembros del pueblo </w:t>
      </w:r>
      <w:proofErr w:type="spellStart"/>
      <w:r w:rsidRPr="00681938">
        <w:rPr>
          <w:rFonts w:ascii="Verdana" w:hAnsi="Verdana"/>
          <w:sz w:val="16"/>
          <w:szCs w:val="16"/>
        </w:rPr>
        <w:t>Saramaka</w:t>
      </w:r>
      <w:proofErr w:type="spellEnd"/>
      <w:r w:rsidRPr="00681938">
        <w:rPr>
          <w:rFonts w:ascii="Verdana" w:hAnsi="Verdana"/>
          <w:sz w:val="16"/>
          <w:szCs w:val="16"/>
        </w:rPr>
        <w:t xml:space="preserve"> y adoptar, en su legislación interna y a través de consultas previas, efectivas y plenamente informadas con el pueblo </w:t>
      </w:r>
      <w:proofErr w:type="spellStart"/>
      <w:r w:rsidRPr="00681938">
        <w:rPr>
          <w:rFonts w:ascii="Verdana" w:hAnsi="Verdana"/>
          <w:sz w:val="16"/>
          <w:szCs w:val="16"/>
        </w:rPr>
        <w:t>Saramaka</w:t>
      </w:r>
      <w:proofErr w:type="spellEnd"/>
      <w:r w:rsidRPr="00681938">
        <w:rPr>
          <w:rFonts w:ascii="Verdana" w:hAnsi="Verdana"/>
          <w:sz w:val="16"/>
          <w:szCs w:val="16"/>
        </w:rPr>
        <w:t xml:space="preserve">, medidas legislativas o de otra índole necesarias a fin de reconocer, proteger, garantizar y hacer efectivo el derecho de los integrantes del pueblo </w:t>
      </w:r>
      <w:proofErr w:type="spellStart"/>
      <w:r w:rsidRPr="00681938">
        <w:rPr>
          <w:rFonts w:ascii="Verdana" w:hAnsi="Verdana"/>
          <w:sz w:val="16"/>
          <w:szCs w:val="16"/>
        </w:rPr>
        <w:t>Saramaka</w:t>
      </w:r>
      <w:proofErr w:type="spellEnd"/>
      <w:r w:rsidRPr="00681938">
        <w:rPr>
          <w:rFonts w:ascii="Verdana" w:hAnsi="Verdana"/>
          <w:sz w:val="16"/>
          <w:szCs w:val="16"/>
        </w:rPr>
        <w:t xml:space="preserve"> a ser titulares de derechos bajo forma colectiva sobre el territorio que tradicionalmente han ocupado y utilizado, el cual incluye las tierras y los recursos naturales necesarios para su subsistencia social, cultural y económica, así como administrar, distribuir y controlar efectivamente dicho territorio, de conformidad con su derecho consuetudinario y sistema de propiedad comunal, y sin perjuicio a otras comunidades indígenas y tribales </w:t>
      </w:r>
      <w:r w:rsidRPr="00B96B24">
        <w:rPr>
          <w:rFonts w:ascii="Verdana" w:hAnsi="Verdana"/>
          <w:i/>
          <w:sz w:val="16"/>
          <w:szCs w:val="16"/>
        </w:rPr>
        <w:t>(punto resolutivo séptimo de la Sentencia)</w:t>
      </w:r>
      <w:r w:rsidRPr="00681938">
        <w:rPr>
          <w:rFonts w:ascii="Verdana" w:hAnsi="Verdana"/>
          <w:sz w:val="16"/>
          <w:szCs w:val="16"/>
        </w:rPr>
        <w:t>;</w:t>
      </w:r>
    </w:p>
    <w:p w14:paraId="49DDA13F" w14:textId="77777777" w:rsidR="00B10FEF" w:rsidRPr="00681938" w:rsidRDefault="00B10FEF" w:rsidP="00314487">
      <w:pPr>
        <w:pStyle w:val="FootnoteText"/>
        <w:spacing w:after="120"/>
        <w:ind w:left="567" w:right="616"/>
        <w:jc w:val="both"/>
        <w:rPr>
          <w:rFonts w:ascii="Verdana" w:hAnsi="Verdana"/>
          <w:sz w:val="16"/>
          <w:szCs w:val="16"/>
        </w:rPr>
      </w:pPr>
      <w:r w:rsidRPr="00681938">
        <w:rPr>
          <w:rFonts w:ascii="Verdana" w:hAnsi="Verdana"/>
          <w:sz w:val="16"/>
          <w:szCs w:val="16"/>
        </w:rPr>
        <w:t>c)</w:t>
      </w:r>
      <w:r w:rsidRPr="00681938">
        <w:rPr>
          <w:rFonts w:ascii="Verdana" w:hAnsi="Verdana"/>
          <w:sz w:val="16"/>
          <w:szCs w:val="16"/>
        </w:rPr>
        <w:tab/>
        <w:t xml:space="preserve">adoptar las medidas legislativas, administrativas o de otra índole que sean necesarias para reconocer y garantizar el derecho del pueblo </w:t>
      </w:r>
      <w:proofErr w:type="spellStart"/>
      <w:r w:rsidRPr="00681938">
        <w:rPr>
          <w:rFonts w:ascii="Verdana" w:hAnsi="Verdana"/>
          <w:sz w:val="16"/>
          <w:szCs w:val="16"/>
        </w:rPr>
        <w:t>Saramaka</w:t>
      </w:r>
      <w:proofErr w:type="spellEnd"/>
      <w:r w:rsidRPr="00681938">
        <w:rPr>
          <w:rFonts w:ascii="Verdana" w:hAnsi="Verdana"/>
          <w:sz w:val="16"/>
          <w:szCs w:val="16"/>
        </w:rPr>
        <w:t xml:space="preserve"> a ser efectivamente consultado, según sus tradiciones y costumbres, o en su caso, el derecho de otorgar o abstenerse de otorgar su consentimiento previo, libre e informado, respecto de los proyectos de desarrollo o inversión que puedan afectar su territorio, y a compartir, razonablemente, los beneficios derivados de esos proyectos con el pueblo </w:t>
      </w:r>
      <w:proofErr w:type="spellStart"/>
      <w:r w:rsidRPr="00681938">
        <w:rPr>
          <w:rFonts w:ascii="Verdana" w:hAnsi="Verdana"/>
          <w:sz w:val="16"/>
          <w:szCs w:val="16"/>
        </w:rPr>
        <w:t>Saramaka</w:t>
      </w:r>
      <w:proofErr w:type="spellEnd"/>
      <w:r w:rsidRPr="00681938">
        <w:rPr>
          <w:rFonts w:ascii="Verdana" w:hAnsi="Verdana"/>
          <w:sz w:val="16"/>
          <w:szCs w:val="16"/>
        </w:rPr>
        <w:t xml:space="preserve"> </w:t>
      </w:r>
      <w:r w:rsidRPr="00B96B24">
        <w:rPr>
          <w:rFonts w:ascii="Verdana" w:hAnsi="Verdana"/>
          <w:i/>
          <w:sz w:val="16"/>
          <w:szCs w:val="16"/>
        </w:rPr>
        <w:t>(punto resolutivo octavo de la Sentencia)</w:t>
      </w:r>
      <w:r w:rsidRPr="00681938">
        <w:rPr>
          <w:rFonts w:ascii="Verdana" w:hAnsi="Verdana"/>
          <w:sz w:val="16"/>
          <w:szCs w:val="16"/>
        </w:rPr>
        <w:t>;</w:t>
      </w:r>
    </w:p>
    <w:p w14:paraId="567FC4BA" w14:textId="77777777" w:rsidR="00B10FEF" w:rsidRPr="00681938" w:rsidRDefault="00B10FEF" w:rsidP="00314487">
      <w:pPr>
        <w:pStyle w:val="FootnoteText"/>
        <w:spacing w:after="120"/>
        <w:ind w:left="567" w:right="616"/>
        <w:jc w:val="both"/>
        <w:rPr>
          <w:rFonts w:ascii="Verdana" w:hAnsi="Verdana"/>
          <w:sz w:val="16"/>
          <w:szCs w:val="16"/>
        </w:rPr>
      </w:pPr>
      <w:r w:rsidRPr="00681938">
        <w:rPr>
          <w:rFonts w:ascii="Verdana" w:hAnsi="Verdana"/>
          <w:sz w:val="16"/>
          <w:szCs w:val="16"/>
        </w:rPr>
        <w:t>d)</w:t>
      </w:r>
      <w:r w:rsidRPr="00681938">
        <w:rPr>
          <w:rFonts w:ascii="Verdana" w:hAnsi="Verdana"/>
          <w:sz w:val="16"/>
          <w:szCs w:val="16"/>
        </w:rPr>
        <w:tab/>
        <w:t xml:space="preserve">asegurar que se realicen estudios de impacto ambiental y social mediante entidades técnicamente capacitadas e independientes y, previo al otorgamiento de concesiones relacionadas con proyectos de desarrollo o inversión dentro del territorio tradicional </w:t>
      </w:r>
      <w:proofErr w:type="spellStart"/>
      <w:r w:rsidRPr="00681938">
        <w:rPr>
          <w:rFonts w:ascii="Verdana" w:hAnsi="Verdana"/>
          <w:sz w:val="16"/>
          <w:szCs w:val="16"/>
        </w:rPr>
        <w:t>Saramaka</w:t>
      </w:r>
      <w:proofErr w:type="spellEnd"/>
      <w:r w:rsidRPr="00681938">
        <w:rPr>
          <w:rFonts w:ascii="Verdana" w:hAnsi="Verdana"/>
          <w:sz w:val="16"/>
          <w:szCs w:val="16"/>
        </w:rPr>
        <w:t xml:space="preserve">, e implementar medidas y mecanismos adecuados a fin de minimizar el perjuicio que puedan tener dichos proyectos en la capacidad de supervivencia social, económica y cultural del pueblo </w:t>
      </w:r>
      <w:proofErr w:type="spellStart"/>
      <w:r w:rsidRPr="00681938">
        <w:rPr>
          <w:rFonts w:ascii="Verdana" w:hAnsi="Verdana"/>
          <w:sz w:val="16"/>
          <w:szCs w:val="16"/>
        </w:rPr>
        <w:t>Saramaka</w:t>
      </w:r>
      <w:proofErr w:type="spellEnd"/>
      <w:r w:rsidRPr="00681938">
        <w:rPr>
          <w:rFonts w:ascii="Verdana" w:hAnsi="Verdana"/>
          <w:sz w:val="16"/>
          <w:szCs w:val="16"/>
        </w:rPr>
        <w:t xml:space="preserve"> </w:t>
      </w:r>
      <w:r w:rsidRPr="00B96B24">
        <w:rPr>
          <w:rFonts w:ascii="Verdana" w:hAnsi="Verdana"/>
          <w:i/>
          <w:sz w:val="16"/>
          <w:szCs w:val="16"/>
        </w:rPr>
        <w:t>(punto resolutivo noveno de la Sentencia)</w:t>
      </w:r>
      <w:r w:rsidRPr="00681938">
        <w:rPr>
          <w:rFonts w:ascii="Verdana" w:hAnsi="Verdana"/>
          <w:sz w:val="16"/>
          <w:szCs w:val="16"/>
        </w:rPr>
        <w:t>; y</w:t>
      </w:r>
    </w:p>
    <w:p w14:paraId="3898637B" w14:textId="7EAB0169" w:rsidR="004F68E9" w:rsidRPr="00B10FEF" w:rsidRDefault="00B10FEF" w:rsidP="00314487">
      <w:pPr>
        <w:spacing w:after="120"/>
        <w:ind w:left="567" w:right="616"/>
        <w:jc w:val="both"/>
        <w:rPr>
          <w:rFonts w:ascii="Verdana" w:hAnsi="Verdana"/>
          <w:sz w:val="20"/>
        </w:rPr>
      </w:pPr>
      <w:r w:rsidRPr="00681938">
        <w:rPr>
          <w:rFonts w:ascii="Verdana" w:hAnsi="Verdana"/>
          <w:sz w:val="16"/>
          <w:szCs w:val="16"/>
        </w:rPr>
        <w:t>e)</w:t>
      </w:r>
      <w:r w:rsidRPr="00681938">
        <w:rPr>
          <w:rFonts w:ascii="Verdana" w:hAnsi="Verdana"/>
          <w:sz w:val="16"/>
          <w:szCs w:val="16"/>
        </w:rPr>
        <w:tab/>
        <w:t xml:space="preserve">adoptar las medidas legislativas, administrativas o de otra índole necesarias para proporcionar a los integrantes del pueblo </w:t>
      </w:r>
      <w:proofErr w:type="spellStart"/>
      <w:r w:rsidRPr="00681938">
        <w:rPr>
          <w:rFonts w:ascii="Verdana" w:hAnsi="Verdana"/>
          <w:sz w:val="16"/>
          <w:szCs w:val="16"/>
        </w:rPr>
        <w:t>Saramaka</w:t>
      </w:r>
      <w:proofErr w:type="spellEnd"/>
      <w:r w:rsidRPr="00681938">
        <w:rPr>
          <w:rFonts w:ascii="Verdana" w:hAnsi="Verdana"/>
          <w:sz w:val="16"/>
          <w:szCs w:val="16"/>
        </w:rPr>
        <w:t xml:space="preserve"> los recursos efectivos y adecuados contra actos que violan su derecho al uso y goce de la propiedad de conformidad con su sistema de propiedad comunal </w:t>
      </w:r>
      <w:r w:rsidRPr="00B96B24">
        <w:rPr>
          <w:rFonts w:ascii="Verdana" w:hAnsi="Verdana"/>
          <w:i/>
          <w:sz w:val="16"/>
          <w:szCs w:val="16"/>
        </w:rPr>
        <w:t>(punto resolutivo décimo de la Sentencia)</w:t>
      </w:r>
      <w:r w:rsidRPr="00681938">
        <w:rPr>
          <w:rFonts w:ascii="Verdana" w:hAnsi="Verdana"/>
          <w:sz w:val="16"/>
          <w:szCs w:val="16"/>
        </w:rPr>
        <w:t>.</w:t>
      </w:r>
    </w:p>
    <w:p w14:paraId="5726EF8A" w14:textId="77777777" w:rsidR="00B10FEF" w:rsidRDefault="00B10FEF" w:rsidP="00314487">
      <w:pPr>
        <w:pStyle w:val="ListParagraph"/>
        <w:spacing w:after="120"/>
        <w:ind w:left="0"/>
        <w:jc w:val="both"/>
        <w:rPr>
          <w:rFonts w:ascii="Verdana" w:hAnsi="Verdana"/>
          <w:sz w:val="20"/>
        </w:rPr>
      </w:pPr>
    </w:p>
    <w:p w14:paraId="714A7FF9" w14:textId="0D2F3363" w:rsidR="00674FA7" w:rsidRDefault="009C4B06" w:rsidP="00314487">
      <w:pPr>
        <w:pStyle w:val="ListParagraph"/>
        <w:numPr>
          <w:ilvl w:val="0"/>
          <w:numId w:val="2"/>
        </w:numPr>
        <w:spacing w:after="120"/>
        <w:ind w:left="0" w:firstLine="0"/>
        <w:jc w:val="both"/>
        <w:rPr>
          <w:rFonts w:ascii="Verdana" w:hAnsi="Verdana"/>
          <w:sz w:val="20"/>
        </w:rPr>
      </w:pPr>
      <w:r>
        <w:rPr>
          <w:rFonts w:ascii="Verdana" w:hAnsi="Verdana"/>
          <w:sz w:val="20"/>
        </w:rPr>
        <w:t>E</w:t>
      </w:r>
      <w:r w:rsidR="00B96B24">
        <w:rPr>
          <w:rFonts w:ascii="Verdana" w:hAnsi="Verdana"/>
          <w:sz w:val="20"/>
        </w:rPr>
        <w:t>n la</w:t>
      </w:r>
      <w:r>
        <w:rPr>
          <w:rFonts w:ascii="Verdana" w:hAnsi="Verdana"/>
          <w:sz w:val="20"/>
        </w:rPr>
        <w:t xml:space="preserve"> Resoluci</w:t>
      </w:r>
      <w:r w:rsidR="00B96B24">
        <w:rPr>
          <w:rFonts w:ascii="Verdana" w:hAnsi="Verdana"/>
          <w:sz w:val="20"/>
        </w:rPr>
        <w:t>ó</w:t>
      </w:r>
      <w:r>
        <w:rPr>
          <w:rFonts w:ascii="Verdana" w:hAnsi="Verdana"/>
          <w:sz w:val="20"/>
        </w:rPr>
        <w:t>n emitida en el 2011</w:t>
      </w:r>
      <w:r w:rsidR="00674FA7">
        <w:rPr>
          <w:rFonts w:ascii="Verdana" w:hAnsi="Verdana"/>
          <w:sz w:val="20"/>
        </w:rPr>
        <w:t xml:space="preserve">, la Corte </w:t>
      </w:r>
      <w:r w:rsidR="0099721E">
        <w:rPr>
          <w:rFonts w:ascii="Verdana" w:hAnsi="Verdana"/>
          <w:sz w:val="20"/>
        </w:rPr>
        <w:t>constató que el Estado no había presentado información relevante respecto de dichas medidas</w:t>
      </w:r>
      <w:r w:rsidR="0099721E">
        <w:rPr>
          <w:rStyle w:val="FootnoteReference"/>
          <w:rFonts w:ascii="Verdana" w:hAnsi="Verdana"/>
          <w:sz w:val="20"/>
        </w:rPr>
        <w:footnoteReference w:id="29"/>
      </w:r>
      <w:r w:rsidR="0099721E">
        <w:rPr>
          <w:rFonts w:ascii="Verdana" w:hAnsi="Verdana"/>
          <w:sz w:val="20"/>
        </w:rPr>
        <w:t>.</w:t>
      </w:r>
    </w:p>
    <w:p w14:paraId="5D572B41" w14:textId="77777777" w:rsidR="00404BD4" w:rsidRPr="00404BD4" w:rsidRDefault="00404BD4" w:rsidP="00314487">
      <w:pPr>
        <w:pStyle w:val="ListParagraph"/>
        <w:spacing w:after="120"/>
        <w:ind w:left="0"/>
        <w:jc w:val="both"/>
        <w:rPr>
          <w:rFonts w:ascii="Verdana" w:hAnsi="Verdana"/>
          <w:sz w:val="20"/>
        </w:rPr>
      </w:pPr>
    </w:p>
    <w:p w14:paraId="2984B845" w14:textId="07D76AE9" w:rsidR="00681938" w:rsidRDefault="004F68E9" w:rsidP="00314487">
      <w:pPr>
        <w:pStyle w:val="ListParagraph"/>
        <w:numPr>
          <w:ilvl w:val="0"/>
          <w:numId w:val="2"/>
        </w:numPr>
        <w:spacing w:after="120"/>
        <w:ind w:left="0" w:firstLine="0"/>
        <w:jc w:val="both"/>
        <w:rPr>
          <w:rFonts w:ascii="Verdana" w:hAnsi="Verdana"/>
          <w:sz w:val="20"/>
        </w:rPr>
      </w:pPr>
      <w:r>
        <w:rPr>
          <w:rFonts w:ascii="Verdana" w:hAnsi="Verdana"/>
          <w:sz w:val="20"/>
        </w:rPr>
        <w:t>L</w:t>
      </w:r>
      <w:r w:rsidR="00681938">
        <w:rPr>
          <w:rFonts w:ascii="Verdana" w:hAnsi="Verdana"/>
          <w:sz w:val="20"/>
        </w:rPr>
        <w:t xml:space="preserve">a Corte se referirá, en primer lugar, a los </w:t>
      </w:r>
      <w:r w:rsidR="00A07E10">
        <w:rPr>
          <w:rFonts w:ascii="Verdana" w:hAnsi="Verdana"/>
          <w:sz w:val="20"/>
        </w:rPr>
        <w:t>argumentos</w:t>
      </w:r>
      <w:r w:rsidR="00681938">
        <w:rPr>
          <w:rFonts w:ascii="Verdana" w:hAnsi="Verdana"/>
          <w:sz w:val="20"/>
        </w:rPr>
        <w:t xml:space="preserve"> presentados por el Estado en el año 2013 respecto a alegados obstáculos en el cumplimiento de dichas medidas de reparación que devienen de su legislación interna (</w:t>
      </w:r>
      <w:r w:rsidR="00681938">
        <w:rPr>
          <w:rFonts w:ascii="Verdana" w:hAnsi="Verdana"/>
          <w:i/>
          <w:sz w:val="20"/>
        </w:rPr>
        <w:t>infra</w:t>
      </w:r>
      <w:r w:rsidR="00681938">
        <w:rPr>
          <w:rFonts w:ascii="Verdana" w:hAnsi="Verdana"/>
          <w:sz w:val="20"/>
        </w:rPr>
        <w:t xml:space="preserve"> Considerandos </w:t>
      </w:r>
      <w:r w:rsidR="00F01F5F">
        <w:rPr>
          <w:rFonts w:ascii="Verdana" w:hAnsi="Verdana"/>
          <w:sz w:val="20"/>
        </w:rPr>
        <w:fldChar w:fldCharType="begin"/>
      </w:r>
      <w:r w:rsidR="00F01F5F">
        <w:rPr>
          <w:rFonts w:ascii="Verdana" w:hAnsi="Verdana"/>
          <w:sz w:val="20"/>
        </w:rPr>
        <w:instrText xml:space="preserve"> REF _Ref526763780 \r \h </w:instrText>
      </w:r>
      <w:r w:rsidR="00F01F5F">
        <w:rPr>
          <w:rFonts w:ascii="Verdana" w:hAnsi="Verdana"/>
          <w:sz w:val="20"/>
        </w:rPr>
      </w:r>
      <w:r w:rsidR="00F01F5F">
        <w:rPr>
          <w:rFonts w:ascii="Verdana" w:hAnsi="Verdana"/>
          <w:sz w:val="20"/>
        </w:rPr>
        <w:fldChar w:fldCharType="separate"/>
      </w:r>
      <w:r w:rsidR="009356EF">
        <w:rPr>
          <w:rFonts w:ascii="Verdana" w:hAnsi="Verdana"/>
          <w:sz w:val="20"/>
        </w:rPr>
        <w:t>37</w:t>
      </w:r>
      <w:r w:rsidR="00F01F5F">
        <w:rPr>
          <w:rFonts w:ascii="Verdana" w:hAnsi="Verdana"/>
          <w:sz w:val="20"/>
        </w:rPr>
        <w:fldChar w:fldCharType="end"/>
      </w:r>
      <w:r w:rsidR="00681938">
        <w:rPr>
          <w:rFonts w:ascii="Verdana" w:hAnsi="Verdana"/>
          <w:sz w:val="20"/>
        </w:rPr>
        <w:t xml:space="preserve"> a </w:t>
      </w:r>
      <w:r w:rsidR="00F01F5F">
        <w:rPr>
          <w:rFonts w:ascii="Verdana" w:hAnsi="Verdana"/>
          <w:sz w:val="20"/>
        </w:rPr>
        <w:fldChar w:fldCharType="begin"/>
      </w:r>
      <w:r w:rsidR="00F01F5F">
        <w:rPr>
          <w:rFonts w:ascii="Verdana" w:hAnsi="Verdana"/>
          <w:sz w:val="20"/>
        </w:rPr>
        <w:instrText xml:space="preserve"> REF _Ref526763788 \r \h </w:instrText>
      </w:r>
      <w:r w:rsidR="00F01F5F">
        <w:rPr>
          <w:rFonts w:ascii="Verdana" w:hAnsi="Verdana"/>
          <w:sz w:val="20"/>
        </w:rPr>
      </w:r>
      <w:r w:rsidR="00F01F5F">
        <w:rPr>
          <w:rFonts w:ascii="Verdana" w:hAnsi="Verdana"/>
          <w:sz w:val="20"/>
        </w:rPr>
        <w:fldChar w:fldCharType="separate"/>
      </w:r>
      <w:r w:rsidR="009356EF">
        <w:rPr>
          <w:rFonts w:ascii="Verdana" w:hAnsi="Verdana"/>
          <w:sz w:val="20"/>
        </w:rPr>
        <w:t>39</w:t>
      </w:r>
      <w:r w:rsidR="00F01F5F">
        <w:rPr>
          <w:rFonts w:ascii="Verdana" w:hAnsi="Verdana"/>
          <w:sz w:val="20"/>
        </w:rPr>
        <w:fldChar w:fldCharType="end"/>
      </w:r>
      <w:r w:rsidR="00681938">
        <w:rPr>
          <w:rFonts w:ascii="Verdana" w:hAnsi="Verdana"/>
          <w:sz w:val="20"/>
        </w:rPr>
        <w:t>)</w:t>
      </w:r>
      <w:r w:rsidR="00374CE5">
        <w:rPr>
          <w:rFonts w:ascii="Verdana" w:hAnsi="Verdana"/>
          <w:sz w:val="20"/>
        </w:rPr>
        <w:t xml:space="preserve"> y </w:t>
      </w:r>
      <w:r w:rsidR="00A07E10">
        <w:rPr>
          <w:rFonts w:ascii="Verdana" w:hAnsi="Verdana"/>
          <w:sz w:val="20"/>
        </w:rPr>
        <w:t>a</w:t>
      </w:r>
      <w:r w:rsidR="00374CE5">
        <w:rPr>
          <w:rFonts w:ascii="Verdana" w:hAnsi="Verdana"/>
          <w:sz w:val="20"/>
        </w:rPr>
        <w:t xml:space="preserve"> los supuestos “conflictos internos” dentro del propio Pueblo </w:t>
      </w:r>
      <w:proofErr w:type="spellStart"/>
      <w:r w:rsidR="00374CE5">
        <w:rPr>
          <w:rFonts w:ascii="Verdana" w:hAnsi="Verdana"/>
          <w:sz w:val="20"/>
        </w:rPr>
        <w:t>Saramaka</w:t>
      </w:r>
      <w:proofErr w:type="spellEnd"/>
      <w:r w:rsidR="00374CE5">
        <w:rPr>
          <w:rFonts w:ascii="Verdana" w:hAnsi="Verdana"/>
          <w:sz w:val="20"/>
        </w:rPr>
        <w:t xml:space="preserve"> (</w:t>
      </w:r>
      <w:r w:rsidR="00374CE5">
        <w:rPr>
          <w:rFonts w:ascii="Verdana" w:hAnsi="Verdana"/>
          <w:i/>
          <w:sz w:val="20"/>
        </w:rPr>
        <w:t>infra</w:t>
      </w:r>
      <w:r w:rsidR="00374CE5">
        <w:rPr>
          <w:rFonts w:ascii="Verdana" w:hAnsi="Verdana"/>
          <w:sz w:val="20"/>
        </w:rPr>
        <w:t xml:space="preserve"> Considerando </w:t>
      </w:r>
      <w:r w:rsidR="00F01F5F">
        <w:rPr>
          <w:rFonts w:ascii="Verdana" w:hAnsi="Verdana"/>
          <w:sz w:val="20"/>
        </w:rPr>
        <w:fldChar w:fldCharType="begin"/>
      </w:r>
      <w:r w:rsidR="00F01F5F">
        <w:rPr>
          <w:rFonts w:ascii="Verdana" w:hAnsi="Verdana"/>
          <w:sz w:val="20"/>
        </w:rPr>
        <w:instrText xml:space="preserve"> REF _Ref526763772 \r \h </w:instrText>
      </w:r>
      <w:r w:rsidR="00F01F5F">
        <w:rPr>
          <w:rFonts w:ascii="Verdana" w:hAnsi="Verdana"/>
          <w:sz w:val="20"/>
        </w:rPr>
      </w:r>
      <w:r w:rsidR="00F01F5F">
        <w:rPr>
          <w:rFonts w:ascii="Verdana" w:hAnsi="Verdana"/>
          <w:sz w:val="20"/>
        </w:rPr>
        <w:fldChar w:fldCharType="separate"/>
      </w:r>
      <w:r w:rsidR="009356EF">
        <w:rPr>
          <w:rFonts w:ascii="Verdana" w:hAnsi="Verdana"/>
          <w:sz w:val="20"/>
        </w:rPr>
        <w:t>40</w:t>
      </w:r>
      <w:r w:rsidR="00F01F5F">
        <w:rPr>
          <w:rFonts w:ascii="Verdana" w:hAnsi="Verdana"/>
          <w:sz w:val="20"/>
        </w:rPr>
        <w:fldChar w:fldCharType="end"/>
      </w:r>
      <w:r w:rsidR="005F6A48">
        <w:rPr>
          <w:rFonts w:ascii="Verdana" w:hAnsi="Verdana"/>
          <w:sz w:val="20"/>
        </w:rPr>
        <w:t xml:space="preserve">). </w:t>
      </w:r>
      <w:r w:rsidR="00374CE5">
        <w:rPr>
          <w:rFonts w:ascii="Verdana" w:hAnsi="Verdana"/>
          <w:sz w:val="20"/>
        </w:rPr>
        <w:t>P</w:t>
      </w:r>
      <w:r w:rsidR="00681938">
        <w:rPr>
          <w:rFonts w:ascii="Verdana" w:hAnsi="Verdana"/>
          <w:sz w:val="20"/>
        </w:rPr>
        <w:t xml:space="preserve">osteriormente, </w:t>
      </w:r>
      <w:r w:rsidR="00374CE5">
        <w:rPr>
          <w:rFonts w:ascii="Verdana" w:hAnsi="Verdana"/>
          <w:sz w:val="20"/>
        </w:rPr>
        <w:t xml:space="preserve">la Corte se referirá </w:t>
      </w:r>
      <w:r w:rsidR="00681938">
        <w:rPr>
          <w:rFonts w:ascii="Verdana" w:hAnsi="Verdana"/>
          <w:sz w:val="20"/>
        </w:rPr>
        <w:t xml:space="preserve">a la falta de información que </w:t>
      </w:r>
      <w:r w:rsidR="005E2419">
        <w:rPr>
          <w:rFonts w:ascii="Verdana" w:hAnsi="Verdana"/>
          <w:sz w:val="20"/>
        </w:rPr>
        <w:t xml:space="preserve">le </w:t>
      </w:r>
      <w:r w:rsidR="00681938">
        <w:rPr>
          <w:rFonts w:ascii="Verdana" w:hAnsi="Verdana"/>
          <w:sz w:val="20"/>
        </w:rPr>
        <w:t xml:space="preserve">permita valorar el grado de cumplimiento de las referidas medidas de reparación en el período </w:t>
      </w:r>
      <w:r w:rsidR="00A07E10">
        <w:rPr>
          <w:rFonts w:ascii="Verdana" w:hAnsi="Verdana"/>
          <w:sz w:val="20"/>
        </w:rPr>
        <w:t>comprendido entre el</w:t>
      </w:r>
      <w:r w:rsidR="00681938">
        <w:rPr>
          <w:rFonts w:ascii="Verdana" w:hAnsi="Verdana"/>
          <w:sz w:val="20"/>
        </w:rPr>
        <w:t xml:space="preserve"> 2011 </w:t>
      </w:r>
      <w:r w:rsidR="00A07E10">
        <w:rPr>
          <w:rFonts w:ascii="Verdana" w:hAnsi="Verdana"/>
          <w:sz w:val="20"/>
        </w:rPr>
        <w:t>y el</w:t>
      </w:r>
      <w:r w:rsidR="00681938">
        <w:rPr>
          <w:rFonts w:ascii="Verdana" w:hAnsi="Verdana"/>
          <w:sz w:val="20"/>
        </w:rPr>
        <w:t xml:space="preserve"> 2018 (</w:t>
      </w:r>
      <w:r w:rsidR="00681938">
        <w:rPr>
          <w:rFonts w:ascii="Verdana" w:hAnsi="Verdana"/>
          <w:i/>
          <w:sz w:val="20"/>
        </w:rPr>
        <w:t>infra</w:t>
      </w:r>
      <w:r w:rsidR="00681938">
        <w:rPr>
          <w:rFonts w:ascii="Verdana" w:hAnsi="Verdana"/>
          <w:sz w:val="20"/>
        </w:rPr>
        <w:t xml:space="preserve"> Considerando</w:t>
      </w:r>
      <w:r w:rsidR="00DA303E">
        <w:rPr>
          <w:rFonts w:ascii="Verdana" w:hAnsi="Verdana"/>
          <w:sz w:val="20"/>
        </w:rPr>
        <w:t>s</w:t>
      </w:r>
      <w:r w:rsidR="00681938">
        <w:rPr>
          <w:rFonts w:ascii="Verdana" w:hAnsi="Verdana"/>
          <w:sz w:val="20"/>
        </w:rPr>
        <w:t xml:space="preserve"> </w:t>
      </w:r>
      <w:r w:rsidR="00F01F5F">
        <w:rPr>
          <w:rFonts w:ascii="Verdana" w:hAnsi="Verdana"/>
          <w:sz w:val="20"/>
        </w:rPr>
        <w:fldChar w:fldCharType="begin"/>
      </w:r>
      <w:r w:rsidR="00F01F5F">
        <w:rPr>
          <w:rFonts w:ascii="Verdana" w:hAnsi="Verdana"/>
          <w:sz w:val="20"/>
        </w:rPr>
        <w:instrText xml:space="preserve"> REF _Ref526763753 \r \h </w:instrText>
      </w:r>
      <w:r w:rsidR="00F01F5F">
        <w:rPr>
          <w:rFonts w:ascii="Verdana" w:hAnsi="Verdana"/>
          <w:sz w:val="20"/>
        </w:rPr>
      </w:r>
      <w:r w:rsidR="00F01F5F">
        <w:rPr>
          <w:rFonts w:ascii="Verdana" w:hAnsi="Verdana"/>
          <w:sz w:val="20"/>
        </w:rPr>
        <w:fldChar w:fldCharType="separate"/>
      </w:r>
      <w:r w:rsidR="009356EF">
        <w:rPr>
          <w:rFonts w:ascii="Verdana" w:hAnsi="Verdana"/>
          <w:sz w:val="20"/>
        </w:rPr>
        <w:t>44</w:t>
      </w:r>
      <w:r w:rsidR="00F01F5F">
        <w:rPr>
          <w:rFonts w:ascii="Verdana" w:hAnsi="Verdana"/>
          <w:sz w:val="20"/>
        </w:rPr>
        <w:fldChar w:fldCharType="end"/>
      </w:r>
      <w:r w:rsidR="00DA303E">
        <w:rPr>
          <w:rFonts w:ascii="Verdana" w:hAnsi="Verdana"/>
          <w:sz w:val="20"/>
        </w:rPr>
        <w:t xml:space="preserve"> a </w:t>
      </w:r>
      <w:r w:rsidR="00F01F5F">
        <w:rPr>
          <w:rFonts w:ascii="Verdana" w:hAnsi="Verdana"/>
          <w:sz w:val="20"/>
        </w:rPr>
        <w:fldChar w:fldCharType="begin"/>
      </w:r>
      <w:r w:rsidR="00F01F5F">
        <w:rPr>
          <w:rFonts w:ascii="Verdana" w:hAnsi="Verdana"/>
          <w:sz w:val="20"/>
        </w:rPr>
        <w:instrText xml:space="preserve"> REF _Ref526763764 \r \h </w:instrText>
      </w:r>
      <w:r w:rsidR="00F01F5F">
        <w:rPr>
          <w:rFonts w:ascii="Verdana" w:hAnsi="Verdana"/>
          <w:sz w:val="20"/>
        </w:rPr>
      </w:r>
      <w:r w:rsidR="00F01F5F">
        <w:rPr>
          <w:rFonts w:ascii="Verdana" w:hAnsi="Verdana"/>
          <w:sz w:val="20"/>
        </w:rPr>
        <w:fldChar w:fldCharType="separate"/>
      </w:r>
      <w:r w:rsidR="009356EF">
        <w:rPr>
          <w:rFonts w:ascii="Verdana" w:hAnsi="Verdana"/>
          <w:sz w:val="20"/>
        </w:rPr>
        <w:t>45</w:t>
      </w:r>
      <w:r w:rsidR="00F01F5F">
        <w:rPr>
          <w:rFonts w:ascii="Verdana" w:hAnsi="Verdana"/>
          <w:sz w:val="20"/>
        </w:rPr>
        <w:fldChar w:fldCharType="end"/>
      </w:r>
      <w:r w:rsidR="00681938">
        <w:rPr>
          <w:rFonts w:ascii="Verdana" w:hAnsi="Verdana"/>
          <w:sz w:val="20"/>
        </w:rPr>
        <w:t xml:space="preserve">). </w:t>
      </w:r>
    </w:p>
    <w:p w14:paraId="639DFC9E" w14:textId="77777777" w:rsidR="00681938" w:rsidRDefault="00681938" w:rsidP="00314487">
      <w:pPr>
        <w:pStyle w:val="ListParagraph"/>
        <w:spacing w:after="120"/>
        <w:ind w:left="0"/>
        <w:jc w:val="both"/>
        <w:rPr>
          <w:rFonts w:ascii="Verdana" w:hAnsi="Verdana"/>
          <w:sz w:val="20"/>
        </w:rPr>
      </w:pPr>
    </w:p>
    <w:p w14:paraId="598D46E0" w14:textId="0FC2685B" w:rsidR="00365F53" w:rsidRDefault="00374CE5" w:rsidP="00314487">
      <w:pPr>
        <w:pStyle w:val="ListParagraph"/>
        <w:numPr>
          <w:ilvl w:val="0"/>
          <w:numId w:val="2"/>
        </w:numPr>
        <w:spacing w:after="120"/>
        <w:ind w:left="0" w:firstLine="0"/>
        <w:jc w:val="both"/>
        <w:rPr>
          <w:rFonts w:ascii="Verdana" w:hAnsi="Verdana"/>
          <w:sz w:val="20"/>
        </w:rPr>
      </w:pPr>
      <w:bookmarkStart w:id="27" w:name="_Ref526763780"/>
      <w:r>
        <w:rPr>
          <w:rFonts w:ascii="Verdana" w:hAnsi="Verdana"/>
          <w:sz w:val="20"/>
        </w:rPr>
        <w:t>Durante el 2013, el Estado hizo referencia a supuestos obstáculos en el cumplimiento de la Sentencia derivad</w:t>
      </w:r>
      <w:r w:rsidR="002B760A">
        <w:rPr>
          <w:rFonts w:ascii="Verdana" w:hAnsi="Verdana"/>
          <w:sz w:val="20"/>
        </w:rPr>
        <w:t>o</w:t>
      </w:r>
      <w:r>
        <w:rPr>
          <w:rFonts w:ascii="Verdana" w:hAnsi="Verdana"/>
          <w:sz w:val="20"/>
        </w:rPr>
        <w:t xml:space="preserve">s de </w:t>
      </w:r>
      <w:r w:rsidR="002B760A">
        <w:rPr>
          <w:rFonts w:ascii="Verdana" w:hAnsi="Verdana"/>
          <w:sz w:val="20"/>
        </w:rPr>
        <w:t>su</w:t>
      </w:r>
      <w:r>
        <w:rPr>
          <w:rFonts w:ascii="Verdana" w:hAnsi="Verdana"/>
          <w:sz w:val="20"/>
        </w:rPr>
        <w:t xml:space="preserve"> legislación interna. E</w:t>
      </w:r>
      <w:r w:rsidR="0091457E">
        <w:rPr>
          <w:rFonts w:ascii="Verdana" w:hAnsi="Verdana"/>
          <w:sz w:val="20"/>
        </w:rPr>
        <w:t>n</w:t>
      </w:r>
      <w:r w:rsidR="00365F53">
        <w:rPr>
          <w:rFonts w:ascii="Verdana" w:hAnsi="Verdana"/>
          <w:sz w:val="20"/>
        </w:rPr>
        <w:t xml:space="preserve"> la audiencia</w:t>
      </w:r>
      <w:r w:rsidR="00BF1D20">
        <w:rPr>
          <w:rFonts w:ascii="Verdana" w:hAnsi="Verdana"/>
          <w:sz w:val="20"/>
        </w:rPr>
        <w:t xml:space="preserve"> privada llevada a cabo </w:t>
      </w:r>
      <w:r w:rsidR="002B760A">
        <w:rPr>
          <w:rFonts w:ascii="Verdana" w:hAnsi="Verdana"/>
          <w:sz w:val="20"/>
        </w:rPr>
        <w:t xml:space="preserve">en </w:t>
      </w:r>
      <w:r w:rsidR="00BF1D20">
        <w:rPr>
          <w:rFonts w:ascii="Verdana" w:hAnsi="Verdana"/>
          <w:sz w:val="20"/>
        </w:rPr>
        <w:t xml:space="preserve">mayo de </w:t>
      </w:r>
      <w:r w:rsidR="002B760A">
        <w:rPr>
          <w:rFonts w:ascii="Verdana" w:hAnsi="Verdana"/>
          <w:sz w:val="20"/>
        </w:rPr>
        <w:t>ese año</w:t>
      </w:r>
      <w:r w:rsidR="00BF1D20">
        <w:rPr>
          <w:rFonts w:ascii="Verdana" w:hAnsi="Verdana"/>
          <w:sz w:val="20"/>
        </w:rPr>
        <w:t>,</w:t>
      </w:r>
      <w:r w:rsidR="00365F53">
        <w:rPr>
          <w:rFonts w:ascii="Verdana" w:hAnsi="Verdana"/>
          <w:sz w:val="20"/>
        </w:rPr>
        <w:t xml:space="preserve"> </w:t>
      </w:r>
      <w:r w:rsidR="00307C88">
        <w:rPr>
          <w:rFonts w:ascii="Verdana" w:hAnsi="Verdana"/>
          <w:sz w:val="20"/>
        </w:rPr>
        <w:t>cuestionó “</w:t>
      </w:r>
      <w:r w:rsidR="00307C88" w:rsidRPr="00307C88">
        <w:rPr>
          <w:rFonts w:ascii="Verdana" w:hAnsi="Verdana"/>
          <w:sz w:val="20"/>
        </w:rPr>
        <w:t xml:space="preserve">¿cómo podría el Estado enmendar su legislación al contenido estricto, como fue dictado en la Sentencia </w:t>
      </w:r>
      <w:proofErr w:type="spellStart"/>
      <w:r w:rsidR="00307C88" w:rsidRPr="00307C88">
        <w:rPr>
          <w:rFonts w:ascii="Verdana" w:hAnsi="Verdana"/>
          <w:sz w:val="20"/>
        </w:rPr>
        <w:t>Saramaka</w:t>
      </w:r>
      <w:proofErr w:type="spellEnd"/>
      <w:r w:rsidR="00307C88" w:rsidRPr="00307C88">
        <w:rPr>
          <w:rFonts w:ascii="Verdana" w:hAnsi="Verdana"/>
          <w:sz w:val="20"/>
        </w:rPr>
        <w:t>, mientras toma en cuenta (i) el interés nacional de toda la población en [el] territorio, y (ii) los principios y regulaciones de</w:t>
      </w:r>
      <w:r w:rsidR="00DA303E">
        <w:rPr>
          <w:rFonts w:ascii="Verdana" w:hAnsi="Verdana"/>
          <w:sz w:val="20"/>
        </w:rPr>
        <w:t xml:space="preserve"> nuestra democracia parlamentaria</w:t>
      </w:r>
      <w:r w:rsidR="00307C88" w:rsidRPr="00307C88">
        <w:rPr>
          <w:rFonts w:ascii="Verdana" w:hAnsi="Verdana"/>
          <w:sz w:val="20"/>
        </w:rPr>
        <w:t xml:space="preserve">? </w:t>
      </w:r>
      <w:r w:rsidR="008E0A03">
        <w:rPr>
          <w:rFonts w:ascii="Verdana" w:hAnsi="Verdana"/>
          <w:sz w:val="20"/>
        </w:rPr>
        <w:t xml:space="preserve">Asimismo, </w:t>
      </w:r>
      <w:r w:rsidR="0041779C">
        <w:rPr>
          <w:rFonts w:ascii="Verdana" w:hAnsi="Verdana"/>
          <w:sz w:val="20"/>
        </w:rPr>
        <w:t>se refirió a que “</w:t>
      </w:r>
      <w:r w:rsidR="008E0A03">
        <w:rPr>
          <w:rFonts w:ascii="Verdana" w:hAnsi="Verdana"/>
          <w:sz w:val="20"/>
        </w:rPr>
        <w:t xml:space="preserve">ciertos aspectos de la sentencia implican también que el Estado debe </w:t>
      </w:r>
      <w:r w:rsidR="00825B78">
        <w:rPr>
          <w:rFonts w:ascii="Verdana" w:hAnsi="Verdana"/>
          <w:sz w:val="20"/>
        </w:rPr>
        <w:t>[</w:t>
      </w:r>
      <w:r w:rsidR="007F00CD">
        <w:rPr>
          <w:rFonts w:ascii="Verdana" w:hAnsi="Verdana"/>
          <w:sz w:val="20"/>
        </w:rPr>
        <w:t>modificar</w:t>
      </w:r>
      <w:r w:rsidR="00825B78">
        <w:rPr>
          <w:rFonts w:ascii="Verdana" w:hAnsi="Verdana"/>
          <w:sz w:val="20"/>
        </w:rPr>
        <w:t>]</w:t>
      </w:r>
      <w:r w:rsidR="008E0A03">
        <w:rPr>
          <w:rFonts w:ascii="Verdana" w:hAnsi="Verdana"/>
          <w:sz w:val="20"/>
        </w:rPr>
        <w:t xml:space="preserve"> la Constitución</w:t>
      </w:r>
      <w:r w:rsidR="0041779C">
        <w:rPr>
          <w:rFonts w:ascii="Verdana" w:hAnsi="Verdana"/>
          <w:sz w:val="20"/>
        </w:rPr>
        <w:t>”</w:t>
      </w:r>
      <w:r w:rsidR="008E0A03">
        <w:rPr>
          <w:rFonts w:ascii="Verdana" w:hAnsi="Verdana"/>
          <w:sz w:val="20"/>
        </w:rPr>
        <w:t xml:space="preserve">, </w:t>
      </w:r>
      <w:r w:rsidR="0041779C">
        <w:rPr>
          <w:rFonts w:ascii="Verdana" w:hAnsi="Verdana"/>
          <w:sz w:val="20"/>
        </w:rPr>
        <w:t>y enfatizó que “l</w:t>
      </w:r>
      <w:r w:rsidR="008E0A03">
        <w:rPr>
          <w:rFonts w:ascii="Verdana" w:hAnsi="Verdana"/>
          <w:sz w:val="20"/>
        </w:rPr>
        <w:t xml:space="preserve">levar a cabo cualquier cambio de naturaleza fundamental a la Constitución requerirá, por lo tanto, un referéndum”. </w:t>
      </w:r>
      <w:r w:rsidR="00F652D7">
        <w:rPr>
          <w:rFonts w:ascii="Verdana" w:hAnsi="Verdana"/>
          <w:sz w:val="20"/>
        </w:rPr>
        <w:t>E</w:t>
      </w:r>
      <w:r w:rsidR="00BF1D20">
        <w:rPr>
          <w:rFonts w:ascii="Verdana" w:hAnsi="Verdana"/>
          <w:sz w:val="20"/>
        </w:rPr>
        <w:t xml:space="preserve">n su </w:t>
      </w:r>
      <w:r w:rsidR="00365F53">
        <w:rPr>
          <w:rFonts w:ascii="Verdana" w:hAnsi="Verdana"/>
          <w:sz w:val="20"/>
        </w:rPr>
        <w:t xml:space="preserve">informe de </w:t>
      </w:r>
      <w:r w:rsidR="00BF1D20">
        <w:rPr>
          <w:rFonts w:ascii="Verdana" w:hAnsi="Verdana"/>
          <w:sz w:val="20"/>
        </w:rPr>
        <w:t>julio</w:t>
      </w:r>
      <w:r w:rsidR="00365F53">
        <w:rPr>
          <w:rFonts w:ascii="Verdana" w:hAnsi="Verdana"/>
          <w:sz w:val="20"/>
        </w:rPr>
        <w:t xml:space="preserve"> de 2013, </w:t>
      </w:r>
      <w:proofErr w:type="spellStart"/>
      <w:r w:rsidR="00A07E10">
        <w:rPr>
          <w:rFonts w:ascii="Verdana" w:hAnsi="Verdana"/>
          <w:sz w:val="20"/>
        </w:rPr>
        <w:t>Suriam</w:t>
      </w:r>
      <w:proofErr w:type="spellEnd"/>
      <w:r w:rsidR="00365F53">
        <w:rPr>
          <w:rFonts w:ascii="Verdana" w:hAnsi="Verdana"/>
          <w:sz w:val="20"/>
        </w:rPr>
        <w:t xml:space="preserve"> i</w:t>
      </w:r>
      <w:r w:rsidR="00D74F2C">
        <w:rPr>
          <w:rFonts w:ascii="Verdana" w:hAnsi="Verdana"/>
          <w:sz w:val="20"/>
        </w:rPr>
        <w:t>ndicó</w:t>
      </w:r>
      <w:r w:rsidR="00365F53">
        <w:rPr>
          <w:rFonts w:ascii="Verdana" w:hAnsi="Verdana"/>
          <w:sz w:val="20"/>
        </w:rPr>
        <w:t xml:space="preserve"> que </w:t>
      </w:r>
      <w:r w:rsidR="00D40921" w:rsidRPr="00D40921">
        <w:rPr>
          <w:rFonts w:ascii="Verdana" w:hAnsi="Verdana"/>
          <w:sz w:val="20"/>
        </w:rPr>
        <w:t xml:space="preserve">“[e]n la práctica la implementación de ciertas partes de la sentencia, </w:t>
      </w:r>
      <w:r w:rsidR="00DA303E">
        <w:rPr>
          <w:rFonts w:ascii="Verdana" w:hAnsi="Verdana"/>
          <w:sz w:val="20"/>
        </w:rPr>
        <w:t>especialmente</w:t>
      </w:r>
      <w:r w:rsidR="00DA303E" w:rsidRPr="00D40921">
        <w:rPr>
          <w:rFonts w:ascii="Verdana" w:hAnsi="Verdana"/>
          <w:sz w:val="20"/>
        </w:rPr>
        <w:t xml:space="preserve"> </w:t>
      </w:r>
      <w:r w:rsidR="00D40921" w:rsidRPr="00D40921">
        <w:rPr>
          <w:rFonts w:ascii="Verdana" w:hAnsi="Verdana"/>
          <w:sz w:val="20"/>
        </w:rPr>
        <w:t>aquellas relativas a legislación, parecen ser muy complicadas y casi irrealizables […]</w:t>
      </w:r>
      <w:r w:rsidR="00DA303E">
        <w:rPr>
          <w:rFonts w:ascii="Verdana" w:hAnsi="Verdana"/>
          <w:sz w:val="20"/>
        </w:rPr>
        <w:t>”</w:t>
      </w:r>
      <w:r w:rsidR="00F652D7">
        <w:rPr>
          <w:rFonts w:ascii="Verdana" w:hAnsi="Verdana"/>
          <w:sz w:val="20"/>
        </w:rPr>
        <w:t xml:space="preserve">, </w:t>
      </w:r>
      <w:r w:rsidR="00DA303E">
        <w:rPr>
          <w:rFonts w:ascii="Verdana" w:hAnsi="Verdana"/>
          <w:sz w:val="20"/>
        </w:rPr>
        <w:t>por cuanto</w:t>
      </w:r>
      <w:r w:rsidR="00F652D7">
        <w:rPr>
          <w:rFonts w:ascii="Verdana" w:hAnsi="Verdana"/>
          <w:sz w:val="20"/>
        </w:rPr>
        <w:t xml:space="preserve"> “</w:t>
      </w:r>
      <w:r w:rsidR="00D40921" w:rsidRPr="00D40921">
        <w:rPr>
          <w:rFonts w:ascii="Verdana" w:hAnsi="Verdana"/>
          <w:sz w:val="20"/>
        </w:rPr>
        <w:t xml:space="preserve">implica </w:t>
      </w:r>
      <w:r w:rsidR="00D40921" w:rsidRPr="00D40921">
        <w:rPr>
          <w:rFonts w:ascii="Verdana" w:hAnsi="Verdana"/>
          <w:sz w:val="20"/>
        </w:rPr>
        <w:lastRenderedPageBreak/>
        <w:t>que nueva legislación tenga que formularse y que las leyes existentes tengan que ser modificadas</w:t>
      </w:r>
      <w:r w:rsidR="00F652D7">
        <w:rPr>
          <w:rFonts w:ascii="Verdana" w:hAnsi="Verdana"/>
          <w:sz w:val="20"/>
        </w:rPr>
        <w:t>”</w:t>
      </w:r>
      <w:r w:rsidR="00DA303E">
        <w:rPr>
          <w:rFonts w:ascii="Verdana" w:hAnsi="Verdana"/>
          <w:sz w:val="20"/>
        </w:rPr>
        <w:t>,</w:t>
      </w:r>
      <w:r w:rsidR="00F652D7">
        <w:rPr>
          <w:rFonts w:ascii="Verdana" w:hAnsi="Verdana"/>
          <w:sz w:val="20"/>
        </w:rPr>
        <w:t xml:space="preserve"> cuestion</w:t>
      </w:r>
      <w:r w:rsidR="00DA303E">
        <w:rPr>
          <w:rFonts w:ascii="Verdana" w:hAnsi="Verdana"/>
          <w:sz w:val="20"/>
        </w:rPr>
        <w:t>ando</w:t>
      </w:r>
      <w:r w:rsidR="00F652D7">
        <w:rPr>
          <w:rFonts w:ascii="Verdana" w:hAnsi="Verdana"/>
          <w:sz w:val="20"/>
        </w:rPr>
        <w:t xml:space="preserve"> la posibilidad de </w:t>
      </w:r>
      <w:r w:rsidR="00DA303E">
        <w:rPr>
          <w:rFonts w:ascii="Verdana" w:hAnsi="Verdana"/>
          <w:sz w:val="20"/>
        </w:rPr>
        <w:t xml:space="preserve">poder </w:t>
      </w:r>
      <w:r w:rsidR="00F652D7">
        <w:rPr>
          <w:rFonts w:ascii="Verdana" w:hAnsi="Verdana"/>
          <w:sz w:val="20"/>
        </w:rPr>
        <w:t>hacerlo “</w:t>
      </w:r>
      <w:r w:rsidR="00D40921" w:rsidRPr="00D40921">
        <w:rPr>
          <w:rFonts w:ascii="Verdana" w:hAnsi="Verdana"/>
          <w:sz w:val="20"/>
        </w:rPr>
        <w:t xml:space="preserve">dentro del sistema constitucional de la República de Surinam”. </w:t>
      </w:r>
      <w:bookmarkEnd w:id="27"/>
    </w:p>
    <w:p w14:paraId="1BE4F397" w14:textId="77777777" w:rsidR="00BF1D20" w:rsidRDefault="00BF1D20" w:rsidP="00314487">
      <w:pPr>
        <w:pStyle w:val="ListParagraph"/>
        <w:spacing w:after="120"/>
        <w:ind w:left="0"/>
        <w:jc w:val="both"/>
        <w:rPr>
          <w:rFonts w:ascii="Verdana" w:hAnsi="Verdana"/>
          <w:sz w:val="20"/>
        </w:rPr>
      </w:pPr>
    </w:p>
    <w:p w14:paraId="2A1EDB22" w14:textId="12E74F08" w:rsidR="00493014" w:rsidRDefault="00611697" w:rsidP="00314487">
      <w:pPr>
        <w:pStyle w:val="ListParagraph"/>
        <w:numPr>
          <w:ilvl w:val="0"/>
          <w:numId w:val="2"/>
        </w:numPr>
        <w:spacing w:after="120"/>
        <w:ind w:left="0" w:firstLine="0"/>
        <w:jc w:val="both"/>
        <w:rPr>
          <w:rFonts w:ascii="Verdana" w:hAnsi="Verdana"/>
          <w:sz w:val="20"/>
        </w:rPr>
      </w:pPr>
      <w:r>
        <w:rPr>
          <w:rFonts w:ascii="Verdana" w:hAnsi="Verdana"/>
          <w:sz w:val="20"/>
        </w:rPr>
        <w:t>Al respecto</w:t>
      </w:r>
      <w:r w:rsidR="00B41004">
        <w:rPr>
          <w:rFonts w:ascii="Verdana" w:hAnsi="Verdana"/>
          <w:sz w:val="20"/>
        </w:rPr>
        <w:t xml:space="preserve">, </w:t>
      </w:r>
      <w:r w:rsidR="000D580D">
        <w:rPr>
          <w:rFonts w:ascii="Verdana" w:hAnsi="Verdana"/>
          <w:sz w:val="20"/>
        </w:rPr>
        <w:t xml:space="preserve">el Tribunal recuerda que la obligación de cumplir lo dispuesto en </w:t>
      </w:r>
      <w:r w:rsidR="00A07E10">
        <w:rPr>
          <w:rFonts w:ascii="Verdana" w:hAnsi="Verdana"/>
          <w:sz w:val="20"/>
        </w:rPr>
        <w:t>sus</w:t>
      </w:r>
      <w:r w:rsidR="000D580D">
        <w:rPr>
          <w:rFonts w:ascii="Verdana" w:hAnsi="Verdana"/>
          <w:sz w:val="20"/>
        </w:rPr>
        <w:t xml:space="preserve"> decisiones corresponde a un principio básico del derecho sobre la responsabilidad internacional del Estado, respaldado por la jurisprudencia internacional, según el cual los Estados deben cumplir sus obligaciones convencionales internacionales de buena fe (</w:t>
      </w:r>
      <w:r w:rsidR="000D580D">
        <w:rPr>
          <w:rFonts w:ascii="Verdana" w:hAnsi="Verdana"/>
          <w:i/>
          <w:sz w:val="20"/>
        </w:rPr>
        <w:t xml:space="preserve">pacta </w:t>
      </w:r>
      <w:proofErr w:type="spellStart"/>
      <w:r w:rsidR="000D580D">
        <w:rPr>
          <w:rFonts w:ascii="Verdana" w:hAnsi="Verdana"/>
          <w:i/>
          <w:sz w:val="20"/>
        </w:rPr>
        <w:t>sunt</w:t>
      </w:r>
      <w:proofErr w:type="spellEnd"/>
      <w:r w:rsidR="000D580D">
        <w:rPr>
          <w:rFonts w:ascii="Verdana" w:hAnsi="Verdana"/>
          <w:i/>
          <w:sz w:val="20"/>
        </w:rPr>
        <w:t xml:space="preserve"> </w:t>
      </w:r>
      <w:proofErr w:type="spellStart"/>
      <w:r w:rsidR="000D580D">
        <w:rPr>
          <w:rFonts w:ascii="Verdana" w:hAnsi="Verdana"/>
          <w:i/>
          <w:sz w:val="20"/>
        </w:rPr>
        <w:t>servanda</w:t>
      </w:r>
      <w:proofErr w:type="spellEnd"/>
      <w:r w:rsidR="000D580D">
        <w:rPr>
          <w:rFonts w:ascii="Verdana" w:hAnsi="Verdana"/>
          <w:sz w:val="20"/>
        </w:rPr>
        <w:t>) y, como ya ha señalado este Tribunal y lo dispone el artículo 27 de la Convención de Viena sobre el Derecho de los Tratados de 1969, los Estados “no pueden por razones de orden interno dejar de asumir la responsabilidad internacional ya establecida”</w:t>
      </w:r>
      <w:r w:rsidR="000D580D">
        <w:rPr>
          <w:rStyle w:val="FootnoteReference"/>
          <w:rFonts w:ascii="Verdana" w:hAnsi="Verdana"/>
          <w:sz w:val="20"/>
        </w:rPr>
        <w:footnoteReference w:id="30"/>
      </w:r>
      <w:r w:rsidR="000D580D">
        <w:rPr>
          <w:rFonts w:ascii="Verdana" w:hAnsi="Verdana"/>
          <w:sz w:val="20"/>
        </w:rPr>
        <w:t>.</w:t>
      </w:r>
      <w:r w:rsidR="00681938">
        <w:rPr>
          <w:rFonts w:ascii="Verdana" w:hAnsi="Verdana"/>
          <w:sz w:val="20"/>
        </w:rPr>
        <w:t xml:space="preserve"> </w:t>
      </w:r>
    </w:p>
    <w:p w14:paraId="595147C4" w14:textId="77777777" w:rsidR="00493014" w:rsidRPr="000E3711" w:rsidRDefault="00493014" w:rsidP="00314487">
      <w:pPr>
        <w:spacing w:after="120"/>
        <w:jc w:val="both"/>
        <w:rPr>
          <w:rFonts w:ascii="Verdana" w:hAnsi="Verdana"/>
          <w:sz w:val="20"/>
        </w:rPr>
      </w:pPr>
    </w:p>
    <w:p w14:paraId="2491B628" w14:textId="34BBF650" w:rsidR="000E3711" w:rsidRDefault="000E3711" w:rsidP="00314487">
      <w:pPr>
        <w:pStyle w:val="ListParagraph"/>
        <w:numPr>
          <w:ilvl w:val="0"/>
          <w:numId w:val="2"/>
        </w:numPr>
        <w:spacing w:after="120"/>
        <w:ind w:left="0" w:firstLine="0"/>
        <w:jc w:val="both"/>
        <w:rPr>
          <w:rFonts w:ascii="Verdana" w:hAnsi="Verdana"/>
          <w:sz w:val="20"/>
        </w:rPr>
      </w:pPr>
      <w:bookmarkStart w:id="28" w:name="_Ref526763788"/>
      <w:r w:rsidRPr="00B102D0">
        <w:rPr>
          <w:rFonts w:ascii="Verdana" w:hAnsi="Verdana" w:cs="Times-Roman"/>
          <w:sz w:val="20"/>
          <w:lang w:val="es-CR" w:bidi="en-US"/>
        </w:rPr>
        <w:t>Los Estados Parte en la Convención no pueden invocar disposiciones del derecho constitucional u otros aspectos del derecho interno para justificar una falta de cumplimiento de las obligaciones contenidas en dicho tratado</w:t>
      </w:r>
      <w:r w:rsidRPr="00B102D0">
        <w:rPr>
          <w:rFonts w:ascii="Verdana" w:hAnsi="Verdana"/>
          <w:sz w:val="20"/>
          <w:vertAlign w:val="superscript"/>
          <w:lang w:val="es-CR"/>
        </w:rPr>
        <w:footnoteReference w:id="31"/>
      </w:r>
      <w:r w:rsidRPr="00B102D0">
        <w:rPr>
          <w:rFonts w:ascii="Verdana" w:hAnsi="Verdana" w:cs="Times-Roman"/>
          <w:sz w:val="20"/>
          <w:lang w:val="es-CR" w:bidi="en-US"/>
        </w:rPr>
        <w:t>.</w:t>
      </w:r>
      <w:r w:rsidRPr="00EE7801">
        <w:rPr>
          <w:rFonts w:ascii="Verdana" w:hAnsi="Verdana" w:cs="Times-Roman"/>
          <w:sz w:val="20"/>
          <w:lang w:val="es-CR" w:bidi="en-US"/>
        </w:rPr>
        <w:t xml:space="preserve"> </w:t>
      </w:r>
      <w:r w:rsidRPr="00130B17">
        <w:rPr>
          <w:rFonts w:ascii="Verdana" w:hAnsi="Verdana"/>
          <w:sz w:val="20"/>
        </w:rPr>
        <w:t>En lo concerniente al cumplimiento de las sentencias de la Corte, no se trata de resolver el problema de la supremacía del derecho internacional sobre el nacional en el orden interno, sino únicamente de hacer cumplir aquello a lo que los Estados soberanamente se comprometieron</w:t>
      </w:r>
      <w:r>
        <w:rPr>
          <w:rStyle w:val="FootnoteReference"/>
          <w:rFonts w:ascii="Verdana" w:hAnsi="Verdana"/>
          <w:sz w:val="20"/>
        </w:rPr>
        <w:footnoteReference w:id="32"/>
      </w:r>
      <w:r w:rsidRPr="00130B17">
        <w:rPr>
          <w:rFonts w:ascii="Verdana" w:hAnsi="Verdana"/>
          <w:sz w:val="20"/>
        </w:rPr>
        <w:t>.</w:t>
      </w:r>
      <w:bookmarkEnd w:id="28"/>
      <w:r w:rsidRPr="00EE7801">
        <w:rPr>
          <w:rFonts w:ascii="Verdana" w:hAnsi="Verdana"/>
          <w:sz w:val="20"/>
        </w:rPr>
        <w:t xml:space="preserve"> </w:t>
      </w:r>
    </w:p>
    <w:p w14:paraId="74BB4D91" w14:textId="77777777" w:rsidR="00BF1D20" w:rsidRDefault="00BF1D20" w:rsidP="00314487">
      <w:pPr>
        <w:pStyle w:val="ListParagraph"/>
        <w:spacing w:after="120"/>
        <w:ind w:left="0"/>
        <w:jc w:val="both"/>
        <w:rPr>
          <w:rFonts w:ascii="Verdana" w:hAnsi="Verdana"/>
          <w:sz w:val="20"/>
        </w:rPr>
      </w:pPr>
    </w:p>
    <w:p w14:paraId="509BB90C" w14:textId="15D9182F" w:rsidR="00515461" w:rsidRPr="00374CE5" w:rsidRDefault="00374CE5" w:rsidP="00314487">
      <w:pPr>
        <w:pStyle w:val="ListParagraph"/>
        <w:numPr>
          <w:ilvl w:val="0"/>
          <w:numId w:val="2"/>
        </w:numPr>
        <w:spacing w:after="120"/>
        <w:ind w:left="0" w:firstLine="0"/>
        <w:jc w:val="both"/>
        <w:rPr>
          <w:rFonts w:ascii="Verdana" w:hAnsi="Verdana"/>
          <w:sz w:val="18"/>
          <w:szCs w:val="18"/>
        </w:rPr>
      </w:pPr>
      <w:bookmarkStart w:id="29" w:name="_Ref528141244"/>
      <w:bookmarkStart w:id="30" w:name="_Ref526763772"/>
      <w:r>
        <w:rPr>
          <w:rFonts w:ascii="Verdana" w:hAnsi="Verdana"/>
          <w:sz w:val="20"/>
        </w:rPr>
        <w:t>Por otra parte, e</w:t>
      </w:r>
      <w:r w:rsidR="002A660F" w:rsidRPr="00374CE5">
        <w:rPr>
          <w:rFonts w:ascii="Verdana" w:hAnsi="Verdana"/>
          <w:sz w:val="20"/>
        </w:rPr>
        <w:t xml:space="preserve">n </w:t>
      </w:r>
      <w:r>
        <w:rPr>
          <w:rFonts w:ascii="Verdana" w:hAnsi="Verdana"/>
          <w:sz w:val="20"/>
        </w:rPr>
        <w:t>su i</w:t>
      </w:r>
      <w:r w:rsidR="002A660F" w:rsidRPr="00374CE5">
        <w:rPr>
          <w:rFonts w:ascii="Verdana" w:hAnsi="Verdana"/>
          <w:sz w:val="20"/>
        </w:rPr>
        <w:t xml:space="preserve">nforme </w:t>
      </w:r>
      <w:r>
        <w:rPr>
          <w:rFonts w:ascii="Verdana" w:hAnsi="Verdana"/>
          <w:sz w:val="20"/>
        </w:rPr>
        <w:t>d</w:t>
      </w:r>
      <w:r w:rsidR="002A660F" w:rsidRPr="00374CE5">
        <w:rPr>
          <w:rFonts w:ascii="Verdana" w:hAnsi="Verdana"/>
          <w:sz w:val="20"/>
        </w:rPr>
        <w:t xml:space="preserve">e 27 de abril de 2015, </w:t>
      </w:r>
      <w:r w:rsidR="00515461" w:rsidRPr="00374CE5">
        <w:rPr>
          <w:rFonts w:ascii="Verdana" w:hAnsi="Verdana"/>
          <w:sz w:val="20"/>
        </w:rPr>
        <w:t>el Estado</w:t>
      </w:r>
      <w:r>
        <w:rPr>
          <w:rFonts w:ascii="Verdana" w:hAnsi="Verdana"/>
          <w:sz w:val="20"/>
        </w:rPr>
        <w:t xml:space="preserve"> hizo referencia a un segundo obstáculo en el cumplimiento de la Sentencia, cuando</w:t>
      </w:r>
      <w:r w:rsidR="00515461" w:rsidRPr="00374CE5">
        <w:rPr>
          <w:rFonts w:ascii="Verdana" w:hAnsi="Verdana"/>
          <w:sz w:val="20"/>
        </w:rPr>
        <w:t xml:space="preserve"> reconoció que no se habían adoptado medidas para dar cumplimiento a la Sentencia</w:t>
      </w:r>
      <w:r>
        <w:rPr>
          <w:rFonts w:ascii="Verdana" w:hAnsi="Verdana"/>
          <w:sz w:val="20"/>
        </w:rPr>
        <w:t xml:space="preserve">, aduciendo que ello era </w:t>
      </w:r>
      <w:r w:rsidR="00515461" w:rsidRPr="00374CE5">
        <w:rPr>
          <w:rFonts w:ascii="Verdana" w:hAnsi="Verdana"/>
          <w:sz w:val="20"/>
        </w:rPr>
        <w:t>debido a</w:t>
      </w:r>
      <w:r w:rsidR="00D651AA" w:rsidRPr="00374CE5">
        <w:rPr>
          <w:rFonts w:ascii="Verdana" w:hAnsi="Verdana"/>
          <w:sz w:val="20"/>
          <w:szCs w:val="18"/>
        </w:rPr>
        <w:t xml:space="preserve"> “conflictos internos</w:t>
      </w:r>
      <w:r w:rsidR="00515461" w:rsidRPr="00374CE5">
        <w:rPr>
          <w:rFonts w:ascii="Verdana" w:hAnsi="Verdana"/>
          <w:sz w:val="20"/>
          <w:szCs w:val="18"/>
        </w:rPr>
        <w:t xml:space="preserve"> dentro de la comunidad </w:t>
      </w:r>
      <w:proofErr w:type="spellStart"/>
      <w:r w:rsidR="00515461" w:rsidRPr="00374CE5">
        <w:rPr>
          <w:rFonts w:ascii="Verdana" w:hAnsi="Verdana"/>
          <w:sz w:val="20"/>
          <w:szCs w:val="18"/>
        </w:rPr>
        <w:t>Saramaka</w:t>
      </w:r>
      <w:proofErr w:type="spellEnd"/>
      <w:r w:rsidR="00D651AA" w:rsidRPr="00374CE5">
        <w:rPr>
          <w:rFonts w:ascii="Verdana" w:hAnsi="Verdana"/>
          <w:sz w:val="20"/>
          <w:szCs w:val="18"/>
        </w:rPr>
        <w:t>, en este caso diferencias de opinión (crisis de autoridad)</w:t>
      </w:r>
      <w:r w:rsidR="00515461" w:rsidRPr="00374CE5">
        <w:rPr>
          <w:rFonts w:ascii="Verdana" w:hAnsi="Verdana"/>
          <w:sz w:val="20"/>
          <w:szCs w:val="18"/>
        </w:rPr>
        <w:t>”</w:t>
      </w:r>
      <w:r w:rsidR="00515461">
        <w:rPr>
          <w:rStyle w:val="FootnoteReference"/>
          <w:rFonts w:ascii="Verdana" w:hAnsi="Verdana"/>
          <w:sz w:val="20"/>
          <w:szCs w:val="18"/>
        </w:rPr>
        <w:footnoteReference w:id="33"/>
      </w:r>
      <w:r w:rsidR="00D651AA" w:rsidRPr="00374CE5">
        <w:rPr>
          <w:rFonts w:ascii="Verdana" w:hAnsi="Verdana"/>
          <w:sz w:val="20"/>
          <w:szCs w:val="18"/>
        </w:rPr>
        <w:t xml:space="preserve">. </w:t>
      </w:r>
      <w:r w:rsidR="00D9597C">
        <w:rPr>
          <w:rFonts w:ascii="Verdana" w:hAnsi="Verdana"/>
          <w:sz w:val="20"/>
          <w:szCs w:val="18"/>
        </w:rPr>
        <w:t>Al respecto, aportó un documento</w:t>
      </w:r>
      <w:r w:rsidR="00D9597C">
        <w:rPr>
          <w:rStyle w:val="FootnoteReference"/>
          <w:rFonts w:ascii="Verdana" w:hAnsi="Verdana"/>
          <w:sz w:val="20"/>
          <w:szCs w:val="18"/>
        </w:rPr>
        <w:footnoteReference w:id="34"/>
      </w:r>
      <w:r w:rsidR="00D9597C">
        <w:rPr>
          <w:rFonts w:ascii="Verdana" w:hAnsi="Verdana"/>
          <w:sz w:val="20"/>
          <w:szCs w:val="18"/>
        </w:rPr>
        <w:t xml:space="preserve"> e i</w:t>
      </w:r>
      <w:r w:rsidR="00D651AA" w:rsidRPr="00374CE5">
        <w:rPr>
          <w:rFonts w:ascii="Verdana" w:hAnsi="Verdana"/>
          <w:sz w:val="20"/>
          <w:szCs w:val="18"/>
        </w:rPr>
        <w:t>ndic</w:t>
      </w:r>
      <w:r w:rsidR="005C1187">
        <w:rPr>
          <w:rFonts w:ascii="Verdana" w:hAnsi="Verdana"/>
          <w:sz w:val="20"/>
          <w:szCs w:val="18"/>
        </w:rPr>
        <w:t>ó</w:t>
      </w:r>
      <w:r w:rsidR="00D651AA" w:rsidRPr="00374CE5">
        <w:rPr>
          <w:rFonts w:ascii="Verdana" w:hAnsi="Verdana"/>
          <w:sz w:val="20"/>
          <w:szCs w:val="18"/>
        </w:rPr>
        <w:t xml:space="preserve"> que “la falta de unanimidad dentro de los miembros del Pueblo </w:t>
      </w:r>
      <w:proofErr w:type="spellStart"/>
      <w:r w:rsidR="00D651AA" w:rsidRPr="00374CE5">
        <w:rPr>
          <w:rFonts w:ascii="Verdana" w:hAnsi="Verdana"/>
          <w:sz w:val="20"/>
          <w:szCs w:val="18"/>
        </w:rPr>
        <w:t>Saramaka</w:t>
      </w:r>
      <w:proofErr w:type="spellEnd"/>
      <w:r w:rsidR="00D651AA" w:rsidRPr="00374CE5">
        <w:rPr>
          <w:rFonts w:ascii="Verdana" w:hAnsi="Verdana"/>
          <w:sz w:val="20"/>
          <w:szCs w:val="18"/>
        </w:rPr>
        <w:t xml:space="preserve"> hace que la implementación de las medidas pendientes de </w:t>
      </w:r>
      <w:r w:rsidR="00515461" w:rsidRPr="00374CE5">
        <w:rPr>
          <w:rFonts w:ascii="Verdana" w:hAnsi="Verdana"/>
          <w:sz w:val="20"/>
          <w:szCs w:val="18"/>
        </w:rPr>
        <w:t xml:space="preserve">cumplimiento </w:t>
      </w:r>
      <w:r w:rsidR="005D0778">
        <w:rPr>
          <w:rFonts w:ascii="Verdana" w:hAnsi="Verdana"/>
          <w:sz w:val="20"/>
          <w:szCs w:val="18"/>
        </w:rPr>
        <w:t xml:space="preserve">de la Sentencia </w:t>
      </w:r>
      <w:r w:rsidR="00515461" w:rsidRPr="00374CE5">
        <w:rPr>
          <w:rFonts w:ascii="Verdana" w:hAnsi="Verdana"/>
          <w:sz w:val="20"/>
          <w:szCs w:val="18"/>
        </w:rPr>
        <w:t xml:space="preserve">sea más </w:t>
      </w:r>
      <w:r w:rsidR="005D0778">
        <w:rPr>
          <w:rFonts w:ascii="Verdana" w:hAnsi="Verdana"/>
          <w:sz w:val="20"/>
          <w:szCs w:val="18"/>
        </w:rPr>
        <w:t>complej</w:t>
      </w:r>
      <w:r w:rsidR="007F00CD">
        <w:rPr>
          <w:rFonts w:ascii="Verdana" w:hAnsi="Verdana"/>
          <w:sz w:val="20"/>
          <w:szCs w:val="18"/>
        </w:rPr>
        <w:t>a</w:t>
      </w:r>
      <w:r w:rsidR="004174CB" w:rsidRPr="00374CE5">
        <w:rPr>
          <w:rFonts w:ascii="Verdana" w:hAnsi="Verdana"/>
          <w:sz w:val="20"/>
          <w:szCs w:val="18"/>
        </w:rPr>
        <w:t>”</w:t>
      </w:r>
      <w:r w:rsidR="00DB3D65" w:rsidRPr="00374CE5">
        <w:rPr>
          <w:rFonts w:ascii="Verdana" w:hAnsi="Verdana"/>
          <w:sz w:val="20"/>
          <w:lang w:val="es-CR"/>
        </w:rPr>
        <w:t xml:space="preserve">. </w:t>
      </w:r>
      <w:r w:rsidR="005C1187" w:rsidRPr="005C1187">
        <w:rPr>
          <w:rFonts w:ascii="Verdana" w:hAnsi="Verdana"/>
          <w:sz w:val="20"/>
          <w:lang w:val="es-CR"/>
        </w:rPr>
        <w:t xml:space="preserve">Agregó </w:t>
      </w:r>
      <w:r w:rsidR="00D651AA" w:rsidRPr="00374CE5">
        <w:rPr>
          <w:rFonts w:ascii="Verdana" w:hAnsi="Verdana"/>
          <w:sz w:val="20"/>
          <w:szCs w:val="18"/>
        </w:rPr>
        <w:t>que “para contribuir a la solución de la situación surgida, el Estado, a través de la mediación del Ministerio de Desarrollo Regional, estableció una comisión el 1 de noviembre de 2014, [</w:t>
      </w:r>
      <w:r w:rsidR="00D306AF" w:rsidRPr="00374CE5">
        <w:rPr>
          <w:rFonts w:ascii="Verdana" w:hAnsi="Verdana"/>
          <w:sz w:val="20"/>
          <w:szCs w:val="18"/>
        </w:rPr>
        <w:t>llamada</w:t>
      </w:r>
      <w:r w:rsidR="00D651AA" w:rsidRPr="00374CE5">
        <w:rPr>
          <w:rFonts w:ascii="Verdana" w:hAnsi="Verdana"/>
          <w:sz w:val="20"/>
          <w:szCs w:val="18"/>
        </w:rPr>
        <w:t>] ‘Mediaci</w:t>
      </w:r>
      <w:r w:rsidR="008E0A64" w:rsidRPr="00374CE5">
        <w:rPr>
          <w:rFonts w:ascii="Verdana" w:hAnsi="Verdana"/>
          <w:sz w:val="20"/>
          <w:szCs w:val="18"/>
        </w:rPr>
        <w:t xml:space="preserve">ón del conflicto </w:t>
      </w:r>
      <w:r w:rsidR="00235045" w:rsidRPr="00374CE5">
        <w:rPr>
          <w:rFonts w:ascii="Verdana" w:hAnsi="Verdana"/>
          <w:sz w:val="20"/>
          <w:szCs w:val="18"/>
        </w:rPr>
        <w:t xml:space="preserve">por la sucesión </w:t>
      </w:r>
      <w:r w:rsidR="00235045" w:rsidRPr="00374CE5">
        <w:rPr>
          <w:rFonts w:ascii="Verdana" w:hAnsi="Verdana"/>
          <w:sz w:val="20"/>
          <w:szCs w:val="18"/>
        </w:rPr>
        <w:lastRenderedPageBreak/>
        <w:t xml:space="preserve">de las Autoridades Tradicionales </w:t>
      </w:r>
      <w:proofErr w:type="spellStart"/>
      <w:r w:rsidR="00235045" w:rsidRPr="00374CE5">
        <w:rPr>
          <w:rFonts w:ascii="Verdana" w:hAnsi="Verdana"/>
          <w:sz w:val="20"/>
          <w:szCs w:val="18"/>
        </w:rPr>
        <w:t>Saramaka</w:t>
      </w:r>
      <w:proofErr w:type="spellEnd"/>
      <w:r w:rsidR="00235045" w:rsidRPr="00374CE5">
        <w:rPr>
          <w:rFonts w:ascii="Verdana" w:hAnsi="Verdana"/>
          <w:sz w:val="20"/>
          <w:szCs w:val="18"/>
        </w:rPr>
        <w:t xml:space="preserve">’. La composición de esta comisión fue establecida en consulta con la tribu </w:t>
      </w:r>
      <w:proofErr w:type="spellStart"/>
      <w:r w:rsidR="00235045" w:rsidRPr="00374CE5">
        <w:rPr>
          <w:rFonts w:ascii="Verdana" w:hAnsi="Verdana"/>
          <w:sz w:val="20"/>
          <w:szCs w:val="18"/>
        </w:rPr>
        <w:t>Saramaka</w:t>
      </w:r>
      <w:proofErr w:type="spellEnd"/>
      <w:r w:rsidR="00235045" w:rsidRPr="00374CE5">
        <w:rPr>
          <w:rFonts w:ascii="Verdana" w:hAnsi="Verdana"/>
          <w:sz w:val="20"/>
          <w:szCs w:val="18"/>
        </w:rPr>
        <w:t>”</w:t>
      </w:r>
      <w:r w:rsidR="00EF36C6">
        <w:rPr>
          <w:rStyle w:val="FootnoteReference"/>
          <w:rFonts w:ascii="Verdana" w:hAnsi="Verdana"/>
          <w:sz w:val="20"/>
          <w:szCs w:val="18"/>
        </w:rPr>
        <w:footnoteReference w:id="35"/>
      </w:r>
      <w:r w:rsidR="00235045" w:rsidRPr="00374CE5">
        <w:rPr>
          <w:rFonts w:ascii="Verdana" w:hAnsi="Verdana"/>
          <w:sz w:val="20"/>
          <w:szCs w:val="18"/>
        </w:rPr>
        <w:t>.</w:t>
      </w:r>
      <w:bookmarkEnd w:id="29"/>
      <w:r w:rsidR="00235045" w:rsidRPr="00374CE5">
        <w:rPr>
          <w:rFonts w:ascii="Verdana" w:hAnsi="Verdana"/>
          <w:sz w:val="20"/>
          <w:szCs w:val="18"/>
        </w:rPr>
        <w:t xml:space="preserve"> </w:t>
      </w:r>
      <w:bookmarkEnd w:id="30"/>
    </w:p>
    <w:p w14:paraId="0116E77E" w14:textId="77777777" w:rsidR="00515461" w:rsidRPr="00515461" w:rsidRDefault="00515461" w:rsidP="00314487">
      <w:pPr>
        <w:pStyle w:val="ListParagraph"/>
        <w:spacing w:after="120"/>
        <w:ind w:left="0"/>
        <w:jc w:val="both"/>
        <w:rPr>
          <w:rFonts w:ascii="Verdana" w:hAnsi="Verdana"/>
          <w:sz w:val="18"/>
          <w:szCs w:val="18"/>
        </w:rPr>
      </w:pPr>
    </w:p>
    <w:p w14:paraId="5D762B38" w14:textId="77777777" w:rsidR="00D9597C" w:rsidRPr="00D9597C" w:rsidRDefault="003F4258" w:rsidP="00314487">
      <w:pPr>
        <w:pStyle w:val="ListParagraph"/>
        <w:numPr>
          <w:ilvl w:val="0"/>
          <w:numId w:val="2"/>
        </w:numPr>
        <w:spacing w:after="120"/>
        <w:ind w:left="0" w:firstLine="0"/>
        <w:jc w:val="both"/>
        <w:rPr>
          <w:rFonts w:ascii="Verdana" w:hAnsi="Verdana"/>
          <w:sz w:val="20"/>
        </w:rPr>
      </w:pPr>
      <w:bookmarkStart w:id="31" w:name="_Ref526763733"/>
      <w:r w:rsidRPr="00D9597C">
        <w:rPr>
          <w:rFonts w:ascii="Verdana" w:hAnsi="Verdana"/>
          <w:sz w:val="20"/>
        </w:rPr>
        <w:t>L</w:t>
      </w:r>
      <w:r w:rsidR="00A54B8D" w:rsidRPr="00D9597C">
        <w:rPr>
          <w:rFonts w:ascii="Verdana" w:hAnsi="Verdana"/>
          <w:sz w:val="20"/>
        </w:rPr>
        <w:t xml:space="preserve">os </w:t>
      </w:r>
      <w:r w:rsidR="00A54B8D" w:rsidRPr="00D9597C">
        <w:rPr>
          <w:rFonts w:ascii="Verdana" w:hAnsi="Verdana"/>
          <w:i/>
          <w:sz w:val="20"/>
        </w:rPr>
        <w:t>representantes</w:t>
      </w:r>
      <w:r w:rsidR="00515461" w:rsidRPr="00D9597C">
        <w:rPr>
          <w:rFonts w:ascii="Verdana" w:hAnsi="Verdana"/>
          <w:i/>
          <w:sz w:val="20"/>
        </w:rPr>
        <w:t>,</w:t>
      </w:r>
      <w:r w:rsidR="00A54B8D" w:rsidRPr="00D9597C">
        <w:rPr>
          <w:rFonts w:ascii="Verdana" w:hAnsi="Verdana"/>
          <w:sz w:val="20"/>
        </w:rPr>
        <w:t xml:space="preserve"> </w:t>
      </w:r>
      <w:r w:rsidR="00515461" w:rsidRPr="00D9597C">
        <w:rPr>
          <w:rFonts w:ascii="Verdana" w:hAnsi="Verdana"/>
          <w:sz w:val="20"/>
          <w:lang w:val="es-CR"/>
        </w:rPr>
        <w:t xml:space="preserve">en su escrito de observaciones de 29 de mayo de 2015, </w:t>
      </w:r>
      <w:r w:rsidRPr="00D9597C">
        <w:rPr>
          <w:rFonts w:ascii="Verdana" w:hAnsi="Verdana"/>
          <w:sz w:val="20"/>
        </w:rPr>
        <w:t>hicieron notar</w:t>
      </w:r>
      <w:r w:rsidR="00A54B8D" w:rsidRPr="00D9597C">
        <w:rPr>
          <w:rFonts w:ascii="Verdana" w:hAnsi="Verdana"/>
          <w:sz w:val="20"/>
        </w:rPr>
        <w:t xml:space="preserve"> que </w:t>
      </w:r>
      <w:r w:rsidR="00515461" w:rsidRPr="00D9597C">
        <w:rPr>
          <w:rFonts w:ascii="Verdana" w:hAnsi="Verdana"/>
          <w:sz w:val="20"/>
          <w:lang w:val="es-CR"/>
        </w:rPr>
        <w:t xml:space="preserve">“los </w:t>
      </w:r>
      <w:proofErr w:type="spellStart"/>
      <w:r w:rsidR="00515461" w:rsidRPr="00D9597C">
        <w:rPr>
          <w:rFonts w:ascii="Verdana" w:hAnsi="Verdana"/>
          <w:sz w:val="20"/>
          <w:lang w:val="es-CR"/>
        </w:rPr>
        <w:t>Saramakas</w:t>
      </w:r>
      <w:proofErr w:type="spellEnd"/>
      <w:r w:rsidR="00515461" w:rsidRPr="00D9597C">
        <w:rPr>
          <w:rFonts w:ascii="Verdana" w:hAnsi="Verdana"/>
          <w:sz w:val="20"/>
          <w:lang w:val="es-CR"/>
        </w:rPr>
        <w:t xml:space="preserve"> han explicado que la Asociación de Autoridades </w:t>
      </w:r>
      <w:proofErr w:type="spellStart"/>
      <w:r w:rsidR="00515461" w:rsidRPr="00D9597C">
        <w:rPr>
          <w:rFonts w:ascii="Verdana" w:hAnsi="Verdana"/>
          <w:sz w:val="20"/>
          <w:lang w:val="es-CR"/>
        </w:rPr>
        <w:t>Saramakas</w:t>
      </w:r>
      <w:proofErr w:type="spellEnd"/>
      <w:r w:rsidR="00515461" w:rsidRPr="00D9597C">
        <w:rPr>
          <w:rFonts w:ascii="Verdana" w:hAnsi="Verdana"/>
          <w:sz w:val="20"/>
          <w:lang w:val="es-CR"/>
        </w:rPr>
        <w:t xml:space="preserve"> es su representante designado [para la implementación de la Sentencia] en numerosas ocasiones</w:t>
      </w:r>
      <w:r w:rsidR="00374CE5" w:rsidRPr="00D9597C">
        <w:rPr>
          <w:rFonts w:ascii="Verdana" w:hAnsi="Verdana"/>
          <w:sz w:val="20"/>
          <w:lang w:val="es-CR"/>
        </w:rPr>
        <w:t>”</w:t>
      </w:r>
      <w:r w:rsidR="00515461" w:rsidRPr="00D9597C">
        <w:rPr>
          <w:rFonts w:ascii="Verdana" w:hAnsi="Verdana"/>
          <w:sz w:val="20"/>
          <w:lang w:val="es-CR"/>
        </w:rPr>
        <w:t>. Además</w:t>
      </w:r>
      <w:r w:rsidR="00374CE5" w:rsidRPr="00D9597C">
        <w:rPr>
          <w:rFonts w:ascii="Verdana" w:hAnsi="Verdana"/>
          <w:sz w:val="20"/>
          <w:lang w:val="es-CR"/>
        </w:rPr>
        <w:t xml:space="preserve"> hicieron referencia a un documento de </w:t>
      </w:r>
      <w:r w:rsidR="00515461" w:rsidRPr="00D9597C">
        <w:rPr>
          <w:rFonts w:ascii="Verdana" w:hAnsi="Verdana"/>
          <w:sz w:val="20"/>
          <w:lang w:val="es-CR"/>
        </w:rPr>
        <w:t>julio de 2013</w:t>
      </w:r>
      <w:r w:rsidR="00374CE5" w:rsidRPr="00D9597C">
        <w:rPr>
          <w:rFonts w:ascii="Verdana" w:hAnsi="Verdana"/>
          <w:sz w:val="20"/>
          <w:lang w:val="es-CR"/>
        </w:rPr>
        <w:t xml:space="preserve"> en el que</w:t>
      </w:r>
      <w:r w:rsidR="00515461" w:rsidRPr="00D9597C">
        <w:rPr>
          <w:rFonts w:ascii="Verdana" w:hAnsi="Verdana"/>
          <w:sz w:val="20"/>
          <w:lang w:val="es-CR"/>
        </w:rPr>
        <w:t xml:space="preserve"> </w:t>
      </w:r>
      <w:r w:rsidR="00374CE5" w:rsidRPr="00D9597C">
        <w:rPr>
          <w:rFonts w:ascii="Verdana" w:hAnsi="Verdana"/>
          <w:sz w:val="20"/>
          <w:lang w:val="es-CR"/>
        </w:rPr>
        <w:t>“</w:t>
      </w:r>
      <w:r w:rsidR="00515461" w:rsidRPr="00D9597C">
        <w:rPr>
          <w:rFonts w:ascii="Verdana" w:hAnsi="Verdana"/>
          <w:sz w:val="20"/>
          <w:lang w:val="es-CR"/>
        </w:rPr>
        <w:t xml:space="preserve">la mayoría de las autoridades tradicionales </w:t>
      </w:r>
      <w:proofErr w:type="spellStart"/>
      <w:r w:rsidR="00515461" w:rsidRPr="00D9597C">
        <w:rPr>
          <w:rFonts w:ascii="Verdana" w:hAnsi="Verdana"/>
          <w:sz w:val="20"/>
          <w:lang w:val="es-CR"/>
        </w:rPr>
        <w:t>Saramakas</w:t>
      </w:r>
      <w:proofErr w:type="spellEnd"/>
      <w:r w:rsidR="00515461" w:rsidRPr="00D9597C">
        <w:rPr>
          <w:rFonts w:ascii="Verdana" w:hAnsi="Verdana"/>
          <w:sz w:val="20"/>
          <w:lang w:val="es-CR"/>
        </w:rPr>
        <w:t xml:space="preserve"> endosaron una declaración confirmando, de nuevo, que son unánimes en su deseo de ver la implementación de la Sentencia y que </w:t>
      </w:r>
      <w:r w:rsidR="00332580" w:rsidRPr="00D9597C">
        <w:rPr>
          <w:rFonts w:ascii="Verdana" w:hAnsi="Verdana"/>
          <w:sz w:val="20"/>
          <w:lang w:val="es-CR"/>
        </w:rPr>
        <w:t xml:space="preserve">ellos </w:t>
      </w:r>
      <w:r w:rsidR="00515461" w:rsidRPr="00D9597C">
        <w:rPr>
          <w:rFonts w:ascii="Verdana" w:hAnsi="Verdana"/>
          <w:sz w:val="20"/>
          <w:lang w:val="es-CR"/>
        </w:rPr>
        <w:t xml:space="preserve">esperan que el Estado colabore con ellos a través de sus </w:t>
      </w:r>
      <w:r w:rsidR="00515461" w:rsidRPr="00D9597C">
        <w:rPr>
          <w:rFonts w:ascii="Verdana" w:hAnsi="Verdana"/>
          <w:sz w:val="20"/>
        </w:rPr>
        <w:t>representantes</w:t>
      </w:r>
      <w:r w:rsidR="00515461" w:rsidRPr="00D9597C">
        <w:rPr>
          <w:rFonts w:ascii="Verdana" w:hAnsi="Verdana"/>
          <w:sz w:val="20"/>
          <w:lang w:val="es-CR"/>
        </w:rPr>
        <w:t>, libremente elegidos”</w:t>
      </w:r>
      <w:r w:rsidR="006243C8" w:rsidRPr="00D9597C">
        <w:rPr>
          <w:rStyle w:val="FootnoteReference"/>
          <w:rFonts w:ascii="Verdana" w:hAnsi="Verdana"/>
          <w:sz w:val="20"/>
          <w:lang w:val="es-CR"/>
        </w:rPr>
        <w:footnoteReference w:id="36"/>
      </w:r>
      <w:r w:rsidR="00515461" w:rsidRPr="00D9597C">
        <w:rPr>
          <w:rFonts w:ascii="Verdana" w:hAnsi="Verdana"/>
          <w:sz w:val="20"/>
          <w:lang w:val="es-CR"/>
        </w:rPr>
        <w:t xml:space="preserve">. </w:t>
      </w:r>
      <w:r w:rsidR="00D9597C" w:rsidRPr="00D9597C">
        <w:rPr>
          <w:rFonts w:ascii="Verdana" w:hAnsi="Verdana"/>
          <w:sz w:val="20"/>
        </w:rPr>
        <w:t>Respecto al documento aportado por el Estado (</w:t>
      </w:r>
      <w:r w:rsidR="00D9597C" w:rsidRPr="00D9597C">
        <w:rPr>
          <w:rFonts w:ascii="Verdana" w:hAnsi="Verdana"/>
          <w:i/>
          <w:sz w:val="20"/>
        </w:rPr>
        <w:t>supra</w:t>
      </w:r>
      <w:r w:rsidR="00D9597C" w:rsidRPr="00D9597C">
        <w:rPr>
          <w:rFonts w:ascii="Verdana" w:hAnsi="Verdana"/>
          <w:sz w:val="20"/>
        </w:rPr>
        <w:t xml:space="preserve"> nota al pie 33), los representantes indicaron que dicha carta “enviada […] fue firmada por apenas 18 autoridades (menos del 4% de las autoridades </w:t>
      </w:r>
      <w:proofErr w:type="spellStart"/>
      <w:r w:rsidR="00D9597C" w:rsidRPr="00D9597C">
        <w:rPr>
          <w:rFonts w:ascii="Verdana" w:hAnsi="Verdana"/>
          <w:sz w:val="20"/>
        </w:rPr>
        <w:t>Saramakas</w:t>
      </w:r>
      <w:proofErr w:type="spellEnd"/>
      <w:r w:rsidR="00D9597C" w:rsidRPr="00D9597C">
        <w:rPr>
          <w:rFonts w:ascii="Verdana" w:hAnsi="Verdana"/>
          <w:sz w:val="20"/>
        </w:rPr>
        <w:t xml:space="preserve">) y es una seria tergiversación de la organización política y social del Pueblo </w:t>
      </w:r>
      <w:proofErr w:type="spellStart"/>
      <w:r w:rsidR="00D9597C" w:rsidRPr="00D9597C">
        <w:rPr>
          <w:rFonts w:ascii="Verdana" w:hAnsi="Verdana"/>
          <w:sz w:val="20"/>
        </w:rPr>
        <w:t>Saramaka</w:t>
      </w:r>
      <w:proofErr w:type="spellEnd"/>
      <w:r w:rsidR="00D9597C" w:rsidRPr="00D9597C">
        <w:rPr>
          <w:rFonts w:ascii="Verdana" w:hAnsi="Verdana"/>
          <w:sz w:val="20"/>
        </w:rPr>
        <w:t xml:space="preserve"> declarar, como lo hace el Estado en su reporte, que estas 18 autoridades pueden por sí solas hablar en representación tanto de su clan como de los </w:t>
      </w:r>
      <w:proofErr w:type="spellStart"/>
      <w:r w:rsidR="00D9597C" w:rsidRPr="00D9597C">
        <w:rPr>
          <w:rFonts w:ascii="Verdana" w:hAnsi="Verdana"/>
          <w:sz w:val="20"/>
        </w:rPr>
        <w:t>Saramaka</w:t>
      </w:r>
      <w:proofErr w:type="spellEnd"/>
      <w:r w:rsidR="00D9597C" w:rsidRPr="00D9597C">
        <w:rPr>
          <w:rFonts w:ascii="Verdana" w:hAnsi="Verdana"/>
          <w:sz w:val="20"/>
        </w:rPr>
        <w:t xml:space="preserve"> como un todo”.</w:t>
      </w:r>
    </w:p>
    <w:p w14:paraId="4D18EAA9" w14:textId="77777777" w:rsidR="00D9597C" w:rsidRPr="00D9597C" w:rsidRDefault="00D9597C" w:rsidP="00314487">
      <w:pPr>
        <w:spacing w:after="120"/>
        <w:jc w:val="both"/>
        <w:rPr>
          <w:rFonts w:ascii="Verdana" w:hAnsi="Verdana"/>
          <w:sz w:val="16"/>
          <w:szCs w:val="16"/>
        </w:rPr>
      </w:pPr>
    </w:p>
    <w:p w14:paraId="66BB6FFD" w14:textId="1964DA57" w:rsidR="002A660F" w:rsidRPr="00D9597C" w:rsidRDefault="00A54B8D" w:rsidP="00314487">
      <w:pPr>
        <w:pStyle w:val="ListParagraph"/>
        <w:numPr>
          <w:ilvl w:val="0"/>
          <w:numId w:val="2"/>
        </w:numPr>
        <w:spacing w:after="120"/>
        <w:ind w:left="0" w:firstLine="0"/>
        <w:jc w:val="both"/>
        <w:rPr>
          <w:rFonts w:ascii="Verdana" w:hAnsi="Verdana"/>
          <w:sz w:val="18"/>
          <w:szCs w:val="18"/>
        </w:rPr>
      </w:pPr>
      <w:r w:rsidRPr="00D9597C">
        <w:rPr>
          <w:rFonts w:ascii="Verdana" w:hAnsi="Verdana"/>
          <w:sz w:val="20"/>
          <w:szCs w:val="18"/>
        </w:rPr>
        <w:t xml:space="preserve">Por su parte, la </w:t>
      </w:r>
      <w:r w:rsidRPr="00D9597C">
        <w:rPr>
          <w:rFonts w:ascii="Verdana" w:hAnsi="Verdana"/>
          <w:i/>
          <w:sz w:val="20"/>
          <w:szCs w:val="18"/>
        </w:rPr>
        <w:t>Comisión</w:t>
      </w:r>
      <w:r w:rsidRPr="00D9597C">
        <w:rPr>
          <w:rFonts w:ascii="Verdana" w:hAnsi="Verdana"/>
          <w:sz w:val="20"/>
          <w:szCs w:val="18"/>
        </w:rPr>
        <w:t xml:space="preserve"> expresó su “profunda preocupación respecto de la </w:t>
      </w:r>
      <w:r w:rsidR="00F01F5F" w:rsidRPr="00D9597C">
        <w:rPr>
          <w:rFonts w:ascii="Verdana" w:hAnsi="Verdana"/>
          <w:sz w:val="20"/>
          <w:szCs w:val="18"/>
        </w:rPr>
        <w:t xml:space="preserve">carencia total </w:t>
      </w:r>
      <w:r w:rsidRPr="00D9597C">
        <w:rPr>
          <w:rFonts w:ascii="Verdana" w:hAnsi="Verdana"/>
          <w:sz w:val="20"/>
          <w:szCs w:val="18"/>
        </w:rPr>
        <w:t xml:space="preserve">de </w:t>
      </w:r>
      <w:r w:rsidRPr="00D9597C">
        <w:rPr>
          <w:rFonts w:ascii="Verdana" w:hAnsi="Verdana"/>
          <w:sz w:val="20"/>
        </w:rPr>
        <w:t>medidas</w:t>
      </w:r>
      <w:r w:rsidRPr="00D9597C">
        <w:rPr>
          <w:rFonts w:ascii="Verdana" w:hAnsi="Verdana"/>
          <w:sz w:val="20"/>
          <w:szCs w:val="18"/>
        </w:rPr>
        <w:t xml:space="preserve"> adoptadas por Surinam para cumplir con las medidas de reparación ordenadas por la Corte”.</w:t>
      </w:r>
      <w:bookmarkEnd w:id="31"/>
    </w:p>
    <w:p w14:paraId="3FC424FD" w14:textId="77777777" w:rsidR="00515461" w:rsidRPr="00515461" w:rsidRDefault="00515461" w:rsidP="00314487">
      <w:pPr>
        <w:pStyle w:val="ListParagraph"/>
        <w:spacing w:after="120"/>
        <w:rPr>
          <w:rFonts w:ascii="Verdana" w:hAnsi="Verdana"/>
          <w:sz w:val="18"/>
          <w:szCs w:val="18"/>
        </w:rPr>
      </w:pPr>
    </w:p>
    <w:p w14:paraId="62CBC850" w14:textId="477C4CF3" w:rsidR="00515461" w:rsidRDefault="00515461" w:rsidP="00314487">
      <w:pPr>
        <w:pStyle w:val="ListParagraph"/>
        <w:numPr>
          <w:ilvl w:val="0"/>
          <w:numId w:val="2"/>
        </w:numPr>
        <w:spacing w:after="120"/>
        <w:ind w:left="0" w:firstLine="0"/>
        <w:jc w:val="both"/>
        <w:rPr>
          <w:rFonts w:ascii="Verdana" w:hAnsi="Verdana"/>
          <w:sz w:val="20"/>
        </w:rPr>
      </w:pPr>
      <w:r w:rsidRPr="00515461">
        <w:rPr>
          <w:rFonts w:ascii="Verdana" w:hAnsi="Verdana"/>
          <w:sz w:val="20"/>
        </w:rPr>
        <w:t xml:space="preserve">Con posterioridad a ello, mediante nota de Secretaría de </w:t>
      </w:r>
      <w:r>
        <w:rPr>
          <w:rFonts w:ascii="Verdana" w:hAnsi="Verdana"/>
          <w:sz w:val="20"/>
        </w:rPr>
        <w:t>diciembre de 2015, siguiendo instrucciones del Presidente del Tribunal, se solicitó al Estado que presentara un informe</w:t>
      </w:r>
      <w:r w:rsidR="00F01F5F">
        <w:rPr>
          <w:rFonts w:ascii="Verdana" w:hAnsi="Verdana"/>
          <w:sz w:val="20"/>
        </w:rPr>
        <w:t xml:space="preserve"> concerniente al cumplimiento de la Sentencia,</w:t>
      </w:r>
      <w:r>
        <w:rPr>
          <w:rFonts w:ascii="Verdana" w:hAnsi="Verdana"/>
          <w:sz w:val="20"/>
        </w:rPr>
        <w:t xml:space="preserve"> en el que </w:t>
      </w:r>
      <w:r w:rsidR="00F01F5F">
        <w:rPr>
          <w:rFonts w:ascii="Verdana" w:hAnsi="Verdana"/>
          <w:sz w:val="20"/>
        </w:rPr>
        <w:t>tomara</w:t>
      </w:r>
      <w:r w:rsidR="007F00CD">
        <w:rPr>
          <w:rFonts w:ascii="Verdana" w:hAnsi="Verdana"/>
          <w:sz w:val="20"/>
        </w:rPr>
        <w:t>n</w:t>
      </w:r>
      <w:r w:rsidR="00F01F5F">
        <w:rPr>
          <w:rFonts w:ascii="Verdana" w:hAnsi="Verdana"/>
          <w:sz w:val="20"/>
        </w:rPr>
        <w:t xml:space="preserve"> en cuenta</w:t>
      </w:r>
      <w:r>
        <w:rPr>
          <w:rFonts w:ascii="Verdana" w:hAnsi="Verdana"/>
          <w:sz w:val="20"/>
        </w:rPr>
        <w:t xml:space="preserve"> las observaciones de los representantes de las víctimas y de la Comisión (</w:t>
      </w:r>
      <w:r>
        <w:rPr>
          <w:rFonts w:ascii="Verdana" w:hAnsi="Verdana"/>
          <w:i/>
          <w:sz w:val="20"/>
        </w:rPr>
        <w:t>supra</w:t>
      </w:r>
      <w:r>
        <w:rPr>
          <w:rFonts w:ascii="Verdana" w:hAnsi="Verdana"/>
          <w:sz w:val="20"/>
        </w:rPr>
        <w:t xml:space="preserve"> Considerando </w:t>
      </w:r>
      <w:r w:rsidR="00F01F5F">
        <w:rPr>
          <w:rFonts w:ascii="Verdana" w:hAnsi="Verdana"/>
          <w:sz w:val="20"/>
        </w:rPr>
        <w:fldChar w:fldCharType="begin"/>
      </w:r>
      <w:r w:rsidR="00F01F5F">
        <w:rPr>
          <w:rFonts w:ascii="Verdana" w:hAnsi="Verdana"/>
          <w:sz w:val="20"/>
        </w:rPr>
        <w:instrText xml:space="preserve"> REF _Ref526763733 \r \h </w:instrText>
      </w:r>
      <w:r w:rsidR="00F01F5F">
        <w:rPr>
          <w:rFonts w:ascii="Verdana" w:hAnsi="Verdana"/>
          <w:sz w:val="20"/>
        </w:rPr>
      </w:r>
      <w:r w:rsidR="00F01F5F">
        <w:rPr>
          <w:rFonts w:ascii="Verdana" w:hAnsi="Verdana"/>
          <w:sz w:val="20"/>
        </w:rPr>
        <w:fldChar w:fldCharType="separate"/>
      </w:r>
      <w:r w:rsidR="009356EF">
        <w:rPr>
          <w:rFonts w:ascii="Verdana" w:hAnsi="Verdana"/>
          <w:sz w:val="20"/>
        </w:rPr>
        <w:t>41</w:t>
      </w:r>
      <w:r w:rsidR="00F01F5F">
        <w:rPr>
          <w:rFonts w:ascii="Verdana" w:hAnsi="Verdana"/>
          <w:sz w:val="20"/>
        </w:rPr>
        <w:fldChar w:fldCharType="end"/>
      </w:r>
      <w:r>
        <w:rPr>
          <w:rFonts w:ascii="Verdana" w:hAnsi="Verdana"/>
          <w:sz w:val="20"/>
        </w:rPr>
        <w:t xml:space="preserve">). A pesar de los </w:t>
      </w:r>
      <w:r w:rsidR="003F4258">
        <w:rPr>
          <w:rFonts w:ascii="Verdana" w:hAnsi="Verdana"/>
          <w:sz w:val="20"/>
        </w:rPr>
        <w:t>recordatorios</w:t>
      </w:r>
      <w:r>
        <w:rPr>
          <w:rFonts w:ascii="Verdana" w:hAnsi="Verdana"/>
          <w:sz w:val="20"/>
        </w:rPr>
        <w:t xml:space="preserve"> de la Presidencia de la Corte efectuados posteriormente mediante notas de Secretaría</w:t>
      </w:r>
      <w:r w:rsidR="003F4258">
        <w:rPr>
          <w:rFonts w:ascii="Verdana" w:hAnsi="Verdana"/>
          <w:sz w:val="20"/>
        </w:rPr>
        <w:t xml:space="preserve"> (</w:t>
      </w:r>
      <w:r w:rsidR="003F4258">
        <w:rPr>
          <w:rFonts w:ascii="Verdana" w:hAnsi="Verdana"/>
          <w:i/>
          <w:sz w:val="20"/>
        </w:rPr>
        <w:t>supra</w:t>
      </w:r>
      <w:r w:rsidR="003F4258">
        <w:rPr>
          <w:rFonts w:ascii="Verdana" w:hAnsi="Verdana"/>
          <w:sz w:val="20"/>
        </w:rPr>
        <w:t xml:space="preserve"> </w:t>
      </w:r>
      <w:r w:rsidR="00F01F5F">
        <w:rPr>
          <w:rFonts w:ascii="Verdana" w:hAnsi="Verdana"/>
          <w:sz w:val="20"/>
        </w:rPr>
        <w:t xml:space="preserve">Visto </w:t>
      </w:r>
      <w:r w:rsidR="00F01F5F">
        <w:rPr>
          <w:rFonts w:ascii="Verdana" w:hAnsi="Verdana"/>
          <w:sz w:val="20"/>
        </w:rPr>
        <w:fldChar w:fldCharType="begin"/>
      </w:r>
      <w:r w:rsidR="00F01F5F">
        <w:rPr>
          <w:rFonts w:ascii="Verdana" w:hAnsi="Verdana"/>
          <w:sz w:val="20"/>
        </w:rPr>
        <w:instrText xml:space="preserve"> REF _Ref526763738 \r \h </w:instrText>
      </w:r>
      <w:r w:rsidR="00F01F5F">
        <w:rPr>
          <w:rFonts w:ascii="Verdana" w:hAnsi="Verdana"/>
          <w:sz w:val="20"/>
        </w:rPr>
      </w:r>
      <w:r w:rsidR="00F01F5F">
        <w:rPr>
          <w:rFonts w:ascii="Verdana" w:hAnsi="Verdana"/>
          <w:sz w:val="20"/>
        </w:rPr>
        <w:fldChar w:fldCharType="separate"/>
      </w:r>
      <w:r w:rsidR="009356EF">
        <w:rPr>
          <w:rFonts w:ascii="Verdana" w:hAnsi="Verdana"/>
          <w:sz w:val="20"/>
        </w:rPr>
        <w:t>11</w:t>
      </w:r>
      <w:r w:rsidR="00F01F5F">
        <w:rPr>
          <w:rFonts w:ascii="Verdana" w:hAnsi="Verdana"/>
          <w:sz w:val="20"/>
        </w:rPr>
        <w:fldChar w:fldCharType="end"/>
      </w:r>
      <w:r w:rsidR="003F4258">
        <w:rPr>
          <w:rFonts w:ascii="Verdana" w:hAnsi="Verdana"/>
          <w:sz w:val="20"/>
        </w:rPr>
        <w:t>)</w:t>
      </w:r>
      <w:r>
        <w:rPr>
          <w:rFonts w:ascii="Verdana" w:hAnsi="Verdana"/>
          <w:sz w:val="20"/>
        </w:rPr>
        <w:t xml:space="preserve">, el Estado no </w:t>
      </w:r>
      <w:r w:rsidR="00374CE5">
        <w:rPr>
          <w:rFonts w:ascii="Verdana" w:hAnsi="Verdana"/>
          <w:sz w:val="20"/>
        </w:rPr>
        <w:t>presentó</w:t>
      </w:r>
      <w:r>
        <w:rPr>
          <w:rFonts w:ascii="Verdana" w:hAnsi="Verdana"/>
          <w:sz w:val="20"/>
        </w:rPr>
        <w:t xml:space="preserve"> información adicional</w:t>
      </w:r>
      <w:r w:rsidR="00374CE5">
        <w:rPr>
          <w:rFonts w:ascii="Verdana" w:hAnsi="Verdana"/>
          <w:sz w:val="20"/>
        </w:rPr>
        <w:t xml:space="preserve"> alguna</w:t>
      </w:r>
      <w:r>
        <w:rPr>
          <w:rFonts w:ascii="Verdana" w:hAnsi="Verdana"/>
          <w:sz w:val="20"/>
        </w:rPr>
        <w:t xml:space="preserve"> que permita identificar las acciones llevadas a cabo para </w:t>
      </w:r>
      <w:r w:rsidR="00826D54">
        <w:rPr>
          <w:rFonts w:ascii="Verdana" w:hAnsi="Verdana"/>
          <w:sz w:val="20"/>
        </w:rPr>
        <w:t>superar los obstáculos en el cumplimiento de la Sentencia</w:t>
      </w:r>
      <w:r>
        <w:rPr>
          <w:rFonts w:ascii="Verdana" w:hAnsi="Verdana"/>
          <w:sz w:val="20"/>
        </w:rPr>
        <w:t>.</w:t>
      </w:r>
      <w:r w:rsidR="00B41004">
        <w:rPr>
          <w:rFonts w:ascii="Verdana" w:hAnsi="Verdana"/>
          <w:sz w:val="20"/>
        </w:rPr>
        <w:t xml:space="preserve"> </w:t>
      </w:r>
    </w:p>
    <w:p w14:paraId="3ED08D10" w14:textId="77777777" w:rsidR="002A660F" w:rsidRPr="002A660F" w:rsidRDefault="00632F2F" w:rsidP="00314487">
      <w:pPr>
        <w:pStyle w:val="ListParagraph"/>
        <w:spacing w:after="120"/>
        <w:ind w:left="0"/>
        <w:jc w:val="both"/>
        <w:rPr>
          <w:rFonts w:ascii="Verdana" w:hAnsi="Verdana"/>
          <w:sz w:val="18"/>
          <w:szCs w:val="18"/>
        </w:rPr>
      </w:pPr>
      <w:r w:rsidRPr="002A660F">
        <w:rPr>
          <w:rFonts w:ascii="Verdana" w:hAnsi="Verdana"/>
          <w:sz w:val="20"/>
          <w:szCs w:val="18"/>
        </w:rPr>
        <w:t xml:space="preserve"> </w:t>
      </w:r>
      <w:bookmarkStart w:id="32" w:name="_Ref437251222"/>
    </w:p>
    <w:p w14:paraId="4F20646F" w14:textId="45F3890E" w:rsidR="007F38E8" w:rsidRPr="00A07E10" w:rsidRDefault="002C5BB9" w:rsidP="00314487">
      <w:pPr>
        <w:pStyle w:val="ListParagraph"/>
        <w:numPr>
          <w:ilvl w:val="0"/>
          <w:numId w:val="2"/>
        </w:numPr>
        <w:spacing w:after="120"/>
        <w:ind w:left="0" w:firstLine="0"/>
        <w:jc w:val="both"/>
        <w:rPr>
          <w:rFonts w:ascii="Verdana" w:hAnsi="Verdana"/>
          <w:sz w:val="18"/>
          <w:szCs w:val="18"/>
        </w:rPr>
      </w:pPr>
      <w:bookmarkStart w:id="33" w:name="_Ref526763753"/>
      <w:r w:rsidRPr="00A07E10">
        <w:rPr>
          <w:rFonts w:ascii="Verdana" w:hAnsi="Verdana"/>
          <w:sz w:val="20"/>
        </w:rPr>
        <w:t>L</w:t>
      </w:r>
      <w:r w:rsidR="00374CE5" w:rsidRPr="00A07E10">
        <w:rPr>
          <w:rFonts w:ascii="Verdana" w:hAnsi="Verdana"/>
          <w:sz w:val="20"/>
        </w:rPr>
        <w:t xml:space="preserve">a Corte </w:t>
      </w:r>
      <w:r w:rsidRPr="00A07E10">
        <w:rPr>
          <w:rFonts w:ascii="Verdana" w:hAnsi="Verdana"/>
          <w:sz w:val="20"/>
        </w:rPr>
        <w:t xml:space="preserve">considera que </w:t>
      </w:r>
      <w:r w:rsidR="00374CE5" w:rsidRPr="00A07E10">
        <w:rPr>
          <w:rFonts w:ascii="Verdana" w:hAnsi="Verdana"/>
          <w:sz w:val="20"/>
        </w:rPr>
        <w:t xml:space="preserve">el Estado no ha presentado información que </w:t>
      </w:r>
      <w:r w:rsidRPr="00A07E10">
        <w:rPr>
          <w:rFonts w:ascii="Verdana" w:hAnsi="Verdana"/>
          <w:sz w:val="20"/>
        </w:rPr>
        <w:t xml:space="preserve">le </w:t>
      </w:r>
      <w:r w:rsidR="00374CE5" w:rsidRPr="00A07E10">
        <w:rPr>
          <w:rFonts w:ascii="Verdana" w:hAnsi="Verdana"/>
          <w:sz w:val="20"/>
        </w:rPr>
        <w:t xml:space="preserve">permita una valoración respecto </w:t>
      </w:r>
      <w:r w:rsidR="0072448A" w:rsidRPr="00A07E10">
        <w:rPr>
          <w:rFonts w:ascii="Verdana" w:hAnsi="Verdana"/>
          <w:sz w:val="20"/>
        </w:rPr>
        <w:t xml:space="preserve">al grado de cumplimiento </w:t>
      </w:r>
      <w:r w:rsidR="00374CE5" w:rsidRPr="00A07E10">
        <w:rPr>
          <w:rFonts w:ascii="Verdana" w:hAnsi="Verdana"/>
          <w:sz w:val="20"/>
        </w:rPr>
        <w:t>de las cinco medidas de reparación sobre las cuales versa el presente capítulo.</w:t>
      </w:r>
      <w:r w:rsidR="0072448A" w:rsidRPr="00A07E10">
        <w:rPr>
          <w:rFonts w:ascii="Verdana" w:hAnsi="Verdana"/>
          <w:sz w:val="20"/>
        </w:rPr>
        <w:t xml:space="preserve"> </w:t>
      </w:r>
      <w:bookmarkEnd w:id="33"/>
      <w:r w:rsidR="002A660F" w:rsidRPr="00A07E10">
        <w:rPr>
          <w:rFonts w:ascii="Verdana" w:hAnsi="Verdana"/>
          <w:sz w:val="20"/>
        </w:rPr>
        <w:t>E</w:t>
      </w:r>
      <w:r w:rsidR="00E54903" w:rsidRPr="00A07E10">
        <w:rPr>
          <w:rFonts w:ascii="Verdana" w:hAnsi="Verdana"/>
          <w:sz w:val="20"/>
        </w:rPr>
        <w:t>n este sentido</w:t>
      </w:r>
      <w:r w:rsidR="00E54903" w:rsidRPr="00A07E10">
        <w:rPr>
          <w:rFonts w:ascii="Verdana" w:hAnsi="Verdana"/>
          <w:i/>
          <w:sz w:val="20"/>
        </w:rPr>
        <w:t>,</w:t>
      </w:r>
      <w:r w:rsidR="00E54903" w:rsidRPr="00A07E10">
        <w:rPr>
          <w:rFonts w:ascii="Verdana" w:hAnsi="Verdana"/>
          <w:sz w:val="20"/>
        </w:rPr>
        <w:t xml:space="preserve"> a pesar de que han transcurrido </w:t>
      </w:r>
      <w:r w:rsidR="00687410" w:rsidRPr="00A07E10">
        <w:rPr>
          <w:rFonts w:ascii="Verdana" w:hAnsi="Verdana"/>
          <w:sz w:val="20"/>
        </w:rPr>
        <w:t xml:space="preserve">más de </w:t>
      </w:r>
      <w:r w:rsidR="00500436" w:rsidRPr="00A07E10">
        <w:rPr>
          <w:rFonts w:ascii="Verdana" w:hAnsi="Verdana"/>
          <w:sz w:val="20"/>
        </w:rPr>
        <w:t>diez</w:t>
      </w:r>
      <w:r w:rsidR="00E54903" w:rsidRPr="00A07E10">
        <w:rPr>
          <w:rFonts w:ascii="Verdana" w:hAnsi="Verdana"/>
          <w:sz w:val="20"/>
        </w:rPr>
        <w:t xml:space="preserve"> años desde </w:t>
      </w:r>
      <w:r w:rsidR="00A07E10">
        <w:rPr>
          <w:rFonts w:ascii="Verdana" w:hAnsi="Verdana"/>
          <w:sz w:val="20"/>
        </w:rPr>
        <w:t xml:space="preserve">la notificación de </w:t>
      </w:r>
      <w:r w:rsidR="00E54903" w:rsidRPr="00A07E10">
        <w:rPr>
          <w:rFonts w:ascii="Verdana" w:hAnsi="Verdana"/>
          <w:sz w:val="20"/>
        </w:rPr>
        <w:t>la Sen</w:t>
      </w:r>
      <w:r w:rsidR="00500436" w:rsidRPr="00A07E10">
        <w:rPr>
          <w:rFonts w:ascii="Verdana" w:hAnsi="Verdana"/>
          <w:sz w:val="20"/>
        </w:rPr>
        <w:t>tencia de 28 de noviembre de 2007 (</w:t>
      </w:r>
      <w:r w:rsidR="00500436" w:rsidRPr="00A07E10">
        <w:rPr>
          <w:rFonts w:ascii="Verdana" w:hAnsi="Verdana"/>
          <w:i/>
          <w:sz w:val="20"/>
        </w:rPr>
        <w:t>supra</w:t>
      </w:r>
      <w:r w:rsidR="00500436" w:rsidRPr="00A07E10">
        <w:rPr>
          <w:rFonts w:ascii="Verdana" w:hAnsi="Verdana"/>
          <w:sz w:val="20"/>
        </w:rPr>
        <w:t xml:space="preserve"> Visto </w:t>
      </w:r>
      <w:r w:rsidR="004C459A" w:rsidRPr="00A07E10">
        <w:rPr>
          <w:rFonts w:ascii="Verdana" w:hAnsi="Verdana"/>
          <w:sz w:val="20"/>
        </w:rPr>
        <w:fldChar w:fldCharType="begin"/>
      </w:r>
      <w:r w:rsidR="004C459A" w:rsidRPr="00A07E10">
        <w:rPr>
          <w:rFonts w:ascii="Verdana" w:hAnsi="Verdana"/>
          <w:sz w:val="20"/>
        </w:rPr>
        <w:instrText xml:space="preserve"> REF _Ref437273668 \r \h </w:instrText>
      </w:r>
      <w:r w:rsidR="004C459A" w:rsidRPr="00A07E10">
        <w:rPr>
          <w:rFonts w:ascii="Verdana" w:hAnsi="Verdana"/>
          <w:sz w:val="20"/>
        </w:rPr>
      </w:r>
      <w:r w:rsidR="004C459A" w:rsidRPr="00A07E10">
        <w:rPr>
          <w:rFonts w:ascii="Verdana" w:hAnsi="Verdana"/>
          <w:sz w:val="20"/>
        </w:rPr>
        <w:fldChar w:fldCharType="separate"/>
      </w:r>
      <w:r w:rsidR="009356EF">
        <w:rPr>
          <w:rFonts w:ascii="Verdana" w:hAnsi="Verdana"/>
          <w:sz w:val="20"/>
        </w:rPr>
        <w:t>1</w:t>
      </w:r>
      <w:r w:rsidR="004C459A" w:rsidRPr="00A07E10">
        <w:rPr>
          <w:rFonts w:ascii="Verdana" w:hAnsi="Verdana"/>
          <w:sz w:val="20"/>
        </w:rPr>
        <w:fldChar w:fldCharType="end"/>
      </w:r>
      <w:r w:rsidR="00500436" w:rsidRPr="00A07E10">
        <w:rPr>
          <w:rFonts w:ascii="Verdana" w:hAnsi="Verdana"/>
          <w:sz w:val="20"/>
        </w:rPr>
        <w:t>)</w:t>
      </w:r>
      <w:r w:rsidR="0005569D" w:rsidRPr="00A07E10">
        <w:rPr>
          <w:rFonts w:ascii="Verdana" w:hAnsi="Verdana"/>
          <w:sz w:val="20"/>
        </w:rPr>
        <w:t>,</w:t>
      </w:r>
      <w:r w:rsidR="00826D54" w:rsidRPr="00A07E10">
        <w:rPr>
          <w:rFonts w:ascii="Verdana" w:hAnsi="Verdana"/>
          <w:sz w:val="20"/>
        </w:rPr>
        <w:t xml:space="preserve"> el Estado no ha presentado información que permita a la Corte identificar </w:t>
      </w:r>
      <w:r w:rsidR="00A07E10">
        <w:rPr>
          <w:rFonts w:ascii="Verdana" w:hAnsi="Verdana"/>
          <w:sz w:val="20"/>
        </w:rPr>
        <w:t>siquiera algún avance dirigido al cumplimiento de las referidas reparaciones</w:t>
      </w:r>
      <w:r w:rsidR="00826D54" w:rsidRPr="00A07E10">
        <w:rPr>
          <w:rFonts w:ascii="Verdana" w:hAnsi="Verdana"/>
          <w:sz w:val="20"/>
        </w:rPr>
        <w:t xml:space="preserve">. </w:t>
      </w:r>
    </w:p>
    <w:p w14:paraId="28B9DB08" w14:textId="77777777" w:rsidR="000C70BE" w:rsidRPr="007F38E8" w:rsidRDefault="000C70BE" w:rsidP="00314487">
      <w:pPr>
        <w:pStyle w:val="ListParagraph"/>
        <w:spacing w:after="120"/>
        <w:ind w:left="0"/>
        <w:jc w:val="both"/>
        <w:rPr>
          <w:rFonts w:ascii="Verdana" w:hAnsi="Verdana"/>
          <w:sz w:val="18"/>
          <w:szCs w:val="18"/>
        </w:rPr>
      </w:pPr>
    </w:p>
    <w:p w14:paraId="633D1057" w14:textId="678298A7" w:rsidR="008D1E11" w:rsidRPr="00A07E10" w:rsidRDefault="00E54903" w:rsidP="00314487">
      <w:pPr>
        <w:pStyle w:val="ListParagraph"/>
        <w:numPr>
          <w:ilvl w:val="0"/>
          <w:numId w:val="2"/>
        </w:numPr>
        <w:spacing w:after="120"/>
        <w:ind w:left="0" w:firstLine="0"/>
        <w:jc w:val="both"/>
        <w:rPr>
          <w:rFonts w:ascii="Verdana" w:hAnsi="Verdana"/>
          <w:sz w:val="18"/>
          <w:szCs w:val="18"/>
        </w:rPr>
      </w:pPr>
      <w:bookmarkStart w:id="34" w:name="_Ref526763764"/>
      <w:r w:rsidRPr="00F30358">
        <w:rPr>
          <w:rFonts w:ascii="Verdana" w:hAnsi="Verdana"/>
          <w:sz w:val="20"/>
          <w:lang w:val="es-MX"/>
        </w:rPr>
        <w:t>L</w:t>
      </w:r>
      <w:r w:rsidRPr="00F30358">
        <w:rPr>
          <w:rFonts w:ascii="Verdana" w:hAnsi="Verdana" w:cs="Arial"/>
          <w:sz w:val="20"/>
          <w:lang w:val="es-ES"/>
        </w:rPr>
        <w:t xml:space="preserve">a inactividad de un Estado ante una jurisdicción internacional de derechos humanos es contraria al objetivo, fin y espíritu de la </w:t>
      </w:r>
      <w:r w:rsidRPr="00F30358">
        <w:rPr>
          <w:rFonts w:ascii="Verdana" w:hAnsi="Verdana"/>
          <w:sz w:val="20"/>
        </w:rPr>
        <w:t>Convención</w:t>
      </w:r>
      <w:r w:rsidRPr="00F30358">
        <w:rPr>
          <w:rFonts w:ascii="Verdana" w:hAnsi="Verdana" w:cs="Arial"/>
          <w:sz w:val="20"/>
          <w:lang w:val="es-ES"/>
        </w:rPr>
        <w:t xml:space="preserve"> Americana</w:t>
      </w:r>
      <w:r>
        <w:rPr>
          <w:rStyle w:val="FootnoteReference"/>
          <w:rFonts w:ascii="Verdana" w:hAnsi="Verdana" w:cs="Arial"/>
          <w:sz w:val="20"/>
          <w:lang w:val="es-ES"/>
        </w:rPr>
        <w:footnoteReference w:id="37"/>
      </w:r>
      <w:r w:rsidRPr="00F30358">
        <w:rPr>
          <w:rFonts w:ascii="Verdana" w:hAnsi="Verdana" w:cs="Arial"/>
          <w:sz w:val="20"/>
          <w:lang w:val="es-ES"/>
        </w:rPr>
        <w:t xml:space="preserve">. </w:t>
      </w:r>
      <w:r w:rsidRPr="00F30358">
        <w:rPr>
          <w:rFonts w:ascii="Verdana" w:hAnsi="Verdana"/>
          <w:sz w:val="20"/>
          <w:lang w:val="es-MX"/>
        </w:rPr>
        <w:t xml:space="preserve">En este </w:t>
      </w:r>
      <w:r w:rsidRPr="00F30358">
        <w:rPr>
          <w:rFonts w:ascii="Verdana" w:hAnsi="Verdana"/>
          <w:sz w:val="20"/>
          <w:lang w:val="es-MX"/>
        </w:rPr>
        <w:lastRenderedPageBreak/>
        <w:t>sentido, en la etapa de supervisión de cumplimiento de Sentencias de otros casos</w:t>
      </w:r>
      <w:r>
        <w:rPr>
          <w:rStyle w:val="FootnoteReference"/>
          <w:rFonts w:ascii="Verdana" w:hAnsi="Verdana"/>
          <w:sz w:val="20"/>
          <w:lang w:val="es-MX"/>
        </w:rPr>
        <w:footnoteReference w:id="38"/>
      </w:r>
      <w:r w:rsidRPr="00F30358">
        <w:rPr>
          <w:rFonts w:ascii="Verdana" w:hAnsi="Verdana"/>
          <w:sz w:val="20"/>
          <w:lang w:val="es-MX"/>
        </w:rPr>
        <w:t>, la Corte ha establecido que la falta del Estado a su deber de informar constituye un incumplimiento de las obligaciones convencionales establecidas en los artículos 67 y 68.1.</w:t>
      </w:r>
      <w:bookmarkEnd w:id="32"/>
      <w:bookmarkEnd w:id="34"/>
      <w:r w:rsidRPr="00F30358">
        <w:rPr>
          <w:rFonts w:ascii="Verdana" w:hAnsi="Verdana"/>
          <w:sz w:val="20"/>
          <w:lang w:val="es-MX"/>
        </w:rPr>
        <w:t xml:space="preserve"> </w:t>
      </w:r>
    </w:p>
    <w:p w14:paraId="14F1A746" w14:textId="77777777" w:rsidR="00A07E10" w:rsidRPr="00A07E10" w:rsidRDefault="00A07E10" w:rsidP="00314487">
      <w:pPr>
        <w:pStyle w:val="ListParagraph"/>
        <w:spacing w:after="120"/>
        <w:rPr>
          <w:rFonts w:ascii="Verdana" w:hAnsi="Verdana"/>
          <w:sz w:val="18"/>
          <w:szCs w:val="18"/>
        </w:rPr>
      </w:pPr>
    </w:p>
    <w:p w14:paraId="2ADDAAE4" w14:textId="77777777" w:rsidR="00A07E10" w:rsidRPr="008D1E11" w:rsidRDefault="00A07E10" w:rsidP="00314487">
      <w:pPr>
        <w:pStyle w:val="ListParagraph"/>
        <w:spacing w:after="120"/>
        <w:ind w:left="0"/>
        <w:jc w:val="both"/>
        <w:rPr>
          <w:rFonts w:ascii="Verdana" w:hAnsi="Verdana"/>
          <w:sz w:val="18"/>
          <w:szCs w:val="18"/>
        </w:rPr>
      </w:pPr>
    </w:p>
    <w:p w14:paraId="4B9AFFCD" w14:textId="6E780ACE" w:rsidR="008D1E11" w:rsidRPr="008D1E11" w:rsidRDefault="008D1E11" w:rsidP="00314487">
      <w:pPr>
        <w:pStyle w:val="Heading1"/>
        <w:numPr>
          <w:ilvl w:val="0"/>
          <w:numId w:val="10"/>
        </w:numPr>
        <w:spacing w:after="120"/>
        <w:rPr>
          <w:rFonts w:ascii="Verdana" w:hAnsi="Verdana"/>
          <w:color w:val="auto"/>
          <w:sz w:val="20"/>
          <w:szCs w:val="20"/>
        </w:rPr>
      </w:pPr>
      <w:bookmarkStart w:id="35" w:name="_Toc524447985"/>
      <w:r>
        <w:rPr>
          <w:rFonts w:ascii="Verdana" w:hAnsi="Verdana"/>
          <w:color w:val="auto"/>
          <w:sz w:val="20"/>
          <w:szCs w:val="20"/>
        </w:rPr>
        <w:t>Informe pendiente de presentación y posible visita de supervisión</w:t>
      </w:r>
      <w:bookmarkEnd w:id="35"/>
      <w:r>
        <w:rPr>
          <w:rFonts w:ascii="Verdana" w:hAnsi="Verdana"/>
          <w:color w:val="auto"/>
          <w:sz w:val="20"/>
          <w:szCs w:val="20"/>
        </w:rPr>
        <w:t xml:space="preserve"> </w:t>
      </w:r>
    </w:p>
    <w:p w14:paraId="6E27E33B" w14:textId="77777777" w:rsidR="001C43DF" w:rsidRPr="001C43DF" w:rsidRDefault="001C43DF" w:rsidP="00314487">
      <w:pPr>
        <w:spacing w:after="120"/>
        <w:rPr>
          <w:color w:val="365F91"/>
          <w:lang w:val="es-MX"/>
        </w:rPr>
      </w:pPr>
    </w:p>
    <w:p w14:paraId="568D4519" w14:textId="001FE0AE" w:rsidR="00776AEA" w:rsidRPr="00EF48AB" w:rsidRDefault="00EF48AB" w:rsidP="00314487">
      <w:pPr>
        <w:pStyle w:val="ListParagraph"/>
        <w:numPr>
          <w:ilvl w:val="0"/>
          <w:numId w:val="2"/>
        </w:numPr>
        <w:spacing w:after="120"/>
        <w:ind w:left="0" w:firstLine="0"/>
        <w:jc w:val="both"/>
        <w:rPr>
          <w:rFonts w:ascii="Verdana" w:hAnsi="Verdana"/>
          <w:b/>
          <w:sz w:val="20"/>
          <w:lang w:val="es-CO"/>
        </w:rPr>
      </w:pPr>
      <w:bookmarkStart w:id="36" w:name="_Ref526851896"/>
      <w:r>
        <w:rPr>
          <w:rFonts w:ascii="Verdana" w:hAnsi="Verdana"/>
          <w:sz w:val="20"/>
          <w:lang w:val="es-CO"/>
        </w:rPr>
        <w:t>E</w:t>
      </w:r>
      <w:r w:rsidR="00776AEA">
        <w:rPr>
          <w:rFonts w:ascii="Verdana" w:hAnsi="Verdana"/>
          <w:sz w:val="20"/>
          <w:lang w:val="es-CO"/>
        </w:rPr>
        <w:t xml:space="preserve">l 17 de marzo de 2017 venció el plazo que el </w:t>
      </w:r>
      <w:r>
        <w:rPr>
          <w:rFonts w:ascii="Verdana" w:hAnsi="Verdana"/>
          <w:sz w:val="20"/>
          <w:lang w:val="es-CO"/>
        </w:rPr>
        <w:t>Presidente de esta Corte</w:t>
      </w:r>
      <w:r w:rsidR="00776AEA">
        <w:rPr>
          <w:rFonts w:ascii="Verdana" w:hAnsi="Verdana"/>
          <w:sz w:val="20"/>
          <w:lang w:val="es-CO"/>
        </w:rPr>
        <w:t xml:space="preserve"> dio al Estado para presentar un informe de cumplimiento de todas las medidas de reparación pendientes. Ello le fue recordado mediante notas de </w:t>
      </w:r>
      <w:r w:rsidR="00A07E10">
        <w:rPr>
          <w:rFonts w:ascii="Verdana" w:hAnsi="Verdana"/>
          <w:sz w:val="20"/>
          <w:lang w:val="es-CO"/>
        </w:rPr>
        <w:t>S</w:t>
      </w:r>
      <w:r w:rsidR="00776AEA">
        <w:rPr>
          <w:rFonts w:ascii="Verdana" w:hAnsi="Verdana"/>
          <w:sz w:val="20"/>
          <w:lang w:val="es-CO"/>
        </w:rPr>
        <w:t>ecretaría (</w:t>
      </w:r>
      <w:r w:rsidR="00776AEA">
        <w:rPr>
          <w:rFonts w:ascii="Verdana" w:hAnsi="Verdana"/>
          <w:i/>
          <w:sz w:val="20"/>
          <w:lang w:val="es-CO"/>
        </w:rPr>
        <w:t xml:space="preserve">supra </w:t>
      </w:r>
      <w:r w:rsidR="00776AEA">
        <w:rPr>
          <w:rFonts w:ascii="Verdana" w:hAnsi="Verdana"/>
          <w:sz w:val="20"/>
          <w:lang w:val="es-CO"/>
        </w:rPr>
        <w:t xml:space="preserve">Visto </w:t>
      </w:r>
      <w:r w:rsidR="004C459A">
        <w:rPr>
          <w:rFonts w:ascii="Verdana" w:hAnsi="Verdana"/>
          <w:sz w:val="20"/>
          <w:lang w:val="es-CO"/>
        </w:rPr>
        <w:fldChar w:fldCharType="begin"/>
      </w:r>
      <w:r w:rsidR="004C459A">
        <w:rPr>
          <w:rFonts w:ascii="Verdana" w:hAnsi="Verdana"/>
          <w:sz w:val="20"/>
          <w:lang w:val="es-CO"/>
        </w:rPr>
        <w:instrText xml:space="preserve"> REF _Ref526763738 \r \h </w:instrText>
      </w:r>
      <w:r w:rsidR="004C459A">
        <w:rPr>
          <w:rFonts w:ascii="Verdana" w:hAnsi="Verdana"/>
          <w:sz w:val="20"/>
          <w:lang w:val="es-CO"/>
        </w:rPr>
      </w:r>
      <w:r w:rsidR="004C459A">
        <w:rPr>
          <w:rFonts w:ascii="Verdana" w:hAnsi="Verdana"/>
          <w:sz w:val="20"/>
          <w:lang w:val="es-CO"/>
        </w:rPr>
        <w:fldChar w:fldCharType="separate"/>
      </w:r>
      <w:r w:rsidR="009356EF">
        <w:rPr>
          <w:rFonts w:ascii="Verdana" w:hAnsi="Verdana"/>
          <w:sz w:val="20"/>
          <w:lang w:val="es-CO"/>
        </w:rPr>
        <w:t>11</w:t>
      </w:r>
      <w:r w:rsidR="004C459A">
        <w:rPr>
          <w:rFonts w:ascii="Verdana" w:hAnsi="Verdana"/>
          <w:sz w:val="20"/>
          <w:lang w:val="es-CO"/>
        </w:rPr>
        <w:fldChar w:fldCharType="end"/>
      </w:r>
      <w:r w:rsidR="00776AEA">
        <w:rPr>
          <w:rFonts w:ascii="Verdana" w:hAnsi="Verdana"/>
          <w:sz w:val="20"/>
          <w:lang w:val="es-CO"/>
        </w:rPr>
        <w:t>)</w:t>
      </w:r>
      <w:r w:rsidR="00A07E10">
        <w:rPr>
          <w:rFonts w:ascii="Verdana" w:hAnsi="Verdana"/>
          <w:sz w:val="20"/>
          <w:lang w:val="es-CO"/>
        </w:rPr>
        <w:t>,</w:t>
      </w:r>
      <w:r w:rsidR="00776AEA">
        <w:rPr>
          <w:rFonts w:ascii="Verdana" w:hAnsi="Verdana"/>
          <w:sz w:val="20"/>
          <w:lang w:val="es-CO"/>
        </w:rPr>
        <w:t xml:space="preserve"> sin que el mismo fuera presentado. Por lo anterior, en el </w:t>
      </w:r>
      <w:r>
        <w:rPr>
          <w:rFonts w:ascii="Verdana" w:hAnsi="Verdana"/>
          <w:sz w:val="20"/>
          <w:lang w:val="es-CO"/>
        </w:rPr>
        <w:t xml:space="preserve">plazo dispuesto en el </w:t>
      </w:r>
      <w:r w:rsidR="00776AEA">
        <w:rPr>
          <w:rFonts w:ascii="Verdana" w:hAnsi="Verdana"/>
          <w:sz w:val="20"/>
          <w:lang w:val="es-CO"/>
        </w:rPr>
        <w:t xml:space="preserve">punto resolutivo </w:t>
      </w:r>
      <w:r w:rsidR="004C459A">
        <w:rPr>
          <w:rFonts w:ascii="Verdana" w:hAnsi="Verdana"/>
          <w:sz w:val="20"/>
          <w:lang w:val="es-CO"/>
        </w:rPr>
        <w:fldChar w:fldCharType="begin"/>
      </w:r>
      <w:r w:rsidR="004C459A">
        <w:rPr>
          <w:rFonts w:ascii="Verdana" w:hAnsi="Verdana"/>
          <w:sz w:val="20"/>
          <w:lang w:val="es-CO"/>
        </w:rPr>
        <w:instrText xml:space="preserve"> REF _Ref526764676 \r \h </w:instrText>
      </w:r>
      <w:r w:rsidR="004C459A">
        <w:rPr>
          <w:rFonts w:ascii="Verdana" w:hAnsi="Verdana"/>
          <w:sz w:val="20"/>
          <w:lang w:val="es-CO"/>
        </w:rPr>
      </w:r>
      <w:r w:rsidR="004C459A">
        <w:rPr>
          <w:rFonts w:ascii="Verdana" w:hAnsi="Verdana"/>
          <w:sz w:val="20"/>
          <w:lang w:val="es-CO"/>
        </w:rPr>
        <w:fldChar w:fldCharType="separate"/>
      </w:r>
      <w:r w:rsidR="009356EF">
        <w:rPr>
          <w:rFonts w:ascii="Verdana" w:hAnsi="Verdana"/>
          <w:sz w:val="20"/>
          <w:lang w:val="es-CO"/>
        </w:rPr>
        <w:t>6</w:t>
      </w:r>
      <w:r w:rsidR="004C459A">
        <w:rPr>
          <w:rFonts w:ascii="Verdana" w:hAnsi="Verdana"/>
          <w:sz w:val="20"/>
          <w:lang w:val="es-CO"/>
        </w:rPr>
        <w:fldChar w:fldCharType="end"/>
      </w:r>
      <w:r w:rsidR="00776AEA">
        <w:rPr>
          <w:rFonts w:ascii="Verdana" w:hAnsi="Verdana"/>
          <w:sz w:val="20"/>
          <w:lang w:val="es-CO"/>
        </w:rPr>
        <w:t xml:space="preserve"> de esta Resolución</w:t>
      </w:r>
      <w:r>
        <w:rPr>
          <w:rFonts w:ascii="Verdana" w:hAnsi="Verdana"/>
          <w:sz w:val="20"/>
          <w:lang w:val="es-CO"/>
        </w:rPr>
        <w:t>,</w:t>
      </w:r>
      <w:r w:rsidR="00776AEA">
        <w:rPr>
          <w:rFonts w:ascii="Verdana" w:hAnsi="Verdana"/>
          <w:sz w:val="20"/>
          <w:lang w:val="es-CO"/>
        </w:rPr>
        <w:t xml:space="preserve"> se </w:t>
      </w:r>
      <w:r>
        <w:rPr>
          <w:rFonts w:ascii="Verdana" w:hAnsi="Verdana"/>
          <w:sz w:val="20"/>
          <w:lang w:val="es-CO"/>
        </w:rPr>
        <w:t>solicita nuevamente</w:t>
      </w:r>
      <w:r w:rsidR="00776AEA">
        <w:rPr>
          <w:rFonts w:ascii="Verdana" w:hAnsi="Verdana"/>
          <w:sz w:val="20"/>
          <w:lang w:val="es-CO"/>
        </w:rPr>
        <w:t xml:space="preserve"> al Estado presentar </w:t>
      </w:r>
      <w:r>
        <w:rPr>
          <w:rFonts w:ascii="Verdana" w:hAnsi="Verdana"/>
          <w:sz w:val="20"/>
          <w:lang w:val="es-CO"/>
        </w:rPr>
        <w:t xml:space="preserve">un informe sobre el cumplimiento de la Sentencia en el cual proporcione </w:t>
      </w:r>
      <w:r w:rsidR="00776AEA">
        <w:rPr>
          <w:rFonts w:ascii="Verdana" w:hAnsi="Verdana"/>
          <w:sz w:val="20"/>
          <w:lang w:val="es-CO"/>
        </w:rPr>
        <w:t xml:space="preserve">información </w:t>
      </w:r>
      <w:r>
        <w:rPr>
          <w:rFonts w:ascii="Verdana" w:hAnsi="Verdana"/>
          <w:sz w:val="20"/>
          <w:lang w:val="es-CO"/>
        </w:rPr>
        <w:t xml:space="preserve">actualizada </w:t>
      </w:r>
      <w:r w:rsidR="00776AEA">
        <w:rPr>
          <w:rFonts w:ascii="Verdana" w:hAnsi="Verdana"/>
          <w:sz w:val="20"/>
          <w:lang w:val="es-CO"/>
        </w:rPr>
        <w:t>sobre el cumplimiento de las medidas de reparación pendientes.</w:t>
      </w:r>
      <w:bookmarkEnd w:id="36"/>
      <w:r w:rsidR="00776AEA">
        <w:rPr>
          <w:rFonts w:ascii="Verdana" w:hAnsi="Verdana"/>
          <w:sz w:val="20"/>
          <w:lang w:val="es-CO"/>
        </w:rPr>
        <w:t xml:space="preserve"> </w:t>
      </w:r>
    </w:p>
    <w:p w14:paraId="2999B7A4" w14:textId="77777777" w:rsidR="00776AEA" w:rsidRPr="00EF48AB" w:rsidRDefault="00776AEA" w:rsidP="00314487">
      <w:pPr>
        <w:pStyle w:val="ListParagraph"/>
        <w:spacing w:after="120"/>
        <w:ind w:left="0"/>
        <w:jc w:val="both"/>
        <w:rPr>
          <w:rFonts w:ascii="Verdana" w:hAnsi="Verdana"/>
          <w:b/>
          <w:sz w:val="20"/>
          <w:lang w:val="es-CO"/>
        </w:rPr>
      </w:pPr>
    </w:p>
    <w:p w14:paraId="510D536A" w14:textId="2201C185" w:rsidR="00B82AFC" w:rsidRPr="00EF48AB" w:rsidRDefault="00EF48AB" w:rsidP="00314487">
      <w:pPr>
        <w:pStyle w:val="ListParagraph"/>
        <w:numPr>
          <w:ilvl w:val="0"/>
          <w:numId w:val="2"/>
        </w:numPr>
        <w:spacing w:after="120"/>
        <w:ind w:left="0" w:firstLine="0"/>
        <w:jc w:val="both"/>
        <w:rPr>
          <w:rFonts w:ascii="Verdana" w:hAnsi="Verdana"/>
          <w:sz w:val="20"/>
          <w:lang w:val="es-CO"/>
        </w:rPr>
      </w:pPr>
      <w:r>
        <w:rPr>
          <w:rFonts w:ascii="Verdana" w:hAnsi="Verdana"/>
          <w:sz w:val="20"/>
          <w:lang w:val="es-CO"/>
        </w:rPr>
        <w:t>Por otra parte, l</w:t>
      </w:r>
      <w:r w:rsidR="00776AEA" w:rsidRPr="009F6055">
        <w:rPr>
          <w:rFonts w:ascii="Verdana" w:hAnsi="Verdana"/>
          <w:sz w:val="20"/>
          <w:lang w:val="es-CO"/>
        </w:rPr>
        <w:t xml:space="preserve">a Corte recuerda que </w:t>
      </w:r>
      <w:r w:rsidR="000A5547">
        <w:rPr>
          <w:rFonts w:ascii="Verdana" w:hAnsi="Verdana"/>
          <w:sz w:val="20"/>
          <w:lang w:val="es-CO"/>
        </w:rPr>
        <w:t xml:space="preserve">en la audiencia privada llevada a cabo el 28 de mayo de 2013, el Estado expresó su deseo de “invitar a la Corte a Surinam con el fin de apreciar los elementos prácticos de las complejidades y desafíos” en cuanto a la implementación de la Sentencia. </w:t>
      </w:r>
      <w:r w:rsidR="008D1E11" w:rsidRPr="009F6055">
        <w:rPr>
          <w:rFonts w:ascii="Verdana" w:hAnsi="Verdana"/>
          <w:sz w:val="20"/>
          <w:lang w:val="es-CO"/>
        </w:rPr>
        <w:t xml:space="preserve">Teniendo en cuenta lo anterior, </w:t>
      </w:r>
      <w:r w:rsidR="009F6055" w:rsidRPr="009F6055">
        <w:rPr>
          <w:rFonts w:ascii="Verdana" w:hAnsi="Verdana"/>
          <w:sz w:val="20"/>
          <w:lang w:val="es-CO"/>
        </w:rPr>
        <w:t xml:space="preserve">y que </w:t>
      </w:r>
      <w:r w:rsidR="00A07E10">
        <w:rPr>
          <w:rFonts w:ascii="Verdana" w:hAnsi="Verdana"/>
          <w:sz w:val="20"/>
          <w:lang w:val="es-CO"/>
        </w:rPr>
        <w:t>pareciera</w:t>
      </w:r>
      <w:r w:rsidR="009F6055" w:rsidRPr="009F6055">
        <w:rPr>
          <w:rFonts w:ascii="Verdana" w:hAnsi="Verdana"/>
          <w:sz w:val="20"/>
          <w:lang w:val="es-CO"/>
        </w:rPr>
        <w:t xml:space="preserve"> que no existen avances en el cumplimiento de las medidas mencionadas,</w:t>
      </w:r>
      <w:r w:rsidR="008D1E11" w:rsidRPr="009F6055">
        <w:rPr>
          <w:rFonts w:ascii="Verdana" w:hAnsi="Verdana"/>
          <w:sz w:val="20"/>
          <w:lang w:val="es-CO"/>
        </w:rPr>
        <w:t xml:space="preserve"> </w:t>
      </w:r>
      <w:r w:rsidR="009F6055" w:rsidRPr="009F6055">
        <w:rPr>
          <w:rFonts w:ascii="Verdana" w:hAnsi="Verdana"/>
          <w:sz w:val="20"/>
          <w:lang w:val="es-CO"/>
        </w:rPr>
        <w:t xml:space="preserve">así como el beneficio que una visita de supervisión de cumplimiento podría traer, </w:t>
      </w:r>
      <w:r w:rsidR="008D1E11" w:rsidRPr="009F6055">
        <w:rPr>
          <w:rFonts w:ascii="Verdana" w:hAnsi="Verdana"/>
          <w:sz w:val="20"/>
          <w:lang w:val="es-CO"/>
        </w:rPr>
        <w:t xml:space="preserve">la Corte </w:t>
      </w:r>
      <w:r w:rsidR="001C43DF" w:rsidRPr="00EF48AB">
        <w:rPr>
          <w:rFonts w:ascii="Verdana" w:hAnsi="Verdana"/>
          <w:sz w:val="20"/>
          <w:lang w:val="es-CR"/>
        </w:rPr>
        <w:t>considera necesario disponer</w:t>
      </w:r>
      <w:r w:rsidR="00B82AFC" w:rsidRPr="00EF48AB">
        <w:rPr>
          <w:rFonts w:ascii="Verdana" w:hAnsi="Verdana"/>
          <w:sz w:val="20"/>
          <w:lang w:val="es-CR"/>
        </w:rPr>
        <w:t xml:space="preserve"> que, de conformidad con el artículo 69 de su Reglamento, de ser necesario, el Presidente de la Corte podrá delegar a uno o más jueces de la Corte o funcionarios de la Secretaría la realización de una visita a Surinam con el fin de obtener de forma directa información relevante</w:t>
      </w:r>
      <w:r w:rsidR="00056EE8">
        <w:rPr>
          <w:rFonts w:ascii="Verdana" w:hAnsi="Verdana"/>
          <w:sz w:val="20"/>
          <w:lang w:val="es-CR"/>
        </w:rPr>
        <w:t xml:space="preserve"> y precisa</w:t>
      </w:r>
      <w:r w:rsidR="00B82AFC" w:rsidRPr="00EF48AB">
        <w:rPr>
          <w:rFonts w:ascii="Verdana" w:hAnsi="Verdana"/>
          <w:sz w:val="20"/>
          <w:lang w:val="es-CR"/>
        </w:rPr>
        <w:t xml:space="preserve"> de las partes para supervisar el cumplimiento de la Sentencia, previo consentimiento y coordinación con el Estado de Surinam.</w:t>
      </w:r>
      <w:r w:rsidR="0049698B" w:rsidRPr="00EF48AB">
        <w:rPr>
          <w:rFonts w:ascii="Verdana" w:hAnsi="Verdana"/>
          <w:sz w:val="20"/>
          <w:lang w:val="es-CR"/>
        </w:rPr>
        <w:t xml:space="preserve"> </w:t>
      </w:r>
    </w:p>
    <w:p w14:paraId="220F7DE6" w14:textId="77777777" w:rsidR="00B82AFC" w:rsidRPr="00EF48AB" w:rsidRDefault="00B82AFC" w:rsidP="00314487">
      <w:pPr>
        <w:spacing w:after="120"/>
        <w:jc w:val="both"/>
        <w:rPr>
          <w:rFonts w:ascii="Verdana" w:hAnsi="Verdana"/>
          <w:sz w:val="20"/>
          <w:lang w:val="es-CR"/>
        </w:rPr>
      </w:pPr>
    </w:p>
    <w:p w14:paraId="0B453D1B" w14:textId="55D876A3" w:rsidR="001C43DF" w:rsidRPr="00EF48AB" w:rsidRDefault="00AF6005" w:rsidP="00314487">
      <w:pPr>
        <w:pStyle w:val="ListParagraph"/>
        <w:numPr>
          <w:ilvl w:val="0"/>
          <w:numId w:val="2"/>
        </w:numPr>
        <w:spacing w:after="120"/>
        <w:ind w:left="0" w:firstLine="0"/>
        <w:jc w:val="both"/>
        <w:rPr>
          <w:rFonts w:ascii="Verdana" w:hAnsi="Verdana"/>
          <w:sz w:val="20"/>
          <w:lang w:val="es-CO"/>
        </w:rPr>
      </w:pPr>
      <w:r w:rsidRPr="00EF48AB">
        <w:rPr>
          <w:rFonts w:ascii="Verdana" w:hAnsi="Verdana"/>
          <w:sz w:val="20"/>
          <w:lang w:val="es-CR"/>
        </w:rPr>
        <w:t>Asimismo,</w:t>
      </w:r>
      <w:r w:rsidR="00B82AFC" w:rsidRPr="00EF48AB">
        <w:rPr>
          <w:rFonts w:ascii="Verdana" w:hAnsi="Verdana"/>
          <w:sz w:val="20"/>
          <w:lang w:val="es-CR"/>
        </w:rPr>
        <w:t xml:space="preserve"> la Corte dispone</w:t>
      </w:r>
      <w:r w:rsidR="001C43DF" w:rsidRPr="00EF48AB">
        <w:rPr>
          <w:rFonts w:ascii="Verdana" w:hAnsi="Verdana"/>
          <w:sz w:val="20"/>
          <w:lang w:val="es-CR"/>
        </w:rPr>
        <w:t xml:space="preserve">, con base en el artículo 69 </w:t>
      </w:r>
      <w:r w:rsidR="00A07E10">
        <w:rPr>
          <w:rFonts w:ascii="Verdana" w:hAnsi="Verdana"/>
          <w:sz w:val="20"/>
          <w:lang w:val="es-CR"/>
        </w:rPr>
        <w:t>de su</w:t>
      </w:r>
      <w:r w:rsidR="001C43DF" w:rsidRPr="00EF48AB">
        <w:rPr>
          <w:rFonts w:ascii="Verdana" w:hAnsi="Verdana"/>
          <w:sz w:val="20"/>
          <w:lang w:val="es-CR"/>
        </w:rPr>
        <w:t xml:space="preserve"> Reglamento, que el Secretario del Tribunal inicie las </w:t>
      </w:r>
      <w:r w:rsidR="001C43DF" w:rsidRPr="00EF48AB">
        <w:rPr>
          <w:rFonts w:ascii="Verdana" w:hAnsi="Verdana"/>
          <w:sz w:val="20"/>
        </w:rPr>
        <w:t>gestiones</w:t>
      </w:r>
      <w:r w:rsidR="001C43DF" w:rsidRPr="00EF48AB">
        <w:rPr>
          <w:rFonts w:ascii="Verdana" w:hAnsi="Verdana"/>
          <w:sz w:val="20"/>
          <w:lang w:val="es-CR"/>
        </w:rPr>
        <w:t xml:space="preserve"> dirigidas a coordinar con Surinam la realización de una visita a dicho país, con su consentimiento, con el fin de obtener información relevante y precisa para supervisar el cumplimiento de la</w:t>
      </w:r>
      <w:r w:rsidR="009E2F1D" w:rsidRPr="00EF48AB">
        <w:rPr>
          <w:rFonts w:ascii="Verdana" w:hAnsi="Verdana"/>
          <w:sz w:val="20"/>
          <w:lang w:val="es-CR"/>
        </w:rPr>
        <w:t>s medidas de reparación pendientes de cumplimiento</w:t>
      </w:r>
      <w:r w:rsidR="001C43DF" w:rsidRPr="00EF48AB">
        <w:rPr>
          <w:rFonts w:ascii="Verdana" w:hAnsi="Verdana"/>
          <w:sz w:val="20"/>
          <w:lang w:val="es-CR"/>
        </w:rPr>
        <w:t>. De llevarse a cabo la visita, el Presidente podrá practicar tal diligencia en materia de supervisión de cumplimiento de Sentencias o delegar a uno o más jueces de la Corte o funcionarios de la Secretaría para que la efectúen. Sobre este punto, el Presidente tomará las decisiones que correspondan, de conformidad con las normas previstas en el Reglamento del Tribunal.</w:t>
      </w:r>
    </w:p>
    <w:p w14:paraId="7A45F338" w14:textId="77777777" w:rsidR="00E54903" w:rsidRPr="00D57AE5" w:rsidRDefault="00E54903" w:rsidP="00314487">
      <w:pPr>
        <w:pStyle w:val="ListParagraph"/>
        <w:spacing w:after="120"/>
        <w:rPr>
          <w:rFonts w:ascii="Times New Roman" w:hAnsi="Times New Roman"/>
          <w:szCs w:val="24"/>
          <w:lang w:val="es-MX" w:eastAsia="es-CR"/>
        </w:rPr>
      </w:pPr>
    </w:p>
    <w:p w14:paraId="3ABA9914" w14:textId="77777777" w:rsidR="00087462" w:rsidRDefault="00087462">
      <w:pPr>
        <w:spacing w:after="200" w:line="276" w:lineRule="auto"/>
        <w:rPr>
          <w:rFonts w:ascii="Verdana" w:hAnsi="Verdana"/>
          <w:b/>
          <w:sz w:val="20"/>
          <w:lang w:val="es-MX"/>
        </w:rPr>
      </w:pPr>
      <w:r>
        <w:rPr>
          <w:rFonts w:ascii="Verdana" w:hAnsi="Verdana"/>
          <w:b/>
          <w:sz w:val="20"/>
          <w:lang w:val="es-MX"/>
        </w:rPr>
        <w:br w:type="page"/>
      </w:r>
    </w:p>
    <w:p w14:paraId="6890B74F" w14:textId="1B703554" w:rsidR="00E54903" w:rsidRDefault="00E54903" w:rsidP="00087462">
      <w:pPr>
        <w:spacing w:after="60"/>
        <w:jc w:val="both"/>
        <w:rPr>
          <w:rFonts w:ascii="Verdana" w:hAnsi="Verdana"/>
          <w:b/>
          <w:sz w:val="20"/>
          <w:lang w:val="es-MX"/>
        </w:rPr>
      </w:pPr>
      <w:r>
        <w:rPr>
          <w:rFonts w:ascii="Verdana" w:hAnsi="Verdana"/>
          <w:b/>
          <w:sz w:val="20"/>
          <w:lang w:val="es-MX"/>
        </w:rPr>
        <w:lastRenderedPageBreak/>
        <w:t>POR TANTO</w:t>
      </w:r>
    </w:p>
    <w:p w14:paraId="12D5373B" w14:textId="77777777" w:rsidR="00E54903" w:rsidRDefault="00E54903" w:rsidP="00087462">
      <w:pPr>
        <w:spacing w:after="60"/>
        <w:jc w:val="both"/>
        <w:rPr>
          <w:rFonts w:ascii="Verdana" w:hAnsi="Verdana"/>
          <w:b/>
          <w:sz w:val="20"/>
          <w:lang w:val="es-MX"/>
        </w:rPr>
      </w:pPr>
    </w:p>
    <w:p w14:paraId="18B48AA2" w14:textId="77777777" w:rsidR="00E54903" w:rsidRDefault="00E54903" w:rsidP="00087462">
      <w:pPr>
        <w:spacing w:after="60"/>
        <w:jc w:val="both"/>
        <w:rPr>
          <w:rFonts w:ascii="Verdana" w:hAnsi="Verdana"/>
          <w:b/>
          <w:sz w:val="20"/>
          <w:lang w:val="es-MX"/>
        </w:rPr>
      </w:pPr>
      <w:r>
        <w:rPr>
          <w:rFonts w:ascii="Verdana" w:hAnsi="Verdana"/>
          <w:b/>
          <w:sz w:val="20"/>
          <w:lang w:val="es-MX"/>
        </w:rPr>
        <w:t>LA CORTE INTERAMERICANA DE DERECHOS HUMANOS,</w:t>
      </w:r>
    </w:p>
    <w:p w14:paraId="6137252B" w14:textId="77777777" w:rsidR="00E54903" w:rsidRDefault="00E54903" w:rsidP="00087462">
      <w:pPr>
        <w:spacing w:after="60"/>
        <w:jc w:val="both"/>
        <w:rPr>
          <w:rFonts w:ascii="Verdana" w:hAnsi="Verdana"/>
          <w:sz w:val="20"/>
          <w:lang w:val="es-MX"/>
        </w:rPr>
      </w:pPr>
    </w:p>
    <w:p w14:paraId="1B99C4EE" w14:textId="0884B588" w:rsidR="00E54903" w:rsidRDefault="007F38E8" w:rsidP="00087462">
      <w:pPr>
        <w:spacing w:after="60"/>
        <w:jc w:val="both"/>
        <w:rPr>
          <w:rFonts w:ascii="Verdana" w:hAnsi="Verdana"/>
          <w:sz w:val="20"/>
          <w:lang w:val="es-MX"/>
        </w:rPr>
      </w:pPr>
      <w:proofErr w:type="gramStart"/>
      <w:r>
        <w:rPr>
          <w:rFonts w:ascii="Verdana" w:hAnsi="Verdana"/>
          <w:sz w:val="20"/>
          <w:lang w:val="es-MX"/>
        </w:rPr>
        <w:t>e</w:t>
      </w:r>
      <w:r w:rsidR="00E54903">
        <w:rPr>
          <w:rFonts w:ascii="Verdana" w:hAnsi="Verdana"/>
          <w:sz w:val="20"/>
          <w:lang w:val="es-MX"/>
        </w:rPr>
        <w:t>n</w:t>
      </w:r>
      <w:proofErr w:type="gramEnd"/>
      <w:r w:rsidR="00E54903">
        <w:rPr>
          <w:rFonts w:ascii="Verdana" w:hAnsi="Verdana"/>
          <w:sz w:val="20"/>
          <w:lang w:val="es-MX"/>
        </w:rPr>
        <w:t xml:space="preserve"> </w:t>
      </w:r>
      <w:r w:rsidR="00C85AC5">
        <w:rPr>
          <w:rFonts w:ascii="Verdana" w:hAnsi="Verdana"/>
          <w:sz w:val="20"/>
          <w:lang w:val="es-MX"/>
        </w:rPr>
        <w:t xml:space="preserve">el </w:t>
      </w:r>
      <w:r w:rsidR="00E54903">
        <w:rPr>
          <w:rFonts w:ascii="Verdana" w:hAnsi="Verdana"/>
          <w:sz w:val="20"/>
          <w:lang w:val="es-MX"/>
        </w:rPr>
        <w:t>ejercicio de sus atribuciones de supervisión del cumplimiento de sus decisiones, de conformidad con los artículos 33, 62.1, 62.3, 65, 67 y 68.1 de la Convención Americana sobre Derechos Humanos, 24, 25 y 30 del Estatuto y 31</w:t>
      </w:r>
      <w:r w:rsidR="00C85AC5">
        <w:rPr>
          <w:rFonts w:ascii="Verdana" w:hAnsi="Verdana"/>
          <w:sz w:val="20"/>
          <w:lang w:val="es-MX"/>
        </w:rPr>
        <w:t>.2</w:t>
      </w:r>
      <w:r w:rsidR="00E54903">
        <w:rPr>
          <w:rFonts w:ascii="Verdana" w:hAnsi="Verdana"/>
          <w:sz w:val="20"/>
          <w:lang w:val="es-MX"/>
        </w:rPr>
        <w:t xml:space="preserve"> y 69 del Reglamento,</w:t>
      </w:r>
    </w:p>
    <w:p w14:paraId="75249DEC" w14:textId="77777777" w:rsidR="00E54903" w:rsidRDefault="00E54903" w:rsidP="00087462">
      <w:pPr>
        <w:spacing w:after="60"/>
        <w:jc w:val="both"/>
        <w:rPr>
          <w:rFonts w:ascii="Verdana" w:hAnsi="Verdana"/>
          <w:sz w:val="20"/>
          <w:lang w:val="es-MX"/>
        </w:rPr>
      </w:pPr>
    </w:p>
    <w:p w14:paraId="18CB612C" w14:textId="08790B0F" w:rsidR="00E54903" w:rsidRDefault="00D9597C" w:rsidP="00087462">
      <w:pPr>
        <w:spacing w:after="60"/>
        <w:jc w:val="both"/>
        <w:rPr>
          <w:rFonts w:ascii="Verdana" w:hAnsi="Verdana"/>
          <w:b/>
          <w:sz w:val="20"/>
          <w:lang w:val="es-MX"/>
        </w:rPr>
      </w:pPr>
      <w:r>
        <w:rPr>
          <w:rFonts w:ascii="Verdana" w:hAnsi="Verdana"/>
          <w:b/>
          <w:sz w:val="20"/>
          <w:lang w:val="es-MX"/>
        </w:rPr>
        <w:t>RESUELVE:</w:t>
      </w:r>
    </w:p>
    <w:p w14:paraId="4D5B80F8" w14:textId="77777777" w:rsidR="00E54903" w:rsidRDefault="00E54903" w:rsidP="00087462">
      <w:pPr>
        <w:spacing w:after="60"/>
        <w:jc w:val="both"/>
        <w:rPr>
          <w:rFonts w:ascii="Verdana" w:hAnsi="Verdana"/>
          <w:b/>
          <w:sz w:val="20"/>
          <w:lang w:val="es-MX"/>
        </w:rPr>
      </w:pPr>
    </w:p>
    <w:p w14:paraId="4A6F7579" w14:textId="72EC127C" w:rsidR="0040761F" w:rsidRDefault="00D9597C" w:rsidP="00087462">
      <w:pPr>
        <w:numPr>
          <w:ilvl w:val="0"/>
          <w:numId w:val="3"/>
        </w:numPr>
        <w:spacing w:after="60"/>
        <w:ind w:left="0" w:hanging="11"/>
        <w:jc w:val="both"/>
        <w:rPr>
          <w:rFonts w:ascii="Verdana" w:hAnsi="Verdana"/>
          <w:sz w:val="20"/>
          <w:lang w:val="es-MX"/>
        </w:rPr>
      </w:pPr>
      <w:r>
        <w:rPr>
          <w:rFonts w:ascii="Verdana" w:hAnsi="Verdana"/>
          <w:sz w:val="20"/>
          <w:lang w:val="es-MX"/>
        </w:rPr>
        <w:t>Declarar, d</w:t>
      </w:r>
      <w:r w:rsidR="0040761F">
        <w:rPr>
          <w:rFonts w:ascii="Verdana" w:hAnsi="Verdana"/>
          <w:sz w:val="20"/>
          <w:lang w:val="es-MX"/>
        </w:rPr>
        <w:t xml:space="preserve">e conformidad con lo señalado en </w:t>
      </w:r>
      <w:r w:rsidR="007F00CD">
        <w:rPr>
          <w:rFonts w:ascii="Verdana" w:hAnsi="Verdana"/>
          <w:sz w:val="20"/>
          <w:lang w:val="es-MX"/>
        </w:rPr>
        <w:t>los</w:t>
      </w:r>
      <w:r w:rsidR="0040761F">
        <w:rPr>
          <w:rFonts w:ascii="Verdana" w:hAnsi="Verdana"/>
          <w:sz w:val="20"/>
          <w:lang w:val="es-MX"/>
        </w:rPr>
        <w:t xml:space="preserve"> Considerando</w:t>
      </w:r>
      <w:r w:rsidR="007F00CD">
        <w:rPr>
          <w:rFonts w:ascii="Verdana" w:hAnsi="Verdana"/>
          <w:sz w:val="20"/>
          <w:lang w:val="es-MX"/>
        </w:rPr>
        <w:t xml:space="preserve">s </w:t>
      </w:r>
      <w:r w:rsidR="007F00CD">
        <w:rPr>
          <w:rFonts w:ascii="Verdana" w:hAnsi="Verdana"/>
          <w:sz w:val="20"/>
          <w:lang w:val="es-MX"/>
        </w:rPr>
        <w:fldChar w:fldCharType="begin"/>
      </w:r>
      <w:r w:rsidR="007F00CD">
        <w:rPr>
          <w:rFonts w:ascii="Verdana" w:hAnsi="Verdana"/>
          <w:sz w:val="20"/>
          <w:lang w:val="es-MX"/>
        </w:rPr>
        <w:instrText xml:space="preserve"> REF _Ref526857221 \r \h </w:instrText>
      </w:r>
      <w:r w:rsidR="007F00CD">
        <w:rPr>
          <w:rFonts w:ascii="Verdana" w:hAnsi="Verdana"/>
          <w:sz w:val="20"/>
          <w:lang w:val="es-MX"/>
        </w:rPr>
      </w:r>
      <w:r w:rsidR="007F00CD">
        <w:rPr>
          <w:rFonts w:ascii="Verdana" w:hAnsi="Verdana"/>
          <w:sz w:val="20"/>
          <w:lang w:val="es-MX"/>
        </w:rPr>
        <w:fldChar w:fldCharType="separate"/>
      </w:r>
      <w:r w:rsidR="009356EF">
        <w:rPr>
          <w:rFonts w:ascii="Verdana" w:hAnsi="Verdana"/>
          <w:sz w:val="20"/>
          <w:lang w:val="es-MX"/>
        </w:rPr>
        <w:t>9</w:t>
      </w:r>
      <w:r w:rsidR="007F00CD">
        <w:rPr>
          <w:rFonts w:ascii="Verdana" w:hAnsi="Verdana"/>
          <w:sz w:val="20"/>
          <w:lang w:val="es-MX"/>
        </w:rPr>
        <w:fldChar w:fldCharType="end"/>
      </w:r>
      <w:r w:rsidR="007F00CD">
        <w:rPr>
          <w:rFonts w:ascii="Verdana" w:hAnsi="Verdana"/>
          <w:sz w:val="20"/>
          <w:lang w:val="es-MX"/>
        </w:rPr>
        <w:t xml:space="preserve"> a</w:t>
      </w:r>
      <w:r w:rsidR="0040761F">
        <w:rPr>
          <w:rFonts w:ascii="Verdana" w:hAnsi="Verdana"/>
          <w:sz w:val="20"/>
          <w:lang w:val="es-MX"/>
        </w:rPr>
        <w:t xml:space="preserve"> </w:t>
      </w:r>
      <w:r w:rsidR="00C85AC5">
        <w:rPr>
          <w:rFonts w:ascii="Verdana" w:hAnsi="Verdana"/>
          <w:sz w:val="20"/>
          <w:lang w:val="es-MX"/>
        </w:rPr>
        <w:fldChar w:fldCharType="begin"/>
      </w:r>
      <w:r w:rsidR="00C85AC5">
        <w:rPr>
          <w:rFonts w:ascii="Verdana" w:hAnsi="Verdana"/>
          <w:sz w:val="20"/>
          <w:lang w:val="es-MX"/>
        </w:rPr>
        <w:instrText xml:space="preserve"> REF _Ref526530161 \r \h </w:instrText>
      </w:r>
      <w:r w:rsidR="00C85AC5">
        <w:rPr>
          <w:rFonts w:ascii="Verdana" w:hAnsi="Verdana"/>
          <w:sz w:val="20"/>
          <w:lang w:val="es-MX"/>
        </w:rPr>
      </w:r>
      <w:r w:rsidR="00C85AC5">
        <w:rPr>
          <w:rFonts w:ascii="Verdana" w:hAnsi="Verdana"/>
          <w:sz w:val="20"/>
          <w:lang w:val="es-MX"/>
        </w:rPr>
        <w:fldChar w:fldCharType="separate"/>
      </w:r>
      <w:r w:rsidR="009356EF">
        <w:rPr>
          <w:rFonts w:ascii="Verdana" w:hAnsi="Verdana"/>
          <w:sz w:val="20"/>
          <w:lang w:val="es-MX"/>
        </w:rPr>
        <w:t>11</w:t>
      </w:r>
      <w:r w:rsidR="00C85AC5">
        <w:rPr>
          <w:rFonts w:ascii="Verdana" w:hAnsi="Verdana"/>
          <w:sz w:val="20"/>
          <w:lang w:val="es-MX"/>
        </w:rPr>
        <w:fldChar w:fldCharType="end"/>
      </w:r>
      <w:r w:rsidR="0040761F">
        <w:rPr>
          <w:rFonts w:ascii="Verdana" w:hAnsi="Verdana"/>
          <w:sz w:val="20"/>
          <w:lang w:val="es-MX"/>
        </w:rPr>
        <w:t xml:space="preserve"> de la presente Resolución, </w:t>
      </w:r>
      <w:r w:rsidR="00A21AD6">
        <w:rPr>
          <w:rFonts w:ascii="Verdana" w:hAnsi="Verdana"/>
          <w:sz w:val="20"/>
          <w:lang w:val="es-MX"/>
        </w:rPr>
        <w:t xml:space="preserve">que </w:t>
      </w:r>
      <w:r w:rsidR="0040761F">
        <w:rPr>
          <w:rFonts w:ascii="Verdana" w:hAnsi="Verdana"/>
          <w:sz w:val="20"/>
          <w:lang w:val="es-MX"/>
        </w:rPr>
        <w:t>el Estado ha dado cumplimiento total a la medida de reparación relativa a pagar la cantidad de US</w:t>
      </w:r>
      <w:r w:rsidR="00C85AC5">
        <w:rPr>
          <w:rFonts w:ascii="Verdana" w:hAnsi="Verdana"/>
          <w:sz w:val="20"/>
          <w:lang w:val="es-MX"/>
        </w:rPr>
        <w:t xml:space="preserve">D </w:t>
      </w:r>
      <w:r w:rsidR="0040761F">
        <w:rPr>
          <w:rFonts w:ascii="Verdana" w:hAnsi="Verdana"/>
          <w:sz w:val="20"/>
          <w:lang w:val="es-MX"/>
        </w:rPr>
        <w:t>$6</w:t>
      </w:r>
      <w:r w:rsidR="00826D54">
        <w:rPr>
          <w:rFonts w:ascii="Verdana" w:hAnsi="Verdana"/>
          <w:sz w:val="20"/>
          <w:lang w:val="es-MX"/>
        </w:rPr>
        <w:t>75</w:t>
      </w:r>
      <w:r w:rsidR="0040761F">
        <w:rPr>
          <w:rFonts w:ascii="Verdana" w:hAnsi="Verdana"/>
          <w:sz w:val="20"/>
          <w:lang w:val="es-MX"/>
        </w:rPr>
        <w:t>,000.00</w:t>
      </w:r>
      <w:r w:rsidR="00826D54">
        <w:rPr>
          <w:rFonts w:ascii="Verdana" w:hAnsi="Verdana"/>
          <w:sz w:val="20"/>
          <w:lang w:val="es-MX"/>
        </w:rPr>
        <w:t xml:space="preserve"> por concepto de</w:t>
      </w:r>
      <w:r w:rsidR="00A07E10">
        <w:rPr>
          <w:rFonts w:ascii="Verdana" w:hAnsi="Verdana"/>
          <w:sz w:val="20"/>
          <w:lang w:val="es-MX"/>
        </w:rPr>
        <w:t xml:space="preserve"> indemnizaciones del</w:t>
      </w:r>
      <w:r w:rsidR="00826D54">
        <w:rPr>
          <w:rFonts w:ascii="Verdana" w:hAnsi="Verdana"/>
          <w:sz w:val="20"/>
          <w:lang w:val="es-MX"/>
        </w:rPr>
        <w:t xml:space="preserve"> daño material e inmaterial</w:t>
      </w:r>
      <w:r w:rsidR="0040761F">
        <w:rPr>
          <w:rFonts w:ascii="Verdana" w:hAnsi="Verdana"/>
          <w:sz w:val="20"/>
          <w:lang w:val="es-MX"/>
        </w:rPr>
        <w:t xml:space="preserve"> a un fondo de desarrollo comunitario creado y establecido a beneficio de los miembros del </w:t>
      </w:r>
      <w:r w:rsidR="00A07E10">
        <w:rPr>
          <w:rFonts w:ascii="Verdana" w:hAnsi="Verdana"/>
          <w:sz w:val="20"/>
          <w:lang w:val="es-MX"/>
        </w:rPr>
        <w:t>P</w:t>
      </w:r>
      <w:r w:rsidR="0040761F">
        <w:rPr>
          <w:rFonts w:ascii="Verdana" w:hAnsi="Verdana"/>
          <w:sz w:val="20"/>
          <w:lang w:val="es-MX"/>
        </w:rPr>
        <w:t xml:space="preserve">ueblo </w:t>
      </w:r>
      <w:proofErr w:type="spellStart"/>
      <w:r w:rsidR="0040761F">
        <w:rPr>
          <w:rFonts w:ascii="Verdana" w:hAnsi="Verdana"/>
          <w:sz w:val="20"/>
          <w:lang w:val="es-MX"/>
        </w:rPr>
        <w:t>Saramaka</w:t>
      </w:r>
      <w:proofErr w:type="spellEnd"/>
      <w:r w:rsidR="0040761F">
        <w:rPr>
          <w:rFonts w:ascii="Verdana" w:hAnsi="Verdana"/>
          <w:sz w:val="20"/>
          <w:lang w:val="es-MX"/>
        </w:rPr>
        <w:t xml:space="preserve"> en su territorio tradicional.</w:t>
      </w:r>
    </w:p>
    <w:p w14:paraId="5EE21022" w14:textId="1C1B19D2" w:rsidR="00BE3A14" w:rsidRDefault="0040761F" w:rsidP="00087462">
      <w:pPr>
        <w:spacing w:after="60"/>
        <w:jc w:val="both"/>
        <w:rPr>
          <w:rFonts w:ascii="Verdana" w:hAnsi="Verdana"/>
          <w:sz w:val="20"/>
          <w:lang w:val="es-MX"/>
        </w:rPr>
      </w:pPr>
      <w:r>
        <w:rPr>
          <w:rFonts w:ascii="Verdana" w:hAnsi="Verdana"/>
          <w:sz w:val="20"/>
          <w:lang w:val="es-MX"/>
        </w:rPr>
        <w:t xml:space="preserve"> </w:t>
      </w:r>
    </w:p>
    <w:p w14:paraId="2191CF9B" w14:textId="6D06C0ED" w:rsidR="00E54903" w:rsidRDefault="00D9597C" w:rsidP="00087462">
      <w:pPr>
        <w:numPr>
          <w:ilvl w:val="0"/>
          <w:numId w:val="3"/>
        </w:numPr>
        <w:spacing w:after="60"/>
        <w:ind w:left="0" w:hanging="11"/>
        <w:jc w:val="both"/>
        <w:rPr>
          <w:rFonts w:ascii="Verdana" w:hAnsi="Verdana"/>
          <w:sz w:val="20"/>
        </w:rPr>
      </w:pPr>
      <w:r>
        <w:rPr>
          <w:rFonts w:ascii="Verdana" w:hAnsi="Verdana"/>
          <w:sz w:val="20"/>
        </w:rPr>
        <w:t xml:space="preserve">Mantener abierto el procedimiento de supervisión de cumplimiento de las </w:t>
      </w:r>
      <w:r w:rsidR="00EF48AB">
        <w:rPr>
          <w:rFonts w:ascii="Verdana" w:hAnsi="Verdana"/>
          <w:sz w:val="20"/>
        </w:rPr>
        <w:t>siguientes medidas de reparación</w:t>
      </w:r>
      <w:r w:rsidR="00E54903">
        <w:rPr>
          <w:rFonts w:ascii="Verdana" w:hAnsi="Verdana"/>
          <w:sz w:val="20"/>
        </w:rPr>
        <w:t xml:space="preserve">: </w:t>
      </w:r>
    </w:p>
    <w:p w14:paraId="71D62C52" w14:textId="77777777" w:rsidR="00E54903" w:rsidRPr="00BE3A14" w:rsidRDefault="00E54903" w:rsidP="00087462">
      <w:pPr>
        <w:spacing w:after="60"/>
        <w:jc w:val="both"/>
        <w:rPr>
          <w:rFonts w:ascii="Verdana" w:hAnsi="Verdana"/>
          <w:sz w:val="20"/>
        </w:rPr>
      </w:pPr>
    </w:p>
    <w:p w14:paraId="406F3CC7" w14:textId="4A759D9A" w:rsidR="00AB17AC" w:rsidRPr="00EF48AB" w:rsidRDefault="00A07E10" w:rsidP="00087462">
      <w:pPr>
        <w:pStyle w:val="ListParagraph"/>
        <w:numPr>
          <w:ilvl w:val="0"/>
          <w:numId w:val="4"/>
        </w:numPr>
        <w:spacing w:after="60"/>
        <w:jc w:val="both"/>
        <w:rPr>
          <w:rFonts w:ascii="Verdana" w:hAnsi="Verdana"/>
          <w:sz w:val="18"/>
        </w:rPr>
      </w:pPr>
      <w:r w:rsidRPr="00A07E10">
        <w:rPr>
          <w:rFonts w:ascii="Verdana" w:hAnsi="Verdana"/>
          <w:sz w:val="18"/>
        </w:rPr>
        <w:t xml:space="preserve">delimitar, demarcar y otorgar título colectivo del territorio de los miembros del pueblo </w:t>
      </w:r>
      <w:proofErr w:type="spellStart"/>
      <w:r w:rsidRPr="00A07E10">
        <w:rPr>
          <w:rFonts w:ascii="Verdana" w:hAnsi="Verdana"/>
          <w:sz w:val="18"/>
        </w:rPr>
        <w:t>Saramaka</w:t>
      </w:r>
      <w:proofErr w:type="spellEnd"/>
      <w:r w:rsidRPr="00A07E10">
        <w:rPr>
          <w:rFonts w:ascii="Verdana" w:hAnsi="Verdana"/>
          <w:sz w:val="18"/>
        </w:rPr>
        <w:t xml:space="preserve">, de conformidad con su derecho consuetudinario, y a través de consultas previas, efectivas y plenamente informadas con el pueblo </w:t>
      </w:r>
      <w:proofErr w:type="spellStart"/>
      <w:r w:rsidRPr="00A07E10">
        <w:rPr>
          <w:rFonts w:ascii="Verdana" w:hAnsi="Verdana"/>
          <w:sz w:val="18"/>
        </w:rPr>
        <w:t>Saramaka</w:t>
      </w:r>
      <w:proofErr w:type="spellEnd"/>
      <w:r w:rsidRPr="00A07E10">
        <w:rPr>
          <w:rFonts w:ascii="Verdana" w:hAnsi="Verdana"/>
          <w:sz w:val="18"/>
        </w:rPr>
        <w:t xml:space="preserve">, sin perjuicio de otras comunidades indígenas y tribales. Hasta tanto no se lleve a cabo dicha delimitación, demarcación u otorgamiento de título colectivo respecto del territorio </w:t>
      </w:r>
      <w:proofErr w:type="spellStart"/>
      <w:r w:rsidRPr="00A07E10">
        <w:rPr>
          <w:rFonts w:ascii="Verdana" w:hAnsi="Verdana"/>
          <w:sz w:val="18"/>
        </w:rPr>
        <w:t>Saramaka</w:t>
      </w:r>
      <w:proofErr w:type="spellEnd"/>
      <w:r w:rsidRPr="00A07E10">
        <w:rPr>
          <w:rFonts w:ascii="Verdana" w:hAnsi="Verdana"/>
          <w:sz w:val="18"/>
        </w:rPr>
        <w:t xml:space="preserve">, Surinam debe abstenerse de realizar actos que podrían dar lugar a que agentes del propio Estado o terceros, actuando con consentimiento o tolerancia del Estado, puedan afectar la existencia, valor, uso o goce del territorio al cual tienen derecho los integrantes del pueblo </w:t>
      </w:r>
      <w:proofErr w:type="spellStart"/>
      <w:r w:rsidRPr="00A07E10">
        <w:rPr>
          <w:rFonts w:ascii="Verdana" w:hAnsi="Verdana"/>
          <w:sz w:val="18"/>
        </w:rPr>
        <w:t>Saramaka</w:t>
      </w:r>
      <w:proofErr w:type="spellEnd"/>
      <w:r w:rsidRPr="00A07E10">
        <w:rPr>
          <w:rFonts w:ascii="Verdana" w:hAnsi="Verdana"/>
          <w:sz w:val="18"/>
        </w:rPr>
        <w:t xml:space="preserve">, a menos que el Estado obtenga el consentimiento previo, libre e informado de dicho pueblo. Respecto de las concesiones ya otorgadas dentro del territorio tradicional </w:t>
      </w:r>
      <w:proofErr w:type="spellStart"/>
      <w:r w:rsidRPr="00A07E10">
        <w:rPr>
          <w:rFonts w:ascii="Verdana" w:hAnsi="Verdana"/>
          <w:sz w:val="18"/>
        </w:rPr>
        <w:t>Saramaka</w:t>
      </w:r>
      <w:proofErr w:type="spellEnd"/>
      <w:r w:rsidRPr="00A07E10">
        <w:rPr>
          <w:rFonts w:ascii="Verdana" w:hAnsi="Verdana"/>
          <w:sz w:val="18"/>
        </w:rPr>
        <w:t xml:space="preserve">, el Estado debe revisarlas, a la luz de la […] Sentencia y la jurisprudencia de este Tribunal, con el fin de evaluar si es necesaria una modificación a los derechos de los concesionarios para preservar la supervivencia del pueblo </w:t>
      </w:r>
      <w:proofErr w:type="spellStart"/>
      <w:r w:rsidRPr="00A07E10">
        <w:rPr>
          <w:rFonts w:ascii="Verdana" w:hAnsi="Verdana"/>
          <w:sz w:val="18"/>
        </w:rPr>
        <w:t>Saramaka</w:t>
      </w:r>
      <w:proofErr w:type="spellEnd"/>
      <w:r w:rsidR="00AB17AC" w:rsidRPr="00EF48AB">
        <w:rPr>
          <w:rFonts w:ascii="Verdana" w:hAnsi="Verdana"/>
          <w:sz w:val="18"/>
        </w:rPr>
        <w:t xml:space="preserve"> (</w:t>
      </w:r>
      <w:r w:rsidR="00AB17AC" w:rsidRPr="00EF48AB">
        <w:rPr>
          <w:rFonts w:ascii="Verdana" w:hAnsi="Verdana"/>
          <w:i/>
          <w:sz w:val="18"/>
        </w:rPr>
        <w:t xml:space="preserve">punto resolutivo </w:t>
      </w:r>
      <w:r w:rsidR="00466323">
        <w:rPr>
          <w:rFonts w:ascii="Verdana" w:hAnsi="Verdana"/>
          <w:i/>
          <w:sz w:val="18"/>
        </w:rPr>
        <w:t>quinto</w:t>
      </w:r>
      <w:r w:rsidR="00466323" w:rsidRPr="00EF48AB">
        <w:rPr>
          <w:rFonts w:ascii="Verdana" w:hAnsi="Verdana"/>
          <w:i/>
          <w:sz w:val="18"/>
        </w:rPr>
        <w:t xml:space="preserve"> </w:t>
      </w:r>
      <w:r w:rsidR="00AB17AC" w:rsidRPr="00EF48AB">
        <w:rPr>
          <w:rFonts w:ascii="Verdana" w:hAnsi="Verdana"/>
          <w:i/>
          <w:sz w:val="18"/>
        </w:rPr>
        <w:t>de la Sentencia</w:t>
      </w:r>
      <w:r w:rsidR="00AB17AC" w:rsidRPr="00EF48AB">
        <w:rPr>
          <w:rFonts w:ascii="Verdana" w:hAnsi="Verdana"/>
          <w:sz w:val="18"/>
        </w:rPr>
        <w:t xml:space="preserve">); </w:t>
      </w:r>
    </w:p>
    <w:p w14:paraId="067B62DB" w14:textId="599ACC66" w:rsidR="00AB17AC" w:rsidRPr="00EF48AB" w:rsidRDefault="00AB17AC" w:rsidP="00087462">
      <w:pPr>
        <w:pStyle w:val="ListParagraph"/>
        <w:numPr>
          <w:ilvl w:val="0"/>
          <w:numId w:val="4"/>
        </w:numPr>
        <w:spacing w:after="60"/>
        <w:jc w:val="both"/>
        <w:rPr>
          <w:rFonts w:ascii="Verdana" w:hAnsi="Verdana"/>
          <w:sz w:val="18"/>
        </w:rPr>
      </w:pPr>
      <w:r w:rsidRPr="00EF48AB">
        <w:rPr>
          <w:rFonts w:ascii="Verdana" w:hAnsi="Verdana"/>
          <w:sz w:val="18"/>
        </w:rPr>
        <w:t xml:space="preserve">otorgar a los miembros del pueblo </w:t>
      </w:r>
      <w:proofErr w:type="spellStart"/>
      <w:r w:rsidRPr="00EF48AB">
        <w:rPr>
          <w:rFonts w:ascii="Verdana" w:hAnsi="Verdana"/>
          <w:sz w:val="18"/>
        </w:rPr>
        <w:t>Saramaka</w:t>
      </w:r>
      <w:proofErr w:type="spellEnd"/>
      <w:r w:rsidRPr="00EF48AB">
        <w:rPr>
          <w:rFonts w:ascii="Verdana" w:hAnsi="Verdana"/>
          <w:sz w:val="18"/>
        </w:rPr>
        <w:t xml:space="preserve"> el reconocimiento legal de la capacidad jurídica colectiva correspondiente a la comunidad que ellos integran, con el propósito de garantizarles el ejercicio y goce pleno de su derecho a la propiedad de carácter comunal, así como el acceso a la justicia como comunidad, de conformidad con su derecho consuetudinario y tradiciones (</w:t>
      </w:r>
      <w:r w:rsidRPr="00EF48AB">
        <w:rPr>
          <w:rFonts w:ascii="Verdana" w:hAnsi="Verdana"/>
          <w:i/>
          <w:sz w:val="18"/>
        </w:rPr>
        <w:t xml:space="preserve">punto resolutivo </w:t>
      </w:r>
      <w:r w:rsidR="00466323">
        <w:rPr>
          <w:rFonts w:ascii="Verdana" w:hAnsi="Verdana"/>
          <w:i/>
          <w:sz w:val="18"/>
        </w:rPr>
        <w:t>sexto</w:t>
      </w:r>
      <w:r w:rsidR="00466323" w:rsidRPr="00EF48AB">
        <w:rPr>
          <w:rFonts w:ascii="Verdana" w:hAnsi="Verdana"/>
          <w:i/>
          <w:sz w:val="18"/>
        </w:rPr>
        <w:t xml:space="preserve"> </w:t>
      </w:r>
      <w:r w:rsidRPr="00EF48AB">
        <w:rPr>
          <w:rFonts w:ascii="Verdana" w:hAnsi="Verdana"/>
          <w:i/>
          <w:sz w:val="18"/>
        </w:rPr>
        <w:t>de la Sentencia)</w:t>
      </w:r>
      <w:r w:rsidRPr="00EF48AB">
        <w:rPr>
          <w:rFonts w:ascii="Verdana" w:hAnsi="Verdana"/>
          <w:sz w:val="18"/>
        </w:rPr>
        <w:t xml:space="preserve">; </w:t>
      </w:r>
    </w:p>
    <w:p w14:paraId="468C26C0" w14:textId="55AD0912" w:rsidR="00AB17AC" w:rsidRPr="00EF48AB" w:rsidRDefault="00AB17AC" w:rsidP="00087462">
      <w:pPr>
        <w:pStyle w:val="ListParagraph"/>
        <w:numPr>
          <w:ilvl w:val="0"/>
          <w:numId w:val="4"/>
        </w:numPr>
        <w:spacing w:after="60"/>
        <w:jc w:val="both"/>
        <w:rPr>
          <w:rFonts w:ascii="Verdana" w:hAnsi="Verdana"/>
          <w:sz w:val="18"/>
        </w:rPr>
      </w:pPr>
      <w:r w:rsidRPr="00EF48AB">
        <w:rPr>
          <w:rFonts w:ascii="Verdana" w:hAnsi="Verdana"/>
          <w:sz w:val="18"/>
        </w:rPr>
        <w:t xml:space="preserve">eliminar o modificar las disposiciones legales que impiden la protección del derecho a la propiedad de los miembros del pueblo </w:t>
      </w:r>
      <w:proofErr w:type="spellStart"/>
      <w:r w:rsidRPr="00EF48AB">
        <w:rPr>
          <w:rFonts w:ascii="Verdana" w:hAnsi="Verdana"/>
          <w:sz w:val="18"/>
        </w:rPr>
        <w:t>Saramaka</w:t>
      </w:r>
      <w:proofErr w:type="spellEnd"/>
      <w:r w:rsidRPr="00EF48AB">
        <w:rPr>
          <w:rFonts w:ascii="Verdana" w:hAnsi="Verdana"/>
          <w:sz w:val="18"/>
        </w:rPr>
        <w:t xml:space="preserve"> y adoptar medidas legislativas o de otra índole necesarias a fin de reconocer, proteger, garantizar y hacer efectivo el derecho de los integrantes del pueblo </w:t>
      </w:r>
      <w:proofErr w:type="spellStart"/>
      <w:r w:rsidRPr="00EF48AB">
        <w:rPr>
          <w:rFonts w:ascii="Verdana" w:hAnsi="Verdana"/>
          <w:sz w:val="18"/>
        </w:rPr>
        <w:t>Saramaka</w:t>
      </w:r>
      <w:proofErr w:type="spellEnd"/>
      <w:r w:rsidRPr="00EF48AB">
        <w:rPr>
          <w:rFonts w:ascii="Verdana" w:hAnsi="Verdana"/>
          <w:sz w:val="18"/>
        </w:rPr>
        <w:t xml:space="preserve"> a ser titulares de derechos bajo forma colectiva sobre el territorio que </w:t>
      </w:r>
      <w:r w:rsidR="00C85AC5">
        <w:rPr>
          <w:rFonts w:ascii="Verdana" w:hAnsi="Verdana"/>
          <w:sz w:val="18"/>
        </w:rPr>
        <w:t xml:space="preserve">tradicionalmente </w:t>
      </w:r>
      <w:r w:rsidRPr="00EF48AB">
        <w:rPr>
          <w:rFonts w:ascii="Verdana" w:hAnsi="Verdana"/>
          <w:sz w:val="18"/>
        </w:rPr>
        <w:t>han ocupado y utilizado, el cual incluye las tierras y los recursos naturales necesarios para su subsistencia, así como administrar, distribuir y controlar efectivamente dicho territorio, de conformidad con su derecho consuetudinario y sistema de propiedad comunal, y sin perjuicio de otras comunidades indígenas y tribales (</w:t>
      </w:r>
      <w:r w:rsidRPr="00EF48AB">
        <w:rPr>
          <w:rFonts w:ascii="Verdana" w:hAnsi="Verdana"/>
          <w:i/>
          <w:sz w:val="18"/>
        </w:rPr>
        <w:t xml:space="preserve">punto resolutivo </w:t>
      </w:r>
      <w:r w:rsidR="00466323">
        <w:rPr>
          <w:rFonts w:ascii="Verdana" w:hAnsi="Verdana"/>
          <w:i/>
          <w:sz w:val="18"/>
        </w:rPr>
        <w:t>séptimo</w:t>
      </w:r>
      <w:r w:rsidR="00466323" w:rsidRPr="00EF48AB">
        <w:rPr>
          <w:rFonts w:ascii="Verdana" w:hAnsi="Verdana"/>
          <w:i/>
          <w:sz w:val="18"/>
        </w:rPr>
        <w:t xml:space="preserve"> </w:t>
      </w:r>
      <w:r w:rsidRPr="00EF48AB">
        <w:rPr>
          <w:rFonts w:ascii="Verdana" w:hAnsi="Verdana"/>
          <w:i/>
          <w:sz w:val="18"/>
        </w:rPr>
        <w:t>de la Sentencia)</w:t>
      </w:r>
      <w:r w:rsidRPr="00EF48AB">
        <w:rPr>
          <w:rFonts w:ascii="Verdana" w:hAnsi="Verdana"/>
          <w:sz w:val="18"/>
        </w:rPr>
        <w:t xml:space="preserve">; </w:t>
      </w:r>
    </w:p>
    <w:p w14:paraId="09B780A0" w14:textId="7CC9D89F" w:rsidR="00AB17AC" w:rsidRPr="00EF48AB" w:rsidRDefault="00AB17AC" w:rsidP="00087462">
      <w:pPr>
        <w:pStyle w:val="ListParagraph"/>
        <w:numPr>
          <w:ilvl w:val="0"/>
          <w:numId w:val="4"/>
        </w:numPr>
        <w:spacing w:after="60"/>
        <w:jc w:val="both"/>
        <w:rPr>
          <w:rFonts w:ascii="Verdana" w:hAnsi="Verdana"/>
          <w:sz w:val="18"/>
        </w:rPr>
      </w:pPr>
      <w:r w:rsidRPr="00EF48AB">
        <w:rPr>
          <w:rFonts w:ascii="Verdana" w:hAnsi="Verdana"/>
          <w:sz w:val="18"/>
        </w:rPr>
        <w:t xml:space="preserve">adoptar las medidas necesarias para reconocer y garantizar el derecho del pueblo </w:t>
      </w:r>
      <w:proofErr w:type="spellStart"/>
      <w:r w:rsidRPr="00EF48AB">
        <w:rPr>
          <w:rFonts w:ascii="Verdana" w:hAnsi="Verdana"/>
          <w:sz w:val="18"/>
        </w:rPr>
        <w:t>Saramaka</w:t>
      </w:r>
      <w:proofErr w:type="spellEnd"/>
      <w:r w:rsidRPr="00EF48AB">
        <w:rPr>
          <w:rFonts w:ascii="Verdana" w:hAnsi="Verdana"/>
          <w:sz w:val="18"/>
        </w:rPr>
        <w:t xml:space="preserve"> a ser efectivamente consultado, según sus tradiciones y costumbres, o en su caso, el derecho de otorgar o abstenerse de otorgar su consentimiento previo, libre e informado, respecto de los proyectos de desarrollo o inversión que puedan afectar su </w:t>
      </w:r>
      <w:r w:rsidRPr="00EF48AB">
        <w:rPr>
          <w:rFonts w:ascii="Verdana" w:hAnsi="Verdana"/>
          <w:sz w:val="18"/>
        </w:rPr>
        <w:lastRenderedPageBreak/>
        <w:t xml:space="preserve">territorio, y a compartir, razonablemente, los beneficios derivados de esos proyectos con el pueblo </w:t>
      </w:r>
      <w:proofErr w:type="spellStart"/>
      <w:r w:rsidRPr="00EF48AB">
        <w:rPr>
          <w:rFonts w:ascii="Verdana" w:hAnsi="Verdana"/>
          <w:sz w:val="18"/>
        </w:rPr>
        <w:t>Saramaka</w:t>
      </w:r>
      <w:proofErr w:type="spellEnd"/>
      <w:r w:rsidRPr="00EF48AB">
        <w:rPr>
          <w:rFonts w:ascii="Verdana" w:hAnsi="Verdana"/>
          <w:sz w:val="18"/>
        </w:rPr>
        <w:t>, en el caso de que se llevaren a cabo (</w:t>
      </w:r>
      <w:r w:rsidRPr="00EF48AB">
        <w:rPr>
          <w:rFonts w:ascii="Verdana" w:hAnsi="Verdana"/>
          <w:i/>
          <w:sz w:val="18"/>
        </w:rPr>
        <w:t xml:space="preserve">punto resolutivo </w:t>
      </w:r>
      <w:r w:rsidR="00466323">
        <w:rPr>
          <w:rFonts w:ascii="Verdana" w:hAnsi="Verdana"/>
          <w:i/>
          <w:sz w:val="18"/>
        </w:rPr>
        <w:t>octavo</w:t>
      </w:r>
      <w:r w:rsidR="00466323" w:rsidRPr="00EF48AB">
        <w:rPr>
          <w:rFonts w:ascii="Verdana" w:hAnsi="Verdana"/>
          <w:i/>
          <w:sz w:val="18"/>
        </w:rPr>
        <w:t xml:space="preserve"> </w:t>
      </w:r>
      <w:r w:rsidRPr="00EF48AB">
        <w:rPr>
          <w:rFonts w:ascii="Verdana" w:hAnsi="Verdana"/>
          <w:i/>
          <w:sz w:val="18"/>
        </w:rPr>
        <w:t>de la Sentencia</w:t>
      </w:r>
      <w:r w:rsidRPr="00EF48AB">
        <w:rPr>
          <w:rFonts w:ascii="Verdana" w:hAnsi="Verdana"/>
          <w:sz w:val="18"/>
        </w:rPr>
        <w:t xml:space="preserve">); </w:t>
      </w:r>
    </w:p>
    <w:p w14:paraId="5FCE2AAD" w14:textId="668848E4" w:rsidR="00AB17AC" w:rsidRPr="00EF48AB" w:rsidRDefault="00AB17AC" w:rsidP="00087462">
      <w:pPr>
        <w:pStyle w:val="ListParagraph"/>
        <w:numPr>
          <w:ilvl w:val="0"/>
          <w:numId w:val="4"/>
        </w:numPr>
        <w:spacing w:after="60"/>
        <w:jc w:val="both"/>
        <w:rPr>
          <w:rFonts w:ascii="Verdana" w:hAnsi="Verdana"/>
          <w:sz w:val="18"/>
        </w:rPr>
      </w:pPr>
      <w:r w:rsidRPr="00EF48AB">
        <w:rPr>
          <w:rFonts w:ascii="Verdana" w:hAnsi="Verdana"/>
          <w:sz w:val="18"/>
        </w:rPr>
        <w:t xml:space="preserve">asegurar que se realicen estudios de impacto ambiental y social mediante entidades técnicamente capacitadas e independientes y, previo al otorgamiento de concesiones relacionadas con proyectos de desarrollo o inversión dentro del territorio tradicional </w:t>
      </w:r>
      <w:proofErr w:type="spellStart"/>
      <w:r w:rsidRPr="00EF48AB">
        <w:rPr>
          <w:rFonts w:ascii="Verdana" w:hAnsi="Verdana"/>
          <w:sz w:val="18"/>
        </w:rPr>
        <w:t>Saramaka</w:t>
      </w:r>
      <w:proofErr w:type="spellEnd"/>
      <w:r w:rsidRPr="00EF48AB">
        <w:rPr>
          <w:rFonts w:ascii="Verdana" w:hAnsi="Verdana"/>
          <w:sz w:val="18"/>
        </w:rPr>
        <w:t xml:space="preserve">, e implementar medidas y mecanismos adecuados a fin de minimizar el perjuicio que puedan tener dichos proyectos en la capacidad de supervivencia social, económica y cultural del pueblo </w:t>
      </w:r>
      <w:proofErr w:type="spellStart"/>
      <w:r w:rsidRPr="00EF48AB">
        <w:rPr>
          <w:rFonts w:ascii="Verdana" w:hAnsi="Verdana"/>
          <w:sz w:val="18"/>
        </w:rPr>
        <w:t>Saramaka</w:t>
      </w:r>
      <w:proofErr w:type="spellEnd"/>
      <w:r w:rsidRPr="00EF48AB">
        <w:rPr>
          <w:rFonts w:ascii="Verdana" w:hAnsi="Verdana"/>
          <w:sz w:val="18"/>
        </w:rPr>
        <w:t xml:space="preserve"> (</w:t>
      </w:r>
      <w:r w:rsidRPr="00EF48AB">
        <w:rPr>
          <w:rFonts w:ascii="Verdana" w:hAnsi="Verdana"/>
          <w:i/>
          <w:sz w:val="18"/>
        </w:rPr>
        <w:t xml:space="preserve">punto resolutivo </w:t>
      </w:r>
      <w:r w:rsidR="00466323">
        <w:rPr>
          <w:rFonts w:ascii="Verdana" w:hAnsi="Verdana"/>
          <w:i/>
          <w:sz w:val="18"/>
        </w:rPr>
        <w:t>noveno</w:t>
      </w:r>
      <w:r w:rsidR="00466323" w:rsidRPr="00EF48AB">
        <w:rPr>
          <w:rFonts w:ascii="Verdana" w:hAnsi="Verdana"/>
          <w:i/>
          <w:sz w:val="18"/>
        </w:rPr>
        <w:t xml:space="preserve"> </w:t>
      </w:r>
      <w:r w:rsidRPr="00EF48AB">
        <w:rPr>
          <w:rFonts w:ascii="Verdana" w:hAnsi="Verdana"/>
          <w:i/>
          <w:sz w:val="18"/>
        </w:rPr>
        <w:t>de la Sentencia</w:t>
      </w:r>
      <w:r w:rsidRPr="00EF48AB">
        <w:rPr>
          <w:rFonts w:ascii="Verdana" w:hAnsi="Verdana"/>
          <w:sz w:val="18"/>
        </w:rPr>
        <w:t>)</w:t>
      </w:r>
      <w:r w:rsidR="004D072E" w:rsidRPr="00EF48AB">
        <w:rPr>
          <w:rFonts w:ascii="Verdana" w:hAnsi="Verdana"/>
          <w:sz w:val="18"/>
        </w:rPr>
        <w:t>, y</w:t>
      </w:r>
      <w:r w:rsidRPr="00EF48AB">
        <w:rPr>
          <w:rFonts w:ascii="Verdana" w:hAnsi="Verdana"/>
          <w:sz w:val="18"/>
        </w:rPr>
        <w:t xml:space="preserve"> </w:t>
      </w:r>
    </w:p>
    <w:p w14:paraId="034823AA" w14:textId="156139B5" w:rsidR="00AB17AC" w:rsidRPr="00EF48AB" w:rsidRDefault="00AB17AC" w:rsidP="00087462">
      <w:pPr>
        <w:pStyle w:val="ListParagraph"/>
        <w:numPr>
          <w:ilvl w:val="0"/>
          <w:numId w:val="4"/>
        </w:numPr>
        <w:spacing w:after="60"/>
        <w:jc w:val="both"/>
        <w:rPr>
          <w:rFonts w:ascii="Verdana" w:hAnsi="Verdana"/>
          <w:sz w:val="18"/>
        </w:rPr>
      </w:pPr>
      <w:r w:rsidRPr="00EF48AB">
        <w:rPr>
          <w:rFonts w:ascii="Verdana" w:hAnsi="Verdana"/>
          <w:sz w:val="18"/>
        </w:rPr>
        <w:t xml:space="preserve">adoptar las medidas necesarias para proporcionar a los integrantes del pueblo </w:t>
      </w:r>
      <w:proofErr w:type="spellStart"/>
      <w:r w:rsidRPr="00EF48AB">
        <w:rPr>
          <w:rFonts w:ascii="Verdana" w:hAnsi="Verdana"/>
          <w:sz w:val="18"/>
        </w:rPr>
        <w:t>Saramaka</w:t>
      </w:r>
      <w:proofErr w:type="spellEnd"/>
      <w:r w:rsidRPr="00EF48AB">
        <w:rPr>
          <w:rFonts w:ascii="Verdana" w:hAnsi="Verdana"/>
          <w:sz w:val="18"/>
        </w:rPr>
        <w:t xml:space="preserve"> los recursos efectivos y adecuados contra actos que violan su derecho al uso y goce de la propiedad de conformidad con su sistema de propiedad comunal (</w:t>
      </w:r>
      <w:r w:rsidRPr="00EF48AB">
        <w:rPr>
          <w:rFonts w:ascii="Verdana" w:hAnsi="Verdana"/>
          <w:i/>
          <w:sz w:val="18"/>
        </w:rPr>
        <w:t xml:space="preserve">punto resolutivo </w:t>
      </w:r>
      <w:r w:rsidR="00466323">
        <w:rPr>
          <w:rFonts w:ascii="Verdana" w:hAnsi="Verdana"/>
          <w:i/>
          <w:sz w:val="18"/>
        </w:rPr>
        <w:t>décimo</w:t>
      </w:r>
      <w:r w:rsidR="00466323" w:rsidRPr="00EF48AB">
        <w:rPr>
          <w:rFonts w:ascii="Verdana" w:hAnsi="Verdana"/>
          <w:i/>
          <w:sz w:val="18"/>
        </w:rPr>
        <w:t xml:space="preserve"> </w:t>
      </w:r>
      <w:r w:rsidRPr="00EF48AB">
        <w:rPr>
          <w:rFonts w:ascii="Verdana" w:hAnsi="Verdana"/>
          <w:i/>
          <w:sz w:val="18"/>
        </w:rPr>
        <w:t>de la Sentencia</w:t>
      </w:r>
      <w:r w:rsidRPr="00EF48AB">
        <w:rPr>
          <w:rFonts w:ascii="Verdana" w:hAnsi="Verdana"/>
          <w:sz w:val="18"/>
        </w:rPr>
        <w:t>).</w:t>
      </w:r>
    </w:p>
    <w:p w14:paraId="018CEB0E" w14:textId="77777777" w:rsidR="00E54903" w:rsidRDefault="00E54903" w:rsidP="00087462">
      <w:pPr>
        <w:spacing w:after="60"/>
        <w:jc w:val="both"/>
        <w:rPr>
          <w:rFonts w:ascii="Verdana" w:hAnsi="Verdana"/>
          <w:sz w:val="20"/>
          <w:lang w:val="es-MX"/>
        </w:rPr>
      </w:pPr>
    </w:p>
    <w:p w14:paraId="6AAEDDF0" w14:textId="77BB701A" w:rsidR="00E54903" w:rsidRDefault="00D9597C" w:rsidP="00087462">
      <w:pPr>
        <w:numPr>
          <w:ilvl w:val="0"/>
          <w:numId w:val="3"/>
        </w:numPr>
        <w:spacing w:after="60"/>
        <w:ind w:left="0" w:hanging="11"/>
        <w:jc w:val="both"/>
        <w:rPr>
          <w:rFonts w:ascii="Verdana" w:hAnsi="Verdana"/>
          <w:sz w:val="20"/>
          <w:lang w:val="es-ES"/>
        </w:rPr>
      </w:pPr>
      <w:r w:rsidRPr="00D9597C">
        <w:rPr>
          <w:rFonts w:ascii="Verdana" w:hAnsi="Verdana"/>
          <w:sz w:val="20"/>
          <w:lang w:val="es-ES"/>
        </w:rPr>
        <w:t>Requerir al Estado que adopte, en definitiva y a la mayor brevedad, las medidas</w:t>
      </w:r>
      <w:r>
        <w:rPr>
          <w:rFonts w:ascii="Verdana" w:hAnsi="Verdana"/>
          <w:sz w:val="20"/>
          <w:lang w:val="es-ES"/>
        </w:rPr>
        <w:t xml:space="preserve"> </w:t>
      </w:r>
      <w:r w:rsidRPr="00D9597C">
        <w:rPr>
          <w:rFonts w:ascii="Verdana" w:hAnsi="Verdana"/>
          <w:sz w:val="20"/>
          <w:lang w:val="es-ES"/>
        </w:rPr>
        <w:t>que sean necesarias para dar efectivo y pronto cumplimiento a los puntos pendientes</w:t>
      </w:r>
      <w:r>
        <w:rPr>
          <w:rFonts w:ascii="Verdana" w:hAnsi="Verdana"/>
          <w:sz w:val="20"/>
          <w:lang w:val="es-ES"/>
        </w:rPr>
        <w:t xml:space="preserve"> </w:t>
      </w:r>
      <w:r w:rsidRPr="00D9597C">
        <w:rPr>
          <w:rFonts w:ascii="Verdana" w:hAnsi="Verdana"/>
          <w:sz w:val="20"/>
          <w:lang w:val="es-ES"/>
        </w:rPr>
        <w:t xml:space="preserve">de la Sentencia de </w:t>
      </w:r>
      <w:r w:rsidR="00CA5FEC" w:rsidRPr="00F95938">
        <w:rPr>
          <w:rFonts w:ascii="Verdana" w:hAnsi="Verdana"/>
          <w:sz w:val="20"/>
          <w:lang w:val="es-MX"/>
        </w:rPr>
        <w:t>excepciones preliminares, fondo, reparaciones y costas</w:t>
      </w:r>
      <w:r w:rsidR="00CA5FEC" w:rsidRPr="005173AF">
        <w:rPr>
          <w:rFonts w:ascii="Verdana" w:hAnsi="Verdana"/>
          <w:color w:val="00B050"/>
          <w:sz w:val="20"/>
          <w:lang w:val="es-MX"/>
        </w:rPr>
        <w:t xml:space="preserve"> </w:t>
      </w:r>
      <w:r w:rsidRPr="00D9597C">
        <w:rPr>
          <w:rFonts w:ascii="Verdana" w:hAnsi="Verdana"/>
          <w:sz w:val="20"/>
          <w:lang w:val="es-ES"/>
        </w:rPr>
        <w:t>emitida en el presente caso, de acuerdo con</w:t>
      </w:r>
      <w:r>
        <w:rPr>
          <w:rFonts w:ascii="Verdana" w:hAnsi="Verdana"/>
          <w:sz w:val="20"/>
          <w:lang w:val="es-ES"/>
        </w:rPr>
        <w:t xml:space="preserve"> </w:t>
      </w:r>
      <w:r w:rsidRPr="00D9597C">
        <w:rPr>
          <w:rFonts w:ascii="Verdana" w:hAnsi="Verdana"/>
          <w:sz w:val="20"/>
          <w:lang w:val="es-ES"/>
        </w:rPr>
        <w:t>lo considerado en la presente Resolución, y con lo estipulado en el artículo 68.1 de la</w:t>
      </w:r>
      <w:r>
        <w:rPr>
          <w:rFonts w:ascii="Verdana" w:hAnsi="Verdana"/>
          <w:sz w:val="20"/>
          <w:lang w:val="es-ES"/>
        </w:rPr>
        <w:t xml:space="preserve"> </w:t>
      </w:r>
      <w:r w:rsidRPr="00D9597C">
        <w:rPr>
          <w:rFonts w:ascii="Verdana" w:hAnsi="Verdana"/>
          <w:sz w:val="20"/>
          <w:lang w:val="es-ES"/>
        </w:rPr>
        <w:t>Convención Americana sobre Derechos Humanos.</w:t>
      </w:r>
    </w:p>
    <w:p w14:paraId="56EA12CB" w14:textId="77777777" w:rsidR="00D9597C" w:rsidRDefault="00D9597C" w:rsidP="00087462">
      <w:pPr>
        <w:spacing w:after="60"/>
        <w:jc w:val="both"/>
        <w:rPr>
          <w:rFonts w:ascii="Verdana" w:hAnsi="Verdana"/>
          <w:sz w:val="20"/>
          <w:lang w:val="es-MX"/>
        </w:rPr>
      </w:pPr>
    </w:p>
    <w:p w14:paraId="53284C3A" w14:textId="65FD1B6D" w:rsidR="002B39AC" w:rsidRPr="00386739" w:rsidRDefault="002B39AC" w:rsidP="00087462">
      <w:pPr>
        <w:numPr>
          <w:ilvl w:val="0"/>
          <w:numId w:val="3"/>
        </w:numPr>
        <w:spacing w:after="60"/>
        <w:ind w:left="0" w:hanging="11"/>
        <w:jc w:val="both"/>
        <w:rPr>
          <w:rFonts w:ascii="Verdana" w:hAnsi="Verdana"/>
          <w:sz w:val="20"/>
          <w:lang w:val="es-CR"/>
        </w:rPr>
      </w:pPr>
      <w:r w:rsidRPr="00386739">
        <w:rPr>
          <w:rFonts w:ascii="Verdana" w:hAnsi="Verdana"/>
          <w:sz w:val="20"/>
          <w:lang w:val="es-CR"/>
        </w:rPr>
        <w:t xml:space="preserve">Disponer que, de conformidad con el artículo 69 del Reglamento del Tribunal, </w:t>
      </w:r>
      <w:r w:rsidRPr="00386739">
        <w:rPr>
          <w:rFonts w:ascii="Verdana" w:hAnsi="Verdana"/>
          <w:sz w:val="20"/>
        </w:rPr>
        <w:t>previo</w:t>
      </w:r>
      <w:r w:rsidRPr="00386739">
        <w:rPr>
          <w:rFonts w:ascii="Verdana" w:hAnsi="Verdana"/>
          <w:sz w:val="20"/>
          <w:lang w:val="es-CR"/>
        </w:rPr>
        <w:t xml:space="preserve"> consentimiento y coordinación con el Estado de Surinam, el Presidente de la Corte podrá realizar una visita a Surinam con el fin de obtener, de forma directa, información relevante de las partes para supervisar el cumplimiento de la Sentencia, o podrá delegar a uno o más jueces de la Corte o funcionarios de la Secretaría su realización.</w:t>
      </w:r>
    </w:p>
    <w:p w14:paraId="3A121D3C" w14:textId="77777777" w:rsidR="002B39AC" w:rsidRDefault="002B39AC" w:rsidP="00087462">
      <w:pPr>
        <w:spacing w:after="60"/>
        <w:ind w:left="720"/>
        <w:jc w:val="both"/>
        <w:rPr>
          <w:rFonts w:ascii="Verdana" w:hAnsi="Verdana"/>
          <w:sz w:val="20"/>
          <w:lang w:val="es-CR"/>
        </w:rPr>
      </w:pPr>
    </w:p>
    <w:p w14:paraId="3367B8CC" w14:textId="0BF0E96C" w:rsidR="001C43DF" w:rsidRPr="00EF48AB" w:rsidRDefault="001C43DF" w:rsidP="00087462">
      <w:pPr>
        <w:numPr>
          <w:ilvl w:val="0"/>
          <w:numId w:val="3"/>
        </w:numPr>
        <w:spacing w:after="60"/>
        <w:ind w:left="0" w:hanging="11"/>
        <w:jc w:val="both"/>
        <w:rPr>
          <w:rFonts w:ascii="Verdana" w:hAnsi="Verdana"/>
          <w:sz w:val="20"/>
          <w:lang w:val="es-CR"/>
        </w:rPr>
      </w:pPr>
      <w:r w:rsidRPr="00EF48AB">
        <w:rPr>
          <w:rFonts w:ascii="Verdana" w:hAnsi="Verdana"/>
          <w:sz w:val="20"/>
          <w:lang w:val="es-CR"/>
        </w:rPr>
        <w:t xml:space="preserve">Disponer, con base en el artículo 69 del Reglamento de la Corte, que el Secretario inicie las gestiones dirigidas a coordinar con </w:t>
      </w:r>
      <w:r w:rsidR="000E3711" w:rsidRPr="00EF48AB">
        <w:rPr>
          <w:rFonts w:ascii="Verdana" w:hAnsi="Verdana"/>
          <w:sz w:val="20"/>
          <w:lang w:val="es-CR"/>
        </w:rPr>
        <w:t>Surinam</w:t>
      </w:r>
      <w:r w:rsidRPr="00EF48AB">
        <w:rPr>
          <w:rFonts w:ascii="Verdana" w:hAnsi="Verdana"/>
          <w:sz w:val="20"/>
          <w:lang w:val="es-CR"/>
        </w:rPr>
        <w:t xml:space="preserve"> la </w:t>
      </w:r>
      <w:r w:rsidR="002B39AC" w:rsidRPr="00386739">
        <w:rPr>
          <w:rFonts w:ascii="Verdana" w:hAnsi="Verdana"/>
          <w:sz w:val="20"/>
          <w:lang w:val="es-CR"/>
        </w:rPr>
        <w:t>posibilidad de realizar</w:t>
      </w:r>
      <w:r w:rsidRPr="00386739">
        <w:rPr>
          <w:rFonts w:ascii="Verdana" w:hAnsi="Verdana"/>
          <w:sz w:val="20"/>
          <w:lang w:val="es-CR"/>
        </w:rPr>
        <w:t xml:space="preserve"> </w:t>
      </w:r>
      <w:r w:rsidRPr="00EF48AB">
        <w:rPr>
          <w:rFonts w:ascii="Verdana" w:hAnsi="Verdana"/>
          <w:sz w:val="20"/>
          <w:lang w:val="es-CR"/>
        </w:rPr>
        <w:t>una visita a dicho país con el fin de obtener información relevante y precisa para supervisar el cumplimiento de la</w:t>
      </w:r>
      <w:r w:rsidR="009E2F1D" w:rsidRPr="00EF48AB">
        <w:rPr>
          <w:rFonts w:ascii="Verdana" w:hAnsi="Verdana"/>
          <w:sz w:val="20"/>
          <w:lang w:val="es-CR"/>
        </w:rPr>
        <w:t>s</w:t>
      </w:r>
      <w:r w:rsidRPr="00EF48AB">
        <w:rPr>
          <w:rFonts w:ascii="Verdana" w:hAnsi="Verdana"/>
          <w:sz w:val="20"/>
          <w:lang w:val="es-CR"/>
        </w:rPr>
        <w:t xml:space="preserve"> medida</w:t>
      </w:r>
      <w:r w:rsidR="009E2F1D" w:rsidRPr="00EF48AB">
        <w:rPr>
          <w:rFonts w:ascii="Verdana" w:hAnsi="Verdana"/>
          <w:sz w:val="20"/>
          <w:lang w:val="es-CR"/>
        </w:rPr>
        <w:t>s</w:t>
      </w:r>
      <w:r w:rsidRPr="00EF48AB">
        <w:rPr>
          <w:rFonts w:ascii="Verdana" w:hAnsi="Verdana"/>
          <w:sz w:val="20"/>
          <w:lang w:val="es-CR"/>
        </w:rPr>
        <w:t xml:space="preserve"> de reparación </w:t>
      </w:r>
      <w:r w:rsidR="009E2F1D" w:rsidRPr="00EF48AB">
        <w:rPr>
          <w:rFonts w:ascii="Verdana" w:hAnsi="Verdana"/>
          <w:sz w:val="20"/>
          <w:lang w:val="es-CR"/>
        </w:rPr>
        <w:t>pendientes de cumplimiento</w:t>
      </w:r>
      <w:r w:rsidRPr="00EF48AB">
        <w:rPr>
          <w:rFonts w:ascii="Verdana" w:hAnsi="Verdana"/>
          <w:sz w:val="20"/>
          <w:lang w:val="es-CR"/>
        </w:rPr>
        <w:t xml:space="preserve">. </w:t>
      </w:r>
    </w:p>
    <w:p w14:paraId="2D293D0E" w14:textId="77777777" w:rsidR="00E54903" w:rsidRDefault="00E54903" w:rsidP="00087462">
      <w:pPr>
        <w:pStyle w:val="ListParagraph"/>
        <w:spacing w:after="60"/>
        <w:rPr>
          <w:rFonts w:ascii="Verdana" w:hAnsi="Verdana"/>
          <w:sz w:val="20"/>
          <w:lang w:val="es-MX"/>
        </w:rPr>
      </w:pPr>
    </w:p>
    <w:p w14:paraId="22181ED9" w14:textId="00D060BE" w:rsidR="00E54903" w:rsidRDefault="00391C45" w:rsidP="00087462">
      <w:pPr>
        <w:numPr>
          <w:ilvl w:val="0"/>
          <w:numId w:val="3"/>
        </w:numPr>
        <w:spacing w:after="60"/>
        <w:ind w:left="0" w:hanging="11"/>
        <w:jc w:val="both"/>
        <w:rPr>
          <w:rFonts w:ascii="Verdana" w:hAnsi="Verdana"/>
          <w:sz w:val="20"/>
          <w:lang w:val="es-MX"/>
        </w:rPr>
      </w:pPr>
      <w:bookmarkStart w:id="37" w:name="_Ref526764676"/>
      <w:r>
        <w:rPr>
          <w:rFonts w:ascii="Verdana" w:hAnsi="Verdana"/>
          <w:sz w:val="20"/>
          <w:lang w:val="es-MX"/>
        </w:rPr>
        <w:t>Requerir</w:t>
      </w:r>
      <w:r w:rsidR="00226DCD">
        <w:rPr>
          <w:rFonts w:ascii="Verdana" w:hAnsi="Verdana"/>
          <w:sz w:val="20"/>
          <w:lang w:val="es-MX"/>
        </w:rPr>
        <w:t xml:space="preserve"> </w:t>
      </w:r>
      <w:r>
        <w:rPr>
          <w:rFonts w:ascii="Verdana" w:hAnsi="Verdana"/>
          <w:sz w:val="20"/>
          <w:lang w:val="es-MX"/>
        </w:rPr>
        <w:t>a</w:t>
      </w:r>
      <w:r w:rsidR="00E54903">
        <w:rPr>
          <w:rFonts w:ascii="Verdana" w:hAnsi="Verdana"/>
          <w:sz w:val="20"/>
          <w:lang w:val="es-MX"/>
        </w:rPr>
        <w:t xml:space="preserve">l Estado </w:t>
      </w:r>
      <w:r>
        <w:rPr>
          <w:rFonts w:ascii="Verdana" w:hAnsi="Verdana"/>
          <w:sz w:val="20"/>
          <w:lang w:val="es-MX"/>
        </w:rPr>
        <w:t xml:space="preserve">que </w:t>
      </w:r>
      <w:r w:rsidR="00E54903">
        <w:rPr>
          <w:rFonts w:ascii="Verdana" w:hAnsi="Verdana"/>
          <w:sz w:val="20"/>
          <w:lang w:val="es-MX"/>
        </w:rPr>
        <w:t xml:space="preserve">presente a la Corte Interamericana de Derechos Humanos, a más tardar </w:t>
      </w:r>
      <w:r w:rsidR="00E54903" w:rsidRPr="00226DCD">
        <w:rPr>
          <w:rFonts w:ascii="Verdana" w:hAnsi="Verdana"/>
          <w:sz w:val="20"/>
          <w:lang w:val="es-MX"/>
        </w:rPr>
        <w:t xml:space="preserve">el </w:t>
      </w:r>
      <w:r w:rsidR="002B39AC">
        <w:rPr>
          <w:rFonts w:ascii="Verdana" w:hAnsi="Verdana"/>
          <w:sz w:val="20"/>
          <w:lang w:val="es-MX"/>
        </w:rPr>
        <w:t>15</w:t>
      </w:r>
      <w:r w:rsidR="00E54903" w:rsidRPr="00226DCD">
        <w:rPr>
          <w:rFonts w:ascii="Verdana" w:hAnsi="Verdana"/>
          <w:sz w:val="20"/>
          <w:lang w:val="es-MX"/>
        </w:rPr>
        <w:t xml:space="preserve"> de </w:t>
      </w:r>
      <w:r w:rsidR="00226DCD" w:rsidRPr="00226DCD">
        <w:rPr>
          <w:rFonts w:ascii="Verdana" w:hAnsi="Verdana"/>
          <w:sz w:val="20"/>
          <w:lang w:val="es-MX"/>
        </w:rPr>
        <w:t>enero</w:t>
      </w:r>
      <w:r w:rsidR="00E54903" w:rsidRPr="00226DCD">
        <w:rPr>
          <w:rFonts w:ascii="Verdana" w:hAnsi="Verdana"/>
          <w:sz w:val="20"/>
          <w:lang w:val="es-MX"/>
        </w:rPr>
        <w:t xml:space="preserve"> de </w:t>
      </w:r>
      <w:r w:rsidR="00F30358">
        <w:rPr>
          <w:rFonts w:ascii="Verdana" w:hAnsi="Verdana"/>
          <w:sz w:val="20"/>
          <w:lang w:val="es-MX"/>
        </w:rPr>
        <w:t>201</w:t>
      </w:r>
      <w:r w:rsidR="00AF6005">
        <w:rPr>
          <w:rFonts w:ascii="Verdana" w:hAnsi="Verdana"/>
          <w:sz w:val="20"/>
          <w:lang w:val="es-MX"/>
        </w:rPr>
        <w:t>9</w:t>
      </w:r>
      <w:r w:rsidR="00F30358">
        <w:rPr>
          <w:rFonts w:ascii="Verdana" w:hAnsi="Verdana"/>
          <w:sz w:val="20"/>
          <w:lang w:val="es-MX"/>
        </w:rPr>
        <w:t>,</w:t>
      </w:r>
      <w:r w:rsidR="00E54903">
        <w:rPr>
          <w:rFonts w:ascii="Verdana" w:hAnsi="Verdana"/>
          <w:sz w:val="20"/>
          <w:lang w:val="es-MX"/>
        </w:rPr>
        <w:t xml:space="preserve"> un informe en el cual indique las medidas adoptadas para cumplir con las reparaciones ordenadas por esta Corte, de conformidad con la parte considerativa de esta Resolución.</w:t>
      </w:r>
      <w:bookmarkEnd w:id="37"/>
    </w:p>
    <w:p w14:paraId="12643FBB" w14:textId="77777777" w:rsidR="00E54903" w:rsidRDefault="00E54903" w:rsidP="00087462">
      <w:pPr>
        <w:pStyle w:val="ListParagraph"/>
        <w:spacing w:after="60"/>
        <w:rPr>
          <w:rFonts w:ascii="Verdana" w:hAnsi="Verdana"/>
          <w:sz w:val="20"/>
          <w:lang w:val="es-MX"/>
        </w:rPr>
      </w:pPr>
    </w:p>
    <w:p w14:paraId="2AED94B1" w14:textId="551C1BEF" w:rsidR="00E54903" w:rsidRDefault="00391C45" w:rsidP="00087462">
      <w:pPr>
        <w:numPr>
          <w:ilvl w:val="0"/>
          <w:numId w:val="3"/>
        </w:numPr>
        <w:spacing w:after="60"/>
        <w:ind w:left="0" w:hanging="11"/>
        <w:jc w:val="both"/>
        <w:rPr>
          <w:rFonts w:ascii="Verdana" w:hAnsi="Verdana"/>
          <w:sz w:val="20"/>
          <w:lang w:val="es-MX"/>
        </w:rPr>
      </w:pPr>
      <w:r>
        <w:rPr>
          <w:rFonts w:ascii="Verdana" w:hAnsi="Verdana"/>
          <w:sz w:val="20"/>
          <w:lang w:val="es-MX"/>
        </w:rPr>
        <w:t>Requerir</w:t>
      </w:r>
      <w:r w:rsidR="00226DCD">
        <w:rPr>
          <w:rFonts w:ascii="Verdana" w:hAnsi="Verdana"/>
          <w:sz w:val="20"/>
          <w:lang w:val="es-MX"/>
        </w:rPr>
        <w:t xml:space="preserve"> </w:t>
      </w:r>
      <w:r>
        <w:rPr>
          <w:rFonts w:ascii="Verdana" w:hAnsi="Verdana"/>
          <w:sz w:val="20"/>
          <w:lang w:val="es-MX"/>
        </w:rPr>
        <w:t xml:space="preserve">a </w:t>
      </w:r>
      <w:r w:rsidR="00E54903">
        <w:rPr>
          <w:rFonts w:ascii="Verdana" w:hAnsi="Verdana"/>
          <w:sz w:val="20"/>
          <w:lang w:val="es-MX"/>
        </w:rPr>
        <w:t xml:space="preserve">los representantes de las víctimas y </w:t>
      </w:r>
      <w:r>
        <w:rPr>
          <w:rFonts w:ascii="Verdana" w:hAnsi="Verdana"/>
          <w:sz w:val="20"/>
          <w:lang w:val="es-MX"/>
        </w:rPr>
        <w:t xml:space="preserve">a </w:t>
      </w:r>
      <w:r w:rsidR="00E54903">
        <w:rPr>
          <w:rFonts w:ascii="Verdana" w:hAnsi="Verdana"/>
          <w:sz w:val="20"/>
          <w:lang w:val="es-MX"/>
        </w:rPr>
        <w:t>la Comisión Interamericana de Derechos Humanos</w:t>
      </w:r>
      <w:r>
        <w:rPr>
          <w:rFonts w:ascii="Verdana" w:hAnsi="Verdana"/>
          <w:sz w:val="20"/>
          <w:lang w:val="es-MX"/>
        </w:rPr>
        <w:t xml:space="preserve"> que</w:t>
      </w:r>
      <w:r w:rsidR="00E54903">
        <w:rPr>
          <w:rFonts w:ascii="Verdana" w:hAnsi="Verdana"/>
          <w:sz w:val="20"/>
          <w:lang w:val="es-MX"/>
        </w:rPr>
        <w:t xml:space="preserve"> presenten observaciones al informe del Estado mencionado en el punto resolutivo anterior, en los plazos de cuatro y seis semanas, respectivamente, contados a partir de la recepción del informe. </w:t>
      </w:r>
    </w:p>
    <w:p w14:paraId="776E2722" w14:textId="77777777" w:rsidR="00E54903" w:rsidRDefault="00E54903" w:rsidP="00087462">
      <w:pPr>
        <w:spacing w:after="60"/>
        <w:jc w:val="both"/>
        <w:rPr>
          <w:rFonts w:ascii="Verdana" w:hAnsi="Verdana"/>
          <w:sz w:val="20"/>
          <w:lang w:val="es-MX"/>
        </w:rPr>
      </w:pPr>
    </w:p>
    <w:p w14:paraId="57E04593" w14:textId="6420FE1F" w:rsidR="00E54903" w:rsidRPr="005C4BA3" w:rsidRDefault="00391C45" w:rsidP="00087462">
      <w:pPr>
        <w:numPr>
          <w:ilvl w:val="0"/>
          <w:numId w:val="3"/>
        </w:numPr>
        <w:spacing w:after="60"/>
        <w:ind w:left="0" w:hanging="11"/>
        <w:jc w:val="both"/>
        <w:rPr>
          <w:rFonts w:ascii="Verdana" w:hAnsi="Verdana"/>
          <w:sz w:val="20"/>
          <w:lang w:val="es-MX"/>
        </w:rPr>
      </w:pPr>
      <w:r>
        <w:rPr>
          <w:rFonts w:ascii="Verdana" w:hAnsi="Verdana"/>
          <w:sz w:val="20"/>
        </w:rPr>
        <w:t>Requerir a</w:t>
      </w:r>
      <w:r w:rsidR="00E54903">
        <w:rPr>
          <w:rFonts w:ascii="Verdana" w:hAnsi="Verdana"/>
          <w:sz w:val="20"/>
        </w:rPr>
        <w:t xml:space="preserve"> la Secretaría de la Corte </w:t>
      </w:r>
      <w:r w:rsidR="00467624">
        <w:rPr>
          <w:rFonts w:ascii="Verdana" w:hAnsi="Verdana"/>
          <w:sz w:val="20"/>
        </w:rPr>
        <w:t xml:space="preserve">que </w:t>
      </w:r>
      <w:r w:rsidR="00E54903">
        <w:rPr>
          <w:rFonts w:ascii="Verdana" w:hAnsi="Verdana"/>
          <w:sz w:val="20"/>
        </w:rPr>
        <w:t xml:space="preserve">notifique la presente Resolución al Estado, a los representantes de las víctimas y a la Comisión Interamericana de Derechos Humanos. </w:t>
      </w:r>
    </w:p>
    <w:p w14:paraId="77648D67" w14:textId="77777777" w:rsidR="005C4BA3" w:rsidRDefault="005C4BA3" w:rsidP="005C4BA3">
      <w:pPr>
        <w:pStyle w:val="ListParagraph"/>
        <w:rPr>
          <w:rFonts w:ascii="Verdana" w:hAnsi="Verdana"/>
          <w:sz w:val="20"/>
          <w:lang w:val="es-MX"/>
        </w:rPr>
      </w:pPr>
    </w:p>
    <w:p w14:paraId="14115131" w14:textId="77777777" w:rsidR="005C4BA3" w:rsidRDefault="005C4BA3" w:rsidP="005C4BA3">
      <w:pPr>
        <w:spacing w:after="60"/>
        <w:jc w:val="both"/>
        <w:rPr>
          <w:rFonts w:ascii="Verdana" w:hAnsi="Verdana"/>
          <w:sz w:val="20"/>
          <w:lang w:val="es-MX"/>
        </w:rPr>
      </w:pPr>
    </w:p>
    <w:p w14:paraId="6791A8FE" w14:textId="77777777" w:rsidR="005C4BA3" w:rsidRDefault="005C4BA3" w:rsidP="005C4BA3">
      <w:pPr>
        <w:spacing w:after="60"/>
        <w:jc w:val="both"/>
        <w:rPr>
          <w:rFonts w:ascii="Verdana" w:hAnsi="Verdana"/>
          <w:sz w:val="20"/>
          <w:lang w:val="es-MX"/>
        </w:rPr>
      </w:pPr>
    </w:p>
    <w:p w14:paraId="5A0D0CC9" w14:textId="77777777" w:rsidR="005C4BA3" w:rsidRDefault="005C4BA3" w:rsidP="005C4BA3">
      <w:pPr>
        <w:spacing w:after="60"/>
        <w:jc w:val="both"/>
        <w:rPr>
          <w:rFonts w:ascii="Verdana" w:hAnsi="Verdana"/>
          <w:sz w:val="20"/>
          <w:lang w:val="es-MX"/>
        </w:rPr>
      </w:pPr>
    </w:p>
    <w:p w14:paraId="274C4FB9" w14:textId="77777777" w:rsidR="005C4BA3" w:rsidRPr="009D1348" w:rsidRDefault="005C4BA3" w:rsidP="005C4BA3">
      <w:pPr>
        <w:keepNext/>
        <w:jc w:val="both"/>
        <w:outlineLvl w:val="0"/>
        <w:rPr>
          <w:rFonts w:ascii="Verdana" w:hAnsi="Verdana" w:cs="Verdana"/>
          <w:b/>
          <w:bCs/>
          <w:sz w:val="20"/>
          <w:lang w:val="es-ES"/>
        </w:rPr>
      </w:pPr>
      <w:r w:rsidRPr="004F2FDE">
        <w:rPr>
          <w:rFonts w:ascii="Verdana" w:hAnsi="Verdana" w:cs="Courier New"/>
          <w:noProof/>
          <w:sz w:val="20"/>
        </w:rPr>
        <w:lastRenderedPageBreak/>
        <w:t xml:space="preserve">Corte IDH. </w:t>
      </w:r>
      <w:r w:rsidRPr="00434BA3">
        <w:rPr>
          <w:rFonts w:ascii="Verdana" w:hAnsi="Verdana"/>
          <w:i/>
          <w:sz w:val="20"/>
          <w:lang w:val="es-ES"/>
        </w:rPr>
        <w:t xml:space="preserve">Caso Pueblo </w:t>
      </w:r>
      <w:proofErr w:type="spellStart"/>
      <w:r w:rsidRPr="00434BA3">
        <w:rPr>
          <w:rFonts w:ascii="Verdana" w:hAnsi="Verdana"/>
          <w:i/>
          <w:sz w:val="20"/>
          <w:lang w:val="es-ES"/>
        </w:rPr>
        <w:t>Saramaka</w:t>
      </w:r>
      <w:proofErr w:type="spellEnd"/>
      <w:r w:rsidRPr="00434BA3">
        <w:rPr>
          <w:rFonts w:ascii="Verdana" w:hAnsi="Verdana"/>
          <w:i/>
          <w:sz w:val="20"/>
          <w:lang w:val="es-ES"/>
        </w:rPr>
        <w:t xml:space="preserve"> Vs. </w:t>
      </w:r>
      <w:proofErr w:type="spellStart"/>
      <w:r w:rsidRPr="00434BA3">
        <w:rPr>
          <w:rFonts w:ascii="Verdana" w:hAnsi="Verdana"/>
          <w:i/>
          <w:sz w:val="20"/>
          <w:lang w:val="es-ES"/>
        </w:rPr>
        <w:t>Suriname</w:t>
      </w:r>
      <w:proofErr w:type="spellEnd"/>
      <w:r w:rsidRPr="004F2FDE">
        <w:rPr>
          <w:rFonts w:ascii="Verdana" w:hAnsi="Verdana"/>
          <w:bCs/>
          <w:i/>
          <w:sz w:val="20"/>
          <w:lang w:val="es-ES"/>
        </w:rPr>
        <w:t xml:space="preserve">.  </w:t>
      </w:r>
      <w:r w:rsidRPr="009D1348">
        <w:rPr>
          <w:rFonts w:ascii="Verdana" w:hAnsi="Verdana"/>
          <w:bCs/>
          <w:i/>
          <w:sz w:val="20"/>
          <w:lang w:val="es-CR"/>
        </w:rPr>
        <w:t xml:space="preserve">Supervisión de Cumplimiento de Sentencia. </w:t>
      </w:r>
      <w:r w:rsidRPr="009D1348">
        <w:rPr>
          <w:rFonts w:ascii="Verdana" w:hAnsi="Verdana"/>
          <w:sz w:val="20"/>
          <w:lang w:val="es-CR"/>
        </w:rPr>
        <w:t xml:space="preserve"> </w:t>
      </w:r>
      <w:r w:rsidRPr="009D1348">
        <w:rPr>
          <w:rFonts w:ascii="Verdana" w:hAnsi="Verdana"/>
          <w:sz w:val="20"/>
          <w:lang w:val="es-ES"/>
        </w:rPr>
        <w:t xml:space="preserve">Resolución de la Corte Interamericana de Derechos Humanos de </w:t>
      </w:r>
      <w:r w:rsidRPr="009D1348">
        <w:rPr>
          <w:rFonts w:ascii="Verdana" w:hAnsi="Verdana"/>
          <w:sz w:val="20"/>
          <w:lang w:val="es-CR"/>
        </w:rPr>
        <w:t>26 de septiembre de 2018</w:t>
      </w:r>
      <w:r w:rsidRPr="009D1348">
        <w:rPr>
          <w:rFonts w:ascii="Verdana" w:hAnsi="Verdana"/>
          <w:sz w:val="20"/>
          <w:lang w:val="es-ES"/>
        </w:rPr>
        <w:t xml:space="preserve">. </w:t>
      </w:r>
    </w:p>
    <w:p w14:paraId="359B265A" w14:textId="77777777" w:rsidR="005C4BA3" w:rsidRPr="009D1348" w:rsidRDefault="005C4BA3" w:rsidP="005C4BA3">
      <w:pPr>
        <w:tabs>
          <w:tab w:val="left" w:pos="567"/>
        </w:tabs>
        <w:jc w:val="both"/>
        <w:rPr>
          <w:rFonts w:ascii="Verdana" w:hAnsi="Verdana"/>
          <w:sz w:val="20"/>
          <w:lang w:val="es-ES"/>
        </w:rPr>
      </w:pPr>
    </w:p>
    <w:p w14:paraId="1C1B22BD" w14:textId="77777777" w:rsidR="005C4BA3" w:rsidRDefault="005C4BA3" w:rsidP="005C4BA3">
      <w:pPr>
        <w:jc w:val="both"/>
        <w:rPr>
          <w:rFonts w:ascii="Verdana" w:hAnsi="Verdana"/>
          <w:sz w:val="20"/>
          <w:lang w:val="es-ES"/>
        </w:rPr>
      </w:pPr>
    </w:p>
    <w:p w14:paraId="5810708B" w14:textId="77777777" w:rsidR="005C4BA3" w:rsidRPr="009D1348" w:rsidRDefault="005C4BA3" w:rsidP="005C4BA3">
      <w:pPr>
        <w:jc w:val="both"/>
        <w:rPr>
          <w:rFonts w:ascii="Verdana" w:hAnsi="Verdana"/>
          <w:sz w:val="20"/>
          <w:lang w:val="es-ES"/>
        </w:rPr>
      </w:pPr>
    </w:p>
    <w:p w14:paraId="09BA7411" w14:textId="77777777" w:rsidR="005C4BA3" w:rsidRPr="009D1348" w:rsidRDefault="005C4BA3" w:rsidP="005C4BA3">
      <w:pPr>
        <w:jc w:val="center"/>
        <w:rPr>
          <w:rFonts w:ascii="Verdana" w:hAnsi="Verdana"/>
          <w:sz w:val="20"/>
          <w:lang w:val="es-ES"/>
        </w:rPr>
      </w:pPr>
    </w:p>
    <w:p w14:paraId="51037569" w14:textId="77777777" w:rsidR="005C4BA3" w:rsidRPr="004F2FDE" w:rsidRDefault="005C4BA3" w:rsidP="005C4BA3">
      <w:pPr>
        <w:jc w:val="center"/>
        <w:rPr>
          <w:rFonts w:ascii="Verdana" w:hAnsi="Verdana"/>
          <w:sz w:val="20"/>
          <w:lang w:val="es-ES"/>
        </w:rPr>
      </w:pPr>
      <w:r w:rsidRPr="004F2FDE">
        <w:rPr>
          <w:rFonts w:ascii="Verdana" w:hAnsi="Verdana"/>
          <w:sz w:val="20"/>
          <w:lang w:val="es-ES"/>
        </w:rPr>
        <w:t>Eduardo Ferrer Mac-</w:t>
      </w:r>
      <w:proofErr w:type="spellStart"/>
      <w:r w:rsidRPr="004F2FDE">
        <w:rPr>
          <w:rFonts w:ascii="Verdana" w:hAnsi="Verdana"/>
          <w:sz w:val="20"/>
          <w:lang w:val="es-ES"/>
        </w:rPr>
        <w:t>Gregor</w:t>
      </w:r>
      <w:proofErr w:type="spellEnd"/>
      <w:r w:rsidRPr="004F2FDE">
        <w:rPr>
          <w:rFonts w:ascii="Verdana" w:hAnsi="Verdana"/>
          <w:sz w:val="20"/>
          <w:lang w:val="es-ES"/>
        </w:rPr>
        <w:t xml:space="preserve"> </w:t>
      </w:r>
      <w:proofErr w:type="spellStart"/>
      <w:r w:rsidRPr="004F2FDE">
        <w:rPr>
          <w:rFonts w:ascii="Verdana" w:hAnsi="Verdana"/>
          <w:sz w:val="20"/>
          <w:lang w:val="es-ES"/>
        </w:rPr>
        <w:t>Poisot</w:t>
      </w:r>
      <w:proofErr w:type="spellEnd"/>
    </w:p>
    <w:p w14:paraId="0CBC10B1" w14:textId="77777777" w:rsidR="005C4BA3" w:rsidRPr="004F2FDE" w:rsidRDefault="005C4BA3" w:rsidP="005C4BA3">
      <w:pPr>
        <w:jc w:val="center"/>
        <w:rPr>
          <w:rFonts w:ascii="Verdana" w:hAnsi="Verdana"/>
          <w:sz w:val="20"/>
          <w:lang w:val="es-ES"/>
        </w:rPr>
      </w:pPr>
      <w:r w:rsidRPr="004F2FDE">
        <w:rPr>
          <w:rFonts w:ascii="Verdana" w:hAnsi="Verdana"/>
          <w:sz w:val="20"/>
          <w:lang w:val="es-ES"/>
        </w:rPr>
        <w:t xml:space="preserve">Presidente </w:t>
      </w:r>
    </w:p>
    <w:p w14:paraId="25D91E16" w14:textId="77777777" w:rsidR="005C4BA3" w:rsidRPr="004F2FDE" w:rsidRDefault="005C4BA3" w:rsidP="005C4BA3">
      <w:pPr>
        <w:jc w:val="both"/>
        <w:rPr>
          <w:rFonts w:ascii="Verdana" w:hAnsi="Verdana"/>
          <w:sz w:val="20"/>
          <w:lang w:val="es-ES"/>
        </w:rPr>
      </w:pPr>
    </w:p>
    <w:p w14:paraId="1563E5EC" w14:textId="77777777" w:rsidR="005C4BA3" w:rsidRPr="004F2FDE" w:rsidRDefault="005C4BA3" w:rsidP="005C4BA3">
      <w:pPr>
        <w:jc w:val="both"/>
        <w:rPr>
          <w:rFonts w:ascii="Verdana" w:hAnsi="Verdana"/>
          <w:sz w:val="20"/>
          <w:lang w:val="es-ES"/>
        </w:rPr>
      </w:pPr>
    </w:p>
    <w:p w14:paraId="34783D7E" w14:textId="77777777" w:rsidR="005C4BA3" w:rsidRPr="004F2FDE" w:rsidRDefault="005C4BA3" w:rsidP="005C4BA3">
      <w:pPr>
        <w:jc w:val="both"/>
        <w:rPr>
          <w:rFonts w:ascii="Verdana" w:hAnsi="Verdana"/>
          <w:sz w:val="20"/>
          <w:lang w:val="es-ES"/>
        </w:rPr>
      </w:pPr>
    </w:p>
    <w:p w14:paraId="03DBCB71" w14:textId="77777777" w:rsidR="005C4BA3" w:rsidRPr="004F2FDE" w:rsidRDefault="005C4BA3" w:rsidP="005C4BA3">
      <w:pPr>
        <w:jc w:val="both"/>
        <w:rPr>
          <w:rFonts w:ascii="Verdana" w:hAnsi="Verdana"/>
          <w:sz w:val="20"/>
          <w:lang w:val="es-ES"/>
        </w:rPr>
      </w:pPr>
    </w:p>
    <w:p w14:paraId="2218582A" w14:textId="77777777" w:rsidR="005C4BA3" w:rsidRPr="004F2FDE" w:rsidRDefault="005C4BA3" w:rsidP="005C4BA3">
      <w:pPr>
        <w:jc w:val="both"/>
        <w:rPr>
          <w:rFonts w:ascii="Verdana" w:hAnsi="Verdana"/>
          <w:sz w:val="20"/>
          <w:lang w:val="es-ES"/>
        </w:rPr>
      </w:pPr>
    </w:p>
    <w:p w14:paraId="1AFAF9E2" w14:textId="77777777" w:rsidR="005C4BA3" w:rsidRPr="00B97595" w:rsidRDefault="005C4BA3" w:rsidP="005C4BA3">
      <w:pPr>
        <w:jc w:val="both"/>
        <w:rPr>
          <w:rFonts w:ascii="Verdana" w:hAnsi="Verdana"/>
          <w:sz w:val="20"/>
          <w:lang w:val="es-CR"/>
        </w:rPr>
      </w:pPr>
      <w:r w:rsidRPr="00B97595">
        <w:rPr>
          <w:rFonts w:ascii="Verdana" w:hAnsi="Verdana"/>
          <w:sz w:val="20"/>
          <w:lang w:val="es-CR"/>
        </w:rPr>
        <w:t>Eduardo Vio Grossi</w:t>
      </w:r>
      <w:r w:rsidRPr="00B97595">
        <w:rPr>
          <w:rFonts w:ascii="Verdana" w:hAnsi="Verdana"/>
          <w:sz w:val="20"/>
          <w:lang w:val="es-CR"/>
        </w:rPr>
        <w:tab/>
      </w:r>
      <w:r w:rsidRPr="00B97595">
        <w:rPr>
          <w:rFonts w:ascii="Verdana" w:hAnsi="Verdana"/>
          <w:sz w:val="20"/>
          <w:lang w:val="es-CR"/>
        </w:rPr>
        <w:tab/>
      </w:r>
      <w:r w:rsidRPr="00B97595">
        <w:rPr>
          <w:rFonts w:ascii="Verdana" w:hAnsi="Verdana"/>
          <w:sz w:val="20"/>
          <w:lang w:val="es-CR"/>
        </w:rPr>
        <w:tab/>
      </w:r>
      <w:r w:rsidRPr="00B97595">
        <w:rPr>
          <w:rFonts w:ascii="Verdana" w:hAnsi="Verdana"/>
          <w:sz w:val="20"/>
          <w:lang w:val="es-CR"/>
        </w:rPr>
        <w:tab/>
      </w:r>
      <w:r w:rsidRPr="00B97595">
        <w:rPr>
          <w:rFonts w:ascii="Verdana" w:hAnsi="Verdana"/>
          <w:sz w:val="20"/>
          <w:lang w:val="es-CR"/>
        </w:rPr>
        <w:tab/>
      </w:r>
      <w:r w:rsidRPr="00B97595">
        <w:rPr>
          <w:rFonts w:ascii="Verdana" w:hAnsi="Verdana"/>
          <w:sz w:val="20"/>
          <w:lang w:val="es-CR"/>
        </w:rPr>
        <w:tab/>
      </w:r>
      <w:r>
        <w:rPr>
          <w:rFonts w:ascii="Verdana" w:hAnsi="Verdana"/>
          <w:sz w:val="20"/>
          <w:lang w:val="es-CR"/>
        </w:rPr>
        <w:t>Humberto Antonio Sierra Porto</w:t>
      </w:r>
    </w:p>
    <w:p w14:paraId="2951168A" w14:textId="77777777" w:rsidR="005C4BA3" w:rsidRPr="00B97595" w:rsidRDefault="005C4BA3" w:rsidP="005C4BA3">
      <w:pPr>
        <w:jc w:val="both"/>
        <w:rPr>
          <w:rFonts w:ascii="Verdana" w:hAnsi="Verdana"/>
          <w:sz w:val="20"/>
          <w:lang w:val="es-CR"/>
        </w:rPr>
      </w:pPr>
    </w:p>
    <w:p w14:paraId="26DA71E5" w14:textId="77777777" w:rsidR="005C4BA3" w:rsidRPr="00B97595" w:rsidRDefault="005C4BA3" w:rsidP="005C4BA3">
      <w:pPr>
        <w:jc w:val="both"/>
        <w:rPr>
          <w:rFonts w:ascii="Verdana" w:hAnsi="Verdana"/>
          <w:sz w:val="20"/>
          <w:lang w:val="es-CR"/>
        </w:rPr>
      </w:pPr>
    </w:p>
    <w:p w14:paraId="255015CA" w14:textId="77777777" w:rsidR="005C4BA3" w:rsidRDefault="005C4BA3" w:rsidP="005C4BA3">
      <w:pPr>
        <w:jc w:val="both"/>
        <w:rPr>
          <w:rFonts w:ascii="Verdana" w:hAnsi="Verdana"/>
          <w:sz w:val="20"/>
          <w:lang w:val="es-CR"/>
        </w:rPr>
      </w:pPr>
    </w:p>
    <w:p w14:paraId="0C60B7AF" w14:textId="77777777" w:rsidR="005C4BA3" w:rsidRDefault="005C4BA3" w:rsidP="005C4BA3">
      <w:pPr>
        <w:jc w:val="both"/>
        <w:rPr>
          <w:rFonts w:ascii="Verdana" w:hAnsi="Verdana"/>
          <w:sz w:val="20"/>
          <w:lang w:val="es-CR"/>
        </w:rPr>
      </w:pPr>
    </w:p>
    <w:p w14:paraId="75736B1E" w14:textId="77777777" w:rsidR="005C4BA3" w:rsidRDefault="005C4BA3" w:rsidP="005C4BA3">
      <w:pPr>
        <w:jc w:val="both"/>
        <w:rPr>
          <w:rFonts w:ascii="Verdana" w:hAnsi="Verdana"/>
          <w:sz w:val="20"/>
          <w:lang w:val="es-CR"/>
        </w:rPr>
      </w:pPr>
    </w:p>
    <w:p w14:paraId="67E16717" w14:textId="77777777" w:rsidR="005C4BA3" w:rsidRDefault="005C4BA3" w:rsidP="005C4BA3">
      <w:pPr>
        <w:jc w:val="both"/>
        <w:rPr>
          <w:rFonts w:ascii="Verdana" w:hAnsi="Verdana"/>
          <w:sz w:val="20"/>
          <w:lang w:val="es-ES"/>
        </w:rPr>
      </w:pPr>
      <w:r>
        <w:rPr>
          <w:rFonts w:ascii="Verdana" w:hAnsi="Verdana"/>
          <w:sz w:val="20"/>
          <w:lang w:val="es-ES"/>
        </w:rPr>
        <w:t xml:space="preserve">Eugenio </w:t>
      </w:r>
      <w:proofErr w:type="spellStart"/>
      <w:r>
        <w:rPr>
          <w:rFonts w:ascii="Verdana" w:hAnsi="Verdana"/>
          <w:sz w:val="20"/>
          <w:lang w:val="es-ES"/>
        </w:rPr>
        <w:t>Raul</w:t>
      </w:r>
      <w:proofErr w:type="spellEnd"/>
      <w:r>
        <w:rPr>
          <w:rFonts w:ascii="Verdana" w:hAnsi="Verdana"/>
          <w:sz w:val="20"/>
          <w:lang w:val="es-ES"/>
        </w:rPr>
        <w:t xml:space="preserve"> </w:t>
      </w:r>
      <w:proofErr w:type="spellStart"/>
      <w:r>
        <w:rPr>
          <w:rFonts w:ascii="Verdana" w:hAnsi="Verdana"/>
          <w:sz w:val="20"/>
          <w:lang w:val="es-ES"/>
        </w:rPr>
        <w:t>Zaffaroni</w:t>
      </w:r>
      <w:proofErr w:type="spellEnd"/>
      <w:r>
        <w:rPr>
          <w:rFonts w:ascii="Verdana" w:hAnsi="Verdana"/>
          <w:sz w:val="20"/>
          <w:lang w:val="es-ES"/>
        </w:rPr>
        <w:t xml:space="preserve">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L. Patricio Pazmiño Freire</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p>
    <w:p w14:paraId="4D3CCDAC" w14:textId="77777777" w:rsidR="005C4BA3" w:rsidRDefault="005C4BA3" w:rsidP="005C4BA3">
      <w:pPr>
        <w:jc w:val="both"/>
        <w:rPr>
          <w:rFonts w:ascii="Verdana" w:hAnsi="Verdana"/>
          <w:sz w:val="20"/>
          <w:lang w:val="es-ES"/>
        </w:rPr>
      </w:pPr>
    </w:p>
    <w:p w14:paraId="30AB240A" w14:textId="77777777" w:rsidR="005C4BA3" w:rsidRDefault="005C4BA3" w:rsidP="005C4BA3">
      <w:pPr>
        <w:jc w:val="both"/>
        <w:rPr>
          <w:rFonts w:ascii="Verdana" w:hAnsi="Verdana"/>
          <w:sz w:val="20"/>
          <w:lang w:val="es-ES"/>
        </w:rPr>
      </w:pPr>
    </w:p>
    <w:p w14:paraId="30926455" w14:textId="77777777" w:rsidR="005C4BA3" w:rsidRDefault="005C4BA3" w:rsidP="005C4BA3">
      <w:pPr>
        <w:jc w:val="both"/>
        <w:rPr>
          <w:rFonts w:ascii="Verdana" w:hAnsi="Verdana"/>
          <w:sz w:val="20"/>
          <w:lang w:val="es-ES"/>
        </w:rPr>
      </w:pPr>
    </w:p>
    <w:p w14:paraId="7B1FDC67" w14:textId="77777777" w:rsidR="005C4BA3" w:rsidRDefault="005C4BA3" w:rsidP="005C4BA3">
      <w:pPr>
        <w:jc w:val="both"/>
        <w:rPr>
          <w:rFonts w:ascii="Verdana" w:hAnsi="Verdana"/>
          <w:sz w:val="20"/>
          <w:lang w:val="es-ES"/>
        </w:rPr>
      </w:pPr>
    </w:p>
    <w:p w14:paraId="10575F38" w14:textId="77777777" w:rsidR="005C4BA3" w:rsidRDefault="005C4BA3" w:rsidP="005C4BA3">
      <w:pPr>
        <w:jc w:val="both"/>
        <w:rPr>
          <w:rFonts w:ascii="Verdana" w:hAnsi="Verdana"/>
          <w:sz w:val="20"/>
          <w:lang w:val="es-ES"/>
        </w:rPr>
      </w:pPr>
    </w:p>
    <w:p w14:paraId="02ECAE4E" w14:textId="77777777" w:rsidR="005C4BA3" w:rsidRDefault="005C4BA3" w:rsidP="005C4BA3">
      <w:pPr>
        <w:jc w:val="center"/>
        <w:rPr>
          <w:rFonts w:ascii="Verdana" w:hAnsi="Verdana"/>
          <w:sz w:val="20"/>
          <w:lang w:val="es-ES"/>
        </w:rPr>
      </w:pPr>
    </w:p>
    <w:p w14:paraId="4CE79A56" w14:textId="77777777" w:rsidR="005C4BA3" w:rsidRPr="002C0A2B" w:rsidRDefault="005C4BA3" w:rsidP="005C4BA3">
      <w:pPr>
        <w:jc w:val="center"/>
        <w:rPr>
          <w:rFonts w:ascii="Verdana" w:hAnsi="Verdana"/>
          <w:sz w:val="20"/>
          <w:lang w:val="es-ES"/>
        </w:rPr>
      </w:pPr>
      <w:r w:rsidRPr="002C0A2B">
        <w:rPr>
          <w:rFonts w:ascii="Verdana" w:hAnsi="Verdana"/>
          <w:sz w:val="20"/>
          <w:lang w:val="es-ES"/>
        </w:rPr>
        <w:t>Pablo Saavedra Alessandri</w:t>
      </w:r>
    </w:p>
    <w:p w14:paraId="6C18B154" w14:textId="77777777" w:rsidR="005C4BA3" w:rsidRPr="002C0A2B" w:rsidRDefault="005C4BA3" w:rsidP="005C4BA3">
      <w:pPr>
        <w:jc w:val="center"/>
        <w:rPr>
          <w:rFonts w:ascii="Verdana" w:hAnsi="Verdana"/>
          <w:sz w:val="20"/>
          <w:lang w:val="es-ES"/>
        </w:rPr>
      </w:pPr>
      <w:r>
        <w:rPr>
          <w:rFonts w:ascii="Verdana" w:hAnsi="Verdana"/>
          <w:sz w:val="20"/>
          <w:lang w:val="es-ES"/>
        </w:rPr>
        <w:t>Secretario</w:t>
      </w:r>
    </w:p>
    <w:p w14:paraId="0A57DD6D" w14:textId="77777777" w:rsidR="005C4BA3" w:rsidRDefault="005C4BA3" w:rsidP="005C4BA3">
      <w:pPr>
        <w:rPr>
          <w:rFonts w:ascii="Verdana" w:hAnsi="Verdana"/>
          <w:sz w:val="20"/>
          <w:lang w:val="es-ES"/>
        </w:rPr>
      </w:pPr>
    </w:p>
    <w:p w14:paraId="67D66674" w14:textId="77777777" w:rsidR="005C4BA3" w:rsidRPr="002C0A2B" w:rsidRDefault="005C4BA3" w:rsidP="005C4BA3">
      <w:pPr>
        <w:rPr>
          <w:rFonts w:ascii="Verdana" w:hAnsi="Verdana"/>
          <w:sz w:val="20"/>
          <w:lang w:val="es-ES"/>
        </w:rPr>
      </w:pPr>
    </w:p>
    <w:p w14:paraId="27255166" w14:textId="77777777" w:rsidR="005C4BA3" w:rsidRPr="002C0A2B" w:rsidRDefault="005C4BA3" w:rsidP="005C4BA3">
      <w:pPr>
        <w:jc w:val="both"/>
        <w:rPr>
          <w:rFonts w:ascii="Verdana" w:hAnsi="Verdana"/>
          <w:sz w:val="20"/>
          <w:lang w:val="es-ES"/>
        </w:rPr>
      </w:pPr>
    </w:p>
    <w:p w14:paraId="5DB0870D" w14:textId="77777777" w:rsidR="005C4BA3" w:rsidRPr="009D1348" w:rsidRDefault="005C4BA3" w:rsidP="005C4BA3">
      <w:pPr>
        <w:jc w:val="both"/>
        <w:rPr>
          <w:rFonts w:ascii="Verdana" w:hAnsi="Verdana"/>
          <w:sz w:val="20"/>
          <w:lang w:val="es-ES"/>
        </w:rPr>
      </w:pPr>
      <w:r w:rsidRPr="009D1348">
        <w:rPr>
          <w:rFonts w:ascii="Verdana" w:hAnsi="Verdana"/>
          <w:sz w:val="20"/>
          <w:lang w:val="es-ES"/>
        </w:rPr>
        <w:t>Comuníquese y ejecútese,</w:t>
      </w:r>
    </w:p>
    <w:p w14:paraId="5839E51F" w14:textId="77777777" w:rsidR="005C4BA3" w:rsidRPr="002C0A2B" w:rsidRDefault="005C4BA3" w:rsidP="005C4BA3">
      <w:pPr>
        <w:jc w:val="both"/>
        <w:rPr>
          <w:rFonts w:ascii="Verdana" w:hAnsi="Verdana"/>
          <w:sz w:val="20"/>
          <w:lang w:val="es-ES"/>
        </w:rPr>
      </w:pPr>
    </w:p>
    <w:p w14:paraId="4017C994" w14:textId="77777777" w:rsidR="005C4BA3" w:rsidRPr="002C0A2B" w:rsidRDefault="005C4BA3" w:rsidP="005C4BA3">
      <w:pPr>
        <w:jc w:val="both"/>
        <w:rPr>
          <w:rFonts w:ascii="Verdana" w:hAnsi="Verdana"/>
          <w:sz w:val="20"/>
          <w:lang w:val="es-ES"/>
        </w:rPr>
      </w:pPr>
    </w:p>
    <w:p w14:paraId="6B9CFB25" w14:textId="77777777" w:rsidR="005C4BA3" w:rsidRPr="002C0A2B" w:rsidRDefault="005C4BA3" w:rsidP="005C4BA3">
      <w:pPr>
        <w:jc w:val="both"/>
        <w:rPr>
          <w:rFonts w:ascii="Verdana" w:hAnsi="Verdana"/>
          <w:sz w:val="20"/>
          <w:lang w:val="es-ES"/>
        </w:rPr>
      </w:pPr>
    </w:p>
    <w:p w14:paraId="005BA61E" w14:textId="77777777" w:rsidR="005C4BA3" w:rsidRDefault="005C4BA3" w:rsidP="005C4BA3">
      <w:pPr>
        <w:jc w:val="both"/>
        <w:rPr>
          <w:rFonts w:ascii="Verdana" w:hAnsi="Verdana"/>
          <w:sz w:val="20"/>
          <w:lang w:val="es-ES"/>
        </w:rPr>
      </w:pPr>
    </w:p>
    <w:p w14:paraId="5700811F" w14:textId="77777777" w:rsidR="005C4BA3" w:rsidRPr="002C0A2B" w:rsidRDefault="005C4BA3" w:rsidP="005C4BA3">
      <w:pPr>
        <w:jc w:val="both"/>
        <w:rPr>
          <w:rFonts w:ascii="Verdana" w:hAnsi="Verdana"/>
          <w:sz w:val="20"/>
          <w:lang w:val="es-ES"/>
        </w:rPr>
      </w:pPr>
    </w:p>
    <w:p w14:paraId="49667341" w14:textId="77777777" w:rsidR="005C4BA3" w:rsidRPr="002C0A2B" w:rsidRDefault="005C4BA3" w:rsidP="005C4BA3">
      <w:pPr>
        <w:jc w:val="both"/>
        <w:rPr>
          <w:rFonts w:ascii="Verdana" w:hAnsi="Verdana"/>
          <w:sz w:val="20"/>
          <w:lang w:val="es-CR"/>
        </w:rPr>
      </w:pPr>
    </w:p>
    <w:p w14:paraId="7A60698A" w14:textId="77777777" w:rsidR="005C4BA3" w:rsidRPr="004F2FDE" w:rsidRDefault="005C4BA3" w:rsidP="005C4BA3">
      <w:pPr>
        <w:jc w:val="center"/>
        <w:rPr>
          <w:rFonts w:ascii="Verdana" w:hAnsi="Verdana"/>
          <w:sz w:val="20"/>
          <w:lang w:val="es-ES"/>
        </w:rPr>
      </w:pPr>
      <w:r w:rsidRPr="002C0A2B">
        <w:rPr>
          <w:rFonts w:ascii="Verdana" w:hAnsi="Verdana"/>
          <w:sz w:val="20"/>
          <w:lang w:val="es-ES"/>
        </w:rPr>
        <w:t xml:space="preserve">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sidRPr="002C0A2B">
        <w:rPr>
          <w:rFonts w:ascii="Verdana" w:hAnsi="Verdana"/>
          <w:sz w:val="20"/>
          <w:lang w:val="es-ES"/>
        </w:rPr>
        <w:t xml:space="preserve"> </w:t>
      </w:r>
      <w:r w:rsidRPr="004F2FDE">
        <w:rPr>
          <w:rFonts w:ascii="Verdana" w:hAnsi="Verdana"/>
          <w:sz w:val="20"/>
          <w:lang w:val="es-ES"/>
        </w:rPr>
        <w:t>Eduardo Ferrer Mac-</w:t>
      </w:r>
      <w:proofErr w:type="spellStart"/>
      <w:r w:rsidRPr="004F2FDE">
        <w:rPr>
          <w:rFonts w:ascii="Verdana" w:hAnsi="Verdana"/>
          <w:sz w:val="20"/>
          <w:lang w:val="es-ES"/>
        </w:rPr>
        <w:t>Gregor</w:t>
      </w:r>
      <w:proofErr w:type="spellEnd"/>
      <w:r w:rsidRPr="004F2FDE">
        <w:rPr>
          <w:rFonts w:ascii="Verdana" w:hAnsi="Verdana"/>
          <w:sz w:val="20"/>
          <w:lang w:val="es-ES"/>
        </w:rPr>
        <w:t xml:space="preserve"> </w:t>
      </w:r>
      <w:proofErr w:type="spellStart"/>
      <w:r w:rsidRPr="004F2FDE">
        <w:rPr>
          <w:rFonts w:ascii="Verdana" w:hAnsi="Verdana"/>
          <w:sz w:val="20"/>
          <w:lang w:val="es-ES"/>
        </w:rPr>
        <w:t>Poisot</w:t>
      </w:r>
      <w:proofErr w:type="spellEnd"/>
    </w:p>
    <w:p w14:paraId="5FBDC6AC" w14:textId="77777777" w:rsidR="005C4BA3" w:rsidRPr="004F2FDE" w:rsidRDefault="005C4BA3" w:rsidP="005C4BA3">
      <w:pPr>
        <w:ind w:left="5040"/>
        <w:rPr>
          <w:rFonts w:ascii="Verdana" w:hAnsi="Verdana"/>
          <w:sz w:val="20"/>
          <w:lang w:val="es-ES"/>
        </w:rPr>
      </w:pPr>
      <w:r w:rsidRPr="004F2FDE">
        <w:rPr>
          <w:rFonts w:ascii="Verdana" w:hAnsi="Verdana"/>
          <w:sz w:val="20"/>
          <w:lang w:val="es-ES"/>
        </w:rPr>
        <w:t xml:space="preserve">        </w:t>
      </w:r>
      <w:r w:rsidRPr="004F2FDE">
        <w:rPr>
          <w:rFonts w:ascii="Verdana" w:hAnsi="Verdana"/>
          <w:sz w:val="20"/>
          <w:lang w:val="es-ES"/>
        </w:rPr>
        <w:tab/>
      </w:r>
      <w:r w:rsidRPr="004F2FDE">
        <w:rPr>
          <w:rFonts w:ascii="Verdana" w:hAnsi="Verdana"/>
          <w:sz w:val="20"/>
          <w:lang w:val="es-ES"/>
        </w:rPr>
        <w:tab/>
        <w:t xml:space="preserve">   Presidente </w:t>
      </w:r>
    </w:p>
    <w:p w14:paraId="0E7B91C6" w14:textId="77777777" w:rsidR="005C4BA3" w:rsidRPr="004F2FDE" w:rsidRDefault="005C4BA3" w:rsidP="005C4BA3">
      <w:pPr>
        <w:jc w:val="both"/>
        <w:rPr>
          <w:rFonts w:ascii="Verdana" w:hAnsi="Verdana"/>
          <w:sz w:val="20"/>
          <w:lang w:val="es-ES"/>
        </w:rPr>
      </w:pPr>
    </w:p>
    <w:p w14:paraId="359411E0" w14:textId="77777777" w:rsidR="005C4BA3" w:rsidRPr="004F2FDE" w:rsidRDefault="005C4BA3" w:rsidP="005C4BA3">
      <w:pPr>
        <w:jc w:val="both"/>
        <w:rPr>
          <w:rFonts w:ascii="Verdana" w:hAnsi="Verdana"/>
          <w:sz w:val="20"/>
          <w:lang w:val="es-ES"/>
        </w:rPr>
      </w:pPr>
    </w:p>
    <w:p w14:paraId="0C7E9A04" w14:textId="77777777" w:rsidR="005C4BA3" w:rsidRPr="004F2FDE" w:rsidRDefault="005C4BA3" w:rsidP="005C4BA3">
      <w:pPr>
        <w:jc w:val="both"/>
        <w:rPr>
          <w:rFonts w:ascii="Verdana" w:hAnsi="Verdana"/>
          <w:sz w:val="20"/>
          <w:lang w:val="es-ES"/>
        </w:rPr>
      </w:pPr>
    </w:p>
    <w:p w14:paraId="6FE7448C" w14:textId="77777777" w:rsidR="005C4BA3" w:rsidRPr="004F2FDE" w:rsidRDefault="005C4BA3" w:rsidP="005C4BA3">
      <w:pPr>
        <w:jc w:val="both"/>
        <w:rPr>
          <w:rFonts w:ascii="Verdana" w:hAnsi="Verdana"/>
          <w:sz w:val="20"/>
          <w:lang w:val="es-ES"/>
        </w:rPr>
      </w:pPr>
    </w:p>
    <w:p w14:paraId="163D9870" w14:textId="77777777" w:rsidR="005C4BA3" w:rsidRPr="004F2FDE" w:rsidRDefault="005C4BA3" w:rsidP="005C4BA3">
      <w:pPr>
        <w:jc w:val="both"/>
        <w:rPr>
          <w:rFonts w:ascii="Verdana" w:hAnsi="Verdana"/>
          <w:sz w:val="20"/>
          <w:lang w:val="es-ES"/>
        </w:rPr>
      </w:pPr>
    </w:p>
    <w:p w14:paraId="540DB19D" w14:textId="77777777" w:rsidR="005C4BA3" w:rsidRPr="002C0A2B" w:rsidRDefault="005C4BA3" w:rsidP="005C4BA3">
      <w:pPr>
        <w:jc w:val="both"/>
        <w:rPr>
          <w:rFonts w:ascii="Verdana" w:hAnsi="Verdana"/>
          <w:sz w:val="20"/>
          <w:lang w:val="es-ES"/>
        </w:rPr>
      </w:pPr>
      <w:r w:rsidRPr="002C0A2B">
        <w:rPr>
          <w:rFonts w:ascii="Verdana" w:hAnsi="Verdana"/>
          <w:sz w:val="20"/>
          <w:lang w:val="es-ES"/>
        </w:rPr>
        <w:t>Pablo Saavedra Alessandri</w:t>
      </w:r>
    </w:p>
    <w:p w14:paraId="2C63C554" w14:textId="77777777" w:rsidR="005C4BA3" w:rsidRPr="00BC36E2" w:rsidRDefault="005C4BA3" w:rsidP="005C4BA3">
      <w:pPr>
        <w:rPr>
          <w:rFonts w:ascii="Verdana" w:hAnsi="Verdana"/>
          <w:sz w:val="20"/>
          <w:lang w:val="es-CR"/>
        </w:rPr>
      </w:pPr>
      <w:r w:rsidRPr="002C0A2B">
        <w:rPr>
          <w:rFonts w:ascii="Verdana" w:hAnsi="Verdana"/>
          <w:sz w:val="20"/>
          <w:lang w:val="es-ES"/>
        </w:rPr>
        <w:tab/>
      </w:r>
      <w:r>
        <w:rPr>
          <w:rFonts w:ascii="Verdana" w:hAnsi="Verdana"/>
          <w:sz w:val="20"/>
          <w:lang w:val="es-ES"/>
        </w:rPr>
        <w:t>Secretario</w:t>
      </w:r>
    </w:p>
    <w:p w14:paraId="0A95F392" w14:textId="77777777" w:rsidR="005C4BA3" w:rsidRDefault="005C4BA3" w:rsidP="005C4BA3"/>
    <w:p w14:paraId="41B0662B" w14:textId="77777777" w:rsidR="005C4BA3" w:rsidRDefault="005C4BA3" w:rsidP="005C4BA3">
      <w:pPr>
        <w:spacing w:after="60"/>
        <w:jc w:val="both"/>
        <w:rPr>
          <w:rFonts w:ascii="Verdana" w:hAnsi="Verdana"/>
          <w:sz w:val="20"/>
          <w:lang w:val="es-MX"/>
        </w:rPr>
      </w:pPr>
    </w:p>
    <w:p w14:paraId="3FA137F9" w14:textId="77777777" w:rsidR="00EE60FB" w:rsidRPr="00E54903" w:rsidRDefault="00EE60FB" w:rsidP="00466323">
      <w:pPr>
        <w:rPr>
          <w:lang w:val="es-MX"/>
        </w:rPr>
      </w:pPr>
      <w:bookmarkStart w:id="38" w:name="_GoBack"/>
      <w:bookmarkEnd w:id="38"/>
    </w:p>
    <w:sectPr w:rsidR="00EE60FB" w:rsidRPr="00E54903" w:rsidSect="00226DCD">
      <w:headerReference w:type="default"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535C7" w14:textId="77777777" w:rsidR="00A07E10" w:rsidRDefault="00A07E10" w:rsidP="00E54903">
      <w:r>
        <w:separator/>
      </w:r>
    </w:p>
  </w:endnote>
  <w:endnote w:type="continuationSeparator" w:id="0">
    <w:p w14:paraId="61E96DD0" w14:textId="77777777" w:rsidR="00A07E10" w:rsidRDefault="00A07E10" w:rsidP="00E5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9115E" w14:textId="37B6F191" w:rsidR="00A07E10" w:rsidRDefault="00A07E10">
    <w:pPr>
      <w:pStyle w:val="Footer"/>
      <w:jc w:val="center"/>
    </w:pPr>
  </w:p>
  <w:p w14:paraId="606C2F45" w14:textId="77777777" w:rsidR="00A07E10" w:rsidRDefault="00A07E10" w:rsidP="00EE60F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5D003" w14:textId="77777777" w:rsidR="00A07E10" w:rsidRDefault="00A07E10" w:rsidP="00E54903">
      <w:r>
        <w:separator/>
      </w:r>
    </w:p>
  </w:footnote>
  <w:footnote w:type="continuationSeparator" w:id="0">
    <w:p w14:paraId="0E94820F" w14:textId="77777777" w:rsidR="00A07E10" w:rsidRDefault="00A07E10" w:rsidP="00E54903">
      <w:r>
        <w:continuationSeparator/>
      </w:r>
    </w:p>
  </w:footnote>
  <w:footnote w:id="1">
    <w:p w14:paraId="6E2BE421" w14:textId="6472A429" w:rsidR="00A07E10" w:rsidRPr="009123F9" w:rsidRDefault="00A07E10" w:rsidP="009123F9">
      <w:pPr>
        <w:pStyle w:val="FootnoteText"/>
        <w:jc w:val="both"/>
        <w:rPr>
          <w:rFonts w:ascii="Verdana" w:hAnsi="Verdana"/>
          <w:sz w:val="16"/>
          <w:szCs w:val="16"/>
        </w:rPr>
      </w:pPr>
      <w:r w:rsidRPr="009123F9">
        <w:rPr>
          <w:rStyle w:val="FootnoteReference"/>
          <w:rFonts w:ascii="Verdana" w:hAnsi="Verdana"/>
          <w:sz w:val="16"/>
          <w:szCs w:val="16"/>
        </w:rPr>
        <w:t>*</w:t>
      </w:r>
      <w:r w:rsidRPr="009123F9">
        <w:rPr>
          <w:rFonts w:ascii="Verdana" w:hAnsi="Verdana"/>
          <w:sz w:val="16"/>
          <w:szCs w:val="16"/>
        </w:rPr>
        <w:t xml:space="preserve"> </w:t>
      </w:r>
      <w:r w:rsidRPr="009123F9">
        <w:rPr>
          <w:rFonts w:ascii="Verdana" w:hAnsi="Verdana"/>
          <w:sz w:val="16"/>
          <w:szCs w:val="16"/>
        </w:rPr>
        <w:tab/>
        <w:t>La Jueza Elizabeth Odio Benito no asistió al 127º Período Ordinario de Sesiones de la Corte Interamericana por motivos de fuerza mayor, lo cual fue aceptado por el Pleno. Por es</w:t>
      </w:r>
      <w:r>
        <w:rPr>
          <w:rFonts w:ascii="Verdana" w:hAnsi="Verdana"/>
          <w:sz w:val="16"/>
          <w:szCs w:val="16"/>
        </w:rPr>
        <w:t>a</w:t>
      </w:r>
      <w:r w:rsidRPr="009123F9">
        <w:rPr>
          <w:rFonts w:ascii="Verdana" w:hAnsi="Verdana"/>
          <w:sz w:val="16"/>
          <w:szCs w:val="16"/>
        </w:rPr>
        <w:t xml:space="preserve"> razón no participó en la deliberación y firma de esta Resolución.</w:t>
      </w:r>
    </w:p>
  </w:footnote>
  <w:footnote w:id="2">
    <w:p w14:paraId="02794FE9" w14:textId="3C27C5F9" w:rsidR="00A07E10" w:rsidRPr="00F95938" w:rsidRDefault="00A07E10" w:rsidP="00E54903">
      <w:pPr>
        <w:pStyle w:val="FootnoteText"/>
        <w:tabs>
          <w:tab w:val="left" w:pos="567"/>
        </w:tabs>
        <w:jc w:val="both"/>
        <w:rPr>
          <w:rFonts w:ascii="Verdana" w:hAnsi="Verdana"/>
          <w:sz w:val="16"/>
          <w:szCs w:val="16"/>
          <w:lang w:val="es-CR"/>
        </w:rPr>
      </w:pPr>
      <w:r w:rsidRPr="00F95938">
        <w:rPr>
          <w:rStyle w:val="FootnoteReference"/>
          <w:rFonts w:ascii="Verdana" w:hAnsi="Verdana"/>
          <w:sz w:val="16"/>
          <w:szCs w:val="16"/>
        </w:rPr>
        <w:footnoteRef/>
      </w:r>
      <w:r w:rsidRPr="00F95938">
        <w:rPr>
          <w:rFonts w:ascii="Verdana" w:hAnsi="Verdana"/>
          <w:sz w:val="16"/>
          <w:szCs w:val="16"/>
        </w:rPr>
        <w:t xml:space="preserve"> </w:t>
      </w:r>
      <w:r w:rsidRPr="00F95938">
        <w:rPr>
          <w:rFonts w:ascii="Verdana" w:hAnsi="Verdana"/>
          <w:sz w:val="16"/>
          <w:szCs w:val="16"/>
          <w:lang w:val="es-CR"/>
        </w:rPr>
        <w:tab/>
      </w:r>
      <w:r w:rsidRPr="00F95938">
        <w:rPr>
          <w:rFonts w:ascii="Verdana" w:hAnsi="Verdana"/>
          <w:sz w:val="16"/>
          <w:szCs w:val="16"/>
          <w:lang w:val="es-CR"/>
        </w:rPr>
        <w:tab/>
      </w:r>
      <w:r w:rsidRPr="00F95938">
        <w:rPr>
          <w:rFonts w:ascii="Verdana" w:hAnsi="Verdana"/>
          <w:i/>
          <w:sz w:val="16"/>
          <w:szCs w:val="16"/>
          <w:lang w:val="es-CR"/>
        </w:rPr>
        <w:t xml:space="preserve">Cfr. Caso del </w:t>
      </w:r>
      <w:r>
        <w:rPr>
          <w:rFonts w:ascii="Verdana" w:hAnsi="Verdana"/>
          <w:i/>
          <w:sz w:val="16"/>
          <w:szCs w:val="16"/>
          <w:lang w:val="es-CR"/>
        </w:rPr>
        <w:t xml:space="preserve">Pueblo </w:t>
      </w:r>
      <w:proofErr w:type="spellStart"/>
      <w:r>
        <w:rPr>
          <w:rFonts w:ascii="Verdana" w:hAnsi="Verdana"/>
          <w:i/>
          <w:sz w:val="16"/>
          <w:szCs w:val="16"/>
          <w:lang w:val="es-CR"/>
        </w:rPr>
        <w:t>Saramaka</w:t>
      </w:r>
      <w:proofErr w:type="spellEnd"/>
      <w:r w:rsidRPr="00F95938">
        <w:rPr>
          <w:rFonts w:ascii="Verdana" w:hAnsi="Verdana"/>
          <w:i/>
          <w:sz w:val="16"/>
          <w:szCs w:val="16"/>
          <w:lang w:val="es-CR"/>
        </w:rPr>
        <w:t xml:space="preserve"> Vs. Surinam. Excepciones Preliminares, Fondo, Reparaciones y Costas. </w:t>
      </w:r>
      <w:r w:rsidRPr="00F95938">
        <w:rPr>
          <w:rFonts w:ascii="Verdana" w:hAnsi="Verdana"/>
          <w:sz w:val="16"/>
          <w:szCs w:val="16"/>
          <w:lang w:val="es-CR"/>
        </w:rPr>
        <w:t xml:space="preserve">Sentencia de </w:t>
      </w:r>
      <w:r>
        <w:rPr>
          <w:rFonts w:ascii="Verdana" w:hAnsi="Verdana"/>
          <w:sz w:val="16"/>
          <w:szCs w:val="16"/>
          <w:lang w:val="es-CR"/>
        </w:rPr>
        <w:t>28</w:t>
      </w:r>
      <w:r w:rsidRPr="00F95938">
        <w:rPr>
          <w:rFonts w:ascii="Verdana" w:hAnsi="Verdana"/>
          <w:sz w:val="16"/>
          <w:szCs w:val="16"/>
          <w:lang w:val="es-CR"/>
        </w:rPr>
        <w:t xml:space="preserve"> de </w:t>
      </w:r>
      <w:r>
        <w:rPr>
          <w:rFonts w:ascii="Verdana" w:hAnsi="Verdana"/>
          <w:sz w:val="16"/>
          <w:szCs w:val="16"/>
          <w:lang w:val="es-CR"/>
        </w:rPr>
        <w:t>noviembre</w:t>
      </w:r>
      <w:r w:rsidRPr="00F95938">
        <w:rPr>
          <w:rFonts w:ascii="Verdana" w:hAnsi="Verdana"/>
          <w:sz w:val="16"/>
          <w:szCs w:val="16"/>
          <w:lang w:val="es-CR"/>
        </w:rPr>
        <w:t xml:space="preserve"> de 200</w:t>
      </w:r>
      <w:r>
        <w:rPr>
          <w:rFonts w:ascii="Verdana" w:hAnsi="Verdana"/>
          <w:sz w:val="16"/>
          <w:szCs w:val="16"/>
          <w:lang w:val="es-CR"/>
        </w:rPr>
        <w:t>7</w:t>
      </w:r>
      <w:r w:rsidRPr="00F95938">
        <w:rPr>
          <w:rFonts w:ascii="Verdana" w:hAnsi="Verdana"/>
          <w:sz w:val="16"/>
          <w:szCs w:val="16"/>
          <w:lang w:val="es-CR"/>
        </w:rPr>
        <w:t>.</w:t>
      </w:r>
      <w:r>
        <w:rPr>
          <w:rFonts w:ascii="Verdana" w:hAnsi="Verdana"/>
          <w:sz w:val="16"/>
          <w:szCs w:val="16"/>
          <w:lang w:val="es-CR"/>
        </w:rPr>
        <w:t xml:space="preserve"> Serie C No. 172.</w:t>
      </w:r>
      <w:r w:rsidRPr="00F95938">
        <w:rPr>
          <w:rFonts w:ascii="Verdana" w:hAnsi="Verdana"/>
          <w:color w:val="00B050"/>
          <w:sz w:val="16"/>
          <w:szCs w:val="16"/>
          <w:lang w:val="es-CR"/>
        </w:rPr>
        <w:t xml:space="preserve"> </w:t>
      </w:r>
      <w:r w:rsidRPr="00F95938">
        <w:rPr>
          <w:rFonts w:ascii="Verdana" w:hAnsi="Verdana"/>
          <w:sz w:val="16"/>
          <w:szCs w:val="16"/>
          <w:lang w:val="es-CR"/>
        </w:rPr>
        <w:t xml:space="preserve">El texto íntegro de la Sentencia se encuentra disponible en:  </w:t>
      </w:r>
      <w:hyperlink r:id="rId1" w:history="1">
        <w:r w:rsidRPr="003418B1">
          <w:rPr>
            <w:rStyle w:val="Hyperlink"/>
            <w:rFonts w:ascii="Verdana" w:hAnsi="Verdana"/>
            <w:sz w:val="16"/>
            <w:szCs w:val="16"/>
            <w:lang w:val="es-CR"/>
          </w:rPr>
          <w:t>http://www.corteidh.or.cr/docs/casos/articulos/seriec_172_esp.pdf</w:t>
        </w:r>
      </w:hyperlink>
      <w:r>
        <w:rPr>
          <w:rFonts w:ascii="Verdana" w:hAnsi="Verdana"/>
          <w:sz w:val="16"/>
          <w:szCs w:val="16"/>
          <w:lang w:val="es-CR"/>
        </w:rPr>
        <w:t>.</w:t>
      </w:r>
      <w:r w:rsidRPr="00F95938">
        <w:rPr>
          <w:rFonts w:ascii="Verdana" w:hAnsi="Verdana"/>
          <w:sz w:val="16"/>
          <w:szCs w:val="16"/>
          <w:lang w:val="es-CR"/>
        </w:rPr>
        <w:t xml:space="preserve"> La Sentencia fue notificada al Estado el </w:t>
      </w:r>
      <w:r>
        <w:rPr>
          <w:rFonts w:ascii="Verdana" w:hAnsi="Verdana"/>
          <w:sz w:val="16"/>
          <w:szCs w:val="16"/>
          <w:lang w:val="es-CR"/>
        </w:rPr>
        <w:t>19</w:t>
      </w:r>
      <w:r w:rsidRPr="00F95938">
        <w:rPr>
          <w:rFonts w:ascii="Verdana" w:hAnsi="Verdana"/>
          <w:color w:val="00B050"/>
          <w:sz w:val="16"/>
          <w:szCs w:val="16"/>
          <w:lang w:val="es-CR"/>
        </w:rPr>
        <w:t xml:space="preserve"> </w:t>
      </w:r>
      <w:r w:rsidRPr="00F95938">
        <w:rPr>
          <w:rFonts w:ascii="Verdana" w:hAnsi="Verdana"/>
          <w:sz w:val="16"/>
          <w:szCs w:val="16"/>
          <w:lang w:val="es-CR"/>
        </w:rPr>
        <w:t xml:space="preserve">de </w:t>
      </w:r>
      <w:r>
        <w:rPr>
          <w:rFonts w:ascii="Verdana" w:hAnsi="Verdana"/>
          <w:sz w:val="16"/>
          <w:szCs w:val="16"/>
          <w:lang w:val="es-CR"/>
        </w:rPr>
        <w:t>diciembre</w:t>
      </w:r>
      <w:r w:rsidRPr="00F95938">
        <w:rPr>
          <w:rFonts w:ascii="Verdana" w:hAnsi="Verdana"/>
          <w:color w:val="00B050"/>
          <w:sz w:val="16"/>
          <w:szCs w:val="16"/>
          <w:lang w:val="es-CR"/>
        </w:rPr>
        <w:t xml:space="preserve"> </w:t>
      </w:r>
      <w:r w:rsidRPr="00F95938">
        <w:rPr>
          <w:rFonts w:ascii="Verdana" w:hAnsi="Verdana"/>
          <w:sz w:val="16"/>
          <w:szCs w:val="16"/>
          <w:lang w:val="es-CR"/>
        </w:rPr>
        <w:t xml:space="preserve">de </w:t>
      </w:r>
      <w:r>
        <w:rPr>
          <w:rFonts w:ascii="Verdana" w:hAnsi="Verdana"/>
          <w:sz w:val="16"/>
          <w:szCs w:val="16"/>
          <w:lang w:val="es-CR"/>
        </w:rPr>
        <w:t>2007</w:t>
      </w:r>
      <w:r>
        <w:rPr>
          <w:rFonts w:ascii="Verdana" w:hAnsi="Verdana"/>
          <w:color w:val="00B050"/>
          <w:sz w:val="16"/>
          <w:szCs w:val="16"/>
          <w:lang w:val="es-CR"/>
        </w:rPr>
        <w:t>.</w:t>
      </w:r>
    </w:p>
  </w:footnote>
  <w:footnote w:id="3">
    <w:p w14:paraId="02FB5A7E" w14:textId="77777777" w:rsidR="00A07E10" w:rsidRDefault="00A07E10" w:rsidP="00B94347">
      <w:pPr>
        <w:jc w:val="both"/>
        <w:rPr>
          <w:rFonts w:ascii="Verdana" w:hAnsi="Verdana"/>
          <w:sz w:val="16"/>
          <w:szCs w:val="16"/>
          <w:lang w:val="es-CR"/>
        </w:rPr>
      </w:pPr>
      <w:r>
        <w:rPr>
          <w:rStyle w:val="FootnoteReference"/>
          <w:rFonts w:ascii="Verdana" w:hAnsi="Verdana"/>
          <w:sz w:val="16"/>
          <w:szCs w:val="16"/>
        </w:rPr>
        <w:footnoteRef/>
      </w:r>
      <w:r w:rsidRPr="005173AF">
        <w:rPr>
          <w:rFonts w:ascii="Verdana" w:hAnsi="Verdana"/>
          <w:sz w:val="16"/>
          <w:szCs w:val="16"/>
          <w:lang w:val="es-CR"/>
        </w:rPr>
        <w:t xml:space="preserve"> </w:t>
      </w:r>
      <w:r w:rsidRPr="005173AF">
        <w:rPr>
          <w:rFonts w:ascii="Verdana" w:hAnsi="Verdana"/>
          <w:sz w:val="16"/>
          <w:szCs w:val="16"/>
          <w:lang w:val="es-CR"/>
        </w:rPr>
        <w:tab/>
      </w:r>
      <w:r w:rsidRPr="000A5B73">
        <w:rPr>
          <w:rFonts w:ascii="Verdana" w:hAnsi="Verdana"/>
          <w:i/>
          <w:sz w:val="16"/>
          <w:szCs w:val="16"/>
          <w:lang w:val="es-CR"/>
        </w:rPr>
        <w:t>Cfr.</w:t>
      </w:r>
      <w:r>
        <w:rPr>
          <w:rFonts w:ascii="Verdana" w:hAnsi="Verdana"/>
          <w:i/>
          <w:sz w:val="16"/>
          <w:szCs w:val="16"/>
          <w:lang w:val="es-CR"/>
        </w:rPr>
        <w:t xml:space="preserve"> Caso </w:t>
      </w:r>
      <w:r w:rsidRPr="00F95938">
        <w:rPr>
          <w:rFonts w:ascii="Verdana" w:hAnsi="Verdana"/>
          <w:i/>
          <w:sz w:val="16"/>
          <w:szCs w:val="16"/>
          <w:lang w:val="es-CR"/>
        </w:rPr>
        <w:t xml:space="preserve">del </w:t>
      </w:r>
      <w:r>
        <w:rPr>
          <w:rFonts w:ascii="Verdana" w:hAnsi="Verdana"/>
          <w:i/>
          <w:sz w:val="16"/>
          <w:szCs w:val="16"/>
          <w:lang w:val="es-CR"/>
        </w:rPr>
        <w:t xml:space="preserve">Pueblo </w:t>
      </w:r>
      <w:proofErr w:type="spellStart"/>
      <w:r>
        <w:rPr>
          <w:rFonts w:ascii="Verdana" w:hAnsi="Verdana"/>
          <w:i/>
          <w:sz w:val="16"/>
          <w:szCs w:val="16"/>
          <w:lang w:val="es-CR"/>
        </w:rPr>
        <w:t>Saramaka</w:t>
      </w:r>
      <w:proofErr w:type="spellEnd"/>
      <w:r>
        <w:rPr>
          <w:rFonts w:ascii="Verdana" w:hAnsi="Verdana"/>
          <w:i/>
          <w:sz w:val="16"/>
          <w:szCs w:val="16"/>
          <w:lang w:val="es-CR"/>
        </w:rPr>
        <w:t xml:space="preserve"> Vs. Surinam. Interpretación de la Sentencia de Excepciones Preliminares, Fondo, Reparaciones y Costas. </w:t>
      </w:r>
      <w:r>
        <w:rPr>
          <w:rFonts w:ascii="Verdana" w:hAnsi="Verdana"/>
          <w:sz w:val="16"/>
          <w:szCs w:val="16"/>
          <w:lang w:val="es-CR"/>
        </w:rPr>
        <w:t xml:space="preserve">Sentencia de 12 de agosto de 2008. Serie C No. 185. </w:t>
      </w:r>
      <w:r w:rsidRPr="000A5B73">
        <w:rPr>
          <w:rFonts w:ascii="Verdana" w:hAnsi="Verdana"/>
          <w:sz w:val="16"/>
          <w:szCs w:val="16"/>
          <w:lang w:val="es-CR"/>
        </w:rPr>
        <w:t xml:space="preserve">El texto íntegro de la </w:t>
      </w:r>
      <w:r w:rsidRPr="00B94347">
        <w:rPr>
          <w:rFonts w:ascii="Verdana" w:eastAsia="Times New Roman" w:hAnsi="Verdana"/>
          <w:sz w:val="16"/>
          <w:szCs w:val="16"/>
          <w:lang w:val="es-CR" w:eastAsia="es-CR"/>
        </w:rPr>
        <w:t>Sentencia</w:t>
      </w:r>
      <w:r w:rsidRPr="000A5B73">
        <w:rPr>
          <w:rFonts w:ascii="Verdana" w:hAnsi="Verdana"/>
          <w:sz w:val="16"/>
          <w:szCs w:val="16"/>
          <w:lang w:val="es-CR"/>
        </w:rPr>
        <w:t xml:space="preserve"> se encuentra disponible en</w:t>
      </w:r>
      <w:r>
        <w:rPr>
          <w:rFonts w:ascii="Verdana" w:hAnsi="Verdana"/>
          <w:sz w:val="16"/>
          <w:szCs w:val="16"/>
          <w:lang w:val="es-CR"/>
        </w:rPr>
        <w:t xml:space="preserve">: </w:t>
      </w:r>
      <w:hyperlink r:id="rId2" w:history="1">
        <w:r w:rsidRPr="003418B1">
          <w:rPr>
            <w:rStyle w:val="Hyperlink"/>
            <w:rFonts w:ascii="Verdana" w:hAnsi="Verdana"/>
            <w:sz w:val="16"/>
            <w:szCs w:val="16"/>
            <w:lang w:val="es-CR"/>
          </w:rPr>
          <w:t>http://www.corteidh.or.cr/docs/casos/articulos/seriec_185_esp.pdf</w:t>
        </w:r>
      </w:hyperlink>
      <w:r>
        <w:rPr>
          <w:rFonts w:ascii="Verdana" w:hAnsi="Verdana"/>
          <w:sz w:val="16"/>
          <w:szCs w:val="16"/>
          <w:lang w:val="es-CR"/>
        </w:rPr>
        <w:t xml:space="preserve">. </w:t>
      </w:r>
    </w:p>
  </w:footnote>
  <w:footnote w:id="4">
    <w:p w14:paraId="7FCB33C4" w14:textId="6E36512E" w:rsidR="00A07E10" w:rsidRDefault="00A07E10" w:rsidP="002565E0">
      <w:pPr>
        <w:pStyle w:val="FootnoteText"/>
        <w:jc w:val="both"/>
        <w:rPr>
          <w:rFonts w:ascii="Verdana" w:hAnsi="Verdana"/>
          <w:sz w:val="16"/>
          <w:szCs w:val="16"/>
          <w:lang w:val="es-CR"/>
        </w:rPr>
      </w:pPr>
      <w:r>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r>
      <w:r w:rsidRPr="000A5B73">
        <w:rPr>
          <w:rFonts w:ascii="Verdana" w:hAnsi="Verdana"/>
          <w:i/>
          <w:sz w:val="16"/>
          <w:szCs w:val="16"/>
          <w:lang w:val="es-CR"/>
        </w:rPr>
        <w:t>Cfr.</w:t>
      </w:r>
      <w:r w:rsidRPr="00F73C95">
        <w:rPr>
          <w:rFonts w:ascii="Verdana" w:hAnsi="Verdana"/>
          <w:sz w:val="16"/>
          <w:szCs w:val="16"/>
          <w:lang w:val="es-CR"/>
        </w:rPr>
        <w:t xml:space="preserve"> </w:t>
      </w:r>
      <w:r w:rsidRPr="00F73C95">
        <w:rPr>
          <w:rFonts w:ascii="Verdana" w:hAnsi="Verdana"/>
          <w:i/>
          <w:sz w:val="16"/>
          <w:szCs w:val="16"/>
          <w:lang w:val="es-CR"/>
        </w:rPr>
        <w:t xml:space="preserve">Caso </w:t>
      </w:r>
      <w:r>
        <w:rPr>
          <w:rFonts w:ascii="Verdana" w:hAnsi="Verdana"/>
          <w:i/>
          <w:sz w:val="16"/>
          <w:szCs w:val="16"/>
          <w:lang w:val="es-CR"/>
        </w:rPr>
        <w:t xml:space="preserve">del Pueblo </w:t>
      </w:r>
      <w:proofErr w:type="spellStart"/>
      <w:r>
        <w:rPr>
          <w:rFonts w:ascii="Verdana" w:hAnsi="Verdana"/>
          <w:i/>
          <w:sz w:val="16"/>
          <w:szCs w:val="16"/>
          <w:lang w:val="es-CR"/>
        </w:rPr>
        <w:t>Saramaka</w:t>
      </w:r>
      <w:proofErr w:type="spellEnd"/>
      <w:r w:rsidRPr="00F73C95">
        <w:rPr>
          <w:rFonts w:ascii="Verdana" w:hAnsi="Verdana"/>
          <w:i/>
          <w:sz w:val="16"/>
          <w:szCs w:val="16"/>
          <w:lang w:val="es-CR"/>
        </w:rPr>
        <w:t xml:space="preserve"> Vs. </w:t>
      </w:r>
      <w:r>
        <w:rPr>
          <w:rFonts w:ascii="Verdana" w:hAnsi="Verdana"/>
          <w:i/>
          <w:sz w:val="16"/>
          <w:szCs w:val="16"/>
          <w:lang w:val="es-CR"/>
        </w:rPr>
        <w:t>Surinam</w:t>
      </w:r>
      <w:r w:rsidRPr="00F73C95">
        <w:rPr>
          <w:rFonts w:ascii="Verdana" w:hAnsi="Verdana"/>
          <w:i/>
          <w:sz w:val="16"/>
          <w:szCs w:val="16"/>
          <w:lang w:val="es-CR"/>
        </w:rPr>
        <w:t>. Supervisión de Cumplimiento de Sentencia.</w:t>
      </w:r>
      <w:r w:rsidRPr="00F73C95">
        <w:rPr>
          <w:rFonts w:ascii="Verdana" w:hAnsi="Verdana"/>
          <w:sz w:val="16"/>
          <w:szCs w:val="16"/>
          <w:lang w:val="es-CR"/>
        </w:rPr>
        <w:t xml:space="preserve"> Resolución de la Corte Interamericana de Derechos Humanos de </w:t>
      </w:r>
      <w:r>
        <w:rPr>
          <w:rFonts w:ascii="Verdana" w:hAnsi="Verdana"/>
          <w:sz w:val="16"/>
          <w:szCs w:val="16"/>
          <w:lang w:val="es-CR"/>
        </w:rPr>
        <w:t>23</w:t>
      </w:r>
      <w:r w:rsidRPr="00F73C95">
        <w:rPr>
          <w:rFonts w:ascii="Verdana" w:hAnsi="Verdana"/>
          <w:sz w:val="16"/>
          <w:szCs w:val="16"/>
          <w:lang w:val="es-CR"/>
        </w:rPr>
        <w:t xml:space="preserve"> de </w:t>
      </w:r>
      <w:r>
        <w:rPr>
          <w:rFonts w:ascii="Verdana" w:hAnsi="Verdana"/>
          <w:sz w:val="16"/>
          <w:szCs w:val="16"/>
          <w:lang w:val="es-CR"/>
        </w:rPr>
        <w:t>noviembre</w:t>
      </w:r>
      <w:r w:rsidRPr="00F73C95">
        <w:rPr>
          <w:rFonts w:ascii="Verdana" w:hAnsi="Verdana"/>
          <w:sz w:val="16"/>
          <w:szCs w:val="16"/>
          <w:lang w:val="es-CR"/>
        </w:rPr>
        <w:t xml:space="preserve"> de 20</w:t>
      </w:r>
      <w:r>
        <w:rPr>
          <w:rFonts w:ascii="Verdana" w:hAnsi="Verdana"/>
          <w:sz w:val="16"/>
          <w:szCs w:val="16"/>
          <w:lang w:val="es-CR"/>
        </w:rPr>
        <w:t>11</w:t>
      </w:r>
      <w:r w:rsidRPr="00F73C95">
        <w:rPr>
          <w:rFonts w:ascii="Verdana" w:hAnsi="Verdana"/>
          <w:sz w:val="16"/>
          <w:szCs w:val="16"/>
          <w:lang w:val="es-CR"/>
        </w:rPr>
        <w:t>, disponible en</w:t>
      </w:r>
      <w:r w:rsidRPr="000A5B73">
        <w:rPr>
          <w:rFonts w:ascii="Verdana" w:hAnsi="Verdana"/>
          <w:sz w:val="16"/>
          <w:szCs w:val="16"/>
          <w:lang w:val="es-CR"/>
        </w:rPr>
        <w:t xml:space="preserve">: </w:t>
      </w:r>
      <w:hyperlink r:id="rId3" w:history="1">
        <w:r w:rsidRPr="003418B1">
          <w:rPr>
            <w:rStyle w:val="Hyperlink"/>
            <w:rFonts w:ascii="Verdana" w:hAnsi="Verdana"/>
            <w:sz w:val="16"/>
            <w:szCs w:val="16"/>
            <w:lang w:val="es-CR"/>
          </w:rPr>
          <w:t>http://www.corteidh.or.cr/docs/supervisiones/saramaka_23_11_11.pdf</w:t>
        </w:r>
      </w:hyperlink>
      <w:r>
        <w:rPr>
          <w:rFonts w:ascii="Verdana" w:hAnsi="Verdana"/>
          <w:sz w:val="16"/>
          <w:szCs w:val="16"/>
          <w:lang w:val="es-CR"/>
        </w:rPr>
        <w:t xml:space="preserve">.  </w:t>
      </w:r>
    </w:p>
    <w:p w14:paraId="318DEC8C" w14:textId="741C4D8D" w:rsidR="00A07E10" w:rsidRDefault="00A07E10" w:rsidP="00E54903">
      <w:pPr>
        <w:pStyle w:val="FootnoteText"/>
        <w:jc w:val="both"/>
        <w:rPr>
          <w:rFonts w:ascii="Verdana" w:hAnsi="Verdana"/>
          <w:sz w:val="16"/>
          <w:szCs w:val="16"/>
        </w:rPr>
      </w:pPr>
      <w:r>
        <w:rPr>
          <w:rFonts w:ascii="Verdana" w:hAnsi="Verdana"/>
          <w:sz w:val="16"/>
          <w:szCs w:val="16"/>
          <w:lang w:val="es-CR"/>
        </w:rPr>
        <w:tab/>
      </w:r>
      <w:r w:rsidRPr="000A5B73">
        <w:rPr>
          <w:rFonts w:ascii="Verdana" w:hAnsi="Verdana"/>
          <w:i/>
          <w:sz w:val="16"/>
          <w:szCs w:val="16"/>
          <w:lang w:val="es-CR"/>
        </w:rPr>
        <w:t>Cfr.</w:t>
      </w:r>
      <w:r w:rsidRPr="00F73C95">
        <w:rPr>
          <w:rFonts w:ascii="Verdana" w:hAnsi="Verdana"/>
          <w:sz w:val="16"/>
          <w:szCs w:val="16"/>
          <w:lang w:val="es-CR"/>
        </w:rPr>
        <w:t xml:space="preserve"> </w:t>
      </w:r>
      <w:r w:rsidRPr="00F73C95">
        <w:rPr>
          <w:rFonts w:ascii="Verdana" w:hAnsi="Verdana"/>
          <w:i/>
          <w:sz w:val="16"/>
          <w:szCs w:val="16"/>
          <w:lang w:val="es-CR"/>
        </w:rPr>
        <w:t xml:space="preserve">Caso </w:t>
      </w:r>
      <w:r>
        <w:rPr>
          <w:rFonts w:ascii="Verdana" w:hAnsi="Verdana"/>
          <w:i/>
          <w:sz w:val="16"/>
          <w:szCs w:val="16"/>
          <w:lang w:val="es-CR"/>
        </w:rPr>
        <w:t xml:space="preserve">del Pueblo </w:t>
      </w:r>
      <w:proofErr w:type="spellStart"/>
      <w:r>
        <w:rPr>
          <w:rFonts w:ascii="Verdana" w:hAnsi="Verdana"/>
          <w:i/>
          <w:sz w:val="16"/>
          <w:szCs w:val="16"/>
          <w:lang w:val="es-CR"/>
        </w:rPr>
        <w:t>Saramaka</w:t>
      </w:r>
      <w:proofErr w:type="spellEnd"/>
      <w:r w:rsidRPr="00F73C95">
        <w:rPr>
          <w:rFonts w:ascii="Verdana" w:hAnsi="Verdana"/>
          <w:i/>
          <w:sz w:val="16"/>
          <w:szCs w:val="16"/>
          <w:lang w:val="es-CR"/>
        </w:rPr>
        <w:t xml:space="preserve"> Vs. </w:t>
      </w:r>
      <w:r>
        <w:rPr>
          <w:rFonts w:ascii="Verdana" w:hAnsi="Verdana"/>
          <w:i/>
          <w:sz w:val="16"/>
          <w:szCs w:val="16"/>
          <w:lang w:val="es-CR"/>
        </w:rPr>
        <w:t>Surinam</w:t>
      </w:r>
      <w:r w:rsidRPr="00F73C95">
        <w:rPr>
          <w:rFonts w:ascii="Verdana" w:hAnsi="Verdana"/>
          <w:i/>
          <w:sz w:val="16"/>
          <w:szCs w:val="16"/>
          <w:lang w:val="es-CR"/>
        </w:rPr>
        <w:t xml:space="preserve">. </w:t>
      </w:r>
      <w:r>
        <w:rPr>
          <w:rFonts w:ascii="Verdana" w:hAnsi="Verdana"/>
          <w:i/>
          <w:sz w:val="16"/>
          <w:szCs w:val="16"/>
          <w:lang w:val="es-CR"/>
        </w:rPr>
        <w:t xml:space="preserve">Solicitud de Medidas Provisionales y </w:t>
      </w:r>
      <w:r w:rsidRPr="00F73C95">
        <w:rPr>
          <w:rFonts w:ascii="Verdana" w:hAnsi="Verdana"/>
          <w:i/>
          <w:sz w:val="16"/>
          <w:szCs w:val="16"/>
          <w:lang w:val="es-CR"/>
        </w:rPr>
        <w:t>Supervisión de Cumplimiento de Sentencia.</w:t>
      </w:r>
      <w:r w:rsidRPr="00F73C95">
        <w:rPr>
          <w:rFonts w:ascii="Verdana" w:hAnsi="Verdana"/>
          <w:sz w:val="16"/>
          <w:szCs w:val="16"/>
          <w:lang w:val="es-CR"/>
        </w:rPr>
        <w:t xml:space="preserve"> Resolución de la Corte Interamericana de Derechos Humanos de </w:t>
      </w:r>
      <w:r>
        <w:rPr>
          <w:rFonts w:ascii="Verdana" w:hAnsi="Verdana"/>
          <w:sz w:val="16"/>
          <w:szCs w:val="16"/>
          <w:lang w:val="es-CR"/>
        </w:rPr>
        <w:t>4</w:t>
      </w:r>
      <w:r w:rsidRPr="00F73C95">
        <w:rPr>
          <w:rFonts w:ascii="Verdana" w:hAnsi="Verdana"/>
          <w:sz w:val="16"/>
          <w:szCs w:val="16"/>
          <w:lang w:val="es-CR"/>
        </w:rPr>
        <w:t xml:space="preserve"> de </w:t>
      </w:r>
      <w:r>
        <w:rPr>
          <w:rFonts w:ascii="Verdana" w:hAnsi="Verdana"/>
          <w:sz w:val="16"/>
          <w:szCs w:val="16"/>
          <w:lang w:val="es-CR"/>
        </w:rPr>
        <w:t>septiembre</w:t>
      </w:r>
      <w:r w:rsidRPr="00F73C95">
        <w:rPr>
          <w:rFonts w:ascii="Verdana" w:hAnsi="Verdana"/>
          <w:sz w:val="16"/>
          <w:szCs w:val="16"/>
          <w:lang w:val="es-CR"/>
        </w:rPr>
        <w:t xml:space="preserve"> de 20</w:t>
      </w:r>
      <w:r>
        <w:rPr>
          <w:rFonts w:ascii="Verdana" w:hAnsi="Verdana"/>
          <w:sz w:val="16"/>
          <w:szCs w:val="16"/>
          <w:lang w:val="es-CR"/>
        </w:rPr>
        <w:t>13</w:t>
      </w:r>
      <w:r w:rsidRPr="00F73C95">
        <w:rPr>
          <w:rFonts w:ascii="Verdana" w:hAnsi="Verdana"/>
          <w:sz w:val="16"/>
          <w:szCs w:val="16"/>
          <w:lang w:val="es-CR"/>
        </w:rPr>
        <w:t>, disponible en</w:t>
      </w:r>
      <w:r w:rsidRPr="000A5B73">
        <w:rPr>
          <w:rFonts w:ascii="Verdana" w:hAnsi="Verdana"/>
          <w:sz w:val="16"/>
          <w:szCs w:val="16"/>
          <w:lang w:val="es-CR"/>
        </w:rPr>
        <w:t>:</w:t>
      </w:r>
      <w:r>
        <w:rPr>
          <w:rFonts w:ascii="Verdana" w:hAnsi="Verdana"/>
          <w:sz w:val="16"/>
          <w:szCs w:val="16"/>
          <w:lang w:val="es-CR"/>
        </w:rPr>
        <w:t xml:space="preserve"> </w:t>
      </w:r>
      <w:hyperlink r:id="rId4" w:history="1">
        <w:r w:rsidRPr="003418B1">
          <w:rPr>
            <w:rStyle w:val="Hyperlink"/>
            <w:rFonts w:ascii="Verdana" w:hAnsi="Verdana"/>
            <w:sz w:val="16"/>
            <w:szCs w:val="16"/>
            <w:lang w:val="es-CR"/>
          </w:rPr>
          <w:t>http://www.corteidh.or.cr/docs/supervisiones/saramaka_04_09_13.pdf</w:t>
        </w:r>
      </w:hyperlink>
      <w:r>
        <w:rPr>
          <w:rFonts w:ascii="Verdana" w:hAnsi="Verdana"/>
          <w:sz w:val="16"/>
          <w:szCs w:val="16"/>
          <w:lang w:val="es-CR"/>
        </w:rPr>
        <w:t xml:space="preserve">. </w:t>
      </w:r>
    </w:p>
  </w:footnote>
  <w:footnote w:id="5">
    <w:p w14:paraId="2CB87CEB" w14:textId="4D0793A8" w:rsidR="00A07E10" w:rsidRPr="002565E0" w:rsidRDefault="00A07E10" w:rsidP="00E54903">
      <w:pPr>
        <w:pStyle w:val="FootnoteText"/>
        <w:rPr>
          <w:rFonts w:ascii="Verdana" w:hAnsi="Verdana"/>
          <w:sz w:val="16"/>
          <w:szCs w:val="16"/>
          <w:lang w:val="es-CR"/>
        </w:rPr>
      </w:pPr>
      <w:r w:rsidRPr="002565E0">
        <w:rPr>
          <w:rStyle w:val="FootnoteReference"/>
          <w:rFonts w:ascii="Verdana" w:hAnsi="Verdana"/>
          <w:sz w:val="16"/>
          <w:szCs w:val="16"/>
        </w:rPr>
        <w:footnoteRef/>
      </w:r>
      <w:r w:rsidRPr="002565E0">
        <w:rPr>
          <w:rFonts w:ascii="Verdana" w:hAnsi="Verdana"/>
          <w:sz w:val="16"/>
          <w:szCs w:val="16"/>
          <w:lang w:val="es-CR"/>
        </w:rPr>
        <w:t xml:space="preserve"> </w:t>
      </w:r>
      <w:r w:rsidRPr="002565E0">
        <w:rPr>
          <w:rFonts w:ascii="Verdana" w:hAnsi="Verdana"/>
          <w:sz w:val="16"/>
          <w:szCs w:val="16"/>
          <w:lang w:val="es-CR"/>
        </w:rPr>
        <w:tab/>
      </w:r>
      <w:proofErr w:type="spellStart"/>
      <w:r w:rsidRPr="00767BA7">
        <w:rPr>
          <w:rFonts w:ascii="Verdana" w:hAnsi="Verdana"/>
          <w:sz w:val="16"/>
          <w:szCs w:val="16"/>
          <w:lang w:val="es-CR"/>
        </w:rPr>
        <w:t>Forest</w:t>
      </w:r>
      <w:proofErr w:type="spellEnd"/>
      <w:r w:rsidRPr="00767BA7">
        <w:rPr>
          <w:rFonts w:ascii="Verdana" w:hAnsi="Verdana"/>
          <w:sz w:val="16"/>
          <w:szCs w:val="16"/>
          <w:lang w:val="es-CR"/>
        </w:rPr>
        <w:t xml:space="preserve"> </w:t>
      </w:r>
      <w:proofErr w:type="spellStart"/>
      <w:r w:rsidRPr="00767BA7">
        <w:rPr>
          <w:rFonts w:ascii="Verdana" w:hAnsi="Verdana"/>
          <w:sz w:val="16"/>
          <w:szCs w:val="16"/>
          <w:lang w:val="es-CR"/>
        </w:rPr>
        <w:t>People</w:t>
      </w:r>
      <w:r>
        <w:rPr>
          <w:rFonts w:ascii="Verdana" w:hAnsi="Verdana"/>
          <w:sz w:val="16"/>
          <w:szCs w:val="16"/>
          <w:lang w:val="es-CR"/>
        </w:rPr>
        <w:t>s</w:t>
      </w:r>
      <w:proofErr w:type="spellEnd"/>
      <w:r w:rsidRPr="00767BA7">
        <w:rPr>
          <w:rFonts w:ascii="Verdana" w:hAnsi="Verdana"/>
          <w:sz w:val="16"/>
          <w:szCs w:val="16"/>
          <w:lang w:val="es-CR"/>
        </w:rPr>
        <w:t xml:space="preserve"> </w:t>
      </w:r>
      <w:proofErr w:type="spellStart"/>
      <w:r w:rsidRPr="00767BA7">
        <w:rPr>
          <w:rFonts w:ascii="Verdana" w:hAnsi="Verdana"/>
          <w:sz w:val="16"/>
          <w:szCs w:val="16"/>
          <w:lang w:val="es-CR"/>
        </w:rPr>
        <w:t>Programme</w:t>
      </w:r>
      <w:proofErr w:type="spellEnd"/>
      <w:r w:rsidRPr="00767BA7">
        <w:rPr>
          <w:rFonts w:ascii="Verdana" w:hAnsi="Verdana"/>
          <w:sz w:val="16"/>
          <w:szCs w:val="16"/>
          <w:lang w:val="es-CR"/>
        </w:rPr>
        <w:t xml:space="preserve"> representa a las v</w:t>
      </w:r>
      <w:r w:rsidRPr="002565E0">
        <w:rPr>
          <w:rFonts w:ascii="Verdana" w:hAnsi="Verdana"/>
          <w:sz w:val="16"/>
          <w:szCs w:val="16"/>
          <w:lang w:val="es-CR"/>
        </w:rPr>
        <w:t>íctimas en el presente caso</w:t>
      </w:r>
      <w:r w:rsidRPr="00767BA7">
        <w:rPr>
          <w:rFonts w:ascii="Verdana" w:hAnsi="Verdana"/>
          <w:sz w:val="16"/>
          <w:szCs w:val="16"/>
          <w:lang w:val="es-CR"/>
        </w:rPr>
        <w:t xml:space="preserve">. </w:t>
      </w:r>
    </w:p>
  </w:footnote>
  <w:footnote w:id="6">
    <w:p w14:paraId="3C9D16D7" w14:textId="0992718E" w:rsidR="00A07E10" w:rsidRPr="0096564B" w:rsidRDefault="00A07E10" w:rsidP="0096564B">
      <w:pPr>
        <w:jc w:val="both"/>
        <w:rPr>
          <w:rFonts w:ascii="Verdana" w:eastAsia="Times New Roman" w:hAnsi="Verdana"/>
          <w:sz w:val="16"/>
          <w:szCs w:val="16"/>
          <w:lang w:val="es-CR" w:eastAsia="es-CR"/>
        </w:rPr>
      </w:pPr>
      <w:r w:rsidRPr="0096564B">
        <w:rPr>
          <w:rStyle w:val="FootnoteReference"/>
          <w:rFonts w:ascii="Verdana" w:hAnsi="Verdana"/>
          <w:sz w:val="16"/>
          <w:szCs w:val="16"/>
        </w:rPr>
        <w:footnoteRef/>
      </w:r>
      <w:r w:rsidRPr="0096564B">
        <w:rPr>
          <w:rFonts w:ascii="Verdana" w:hAnsi="Verdana"/>
          <w:sz w:val="16"/>
          <w:szCs w:val="16"/>
        </w:rPr>
        <w:t xml:space="preserve"> </w:t>
      </w:r>
      <w:r w:rsidRPr="0096564B">
        <w:rPr>
          <w:rFonts w:ascii="Verdana" w:hAnsi="Verdana"/>
          <w:sz w:val="16"/>
          <w:szCs w:val="16"/>
        </w:rPr>
        <w:tab/>
        <w:t xml:space="preserve">A esta audiencia comparecieron: a) Por parte del Estado: </w:t>
      </w:r>
      <w:r w:rsidRPr="0096564B">
        <w:rPr>
          <w:rFonts w:ascii="Verdana" w:eastAsia="Times New Roman" w:hAnsi="Verdana"/>
          <w:sz w:val="16"/>
          <w:szCs w:val="16"/>
          <w:lang w:val="es-CR" w:eastAsia="es-CR"/>
        </w:rPr>
        <w:t xml:space="preserve">Jules </w:t>
      </w:r>
      <w:proofErr w:type="spellStart"/>
      <w:r w:rsidRPr="0096564B">
        <w:rPr>
          <w:rFonts w:ascii="Verdana" w:eastAsia="Times New Roman" w:hAnsi="Verdana"/>
          <w:sz w:val="16"/>
          <w:szCs w:val="16"/>
          <w:lang w:val="es-CR" w:eastAsia="es-CR"/>
        </w:rPr>
        <w:t>Wijdenbosch</w:t>
      </w:r>
      <w:proofErr w:type="spellEnd"/>
      <w:r w:rsidRPr="0096564B">
        <w:rPr>
          <w:rFonts w:ascii="Verdana" w:eastAsia="Times New Roman" w:hAnsi="Verdana"/>
          <w:sz w:val="16"/>
          <w:szCs w:val="16"/>
          <w:lang w:val="es-CR" w:eastAsia="es-CR"/>
        </w:rPr>
        <w:t xml:space="preserve">, Consejero Gubernamental, Ex Presidente de la República de </w:t>
      </w:r>
      <w:proofErr w:type="spellStart"/>
      <w:r w:rsidRPr="0096564B">
        <w:rPr>
          <w:rFonts w:ascii="Verdana" w:eastAsia="Times New Roman" w:hAnsi="Verdana"/>
          <w:sz w:val="16"/>
          <w:szCs w:val="16"/>
          <w:lang w:val="es-CR" w:eastAsia="es-CR"/>
        </w:rPr>
        <w:t>Suriname</w:t>
      </w:r>
      <w:proofErr w:type="spellEnd"/>
      <w:r w:rsidRPr="0096564B">
        <w:rPr>
          <w:rFonts w:ascii="Verdana" w:eastAsia="Times New Roman" w:hAnsi="Verdana"/>
          <w:sz w:val="16"/>
          <w:szCs w:val="16"/>
          <w:lang w:val="es-CR" w:eastAsia="es-CR"/>
        </w:rPr>
        <w:t xml:space="preserve">; Stanley </w:t>
      </w:r>
      <w:proofErr w:type="spellStart"/>
      <w:r w:rsidRPr="0096564B">
        <w:rPr>
          <w:rFonts w:ascii="Verdana" w:eastAsia="Times New Roman" w:hAnsi="Verdana"/>
          <w:sz w:val="16"/>
          <w:szCs w:val="16"/>
          <w:lang w:val="es-CR" w:eastAsia="es-CR"/>
        </w:rPr>
        <w:t>Betterson</w:t>
      </w:r>
      <w:proofErr w:type="spellEnd"/>
      <w:r w:rsidRPr="0096564B">
        <w:rPr>
          <w:rFonts w:ascii="Verdana" w:eastAsia="Times New Roman" w:hAnsi="Verdana"/>
          <w:sz w:val="16"/>
          <w:szCs w:val="16"/>
          <w:lang w:val="es-CR" w:eastAsia="es-CR"/>
        </w:rPr>
        <w:t xml:space="preserve">, Ministro de Desarrollo Regional; Martin </w:t>
      </w:r>
      <w:proofErr w:type="spellStart"/>
      <w:r w:rsidRPr="0096564B">
        <w:rPr>
          <w:rFonts w:ascii="Verdana" w:eastAsia="Times New Roman" w:hAnsi="Verdana"/>
          <w:sz w:val="16"/>
          <w:szCs w:val="16"/>
          <w:lang w:val="es-CR" w:eastAsia="es-CR"/>
        </w:rPr>
        <w:t>M</w:t>
      </w:r>
      <w:r w:rsidRPr="00C94516">
        <w:rPr>
          <w:rFonts w:ascii="Verdana" w:eastAsia="Times New Roman" w:hAnsi="Verdana"/>
          <w:sz w:val="16"/>
          <w:szCs w:val="16"/>
          <w:lang w:val="es-CR" w:eastAsia="es-CR"/>
        </w:rPr>
        <w:t>isiedjan</w:t>
      </w:r>
      <w:proofErr w:type="spellEnd"/>
      <w:r w:rsidRPr="00C94516">
        <w:rPr>
          <w:rFonts w:ascii="Verdana" w:eastAsia="Times New Roman" w:hAnsi="Verdana"/>
          <w:sz w:val="16"/>
          <w:szCs w:val="16"/>
          <w:lang w:val="es-CR" w:eastAsia="es-CR"/>
        </w:rPr>
        <w:t xml:space="preserve">, Comisionado Presidencial de Derechos sobre la Tierra; Jennifer Van </w:t>
      </w:r>
      <w:proofErr w:type="spellStart"/>
      <w:r w:rsidRPr="00C94516">
        <w:rPr>
          <w:rFonts w:ascii="Verdana" w:eastAsia="Times New Roman" w:hAnsi="Verdana"/>
          <w:sz w:val="16"/>
          <w:szCs w:val="16"/>
          <w:lang w:val="es-CR" w:eastAsia="es-CR"/>
        </w:rPr>
        <w:t>Dijk</w:t>
      </w:r>
      <w:proofErr w:type="spellEnd"/>
      <w:r w:rsidRPr="00C94516">
        <w:rPr>
          <w:rFonts w:ascii="Verdana" w:eastAsia="Times New Roman" w:hAnsi="Verdana"/>
          <w:sz w:val="16"/>
          <w:szCs w:val="16"/>
          <w:lang w:val="es-CR" w:eastAsia="es-CR"/>
        </w:rPr>
        <w:t xml:space="preserve">-Silos, Asesora Legal del Gobierno; Albert </w:t>
      </w:r>
      <w:proofErr w:type="spellStart"/>
      <w:r w:rsidRPr="00C94516">
        <w:rPr>
          <w:rFonts w:ascii="Verdana" w:eastAsia="Times New Roman" w:hAnsi="Verdana"/>
          <w:sz w:val="16"/>
          <w:szCs w:val="16"/>
          <w:lang w:val="es-CR" w:eastAsia="es-CR"/>
        </w:rPr>
        <w:t>Aboikoni</w:t>
      </w:r>
      <w:proofErr w:type="spellEnd"/>
      <w:r w:rsidRPr="00C94516">
        <w:rPr>
          <w:rFonts w:ascii="Verdana" w:eastAsia="Times New Roman" w:hAnsi="Verdana"/>
          <w:sz w:val="16"/>
          <w:szCs w:val="16"/>
          <w:lang w:val="es-CR" w:eastAsia="es-CR"/>
        </w:rPr>
        <w:t>, “</w:t>
      </w:r>
      <w:r>
        <w:rPr>
          <w:rFonts w:ascii="Verdana" w:eastAsia="Times New Roman" w:hAnsi="Verdana"/>
          <w:i/>
          <w:sz w:val="16"/>
          <w:szCs w:val="16"/>
          <w:lang w:val="es-CR" w:eastAsia="es-CR"/>
        </w:rPr>
        <w:t xml:space="preserve">Head </w:t>
      </w:r>
      <w:proofErr w:type="spellStart"/>
      <w:r>
        <w:rPr>
          <w:rFonts w:ascii="Verdana" w:eastAsia="Times New Roman" w:hAnsi="Verdana"/>
          <w:i/>
          <w:sz w:val="16"/>
          <w:szCs w:val="16"/>
          <w:lang w:val="es-CR" w:eastAsia="es-CR"/>
        </w:rPr>
        <w:t>Captain</w:t>
      </w:r>
      <w:proofErr w:type="spellEnd"/>
      <w:r w:rsidRPr="00C94516">
        <w:rPr>
          <w:rFonts w:ascii="Verdana" w:eastAsia="Times New Roman" w:hAnsi="Verdana"/>
          <w:sz w:val="16"/>
          <w:szCs w:val="16"/>
          <w:lang w:val="es-CR" w:eastAsia="es-CR"/>
        </w:rPr>
        <w:t xml:space="preserve">” del Pueblo </w:t>
      </w:r>
      <w:proofErr w:type="spellStart"/>
      <w:r w:rsidRPr="00C94516">
        <w:rPr>
          <w:rFonts w:ascii="Verdana" w:eastAsia="Times New Roman" w:hAnsi="Verdana"/>
          <w:sz w:val="16"/>
          <w:szCs w:val="16"/>
          <w:lang w:val="es-CR" w:eastAsia="es-CR"/>
        </w:rPr>
        <w:t>Saramaka</w:t>
      </w:r>
      <w:proofErr w:type="spellEnd"/>
      <w:r w:rsidRPr="00C94516">
        <w:rPr>
          <w:rFonts w:ascii="Verdana" w:eastAsia="Times New Roman" w:hAnsi="Verdana"/>
          <w:sz w:val="16"/>
          <w:szCs w:val="16"/>
          <w:lang w:val="es-CR" w:eastAsia="es-CR"/>
        </w:rPr>
        <w:t xml:space="preserve">; </w:t>
      </w:r>
      <w:proofErr w:type="spellStart"/>
      <w:r w:rsidRPr="00C94516">
        <w:rPr>
          <w:rFonts w:ascii="Verdana" w:eastAsia="Times New Roman" w:hAnsi="Verdana"/>
          <w:sz w:val="16"/>
          <w:szCs w:val="16"/>
          <w:lang w:val="es-CR" w:eastAsia="es-CR"/>
        </w:rPr>
        <w:t>Henk</w:t>
      </w:r>
      <w:proofErr w:type="spellEnd"/>
      <w:r w:rsidRPr="00C94516">
        <w:rPr>
          <w:rFonts w:ascii="Verdana" w:eastAsia="Times New Roman" w:hAnsi="Verdana"/>
          <w:sz w:val="16"/>
          <w:szCs w:val="16"/>
          <w:lang w:val="es-CR" w:eastAsia="es-CR"/>
        </w:rPr>
        <w:t xml:space="preserve"> </w:t>
      </w:r>
      <w:proofErr w:type="spellStart"/>
      <w:r w:rsidRPr="00C94516">
        <w:rPr>
          <w:rFonts w:ascii="Verdana" w:eastAsia="Times New Roman" w:hAnsi="Verdana"/>
          <w:sz w:val="16"/>
          <w:szCs w:val="16"/>
          <w:lang w:val="es-CR" w:eastAsia="es-CR"/>
        </w:rPr>
        <w:t>Finisi</w:t>
      </w:r>
      <w:proofErr w:type="spellEnd"/>
      <w:r w:rsidRPr="00C94516">
        <w:rPr>
          <w:rFonts w:ascii="Verdana" w:eastAsia="Times New Roman" w:hAnsi="Verdana"/>
          <w:sz w:val="16"/>
          <w:szCs w:val="16"/>
          <w:lang w:val="es-CR" w:eastAsia="es-CR"/>
        </w:rPr>
        <w:t>, “</w:t>
      </w:r>
      <w:r w:rsidRPr="00C94516">
        <w:rPr>
          <w:rFonts w:ascii="Verdana" w:eastAsia="Times New Roman" w:hAnsi="Verdana"/>
          <w:i/>
          <w:sz w:val="16"/>
          <w:szCs w:val="16"/>
          <w:lang w:val="es-CR" w:eastAsia="es-CR"/>
        </w:rPr>
        <w:t xml:space="preserve">Head </w:t>
      </w:r>
      <w:proofErr w:type="spellStart"/>
      <w:r w:rsidRPr="00C94516">
        <w:rPr>
          <w:rFonts w:ascii="Verdana" w:eastAsia="Times New Roman" w:hAnsi="Verdana"/>
          <w:i/>
          <w:sz w:val="16"/>
          <w:szCs w:val="16"/>
          <w:lang w:val="es-CR" w:eastAsia="es-CR"/>
        </w:rPr>
        <w:t>Captain</w:t>
      </w:r>
      <w:proofErr w:type="spellEnd"/>
      <w:r w:rsidRPr="00C94516">
        <w:rPr>
          <w:rFonts w:ascii="Verdana" w:eastAsia="Times New Roman" w:hAnsi="Verdana"/>
          <w:sz w:val="16"/>
          <w:szCs w:val="16"/>
          <w:lang w:val="es-CR" w:eastAsia="es-CR"/>
        </w:rPr>
        <w:t xml:space="preserve">” del Pueblo </w:t>
      </w:r>
      <w:proofErr w:type="spellStart"/>
      <w:r w:rsidRPr="00C94516">
        <w:rPr>
          <w:rFonts w:ascii="Verdana" w:eastAsia="Times New Roman" w:hAnsi="Verdana"/>
          <w:sz w:val="16"/>
          <w:szCs w:val="16"/>
          <w:lang w:val="es-CR" w:eastAsia="es-CR"/>
        </w:rPr>
        <w:t>Saramaka</w:t>
      </w:r>
      <w:proofErr w:type="spellEnd"/>
      <w:r w:rsidRPr="00C94516">
        <w:rPr>
          <w:rFonts w:ascii="Verdana" w:eastAsia="Times New Roman" w:hAnsi="Verdana"/>
          <w:sz w:val="16"/>
          <w:szCs w:val="16"/>
          <w:lang w:val="es-CR" w:eastAsia="es-CR"/>
        </w:rPr>
        <w:t>;</w:t>
      </w:r>
      <w:r w:rsidRPr="0096564B">
        <w:rPr>
          <w:rFonts w:ascii="Verdana" w:eastAsia="Times New Roman" w:hAnsi="Verdana"/>
          <w:sz w:val="16"/>
          <w:szCs w:val="16"/>
          <w:lang w:val="es-CR" w:eastAsia="es-CR"/>
        </w:rPr>
        <w:t xml:space="preserve"> </w:t>
      </w:r>
      <w:proofErr w:type="spellStart"/>
      <w:r w:rsidRPr="0096564B">
        <w:rPr>
          <w:rFonts w:ascii="Verdana" w:eastAsia="Times New Roman" w:hAnsi="Verdana"/>
          <w:sz w:val="16"/>
          <w:szCs w:val="16"/>
          <w:lang w:val="es-CR" w:eastAsia="es-CR"/>
        </w:rPr>
        <w:t>Jornell</w:t>
      </w:r>
      <w:proofErr w:type="spellEnd"/>
      <w:r w:rsidRPr="0096564B">
        <w:rPr>
          <w:rFonts w:ascii="Verdana" w:eastAsia="Times New Roman" w:hAnsi="Verdana"/>
          <w:sz w:val="16"/>
          <w:szCs w:val="16"/>
          <w:lang w:val="es-CR" w:eastAsia="es-CR"/>
        </w:rPr>
        <w:t xml:space="preserve"> </w:t>
      </w:r>
      <w:proofErr w:type="spellStart"/>
      <w:r w:rsidRPr="0096564B">
        <w:rPr>
          <w:rFonts w:ascii="Verdana" w:eastAsia="Times New Roman" w:hAnsi="Verdana"/>
          <w:sz w:val="16"/>
          <w:szCs w:val="16"/>
          <w:lang w:val="es-CR" w:eastAsia="es-CR"/>
        </w:rPr>
        <w:t>Vinkwolk</w:t>
      </w:r>
      <w:proofErr w:type="spellEnd"/>
      <w:r w:rsidRPr="0096564B">
        <w:rPr>
          <w:rFonts w:ascii="Verdana" w:eastAsia="Times New Roman" w:hAnsi="Verdana"/>
          <w:sz w:val="16"/>
          <w:szCs w:val="16"/>
          <w:lang w:val="es-CR" w:eastAsia="es-CR"/>
        </w:rPr>
        <w:t xml:space="preserve">, Jefe del Departamento de Derechos Humanos del Ministerio de Justicia y Policía, y </w:t>
      </w:r>
      <w:proofErr w:type="spellStart"/>
      <w:r w:rsidRPr="0096564B">
        <w:rPr>
          <w:rFonts w:ascii="Verdana" w:eastAsia="Times New Roman" w:hAnsi="Verdana"/>
          <w:sz w:val="16"/>
          <w:szCs w:val="16"/>
          <w:lang w:val="es-CR" w:eastAsia="es-CR"/>
        </w:rPr>
        <w:t>Monique</w:t>
      </w:r>
      <w:proofErr w:type="spellEnd"/>
      <w:r w:rsidRPr="0096564B">
        <w:rPr>
          <w:rFonts w:ascii="Verdana" w:eastAsia="Times New Roman" w:hAnsi="Verdana"/>
          <w:sz w:val="16"/>
          <w:szCs w:val="16"/>
          <w:lang w:val="es-CR" w:eastAsia="es-CR"/>
        </w:rPr>
        <w:t xml:space="preserve"> Pool, intérprete</w:t>
      </w:r>
      <w:r w:rsidRPr="0096564B">
        <w:rPr>
          <w:rFonts w:ascii="Verdana" w:hAnsi="Verdana"/>
          <w:sz w:val="16"/>
          <w:szCs w:val="16"/>
        </w:rPr>
        <w:t xml:space="preserve">; b) </w:t>
      </w:r>
      <w:r>
        <w:rPr>
          <w:rFonts w:ascii="Verdana" w:hAnsi="Verdana"/>
          <w:sz w:val="16"/>
          <w:szCs w:val="16"/>
        </w:rPr>
        <w:t>p</w:t>
      </w:r>
      <w:r w:rsidRPr="0096564B">
        <w:rPr>
          <w:rFonts w:ascii="Verdana" w:hAnsi="Verdana"/>
          <w:sz w:val="16"/>
          <w:szCs w:val="16"/>
        </w:rPr>
        <w:t xml:space="preserve">or parte de las víctimas y sus representantes: Hugo </w:t>
      </w:r>
      <w:proofErr w:type="spellStart"/>
      <w:r w:rsidRPr="0096564B">
        <w:rPr>
          <w:rFonts w:ascii="Verdana" w:hAnsi="Verdana"/>
          <w:sz w:val="16"/>
          <w:szCs w:val="16"/>
        </w:rPr>
        <w:t>Jabini</w:t>
      </w:r>
      <w:proofErr w:type="spellEnd"/>
      <w:r w:rsidRPr="0096564B">
        <w:rPr>
          <w:rFonts w:ascii="Verdana" w:hAnsi="Verdana"/>
          <w:sz w:val="16"/>
          <w:szCs w:val="16"/>
        </w:rPr>
        <w:t xml:space="preserve">, representante del Pueblo </w:t>
      </w:r>
      <w:proofErr w:type="spellStart"/>
      <w:r w:rsidRPr="0096564B">
        <w:rPr>
          <w:rFonts w:ascii="Verdana" w:hAnsi="Verdana"/>
          <w:sz w:val="16"/>
          <w:szCs w:val="16"/>
        </w:rPr>
        <w:t>Saramaka</w:t>
      </w:r>
      <w:proofErr w:type="spellEnd"/>
      <w:r w:rsidRPr="0096564B">
        <w:rPr>
          <w:rFonts w:ascii="Verdana" w:hAnsi="Verdana"/>
          <w:sz w:val="16"/>
          <w:szCs w:val="16"/>
        </w:rPr>
        <w:t xml:space="preserve">; </w:t>
      </w:r>
      <w:proofErr w:type="spellStart"/>
      <w:r w:rsidRPr="0096564B">
        <w:rPr>
          <w:rFonts w:ascii="Verdana" w:hAnsi="Verdana"/>
          <w:sz w:val="16"/>
          <w:szCs w:val="16"/>
        </w:rPr>
        <w:t>Wazen</w:t>
      </w:r>
      <w:proofErr w:type="spellEnd"/>
      <w:r w:rsidRPr="0096564B">
        <w:rPr>
          <w:rFonts w:ascii="Verdana" w:hAnsi="Verdana"/>
          <w:sz w:val="16"/>
          <w:szCs w:val="16"/>
        </w:rPr>
        <w:t xml:space="preserve"> </w:t>
      </w:r>
      <w:proofErr w:type="spellStart"/>
      <w:r w:rsidRPr="0096564B">
        <w:rPr>
          <w:rFonts w:ascii="Verdana" w:hAnsi="Verdana"/>
          <w:sz w:val="16"/>
          <w:szCs w:val="16"/>
        </w:rPr>
        <w:t>Eduards</w:t>
      </w:r>
      <w:proofErr w:type="spellEnd"/>
      <w:r w:rsidRPr="0096564B">
        <w:rPr>
          <w:rFonts w:ascii="Verdana" w:hAnsi="Verdana"/>
          <w:sz w:val="16"/>
          <w:szCs w:val="16"/>
        </w:rPr>
        <w:t xml:space="preserve">, </w:t>
      </w:r>
      <w:r w:rsidRPr="0096564B">
        <w:rPr>
          <w:rFonts w:ascii="Verdana" w:eastAsia="Times New Roman" w:hAnsi="Verdana"/>
          <w:sz w:val="16"/>
          <w:szCs w:val="16"/>
          <w:lang w:val="es-CR" w:eastAsia="es-CR"/>
        </w:rPr>
        <w:t xml:space="preserve">Director en Jefe, Presidente de la Asociación de las Autoridades de </w:t>
      </w:r>
      <w:proofErr w:type="spellStart"/>
      <w:r w:rsidRPr="0096564B">
        <w:rPr>
          <w:rFonts w:ascii="Verdana" w:eastAsia="Times New Roman" w:hAnsi="Verdana"/>
          <w:sz w:val="16"/>
          <w:szCs w:val="16"/>
          <w:lang w:val="es-CR" w:eastAsia="es-CR"/>
        </w:rPr>
        <w:t>Saramaka</w:t>
      </w:r>
      <w:proofErr w:type="spellEnd"/>
      <w:r w:rsidRPr="0096564B">
        <w:rPr>
          <w:rFonts w:ascii="Verdana" w:eastAsia="Times New Roman" w:hAnsi="Verdana"/>
          <w:sz w:val="16"/>
          <w:szCs w:val="16"/>
          <w:lang w:val="es-CR" w:eastAsia="es-CR"/>
        </w:rPr>
        <w:t xml:space="preserve">; </w:t>
      </w:r>
      <w:r w:rsidRPr="0096564B">
        <w:rPr>
          <w:rFonts w:ascii="Verdana" w:hAnsi="Verdana"/>
          <w:sz w:val="16"/>
          <w:szCs w:val="16"/>
        </w:rPr>
        <w:t xml:space="preserve">Peter </w:t>
      </w:r>
      <w:proofErr w:type="spellStart"/>
      <w:r w:rsidRPr="0096564B">
        <w:rPr>
          <w:rFonts w:ascii="Verdana" w:hAnsi="Verdana"/>
          <w:sz w:val="16"/>
          <w:szCs w:val="16"/>
        </w:rPr>
        <w:t>Amoida</w:t>
      </w:r>
      <w:proofErr w:type="spellEnd"/>
      <w:r w:rsidRPr="0096564B">
        <w:rPr>
          <w:rFonts w:ascii="Verdana" w:hAnsi="Verdana"/>
          <w:sz w:val="16"/>
          <w:szCs w:val="16"/>
        </w:rPr>
        <w:t xml:space="preserve">, </w:t>
      </w:r>
      <w:r w:rsidRPr="0096564B">
        <w:rPr>
          <w:rFonts w:ascii="Verdana" w:eastAsia="Times New Roman" w:hAnsi="Verdana"/>
          <w:sz w:val="16"/>
          <w:szCs w:val="16"/>
          <w:lang w:val="es-CR" w:eastAsia="es-CR"/>
        </w:rPr>
        <w:t xml:space="preserve">Representante de </w:t>
      </w:r>
      <w:proofErr w:type="spellStart"/>
      <w:r w:rsidRPr="0096564B">
        <w:rPr>
          <w:rFonts w:ascii="Verdana" w:eastAsia="Times New Roman" w:hAnsi="Verdana"/>
          <w:sz w:val="16"/>
          <w:szCs w:val="16"/>
          <w:lang w:val="es-CR" w:eastAsia="es-CR"/>
        </w:rPr>
        <w:t>Gaama</w:t>
      </w:r>
      <w:proofErr w:type="spellEnd"/>
      <w:r w:rsidRPr="0096564B">
        <w:rPr>
          <w:rFonts w:ascii="Verdana" w:eastAsia="Times New Roman" w:hAnsi="Verdana"/>
          <w:sz w:val="16"/>
          <w:szCs w:val="16"/>
          <w:lang w:val="es-CR" w:eastAsia="es-CR"/>
        </w:rPr>
        <w:t xml:space="preserve"> y Asociación de las Autoridades de </w:t>
      </w:r>
      <w:proofErr w:type="spellStart"/>
      <w:r w:rsidRPr="0096564B">
        <w:rPr>
          <w:rFonts w:ascii="Verdana" w:eastAsia="Times New Roman" w:hAnsi="Verdana"/>
          <w:sz w:val="16"/>
          <w:szCs w:val="16"/>
          <w:lang w:val="es-CR" w:eastAsia="es-CR"/>
        </w:rPr>
        <w:t>Saramaka</w:t>
      </w:r>
      <w:proofErr w:type="spellEnd"/>
      <w:r w:rsidRPr="0096564B">
        <w:rPr>
          <w:rFonts w:ascii="Verdana" w:eastAsia="Times New Roman" w:hAnsi="Verdana"/>
          <w:sz w:val="16"/>
          <w:szCs w:val="16"/>
          <w:lang w:val="es-CR" w:eastAsia="es-CR"/>
        </w:rPr>
        <w:t xml:space="preserve">; </w:t>
      </w:r>
      <w:proofErr w:type="spellStart"/>
      <w:r w:rsidRPr="0096564B">
        <w:rPr>
          <w:rFonts w:ascii="Verdana" w:hAnsi="Verdana"/>
          <w:sz w:val="16"/>
          <w:szCs w:val="16"/>
        </w:rPr>
        <w:t>Nicolas</w:t>
      </w:r>
      <w:proofErr w:type="spellEnd"/>
      <w:r w:rsidRPr="0096564B">
        <w:rPr>
          <w:rFonts w:ascii="Verdana" w:hAnsi="Verdana"/>
          <w:sz w:val="16"/>
          <w:szCs w:val="16"/>
        </w:rPr>
        <w:t xml:space="preserve"> </w:t>
      </w:r>
      <w:proofErr w:type="spellStart"/>
      <w:r w:rsidRPr="0096564B">
        <w:rPr>
          <w:rFonts w:ascii="Verdana" w:hAnsi="Verdana"/>
          <w:sz w:val="16"/>
          <w:szCs w:val="16"/>
        </w:rPr>
        <w:t>Petrusi</w:t>
      </w:r>
      <w:proofErr w:type="spellEnd"/>
      <w:r w:rsidRPr="0096564B">
        <w:rPr>
          <w:rFonts w:ascii="Verdana" w:hAnsi="Verdana"/>
          <w:sz w:val="16"/>
          <w:szCs w:val="16"/>
        </w:rPr>
        <w:t xml:space="preserve">, </w:t>
      </w:r>
      <w:r w:rsidRPr="0096564B">
        <w:rPr>
          <w:rFonts w:ascii="Verdana" w:eastAsia="Times New Roman" w:hAnsi="Verdana"/>
          <w:sz w:val="16"/>
          <w:szCs w:val="16"/>
          <w:lang w:val="es-CR" w:eastAsia="es-CR"/>
        </w:rPr>
        <w:t xml:space="preserve">Asociación de las Autoridades de </w:t>
      </w:r>
      <w:proofErr w:type="spellStart"/>
      <w:r w:rsidRPr="0096564B">
        <w:rPr>
          <w:rFonts w:ascii="Verdana" w:eastAsia="Times New Roman" w:hAnsi="Verdana"/>
          <w:sz w:val="16"/>
          <w:szCs w:val="16"/>
          <w:lang w:val="es-CR" w:eastAsia="es-CR"/>
        </w:rPr>
        <w:t>Saramaka</w:t>
      </w:r>
      <w:proofErr w:type="spellEnd"/>
      <w:r w:rsidRPr="0096564B">
        <w:rPr>
          <w:rFonts w:ascii="Verdana" w:eastAsia="Times New Roman" w:hAnsi="Verdana"/>
          <w:sz w:val="16"/>
          <w:szCs w:val="16"/>
          <w:lang w:val="es-CR" w:eastAsia="es-CR"/>
        </w:rPr>
        <w:t xml:space="preserve">; </w:t>
      </w:r>
      <w:proofErr w:type="spellStart"/>
      <w:r w:rsidRPr="0096564B">
        <w:rPr>
          <w:rFonts w:ascii="Verdana" w:hAnsi="Verdana"/>
          <w:sz w:val="16"/>
          <w:szCs w:val="16"/>
        </w:rPr>
        <w:t>Fergus</w:t>
      </w:r>
      <w:proofErr w:type="spellEnd"/>
      <w:r w:rsidRPr="0096564B">
        <w:rPr>
          <w:rFonts w:ascii="Verdana" w:hAnsi="Verdana"/>
          <w:sz w:val="16"/>
          <w:szCs w:val="16"/>
        </w:rPr>
        <w:t xml:space="preserve"> </w:t>
      </w:r>
      <w:proofErr w:type="spellStart"/>
      <w:r w:rsidRPr="0096564B">
        <w:rPr>
          <w:rFonts w:ascii="Verdana" w:hAnsi="Verdana"/>
          <w:sz w:val="16"/>
          <w:szCs w:val="16"/>
        </w:rPr>
        <w:t>MacKay</w:t>
      </w:r>
      <w:proofErr w:type="spellEnd"/>
      <w:r>
        <w:rPr>
          <w:rFonts w:ascii="Verdana" w:hAnsi="Verdana"/>
          <w:sz w:val="16"/>
          <w:szCs w:val="16"/>
        </w:rPr>
        <w:t>,</w:t>
      </w:r>
      <w:r w:rsidRPr="0096564B">
        <w:rPr>
          <w:rFonts w:ascii="Verdana" w:hAnsi="Verdana"/>
          <w:sz w:val="16"/>
          <w:szCs w:val="16"/>
        </w:rPr>
        <w:t xml:space="preserve"> </w:t>
      </w:r>
      <w:r w:rsidRPr="0096564B">
        <w:rPr>
          <w:rFonts w:ascii="Verdana" w:eastAsia="Times New Roman" w:hAnsi="Verdana"/>
          <w:sz w:val="16"/>
          <w:szCs w:val="16"/>
          <w:lang w:val="es-CR" w:eastAsia="es-CR"/>
        </w:rPr>
        <w:t xml:space="preserve">Abogado Coordinador de </w:t>
      </w:r>
      <w:proofErr w:type="spellStart"/>
      <w:r w:rsidRPr="0096564B">
        <w:rPr>
          <w:rFonts w:ascii="Verdana" w:eastAsia="Times New Roman" w:hAnsi="Verdana"/>
          <w:sz w:val="16"/>
          <w:szCs w:val="16"/>
          <w:lang w:val="es-CR" w:eastAsia="es-CR"/>
        </w:rPr>
        <w:t>Forest</w:t>
      </w:r>
      <w:proofErr w:type="spellEnd"/>
      <w:r w:rsidRPr="0096564B">
        <w:rPr>
          <w:rFonts w:ascii="Verdana" w:eastAsia="Times New Roman" w:hAnsi="Verdana"/>
          <w:sz w:val="16"/>
          <w:szCs w:val="16"/>
          <w:lang w:val="es-CR" w:eastAsia="es-CR"/>
        </w:rPr>
        <w:t xml:space="preserve"> </w:t>
      </w:r>
      <w:proofErr w:type="spellStart"/>
      <w:r w:rsidRPr="0096564B">
        <w:rPr>
          <w:rFonts w:ascii="Verdana" w:eastAsia="Times New Roman" w:hAnsi="Verdana"/>
          <w:sz w:val="16"/>
          <w:szCs w:val="16"/>
          <w:lang w:val="es-CR" w:eastAsia="es-CR"/>
        </w:rPr>
        <w:t>Peoples</w:t>
      </w:r>
      <w:proofErr w:type="spellEnd"/>
      <w:r w:rsidRPr="0096564B">
        <w:rPr>
          <w:rFonts w:ascii="Verdana" w:eastAsia="Times New Roman" w:hAnsi="Verdana"/>
          <w:sz w:val="16"/>
          <w:szCs w:val="16"/>
          <w:lang w:val="es-CR" w:eastAsia="es-CR"/>
        </w:rPr>
        <w:t xml:space="preserve"> </w:t>
      </w:r>
      <w:proofErr w:type="spellStart"/>
      <w:r w:rsidRPr="0096564B">
        <w:rPr>
          <w:rFonts w:ascii="Verdana" w:eastAsia="Times New Roman" w:hAnsi="Verdana"/>
          <w:sz w:val="16"/>
          <w:szCs w:val="16"/>
          <w:lang w:val="es-CR" w:eastAsia="es-CR"/>
        </w:rPr>
        <w:t>Programme</w:t>
      </w:r>
      <w:proofErr w:type="spellEnd"/>
      <w:r>
        <w:rPr>
          <w:rFonts w:ascii="Verdana" w:eastAsia="Times New Roman" w:hAnsi="Verdana"/>
          <w:sz w:val="16"/>
          <w:szCs w:val="16"/>
          <w:lang w:val="es-CR" w:eastAsia="es-CR"/>
        </w:rPr>
        <w:t>, y</w:t>
      </w:r>
      <w:r w:rsidRPr="0096564B">
        <w:rPr>
          <w:rFonts w:ascii="Verdana" w:hAnsi="Verdana"/>
          <w:sz w:val="16"/>
          <w:szCs w:val="16"/>
        </w:rPr>
        <w:t xml:space="preserve"> </w:t>
      </w:r>
      <w:proofErr w:type="spellStart"/>
      <w:r w:rsidRPr="0096564B">
        <w:rPr>
          <w:rFonts w:ascii="Verdana" w:hAnsi="Verdana"/>
          <w:sz w:val="16"/>
          <w:szCs w:val="16"/>
        </w:rPr>
        <w:t>Alancay</w:t>
      </w:r>
      <w:proofErr w:type="spellEnd"/>
      <w:r w:rsidRPr="0096564B">
        <w:rPr>
          <w:rFonts w:ascii="Verdana" w:hAnsi="Verdana"/>
          <w:sz w:val="16"/>
          <w:szCs w:val="16"/>
        </w:rPr>
        <w:t xml:space="preserve"> Morales Garro, del </w:t>
      </w:r>
      <w:proofErr w:type="spellStart"/>
      <w:r w:rsidRPr="0096564B">
        <w:rPr>
          <w:rFonts w:ascii="Verdana" w:hAnsi="Verdana"/>
          <w:sz w:val="16"/>
          <w:szCs w:val="16"/>
        </w:rPr>
        <w:t>Forest</w:t>
      </w:r>
      <w:proofErr w:type="spellEnd"/>
      <w:r w:rsidRPr="0096564B">
        <w:rPr>
          <w:rFonts w:ascii="Verdana" w:hAnsi="Verdana"/>
          <w:sz w:val="16"/>
          <w:szCs w:val="16"/>
        </w:rPr>
        <w:t xml:space="preserve"> </w:t>
      </w:r>
      <w:proofErr w:type="spellStart"/>
      <w:r w:rsidRPr="0096564B">
        <w:rPr>
          <w:rFonts w:ascii="Verdana" w:hAnsi="Verdana"/>
          <w:sz w:val="16"/>
          <w:szCs w:val="16"/>
        </w:rPr>
        <w:t>People</w:t>
      </w:r>
      <w:r>
        <w:rPr>
          <w:rFonts w:ascii="Verdana" w:hAnsi="Verdana"/>
          <w:sz w:val="16"/>
          <w:szCs w:val="16"/>
        </w:rPr>
        <w:t>s</w:t>
      </w:r>
      <w:proofErr w:type="spellEnd"/>
      <w:r w:rsidRPr="0096564B">
        <w:rPr>
          <w:rFonts w:ascii="Verdana" w:hAnsi="Verdana"/>
          <w:sz w:val="16"/>
          <w:szCs w:val="16"/>
        </w:rPr>
        <w:t xml:space="preserve"> </w:t>
      </w:r>
      <w:proofErr w:type="spellStart"/>
      <w:r w:rsidRPr="0096564B">
        <w:rPr>
          <w:rFonts w:ascii="Verdana" w:hAnsi="Verdana"/>
          <w:sz w:val="16"/>
          <w:szCs w:val="16"/>
        </w:rPr>
        <w:t>Programme</w:t>
      </w:r>
      <w:proofErr w:type="spellEnd"/>
      <w:r w:rsidRPr="0096564B">
        <w:rPr>
          <w:rFonts w:ascii="Verdana" w:hAnsi="Verdana"/>
          <w:sz w:val="16"/>
          <w:szCs w:val="16"/>
        </w:rPr>
        <w:t>; y c) Por parte de la Comisión: Eli</w:t>
      </w:r>
      <w:r>
        <w:rPr>
          <w:rFonts w:ascii="Verdana" w:hAnsi="Verdana"/>
          <w:sz w:val="16"/>
          <w:szCs w:val="16"/>
        </w:rPr>
        <w:t>zabeth</w:t>
      </w:r>
      <w:r w:rsidRPr="0096564B">
        <w:rPr>
          <w:rFonts w:ascii="Verdana" w:hAnsi="Verdana"/>
          <w:sz w:val="16"/>
          <w:szCs w:val="16"/>
        </w:rPr>
        <w:t xml:space="preserve"> </w:t>
      </w:r>
      <w:proofErr w:type="spellStart"/>
      <w:r w:rsidRPr="0096564B">
        <w:rPr>
          <w:rFonts w:ascii="Verdana" w:hAnsi="Verdana"/>
          <w:sz w:val="16"/>
          <w:szCs w:val="16"/>
        </w:rPr>
        <w:t>Abi-Mershed</w:t>
      </w:r>
      <w:proofErr w:type="spellEnd"/>
      <w:r w:rsidRPr="0096564B">
        <w:rPr>
          <w:rFonts w:ascii="Verdana" w:hAnsi="Verdana"/>
          <w:sz w:val="16"/>
          <w:szCs w:val="16"/>
        </w:rPr>
        <w:t xml:space="preserve">, Secretaria Ejecutiva Adjunta. </w:t>
      </w:r>
      <w:r>
        <w:rPr>
          <w:rFonts w:ascii="Verdana" w:hAnsi="Verdana"/>
          <w:sz w:val="16"/>
          <w:szCs w:val="16"/>
        </w:rPr>
        <w:t xml:space="preserve">La audiencia fue llevada a cabo ante los Jueces Diego García-Sayán, Presidente; Alberto Pérez </w:t>
      </w:r>
      <w:proofErr w:type="spellStart"/>
      <w:r>
        <w:rPr>
          <w:rFonts w:ascii="Verdana" w:hAnsi="Verdana"/>
          <w:sz w:val="16"/>
          <w:szCs w:val="16"/>
        </w:rPr>
        <w:t>Pérez</w:t>
      </w:r>
      <w:proofErr w:type="spellEnd"/>
      <w:r>
        <w:rPr>
          <w:rFonts w:ascii="Verdana" w:hAnsi="Verdana"/>
          <w:sz w:val="16"/>
          <w:szCs w:val="16"/>
        </w:rPr>
        <w:t xml:space="preserve"> y Humberto A. Sierra Porto. </w:t>
      </w:r>
    </w:p>
  </w:footnote>
  <w:footnote w:id="7">
    <w:p w14:paraId="71821D47" w14:textId="24E86A7F" w:rsidR="00A07E10" w:rsidRPr="004437EF" w:rsidRDefault="00A07E10" w:rsidP="0096564B">
      <w:pPr>
        <w:pStyle w:val="FootnoteText"/>
        <w:jc w:val="both"/>
        <w:rPr>
          <w:rFonts w:ascii="Verdana" w:hAnsi="Verdana"/>
          <w:b/>
          <w:sz w:val="16"/>
          <w:szCs w:val="16"/>
        </w:rPr>
      </w:pPr>
      <w:r w:rsidRPr="004437EF">
        <w:rPr>
          <w:rStyle w:val="FootnoteReference"/>
          <w:rFonts w:ascii="Verdana" w:hAnsi="Verdana"/>
          <w:sz w:val="16"/>
          <w:szCs w:val="16"/>
        </w:rPr>
        <w:footnoteRef/>
      </w:r>
      <w:r w:rsidRPr="004437EF">
        <w:rPr>
          <w:rFonts w:ascii="Verdana" w:hAnsi="Verdana"/>
          <w:sz w:val="16"/>
          <w:szCs w:val="16"/>
        </w:rPr>
        <w:t xml:space="preserve"> </w:t>
      </w:r>
      <w:r w:rsidRPr="004437EF">
        <w:rPr>
          <w:rFonts w:ascii="Verdana" w:hAnsi="Verdana"/>
          <w:sz w:val="16"/>
          <w:szCs w:val="16"/>
        </w:rPr>
        <w:tab/>
        <w:t>Escrito</w:t>
      </w:r>
      <w:r>
        <w:rPr>
          <w:rFonts w:ascii="Verdana" w:hAnsi="Verdana"/>
          <w:sz w:val="16"/>
          <w:szCs w:val="16"/>
        </w:rPr>
        <w:t>s</w:t>
      </w:r>
      <w:r w:rsidRPr="004437EF">
        <w:rPr>
          <w:rFonts w:ascii="Verdana" w:hAnsi="Verdana"/>
          <w:sz w:val="16"/>
          <w:szCs w:val="16"/>
        </w:rPr>
        <w:t xml:space="preserve"> </w:t>
      </w:r>
      <w:r>
        <w:rPr>
          <w:rFonts w:ascii="Verdana" w:hAnsi="Verdana"/>
          <w:sz w:val="16"/>
          <w:szCs w:val="16"/>
        </w:rPr>
        <w:t>de 9, 10,</w:t>
      </w:r>
      <w:r w:rsidRPr="004437EF">
        <w:rPr>
          <w:rFonts w:ascii="Verdana" w:hAnsi="Verdana"/>
          <w:sz w:val="16"/>
          <w:szCs w:val="16"/>
        </w:rPr>
        <w:t xml:space="preserve"> </w:t>
      </w:r>
      <w:r>
        <w:rPr>
          <w:rFonts w:ascii="Verdana" w:hAnsi="Verdana"/>
          <w:sz w:val="16"/>
          <w:szCs w:val="16"/>
        </w:rPr>
        <w:t>11 y 26 de julio y 25 de octubre de 2013 y</w:t>
      </w:r>
      <w:r w:rsidRPr="004437EF">
        <w:rPr>
          <w:rFonts w:ascii="Verdana" w:hAnsi="Verdana"/>
          <w:b/>
          <w:sz w:val="16"/>
          <w:szCs w:val="16"/>
        </w:rPr>
        <w:t xml:space="preserve"> </w:t>
      </w:r>
      <w:r w:rsidRPr="004437EF">
        <w:rPr>
          <w:rFonts w:ascii="Verdana" w:hAnsi="Verdana"/>
          <w:sz w:val="16"/>
          <w:szCs w:val="16"/>
        </w:rPr>
        <w:t>27 de abril de 2015.</w:t>
      </w:r>
    </w:p>
  </w:footnote>
  <w:footnote w:id="8">
    <w:p w14:paraId="27AA3191" w14:textId="1EF40FE3" w:rsidR="00A07E10" w:rsidRPr="004437EF" w:rsidRDefault="00A07E10" w:rsidP="004437EF">
      <w:pPr>
        <w:pStyle w:val="FootnoteText"/>
        <w:jc w:val="both"/>
        <w:rPr>
          <w:rFonts w:ascii="Verdana" w:hAnsi="Verdana"/>
          <w:b/>
          <w:sz w:val="16"/>
          <w:szCs w:val="16"/>
        </w:rPr>
      </w:pPr>
      <w:r w:rsidRPr="004437EF">
        <w:rPr>
          <w:rStyle w:val="FootnoteReference"/>
          <w:rFonts w:ascii="Verdana" w:hAnsi="Verdana"/>
          <w:sz w:val="16"/>
          <w:szCs w:val="16"/>
        </w:rPr>
        <w:footnoteRef/>
      </w:r>
      <w:r w:rsidRPr="004437EF">
        <w:rPr>
          <w:rFonts w:ascii="Verdana" w:hAnsi="Verdana"/>
          <w:sz w:val="16"/>
          <w:szCs w:val="16"/>
        </w:rPr>
        <w:t xml:space="preserve"> </w:t>
      </w:r>
      <w:r w:rsidRPr="004437EF">
        <w:rPr>
          <w:rFonts w:ascii="Verdana" w:hAnsi="Verdana"/>
          <w:sz w:val="16"/>
          <w:szCs w:val="16"/>
        </w:rPr>
        <w:tab/>
        <w:t xml:space="preserve">Escritos de 5 de agosto de 2013, </w:t>
      </w:r>
      <w:r>
        <w:rPr>
          <w:rFonts w:ascii="Verdana" w:hAnsi="Verdana"/>
          <w:sz w:val="16"/>
          <w:szCs w:val="16"/>
        </w:rPr>
        <w:t>10 de marzo y</w:t>
      </w:r>
      <w:r w:rsidRPr="004437EF">
        <w:rPr>
          <w:rFonts w:ascii="Verdana" w:hAnsi="Verdana"/>
          <w:sz w:val="16"/>
          <w:szCs w:val="16"/>
        </w:rPr>
        <w:t xml:space="preserve"> </w:t>
      </w:r>
      <w:r w:rsidRPr="004437EF">
        <w:rPr>
          <w:rFonts w:ascii="Verdana" w:eastAsiaTheme="minorHAnsi" w:hAnsi="Verdana"/>
          <w:sz w:val="16"/>
          <w:szCs w:val="16"/>
          <w:lang w:val="es-CR" w:eastAsia="es-CR"/>
        </w:rPr>
        <w:t xml:space="preserve">3 de noviembre de 2014 y 29 de mayo de 2015. </w:t>
      </w:r>
    </w:p>
  </w:footnote>
  <w:footnote w:id="9">
    <w:p w14:paraId="473C5C6B" w14:textId="30CB021B" w:rsidR="00A07E10" w:rsidRPr="00D3246C" w:rsidRDefault="00A07E10" w:rsidP="00D3246C">
      <w:pPr>
        <w:pStyle w:val="FootnoteText"/>
        <w:jc w:val="both"/>
        <w:rPr>
          <w:rFonts w:ascii="Verdana" w:hAnsi="Verdana"/>
          <w:b/>
          <w:sz w:val="16"/>
          <w:szCs w:val="16"/>
        </w:rPr>
      </w:pPr>
      <w:r w:rsidRPr="00D3246C">
        <w:rPr>
          <w:rStyle w:val="FootnoteReference"/>
          <w:rFonts w:ascii="Verdana" w:hAnsi="Verdana"/>
          <w:sz w:val="16"/>
          <w:szCs w:val="16"/>
        </w:rPr>
        <w:footnoteRef/>
      </w:r>
      <w:r w:rsidRPr="00D3246C">
        <w:rPr>
          <w:rFonts w:ascii="Verdana" w:hAnsi="Verdana"/>
          <w:sz w:val="16"/>
          <w:szCs w:val="16"/>
        </w:rPr>
        <w:t xml:space="preserve"> </w:t>
      </w:r>
      <w:r w:rsidRPr="00D3246C">
        <w:rPr>
          <w:rFonts w:ascii="Verdana" w:hAnsi="Verdana"/>
          <w:sz w:val="16"/>
          <w:szCs w:val="16"/>
        </w:rPr>
        <w:tab/>
        <w:t xml:space="preserve">Escritos de 29 de agosto y </w:t>
      </w:r>
      <w:r>
        <w:rPr>
          <w:rFonts w:ascii="Verdana" w:hAnsi="Verdana"/>
          <w:sz w:val="16"/>
          <w:szCs w:val="16"/>
        </w:rPr>
        <w:t>17</w:t>
      </w:r>
      <w:r w:rsidRPr="00D3246C">
        <w:rPr>
          <w:rFonts w:ascii="Verdana" w:hAnsi="Verdana"/>
          <w:sz w:val="16"/>
          <w:szCs w:val="16"/>
        </w:rPr>
        <w:t xml:space="preserve"> de diciembre de 2013, 18 de junio de 2015. </w:t>
      </w:r>
    </w:p>
  </w:footnote>
  <w:footnote w:id="10">
    <w:p w14:paraId="71B25F6B" w14:textId="77777777" w:rsidR="00A07E10" w:rsidRDefault="00A07E10" w:rsidP="00E54903">
      <w:pPr>
        <w:pStyle w:val="FootnoteText"/>
        <w:jc w:val="both"/>
        <w:rPr>
          <w:rFonts w:ascii="Verdana" w:hAnsi="Verdana"/>
          <w:sz w:val="16"/>
          <w:szCs w:val="16"/>
          <w:lang w:val="es-CR" w:eastAsia="en-US"/>
        </w:rPr>
      </w:pPr>
      <w:r>
        <w:rPr>
          <w:rStyle w:val="FootnoteReferenc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t>Facultad que además se desprende de lo dispuesto en los artículos 33, 62.1, 62.3 y 65 de la Convención Americana y 30 de su Estatuto y se encuentra regulada en el artículo 69 de su Reglamento.</w:t>
      </w:r>
    </w:p>
  </w:footnote>
  <w:footnote w:id="11">
    <w:p w14:paraId="630370F3" w14:textId="1B5E525F" w:rsidR="00A07E10" w:rsidRPr="00AA1A76" w:rsidRDefault="00A07E10" w:rsidP="00E54903">
      <w:pPr>
        <w:pStyle w:val="FootnoteText"/>
        <w:jc w:val="both"/>
        <w:rPr>
          <w:rFonts w:ascii="Verdana" w:hAnsi="Verdana"/>
          <w:sz w:val="16"/>
          <w:szCs w:val="16"/>
          <w:lang w:val="es-CR"/>
        </w:rPr>
      </w:pPr>
      <w:r w:rsidRPr="00AA1A76">
        <w:rPr>
          <w:rStyle w:val="FootnoteReference"/>
          <w:rFonts w:ascii="Verdana" w:hAnsi="Verdana"/>
          <w:sz w:val="16"/>
          <w:szCs w:val="16"/>
        </w:rPr>
        <w:footnoteRef/>
      </w:r>
      <w:r w:rsidRPr="00AA1A76">
        <w:rPr>
          <w:rFonts w:ascii="Verdana" w:hAnsi="Verdana"/>
          <w:sz w:val="16"/>
          <w:szCs w:val="16"/>
        </w:rPr>
        <w:t xml:space="preserve"> </w:t>
      </w:r>
      <w:r w:rsidRPr="00AA1A76">
        <w:rPr>
          <w:rFonts w:ascii="Verdana" w:hAnsi="Verdana"/>
          <w:sz w:val="16"/>
          <w:szCs w:val="16"/>
          <w:lang w:val="es-CR"/>
        </w:rPr>
        <w:tab/>
        <w:t xml:space="preserve">Surinam ha dado cumplimiento total a las siguientes medidas de reparación: i) </w:t>
      </w:r>
      <w:r>
        <w:rPr>
          <w:rFonts w:ascii="Verdana" w:hAnsi="Verdana"/>
          <w:sz w:val="16"/>
          <w:szCs w:val="16"/>
          <w:lang w:val="es-CR"/>
        </w:rPr>
        <w:t>traducir al holandés y publicar el Capítulo VII de la Sentencia, sin las correspondientes notas al pie, así como los puntos resolutivos del número uno al quince, en el Boletín Oficial del Estado y en otro diario masivo de circulación nacional</w:t>
      </w:r>
      <w:r w:rsidRPr="00AA1A76">
        <w:rPr>
          <w:rFonts w:ascii="Verdana" w:hAnsi="Verdana"/>
          <w:sz w:val="16"/>
          <w:szCs w:val="16"/>
          <w:lang w:val="es-CR"/>
        </w:rPr>
        <w:t xml:space="preserve"> (</w:t>
      </w:r>
      <w:r w:rsidRPr="00AA1A76">
        <w:rPr>
          <w:rFonts w:ascii="Verdana" w:hAnsi="Verdana"/>
          <w:i/>
          <w:sz w:val="16"/>
          <w:szCs w:val="16"/>
          <w:lang w:val="es-CR"/>
        </w:rPr>
        <w:t xml:space="preserve">punto resolutivo </w:t>
      </w:r>
      <w:r>
        <w:rPr>
          <w:rFonts w:ascii="Verdana" w:hAnsi="Verdana"/>
          <w:i/>
          <w:sz w:val="16"/>
          <w:szCs w:val="16"/>
          <w:lang w:val="es-CR"/>
        </w:rPr>
        <w:t>décimo primero</w:t>
      </w:r>
      <w:r w:rsidRPr="00AA1A76">
        <w:rPr>
          <w:rFonts w:ascii="Verdana" w:hAnsi="Verdana"/>
          <w:i/>
          <w:sz w:val="16"/>
          <w:szCs w:val="16"/>
          <w:lang w:val="es-CR"/>
        </w:rPr>
        <w:t xml:space="preserve"> de la Sentencia</w:t>
      </w:r>
      <w:r w:rsidRPr="00AA1A76">
        <w:rPr>
          <w:rFonts w:ascii="Verdana" w:hAnsi="Verdana"/>
          <w:sz w:val="16"/>
          <w:szCs w:val="16"/>
          <w:lang w:val="es-CR"/>
        </w:rPr>
        <w:t xml:space="preserve">); ii) </w:t>
      </w:r>
      <w:r>
        <w:rPr>
          <w:rFonts w:ascii="Verdana" w:hAnsi="Verdana"/>
          <w:sz w:val="16"/>
          <w:szCs w:val="16"/>
          <w:lang w:val="es-CR"/>
        </w:rPr>
        <w:t xml:space="preserve">financiar dos transmisiones radiales en la lengua </w:t>
      </w:r>
      <w:proofErr w:type="spellStart"/>
      <w:r>
        <w:rPr>
          <w:rFonts w:ascii="Verdana" w:hAnsi="Verdana"/>
          <w:sz w:val="16"/>
          <w:szCs w:val="16"/>
          <w:lang w:val="es-CR"/>
        </w:rPr>
        <w:t>Saramaka</w:t>
      </w:r>
      <w:proofErr w:type="spellEnd"/>
      <w:r>
        <w:rPr>
          <w:rFonts w:ascii="Verdana" w:hAnsi="Verdana"/>
          <w:sz w:val="16"/>
          <w:szCs w:val="16"/>
          <w:lang w:val="es-CR"/>
        </w:rPr>
        <w:t xml:space="preserve"> de los párrafos y los puntos resolutivos pertinentes de la Sentencia, en una estación de radio que sea accesible al pueblo </w:t>
      </w:r>
      <w:proofErr w:type="spellStart"/>
      <w:r>
        <w:rPr>
          <w:rFonts w:ascii="Verdana" w:hAnsi="Verdana"/>
          <w:sz w:val="16"/>
          <w:szCs w:val="16"/>
          <w:lang w:val="es-CR"/>
        </w:rPr>
        <w:t>Saramaka</w:t>
      </w:r>
      <w:proofErr w:type="spellEnd"/>
      <w:r w:rsidRPr="00AA1A76">
        <w:rPr>
          <w:rFonts w:ascii="Verdana" w:hAnsi="Verdana"/>
          <w:sz w:val="16"/>
          <w:szCs w:val="16"/>
          <w:lang w:val="es-CR"/>
        </w:rPr>
        <w:t xml:space="preserve"> (</w:t>
      </w:r>
      <w:r w:rsidRPr="00AA1A76">
        <w:rPr>
          <w:rFonts w:ascii="Verdana" w:hAnsi="Verdana"/>
          <w:i/>
          <w:sz w:val="16"/>
          <w:szCs w:val="16"/>
          <w:lang w:val="es-CR"/>
        </w:rPr>
        <w:t>punto</w:t>
      </w:r>
      <w:r>
        <w:rPr>
          <w:rFonts w:ascii="Verdana" w:hAnsi="Verdana"/>
          <w:i/>
          <w:sz w:val="16"/>
          <w:szCs w:val="16"/>
          <w:lang w:val="es-CR"/>
        </w:rPr>
        <w:t>s</w:t>
      </w:r>
      <w:r w:rsidRPr="00AA1A76">
        <w:rPr>
          <w:rFonts w:ascii="Verdana" w:hAnsi="Verdana"/>
          <w:i/>
          <w:sz w:val="16"/>
          <w:szCs w:val="16"/>
          <w:lang w:val="es-CR"/>
        </w:rPr>
        <w:t xml:space="preserve"> resolutivo </w:t>
      </w:r>
      <w:r>
        <w:rPr>
          <w:rFonts w:ascii="Verdana" w:hAnsi="Verdana"/>
          <w:i/>
          <w:sz w:val="16"/>
          <w:szCs w:val="16"/>
          <w:lang w:val="es-CR"/>
        </w:rPr>
        <w:t>décimo segundo d</w:t>
      </w:r>
      <w:r w:rsidRPr="00AA1A76">
        <w:rPr>
          <w:rFonts w:ascii="Verdana" w:hAnsi="Verdana"/>
          <w:i/>
          <w:sz w:val="16"/>
          <w:szCs w:val="16"/>
          <w:lang w:val="es-CR"/>
        </w:rPr>
        <w:t>e la Sentencia</w:t>
      </w:r>
      <w:r w:rsidRPr="00AA1A76">
        <w:rPr>
          <w:rFonts w:ascii="Verdana" w:hAnsi="Verdana"/>
          <w:sz w:val="16"/>
          <w:szCs w:val="16"/>
          <w:lang w:val="es-CR"/>
        </w:rPr>
        <w:t xml:space="preserve">); </w:t>
      </w:r>
      <w:r>
        <w:rPr>
          <w:rFonts w:ascii="Verdana" w:hAnsi="Verdana"/>
          <w:sz w:val="16"/>
          <w:szCs w:val="16"/>
          <w:lang w:val="es-CR"/>
        </w:rPr>
        <w:t xml:space="preserve">y </w:t>
      </w:r>
      <w:r w:rsidRPr="00AA1A76">
        <w:rPr>
          <w:rFonts w:ascii="Verdana" w:hAnsi="Verdana"/>
          <w:sz w:val="16"/>
          <w:szCs w:val="16"/>
          <w:lang w:val="es-CR"/>
        </w:rPr>
        <w:t xml:space="preserve">iii) realizar el pago de costas </w:t>
      </w:r>
      <w:r>
        <w:rPr>
          <w:rFonts w:ascii="Verdana" w:hAnsi="Verdana"/>
          <w:sz w:val="16"/>
          <w:szCs w:val="16"/>
          <w:lang w:val="es-CR"/>
        </w:rPr>
        <w:t xml:space="preserve">y gastos a </w:t>
      </w:r>
      <w:proofErr w:type="spellStart"/>
      <w:r w:rsidRPr="00AA1A76">
        <w:rPr>
          <w:rFonts w:ascii="Verdana" w:hAnsi="Verdana"/>
          <w:sz w:val="16"/>
          <w:szCs w:val="16"/>
          <w:lang w:val="es-CR"/>
        </w:rPr>
        <w:t>Forest</w:t>
      </w:r>
      <w:proofErr w:type="spellEnd"/>
      <w:r w:rsidRPr="00AA1A76">
        <w:rPr>
          <w:rFonts w:ascii="Verdana" w:hAnsi="Verdana"/>
          <w:sz w:val="16"/>
          <w:szCs w:val="16"/>
          <w:lang w:val="es-CR"/>
        </w:rPr>
        <w:t xml:space="preserve"> </w:t>
      </w:r>
      <w:proofErr w:type="spellStart"/>
      <w:r w:rsidRPr="00AA1A76">
        <w:rPr>
          <w:rFonts w:ascii="Verdana" w:hAnsi="Verdana"/>
          <w:sz w:val="16"/>
          <w:szCs w:val="16"/>
          <w:lang w:val="es-CR"/>
        </w:rPr>
        <w:t>Peoples</w:t>
      </w:r>
      <w:proofErr w:type="spellEnd"/>
      <w:r w:rsidRPr="00AA1A76">
        <w:rPr>
          <w:rFonts w:ascii="Verdana" w:hAnsi="Verdana"/>
          <w:sz w:val="16"/>
          <w:szCs w:val="16"/>
          <w:lang w:val="es-CR"/>
        </w:rPr>
        <w:t xml:space="preserve"> </w:t>
      </w:r>
      <w:proofErr w:type="spellStart"/>
      <w:r w:rsidRPr="00AA1A76">
        <w:rPr>
          <w:rFonts w:ascii="Verdana" w:hAnsi="Verdana"/>
          <w:sz w:val="16"/>
          <w:szCs w:val="16"/>
          <w:lang w:val="es-CR"/>
        </w:rPr>
        <w:t>Programm</w:t>
      </w:r>
      <w:r>
        <w:rPr>
          <w:rFonts w:ascii="Verdana" w:hAnsi="Verdana"/>
          <w:sz w:val="16"/>
          <w:szCs w:val="16"/>
          <w:lang w:val="es-CR"/>
        </w:rPr>
        <w:t>e</w:t>
      </w:r>
      <w:proofErr w:type="spellEnd"/>
      <w:r w:rsidRPr="00AA1A76">
        <w:rPr>
          <w:rFonts w:ascii="Verdana" w:hAnsi="Verdana"/>
          <w:sz w:val="16"/>
          <w:szCs w:val="16"/>
          <w:lang w:val="es-CR"/>
        </w:rPr>
        <w:t xml:space="preserve"> y </w:t>
      </w:r>
      <w:r>
        <w:rPr>
          <w:rFonts w:ascii="Verdana" w:hAnsi="Verdana"/>
          <w:sz w:val="16"/>
          <w:szCs w:val="16"/>
          <w:lang w:val="es-CR"/>
        </w:rPr>
        <w:t xml:space="preserve">a la Asociación de Autoridades de </w:t>
      </w:r>
      <w:proofErr w:type="spellStart"/>
      <w:r>
        <w:rPr>
          <w:rFonts w:ascii="Verdana" w:hAnsi="Verdana"/>
          <w:sz w:val="16"/>
          <w:szCs w:val="16"/>
          <w:lang w:val="es-CR"/>
        </w:rPr>
        <w:t>Saramaka</w:t>
      </w:r>
      <w:proofErr w:type="spellEnd"/>
      <w:r w:rsidRPr="00AA1A76">
        <w:rPr>
          <w:rFonts w:ascii="Verdana" w:hAnsi="Verdana"/>
          <w:sz w:val="16"/>
          <w:szCs w:val="16"/>
          <w:lang w:val="es-CR"/>
        </w:rPr>
        <w:t xml:space="preserve"> (</w:t>
      </w:r>
      <w:r>
        <w:rPr>
          <w:rFonts w:ascii="Verdana" w:hAnsi="Verdana"/>
          <w:i/>
          <w:sz w:val="16"/>
          <w:szCs w:val="16"/>
          <w:lang w:val="es-CR"/>
        </w:rPr>
        <w:t>punto resolutivo décimo</w:t>
      </w:r>
      <w:r w:rsidRPr="00AA1A76">
        <w:rPr>
          <w:rFonts w:ascii="Verdana" w:hAnsi="Verdana"/>
          <w:i/>
          <w:sz w:val="16"/>
          <w:szCs w:val="16"/>
          <w:lang w:val="es-CR"/>
        </w:rPr>
        <w:t xml:space="preserve"> </w:t>
      </w:r>
      <w:r>
        <w:rPr>
          <w:rFonts w:ascii="Verdana" w:hAnsi="Verdana"/>
          <w:i/>
          <w:sz w:val="16"/>
          <w:szCs w:val="16"/>
          <w:lang w:val="es-CR"/>
        </w:rPr>
        <w:t xml:space="preserve">cuarto </w:t>
      </w:r>
      <w:r w:rsidRPr="00AA1A76">
        <w:rPr>
          <w:rFonts w:ascii="Verdana" w:hAnsi="Verdana"/>
          <w:i/>
          <w:sz w:val="16"/>
          <w:szCs w:val="16"/>
          <w:lang w:val="es-CR"/>
        </w:rPr>
        <w:t>de la Sentencia</w:t>
      </w:r>
      <w:r w:rsidRPr="00AA1A76">
        <w:rPr>
          <w:rFonts w:ascii="Verdana" w:hAnsi="Verdana"/>
          <w:sz w:val="16"/>
          <w:szCs w:val="16"/>
          <w:lang w:val="es-CR"/>
        </w:rPr>
        <w:t xml:space="preserve">). </w:t>
      </w:r>
    </w:p>
  </w:footnote>
  <w:footnote w:id="12">
    <w:p w14:paraId="23A5B23F" w14:textId="3BC2C8C8" w:rsidR="00A07E10" w:rsidRDefault="00A07E10" w:rsidP="00E54903">
      <w:pPr>
        <w:pStyle w:val="FootnoteText"/>
        <w:jc w:val="both"/>
        <w:rPr>
          <w:rFonts w:ascii="Verdana" w:hAnsi="Verdana"/>
          <w:i/>
          <w:sz w:val="16"/>
          <w:szCs w:val="16"/>
        </w:rPr>
      </w:pPr>
      <w:r>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Caso Familia Barrios Vs. Venezuela. Supervisión de Cumplimiento de Sentencia. </w:t>
      </w:r>
      <w:r>
        <w:rPr>
          <w:rFonts w:ascii="Verdana" w:hAnsi="Verdana"/>
          <w:sz w:val="16"/>
          <w:szCs w:val="16"/>
        </w:rPr>
        <w:t xml:space="preserve">Resolución de la Corte Interamericana de Derechos Humanos de 2 de septiembre de 2015, Considerando 2; y </w:t>
      </w:r>
      <w:r>
        <w:rPr>
          <w:rFonts w:ascii="Verdana" w:hAnsi="Verdana"/>
          <w:i/>
          <w:sz w:val="16"/>
          <w:szCs w:val="16"/>
        </w:rPr>
        <w:t xml:space="preserve">Caso Masacres de El Mozote y lugares aledaños Vs. El Salvador. Supervisión de Cumplimiento de Sentencia. </w:t>
      </w:r>
      <w:r>
        <w:rPr>
          <w:rFonts w:ascii="Verdana" w:hAnsi="Verdana"/>
          <w:sz w:val="16"/>
          <w:szCs w:val="16"/>
        </w:rPr>
        <w:t>Resolución de la Corte Interamericana de Derechos Humanos de 30 de mayo de 2018, Considerando 2.</w:t>
      </w:r>
    </w:p>
  </w:footnote>
  <w:footnote w:id="13">
    <w:p w14:paraId="26B3D076" w14:textId="77777777" w:rsidR="00A07E10" w:rsidRDefault="00A07E10" w:rsidP="00E54903">
      <w:pPr>
        <w:pStyle w:val="FootnoteText"/>
        <w:tabs>
          <w:tab w:val="left" w:pos="567"/>
        </w:tabs>
        <w:ind w:right="4"/>
        <w:jc w:val="both"/>
        <w:rPr>
          <w:rFonts w:ascii="Verdana" w:hAnsi="Verdana"/>
          <w:color w:val="000000"/>
          <w:sz w:val="16"/>
          <w:szCs w:val="16"/>
          <w:lang w:val="es-CR"/>
        </w:rPr>
      </w:pPr>
      <w:r>
        <w:rPr>
          <w:rStyle w:val="FootnoteReferenc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Pr>
          <w:rFonts w:ascii="Verdana" w:hAnsi="Verdana"/>
          <w:i/>
          <w:color w:val="000000"/>
          <w:sz w:val="16"/>
          <w:szCs w:val="16"/>
          <w:lang w:val="es-MX"/>
        </w:rPr>
        <w:t xml:space="preserve">Cfr. Caso Castillo </w:t>
      </w:r>
      <w:proofErr w:type="spellStart"/>
      <w:r>
        <w:rPr>
          <w:rFonts w:ascii="Verdana" w:hAnsi="Verdana"/>
          <w:i/>
          <w:color w:val="000000"/>
          <w:sz w:val="16"/>
          <w:szCs w:val="16"/>
          <w:lang w:val="es-MX"/>
        </w:rPr>
        <w:t>Petruzzi</w:t>
      </w:r>
      <w:proofErr w:type="spellEnd"/>
      <w:r>
        <w:rPr>
          <w:rFonts w:ascii="Verdana" w:hAnsi="Verdana"/>
          <w:i/>
          <w:color w:val="000000"/>
          <w:sz w:val="16"/>
          <w:szCs w:val="16"/>
          <w:lang w:val="es-MX"/>
        </w:rPr>
        <w:t xml:space="preserve"> y otros Vs. Perú. Supervisión de Cumplimiento de Sentencia. </w:t>
      </w:r>
      <w:r w:rsidRPr="00CD545A">
        <w:rPr>
          <w:rFonts w:ascii="Verdana" w:hAnsi="Verdana"/>
          <w:color w:val="000000"/>
          <w:sz w:val="16"/>
          <w:szCs w:val="16"/>
          <w:lang w:val="es-MX"/>
        </w:rPr>
        <w:t xml:space="preserve">Resolución de la </w:t>
      </w:r>
      <w:r w:rsidRPr="00CD545A">
        <w:rPr>
          <w:rFonts w:ascii="Verdana" w:hAnsi="Verdana"/>
          <w:color w:val="000000"/>
          <w:sz w:val="16"/>
          <w:szCs w:val="16"/>
          <w:lang w:val="es-AR"/>
        </w:rPr>
        <w:t>Corte Interamericana de Derechos Humanos</w:t>
      </w:r>
      <w:r w:rsidRPr="00CD545A">
        <w:rPr>
          <w:rFonts w:ascii="Verdana" w:hAnsi="Verdana"/>
          <w:color w:val="000000"/>
          <w:sz w:val="16"/>
          <w:szCs w:val="16"/>
          <w:lang w:val="es-MX"/>
        </w:rPr>
        <w:t xml:space="preserve"> de 17 de noviembre de 1999, Considerando 3</w:t>
      </w:r>
      <w:r>
        <w:rPr>
          <w:rFonts w:ascii="Verdana" w:hAnsi="Verdana"/>
          <w:i/>
          <w:color w:val="000000"/>
          <w:sz w:val="16"/>
          <w:szCs w:val="16"/>
          <w:lang w:val="es-MX"/>
        </w:rPr>
        <w:t xml:space="preserve">; </w:t>
      </w:r>
      <w:r>
        <w:rPr>
          <w:rFonts w:ascii="Verdana" w:hAnsi="Verdana"/>
          <w:i/>
          <w:color w:val="000000"/>
          <w:sz w:val="16"/>
          <w:szCs w:val="16"/>
          <w:lang w:val="es-AR"/>
        </w:rPr>
        <w:t xml:space="preserve">y Caso </w:t>
      </w:r>
      <w:proofErr w:type="spellStart"/>
      <w:r>
        <w:rPr>
          <w:rFonts w:ascii="Verdana" w:hAnsi="Verdana"/>
          <w:i/>
          <w:color w:val="000000"/>
          <w:sz w:val="16"/>
          <w:szCs w:val="16"/>
          <w:lang w:val="es-AR"/>
        </w:rPr>
        <w:t>Fleury</w:t>
      </w:r>
      <w:proofErr w:type="spellEnd"/>
      <w:r>
        <w:rPr>
          <w:rFonts w:ascii="Verdana" w:hAnsi="Verdana"/>
          <w:i/>
          <w:color w:val="000000"/>
          <w:sz w:val="16"/>
          <w:szCs w:val="16"/>
          <w:lang w:val="es-AR"/>
        </w:rPr>
        <w:t xml:space="preserve"> y otros Vs. Haití. Supervisión de Cumplimiento de Sentencia.</w:t>
      </w:r>
      <w:r w:rsidRPr="00CD545A">
        <w:rPr>
          <w:rFonts w:ascii="Verdana" w:hAnsi="Verdana"/>
          <w:i/>
          <w:color w:val="000000"/>
          <w:sz w:val="16"/>
          <w:szCs w:val="16"/>
          <w:lang w:val="es-AR"/>
        </w:rPr>
        <w:t xml:space="preserve"> </w:t>
      </w:r>
      <w:r w:rsidRPr="00CD545A">
        <w:rPr>
          <w:rFonts w:ascii="Verdana" w:hAnsi="Verdana"/>
          <w:color w:val="000000"/>
          <w:sz w:val="16"/>
          <w:szCs w:val="16"/>
          <w:lang w:val="es-AR"/>
        </w:rPr>
        <w:t>Resolución de la Corte Interamericana de Derechos Humanos de 22 de noviembre de 2016, Considerando 3.</w:t>
      </w:r>
    </w:p>
  </w:footnote>
  <w:footnote w:id="14">
    <w:p w14:paraId="5B5113D6" w14:textId="40A5EF2F" w:rsidR="00A07E10" w:rsidRDefault="00A07E10" w:rsidP="00E54903">
      <w:pPr>
        <w:pStyle w:val="FootnoteText"/>
        <w:tabs>
          <w:tab w:val="left" w:pos="567"/>
        </w:tabs>
        <w:ind w:right="4"/>
        <w:jc w:val="both"/>
        <w:rPr>
          <w:rFonts w:ascii="Verdana" w:hAnsi="Verdana"/>
          <w:sz w:val="16"/>
          <w:szCs w:val="16"/>
          <w:lang w:val="es-CR"/>
        </w:rPr>
      </w:pPr>
      <w:r>
        <w:rPr>
          <w:rStyle w:val="FootnoteReferenc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Pr>
          <w:rFonts w:ascii="Verdana" w:hAnsi="Verdana"/>
          <w:i/>
          <w:sz w:val="16"/>
          <w:szCs w:val="16"/>
          <w:lang w:val="es-CR"/>
        </w:rPr>
        <w:t xml:space="preserve">Cfr. Caso Garrido y </w:t>
      </w:r>
      <w:proofErr w:type="spellStart"/>
      <w:r>
        <w:rPr>
          <w:rFonts w:ascii="Verdana" w:hAnsi="Verdana"/>
          <w:i/>
          <w:sz w:val="16"/>
          <w:szCs w:val="16"/>
          <w:lang w:val="es-CR"/>
        </w:rPr>
        <w:t>Baigorria</w:t>
      </w:r>
      <w:proofErr w:type="spellEnd"/>
      <w:r>
        <w:rPr>
          <w:rFonts w:ascii="Verdana" w:hAnsi="Verdana"/>
          <w:i/>
          <w:sz w:val="16"/>
          <w:szCs w:val="16"/>
          <w:lang w:val="es-CR"/>
        </w:rPr>
        <w:t>. Reparaciones</w:t>
      </w:r>
      <w:r>
        <w:rPr>
          <w:rFonts w:ascii="Verdana" w:hAnsi="Verdana"/>
          <w:sz w:val="16"/>
          <w:szCs w:val="16"/>
          <w:lang w:val="es-CR"/>
        </w:rPr>
        <w:t xml:space="preserve"> (art. 63.1 Convención Americana sobre Derechos Humanos). Sentencia de 27 de agosto de 1998. Serie C No. 39, párr. 40, y</w:t>
      </w:r>
      <w:r>
        <w:rPr>
          <w:rFonts w:ascii="Verdana" w:hAnsi="Verdana"/>
          <w:b/>
          <w:i/>
          <w:sz w:val="16"/>
          <w:szCs w:val="16"/>
          <w:lang w:val="es-CR"/>
        </w:rPr>
        <w:t xml:space="preserve"> </w:t>
      </w:r>
      <w:r>
        <w:rPr>
          <w:rFonts w:ascii="Verdana" w:hAnsi="Verdana"/>
          <w:i/>
          <w:color w:val="000000"/>
          <w:sz w:val="16"/>
          <w:szCs w:val="16"/>
          <w:lang w:val="es-AR"/>
        </w:rPr>
        <w:t xml:space="preserve">Caso </w:t>
      </w:r>
      <w:proofErr w:type="spellStart"/>
      <w:r>
        <w:rPr>
          <w:rFonts w:ascii="Verdana" w:hAnsi="Verdana"/>
          <w:i/>
          <w:color w:val="000000"/>
          <w:sz w:val="16"/>
          <w:szCs w:val="16"/>
          <w:lang w:val="es-AR"/>
        </w:rPr>
        <w:t>Fleury</w:t>
      </w:r>
      <w:proofErr w:type="spellEnd"/>
      <w:r>
        <w:rPr>
          <w:rFonts w:ascii="Verdana" w:hAnsi="Verdana"/>
          <w:i/>
          <w:color w:val="000000"/>
          <w:sz w:val="16"/>
          <w:szCs w:val="16"/>
          <w:lang w:val="es-AR"/>
        </w:rPr>
        <w:t xml:space="preserve"> y otros Vs. Haití, supra </w:t>
      </w:r>
      <w:r>
        <w:rPr>
          <w:rFonts w:ascii="Verdana" w:hAnsi="Verdana"/>
          <w:color w:val="000000"/>
          <w:sz w:val="16"/>
          <w:szCs w:val="16"/>
          <w:lang w:val="es-AR"/>
        </w:rPr>
        <w:t>nota 12,</w:t>
      </w:r>
      <w:r w:rsidRPr="00CD545A">
        <w:rPr>
          <w:rFonts w:ascii="Verdana" w:hAnsi="Verdana"/>
          <w:color w:val="000000"/>
          <w:sz w:val="16"/>
          <w:szCs w:val="16"/>
          <w:lang w:val="es-AR"/>
        </w:rPr>
        <w:t xml:space="preserve"> Considerando 3.</w:t>
      </w:r>
    </w:p>
  </w:footnote>
  <w:footnote w:id="15">
    <w:p w14:paraId="5072D1D5" w14:textId="5DE26244" w:rsidR="00A07E10" w:rsidRPr="00F427BA" w:rsidRDefault="00A07E10" w:rsidP="00E54903">
      <w:pPr>
        <w:pStyle w:val="FootnoteText"/>
        <w:tabs>
          <w:tab w:val="left" w:pos="567"/>
        </w:tabs>
        <w:ind w:right="4"/>
        <w:jc w:val="both"/>
        <w:rPr>
          <w:rFonts w:ascii="Verdana" w:hAnsi="Verdana"/>
          <w:color w:val="000000"/>
          <w:sz w:val="16"/>
          <w:szCs w:val="16"/>
          <w:lang w:val="en-US"/>
        </w:rPr>
      </w:pPr>
      <w:r>
        <w:rPr>
          <w:rStyle w:val="FootnoteReferenc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Pr>
          <w:rFonts w:ascii="Verdana" w:hAnsi="Verdana"/>
          <w:i/>
          <w:sz w:val="16"/>
          <w:szCs w:val="16"/>
          <w:lang w:val="es-ES"/>
        </w:rPr>
        <w:t>Cfr.</w:t>
      </w:r>
      <w:r>
        <w:rPr>
          <w:rFonts w:ascii="Verdana" w:hAnsi="Verdana"/>
          <w:b/>
          <w:sz w:val="16"/>
          <w:szCs w:val="16"/>
          <w:lang w:val="es-ES"/>
        </w:rPr>
        <w:t xml:space="preserve"> </w:t>
      </w:r>
      <w:r>
        <w:rPr>
          <w:rFonts w:ascii="Verdana" w:hAnsi="Verdana"/>
          <w:bCs/>
          <w:i/>
          <w:color w:val="000000"/>
          <w:sz w:val="16"/>
          <w:szCs w:val="16"/>
          <w:lang w:val="es-CR"/>
        </w:rPr>
        <w:t>Caso Castillo Páez Vs. Perú</w:t>
      </w:r>
      <w:r>
        <w:rPr>
          <w:rFonts w:ascii="Verdana" w:hAnsi="Verdana"/>
          <w:b/>
          <w:bCs/>
          <w:color w:val="000000"/>
          <w:sz w:val="16"/>
          <w:szCs w:val="16"/>
          <w:lang w:val="es-CR"/>
        </w:rPr>
        <w:t xml:space="preserve">. </w:t>
      </w:r>
      <w:r>
        <w:rPr>
          <w:rFonts w:ascii="Verdana" w:hAnsi="Verdana"/>
          <w:i/>
          <w:color w:val="000000"/>
          <w:sz w:val="16"/>
          <w:szCs w:val="16"/>
          <w:lang w:val="es-CR"/>
        </w:rPr>
        <w:t>Reparaciones y Costas.</w:t>
      </w:r>
      <w:r>
        <w:rPr>
          <w:rFonts w:ascii="Verdana" w:hAnsi="Verdana"/>
          <w:color w:val="000000"/>
          <w:sz w:val="16"/>
          <w:szCs w:val="16"/>
          <w:lang w:val="es-CR"/>
        </w:rPr>
        <w:t xml:space="preserve"> Sentencia de 27 de noviembre de 1998. Serie C No. 43, párr. 50,</w:t>
      </w:r>
      <w:r>
        <w:rPr>
          <w:rFonts w:ascii="Verdana" w:hAnsi="Verdana"/>
          <w:sz w:val="16"/>
          <w:szCs w:val="16"/>
          <w:lang w:val="es-ES"/>
        </w:rPr>
        <w:t xml:space="preserve"> y </w:t>
      </w:r>
      <w:r>
        <w:rPr>
          <w:rFonts w:ascii="Verdana" w:hAnsi="Verdana"/>
          <w:i/>
          <w:color w:val="000000"/>
          <w:sz w:val="16"/>
          <w:szCs w:val="16"/>
          <w:lang w:val="es-AR"/>
        </w:rPr>
        <w:t xml:space="preserve">Caso </w:t>
      </w:r>
      <w:proofErr w:type="spellStart"/>
      <w:r>
        <w:rPr>
          <w:rFonts w:ascii="Verdana" w:hAnsi="Verdana"/>
          <w:i/>
          <w:color w:val="000000"/>
          <w:sz w:val="16"/>
          <w:szCs w:val="16"/>
          <w:lang w:val="es-AR"/>
        </w:rPr>
        <w:t>Fleury</w:t>
      </w:r>
      <w:proofErr w:type="spellEnd"/>
      <w:r>
        <w:rPr>
          <w:rFonts w:ascii="Verdana" w:hAnsi="Verdana"/>
          <w:i/>
          <w:color w:val="000000"/>
          <w:sz w:val="16"/>
          <w:szCs w:val="16"/>
          <w:lang w:val="es-AR"/>
        </w:rPr>
        <w:t xml:space="preserve"> y otros Vs. </w:t>
      </w:r>
      <w:proofErr w:type="spellStart"/>
      <w:r w:rsidRPr="00F427BA">
        <w:rPr>
          <w:rFonts w:ascii="Verdana" w:hAnsi="Verdana"/>
          <w:i/>
          <w:color w:val="000000"/>
          <w:sz w:val="16"/>
          <w:szCs w:val="16"/>
          <w:lang w:val="en-US"/>
        </w:rPr>
        <w:t>Haití</w:t>
      </w:r>
      <w:proofErr w:type="spellEnd"/>
      <w:r w:rsidRPr="00F427BA">
        <w:rPr>
          <w:rFonts w:ascii="Verdana" w:hAnsi="Verdana"/>
          <w:i/>
          <w:color w:val="000000"/>
          <w:sz w:val="16"/>
          <w:szCs w:val="16"/>
          <w:lang w:val="en-US"/>
        </w:rPr>
        <w:t xml:space="preserve">, supra </w:t>
      </w:r>
      <w:r w:rsidRPr="00F427BA">
        <w:rPr>
          <w:rFonts w:ascii="Verdana" w:hAnsi="Verdana"/>
          <w:color w:val="000000"/>
          <w:sz w:val="16"/>
          <w:szCs w:val="16"/>
          <w:lang w:val="en-US"/>
        </w:rPr>
        <w:t xml:space="preserve">nota 12, </w:t>
      </w:r>
      <w:proofErr w:type="spellStart"/>
      <w:r w:rsidRPr="00F427BA">
        <w:rPr>
          <w:rFonts w:ascii="Verdana" w:hAnsi="Verdana"/>
          <w:color w:val="000000"/>
          <w:sz w:val="16"/>
          <w:szCs w:val="16"/>
          <w:lang w:val="en-US"/>
        </w:rPr>
        <w:t>Considerando</w:t>
      </w:r>
      <w:proofErr w:type="spellEnd"/>
      <w:r w:rsidRPr="00F427BA">
        <w:rPr>
          <w:rFonts w:ascii="Verdana" w:hAnsi="Verdana"/>
          <w:color w:val="000000"/>
          <w:sz w:val="16"/>
          <w:szCs w:val="16"/>
          <w:lang w:val="en-US"/>
        </w:rPr>
        <w:t xml:space="preserve"> 3.</w:t>
      </w:r>
    </w:p>
  </w:footnote>
  <w:footnote w:id="16">
    <w:p w14:paraId="5FE8B118" w14:textId="1F9879BD" w:rsidR="00A07E10" w:rsidRDefault="00A07E10" w:rsidP="00E54903">
      <w:pPr>
        <w:pStyle w:val="FootnoteText"/>
        <w:tabs>
          <w:tab w:val="left" w:pos="567"/>
        </w:tabs>
        <w:ind w:right="4"/>
        <w:jc w:val="both"/>
        <w:rPr>
          <w:rFonts w:ascii="Verdana" w:hAnsi="Verdana"/>
          <w:sz w:val="16"/>
          <w:szCs w:val="16"/>
          <w:lang w:val="pl-PL"/>
        </w:rPr>
      </w:pPr>
      <w:r w:rsidRPr="00CD545A">
        <w:rPr>
          <w:rStyle w:val="FootnoteReference"/>
          <w:rFonts w:ascii="Verdana" w:hAnsi="Verdana"/>
          <w:sz w:val="16"/>
          <w:szCs w:val="16"/>
        </w:rPr>
        <w:footnoteRef/>
      </w:r>
      <w:r w:rsidRPr="00CD545A">
        <w:rPr>
          <w:rFonts w:ascii="Verdana" w:hAnsi="Verdana"/>
          <w:sz w:val="16"/>
          <w:szCs w:val="16"/>
          <w:lang w:val="fr-FR"/>
        </w:rPr>
        <w:t xml:space="preserve"> </w:t>
      </w:r>
      <w:r w:rsidRPr="00CD545A">
        <w:rPr>
          <w:rFonts w:ascii="Verdana" w:hAnsi="Verdana"/>
          <w:sz w:val="16"/>
          <w:szCs w:val="16"/>
          <w:lang w:val="fr-FR"/>
        </w:rPr>
        <w:tab/>
      </w:r>
      <w:r w:rsidRPr="00CD545A">
        <w:rPr>
          <w:rFonts w:ascii="Verdana" w:hAnsi="Verdana"/>
          <w:i/>
          <w:sz w:val="16"/>
          <w:szCs w:val="16"/>
          <w:lang w:val="pl-PL"/>
        </w:rPr>
        <w:t>Cfr</w:t>
      </w:r>
      <w:r w:rsidRPr="00CD545A">
        <w:rPr>
          <w:rFonts w:ascii="Verdana" w:hAnsi="Verdana"/>
          <w:sz w:val="16"/>
          <w:szCs w:val="16"/>
          <w:lang w:val="pl-PL"/>
        </w:rPr>
        <w:t xml:space="preserve">. </w:t>
      </w:r>
      <w:r w:rsidRPr="00CD545A">
        <w:rPr>
          <w:rFonts w:ascii="Verdana" w:hAnsi="Verdana"/>
          <w:i/>
          <w:sz w:val="16"/>
          <w:szCs w:val="16"/>
          <w:lang w:val="pl-PL"/>
        </w:rPr>
        <w:t>Reparation for Injuries Suffered in the Service of the United Nations</w:t>
      </w:r>
      <w:r w:rsidRPr="00CD545A">
        <w:rPr>
          <w:rFonts w:ascii="Verdana" w:hAnsi="Verdana"/>
          <w:sz w:val="16"/>
          <w:szCs w:val="16"/>
          <w:lang w:val="pl-PL"/>
        </w:rPr>
        <w:t xml:space="preserve">, </w:t>
      </w:r>
      <w:r w:rsidRPr="00CD545A">
        <w:rPr>
          <w:rFonts w:ascii="Verdana" w:hAnsi="Verdana"/>
          <w:i/>
          <w:sz w:val="16"/>
          <w:szCs w:val="16"/>
          <w:lang w:val="pl-PL"/>
        </w:rPr>
        <w:t>Advisory Opinion: I.C.J. Reports 1949, p. 184;</w:t>
      </w:r>
      <w:r w:rsidRPr="00CD545A">
        <w:rPr>
          <w:rFonts w:ascii="Verdana" w:hAnsi="Verdana"/>
          <w:sz w:val="16"/>
          <w:szCs w:val="16"/>
          <w:lang w:val="pl-PL"/>
        </w:rPr>
        <w:t xml:space="preserve"> </w:t>
      </w:r>
      <w:r w:rsidRPr="00CD545A">
        <w:rPr>
          <w:rFonts w:ascii="Verdana" w:hAnsi="Verdana"/>
          <w:i/>
          <w:sz w:val="16"/>
          <w:szCs w:val="16"/>
          <w:lang w:val="pl-PL"/>
        </w:rPr>
        <w:t xml:space="preserve">Affaire relative à l’Usine de Chorzów (Demande en Indemnité) (Fond), Arrêt Nº 13, le 13 septembre 1928, C.P.J.I. Série A-Nº 17, p. </w:t>
      </w:r>
      <w:r w:rsidRPr="00CD545A">
        <w:rPr>
          <w:rFonts w:ascii="Verdana" w:hAnsi="Verdana"/>
          <w:i/>
          <w:sz w:val="16"/>
          <w:szCs w:val="16"/>
          <w:lang w:val="pl-PL"/>
        </w:rPr>
        <w:t>29;</w:t>
      </w:r>
      <w:r w:rsidRPr="00CD545A">
        <w:rPr>
          <w:rFonts w:ascii="Verdana" w:hAnsi="Verdana"/>
          <w:sz w:val="16"/>
          <w:szCs w:val="16"/>
          <w:lang w:val="pl-PL"/>
        </w:rPr>
        <w:t xml:space="preserve"> y </w:t>
      </w:r>
      <w:proofErr w:type="spellStart"/>
      <w:r w:rsidRPr="003B4863">
        <w:rPr>
          <w:rFonts w:ascii="Verdana" w:hAnsi="Verdana"/>
          <w:i/>
          <w:color w:val="000000"/>
          <w:sz w:val="16"/>
          <w:szCs w:val="16"/>
          <w:lang w:val="en-US"/>
        </w:rPr>
        <w:t>Caso</w:t>
      </w:r>
      <w:proofErr w:type="spellEnd"/>
      <w:r w:rsidRPr="003B4863">
        <w:rPr>
          <w:rFonts w:ascii="Verdana" w:hAnsi="Verdana"/>
          <w:i/>
          <w:color w:val="000000"/>
          <w:sz w:val="16"/>
          <w:szCs w:val="16"/>
          <w:lang w:val="en-US"/>
        </w:rPr>
        <w:t xml:space="preserve"> Fleury y </w:t>
      </w:r>
      <w:proofErr w:type="spellStart"/>
      <w:r w:rsidRPr="003B4863">
        <w:rPr>
          <w:rFonts w:ascii="Verdana" w:hAnsi="Verdana"/>
          <w:i/>
          <w:color w:val="000000"/>
          <w:sz w:val="16"/>
          <w:szCs w:val="16"/>
          <w:lang w:val="en-US"/>
        </w:rPr>
        <w:t>otros</w:t>
      </w:r>
      <w:proofErr w:type="spellEnd"/>
      <w:r w:rsidRPr="003B4863">
        <w:rPr>
          <w:rFonts w:ascii="Verdana" w:hAnsi="Verdana"/>
          <w:i/>
          <w:color w:val="000000"/>
          <w:sz w:val="16"/>
          <w:szCs w:val="16"/>
          <w:lang w:val="en-US"/>
        </w:rPr>
        <w:t xml:space="preserve"> Vs. </w:t>
      </w:r>
      <w:r>
        <w:rPr>
          <w:rFonts w:ascii="Verdana" w:hAnsi="Verdana"/>
          <w:i/>
          <w:color w:val="000000"/>
          <w:sz w:val="16"/>
          <w:szCs w:val="16"/>
          <w:lang w:val="es-AR"/>
        </w:rPr>
        <w:t xml:space="preserve">Haití, supra </w:t>
      </w:r>
      <w:r>
        <w:rPr>
          <w:rFonts w:ascii="Verdana" w:hAnsi="Verdana"/>
          <w:color w:val="000000"/>
          <w:sz w:val="16"/>
          <w:szCs w:val="16"/>
          <w:lang w:val="es-AR"/>
        </w:rPr>
        <w:t>nota 12,</w:t>
      </w:r>
      <w:r w:rsidRPr="00CD545A">
        <w:rPr>
          <w:rFonts w:ascii="Verdana" w:hAnsi="Verdana"/>
          <w:color w:val="000000"/>
          <w:sz w:val="16"/>
          <w:szCs w:val="16"/>
          <w:lang w:val="es-AR"/>
        </w:rPr>
        <w:t xml:space="preserve"> Considerando 4</w:t>
      </w:r>
      <w:r w:rsidRPr="00CD545A">
        <w:rPr>
          <w:rFonts w:ascii="Verdana" w:hAnsi="Verdana"/>
          <w:i/>
          <w:color w:val="000000"/>
          <w:sz w:val="16"/>
          <w:szCs w:val="16"/>
          <w:lang w:val="es-AR"/>
        </w:rPr>
        <w:t>.</w:t>
      </w:r>
    </w:p>
  </w:footnote>
  <w:footnote w:id="17">
    <w:p w14:paraId="7CDEC1F4" w14:textId="3656AF5B" w:rsidR="00A07E10" w:rsidRDefault="00A07E10" w:rsidP="00E54903">
      <w:pPr>
        <w:pStyle w:val="FootnoteText"/>
        <w:jc w:val="both"/>
        <w:rPr>
          <w:rFonts w:ascii="Verdana" w:hAnsi="Verdana"/>
          <w:b/>
          <w:sz w:val="16"/>
          <w:szCs w:val="16"/>
        </w:rPr>
      </w:pPr>
      <w:r>
        <w:rPr>
          <w:rStyle w:val="FootnoteReference"/>
          <w:rFonts w:ascii="Verdana" w:hAnsi="Verdana"/>
          <w:sz w:val="16"/>
          <w:szCs w:val="16"/>
        </w:rPr>
        <w:footnoteRef/>
      </w:r>
      <w:r>
        <w:rPr>
          <w:rFonts w:ascii="Verdana" w:hAnsi="Verdana"/>
          <w:b/>
          <w:sz w:val="16"/>
          <w:szCs w:val="16"/>
        </w:rPr>
        <w:t xml:space="preserve">       </w:t>
      </w:r>
      <w:r>
        <w:rPr>
          <w:rFonts w:ascii="Verdana" w:hAnsi="Verdana"/>
          <w:i/>
          <w:sz w:val="16"/>
          <w:szCs w:val="16"/>
        </w:rPr>
        <w:t>Cfr.</w:t>
      </w:r>
      <w:r>
        <w:rPr>
          <w:rFonts w:ascii="Verdana" w:hAnsi="Verdana"/>
          <w:sz w:val="16"/>
          <w:szCs w:val="16"/>
        </w:rPr>
        <w:t xml:space="preserve"> </w:t>
      </w:r>
      <w:r>
        <w:rPr>
          <w:rFonts w:ascii="Verdana" w:hAnsi="Verdana"/>
          <w:i/>
          <w:sz w:val="16"/>
          <w:szCs w:val="16"/>
        </w:rPr>
        <w:t>Caso</w:t>
      </w:r>
      <w:r>
        <w:rPr>
          <w:rFonts w:ascii="Verdana" w:hAnsi="Verdana"/>
          <w:b/>
          <w:i/>
          <w:sz w:val="16"/>
          <w:szCs w:val="16"/>
        </w:rPr>
        <w:t xml:space="preserve"> </w:t>
      </w:r>
      <w:r>
        <w:rPr>
          <w:rStyle w:val="Strong"/>
          <w:rFonts w:ascii="Verdana" w:hAnsi="Verdana"/>
          <w:b w:val="0"/>
          <w:i/>
          <w:sz w:val="16"/>
          <w:szCs w:val="16"/>
        </w:rPr>
        <w:t>Baena Ricardo y otros Vs. Panamá. Competencia.</w:t>
      </w:r>
      <w:r>
        <w:rPr>
          <w:rStyle w:val="Strong"/>
          <w:rFonts w:ascii="Verdana" w:hAnsi="Verdana"/>
          <w:b w:val="0"/>
          <w:sz w:val="16"/>
          <w:szCs w:val="16"/>
        </w:rPr>
        <w:t xml:space="preserve"> Sentencia de 28 de noviembre de 2003. Serie C No. 104, párr. 83 y </w:t>
      </w:r>
      <w:r>
        <w:rPr>
          <w:rFonts w:ascii="Verdana" w:hAnsi="Verdana"/>
          <w:i/>
          <w:color w:val="000000"/>
          <w:sz w:val="16"/>
          <w:szCs w:val="16"/>
          <w:lang w:val="es-AR"/>
        </w:rPr>
        <w:t xml:space="preserve">Caso </w:t>
      </w:r>
      <w:proofErr w:type="spellStart"/>
      <w:r>
        <w:rPr>
          <w:rFonts w:ascii="Verdana" w:hAnsi="Verdana"/>
          <w:i/>
          <w:color w:val="000000"/>
          <w:sz w:val="16"/>
          <w:szCs w:val="16"/>
          <w:lang w:val="es-AR"/>
        </w:rPr>
        <w:t>Fleury</w:t>
      </w:r>
      <w:proofErr w:type="spellEnd"/>
      <w:r>
        <w:rPr>
          <w:rFonts w:ascii="Verdana" w:hAnsi="Verdana"/>
          <w:i/>
          <w:color w:val="000000"/>
          <w:sz w:val="16"/>
          <w:szCs w:val="16"/>
          <w:lang w:val="es-AR"/>
        </w:rPr>
        <w:t xml:space="preserve"> y otros Vs. Haití, supra </w:t>
      </w:r>
      <w:r>
        <w:rPr>
          <w:rFonts w:ascii="Verdana" w:hAnsi="Verdana"/>
          <w:color w:val="000000"/>
          <w:sz w:val="16"/>
          <w:szCs w:val="16"/>
          <w:lang w:val="es-AR"/>
        </w:rPr>
        <w:t>nota 12,</w:t>
      </w:r>
      <w:r w:rsidRPr="00CD545A">
        <w:rPr>
          <w:rFonts w:ascii="Verdana" w:hAnsi="Verdana"/>
          <w:color w:val="000000"/>
          <w:sz w:val="16"/>
          <w:szCs w:val="16"/>
          <w:lang w:val="es-AR"/>
        </w:rPr>
        <w:t xml:space="preserve"> Considerando 4</w:t>
      </w:r>
      <w:r>
        <w:rPr>
          <w:rFonts w:ascii="Verdana" w:hAnsi="Verdana"/>
          <w:i/>
          <w:color w:val="000000"/>
          <w:sz w:val="16"/>
          <w:szCs w:val="16"/>
          <w:lang w:val="es-AR"/>
        </w:rPr>
        <w:t>.</w:t>
      </w:r>
    </w:p>
  </w:footnote>
  <w:footnote w:id="18">
    <w:p w14:paraId="3DEF4174" w14:textId="77777777" w:rsidR="00A07E10" w:rsidRPr="00977AD2" w:rsidRDefault="00A07E10" w:rsidP="00A36755">
      <w:pPr>
        <w:pStyle w:val="FootnoteText"/>
        <w:jc w:val="both"/>
        <w:rPr>
          <w:rFonts w:ascii="Verdana" w:hAnsi="Verdana"/>
          <w:sz w:val="16"/>
          <w:szCs w:val="16"/>
        </w:rPr>
      </w:pPr>
      <w:r w:rsidRPr="00977AD2">
        <w:rPr>
          <w:rStyle w:val="FootnoteReference"/>
          <w:rFonts w:ascii="Verdana" w:hAnsi="Verdana"/>
          <w:sz w:val="16"/>
          <w:szCs w:val="16"/>
        </w:rPr>
        <w:footnoteRef/>
      </w:r>
      <w:r w:rsidRPr="00977AD2">
        <w:rPr>
          <w:rFonts w:ascii="Verdana" w:hAnsi="Verdana"/>
          <w:sz w:val="16"/>
          <w:szCs w:val="16"/>
        </w:rPr>
        <w:t xml:space="preserve"> </w:t>
      </w:r>
      <w:r>
        <w:rPr>
          <w:rFonts w:ascii="Verdana" w:hAnsi="Verdana"/>
          <w:sz w:val="16"/>
          <w:szCs w:val="16"/>
        </w:rPr>
        <w:tab/>
      </w:r>
      <w:r w:rsidRPr="00977AD2">
        <w:rPr>
          <w:rFonts w:ascii="Verdana" w:hAnsi="Verdana"/>
          <w:i/>
          <w:sz w:val="16"/>
          <w:szCs w:val="16"/>
          <w:lang w:val="es-CR"/>
        </w:rPr>
        <w:t>Cfr.</w:t>
      </w:r>
      <w:r w:rsidRPr="00977AD2">
        <w:rPr>
          <w:rFonts w:ascii="Verdana" w:hAnsi="Verdana"/>
          <w:sz w:val="16"/>
          <w:szCs w:val="16"/>
          <w:lang w:val="es-CR"/>
        </w:rPr>
        <w:t xml:space="preserve"> </w:t>
      </w:r>
      <w:r w:rsidRPr="00977AD2">
        <w:rPr>
          <w:rFonts w:ascii="Verdana" w:hAnsi="Verdana"/>
          <w:i/>
          <w:sz w:val="16"/>
          <w:szCs w:val="16"/>
          <w:lang w:val="es-CR"/>
        </w:rPr>
        <w:t xml:space="preserve">Caso del </w:t>
      </w:r>
      <w:r>
        <w:rPr>
          <w:rFonts w:ascii="Verdana" w:hAnsi="Verdana"/>
          <w:i/>
          <w:sz w:val="16"/>
          <w:szCs w:val="16"/>
          <w:lang w:val="es-CR"/>
        </w:rPr>
        <w:t>P</w:t>
      </w:r>
      <w:r w:rsidRPr="00977AD2">
        <w:rPr>
          <w:rFonts w:ascii="Verdana" w:hAnsi="Verdana"/>
          <w:i/>
          <w:sz w:val="16"/>
          <w:szCs w:val="16"/>
          <w:lang w:val="es-CR"/>
        </w:rPr>
        <w:t xml:space="preserve">ueblo </w:t>
      </w:r>
      <w:proofErr w:type="spellStart"/>
      <w:r w:rsidRPr="00977AD2">
        <w:rPr>
          <w:rFonts w:ascii="Verdana" w:hAnsi="Verdana"/>
          <w:i/>
          <w:sz w:val="16"/>
          <w:szCs w:val="16"/>
          <w:lang w:val="es-CR"/>
        </w:rPr>
        <w:t>Saramaka</w:t>
      </w:r>
      <w:proofErr w:type="spellEnd"/>
      <w:r w:rsidRPr="00977AD2">
        <w:rPr>
          <w:rFonts w:ascii="Verdana" w:hAnsi="Verdana"/>
          <w:i/>
          <w:sz w:val="16"/>
          <w:szCs w:val="16"/>
          <w:lang w:val="es-CR"/>
        </w:rPr>
        <w:t xml:space="preserve"> Vs. Surinam. Supervisión de Cumplimiento de Sentencia.</w:t>
      </w:r>
      <w:r w:rsidRPr="00977AD2">
        <w:rPr>
          <w:rFonts w:ascii="Verdana" w:hAnsi="Verdana"/>
          <w:sz w:val="16"/>
          <w:szCs w:val="16"/>
          <w:lang w:val="es-CR"/>
        </w:rPr>
        <w:t xml:space="preserve"> Resolución de la Corte Interamericana de Derechos Humanos de 23 de noviembre de 2011, Considerando 39.</w:t>
      </w:r>
    </w:p>
  </w:footnote>
  <w:footnote w:id="19">
    <w:p w14:paraId="08C39E7D" w14:textId="368D126C" w:rsidR="00A07E10" w:rsidRPr="00E01507" w:rsidRDefault="00A07E10" w:rsidP="00E01507">
      <w:pPr>
        <w:pStyle w:val="FootnoteText"/>
        <w:jc w:val="both"/>
        <w:rPr>
          <w:rFonts w:ascii="Verdana" w:hAnsi="Verdana"/>
          <w:sz w:val="16"/>
          <w:szCs w:val="16"/>
        </w:rPr>
      </w:pPr>
      <w:r w:rsidRPr="00E01507">
        <w:rPr>
          <w:rStyle w:val="FootnoteReference"/>
          <w:rFonts w:ascii="Verdana" w:hAnsi="Verdana"/>
          <w:sz w:val="16"/>
          <w:szCs w:val="16"/>
        </w:rPr>
        <w:footnoteRef/>
      </w:r>
      <w:r w:rsidRPr="00E01507">
        <w:rPr>
          <w:rFonts w:ascii="Verdana" w:hAnsi="Verdana"/>
          <w:sz w:val="16"/>
          <w:szCs w:val="16"/>
        </w:rPr>
        <w:t xml:space="preserve"> </w:t>
      </w:r>
      <w:r w:rsidRPr="00E01507">
        <w:rPr>
          <w:rFonts w:ascii="Verdana" w:hAnsi="Verdana"/>
          <w:sz w:val="16"/>
          <w:szCs w:val="16"/>
        </w:rPr>
        <w:tab/>
        <w:t>El Estado indicó, en juli</w:t>
      </w:r>
      <w:r>
        <w:rPr>
          <w:rFonts w:ascii="Verdana" w:hAnsi="Verdana"/>
          <w:sz w:val="16"/>
          <w:szCs w:val="16"/>
        </w:rPr>
        <w:t>o de 2013, que “la</w:t>
      </w:r>
      <w:r w:rsidRPr="00E01507">
        <w:rPr>
          <w:rFonts w:ascii="Verdana" w:hAnsi="Verdana"/>
          <w:sz w:val="16"/>
          <w:szCs w:val="16"/>
        </w:rPr>
        <w:t xml:space="preserve"> cantidad por la compensación material e inmaterial de US$ 675,000 fue pagado por completo y depositado al Fondo mencionado”. </w:t>
      </w:r>
      <w:r>
        <w:rPr>
          <w:rFonts w:ascii="Verdana" w:hAnsi="Verdana"/>
          <w:sz w:val="16"/>
          <w:szCs w:val="16"/>
        </w:rPr>
        <w:t xml:space="preserve">El Estado no presentó comprobante de dicho depósito. </w:t>
      </w:r>
    </w:p>
  </w:footnote>
  <w:footnote w:id="20">
    <w:p w14:paraId="53A3C3CD" w14:textId="484AC271" w:rsidR="00A07E10" w:rsidRPr="006E2EA5" w:rsidRDefault="00A07E10" w:rsidP="00BF6499">
      <w:pPr>
        <w:pStyle w:val="FootnoteText"/>
        <w:jc w:val="both"/>
        <w:rPr>
          <w:rFonts w:ascii="Verdana" w:hAnsi="Verdana"/>
          <w:sz w:val="16"/>
          <w:szCs w:val="16"/>
        </w:rPr>
      </w:pPr>
      <w:r w:rsidRPr="004E1B86">
        <w:rPr>
          <w:rStyle w:val="FootnoteReference"/>
          <w:rFonts w:ascii="Verdana" w:hAnsi="Verdana"/>
          <w:sz w:val="16"/>
          <w:szCs w:val="16"/>
        </w:rPr>
        <w:footnoteRef/>
      </w:r>
      <w:r w:rsidRPr="004E1B86">
        <w:rPr>
          <w:rFonts w:ascii="Verdana" w:hAnsi="Verdana"/>
          <w:sz w:val="16"/>
          <w:szCs w:val="16"/>
        </w:rPr>
        <w:t xml:space="preserve"> </w:t>
      </w:r>
      <w:r w:rsidRPr="004E1B86">
        <w:rPr>
          <w:rFonts w:ascii="Verdana" w:hAnsi="Verdana"/>
          <w:sz w:val="16"/>
          <w:szCs w:val="16"/>
        </w:rPr>
        <w:tab/>
        <w:t xml:space="preserve">Los representantes adjuntaron a su escrito de observaciones de 5 de agosto de 2013 un documento </w:t>
      </w:r>
      <w:r>
        <w:rPr>
          <w:rFonts w:ascii="Verdana" w:hAnsi="Verdana"/>
          <w:sz w:val="16"/>
          <w:szCs w:val="16"/>
        </w:rPr>
        <w:t>en el que</w:t>
      </w:r>
      <w:r w:rsidRPr="004E1B86">
        <w:rPr>
          <w:rFonts w:ascii="Verdana" w:hAnsi="Verdana"/>
          <w:sz w:val="16"/>
          <w:szCs w:val="16"/>
        </w:rPr>
        <w:t xml:space="preserve"> reconocieron que dicha medida de reparación se encuentra cumplida. </w:t>
      </w:r>
    </w:p>
  </w:footnote>
  <w:footnote w:id="21">
    <w:p w14:paraId="4C9B779F" w14:textId="51DDA12E" w:rsidR="00A07E10" w:rsidRPr="004E1B86" w:rsidRDefault="00A07E10" w:rsidP="004E1B86">
      <w:pPr>
        <w:pStyle w:val="FootnoteText"/>
        <w:jc w:val="both"/>
        <w:rPr>
          <w:rFonts w:ascii="Verdana" w:hAnsi="Verdana"/>
          <w:sz w:val="16"/>
          <w:szCs w:val="16"/>
          <w:lang w:val="es-CR"/>
        </w:rPr>
      </w:pPr>
      <w:r w:rsidRPr="004E1B86">
        <w:rPr>
          <w:rStyle w:val="FootnoteReference"/>
          <w:rFonts w:ascii="Verdana" w:hAnsi="Verdana"/>
          <w:sz w:val="16"/>
          <w:szCs w:val="16"/>
        </w:rPr>
        <w:footnoteRef/>
      </w:r>
      <w:r w:rsidRPr="004E1B86">
        <w:rPr>
          <w:rFonts w:ascii="Verdana" w:hAnsi="Verdana"/>
          <w:sz w:val="16"/>
          <w:szCs w:val="16"/>
        </w:rPr>
        <w:t xml:space="preserve"> </w:t>
      </w:r>
      <w:r w:rsidRPr="004E1B86">
        <w:rPr>
          <w:rFonts w:ascii="Verdana" w:hAnsi="Verdana"/>
          <w:sz w:val="16"/>
          <w:szCs w:val="16"/>
          <w:lang w:val="es-CR"/>
        </w:rPr>
        <w:tab/>
        <w:t>Sobre este punto, la Corte dispuso que “</w:t>
      </w:r>
      <w:r w:rsidRPr="004E1B86">
        <w:rPr>
          <w:rFonts w:ascii="Verdana" w:hAnsi="Verdana" w:cs="Verdana"/>
          <w:sz w:val="16"/>
          <w:szCs w:val="16"/>
        </w:rPr>
        <w:t xml:space="preserve">el Estado debe informar: si ha consultado con los </w:t>
      </w:r>
      <w:proofErr w:type="spellStart"/>
      <w:r w:rsidRPr="004E1B86">
        <w:rPr>
          <w:rFonts w:ascii="Verdana" w:hAnsi="Verdana" w:cs="Verdana"/>
          <w:sz w:val="16"/>
          <w:szCs w:val="16"/>
        </w:rPr>
        <w:t>Saramaka</w:t>
      </w:r>
      <w:proofErr w:type="spellEnd"/>
      <w:r w:rsidRPr="004E1B86">
        <w:rPr>
          <w:rFonts w:ascii="Verdana" w:hAnsi="Verdana" w:cs="Verdana"/>
          <w:sz w:val="16"/>
          <w:szCs w:val="16"/>
        </w:rPr>
        <w:t xml:space="preserve"> y les ha </w:t>
      </w:r>
      <w:proofErr w:type="gramStart"/>
      <w:r w:rsidRPr="004E1B86">
        <w:rPr>
          <w:rFonts w:ascii="Verdana" w:hAnsi="Verdana" w:cs="Verdana"/>
          <w:sz w:val="16"/>
          <w:szCs w:val="16"/>
        </w:rPr>
        <w:t>garantiza</w:t>
      </w:r>
      <w:r>
        <w:rPr>
          <w:rFonts w:ascii="Verdana" w:hAnsi="Verdana" w:cs="Verdana"/>
          <w:sz w:val="16"/>
          <w:szCs w:val="16"/>
        </w:rPr>
        <w:t>[</w:t>
      </w:r>
      <w:proofErr w:type="gramEnd"/>
      <w:r>
        <w:rPr>
          <w:rFonts w:ascii="Verdana" w:hAnsi="Verdana" w:cs="Verdana"/>
          <w:sz w:val="16"/>
          <w:szCs w:val="16"/>
        </w:rPr>
        <w:t>do]</w:t>
      </w:r>
      <w:r w:rsidRPr="004E1B86">
        <w:rPr>
          <w:rFonts w:ascii="Verdana" w:hAnsi="Verdana" w:cs="Verdana"/>
          <w:sz w:val="16"/>
          <w:szCs w:val="16"/>
        </w:rPr>
        <w:t xml:space="preserve"> su participación efectiva en esas revisiones; cómo está garantizando que los miembros del pueblo </w:t>
      </w:r>
      <w:proofErr w:type="spellStart"/>
      <w:r w:rsidRPr="004E1B86">
        <w:rPr>
          <w:rFonts w:ascii="Verdana" w:hAnsi="Verdana" w:cs="Verdana"/>
          <w:sz w:val="16"/>
          <w:szCs w:val="16"/>
        </w:rPr>
        <w:t>Saramaka</w:t>
      </w:r>
      <w:proofErr w:type="spellEnd"/>
      <w:r w:rsidRPr="004E1B86">
        <w:rPr>
          <w:rFonts w:ascii="Verdana" w:hAnsi="Verdana" w:cs="Verdana"/>
          <w:sz w:val="16"/>
          <w:szCs w:val="16"/>
        </w:rPr>
        <w:t xml:space="preserve"> recibirán beneficios razonables de dichas concesiones; y si se han realizado estudio</w:t>
      </w:r>
      <w:r>
        <w:rPr>
          <w:rFonts w:ascii="Verdana" w:hAnsi="Verdana" w:cs="Verdana"/>
          <w:sz w:val="16"/>
          <w:szCs w:val="16"/>
        </w:rPr>
        <w:t>s</w:t>
      </w:r>
      <w:r w:rsidRPr="004E1B86">
        <w:rPr>
          <w:rFonts w:ascii="Verdana" w:hAnsi="Verdana" w:cs="Verdana"/>
          <w:sz w:val="16"/>
          <w:szCs w:val="16"/>
        </w:rPr>
        <w:t xml:space="preserve"> de impacto ambiental y social”.</w:t>
      </w:r>
    </w:p>
  </w:footnote>
  <w:footnote w:id="22">
    <w:p w14:paraId="0348FB0A" w14:textId="0B70F7D9" w:rsidR="00A07E10" w:rsidRPr="00515461" w:rsidRDefault="00A07E10" w:rsidP="00515461">
      <w:pPr>
        <w:pStyle w:val="FootnoteText"/>
        <w:jc w:val="both"/>
        <w:rPr>
          <w:rFonts w:ascii="Verdana" w:hAnsi="Verdana"/>
          <w:sz w:val="16"/>
          <w:szCs w:val="16"/>
          <w:lang w:val="es-CR"/>
        </w:rPr>
      </w:pPr>
      <w:r w:rsidRPr="00515461">
        <w:rPr>
          <w:rStyle w:val="FootnoteReference"/>
          <w:rFonts w:ascii="Verdana" w:hAnsi="Verdana"/>
          <w:sz w:val="16"/>
          <w:szCs w:val="16"/>
        </w:rPr>
        <w:footnoteRef/>
      </w:r>
      <w:r w:rsidRPr="00515461">
        <w:rPr>
          <w:rFonts w:ascii="Verdana" w:hAnsi="Verdana"/>
          <w:sz w:val="16"/>
          <w:szCs w:val="16"/>
        </w:rPr>
        <w:t xml:space="preserve"> </w:t>
      </w:r>
      <w:r w:rsidRPr="00515461">
        <w:rPr>
          <w:rFonts w:ascii="Verdana" w:hAnsi="Verdana"/>
          <w:sz w:val="16"/>
          <w:szCs w:val="16"/>
          <w:lang w:val="es-CR"/>
        </w:rPr>
        <w:tab/>
      </w:r>
      <w:r>
        <w:rPr>
          <w:rFonts w:ascii="Verdana" w:hAnsi="Verdana"/>
          <w:sz w:val="16"/>
          <w:szCs w:val="16"/>
          <w:lang w:val="es-CR"/>
        </w:rPr>
        <w:t>L</w:t>
      </w:r>
      <w:r w:rsidRPr="00515461">
        <w:rPr>
          <w:rFonts w:ascii="Verdana" w:hAnsi="Verdana"/>
          <w:sz w:val="16"/>
          <w:szCs w:val="16"/>
          <w:lang w:val="es-CR"/>
        </w:rPr>
        <w:t xml:space="preserve">a Corte requirió información “sobre el arrendamiento de tierras supuestamente concedido a </w:t>
      </w:r>
      <w:r>
        <w:rPr>
          <w:rFonts w:ascii="Verdana" w:hAnsi="Verdana"/>
          <w:sz w:val="16"/>
          <w:szCs w:val="16"/>
          <w:lang w:val="es-CR"/>
        </w:rPr>
        <w:t>‘</w:t>
      </w:r>
      <w:proofErr w:type="spellStart"/>
      <w:r w:rsidRPr="00515461">
        <w:rPr>
          <w:rFonts w:ascii="Verdana" w:hAnsi="Verdana"/>
          <w:sz w:val="16"/>
          <w:szCs w:val="16"/>
          <w:lang w:val="es-CR"/>
        </w:rPr>
        <w:t>Anaula</w:t>
      </w:r>
      <w:proofErr w:type="spellEnd"/>
      <w:r w:rsidRPr="00515461">
        <w:rPr>
          <w:rFonts w:ascii="Verdana" w:hAnsi="Verdana"/>
          <w:sz w:val="16"/>
          <w:szCs w:val="16"/>
          <w:lang w:val="es-CR"/>
        </w:rPr>
        <w:t xml:space="preserve"> </w:t>
      </w:r>
      <w:proofErr w:type="spellStart"/>
      <w:r w:rsidRPr="00515461">
        <w:rPr>
          <w:rFonts w:ascii="Verdana" w:hAnsi="Verdana"/>
          <w:sz w:val="16"/>
          <w:szCs w:val="16"/>
          <w:lang w:val="es-CR"/>
        </w:rPr>
        <w:t>Nature</w:t>
      </w:r>
      <w:proofErr w:type="spellEnd"/>
      <w:r w:rsidRPr="00515461">
        <w:rPr>
          <w:rFonts w:ascii="Verdana" w:hAnsi="Verdana"/>
          <w:sz w:val="16"/>
          <w:szCs w:val="16"/>
          <w:lang w:val="es-CR"/>
        </w:rPr>
        <w:t xml:space="preserve"> Resort NV</w:t>
      </w:r>
      <w:r>
        <w:rPr>
          <w:rFonts w:ascii="Verdana" w:hAnsi="Verdana"/>
          <w:sz w:val="16"/>
          <w:szCs w:val="16"/>
          <w:lang w:val="es-CR"/>
        </w:rPr>
        <w:t>’</w:t>
      </w:r>
      <w:r w:rsidRPr="00515461">
        <w:rPr>
          <w:rFonts w:ascii="Verdana" w:hAnsi="Verdana"/>
          <w:sz w:val="16"/>
          <w:szCs w:val="16"/>
          <w:lang w:val="es-CR"/>
        </w:rPr>
        <w:t xml:space="preserve">; </w:t>
      </w:r>
      <w:r w:rsidRPr="00515461">
        <w:rPr>
          <w:rFonts w:ascii="Verdana" w:hAnsi="Verdana" w:cs="Verdana"/>
          <w:sz w:val="16"/>
          <w:szCs w:val="16"/>
        </w:rPr>
        <w:t xml:space="preserve">sobre cualquier mejora a la calle </w:t>
      </w:r>
      <w:proofErr w:type="spellStart"/>
      <w:r w:rsidRPr="00515461">
        <w:rPr>
          <w:rFonts w:ascii="Verdana" w:hAnsi="Verdana" w:cs="Verdana"/>
          <w:sz w:val="16"/>
          <w:szCs w:val="16"/>
        </w:rPr>
        <w:t>Afobaka</w:t>
      </w:r>
      <w:proofErr w:type="spellEnd"/>
      <w:r w:rsidRPr="00515461">
        <w:rPr>
          <w:rFonts w:ascii="Verdana" w:hAnsi="Verdana" w:cs="Verdana"/>
          <w:sz w:val="16"/>
          <w:szCs w:val="16"/>
        </w:rPr>
        <w:t xml:space="preserve"> en el territorio </w:t>
      </w:r>
      <w:proofErr w:type="spellStart"/>
      <w:r w:rsidRPr="00515461">
        <w:rPr>
          <w:rFonts w:ascii="Verdana" w:hAnsi="Verdana" w:cs="Verdana"/>
          <w:sz w:val="16"/>
          <w:szCs w:val="16"/>
        </w:rPr>
        <w:t>Saramaka</w:t>
      </w:r>
      <w:proofErr w:type="spellEnd"/>
      <w:r w:rsidRPr="00515461">
        <w:rPr>
          <w:rFonts w:ascii="Verdana" w:hAnsi="Verdana"/>
          <w:sz w:val="16"/>
          <w:szCs w:val="16"/>
          <w:lang w:val="es-CR"/>
        </w:rPr>
        <w:t xml:space="preserve">”, respecto de los cuales los representantes presentaron información en esa oportunidad, y “sobre cualquier otra acción que podría afectar la existencia, valor, uso o goce del territorio de los miembros del pueblo </w:t>
      </w:r>
      <w:proofErr w:type="spellStart"/>
      <w:r w:rsidRPr="00515461">
        <w:rPr>
          <w:rFonts w:ascii="Verdana" w:hAnsi="Verdana"/>
          <w:sz w:val="16"/>
          <w:szCs w:val="16"/>
          <w:lang w:val="es-CR"/>
        </w:rPr>
        <w:t>Saramaka</w:t>
      </w:r>
      <w:proofErr w:type="spellEnd"/>
      <w:r w:rsidRPr="00515461">
        <w:rPr>
          <w:rFonts w:ascii="Verdana" w:hAnsi="Verdana"/>
          <w:sz w:val="16"/>
          <w:szCs w:val="16"/>
          <w:lang w:val="es-CR"/>
        </w:rPr>
        <w:t>”.</w:t>
      </w:r>
    </w:p>
  </w:footnote>
  <w:footnote w:id="23">
    <w:p w14:paraId="21D34DCE" w14:textId="198C839A" w:rsidR="00A07E10" w:rsidRPr="00F830A7" w:rsidRDefault="00A07E10" w:rsidP="00F830A7">
      <w:pPr>
        <w:pStyle w:val="FootnoteText"/>
        <w:jc w:val="both"/>
        <w:rPr>
          <w:rFonts w:ascii="Verdana" w:hAnsi="Verdana"/>
          <w:sz w:val="16"/>
          <w:szCs w:val="16"/>
        </w:rPr>
      </w:pPr>
      <w:r w:rsidRPr="00F830A7">
        <w:rPr>
          <w:rStyle w:val="FootnoteReference"/>
          <w:rFonts w:ascii="Verdana" w:hAnsi="Verdana"/>
          <w:sz w:val="16"/>
          <w:szCs w:val="16"/>
        </w:rPr>
        <w:footnoteRef/>
      </w:r>
      <w:r w:rsidRPr="00F830A7">
        <w:rPr>
          <w:rFonts w:ascii="Verdana" w:hAnsi="Verdana"/>
          <w:sz w:val="16"/>
          <w:szCs w:val="16"/>
        </w:rPr>
        <w:t xml:space="preserve"> </w:t>
      </w:r>
      <w:r w:rsidRPr="00F830A7">
        <w:rPr>
          <w:rFonts w:ascii="Verdana" w:hAnsi="Verdana"/>
          <w:sz w:val="16"/>
          <w:szCs w:val="16"/>
        </w:rPr>
        <w:tab/>
        <w:t xml:space="preserve">Con posterioridad a la emisión de la Sentencia los representantes de las víctimas presentaron información concerniente a “un proyecto de explotación mineral que habría sido concedido a la empresa IAMGOLD […] que tendría ‘efectos severos’ en las prácticas de subsistencia, libertad espiritual y la tierra y la cultura de los </w:t>
      </w:r>
      <w:proofErr w:type="spellStart"/>
      <w:r w:rsidRPr="00F830A7">
        <w:rPr>
          <w:rFonts w:ascii="Verdana" w:hAnsi="Verdana"/>
          <w:sz w:val="16"/>
          <w:szCs w:val="16"/>
        </w:rPr>
        <w:t>Saramaka</w:t>
      </w:r>
      <w:proofErr w:type="spellEnd"/>
      <w:r w:rsidRPr="00F830A7">
        <w:rPr>
          <w:rFonts w:ascii="Verdana" w:hAnsi="Verdana"/>
          <w:sz w:val="16"/>
          <w:szCs w:val="16"/>
        </w:rPr>
        <w:t xml:space="preserve"> […] y que afectaría la viabilidad del territorio </w:t>
      </w:r>
      <w:proofErr w:type="spellStart"/>
      <w:r w:rsidRPr="00F830A7">
        <w:rPr>
          <w:rFonts w:ascii="Verdana" w:hAnsi="Verdana"/>
          <w:sz w:val="16"/>
          <w:szCs w:val="16"/>
        </w:rPr>
        <w:t>Saramaka</w:t>
      </w:r>
      <w:proofErr w:type="spellEnd"/>
      <w:r w:rsidRPr="00F830A7">
        <w:rPr>
          <w:rFonts w:ascii="Verdana" w:hAnsi="Verdana"/>
          <w:sz w:val="16"/>
          <w:szCs w:val="16"/>
        </w:rPr>
        <w:t xml:space="preserve"> para la presente y futuras generaciones”. </w:t>
      </w:r>
      <w:r>
        <w:rPr>
          <w:rFonts w:ascii="Verdana" w:hAnsi="Verdana"/>
          <w:i/>
          <w:sz w:val="16"/>
          <w:szCs w:val="16"/>
        </w:rPr>
        <w:t xml:space="preserve">Cfr. </w:t>
      </w:r>
      <w:r w:rsidRPr="005E4B9B">
        <w:rPr>
          <w:rFonts w:ascii="Verdana" w:hAnsi="Verdana"/>
          <w:i/>
          <w:sz w:val="16"/>
          <w:szCs w:val="16"/>
        </w:rPr>
        <w:t xml:space="preserve">Caso del Pueblo </w:t>
      </w:r>
      <w:proofErr w:type="spellStart"/>
      <w:r w:rsidRPr="005E4B9B">
        <w:rPr>
          <w:rFonts w:ascii="Verdana" w:hAnsi="Verdana"/>
          <w:i/>
          <w:sz w:val="16"/>
          <w:szCs w:val="16"/>
        </w:rPr>
        <w:t>Saramaka</w:t>
      </w:r>
      <w:proofErr w:type="spellEnd"/>
      <w:r w:rsidRPr="005E4B9B">
        <w:rPr>
          <w:rFonts w:ascii="Verdana" w:hAnsi="Verdana"/>
          <w:i/>
          <w:sz w:val="16"/>
          <w:szCs w:val="16"/>
        </w:rPr>
        <w:t xml:space="preserve"> Vs. Surinam</w:t>
      </w:r>
      <w:r>
        <w:rPr>
          <w:rFonts w:ascii="Verdana" w:hAnsi="Verdana"/>
          <w:sz w:val="16"/>
          <w:szCs w:val="16"/>
        </w:rPr>
        <w:t xml:space="preserve">. </w:t>
      </w:r>
      <w:r>
        <w:rPr>
          <w:rFonts w:ascii="Verdana" w:hAnsi="Verdana"/>
          <w:i/>
          <w:sz w:val="16"/>
          <w:szCs w:val="16"/>
          <w:lang w:val="es-CR"/>
        </w:rPr>
        <w:t xml:space="preserve">Solicitud de Medidas Provisionales y </w:t>
      </w:r>
      <w:r w:rsidRPr="00F73C95">
        <w:rPr>
          <w:rFonts w:ascii="Verdana" w:hAnsi="Verdana"/>
          <w:i/>
          <w:sz w:val="16"/>
          <w:szCs w:val="16"/>
          <w:lang w:val="es-CR"/>
        </w:rPr>
        <w:t>Supervisión de Cumplimiento de Sentencia.</w:t>
      </w:r>
      <w:r w:rsidRPr="00F73C95">
        <w:rPr>
          <w:rFonts w:ascii="Verdana" w:hAnsi="Verdana"/>
          <w:sz w:val="16"/>
          <w:szCs w:val="16"/>
          <w:lang w:val="es-CR"/>
        </w:rPr>
        <w:t xml:space="preserve"> Resolución de la Corte Interamericana de Derechos Humanos de </w:t>
      </w:r>
      <w:r>
        <w:rPr>
          <w:rFonts w:ascii="Verdana" w:hAnsi="Verdana"/>
          <w:sz w:val="16"/>
          <w:szCs w:val="16"/>
          <w:lang w:val="es-CR"/>
        </w:rPr>
        <w:t>4</w:t>
      </w:r>
      <w:r w:rsidRPr="00F73C95">
        <w:rPr>
          <w:rFonts w:ascii="Verdana" w:hAnsi="Verdana"/>
          <w:sz w:val="16"/>
          <w:szCs w:val="16"/>
          <w:lang w:val="es-CR"/>
        </w:rPr>
        <w:t xml:space="preserve"> de </w:t>
      </w:r>
      <w:r>
        <w:rPr>
          <w:rFonts w:ascii="Verdana" w:hAnsi="Verdana"/>
          <w:sz w:val="16"/>
          <w:szCs w:val="16"/>
          <w:lang w:val="es-CR"/>
        </w:rPr>
        <w:t>septiembre</w:t>
      </w:r>
      <w:r w:rsidRPr="00F73C95">
        <w:rPr>
          <w:rFonts w:ascii="Verdana" w:hAnsi="Verdana"/>
          <w:sz w:val="16"/>
          <w:szCs w:val="16"/>
          <w:lang w:val="es-CR"/>
        </w:rPr>
        <w:t xml:space="preserve"> de 20</w:t>
      </w:r>
      <w:r>
        <w:rPr>
          <w:rFonts w:ascii="Verdana" w:hAnsi="Verdana"/>
          <w:sz w:val="16"/>
          <w:szCs w:val="16"/>
          <w:lang w:val="es-CR"/>
        </w:rPr>
        <w:t xml:space="preserve">13, párr. 18. </w:t>
      </w:r>
      <w:r w:rsidRPr="00F830A7">
        <w:rPr>
          <w:rFonts w:ascii="Verdana" w:hAnsi="Verdana"/>
          <w:sz w:val="16"/>
          <w:szCs w:val="16"/>
        </w:rPr>
        <w:t xml:space="preserve">Los representantes solicitaron medidas provisionales, que la Corte no concedió en dicha Resolución, pero </w:t>
      </w:r>
      <w:r>
        <w:rPr>
          <w:rFonts w:ascii="Verdana" w:hAnsi="Verdana"/>
          <w:sz w:val="16"/>
          <w:szCs w:val="16"/>
        </w:rPr>
        <w:t xml:space="preserve">indicó que dicha información sería valorada en la supervisión de cumplimiento de la Sentencia. </w:t>
      </w:r>
    </w:p>
  </w:footnote>
  <w:footnote w:id="24">
    <w:p w14:paraId="76953F7D" w14:textId="77777777" w:rsidR="00A07E10" w:rsidRPr="00EC3A7C" w:rsidRDefault="00A07E10" w:rsidP="00EC3A7C">
      <w:pPr>
        <w:pStyle w:val="FootnoteText"/>
        <w:jc w:val="both"/>
        <w:rPr>
          <w:rFonts w:ascii="Verdana" w:hAnsi="Verdana"/>
          <w:sz w:val="16"/>
          <w:szCs w:val="16"/>
        </w:rPr>
      </w:pPr>
      <w:r w:rsidRPr="00EC3A7C">
        <w:rPr>
          <w:rStyle w:val="FootnoteReference"/>
          <w:rFonts w:ascii="Verdana" w:hAnsi="Verdana"/>
          <w:sz w:val="16"/>
          <w:szCs w:val="16"/>
        </w:rPr>
        <w:footnoteRef/>
      </w:r>
      <w:r w:rsidRPr="00EC3A7C">
        <w:rPr>
          <w:rFonts w:ascii="Verdana" w:hAnsi="Verdana"/>
          <w:sz w:val="16"/>
          <w:szCs w:val="16"/>
        </w:rPr>
        <w:t xml:space="preserve"> </w:t>
      </w:r>
      <w:r w:rsidRPr="00EC3A7C">
        <w:rPr>
          <w:rFonts w:ascii="Verdana" w:hAnsi="Verdana"/>
          <w:sz w:val="16"/>
          <w:szCs w:val="16"/>
        </w:rPr>
        <w:tab/>
        <w:t xml:space="preserve">En sentido similar, en </w:t>
      </w:r>
      <w:r>
        <w:rPr>
          <w:rFonts w:ascii="Verdana" w:hAnsi="Verdana"/>
          <w:sz w:val="16"/>
          <w:szCs w:val="16"/>
        </w:rPr>
        <w:t xml:space="preserve">el Considerando 25 de </w:t>
      </w:r>
      <w:r w:rsidRPr="00EC3A7C">
        <w:rPr>
          <w:rFonts w:ascii="Verdana" w:hAnsi="Verdana"/>
          <w:sz w:val="16"/>
          <w:szCs w:val="16"/>
        </w:rPr>
        <w:t>la Resolución de 2013, la Corte requirió al Estado “</w:t>
      </w:r>
      <w:r w:rsidRPr="00EC3A7C">
        <w:rPr>
          <w:rFonts w:ascii="Verdana" w:hAnsi="Verdana"/>
          <w:sz w:val="16"/>
          <w:szCs w:val="16"/>
          <w:lang w:val="es-CR"/>
        </w:rPr>
        <w:t xml:space="preserve">remitir a la Corte un informe completo, pormenorizado y específico sobre el alegado otorgamiento de la concesión minera en favor de la empresa IAMGOLD en el territorio </w:t>
      </w:r>
      <w:proofErr w:type="spellStart"/>
      <w:r w:rsidRPr="00EC3A7C">
        <w:rPr>
          <w:rFonts w:ascii="Verdana" w:hAnsi="Verdana"/>
          <w:sz w:val="16"/>
          <w:szCs w:val="16"/>
          <w:lang w:val="es-CR"/>
        </w:rPr>
        <w:t>Saramaka</w:t>
      </w:r>
      <w:proofErr w:type="spellEnd"/>
      <w:r w:rsidRPr="00EC3A7C">
        <w:rPr>
          <w:rFonts w:ascii="Verdana" w:hAnsi="Verdana"/>
          <w:sz w:val="16"/>
          <w:szCs w:val="16"/>
          <w:lang w:val="es-CR"/>
        </w:rPr>
        <w:t xml:space="preserve">, en el cual deberá indicar: a) el contenido y alcance de dicha concesión, b) si el Pueblo </w:t>
      </w:r>
      <w:proofErr w:type="spellStart"/>
      <w:r w:rsidRPr="00EC3A7C">
        <w:rPr>
          <w:rFonts w:ascii="Verdana" w:hAnsi="Verdana"/>
          <w:sz w:val="16"/>
          <w:szCs w:val="16"/>
          <w:lang w:val="es-CR"/>
        </w:rPr>
        <w:t>Saramaka</w:t>
      </w:r>
      <w:proofErr w:type="spellEnd"/>
      <w:r w:rsidRPr="00EC3A7C">
        <w:rPr>
          <w:rFonts w:ascii="Verdana" w:hAnsi="Verdana"/>
          <w:sz w:val="16"/>
          <w:szCs w:val="16"/>
          <w:lang w:val="es-CR"/>
        </w:rPr>
        <w:t xml:space="preserve"> fue consultado y cuáles fueron las medidas realizadas para tal fin, c) si dicha concesión fue precedida de estudios de impacto ambiental y social, y d) en su caso, los beneficios en favor del Pueblo </w:t>
      </w:r>
      <w:proofErr w:type="spellStart"/>
      <w:r w:rsidRPr="00EC3A7C">
        <w:rPr>
          <w:rFonts w:ascii="Verdana" w:hAnsi="Verdana"/>
          <w:sz w:val="16"/>
          <w:szCs w:val="16"/>
          <w:lang w:val="es-CR"/>
        </w:rPr>
        <w:t>Saramaka</w:t>
      </w:r>
      <w:proofErr w:type="spellEnd"/>
      <w:r w:rsidRPr="00EC3A7C">
        <w:rPr>
          <w:rFonts w:ascii="Verdana" w:hAnsi="Verdana"/>
          <w:sz w:val="16"/>
          <w:szCs w:val="16"/>
          <w:lang w:val="es-CR"/>
        </w:rPr>
        <w:t>; todo ello de conformidad con los puntos resolutivos 5, 7, 8 y 9 de la Sentencia”.</w:t>
      </w:r>
    </w:p>
  </w:footnote>
  <w:footnote w:id="25">
    <w:p w14:paraId="56B1977E" w14:textId="77777777" w:rsidR="00A07E10" w:rsidRPr="003F7BC8" w:rsidRDefault="00A07E10" w:rsidP="003F7BC8">
      <w:pPr>
        <w:pStyle w:val="FootnoteText"/>
        <w:jc w:val="both"/>
        <w:rPr>
          <w:rFonts w:ascii="Verdana" w:hAnsi="Verdana"/>
          <w:sz w:val="16"/>
          <w:szCs w:val="16"/>
          <w:lang w:val="es-CR"/>
        </w:rPr>
      </w:pPr>
      <w:r w:rsidRPr="003F7BC8">
        <w:rPr>
          <w:rStyle w:val="FootnoteReference"/>
          <w:rFonts w:ascii="Verdana" w:hAnsi="Verdana"/>
          <w:sz w:val="16"/>
          <w:szCs w:val="16"/>
        </w:rPr>
        <w:footnoteRef/>
      </w:r>
      <w:r w:rsidRPr="003F7BC8">
        <w:rPr>
          <w:rFonts w:ascii="Verdana" w:hAnsi="Verdana"/>
          <w:sz w:val="16"/>
          <w:szCs w:val="16"/>
        </w:rPr>
        <w:t xml:space="preserve"> </w:t>
      </w:r>
      <w:r w:rsidRPr="003F7BC8">
        <w:rPr>
          <w:rFonts w:ascii="Verdana" w:hAnsi="Verdana"/>
          <w:sz w:val="16"/>
          <w:szCs w:val="16"/>
          <w:lang w:val="es-CR"/>
        </w:rPr>
        <w:tab/>
        <w:t xml:space="preserve">Conforme a la Sentencia, “el artículo 21 de la Convención no prohíbe </w:t>
      </w:r>
      <w:r w:rsidRPr="003F7BC8">
        <w:rPr>
          <w:rFonts w:ascii="Verdana" w:hAnsi="Verdana"/>
          <w:i/>
          <w:sz w:val="16"/>
          <w:szCs w:val="16"/>
          <w:lang w:val="es-CR"/>
        </w:rPr>
        <w:t>per se</w:t>
      </w:r>
      <w:r w:rsidRPr="003F7BC8">
        <w:rPr>
          <w:rFonts w:ascii="Verdana" w:hAnsi="Verdana"/>
          <w:sz w:val="16"/>
          <w:szCs w:val="16"/>
          <w:lang w:val="es-CR"/>
        </w:rPr>
        <w:t xml:space="preserve"> la emisión de concesiones para la exploración o explotación de los recursos naturales en territorios indígenas o tribales. Sin embargo, si el Estado quisiera restringir, legítimamente, los derechos a la propiedad comunal de los miembros del pueblo </w:t>
      </w:r>
      <w:proofErr w:type="spellStart"/>
      <w:r w:rsidRPr="003F7BC8">
        <w:rPr>
          <w:rFonts w:ascii="Verdana" w:hAnsi="Verdana"/>
          <w:sz w:val="16"/>
          <w:szCs w:val="16"/>
          <w:lang w:val="es-CR"/>
        </w:rPr>
        <w:t>Saramaka</w:t>
      </w:r>
      <w:proofErr w:type="spellEnd"/>
      <w:r w:rsidRPr="003F7BC8">
        <w:rPr>
          <w:rFonts w:ascii="Verdana" w:hAnsi="Verdana"/>
          <w:sz w:val="16"/>
          <w:szCs w:val="16"/>
          <w:lang w:val="es-CR"/>
        </w:rPr>
        <w:t>, debe consultar con las comunidades afectadas respecto de los proyectos de desarrollo que se lleven a cabo en los territorios ocupados tradicionalmente, compartir los beneficios razonables con ellas, y realizar evaluaciones de impacto ambiental y social”.</w:t>
      </w:r>
      <w:r>
        <w:rPr>
          <w:rFonts w:ascii="Verdana" w:hAnsi="Verdana"/>
          <w:sz w:val="16"/>
          <w:szCs w:val="16"/>
          <w:lang w:val="es-CR"/>
        </w:rPr>
        <w:t xml:space="preserve"> </w:t>
      </w:r>
      <w:r>
        <w:rPr>
          <w:rFonts w:ascii="Verdana" w:hAnsi="Verdana"/>
          <w:i/>
          <w:sz w:val="16"/>
          <w:szCs w:val="16"/>
          <w:lang w:val="es-CR"/>
        </w:rPr>
        <w:t xml:space="preserve">Cfr. Caso del Pueblo </w:t>
      </w:r>
      <w:proofErr w:type="spellStart"/>
      <w:r>
        <w:rPr>
          <w:rFonts w:ascii="Verdana" w:hAnsi="Verdana"/>
          <w:i/>
          <w:sz w:val="16"/>
          <w:szCs w:val="16"/>
          <w:lang w:val="es-CR"/>
        </w:rPr>
        <w:t>Saramaka</w:t>
      </w:r>
      <w:proofErr w:type="spellEnd"/>
      <w:r>
        <w:rPr>
          <w:rFonts w:ascii="Verdana" w:hAnsi="Verdana"/>
          <w:i/>
          <w:sz w:val="16"/>
          <w:szCs w:val="16"/>
          <w:lang w:val="es-CR"/>
        </w:rPr>
        <w:t xml:space="preserve"> Vs. Surinam, </w:t>
      </w:r>
      <w:r w:rsidRPr="00646D74">
        <w:rPr>
          <w:rFonts w:ascii="Verdana" w:hAnsi="Verdana"/>
          <w:i/>
          <w:sz w:val="16"/>
          <w:szCs w:val="16"/>
          <w:lang w:val="es-CR"/>
        </w:rPr>
        <w:t>supra</w:t>
      </w:r>
      <w:r>
        <w:rPr>
          <w:rFonts w:ascii="Verdana" w:hAnsi="Verdana"/>
          <w:sz w:val="16"/>
          <w:szCs w:val="16"/>
          <w:lang w:val="es-CR"/>
        </w:rPr>
        <w:t xml:space="preserve"> nota 1, párr. 143.</w:t>
      </w:r>
      <w:r w:rsidRPr="003F7BC8">
        <w:rPr>
          <w:rFonts w:ascii="Verdana" w:hAnsi="Verdana"/>
          <w:sz w:val="16"/>
          <w:szCs w:val="16"/>
          <w:lang w:val="es-CR"/>
        </w:rPr>
        <w:t xml:space="preserve"> </w:t>
      </w:r>
    </w:p>
  </w:footnote>
  <w:footnote w:id="26">
    <w:p w14:paraId="760DAAFD" w14:textId="1C6C5707" w:rsidR="00A07E10" w:rsidRPr="00742E49" w:rsidRDefault="00A07E10" w:rsidP="00BF5193">
      <w:pPr>
        <w:pStyle w:val="FootnoteText"/>
        <w:jc w:val="both"/>
        <w:rPr>
          <w:rFonts w:ascii="Verdana" w:hAnsi="Verdana"/>
          <w:sz w:val="16"/>
          <w:szCs w:val="16"/>
        </w:rPr>
      </w:pPr>
      <w:r w:rsidRPr="00F427BA">
        <w:rPr>
          <w:rStyle w:val="FootnoteReference"/>
          <w:rFonts w:ascii="Verdana" w:hAnsi="Verdana"/>
          <w:sz w:val="16"/>
          <w:szCs w:val="16"/>
        </w:rPr>
        <w:footnoteRef/>
      </w:r>
      <w:r w:rsidRPr="00F427BA">
        <w:rPr>
          <w:rFonts w:ascii="Verdana" w:hAnsi="Verdana"/>
          <w:sz w:val="16"/>
          <w:szCs w:val="16"/>
        </w:rPr>
        <w:t xml:space="preserve"> </w:t>
      </w:r>
      <w:r w:rsidRPr="00F427BA">
        <w:rPr>
          <w:rFonts w:ascii="Verdana" w:hAnsi="Verdana"/>
          <w:sz w:val="16"/>
          <w:szCs w:val="16"/>
        </w:rPr>
        <w:tab/>
      </w:r>
      <w:r w:rsidR="00F427BA" w:rsidRPr="00F427BA">
        <w:rPr>
          <w:rFonts w:ascii="Verdana" w:hAnsi="Verdana"/>
          <w:sz w:val="16"/>
          <w:szCs w:val="16"/>
        </w:rPr>
        <w:t>Como anexo al</w:t>
      </w:r>
      <w:r w:rsidRPr="00F427BA">
        <w:rPr>
          <w:rFonts w:ascii="Verdana" w:hAnsi="Verdana"/>
          <w:sz w:val="16"/>
          <w:szCs w:val="16"/>
        </w:rPr>
        <w:t xml:space="preserve"> escrito presentado por los Representantes el 5 de agosto de 2013, presentaron una carta</w:t>
      </w:r>
      <w:r w:rsidR="00F427BA" w:rsidRPr="00F427BA">
        <w:rPr>
          <w:rFonts w:ascii="Verdana" w:hAnsi="Verdana"/>
          <w:sz w:val="16"/>
          <w:szCs w:val="16"/>
        </w:rPr>
        <w:t xml:space="preserve"> en la que se indica que contiene la firma de “las autoridades tradicionales” del Pueblo </w:t>
      </w:r>
      <w:proofErr w:type="spellStart"/>
      <w:r w:rsidR="00F427BA" w:rsidRPr="00F427BA">
        <w:rPr>
          <w:rFonts w:ascii="Verdana" w:hAnsi="Verdana"/>
          <w:sz w:val="16"/>
          <w:szCs w:val="16"/>
        </w:rPr>
        <w:t>Saramaka</w:t>
      </w:r>
      <w:proofErr w:type="spellEnd"/>
      <w:r w:rsidR="00F427BA" w:rsidRPr="00F427BA">
        <w:rPr>
          <w:rFonts w:ascii="Verdana" w:hAnsi="Verdana"/>
          <w:sz w:val="16"/>
          <w:szCs w:val="16"/>
        </w:rPr>
        <w:t xml:space="preserve">. En la misma se indica, </w:t>
      </w:r>
      <w:r w:rsidR="00F427BA" w:rsidRPr="00F427BA">
        <w:rPr>
          <w:rFonts w:ascii="Verdana" w:hAnsi="Verdana"/>
          <w:i/>
          <w:sz w:val="16"/>
          <w:szCs w:val="16"/>
        </w:rPr>
        <w:t xml:space="preserve">inter </w:t>
      </w:r>
      <w:proofErr w:type="spellStart"/>
      <w:r w:rsidR="00F427BA" w:rsidRPr="00F427BA">
        <w:rPr>
          <w:rFonts w:ascii="Verdana" w:hAnsi="Verdana"/>
          <w:i/>
          <w:sz w:val="16"/>
          <w:szCs w:val="16"/>
        </w:rPr>
        <w:t>alia</w:t>
      </w:r>
      <w:proofErr w:type="spellEnd"/>
      <w:r w:rsidR="00F427BA" w:rsidRPr="00F427BA">
        <w:rPr>
          <w:rFonts w:ascii="Verdana" w:hAnsi="Verdana"/>
          <w:sz w:val="16"/>
          <w:szCs w:val="16"/>
        </w:rPr>
        <w:t>, que</w:t>
      </w:r>
      <w:r w:rsidRPr="00F427BA">
        <w:rPr>
          <w:rFonts w:ascii="Verdana" w:hAnsi="Verdana"/>
          <w:sz w:val="16"/>
          <w:szCs w:val="16"/>
        </w:rPr>
        <w:t xml:space="preserve"> “estamos unidos en nuestra posición respecto de que la implementación de esta Sentencia se requiere de manera urgente por cuanto nuestros derechos permanecen sin ser reconocidos por el Estado y el Estado continúa actuando de manera inconsistente con dichos derechos hasta el día de hoy; el otorgamiento de derechos adicionales de concesión en nuestro territorio a IAMGOLD es el ejemplo más reciente”</w:t>
      </w:r>
      <w:r w:rsidR="00F427BA" w:rsidRPr="00F427BA">
        <w:rPr>
          <w:rFonts w:ascii="Verdana" w:hAnsi="Verdana"/>
          <w:sz w:val="16"/>
          <w:szCs w:val="16"/>
        </w:rPr>
        <w:t>.</w:t>
      </w:r>
      <w:r w:rsidRPr="00F427BA">
        <w:rPr>
          <w:rFonts w:ascii="Verdana" w:hAnsi="Verdana"/>
          <w:sz w:val="16"/>
          <w:szCs w:val="16"/>
        </w:rPr>
        <w:t xml:space="preserve"> </w:t>
      </w:r>
    </w:p>
  </w:footnote>
  <w:footnote w:id="27">
    <w:p w14:paraId="0565B389" w14:textId="2BCDAC39" w:rsidR="00A07E10" w:rsidRPr="00E26415" w:rsidRDefault="00A07E10" w:rsidP="003D345F">
      <w:pPr>
        <w:pStyle w:val="FootnoteText"/>
        <w:jc w:val="both"/>
      </w:pPr>
      <w:r w:rsidRPr="00BB5D69">
        <w:rPr>
          <w:rStyle w:val="FootnoteReference"/>
          <w:rFonts w:ascii="Verdana" w:hAnsi="Verdana"/>
          <w:sz w:val="16"/>
          <w:szCs w:val="16"/>
        </w:rPr>
        <w:footnoteRef/>
      </w:r>
      <w:r w:rsidRPr="00BB5D69">
        <w:rPr>
          <w:rFonts w:ascii="Verdana" w:hAnsi="Verdana"/>
          <w:sz w:val="16"/>
          <w:szCs w:val="16"/>
        </w:rPr>
        <w:t xml:space="preserve"> </w:t>
      </w:r>
      <w:r w:rsidRPr="00BB5D69">
        <w:rPr>
          <w:rFonts w:ascii="Verdana" w:hAnsi="Verdana"/>
          <w:sz w:val="16"/>
          <w:szCs w:val="16"/>
        </w:rPr>
        <w:tab/>
      </w:r>
      <w:r>
        <w:rPr>
          <w:rFonts w:ascii="Verdana" w:hAnsi="Verdana"/>
          <w:sz w:val="16"/>
          <w:szCs w:val="16"/>
        </w:rPr>
        <w:t>En escrito presentado por los representantes el 10 de marzo de 2014, estos indicaron un enlace a la nota de prensa publicada en el Diario “</w:t>
      </w:r>
      <w:proofErr w:type="spellStart"/>
      <w:r>
        <w:rPr>
          <w:rFonts w:ascii="Verdana" w:hAnsi="Verdana"/>
          <w:sz w:val="16"/>
          <w:szCs w:val="16"/>
        </w:rPr>
        <w:t>Financial</w:t>
      </w:r>
      <w:proofErr w:type="spellEnd"/>
      <w:r>
        <w:rPr>
          <w:rFonts w:ascii="Verdana" w:hAnsi="Verdana"/>
          <w:sz w:val="16"/>
          <w:szCs w:val="16"/>
        </w:rPr>
        <w:t xml:space="preserve"> Post”, titulada “Expansión Minera </w:t>
      </w:r>
      <w:proofErr w:type="spellStart"/>
      <w:r>
        <w:rPr>
          <w:rFonts w:ascii="Verdana" w:hAnsi="Verdana"/>
          <w:sz w:val="16"/>
          <w:szCs w:val="16"/>
        </w:rPr>
        <w:t>Rosebel</w:t>
      </w:r>
      <w:proofErr w:type="spellEnd"/>
      <w:r>
        <w:rPr>
          <w:rFonts w:ascii="Verdana" w:hAnsi="Verdana"/>
          <w:sz w:val="16"/>
          <w:szCs w:val="16"/>
        </w:rPr>
        <w:t xml:space="preserve"> de </w:t>
      </w:r>
      <w:proofErr w:type="spellStart"/>
      <w:r>
        <w:rPr>
          <w:rFonts w:ascii="Verdana" w:hAnsi="Verdana"/>
          <w:sz w:val="16"/>
          <w:szCs w:val="16"/>
        </w:rPr>
        <w:t>Iamgold</w:t>
      </w:r>
      <w:proofErr w:type="spellEnd"/>
      <w:r>
        <w:rPr>
          <w:rFonts w:ascii="Verdana" w:hAnsi="Verdana"/>
          <w:sz w:val="16"/>
          <w:szCs w:val="16"/>
        </w:rPr>
        <w:t xml:space="preserve"> aprobada por Surinam” del 15 de abril de 2013, la cual indica que el CEO de IAMGOLD declaró que “el acceso a nuevas concesiones crea amplias oportunidades de agregar vida a la Mina de Oro </w:t>
      </w:r>
      <w:proofErr w:type="spellStart"/>
      <w:r>
        <w:rPr>
          <w:rFonts w:ascii="Verdana" w:hAnsi="Verdana"/>
          <w:sz w:val="16"/>
          <w:szCs w:val="16"/>
        </w:rPr>
        <w:t>Rosebel</w:t>
      </w:r>
      <w:proofErr w:type="spellEnd"/>
      <w:r>
        <w:rPr>
          <w:rFonts w:ascii="Verdana" w:hAnsi="Verdana"/>
          <w:sz w:val="16"/>
          <w:szCs w:val="16"/>
        </w:rPr>
        <w:t xml:space="preserve"> y encontrar minerales más suaves que pueda procesarse a un costo más bajo”; asimismo, la nota indicó que “el acuerdo es para la expansión de las operaciones y para cualquier cuestión en la nueva área [que] califique como tasa baja en energía”. La noticia se encuentra en el siguiente enlace: </w:t>
      </w:r>
      <w:hyperlink r:id="rId5" w:history="1">
        <w:r w:rsidRPr="00881A65">
          <w:rPr>
            <w:rStyle w:val="Hyperlink"/>
            <w:rFonts w:ascii="Verdana" w:hAnsi="Verdana"/>
            <w:sz w:val="16"/>
            <w:szCs w:val="16"/>
          </w:rPr>
          <w:t>http://business.financialpost.com/investing/iamgolds-rosebel-mine-expansion-approved-by-suriname</w:t>
        </w:r>
      </w:hyperlink>
      <w:r>
        <w:rPr>
          <w:rStyle w:val="Hyperlink"/>
          <w:rFonts w:ascii="Verdana" w:hAnsi="Verdana"/>
          <w:sz w:val="16"/>
          <w:szCs w:val="16"/>
        </w:rPr>
        <w:t>.</w:t>
      </w:r>
      <w:r>
        <w:rPr>
          <w:rFonts w:ascii="Verdana" w:hAnsi="Verdana"/>
          <w:sz w:val="16"/>
          <w:szCs w:val="16"/>
        </w:rPr>
        <w:t xml:space="preserve"> </w:t>
      </w:r>
    </w:p>
  </w:footnote>
  <w:footnote w:id="28">
    <w:p w14:paraId="29A5398E" w14:textId="77777777" w:rsidR="00A07E10" w:rsidRPr="00E01507" w:rsidRDefault="00A07E10" w:rsidP="00E01507">
      <w:pPr>
        <w:pStyle w:val="FootnoteText"/>
        <w:jc w:val="both"/>
        <w:rPr>
          <w:rFonts w:ascii="Verdana" w:hAnsi="Verdana"/>
          <w:sz w:val="16"/>
          <w:szCs w:val="16"/>
        </w:rPr>
      </w:pPr>
      <w:r w:rsidRPr="00E01507">
        <w:rPr>
          <w:rStyle w:val="FootnoteReference"/>
          <w:rFonts w:ascii="Verdana" w:hAnsi="Verdana"/>
          <w:sz w:val="16"/>
          <w:szCs w:val="16"/>
        </w:rPr>
        <w:footnoteRef/>
      </w:r>
      <w:r w:rsidRPr="00E01507">
        <w:rPr>
          <w:rFonts w:ascii="Verdana" w:hAnsi="Verdana"/>
          <w:sz w:val="16"/>
          <w:szCs w:val="16"/>
        </w:rPr>
        <w:t xml:space="preserve"> </w:t>
      </w:r>
      <w:r w:rsidRPr="00E01507">
        <w:rPr>
          <w:rFonts w:ascii="Verdana" w:hAnsi="Verdana"/>
          <w:sz w:val="16"/>
          <w:szCs w:val="16"/>
        </w:rPr>
        <w:tab/>
      </w:r>
      <w:r w:rsidRPr="00E01507">
        <w:rPr>
          <w:rFonts w:ascii="Verdana" w:hAnsi="Verdana"/>
          <w:i/>
          <w:sz w:val="16"/>
          <w:szCs w:val="16"/>
        </w:rPr>
        <w:t xml:space="preserve">Cfr. Caso del Pueblo </w:t>
      </w:r>
      <w:proofErr w:type="spellStart"/>
      <w:r w:rsidRPr="00E01507">
        <w:rPr>
          <w:rFonts w:ascii="Verdana" w:hAnsi="Verdana"/>
          <w:i/>
          <w:sz w:val="16"/>
          <w:szCs w:val="16"/>
        </w:rPr>
        <w:t>Saramaka</w:t>
      </w:r>
      <w:proofErr w:type="spellEnd"/>
      <w:r w:rsidRPr="00E01507">
        <w:rPr>
          <w:rFonts w:ascii="Verdana" w:hAnsi="Verdana"/>
          <w:i/>
          <w:sz w:val="16"/>
          <w:szCs w:val="16"/>
        </w:rPr>
        <w:t xml:space="preserve"> Vs. Surinam. Supervisión de Cumplimiento de Sentencia.</w:t>
      </w:r>
      <w:r w:rsidRPr="00E01507">
        <w:rPr>
          <w:rFonts w:ascii="Verdana" w:hAnsi="Verdana"/>
          <w:sz w:val="16"/>
          <w:szCs w:val="16"/>
        </w:rPr>
        <w:t xml:space="preserve"> Resolución de la Corte Interamericana de Derechos Humanos de 23 de noviembre de 2011, Considerando 19.</w:t>
      </w:r>
    </w:p>
  </w:footnote>
  <w:footnote w:id="29">
    <w:p w14:paraId="1C8DD209" w14:textId="06FF7056" w:rsidR="00A07E10" w:rsidRPr="00EF48AB" w:rsidRDefault="00A07E10" w:rsidP="00EF48AB">
      <w:pPr>
        <w:pStyle w:val="FootnoteText"/>
        <w:jc w:val="both"/>
        <w:rPr>
          <w:rFonts w:ascii="Verdana" w:hAnsi="Verdana"/>
          <w:sz w:val="16"/>
          <w:szCs w:val="16"/>
        </w:rPr>
      </w:pPr>
      <w:r w:rsidRPr="00EF48AB">
        <w:rPr>
          <w:rStyle w:val="FootnoteReference"/>
          <w:rFonts w:ascii="Verdana" w:hAnsi="Verdana"/>
          <w:sz w:val="16"/>
          <w:szCs w:val="16"/>
        </w:rPr>
        <w:footnoteRef/>
      </w:r>
      <w:r w:rsidRPr="00EF48AB">
        <w:rPr>
          <w:rFonts w:ascii="Verdana" w:hAnsi="Verdana"/>
          <w:sz w:val="16"/>
          <w:szCs w:val="16"/>
        </w:rPr>
        <w:t xml:space="preserve"> </w:t>
      </w:r>
      <w:r w:rsidRPr="00EF48AB">
        <w:rPr>
          <w:rFonts w:ascii="Verdana" w:hAnsi="Verdana"/>
          <w:sz w:val="16"/>
          <w:szCs w:val="16"/>
        </w:rPr>
        <w:tab/>
      </w:r>
      <w:r>
        <w:rPr>
          <w:rFonts w:ascii="Verdana" w:hAnsi="Verdana"/>
          <w:sz w:val="16"/>
          <w:szCs w:val="16"/>
        </w:rPr>
        <w:t>En la Resolución emitida por la Corte en el 2011, r</w:t>
      </w:r>
      <w:r w:rsidRPr="00EF48AB">
        <w:rPr>
          <w:rFonts w:ascii="Verdana" w:hAnsi="Verdana"/>
          <w:sz w:val="16"/>
          <w:szCs w:val="16"/>
        </w:rPr>
        <w:t>especto del punto resolutivo noveno, el Estado había indicado que la información para ese momento “no estaba disponible”. De los puntos resolutivos sexto, séptimo, octavo y décimo, el Estado únicamente informó que el proyecto “Apoyo al Desarrollo Sustentable del Interior” tenía como fin “proporcionar los elementos básicos para […] el marco legal [y] los derechos colectivos”, indicando posteriormente que “había ‘ofic</w:t>
      </w:r>
      <w:r>
        <w:rPr>
          <w:rFonts w:ascii="Verdana" w:hAnsi="Verdana"/>
          <w:sz w:val="16"/>
          <w:szCs w:val="16"/>
        </w:rPr>
        <w:t>i</w:t>
      </w:r>
      <w:r w:rsidRPr="00EF48AB">
        <w:rPr>
          <w:rFonts w:ascii="Verdana" w:hAnsi="Verdana"/>
          <w:sz w:val="16"/>
          <w:szCs w:val="16"/>
        </w:rPr>
        <w:t>almente detenido’ el proyecto el 15 de diciembre de 2010”</w:t>
      </w:r>
      <w:r>
        <w:rPr>
          <w:rFonts w:ascii="Verdana" w:hAnsi="Verdana"/>
          <w:sz w:val="16"/>
          <w:szCs w:val="16"/>
        </w:rPr>
        <w:t>.</w:t>
      </w:r>
    </w:p>
  </w:footnote>
  <w:footnote w:id="30">
    <w:p w14:paraId="775B724F" w14:textId="0D1342D4" w:rsidR="00A07E10" w:rsidRPr="00681938" w:rsidRDefault="00A07E10" w:rsidP="00681938">
      <w:pPr>
        <w:pStyle w:val="FootnoteText"/>
        <w:jc w:val="both"/>
        <w:rPr>
          <w:rFonts w:ascii="Verdana" w:hAnsi="Verdana"/>
          <w:sz w:val="16"/>
          <w:szCs w:val="16"/>
        </w:rPr>
      </w:pPr>
      <w:r w:rsidRPr="00681938">
        <w:rPr>
          <w:rStyle w:val="FootnoteReference"/>
          <w:rFonts w:ascii="Verdana" w:hAnsi="Verdana"/>
          <w:sz w:val="16"/>
          <w:szCs w:val="16"/>
        </w:rPr>
        <w:footnoteRef/>
      </w:r>
      <w:r w:rsidRPr="00681938">
        <w:rPr>
          <w:rFonts w:ascii="Verdana" w:hAnsi="Verdana"/>
          <w:sz w:val="16"/>
          <w:szCs w:val="16"/>
        </w:rPr>
        <w:t xml:space="preserve"> </w:t>
      </w:r>
      <w:r w:rsidRPr="00681938">
        <w:rPr>
          <w:rFonts w:ascii="Verdana" w:hAnsi="Verdana"/>
          <w:sz w:val="16"/>
          <w:szCs w:val="16"/>
        </w:rPr>
        <w:tab/>
      </w:r>
      <w:r w:rsidRPr="00681938">
        <w:rPr>
          <w:rFonts w:ascii="Verdana" w:hAnsi="Verdana"/>
          <w:i/>
          <w:sz w:val="16"/>
          <w:szCs w:val="16"/>
        </w:rPr>
        <w:t>Cfr.</w:t>
      </w:r>
      <w:r w:rsidRPr="00681938">
        <w:rPr>
          <w:rFonts w:ascii="Verdana" w:hAnsi="Verdana"/>
          <w:sz w:val="16"/>
          <w:szCs w:val="16"/>
        </w:rPr>
        <w:t xml:space="preserve"> Responsabilidad internacional por expedición y aplicación de leyes violatorias de la Convención (arts. 1 y 2 Convención Americana sobre Derechos Humanos). Opinión Consultiva OC-14/94 de 9 de diciembre de 1994. Serie A No. 14, párr. 35; y </w:t>
      </w:r>
      <w:r w:rsidRPr="00681938">
        <w:rPr>
          <w:rFonts w:ascii="Verdana" w:hAnsi="Verdana"/>
          <w:i/>
          <w:sz w:val="16"/>
          <w:szCs w:val="16"/>
        </w:rPr>
        <w:t xml:space="preserve">Caso López </w:t>
      </w:r>
      <w:proofErr w:type="spellStart"/>
      <w:r w:rsidRPr="00681938">
        <w:rPr>
          <w:rFonts w:ascii="Verdana" w:hAnsi="Verdana"/>
          <w:i/>
          <w:sz w:val="16"/>
          <w:szCs w:val="16"/>
        </w:rPr>
        <w:t>Lone</w:t>
      </w:r>
      <w:proofErr w:type="spellEnd"/>
      <w:r w:rsidRPr="00681938">
        <w:rPr>
          <w:rFonts w:ascii="Verdana" w:hAnsi="Verdana"/>
          <w:i/>
          <w:sz w:val="16"/>
          <w:szCs w:val="16"/>
        </w:rPr>
        <w:t xml:space="preserve"> y otros Vs. Honduras. Supervisión de Cumplimiento de Sentencia.</w:t>
      </w:r>
      <w:r w:rsidRPr="00681938">
        <w:rPr>
          <w:rFonts w:ascii="Verdana" w:hAnsi="Verdana"/>
          <w:sz w:val="16"/>
          <w:szCs w:val="16"/>
        </w:rPr>
        <w:t xml:space="preserve"> Resolución de la Corte Interamericana de Derechos Humanos de 25 de mayo de 2017, Considerando 15.</w:t>
      </w:r>
    </w:p>
  </w:footnote>
  <w:footnote w:id="31">
    <w:p w14:paraId="0505D269" w14:textId="55B8610A" w:rsidR="00A07E10" w:rsidRPr="000E3711" w:rsidRDefault="00A07E10" w:rsidP="000E3711">
      <w:pPr>
        <w:pStyle w:val="BodyText2"/>
        <w:tabs>
          <w:tab w:val="left" w:pos="0"/>
          <w:tab w:val="left" w:pos="426"/>
        </w:tabs>
        <w:spacing w:after="0" w:line="240" w:lineRule="auto"/>
        <w:jc w:val="both"/>
        <w:rPr>
          <w:rFonts w:ascii="Verdana" w:hAnsi="Verdana"/>
          <w:sz w:val="16"/>
          <w:szCs w:val="16"/>
        </w:rPr>
      </w:pPr>
      <w:r w:rsidRPr="00B102D0">
        <w:rPr>
          <w:rStyle w:val="FootnoteReference"/>
          <w:rFonts w:ascii="Verdana" w:hAnsi="Verdana"/>
          <w:sz w:val="16"/>
          <w:szCs w:val="16"/>
        </w:rPr>
        <w:footnoteRef/>
      </w:r>
      <w:r w:rsidRPr="00B102D0">
        <w:rPr>
          <w:rFonts w:ascii="Verdana" w:hAnsi="Verdana"/>
          <w:sz w:val="16"/>
          <w:szCs w:val="16"/>
        </w:rPr>
        <w:tab/>
      </w:r>
      <w:r w:rsidRPr="00B102D0">
        <w:rPr>
          <w:rFonts w:ascii="Verdana" w:hAnsi="Verdana"/>
          <w:i/>
          <w:sz w:val="16"/>
          <w:szCs w:val="16"/>
          <w:lang w:val="es-CR"/>
        </w:rPr>
        <w:t xml:space="preserve">Cfr. </w:t>
      </w:r>
      <w:r w:rsidRPr="00B102D0">
        <w:rPr>
          <w:rFonts w:ascii="Verdana" w:hAnsi="Verdana"/>
          <w:i/>
          <w:sz w:val="16"/>
          <w:szCs w:val="16"/>
        </w:rPr>
        <w:t xml:space="preserve">Caso </w:t>
      </w:r>
      <w:proofErr w:type="spellStart"/>
      <w:r w:rsidRPr="00B102D0">
        <w:rPr>
          <w:rFonts w:ascii="Verdana" w:hAnsi="Verdana"/>
          <w:i/>
          <w:sz w:val="16"/>
          <w:szCs w:val="16"/>
        </w:rPr>
        <w:t>Ivcher</w:t>
      </w:r>
      <w:proofErr w:type="spellEnd"/>
      <w:r w:rsidRPr="00B102D0">
        <w:rPr>
          <w:rFonts w:ascii="Verdana" w:hAnsi="Verdana"/>
          <w:i/>
          <w:sz w:val="16"/>
          <w:szCs w:val="16"/>
        </w:rPr>
        <w:t xml:space="preserve"> </w:t>
      </w:r>
      <w:proofErr w:type="spellStart"/>
      <w:r w:rsidRPr="00B102D0">
        <w:rPr>
          <w:rFonts w:ascii="Verdana" w:hAnsi="Verdana"/>
          <w:i/>
          <w:sz w:val="16"/>
          <w:szCs w:val="16"/>
        </w:rPr>
        <w:t>Bronstein</w:t>
      </w:r>
      <w:proofErr w:type="spellEnd"/>
      <w:r w:rsidRPr="00B102D0">
        <w:rPr>
          <w:rFonts w:ascii="Verdana" w:hAnsi="Verdana"/>
          <w:i/>
          <w:sz w:val="16"/>
          <w:szCs w:val="16"/>
        </w:rPr>
        <w:t xml:space="preserve"> Vs. Perú. Competencia.</w:t>
      </w:r>
      <w:r w:rsidRPr="00B102D0">
        <w:rPr>
          <w:rFonts w:ascii="Verdana" w:hAnsi="Verdana"/>
          <w:sz w:val="16"/>
          <w:szCs w:val="16"/>
        </w:rPr>
        <w:t xml:space="preserve"> Sentencia de 24 de septiembre de 1999. Serie C No. 54, párr. 37,  y</w:t>
      </w:r>
      <w:r w:rsidRPr="00B102D0">
        <w:rPr>
          <w:rFonts w:ascii="Verdana" w:hAnsi="Verdana"/>
          <w:i/>
          <w:sz w:val="16"/>
          <w:szCs w:val="16"/>
          <w:lang w:val="es-CR"/>
        </w:rPr>
        <w:t xml:space="preserve"> </w:t>
      </w:r>
      <w:r w:rsidRPr="000E3711">
        <w:rPr>
          <w:rFonts w:ascii="Verdana" w:hAnsi="Verdana"/>
          <w:i/>
          <w:sz w:val="16"/>
          <w:szCs w:val="16"/>
          <w:lang w:val="es-CR"/>
        </w:rPr>
        <w:t xml:space="preserve">Caso </w:t>
      </w:r>
      <w:proofErr w:type="spellStart"/>
      <w:r w:rsidRPr="000E3711">
        <w:rPr>
          <w:rFonts w:ascii="Verdana" w:hAnsi="Verdana"/>
          <w:i/>
          <w:sz w:val="16"/>
          <w:szCs w:val="16"/>
          <w:lang w:val="es-CR"/>
        </w:rPr>
        <w:t>Fontevecchia</w:t>
      </w:r>
      <w:proofErr w:type="spellEnd"/>
      <w:r w:rsidRPr="000E3711">
        <w:rPr>
          <w:rFonts w:ascii="Verdana" w:hAnsi="Verdana"/>
          <w:i/>
          <w:sz w:val="16"/>
          <w:szCs w:val="16"/>
          <w:lang w:val="es-CR"/>
        </w:rPr>
        <w:t xml:space="preserve"> y </w:t>
      </w:r>
      <w:proofErr w:type="spellStart"/>
      <w:r w:rsidRPr="000E3711">
        <w:rPr>
          <w:rFonts w:ascii="Verdana" w:hAnsi="Verdana"/>
          <w:i/>
          <w:sz w:val="16"/>
          <w:szCs w:val="16"/>
          <w:lang w:val="es-CR"/>
        </w:rPr>
        <w:t>D’Amico</w:t>
      </w:r>
      <w:proofErr w:type="spellEnd"/>
      <w:r w:rsidRPr="000E3711">
        <w:rPr>
          <w:rFonts w:ascii="Verdana" w:hAnsi="Verdana"/>
          <w:i/>
          <w:sz w:val="16"/>
          <w:szCs w:val="16"/>
          <w:lang w:val="es-CR"/>
        </w:rPr>
        <w:t xml:space="preserve"> Vs. Argentina. Supervisión de Cumplimiento de Sentencia. </w:t>
      </w:r>
      <w:r w:rsidRPr="000E3711">
        <w:rPr>
          <w:rFonts w:ascii="Verdana" w:hAnsi="Verdana"/>
          <w:sz w:val="16"/>
          <w:szCs w:val="16"/>
          <w:lang w:val="es-CR"/>
        </w:rPr>
        <w:t>Resolución de la Corte Interamericana de Derechos Humanos de 18 de octubre de 2017</w:t>
      </w:r>
      <w:r>
        <w:rPr>
          <w:rFonts w:ascii="Verdana" w:hAnsi="Verdana"/>
          <w:sz w:val="16"/>
          <w:szCs w:val="16"/>
          <w:lang w:val="es-CR"/>
        </w:rPr>
        <w:t>, Considerando 14.</w:t>
      </w:r>
    </w:p>
  </w:footnote>
  <w:footnote w:id="32">
    <w:p w14:paraId="29E51908" w14:textId="0CCEDB31" w:rsidR="00A07E10" w:rsidRPr="00062C6D" w:rsidRDefault="00A07E10" w:rsidP="007F00CD">
      <w:pPr>
        <w:pStyle w:val="FootnoteText"/>
        <w:jc w:val="both"/>
        <w:rPr>
          <w:rFonts w:ascii="Verdana" w:hAnsi="Verdana"/>
          <w:sz w:val="16"/>
          <w:szCs w:val="16"/>
          <w:lang w:val="es-CR"/>
        </w:rPr>
      </w:pPr>
      <w:r w:rsidRPr="000E3711">
        <w:rPr>
          <w:rStyle w:val="FootnoteReference"/>
          <w:rFonts w:ascii="Verdana" w:hAnsi="Verdana"/>
          <w:sz w:val="16"/>
          <w:szCs w:val="16"/>
        </w:rPr>
        <w:footnoteRef/>
      </w:r>
      <w:r w:rsidRPr="000E3711">
        <w:rPr>
          <w:rFonts w:ascii="Verdana" w:hAnsi="Verdana"/>
          <w:sz w:val="16"/>
          <w:szCs w:val="16"/>
        </w:rPr>
        <w:t xml:space="preserve"> </w:t>
      </w:r>
      <w:r w:rsidRPr="00062C6D">
        <w:rPr>
          <w:rFonts w:ascii="Verdana" w:hAnsi="Verdana"/>
          <w:sz w:val="16"/>
          <w:szCs w:val="16"/>
          <w:lang w:val="es-CR"/>
        </w:rPr>
        <w:tab/>
      </w:r>
      <w:r w:rsidRPr="000E3711">
        <w:rPr>
          <w:rFonts w:ascii="Verdana" w:hAnsi="Verdana"/>
          <w:i/>
          <w:sz w:val="16"/>
          <w:szCs w:val="16"/>
          <w:lang w:val="es-CR"/>
        </w:rPr>
        <w:t xml:space="preserve">Cfr. Caso </w:t>
      </w:r>
      <w:proofErr w:type="spellStart"/>
      <w:r w:rsidRPr="000E3711">
        <w:rPr>
          <w:rFonts w:ascii="Verdana" w:hAnsi="Verdana"/>
          <w:i/>
          <w:sz w:val="16"/>
          <w:szCs w:val="16"/>
          <w:lang w:val="es-CR"/>
        </w:rPr>
        <w:t>Fontevecchia</w:t>
      </w:r>
      <w:proofErr w:type="spellEnd"/>
      <w:r w:rsidRPr="000E3711">
        <w:rPr>
          <w:rFonts w:ascii="Verdana" w:hAnsi="Verdana"/>
          <w:i/>
          <w:sz w:val="16"/>
          <w:szCs w:val="16"/>
          <w:lang w:val="es-CR"/>
        </w:rPr>
        <w:t xml:space="preserve"> y </w:t>
      </w:r>
      <w:proofErr w:type="spellStart"/>
      <w:r w:rsidRPr="000E3711">
        <w:rPr>
          <w:rFonts w:ascii="Verdana" w:hAnsi="Verdana"/>
          <w:i/>
          <w:sz w:val="16"/>
          <w:szCs w:val="16"/>
          <w:lang w:val="es-CR"/>
        </w:rPr>
        <w:t>D’Amico</w:t>
      </w:r>
      <w:proofErr w:type="spellEnd"/>
      <w:r w:rsidRPr="000E3711">
        <w:rPr>
          <w:rFonts w:ascii="Verdana" w:hAnsi="Verdana"/>
          <w:i/>
          <w:sz w:val="16"/>
          <w:szCs w:val="16"/>
          <w:lang w:val="es-CR"/>
        </w:rPr>
        <w:t xml:space="preserve"> Vs. Argentina</w:t>
      </w:r>
      <w:r>
        <w:rPr>
          <w:rFonts w:ascii="Verdana" w:hAnsi="Verdana"/>
          <w:i/>
          <w:sz w:val="16"/>
          <w:szCs w:val="16"/>
          <w:lang w:val="es-CR"/>
        </w:rPr>
        <w:t>,</w:t>
      </w:r>
      <w:r w:rsidRPr="000E3711">
        <w:rPr>
          <w:rFonts w:ascii="Verdana" w:hAnsi="Verdana"/>
          <w:i/>
          <w:sz w:val="16"/>
          <w:szCs w:val="16"/>
          <w:lang w:val="es-CR"/>
        </w:rPr>
        <w:t xml:space="preserve"> </w:t>
      </w:r>
      <w:r>
        <w:rPr>
          <w:rFonts w:ascii="Verdana" w:hAnsi="Verdana"/>
          <w:i/>
          <w:sz w:val="16"/>
          <w:szCs w:val="16"/>
          <w:lang w:val="es-CR"/>
        </w:rPr>
        <w:t xml:space="preserve">supra </w:t>
      </w:r>
      <w:r>
        <w:rPr>
          <w:rFonts w:ascii="Verdana" w:hAnsi="Verdana"/>
          <w:sz w:val="16"/>
          <w:szCs w:val="16"/>
          <w:lang w:val="es-CR"/>
        </w:rPr>
        <w:t>nota 31</w:t>
      </w:r>
      <w:r w:rsidRPr="000E3711">
        <w:rPr>
          <w:rFonts w:ascii="Verdana" w:hAnsi="Verdana"/>
          <w:sz w:val="16"/>
          <w:szCs w:val="16"/>
          <w:lang w:val="es-CR"/>
        </w:rPr>
        <w:t>, Considerando 14.</w:t>
      </w:r>
    </w:p>
  </w:footnote>
  <w:footnote w:id="33">
    <w:p w14:paraId="676078BC" w14:textId="1681E2D0" w:rsidR="00A07E10" w:rsidRPr="00515461" w:rsidRDefault="00A07E10" w:rsidP="00515461">
      <w:pPr>
        <w:pStyle w:val="FootnoteText"/>
        <w:jc w:val="both"/>
        <w:rPr>
          <w:rFonts w:ascii="Verdana" w:hAnsi="Verdana"/>
          <w:sz w:val="16"/>
          <w:szCs w:val="16"/>
        </w:rPr>
      </w:pPr>
      <w:r w:rsidRPr="00515461">
        <w:rPr>
          <w:rStyle w:val="FootnoteReference"/>
          <w:rFonts w:ascii="Verdana" w:hAnsi="Verdana"/>
          <w:sz w:val="16"/>
          <w:szCs w:val="16"/>
        </w:rPr>
        <w:footnoteRef/>
      </w:r>
      <w:r w:rsidRPr="00515461">
        <w:rPr>
          <w:rFonts w:ascii="Verdana" w:hAnsi="Verdana"/>
          <w:sz w:val="16"/>
          <w:szCs w:val="16"/>
        </w:rPr>
        <w:t xml:space="preserve"> </w:t>
      </w:r>
      <w:r w:rsidRPr="00515461">
        <w:rPr>
          <w:rFonts w:ascii="Verdana" w:hAnsi="Verdana"/>
          <w:sz w:val="16"/>
          <w:szCs w:val="16"/>
        </w:rPr>
        <w:tab/>
        <w:t xml:space="preserve">Según el Estado, dicha crisis tiene como origen el “fallecimiento del Jefe Supremo del Pueblo </w:t>
      </w:r>
      <w:proofErr w:type="spellStart"/>
      <w:r w:rsidRPr="00515461">
        <w:rPr>
          <w:rFonts w:ascii="Verdana" w:hAnsi="Verdana"/>
          <w:sz w:val="16"/>
          <w:szCs w:val="16"/>
        </w:rPr>
        <w:t>Saramaka</w:t>
      </w:r>
      <w:proofErr w:type="spellEnd"/>
      <w:r w:rsidRPr="00515461">
        <w:rPr>
          <w:rFonts w:ascii="Verdana" w:hAnsi="Verdana"/>
          <w:sz w:val="16"/>
          <w:szCs w:val="16"/>
        </w:rPr>
        <w:t xml:space="preserve"> […</w:t>
      </w:r>
      <w:r>
        <w:rPr>
          <w:rFonts w:ascii="Verdana" w:hAnsi="Verdana"/>
          <w:sz w:val="16"/>
          <w:szCs w:val="16"/>
        </w:rPr>
        <w:t>, lo que</w:t>
      </w:r>
      <w:r w:rsidRPr="00515461">
        <w:rPr>
          <w:rFonts w:ascii="Verdana" w:hAnsi="Verdana"/>
          <w:sz w:val="16"/>
          <w:szCs w:val="16"/>
        </w:rPr>
        <w:t>] ha conllevado a que cada una de las 12 tribus tengan su propia opinión con respecto a la sucesión del nuevo líder de la tribu”</w:t>
      </w:r>
      <w:r>
        <w:rPr>
          <w:rFonts w:ascii="Verdana" w:hAnsi="Verdana"/>
          <w:sz w:val="16"/>
          <w:szCs w:val="16"/>
        </w:rPr>
        <w:t>.</w:t>
      </w:r>
    </w:p>
  </w:footnote>
  <w:footnote w:id="34">
    <w:p w14:paraId="388135DF" w14:textId="18F72340" w:rsidR="00D9597C" w:rsidRPr="00836182" w:rsidRDefault="00D9597C" w:rsidP="00D9597C">
      <w:pPr>
        <w:pStyle w:val="FootnoteText"/>
        <w:jc w:val="both"/>
        <w:rPr>
          <w:rFonts w:ascii="Verdana" w:hAnsi="Verdana"/>
          <w:b/>
          <w:sz w:val="16"/>
          <w:szCs w:val="16"/>
          <w:lang w:val="es-CR"/>
        </w:rPr>
      </w:pPr>
      <w:r w:rsidRPr="00D9597C">
        <w:rPr>
          <w:rStyle w:val="FootnoteReference"/>
          <w:rFonts w:ascii="Verdana" w:hAnsi="Verdana"/>
          <w:sz w:val="16"/>
          <w:szCs w:val="16"/>
        </w:rPr>
        <w:footnoteRef/>
      </w:r>
      <w:r w:rsidRPr="00D9597C">
        <w:rPr>
          <w:rFonts w:ascii="Verdana" w:hAnsi="Verdana"/>
          <w:sz w:val="16"/>
          <w:szCs w:val="16"/>
        </w:rPr>
        <w:t xml:space="preserve"> </w:t>
      </w:r>
      <w:r w:rsidRPr="00D9597C">
        <w:rPr>
          <w:rFonts w:ascii="Verdana" w:hAnsi="Verdana"/>
          <w:sz w:val="16"/>
          <w:szCs w:val="16"/>
        </w:rPr>
        <w:tab/>
      </w:r>
      <w:r w:rsidRPr="00D9597C">
        <w:rPr>
          <w:rFonts w:ascii="Verdana" w:hAnsi="Verdana"/>
          <w:sz w:val="16"/>
          <w:szCs w:val="16"/>
          <w:lang w:val="es-CR"/>
        </w:rPr>
        <w:t xml:space="preserve">El Estado aportó como anexo a dicho informe la copia de una carta dirigida al Presidente de Surinam de 24 de junio de 2013, supuestamente suscrita por representantes de 18 clanes del Pueblo </w:t>
      </w:r>
      <w:proofErr w:type="spellStart"/>
      <w:r w:rsidRPr="00D9597C">
        <w:rPr>
          <w:rFonts w:ascii="Verdana" w:hAnsi="Verdana"/>
          <w:sz w:val="16"/>
          <w:szCs w:val="16"/>
          <w:lang w:val="es-CR"/>
        </w:rPr>
        <w:t>Saramaka</w:t>
      </w:r>
      <w:proofErr w:type="spellEnd"/>
      <w:r w:rsidRPr="00D9597C">
        <w:rPr>
          <w:rFonts w:ascii="Verdana" w:hAnsi="Verdana"/>
          <w:sz w:val="16"/>
          <w:szCs w:val="16"/>
          <w:lang w:val="es-CR"/>
        </w:rPr>
        <w:t xml:space="preserve">. Sin embargo la misma no contiene sus firmas. En ella se afirma, </w:t>
      </w:r>
      <w:r w:rsidRPr="00D9597C">
        <w:rPr>
          <w:rFonts w:ascii="Verdana" w:hAnsi="Verdana"/>
          <w:i/>
          <w:sz w:val="16"/>
          <w:szCs w:val="16"/>
          <w:lang w:val="es-CR"/>
        </w:rPr>
        <w:t xml:space="preserve">inter </w:t>
      </w:r>
      <w:proofErr w:type="spellStart"/>
      <w:r w:rsidRPr="00D9597C">
        <w:rPr>
          <w:rFonts w:ascii="Verdana" w:hAnsi="Verdana"/>
          <w:i/>
          <w:sz w:val="16"/>
          <w:szCs w:val="16"/>
          <w:lang w:val="es-CR"/>
        </w:rPr>
        <w:t>alia</w:t>
      </w:r>
      <w:proofErr w:type="spellEnd"/>
      <w:r w:rsidRPr="00D9597C">
        <w:rPr>
          <w:rFonts w:ascii="Verdana" w:hAnsi="Verdana"/>
          <w:sz w:val="16"/>
          <w:szCs w:val="16"/>
          <w:lang w:val="es-CR"/>
        </w:rPr>
        <w:t xml:space="preserve">, que “al tratar de encontrar solución al conflicto de derechos de la propiedad en general y la implementación de la Sentencia </w:t>
      </w:r>
      <w:proofErr w:type="spellStart"/>
      <w:r w:rsidRPr="00D9597C">
        <w:rPr>
          <w:rFonts w:ascii="Verdana" w:hAnsi="Verdana"/>
          <w:sz w:val="16"/>
          <w:szCs w:val="16"/>
          <w:lang w:val="es-CR"/>
        </w:rPr>
        <w:t>Saramaka</w:t>
      </w:r>
      <w:proofErr w:type="spellEnd"/>
      <w:r w:rsidRPr="00D9597C">
        <w:rPr>
          <w:rFonts w:ascii="Verdana" w:hAnsi="Verdana"/>
          <w:sz w:val="16"/>
          <w:szCs w:val="16"/>
          <w:lang w:val="es-CR"/>
        </w:rPr>
        <w:t xml:space="preserve"> en particular, es llamativo que no todos los clanes matrilineales </w:t>
      </w:r>
      <w:proofErr w:type="spellStart"/>
      <w:r w:rsidRPr="00D9597C">
        <w:rPr>
          <w:rFonts w:ascii="Verdana" w:hAnsi="Verdana"/>
          <w:sz w:val="16"/>
          <w:szCs w:val="16"/>
          <w:lang w:val="es-CR"/>
        </w:rPr>
        <w:t>Saramakas</w:t>
      </w:r>
      <w:proofErr w:type="spellEnd"/>
      <w:r w:rsidRPr="00D9597C">
        <w:rPr>
          <w:rFonts w:ascii="Verdana" w:hAnsi="Verdana"/>
          <w:sz w:val="16"/>
          <w:szCs w:val="16"/>
          <w:lang w:val="es-CR"/>
        </w:rPr>
        <w:t xml:space="preserve"> han sido consultados de manera aceptable. Esto ha ocasionado irritación en los distintos grupos y un estancamiento en el progreso del proceso”. En virtud de lo anterior, solicitaron a las autoridades en Surinam “realizar todos los esfuerzos para asegurar que todos los clanes matrilineales </w:t>
      </w:r>
      <w:proofErr w:type="spellStart"/>
      <w:r w:rsidRPr="00D9597C">
        <w:rPr>
          <w:rFonts w:ascii="Verdana" w:hAnsi="Verdana"/>
          <w:sz w:val="16"/>
          <w:szCs w:val="16"/>
          <w:lang w:val="es-CR"/>
        </w:rPr>
        <w:t>Saramakas</w:t>
      </w:r>
      <w:proofErr w:type="spellEnd"/>
      <w:r w:rsidRPr="00D9597C">
        <w:rPr>
          <w:rFonts w:ascii="Verdana" w:hAnsi="Verdana"/>
          <w:sz w:val="16"/>
          <w:szCs w:val="16"/>
          <w:lang w:val="es-CR"/>
        </w:rPr>
        <w:t xml:space="preserve"> puedan participar de manera proporcional en el proceso para arribar a una solución aceptable en el conflicto del derecho de propiedad […]”. </w:t>
      </w:r>
    </w:p>
  </w:footnote>
  <w:footnote w:id="35">
    <w:p w14:paraId="7D867B9D" w14:textId="0D8E1CF3" w:rsidR="00A07E10" w:rsidRPr="00E01507" w:rsidRDefault="00A07E10" w:rsidP="002A660F">
      <w:pPr>
        <w:pStyle w:val="FootnoteText"/>
        <w:jc w:val="both"/>
        <w:rPr>
          <w:rFonts w:ascii="Verdana" w:hAnsi="Verdana"/>
          <w:b/>
          <w:sz w:val="16"/>
          <w:szCs w:val="16"/>
        </w:rPr>
      </w:pPr>
      <w:r w:rsidRPr="00EF36C6">
        <w:rPr>
          <w:rStyle w:val="FootnoteReference"/>
          <w:rFonts w:ascii="Verdana" w:hAnsi="Verdana"/>
          <w:sz w:val="16"/>
          <w:szCs w:val="16"/>
        </w:rPr>
        <w:footnoteRef/>
      </w:r>
      <w:r w:rsidRPr="00EF36C6">
        <w:rPr>
          <w:rFonts w:ascii="Verdana" w:hAnsi="Verdana"/>
          <w:sz w:val="16"/>
          <w:szCs w:val="16"/>
        </w:rPr>
        <w:t xml:space="preserve"> </w:t>
      </w:r>
      <w:r w:rsidRPr="00EF36C6">
        <w:rPr>
          <w:rFonts w:ascii="Verdana" w:hAnsi="Verdana"/>
          <w:sz w:val="16"/>
          <w:szCs w:val="16"/>
        </w:rPr>
        <w:tab/>
      </w:r>
      <w:r w:rsidRPr="00EF36C6">
        <w:rPr>
          <w:rFonts w:ascii="Verdana" w:hAnsi="Verdana"/>
          <w:sz w:val="16"/>
          <w:szCs w:val="16"/>
          <w:lang w:val="es-CR"/>
        </w:rPr>
        <w:t>El Estado proporcionó el documento mediante el cual el Ministro de Desarrollo Regional extendió el plazo de la Comisión creada en el tema de la “</w:t>
      </w:r>
      <w:r w:rsidRPr="00EF36C6">
        <w:rPr>
          <w:rFonts w:ascii="Verdana" w:hAnsi="Verdana"/>
          <w:sz w:val="16"/>
          <w:szCs w:val="16"/>
        </w:rPr>
        <w:t xml:space="preserve">Mediación del conflicto por la sucesión de las Autoridades Tradicionales </w:t>
      </w:r>
      <w:proofErr w:type="spellStart"/>
      <w:r w:rsidRPr="00EF36C6">
        <w:rPr>
          <w:rFonts w:ascii="Verdana" w:hAnsi="Verdana"/>
          <w:sz w:val="16"/>
          <w:szCs w:val="16"/>
        </w:rPr>
        <w:t>Saramaka</w:t>
      </w:r>
      <w:proofErr w:type="spellEnd"/>
      <w:r w:rsidRPr="00EF36C6">
        <w:rPr>
          <w:rFonts w:ascii="Verdana" w:hAnsi="Verdana"/>
          <w:sz w:val="16"/>
          <w:szCs w:val="16"/>
        </w:rPr>
        <w:t>”.</w:t>
      </w:r>
      <w:r>
        <w:rPr>
          <w:rFonts w:ascii="Verdana" w:hAnsi="Verdana"/>
          <w:sz w:val="16"/>
          <w:szCs w:val="16"/>
        </w:rPr>
        <w:t xml:space="preserve"> </w:t>
      </w:r>
      <w:r>
        <w:rPr>
          <w:rFonts w:ascii="Verdana" w:hAnsi="Verdana"/>
          <w:i/>
          <w:sz w:val="16"/>
          <w:szCs w:val="16"/>
        </w:rPr>
        <w:t xml:space="preserve">Cfr. </w:t>
      </w:r>
      <w:r>
        <w:rPr>
          <w:rFonts w:ascii="Verdana" w:hAnsi="Verdana"/>
          <w:sz w:val="16"/>
          <w:szCs w:val="16"/>
        </w:rPr>
        <w:t>Resolución del Ministerio de Desarrollo Regional No. 2951 de 18 de febrero de 2015 (</w:t>
      </w:r>
      <w:r>
        <w:rPr>
          <w:rFonts w:ascii="Verdana" w:hAnsi="Verdana"/>
          <w:i/>
          <w:sz w:val="16"/>
          <w:szCs w:val="16"/>
        </w:rPr>
        <w:t>Anexo al informe  presentado por el Estado el 27 de abril de 2015</w:t>
      </w:r>
      <w:r>
        <w:rPr>
          <w:rFonts w:ascii="Verdana" w:hAnsi="Verdana"/>
          <w:sz w:val="16"/>
          <w:szCs w:val="16"/>
        </w:rPr>
        <w:t xml:space="preserve">). </w:t>
      </w:r>
    </w:p>
  </w:footnote>
  <w:footnote w:id="36">
    <w:p w14:paraId="2B412CCC" w14:textId="1FE46EE9" w:rsidR="00A07E10" w:rsidRPr="00E01507" w:rsidRDefault="00A07E10" w:rsidP="00E01507">
      <w:pPr>
        <w:pStyle w:val="FootnoteText"/>
        <w:jc w:val="both"/>
        <w:rPr>
          <w:rFonts w:ascii="Verdana" w:hAnsi="Verdana"/>
          <w:sz w:val="16"/>
          <w:szCs w:val="16"/>
          <w:lang w:val="es-CR"/>
        </w:rPr>
      </w:pPr>
      <w:r w:rsidRPr="00D9597C">
        <w:rPr>
          <w:rStyle w:val="FootnoteReference"/>
          <w:rFonts w:ascii="Verdana" w:hAnsi="Verdana"/>
          <w:sz w:val="16"/>
          <w:szCs w:val="16"/>
        </w:rPr>
        <w:footnoteRef/>
      </w:r>
      <w:r w:rsidRPr="00D9597C">
        <w:rPr>
          <w:rFonts w:ascii="Verdana" w:hAnsi="Verdana"/>
          <w:sz w:val="16"/>
          <w:szCs w:val="16"/>
        </w:rPr>
        <w:t xml:space="preserve"> </w:t>
      </w:r>
      <w:r w:rsidRPr="00D9597C">
        <w:rPr>
          <w:rFonts w:ascii="Verdana" w:hAnsi="Verdana"/>
          <w:sz w:val="16"/>
          <w:szCs w:val="16"/>
          <w:lang w:val="es-CR"/>
        </w:rPr>
        <w:tab/>
        <w:t xml:space="preserve">Indican que representarían aproximadamente el 80%. </w:t>
      </w:r>
      <w:r w:rsidRPr="00D9597C">
        <w:rPr>
          <w:rFonts w:ascii="Verdana" w:hAnsi="Verdana"/>
          <w:i/>
          <w:sz w:val="16"/>
          <w:szCs w:val="16"/>
        </w:rPr>
        <w:t xml:space="preserve">Cfr. </w:t>
      </w:r>
      <w:r w:rsidRPr="00D9597C">
        <w:rPr>
          <w:rFonts w:ascii="Verdana" w:hAnsi="Verdana"/>
          <w:sz w:val="16"/>
          <w:szCs w:val="16"/>
        </w:rPr>
        <w:t xml:space="preserve">Documento presentado por varias autoridades del Pueblo de </w:t>
      </w:r>
      <w:proofErr w:type="spellStart"/>
      <w:r w:rsidRPr="00D9597C">
        <w:rPr>
          <w:rFonts w:ascii="Verdana" w:hAnsi="Verdana"/>
          <w:sz w:val="16"/>
          <w:szCs w:val="16"/>
        </w:rPr>
        <w:t>Saramaka</w:t>
      </w:r>
      <w:proofErr w:type="spellEnd"/>
      <w:r w:rsidRPr="00D9597C">
        <w:rPr>
          <w:rFonts w:ascii="Verdana" w:hAnsi="Verdana"/>
          <w:sz w:val="16"/>
          <w:szCs w:val="16"/>
        </w:rPr>
        <w:t xml:space="preserve"> en julio de 2013 (</w:t>
      </w:r>
      <w:r w:rsidRPr="00D9597C">
        <w:rPr>
          <w:rFonts w:ascii="Verdana" w:hAnsi="Verdana"/>
          <w:i/>
          <w:sz w:val="16"/>
          <w:szCs w:val="16"/>
        </w:rPr>
        <w:t>Anexo al escrito de observaciones presentado por los representantes el 5 de agosto de 2013</w:t>
      </w:r>
      <w:r w:rsidRPr="00D9597C">
        <w:rPr>
          <w:rFonts w:ascii="Verdana" w:hAnsi="Verdana"/>
          <w:sz w:val="16"/>
          <w:szCs w:val="16"/>
        </w:rPr>
        <w:t>).</w:t>
      </w:r>
    </w:p>
  </w:footnote>
  <w:footnote w:id="37">
    <w:p w14:paraId="7E606433" w14:textId="77777777" w:rsidR="00A07E10" w:rsidRDefault="00A07E10" w:rsidP="00E54903">
      <w:pPr>
        <w:pStyle w:val="FootnoteText"/>
        <w:tabs>
          <w:tab w:val="left" w:pos="611"/>
        </w:tabs>
        <w:jc w:val="both"/>
        <w:rPr>
          <w:rFonts w:ascii="Verdana" w:hAnsi="Verdana"/>
          <w:sz w:val="16"/>
          <w:szCs w:val="16"/>
        </w:rPr>
      </w:pPr>
      <w:r>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Caso </w:t>
      </w:r>
      <w:proofErr w:type="spellStart"/>
      <w:r>
        <w:rPr>
          <w:rFonts w:ascii="Verdana" w:hAnsi="Verdana"/>
          <w:i/>
          <w:sz w:val="16"/>
          <w:szCs w:val="16"/>
        </w:rPr>
        <w:t>Caesar</w:t>
      </w:r>
      <w:proofErr w:type="spellEnd"/>
      <w:r>
        <w:rPr>
          <w:rFonts w:ascii="Verdana" w:hAnsi="Verdana"/>
          <w:i/>
          <w:sz w:val="16"/>
          <w:szCs w:val="16"/>
        </w:rPr>
        <w:t xml:space="preserve"> Vs. Trinidad y Tobago. Fondo, Reparaciones y Costas.</w:t>
      </w:r>
      <w:r>
        <w:rPr>
          <w:rFonts w:ascii="Verdana" w:hAnsi="Verdana"/>
          <w:sz w:val="16"/>
          <w:szCs w:val="16"/>
        </w:rPr>
        <w:t xml:space="preserve"> Sentencia de 11 de marzo de 2005. Serie C No. 123, párr. 38, y</w:t>
      </w:r>
      <w:r>
        <w:rPr>
          <w:rFonts w:ascii="Verdana" w:hAnsi="Verdana"/>
          <w:b/>
          <w:sz w:val="16"/>
          <w:szCs w:val="16"/>
        </w:rPr>
        <w:t xml:space="preserve"> </w:t>
      </w:r>
      <w:r w:rsidRPr="0065187C">
        <w:rPr>
          <w:rStyle w:val="Strong"/>
          <w:rFonts w:ascii="Verdana" w:hAnsi="Verdana"/>
          <w:b w:val="0"/>
          <w:i/>
          <w:sz w:val="16"/>
          <w:szCs w:val="16"/>
        </w:rPr>
        <w:t>Caso Familia Barrios Vs. Venezuela</w:t>
      </w:r>
      <w:r w:rsidRPr="0065187C">
        <w:rPr>
          <w:rStyle w:val="Strong"/>
          <w:rFonts w:ascii="Verdana" w:hAnsi="Verdana"/>
          <w:b w:val="0"/>
          <w:sz w:val="16"/>
          <w:szCs w:val="16"/>
        </w:rPr>
        <w:t>. Supervisión de Cumplimiento de Sentencia.</w:t>
      </w:r>
      <w:r w:rsidRPr="0065187C">
        <w:rPr>
          <w:rStyle w:val="Strong"/>
          <w:rFonts w:ascii="Verdana" w:hAnsi="Verdana"/>
          <w:b w:val="0"/>
          <w:i/>
          <w:sz w:val="16"/>
          <w:szCs w:val="16"/>
        </w:rPr>
        <w:t xml:space="preserve"> </w:t>
      </w:r>
      <w:r w:rsidRPr="0065187C">
        <w:rPr>
          <w:rStyle w:val="Strong"/>
          <w:rFonts w:ascii="Verdana" w:hAnsi="Verdana"/>
          <w:b w:val="0"/>
          <w:sz w:val="16"/>
          <w:szCs w:val="16"/>
        </w:rPr>
        <w:t>Resolución de la Corte Interamericana de Derechos Humanos de 22 de noviembre de 2016, Considerando 6.</w:t>
      </w:r>
    </w:p>
  </w:footnote>
  <w:footnote w:id="38">
    <w:p w14:paraId="52F0ED6A" w14:textId="1F0F241A" w:rsidR="00A07E10" w:rsidRDefault="00A07E10" w:rsidP="00E54903">
      <w:pPr>
        <w:tabs>
          <w:tab w:val="left" w:pos="0"/>
          <w:tab w:val="left" w:pos="720"/>
          <w:tab w:val="left" w:pos="1440"/>
          <w:tab w:val="left" w:pos="2160"/>
        </w:tabs>
        <w:jc w:val="both"/>
        <w:rPr>
          <w:rFonts w:ascii="Verdana" w:hAnsi="Verdana"/>
          <w:b/>
          <w:sz w:val="16"/>
          <w:szCs w:val="16"/>
        </w:rPr>
      </w:pPr>
      <w:r>
        <w:rPr>
          <w:rStyle w:val="FootnoteReference"/>
          <w:rFonts w:ascii="Verdana" w:hAnsi="Verdana"/>
          <w:sz w:val="16"/>
          <w:szCs w:val="16"/>
        </w:rPr>
        <w:footnoteRef/>
      </w:r>
      <w:r>
        <w:rPr>
          <w:rFonts w:ascii="Verdana" w:hAnsi="Verdana"/>
          <w:sz w:val="16"/>
          <w:szCs w:val="16"/>
        </w:rPr>
        <w:t xml:space="preserve"> </w:t>
      </w:r>
      <w:r>
        <w:rPr>
          <w:rFonts w:ascii="Verdana" w:hAnsi="Verdana"/>
          <w:b/>
          <w:sz w:val="16"/>
          <w:szCs w:val="16"/>
        </w:rPr>
        <w:tab/>
      </w:r>
      <w:r>
        <w:rPr>
          <w:rFonts w:ascii="Verdana" w:hAnsi="Verdana"/>
          <w:i/>
          <w:sz w:val="16"/>
          <w:szCs w:val="16"/>
        </w:rPr>
        <w:t xml:space="preserve">Cfr. Caso </w:t>
      </w:r>
      <w:proofErr w:type="spellStart"/>
      <w:r>
        <w:rPr>
          <w:rFonts w:ascii="Verdana" w:hAnsi="Verdana"/>
          <w:i/>
          <w:sz w:val="16"/>
          <w:szCs w:val="16"/>
        </w:rPr>
        <w:t>Caesar</w:t>
      </w:r>
      <w:proofErr w:type="spellEnd"/>
      <w:r>
        <w:rPr>
          <w:rFonts w:ascii="Verdana" w:hAnsi="Verdana"/>
          <w:i/>
          <w:sz w:val="16"/>
          <w:szCs w:val="16"/>
        </w:rPr>
        <w:t xml:space="preserve"> Vs. Trinidad y Tobago. Supervisión de Cumplimiento de Sentencia.</w:t>
      </w:r>
      <w:r>
        <w:rPr>
          <w:rFonts w:ascii="Verdana" w:hAnsi="Verdana"/>
          <w:sz w:val="16"/>
          <w:szCs w:val="16"/>
        </w:rPr>
        <w:t xml:space="preserve"> Resolución de la Corte Interamericana de Derechos Humanos de 21 de noviembre de 2007, Considerando 11; y</w:t>
      </w:r>
      <w:r>
        <w:rPr>
          <w:rFonts w:ascii="Verdana" w:hAnsi="Verdana"/>
          <w:b/>
          <w:sz w:val="16"/>
          <w:szCs w:val="16"/>
        </w:rPr>
        <w:t xml:space="preserve"> </w:t>
      </w:r>
      <w:r w:rsidRPr="0065187C">
        <w:rPr>
          <w:rStyle w:val="Strong"/>
          <w:rFonts w:ascii="Verdana" w:hAnsi="Verdana"/>
          <w:b w:val="0"/>
          <w:i/>
          <w:sz w:val="16"/>
          <w:szCs w:val="16"/>
        </w:rPr>
        <w:t>Caso Familia Barrios Vs. Venezuela</w:t>
      </w:r>
      <w:r>
        <w:rPr>
          <w:rStyle w:val="Strong"/>
          <w:rFonts w:ascii="Verdana" w:hAnsi="Verdana"/>
          <w:b w:val="0"/>
          <w:sz w:val="16"/>
          <w:szCs w:val="16"/>
        </w:rPr>
        <w:t xml:space="preserve">, </w:t>
      </w:r>
      <w:r>
        <w:rPr>
          <w:rStyle w:val="Strong"/>
          <w:rFonts w:ascii="Verdana" w:hAnsi="Verdana"/>
          <w:b w:val="0"/>
          <w:i/>
          <w:sz w:val="16"/>
          <w:szCs w:val="16"/>
        </w:rPr>
        <w:t xml:space="preserve">supra </w:t>
      </w:r>
      <w:r>
        <w:rPr>
          <w:rStyle w:val="Strong"/>
          <w:rFonts w:ascii="Verdana" w:hAnsi="Verdana"/>
          <w:b w:val="0"/>
          <w:sz w:val="16"/>
          <w:szCs w:val="16"/>
        </w:rPr>
        <w:t>nota 37</w:t>
      </w:r>
      <w:r w:rsidRPr="0065187C">
        <w:rPr>
          <w:rStyle w:val="Strong"/>
          <w:rFonts w:ascii="Verdana" w:hAnsi="Verdana"/>
          <w:b w:val="0"/>
          <w:sz w:val="16"/>
          <w:szCs w:val="16"/>
        </w:rPr>
        <w:t>, Considerando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876419"/>
      <w:docPartObj>
        <w:docPartGallery w:val="Page Numbers (Top of Page)"/>
        <w:docPartUnique/>
      </w:docPartObj>
    </w:sdtPr>
    <w:sdtEndPr>
      <w:rPr>
        <w:noProof/>
      </w:rPr>
    </w:sdtEndPr>
    <w:sdtContent>
      <w:p w14:paraId="65C9329C" w14:textId="1E56FE45" w:rsidR="00A07E10" w:rsidRDefault="00A07E10">
        <w:pPr>
          <w:pStyle w:val="Header"/>
          <w:jc w:val="center"/>
        </w:pPr>
        <w:r w:rsidRPr="00314487">
          <w:rPr>
            <w:rFonts w:ascii="Verdana" w:hAnsi="Verdana"/>
            <w:sz w:val="20"/>
          </w:rPr>
          <w:fldChar w:fldCharType="begin"/>
        </w:r>
        <w:r w:rsidRPr="00314487">
          <w:rPr>
            <w:rFonts w:ascii="Verdana" w:hAnsi="Verdana"/>
            <w:sz w:val="20"/>
          </w:rPr>
          <w:instrText xml:space="preserve"> PAGE   \* MERGEFORMAT </w:instrText>
        </w:r>
        <w:r w:rsidRPr="00314487">
          <w:rPr>
            <w:rFonts w:ascii="Verdana" w:hAnsi="Verdana"/>
            <w:sz w:val="20"/>
          </w:rPr>
          <w:fldChar w:fldCharType="separate"/>
        </w:r>
        <w:r w:rsidR="009356EF">
          <w:rPr>
            <w:rFonts w:ascii="Verdana" w:hAnsi="Verdana"/>
            <w:noProof/>
            <w:sz w:val="20"/>
          </w:rPr>
          <w:t>19</w:t>
        </w:r>
        <w:r w:rsidRPr="00314487">
          <w:rPr>
            <w:rFonts w:ascii="Verdana" w:hAnsi="Verdana"/>
            <w:noProof/>
            <w:sz w:val="20"/>
          </w:rPr>
          <w:fldChar w:fldCharType="end"/>
        </w:r>
      </w:p>
    </w:sdtContent>
  </w:sdt>
  <w:p w14:paraId="426C42D6" w14:textId="7B63F278" w:rsidR="00A07E10" w:rsidRPr="00F95938" w:rsidRDefault="00A07E10" w:rsidP="00226DCD">
    <w:pPr>
      <w:pStyle w:val="Header"/>
      <w:jc w:val="center"/>
      <w:rPr>
        <w:rFonts w:ascii="Verdana" w:hAnsi="Verdana"/>
        <w:b/>
        <w:i/>
        <w:sz w:val="20"/>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3DD"/>
    <w:multiLevelType w:val="hybridMultilevel"/>
    <w:tmpl w:val="6124FC8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5C500AC"/>
    <w:multiLevelType w:val="hybridMultilevel"/>
    <w:tmpl w:val="EAD22D8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75A2AE6"/>
    <w:multiLevelType w:val="multilevel"/>
    <w:tmpl w:val="86806766"/>
    <w:lvl w:ilvl="0">
      <w:start w:val="1"/>
      <w:numFmt w:val="decimal"/>
      <w:lvlText w:val="%1."/>
      <w:lvlJc w:val="left"/>
      <w:pPr>
        <w:ind w:left="720" w:hanging="360"/>
      </w:pPr>
    </w:lvl>
    <w:lvl w:ilvl="1">
      <w:start w:val="2"/>
      <w:numFmt w:val="decimal"/>
      <w:isLgl/>
      <w:lvlText w:val="%1.%2."/>
      <w:lvlJc w:val="left"/>
      <w:pPr>
        <w:ind w:left="1140" w:hanging="720"/>
      </w:pPr>
    </w:lvl>
    <w:lvl w:ilvl="2">
      <w:start w:val="1"/>
      <w:numFmt w:val="decimal"/>
      <w:isLgl/>
      <w:lvlText w:val="%1.%2.%3."/>
      <w:lvlJc w:val="left"/>
      <w:pPr>
        <w:ind w:left="1200" w:hanging="720"/>
      </w:pPr>
    </w:lvl>
    <w:lvl w:ilvl="3">
      <w:start w:val="1"/>
      <w:numFmt w:val="decimal"/>
      <w:isLgl/>
      <w:lvlText w:val="%1.%2.%3.%4."/>
      <w:lvlJc w:val="left"/>
      <w:pPr>
        <w:ind w:left="1620" w:hanging="1080"/>
      </w:pPr>
    </w:lvl>
    <w:lvl w:ilvl="4">
      <w:start w:val="1"/>
      <w:numFmt w:val="decimal"/>
      <w:isLgl/>
      <w:lvlText w:val="%1.%2.%3.%4.%5."/>
      <w:lvlJc w:val="left"/>
      <w:pPr>
        <w:ind w:left="2040" w:hanging="1440"/>
      </w:pPr>
    </w:lvl>
    <w:lvl w:ilvl="5">
      <w:start w:val="1"/>
      <w:numFmt w:val="decimal"/>
      <w:isLgl/>
      <w:lvlText w:val="%1.%2.%3.%4.%5.%6."/>
      <w:lvlJc w:val="left"/>
      <w:pPr>
        <w:ind w:left="2100" w:hanging="1440"/>
      </w:pPr>
    </w:lvl>
    <w:lvl w:ilvl="6">
      <w:start w:val="1"/>
      <w:numFmt w:val="decimal"/>
      <w:isLgl/>
      <w:lvlText w:val="%1.%2.%3.%4.%5.%6.%7."/>
      <w:lvlJc w:val="left"/>
      <w:pPr>
        <w:ind w:left="2520" w:hanging="1800"/>
      </w:pPr>
    </w:lvl>
    <w:lvl w:ilvl="7">
      <w:start w:val="1"/>
      <w:numFmt w:val="decimal"/>
      <w:isLgl/>
      <w:lvlText w:val="%1.%2.%3.%4.%5.%6.%7.%8."/>
      <w:lvlJc w:val="left"/>
      <w:pPr>
        <w:ind w:left="2940" w:hanging="2160"/>
      </w:pPr>
    </w:lvl>
    <w:lvl w:ilvl="8">
      <w:start w:val="1"/>
      <w:numFmt w:val="decimal"/>
      <w:isLgl/>
      <w:lvlText w:val="%1.%2.%3.%4.%5.%6.%7.%8.%9."/>
      <w:lvlJc w:val="left"/>
      <w:pPr>
        <w:ind w:left="3000" w:hanging="2160"/>
      </w:pPr>
    </w:lvl>
  </w:abstractNum>
  <w:abstractNum w:abstractNumId="3">
    <w:nsid w:val="1B6059A7"/>
    <w:multiLevelType w:val="hybridMultilevel"/>
    <w:tmpl w:val="75C0CA12"/>
    <w:lvl w:ilvl="0" w:tplc="BE88D86E">
      <w:start w:val="1"/>
      <w:numFmt w:val="decimal"/>
      <w:lvlText w:val="%1."/>
      <w:lvlJc w:val="left"/>
      <w:pPr>
        <w:ind w:left="360" w:hanging="360"/>
      </w:pPr>
      <w:rPr>
        <w:rFonts w:hint="default"/>
        <w:b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nsid w:val="1CE77853"/>
    <w:multiLevelType w:val="hybridMultilevel"/>
    <w:tmpl w:val="81BC84D4"/>
    <w:lvl w:ilvl="0" w:tplc="4CA26230">
      <w:start w:val="1"/>
      <w:numFmt w:val="decimal"/>
      <w:lvlText w:val="%1."/>
      <w:lvlJc w:val="left"/>
      <w:pPr>
        <w:tabs>
          <w:tab w:val="num" w:pos="1080"/>
        </w:tabs>
        <w:ind w:left="360"/>
      </w:pPr>
      <w:rPr>
        <w:rFonts w:ascii="Verdana" w:hAnsi="Verdana" w:cs="Times New Roman" w:hint="default"/>
        <w:b w:val="0"/>
        <w:i w:val="0"/>
        <w:strike w:val="0"/>
        <w:color w:val="auto"/>
        <w:sz w:val="20"/>
      </w:rPr>
    </w:lvl>
    <w:lvl w:ilvl="1" w:tplc="340A0003">
      <w:start w:val="1"/>
      <w:numFmt w:val="lowerLetter"/>
      <w:lvlText w:val="%2."/>
      <w:lvlJc w:val="left"/>
      <w:pPr>
        <w:tabs>
          <w:tab w:val="num" w:pos="1440"/>
        </w:tabs>
        <w:ind w:left="1440" w:hanging="360"/>
      </w:pPr>
      <w:rPr>
        <w:rFonts w:cs="Times New Roman"/>
      </w:rPr>
    </w:lvl>
    <w:lvl w:ilvl="2" w:tplc="340A0005" w:tentative="1">
      <w:start w:val="1"/>
      <w:numFmt w:val="lowerRoman"/>
      <w:lvlText w:val="%3."/>
      <w:lvlJc w:val="right"/>
      <w:pPr>
        <w:tabs>
          <w:tab w:val="num" w:pos="2160"/>
        </w:tabs>
        <w:ind w:left="2160" w:hanging="180"/>
      </w:pPr>
      <w:rPr>
        <w:rFonts w:cs="Times New Roman"/>
      </w:rPr>
    </w:lvl>
    <w:lvl w:ilvl="3" w:tplc="340A0001" w:tentative="1">
      <w:start w:val="1"/>
      <w:numFmt w:val="decimal"/>
      <w:lvlText w:val="%4."/>
      <w:lvlJc w:val="left"/>
      <w:pPr>
        <w:tabs>
          <w:tab w:val="num" w:pos="2880"/>
        </w:tabs>
        <w:ind w:left="2880" w:hanging="360"/>
      </w:pPr>
      <w:rPr>
        <w:rFonts w:cs="Times New Roman"/>
      </w:rPr>
    </w:lvl>
    <w:lvl w:ilvl="4" w:tplc="340A0003" w:tentative="1">
      <w:start w:val="1"/>
      <w:numFmt w:val="lowerLetter"/>
      <w:lvlText w:val="%5."/>
      <w:lvlJc w:val="left"/>
      <w:pPr>
        <w:tabs>
          <w:tab w:val="num" w:pos="3600"/>
        </w:tabs>
        <w:ind w:left="3600" w:hanging="360"/>
      </w:pPr>
      <w:rPr>
        <w:rFonts w:cs="Times New Roman"/>
      </w:rPr>
    </w:lvl>
    <w:lvl w:ilvl="5" w:tplc="340A0005" w:tentative="1">
      <w:start w:val="1"/>
      <w:numFmt w:val="lowerRoman"/>
      <w:lvlText w:val="%6."/>
      <w:lvlJc w:val="right"/>
      <w:pPr>
        <w:tabs>
          <w:tab w:val="num" w:pos="4320"/>
        </w:tabs>
        <w:ind w:left="4320" w:hanging="180"/>
      </w:pPr>
      <w:rPr>
        <w:rFonts w:cs="Times New Roman"/>
      </w:rPr>
    </w:lvl>
    <w:lvl w:ilvl="6" w:tplc="340A0001" w:tentative="1">
      <w:start w:val="1"/>
      <w:numFmt w:val="decimal"/>
      <w:lvlText w:val="%7."/>
      <w:lvlJc w:val="left"/>
      <w:pPr>
        <w:tabs>
          <w:tab w:val="num" w:pos="5040"/>
        </w:tabs>
        <w:ind w:left="5040" w:hanging="360"/>
      </w:pPr>
      <w:rPr>
        <w:rFonts w:cs="Times New Roman"/>
      </w:rPr>
    </w:lvl>
    <w:lvl w:ilvl="7" w:tplc="340A0003" w:tentative="1">
      <w:start w:val="1"/>
      <w:numFmt w:val="lowerLetter"/>
      <w:lvlText w:val="%8."/>
      <w:lvlJc w:val="left"/>
      <w:pPr>
        <w:tabs>
          <w:tab w:val="num" w:pos="5760"/>
        </w:tabs>
        <w:ind w:left="5760" w:hanging="360"/>
      </w:pPr>
      <w:rPr>
        <w:rFonts w:cs="Times New Roman"/>
      </w:rPr>
    </w:lvl>
    <w:lvl w:ilvl="8" w:tplc="340A0005" w:tentative="1">
      <w:start w:val="1"/>
      <w:numFmt w:val="lowerRoman"/>
      <w:lvlText w:val="%9."/>
      <w:lvlJc w:val="right"/>
      <w:pPr>
        <w:tabs>
          <w:tab w:val="num" w:pos="6480"/>
        </w:tabs>
        <w:ind w:left="6480" w:hanging="180"/>
      </w:pPr>
      <w:rPr>
        <w:rFonts w:cs="Times New Roman"/>
      </w:rPr>
    </w:lvl>
  </w:abstractNum>
  <w:abstractNum w:abstractNumId="5">
    <w:nsid w:val="1CFD5FDA"/>
    <w:multiLevelType w:val="hybridMultilevel"/>
    <w:tmpl w:val="BE1854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DC246DF"/>
    <w:multiLevelType w:val="hybridMultilevel"/>
    <w:tmpl w:val="0278EE7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F0966BF"/>
    <w:multiLevelType w:val="hybridMultilevel"/>
    <w:tmpl w:val="ED76795A"/>
    <w:lvl w:ilvl="0" w:tplc="2EA6DDA4">
      <w:start w:val="1"/>
      <w:numFmt w:val="decimal"/>
      <w:lvlText w:val="%1."/>
      <w:lvlJc w:val="left"/>
      <w:pPr>
        <w:tabs>
          <w:tab w:val="num" w:pos="360"/>
        </w:tabs>
        <w:ind w:left="360" w:hanging="360"/>
      </w:pPr>
      <w:rPr>
        <w:b w:val="0"/>
        <w:i w:val="0"/>
        <w:sz w:val="20"/>
        <w:szCs w:val="20"/>
      </w:rPr>
    </w:lvl>
    <w:lvl w:ilvl="1" w:tplc="0409000F">
      <w:start w:val="1"/>
      <w:numFmt w:val="decimal"/>
      <w:lvlText w:val="%2."/>
      <w:lvlJc w:val="left"/>
      <w:pPr>
        <w:tabs>
          <w:tab w:val="num" w:pos="1440"/>
        </w:tabs>
        <w:ind w:left="1440" w:hanging="360"/>
      </w:pPr>
      <w:rPr>
        <w:sz w:val="20"/>
        <w:szCs w:val="20"/>
      </w:rPr>
    </w:lvl>
    <w:lvl w:ilvl="2" w:tplc="C9FA38AC">
      <w:start w:val="1"/>
      <w:numFmt w:val="lowerLetter"/>
      <w:lvlText w:val="%3)"/>
      <w:lvlJc w:val="left"/>
      <w:pPr>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264D0CB0"/>
    <w:multiLevelType w:val="hybridMultilevel"/>
    <w:tmpl w:val="F4C01C3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7C15C3A"/>
    <w:multiLevelType w:val="hybridMultilevel"/>
    <w:tmpl w:val="7FFA42A0"/>
    <w:lvl w:ilvl="0" w:tplc="140A000F">
      <w:start w:val="1"/>
      <w:numFmt w:val="decimal"/>
      <w:lvlText w:val="%1."/>
      <w:lvlJc w:val="left"/>
      <w:pPr>
        <w:ind w:left="2844" w:hanging="360"/>
      </w:pPr>
    </w:lvl>
    <w:lvl w:ilvl="1" w:tplc="140A0019">
      <w:start w:val="1"/>
      <w:numFmt w:val="lowerLetter"/>
      <w:lvlText w:val="%2."/>
      <w:lvlJc w:val="left"/>
      <w:pPr>
        <w:ind w:left="3564" w:hanging="360"/>
      </w:pPr>
    </w:lvl>
    <w:lvl w:ilvl="2" w:tplc="140A001B">
      <w:start w:val="1"/>
      <w:numFmt w:val="lowerRoman"/>
      <w:lvlText w:val="%3."/>
      <w:lvlJc w:val="right"/>
      <w:pPr>
        <w:ind w:left="4284" w:hanging="180"/>
      </w:pPr>
    </w:lvl>
    <w:lvl w:ilvl="3" w:tplc="140A000F">
      <w:start w:val="1"/>
      <w:numFmt w:val="decimal"/>
      <w:lvlText w:val="%4."/>
      <w:lvlJc w:val="left"/>
      <w:pPr>
        <w:ind w:left="5004" w:hanging="360"/>
      </w:pPr>
    </w:lvl>
    <w:lvl w:ilvl="4" w:tplc="140A0019">
      <w:start w:val="1"/>
      <w:numFmt w:val="lowerLetter"/>
      <w:lvlText w:val="%5."/>
      <w:lvlJc w:val="left"/>
      <w:pPr>
        <w:ind w:left="5724" w:hanging="360"/>
      </w:pPr>
    </w:lvl>
    <w:lvl w:ilvl="5" w:tplc="140A001B">
      <w:start w:val="1"/>
      <w:numFmt w:val="lowerRoman"/>
      <w:lvlText w:val="%6."/>
      <w:lvlJc w:val="right"/>
      <w:pPr>
        <w:ind w:left="6444" w:hanging="180"/>
      </w:pPr>
    </w:lvl>
    <w:lvl w:ilvl="6" w:tplc="140A000F">
      <w:start w:val="1"/>
      <w:numFmt w:val="decimal"/>
      <w:lvlText w:val="%7."/>
      <w:lvlJc w:val="left"/>
      <w:pPr>
        <w:ind w:left="7164" w:hanging="360"/>
      </w:pPr>
    </w:lvl>
    <w:lvl w:ilvl="7" w:tplc="140A0019">
      <w:start w:val="1"/>
      <w:numFmt w:val="lowerLetter"/>
      <w:lvlText w:val="%8."/>
      <w:lvlJc w:val="left"/>
      <w:pPr>
        <w:ind w:left="7884" w:hanging="360"/>
      </w:pPr>
    </w:lvl>
    <w:lvl w:ilvl="8" w:tplc="140A001B">
      <w:start w:val="1"/>
      <w:numFmt w:val="lowerRoman"/>
      <w:lvlText w:val="%9."/>
      <w:lvlJc w:val="right"/>
      <w:pPr>
        <w:ind w:left="8604" w:hanging="180"/>
      </w:pPr>
    </w:lvl>
  </w:abstractNum>
  <w:abstractNum w:abstractNumId="10">
    <w:nsid w:val="2D4B46CD"/>
    <w:multiLevelType w:val="hybridMultilevel"/>
    <w:tmpl w:val="C71AA7F4"/>
    <w:lvl w:ilvl="0" w:tplc="41FCBFEC">
      <w:start w:val="6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D36B53"/>
    <w:multiLevelType w:val="hybridMultilevel"/>
    <w:tmpl w:val="117E5F2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70E275F"/>
    <w:multiLevelType w:val="hybridMultilevel"/>
    <w:tmpl w:val="289AEF94"/>
    <w:lvl w:ilvl="0" w:tplc="9C1446EA">
      <w:start w:val="1"/>
      <w:numFmt w:val="decimal"/>
      <w:lvlText w:val="%1."/>
      <w:lvlJc w:val="left"/>
      <w:pPr>
        <w:ind w:left="360" w:hanging="360"/>
      </w:pPr>
      <w:rPr>
        <w:rFonts w:hint="default"/>
        <w:b w:val="0"/>
        <w:i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70ED06F5"/>
    <w:multiLevelType w:val="hybridMultilevel"/>
    <w:tmpl w:val="625A8A1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nsid w:val="737A70D2"/>
    <w:multiLevelType w:val="hybridMultilevel"/>
    <w:tmpl w:val="AE64E87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769A4DCE"/>
    <w:multiLevelType w:val="hybridMultilevel"/>
    <w:tmpl w:val="EACE6E1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7A0B4833"/>
    <w:multiLevelType w:val="hybridMultilevel"/>
    <w:tmpl w:val="6D223192"/>
    <w:lvl w:ilvl="0" w:tplc="2944587C">
      <w:start w:val="1"/>
      <w:numFmt w:val="decimal"/>
      <w:lvlText w:val="%1."/>
      <w:lvlJc w:val="left"/>
      <w:pPr>
        <w:ind w:left="360" w:hanging="360"/>
      </w:pPr>
      <w:rPr>
        <w:rFonts w:ascii="Verdana" w:hAnsi="Verdana" w:hint="default"/>
        <w:b w:val="0"/>
        <w:i w:val="0"/>
        <w:color w:val="auto"/>
        <w:sz w:val="20"/>
        <w:szCs w:val="20"/>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3"/>
  </w:num>
  <w:num w:numId="2">
    <w:abstractNumId w:val="16"/>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5"/>
  </w:num>
  <w:num w:numId="7">
    <w:abstractNumId w:val="6"/>
  </w:num>
  <w:num w:numId="8">
    <w:abstractNumId w:val="15"/>
  </w:num>
  <w:num w:numId="9">
    <w:abstractNumId w:val="0"/>
  </w:num>
  <w:num w:numId="10">
    <w:abstractNumId w:val="1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03"/>
    <w:rsid w:val="000026AC"/>
    <w:rsid w:val="00003C20"/>
    <w:rsid w:val="0001668C"/>
    <w:rsid w:val="00017B45"/>
    <w:rsid w:val="00023701"/>
    <w:rsid w:val="0002379E"/>
    <w:rsid w:val="00026D0F"/>
    <w:rsid w:val="00027382"/>
    <w:rsid w:val="0003048D"/>
    <w:rsid w:val="00033A69"/>
    <w:rsid w:val="00046610"/>
    <w:rsid w:val="0005569D"/>
    <w:rsid w:val="00056EE8"/>
    <w:rsid w:val="00060F6C"/>
    <w:rsid w:val="00062C6D"/>
    <w:rsid w:val="00072E53"/>
    <w:rsid w:val="0007553A"/>
    <w:rsid w:val="0007645B"/>
    <w:rsid w:val="00087462"/>
    <w:rsid w:val="00091D03"/>
    <w:rsid w:val="000A07BD"/>
    <w:rsid w:val="000A5547"/>
    <w:rsid w:val="000A7842"/>
    <w:rsid w:val="000B0837"/>
    <w:rsid w:val="000B505A"/>
    <w:rsid w:val="000C43E8"/>
    <w:rsid w:val="000C70BE"/>
    <w:rsid w:val="000D0439"/>
    <w:rsid w:val="000D0E36"/>
    <w:rsid w:val="000D580D"/>
    <w:rsid w:val="000E2F37"/>
    <w:rsid w:val="000E3711"/>
    <w:rsid w:val="000F004F"/>
    <w:rsid w:val="000F6A13"/>
    <w:rsid w:val="001041F1"/>
    <w:rsid w:val="00105695"/>
    <w:rsid w:val="00110B32"/>
    <w:rsid w:val="00111F8C"/>
    <w:rsid w:val="0011436E"/>
    <w:rsid w:val="001212EC"/>
    <w:rsid w:val="001217E6"/>
    <w:rsid w:val="00133754"/>
    <w:rsid w:val="00133DAE"/>
    <w:rsid w:val="00146D7D"/>
    <w:rsid w:val="0014747A"/>
    <w:rsid w:val="0015267F"/>
    <w:rsid w:val="00182F09"/>
    <w:rsid w:val="0019151F"/>
    <w:rsid w:val="001A0EB5"/>
    <w:rsid w:val="001C2AD7"/>
    <w:rsid w:val="001C43DF"/>
    <w:rsid w:val="001C7A70"/>
    <w:rsid w:val="001D07E8"/>
    <w:rsid w:val="001D622E"/>
    <w:rsid w:val="001D6CC4"/>
    <w:rsid w:val="001D72C3"/>
    <w:rsid w:val="001E08D0"/>
    <w:rsid w:val="001E7971"/>
    <w:rsid w:val="001F1849"/>
    <w:rsid w:val="001F388D"/>
    <w:rsid w:val="001F58B4"/>
    <w:rsid w:val="001F594A"/>
    <w:rsid w:val="00201BB4"/>
    <w:rsid w:val="0021019A"/>
    <w:rsid w:val="00213947"/>
    <w:rsid w:val="00215CC4"/>
    <w:rsid w:val="00225349"/>
    <w:rsid w:val="002254D5"/>
    <w:rsid w:val="002267F3"/>
    <w:rsid w:val="00226DCD"/>
    <w:rsid w:val="00231FB9"/>
    <w:rsid w:val="00235045"/>
    <w:rsid w:val="00240142"/>
    <w:rsid w:val="00251FEF"/>
    <w:rsid w:val="002565E0"/>
    <w:rsid w:val="00265BDB"/>
    <w:rsid w:val="00270679"/>
    <w:rsid w:val="0027216C"/>
    <w:rsid w:val="00272CCA"/>
    <w:rsid w:val="0028437F"/>
    <w:rsid w:val="002A660F"/>
    <w:rsid w:val="002B326D"/>
    <w:rsid w:val="002B39AC"/>
    <w:rsid w:val="002B760A"/>
    <w:rsid w:val="002C5BB9"/>
    <w:rsid w:val="002E0E26"/>
    <w:rsid w:val="002F4E48"/>
    <w:rsid w:val="002F4EDD"/>
    <w:rsid w:val="00307C88"/>
    <w:rsid w:val="00314487"/>
    <w:rsid w:val="00322CC1"/>
    <w:rsid w:val="00332580"/>
    <w:rsid w:val="0033259E"/>
    <w:rsid w:val="00336B97"/>
    <w:rsid w:val="00340106"/>
    <w:rsid w:val="0034236D"/>
    <w:rsid w:val="00343125"/>
    <w:rsid w:val="0034353D"/>
    <w:rsid w:val="00343AC6"/>
    <w:rsid w:val="00350165"/>
    <w:rsid w:val="003517FC"/>
    <w:rsid w:val="00360099"/>
    <w:rsid w:val="00361DE8"/>
    <w:rsid w:val="00365F53"/>
    <w:rsid w:val="00367E96"/>
    <w:rsid w:val="0037345D"/>
    <w:rsid w:val="00374CE5"/>
    <w:rsid w:val="003758BA"/>
    <w:rsid w:val="00381013"/>
    <w:rsid w:val="00383CC6"/>
    <w:rsid w:val="003845AC"/>
    <w:rsid w:val="00386739"/>
    <w:rsid w:val="00391C45"/>
    <w:rsid w:val="00392BC4"/>
    <w:rsid w:val="00392D3C"/>
    <w:rsid w:val="003956AE"/>
    <w:rsid w:val="00395E27"/>
    <w:rsid w:val="00397517"/>
    <w:rsid w:val="003A1C22"/>
    <w:rsid w:val="003A34A7"/>
    <w:rsid w:val="003A3D45"/>
    <w:rsid w:val="003A5753"/>
    <w:rsid w:val="003A68C2"/>
    <w:rsid w:val="003B2990"/>
    <w:rsid w:val="003B4863"/>
    <w:rsid w:val="003B5A34"/>
    <w:rsid w:val="003B6960"/>
    <w:rsid w:val="003C14AC"/>
    <w:rsid w:val="003D345F"/>
    <w:rsid w:val="003D621D"/>
    <w:rsid w:val="003E39E1"/>
    <w:rsid w:val="003F4258"/>
    <w:rsid w:val="003F7BC8"/>
    <w:rsid w:val="004032AB"/>
    <w:rsid w:val="00404BD4"/>
    <w:rsid w:val="0040657B"/>
    <w:rsid w:val="00406773"/>
    <w:rsid w:val="0040761F"/>
    <w:rsid w:val="00407FBF"/>
    <w:rsid w:val="00415085"/>
    <w:rsid w:val="004174CB"/>
    <w:rsid w:val="0041779C"/>
    <w:rsid w:val="00417850"/>
    <w:rsid w:val="004316A0"/>
    <w:rsid w:val="00435758"/>
    <w:rsid w:val="004437EF"/>
    <w:rsid w:val="004503F7"/>
    <w:rsid w:val="004521CE"/>
    <w:rsid w:val="004528C5"/>
    <w:rsid w:val="00462C75"/>
    <w:rsid w:val="00466323"/>
    <w:rsid w:val="00467624"/>
    <w:rsid w:val="00480792"/>
    <w:rsid w:val="00481E03"/>
    <w:rsid w:val="004840BF"/>
    <w:rsid w:val="00490EA2"/>
    <w:rsid w:val="004917E1"/>
    <w:rsid w:val="00493014"/>
    <w:rsid w:val="0049698B"/>
    <w:rsid w:val="00497AA9"/>
    <w:rsid w:val="004A1227"/>
    <w:rsid w:val="004A323A"/>
    <w:rsid w:val="004B0116"/>
    <w:rsid w:val="004B66E0"/>
    <w:rsid w:val="004C260F"/>
    <w:rsid w:val="004C2C83"/>
    <w:rsid w:val="004C459A"/>
    <w:rsid w:val="004D072E"/>
    <w:rsid w:val="004D18B2"/>
    <w:rsid w:val="004D2636"/>
    <w:rsid w:val="004D3CE1"/>
    <w:rsid w:val="004D7DA1"/>
    <w:rsid w:val="004E1B86"/>
    <w:rsid w:val="004F14EA"/>
    <w:rsid w:val="004F2506"/>
    <w:rsid w:val="004F4E7D"/>
    <w:rsid w:val="004F6325"/>
    <w:rsid w:val="004F68E9"/>
    <w:rsid w:val="00500436"/>
    <w:rsid w:val="00501846"/>
    <w:rsid w:val="0050645E"/>
    <w:rsid w:val="0050759D"/>
    <w:rsid w:val="00515461"/>
    <w:rsid w:val="00524465"/>
    <w:rsid w:val="00537543"/>
    <w:rsid w:val="00542A44"/>
    <w:rsid w:val="00553238"/>
    <w:rsid w:val="00557A0F"/>
    <w:rsid w:val="005627F9"/>
    <w:rsid w:val="00563488"/>
    <w:rsid w:val="00566A6E"/>
    <w:rsid w:val="00572E0F"/>
    <w:rsid w:val="00573BEA"/>
    <w:rsid w:val="005754C5"/>
    <w:rsid w:val="00575703"/>
    <w:rsid w:val="005B3145"/>
    <w:rsid w:val="005B66C1"/>
    <w:rsid w:val="005C1187"/>
    <w:rsid w:val="005C24FB"/>
    <w:rsid w:val="005C2D89"/>
    <w:rsid w:val="005C4BA3"/>
    <w:rsid w:val="005D0778"/>
    <w:rsid w:val="005E2419"/>
    <w:rsid w:val="005E4B9B"/>
    <w:rsid w:val="005F5C83"/>
    <w:rsid w:val="005F6A48"/>
    <w:rsid w:val="00603837"/>
    <w:rsid w:val="00605DF8"/>
    <w:rsid w:val="00611697"/>
    <w:rsid w:val="00611CD7"/>
    <w:rsid w:val="00612B47"/>
    <w:rsid w:val="006243C8"/>
    <w:rsid w:val="00624E60"/>
    <w:rsid w:val="0062559F"/>
    <w:rsid w:val="00632F2F"/>
    <w:rsid w:val="006332B3"/>
    <w:rsid w:val="006413C9"/>
    <w:rsid w:val="0064189C"/>
    <w:rsid w:val="00646D74"/>
    <w:rsid w:val="0064739F"/>
    <w:rsid w:val="0065187C"/>
    <w:rsid w:val="00655D59"/>
    <w:rsid w:val="006573D1"/>
    <w:rsid w:val="00670BD1"/>
    <w:rsid w:val="00674FA7"/>
    <w:rsid w:val="00675CE9"/>
    <w:rsid w:val="006805BE"/>
    <w:rsid w:val="00681938"/>
    <w:rsid w:val="00682C84"/>
    <w:rsid w:val="00685BBF"/>
    <w:rsid w:val="00687410"/>
    <w:rsid w:val="00693351"/>
    <w:rsid w:val="00696738"/>
    <w:rsid w:val="006A7C13"/>
    <w:rsid w:val="006B6185"/>
    <w:rsid w:val="006B61C3"/>
    <w:rsid w:val="006B7C00"/>
    <w:rsid w:val="006C2E81"/>
    <w:rsid w:val="006C694A"/>
    <w:rsid w:val="006E1E66"/>
    <w:rsid w:val="006E2EA5"/>
    <w:rsid w:val="006E4A0A"/>
    <w:rsid w:val="006E68BB"/>
    <w:rsid w:val="006F26B0"/>
    <w:rsid w:val="006F5080"/>
    <w:rsid w:val="00711126"/>
    <w:rsid w:val="0072448A"/>
    <w:rsid w:val="00725FD3"/>
    <w:rsid w:val="00742E49"/>
    <w:rsid w:val="00747365"/>
    <w:rsid w:val="0075339B"/>
    <w:rsid w:val="00766EA4"/>
    <w:rsid w:val="00767BA7"/>
    <w:rsid w:val="00770E45"/>
    <w:rsid w:val="00770F54"/>
    <w:rsid w:val="00776AEA"/>
    <w:rsid w:val="00777621"/>
    <w:rsid w:val="007805E4"/>
    <w:rsid w:val="007835DE"/>
    <w:rsid w:val="007857BA"/>
    <w:rsid w:val="00794288"/>
    <w:rsid w:val="007A2BBD"/>
    <w:rsid w:val="007A38C8"/>
    <w:rsid w:val="007B2DB2"/>
    <w:rsid w:val="007B7FAE"/>
    <w:rsid w:val="007C0BD8"/>
    <w:rsid w:val="007C1123"/>
    <w:rsid w:val="007D5DC3"/>
    <w:rsid w:val="007F00CD"/>
    <w:rsid w:val="007F38E8"/>
    <w:rsid w:val="008033D4"/>
    <w:rsid w:val="00803932"/>
    <w:rsid w:val="00816F81"/>
    <w:rsid w:val="0081751C"/>
    <w:rsid w:val="00824CC8"/>
    <w:rsid w:val="00825B78"/>
    <w:rsid w:val="00826C90"/>
    <w:rsid w:val="00826D54"/>
    <w:rsid w:val="00836182"/>
    <w:rsid w:val="00840AA2"/>
    <w:rsid w:val="00840F13"/>
    <w:rsid w:val="00846F1D"/>
    <w:rsid w:val="0084704A"/>
    <w:rsid w:val="00847912"/>
    <w:rsid w:val="00853C30"/>
    <w:rsid w:val="00872A28"/>
    <w:rsid w:val="0088461B"/>
    <w:rsid w:val="00894F18"/>
    <w:rsid w:val="008B22DC"/>
    <w:rsid w:val="008D1E11"/>
    <w:rsid w:val="008E0A03"/>
    <w:rsid w:val="008E0A64"/>
    <w:rsid w:val="008E19B4"/>
    <w:rsid w:val="008E69E1"/>
    <w:rsid w:val="008F0A97"/>
    <w:rsid w:val="009000FA"/>
    <w:rsid w:val="009123F9"/>
    <w:rsid w:val="00913A08"/>
    <w:rsid w:val="00913E65"/>
    <w:rsid w:val="0091457E"/>
    <w:rsid w:val="00931E3C"/>
    <w:rsid w:val="00935108"/>
    <w:rsid w:val="009351BB"/>
    <w:rsid w:val="009356EF"/>
    <w:rsid w:val="009414DC"/>
    <w:rsid w:val="00942D68"/>
    <w:rsid w:val="00954218"/>
    <w:rsid w:val="009600EC"/>
    <w:rsid w:val="009610F6"/>
    <w:rsid w:val="00961B1D"/>
    <w:rsid w:val="00961ED7"/>
    <w:rsid w:val="00961FB0"/>
    <w:rsid w:val="0096564B"/>
    <w:rsid w:val="00977AD2"/>
    <w:rsid w:val="009968C3"/>
    <w:rsid w:val="0099721E"/>
    <w:rsid w:val="009A285E"/>
    <w:rsid w:val="009A33F4"/>
    <w:rsid w:val="009A5E19"/>
    <w:rsid w:val="009B6CF6"/>
    <w:rsid w:val="009C0CC9"/>
    <w:rsid w:val="009C4B06"/>
    <w:rsid w:val="009D54DC"/>
    <w:rsid w:val="009E2F1D"/>
    <w:rsid w:val="009F1A72"/>
    <w:rsid w:val="009F6055"/>
    <w:rsid w:val="00A04452"/>
    <w:rsid w:val="00A0553A"/>
    <w:rsid w:val="00A06099"/>
    <w:rsid w:val="00A07586"/>
    <w:rsid w:val="00A07E10"/>
    <w:rsid w:val="00A12296"/>
    <w:rsid w:val="00A1564C"/>
    <w:rsid w:val="00A21AD6"/>
    <w:rsid w:val="00A36755"/>
    <w:rsid w:val="00A43C87"/>
    <w:rsid w:val="00A4634B"/>
    <w:rsid w:val="00A50252"/>
    <w:rsid w:val="00A54B8D"/>
    <w:rsid w:val="00A60C53"/>
    <w:rsid w:val="00A670AE"/>
    <w:rsid w:val="00A70043"/>
    <w:rsid w:val="00AA16A9"/>
    <w:rsid w:val="00AA6548"/>
    <w:rsid w:val="00AB17AC"/>
    <w:rsid w:val="00AB2F2E"/>
    <w:rsid w:val="00AC085B"/>
    <w:rsid w:val="00AD48A9"/>
    <w:rsid w:val="00AE04E9"/>
    <w:rsid w:val="00AE5D85"/>
    <w:rsid w:val="00AF6005"/>
    <w:rsid w:val="00B10FEF"/>
    <w:rsid w:val="00B159E5"/>
    <w:rsid w:val="00B163D0"/>
    <w:rsid w:val="00B258E0"/>
    <w:rsid w:val="00B30DFD"/>
    <w:rsid w:val="00B41004"/>
    <w:rsid w:val="00B4567E"/>
    <w:rsid w:val="00B747D3"/>
    <w:rsid w:val="00B82AFC"/>
    <w:rsid w:val="00B94347"/>
    <w:rsid w:val="00B96B24"/>
    <w:rsid w:val="00BA6A25"/>
    <w:rsid w:val="00BA70DC"/>
    <w:rsid w:val="00BB0EF0"/>
    <w:rsid w:val="00BB32B5"/>
    <w:rsid w:val="00BB5D69"/>
    <w:rsid w:val="00BC4FF3"/>
    <w:rsid w:val="00BC6C9B"/>
    <w:rsid w:val="00BE04E5"/>
    <w:rsid w:val="00BE1CBA"/>
    <w:rsid w:val="00BE3A14"/>
    <w:rsid w:val="00BE401B"/>
    <w:rsid w:val="00BE4CCA"/>
    <w:rsid w:val="00BE53E7"/>
    <w:rsid w:val="00BE5A8C"/>
    <w:rsid w:val="00BF1D20"/>
    <w:rsid w:val="00BF408A"/>
    <w:rsid w:val="00BF4902"/>
    <w:rsid w:val="00BF5193"/>
    <w:rsid w:val="00BF6499"/>
    <w:rsid w:val="00C01535"/>
    <w:rsid w:val="00C10FF6"/>
    <w:rsid w:val="00C11927"/>
    <w:rsid w:val="00C1771A"/>
    <w:rsid w:val="00C21E79"/>
    <w:rsid w:val="00C239A5"/>
    <w:rsid w:val="00C31114"/>
    <w:rsid w:val="00C33884"/>
    <w:rsid w:val="00C36BD1"/>
    <w:rsid w:val="00C375E9"/>
    <w:rsid w:val="00C520EC"/>
    <w:rsid w:val="00C543D4"/>
    <w:rsid w:val="00C572D9"/>
    <w:rsid w:val="00C815EE"/>
    <w:rsid w:val="00C81BCB"/>
    <w:rsid w:val="00C84577"/>
    <w:rsid w:val="00C84F6E"/>
    <w:rsid w:val="00C85AC5"/>
    <w:rsid w:val="00C85C3B"/>
    <w:rsid w:val="00C92D9B"/>
    <w:rsid w:val="00C94516"/>
    <w:rsid w:val="00C94925"/>
    <w:rsid w:val="00CA3F51"/>
    <w:rsid w:val="00CA5FB5"/>
    <w:rsid w:val="00CA5FEC"/>
    <w:rsid w:val="00CA6E8E"/>
    <w:rsid w:val="00CB502A"/>
    <w:rsid w:val="00CC268C"/>
    <w:rsid w:val="00CC4F6B"/>
    <w:rsid w:val="00CD545A"/>
    <w:rsid w:val="00CE00F0"/>
    <w:rsid w:val="00CE3C57"/>
    <w:rsid w:val="00CE6583"/>
    <w:rsid w:val="00CE6939"/>
    <w:rsid w:val="00CE77E9"/>
    <w:rsid w:val="00CF336B"/>
    <w:rsid w:val="00CF4D8A"/>
    <w:rsid w:val="00CF4E42"/>
    <w:rsid w:val="00D01F0D"/>
    <w:rsid w:val="00D07F06"/>
    <w:rsid w:val="00D30253"/>
    <w:rsid w:val="00D306AF"/>
    <w:rsid w:val="00D3246C"/>
    <w:rsid w:val="00D40921"/>
    <w:rsid w:val="00D42D6F"/>
    <w:rsid w:val="00D43DF6"/>
    <w:rsid w:val="00D4409A"/>
    <w:rsid w:val="00D55DB2"/>
    <w:rsid w:val="00D57519"/>
    <w:rsid w:val="00D57AE5"/>
    <w:rsid w:val="00D651AA"/>
    <w:rsid w:val="00D6613D"/>
    <w:rsid w:val="00D66443"/>
    <w:rsid w:val="00D714C9"/>
    <w:rsid w:val="00D7197C"/>
    <w:rsid w:val="00D74F2C"/>
    <w:rsid w:val="00D81C16"/>
    <w:rsid w:val="00D8684D"/>
    <w:rsid w:val="00D9597C"/>
    <w:rsid w:val="00DA303E"/>
    <w:rsid w:val="00DB3D65"/>
    <w:rsid w:val="00DB4B0F"/>
    <w:rsid w:val="00DC5546"/>
    <w:rsid w:val="00DD3C5B"/>
    <w:rsid w:val="00DD4FB2"/>
    <w:rsid w:val="00DF7D20"/>
    <w:rsid w:val="00E01507"/>
    <w:rsid w:val="00E022F4"/>
    <w:rsid w:val="00E05CF6"/>
    <w:rsid w:val="00E10062"/>
    <w:rsid w:val="00E11622"/>
    <w:rsid w:val="00E14E7F"/>
    <w:rsid w:val="00E23619"/>
    <w:rsid w:val="00E26415"/>
    <w:rsid w:val="00E32BA8"/>
    <w:rsid w:val="00E35CCB"/>
    <w:rsid w:val="00E41168"/>
    <w:rsid w:val="00E4195E"/>
    <w:rsid w:val="00E42A40"/>
    <w:rsid w:val="00E506F2"/>
    <w:rsid w:val="00E54903"/>
    <w:rsid w:val="00E66BDC"/>
    <w:rsid w:val="00E75FEF"/>
    <w:rsid w:val="00E80B22"/>
    <w:rsid w:val="00E81F62"/>
    <w:rsid w:val="00E956C8"/>
    <w:rsid w:val="00EA7BD8"/>
    <w:rsid w:val="00EC189D"/>
    <w:rsid w:val="00EC3A7C"/>
    <w:rsid w:val="00ED0D99"/>
    <w:rsid w:val="00ED2754"/>
    <w:rsid w:val="00ED36D4"/>
    <w:rsid w:val="00EE5F50"/>
    <w:rsid w:val="00EE60FB"/>
    <w:rsid w:val="00EF36C6"/>
    <w:rsid w:val="00EF48AB"/>
    <w:rsid w:val="00F01244"/>
    <w:rsid w:val="00F01F5F"/>
    <w:rsid w:val="00F119A9"/>
    <w:rsid w:val="00F2090E"/>
    <w:rsid w:val="00F211FF"/>
    <w:rsid w:val="00F252CA"/>
    <w:rsid w:val="00F30358"/>
    <w:rsid w:val="00F303E4"/>
    <w:rsid w:val="00F329A8"/>
    <w:rsid w:val="00F3434E"/>
    <w:rsid w:val="00F427BA"/>
    <w:rsid w:val="00F4317B"/>
    <w:rsid w:val="00F452E2"/>
    <w:rsid w:val="00F6479A"/>
    <w:rsid w:val="00F652D7"/>
    <w:rsid w:val="00F7258D"/>
    <w:rsid w:val="00F830A7"/>
    <w:rsid w:val="00F83863"/>
    <w:rsid w:val="00F83978"/>
    <w:rsid w:val="00F90182"/>
    <w:rsid w:val="00F926BB"/>
    <w:rsid w:val="00F94C71"/>
    <w:rsid w:val="00F977CE"/>
    <w:rsid w:val="00FA5197"/>
    <w:rsid w:val="00FB56C6"/>
    <w:rsid w:val="00FD1FED"/>
    <w:rsid w:val="00FD7AE4"/>
    <w:rsid w:val="00FE28F0"/>
    <w:rsid w:val="00FF23D8"/>
    <w:rsid w:val="00FF3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F29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03"/>
    <w:pPr>
      <w:spacing w:after="0" w:line="240" w:lineRule="auto"/>
    </w:pPr>
    <w:rPr>
      <w:rFonts w:ascii="Garamond" w:eastAsia="Times" w:hAnsi="Garamond" w:cs="Times New Roman"/>
      <w:sz w:val="24"/>
      <w:szCs w:val="20"/>
      <w:lang w:val="es-ES_tradnl"/>
    </w:rPr>
  </w:style>
  <w:style w:type="paragraph" w:styleId="Heading1">
    <w:name w:val="heading 1"/>
    <w:basedOn w:val="Normal"/>
    <w:next w:val="Normal"/>
    <w:link w:val="Heading1Char"/>
    <w:uiPriority w:val="9"/>
    <w:qFormat/>
    <w:rsid w:val="004076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903"/>
    <w:pPr>
      <w:tabs>
        <w:tab w:val="center" w:pos="4419"/>
        <w:tab w:val="right" w:pos="8838"/>
      </w:tabs>
    </w:pPr>
  </w:style>
  <w:style w:type="character" w:customStyle="1" w:styleId="HeaderChar">
    <w:name w:val="Header Char"/>
    <w:basedOn w:val="DefaultParagraphFont"/>
    <w:link w:val="Header"/>
    <w:uiPriority w:val="99"/>
    <w:rsid w:val="00E54903"/>
    <w:rPr>
      <w:rFonts w:ascii="Garamond" w:eastAsia="Times" w:hAnsi="Garamond" w:cs="Times New Roman"/>
      <w:sz w:val="24"/>
      <w:szCs w:val="20"/>
      <w:lang w:val="es-ES_tradnl"/>
    </w:rPr>
  </w:style>
  <w:style w:type="paragraph" w:styleId="Footer">
    <w:name w:val="footer"/>
    <w:basedOn w:val="Normal"/>
    <w:link w:val="FooterChar"/>
    <w:uiPriority w:val="99"/>
    <w:unhideWhenUsed/>
    <w:rsid w:val="00E54903"/>
    <w:pPr>
      <w:tabs>
        <w:tab w:val="center" w:pos="4419"/>
        <w:tab w:val="right" w:pos="8838"/>
      </w:tabs>
    </w:pPr>
  </w:style>
  <w:style w:type="character" w:customStyle="1" w:styleId="FooterChar">
    <w:name w:val="Footer Char"/>
    <w:basedOn w:val="DefaultParagraphFont"/>
    <w:link w:val="Footer"/>
    <w:uiPriority w:val="99"/>
    <w:rsid w:val="00E54903"/>
    <w:rPr>
      <w:rFonts w:ascii="Garamond" w:eastAsia="Times" w:hAnsi="Garamond" w:cs="Times New Roman"/>
      <w:sz w:val="24"/>
      <w:szCs w:val="20"/>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qFormat/>
    <w:rsid w:val="00E54903"/>
    <w:rPr>
      <w:rFonts w:ascii="Times" w:hAnsi="Times"/>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qFormat/>
    <w:rsid w:val="00E54903"/>
    <w:rPr>
      <w:rFonts w:ascii="Times" w:eastAsia="Times" w:hAnsi="Times" w:cs="Times New Roman"/>
      <w:sz w:val="24"/>
      <w:szCs w:val="20"/>
      <w:lang w:val="es-ES_tradnl"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iPriority w:val="99"/>
    <w:qFormat/>
    <w:rsid w:val="00E54903"/>
    <w:rPr>
      <w:vertAlign w:val="superscript"/>
    </w:rPr>
  </w:style>
  <w:style w:type="character" w:styleId="Hyperlink">
    <w:name w:val="Hyperlink"/>
    <w:uiPriority w:val="99"/>
    <w:unhideWhenUsed/>
    <w:rsid w:val="00E54903"/>
    <w:rPr>
      <w:color w:val="0000FF"/>
      <w:u w:val="single"/>
    </w:rPr>
  </w:style>
  <w:style w:type="character" w:styleId="Strong">
    <w:name w:val="Strong"/>
    <w:uiPriority w:val="22"/>
    <w:qFormat/>
    <w:rsid w:val="00E54903"/>
    <w:rPr>
      <w:b/>
      <w:bCs/>
    </w:rPr>
  </w:style>
  <w:style w:type="paragraph" w:styleId="ListParagraph">
    <w:name w:val="List Paragraph"/>
    <w:aliases w:val="Footnote,Párrafo de lista1,List Paragraph1,Colorful List - Accent 11"/>
    <w:basedOn w:val="Normal"/>
    <w:link w:val="ListParagraphChar"/>
    <w:qFormat/>
    <w:rsid w:val="00E54903"/>
    <w:pPr>
      <w:ind w:left="720"/>
      <w:contextualSpacing/>
    </w:pPr>
  </w:style>
  <w:style w:type="character" w:customStyle="1" w:styleId="ListParagraphChar">
    <w:name w:val="List Paragraph Char"/>
    <w:aliases w:val="Footnote Char,Párrafo de lista1 Char,List Paragraph1 Char,Colorful List - Accent 11 Char"/>
    <w:link w:val="ListParagraph"/>
    <w:uiPriority w:val="34"/>
    <w:locked/>
    <w:rsid w:val="00E54903"/>
    <w:rPr>
      <w:rFonts w:ascii="Garamond" w:eastAsia="Times" w:hAnsi="Garamond" w:cs="Times New Roman"/>
      <w:sz w:val="24"/>
      <w:szCs w:val="20"/>
      <w:lang w:val="es-ES_tradnl"/>
    </w:rPr>
  </w:style>
  <w:style w:type="paragraph" w:styleId="BalloonText">
    <w:name w:val="Balloon Text"/>
    <w:basedOn w:val="Normal"/>
    <w:link w:val="BalloonTextChar"/>
    <w:uiPriority w:val="99"/>
    <w:semiHidden/>
    <w:unhideWhenUsed/>
    <w:rsid w:val="00023701"/>
    <w:rPr>
      <w:rFonts w:ascii="Tahoma" w:hAnsi="Tahoma" w:cs="Tahoma"/>
      <w:sz w:val="16"/>
      <w:szCs w:val="16"/>
    </w:rPr>
  </w:style>
  <w:style w:type="character" w:customStyle="1" w:styleId="BalloonTextChar">
    <w:name w:val="Balloon Text Char"/>
    <w:basedOn w:val="DefaultParagraphFont"/>
    <w:link w:val="BalloonText"/>
    <w:uiPriority w:val="99"/>
    <w:semiHidden/>
    <w:rsid w:val="00023701"/>
    <w:rPr>
      <w:rFonts w:ascii="Tahoma" w:eastAsia="Times" w:hAnsi="Tahoma" w:cs="Tahoma"/>
      <w:sz w:val="16"/>
      <w:szCs w:val="16"/>
      <w:lang w:val="es-ES_tradnl"/>
    </w:rPr>
  </w:style>
  <w:style w:type="character" w:styleId="FollowedHyperlink">
    <w:name w:val="FollowedHyperlink"/>
    <w:basedOn w:val="DefaultParagraphFont"/>
    <w:uiPriority w:val="99"/>
    <w:semiHidden/>
    <w:unhideWhenUsed/>
    <w:rsid w:val="00C36BD1"/>
    <w:rPr>
      <w:color w:val="800080" w:themeColor="followedHyperlink"/>
      <w:u w:val="single"/>
    </w:rPr>
  </w:style>
  <w:style w:type="character" w:styleId="CommentReference">
    <w:name w:val="annotation reference"/>
    <w:basedOn w:val="DefaultParagraphFont"/>
    <w:uiPriority w:val="99"/>
    <w:semiHidden/>
    <w:unhideWhenUsed/>
    <w:rsid w:val="00767BA7"/>
    <w:rPr>
      <w:sz w:val="16"/>
      <w:szCs w:val="16"/>
    </w:rPr>
  </w:style>
  <w:style w:type="paragraph" w:styleId="CommentText">
    <w:name w:val="annotation text"/>
    <w:basedOn w:val="Normal"/>
    <w:link w:val="CommentTextChar"/>
    <w:uiPriority w:val="99"/>
    <w:semiHidden/>
    <w:unhideWhenUsed/>
    <w:rsid w:val="00767BA7"/>
    <w:rPr>
      <w:sz w:val="20"/>
    </w:rPr>
  </w:style>
  <w:style w:type="character" w:customStyle="1" w:styleId="CommentTextChar">
    <w:name w:val="Comment Text Char"/>
    <w:basedOn w:val="DefaultParagraphFont"/>
    <w:link w:val="CommentText"/>
    <w:uiPriority w:val="99"/>
    <w:semiHidden/>
    <w:rsid w:val="00767BA7"/>
    <w:rPr>
      <w:rFonts w:ascii="Garamond" w:eastAsia="Times" w:hAnsi="Garamond"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767BA7"/>
    <w:rPr>
      <w:b/>
      <w:bCs/>
    </w:rPr>
  </w:style>
  <w:style w:type="character" w:customStyle="1" w:styleId="CommentSubjectChar">
    <w:name w:val="Comment Subject Char"/>
    <w:basedOn w:val="CommentTextChar"/>
    <w:link w:val="CommentSubject"/>
    <w:uiPriority w:val="99"/>
    <w:semiHidden/>
    <w:rsid w:val="00767BA7"/>
    <w:rPr>
      <w:rFonts w:ascii="Garamond" w:eastAsia="Times" w:hAnsi="Garamond" w:cs="Times New Roman"/>
      <w:b/>
      <w:bCs/>
      <w:sz w:val="20"/>
      <w:szCs w:val="20"/>
      <w:lang w:val="es-ES_tradnl"/>
    </w:rPr>
  </w:style>
  <w:style w:type="paragraph" w:styleId="Revision">
    <w:name w:val="Revision"/>
    <w:hidden/>
    <w:uiPriority w:val="99"/>
    <w:semiHidden/>
    <w:rsid w:val="00767BA7"/>
    <w:pPr>
      <w:spacing w:after="0" w:line="240" w:lineRule="auto"/>
    </w:pPr>
    <w:rPr>
      <w:rFonts w:ascii="Garamond" w:eastAsia="Times" w:hAnsi="Garamond" w:cs="Times New Roman"/>
      <w:sz w:val="24"/>
      <w:szCs w:val="20"/>
      <w:lang w:val="es-ES_tradnl"/>
    </w:rPr>
  </w:style>
  <w:style w:type="character" w:customStyle="1" w:styleId="Heading1Char">
    <w:name w:val="Heading 1 Char"/>
    <w:basedOn w:val="DefaultParagraphFont"/>
    <w:link w:val="Heading1"/>
    <w:uiPriority w:val="9"/>
    <w:rsid w:val="0040761F"/>
    <w:rPr>
      <w:rFonts w:asciiTheme="majorHAnsi" w:eastAsiaTheme="majorEastAsia" w:hAnsiTheme="majorHAnsi" w:cstheme="majorBidi"/>
      <w:b/>
      <w:bCs/>
      <w:color w:val="365F91" w:themeColor="accent1" w:themeShade="BF"/>
      <w:sz w:val="28"/>
      <w:szCs w:val="28"/>
      <w:lang w:val="es-ES_tradnl"/>
    </w:rPr>
  </w:style>
  <w:style w:type="paragraph" w:styleId="TOC1">
    <w:name w:val="toc 1"/>
    <w:basedOn w:val="Normal"/>
    <w:next w:val="Normal"/>
    <w:autoRedefine/>
    <w:uiPriority w:val="39"/>
    <w:unhideWhenUsed/>
    <w:rsid w:val="0040761F"/>
    <w:pPr>
      <w:spacing w:after="100"/>
    </w:pPr>
  </w:style>
  <w:style w:type="character" w:styleId="LineNumber">
    <w:name w:val="line number"/>
    <w:basedOn w:val="DefaultParagraphFont"/>
    <w:uiPriority w:val="99"/>
    <w:semiHidden/>
    <w:unhideWhenUsed/>
    <w:rsid w:val="000B083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C11927"/>
    <w:pPr>
      <w:jc w:val="both"/>
    </w:pPr>
    <w:rPr>
      <w:rFonts w:asciiTheme="minorHAnsi" w:eastAsiaTheme="minorHAnsi" w:hAnsiTheme="minorHAnsi" w:cstheme="minorBidi"/>
      <w:sz w:val="22"/>
      <w:szCs w:val="22"/>
      <w:vertAlign w:val="superscript"/>
      <w:lang w:val="en-US"/>
    </w:rPr>
  </w:style>
  <w:style w:type="paragraph" w:styleId="NormalWeb">
    <w:name w:val="Normal (Web)"/>
    <w:basedOn w:val="Normal"/>
    <w:uiPriority w:val="99"/>
    <w:semiHidden/>
    <w:unhideWhenUsed/>
    <w:rsid w:val="00770E45"/>
    <w:pPr>
      <w:spacing w:before="100" w:beforeAutospacing="1" w:after="100" w:afterAutospacing="1"/>
    </w:pPr>
    <w:rPr>
      <w:rFonts w:ascii="Times" w:eastAsiaTheme="minorHAnsi" w:hAnsi="Times"/>
      <w:sz w:val="20"/>
      <w:lang w:val="en-US"/>
    </w:rPr>
  </w:style>
  <w:style w:type="paragraph" w:styleId="BodyText2">
    <w:name w:val="Body Text 2"/>
    <w:basedOn w:val="Normal"/>
    <w:link w:val="BodyText2Char"/>
    <w:uiPriority w:val="99"/>
    <w:semiHidden/>
    <w:unhideWhenUsed/>
    <w:rsid w:val="000E3711"/>
    <w:pPr>
      <w:spacing w:after="120" w:line="480" w:lineRule="auto"/>
    </w:pPr>
    <w:rPr>
      <w:lang w:eastAsia="x-none"/>
    </w:rPr>
  </w:style>
  <w:style w:type="character" w:customStyle="1" w:styleId="BodyText2Char">
    <w:name w:val="Body Text 2 Char"/>
    <w:basedOn w:val="DefaultParagraphFont"/>
    <w:link w:val="BodyText2"/>
    <w:uiPriority w:val="99"/>
    <w:semiHidden/>
    <w:rsid w:val="000E3711"/>
    <w:rPr>
      <w:rFonts w:ascii="Garamond" w:eastAsia="Times" w:hAnsi="Garamond" w:cs="Times New Roman"/>
      <w:sz w:val="24"/>
      <w:szCs w:val="20"/>
      <w:lang w:val="es-ES_tradn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03"/>
    <w:pPr>
      <w:spacing w:after="0" w:line="240" w:lineRule="auto"/>
    </w:pPr>
    <w:rPr>
      <w:rFonts w:ascii="Garamond" w:eastAsia="Times" w:hAnsi="Garamond" w:cs="Times New Roman"/>
      <w:sz w:val="24"/>
      <w:szCs w:val="20"/>
      <w:lang w:val="es-ES_tradnl"/>
    </w:rPr>
  </w:style>
  <w:style w:type="paragraph" w:styleId="Heading1">
    <w:name w:val="heading 1"/>
    <w:basedOn w:val="Normal"/>
    <w:next w:val="Normal"/>
    <w:link w:val="Heading1Char"/>
    <w:uiPriority w:val="9"/>
    <w:qFormat/>
    <w:rsid w:val="004076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903"/>
    <w:pPr>
      <w:tabs>
        <w:tab w:val="center" w:pos="4419"/>
        <w:tab w:val="right" w:pos="8838"/>
      </w:tabs>
    </w:pPr>
  </w:style>
  <w:style w:type="character" w:customStyle="1" w:styleId="HeaderChar">
    <w:name w:val="Header Char"/>
    <w:basedOn w:val="DefaultParagraphFont"/>
    <w:link w:val="Header"/>
    <w:uiPriority w:val="99"/>
    <w:rsid w:val="00E54903"/>
    <w:rPr>
      <w:rFonts w:ascii="Garamond" w:eastAsia="Times" w:hAnsi="Garamond" w:cs="Times New Roman"/>
      <w:sz w:val="24"/>
      <w:szCs w:val="20"/>
      <w:lang w:val="es-ES_tradnl"/>
    </w:rPr>
  </w:style>
  <w:style w:type="paragraph" w:styleId="Footer">
    <w:name w:val="footer"/>
    <w:basedOn w:val="Normal"/>
    <w:link w:val="FooterChar"/>
    <w:uiPriority w:val="99"/>
    <w:unhideWhenUsed/>
    <w:rsid w:val="00E54903"/>
    <w:pPr>
      <w:tabs>
        <w:tab w:val="center" w:pos="4419"/>
        <w:tab w:val="right" w:pos="8838"/>
      </w:tabs>
    </w:pPr>
  </w:style>
  <w:style w:type="character" w:customStyle="1" w:styleId="FooterChar">
    <w:name w:val="Footer Char"/>
    <w:basedOn w:val="DefaultParagraphFont"/>
    <w:link w:val="Footer"/>
    <w:uiPriority w:val="99"/>
    <w:rsid w:val="00E54903"/>
    <w:rPr>
      <w:rFonts w:ascii="Garamond" w:eastAsia="Times" w:hAnsi="Garamond" w:cs="Times New Roman"/>
      <w:sz w:val="24"/>
      <w:szCs w:val="20"/>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qFormat/>
    <w:rsid w:val="00E54903"/>
    <w:rPr>
      <w:rFonts w:ascii="Times" w:hAnsi="Times"/>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qFormat/>
    <w:rsid w:val="00E54903"/>
    <w:rPr>
      <w:rFonts w:ascii="Times" w:eastAsia="Times" w:hAnsi="Times" w:cs="Times New Roman"/>
      <w:sz w:val="24"/>
      <w:szCs w:val="20"/>
      <w:lang w:val="es-ES_tradnl"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iPriority w:val="99"/>
    <w:qFormat/>
    <w:rsid w:val="00E54903"/>
    <w:rPr>
      <w:vertAlign w:val="superscript"/>
    </w:rPr>
  </w:style>
  <w:style w:type="character" w:styleId="Hyperlink">
    <w:name w:val="Hyperlink"/>
    <w:uiPriority w:val="99"/>
    <w:unhideWhenUsed/>
    <w:rsid w:val="00E54903"/>
    <w:rPr>
      <w:color w:val="0000FF"/>
      <w:u w:val="single"/>
    </w:rPr>
  </w:style>
  <w:style w:type="character" w:styleId="Strong">
    <w:name w:val="Strong"/>
    <w:uiPriority w:val="22"/>
    <w:qFormat/>
    <w:rsid w:val="00E54903"/>
    <w:rPr>
      <w:b/>
      <w:bCs/>
    </w:rPr>
  </w:style>
  <w:style w:type="paragraph" w:styleId="ListParagraph">
    <w:name w:val="List Paragraph"/>
    <w:aliases w:val="Footnote,Párrafo de lista1,List Paragraph1,Colorful List - Accent 11"/>
    <w:basedOn w:val="Normal"/>
    <w:link w:val="ListParagraphChar"/>
    <w:qFormat/>
    <w:rsid w:val="00E54903"/>
    <w:pPr>
      <w:ind w:left="720"/>
      <w:contextualSpacing/>
    </w:pPr>
  </w:style>
  <w:style w:type="character" w:customStyle="1" w:styleId="ListParagraphChar">
    <w:name w:val="List Paragraph Char"/>
    <w:aliases w:val="Footnote Char,Párrafo de lista1 Char,List Paragraph1 Char,Colorful List - Accent 11 Char"/>
    <w:link w:val="ListParagraph"/>
    <w:uiPriority w:val="34"/>
    <w:locked/>
    <w:rsid w:val="00E54903"/>
    <w:rPr>
      <w:rFonts w:ascii="Garamond" w:eastAsia="Times" w:hAnsi="Garamond" w:cs="Times New Roman"/>
      <w:sz w:val="24"/>
      <w:szCs w:val="20"/>
      <w:lang w:val="es-ES_tradnl"/>
    </w:rPr>
  </w:style>
  <w:style w:type="paragraph" w:styleId="BalloonText">
    <w:name w:val="Balloon Text"/>
    <w:basedOn w:val="Normal"/>
    <w:link w:val="BalloonTextChar"/>
    <w:uiPriority w:val="99"/>
    <w:semiHidden/>
    <w:unhideWhenUsed/>
    <w:rsid w:val="00023701"/>
    <w:rPr>
      <w:rFonts w:ascii="Tahoma" w:hAnsi="Tahoma" w:cs="Tahoma"/>
      <w:sz w:val="16"/>
      <w:szCs w:val="16"/>
    </w:rPr>
  </w:style>
  <w:style w:type="character" w:customStyle="1" w:styleId="BalloonTextChar">
    <w:name w:val="Balloon Text Char"/>
    <w:basedOn w:val="DefaultParagraphFont"/>
    <w:link w:val="BalloonText"/>
    <w:uiPriority w:val="99"/>
    <w:semiHidden/>
    <w:rsid w:val="00023701"/>
    <w:rPr>
      <w:rFonts w:ascii="Tahoma" w:eastAsia="Times" w:hAnsi="Tahoma" w:cs="Tahoma"/>
      <w:sz w:val="16"/>
      <w:szCs w:val="16"/>
      <w:lang w:val="es-ES_tradnl"/>
    </w:rPr>
  </w:style>
  <w:style w:type="character" w:styleId="FollowedHyperlink">
    <w:name w:val="FollowedHyperlink"/>
    <w:basedOn w:val="DefaultParagraphFont"/>
    <w:uiPriority w:val="99"/>
    <w:semiHidden/>
    <w:unhideWhenUsed/>
    <w:rsid w:val="00C36BD1"/>
    <w:rPr>
      <w:color w:val="800080" w:themeColor="followedHyperlink"/>
      <w:u w:val="single"/>
    </w:rPr>
  </w:style>
  <w:style w:type="character" w:styleId="CommentReference">
    <w:name w:val="annotation reference"/>
    <w:basedOn w:val="DefaultParagraphFont"/>
    <w:uiPriority w:val="99"/>
    <w:semiHidden/>
    <w:unhideWhenUsed/>
    <w:rsid w:val="00767BA7"/>
    <w:rPr>
      <w:sz w:val="16"/>
      <w:szCs w:val="16"/>
    </w:rPr>
  </w:style>
  <w:style w:type="paragraph" w:styleId="CommentText">
    <w:name w:val="annotation text"/>
    <w:basedOn w:val="Normal"/>
    <w:link w:val="CommentTextChar"/>
    <w:uiPriority w:val="99"/>
    <w:semiHidden/>
    <w:unhideWhenUsed/>
    <w:rsid w:val="00767BA7"/>
    <w:rPr>
      <w:sz w:val="20"/>
    </w:rPr>
  </w:style>
  <w:style w:type="character" w:customStyle="1" w:styleId="CommentTextChar">
    <w:name w:val="Comment Text Char"/>
    <w:basedOn w:val="DefaultParagraphFont"/>
    <w:link w:val="CommentText"/>
    <w:uiPriority w:val="99"/>
    <w:semiHidden/>
    <w:rsid w:val="00767BA7"/>
    <w:rPr>
      <w:rFonts w:ascii="Garamond" w:eastAsia="Times" w:hAnsi="Garamond"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767BA7"/>
    <w:rPr>
      <w:b/>
      <w:bCs/>
    </w:rPr>
  </w:style>
  <w:style w:type="character" w:customStyle="1" w:styleId="CommentSubjectChar">
    <w:name w:val="Comment Subject Char"/>
    <w:basedOn w:val="CommentTextChar"/>
    <w:link w:val="CommentSubject"/>
    <w:uiPriority w:val="99"/>
    <w:semiHidden/>
    <w:rsid w:val="00767BA7"/>
    <w:rPr>
      <w:rFonts w:ascii="Garamond" w:eastAsia="Times" w:hAnsi="Garamond" w:cs="Times New Roman"/>
      <w:b/>
      <w:bCs/>
      <w:sz w:val="20"/>
      <w:szCs w:val="20"/>
      <w:lang w:val="es-ES_tradnl"/>
    </w:rPr>
  </w:style>
  <w:style w:type="paragraph" w:styleId="Revision">
    <w:name w:val="Revision"/>
    <w:hidden/>
    <w:uiPriority w:val="99"/>
    <w:semiHidden/>
    <w:rsid w:val="00767BA7"/>
    <w:pPr>
      <w:spacing w:after="0" w:line="240" w:lineRule="auto"/>
    </w:pPr>
    <w:rPr>
      <w:rFonts w:ascii="Garamond" w:eastAsia="Times" w:hAnsi="Garamond" w:cs="Times New Roman"/>
      <w:sz w:val="24"/>
      <w:szCs w:val="20"/>
      <w:lang w:val="es-ES_tradnl"/>
    </w:rPr>
  </w:style>
  <w:style w:type="character" w:customStyle="1" w:styleId="Heading1Char">
    <w:name w:val="Heading 1 Char"/>
    <w:basedOn w:val="DefaultParagraphFont"/>
    <w:link w:val="Heading1"/>
    <w:uiPriority w:val="9"/>
    <w:rsid w:val="0040761F"/>
    <w:rPr>
      <w:rFonts w:asciiTheme="majorHAnsi" w:eastAsiaTheme="majorEastAsia" w:hAnsiTheme="majorHAnsi" w:cstheme="majorBidi"/>
      <w:b/>
      <w:bCs/>
      <w:color w:val="365F91" w:themeColor="accent1" w:themeShade="BF"/>
      <w:sz w:val="28"/>
      <w:szCs w:val="28"/>
      <w:lang w:val="es-ES_tradnl"/>
    </w:rPr>
  </w:style>
  <w:style w:type="paragraph" w:styleId="TOC1">
    <w:name w:val="toc 1"/>
    <w:basedOn w:val="Normal"/>
    <w:next w:val="Normal"/>
    <w:autoRedefine/>
    <w:uiPriority w:val="39"/>
    <w:unhideWhenUsed/>
    <w:rsid w:val="0040761F"/>
    <w:pPr>
      <w:spacing w:after="100"/>
    </w:pPr>
  </w:style>
  <w:style w:type="character" w:styleId="LineNumber">
    <w:name w:val="line number"/>
    <w:basedOn w:val="DefaultParagraphFont"/>
    <w:uiPriority w:val="99"/>
    <w:semiHidden/>
    <w:unhideWhenUsed/>
    <w:rsid w:val="000B083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C11927"/>
    <w:pPr>
      <w:jc w:val="both"/>
    </w:pPr>
    <w:rPr>
      <w:rFonts w:asciiTheme="minorHAnsi" w:eastAsiaTheme="minorHAnsi" w:hAnsiTheme="minorHAnsi" w:cstheme="minorBidi"/>
      <w:sz w:val="22"/>
      <w:szCs w:val="22"/>
      <w:vertAlign w:val="superscript"/>
      <w:lang w:val="en-US"/>
    </w:rPr>
  </w:style>
  <w:style w:type="paragraph" w:styleId="NormalWeb">
    <w:name w:val="Normal (Web)"/>
    <w:basedOn w:val="Normal"/>
    <w:uiPriority w:val="99"/>
    <w:semiHidden/>
    <w:unhideWhenUsed/>
    <w:rsid w:val="00770E45"/>
    <w:pPr>
      <w:spacing w:before="100" w:beforeAutospacing="1" w:after="100" w:afterAutospacing="1"/>
    </w:pPr>
    <w:rPr>
      <w:rFonts w:ascii="Times" w:eastAsiaTheme="minorHAnsi" w:hAnsi="Times"/>
      <w:sz w:val="20"/>
      <w:lang w:val="en-US"/>
    </w:rPr>
  </w:style>
  <w:style w:type="paragraph" w:styleId="BodyText2">
    <w:name w:val="Body Text 2"/>
    <w:basedOn w:val="Normal"/>
    <w:link w:val="BodyText2Char"/>
    <w:uiPriority w:val="99"/>
    <w:semiHidden/>
    <w:unhideWhenUsed/>
    <w:rsid w:val="000E3711"/>
    <w:pPr>
      <w:spacing w:after="120" w:line="480" w:lineRule="auto"/>
    </w:pPr>
    <w:rPr>
      <w:lang w:eastAsia="x-none"/>
    </w:rPr>
  </w:style>
  <w:style w:type="character" w:customStyle="1" w:styleId="BodyText2Char">
    <w:name w:val="Body Text 2 Char"/>
    <w:basedOn w:val="DefaultParagraphFont"/>
    <w:link w:val="BodyText2"/>
    <w:uiPriority w:val="99"/>
    <w:semiHidden/>
    <w:rsid w:val="000E3711"/>
    <w:rPr>
      <w:rFonts w:ascii="Garamond" w:eastAsia="Times" w:hAnsi="Garamond" w:cs="Times New Roman"/>
      <w:sz w:val="24"/>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1373">
      <w:bodyDiv w:val="1"/>
      <w:marLeft w:val="0"/>
      <w:marRight w:val="0"/>
      <w:marTop w:val="0"/>
      <w:marBottom w:val="0"/>
      <w:divBdr>
        <w:top w:val="none" w:sz="0" w:space="0" w:color="auto"/>
        <w:left w:val="none" w:sz="0" w:space="0" w:color="auto"/>
        <w:bottom w:val="none" w:sz="0" w:space="0" w:color="auto"/>
        <w:right w:val="none" w:sz="0" w:space="0" w:color="auto"/>
      </w:divBdr>
    </w:div>
    <w:div w:id="238490802">
      <w:bodyDiv w:val="1"/>
      <w:marLeft w:val="0"/>
      <w:marRight w:val="0"/>
      <w:marTop w:val="0"/>
      <w:marBottom w:val="0"/>
      <w:divBdr>
        <w:top w:val="none" w:sz="0" w:space="0" w:color="auto"/>
        <w:left w:val="none" w:sz="0" w:space="0" w:color="auto"/>
        <w:bottom w:val="none" w:sz="0" w:space="0" w:color="auto"/>
        <w:right w:val="none" w:sz="0" w:space="0" w:color="auto"/>
      </w:divBdr>
    </w:div>
    <w:div w:id="287707575">
      <w:bodyDiv w:val="1"/>
      <w:marLeft w:val="0"/>
      <w:marRight w:val="0"/>
      <w:marTop w:val="0"/>
      <w:marBottom w:val="0"/>
      <w:divBdr>
        <w:top w:val="none" w:sz="0" w:space="0" w:color="auto"/>
        <w:left w:val="none" w:sz="0" w:space="0" w:color="auto"/>
        <w:bottom w:val="none" w:sz="0" w:space="0" w:color="auto"/>
        <w:right w:val="none" w:sz="0" w:space="0" w:color="auto"/>
      </w:divBdr>
      <w:divsChild>
        <w:div w:id="1516381707">
          <w:marLeft w:val="0"/>
          <w:marRight w:val="0"/>
          <w:marTop w:val="0"/>
          <w:marBottom w:val="0"/>
          <w:divBdr>
            <w:top w:val="none" w:sz="0" w:space="0" w:color="auto"/>
            <w:left w:val="none" w:sz="0" w:space="0" w:color="auto"/>
            <w:bottom w:val="none" w:sz="0" w:space="0" w:color="auto"/>
            <w:right w:val="none" w:sz="0" w:space="0" w:color="auto"/>
          </w:divBdr>
          <w:divsChild>
            <w:div w:id="1284923671">
              <w:marLeft w:val="0"/>
              <w:marRight w:val="0"/>
              <w:marTop w:val="0"/>
              <w:marBottom w:val="0"/>
              <w:divBdr>
                <w:top w:val="none" w:sz="0" w:space="0" w:color="auto"/>
                <w:left w:val="none" w:sz="0" w:space="0" w:color="auto"/>
                <w:bottom w:val="none" w:sz="0" w:space="0" w:color="auto"/>
                <w:right w:val="none" w:sz="0" w:space="0" w:color="auto"/>
              </w:divBdr>
              <w:divsChild>
                <w:div w:id="3637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07616">
      <w:bodyDiv w:val="1"/>
      <w:marLeft w:val="0"/>
      <w:marRight w:val="0"/>
      <w:marTop w:val="0"/>
      <w:marBottom w:val="0"/>
      <w:divBdr>
        <w:top w:val="none" w:sz="0" w:space="0" w:color="auto"/>
        <w:left w:val="none" w:sz="0" w:space="0" w:color="auto"/>
        <w:bottom w:val="none" w:sz="0" w:space="0" w:color="auto"/>
        <w:right w:val="none" w:sz="0" w:space="0" w:color="auto"/>
      </w:divBdr>
      <w:divsChild>
        <w:div w:id="1244295875">
          <w:marLeft w:val="0"/>
          <w:marRight w:val="0"/>
          <w:marTop w:val="0"/>
          <w:marBottom w:val="0"/>
          <w:divBdr>
            <w:top w:val="none" w:sz="0" w:space="0" w:color="auto"/>
            <w:left w:val="none" w:sz="0" w:space="0" w:color="auto"/>
            <w:bottom w:val="none" w:sz="0" w:space="0" w:color="auto"/>
            <w:right w:val="none" w:sz="0" w:space="0" w:color="auto"/>
          </w:divBdr>
          <w:divsChild>
            <w:div w:id="1662924258">
              <w:marLeft w:val="0"/>
              <w:marRight w:val="0"/>
              <w:marTop w:val="0"/>
              <w:marBottom w:val="0"/>
              <w:divBdr>
                <w:top w:val="none" w:sz="0" w:space="0" w:color="auto"/>
                <w:left w:val="none" w:sz="0" w:space="0" w:color="auto"/>
                <w:bottom w:val="none" w:sz="0" w:space="0" w:color="auto"/>
                <w:right w:val="none" w:sz="0" w:space="0" w:color="auto"/>
              </w:divBdr>
              <w:divsChild>
                <w:div w:id="1173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6928">
      <w:bodyDiv w:val="1"/>
      <w:marLeft w:val="0"/>
      <w:marRight w:val="0"/>
      <w:marTop w:val="0"/>
      <w:marBottom w:val="0"/>
      <w:divBdr>
        <w:top w:val="none" w:sz="0" w:space="0" w:color="auto"/>
        <w:left w:val="none" w:sz="0" w:space="0" w:color="auto"/>
        <w:bottom w:val="none" w:sz="0" w:space="0" w:color="auto"/>
        <w:right w:val="none" w:sz="0" w:space="0" w:color="auto"/>
      </w:divBdr>
    </w:div>
    <w:div w:id="1146895927">
      <w:bodyDiv w:val="1"/>
      <w:marLeft w:val="0"/>
      <w:marRight w:val="0"/>
      <w:marTop w:val="0"/>
      <w:marBottom w:val="0"/>
      <w:divBdr>
        <w:top w:val="none" w:sz="0" w:space="0" w:color="auto"/>
        <w:left w:val="none" w:sz="0" w:space="0" w:color="auto"/>
        <w:bottom w:val="none" w:sz="0" w:space="0" w:color="auto"/>
        <w:right w:val="none" w:sz="0" w:space="0" w:color="auto"/>
      </w:divBdr>
    </w:div>
    <w:div w:id="1361396117">
      <w:bodyDiv w:val="1"/>
      <w:marLeft w:val="0"/>
      <w:marRight w:val="0"/>
      <w:marTop w:val="0"/>
      <w:marBottom w:val="0"/>
      <w:divBdr>
        <w:top w:val="none" w:sz="0" w:space="0" w:color="auto"/>
        <w:left w:val="none" w:sz="0" w:space="0" w:color="auto"/>
        <w:bottom w:val="none" w:sz="0" w:space="0" w:color="auto"/>
        <w:right w:val="none" w:sz="0" w:space="0" w:color="auto"/>
      </w:divBdr>
    </w:div>
    <w:div w:id="21057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saramaka_23_11_11.pdf" TargetMode="External"/><Relationship Id="rId2" Type="http://schemas.openxmlformats.org/officeDocument/2006/relationships/hyperlink" Target="http://www.corteidh.or.cr/docs/casos/articulos/seriec_185_esp.pdf" TargetMode="External"/><Relationship Id="rId1" Type="http://schemas.openxmlformats.org/officeDocument/2006/relationships/hyperlink" Target="http://www.corteidh.or.cr/docs/casos/articulos/seriec_172_esp.pdf" TargetMode="External"/><Relationship Id="rId5" Type="http://schemas.openxmlformats.org/officeDocument/2006/relationships/hyperlink" Target="http://business.financialpost.com/investing/iamgolds-rosebel-mine-expansion-approved-by-suriname" TargetMode="External"/><Relationship Id="rId4" Type="http://schemas.openxmlformats.org/officeDocument/2006/relationships/hyperlink" Target="http://www.corteidh.or.cr/docs/supervisiones/saramaka_04_09_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A89D-2AA8-45C4-B539-8062EAEB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8768</Words>
  <Characters>48229</Characters>
  <Application>Microsoft Office Word</Application>
  <DocSecurity>4</DocSecurity>
  <Lines>401</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2018-11-16T16:32:00Z</cp:lastPrinted>
  <dcterms:created xsi:type="dcterms:W3CDTF">2018-11-16T16:32:00Z</dcterms:created>
  <dcterms:modified xsi:type="dcterms:W3CDTF">2018-11-16T16:33:00Z</dcterms:modified>
</cp:coreProperties>
</file>