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EFC64" w14:textId="77777777" w:rsidR="00E54903" w:rsidRPr="00525E62" w:rsidRDefault="00E54903" w:rsidP="00E54903">
      <w:pPr>
        <w:rPr>
          <w:lang w:val="en-US"/>
        </w:rPr>
      </w:pPr>
    </w:p>
    <w:p w14:paraId="0E074A19" w14:textId="77777777" w:rsidR="00E54903" w:rsidRPr="00525E62" w:rsidRDefault="00E54903" w:rsidP="00E54903">
      <w:pPr>
        <w:jc w:val="center"/>
        <w:rPr>
          <w:rFonts w:ascii="Verdana" w:hAnsi="Verdana"/>
          <w:b/>
          <w:sz w:val="20"/>
          <w:lang w:val="en-US"/>
        </w:rPr>
      </w:pPr>
    </w:p>
    <w:p w14:paraId="1362DBD4" w14:textId="77777777" w:rsidR="009123F9" w:rsidRPr="00525E62" w:rsidRDefault="009123F9" w:rsidP="00E54903">
      <w:pPr>
        <w:jc w:val="center"/>
        <w:rPr>
          <w:rFonts w:ascii="Verdana" w:hAnsi="Verdana"/>
          <w:b/>
          <w:sz w:val="20"/>
          <w:lang w:val="en-US"/>
        </w:rPr>
      </w:pPr>
    </w:p>
    <w:p w14:paraId="206241C2" w14:textId="77777777" w:rsidR="004A1227" w:rsidRPr="00525E62" w:rsidRDefault="004A1227" w:rsidP="00E54903">
      <w:pPr>
        <w:jc w:val="center"/>
        <w:rPr>
          <w:rFonts w:ascii="Verdana" w:hAnsi="Verdana"/>
          <w:b/>
          <w:sz w:val="20"/>
          <w:lang w:val="en-US"/>
        </w:rPr>
      </w:pPr>
    </w:p>
    <w:p w14:paraId="48B26C76" w14:textId="77777777" w:rsidR="00E54903" w:rsidRPr="00525E62" w:rsidRDefault="00E54903" w:rsidP="00E54903">
      <w:pPr>
        <w:jc w:val="center"/>
        <w:rPr>
          <w:rFonts w:ascii="Verdana" w:hAnsi="Verdana"/>
          <w:b/>
          <w:sz w:val="20"/>
          <w:lang w:val="en-US"/>
        </w:rPr>
      </w:pPr>
    </w:p>
    <w:p w14:paraId="5DB57745" w14:textId="77777777" w:rsidR="00E54903" w:rsidRPr="00525E62" w:rsidRDefault="00E54903" w:rsidP="00E54903">
      <w:pPr>
        <w:jc w:val="center"/>
        <w:rPr>
          <w:rFonts w:ascii="Verdana" w:hAnsi="Verdana"/>
          <w:b/>
          <w:sz w:val="20"/>
          <w:lang w:val="en-US"/>
        </w:rPr>
      </w:pPr>
    </w:p>
    <w:p w14:paraId="15AD8B14" w14:textId="77777777" w:rsidR="00E54903" w:rsidRDefault="00E54903" w:rsidP="00E54903">
      <w:pPr>
        <w:jc w:val="center"/>
        <w:rPr>
          <w:rFonts w:ascii="Verdana" w:hAnsi="Verdana"/>
          <w:b/>
          <w:sz w:val="20"/>
          <w:lang w:val="en-US"/>
        </w:rPr>
      </w:pPr>
    </w:p>
    <w:p w14:paraId="1FBD64B3" w14:textId="77777777" w:rsidR="0020651E" w:rsidRPr="00525E62" w:rsidRDefault="0020651E" w:rsidP="00E54903">
      <w:pPr>
        <w:jc w:val="center"/>
        <w:rPr>
          <w:rFonts w:ascii="Verdana" w:hAnsi="Verdana"/>
          <w:b/>
          <w:sz w:val="20"/>
          <w:lang w:val="en-US"/>
        </w:rPr>
      </w:pPr>
    </w:p>
    <w:p w14:paraId="3DBD3F27" w14:textId="3F59498A" w:rsidR="00E54903" w:rsidRPr="00525E62" w:rsidRDefault="00C93224" w:rsidP="00E54903">
      <w:pPr>
        <w:jc w:val="center"/>
        <w:rPr>
          <w:rFonts w:ascii="Verdana" w:hAnsi="Verdana"/>
          <w:b/>
          <w:sz w:val="20"/>
          <w:lang w:val="en-US"/>
        </w:rPr>
      </w:pPr>
      <w:r w:rsidRPr="00525E62">
        <w:rPr>
          <w:rFonts w:ascii="Verdana" w:hAnsi="Verdana"/>
          <w:b/>
          <w:sz w:val="20"/>
          <w:lang w:val="en-US"/>
        </w:rPr>
        <w:t>ORDER OF THE</w:t>
      </w:r>
    </w:p>
    <w:p w14:paraId="447F8CCB" w14:textId="77777777" w:rsidR="00913E65" w:rsidRPr="00525E62" w:rsidRDefault="00913E65" w:rsidP="00E54903">
      <w:pPr>
        <w:jc w:val="center"/>
        <w:rPr>
          <w:rFonts w:ascii="Verdana" w:hAnsi="Verdana"/>
          <w:b/>
          <w:sz w:val="20"/>
          <w:lang w:val="en-US"/>
        </w:rPr>
      </w:pPr>
    </w:p>
    <w:p w14:paraId="202CA08C" w14:textId="7AAC6278" w:rsidR="00E54903" w:rsidRPr="00525E62" w:rsidRDefault="00C93224" w:rsidP="00E54903">
      <w:pPr>
        <w:jc w:val="center"/>
        <w:rPr>
          <w:rFonts w:ascii="Verdana" w:hAnsi="Verdana"/>
          <w:b/>
          <w:sz w:val="20"/>
          <w:lang w:val="en-US"/>
        </w:rPr>
      </w:pPr>
      <w:r w:rsidRPr="00525E62">
        <w:rPr>
          <w:rFonts w:ascii="Verdana" w:hAnsi="Verdana"/>
          <w:b/>
          <w:sz w:val="20"/>
          <w:lang w:val="en-US"/>
        </w:rPr>
        <w:t>INTER-AMERICAN COURT OF HUMAN RIGHTS</w:t>
      </w:r>
      <w:r w:rsidR="009123F9" w:rsidRPr="00525E62">
        <w:rPr>
          <w:rStyle w:val="FootnoteReference"/>
          <w:rFonts w:ascii="Verdana" w:hAnsi="Verdana"/>
          <w:b/>
          <w:sz w:val="20"/>
          <w:lang w:val="en-US"/>
        </w:rPr>
        <w:footnoteReference w:customMarkFollows="1" w:id="1"/>
        <w:t>*</w:t>
      </w:r>
      <w:r w:rsidR="00E54903" w:rsidRPr="00525E62">
        <w:rPr>
          <w:rFonts w:ascii="Verdana" w:hAnsi="Verdana"/>
          <w:b/>
          <w:sz w:val="20"/>
          <w:lang w:val="en-US"/>
        </w:rPr>
        <w:t xml:space="preserve"> </w:t>
      </w:r>
    </w:p>
    <w:p w14:paraId="6B17EB7B" w14:textId="77777777" w:rsidR="00E54903" w:rsidRPr="00525E62" w:rsidRDefault="00E54903" w:rsidP="00E54903">
      <w:pPr>
        <w:jc w:val="center"/>
        <w:rPr>
          <w:rFonts w:ascii="Verdana" w:hAnsi="Verdana"/>
          <w:b/>
          <w:sz w:val="20"/>
          <w:lang w:val="en-US"/>
        </w:rPr>
      </w:pPr>
    </w:p>
    <w:p w14:paraId="0FB1B89C" w14:textId="1E4B5C86" w:rsidR="00E54903" w:rsidRPr="00525E62" w:rsidRDefault="00C93224" w:rsidP="00E54903">
      <w:pPr>
        <w:jc w:val="center"/>
        <w:rPr>
          <w:rFonts w:ascii="Verdana" w:hAnsi="Verdana"/>
          <w:b/>
          <w:sz w:val="20"/>
          <w:lang w:val="en-US"/>
        </w:rPr>
      </w:pPr>
      <w:r w:rsidRPr="00525E62">
        <w:rPr>
          <w:rFonts w:ascii="Verdana" w:hAnsi="Verdana"/>
          <w:b/>
          <w:sz w:val="20"/>
          <w:lang w:val="en-US"/>
        </w:rPr>
        <w:t>SEPTEMBER 26,</w:t>
      </w:r>
      <w:r w:rsidR="00E54903" w:rsidRPr="00525E62">
        <w:rPr>
          <w:rFonts w:ascii="Verdana" w:hAnsi="Verdana"/>
          <w:b/>
          <w:sz w:val="20"/>
          <w:lang w:val="en-US"/>
        </w:rPr>
        <w:t xml:space="preserve"> </w:t>
      </w:r>
      <w:r w:rsidR="001F388D" w:rsidRPr="00525E62">
        <w:rPr>
          <w:rFonts w:ascii="Verdana" w:hAnsi="Verdana"/>
          <w:b/>
          <w:sz w:val="20"/>
          <w:lang w:val="en-US"/>
        </w:rPr>
        <w:t>2018</w:t>
      </w:r>
    </w:p>
    <w:p w14:paraId="3003F3F1" w14:textId="77777777" w:rsidR="00E54903" w:rsidRPr="00525E62" w:rsidRDefault="00E54903" w:rsidP="00E54903">
      <w:pPr>
        <w:jc w:val="center"/>
        <w:rPr>
          <w:rFonts w:ascii="Verdana" w:hAnsi="Verdana"/>
          <w:b/>
          <w:sz w:val="20"/>
          <w:lang w:val="en-US"/>
        </w:rPr>
      </w:pPr>
    </w:p>
    <w:p w14:paraId="22B23207" w14:textId="11888EEA" w:rsidR="00E54903" w:rsidRPr="00525E62" w:rsidRDefault="00E54903" w:rsidP="00E54903">
      <w:pPr>
        <w:jc w:val="center"/>
        <w:rPr>
          <w:rFonts w:ascii="Verdana" w:hAnsi="Verdana"/>
          <w:b/>
          <w:i/>
          <w:sz w:val="20"/>
          <w:lang w:val="en-US"/>
        </w:rPr>
      </w:pPr>
      <w:r w:rsidRPr="00525E62">
        <w:rPr>
          <w:rFonts w:ascii="Verdana" w:hAnsi="Verdana"/>
          <w:b/>
          <w:i/>
          <w:sz w:val="20"/>
          <w:lang w:val="en-US"/>
        </w:rPr>
        <w:t>CAS</w:t>
      </w:r>
      <w:r w:rsidR="00C93224" w:rsidRPr="00525E62">
        <w:rPr>
          <w:rFonts w:ascii="Verdana" w:hAnsi="Verdana"/>
          <w:b/>
          <w:i/>
          <w:sz w:val="20"/>
          <w:lang w:val="en-US"/>
        </w:rPr>
        <w:t xml:space="preserve">E OF THE </w:t>
      </w:r>
      <w:r w:rsidR="00D66443" w:rsidRPr="00525E62">
        <w:rPr>
          <w:rFonts w:ascii="Verdana" w:hAnsi="Verdana"/>
          <w:b/>
          <w:i/>
          <w:sz w:val="20"/>
          <w:lang w:val="en-US"/>
        </w:rPr>
        <w:t>SARAMAKA</w:t>
      </w:r>
      <w:r w:rsidRPr="00525E62">
        <w:rPr>
          <w:rFonts w:ascii="Verdana" w:hAnsi="Verdana"/>
          <w:b/>
          <w:i/>
          <w:sz w:val="20"/>
          <w:lang w:val="en-US"/>
        </w:rPr>
        <w:t xml:space="preserve"> </w:t>
      </w:r>
      <w:r w:rsidR="00C93224" w:rsidRPr="00525E62">
        <w:rPr>
          <w:rFonts w:ascii="Verdana" w:hAnsi="Verdana"/>
          <w:b/>
          <w:i/>
          <w:sz w:val="20"/>
          <w:lang w:val="en-US"/>
        </w:rPr>
        <w:tab/>
        <w:t xml:space="preserve">PEOPLE </w:t>
      </w:r>
      <w:r w:rsidRPr="00525E62">
        <w:rPr>
          <w:rFonts w:ascii="Verdana" w:hAnsi="Verdana"/>
          <w:b/>
          <w:i/>
          <w:sz w:val="20"/>
          <w:lang w:val="en-US"/>
        </w:rPr>
        <w:t>V. SURINAM</w:t>
      </w:r>
      <w:r w:rsidR="00C93224" w:rsidRPr="00525E62">
        <w:rPr>
          <w:rFonts w:ascii="Verdana" w:hAnsi="Verdana"/>
          <w:b/>
          <w:i/>
          <w:sz w:val="20"/>
          <w:lang w:val="en-US"/>
        </w:rPr>
        <w:t>E</w:t>
      </w:r>
    </w:p>
    <w:p w14:paraId="29360957" w14:textId="77777777" w:rsidR="00E54903" w:rsidRPr="00525E62" w:rsidRDefault="00E54903" w:rsidP="00E54903">
      <w:pPr>
        <w:jc w:val="center"/>
        <w:rPr>
          <w:rFonts w:ascii="Verdana" w:hAnsi="Verdana"/>
          <w:b/>
          <w:sz w:val="20"/>
          <w:lang w:val="en-US"/>
        </w:rPr>
      </w:pPr>
    </w:p>
    <w:p w14:paraId="19111D6F" w14:textId="502EE458" w:rsidR="00E54903" w:rsidRPr="00525E62" w:rsidRDefault="00C93224" w:rsidP="00E54903">
      <w:pPr>
        <w:jc w:val="center"/>
        <w:rPr>
          <w:rFonts w:ascii="Times New Roman" w:eastAsiaTheme="minorHAnsi" w:hAnsi="Times New Roman"/>
          <w:szCs w:val="24"/>
          <w:lang w:val="en-US" w:eastAsia="es-CR"/>
        </w:rPr>
      </w:pPr>
      <w:r w:rsidRPr="00525E62">
        <w:rPr>
          <w:rFonts w:ascii="Verdana" w:hAnsi="Verdana"/>
          <w:b/>
          <w:sz w:val="20"/>
          <w:lang w:val="en-US"/>
        </w:rPr>
        <w:t>MONITORING COMPLIANCE WITH JUDGMENT</w:t>
      </w:r>
    </w:p>
    <w:p w14:paraId="40A2E219" w14:textId="5963B7E2" w:rsidR="00E54903" w:rsidRPr="00525E62" w:rsidRDefault="00E54903" w:rsidP="00E54903">
      <w:pPr>
        <w:jc w:val="both"/>
        <w:rPr>
          <w:rFonts w:ascii="Verdana" w:hAnsi="Verdana"/>
          <w:b/>
          <w:sz w:val="20"/>
          <w:szCs w:val="22"/>
          <w:lang w:val="en-US"/>
        </w:rPr>
      </w:pPr>
    </w:p>
    <w:p w14:paraId="619236C3" w14:textId="77777777" w:rsidR="00DD5AA2" w:rsidRPr="00525E62" w:rsidRDefault="00DD5AA2" w:rsidP="00E54903">
      <w:pPr>
        <w:jc w:val="both"/>
        <w:rPr>
          <w:rFonts w:ascii="Verdana" w:hAnsi="Verdana"/>
          <w:b/>
          <w:sz w:val="20"/>
          <w:szCs w:val="22"/>
          <w:lang w:val="en-US"/>
        </w:rPr>
      </w:pPr>
    </w:p>
    <w:p w14:paraId="02C5613A" w14:textId="77777777" w:rsidR="00C93224" w:rsidRPr="00525E62" w:rsidRDefault="00C93224" w:rsidP="00E54903">
      <w:pPr>
        <w:jc w:val="both"/>
        <w:rPr>
          <w:rFonts w:ascii="Verdana" w:hAnsi="Verdana"/>
          <w:b/>
          <w:sz w:val="20"/>
          <w:lang w:val="en-US"/>
        </w:rPr>
      </w:pPr>
    </w:p>
    <w:p w14:paraId="60A088B3" w14:textId="77777777" w:rsidR="00C93224" w:rsidRPr="00525E62" w:rsidRDefault="00C93224" w:rsidP="00E54903">
      <w:pPr>
        <w:jc w:val="both"/>
        <w:rPr>
          <w:rFonts w:ascii="Verdana" w:hAnsi="Verdana"/>
          <w:b/>
          <w:sz w:val="20"/>
          <w:lang w:val="en-US"/>
        </w:rPr>
      </w:pPr>
    </w:p>
    <w:p w14:paraId="43C8AA74" w14:textId="33327F92" w:rsidR="00E54903" w:rsidRPr="00525E62" w:rsidRDefault="00C93224" w:rsidP="00E54903">
      <w:pPr>
        <w:jc w:val="both"/>
        <w:rPr>
          <w:rFonts w:ascii="Verdana" w:hAnsi="Verdana"/>
          <w:b/>
          <w:sz w:val="20"/>
          <w:lang w:val="en-US"/>
        </w:rPr>
      </w:pPr>
      <w:r w:rsidRPr="00525E62">
        <w:rPr>
          <w:rFonts w:ascii="Verdana" w:hAnsi="Verdana"/>
          <w:b/>
          <w:sz w:val="20"/>
          <w:lang w:val="en-US"/>
        </w:rPr>
        <w:t>HAVING SEEN:</w:t>
      </w:r>
    </w:p>
    <w:p w14:paraId="04400806" w14:textId="77777777" w:rsidR="00E54903" w:rsidRPr="00525E62" w:rsidRDefault="00E54903" w:rsidP="00E54903">
      <w:pPr>
        <w:rPr>
          <w:lang w:val="en-US"/>
        </w:rPr>
      </w:pPr>
    </w:p>
    <w:p w14:paraId="27808687" w14:textId="1D8B3DFF" w:rsidR="00E54903" w:rsidRPr="00525E62" w:rsidRDefault="00C93224" w:rsidP="005D679B">
      <w:pPr>
        <w:numPr>
          <w:ilvl w:val="0"/>
          <w:numId w:val="1"/>
        </w:numPr>
        <w:ind w:left="0" w:firstLine="0"/>
        <w:jc w:val="both"/>
        <w:rPr>
          <w:rFonts w:ascii="Verdana" w:hAnsi="Verdana"/>
          <w:sz w:val="20"/>
          <w:lang w:val="en-US"/>
        </w:rPr>
      </w:pPr>
      <w:bookmarkStart w:id="0" w:name="_Ref437273668"/>
      <w:r w:rsidRPr="00525E62">
        <w:rPr>
          <w:rFonts w:ascii="Verdana" w:hAnsi="Verdana"/>
          <w:sz w:val="20"/>
          <w:lang w:val="en-US"/>
        </w:rPr>
        <w:t>The judgment on</w:t>
      </w:r>
      <w:r w:rsidR="00E54903" w:rsidRPr="00525E62">
        <w:rPr>
          <w:rFonts w:ascii="Verdana" w:hAnsi="Verdana"/>
          <w:color w:val="00B050"/>
          <w:sz w:val="20"/>
          <w:lang w:val="en-US"/>
        </w:rPr>
        <w:t xml:space="preserve"> </w:t>
      </w:r>
      <w:r w:rsidRPr="00525E62">
        <w:rPr>
          <w:rFonts w:ascii="Verdana" w:hAnsi="Verdana"/>
          <w:sz w:val="20"/>
          <w:lang w:val="en-US"/>
        </w:rPr>
        <w:t>preliminary objections, merits, reparations and costs</w:t>
      </w:r>
      <w:r w:rsidR="00E54903" w:rsidRPr="00525E62">
        <w:rPr>
          <w:rFonts w:ascii="Verdana" w:hAnsi="Verdana"/>
          <w:color w:val="00B050"/>
          <w:sz w:val="20"/>
          <w:lang w:val="en-US"/>
        </w:rPr>
        <w:t xml:space="preserve"> </w:t>
      </w:r>
      <w:r w:rsidR="00E54903" w:rsidRPr="00525E62">
        <w:rPr>
          <w:rFonts w:ascii="Verdana" w:hAnsi="Verdana"/>
          <w:sz w:val="20"/>
          <w:lang w:val="en-US"/>
        </w:rPr>
        <w:t>(</w:t>
      </w:r>
      <w:r w:rsidRPr="00525E62">
        <w:rPr>
          <w:rFonts w:ascii="Verdana" w:hAnsi="Verdana"/>
          <w:sz w:val="20"/>
          <w:lang w:val="en-US"/>
        </w:rPr>
        <w:t>hereinafter</w:t>
      </w:r>
      <w:r w:rsidR="00E54903" w:rsidRPr="00525E62">
        <w:rPr>
          <w:rFonts w:ascii="Verdana" w:hAnsi="Verdana"/>
          <w:sz w:val="20"/>
          <w:lang w:val="en-US"/>
        </w:rPr>
        <w:t xml:space="preserve"> “</w:t>
      </w:r>
      <w:r w:rsidRPr="00525E62">
        <w:rPr>
          <w:rFonts w:ascii="Verdana" w:hAnsi="Verdana"/>
          <w:sz w:val="20"/>
          <w:lang w:val="en-US"/>
        </w:rPr>
        <w:t>the judgment</w:t>
      </w:r>
      <w:r w:rsidR="00E54903" w:rsidRPr="00525E62">
        <w:rPr>
          <w:rFonts w:ascii="Verdana" w:hAnsi="Verdana"/>
          <w:sz w:val="20"/>
          <w:lang w:val="en-US"/>
        </w:rPr>
        <w:t xml:space="preserve">”) </w:t>
      </w:r>
      <w:r w:rsidRPr="00525E62">
        <w:rPr>
          <w:rFonts w:ascii="Verdana" w:hAnsi="Verdana"/>
          <w:sz w:val="20"/>
          <w:lang w:val="en-US"/>
        </w:rPr>
        <w:t>delivered by</w:t>
      </w:r>
      <w:r w:rsidR="00E54903" w:rsidRPr="00525E62">
        <w:rPr>
          <w:rFonts w:ascii="Verdana" w:hAnsi="Verdana"/>
          <w:sz w:val="20"/>
          <w:lang w:val="en-US"/>
        </w:rPr>
        <w:t xml:space="preserve"> </w:t>
      </w:r>
      <w:r w:rsidRPr="00525E62">
        <w:rPr>
          <w:rFonts w:ascii="Verdana" w:hAnsi="Verdana"/>
          <w:sz w:val="20"/>
          <w:lang w:val="en-US"/>
        </w:rPr>
        <w:t>the Inter-American Court of Human Rights</w:t>
      </w:r>
      <w:r w:rsidR="00E54903" w:rsidRPr="00525E62">
        <w:rPr>
          <w:rFonts w:ascii="Verdana" w:hAnsi="Verdana"/>
          <w:sz w:val="20"/>
          <w:lang w:val="en-US"/>
        </w:rPr>
        <w:t xml:space="preserve"> (</w:t>
      </w:r>
      <w:r w:rsidRPr="00525E62">
        <w:rPr>
          <w:rFonts w:ascii="Verdana" w:hAnsi="Verdana"/>
          <w:sz w:val="20"/>
          <w:lang w:val="en-US"/>
        </w:rPr>
        <w:t>hereinafter</w:t>
      </w:r>
      <w:r w:rsidR="00E54903" w:rsidRPr="00525E62">
        <w:rPr>
          <w:rFonts w:ascii="Verdana" w:hAnsi="Verdana"/>
          <w:sz w:val="20"/>
          <w:lang w:val="en-US"/>
        </w:rPr>
        <w:t xml:space="preserve"> “</w:t>
      </w:r>
      <w:r w:rsidRPr="00525E62">
        <w:rPr>
          <w:rFonts w:ascii="Verdana" w:hAnsi="Verdana"/>
          <w:sz w:val="20"/>
          <w:lang w:val="en-US"/>
        </w:rPr>
        <w:t>the Court</w:t>
      </w:r>
      <w:r w:rsidR="00CB6BF2" w:rsidRPr="00525E62">
        <w:rPr>
          <w:rFonts w:ascii="Verdana" w:hAnsi="Verdana"/>
          <w:sz w:val="20"/>
          <w:lang w:val="en-US"/>
        </w:rPr>
        <w:t>”</w:t>
      </w:r>
      <w:r w:rsidRPr="00525E62">
        <w:rPr>
          <w:rFonts w:ascii="Verdana" w:hAnsi="Verdana"/>
          <w:sz w:val="20"/>
          <w:lang w:val="en-US"/>
        </w:rPr>
        <w:t xml:space="preserve"> or</w:t>
      </w:r>
      <w:r w:rsidR="00E54903" w:rsidRPr="00525E62">
        <w:rPr>
          <w:rFonts w:ascii="Verdana" w:hAnsi="Verdana"/>
          <w:sz w:val="20"/>
          <w:lang w:val="en-US"/>
        </w:rPr>
        <w:t xml:space="preserve"> “</w:t>
      </w:r>
      <w:r w:rsidRPr="00525E62">
        <w:rPr>
          <w:rFonts w:ascii="Verdana" w:hAnsi="Verdana"/>
          <w:sz w:val="20"/>
          <w:lang w:val="en-US"/>
        </w:rPr>
        <w:t>the Inter-American Court</w:t>
      </w:r>
      <w:r w:rsidR="00E54903" w:rsidRPr="00525E62">
        <w:rPr>
          <w:rFonts w:ascii="Verdana" w:hAnsi="Verdana"/>
          <w:sz w:val="20"/>
          <w:lang w:val="en-US"/>
        </w:rPr>
        <w:t>”</w:t>
      </w:r>
      <w:r w:rsidRPr="00525E62">
        <w:rPr>
          <w:rFonts w:ascii="Verdana" w:hAnsi="Verdana"/>
          <w:sz w:val="20"/>
          <w:lang w:val="en-US"/>
        </w:rPr>
        <w:t xml:space="preserve">) on November 28, </w:t>
      </w:r>
      <w:r w:rsidR="0001668C" w:rsidRPr="00525E62">
        <w:rPr>
          <w:rFonts w:ascii="Verdana" w:hAnsi="Verdana"/>
          <w:sz w:val="20"/>
          <w:lang w:val="en-US"/>
        </w:rPr>
        <w:t>2007</w:t>
      </w:r>
      <w:r w:rsidRPr="00525E62">
        <w:rPr>
          <w:rFonts w:ascii="Verdana" w:hAnsi="Verdana"/>
          <w:sz w:val="20"/>
          <w:lang w:val="en-US"/>
        </w:rPr>
        <w:t>.</w:t>
      </w:r>
      <w:r w:rsidR="00E54903" w:rsidRPr="00525E62">
        <w:rPr>
          <w:rStyle w:val="FootnoteReference"/>
          <w:rFonts w:ascii="Verdana" w:hAnsi="Verdana"/>
          <w:sz w:val="20"/>
          <w:lang w:val="en-US"/>
        </w:rPr>
        <w:footnoteReference w:id="2"/>
      </w:r>
      <w:r w:rsidR="00E54903" w:rsidRPr="00525E62">
        <w:rPr>
          <w:rFonts w:ascii="Verdana" w:hAnsi="Verdana"/>
          <w:sz w:val="20"/>
          <w:lang w:val="en-US"/>
        </w:rPr>
        <w:t xml:space="preserve"> </w:t>
      </w:r>
      <w:r w:rsidR="005D679B" w:rsidRPr="00525E62">
        <w:rPr>
          <w:rFonts w:ascii="Verdana" w:hAnsi="Verdana"/>
          <w:sz w:val="20"/>
          <w:lang w:val="en-US"/>
        </w:rPr>
        <w:t xml:space="preserve">In this case, the Court declared that the Republic of Suriname </w:t>
      </w:r>
      <w:r w:rsidR="00E54903" w:rsidRPr="00525E62">
        <w:rPr>
          <w:rFonts w:ascii="Verdana" w:hAnsi="Verdana"/>
          <w:sz w:val="20"/>
          <w:lang w:val="en-US"/>
        </w:rPr>
        <w:t>(</w:t>
      </w:r>
      <w:r w:rsidRPr="00525E62">
        <w:rPr>
          <w:rFonts w:ascii="Verdana" w:hAnsi="Verdana"/>
          <w:sz w:val="20"/>
          <w:lang w:val="en-US"/>
        </w:rPr>
        <w:t>hereinafter</w:t>
      </w:r>
      <w:r w:rsidR="00524465" w:rsidRPr="00525E62">
        <w:rPr>
          <w:rFonts w:ascii="Verdana" w:hAnsi="Verdana"/>
          <w:sz w:val="20"/>
          <w:lang w:val="en-US"/>
        </w:rPr>
        <w:t xml:space="preserve"> “</w:t>
      </w:r>
      <w:r w:rsidR="005D679B" w:rsidRPr="00525E62">
        <w:rPr>
          <w:rFonts w:ascii="Verdana" w:hAnsi="Verdana"/>
          <w:sz w:val="20"/>
          <w:lang w:val="en-US"/>
        </w:rPr>
        <w:t>the State</w:t>
      </w:r>
      <w:r w:rsidR="00524465" w:rsidRPr="00525E62">
        <w:rPr>
          <w:rFonts w:ascii="Verdana" w:hAnsi="Verdana"/>
          <w:sz w:val="20"/>
          <w:lang w:val="en-US"/>
        </w:rPr>
        <w:t>” o</w:t>
      </w:r>
      <w:r w:rsidR="005D679B" w:rsidRPr="00525E62">
        <w:rPr>
          <w:rFonts w:ascii="Verdana" w:hAnsi="Verdana"/>
          <w:sz w:val="20"/>
          <w:lang w:val="en-US"/>
        </w:rPr>
        <w:t>r</w:t>
      </w:r>
      <w:r w:rsidR="00524465" w:rsidRPr="00525E62">
        <w:rPr>
          <w:rFonts w:ascii="Verdana" w:hAnsi="Verdana"/>
          <w:sz w:val="20"/>
          <w:lang w:val="en-US"/>
        </w:rPr>
        <w:t xml:space="preserve"> “Surinam</w:t>
      </w:r>
      <w:r w:rsidR="005D679B" w:rsidRPr="00525E62">
        <w:rPr>
          <w:rFonts w:ascii="Verdana" w:hAnsi="Verdana"/>
          <w:sz w:val="20"/>
          <w:lang w:val="en-US"/>
        </w:rPr>
        <w:t>e</w:t>
      </w:r>
      <w:r w:rsidR="00524465" w:rsidRPr="00525E62">
        <w:rPr>
          <w:rFonts w:ascii="Verdana" w:hAnsi="Verdana"/>
          <w:sz w:val="20"/>
          <w:lang w:val="en-US"/>
        </w:rPr>
        <w:t xml:space="preserve">”) </w:t>
      </w:r>
      <w:r w:rsidR="005D679B" w:rsidRPr="00525E62">
        <w:rPr>
          <w:rFonts w:ascii="Verdana" w:hAnsi="Verdana"/>
          <w:sz w:val="20"/>
          <w:lang w:val="en-US"/>
        </w:rPr>
        <w:t>had incurred international responsibility for the violations perpetrated against the Saramaka people</w:t>
      </w:r>
      <w:r w:rsidR="00E54903" w:rsidRPr="00525E62">
        <w:rPr>
          <w:rFonts w:ascii="Verdana" w:hAnsi="Verdana"/>
          <w:sz w:val="20"/>
          <w:lang w:val="en-US"/>
        </w:rPr>
        <w:t xml:space="preserve">. </w:t>
      </w:r>
      <w:r w:rsidR="005D679B" w:rsidRPr="00525E62">
        <w:rPr>
          <w:rFonts w:ascii="Verdana" w:hAnsi="Verdana"/>
          <w:sz w:val="20"/>
          <w:lang w:val="en-US"/>
        </w:rPr>
        <w:t>Between</w:t>
      </w:r>
      <w:r w:rsidR="00322CC1" w:rsidRPr="00525E62">
        <w:rPr>
          <w:rFonts w:ascii="Verdana" w:hAnsi="Verdana"/>
          <w:sz w:val="20"/>
          <w:lang w:val="en-US"/>
        </w:rPr>
        <w:t xml:space="preserve"> </w:t>
      </w:r>
      <w:r w:rsidR="00CA6E8E" w:rsidRPr="00525E62">
        <w:rPr>
          <w:rFonts w:ascii="Verdana" w:hAnsi="Verdana"/>
          <w:sz w:val="20"/>
          <w:lang w:val="en-US"/>
        </w:rPr>
        <w:t>1997</w:t>
      </w:r>
      <w:r w:rsidR="00322CC1" w:rsidRPr="00525E62">
        <w:rPr>
          <w:rFonts w:ascii="Verdana" w:hAnsi="Verdana"/>
          <w:sz w:val="20"/>
          <w:lang w:val="en-US"/>
        </w:rPr>
        <w:t xml:space="preserve"> </w:t>
      </w:r>
      <w:r w:rsidR="005D679B" w:rsidRPr="00525E62">
        <w:rPr>
          <w:rFonts w:ascii="Verdana" w:hAnsi="Verdana"/>
          <w:sz w:val="20"/>
          <w:lang w:val="en-US"/>
        </w:rPr>
        <w:t>and</w:t>
      </w:r>
      <w:r w:rsidR="00322CC1" w:rsidRPr="00525E62">
        <w:rPr>
          <w:rFonts w:ascii="Verdana" w:hAnsi="Verdana"/>
          <w:sz w:val="20"/>
          <w:lang w:val="en-US"/>
        </w:rPr>
        <w:t xml:space="preserve"> 2004</w:t>
      </w:r>
      <w:r w:rsidR="005D679B" w:rsidRPr="00525E62">
        <w:rPr>
          <w:rFonts w:ascii="Verdana" w:hAnsi="Verdana"/>
          <w:sz w:val="20"/>
          <w:lang w:val="en-US"/>
        </w:rPr>
        <w:t>, it was Suriname</w:t>
      </w:r>
      <w:r w:rsidR="00DD3BAF" w:rsidRPr="00525E62">
        <w:rPr>
          <w:rFonts w:ascii="Verdana" w:hAnsi="Verdana"/>
          <w:sz w:val="20"/>
          <w:lang w:val="en-US"/>
        </w:rPr>
        <w:t>’s practice</w:t>
      </w:r>
      <w:r w:rsidR="005D679B" w:rsidRPr="00525E62">
        <w:rPr>
          <w:rFonts w:ascii="Verdana" w:hAnsi="Verdana"/>
          <w:sz w:val="20"/>
          <w:lang w:val="en-US"/>
        </w:rPr>
        <w:t xml:space="preserve"> to issue logging concessions </w:t>
      </w:r>
      <w:r w:rsidR="00DD3BAF" w:rsidRPr="00525E62">
        <w:rPr>
          <w:rFonts w:ascii="Verdana" w:hAnsi="Verdana"/>
          <w:sz w:val="20"/>
          <w:lang w:val="en-US"/>
        </w:rPr>
        <w:t>involving</w:t>
      </w:r>
      <w:r w:rsidR="005D679B" w:rsidRPr="00525E62">
        <w:rPr>
          <w:rFonts w:ascii="Verdana" w:hAnsi="Verdana"/>
          <w:sz w:val="20"/>
          <w:lang w:val="en-US"/>
        </w:rPr>
        <w:t xml:space="preserve"> the land and natural resources</w:t>
      </w:r>
      <w:r w:rsidR="00DD3BAF" w:rsidRPr="00525E62">
        <w:rPr>
          <w:rFonts w:ascii="Verdana" w:hAnsi="Verdana"/>
          <w:sz w:val="20"/>
          <w:lang w:val="en-US"/>
        </w:rPr>
        <w:t xml:space="preserve"> traditionally used by</w:t>
      </w:r>
      <w:r w:rsidR="005D679B" w:rsidRPr="00525E62">
        <w:rPr>
          <w:rFonts w:ascii="Verdana" w:hAnsi="Verdana"/>
          <w:sz w:val="20"/>
          <w:lang w:val="en-US"/>
        </w:rPr>
        <w:t xml:space="preserve"> the members of the Saramaka people. In the case of these logging concessions, the State </w:t>
      </w:r>
      <w:r w:rsidR="00DD3BAF" w:rsidRPr="00525E62">
        <w:rPr>
          <w:rFonts w:ascii="Verdana" w:hAnsi="Verdana"/>
          <w:sz w:val="20"/>
          <w:lang w:val="en-US"/>
        </w:rPr>
        <w:t>did not</w:t>
      </w:r>
      <w:r w:rsidR="005D679B" w:rsidRPr="00525E62">
        <w:rPr>
          <w:rFonts w:ascii="Verdana" w:hAnsi="Verdana"/>
          <w:sz w:val="20"/>
          <w:lang w:val="en-US"/>
        </w:rPr>
        <w:t xml:space="preserve"> undertake or supervise prior social or environmental assessments; furthermore, it </w:t>
      </w:r>
      <w:r w:rsidR="00DD3BAF" w:rsidRPr="00525E62">
        <w:rPr>
          <w:rFonts w:ascii="Verdana" w:hAnsi="Verdana"/>
          <w:sz w:val="20"/>
          <w:lang w:val="en-US"/>
        </w:rPr>
        <w:t>failed to</w:t>
      </w:r>
      <w:r w:rsidR="005D679B" w:rsidRPr="00525E62">
        <w:rPr>
          <w:rFonts w:ascii="Verdana" w:hAnsi="Verdana"/>
          <w:sz w:val="20"/>
          <w:lang w:val="en-US"/>
        </w:rPr>
        <w:t xml:space="preserve"> implement guarantees or mechanisms to ensure that the concessions would not result in major damage to the Saramaka communities and territory. In addition, Suriname did not allow the Saramaka </w:t>
      </w:r>
      <w:r w:rsidR="00DD3BAF" w:rsidRPr="00525E62">
        <w:rPr>
          <w:rFonts w:ascii="Verdana" w:hAnsi="Verdana"/>
          <w:sz w:val="20"/>
          <w:lang w:val="en-US"/>
        </w:rPr>
        <w:t>p</w:t>
      </w:r>
      <w:r w:rsidR="005D679B" w:rsidRPr="00525E62">
        <w:rPr>
          <w:rFonts w:ascii="Verdana" w:hAnsi="Verdana"/>
          <w:sz w:val="20"/>
          <w:lang w:val="en-US"/>
        </w:rPr>
        <w:t xml:space="preserve">eople </w:t>
      </w:r>
      <w:r w:rsidR="00DD3BAF" w:rsidRPr="00525E62">
        <w:rPr>
          <w:rFonts w:ascii="Verdana" w:hAnsi="Verdana"/>
          <w:sz w:val="20"/>
          <w:lang w:val="en-US"/>
        </w:rPr>
        <w:t>effective</w:t>
      </w:r>
      <w:r w:rsidR="005D679B" w:rsidRPr="00525E62">
        <w:rPr>
          <w:rFonts w:ascii="Verdana" w:hAnsi="Verdana"/>
          <w:sz w:val="20"/>
          <w:lang w:val="en-US"/>
        </w:rPr>
        <w:t xml:space="preserve"> participat</w:t>
      </w:r>
      <w:r w:rsidR="00DD3BAF" w:rsidRPr="00525E62">
        <w:rPr>
          <w:rFonts w:ascii="Verdana" w:hAnsi="Verdana"/>
          <w:sz w:val="20"/>
          <w:lang w:val="en-US"/>
        </w:rPr>
        <w:t>ion</w:t>
      </w:r>
      <w:r w:rsidR="005D679B" w:rsidRPr="00525E62">
        <w:rPr>
          <w:rFonts w:ascii="Verdana" w:hAnsi="Verdana"/>
          <w:sz w:val="20"/>
          <w:lang w:val="en-US"/>
        </w:rPr>
        <w:t xml:space="preserve"> in the decision-making process </w:t>
      </w:r>
      <w:r w:rsidR="00DD3BAF" w:rsidRPr="00525E62">
        <w:rPr>
          <w:rFonts w:ascii="Verdana" w:hAnsi="Verdana"/>
          <w:sz w:val="20"/>
          <w:lang w:val="en-US"/>
        </w:rPr>
        <w:t>concerning</w:t>
      </w:r>
      <w:r w:rsidR="005D679B" w:rsidRPr="00525E62">
        <w:rPr>
          <w:rFonts w:ascii="Verdana" w:hAnsi="Verdana"/>
          <w:sz w:val="20"/>
          <w:lang w:val="en-US"/>
        </w:rPr>
        <w:t xml:space="preserve"> the logging concessions and they received no benefit from the extraction of timber from their territory. Lastly, it was noted that the State had not granted the Saramaka people the legal capacity to enjoy, collectively, the right to property and to claim the violation of this right before the domestic courts. Consequently, the Court declared that the State had violated the right to property, the right to recognition of juridical personality and the right to judicial protection recognized in the American Convention on Human Rights</w:t>
      </w:r>
      <w:r w:rsidR="00CA5FB5" w:rsidRPr="00525E62">
        <w:rPr>
          <w:rFonts w:ascii="Verdana" w:hAnsi="Verdana"/>
          <w:sz w:val="20"/>
          <w:lang w:val="en-US"/>
        </w:rPr>
        <w:t>,</w:t>
      </w:r>
      <w:r w:rsidR="00D55DB2" w:rsidRPr="00525E62">
        <w:rPr>
          <w:rFonts w:ascii="Verdana" w:hAnsi="Verdana"/>
          <w:sz w:val="20"/>
          <w:lang w:val="en-US"/>
        </w:rPr>
        <w:t xml:space="preserve"> </w:t>
      </w:r>
      <w:r w:rsidR="005D679B" w:rsidRPr="00525E62">
        <w:rPr>
          <w:rFonts w:ascii="Verdana" w:hAnsi="Verdana"/>
          <w:sz w:val="20"/>
          <w:lang w:val="en-US"/>
        </w:rPr>
        <w:t>of the members of the Saramaka people</w:t>
      </w:r>
      <w:r w:rsidR="00D55DB2" w:rsidRPr="00525E62">
        <w:rPr>
          <w:rFonts w:ascii="Verdana" w:hAnsi="Verdana"/>
          <w:sz w:val="20"/>
          <w:lang w:val="en-US"/>
        </w:rPr>
        <w:t xml:space="preserve">. </w:t>
      </w:r>
      <w:r w:rsidRPr="00525E62">
        <w:rPr>
          <w:rFonts w:ascii="Verdana" w:hAnsi="Verdana"/>
          <w:sz w:val="20"/>
          <w:lang w:val="en-US"/>
        </w:rPr>
        <w:t>The Court</w:t>
      </w:r>
      <w:r w:rsidR="00E54903" w:rsidRPr="00525E62">
        <w:rPr>
          <w:rFonts w:ascii="Verdana" w:hAnsi="Verdana"/>
          <w:sz w:val="20"/>
          <w:lang w:val="en-US"/>
        </w:rPr>
        <w:t xml:space="preserve"> determin</w:t>
      </w:r>
      <w:r w:rsidR="005D679B" w:rsidRPr="00525E62">
        <w:rPr>
          <w:rFonts w:ascii="Verdana" w:hAnsi="Verdana"/>
          <w:sz w:val="20"/>
          <w:lang w:val="en-US"/>
        </w:rPr>
        <w:t>ed that the said judgment constitute</w:t>
      </w:r>
      <w:r w:rsidR="00890775" w:rsidRPr="00525E62">
        <w:rPr>
          <w:rFonts w:ascii="Verdana" w:hAnsi="Verdana"/>
          <w:sz w:val="20"/>
          <w:lang w:val="en-US"/>
        </w:rPr>
        <w:t>d</w:t>
      </w:r>
      <w:r w:rsidR="005D679B" w:rsidRPr="00525E62">
        <w:rPr>
          <w:rFonts w:ascii="Verdana" w:hAnsi="Verdana"/>
          <w:sz w:val="20"/>
          <w:lang w:val="en-US"/>
        </w:rPr>
        <w:t>, in itself, a form of reparation and ordered the State to take addition</w:t>
      </w:r>
      <w:r w:rsidR="00B34336">
        <w:rPr>
          <w:rFonts w:ascii="Verdana" w:hAnsi="Verdana"/>
          <w:sz w:val="20"/>
          <w:lang w:val="en-US"/>
        </w:rPr>
        <w:t>al</w:t>
      </w:r>
      <w:r w:rsidR="005D679B" w:rsidRPr="00525E62">
        <w:rPr>
          <w:rFonts w:ascii="Verdana" w:hAnsi="Verdana"/>
          <w:sz w:val="20"/>
          <w:lang w:val="en-US"/>
        </w:rPr>
        <w:t xml:space="preserve"> measures of reparation </w:t>
      </w:r>
      <w:r w:rsidR="00E54903" w:rsidRPr="00525E62">
        <w:rPr>
          <w:rFonts w:ascii="Verdana" w:hAnsi="Verdana"/>
          <w:sz w:val="20"/>
          <w:lang w:val="en-US"/>
        </w:rPr>
        <w:t>(</w:t>
      </w:r>
      <w:r w:rsidR="00E54903" w:rsidRPr="00525E62">
        <w:rPr>
          <w:rFonts w:ascii="Verdana" w:hAnsi="Verdana"/>
          <w:i/>
          <w:sz w:val="20"/>
          <w:lang w:val="en-US"/>
        </w:rPr>
        <w:t>infra</w:t>
      </w:r>
      <w:r w:rsidR="00E54903" w:rsidRPr="00525E62">
        <w:rPr>
          <w:rFonts w:ascii="Verdana" w:hAnsi="Verdana"/>
          <w:sz w:val="20"/>
          <w:lang w:val="en-US"/>
        </w:rPr>
        <w:t xml:space="preserve"> </w:t>
      </w:r>
      <w:proofErr w:type="spellStart"/>
      <w:r w:rsidR="005D679B" w:rsidRPr="00525E62">
        <w:rPr>
          <w:rFonts w:ascii="Verdana" w:hAnsi="Verdana"/>
          <w:i/>
          <w:sz w:val="20"/>
          <w:lang w:val="en-US"/>
        </w:rPr>
        <w:t>considerandum</w:t>
      </w:r>
      <w:proofErr w:type="spellEnd"/>
      <w:r w:rsidR="005D679B"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_Ref526770998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w:t>
      </w:r>
      <w:r w:rsidR="001413FA">
        <w:rPr>
          <w:rFonts w:ascii="Verdana" w:hAnsi="Verdana"/>
          <w:sz w:val="20"/>
          <w:lang w:val="en-US"/>
        </w:rPr>
        <w:fldChar w:fldCharType="end"/>
      </w:r>
      <w:r w:rsidR="00E54903" w:rsidRPr="00525E62">
        <w:rPr>
          <w:rFonts w:ascii="Verdana" w:hAnsi="Verdana"/>
          <w:sz w:val="20"/>
          <w:lang w:val="en-US"/>
        </w:rPr>
        <w:t>).</w:t>
      </w:r>
      <w:bookmarkEnd w:id="0"/>
    </w:p>
    <w:p w14:paraId="08B5B34D" w14:textId="77777777" w:rsidR="00E54903" w:rsidRPr="00525E62" w:rsidRDefault="00E54903" w:rsidP="00E54903">
      <w:pPr>
        <w:jc w:val="both"/>
        <w:rPr>
          <w:rFonts w:ascii="Verdana" w:hAnsi="Verdana"/>
          <w:sz w:val="20"/>
          <w:lang w:val="en-US"/>
        </w:rPr>
      </w:pPr>
    </w:p>
    <w:p w14:paraId="3DAC44AC" w14:textId="6D5950DB" w:rsidR="00E54903" w:rsidRPr="00525E62" w:rsidRDefault="005D679B" w:rsidP="00E54903">
      <w:pPr>
        <w:numPr>
          <w:ilvl w:val="0"/>
          <w:numId w:val="1"/>
        </w:numPr>
        <w:ind w:left="0" w:firstLine="0"/>
        <w:jc w:val="both"/>
        <w:rPr>
          <w:rFonts w:ascii="Verdana" w:eastAsia="Times New Roman" w:hAnsi="Verdana"/>
          <w:sz w:val="20"/>
          <w:lang w:val="en-US"/>
        </w:rPr>
      </w:pPr>
      <w:bookmarkStart w:id="1" w:name="_Ref526523090"/>
      <w:r w:rsidRPr="00525E62">
        <w:rPr>
          <w:rFonts w:ascii="Verdana" w:eastAsia="Times New Roman" w:hAnsi="Verdana"/>
          <w:sz w:val="20"/>
          <w:lang w:val="en-US"/>
        </w:rPr>
        <w:t xml:space="preserve">The </w:t>
      </w:r>
      <w:r w:rsidR="002462D1" w:rsidRPr="00525E62">
        <w:rPr>
          <w:rFonts w:ascii="Verdana" w:eastAsia="Times New Roman" w:hAnsi="Verdana"/>
          <w:sz w:val="20"/>
          <w:lang w:val="en-US"/>
        </w:rPr>
        <w:t>j</w:t>
      </w:r>
      <w:r w:rsidR="00C93224" w:rsidRPr="00525E62">
        <w:rPr>
          <w:rFonts w:ascii="Verdana" w:hAnsi="Verdana"/>
          <w:sz w:val="20"/>
          <w:lang w:val="en-US"/>
        </w:rPr>
        <w:t xml:space="preserve">udgment </w:t>
      </w:r>
      <w:r w:rsidR="00DD5AA2" w:rsidRPr="00525E62">
        <w:rPr>
          <w:rFonts w:ascii="Verdana" w:hAnsi="Verdana"/>
          <w:sz w:val="20"/>
          <w:lang w:val="en-US"/>
        </w:rPr>
        <w:t>interpreting the</w:t>
      </w:r>
      <w:r w:rsidR="002462D1" w:rsidRPr="00525E62">
        <w:rPr>
          <w:rFonts w:ascii="Verdana" w:eastAsia="Times New Roman" w:hAnsi="Verdana"/>
          <w:sz w:val="20"/>
          <w:lang w:val="en-US"/>
        </w:rPr>
        <w:t xml:space="preserve"> </w:t>
      </w:r>
      <w:r w:rsidR="00C93224" w:rsidRPr="00525E62">
        <w:rPr>
          <w:rFonts w:ascii="Verdana" w:eastAsia="Times New Roman" w:hAnsi="Verdana"/>
          <w:sz w:val="20"/>
          <w:lang w:val="en-US"/>
        </w:rPr>
        <w:t>judgment</w:t>
      </w:r>
      <w:r w:rsidR="00322CC1" w:rsidRPr="00525E62">
        <w:rPr>
          <w:rFonts w:ascii="Verdana" w:eastAsia="Times New Roman" w:hAnsi="Verdana"/>
          <w:sz w:val="20"/>
          <w:lang w:val="en-US"/>
        </w:rPr>
        <w:t xml:space="preserve"> (</w:t>
      </w:r>
      <w:r w:rsidR="00C93224" w:rsidRPr="00525E62">
        <w:rPr>
          <w:rFonts w:ascii="Verdana" w:eastAsia="Times New Roman" w:hAnsi="Verdana"/>
          <w:sz w:val="20"/>
          <w:lang w:val="en-US"/>
        </w:rPr>
        <w:t>hereinafter</w:t>
      </w:r>
      <w:r w:rsidR="00DD5AA2" w:rsidRPr="00525E62">
        <w:rPr>
          <w:rFonts w:ascii="Verdana" w:eastAsia="Times New Roman" w:hAnsi="Verdana"/>
          <w:sz w:val="20"/>
          <w:lang w:val="en-US"/>
        </w:rPr>
        <w:t xml:space="preserve"> </w:t>
      </w:r>
      <w:r w:rsidR="00322CC1" w:rsidRPr="00525E62">
        <w:rPr>
          <w:rFonts w:ascii="Verdana" w:eastAsia="Times New Roman" w:hAnsi="Verdana"/>
          <w:sz w:val="20"/>
          <w:lang w:val="en-US"/>
        </w:rPr>
        <w:t>“</w:t>
      </w:r>
      <w:r w:rsidR="00C93224" w:rsidRPr="00525E62">
        <w:rPr>
          <w:rFonts w:ascii="Verdana" w:eastAsia="Times New Roman" w:hAnsi="Verdana"/>
          <w:sz w:val="20"/>
          <w:lang w:val="en-US"/>
        </w:rPr>
        <w:t xml:space="preserve">the </w:t>
      </w:r>
      <w:r w:rsidR="002462D1" w:rsidRPr="00525E62">
        <w:rPr>
          <w:rFonts w:ascii="Verdana" w:eastAsia="Times New Roman" w:hAnsi="Verdana"/>
          <w:sz w:val="20"/>
          <w:lang w:val="en-US"/>
        </w:rPr>
        <w:t>interpretation judgment</w:t>
      </w:r>
      <w:r w:rsidR="00322CC1" w:rsidRPr="00525E62">
        <w:rPr>
          <w:rFonts w:ascii="Verdana" w:eastAsia="Times New Roman" w:hAnsi="Verdana"/>
          <w:sz w:val="20"/>
          <w:lang w:val="en-US"/>
        </w:rPr>
        <w:t>”)</w:t>
      </w:r>
      <w:r w:rsidR="00E54903" w:rsidRPr="00525E62">
        <w:rPr>
          <w:rFonts w:ascii="Verdana" w:eastAsia="Times New Roman" w:hAnsi="Verdana"/>
          <w:sz w:val="20"/>
          <w:lang w:val="en-US"/>
        </w:rPr>
        <w:t xml:space="preserve"> </w:t>
      </w:r>
      <w:r w:rsidR="002462D1" w:rsidRPr="00525E62">
        <w:rPr>
          <w:rFonts w:ascii="Verdana" w:eastAsia="Times New Roman" w:hAnsi="Verdana"/>
          <w:sz w:val="20"/>
          <w:lang w:val="en-US"/>
        </w:rPr>
        <w:t>delivere</w:t>
      </w:r>
      <w:r w:rsidR="00DD5AA2" w:rsidRPr="00525E62">
        <w:rPr>
          <w:rFonts w:ascii="Verdana" w:eastAsia="Times New Roman" w:hAnsi="Verdana"/>
          <w:sz w:val="20"/>
          <w:lang w:val="en-US"/>
        </w:rPr>
        <w:t>d</w:t>
      </w:r>
      <w:r w:rsidR="002462D1" w:rsidRPr="00525E62">
        <w:rPr>
          <w:rFonts w:ascii="Verdana" w:eastAsia="Times New Roman" w:hAnsi="Verdana"/>
          <w:sz w:val="20"/>
          <w:lang w:val="en-US"/>
        </w:rPr>
        <w:t xml:space="preserve"> by</w:t>
      </w:r>
      <w:r w:rsidR="00E54903" w:rsidRPr="00525E62">
        <w:rPr>
          <w:rFonts w:ascii="Verdana" w:eastAsia="Times New Roman" w:hAnsi="Verdana"/>
          <w:sz w:val="20"/>
          <w:lang w:val="en-US"/>
        </w:rPr>
        <w:t xml:space="preserve"> </w:t>
      </w:r>
      <w:r w:rsidR="00C93224" w:rsidRPr="00525E62">
        <w:rPr>
          <w:rFonts w:ascii="Verdana" w:eastAsia="Times New Roman" w:hAnsi="Verdana"/>
          <w:sz w:val="20"/>
          <w:lang w:val="en-US"/>
        </w:rPr>
        <w:t>the Court</w:t>
      </w:r>
      <w:r w:rsidR="00E54903" w:rsidRPr="00525E62">
        <w:rPr>
          <w:rFonts w:ascii="Verdana" w:eastAsia="Times New Roman" w:hAnsi="Verdana"/>
          <w:sz w:val="20"/>
          <w:lang w:val="en-US"/>
        </w:rPr>
        <w:t xml:space="preserve"> </w:t>
      </w:r>
      <w:r w:rsidR="002462D1" w:rsidRPr="00525E62">
        <w:rPr>
          <w:rFonts w:ascii="Verdana" w:eastAsia="Times New Roman" w:hAnsi="Verdana"/>
          <w:sz w:val="20"/>
          <w:lang w:val="en-US"/>
        </w:rPr>
        <w:t>on August 12,</w:t>
      </w:r>
      <w:r w:rsidR="00E54903" w:rsidRPr="00525E62">
        <w:rPr>
          <w:rFonts w:ascii="Verdana" w:eastAsia="Times New Roman" w:hAnsi="Verdana"/>
          <w:sz w:val="20"/>
          <w:lang w:val="en-US"/>
        </w:rPr>
        <w:t xml:space="preserve"> 20</w:t>
      </w:r>
      <w:r w:rsidR="003C14AC" w:rsidRPr="00525E62">
        <w:rPr>
          <w:rFonts w:ascii="Verdana" w:eastAsia="Times New Roman" w:hAnsi="Verdana"/>
          <w:sz w:val="20"/>
          <w:lang w:val="en-US"/>
        </w:rPr>
        <w:t>08</w:t>
      </w:r>
      <w:r w:rsidR="002462D1" w:rsidRPr="00525E62">
        <w:rPr>
          <w:rFonts w:ascii="Verdana" w:eastAsia="Times New Roman" w:hAnsi="Verdana"/>
          <w:sz w:val="20"/>
          <w:lang w:val="en-US"/>
        </w:rPr>
        <w:t>.</w:t>
      </w:r>
      <w:r w:rsidR="00E54903" w:rsidRPr="00525E62">
        <w:rPr>
          <w:rStyle w:val="FootnoteReference"/>
          <w:rFonts w:ascii="Verdana" w:eastAsia="Times New Roman" w:hAnsi="Verdana"/>
          <w:sz w:val="20"/>
          <w:lang w:val="en-US"/>
        </w:rPr>
        <w:footnoteReference w:id="3"/>
      </w:r>
      <w:bookmarkEnd w:id="1"/>
      <w:r w:rsidR="00E54903" w:rsidRPr="00525E62">
        <w:rPr>
          <w:rFonts w:ascii="Verdana" w:eastAsia="Times New Roman" w:hAnsi="Verdana"/>
          <w:sz w:val="20"/>
          <w:lang w:val="en-US"/>
        </w:rPr>
        <w:t xml:space="preserve"> </w:t>
      </w:r>
    </w:p>
    <w:p w14:paraId="14D36110" w14:textId="77777777" w:rsidR="00E54903" w:rsidRPr="00525E62" w:rsidRDefault="00E54903" w:rsidP="00E54903">
      <w:pPr>
        <w:pStyle w:val="ListParagraph"/>
        <w:rPr>
          <w:rFonts w:ascii="Verdana" w:eastAsia="Times New Roman" w:hAnsi="Verdana"/>
          <w:sz w:val="20"/>
          <w:lang w:val="en-US"/>
        </w:rPr>
      </w:pPr>
    </w:p>
    <w:p w14:paraId="0C3F6FD8" w14:textId="5D3297F1" w:rsidR="00E54903" w:rsidRPr="00525E62" w:rsidRDefault="002462D1" w:rsidP="00E54903">
      <w:pPr>
        <w:numPr>
          <w:ilvl w:val="0"/>
          <w:numId w:val="1"/>
        </w:numPr>
        <w:ind w:left="0" w:firstLine="0"/>
        <w:jc w:val="both"/>
        <w:rPr>
          <w:rFonts w:ascii="Verdana" w:hAnsi="Verdana"/>
          <w:sz w:val="20"/>
          <w:lang w:val="en-US"/>
        </w:rPr>
      </w:pPr>
      <w:bookmarkStart w:id="2" w:name="_Ref437587895"/>
      <w:r w:rsidRPr="00525E62">
        <w:rPr>
          <w:rFonts w:ascii="Verdana" w:hAnsi="Verdana"/>
          <w:bCs/>
          <w:sz w:val="20"/>
          <w:lang w:val="en-US"/>
        </w:rPr>
        <w:t xml:space="preserve">The two orders on monitoring compliance with judgment issued by the </w:t>
      </w:r>
      <w:r w:rsidR="00C93224" w:rsidRPr="00525E62">
        <w:rPr>
          <w:rFonts w:ascii="Verdana" w:hAnsi="Verdana"/>
          <w:bCs/>
          <w:sz w:val="20"/>
          <w:lang w:val="en-US"/>
        </w:rPr>
        <w:t>Court</w:t>
      </w:r>
      <w:r w:rsidR="00E54903" w:rsidRPr="00525E62">
        <w:rPr>
          <w:rFonts w:ascii="Verdana" w:hAnsi="Verdana"/>
          <w:bCs/>
          <w:sz w:val="20"/>
          <w:lang w:val="en-US"/>
        </w:rPr>
        <w:t xml:space="preserve"> </w:t>
      </w:r>
      <w:r w:rsidRPr="00525E62">
        <w:rPr>
          <w:rFonts w:ascii="Verdana" w:hAnsi="Verdana"/>
          <w:bCs/>
          <w:sz w:val="20"/>
          <w:lang w:val="en-US"/>
        </w:rPr>
        <w:t>on</w:t>
      </w:r>
      <w:r w:rsidR="00361DE8" w:rsidRPr="00525E62">
        <w:rPr>
          <w:rFonts w:ascii="Verdana" w:hAnsi="Verdana"/>
          <w:bCs/>
          <w:sz w:val="20"/>
          <w:lang w:val="en-US"/>
        </w:rPr>
        <w:t xml:space="preserve"> </w:t>
      </w:r>
      <w:r w:rsidRPr="00525E62">
        <w:rPr>
          <w:rFonts w:ascii="Verdana" w:hAnsi="Verdana"/>
          <w:bCs/>
          <w:sz w:val="20"/>
          <w:lang w:val="en-US"/>
        </w:rPr>
        <w:t>November 23,</w:t>
      </w:r>
      <w:r w:rsidR="004316A0" w:rsidRPr="00525E62">
        <w:rPr>
          <w:rFonts w:ascii="Verdana" w:hAnsi="Verdana"/>
          <w:bCs/>
          <w:sz w:val="20"/>
          <w:lang w:val="en-US"/>
        </w:rPr>
        <w:t xml:space="preserve"> 20</w:t>
      </w:r>
      <w:r w:rsidR="00E54903" w:rsidRPr="00525E62">
        <w:rPr>
          <w:rFonts w:ascii="Verdana" w:hAnsi="Verdana"/>
          <w:bCs/>
          <w:sz w:val="20"/>
          <w:lang w:val="en-US"/>
        </w:rPr>
        <w:t>1</w:t>
      </w:r>
      <w:r w:rsidR="004316A0" w:rsidRPr="00525E62">
        <w:rPr>
          <w:rFonts w:ascii="Verdana" w:hAnsi="Verdana"/>
          <w:bCs/>
          <w:sz w:val="20"/>
          <w:lang w:val="en-US"/>
        </w:rPr>
        <w:t>1</w:t>
      </w:r>
      <w:r w:rsidRPr="00525E62">
        <w:rPr>
          <w:rFonts w:ascii="Verdana" w:hAnsi="Verdana"/>
          <w:bCs/>
          <w:sz w:val="20"/>
          <w:lang w:val="en-US"/>
        </w:rPr>
        <w:t>, and</w:t>
      </w:r>
      <w:r w:rsidR="00E54903" w:rsidRPr="00525E62">
        <w:rPr>
          <w:rFonts w:ascii="Verdana" w:hAnsi="Verdana"/>
          <w:bCs/>
          <w:sz w:val="20"/>
          <w:lang w:val="en-US"/>
        </w:rPr>
        <w:t xml:space="preserve"> </w:t>
      </w:r>
      <w:r w:rsidRPr="00525E62">
        <w:rPr>
          <w:rFonts w:ascii="Verdana" w:hAnsi="Verdana"/>
          <w:bCs/>
          <w:sz w:val="20"/>
          <w:lang w:val="en-US"/>
        </w:rPr>
        <w:t>September 4,</w:t>
      </w:r>
      <w:r w:rsidR="00E54903" w:rsidRPr="00525E62">
        <w:rPr>
          <w:rFonts w:ascii="Verdana" w:hAnsi="Verdana"/>
          <w:bCs/>
          <w:sz w:val="20"/>
          <w:lang w:val="en-US"/>
        </w:rPr>
        <w:t xml:space="preserve"> 20</w:t>
      </w:r>
      <w:r w:rsidR="003C14AC" w:rsidRPr="00525E62">
        <w:rPr>
          <w:rFonts w:ascii="Verdana" w:hAnsi="Verdana"/>
          <w:bCs/>
          <w:sz w:val="20"/>
          <w:lang w:val="en-US"/>
        </w:rPr>
        <w:t>13</w:t>
      </w:r>
      <w:r w:rsidRPr="00525E62">
        <w:rPr>
          <w:rFonts w:ascii="Verdana" w:hAnsi="Verdana"/>
          <w:bCs/>
          <w:sz w:val="20"/>
          <w:lang w:val="en-US"/>
        </w:rPr>
        <w:t>.</w:t>
      </w:r>
      <w:r w:rsidR="00E54903" w:rsidRPr="00525E62">
        <w:rPr>
          <w:rStyle w:val="FootnoteReference"/>
          <w:rFonts w:ascii="Verdana" w:hAnsi="Verdana"/>
          <w:bCs/>
          <w:sz w:val="20"/>
          <w:lang w:val="en-US"/>
        </w:rPr>
        <w:footnoteReference w:id="4"/>
      </w:r>
      <w:bookmarkEnd w:id="2"/>
      <w:r w:rsidR="00767BA7" w:rsidRPr="00525E62">
        <w:rPr>
          <w:rFonts w:ascii="Verdana" w:hAnsi="Verdana"/>
          <w:bCs/>
          <w:sz w:val="20"/>
          <w:lang w:val="en-US"/>
        </w:rPr>
        <w:t xml:space="preserve"> </w:t>
      </w:r>
    </w:p>
    <w:p w14:paraId="78B25A74" w14:textId="77777777" w:rsidR="00E54903" w:rsidRPr="00525E62" w:rsidRDefault="00E54903" w:rsidP="00E54903">
      <w:pPr>
        <w:jc w:val="both"/>
        <w:rPr>
          <w:rFonts w:ascii="Verdana" w:hAnsi="Verdana"/>
          <w:sz w:val="20"/>
          <w:lang w:val="en-US"/>
        </w:rPr>
      </w:pPr>
    </w:p>
    <w:p w14:paraId="6D44FBB0" w14:textId="401661CF" w:rsidR="00E54903" w:rsidRPr="00525E62" w:rsidRDefault="002462D1" w:rsidP="00E54903">
      <w:pPr>
        <w:numPr>
          <w:ilvl w:val="0"/>
          <w:numId w:val="1"/>
        </w:numPr>
        <w:ind w:left="0" w:firstLine="0"/>
        <w:jc w:val="both"/>
        <w:rPr>
          <w:rFonts w:ascii="Verdana" w:eastAsiaTheme="minorHAnsi" w:hAnsi="Verdana"/>
          <w:sz w:val="20"/>
          <w:lang w:val="en-US" w:eastAsia="es-CR"/>
        </w:rPr>
      </w:pPr>
      <w:r w:rsidRPr="00525E62">
        <w:rPr>
          <w:rFonts w:ascii="Verdana" w:eastAsiaTheme="minorHAnsi" w:hAnsi="Verdana"/>
          <w:sz w:val="20"/>
          <w:lang w:val="en-US" w:eastAsia="es-CR"/>
        </w:rPr>
        <w:t xml:space="preserve">The reports submitted by </w:t>
      </w:r>
      <w:r w:rsidR="005D679B" w:rsidRPr="00525E62">
        <w:rPr>
          <w:rFonts w:ascii="Verdana" w:eastAsiaTheme="minorHAnsi" w:hAnsi="Verdana"/>
          <w:sz w:val="20"/>
          <w:lang w:val="en-US" w:eastAsia="es-CR"/>
        </w:rPr>
        <w:t>the State</w:t>
      </w:r>
      <w:r w:rsidR="004316A0"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on</w:t>
      </w:r>
      <w:r w:rsidR="004316A0"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 xml:space="preserve">March 22 and April 12, </w:t>
      </w:r>
      <w:r w:rsidR="004316A0" w:rsidRPr="00525E62">
        <w:rPr>
          <w:rFonts w:ascii="Verdana" w:eastAsiaTheme="minorHAnsi" w:hAnsi="Verdana"/>
          <w:sz w:val="20"/>
          <w:lang w:val="en-US" w:eastAsia="es-CR"/>
        </w:rPr>
        <w:t xml:space="preserve">2013. </w:t>
      </w:r>
    </w:p>
    <w:p w14:paraId="0A789058" w14:textId="77777777" w:rsidR="00E54903" w:rsidRPr="00525E62" w:rsidRDefault="00E54903" w:rsidP="00E54903">
      <w:pPr>
        <w:pStyle w:val="ListParagraph"/>
        <w:jc w:val="both"/>
        <w:rPr>
          <w:rFonts w:ascii="Verdana" w:eastAsiaTheme="minorHAnsi" w:hAnsi="Verdana"/>
          <w:sz w:val="20"/>
          <w:lang w:val="en-US" w:eastAsia="es-CR"/>
        </w:rPr>
      </w:pPr>
    </w:p>
    <w:p w14:paraId="4E4627C1" w14:textId="1FB42157" w:rsidR="00E54903" w:rsidRPr="00525E62" w:rsidRDefault="002462D1" w:rsidP="00E54903">
      <w:pPr>
        <w:numPr>
          <w:ilvl w:val="0"/>
          <w:numId w:val="1"/>
        </w:numPr>
        <w:ind w:left="0" w:firstLine="0"/>
        <w:jc w:val="both"/>
        <w:rPr>
          <w:rFonts w:ascii="Verdana" w:eastAsiaTheme="minorHAnsi" w:hAnsi="Verdana"/>
          <w:sz w:val="20"/>
          <w:lang w:val="en-US" w:eastAsia="es-CR"/>
        </w:rPr>
      </w:pPr>
      <w:r w:rsidRPr="00525E62">
        <w:rPr>
          <w:rFonts w:ascii="Verdana" w:eastAsiaTheme="minorHAnsi" w:hAnsi="Verdana"/>
          <w:sz w:val="20"/>
          <w:lang w:val="en-US" w:eastAsia="es-CR"/>
        </w:rPr>
        <w:t>The observations presented by the representatives of the victims</w:t>
      </w:r>
      <w:r w:rsidR="00E54903" w:rsidRPr="00525E62">
        <w:rPr>
          <w:rStyle w:val="FootnoteReference"/>
          <w:rFonts w:ascii="Verdana" w:eastAsiaTheme="minorHAnsi" w:hAnsi="Verdana"/>
          <w:sz w:val="20"/>
          <w:lang w:val="en-US" w:eastAsia="es-CR"/>
        </w:rPr>
        <w:footnoteReference w:id="5"/>
      </w:r>
      <w:r w:rsidR="004316A0" w:rsidRPr="00525E62">
        <w:rPr>
          <w:rFonts w:ascii="Verdana" w:eastAsiaTheme="minorHAnsi" w:hAnsi="Verdana"/>
          <w:sz w:val="20"/>
          <w:lang w:val="en-US" w:eastAsia="es-CR"/>
        </w:rPr>
        <w:t xml:space="preserve"> </w:t>
      </w:r>
      <w:r w:rsidR="00D3246C" w:rsidRPr="00525E62">
        <w:rPr>
          <w:rFonts w:ascii="Verdana" w:eastAsiaTheme="minorHAnsi" w:hAnsi="Verdana"/>
          <w:sz w:val="20"/>
          <w:lang w:val="en-US" w:eastAsia="es-CR"/>
        </w:rPr>
        <w:t>(</w:t>
      </w:r>
      <w:r w:rsidR="00C93224" w:rsidRPr="00525E62">
        <w:rPr>
          <w:rFonts w:ascii="Verdana" w:eastAsiaTheme="minorHAnsi" w:hAnsi="Verdana"/>
          <w:sz w:val="20"/>
          <w:lang w:val="en-US" w:eastAsia="es-CR"/>
        </w:rPr>
        <w:t>hereinafter</w:t>
      </w:r>
      <w:r w:rsidR="00D3246C"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the representatives</w:t>
      </w:r>
      <w:r w:rsidR="00D3246C"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 xml:space="preserve">on February 10 and March 4, </w:t>
      </w:r>
      <w:r w:rsidR="004316A0" w:rsidRPr="00525E62">
        <w:rPr>
          <w:rFonts w:ascii="Verdana" w:eastAsiaTheme="minorHAnsi" w:hAnsi="Verdana"/>
          <w:sz w:val="20"/>
          <w:lang w:val="en-US" w:eastAsia="es-CR"/>
        </w:rPr>
        <w:t xml:space="preserve">2013. </w:t>
      </w:r>
    </w:p>
    <w:p w14:paraId="74700242" w14:textId="77777777" w:rsidR="00E54903" w:rsidRPr="00525E62" w:rsidRDefault="00E54903" w:rsidP="00E54903">
      <w:pPr>
        <w:pStyle w:val="ListParagraph"/>
        <w:jc w:val="both"/>
        <w:rPr>
          <w:rFonts w:ascii="Verdana" w:eastAsiaTheme="minorHAnsi" w:hAnsi="Verdana"/>
          <w:sz w:val="20"/>
          <w:lang w:val="en-US" w:eastAsia="es-CR"/>
        </w:rPr>
      </w:pPr>
    </w:p>
    <w:p w14:paraId="08139471" w14:textId="1F30EA8D" w:rsidR="00E54903" w:rsidRPr="00525E62" w:rsidRDefault="002462D1" w:rsidP="00E54903">
      <w:pPr>
        <w:numPr>
          <w:ilvl w:val="0"/>
          <w:numId w:val="1"/>
        </w:numPr>
        <w:ind w:left="0" w:firstLine="0"/>
        <w:jc w:val="both"/>
        <w:rPr>
          <w:rFonts w:ascii="Verdana" w:eastAsiaTheme="minorHAnsi" w:hAnsi="Verdana"/>
          <w:sz w:val="20"/>
          <w:lang w:val="en-US" w:eastAsia="es-CR"/>
        </w:rPr>
      </w:pPr>
      <w:bookmarkStart w:id="3" w:name="_Ref526522490"/>
      <w:r w:rsidRPr="00525E62">
        <w:rPr>
          <w:rFonts w:ascii="Verdana" w:eastAsiaTheme="minorHAnsi" w:hAnsi="Verdana"/>
          <w:sz w:val="20"/>
          <w:lang w:val="en-US" w:eastAsia="es-CR"/>
        </w:rPr>
        <w:t>The observations presented by</w:t>
      </w:r>
      <w:r w:rsidR="00E54903"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the Inter-American Commission on Human Rights</w:t>
      </w:r>
      <w:r w:rsidR="00E54903" w:rsidRPr="00525E62">
        <w:rPr>
          <w:rFonts w:ascii="Verdana" w:eastAsiaTheme="minorHAnsi" w:hAnsi="Verdana"/>
          <w:sz w:val="20"/>
          <w:lang w:val="en-US" w:eastAsia="es-CR"/>
        </w:rPr>
        <w:t xml:space="preserve"> (</w:t>
      </w:r>
      <w:r w:rsidR="00C93224" w:rsidRPr="00525E62">
        <w:rPr>
          <w:rFonts w:ascii="Verdana" w:eastAsiaTheme="minorHAnsi" w:hAnsi="Verdana"/>
          <w:sz w:val="20"/>
          <w:lang w:val="en-US" w:eastAsia="es-CR"/>
        </w:rPr>
        <w:t>hereinafter</w:t>
      </w:r>
      <w:r w:rsidR="00E54903"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the Inter-American Commission</w:t>
      </w:r>
      <w:r w:rsidR="00E54903" w:rsidRPr="00525E62">
        <w:rPr>
          <w:rFonts w:ascii="Verdana" w:eastAsiaTheme="minorHAnsi" w:hAnsi="Verdana"/>
          <w:sz w:val="20"/>
          <w:lang w:val="en-US" w:eastAsia="es-CR"/>
        </w:rPr>
        <w:t>” o</w:t>
      </w:r>
      <w:r w:rsidRPr="00525E62">
        <w:rPr>
          <w:rFonts w:ascii="Verdana" w:eastAsiaTheme="minorHAnsi" w:hAnsi="Verdana"/>
          <w:sz w:val="20"/>
          <w:lang w:val="en-US" w:eastAsia="es-CR"/>
        </w:rPr>
        <w:t>r</w:t>
      </w:r>
      <w:r w:rsidR="00E54903"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the Commission</w:t>
      </w:r>
      <w:r w:rsidR="00E54903"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on March 12,</w:t>
      </w:r>
      <w:r w:rsidR="004316A0" w:rsidRPr="00525E62">
        <w:rPr>
          <w:rFonts w:ascii="Verdana" w:eastAsiaTheme="minorHAnsi" w:hAnsi="Verdana"/>
          <w:sz w:val="20"/>
          <w:lang w:val="en-US" w:eastAsia="es-CR"/>
        </w:rPr>
        <w:t xml:space="preserve"> 2013. </w:t>
      </w:r>
      <w:bookmarkEnd w:id="3"/>
    </w:p>
    <w:p w14:paraId="72326D44" w14:textId="77777777" w:rsidR="004316A0" w:rsidRPr="00525E62" w:rsidRDefault="004316A0" w:rsidP="004316A0">
      <w:pPr>
        <w:pStyle w:val="ListParagraph"/>
        <w:rPr>
          <w:rFonts w:ascii="Verdana" w:eastAsiaTheme="minorHAnsi" w:hAnsi="Verdana"/>
          <w:sz w:val="20"/>
          <w:lang w:val="en-US" w:eastAsia="es-CR"/>
        </w:rPr>
      </w:pPr>
    </w:p>
    <w:p w14:paraId="1396CF14" w14:textId="5ACDE623" w:rsidR="004316A0" w:rsidRPr="00525E62" w:rsidRDefault="002462D1" w:rsidP="00E54903">
      <w:pPr>
        <w:numPr>
          <w:ilvl w:val="0"/>
          <w:numId w:val="1"/>
        </w:numPr>
        <w:ind w:left="0" w:firstLine="0"/>
        <w:jc w:val="both"/>
        <w:rPr>
          <w:rFonts w:ascii="Verdana" w:eastAsiaTheme="minorHAnsi" w:hAnsi="Verdana"/>
          <w:sz w:val="20"/>
          <w:lang w:val="en-US" w:eastAsia="es-CR"/>
        </w:rPr>
      </w:pPr>
      <w:r w:rsidRPr="00525E62">
        <w:rPr>
          <w:rFonts w:ascii="Verdana" w:eastAsiaTheme="minorHAnsi" w:hAnsi="Verdana"/>
          <w:sz w:val="20"/>
          <w:lang w:val="en-US" w:eastAsia="es-CR"/>
        </w:rPr>
        <w:t xml:space="preserve">The private hearing on monitoring compliance with judgment held on May 28, </w:t>
      </w:r>
      <w:r w:rsidR="004316A0" w:rsidRPr="00525E62">
        <w:rPr>
          <w:rFonts w:ascii="Verdana" w:eastAsiaTheme="minorHAnsi" w:hAnsi="Verdana"/>
          <w:sz w:val="20"/>
          <w:lang w:val="en-US" w:eastAsia="es-CR"/>
        </w:rPr>
        <w:t>2013</w:t>
      </w:r>
      <w:r w:rsidRPr="00525E62">
        <w:rPr>
          <w:rFonts w:ascii="Verdana" w:eastAsiaTheme="minorHAnsi" w:hAnsi="Verdana"/>
          <w:sz w:val="20"/>
          <w:lang w:val="en-US" w:eastAsia="es-CR"/>
        </w:rPr>
        <w:t>.</w:t>
      </w:r>
      <w:r w:rsidR="004437EF" w:rsidRPr="00525E62">
        <w:rPr>
          <w:rStyle w:val="FootnoteReference"/>
          <w:rFonts w:ascii="Verdana" w:eastAsiaTheme="minorHAnsi" w:hAnsi="Verdana"/>
          <w:sz w:val="20"/>
          <w:lang w:val="en-US" w:eastAsia="es-CR"/>
        </w:rPr>
        <w:footnoteReference w:id="6"/>
      </w:r>
    </w:p>
    <w:p w14:paraId="1B92F208" w14:textId="77777777" w:rsidR="004316A0" w:rsidRPr="00525E62" w:rsidRDefault="004316A0" w:rsidP="004316A0">
      <w:pPr>
        <w:pStyle w:val="ListParagraph"/>
        <w:rPr>
          <w:rFonts w:ascii="Verdana" w:eastAsiaTheme="minorHAnsi" w:hAnsi="Verdana"/>
          <w:sz w:val="20"/>
          <w:lang w:val="en-US" w:eastAsia="es-CR"/>
        </w:rPr>
      </w:pPr>
    </w:p>
    <w:p w14:paraId="6F5BE67C" w14:textId="4429F0C4" w:rsidR="004316A0" w:rsidRPr="00525E62" w:rsidRDefault="002462D1" w:rsidP="004316A0">
      <w:pPr>
        <w:numPr>
          <w:ilvl w:val="0"/>
          <w:numId w:val="1"/>
        </w:numPr>
        <w:ind w:left="0" w:firstLine="0"/>
        <w:jc w:val="both"/>
        <w:rPr>
          <w:rFonts w:ascii="Verdana" w:eastAsiaTheme="minorHAnsi" w:hAnsi="Verdana"/>
          <w:sz w:val="20"/>
          <w:lang w:val="en-US" w:eastAsia="es-CR"/>
        </w:rPr>
      </w:pPr>
      <w:bookmarkStart w:id="4" w:name="_Ref526519911"/>
      <w:r w:rsidRPr="00525E62">
        <w:rPr>
          <w:rFonts w:ascii="Verdana" w:eastAsiaTheme="minorHAnsi" w:hAnsi="Verdana"/>
          <w:sz w:val="20"/>
          <w:lang w:val="en-US" w:eastAsia="es-CR"/>
        </w:rPr>
        <w:t xml:space="preserve">The six reports submitted by </w:t>
      </w:r>
      <w:r w:rsidR="005D679B" w:rsidRPr="00525E62">
        <w:rPr>
          <w:rFonts w:ascii="Verdana" w:eastAsiaTheme="minorHAnsi" w:hAnsi="Verdana"/>
          <w:sz w:val="20"/>
          <w:lang w:val="en-US" w:eastAsia="es-CR"/>
        </w:rPr>
        <w:t>the State</w:t>
      </w:r>
      <w:r w:rsidR="004437EF"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between July</w:t>
      </w:r>
      <w:r w:rsidR="004316A0" w:rsidRPr="00525E62">
        <w:rPr>
          <w:rFonts w:ascii="Verdana" w:eastAsiaTheme="minorHAnsi" w:hAnsi="Verdana"/>
          <w:sz w:val="20"/>
          <w:lang w:val="en-US" w:eastAsia="es-CR"/>
        </w:rPr>
        <w:t xml:space="preserve"> 2013 </w:t>
      </w:r>
      <w:r w:rsidRPr="00525E62">
        <w:rPr>
          <w:rFonts w:ascii="Verdana" w:eastAsiaTheme="minorHAnsi" w:hAnsi="Verdana"/>
          <w:sz w:val="20"/>
          <w:lang w:val="en-US" w:eastAsia="es-CR"/>
        </w:rPr>
        <w:t>and April</w:t>
      </w:r>
      <w:r w:rsidR="004316A0" w:rsidRPr="00525E62">
        <w:rPr>
          <w:rFonts w:ascii="Verdana" w:eastAsiaTheme="minorHAnsi" w:hAnsi="Verdana"/>
          <w:sz w:val="20"/>
          <w:lang w:val="en-US" w:eastAsia="es-CR"/>
        </w:rPr>
        <w:t xml:space="preserve"> 2015</w:t>
      </w:r>
      <w:r w:rsidRPr="00525E62">
        <w:rPr>
          <w:rFonts w:ascii="Verdana" w:eastAsiaTheme="minorHAnsi" w:hAnsi="Verdana"/>
          <w:sz w:val="20"/>
          <w:lang w:val="en-US" w:eastAsia="es-CR"/>
        </w:rPr>
        <w:t>.</w:t>
      </w:r>
      <w:r w:rsidR="00FA5197" w:rsidRPr="00525E62">
        <w:rPr>
          <w:rStyle w:val="FootnoteReference"/>
          <w:rFonts w:ascii="Verdana" w:eastAsiaTheme="minorHAnsi" w:hAnsi="Verdana"/>
          <w:sz w:val="20"/>
          <w:lang w:val="en-US" w:eastAsia="es-CR"/>
        </w:rPr>
        <w:footnoteReference w:id="7"/>
      </w:r>
      <w:bookmarkEnd w:id="4"/>
      <w:r w:rsidR="004437EF" w:rsidRPr="00525E62">
        <w:rPr>
          <w:rFonts w:ascii="Verdana" w:eastAsiaTheme="minorHAnsi" w:hAnsi="Verdana"/>
          <w:sz w:val="20"/>
          <w:lang w:val="en-US" w:eastAsia="es-CR"/>
        </w:rPr>
        <w:t xml:space="preserve"> </w:t>
      </w:r>
    </w:p>
    <w:p w14:paraId="33A60B20" w14:textId="77777777" w:rsidR="004437EF" w:rsidRPr="00525E62" w:rsidRDefault="004437EF" w:rsidP="004437EF">
      <w:pPr>
        <w:jc w:val="both"/>
        <w:rPr>
          <w:rFonts w:ascii="Verdana" w:eastAsiaTheme="minorHAnsi" w:hAnsi="Verdana"/>
          <w:sz w:val="20"/>
          <w:lang w:val="en-US" w:eastAsia="es-CR"/>
        </w:rPr>
      </w:pPr>
    </w:p>
    <w:p w14:paraId="040589A5" w14:textId="027B9EA3" w:rsidR="004316A0" w:rsidRPr="00525E62" w:rsidRDefault="002462D1" w:rsidP="00E54903">
      <w:pPr>
        <w:numPr>
          <w:ilvl w:val="0"/>
          <w:numId w:val="1"/>
        </w:numPr>
        <w:ind w:left="0" w:firstLine="0"/>
        <w:jc w:val="both"/>
        <w:rPr>
          <w:rFonts w:ascii="Verdana" w:eastAsiaTheme="minorHAnsi" w:hAnsi="Verdana"/>
          <w:sz w:val="20"/>
          <w:lang w:val="en-US" w:eastAsia="es-CR"/>
        </w:rPr>
      </w:pPr>
      <w:r w:rsidRPr="00525E62">
        <w:rPr>
          <w:rFonts w:ascii="Verdana" w:eastAsiaTheme="minorHAnsi" w:hAnsi="Verdana"/>
          <w:sz w:val="20"/>
          <w:lang w:val="en-US" w:eastAsia="es-CR"/>
        </w:rPr>
        <w:t xml:space="preserve">The four </w:t>
      </w:r>
      <w:r w:rsidR="00DD5AA2" w:rsidRPr="00525E62">
        <w:rPr>
          <w:rFonts w:ascii="Verdana" w:eastAsiaTheme="minorHAnsi" w:hAnsi="Verdana"/>
          <w:sz w:val="20"/>
          <w:lang w:val="en-US" w:eastAsia="es-CR"/>
        </w:rPr>
        <w:t xml:space="preserve">observation </w:t>
      </w:r>
      <w:r w:rsidRPr="00525E62">
        <w:rPr>
          <w:rFonts w:ascii="Verdana" w:eastAsiaTheme="minorHAnsi" w:hAnsi="Verdana"/>
          <w:sz w:val="20"/>
          <w:lang w:val="en-US" w:eastAsia="es-CR"/>
        </w:rPr>
        <w:t>briefs presented by</w:t>
      </w:r>
      <w:r w:rsidR="00D3246C"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the representatives</w:t>
      </w:r>
      <w:r w:rsidR="004316A0"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between August</w:t>
      </w:r>
      <w:r w:rsidR="004316A0" w:rsidRPr="00525E62">
        <w:rPr>
          <w:rFonts w:ascii="Verdana" w:eastAsiaTheme="minorHAnsi" w:hAnsi="Verdana"/>
          <w:sz w:val="20"/>
          <w:lang w:val="en-US" w:eastAsia="es-CR"/>
        </w:rPr>
        <w:t xml:space="preserve"> 2013 </w:t>
      </w:r>
      <w:r w:rsidRPr="00525E62">
        <w:rPr>
          <w:rFonts w:ascii="Verdana" w:eastAsiaTheme="minorHAnsi" w:hAnsi="Verdana"/>
          <w:sz w:val="20"/>
          <w:lang w:val="en-US" w:eastAsia="es-CR"/>
        </w:rPr>
        <w:t>and May</w:t>
      </w:r>
      <w:r w:rsidR="004316A0" w:rsidRPr="00525E62">
        <w:rPr>
          <w:rFonts w:ascii="Verdana" w:eastAsiaTheme="minorHAnsi" w:hAnsi="Verdana"/>
          <w:sz w:val="20"/>
          <w:lang w:val="en-US" w:eastAsia="es-CR"/>
        </w:rPr>
        <w:t xml:space="preserve"> 2015</w:t>
      </w:r>
      <w:r w:rsidRPr="00525E62">
        <w:rPr>
          <w:rFonts w:ascii="Verdana" w:eastAsiaTheme="minorHAnsi" w:hAnsi="Verdana"/>
          <w:sz w:val="20"/>
          <w:lang w:val="en-US" w:eastAsia="es-CR"/>
        </w:rPr>
        <w:t>.</w:t>
      </w:r>
      <w:r w:rsidR="004316A0" w:rsidRPr="00525E62">
        <w:rPr>
          <w:rStyle w:val="FootnoteReference"/>
          <w:rFonts w:ascii="Verdana" w:eastAsiaTheme="minorHAnsi" w:hAnsi="Verdana"/>
          <w:sz w:val="20"/>
          <w:lang w:val="en-US" w:eastAsia="es-CR"/>
        </w:rPr>
        <w:footnoteReference w:id="8"/>
      </w:r>
      <w:r w:rsidR="004316A0" w:rsidRPr="00525E62">
        <w:rPr>
          <w:rFonts w:ascii="Verdana" w:eastAsiaTheme="minorHAnsi" w:hAnsi="Verdana"/>
          <w:sz w:val="20"/>
          <w:lang w:val="en-US" w:eastAsia="es-CR"/>
        </w:rPr>
        <w:t xml:space="preserve"> </w:t>
      </w:r>
    </w:p>
    <w:p w14:paraId="637E2933" w14:textId="77777777" w:rsidR="004316A0" w:rsidRPr="00525E62" w:rsidRDefault="004316A0" w:rsidP="004316A0">
      <w:pPr>
        <w:pStyle w:val="ListParagraph"/>
        <w:rPr>
          <w:rFonts w:ascii="Verdana" w:eastAsiaTheme="minorHAnsi" w:hAnsi="Verdana"/>
          <w:sz w:val="20"/>
          <w:lang w:val="en-US" w:eastAsia="es-CR"/>
        </w:rPr>
      </w:pPr>
    </w:p>
    <w:p w14:paraId="79FF7472" w14:textId="316AF1E0" w:rsidR="004437EF" w:rsidRPr="00525E62" w:rsidRDefault="002462D1" w:rsidP="004437EF">
      <w:pPr>
        <w:numPr>
          <w:ilvl w:val="0"/>
          <w:numId w:val="1"/>
        </w:numPr>
        <w:ind w:left="0" w:firstLine="0"/>
        <w:jc w:val="both"/>
        <w:rPr>
          <w:rFonts w:ascii="Verdana" w:hAnsi="Verdana"/>
          <w:sz w:val="20"/>
          <w:lang w:val="en-US"/>
        </w:rPr>
      </w:pPr>
      <w:r w:rsidRPr="00525E62">
        <w:rPr>
          <w:rFonts w:ascii="Verdana" w:eastAsiaTheme="minorHAnsi" w:hAnsi="Verdana"/>
          <w:sz w:val="20"/>
          <w:lang w:val="en-US" w:eastAsia="es-CR"/>
        </w:rPr>
        <w:t xml:space="preserve">The three </w:t>
      </w:r>
      <w:r w:rsidR="00DD5AA2" w:rsidRPr="00525E62">
        <w:rPr>
          <w:rFonts w:ascii="Verdana" w:eastAsiaTheme="minorHAnsi" w:hAnsi="Verdana"/>
          <w:sz w:val="20"/>
          <w:lang w:val="en-US" w:eastAsia="es-CR"/>
        </w:rPr>
        <w:t xml:space="preserve">observation </w:t>
      </w:r>
      <w:r w:rsidRPr="00525E62">
        <w:rPr>
          <w:rFonts w:ascii="Verdana" w:eastAsiaTheme="minorHAnsi" w:hAnsi="Verdana"/>
          <w:sz w:val="20"/>
          <w:lang w:val="en-US" w:eastAsia="es-CR"/>
        </w:rPr>
        <w:t>briefs presented by the Inter-American Commission</w:t>
      </w:r>
      <w:r w:rsidR="004316A0" w:rsidRPr="00525E62">
        <w:rPr>
          <w:rFonts w:ascii="Verdana" w:eastAsiaTheme="minorHAnsi" w:hAnsi="Verdana"/>
          <w:sz w:val="20"/>
          <w:lang w:val="en-US" w:eastAsia="es-CR"/>
        </w:rPr>
        <w:t xml:space="preserve"> </w:t>
      </w:r>
      <w:r w:rsidRPr="00525E62">
        <w:rPr>
          <w:rFonts w:ascii="Verdana" w:eastAsiaTheme="minorHAnsi" w:hAnsi="Verdana"/>
          <w:sz w:val="20"/>
          <w:lang w:val="en-US" w:eastAsia="es-CR"/>
        </w:rPr>
        <w:t>between August</w:t>
      </w:r>
      <w:r w:rsidR="004437EF" w:rsidRPr="00525E62">
        <w:rPr>
          <w:rFonts w:ascii="Verdana" w:eastAsiaTheme="minorHAnsi" w:hAnsi="Verdana"/>
          <w:sz w:val="20"/>
          <w:lang w:val="en-US" w:eastAsia="es-CR"/>
        </w:rPr>
        <w:t xml:space="preserve"> 2013 </w:t>
      </w:r>
      <w:r w:rsidRPr="00525E62">
        <w:rPr>
          <w:rFonts w:ascii="Verdana" w:eastAsiaTheme="minorHAnsi" w:hAnsi="Verdana"/>
          <w:sz w:val="20"/>
          <w:lang w:val="en-US" w:eastAsia="es-CR"/>
        </w:rPr>
        <w:t>and June</w:t>
      </w:r>
      <w:r w:rsidR="004437EF" w:rsidRPr="00525E62">
        <w:rPr>
          <w:rFonts w:ascii="Verdana" w:eastAsiaTheme="minorHAnsi" w:hAnsi="Verdana"/>
          <w:sz w:val="20"/>
          <w:lang w:val="en-US" w:eastAsia="es-CR"/>
        </w:rPr>
        <w:t xml:space="preserve"> 2015</w:t>
      </w:r>
      <w:r w:rsidRPr="00525E62">
        <w:rPr>
          <w:rFonts w:ascii="Verdana" w:eastAsiaTheme="minorHAnsi" w:hAnsi="Verdana"/>
          <w:sz w:val="20"/>
          <w:lang w:val="en-US" w:eastAsia="es-CR"/>
        </w:rPr>
        <w:t>.</w:t>
      </w:r>
      <w:r w:rsidR="006332B3" w:rsidRPr="00525E62">
        <w:rPr>
          <w:rStyle w:val="FootnoteReference"/>
          <w:rFonts w:ascii="Verdana" w:eastAsiaTheme="minorHAnsi" w:hAnsi="Verdana"/>
          <w:sz w:val="20"/>
          <w:lang w:val="en-US" w:eastAsia="es-CR"/>
        </w:rPr>
        <w:footnoteReference w:id="9"/>
      </w:r>
      <w:r w:rsidR="004437EF" w:rsidRPr="00525E62">
        <w:rPr>
          <w:rFonts w:ascii="Verdana" w:eastAsiaTheme="minorHAnsi" w:hAnsi="Verdana"/>
          <w:sz w:val="20"/>
          <w:lang w:val="en-US" w:eastAsia="es-CR"/>
        </w:rPr>
        <w:t xml:space="preserve"> </w:t>
      </w:r>
    </w:p>
    <w:p w14:paraId="58234155" w14:textId="77777777" w:rsidR="00E54903" w:rsidRPr="00525E62" w:rsidRDefault="00E54903" w:rsidP="00E54903">
      <w:pPr>
        <w:jc w:val="both"/>
        <w:rPr>
          <w:rFonts w:ascii="Verdana" w:hAnsi="Verdana"/>
          <w:sz w:val="20"/>
          <w:lang w:val="en-US"/>
        </w:rPr>
      </w:pPr>
    </w:p>
    <w:p w14:paraId="295BE45B" w14:textId="49E6C5BB" w:rsidR="00E54903" w:rsidRPr="00525E62" w:rsidRDefault="002462D1" w:rsidP="0062559F">
      <w:pPr>
        <w:numPr>
          <w:ilvl w:val="0"/>
          <w:numId w:val="1"/>
        </w:numPr>
        <w:ind w:left="0" w:firstLine="0"/>
        <w:jc w:val="both"/>
        <w:rPr>
          <w:rFonts w:ascii="Verdana" w:hAnsi="Verdana"/>
          <w:sz w:val="20"/>
          <w:lang w:val="en-US"/>
        </w:rPr>
      </w:pPr>
      <w:bookmarkStart w:id="5" w:name="_Ref526519903"/>
      <w:bookmarkStart w:id="6" w:name="_Ref530057328"/>
      <w:r w:rsidRPr="00525E62">
        <w:rPr>
          <w:rFonts w:ascii="Verdana" w:hAnsi="Verdana" w:cs="Arial"/>
          <w:sz w:val="20"/>
          <w:lang w:val="en-US"/>
        </w:rPr>
        <w:t>The note</w:t>
      </w:r>
      <w:r w:rsidR="00C93224" w:rsidRPr="00525E62">
        <w:rPr>
          <w:rFonts w:ascii="Verdana" w:hAnsi="Verdana" w:cs="Arial"/>
          <w:sz w:val="20"/>
          <w:lang w:val="en-US"/>
        </w:rPr>
        <w:t xml:space="preserve"> of the </w:t>
      </w:r>
      <w:r w:rsidR="00DD5AA2" w:rsidRPr="00525E62">
        <w:rPr>
          <w:rFonts w:ascii="Verdana" w:hAnsi="Verdana" w:cs="Arial"/>
          <w:sz w:val="20"/>
          <w:lang w:val="en-US"/>
        </w:rPr>
        <w:t xml:space="preserve">Court’s </w:t>
      </w:r>
      <w:r w:rsidR="00E54903" w:rsidRPr="00525E62">
        <w:rPr>
          <w:rFonts w:ascii="Verdana" w:hAnsi="Verdana" w:cs="Arial"/>
          <w:sz w:val="20"/>
          <w:lang w:val="en-US"/>
        </w:rPr>
        <w:t>Secretar</w:t>
      </w:r>
      <w:r w:rsidRPr="00525E62">
        <w:rPr>
          <w:rFonts w:ascii="Verdana" w:hAnsi="Verdana" w:cs="Arial"/>
          <w:sz w:val="20"/>
          <w:lang w:val="en-US"/>
        </w:rPr>
        <w:t>iat of December 21,</w:t>
      </w:r>
      <w:r w:rsidR="00023701" w:rsidRPr="00525E62">
        <w:rPr>
          <w:rFonts w:ascii="Verdana" w:hAnsi="Verdana" w:cs="Arial"/>
          <w:sz w:val="20"/>
          <w:lang w:val="en-US"/>
        </w:rPr>
        <w:t xml:space="preserve"> 2016, </w:t>
      </w:r>
      <w:r w:rsidRPr="00525E62">
        <w:rPr>
          <w:rFonts w:ascii="Verdana" w:hAnsi="Verdana" w:cs="Arial"/>
          <w:sz w:val="20"/>
          <w:lang w:val="en-US"/>
        </w:rPr>
        <w:t xml:space="preserve">in which, on the instructions of the President of the Court, the State was asked to present a report on </w:t>
      </w:r>
      <w:r w:rsidRPr="00525E62">
        <w:rPr>
          <w:rFonts w:ascii="Verdana" w:hAnsi="Verdana" w:cs="Arial"/>
          <w:sz w:val="20"/>
          <w:lang w:val="en-US"/>
        </w:rPr>
        <w:lastRenderedPageBreak/>
        <w:t xml:space="preserve">compliance with the reparations by March 17, </w:t>
      </w:r>
      <w:r w:rsidR="00E54903" w:rsidRPr="00525E62">
        <w:rPr>
          <w:rFonts w:ascii="Verdana" w:hAnsi="Verdana"/>
          <w:sz w:val="20"/>
          <w:lang w:val="en-US"/>
        </w:rPr>
        <w:t>2017</w:t>
      </w:r>
      <w:bookmarkEnd w:id="5"/>
      <w:r w:rsidR="0062559F" w:rsidRPr="00525E62">
        <w:rPr>
          <w:rFonts w:ascii="Verdana" w:hAnsi="Verdana"/>
          <w:sz w:val="20"/>
          <w:lang w:val="en-US"/>
        </w:rPr>
        <w:t>,</w:t>
      </w:r>
      <w:r w:rsidRPr="00525E62">
        <w:rPr>
          <w:rFonts w:ascii="Verdana" w:hAnsi="Verdana"/>
          <w:sz w:val="20"/>
          <w:lang w:val="en-US"/>
        </w:rPr>
        <w:t xml:space="preserve"> at the latest, and the notes</w:t>
      </w:r>
      <w:r w:rsidR="0062559F" w:rsidRPr="00525E62">
        <w:rPr>
          <w:rFonts w:ascii="Verdana" w:hAnsi="Verdana"/>
          <w:sz w:val="20"/>
          <w:lang w:val="en-US"/>
        </w:rPr>
        <w:t xml:space="preserve"> </w:t>
      </w:r>
      <w:bookmarkStart w:id="7" w:name="_Ref526763738"/>
      <w:r w:rsidR="00C93224" w:rsidRPr="00525E62">
        <w:rPr>
          <w:rFonts w:ascii="Verdana" w:hAnsi="Verdana"/>
          <w:sz w:val="20"/>
          <w:lang w:val="en-US"/>
        </w:rPr>
        <w:t xml:space="preserve">of the </w:t>
      </w:r>
      <w:r w:rsidRPr="00525E62">
        <w:rPr>
          <w:rFonts w:ascii="Verdana" w:hAnsi="Verdana"/>
          <w:sz w:val="20"/>
          <w:lang w:val="en-US"/>
        </w:rPr>
        <w:t xml:space="preserve">Court’s </w:t>
      </w:r>
      <w:r w:rsidR="00E54903" w:rsidRPr="00525E62">
        <w:rPr>
          <w:rFonts w:ascii="Verdana" w:hAnsi="Verdana"/>
          <w:sz w:val="20"/>
          <w:lang w:val="en-US"/>
        </w:rPr>
        <w:t>Secretar</w:t>
      </w:r>
      <w:r w:rsidRPr="00525E62">
        <w:rPr>
          <w:rFonts w:ascii="Verdana" w:hAnsi="Verdana"/>
          <w:sz w:val="20"/>
          <w:lang w:val="en-US"/>
        </w:rPr>
        <w:t xml:space="preserve">iat of August 9 and October 10, </w:t>
      </w:r>
      <w:r w:rsidR="00023701" w:rsidRPr="00525E62">
        <w:rPr>
          <w:rFonts w:ascii="Verdana" w:hAnsi="Verdana"/>
          <w:sz w:val="20"/>
          <w:lang w:val="en-US"/>
        </w:rPr>
        <w:t xml:space="preserve">2017, </w:t>
      </w:r>
      <w:r w:rsidRPr="00525E62">
        <w:rPr>
          <w:rFonts w:ascii="Verdana" w:hAnsi="Verdana"/>
          <w:sz w:val="20"/>
          <w:lang w:val="en-US"/>
        </w:rPr>
        <w:t xml:space="preserve">reminding the State that the said time frame had expired </w:t>
      </w:r>
      <w:r w:rsidR="0062559F" w:rsidRPr="00525E62">
        <w:rPr>
          <w:rFonts w:ascii="Verdana" w:hAnsi="Verdana"/>
          <w:sz w:val="20"/>
          <w:lang w:val="en-US"/>
        </w:rPr>
        <w:t>(</w:t>
      </w:r>
      <w:r w:rsidR="0062559F" w:rsidRPr="00525E62">
        <w:rPr>
          <w:rFonts w:ascii="Verdana" w:hAnsi="Verdana"/>
          <w:i/>
          <w:sz w:val="20"/>
          <w:lang w:val="en-US"/>
        </w:rPr>
        <w:t>infra</w:t>
      </w:r>
      <w:r w:rsidR="0062559F" w:rsidRPr="00525E62">
        <w:rPr>
          <w:rFonts w:ascii="Verdana" w:hAnsi="Verdana"/>
          <w:sz w:val="20"/>
          <w:lang w:val="en-US"/>
        </w:rPr>
        <w:t xml:space="preserve"> </w:t>
      </w:r>
      <w:proofErr w:type="spellStart"/>
      <w:r w:rsidRPr="00525E62">
        <w:rPr>
          <w:rFonts w:ascii="Verdana" w:hAnsi="Verdana"/>
          <w:i/>
          <w:sz w:val="20"/>
          <w:lang w:val="en-US"/>
        </w:rPr>
        <w:t>considerandum</w:t>
      </w:r>
      <w:proofErr w:type="spellEnd"/>
      <w:r w:rsidR="0062559F"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_Ref530057245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4</w:t>
      </w:r>
      <w:r w:rsidR="001413FA">
        <w:rPr>
          <w:rFonts w:ascii="Verdana" w:hAnsi="Verdana"/>
          <w:sz w:val="20"/>
          <w:lang w:val="en-US"/>
        </w:rPr>
        <w:fldChar w:fldCharType="end"/>
      </w:r>
      <w:r w:rsidR="0062559F" w:rsidRPr="00525E62">
        <w:rPr>
          <w:rFonts w:ascii="Verdana" w:hAnsi="Verdana"/>
          <w:sz w:val="20"/>
          <w:lang w:val="en-US"/>
        </w:rPr>
        <w:t>)</w:t>
      </w:r>
      <w:r w:rsidR="00E54903" w:rsidRPr="00525E62">
        <w:rPr>
          <w:rFonts w:ascii="Verdana" w:hAnsi="Verdana"/>
          <w:sz w:val="20"/>
          <w:lang w:val="en-US"/>
        </w:rPr>
        <w:t>.</w:t>
      </w:r>
      <w:bookmarkEnd w:id="6"/>
      <w:bookmarkEnd w:id="7"/>
    </w:p>
    <w:p w14:paraId="4554322D" w14:textId="77777777" w:rsidR="00E54903" w:rsidRPr="00525E62" w:rsidRDefault="00E54903" w:rsidP="00E54903">
      <w:pPr>
        <w:pStyle w:val="ListParagraph"/>
        <w:rPr>
          <w:rFonts w:ascii="Verdana" w:eastAsiaTheme="minorHAnsi" w:hAnsi="Verdana"/>
          <w:sz w:val="20"/>
          <w:lang w:val="en-US" w:eastAsia="es-CR"/>
        </w:rPr>
      </w:pPr>
    </w:p>
    <w:p w14:paraId="4A15CE40" w14:textId="2E5B769E" w:rsidR="00E54903" w:rsidRPr="00525E62" w:rsidRDefault="00E54903" w:rsidP="00E54903">
      <w:pPr>
        <w:jc w:val="both"/>
        <w:rPr>
          <w:rFonts w:ascii="Verdana" w:hAnsi="Verdana"/>
          <w:b/>
          <w:sz w:val="20"/>
          <w:lang w:val="en-US"/>
        </w:rPr>
      </w:pPr>
      <w:r w:rsidRPr="00525E62">
        <w:rPr>
          <w:rFonts w:ascii="Verdana" w:hAnsi="Verdana"/>
          <w:b/>
          <w:sz w:val="20"/>
          <w:lang w:val="en-US"/>
        </w:rPr>
        <w:t>CONSIDER</w:t>
      </w:r>
      <w:r w:rsidR="002462D1" w:rsidRPr="00525E62">
        <w:rPr>
          <w:rFonts w:ascii="Verdana" w:hAnsi="Verdana"/>
          <w:b/>
          <w:sz w:val="20"/>
          <w:lang w:val="en-US"/>
        </w:rPr>
        <w:t>ING THAT</w:t>
      </w:r>
      <w:r w:rsidRPr="00525E62">
        <w:rPr>
          <w:rFonts w:ascii="Verdana" w:hAnsi="Verdana"/>
          <w:b/>
          <w:sz w:val="20"/>
          <w:lang w:val="en-US"/>
        </w:rPr>
        <w:t xml:space="preserve">: </w:t>
      </w:r>
    </w:p>
    <w:p w14:paraId="4196484A" w14:textId="77777777" w:rsidR="00E54903" w:rsidRPr="00525E62" w:rsidRDefault="00E54903" w:rsidP="00E54903">
      <w:pPr>
        <w:rPr>
          <w:lang w:val="en-US"/>
        </w:rPr>
      </w:pPr>
    </w:p>
    <w:p w14:paraId="3D600CF5" w14:textId="19F59DF8" w:rsidR="00E54903" w:rsidRPr="00525E62" w:rsidRDefault="002462D1" w:rsidP="002462D1">
      <w:pPr>
        <w:numPr>
          <w:ilvl w:val="0"/>
          <w:numId w:val="2"/>
        </w:numPr>
        <w:ind w:left="0" w:firstLine="0"/>
        <w:jc w:val="both"/>
        <w:rPr>
          <w:rFonts w:ascii="Times New Roman" w:hAnsi="Times New Roman"/>
          <w:szCs w:val="24"/>
          <w:lang w:val="en-US" w:eastAsia="es-CR"/>
        </w:rPr>
      </w:pPr>
      <w:bookmarkStart w:id="8" w:name="_Ref526770998"/>
      <w:r w:rsidRPr="00525E62">
        <w:rPr>
          <w:rFonts w:ascii="Verdana" w:hAnsi="Verdana" w:cs="Verdana"/>
          <w:bCs/>
          <w:sz w:val="20"/>
          <w:lang w:val="en-US"/>
        </w:rPr>
        <w:t>In the exercise of its jurisdictional function of monitoring compliance with its decisions,</w:t>
      </w:r>
      <w:r w:rsidR="00E54903" w:rsidRPr="00525E62">
        <w:rPr>
          <w:rStyle w:val="FootnoteReference"/>
          <w:rFonts w:ascii="Verdana" w:hAnsi="Verdana" w:cs="Verdana"/>
          <w:bCs/>
          <w:sz w:val="20"/>
          <w:lang w:val="en-US"/>
        </w:rPr>
        <w:footnoteReference w:id="10"/>
      </w:r>
      <w:r w:rsidR="00E54903" w:rsidRPr="00525E62">
        <w:rPr>
          <w:rFonts w:ascii="Verdana" w:hAnsi="Verdana" w:cs="Verdana"/>
          <w:bCs/>
          <w:sz w:val="20"/>
          <w:lang w:val="en-US"/>
        </w:rPr>
        <w:t xml:space="preserve"> </w:t>
      </w:r>
      <w:r w:rsidR="00C93224" w:rsidRPr="00525E62">
        <w:rPr>
          <w:rFonts w:ascii="Verdana" w:hAnsi="Verdana" w:cs="Verdana"/>
          <w:bCs/>
          <w:sz w:val="20"/>
          <w:lang w:val="en-US"/>
        </w:rPr>
        <w:t>the Court</w:t>
      </w:r>
      <w:r w:rsidR="00E54903" w:rsidRPr="00525E62">
        <w:rPr>
          <w:rFonts w:ascii="Verdana" w:hAnsi="Verdana" w:cs="Verdana"/>
          <w:bCs/>
          <w:sz w:val="20"/>
          <w:lang w:val="en-US"/>
        </w:rPr>
        <w:t xml:space="preserve"> </w:t>
      </w:r>
      <w:r w:rsidR="00E54903" w:rsidRPr="00525E62">
        <w:rPr>
          <w:rFonts w:ascii="Verdana" w:hAnsi="Verdana"/>
          <w:sz w:val="20"/>
          <w:lang w:val="en-US" w:eastAsia="es-CR"/>
        </w:rPr>
        <w:t>ha</w:t>
      </w:r>
      <w:r w:rsidRPr="00525E62">
        <w:rPr>
          <w:rFonts w:ascii="Verdana" w:hAnsi="Verdana"/>
          <w:sz w:val="20"/>
          <w:lang w:val="en-US" w:eastAsia="es-CR"/>
        </w:rPr>
        <w:t xml:space="preserve">s been monitoring compliance with the execution </w:t>
      </w:r>
      <w:r w:rsidRPr="00525E62">
        <w:rPr>
          <w:rFonts w:ascii="Verdana" w:hAnsi="Verdana" w:cs="Verdana"/>
          <w:bCs/>
          <w:sz w:val="20"/>
          <w:lang w:val="en-US"/>
        </w:rPr>
        <w:t xml:space="preserve">of the </w:t>
      </w:r>
      <w:r w:rsidR="00C93224" w:rsidRPr="00525E62">
        <w:rPr>
          <w:rFonts w:ascii="Verdana" w:hAnsi="Verdana" w:cs="Verdana"/>
          <w:bCs/>
          <w:sz w:val="20"/>
          <w:lang w:val="en-US"/>
        </w:rPr>
        <w:t>judgment</w:t>
      </w:r>
      <w:r w:rsidR="00E54903" w:rsidRPr="00525E62">
        <w:rPr>
          <w:rFonts w:ascii="Verdana" w:hAnsi="Verdana" w:cs="Verdana"/>
          <w:bCs/>
          <w:sz w:val="20"/>
          <w:lang w:val="en-US"/>
        </w:rPr>
        <w:t xml:space="preserve"> </w:t>
      </w:r>
      <w:r w:rsidRPr="00525E62">
        <w:rPr>
          <w:rFonts w:ascii="Verdana" w:hAnsi="Verdana" w:cs="Verdana"/>
          <w:bCs/>
          <w:sz w:val="20"/>
          <w:lang w:val="en-US"/>
        </w:rPr>
        <w:t>handed down in this case for almost</w:t>
      </w:r>
      <w:r w:rsidR="002E37CA" w:rsidRPr="00525E62">
        <w:rPr>
          <w:rFonts w:ascii="Verdana" w:hAnsi="Verdana" w:cs="Verdana"/>
          <w:bCs/>
          <w:sz w:val="20"/>
          <w:lang w:val="en-US"/>
        </w:rPr>
        <w:t xml:space="preserve"> eleven years</w:t>
      </w:r>
      <w:r w:rsidRPr="00525E62">
        <w:rPr>
          <w:rFonts w:ascii="Verdana" w:hAnsi="Verdana" w:cs="Verdana"/>
          <w:bCs/>
          <w:sz w:val="20"/>
          <w:lang w:val="en-US"/>
        </w:rPr>
        <w:t xml:space="preserve"> </w:t>
      </w:r>
      <w:r w:rsidR="00E54903" w:rsidRPr="00525E62">
        <w:rPr>
          <w:rFonts w:ascii="Verdana" w:hAnsi="Verdana" w:cs="Verdana"/>
          <w:bCs/>
          <w:sz w:val="20"/>
          <w:lang w:val="en-US"/>
        </w:rPr>
        <w:t>(</w:t>
      </w:r>
      <w:r w:rsidR="00E54903" w:rsidRPr="00525E62">
        <w:rPr>
          <w:rFonts w:ascii="Verdana" w:hAnsi="Verdana" w:cs="Verdana"/>
          <w:bCs/>
          <w:i/>
          <w:sz w:val="20"/>
          <w:lang w:val="en-US"/>
        </w:rPr>
        <w:t xml:space="preserve">supra </w:t>
      </w:r>
      <w:r w:rsidRPr="00525E62">
        <w:rPr>
          <w:rFonts w:ascii="Verdana" w:hAnsi="Verdana" w:cs="Verdana"/>
          <w:bCs/>
          <w:sz w:val="20"/>
          <w:lang w:val="en-US"/>
        </w:rPr>
        <w:t>having seen paragraph</w:t>
      </w:r>
      <w:r w:rsidR="002E37CA" w:rsidRPr="00525E62">
        <w:rPr>
          <w:rFonts w:ascii="Verdana" w:hAnsi="Verdana" w:cs="Verdana"/>
          <w:bCs/>
          <w:sz w:val="20"/>
          <w:lang w:val="en-US"/>
        </w:rPr>
        <w:t xml:space="preserve"> </w:t>
      </w:r>
      <w:r w:rsidR="001413FA">
        <w:rPr>
          <w:rFonts w:ascii="Verdana" w:hAnsi="Verdana" w:cs="Verdana"/>
          <w:bCs/>
          <w:sz w:val="20"/>
          <w:lang w:val="en-US"/>
        </w:rPr>
        <w:fldChar w:fldCharType="begin"/>
      </w:r>
      <w:r w:rsidR="001413FA">
        <w:rPr>
          <w:rFonts w:ascii="Verdana" w:hAnsi="Verdana" w:cs="Verdana"/>
          <w:bCs/>
          <w:sz w:val="20"/>
          <w:lang w:val="en-US"/>
        </w:rPr>
        <w:instrText xml:space="preserve"> REF _Ref437273668 \r \h </w:instrText>
      </w:r>
      <w:r w:rsidR="001413FA">
        <w:rPr>
          <w:rFonts w:ascii="Verdana" w:hAnsi="Verdana" w:cs="Verdana"/>
          <w:bCs/>
          <w:sz w:val="20"/>
          <w:lang w:val="en-US"/>
        </w:rPr>
      </w:r>
      <w:r w:rsidR="001413FA">
        <w:rPr>
          <w:rFonts w:ascii="Verdana" w:hAnsi="Verdana" w:cs="Verdana"/>
          <w:bCs/>
          <w:sz w:val="20"/>
          <w:lang w:val="en-US"/>
        </w:rPr>
        <w:fldChar w:fldCharType="separate"/>
      </w:r>
      <w:r w:rsidR="00980175">
        <w:rPr>
          <w:rFonts w:ascii="Verdana" w:hAnsi="Verdana" w:cs="Verdana"/>
          <w:bCs/>
          <w:sz w:val="20"/>
          <w:lang w:val="en-US"/>
        </w:rPr>
        <w:t>1</w:t>
      </w:r>
      <w:r w:rsidR="001413FA">
        <w:rPr>
          <w:rFonts w:ascii="Verdana" w:hAnsi="Verdana" w:cs="Verdana"/>
          <w:bCs/>
          <w:sz w:val="20"/>
          <w:lang w:val="en-US"/>
        </w:rPr>
        <w:fldChar w:fldCharType="end"/>
      </w:r>
      <w:r w:rsidR="00E54903" w:rsidRPr="00525E62">
        <w:rPr>
          <w:rFonts w:ascii="Verdana" w:hAnsi="Verdana" w:cs="Verdana"/>
          <w:bCs/>
          <w:sz w:val="20"/>
          <w:lang w:val="en-US"/>
        </w:rPr>
        <w:t xml:space="preserve">). </w:t>
      </w:r>
      <w:r w:rsidRPr="00525E62">
        <w:rPr>
          <w:rFonts w:ascii="Verdana" w:hAnsi="Verdana" w:cs="Verdana"/>
          <w:bCs/>
          <w:sz w:val="20"/>
          <w:lang w:val="en-US"/>
        </w:rPr>
        <w:t xml:space="preserve">In the order issued by the Court in November </w:t>
      </w:r>
      <w:r w:rsidR="00E54903" w:rsidRPr="00525E62">
        <w:rPr>
          <w:rFonts w:ascii="Verdana" w:hAnsi="Verdana" w:cs="Verdana"/>
          <w:bCs/>
          <w:sz w:val="20"/>
          <w:lang w:val="en-US"/>
        </w:rPr>
        <w:t>20</w:t>
      </w:r>
      <w:r w:rsidR="00EE60FB" w:rsidRPr="00525E62">
        <w:rPr>
          <w:rFonts w:ascii="Verdana" w:hAnsi="Verdana" w:cs="Verdana"/>
          <w:bCs/>
          <w:sz w:val="20"/>
          <w:lang w:val="en-US"/>
        </w:rPr>
        <w:t>11</w:t>
      </w:r>
      <w:r w:rsidR="00E54903" w:rsidRPr="00525E62">
        <w:rPr>
          <w:rFonts w:ascii="Verdana" w:hAnsi="Verdana" w:cs="Verdana"/>
          <w:bCs/>
          <w:sz w:val="20"/>
          <w:lang w:val="en-US"/>
        </w:rPr>
        <w:t xml:space="preserve"> (</w:t>
      </w:r>
      <w:r w:rsidR="00E54903" w:rsidRPr="00525E62">
        <w:rPr>
          <w:rFonts w:ascii="Verdana" w:hAnsi="Verdana" w:cs="Verdana"/>
          <w:bCs/>
          <w:i/>
          <w:sz w:val="20"/>
          <w:lang w:val="en-US"/>
        </w:rPr>
        <w:t xml:space="preserve">supra </w:t>
      </w:r>
      <w:r w:rsidRPr="00525E62">
        <w:rPr>
          <w:rFonts w:ascii="Verdana" w:hAnsi="Verdana" w:cs="Verdana"/>
          <w:bCs/>
          <w:sz w:val="20"/>
          <w:lang w:val="en-US"/>
        </w:rPr>
        <w:t>having seen paragraph</w:t>
      </w:r>
      <w:r w:rsidR="002E37CA" w:rsidRPr="00525E62">
        <w:rPr>
          <w:rFonts w:ascii="Verdana" w:hAnsi="Verdana" w:cs="Verdana"/>
          <w:bCs/>
          <w:sz w:val="20"/>
          <w:lang w:val="en-US"/>
        </w:rPr>
        <w:t xml:space="preserve"> </w:t>
      </w:r>
      <w:r w:rsidR="001413FA">
        <w:rPr>
          <w:rFonts w:ascii="Verdana" w:hAnsi="Verdana" w:cs="Verdana"/>
          <w:bCs/>
          <w:sz w:val="20"/>
          <w:lang w:val="en-US"/>
        </w:rPr>
        <w:fldChar w:fldCharType="begin"/>
      </w:r>
      <w:r w:rsidR="001413FA">
        <w:rPr>
          <w:rFonts w:ascii="Verdana" w:hAnsi="Verdana" w:cs="Verdana"/>
          <w:bCs/>
          <w:sz w:val="20"/>
          <w:lang w:val="en-US"/>
        </w:rPr>
        <w:instrText xml:space="preserve"> REF _Ref526523090 \r \h </w:instrText>
      </w:r>
      <w:r w:rsidR="001413FA">
        <w:rPr>
          <w:rFonts w:ascii="Verdana" w:hAnsi="Verdana" w:cs="Verdana"/>
          <w:bCs/>
          <w:sz w:val="20"/>
          <w:lang w:val="en-US"/>
        </w:rPr>
      </w:r>
      <w:r w:rsidR="001413FA">
        <w:rPr>
          <w:rFonts w:ascii="Verdana" w:hAnsi="Verdana" w:cs="Verdana"/>
          <w:bCs/>
          <w:sz w:val="20"/>
          <w:lang w:val="en-US"/>
        </w:rPr>
        <w:fldChar w:fldCharType="separate"/>
      </w:r>
      <w:r w:rsidR="00980175">
        <w:rPr>
          <w:rFonts w:ascii="Verdana" w:hAnsi="Verdana" w:cs="Verdana"/>
          <w:bCs/>
          <w:sz w:val="20"/>
          <w:lang w:val="en-US"/>
        </w:rPr>
        <w:t>2</w:t>
      </w:r>
      <w:r w:rsidR="001413FA">
        <w:rPr>
          <w:rFonts w:ascii="Verdana" w:hAnsi="Verdana" w:cs="Verdana"/>
          <w:bCs/>
          <w:sz w:val="20"/>
          <w:lang w:val="en-US"/>
        </w:rPr>
        <w:fldChar w:fldCharType="end"/>
      </w:r>
      <w:r w:rsidR="00E54903" w:rsidRPr="00525E62">
        <w:rPr>
          <w:rFonts w:ascii="Verdana" w:hAnsi="Verdana" w:cs="Verdana"/>
          <w:bCs/>
          <w:sz w:val="20"/>
          <w:lang w:val="en-US"/>
        </w:rPr>
        <w:t>)</w:t>
      </w:r>
      <w:r w:rsidRPr="00525E62">
        <w:rPr>
          <w:rFonts w:ascii="Verdana" w:hAnsi="Verdana" w:cs="Verdana"/>
          <w:bCs/>
          <w:sz w:val="20"/>
          <w:lang w:val="en-US"/>
        </w:rPr>
        <w:t>, the Court declared that the State had complied fully with three reparations,</w:t>
      </w:r>
      <w:r w:rsidR="00E54903" w:rsidRPr="00525E62">
        <w:rPr>
          <w:rStyle w:val="FootnoteReference"/>
          <w:rFonts w:ascii="Verdana" w:hAnsi="Verdana" w:cs="Verdana"/>
          <w:bCs/>
          <w:sz w:val="20"/>
          <w:lang w:val="en-US"/>
        </w:rPr>
        <w:footnoteReference w:id="11"/>
      </w:r>
      <w:r w:rsidRPr="00525E62">
        <w:rPr>
          <w:rFonts w:ascii="Verdana" w:hAnsi="Verdana" w:cs="Verdana"/>
          <w:bCs/>
          <w:sz w:val="20"/>
          <w:lang w:val="en-US"/>
        </w:rPr>
        <w:t xml:space="preserve"> and that seven reparations remained pending compliance </w:t>
      </w:r>
      <w:r w:rsidR="00FF3B4F" w:rsidRPr="00525E62">
        <w:rPr>
          <w:rFonts w:ascii="Verdana" w:hAnsi="Verdana"/>
          <w:sz w:val="20"/>
          <w:lang w:val="en-US"/>
        </w:rPr>
        <w:t>(</w:t>
      </w:r>
      <w:r w:rsidR="00FF3B4F" w:rsidRPr="00525E62">
        <w:rPr>
          <w:rFonts w:ascii="Verdana" w:hAnsi="Verdana"/>
          <w:i/>
          <w:sz w:val="20"/>
          <w:lang w:val="en-US"/>
        </w:rPr>
        <w:t xml:space="preserve">infra </w:t>
      </w:r>
      <w:proofErr w:type="spellStart"/>
      <w:r w:rsidRPr="00525E62">
        <w:rPr>
          <w:rFonts w:ascii="Verdana" w:hAnsi="Verdana"/>
          <w:i/>
          <w:sz w:val="20"/>
          <w:lang w:val="en-US"/>
        </w:rPr>
        <w:t>c</w:t>
      </w:r>
      <w:r w:rsidR="00FF3B4F" w:rsidRPr="00525E62">
        <w:rPr>
          <w:rFonts w:ascii="Verdana" w:hAnsi="Verdana"/>
          <w:i/>
          <w:sz w:val="20"/>
          <w:lang w:val="en-US"/>
        </w:rPr>
        <w:t>onsiderand</w:t>
      </w:r>
      <w:r w:rsidRPr="00525E62">
        <w:rPr>
          <w:rFonts w:ascii="Verdana" w:hAnsi="Verdana"/>
          <w:i/>
          <w:sz w:val="20"/>
          <w:lang w:val="en-US"/>
        </w:rPr>
        <w:t>a</w:t>
      </w:r>
      <w:proofErr w:type="spellEnd"/>
      <w:r w:rsidR="00FF3B4F" w:rsidRPr="00525E62">
        <w:rPr>
          <w:rFonts w:ascii="Verdana" w:hAnsi="Verdana"/>
          <w:i/>
          <w:sz w:val="20"/>
          <w:lang w:val="en-US"/>
        </w:rPr>
        <w:t xml:space="preserve"> </w:t>
      </w:r>
      <w:r w:rsidR="001413FA" w:rsidRPr="001413FA">
        <w:rPr>
          <w:rFonts w:ascii="Verdana" w:hAnsi="Verdana"/>
          <w:i/>
          <w:sz w:val="20"/>
          <w:lang w:val="en-US"/>
        </w:rPr>
        <w:fldChar w:fldCharType="begin"/>
      </w:r>
      <w:r w:rsidR="001413FA" w:rsidRPr="001413FA">
        <w:rPr>
          <w:rFonts w:ascii="Verdana" w:hAnsi="Verdana"/>
          <w:i/>
          <w:sz w:val="20"/>
          <w:lang w:val="en-US"/>
        </w:rPr>
        <w:instrText xml:space="preserve"> REF _Ref530057268 \r \h </w:instrText>
      </w:r>
      <w:r w:rsidR="001413FA">
        <w:rPr>
          <w:rFonts w:ascii="Verdana" w:hAnsi="Verdana"/>
          <w:i/>
          <w:sz w:val="20"/>
          <w:lang w:val="en-US"/>
        </w:rPr>
        <w:instrText xml:space="preserve"> \* MERGEFORMAT </w:instrText>
      </w:r>
      <w:r w:rsidR="001413FA" w:rsidRPr="001413FA">
        <w:rPr>
          <w:rFonts w:ascii="Verdana" w:hAnsi="Verdana"/>
          <w:i/>
          <w:sz w:val="20"/>
          <w:lang w:val="en-US"/>
        </w:rPr>
      </w:r>
      <w:r w:rsidR="001413FA" w:rsidRPr="001413FA">
        <w:rPr>
          <w:rFonts w:ascii="Verdana" w:hAnsi="Verdana"/>
          <w:i/>
          <w:sz w:val="20"/>
          <w:lang w:val="en-US"/>
        </w:rPr>
        <w:fldChar w:fldCharType="separate"/>
      </w:r>
      <w:r w:rsidR="00980175">
        <w:rPr>
          <w:rFonts w:ascii="Verdana" w:hAnsi="Verdana"/>
          <w:i/>
          <w:sz w:val="20"/>
          <w:lang w:val="en-US"/>
        </w:rPr>
        <w:t>5</w:t>
      </w:r>
      <w:r w:rsidR="001413FA" w:rsidRPr="001413FA">
        <w:rPr>
          <w:rFonts w:ascii="Verdana" w:hAnsi="Verdana"/>
          <w:i/>
          <w:sz w:val="20"/>
          <w:lang w:val="en-US"/>
        </w:rPr>
        <w:fldChar w:fldCharType="end"/>
      </w:r>
      <w:r w:rsidR="00FF3B4F"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_Ref530057274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12</w:t>
      </w:r>
      <w:r w:rsidR="001413FA">
        <w:rPr>
          <w:rFonts w:ascii="Verdana" w:hAnsi="Verdana"/>
          <w:sz w:val="20"/>
          <w:lang w:val="en-US"/>
        </w:rPr>
        <w:fldChar w:fldCharType="end"/>
      </w:r>
      <w:r w:rsidR="00FF3B4F" w:rsidRPr="00525E62">
        <w:rPr>
          <w:rFonts w:ascii="Verdana" w:hAnsi="Verdana"/>
          <w:sz w:val="20"/>
          <w:lang w:val="en-US"/>
        </w:rPr>
        <w:t xml:space="preserve"> </w:t>
      </w:r>
      <w:r w:rsidRPr="00525E62">
        <w:rPr>
          <w:rFonts w:ascii="Verdana" w:hAnsi="Verdana"/>
          <w:sz w:val="20"/>
          <w:lang w:val="en-US"/>
        </w:rPr>
        <w:t>and</w:t>
      </w:r>
      <w:r w:rsidR="00FF3B4F"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_Ref526850412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34</w:t>
      </w:r>
      <w:r w:rsidR="001413FA">
        <w:rPr>
          <w:rFonts w:ascii="Verdana" w:hAnsi="Verdana"/>
          <w:sz w:val="20"/>
          <w:lang w:val="en-US"/>
        </w:rPr>
        <w:fldChar w:fldCharType="end"/>
      </w:r>
      <w:r w:rsidR="00FF3B4F" w:rsidRPr="00525E62">
        <w:rPr>
          <w:rFonts w:ascii="Verdana" w:hAnsi="Verdana"/>
          <w:sz w:val="20"/>
          <w:lang w:val="en-US"/>
        </w:rPr>
        <w:t>)</w:t>
      </w:r>
      <w:r w:rsidR="00E54903" w:rsidRPr="00525E62">
        <w:rPr>
          <w:rFonts w:ascii="Verdana" w:hAnsi="Verdana"/>
          <w:sz w:val="20"/>
          <w:lang w:val="en-US"/>
        </w:rPr>
        <w:t>.</w:t>
      </w:r>
      <w:r w:rsidR="005C24FB" w:rsidRPr="00525E62">
        <w:rPr>
          <w:rFonts w:ascii="Verdana" w:hAnsi="Verdana"/>
          <w:sz w:val="20"/>
          <w:lang w:val="en-US"/>
        </w:rPr>
        <w:t xml:space="preserve"> </w:t>
      </w:r>
      <w:r w:rsidRPr="00525E62">
        <w:rPr>
          <w:rFonts w:ascii="Verdana" w:hAnsi="Verdana"/>
          <w:sz w:val="20"/>
          <w:lang w:val="en-US"/>
        </w:rPr>
        <w:t xml:space="preserve">Subsequently, in its </w:t>
      </w:r>
      <w:r w:rsidR="002E37CA" w:rsidRPr="00525E62">
        <w:rPr>
          <w:rFonts w:ascii="Verdana" w:hAnsi="Verdana"/>
          <w:sz w:val="20"/>
          <w:lang w:val="en-US"/>
        </w:rPr>
        <w:t xml:space="preserve">order of </w:t>
      </w:r>
      <w:r w:rsidRPr="00525E62">
        <w:rPr>
          <w:rFonts w:ascii="Verdana" w:hAnsi="Verdana"/>
          <w:sz w:val="20"/>
          <w:lang w:val="en-US"/>
        </w:rPr>
        <w:t xml:space="preserve">2013, the Court ruled on a request for provisional measures </w:t>
      </w:r>
      <w:r w:rsidR="002E37CA" w:rsidRPr="00525E62">
        <w:rPr>
          <w:rFonts w:ascii="Verdana" w:hAnsi="Verdana"/>
          <w:sz w:val="20"/>
          <w:lang w:val="en-US"/>
        </w:rPr>
        <w:t>with regard to</w:t>
      </w:r>
      <w:r w:rsidRPr="00525E62">
        <w:rPr>
          <w:rFonts w:ascii="Verdana" w:hAnsi="Verdana"/>
          <w:sz w:val="20"/>
          <w:lang w:val="en-US"/>
        </w:rPr>
        <w:t xml:space="preserve"> a mining exploitation project and determined that “the analysis and assessment of the information submitted with regard to the mining exploitation project in Saramaka territory is related to monitoring compliance with the judgment” and, therefore, asked the State </w:t>
      </w:r>
      <w:r w:rsidR="002E37CA" w:rsidRPr="00525E62">
        <w:rPr>
          <w:rFonts w:ascii="Verdana" w:hAnsi="Verdana"/>
          <w:sz w:val="20"/>
          <w:lang w:val="en-US"/>
        </w:rPr>
        <w:t>to provide relevant</w:t>
      </w:r>
      <w:r w:rsidRPr="00525E62">
        <w:rPr>
          <w:rFonts w:ascii="Verdana" w:hAnsi="Verdana"/>
          <w:sz w:val="20"/>
          <w:lang w:val="en-US"/>
        </w:rPr>
        <w:t xml:space="preserve"> information </w:t>
      </w:r>
      <w:r w:rsidR="005C24FB" w:rsidRPr="00525E62">
        <w:rPr>
          <w:rFonts w:ascii="Verdana" w:hAnsi="Verdana"/>
          <w:sz w:val="20"/>
          <w:lang w:val="en-US"/>
        </w:rPr>
        <w:t>(</w:t>
      </w:r>
      <w:r w:rsidR="005C24FB" w:rsidRPr="00525E62">
        <w:rPr>
          <w:rFonts w:ascii="Verdana" w:hAnsi="Verdana"/>
          <w:i/>
          <w:sz w:val="20"/>
          <w:lang w:val="en-US"/>
        </w:rPr>
        <w:t>infra</w:t>
      </w:r>
      <w:r w:rsidR="005C24FB" w:rsidRPr="00525E62">
        <w:rPr>
          <w:rFonts w:ascii="Verdana" w:hAnsi="Verdana"/>
          <w:sz w:val="20"/>
          <w:lang w:val="en-US"/>
        </w:rPr>
        <w:t xml:space="preserve"> </w:t>
      </w:r>
      <w:proofErr w:type="spellStart"/>
      <w:r w:rsidRPr="00525E62">
        <w:rPr>
          <w:rFonts w:ascii="Verdana" w:hAnsi="Verdana"/>
          <w:i/>
          <w:sz w:val="20"/>
          <w:lang w:val="en-US"/>
        </w:rPr>
        <w:t>c</w:t>
      </w:r>
      <w:r w:rsidR="005C24FB" w:rsidRPr="00525E62">
        <w:rPr>
          <w:rFonts w:ascii="Verdana" w:hAnsi="Verdana"/>
          <w:i/>
          <w:sz w:val="20"/>
          <w:lang w:val="en-US"/>
        </w:rPr>
        <w:t>onsiderand</w:t>
      </w:r>
      <w:r w:rsidRPr="00525E62">
        <w:rPr>
          <w:rFonts w:ascii="Verdana" w:hAnsi="Verdana"/>
          <w:i/>
          <w:sz w:val="20"/>
          <w:lang w:val="en-US"/>
        </w:rPr>
        <w:t>um</w:t>
      </w:r>
      <w:proofErr w:type="spellEnd"/>
      <w:r w:rsidR="005C24FB"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_Ref530057291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18</w:t>
      </w:r>
      <w:r w:rsidR="001413FA">
        <w:rPr>
          <w:rFonts w:ascii="Verdana" w:hAnsi="Verdana"/>
          <w:sz w:val="20"/>
          <w:lang w:val="en-US"/>
        </w:rPr>
        <w:fldChar w:fldCharType="end"/>
      </w:r>
      <w:r w:rsidR="005C24FB" w:rsidRPr="00525E62">
        <w:rPr>
          <w:rFonts w:ascii="Verdana" w:hAnsi="Verdana"/>
          <w:sz w:val="20"/>
          <w:lang w:val="en-US"/>
        </w:rPr>
        <w:t>).</w:t>
      </w:r>
      <w:bookmarkEnd w:id="8"/>
      <w:r w:rsidR="005C24FB" w:rsidRPr="00525E62">
        <w:rPr>
          <w:rFonts w:ascii="Verdana" w:hAnsi="Verdana"/>
          <w:sz w:val="20"/>
          <w:lang w:val="en-US"/>
        </w:rPr>
        <w:t xml:space="preserve"> </w:t>
      </w:r>
    </w:p>
    <w:p w14:paraId="28DDF72F" w14:textId="77777777" w:rsidR="00E54903" w:rsidRPr="00525E62" w:rsidRDefault="00E54903" w:rsidP="00E54903">
      <w:pPr>
        <w:jc w:val="both"/>
        <w:rPr>
          <w:rFonts w:ascii="Times New Roman" w:hAnsi="Times New Roman"/>
          <w:szCs w:val="24"/>
          <w:lang w:val="en-US" w:eastAsia="es-CR"/>
        </w:rPr>
      </w:pPr>
    </w:p>
    <w:p w14:paraId="66609A4B" w14:textId="5C783EE4" w:rsidR="00E54903" w:rsidRPr="00525E62" w:rsidRDefault="002462D1" w:rsidP="00D201BB">
      <w:pPr>
        <w:numPr>
          <w:ilvl w:val="0"/>
          <w:numId w:val="2"/>
        </w:numPr>
        <w:ind w:left="0" w:firstLine="0"/>
        <w:jc w:val="both"/>
        <w:rPr>
          <w:rFonts w:ascii="Verdana" w:hAnsi="Verdana"/>
          <w:sz w:val="20"/>
          <w:lang w:val="en-US"/>
        </w:rPr>
      </w:pPr>
      <w:bookmarkStart w:id="9" w:name="_Ref437274109"/>
      <w:r w:rsidRPr="00525E62">
        <w:rPr>
          <w:rFonts w:ascii="Verdana" w:hAnsi="Verdana"/>
          <w:sz w:val="20"/>
          <w:lang w:val="en-US"/>
        </w:rPr>
        <w:t xml:space="preserve">In accordance with Article 68(1) </w:t>
      </w:r>
      <w:r w:rsidR="00C93224" w:rsidRPr="00525E62">
        <w:rPr>
          <w:rFonts w:ascii="Verdana" w:hAnsi="Verdana"/>
          <w:color w:val="000000"/>
          <w:sz w:val="20"/>
          <w:lang w:val="en-US"/>
        </w:rPr>
        <w:t xml:space="preserve">of </w:t>
      </w:r>
      <w:r w:rsidRPr="00525E62">
        <w:rPr>
          <w:rFonts w:ascii="Verdana" w:hAnsi="Verdana"/>
          <w:color w:val="000000"/>
          <w:sz w:val="20"/>
          <w:lang w:val="en-US"/>
        </w:rPr>
        <w:t>the American Convention</w:t>
      </w:r>
      <w:r w:rsidR="00E54903" w:rsidRPr="00525E62">
        <w:rPr>
          <w:rFonts w:ascii="Verdana" w:hAnsi="Verdana"/>
          <w:color w:val="000000"/>
          <w:sz w:val="20"/>
          <w:lang w:val="en-US"/>
        </w:rPr>
        <w:t>, “[</w:t>
      </w:r>
      <w:r w:rsidR="00D201BB" w:rsidRPr="00525E62">
        <w:rPr>
          <w:rFonts w:ascii="Verdana" w:hAnsi="Verdana"/>
          <w:color w:val="000000"/>
          <w:sz w:val="20"/>
          <w:lang w:val="en-US"/>
        </w:rPr>
        <w:t>t</w:t>
      </w:r>
      <w:r w:rsidR="00E54903" w:rsidRPr="00525E62">
        <w:rPr>
          <w:rFonts w:ascii="Verdana" w:hAnsi="Verdana"/>
          <w:color w:val="000000"/>
          <w:sz w:val="20"/>
          <w:lang w:val="en-US"/>
        </w:rPr>
        <w:t>]</w:t>
      </w:r>
      <w:r w:rsidR="00D201BB" w:rsidRPr="00525E62">
        <w:rPr>
          <w:rFonts w:ascii="Verdana" w:hAnsi="Verdana"/>
          <w:spacing w:val="-3"/>
          <w:sz w:val="20"/>
          <w:lang w:val="en-US"/>
        </w:rPr>
        <w:t>he States Parties to the Convention undertake to comply with the judgment of the Court in any case to which they are parties.</w:t>
      </w:r>
      <w:r w:rsidR="00E54903" w:rsidRPr="00525E62">
        <w:rPr>
          <w:rFonts w:ascii="Verdana" w:hAnsi="Verdana"/>
          <w:color w:val="000000"/>
          <w:sz w:val="20"/>
          <w:lang w:val="en-US"/>
        </w:rPr>
        <w:t>”</w:t>
      </w:r>
      <w:r w:rsidR="00D201BB" w:rsidRPr="00525E62">
        <w:rPr>
          <w:rFonts w:ascii="Verdana" w:hAnsi="Verdana" w:cs="Verdana"/>
          <w:sz w:val="20"/>
          <w:lang w:val="en-US"/>
        </w:rPr>
        <w:t xml:space="preserve"> This obligation includes the obligation of the State to inform the Court of the measures taken to comply with each element ordered, </w:t>
      </w:r>
      <w:r w:rsidR="002E37CA" w:rsidRPr="00525E62">
        <w:rPr>
          <w:rFonts w:ascii="Verdana" w:hAnsi="Verdana" w:cs="Verdana"/>
          <w:sz w:val="20"/>
          <w:lang w:val="en-US"/>
        </w:rPr>
        <w:t>which</w:t>
      </w:r>
      <w:r w:rsidR="00D201BB" w:rsidRPr="00525E62">
        <w:rPr>
          <w:rFonts w:ascii="Verdana" w:hAnsi="Verdana" w:cs="Verdana"/>
          <w:sz w:val="20"/>
          <w:lang w:val="en-US"/>
        </w:rPr>
        <w:t xml:space="preserve"> is essential in order to evaluate the status of compliance with the judgment as a whole.</w:t>
      </w:r>
      <w:r w:rsidR="00E54903" w:rsidRPr="00525E62">
        <w:rPr>
          <w:rStyle w:val="FootnoteReference"/>
          <w:rFonts w:ascii="Verdana" w:hAnsi="Verdana"/>
          <w:sz w:val="20"/>
          <w:lang w:val="en-US"/>
        </w:rPr>
        <w:footnoteReference w:id="12"/>
      </w:r>
      <w:r w:rsidR="00D201BB" w:rsidRPr="00525E62">
        <w:rPr>
          <w:rFonts w:ascii="Verdana" w:hAnsi="Verdana"/>
          <w:sz w:val="20"/>
          <w:lang w:val="en-US"/>
        </w:rPr>
        <w:t xml:space="preserve"> Indeed, it should also be recalled that, according to Article 67 </w:t>
      </w:r>
      <w:r w:rsidR="00C93224" w:rsidRPr="00525E62">
        <w:rPr>
          <w:rFonts w:ascii="Verdana" w:eastAsia="Times New Roman" w:hAnsi="Verdana"/>
          <w:sz w:val="20"/>
          <w:shd w:val="clear" w:color="auto" w:fill="FFFFFF"/>
          <w:lang w:val="en-US"/>
        </w:rPr>
        <w:t xml:space="preserve">of </w:t>
      </w:r>
      <w:r w:rsidRPr="00525E62">
        <w:rPr>
          <w:rFonts w:ascii="Verdana" w:eastAsia="Times New Roman" w:hAnsi="Verdana"/>
          <w:sz w:val="20"/>
          <w:shd w:val="clear" w:color="auto" w:fill="FFFFFF"/>
          <w:lang w:val="en-US"/>
        </w:rPr>
        <w:t>the American Convention</w:t>
      </w:r>
      <w:r w:rsidR="00E54903" w:rsidRPr="00525E62">
        <w:rPr>
          <w:rFonts w:ascii="Verdana" w:eastAsia="Times New Roman" w:hAnsi="Verdana"/>
          <w:sz w:val="20"/>
          <w:shd w:val="clear" w:color="auto" w:fill="FFFFFF"/>
          <w:lang w:val="en-US"/>
        </w:rPr>
        <w:t>, “[</w:t>
      </w:r>
      <w:r w:rsidR="00D201BB" w:rsidRPr="00525E62">
        <w:rPr>
          <w:rFonts w:ascii="Verdana" w:eastAsia="Times New Roman" w:hAnsi="Verdana"/>
          <w:sz w:val="20"/>
          <w:shd w:val="clear" w:color="auto" w:fill="FFFFFF"/>
          <w:lang w:val="en-US"/>
        </w:rPr>
        <w:t>t</w:t>
      </w:r>
      <w:r w:rsidR="00E54903" w:rsidRPr="00525E62">
        <w:rPr>
          <w:rFonts w:ascii="Verdana" w:eastAsia="Times New Roman" w:hAnsi="Verdana"/>
          <w:sz w:val="20"/>
          <w:shd w:val="clear" w:color="auto" w:fill="FFFFFF"/>
          <w:lang w:val="en-US"/>
        </w:rPr>
        <w:t>]</w:t>
      </w:r>
      <w:r w:rsidR="00D201BB" w:rsidRPr="00525E62">
        <w:rPr>
          <w:rFonts w:ascii="Verdana" w:eastAsia="Times New Roman" w:hAnsi="Verdana"/>
          <w:sz w:val="20"/>
          <w:shd w:val="clear" w:color="auto" w:fill="FFFFFF"/>
          <w:lang w:val="en-US"/>
        </w:rPr>
        <w:t>he</w:t>
      </w:r>
      <w:r w:rsidR="00E54903" w:rsidRPr="00525E62">
        <w:rPr>
          <w:rFonts w:ascii="Verdana" w:eastAsia="Calibri" w:hAnsi="Verdana" w:cs="Tahoma"/>
          <w:sz w:val="20"/>
          <w:lang w:val="en-US"/>
        </w:rPr>
        <w:t xml:space="preserve"> </w:t>
      </w:r>
      <w:r w:rsidR="00D201BB" w:rsidRPr="00525E62">
        <w:rPr>
          <w:rFonts w:ascii="Verdana" w:hAnsi="Verdana"/>
          <w:spacing w:val="-3"/>
          <w:sz w:val="20"/>
          <w:lang w:val="en-US"/>
        </w:rPr>
        <w:t>judgment of the Court shall be final and not subject to appeal</w:t>
      </w:r>
      <w:r w:rsidR="00E54903" w:rsidRPr="00525E62">
        <w:rPr>
          <w:rFonts w:ascii="Verdana" w:eastAsia="Calibri" w:hAnsi="Verdana" w:cs="Tahoma"/>
          <w:sz w:val="20"/>
          <w:lang w:val="en-US"/>
        </w:rPr>
        <w:t>”</w:t>
      </w:r>
      <w:r w:rsidR="002E37CA" w:rsidRPr="00525E62">
        <w:rPr>
          <w:rFonts w:ascii="Verdana" w:eastAsia="Calibri" w:hAnsi="Verdana" w:cs="Tahoma"/>
          <w:sz w:val="20"/>
          <w:lang w:val="en-US"/>
        </w:rPr>
        <w:t>; thus,</w:t>
      </w:r>
      <w:r w:rsidR="00D201BB" w:rsidRPr="00525E62">
        <w:rPr>
          <w:rFonts w:ascii="Verdana" w:eastAsia="Calibri" w:hAnsi="Verdana" w:cs="Tahoma"/>
          <w:sz w:val="20"/>
          <w:lang w:val="en-US"/>
        </w:rPr>
        <w:t xml:space="preserve"> when the Court has delivered its judgment, this has the effect of </w:t>
      </w:r>
      <w:r w:rsidR="00D201BB" w:rsidRPr="00525E62">
        <w:rPr>
          <w:rFonts w:ascii="Verdana" w:eastAsia="Calibri" w:hAnsi="Verdana" w:cs="Tahoma"/>
          <w:i/>
          <w:sz w:val="20"/>
          <w:lang w:val="en-US"/>
        </w:rPr>
        <w:t>res judicata</w:t>
      </w:r>
      <w:r w:rsidR="00D201BB" w:rsidRPr="00525E62">
        <w:rPr>
          <w:rFonts w:ascii="Verdana" w:eastAsia="Calibri" w:hAnsi="Verdana" w:cs="Tahoma"/>
          <w:sz w:val="20"/>
          <w:lang w:val="en-US"/>
        </w:rPr>
        <w:t xml:space="preserve"> and must be complied with promptly and fully by the State</w:t>
      </w:r>
      <w:r w:rsidR="00E54903" w:rsidRPr="00525E62">
        <w:rPr>
          <w:rFonts w:ascii="Verdana" w:eastAsia="Times New Roman" w:hAnsi="Verdana"/>
          <w:sz w:val="20"/>
          <w:shd w:val="clear" w:color="auto" w:fill="FFFFFF"/>
          <w:lang w:val="en-US"/>
        </w:rPr>
        <w:t>.</w:t>
      </w:r>
      <w:bookmarkEnd w:id="9"/>
    </w:p>
    <w:p w14:paraId="230C0F62" w14:textId="77777777" w:rsidR="00E54903" w:rsidRPr="00525E62" w:rsidRDefault="00E54903" w:rsidP="00E54903">
      <w:pPr>
        <w:tabs>
          <w:tab w:val="left" w:pos="851"/>
        </w:tabs>
        <w:jc w:val="both"/>
        <w:rPr>
          <w:rFonts w:ascii="Verdana" w:hAnsi="Verdana"/>
          <w:sz w:val="20"/>
          <w:lang w:val="en-US"/>
        </w:rPr>
      </w:pPr>
    </w:p>
    <w:p w14:paraId="20B6D7CE" w14:textId="1AA9B9F6" w:rsidR="00E54903" w:rsidRPr="00525E62" w:rsidRDefault="00C22547" w:rsidP="00C22547">
      <w:pPr>
        <w:numPr>
          <w:ilvl w:val="0"/>
          <w:numId w:val="2"/>
        </w:numPr>
        <w:ind w:left="0" w:firstLine="0"/>
        <w:jc w:val="both"/>
        <w:rPr>
          <w:rFonts w:ascii="Verdana" w:hAnsi="Verdana"/>
          <w:sz w:val="18"/>
          <w:szCs w:val="18"/>
          <w:lang w:val="en-US"/>
        </w:rPr>
      </w:pPr>
      <w:r w:rsidRPr="00525E62">
        <w:rPr>
          <w:rFonts w:ascii="Verdana" w:eastAsia="Times New Roman" w:hAnsi="Verdana"/>
          <w:color w:val="000000"/>
          <w:sz w:val="20"/>
          <w:lang w:val="en-US"/>
        </w:rPr>
        <w:t>The States Parties to</w:t>
      </w:r>
      <w:r w:rsidR="00C93224" w:rsidRPr="00525E62">
        <w:rPr>
          <w:rFonts w:ascii="Verdana" w:eastAsia="Times New Roman" w:hAnsi="Verdana"/>
          <w:color w:val="000000"/>
          <w:sz w:val="20"/>
          <w:lang w:val="en-US"/>
        </w:rPr>
        <w:t xml:space="preserve"> </w:t>
      </w:r>
      <w:r w:rsidR="002462D1" w:rsidRPr="00525E62">
        <w:rPr>
          <w:rFonts w:ascii="Verdana" w:eastAsia="Times New Roman" w:hAnsi="Verdana"/>
          <w:color w:val="000000"/>
          <w:sz w:val="20"/>
          <w:lang w:val="en-US"/>
        </w:rPr>
        <w:t>the American Convention</w:t>
      </w:r>
      <w:r w:rsidR="00E54903" w:rsidRPr="00525E62">
        <w:rPr>
          <w:rFonts w:ascii="Verdana" w:eastAsia="Times New Roman" w:hAnsi="Verdana"/>
          <w:color w:val="000000"/>
          <w:sz w:val="20"/>
          <w:lang w:val="en-US"/>
        </w:rPr>
        <w:t xml:space="preserve"> </w:t>
      </w:r>
      <w:r w:rsidRPr="00525E62">
        <w:rPr>
          <w:rFonts w:ascii="Verdana" w:eastAsia="Times New Roman" w:hAnsi="Verdana"/>
          <w:color w:val="000000"/>
          <w:sz w:val="20"/>
          <w:lang w:val="en-US"/>
        </w:rPr>
        <w:t xml:space="preserve">are bound by this treaty to implement </w:t>
      </w:r>
      <w:r w:rsidR="002E37CA" w:rsidRPr="00525E62">
        <w:rPr>
          <w:rFonts w:ascii="Verdana" w:eastAsia="Times New Roman" w:hAnsi="Verdana"/>
          <w:color w:val="000000"/>
          <w:sz w:val="20"/>
          <w:lang w:val="en-US"/>
        </w:rPr>
        <w:t xml:space="preserve">fully and promptly, </w:t>
      </w:r>
      <w:r w:rsidRPr="00525E62">
        <w:rPr>
          <w:rFonts w:ascii="Verdana" w:eastAsia="Times New Roman" w:hAnsi="Verdana"/>
          <w:color w:val="000000"/>
          <w:sz w:val="20"/>
          <w:lang w:val="en-US"/>
        </w:rPr>
        <w:t xml:space="preserve">at both the domestic and the international level, the decisions taken by the Court in the judgments that involve them. This obligation, as indicated in international customary law and as the Court has recalled, </w:t>
      </w:r>
      <w:r w:rsidR="002E37CA" w:rsidRPr="00525E62">
        <w:rPr>
          <w:rFonts w:ascii="Verdana" w:eastAsia="Times New Roman" w:hAnsi="Verdana"/>
          <w:color w:val="000000"/>
          <w:sz w:val="20"/>
          <w:lang w:val="en-US"/>
        </w:rPr>
        <w:t>is binding for</w:t>
      </w:r>
      <w:r w:rsidRPr="00525E62">
        <w:rPr>
          <w:rFonts w:ascii="Verdana" w:eastAsia="Times New Roman" w:hAnsi="Verdana"/>
          <w:color w:val="000000"/>
          <w:sz w:val="20"/>
          <w:lang w:val="en-US"/>
        </w:rPr>
        <w:t xml:space="preserve"> all the powers and organs of the State</w:t>
      </w:r>
      <w:r w:rsidR="00E54903" w:rsidRPr="00525E62">
        <w:rPr>
          <w:rStyle w:val="FootnoteReference"/>
          <w:rFonts w:ascii="Verdana" w:hAnsi="Verdana" w:cs="Verdana"/>
          <w:sz w:val="20"/>
          <w:lang w:val="en-US"/>
        </w:rPr>
        <w:footnoteReference w:id="13"/>
      </w:r>
      <w:r w:rsidR="00E54903" w:rsidRPr="00525E62">
        <w:rPr>
          <w:rFonts w:ascii="Verdana" w:eastAsia="Times New Roman" w:hAnsi="Verdana"/>
          <w:color w:val="000000"/>
          <w:sz w:val="20"/>
          <w:lang w:val="en-US"/>
        </w:rPr>
        <w:t xml:space="preserve"> </w:t>
      </w:r>
      <w:r w:rsidRPr="00525E62">
        <w:rPr>
          <w:rFonts w:ascii="Verdana" w:eastAsia="Times New Roman" w:hAnsi="Verdana"/>
          <w:color w:val="000000"/>
          <w:sz w:val="20"/>
          <w:lang w:val="en-US"/>
        </w:rPr>
        <w:t>and, if it is not fulfilled, an internationally wrongful act is committed.</w:t>
      </w:r>
      <w:r w:rsidR="00AF5947" w:rsidRPr="00525E62">
        <w:rPr>
          <w:rFonts w:ascii="Verdana" w:eastAsia="Times New Roman" w:hAnsi="Verdana"/>
          <w:color w:val="000000"/>
          <w:sz w:val="20"/>
          <w:lang w:val="en-US"/>
        </w:rPr>
        <w:t xml:space="preserve"> </w:t>
      </w:r>
      <w:r w:rsidRPr="00525E62">
        <w:rPr>
          <w:rFonts w:ascii="Verdana" w:eastAsia="Times New Roman" w:hAnsi="Verdana"/>
          <w:color w:val="000000"/>
          <w:sz w:val="20"/>
          <w:lang w:val="en-US"/>
        </w:rPr>
        <w:t>In this regard, it should be added that, under international customar</w:t>
      </w:r>
      <w:r w:rsidR="00AF5947" w:rsidRPr="00525E62">
        <w:rPr>
          <w:rFonts w:ascii="Verdana" w:eastAsia="Times New Roman" w:hAnsi="Verdana"/>
          <w:color w:val="000000"/>
          <w:sz w:val="20"/>
          <w:lang w:val="en-US"/>
        </w:rPr>
        <w:t>y</w:t>
      </w:r>
      <w:r w:rsidRPr="00525E62">
        <w:rPr>
          <w:rFonts w:ascii="Verdana" w:eastAsia="Times New Roman" w:hAnsi="Verdana"/>
          <w:color w:val="000000"/>
          <w:sz w:val="20"/>
          <w:lang w:val="en-US"/>
        </w:rPr>
        <w:t xml:space="preserve"> law and as indicated by the Court, whenever an internationally wrongful act </w:t>
      </w:r>
      <w:r w:rsidRPr="00525E62">
        <w:rPr>
          <w:rFonts w:ascii="Verdana" w:eastAsia="Times New Roman" w:hAnsi="Verdana"/>
          <w:color w:val="000000"/>
          <w:sz w:val="20"/>
          <w:lang w:val="en-US"/>
        </w:rPr>
        <w:lastRenderedPageBreak/>
        <w:t xml:space="preserve">that can be attributed to the State occurs, the State’s international responsibility arises based on violation of an international law, </w:t>
      </w:r>
      <w:r w:rsidR="002E37CA" w:rsidRPr="00525E62">
        <w:rPr>
          <w:rFonts w:ascii="Verdana" w:eastAsia="Times New Roman" w:hAnsi="Verdana"/>
          <w:color w:val="000000"/>
          <w:sz w:val="20"/>
          <w:lang w:val="en-US"/>
        </w:rPr>
        <w:t>and this</w:t>
      </w:r>
      <w:r w:rsidRPr="00525E62">
        <w:rPr>
          <w:rFonts w:ascii="Verdana" w:eastAsia="Times New Roman" w:hAnsi="Verdana"/>
          <w:color w:val="000000"/>
          <w:sz w:val="20"/>
          <w:lang w:val="en-US"/>
        </w:rPr>
        <w:t xml:space="preserve"> </w:t>
      </w:r>
      <w:r w:rsidR="002E37CA" w:rsidRPr="00525E62">
        <w:rPr>
          <w:rFonts w:ascii="Verdana" w:eastAsia="Times New Roman" w:hAnsi="Verdana"/>
          <w:color w:val="000000"/>
          <w:sz w:val="20"/>
          <w:lang w:val="en-US"/>
        </w:rPr>
        <w:t>results in</w:t>
      </w:r>
      <w:r w:rsidRPr="00525E62">
        <w:rPr>
          <w:rFonts w:ascii="Verdana" w:eastAsia="Times New Roman" w:hAnsi="Verdana"/>
          <w:color w:val="000000"/>
          <w:sz w:val="20"/>
          <w:lang w:val="en-US"/>
        </w:rPr>
        <w:t xml:space="preserve"> a new legal relationship consisting in the obligation to provide redress.</w:t>
      </w:r>
      <w:r w:rsidR="00E54903" w:rsidRPr="00525E62">
        <w:rPr>
          <w:rStyle w:val="FootnoteReference"/>
          <w:rFonts w:ascii="Verdana" w:hAnsi="Verdana"/>
          <w:sz w:val="20"/>
          <w:lang w:val="en-US"/>
        </w:rPr>
        <w:footnoteReference w:id="14"/>
      </w:r>
      <w:r w:rsidR="00E54903" w:rsidRPr="00525E62">
        <w:rPr>
          <w:rFonts w:ascii="Verdana" w:eastAsia="Times New Roman" w:hAnsi="Verdana"/>
          <w:color w:val="000000"/>
          <w:sz w:val="20"/>
          <w:lang w:val="en-US"/>
        </w:rPr>
        <w:t xml:space="preserve"> </w:t>
      </w:r>
      <w:r w:rsidRPr="00525E62">
        <w:rPr>
          <w:rFonts w:ascii="Verdana" w:hAnsi="Verdana"/>
          <w:sz w:val="20"/>
          <w:lang w:val="en-US"/>
        </w:rPr>
        <w:t>As</w:t>
      </w:r>
      <w:r w:rsidR="00E54903" w:rsidRPr="00525E62">
        <w:rPr>
          <w:rFonts w:ascii="Verdana" w:hAnsi="Verdana"/>
          <w:sz w:val="20"/>
          <w:lang w:val="en-US"/>
        </w:rPr>
        <w:t xml:space="preserve"> </w:t>
      </w:r>
      <w:r w:rsidR="00C93224" w:rsidRPr="00525E62">
        <w:rPr>
          <w:rFonts w:ascii="Verdana" w:hAnsi="Verdana"/>
          <w:sz w:val="20"/>
          <w:lang w:val="en-US"/>
        </w:rPr>
        <w:t>the Court</w:t>
      </w:r>
      <w:r w:rsidRPr="00525E62">
        <w:rPr>
          <w:rFonts w:ascii="Verdana" w:hAnsi="Verdana"/>
          <w:sz w:val="20"/>
          <w:lang w:val="en-US"/>
        </w:rPr>
        <w:t xml:space="preserve"> has indicated,</w:t>
      </w:r>
      <w:r w:rsidR="00E54903" w:rsidRPr="00525E62">
        <w:rPr>
          <w:rStyle w:val="FootnoteReference"/>
          <w:rFonts w:ascii="Verdana" w:hAnsi="Verdana"/>
          <w:sz w:val="20"/>
          <w:lang w:val="en-US"/>
        </w:rPr>
        <w:footnoteReference w:id="15"/>
      </w:r>
      <w:r w:rsidRPr="00525E62">
        <w:rPr>
          <w:rFonts w:ascii="Verdana" w:hAnsi="Verdana"/>
          <w:sz w:val="20"/>
          <w:lang w:val="en-US"/>
        </w:rPr>
        <w:t xml:space="preserve"> Article 63(1)</w:t>
      </w:r>
      <w:r w:rsidR="00E54903" w:rsidRPr="00525E62">
        <w:rPr>
          <w:rFonts w:ascii="Verdana" w:hAnsi="Verdana"/>
          <w:sz w:val="20"/>
          <w:lang w:val="en-US"/>
        </w:rPr>
        <w:t xml:space="preserve"> </w:t>
      </w:r>
      <w:r w:rsidR="00C93224" w:rsidRPr="00525E62">
        <w:rPr>
          <w:rFonts w:ascii="Verdana" w:hAnsi="Verdana"/>
          <w:sz w:val="20"/>
          <w:lang w:val="en-US"/>
        </w:rPr>
        <w:t xml:space="preserve">of </w:t>
      </w:r>
      <w:r w:rsidR="002462D1" w:rsidRPr="00525E62">
        <w:rPr>
          <w:rFonts w:ascii="Verdana" w:hAnsi="Verdana"/>
          <w:sz w:val="20"/>
          <w:lang w:val="en-US"/>
        </w:rPr>
        <w:t>the Convention</w:t>
      </w:r>
      <w:r w:rsidR="00E54903" w:rsidRPr="00525E62">
        <w:rPr>
          <w:rFonts w:ascii="Verdana" w:hAnsi="Verdana"/>
          <w:sz w:val="20"/>
          <w:lang w:val="en-US"/>
        </w:rPr>
        <w:t xml:space="preserve"> reproduce</w:t>
      </w:r>
      <w:r w:rsidRPr="00525E62">
        <w:rPr>
          <w:rFonts w:ascii="Verdana" w:hAnsi="Verdana"/>
          <w:sz w:val="20"/>
          <w:lang w:val="en-US"/>
        </w:rPr>
        <w:t>s the text of a customary norm that constitutes one of the fundamental principles of the law o</w:t>
      </w:r>
      <w:r w:rsidR="00B63B6C" w:rsidRPr="00525E62">
        <w:rPr>
          <w:rFonts w:ascii="Verdana" w:hAnsi="Verdana"/>
          <w:sz w:val="20"/>
          <w:lang w:val="en-US"/>
        </w:rPr>
        <w:t>n</w:t>
      </w:r>
      <w:r w:rsidRPr="00525E62">
        <w:rPr>
          <w:rFonts w:ascii="Verdana" w:hAnsi="Verdana"/>
          <w:sz w:val="20"/>
          <w:lang w:val="en-US"/>
        </w:rPr>
        <w:t xml:space="preserve"> </w:t>
      </w:r>
      <w:r w:rsidR="00B63B6C" w:rsidRPr="00525E62">
        <w:rPr>
          <w:rFonts w:ascii="Verdana" w:hAnsi="Verdana"/>
          <w:sz w:val="20"/>
          <w:lang w:val="en-US"/>
        </w:rPr>
        <w:t xml:space="preserve">the </w:t>
      </w:r>
      <w:r w:rsidRPr="00525E62">
        <w:rPr>
          <w:rFonts w:ascii="Verdana" w:hAnsi="Verdana"/>
          <w:sz w:val="20"/>
          <w:lang w:val="en-US"/>
        </w:rPr>
        <w:t>international responsibility</w:t>
      </w:r>
      <w:r w:rsidR="00B63B6C" w:rsidRPr="00525E62">
        <w:rPr>
          <w:rFonts w:ascii="Verdana" w:hAnsi="Verdana"/>
          <w:sz w:val="20"/>
          <w:lang w:val="en-US"/>
        </w:rPr>
        <w:t xml:space="preserve"> of States</w:t>
      </w:r>
      <w:r w:rsidRPr="00525E62">
        <w:rPr>
          <w:rFonts w:ascii="Verdana" w:hAnsi="Verdana"/>
          <w:sz w:val="20"/>
          <w:lang w:val="en-US"/>
        </w:rPr>
        <w:t>.</w:t>
      </w:r>
      <w:r w:rsidR="00E54903" w:rsidRPr="00525E62">
        <w:rPr>
          <w:rStyle w:val="FootnoteReference"/>
          <w:rFonts w:ascii="Verdana" w:hAnsi="Verdana"/>
          <w:sz w:val="20"/>
          <w:lang w:val="en-US"/>
        </w:rPr>
        <w:footnoteReference w:id="16"/>
      </w:r>
      <w:r w:rsidR="00E54903" w:rsidRPr="00525E62">
        <w:rPr>
          <w:rFonts w:ascii="Verdana" w:hAnsi="Verdana"/>
          <w:sz w:val="20"/>
          <w:lang w:val="en-US"/>
        </w:rPr>
        <w:t xml:space="preserve"> </w:t>
      </w:r>
      <w:r w:rsidR="00B63B6C" w:rsidRPr="00525E62">
        <w:rPr>
          <w:rFonts w:ascii="Verdana" w:hAnsi="Verdana"/>
          <w:sz w:val="20"/>
          <w:lang w:val="en-US"/>
        </w:rPr>
        <w:t>F</w:t>
      </w:r>
      <w:r w:rsidR="00B15139" w:rsidRPr="00525E62">
        <w:rPr>
          <w:rFonts w:ascii="Verdana" w:hAnsi="Verdana"/>
          <w:sz w:val="20"/>
          <w:lang w:val="en-US"/>
        </w:rPr>
        <w:t xml:space="preserve">ailure to execute the reparations in the domestic sphere </w:t>
      </w:r>
      <w:r w:rsidR="00B63B6C" w:rsidRPr="00525E62">
        <w:rPr>
          <w:rFonts w:ascii="Verdana" w:hAnsi="Verdana"/>
          <w:sz w:val="20"/>
          <w:lang w:val="en-US"/>
        </w:rPr>
        <w:t>signifies</w:t>
      </w:r>
      <w:r w:rsidR="00B15139" w:rsidRPr="00525E62">
        <w:rPr>
          <w:rFonts w:ascii="Verdana" w:hAnsi="Verdana"/>
          <w:sz w:val="20"/>
          <w:lang w:val="en-US"/>
        </w:rPr>
        <w:t xml:space="preserve"> denial of the right of access to international justice.</w:t>
      </w:r>
      <w:r w:rsidR="00E54903" w:rsidRPr="00525E62">
        <w:rPr>
          <w:rStyle w:val="FootnoteReference"/>
          <w:rFonts w:ascii="Verdana" w:hAnsi="Verdana"/>
          <w:sz w:val="20"/>
          <w:lang w:val="en-US"/>
        </w:rPr>
        <w:footnoteReference w:id="17"/>
      </w:r>
    </w:p>
    <w:p w14:paraId="2181ABF7" w14:textId="44A2C6D2" w:rsidR="00840AA2" w:rsidRPr="00525E62" w:rsidRDefault="00B15139" w:rsidP="00133754">
      <w:pPr>
        <w:jc w:val="both"/>
        <w:rPr>
          <w:rFonts w:ascii="Verdana" w:hAnsi="Verdana"/>
          <w:sz w:val="18"/>
          <w:szCs w:val="18"/>
          <w:lang w:val="en-US"/>
        </w:rPr>
      </w:pPr>
      <w:r w:rsidRPr="00525E62">
        <w:rPr>
          <w:rFonts w:ascii="Verdana" w:hAnsi="Verdana"/>
          <w:sz w:val="18"/>
          <w:szCs w:val="18"/>
          <w:lang w:val="en-US"/>
        </w:rPr>
        <w:t xml:space="preserve"> </w:t>
      </w:r>
    </w:p>
    <w:p w14:paraId="06AEEA11" w14:textId="6A23954D" w:rsidR="00840AA2" w:rsidRPr="00525E62" w:rsidRDefault="00B15139" w:rsidP="00C11927">
      <w:pPr>
        <w:numPr>
          <w:ilvl w:val="0"/>
          <w:numId w:val="2"/>
        </w:numPr>
        <w:ind w:left="0" w:firstLine="0"/>
        <w:jc w:val="both"/>
        <w:rPr>
          <w:rFonts w:ascii="Verdana" w:hAnsi="Verdana"/>
          <w:sz w:val="20"/>
          <w:lang w:val="en-US"/>
        </w:rPr>
      </w:pPr>
      <w:bookmarkStart w:id="10" w:name="_Ref530057245"/>
      <w:bookmarkStart w:id="11" w:name="_Ref526850072"/>
      <w:r w:rsidRPr="00525E62">
        <w:rPr>
          <w:rFonts w:ascii="Verdana" w:hAnsi="Verdana"/>
          <w:sz w:val="20"/>
          <w:lang w:val="en-US"/>
        </w:rPr>
        <w:t>Following the Court’s order of</w:t>
      </w:r>
      <w:r w:rsidR="00840AA2" w:rsidRPr="00525E62">
        <w:rPr>
          <w:rFonts w:ascii="Verdana" w:hAnsi="Verdana"/>
          <w:sz w:val="20"/>
          <w:lang w:val="en-US"/>
        </w:rPr>
        <w:t xml:space="preserve"> </w:t>
      </w:r>
      <w:r w:rsidR="00767BA7" w:rsidRPr="00525E62">
        <w:rPr>
          <w:rFonts w:ascii="Verdana" w:hAnsi="Verdana"/>
          <w:sz w:val="20"/>
          <w:lang w:val="en-US"/>
        </w:rPr>
        <w:t>2011</w:t>
      </w:r>
      <w:r w:rsidR="00840AA2" w:rsidRPr="00525E62">
        <w:rPr>
          <w:rFonts w:ascii="Verdana" w:hAnsi="Verdana"/>
          <w:sz w:val="20"/>
          <w:lang w:val="en-US"/>
        </w:rPr>
        <w:t xml:space="preserve"> (</w:t>
      </w:r>
      <w:r w:rsidR="00840AA2" w:rsidRPr="00525E62">
        <w:rPr>
          <w:rFonts w:ascii="Verdana" w:hAnsi="Verdana"/>
          <w:i/>
          <w:sz w:val="20"/>
          <w:lang w:val="en-US"/>
        </w:rPr>
        <w:t>supra</w:t>
      </w:r>
      <w:r w:rsidR="00840AA2" w:rsidRPr="00525E62">
        <w:rPr>
          <w:rFonts w:ascii="Verdana" w:hAnsi="Verdana"/>
          <w:sz w:val="20"/>
          <w:lang w:val="en-US"/>
        </w:rPr>
        <w:t xml:space="preserve"> </w:t>
      </w:r>
      <w:r w:rsidRPr="00525E62">
        <w:rPr>
          <w:rFonts w:ascii="Verdana" w:hAnsi="Verdana"/>
          <w:sz w:val="20"/>
          <w:lang w:val="en-US"/>
        </w:rPr>
        <w:t>having seen paragraph</w:t>
      </w:r>
      <w:r w:rsidR="00605DF8"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_Ref437587895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3</w:t>
      </w:r>
      <w:r w:rsidR="001413FA">
        <w:rPr>
          <w:rFonts w:ascii="Verdana" w:hAnsi="Verdana"/>
          <w:sz w:val="20"/>
          <w:lang w:val="en-US"/>
        </w:rPr>
        <w:fldChar w:fldCharType="end"/>
      </w:r>
      <w:r w:rsidR="00840AA2" w:rsidRPr="00525E62">
        <w:rPr>
          <w:rFonts w:ascii="Verdana" w:hAnsi="Verdana"/>
          <w:sz w:val="20"/>
          <w:lang w:val="en-US"/>
        </w:rPr>
        <w:t xml:space="preserve">), </w:t>
      </w:r>
      <w:r w:rsidR="005D679B" w:rsidRPr="00525E62">
        <w:rPr>
          <w:rFonts w:ascii="Verdana" w:hAnsi="Verdana"/>
          <w:sz w:val="20"/>
          <w:lang w:val="en-US"/>
        </w:rPr>
        <w:t>the State</w:t>
      </w:r>
      <w:r w:rsidR="00C11927" w:rsidRPr="00525E62">
        <w:rPr>
          <w:rFonts w:ascii="Verdana" w:hAnsi="Verdana"/>
          <w:sz w:val="20"/>
          <w:lang w:val="en-US"/>
        </w:rPr>
        <w:t xml:space="preserve"> ha</w:t>
      </w:r>
      <w:r w:rsidRPr="00525E62">
        <w:rPr>
          <w:rFonts w:ascii="Verdana" w:hAnsi="Verdana"/>
          <w:sz w:val="20"/>
          <w:lang w:val="en-US"/>
        </w:rPr>
        <w:t xml:space="preserve">s submitted several reports, the last of </w:t>
      </w:r>
      <w:r w:rsidR="00B63B6C" w:rsidRPr="00525E62">
        <w:rPr>
          <w:rFonts w:ascii="Verdana" w:hAnsi="Verdana"/>
          <w:sz w:val="20"/>
          <w:lang w:val="en-US"/>
        </w:rPr>
        <w:t>which</w:t>
      </w:r>
      <w:r w:rsidRPr="00525E62">
        <w:rPr>
          <w:rFonts w:ascii="Verdana" w:hAnsi="Verdana"/>
          <w:sz w:val="20"/>
          <w:lang w:val="en-US"/>
        </w:rPr>
        <w:t xml:space="preserve"> was forwarded in April </w:t>
      </w:r>
      <w:r w:rsidR="00C11927" w:rsidRPr="00525E62">
        <w:rPr>
          <w:rFonts w:ascii="Verdana" w:hAnsi="Verdana"/>
          <w:sz w:val="20"/>
          <w:lang w:val="en-US"/>
        </w:rPr>
        <w:t>2015 (</w:t>
      </w:r>
      <w:r w:rsidR="00C11927" w:rsidRPr="00525E62">
        <w:rPr>
          <w:rFonts w:ascii="Verdana" w:hAnsi="Verdana"/>
          <w:i/>
          <w:sz w:val="20"/>
          <w:lang w:val="en-US"/>
        </w:rPr>
        <w:t>supra</w:t>
      </w:r>
      <w:r w:rsidR="00C11927" w:rsidRPr="00525E62">
        <w:rPr>
          <w:rFonts w:ascii="Verdana" w:hAnsi="Verdana"/>
          <w:sz w:val="20"/>
          <w:lang w:val="en-US"/>
        </w:rPr>
        <w:t xml:space="preserve"> </w:t>
      </w:r>
      <w:r w:rsidRPr="00525E62">
        <w:rPr>
          <w:rFonts w:ascii="Verdana" w:hAnsi="Verdana"/>
          <w:sz w:val="20"/>
          <w:lang w:val="en-US"/>
        </w:rPr>
        <w:t>having seen paragraph</w:t>
      </w:r>
      <w:r w:rsidR="00C11927"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_Ref526519911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8</w:t>
      </w:r>
      <w:r w:rsidR="001413FA">
        <w:rPr>
          <w:rFonts w:ascii="Verdana" w:hAnsi="Verdana"/>
          <w:sz w:val="20"/>
          <w:lang w:val="en-US"/>
        </w:rPr>
        <w:fldChar w:fldCharType="end"/>
      </w:r>
      <w:r w:rsidR="00C11927" w:rsidRPr="00525E62">
        <w:rPr>
          <w:rFonts w:ascii="Verdana" w:hAnsi="Verdana"/>
          <w:sz w:val="20"/>
          <w:lang w:val="en-US"/>
        </w:rPr>
        <w:t xml:space="preserve">). </w:t>
      </w:r>
      <w:r w:rsidR="005D679B" w:rsidRPr="00525E62">
        <w:rPr>
          <w:rFonts w:ascii="Verdana" w:hAnsi="Verdana"/>
          <w:sz w:val="20"/>
          <w:lang w:val="en-US"/>
        </w:rPr>
        <w:t xml:space="preserve">Suriname </w:t>
      </w:r>
      <w:r w:rsidRPr="00525E62">
        <w:rPr>
          <w:rFonts w:ascii="Verdana" w:hAnsi="Verdana"/>
          <w:sz w:val="20"/>
          <w:lang w:val="en-US"/>
        </w:rPr>
        <w:t xml:space="preserve">did not submit the report requested by the President of the Court in December </w:t>
      </w:r>
      <w:r w:rsidR="00B94347" w:rsidRPr="00525E62">
        <w:rPr>
          <w:rFonts w:ascii="Verdana" w:hAnsi="Verdana"/>
          <w:sz w:val="20"/>
          <w:lang w:val="en-US"/>
        </w:rPr>
        <w:t>2016</w:t>
      </w:r>
      <w:r w:rsidR="00C11927" w:rsidRPr="00525E62">
        <w:rPr>
          <w:rFonts w:ascii="Verdana" w:hAnsi="Verdana"/>
          <w:sz w:val="20"/>
          <w:lang w:val="en-US"/>
        </w:rPr>
        <w:t xml:space="preserve"> (</w:t>
      </w:r>
      <w:r w:rsidR="00C11927" w:rsidRPr="00525E62">
        <w:rPr>
          <w:rFonts w:ascii="Verdana" w:hAnsi="Verdana"/>
          <w:i/>
          <w:sz w:val="20"/>
          <w:lang w:val="en-US"/>
        </w:rPr>
        <w:t>supra</w:t>
      </w:r>
      <w:r w:rsidR="00C11927" w:rsidRPr="00525E62">
        <w:rPr>
          <w:rFonts w:ascii="Verdana" w:hAnsi="Verdana"/>
          <w:sz w:val="20"/>
          <w:lang w:val="en-US"/>
        </w:rPr>
        <w:t xml:space="preserve"> </w:t>
      </w:r>
      <w:r w:rsidRPr="00525E62">
        <w:rPr>
          <w:rFonts w:ascii="Verdana" w:hAnsi="Verdana"/>
          <w:sz w:val="20"/>
          <w:lang w:val="en-US"/>
        </w:rPr>
        <w:t>having seen paragraph</w:t>
      </w:r>
      <w:r w:rsidR="00605DF8"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_Ref530057328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11</w:t>
      </w:r>
      <w:r w:rsidR="001413FA">
        <w:rPr>
          <w:rFonts w:ascii="Verdana" w:hAnsi="Verdana"/>
          <w:sz w:val="20"/>
          <w:lang w:val="en-US"/>
        </w:rPr>
        <w:fldChar w:fldCharType="end"/>
      </w:r>
      <w:r w:rsidR="00CD545A" w:rsidRPr="00525E62">
        <w:rPr>
          <w:rFonts w:ascii="Verdana" w:hAnsi="Verdana"/>
          <w:sz w:val="20"/>
          <w:lang w:val="en-US"/>
        </w:rPr>
        <w:t xml:space="preserve"> </w:t>
      </w:r>
      <w:r w:rsidRPr="00525E62">
        <w:rPr>
          <w:rFonts w:ascii="Verdana" w:hAnsi="Verdana"/>
          <w:sz w:val="20"/>
          <w:lang w:val="en-US"/>
        </w:rPr>
        <w:t>and</w:t>
      </w:r>
      <w:r w:rsidR="00CD545A" w:rsidRPr="00525E62">
        <w:rPr>
          <w:rFonts w:ascii="Verdana" w:hAnsi="Verdana"/>
          <w:sz w:val="20"/>
          <w:lang w:val="en-US"/>
        </w:rPr>
        <w:t xml:space="preserve"> </w:t>
      </w:r>
      <w:r w:rsidR="00CD545A" w:rsidRPr="00525E62">
        <w:rPr>
          <w:rFonts w:ascii="Verdana" w:hAnsi="Verdana"/>
          <w:i/>
          <w:sz w:val="20"/>
          <w:lang w:val="en-US"/>
        </w:rPr>
        <w:t>infra</w:t>
      </w:r>
      <w:r w:rsidR="00CD545A" w:rsidRPr="00525E62">
        <w:rPr>
          <w:rFonts w:ascii="Verdana" w:hAnsi="Verdana"/>
          <w:sz w:val="20"/>
          <w:lang w:val="en-US"/>
        </w:rPr>
        <w:t xml:space="preserve"> </w:t>
      </w:r>
      <w:proofErr w:type="spellStart"/>
      <w:r w:rsidRPr="00525E62">
        <w:rPr>
          <w:rFonts w:ascii="Verdana" w:hAnsi="Verdana"/>
          <w:i/>
          <w:sz w:val="20"/>
          <w:lang w:val="en-US"/>
        </w:rPr>
        <w:t>c</w:t>
      </w:r>
      <w:r w:rsidR="00CD545A" w:rsidRPr="00525E62">
        <w:rPr>
          <w:rFonts w:ascii="Verdana" w:hAnsi="Verdana"/>
          <w:i/>
          <w:sz w:val="20"/>
          <w:lang w:val="en-US"/>
        </w:rPr>
        <w:t>onsiderand</w:t>
      </w:r>
      <w:r w:rsidRPr="00525E62">
        <w:rPr>
          <w:rFonts w:ascii="Verdana" w:hAnsi="Verdana"/>
          <w:i/>
          <w:sz w:val="20"/>
          <w:lang w:val="en-US"/>
        </w:rPr>
        <w:t>um</w:t>
      </w:r>
      <w:proofErr w:type="spellEnd"/>
      <w:r w:rsidR="00CD545A"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_Ref526851896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46</w:t>
      </w:r>
      <w:r w:rsidR="001413FA">
        <w:rPr>
          <w:rFonts w:ascii="Verdana" w:hAnsi="Verdana"/>
          <w:sz w:val="20"/>
          <w:lang w:val="en-US"/>
        </w:rPr>
        <w:fldChar w:fldCharType="end"/>
      </w:r>
      <w:r w:rsidR="00C11927" w:rsidRPr="00525E62">
        <w:rPr>
          <w:rFonts w:ascii="Verdana" w:hAnsi="Verdana"/>
          <w:sz w:val="20"/>
          <w:lang w:val="en-US"/>
        </w:rPr>
        <w:t>).</w:t>
      </w:r>
      <w:r w:rsidR="00B94347" w:rsidRPr="00525E62">
        <w:rPr>
          <w:rFonts w:ascii="Verdana" w:hAnsi="Verdana"/>
          <w:sz w:val="20"/>
          <w:lang w:val="en-US"/>
        </w:rPr>
        <w:t xml:space="preserve"> </w:t>
      </w:r>
      <w:r w:rsidRPr="00525E62">
        <w:rPr>
          <w:rFonts w:ascii="Verdana" w:hAnsi="Verdana"/>
          <w:sz w:val="20"/>
          <w:lang w:val="en-US"/>
        </w:rPr>
        <w:t>The Court will assess the degree of compliance with the reparations based on the information provided by the parties and will structure its considerations as follows:</w:t>
      </w:r>
      <w:bookmarkEnd w:id="10"/>
      <w:r w:rsidRPr="00525E62">
        <w:rPr>
          <w:rFonts w:ascii="Verdana" w:hAnsi="Verdana"/>
          <w:sz w:val="20"/>
          <w:lang w:val="en-US"/>
        </w:rPr>
        <w:t xml:space="preserve"> </w:t>
      </w:r>
      <w:bookmarkEnd w:id="11"/>
    </w:p>
    <w:p w14:paraId="7F563EA7" w14:textId="77777777" w:rsidR="00767BA7" w:rsidRPr="00525E62" w:rsidRDefault="00767BA7" w:rsidP="007857BA">
      <w:pPr>
        <w:pStyle w:val="ListParagraph"/>
        <w:rPr>
          <w:rFonts w:ascii="Verdana" w:hAnsi="Verdana"/>
          <w:sz w:val="20"/>
          <w:lang w:val="en-US"/>
        </w:rPr>
      </w:pPr>
    </w:p>
    <w:p w14:paraId="3039D6DF" w14:textId="77777777" w:rsidR="001413FA" w:rsidRPr="001413FA" w:rsidRDefault="007857BA" w:rsidP="001413FA">
      <w:pPr>
        <w:pStyle w:val="TOC1"/>
        <w:tabs>
          <w:tab w:val="left" w:pos="660"/>
          <w:tab w:val="right" w:pos="8828"/>
        </w:tabs>
        <w:spacing w:after="0"/>
        <w:rPr>
          <w:rFonts w:ascii="Verdana" w:eastAsiaTheme="minorEastAsia" w:hAnsi="Verdana" w:cstheme="minorBidi"/>
          <w:i/>
          <w:noProof/>
          <w:sz w:val="16"/>
          <w:szCs w:val="16"/>
          <w:lang w:val="es-CR" w:eastAsia="es-CR"/>
        </w:rPr>
      </w:pPr>
      <w:r w:rsidRPr="001413FA">
        <w:rPr>
          <w:rFonts w:ascii="Verdana" w:hAnsi="Verdana"/>
          <w:i/>
          <w:sz w:val="16"/>
          <w:szCs w:val="16"/>
          <w:lang w:val="en-US"/>
        </w:rPr>
        <w:fldChar w:fldCharType="begin"/>
      </w:r>
      <w:r w:rsidRPr="001413FA">
        <w:rPr>
          <w:rFonts w:ascii="Verdana" w:hAnsi="Verdana"/>
          <w:i/>
          <w:sz w:val="16"/>
          <w:szCs w:val="16"/>
          <w:lang w:val="en-US"/>
        </w:rPr>
        <w:instrText xml:space="preserve"> TOC \o "1-3" \h \z \u </w:instrText>
      </w:r>
      <w:r w:rsidRPr="001413FA">
        <w:rPr>
          <w:rFonts w:ascii="Verdana" w:hAnsi="Verdana"/>
          <w:i/>
          <w:sz w:val="16"/>
          <w:szCs w:val="16"/>
          <w:lang w:val="en-US"/>
        </w:rPr>
        <w:fldChar w:fldCharType="separate"/>
      </w:r>
      <w:hyperlink w:anchor="_Toc530057345" w:history="1">
        <w:r w:rsidR="001413FA" w:rsidRPr="001413FA">
          <w:rPr>
            <w:rStyle w:val="Hyperlink"/>
            <w:rFonts w:ascii="Verdana" w:hAnsi="Verdana"/>
            <w:i/>
            <w:noProof/>
            <w:sz w:val="16"/>
            <w:szCs w:val="16"/>
            <w:lang w:val="en-US"/>
          </w:rPr>
          <w:t>A.</w:t>
        </w:r>
        <w:r w:rsidR="001413FA" w:rsidRPr="001413FA">
          <w:rPr>
            <w:rFonts w:ascii="Verdana" w:eastAsiaTheme="minorEastAsia" w:hAnsi="Verdana" w:cstheme="minorBidi"/>
            <w:i/>
            <w:noProof/>
            <w:sz w:val="16"/>
            <w:szCs w:val="16"/>
            <w:lang w:val="es-CR" w:eastAsia="es-CR"/>
          </w:rPr>
          <w:tab/>
        </w:r>
        <w:r w:rsidR="001413FA" w:rsidRPr="001413FA">
          <w:rPr>
            <w:rStyle w:val="Hyperlink"/>
            <w:rFonts w:ascii="Verdana" w:hAnsi="Verdana"/>
            <w:i/>
            <w:noProof/>
            <w:sz w:val="16"/>
            <w:szCs w:val="16"/>
            <w:lang w:val="en-US"/>
          </w:rPr>
          <w:t>Compensation for pecuniary and non-pecuniary damage</w:t>
        </w:r>
        <w:r w:rsidR="001413FA" w:rsidRPr="001413FA">
          <w:rPr>
            <w:rFonts w:ascii="Verdana" w:hAnsi="Verdana"/>
            <w:i/>
            <w:noProof/>
            <w:webHidden/>
            <w:sz w:val="16"/>
            <w:szCs w:val="16"/>
          </w:rPr>
          <w:tab/>
        </w:r>
        <w:r w:rsidR="001413FA" w:rsidRPr="001413FA">
          <w:rPr>
            <w:rFonts w:ascii="Verdana" w:hAnsi="Verdana"/>
            <w:i/>
            <w:noProof/>
            <w:webHidden/>
            <w:sz w:val="16"/>
            <w:szCs w:val="16"/>
          </w:rPr>
          <w:fldChar w:fldCharType="begin"/>
        </w:r>
        <w:r w:rsidR="001413FA" w:rsidRPr="001413FA">
          <w:rPr>
            <w:rFonts w:ascii="Verdana" w:hAnsi="Verdana"/>
            <w:i/>
            <w:noProof/>
            <w:webHidden/>
            <w:sz w:val="16"/>
            <w:szCs w:val="16"/>
          </w:rPr>
          <w:instrText xml:space="preserve"> PAGEREF _Toc530057345 \h </w:instrText>
        </w:r>
        <w:r w:rsidR="001413FA" w:rsidRPr="001413FA">
          <w:rPr>
            <w:rFonts w:ascii="Verdana" w:hAnsi="Verdana"/>
            <w:i/>
            <w:noProof/>
            <w:webHidden/>
            <w:sz w:val="16"/>
            <w:szCs w:val="16"/>
          </w:rPr>
        </w:r>
        <w:r w:rsidR="001413FA" w:rsidRPr="001413FA">
          <w:rPr>
            <w:rFonts w:ascii="Verdana" w:hAnsi="Verdana"/>
            <w:i/>
            <w:noProof/>
            <w:webHidden/>
            <w:sz w:val="16"/>
            <w:szCs w:val="16"/>
          </w:rPr>
          <w:fldChar w:fldCharType="separate"/>
        </w:r>
        <w:r w:rsidR="00980175">
          <w:rPr>
            <w:rFonts w:ascii="Verdana" w:hAnsi="Verdana"/>
            <w:i/>
            <w:noProof/>
            <w:webHidden/>
            <w:sz w:val="16"/>
            <w:szCs w:val="16"/>
          </w:rPr>
          <w:t>4</w:t>
        </w:r>
        <w:r w:rsidR="001413FA" w:rsidRPr="001413FA">
          <w:rPr>
            <w:rFonts w:ascii="Verdana" w:hAnsi="Verdana"/>
            <w:i/>
            <w:noProof/>
            <w:webHidden/>
            <w:sz w:val="16"/>
            <w:szCs w:val="16"/>
          </w:rPr>
          <w:fldChar w:fldCharType="end"/>
        </w:r>
      </w:hyperlink>
    </w:p>
    <w:p w14:paraId="35F4E508" w14:textId="181C6CED" w:rsidR="001413FA" w:rsidRPr="001413FA" w:rsidRDefault="00980175" w:rsidP="00832DE3">
      <w:pPr>
        <w:pStyle w:val="TOC1"/>
        <w:tabs>
          <w:tab w:val="left" w:pos="142"/>
          <w:tab w:val="left" w:pos="660"/>
          <w:tab w:val="right" w:pos="8828"/>
        </w:tabs>
        <w:spacing w:after="0"/>
        <w:rPr>
          <w:rFonts w:ascii="Verdana" w:eastAsiaTheme="minorEastAsia" w:hAnsi="Verdana" w:cstheme="minorBidi"/>
          <w:i/>
          <w:noProof/>
          <w:sz w:val="16"/>
          <w:szCs w:val="16"/>
          <w:lang w:val="es-CR" w:eastAsia="es-CR"/>
        </w:rPr>
      </w:pPr>
      <w:hyperlink w:anchor="_Toc530057346" w:history="1">
        <w:r w:rsidR="001413FA" w:rsidRPr="001413FA">
          <w:rPr>
            <w:rStyle w:val="Hyperlink"/>
            <w:rFonts w:ascii="Verdana" w:hAnsi="Verdana"/>
            <w:i/>
            <w:noProof/>
            <w:sz w:val="16"/>
            <w:szCs w:val="16"/>
            <w:lang w:val="en-US"/>
          </w:rPr>
          <w:t>B.</w:t>
        </w:r>
        <w:r w:rsidR="001413FA" w:rsidRPr="001413FA">
          <w:rPr>
            <w:rFonts w:ascii="Verdana" w:eastAsiaTheme="minorEastAsia" w:hAnsi="Verdana" w:cstheme="minorBidi"/>
            <w:i/>
            <w:noProof/>
            <w:sz w:val="16"/>
            <w:szCs w:val="16"/>
            <w:lang w:val="es-CR" w:eastAsia="es-CR"/>
          </w:rPr>
          <w:tab/>
        </w:r>
        <w:r w:rsidR="001413FA" w:rsidRPr="001413FA">
          <w:rPr>
            <w:rStyle w:val="Hyperlink"/>
            <w:rFonts w:ascii="Verdana" w:hAnsi="Verdana"/>
            <w:i/>
            <w:noProof/>
            <w:sz w:val="16"/>
            <w:szCs w:val="16"/>
            <w:lang w:val="en-US"/>
          </w:rPr>
          <w:t>Delimit and demarcate and grant collective title over the territory of the members of the Saramaka People</w:t>
        </w:r>
        <w:r w:rsidR="001413FA" w:rsidRPr="001413FA">
          <w:rPr>
            <w:rFonts w:ascii="Verdana" w:hAnsi="Verdana"/>
            <w:i/>
            <w:noProof/>
            <w:webHidden/>
            <w:sz w:val="16"/>
            <w:szCs w:val="16"/>
          </w:rPr>
          <w:tab/>
        </w:r>
        <w:r w:rsidR="00832DE3">
          <w:rPr>
            <w:rFonts w:ascii="Verdana" w:hAnsi="Verdana"/>
            <w:i/>
            <w:noProof/>
            <w:webHidden/>
            <w:sz w:val="16"/>
            <w:szCs w:val="16"/>
          </w:rPr>
          <w:tab/>
        </w:r>
        <w:r w:rsidR="001413FA" w:rsidRPr="001413FA">
          <w:rPr>
            <w:rFonts w:ascii="Verdana" w:hAnsi="Verdana"/>
            <w:i/>
            <w:noProof/>
            <w:webHidden/>
            <w:sz w:val="16"/>
            <w:szCs w:val="16"/>
          </w:rPr>
          <w:fldChar w:fldCharType="begin"/>
        </w:r>
        <w:r w:rsidR="001413FA" w:rsidRPr="001413FA">
          <w:rPr>
            <w:rFonts w:ascii="Verdana" w:hAnsi="Verdana"/>
            <w:i/>
            <w:noProof/>
            <w:webHidden/>
            <w:sz w:val="16"/>
            <w:szCs w:val="16"/>
          </w:rPr>
          <w:instrText xml:space="preserve"> PAGEREF _Toc530057346 \h </w:instrText>
        </w:r>
        <w:r w:rsidR="001413FA" w:rsidRPr="001413FA">
          <w:rPr>
            <w:rFonts w:ascii="Verdana" w:hAnsi="Verdana"/>
            <w:i/>
            <w:noProof/>
            <w:webHidden/>
            <w:sz w:val="16"/>
            <w:szCs w:val="16"/>
          </w:rPr>
        </w:r>
        <w:r w:rsidR="001413FA" w:rsidRPr="001413FA">
          <w:rPr>
            <w:rFonts w:ascii="Verdana" w:hAnsi="Verdana"/>
            <w:i/>
            <w:noProof/>
            <w:webHidden/>
            <w:sz w:val="16"/>
            <w:szCs w:val="16"/>
          </w:rPr>
          <w:fldChar w:fldCharType="separate"/>
        </w:r>
        <w:r>
          <w:rPr>
            <w:rFonts w:ascii="Verdana" w:hAnsi="Verdana"/>
            <w:i/>
            <w:noProof/>
            <w:webHidden/>
            <w:sz w:val="16"/>
            <w:szCs w:val="16"/>
          </w:rPr>
          <w:t>6</w:t>
        </w:r>
        <w:r w:rsidR="001413FA" w:rsidRPr="001413FA">
          <w:rPr>
            <w:rFonts w:ascii="Verdana" w:hAnsi="Verdana"/>
            <w:i/>
            <w:noProof/>
            <w:webHidden/>
            <w:sz w:val="16"/>
            <w:szCs w:val="16"/>
          </w:rPr>
          <w:fldChar w:fldCharType="end"/>
        </w:r>
      </w:hyperlink>
    </w:p>
    <w:p w14:paraId="0F032A58" w14:textId="77777777" w:rsidR="001413FA" w:rsidRPr="001413FA" w:rsidRDefault="00980175" w:rsidP="001413FA">
      <w:pPr>
        <w:pStyle w:val="TOC1"/>
        <w:tabs>
          <w:tab w:val="left" w:pos="660"/>
          <w:tab w:val="right" w:pos="8828"/>
        </w:tabs>
        <w:spacing w:after="0"/>
        <w:rPr>
          <w:rFonts w:ascii="Verdana" w:eastAsiaTheme="minorEastAsia" w:hAnsi="Verdana" w:cstheme="minorBidi"/>
          <w:i/>
          <w:noProof/>
          <w:sz w:val="16"/>
          <w:szCs w:val="16"/>
          <w:lang w:val="es-CR" w:eastAsia="es-CR"/>
        </w:rPr>
      </w:pPr>
      <w:hyperlink w:anchor="_Toc530057347" w:history="1">
        <w:r w:rsidR="001413FA" w:rsidRPr="001413FA">
          <w:rPr>
            <w:rStyle w:val="Hyperlink"/>
            <w:rFonts w:ascii="Verdana" w:hAnsi="Verdana"/>
            <w:i/>
            <w:noProof/>
            <w:sz w:val="16"/>
            <w:szCs w:val="16"/>
            <w:lang w:val="en-US"/>
          </w:rPr>
          <w:t>C.</w:t>
        </w:r>
        <w:r w:rsidR="001413FA" w:rsidRPr="001413FA">
          <w:rPr>
            <w:rFonts w:ascii="Verdana" w:eastAsiaTheme="minorEastAsia" w:hAnsi="Verdana" w:cstheme="minorBidi"/>
            <w:i/>
            <w:noProof/>
            <w:sz w:val="16"/>
            <w:szCs w:val="16"/>
            <w:lang w:val="es-CR" w:eastAsia="es-CR"/>
          </w:rPr>
          <w:tab/>
        </w:r>
        <w:r w:rsidR="001413FA" w:rsidRPr="001413FA">
          <w:rPr>
            <w:rStyle w:val="Hyperlink"/>
            <w:rFonts w:ascii="Verdana" w:hAnsi="Verdana"/>
            <w:i/>
            <w:noProof/>
            <w:sz w:val="16"/>
            <w:szCs w:val="16"/>
            <w:lang w:val="en-US"/>
          </w:rPr>
          <w:t>Other measures of reparation</w:t>
        </w:r>
        <w:r w:rsidR="001413FA" w:rsidRPr="001413FA">
          <w:rPr>
            <w:rFonts w:ascii="Verdana" w:hAnsi="Verdana"/>
            <w:i/>
            <w:noProof/>
            <w:webHidden/>
            <w:sz w:val="16"/>
            <w:szCs w:val="16"/>
          </w:rPr>
          <w:tab/>
        </w:r>
        <w:r w:rsidR="001413FA" w:rsidRPr="001413FA">
          <w:rPr>
            <w:rFonts w:ascii="Verdana" w:hAnsi="Verdana"/>
            <w:i/>
            <w:noProof/>
            <w:webHidden/>
            <w:sz w:val="16"/>
            <w:szCs w:val="16"/>
          </w:rPr>
          <w:fldChar w:fldCharType="begin"/>
        </w:r>
        <w:r w:rsidR="001413FA" w:rsidRPr="001413FA">
          <w:rPr>
            <w:rFonts w:ascii="Verdana" w:hAnsi="Verdana"/>
            <w:i/>
            <w:noProof/>
            <w:webHidden/>
            <w:sz w:val="16"/>
            <w:szCs w:val="16"/>
          </w:rPr>
          <w:instrText xml:space="preserve"> PAGEREF _Toc530057347 \h </w:instrText>
        </w:r>
        <w:r w:rsidR="001413FA" w:rsidRPr="001413FA">
          <w:rPr>
            <w:rFonts w:ascii="Verdana" w:hAnsi="Verdana"/>
            <w:i/>
            <w:noProof/>
            <w:webHidden/>
            <w:sz w:val="16"/>
            <w:szCs w:val="16"/>
          </w:rPr>
        </w:r>
        <w:r w:rsidR="001413FA" w:rsidRPr="001413FA">
          <w:rPr>
            <w:rFonts w:ascii="Verdana" w:hAnsi="Verdana"/>
            <w:i/>
            <w:noProof/>
            <w:webHidden/>
            <w:sz w:val="16"/>
            <w:szCs w:val="16"/>
          </w:rPr>
          <w:fldChar w:fldCharType="separate"/>
        </w:r>
        <w:r>
          <w:rPr>
            <w:rFonts w:ascii="Verdana" w:hAnsi="Verdana"/>
            <w:i/>
            <w:noProof/>
            <w:webHidden/>
            <w:sz w:val="16"/>
            <w:szCs w:val="16"/>
          </w:rPr>
          <w:t>12</w:t>
        </w:r>
        <w:r w:rsidR="001413FA" w:rsidRPr="001413FA">
          <w:rPr>
            <w:rFonts w:ascii="Verdana" w:hAnsi="Verdana"/>
            <w:i/>
            <w:noProof/>
            <w:webHidden/>
            <w:sz w:val="16"/>
            <w:szCs w:val="16"/>
          </w:rPr>
          <w:fldChar w:fldCharType="end"/>
        </w:r>
      </w:hyperlink>
    </w:p>
    <w:p w14:paraId="077C1B8F" w14:textId="77777777" w:rsidR="001413FA" w:rsidRPr="001413FA" w:rsidRDefault="00980175" w:rsidP="001413FA">
      <w:pPr>
        <w:pStyle w:val="TOC1"/>
        <w:tabs>
          <w:tab w:val="left" w:pos="660"/>
          <w:tab w:val="right" w:pos="8828"/>
        </w:tabs>
        <w:spacing w:after="0"/>
        <w:rPr>
          <w:rFonts w:ascii="Verdana" w:eastAsiaTheme="minorEastAsia" w:hAnsi="Verdana" w:cstheme="minorBidi"/>
          <w:i/>
          <w:noProof/>
          <w:sz w:val="16"/>
          <w:szCs w:val="16"/>
          <w:lang w:val="es-CR" w:eastAsia="es-CR"/>
        </w:rPr>
      </w:pPr>
      <w:hyperlink w:anchor="_Toc530057348" w:history="1">
        <w:r w:rsidR="001413FA" w:rsidRPr="001413FA">
          <w:rPr>
            <w:rStyle w:val="Hyperlink"/>
            <w:rFonts w:ascii="Verdana" w:hAnsi="Verdana"/>
            <w:i/>
            <w:noProof/>
            <w:sz w:val="16"/>
            <w:szCs w:val="16"/>
            <w:lang w:val="en-US"/>
          </w:rPr>
          <w:t>D.</w:t>
        </w:r>
        <w:r w:rsidR="001413FA" w:rsidRPr="001413FA">
          <w:rPr>
            <w:rFonts w:ascii="Verdana" w:eastAsiaTheme="minorEastAsia" w:hAnsi="Verdana" w:cstheme="minorBidi"/>
            <w:i/>
            <w:noProof/>
            <w:sz w:val="16"/>
            <w:szCs w:val="16"/>
            <w:lang w:val="es-CR" w:eastAsia="es-CR"/>
          </w:rPr>
          <w:tab/>
        </w:r>
        <w:r w:rsidR="001413FA" w:rsidRPr="001413FA">
          <w:rPr>
            <w:rStyle w:val="Hyperlink"/>
            <w:rFonts w:ascii="Verdana" w:hAnsi="Verdana"/>
            <w:i/>
            <w:noProof/>
            <w:sz w:val="16"/>
            <w:szCs w:val="16"/>
            <w:lang w:val="en-US"/>
          </w:rPr>
          <w:t>Pending report and possible monitoring visit</w:t>
        </w:r>
        <w:r w:rsidR="001413FA" w:rsidRPr="001413FA">
          <w:rPr>
            <w:rFonts w:ascii="Verdana" w:hAnsi="Verdana"/>
            <w:i/>
            <w:noProof/>
            <w:webHidden/>
            <w:sz w:val="16"/>
            <w:szCs w:val="16"/>
          </w:rPr>
          <w:tab/>
        </w:r>
        <w:r w:rsidR="001413FA" w:rsidRPr="001413FA">
          <w:rPr>
            <w:rFonts w:ascii="Verdana" w:hAnsi="Verdana"/>
            <w:i/>
            <w:noProof/>
            <w:webHidden/>
            <w:sz w:val="16"/>
            <w:szCs w:val="16"/>
          </w:rPr>
          <w:fldChar w:fldCharType="begin"/>
        </w:r>
        <w:r w:rsidR="001413FA" w:rsidRPr="001413FA">
          <w:rPr>
            <w:rFonts w:ascii="Verdana" w:hAnsi="Verdana"/>
            <w:i/>
            <w:noProof/>
            <w:webHidden/>
            <w:sz w:val="16"/>
            <w:szCs w:val="16"/>
          </w:rPr>
          <w:instrText xml:space="preserve"> PAGEREF _Toc530057348 \h </w:instrText>
        </w:r>
        <w:r w:rsidR="001413FA" w:rsidRPr="001413FA">
          <w:rPr>
            <w:rFonts w:ascii="Verdana" w:hAnsi="Verdana"/>
            <w:i/>
            <w:noProof/>
            <w:webHidden/>
            <w:sz w:val="16"/>
            <w:szCs w:val="16"/>
          </w:rPr>
        </w:r>
        <w:r w:rsidR="001413FA" w:rsidRPr="001413FA">
          <w:rPr>
            <w:rFonts w:ascii="Verdana" w:hAnsi="Verdana"/>
            <w:i/>
            <w:noProof/>
            <w:webHidden/>
            <w:sz w:val="16"/>
            <w:szCs w:val="16"/>
          </w:rPr>
          <w:fldChar w:fldCharType="separate"/>
        </w:r>
        <w:r>
          <w:rPr>
            <w:rFonts w:ascii="Verdana" w:hAnsi="Verdana"/>
            <w:i/>
            <w:noProof/>
            <w:webHidden/>
            <w:sz w:val="16"/>
            <w:szCs w:val="16"/>
          </w:rPr>
          <w:t>15</w:t>
        </w:r>
        <w:r w:rsidR="001413FA" w:rsidRPr="001413FA">
          <w:rPr>
            <w:rFonts w:ascii="Verdana" w:hAnsi="Verdana"/>
            <w:i/>
            <w:noProof/>
            <w:webHidden/>
            <w:sz w:val="16"/>
            <w:szCs w:val="16"/>
          </w:rPr>
          <w:fldChar w:fldCharType="end"/>
        </w:r>
      </w:hyperlink>
    </w:p>
    <w:p w14:paraId="4DF54610" w14:textId="77777777" w:rsidR="00BC4FF3" w:rsidRPr="00525E62" w:rsidRDefault="007857BA" w:rsidP="001413FA">
      <w:pPr>
        <w:ind w:left="284" w:right="616"/>
        <w:jc w:val="both"/>
        <w:rPr>
          <w:rFonts w:ascii="Verdana" w:hAnsi="Verdana"/>
          <w:sz w:val="20"/>
          <w:lang w:val="en-US"/>
        </w:rPr>
      </w:pPr>
      <w:r w:rsidRPr="001413FA">
        <w:rPr>
          <w:rFonts w:ascii="Verdana" w:hAnsi="Verdana"/>
          <w:i/>
          <w:sz w:val="16"/>
          <w:szCs w:val="16"/>
          <w:lang w:val="en-US"/>
        </w:rPr>
        <w:fldChar w:fldCharType="end"/>
      </w:r>
    </w:p>
    <w:p w14:paraId="558DA3C3" w14:textId="6FA84EDC" w:rsidR="004E1B86" w:rsidRPr="00525E62" w:rsidRDefault="00B15139" w:rsidP="005A0479">
      <w:pPr>
        <w:pStyle w:val="Heading1"/>
        <w:numPr>
          <w:ilvl w:val="0"/>
          <w:numId w:val="10"/>
        </w:numPr>
        <w:spacing w:before="120"/>
        <w:rPr>
          <w:rFonts w:ascii="Verdana" w:hAnsi="Verdana"/>
          <w:color w:val="auto"/>
          <w:sz w:val="20"/>
          <w:szCs w:val="20"/>
          <w:lang w:val="en-US"/>
        </w:rPr>
      </w:pPr>
      <w:bookmarkStart w:id="12" w:name="_Toc530057345"/>
      <w:r w:rsidRPr="00525E62">
        <w:rPr>
          <w:rFonts w:ascii="Verdana" w:hAnsi="Verdana"/>
          <w:color w:val="auto"/>
          <w:sz w:val="20"/>
          <w:szCs w:val="20"/>
          <w:lang w:val="en-US"/>
        </w:rPr>
        <w:t>Compensation for pecuniary and non-pecuniary damage</w:t>
      </w:r>
      <w:bookmarkEnd w:id="12"/>
    </w:p>
    <w:p w14:paraId="35D04269" w14:textId="77777777" w:rsidR="004E1B86" w:rsidRPr="00525E62" w:rsidRDefault="004E1B86" w:rsidP="004E1B86">
      <w:pPr>
        <w:rPr>
          <w:rFonts w:ascii="Verdana" w:hAnsi="Verdana"/>
          <w:b/>
          <w:sz w:val="20"/>
          <w:lang w:val="en-US"/>
        </w:rPr>
      </w:pPr>
    </w:p>
    <w:p w14:paraId="1190966E" w14:textId="755BD492" w:rsidR="004E1B86" w:rsidRPr="00525E62" w:rsidRDefault="004E1B86" w:rsidP="004E1B86">
      <w:pPr>
        <w:ind w:left="360"/>
        <w:jc w:val="both"/>
        <w:rPr>
          <w:rFonts w:ascii="Verdana" w:hAnsi="Verdana"/>
          <w:i/>
          <w:sz w:val="20"/>
          <w:lang w:val="en-US"/>
        </w:rPr>
      </w:pPr>
      <w:r w:rsidRPr="00525E62">
        <w:rPr>
          <w:rFonts w:ascii="Verdana" w:hAnsi="Verdana"/>
          <w:i/>
          <w:sz w:val="20"/>
          <w:lang w:val="en-US"/>
        </w:rPr>
        <w:t xml:space="preserve">A.1. </w:t>
      </w:r>
      <w:r w:rsidR="009C291B" w:rsidRPr="00525E62">
        <w:rPr>
          <w:rFonts w:ascii="Verdana" w:hAnsi="Verdana"/>
          <w:i/>
          <w:sz w:val="20"/>
          <w:lang w:val="en-US"/>
        </w:rPr>
        <w:t xml:space="preserve">Measure </w:t>
      </w:r>
      <w:r w:rsidR="007F7CF1" w:rsidRPr="00525E62">
        <w:rPr>
          <w:rFonts w:ascii="Verdana" w:hAnsi="Verdana"/>
          <w:i/>
          <w:sz w:val="20"/>
          <w:lang w:val="en-US"/>
        </w:rPr>
        <w:t>required</w:t>
      </w:r>
      <w:r w:rsidR="009C291B" w:rsidRPr="00525E62">
        <w:rPr>
          <w:rFonts w:ascii="Verdana" w:hAnsi="Verdana"/>
          <w:i/>
          <w:sz w:val="20"/>
          <w:lang w:val="en-US"/>
        </w:rPr>
        <w:t xml:space="preserve"> by</w:t>
      </w:r>
      <w:r w:rsidRPr="00525E62">
        <w:rPr>
          <w:rFonts w:ascii="Verdana" w:hAnsi="Verdana"/>
          <w:i/>
          <w:sz w:val="20"/>
          <w:lang w:val="en-US"/>
        </w:rPr>
        <w:t xml:space="preserve"> </w:t>
      </w:r>
      <w:r w:rsidR="00C93224" w:rsidRPr="00525E62">
        <w:rPr>
          <w:rFonts w:ascii="Verdana" w:hAnsi="Verdana"/>
          <w:i/>
          <w:sz w:val="20"/>
          <w:lang w:val="en-US"/>
        </w:rPr>
        <w:t>the Court</w:t>
      </w:r>
      <w:r w:rsidR="007F7CF1" w:rsidRPr="00525E62">
        <w:rPr>
          <w:rFonts w:ascii="Verdana" w:hAnsi="Verdana"/>
          <w:i/>
          <w:sz w:val="20"/>
          <w:lang w:val="en-US"/>
        </w:rPr>
        <w:t xml:space="preserve"> and</w:t>
      </w:r>
      <w:r w:rsidR="009C291B" w:rsidRPr="00525E62">
        <w:rPr>
          <w:rFonts w:ascii="Verdana" w:hAnsi="Verdana"/>
          <w:i/>
          <w:sz w:val="20"/>
          <w:lang w:val="en-US"/>
        </w:rPr>
        <w:t xml:space="preserve"> </w:t>
      </w:r>
      <w:r w:rsidR="00C30AD4">
        <w:rPr>
          <w:rFonts w:ascii="Verdana" w:hAnsi="Verdana"/>
          <w:i/>
          <w:sz w:val="20"/>
          <w:lang w:val="en-US"/>
        </w:rPr>
        <w:t>monitoring realized</w:t>
      </w:r>
      <w:r w:rsidR="009C291B" w:rsidRPr="00525E62">
        <w:rPr>
          <w:rFonts w:ascii="Verdana" w:hAnsi="Verdana"/>
          <w:i/>
          <w:sz w:val="20"/>
          <w:lang w:val="en-US"/>
        </w:rPr>
        <w:t xml:space="preserve"> in previous order</w:t>
      </w:r>
      <w:r w:rsidR="007F7CF1" w:rsidRPr="00525E62">
        <w:rPr>
          <w:rFonts w:ascii="Verdana" w:hAnsi="Verdana"/>
          <w:i/>
          <w:sz w:val="20"/>
          <w:lang w:val="en-US"/>
        </w:rPr>
        <w:t>s</w:t>
      </w:r>
    </w:p>
    <w:p w14:paraId="36D3DD09" w14:textId="5BEED4BD" w:rsidR="00F252CA" w:rsidRPr="00525E62" w:rsidRDefault="00A36755" w:rsidP="00004F87">
      <w:pPr>
        <w:tabs>
          <w:tab w:val="left" w:pos="2282"/>
        </w:tabs>
        <w:rPr>
          <w:rFonts w:ascii="Verdana" w:hAnsi="Verdana"/>
          <w:i/>
          <w:sz w:val="20"/>
          <w:lang w:val="en-US"/>
        </w:rPr>
      </w:pPr>
      <w:r w:rsidRPr="00525E62">
        <w:rPr>
          <w:rFonts w:ascii="Verdana" w:hAnsi="Verdana"/>
          <w:i/>
          <w:sz w:val="20"/>
          <w:lang w:val="en-US"/>
        </w:rPr>
        <w:tab/>
      </w:r>
    </w:p>
    <w:p w14:paraId="7987F529" w14:textId="2E3D119E" w:rsidR="00004F87" w:rsidRPr="00525E62" w:rsidRDefault="00004F87" w:rsidP="00004F87">
      <w:pPr>
        <w:pStyle w:val="ListParagraph"/>
        <w:numPr>
          <w:ilvl w:val="0"/>
          <w:numId w:val="2"/>
        </w:numPr>
        <w:autoSpaceDE w:val="0"/>
        <w:autoSpaceDN w:val="0"/>
        <w:adjustRightInd w:val="0"/>
        <w:ind w:left="0" w:firstLine="0"/>
        <w:jc w:val="both"/>
        <w:rPr>
          <w:rFonts w:ascii="Verdana" w:hAnsi="Verdana"/>
          <w:sz w:val="20"/>
          <w:lang w:val="en-US"/>
        </w:rPr>
      </w:pPr>
      <w:bookmarkStart w:id="13" w:name="_Ref530057268"/>
      <w:bookmarkStart w:id="14" w:name="_Ref526523079"/>
      <w:r w:rsidRPr="00525E62">
        <w:rPr>
          <w:rFonts w:ascii="Verdana" w:hAnsi="Verdana"/>
          <w:sz w:val="20"/>
          <w:lang w:val="en-US"/>
        </w:rPr>
        <w:t xml:space="preserve">In the thirteenth operative </w:t>
      </w:r>
      <w:r w:rsidRPr="00E83269">
        <w:rPr>
          <w:rFonts w:ascii="Verdana" w:hAnsi="Verdana"/>
          <w:sz w:val="20"/>
          <w:lang w:val="en-US"/>
        </w:rPr>
        <w:t xml:space="preserve">paragraph and in paragraphs 199, 201, 202, 208 and 210 to 212 of the judgment, the Court ordered the State </w:t>
      </w:r>
      <w:proofErr w:type="gramStart"/>
      <w:r w:rsidRPr="00E83269">
        <w:rPr>
          <w:rFonts w:ascii="Verdana" w:hAnsi="Verdana"/>
          <w:sz w:val="20"/>
          <w:lang w:val="en-US"/>
        </w:rPr>
        <w:t xml:space="preserve">to </w:t>
      </w:r>
      <w:r w:rsidR="00AF3B29" w:rsidRPr="00E83269">
        <w:rPr>
          <w:rFonts w:ascii="Verdana" w:eastAsiaTheme="minorHAnsi" w:hAnsi="Verdana" w:cs="Verdana"/>
          <w:sz w:val="20"/>
          <w:lang w:val="en-US"/>
        </w:rPr>
        <w:t>”</w:t>
      </w:r>
      <w:proofErr w:type="gramEnd"/>
      <w:r w:rsidR="00AF3B29" w:rsidRPr="00E83269">
        <w:rPr>
          <w:rFonts w:ascii="Verdana" w:eastAsiaTheme="minorHAnsi" w:hAnsi="Verdana" w:cs="Verdana"/>
          <w:sz w:val="20"/>
          <w:lang w:val="en-US"/>
        </w:rPr>
        <w:t>a</w:t>
      </w:r>
      <w:r w:rsidRPr="00E83269">
        <w:rPr>
          <w:rFonts w:ascii="Verdana" w:eastAsiaTheme="minorHAnsi" w:hAnsi="Verdana" w:cs="Verdana"/>
          <w:sz w:val="20"/>
          <w:lang w:val="en-US"/>
        </w:rPr>
        <w:t>llocate the amounts set in th[e] judgment as compensation for pecuniary and non-pecuniary damage in a community development fund created and established for the benefit of the members of the Saramaka people in their traditional territory.</w:t>
      </w:r>
      <w:r w:rsidRPr="00E83269">
        <w:rPr>
          <w:rFonts w:ascii="Verdana" w:hAnsi="Verdana"/>
          <w:sz w:val="20"/>
          <w:lang w:val="en-US"/>
        </w:rPr>
        <w:t>” Pursuant to paragraphs 199 and 201 of the judgment, the State must pay into this fund</w:t>
      </w:r>
      <w:r w:rsidRPr="00525E62">
        <w:rPr>
          <w:rFonts w:ascii="Verdana" w:hAnsi="Verdana"/>
          <w:sz w:val="20"/>
          <w:lang w:val="en-US"/>
        </w:rPr>
        <w:t xml:space="preserve"> the sum of US$75,000.00 (seventy-five thousand United States dollars) for pecuniary damage, and US$600,000.00 (six hundred thousand United States dollars) for non-pecuniary damage in favor of the Saramaka people.</w:t>
      </w:r>
      <w:bookmarkEnd w:id="13"/>
    </w:p>
    <w:p w14:paraId="7E91BA71" w14:textId="77777777" w:rsidR="00004F87" w:rsidRPr="00525E62" w:rsidRDefault="00004F87" w:rsidP="00004F87">
      <w:pPr>
        <w:pStyle w:val="ListParagraph"/>
        <w:autoSpaceDE w:val="0"/>
        <w:autoSpaceDN w:val="0"/>
        <w:adjustRightInd w:val="0"/>
        <w:ind w:left="0"/>
        <w:jc w:val="both"/>
        <w:rPr>
          <w:rFonts w:ascii="Verdana" w:hAnsi="Verdana"/>
          <w:sz w:val="20"/>
          <w:lang w:val="en-US"/>
        </w:rPr>
      </w:pPr>
    </w:p>
    <w:p w14:paraId="63D73525" w14:textId="09CFCB31" w:rsidR="009A33F4" w:rsidRPr="00E83269" w:rsidRDefault="00004F87" w:rsidP="009A33F4">
      <w:pPr>
        <w:pStyle w:val="ListParagraph"/>
        <w:numPr>
          <w:ilvl w:val="0"/>
          <w:numId w:val="2"/>
        </w:numPr>
        <w:autoSpaceDE w:val="0"/>
        <w:autoSpaceDN w:val="0"/>
        <w:adjustRightInd w:val="0"/>
        <w:ind w:left="0" w:firstLine="0"/>
        <w:jc w:val="both"/>
        <w:rPr>
          <w:rFonts w:ascii="Verdana" w:eastAsiaTheme="minorHAnsi" w:hAnsi="Verdana" w:cs="Verdana"/>
          <w:sz w:val="20"/>
          <w:lang w:val="en-US"/>
        </w:rPr>
      </w:pPr>
      <w:bookmarkStart w:id="15" w:name="_Ref530057380"/>
      <w:r w:rsidRPr="00525E62">
        <w:rPr>
          <w:rFonts w:ascii="Verdana" w:hAnsi="Verdana"/>
          <w:sz w:val="20"/>
          <w:lang w:val="en-US"/>
        </w:rPr>
        <w:t xml:space="preserve">Regarding </w:t>
      </w:r>
      <w:r w:rsidRPr="00E83269">
        <w:rPr>
          <w:rFonts w:ascii="Verdana" w:hAnsi="Verdana"/>
          <w:sz w:val="20"/>
          <w:lang w:val="en-US"/>
        </w:rPr>
        <w:t>the administration of this fund, in the judgment, the Court ordered that it “</w:t>
      </w:r>
      <w:r w:rsidRPr="00E83269">
        <w:rPr>
          <w:rFonts w:ascii="Verdana" w:eastAsiaTheme="minorHAnsi" w:hAnsi="Verdana" w:cs="Verdana"/>
          <w:sz w:val="20"/>
          <w:lang w:val="en-US"/>
        </w:rPr>
        <w:t xml:space="preserve">serve to finance educational, housing, agricultural and health projects, as well as </w:t>
      </w:r>
      <w:r w:rsidR="005A0479" w:rsidRPr="00E83269">
        <w:rPr>
          <w:rFonts w:ascii="Verdana" w:eastAsiaTheme="minorHAnsi" w:hAnsi="Verdana" w:cs="Verdana"/>
          <w:sz w:val="20"/>
          <w:lang w:val="en-US"/>
        </w:rPr>
        <w:t xml:space="preserve">to </w:t>
      </w:r>
      <w:r w:rsidRPr="00E83269">
        <w:rPr>
          <w:rFonts w:ascii="Verdana" w:eastAsiaTheme="minorHAnsi" w:hAnsi="Verdana" w:cs="Verdana"/>
          <w:sz w:val="20"/>
          <w:lang w:val="en-US"/>
        </w:rPr>
        <w:t>provide electricity and drinking water, if necessary, for the benefit of the Saramaka people.”</w:t>
      </w:r>
      <w:r w:rsidR="00B34336">
        <w:rPr>
          <w:rFonts w:ascii="Verdana" w:hAnsi="Verdana"/>
          <w:sz w:val="20"/>
          <w:lang w:val="en-US"/>
        </w:rPr>
        <w:t xml:space="preserve"> Paragraph 202 of the judgment</w:t>
      </w:r>
      <w:r w:rsidRPr="00E83269">
        <w:rPr>
          <w:rFonts w:ascii="Verdana" w:hAnsi="Verdana"/>
          <w:sz w:val="20"/>
          <w:lang w:val="en-US"/>
        </w:rPr>
        <w:t xml:space="preserve"> indicated that</w:t>
      </w:r>
      <w:bookmarkEnd w:id="14"/>
      <w:r w:rsidRPr="00E83269">
        <w:rPr>
          <w:rFonts w:ascii="Verdana" w:hAnsi="Verdana"/>
          <w:sz w:val="20"/>
          <w:lang w:val="en-US"/>
        </w:rPr>
        <w:t>:</w:t>
      </w:r>
      <w:bookmarkEnd w:id="15"/>
    </w:p>
    <w:p w14:paraId="7C5C3159" w14:textId="77777777" w:rsidR="00004F87" w:rsidRPr="00E83269" w:rsidRDefault="00004F87" w:rsidP="00004F87">
      <w:pPr>
        <w:pStyle w:val="ListParagraph"/>
        <w:autoSpaceDE w:val="0"/>
        <w:autoSpaceDN w:val="0"/>
        <w:adjustRightInd w:val="0"/>
        <w:ind w:left="0"/>
        <w:jc w:val="both"/>
        <w:rPr>
          <w:rFonts w:ascii="Verdana" w:eastAsiaTheme="minorHAnsi" w:hAnsi="Verdana" w:cs="Verdana"/>
          <w:sz w:val="20"/>
          <w:lang w:val="en-US"/>
        </w:rPr>
      </w:pPr>
    </w:p>
    <w:p w14:paraId="521EB56A" w14:textId="7A243BDF" w:rsidR="009A33F4" w:rsidRPr="00E83269" w:rsidRDefault="00004F87" w:rsidP="00DE0F7A">
      <w:pPr>
        <w:autoSpaceDE w:val="0"/>
        <w:autoSpaceDN w:val="0"/>
        <w:adjustRightInd w:val="0"/>
        <w:ind w:left="720" w:right="468"/>
        <w:jc w:val="both"/>
        <w:rPr>
          <w:rFonts w:ascii="Verdana" w:eastAsiaTheme="minorHAnsi" w:hAnsi="Verdana" w:cs="Verdana"/>
          <w:sz w:val="16"/>
          <w:szCs w:val="16"/>
          <w:lang w:val="en-US"/>
        </w:rPr>
      </w:pPr>
      <w:r w:rsidRPr="00E83269">
        <w:rPr>
          <w:rFonts w:ascii="Verdana" w:eastAsiaTheme="minorHAnsi" w:hAnsi="Verdana" w:cs="Verdana"/>
          <w:sz w:val="16"/>
          <w:szCs w:val="16"/>
          <w:lang w:val="en-US"/>
        </w:rPr>
        <w:t>An implementation committee composed of three members will be responsible for designating how the projects will be implemented.</w:t>
      </w:r>
      <w:r w:rsidR="00DE0F7A" w:rsidRPr="00E83269">
        <w:rPr>
          <w:rFonts w:ascii="Verdana" w:eastAsiaTheme="minorHAnsi" w:hAnsi="Verdana" w:cs="Verdana"/>
          <w:sz w:val="16"/>
          <w:szCs w:val="16"/>
          <w:lang w:val="en-US"/>
        </w:rPr>
        <w:t xml:space="preserve"> </w:t>
      </w:r>
      <w:r w:rsidRPr="00E83269">
        <w:rPr>
          <w:rFonts w:ascii="Verdana" w:eastAsiaTheme="minorHAnsi" w:hAnsi="Verdana" w:cs="Verdana"/>
          <w:sz w:val="16"/>
          <w:szCs w:val="16"/>
          <w:lang w:val="en-US"/>
        </w:rPr>
        <w:t xml:space="preserve">The implementation committee shall </w:t>
      </w:r>
      <w:r w:rsidR="00DE0F7A" w:rsidRPr="00E83269">
        <w:rPr>
          <w:rFonts w:ascii="Verdana" w:eastAsiaTheme="minorHAnsi" w:hAnsi="Verdana" w:cs="Verdana"/>
          <w:sz w:val="16"/>
          <w:szCs w:val="16"/>
          <w:lang w:val="en-US"/>
        </w:rPr>
        <w:t>consist</w:t>
      </w:r>
      <w:r w:rsidRPr="00E83269">
        <w:rPr>
          <w:rFonts w:ascii="Verdana" w:eastAsiaTheme="minorHAnsi" w:hAnsi="Verdana" w:cs="Verdana"/>
          <w:sz w:val="16"/>
          <w:szCs w:val="16"/>
          <w:lang w:val="en-US"/>
        </w:rPr>
        <w:t xml:space="preserve"> of a </w:t>
      </w:r>
      <w:r w:rsidRPr="00E83269">
        <w:rPr>
          <w:rFonts w:ascii="Verdana" w:eastAsiaTheme="minorHAnsi" w:hAnsi="Verdana" w:cs="Verdana"/>
          <w:sz w:val="16"/>
          <w:szCs w:val="16"/>
          <w:lang w:val="en-US"/>
        </w:rPr>
        <w:lastRenderedPageBreak/>
        <w:t>representative appointed by the victims, a representative appointed by the State, and another representative jointly appointed by the victims and the State. The Committee shall consult with the Saramaka people before decisions are taken and implemented. Furthermore, the members of the fund’s implementation committee must be selected within six months from the notification of the present Judgment. Should the State and the representatives fail to reach an agreement as to the members of the implementation committee within six months after notice of the present Judgment, the</w:t>
      </w:r>
      <w:r w:rsidR="00DE0F7A" w:rsidRPr="00E83269">
        <w:rPr>
          <w:rFonts w:ascii="Verdana" w:eastAsiaTheme="minorHAnsi" w:hAnsi="Verdana" w:cs="Verdana"/>
          <w:sz w:val="16"/>
          <w:szCs w:val="16"/>
          <w:lang w:val="en-US"/>
        </w:rPr>
        <w:t xml:space="preserve"> </w:t>
      </w:r>
      <w:r w:rsidRPr="00E83269">
        <w:rPr>
          <w:rFonts w:ascii="Verdana" w:eastAsiaTheme="minorHAnsi" w:hAnsi="Verdana" w:cs="Verdana"/>
          <w:sz w:val="16"/>
          <w:szCs w:val="16"/>
          <w:lang w:val="en-US"/>
        </w:rPr>
        <w:t>Court may convene a meeting to resolve the matter</w:t>
      </w:r>
      <w:r w:rsidR="009A33F4" w:rsidRPr="00E83269">
        <w:rPr>
          <w:rFonts w:ascii="Verdana" w:hAnsi="Verdana"/>
          <w:sz w:val="16"/>
          <w:szCs w:val="16"/>
          <w:lang w:val="en-US"/>
        </w:rPr>
        <w:t>.</w:t>
      </w:r>
    </w:p>
    <w:p w14:paraId="7F228FB3" w14:textId="77777777" w:rsidR="004E1B86" w:rsidRPr="00E83269" w:rsidRDefault="004E1B86" w:rsidP="004E1B86">
      <w:pPr>
        <w:pStyle w:val="ListParagraph"/>
        <w:ind w:left="0"/>
        <w:jc w:val="both"/>
        <w:rPr>
          <w:rFonts w:ascii="Verdana" w:hAnsi="Verdana"/>
          <w:sz w:val="20"/>
          <w:lang w:val="en-US"/>
        </w:rPr>
      </w:pPr>
    </w:p>
    <w:p w14:paraId="05BADCEE" w14:textId="65328186" w:rsidR="00DE0F7A" w:rsidRPr="00E83269" w:rsidRDefault="00DE0F7A" w:rsidP="00DE0F7A">
      <w:pPr>
        <w:pStyle w:val="ListParagraph"/>
        <w:numPr>
          <w:ilvl w:val="0"/>
          <w:numId w:val="2"/>
        </w:numPr>
        <w:autoSpaceDE w:val="0"/>
        <w:autoSpaceDN w:val="0"/>
        <w:adjustRightInd w:val="0"/>
        <w:ind w:left="0" w:firstLine="0"/>
        <w:jc w:val="both"/>
        <w:rPr>
          <w:rFonts w:ascii="Verdana" w:eastAsiaTheme="minorHAnsi" w:hAnsi="Verdana" w:cs="Verdana"/>
          <w:sz w:val="20"/>
          <w:lang w:val="en-US"/>
        </w:rPr>
      </w:pPr>
      <w:r w:rsidRPr="00E83269">
        <w:rPr>
          <w:rFonts w:ascii="Verdana" w:hAnsi="Verdana"/>
          <w:sz w:val="20"/>
          <w:lang w:val="en-US"/>
        </w:rPr>
        <w:t>Lastly, in paragraph 208 of the judgment, the Court indicated that “[t]</w:t>
      </w:r>
      <w:r w:rsidRPr="00E83269">
        <w:rPr>
          <w:rFonts w:ascii="Verdana" w:eastAsiaTheme="minorHAnsi" w:hAnsi="Verdana" w:cs="Verdana"/>
          <w:sz w:val="20"/>
          <w:lang w:val="en-US"/>
        </w:rPr>
        <w:t>he State must allocate at least US$225</w:t>
      </w:r>
      <w:r w:rsidR="005C30FE" w:rsidRPr="00E83269">
        <w:rPr>
          <w:rFonts w:ascii="Verdana" w:eastAsiaTheme="minorHAnsi" w:hAnsi="Verdana" w:cs="Verdana"/>
          <w:sz w:val="20"/>
          <w:lang w:val="en-US"/>
        </w:rPr>
        <w:t>,</w:t>
      </w:r>
      <w:r w:rsidRPr="00E83269">
        <w:rPr>
          <w:rFonts w:ascii="Verdana" w:eastAsiaTheme="minorHAnsi" w:hAnsi="Verdana" w:cs="Verdana"/>
          <w:sz w:val="20"/>
          <w:lang w:val="en-US"/>
        </w:rPr>
        <w:t>000</w:t>
      </w:r>
      <w:r w:rsidR="005C30FE" w:rsidRPr="00E83269">
        <w:rPr>
          <w:rFonts w:ascii="Verdana" w:eastAsiaTheme="minorHAnsi" w:hAnsi="Verdana" w:cs="Verdana"/>
          <w:sz w:val="20"/>
          <w:lang w:val="en-US"/>
        </w:rPr>
        <w:t>.</w:t>
      </w:r>
      <w:r w:rsidRPr="00E83269">
        <w:rPr>
          <w:rFonts w:ascii="Verdana" w:eastAsiaTheme="minorHAnsi" w:hAnsi="Verdana" w:cs="Verdana"/>
          <w:sz w:val="20"/>
          <w:lang w:val="en-US"/>
        </w:rPr>
        <w:t>00 (two hundred and twenty</w:t>
      </w:r>
      <w:r w:rsidR="005C30FE" w:rsidRPr="00E83269">
        <w:rPr>
          <w:rFonts w:ascii="Verdana" w:eastAsiaTheme="minorHAnsi" w:hAnsi="Verdana" w:cs="Verdana"/>
          <w:sz w:val="20"/>
          <w:lang w:val="en-US"/>
        </w:rPr>
        <w:t>-</w:t>
      </w:r>
      <w:r w:rsidRPr="00E83269">
        <w:rPr>
          <w:rFonts w:ascii="Verdana" w:eastAsiaTheme="minorHAnsi" w:hAnsi="Verdana" w:cs="Verdana"/>
          <w:sz w:val="20"/>
          <w:lang w:val="en-US"/>
        </w:rPr>
        <w:t xml:space="preserve">five thousand United States dollars) for the purposes of the development fund mentioned in paragraphs 199 and 201 within one year </w:t>
      </w:r>
      <w:r w:rsidR="005C30FE" w:rsidRPr="00E83269">
        <w:rPr>
          <w:rFonts w:ascii="Verdana" w:eastAsiaTheme="minorHAnsi" w:hAnsi="Verdana" w:cs="Verdana"/>
          <w:sz w:val="20"/>
          <w:lang w:val="en-US"/>
        </w:rPr>
        <w:t>of</w:t>
      </w:r>
      <w:r w:rsidRPr="00E83269">
        <w:rPr>
          <w:rFonts w:ascii="Verdana" w:eastAsiaTheme="minorHAnsi" w:hAnsi="Verdana" w:cs="Verdana"/>
          <w:sz w:val="20"/>
          <w:lang w:val="en-US"/>
        </w:rPr>
        <w:t xml:space="preserve"> notification of the </w:t>
      </w:r>
      <w:r w:rsidR="005C30FE" w:rsidRPr="00E83269">
        <w:rPr>
          <w:rFonts w:ascii="Verdana" w:eastAsiaTheme="minorHAnsi" w:hAnsi="Verdana" w:cs="Verdana"/>
          <w:sz w:val="20"/>
          <w:lang w:val="en-US"/>
        </w:rPr>
        <w:t>[…]</w:t>
      </w:r>
      <w:r w:rsidRPr="00E83269">
        <w:rPr>
          <w:rFonts w:ascii="Verdana" w:eastAsiaTheme="minorHAnsi" w:hAnsi="Verdana" w:cs="Verdana"/>
          <w:sz w:val="20"/>
          <w:lang w:val="en-US"/>
        </w:rPr>
        <w:t xml:space="preserve"> Judgment, and the total amount must be allocated within three years from notification of th</w:t>
      </w:r>
      <w:r w:rsidR="005C30FE" w:rsidRPr="00E83269">
        <w:rPr>
          <w:rFonts w:ascii="Verdana" w:eastAsiaTheme="minorHAnsi" w:hAnsi="Verdana" w:cs="Verdana"/>
          <w:sz w:val="20"/>
          <w:lang w:val="en-US"/>
        </w:rPr>
        <w:t>[e]</w:t>
      </w:r>
      <w:r w:rsidRPr="00E83269">
        <w:rPr>
          <w:rFonts w:ascii="Verdana" w:eastAsiaTheme="minorHAnsi" w:hAnsi="Verdana" w:cs="Verdana"/>
          <w:sz w:val="20"/>
          <w:lang w:val="en-US"/>
        </w:rPr>
        <w:t xml:space="preserve"> Judgment.” The time frames indicated expired</w:t>
      </w:r>
      <w:r w:rsidR="005C30FE" w:rsidRPr="00E83269">
        <w:rPr>
          <w:rFonts w:ascii="Verdana" w:eastAsiaTheme="minorHAnsi" w:hAnsi="Verdana" w:cs="Verdana"/>
          <w:sz w:val="20"/>
          <w:lang w:val="en-US"/>
        </w:rPr>
        <w:t xml:space="preserve"> </w:t>
      </w:r>
      <w:r w:rsidRPr="00E83269">
        <w:rPr>
          <w:rFonts w:ascii="Verdana" w:eastAsiaTheme="minorHAnsi" w:hAnsi="Verdana" w:cs="Verdana"/>
          <w:sz w:val="20"/>
          <w:lang w:val="en-US"/>
        </w:rPr>
        <w:t xml:space="preserve">on December 19, 2008, and December 19, 2010, respectively. </w:t>
      </w:r>
      <w:r w:rsidRPr="00E83269">
        <w:rPr>
          <w:rFonts w:ascii="Verdana" w:hAnsi="Verdana"/>
          <w:sz w:val="20"/>
          <w:lang w:val="en-US"/>
        </w:rPr>
        <w:t xml:space="preserve">The </w:t>
      </w:r>
      <w:r w:rsidR="00C93224" w:rsidRPr="00E83269">
        <w:rPr>
          <w:rFonts w:ascii="Verdana" w:hAnsi="Verdana"/>
          <w:sz w:val="20"/>
          <w:lang w:val="en-US"/>
        </w:rPr>
        <w:t>Court</w:t>
      </w:r>
      <w:r w:rsidR="009A33F4" w:rsidRPr="00E83269">
        <w:rPr>
          <w:rFonts w:ascii="Verdana" w:hAnsi="Verdana"/>
          <w:sz w:val="20"/>
          <w:lang w:val="en-US"/>
        </w:rPr>
        <w:t xml:space="preserve"> </w:t>
      </w:r>
      <w:r w:rsidRPr="00E83269">
        <w:rPr>
          <w:rFonts w:ascii="Verdana" w:hAnsi="Verdana"/>
          <w:sz w:val="20"/>
          <w:lang w:val="en-US"/>
        </w:rPr>
        <w:t xml:space="preserve">also indicated that </w:t>
      </w:r>
      <w:r w:rsidR="009A33F4" w:rsidRPr="00E83269">
        <w:rPr>
          <w:rFonts w:ascii="Verdana" w:hAnsi="Verdana"/>
          <w:sz w:val="20"/>
          <w:lang w:val="en-US"/>
        </w:rPr>
        <w:t>“</w:t>
      </w:r>
      <w:r w:rsidRPr="00E83269">
        <w:rPr>
          <w:rFonts w:ascii="Verdana" w:eastAsiaTheme="minorHAnsi" w:hAnsi="Verdana" w:cs="Verdana"/>
          <w:sz w:val="20"/>
          <w:lang w:val="en-US"/>
        </w:rPr>
        <w:t>should the State fall behind in its establishment of the development fund, Surinamese banking default interest rates shall be paid on the amount owed”</w:t>
      </w:r>
      <w:r w:rsidR="00362397">
        <w:rPr>
          <w:rFonts w:ascii="Verdana" w:eastAsiaTheme="minorHAnsi" w:hAnsi="Verdana" w:cs="Verdana"/>
          <w:sz w:val="20"/>
          <w:lang w:val="en-US"/>
        </w:rPr>
        <w:t>.</w:t>
      </w:r>
    </w:p>
    <w:p w14:paraId="3D0F3CB7" w14:textId="77777777" w:rsidR="00DE0F7A" w:rsidRPr="00E83269" w:rsidRDefault="00DE0F7A" w:rsidP="00DE0F7A">
      <w:pPr>
        <w:pStyle w:val="ListParagraph"/>
        <w:ind w:left="0"/>
        <w:jc w:val="both"/>
        <w:rPr>
          <w:rFonts w:ascii="Verdana" w:hAnsi="Verdana"/>
          <w:i/>
          <w:sz w:val="20"/>
          <w:lang w:val="en-US"/>
        </w:rPr>
      </w:pPr>
    </w:p>
    <w:p w14:paraId="31284B28" w14:textId="05917742" w:rsidR="000E3711" w:rsidRPr="00E83269" w:rsidRDefault="00DE0F7A" w:rsidP="00DE0F7A">
      <w:pPr>
        <w:pStyle w:val="ListParagraph"/>
        <w:numPr>
          <w:ilvl w:val="0"/>
          <w:numId w:val="2"/>
        </w:numPr>
        <w:ind w:left="0" w:firstLine="0"/>
        <w:jc w:val="both"/>
        <w:rPr>
          <w:rFonts w:ascii="Verdana" w:hAnsi="Verdana"/>
          <w:i/>
          <w:sz w:val="20"/>
          <w:lang w:val="en-US"/>
        </w:rPr>
      </w:pPr>
      <w:r w:rsidRPr="00E83269">
        <w:rPr>
          <w:rFonts w:ascii="Verdana" w:hAnsi="Verdana"/>
          <w:sz w:val="20"/>
          <w:lang w:val="en-US"/>
        </w:rPr>
        <w:t>In its 2011 order</w:t>
      </w:r>
      <w:r w:rsidR="004E1B86" w:rsidRPr="00E83269">
        <w:rPr>
          <w:rFonts w:ascii="Verdana" w:hAnsi="Verdana"/>
          <w:sz w:val="20"/>
          <w:lang w:val="en-US"/>
        </w:rPr>
        <w:t xml:space="preserve">, </w:t>
      </w:r>
      <w:r w:rsidR="00C93224" w:rsidRPr="00E83269">
        <w:rPr>
          <w:rFonts w:ascii="Verdana" w:hAnsi="Verdana"/>
          <w:sz w:val="20"/>
          <w:lang w:val="en-US"/>
        </w:rPr>
        <w:t>the Court</w:t>
      </w:r>
      <w:r w:rsidR="004E1B86" w:rsidRPr="00E83269">
        <w:rPr>
          <w:rFonts w:ascii="Verdana" w:hAnsi="Verdana"/>
          <w:sz w:val="20"/>
          <w:lang w:val="en-US"/>
        </w:rPr>
        <w:t xml:space="preserve"> </w:t>
      </w:r>
      <w:r w:rsidR="0081751C" w:rsidRPr="00E83269">
        <w:rPr>
          <w:rFonts w:ascii="Verdana" w:hAnsi="Verdana"/>
          <w:sz w:val="20"/>
          <w:lang w:val="en-US"/>
        </w:rPr>
        <w:t>declar</w:t>
      </w:r>
      <w:r w:rsidRPr="00E83269">
        <w:rPr>
          <w:rFonts w:ascii="Verdana" w:hAnsi="Verdana"/>
          <w:sz w:val="20"/>
          <w:lang w:val="en-US"/>
        </w:rPr>
        <w:t>ed that this mea</w:t>
      </w:r>
      <w:r w:rsidRPr="00525E62">
        <w:rPr>
          <w:rFonts w:ascii="Verdana" w:hAnsi="Verdana"/>
          <w:sz w:val="20"/>
          <w:lang w:val="en-US"/>
        </w:rPr>
        <w:t xml:space="preserve">sure had been complied with partially, because the State had deposited US$600,000.00 in the account of the </w:t>
      </w:r>
      <w:r w:rsidR="0001226D" w:rsidRPr="00525E62">
        <w:rPr>
          <w:rFonts w:ascii="Verdana" w:hAnsi="Verdana"/>
          <w:sz w:val="20"/>
          <w:lang w:val="en-US"/>
        </w:rPr>
        <w:t>Saramaka peoples’ community development fund</w:t>
      </w:r>
      <w:r w:rsidR="00C70258" w:rsidRPr="00525E62">
        <w:rPr>
          <w:rFonts w:ascii="Verdana" w:hAnsi="Verdana"/>
          <w:sz w:val="20"/>
          <w:lang w:val="en-US"/>
        </w:rPr>
        <w:t xml:space="preserve">, </w:t>
      </w:r>
      <w:r w:rsidR="00C30AD4">
        <w:rPr>
          <w:rFonts w:ascii="Verdana" w:hAnsi="Verdana"/>
          <w:sz w:val="20"/>
          <w:lang w:val="en-US"/>
        </w:rPr>
        <w:t>as</w:t>
      </w:r>
      <w:r w:rsidR="00C70258" w:rsidRPr="00525E62">
        <w:rPr>
          <w:rFonts w:ascii="Verdana" w:hAnsi="Verdana"/>
          <w:sz w:val="20"/>
          <w:lang w:val="en-US"/>
        </w:rPr>
        <w:t xml:space="preserve"> compensation for non-pecuniary damage</w:t>
      </w:r>
      <w:r w:rsidR="00F83978" w:rsidRPr="00525E62">
        <w:rPr>
          <w:rFonts w:ascii="Verdana" w:hAnsi="Verdana"/>
          <w:sz w:val="20"/>
          <w:lang w:val="en-US"/>
        </w:rPr>
        <w:t xml:space="preserve">. </w:t>
      </w:r>
      <w:r w:rsidR="005D679B" w:rsidRPr="00525E62">
        <w:rPr>
          <w:rFonts w:ascii="Verdana" w:hAnsi="Verdana"/>
          <w:sz w:val="20"/>
          <w:lang w:val="en-US"/>
        </w:rPr>
        <w:t>The State</w:t>
      </w:r>
      <w:r w:rsidR="00F83978" w:rsidRPr="00525E62">
        <w:rPr>
          <w:rFonts w:ascii="Verdana" w:hAnsi="Verdana"/>
          <w:sz w:val="20"/>
          <w:lang w:val="en-US"/>
        </w:rPr>
        <w:t xml:space="preserve"> indic</w:t>
      </w:r>
      <w:r w:rsidRPr="00525E62">
        <w:rPr>
          <w:rFonts w:ascii="Verdana" w:hAnsi="Verdana"/>
          <w:sz w:val="20"/>
          <w:lang w:val="en-US"/>
        </w:rPr>
        <w:t xml:space="preserve">ated that this </w:t>
      </w:r>
      <w:r w:rsidRPr="00E83269">
        <w:rPr>
          <w:rFonts w:ascii="Verdana" w:hAnsi="Verdana"/>
          <w:sz w:val="20"/>
          <w:lang w:val="en-US"/>
        </w:rPr>
        <w:t xml:space="preserve">fund was established in compliance with the Court’s requirement and as ordered in the </w:t>
      </w:r>
      <w:r w:rsidR="00C93224" w:rsidRPr="00E83269">
        <w:rPr>
          <w:rFonts w:ascii="Verdana" w:hAnsi="Verdana"/>
          <w:sz w:val="20"/>
          <w:lang w:val="en-US"/>
        </w:rPr>
        <w:t>judgment</w:t>
      </w:r>
      <w:r w:rsidR="00A36755" w:rsidRPr="00E83269">
        <w:rPr>
          <w:rStyle w:val="FootnoteReference"/>
          <w:rFonts w:ascii="Verdana" w:hAnsi="Verdana"/>
          <w:sz w:val="20"/>
          <w:lang w:val="en-US"/>
        </w:rPr>
        <w:footnoteReference w:id="18"/>
      </w:r>
      <w:r w:rsidR="00F83978" w:rsidRPr="00E83269">
        <w:rPr>
          <w:rFonts w:ascii="Verdana" w:hAnsi="Verdana"/>
          <w:sz w:val="20"/>
          <w:lang w:val="en-US"/>
        </w:rPr>
        <w:t xml:space="preserve"> (</w:t>
      </w:r>
      <w:r w:rsidR="00F83978" w:rsidRPr="00E83269">
        <w:rPr>
          <w:rFonts w:ascii="Verdana" w:hAnsi="Verdana"/>
          <w:i/>
          <w:sz w:val="20"/>
          <w:lang w:val="en-US"/>
        </w:rPr>
        <w:t>supra</w:t>
      </w:r>
      <w:r w:rsidR="00F83978" w:rsidRPr="00E83269">
        <w:rPr>
          <w:rFonts w:ascii="Verdana" w:hAnsi="Verdana"/>
          <w:sz w:val="20"/>
          <w:lang w:val="en-US"/>
        </w:rPr>
        <w:t xml:space="preserve"> </w:t>
      </w:r>
      <w:proofErr w:type="spellStart"/>
      <w:r w:rsidRPr="00E83269">
        <w:rPr>
          <w:rFonts w:ascii="Verdana" w:hAnsi="Verdana"/>
          <w:i/>
          <w:sz w:val="20"/>
          <w:lang w:val="en-US"/>
        </w:rPr>
        <w:t>considerandum</w:t>
      </w:r>
      <w:proofErr w:type="spellEnd"/>
      <w:r w:rsidR="00F83978"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_Ref530057380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6</w:t>
      </w:r>
      <w:r w:rsidR="001413FA">
        <w:rPr>
          <w:rFonts w:ascii="Verdana" w:hAnsi="Verdana"/>
          <w:sz w:val="20"/>
          <w:lang w:val="en-US"/>
        </w:rPr>
        <w:fldChar w:fldCharType="end"/>
      </w:r>
      <w:r w:rsidR="00F83978" w:rsidRPr="00E83269">
        <w:rPr>
          <w:rFonts w:ascii="Verdana" w:hAnsi="Verdana"/>
          <w:sz w:val="20"/>
          <w:lang w:val="en-US"/>
        </w:rPr>
        <w:t>)</w:t>
      </w:r>
      <w:r w:rsidR="00BF6499" w:rsidRPr="00E83269">
        <w:rPr>
          <w:rFonts w:ascii="Verdana" w:hAnsi="Verdana"/>
          <w:sz w:val="20"/>
          <w:lang w:val="en-US"/>
        </w:rPr>
        <w:t>.</w:t>
      </w:r>
      <w:r w:rsidR="004E1B86" w:rsidRPr="00E83269">
        <w:rPr>
          <w:rFonts w:ascii="Verdana" w:hAnsi="Verdana"/>
          <w:sz w:val="20"/>
          <w:lang w:val="en-US"/>
        </w:rPr>
        <w:t xml:space="preserve"> </w:t>
      </w:r>
      <w:r w:rsidR="0001226D" w:rsidRPr="00E83269">
        <w:rPr>
          <w:rFonts w:ascii="Verdana" w:hAnsi="Verdana"/>
          <w:sz w:val="20"/>
          <w:lang w:val="en-US"/>
        </w:rPr>
        <w:t xml:space="preserve">Since the Court </w:t>
      </w:r>
      <w:r w:rsidR="004032AB" w:rsidRPr="00E83269">
        <w:rPr>
          <w:rFonts w:ascii="Verdana" w:hAnsi="Verdana"/>
          <w:sz w:val="20"/>
          <w:lang w:val="en-US"/>
        </w:rPr>
        <w:t>“</w:t>
      </w:r>
      <w:r w:rsidR="009C2D9A" w:rsidRPr="00E83269">
        <w:rPr>
          <w:rFonts w:ascii="Verdana" w:hAnsi="Verdana"/>
          <w:sz w:val="20"/>
          <w:lang w:val="en-US"/>
        </w:rPr>
        <w:t>was not offered evidence to verify these statements</w:t>
      </w:r>
      <w:r w:rsidR="004032AB" w:rsidRPr="00E83269">
        <w:rPr>
          <w:rFonts w:ascii="Verdana" w:hAnsi="Verdana"/>
          <w:sz w:val="20"/>
          <w:lang w:val="en-US"/>
        </w:rPr>
        <w:t xml:space="preserve">” </w:t>
      </w:r>
      <w:r w:rsidR="0001226D" w:rsidRPr="00E83269">
        <w:rPr>
          <w:rFonts w:ascii="Verdana" w:hAnsi="Verdana"/>
          <w:sz w:val="20"/>
          <w:lang w:val="en-US"/>
        </w:rPr>
        <w:t>made by</w:t>
      </w:r>
      <w:r w:rsidR="004032AB" w:rsidRPr="00E83269">
        <w:rPr>
          <w:rFonts w:ascii="Verdana" w:hAnsi="Verdana"/>
          <w:sz w:val="20"/>
          <w:lang w:val="en-US"/>
        </w:rPr>
        <w:t xml:space="preserve"> </w:t>
      </w:r>
      <w:r w:rsidR="005D679B" w:rsidRPr="00E83269">
        <w:rPr>
          <w:rFonts w:ascii="Verdana" w:hAnsi="Verdana"/>
          <w:sz w:val="20"/>
          <w:lang w:val="en-US"/>
        </w:rPr>
        <w:t>the State</w:t>
      </w:r>
      <w:r w:rsidR="004032AB" w:rsidRPr="00E83269">
        <w:rPr>
          <w:rFonts w:ascii="Verdana" w:hAnsi="Verdana"/>
          <w:sz w:val="20"/>
          <w:lang w:val="en-US"/>
        </w:rPr>
        <w:t xml:space="preserve">, </w:t>
      </w:r>
      <w:r w:rsidR="0001226D" w:rsidRPr="00E83269">
        <w:rPr>
          <w:rFonts w:ascii="Verdana" w:hAnsi="Verdana"/>
          <w:sz w:val="20"/>
          <w:lang w:val="en-US"/>
        </w:rPr>
        <w:t xml:space="preserve">it asked the State and </w:t>
      </w:r>
      <w:r w:rsidR="002462D1" w:rsidRPr="00E83269">
        <w:rPr>
          <w:rFonts w:ascii="Verdana" w:hAnsi="Verdana"/>
          <w:sz w:val="20"/>
          <w:lang w:val="en-US"/>
        </w:rPr>
        <w:t>the representatives</w:t>
      </w:r>
      <w:r w:rsidR="004032AB" w:rsidRPr="00E83269">
        <w:rPr>
          <w:rFonts w:ascii="Verdana" w:hAnsi="Verdana"/>
          <w:sz w:val="20"/>
          <w:lang w:val="en-US"/>
        </w:rPr>
        <w:t xml:space="preserve"> </w:t>
      </w:r>
      <w:r w:rsidR="009C2D9A" w:rsidRPr="00E83269">
        <w:rPr>
          <w:rFonts w:ascii="Verdana" w:hAnsi="Verdana"/>
          <w:sz w:val="20"/>
          <w:lang w:val="en-US"/>
        </w:rPr>
        <w:t xml:space="preserve">to </w:t>
      </w:r>
      <w:r w:rsidR="004032AB" w:rsidRPr="00E83269">
        <w:rPr>
          <w:rFonts w:ascii="Verdana" w:hAnsi="Verdana"/>
          <w:sz w:val="20"/>
          <w:lang w:val="en-US"/>
        </w:rPr>
        <w:t>“</w:t>
      </w:r>
      <w:r w:rsidR="009C2D9A" w:rsidRPr="00E83269">
        <w:rPr>
          <w:rFonts w:ascii="Verdana" w:hAnsi="Verdana"/>
          <w:sz w:val="20"/>
          <w:lang w:val="en-US"/>
        </w:rPr>
        <w:t>provide it with information regarding whether an amount of USD $75,000.00 […] was also deposited into the community development fund in order to fully comply with this order of the Court and whether any interest payments remain pending</w:t>
      </w:r>
      <w:r w:rsidR="004032AB" w:rsidRPr="00E83269">
        <w:rPr>
          <w:rFonts w:ascii="Verdana" w:hAnsi="Verdana"/>
          <w:sz w:val="20"/>
          <w:lang w:val="en-US"/>
        </w:rPr>
        <w:t>”</w:t>
      </w:r>
      <w:r w:rsidR="00A36755" w:rsidRPr="00E83269">
        <w:rPr>
          <w:rFonts w:ascii="Verdana" w:hAnsi="Verdana"/>
          <w:sz w:val="20"/>
          <w:lang w:val="en-US"/>
        </w:rPr>
        <w:t>.</w:t>
      </w:r>
      <w:r w:rsidR="00BE401B" w:rsidRPr="00E83269">
        <w:rPr>
          <w:lang w:val="en-US"/>
        </w:rPr>
        <w:t xml:space="preserve"> </w:t>
      </w:r>
    </w:p>
    <w:p w14:paraId="344DB789" w14:textId="77777777" w:rsidR="00BE401B" w:rsidRPr="009C2D9A" w:rsidRDefault="00BE401B" w:rsidP="00BE401B">
      <w:pPr>
        <w:pStyle w:val="ListParagraph"/>
        <w:ind w:left="0"/>
        <w:jc w:val="both"/>
        <w:rPr>
          <w:rFonts w:ascii="Verdana" w:hAnsi="Verdana"/>
          <w:i/>
          <w:sz w:val="20"/>
          <w:lang w:val="en-US"/>
        </w:rPr>
      </w:pPr>
    </w:p>
    <w:p w14:paraId="6B461E91" w14:textId="6A5658F8" w:rsidR="004E1B86" w:rsidRPr="00525E62" w:rsidRDefault="004E1B86" w:rsidP="004E1B86">
      <w:pPr>
        <w:ind w:firstLine="360"/>
        <w:rPr>
          <w:rFonts w:ascii="Verdana" w:hAnsi="Verdana"/>
          <w:i/>
          <w:sz w:val="20"/>
          <w:lang w:val="en-US"/>
        </w:rPr>
      </w:pPr>
      <w:r w:rsidRPr="00525E62">
        <w:rPr>
          <w:rFonts w:ascii="Verdana" w:hAnsi="Verdana"/>
          <w:i/>
          <w:sz w:val="20"/>
          <w:lang w:val="en-US"/>
        </w:rPr>
        <w:t>A.2. Considera</w:t>
      </w:r>
      <w:r w:rsidR="0001226D" w:rsidRPr="00525E62">
        <w:rPr>
          <w:rFonts w:ascii="Verdana" w:hAnsi="Verdana"/>
          <w:i/>
          <w:sz w:val="20"/>
          <w:lang w:val="en-US"/>
        </w:rPr>
        <w:t>tion</w:t>
      </w:r>
      <w:r w:rsidRPr="00525E62">
        <w:rPr>
          <w:rFonts w:ascii="Verdana" w:hAnsi="Verdana"/>
          <w:i/>
          <w:sz w:val="20"/>
          <w:lang w:val="en-US"/>
        </w:rPr>
        <w:t>s</w:t>
      </w:r>
      <w:r w:rsidR="002462D1" w:rsidRPr="00525E62">
        <w:rPr>
          <w:rFonts w:ascii="Verdana" w:hAnsi="Verdana"/>
          <w:i/>
          <w:sz w:val="20"/>
          <w:lang w:val="en-US"/>
        </w:rPr>
        <w:t xml:space="preserve"> of the </w:t>
      </w:r>
      <w:r w:rsidR="00C93224" w:rsidRPr="00525E62">
        <w:rPr>
          <w:rFonts w:ascii="Verdana" w:hAnsi="Verdana"/>
          <w:i/>
          <w:sz w:val="20"/>
          <w:lang w:val="en-US"/>
        </w:rPr>
        <w:t>Court</w:t>
      </w:r>
    </w:p>
    <w:p w14:paraId="7C0FA359" w14:textId="77777777" w:rsidR="004E1B86" w:rsidRPr="00525E62" w:rsidRDefault="004E1B86" w:rsidP="004E1B86">
      <w:pPr>
        <w:rPr>
          <w:rFonts w:ascii="Verdana" w:hAnsi="Verdana"/>
          <w:i/>
          <w:sz w:val="20"/>
          <w:lang w:val="en-US"/>
        </w:rPr>
      </w:pPr>
    </w:p>
    <w:p w14:paraId="7EFA8524" w14:textId="1D408EFC" w:rsidR="00BF6499" w:rsidRPr="00525E62" w:rsidRDefault="0001226D" w:rsidP="0001226D">
      <w:pPr>
        <w:pStyle w:val="ListParagraph"/>
        <w:numPr>
          <w:ilvl w:val="0"/>
          <w:numId w:val="2"/>
        </w:numPr>
        <w:ind w:left="0" w:firstLine="0"/>
        <w:jc w:val="both"/>
        <w:rPr>
          <w:rFonts w:ascii="Verdana" w:hAnsi="Verdana"/>
          <w:sz w:val="20"/>
          <w:lang w:val="en-US"/>
        </w:rPr>
      </w:pPr>
      <w:bookmarkStart w:id="16" w:name="_Ref526857221"/>
      <w:r w:rsidRPr="00525E62">
        <w:rPr>
          <w:rFonts w:ascii="Verdana" w:hAnsi="Verdana"/>
          <w:sz w:val="20"/>
          <w:lang w:val="en-US"/>
        </w:rPr>
        <w:t xml:space="preserve">Based on information provided by </w:t>
      </w:r>
      <w:r w:rsidR="005D679B" w:rsidRPr="00525E62">
        <w:rPr>
          <w:rFonts w:ascii="Verdana" w:hAnsi="Verdana"/>
          <w:sz w:val="20"/>
          <w:lang w:val="en-US"/>
        </w:rPr>
        <w:t>the State</w:t>
      </w:r>
      <w:r w:rsidR="006E2EA5" w:rsidRPr="00525E62">
        <w:rPr>
          <w:rStyle w:val="FootnoteReference"/>
          <w:rFonts w:ascii="Verdana" w:hAnsi="Verdana"/>
          <w:sz w:val="20"/>
          <w:lang w:val="en-US"/>
        </w:rPr>
        <w:footnoteReference w:id="19"/>
      </w:r>
      <w:r w:rsidR="004E1B86" w:rsidRPr="00525E62">
        <w:rPr>
          <w:rFonts w:ascii="Verdana" w:hAnsi="Verdana"/>
          <w:sz w:val="20"/>
          <w:lang w:val="en-US"/>
        </w:rPr>
        <w:t xml:space="preserve"> </w:t>
      </w:r>
      <w:r w:rsidRPr="00525E62">
        <w:rPr>
          <w:rFonts w:ascii="Verdana" w:hAnsi="Verdana"/>
          <w:sz w:val="20"/>
          <w:lang w:val="en-US"/>
        </w:rPr>
        <w:t xml:space="preserve">and acknowledged by </w:t>
      </w:r>
      <w:r w:rsidR="002462D1" w:rsidRPr="00525E62">
        <w:rPr>
          <w:rFonts w:ascii="Verdana" w:hAnsi="Verdana"/>
          <w:sz w:val="20"/>
          <w:lang w:val="en-US"/>
        </w:rPr>
        <w:t>the representatives</w:t>
      </w:r>
      <w:r w:rsidR="004E1B86" w:rsidRPr="00525E62">
        <w:rPr>
          <w:rFonts w:ascii="Verdana" w:hAnsi="Verdana"/>
          <w:sz w:val="20"/>
          <w:lang w:val="en-US"/>
        </w:rPr>
        <w:t xml:space="preserve">, </w:t>
      </w:r>
      <w:r w:rsidR="00C93224" w:rsidRPr="00525E62">
        <w:rPr>
          <w:rFonts w:ascii="Verdana" w:hAnsi="Verdana"/>
          <w:sz w:val="20"/>
          <w:lang w:val="en-US"/>
        </w:rPr>
        <w:t>the Court</w:t>
      </w:r>
      <w:r w:rsidR="004E1B86" w:rsidRPr="00525E62">
        <w:rPr>
          <w:rFonts w:ascii="Verdana" w:hAnsi="Verdana"/>
          <w:sz w:val="20"/>
          <w:lang w:val="en-US"/>
        </w:rPr>
        <w:t xml:space="preserve"> </w:t>
      </w:r>
      <w:r w:rsidRPr="00525E62">
        <w:rPr>
          <w:rFonts w:ascii="Verdana" w:hAnsi="Verdana"/>
          <w:sz w:val="20"/>
          <w:lang w:val="en-US"/>
        </w:rPr>
        <w:t>notes that, in 2009, the US$675,000.00 ordered in the judgment as compensation for pecuniary and non-pecuniary damage was paid to the Saramaka peoples’ community development fund within the time frame specified in the judgment. The Court underscores that, in August 2013, the representatives acknowledged that this measure of reparation had been fulfilled,</w:t>
      </w:r>
      <w:r w:rsidR="00BF6499" w:rsidRPr="00525E62">
        <w:rPr>
          <w:rStyle w:val="FootnoteReference"/>
          <w:rFonts w:ascii="Verdana" w:hAnsi="Verdana"/>
          <w:sz w:val="20"/>
          <w:lang w:val="en-US"/>
        </w:rPr>
        <w:footnoteReference w:id="20"/>
      </w:r>
      <w:r w:rsidRPr="00525E62">
        <w:rPr>
          <w:rFonts w:ascii="Verdana" w:hAnsi="Verdana"/>
          <w:sz w:val="20"/>
          <w:lang w:val="en-US"/>
        </w:rPr>
        <w:t xml:space="preserve"> and that, subsequently, </w:t>
      </w:r>
      <w:r w:rsidR="002462D1" w:rsidRPr="00525E62">
        <w:rPr>
          <w:rFonts w:ascii="Verdana" w:hAnsi="Verdana"/>
          <w:sz w:val="20"/>
          <w:lang w:val="en-US"/>
        </w:rPr>
        <w:t>the representatives</w:t>
      </w:r>
      <w:r w:rsidR="00BF6499" w:rsidRPr="00525E62">
        <w:rPr>
          <w:rFonts w:ascii="Verdana" w:hAnsi="Verdana"/>
          <w:sz w:val="20"/>
          <w:lang w:val="en-US"/>
        </w:rPr>
        <w:t xml:space="preserve"> </w:t>
      </w:r>
      <w:r w:rsidRPr="00525E62">
        <w:rPr>
          <w:rFonts w:ascii="Verdana" w:hAnsi="Verdana"/>
          <w:sz w:val="20"/>
          <w:lang w:val="en-US"/>
        </w:rPr>
        <w:t>ha</w:t>
      </w:r>
      <w:r w:rsidR="00C70258" w:rsidRPr="00525E62">
        <w:rPr>
          <w:rFonts w:ascii="Verdana" w:hAnsi="Verdana"/>
          <w:sz w:val="20"/>
          <w:lang w:val="en-US"/>
        </w:rPr>
        <w:t>d</w:t>
      </w:r>
      <w:r w:rsidRPr="00525E62">
        <w:rPr>
          <w:rFonts w:ascii="Verdana" w:hAnsi="Verdana"/>
          <w:sz w:val="20"/>
          <w:lang w:val="en-US"/>
        </w:rPr>
        <w:t xml:space="preserve"> not referred to this measure of reparation or raised any objections in this regard.</w:t>
      </w:r>
      <w:bookmarkEnd w:id="16"/>
    </w:p>
    <w:p w14:paraId="6BD2A100" w14:textId="77777777" w:rsidR="00BF6499" w:rsidRPr="00525E62" w:rsidRDefault="00BF6499" w:rsidP="00BF6499">
      <w:pPr>
        <w:pStyle w:val="ListParagraph"/>
        <w:ind w:left="0"/>
        <w:jc w:val="both"/>
        <w:rPr>
          <w:rFonts w:ascii="Verdana" w:hAnsi="Verdana"/>
          <w:sz w:val="20"/>
          <w:lang w:val="en-US"/>
        </w:rPr>
      </w:pPr>
    </w:p>
    <w:p w14:paraId="0A775EA3" w14:textId="7DFA2BBE" w:rsidR="00BF6499" w:rsidRPr="00E83269" w:rsidRDefault="00C70258" w:rsidP="007F7CF1">
      <w:pPr>
        <w:pStyle w:val="ListParagraph"/>
        <w:numPr>
          <w:ilvl w:val="0"/>
          <w:numId w:val="2"/>
        </w:numPr>
        <w:ind w:left="0" w:firstLine="0"/>
        <w:jc w:val="both"/>
        <w:rPr>
          <w:rFonts w:ascii="Verdana" w:hAnsi="Verdana"/>
          <w:sz w:val="20"/>
          <w:lang w:val="en-US"/>
        </w:rPr>
      </w:pPr>
      <w:r w:rsidRPr="00525E62">
        <w:rPr>
          <w:rFonts w:ascii="Verdana" w:hAnsi="Verdana"/>
          <w:sz w:val="20"/>
          <w:lang w:val="en-US"/>
        </w:rPr>
        <w:t>Nevertheless</w:t>
      </w:r>
      <w:r w:rsidR="007F7CF1" w:rsidRPr="00525E62">
        <w:rPr>
          <w:rFonts w:ascii="Verdana" w:hAnsi="Verdana"/>
          <w:sz w:val="20"/>
          <w:lang w:val="en-US"/>
        </w:rPr>
        <w:t>, regarding administration of th</w:t>
      </w:r>
      <w:r w:rsidRPr="00525E62">
        <w:rPr>
          <w:rFonts w:ascii="Verdana" w:hAnsi="Verdana"/>
          <w:sz w:val="20"/>
          <w:lang w:val="en-US"/>
        </w:rPr>
        <w:t>e</w:t>
      </w:r>
      <w:r w:rsidR="007F7CF1" w:rsidRPr="00525E62">
        <w:rPr>
          <w:rFonts w:ascii="Verdana" w:hAnsi="Verdana"/>
          <w:sz w:val="20"/>
          <w:lang w:val="en-US"/>
        </w:rPr>
        <w:t xml:space="preserve"> fund </w:t>
      </w:r>
      <w:r w:rsidR="00BF6499" w:rsidRPr="00525E62">
        <w:rPr>
          <w:rFonts w:ascii="Verdana" w:hAnsi="Verdana"/>
          <w:sz w:val="20"/>
          <w:lang w:val="en-US"/>
        </w:rPr>
        <w:t>(</w:t>
      </w:r>
      <w:r w:rsidR="00BF6499" w:rsidRPr="00525E62">
        <w:rPr>
          <w:rFonts w:ascii="Verdana" w:hAnsi="Verdana"/>
          <w:i/>
          <w:sz w:val="20"/>
          <w:lang w:val="en-US"/>
        </w:rPr>
        <w:t>supra</w:t>
      </w:r>
      <w:r w:rsidR="00BF6499" w:rsidRPr="00525E62">
        <w:rPr>
          <w:rFonts w:ascii="Verdana" w:hAnsi="Verdana"/>
          <w:sz w:val="20"/>
          <w:lang w:val="en-US"/>
        </w:rPr>
        <w:t xml:space="preserve"> </w:t>
      </w:r>
      <w:proofErr w:type="spellStart"/>
      <w:r w:rsidR="007F7CF1" w:rsidRPr="00525E62">
        <w:rPr>
          <w:rFonts w:ascii="Verdana" w:hAnsi="Verdana"/>
          <w:i/>
          <w:sz w:val="20"/>
          <w:lang w:val="en-US"/>
        </w:rPr>
        <w:t>considerandum</w:t>
      </w:r>
      <w:proofErr w:type="spellEnd"/>
      <w:r w:rsidR="00BF6499"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_Ref530057380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6</w:t>
      </w:r>
      <w:r w:rsidR="001413FA">
        <w:rPr>
          <w:rFonts w:ascii="Verdana" w:hAnsi="Verdana"/>
          <w:sz w:val="20"/>
          <w:lang w:val="en-US"/>
        </w:rPr>
        <w:fldChar w:fldCharType="end"/>
      </w:r>
      <w:r w:rsidR="00BF6499" w:rsidRPr="00525E62">
        <w:rPr>
          <w:rFonts w:ascii="Verdana" w:hAnsi="Verdana"/>
          <w:sz w:val="20"/>
          <w:lang w:val="en-US"/>
        </w:rPr>
        <w:t xml:space="preserve">), </w:t>
      </w:r>
      <w:r w:rsidR="00C93224" w:rsidRPr="00525E62">
        <w:rPr>
          <w:rFonts w:ascii="Verdana" w:hAnsi="Verdana"/>
          <w:sz w:val="20"/>
          <w:lang w:val="en-US"/>
        </w:rPr>
        <w:t>the Court</w:t>
      </w:r>
      <w:r w:rsidR="00367E96" w:rsidRPr="00525E62">
        <w:rPr>
          <w:rFonts w:ascii="Verdana" w:hAnsi="Verdana"/>
          <w:sz w:val="20"/>
          <w:lang w:val="en-US"/>
        </w:rPr>
        <w:t xml:space="preserve"> </w:t>
      </w:r>
      <w:r w:rsidR="004032AB" w:rsidRPr="00525E62">
        <w:rPr>
          <w:rFonts w:ascii="Verdana" w:hAnsi="Verdana"/>
          <w:sz w:val="20"/>
          <w:lang w:val="en-US"/>
        </w:rPr>
        <w:t>rec</w:t>
      </w:r>
      <w:r w:rsidR="007F7CF1" w:rsidRPr="00525E62">
        <w:rPr>
          <w:rFonts w:ascii="Verdana" w:hAnsi="Verdana"/>
          <w:sz w:val="20"/>
          <w:lang w:val="en-US"/>
        </w:rPr>
        <w:t xml:space="preserve">alls that, in the order issued in </w:t>
      </w:r>
      <w:r w:rsidR="004032AB" w:rsidRPr="00525E62">
        <w:rPr>
          <w:rFonts w:ascii="Verdana" w:hAnsi="Verdana"/>
          <w:sz w:val="20"/>
          <w:lang w:val="en-US"/>
        </w:rPr>
        <w:t>2011 (</w:t>
      </w:r>
      <w:r w:rsidR="004032AB" w:rsidRPr="00525E62">
        <w:rPr>
          <w:rFonts w:ascii="Verdana" w:hAnsi="Verdana"/>
          <w:i/>
          <w:sz w:val="20"/>
          <w:lang w:val="en-US"/>
        </w:rPr>
        <w:t xml:space="preserve">supra </w:t>
      </w:r>
      <w:r w:rsidR="00B15139" w:rsidRPr="00525E62">
        <w:rPr>
          <w:rFonts w:ascii="Verdana" w:hAnsi="Verdana"/>
          <w:sz w:val="20"/>
          <w:lang w:val="en-US"/>
        </w:rPr>
        <w:t>having seen paragraph</w:t>
      </w:r>
      <w:r w:rsidR="004032AB"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_Ref526523090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2</w:t>
      </w:r>
      <w:r w:rsidR="001413FA">
        <w:rPr>
          <w:rFonts w:ascii="Verdana" w:hAnsi="Verdana"/>
          <w:sz w:val="20"/>
          <w:lang w:val="en-US"/>
        </w:rPr>
        <w:fldChar w:fldCharType="end"/>
      </w:r>
      <w:r w:rsidR="004032AB" w:rsidRPr="00525E62">
        <w:rPr>
          <w:rFonts w:ascii="Verdana" w:hAnsi="Verdana"/>
          <w:sz w:val="20"/>
          <w:lang w:val="en-US"/>
        </w:rPr>
        <w:t>)</w:t>
      </w:r>
      <w:r w:rsidR="007F7CF1" w:rsidRPr="00525E62">
        <w:rPr>
          <w:rFonts w:ascii="Verdana" w:hAnsi="Verdana"/>
          <w:sz w:val="20"/>
          <w:lang w:val="en-US"/>
        </w:rPr>
        <w:t xml:space="preserve">, it was noted that </w:t>
      </w:r>
      <w:r w:rsidR="002462D1" w:rsidRPr="00525E62">
        <w:rPr>
          <w:rFonts w:ascii="Verdana" w:hAnsi="Verdana"/>
          <w:sz w:val="20"/>
          <w:lang w:val="en-US"/>
        </w:rPr>
        <w:t>the representatives</w:t>
      </w:r>
      <w:r w:rsidR="007F7CF1" w:rsidRPr="00525E62">
        <w:rPr>
          <w:rFonts w:ascii="Verdana" w:hAnsi="Verdana"/>
          <w:sz w:val="20"/>
          <w:lang w:val="en-US"/>
        </w:rPr>
        <w:t xml:space="preserve"> had </w:t>
      </w:r>
      <w:r w:rsidR="007F7CF1" w:rsidRPr="00E83269">
        <w:rPr>
          <w:rFonts w:ascii="Verdana" w:hAnsi="Verdana"/>
          <w:sz w:val="20"/>
          <w:lang w:val="en-US"/>
        </w:rPr>
        <w:t>raised an objection regarding</w:t>
      </w:r>
      <w:r w:rsidR="004032AB" w:rsidRPr="00E83269">
        <w:rPr>
          <w:rFonts w:ascii="Verdana" w:hAnsi="Verdana"/>
          <w:sz w:val="20"/>
          <w:lang w:val="en-US"/>
        </w:rPr>
        <w:t xml:space="preserve"> </w:t>
      </w:r>
      <w:r w:rsidR="007F7CF1" w:rsidRPr="00E83269">
        <w:rPr>
          <w:rFonts w:ascii="Verdana" w:hAnsi="Verdana"/>
          <w:sz w:val="20"/>
          <w:lang w:val="en-US"/>
        </w:rPr>
        <w:t xml:space="preserve">the fact that </w:t>
      </w:r>
      <w:r w:rsidR="004032AB" w:rsidRPr="00E83269">
        <w:rPr>
          <w:rFonts w:ascii="Verdana" w:hAnsi="Verdana"/>
          <w:sz w:val="20"/>
          <w:lang w:val="en-US"/>
        </w:rPr>
        <w:t>“‘</w:t>
      </w:r>
      <w:r w:rsidR="009C2D9A" w:rsidRPr="00E83269">
        <w:rPr>
          <w:rFonts w:ascii="Verdana" w:hAnsi="Verdana"/>
          <w:sz w:val="20"/>
          <w:lang w:val="en-US"/>
        </w:rPr>
        <w:t xml:space="preserve">the funds have been transmitted to the development fund ordered by the Court’, but indicated that ‘no funds ha[d] been used for activities in </w:t>
      </w:r>
      <w:proofErr w:type="spellStart"/>
      <w:r w:rsidR="009C2D9A" w:rsidRPr="00E83269">
        <w:rPr>
          <w:rFonts w:ascii="Verdana" w:hAnsi="Verdana"/>
          <w:sz w:val="20"/>
          <w:lang w:val="en-US"/>
        </w:rPr>
        <w:t>Saramaka</w:t>
      </w:r>
      <w:proofErr w:type="spellEnd"/>
      <w:r w:rsidR="009C2D9A" w:rsidRPr="00E83269">
        <w:rPr>
          <w:rFonts w:ascii="Verdana" w:hAnsi="Verdana"/>
          <w:sz w:val="20"/>
          <w:lang w:val="en-US"/>
        </w:rPr>
        <w:t xml:space="preserve"> territory to date</w:t>
      </w:r>
      <w:r w:rsidR="004032AB" w:rsidRPr="00E83269">
        <w:rPr>
          <w:rFonts w:ascii="Verdana" w:hAnsi="Verdana"/>
          <w:sz w:val="20"/>
          <w:lang w:val="en-US"/>
        </w:rPr>
        <w:t>’”</w:t>
      </w:r>
      <w:r w:rsidR="009C2D9A" w:rsidRPr="00E83269">
        <w:rPr>
          <w:rFonts w:ascii="Verdana" w:hAnsi="Verdana"/>
          <w:sz w:val="20"/>
          <w:lang w:val="en-US"/>
        </w:rPr>
        <w:t>.</w:t>
      </w:r>
      <w:r w:rsidR="007F7CF1" w:rsidRPr="00E83269">
        <w:rPr>
          <w:rFonts w:ascii="Verdana" w:hAnsi="Verdana"/>
          <w:sz w:val="20"/>
          <w:lang w:val="en-US"/>
        </w:rPr>
        <w:t xml:space="preserve"> However, the Court notes that, following the said</w:t>
      </w:r>
      <w:r w:rsidR="007F7CF1" w:rsidRPr="00525E62">
        <w:rPr>
          <w:rFonts w:ascii="Verdana" w:hAnsi="Verdana"/>
          <w:sz w:val="20"/>
          <w:lang w:val="en-US"/>
        </w:rPr>
        <w:t xml:space="preserve"> order</w:t>
      </w:r>
      <w:r w:rsidR="001D07E8" w:rsidRPr="00525E62">
        <w:rPr>
          <w:rFonts w:ascii="Verdana" w:hAnsi="Verdana"/>
          <w:sz w:val="20"/>
          <w:lang w:val="en-US"/>
        </w:rPr>
        <w:t>,</w:t>
      </w:r>
      <w:r w:rsidR="004032AB" w:rsidRPr="00525E62">
        <w:rPr>
          <w:rFonts w:ascii="Verdana" w:hAnsi="Verdana"/>
          <w:sz w:val="20"/>
          <w:lang w:val="en-US"/>
        </w:rPr>
        <w:t xml:space="preserve"> </w:t>
      </w:r>
      <w:r w:rsidR="002462D1" w:rsidRPr="00525E62">
        <w:rPr>
          <w:rFonts w:ascii="Verdana" w:hAnsi="Verdana"/>
          <w:sz w:val="20"/>
          <w:lang w:val="en-US"/>
        </w:rPr>
        <w:t>the representatives</w:t>
      </w:r>
      <w:r w:rsidR="004032AB" w:rsidRPr="00525E62">
        <w:rPr>
          <w:rFonts w:ascii="Verdana" w:hAnsi="Verdana"/>
          <w:sz w:val="20"/>
          <w:lang w:val="en-US"/>
        </w:rPr>
        <w:t xml:space="preserve"> </w:t>
      </w:r>
      <w:r w:rsidR="007F7CF1" w:rsidRPr="00525E62">
        <w:rPr>
          <w:rFonts w:ascii="Verdana" w:hAnsi="Verdana"/>
          <w:sz w:val="20"/>
          <w:lang w:val="en-US"/>
        </w:rPr>
        <w:t xml:space="preserve">had </w:t>
      </w:r>
      <w:r w:rsidRPr="00525E62">
        <w:rPr>
          <w:rFonts w:ascii="Verdana" w:hAnsi="Verdana"/>
          <w:sz w:val="20"/>
          <w:lang w:val="en-US"/>
        </w:rPr>
        <w:t xml:space="preserve">made no further reference </w:t>
      </w:r>
      <w:r w:rsidR="007F7CF1" w:rsidRPr="00525E62">
        <w:rPr>
          <w:rFonts w:ascii="Verdana" w:hAnsi="Verdana"/>
          <w:sz w:val="20"/>
          <w:lang w:val="en-US"/>
        </w:rPr>
        <w:t xml:space="preserve">to the administration of the fund or the execution of the money in </w:t>
      </w:r>
      <w:r w:rsidR="007F7CF1" w:rsidRPr="00525E62">
        <w:rPr>
          <w:rFonts w:ascii="Verdana" w:hAnsi="Verdana"/>
          <w:sz w:val="20"/>
          <w:lang w:val="en-US"/>
        </w:rPr>
        <w:lastRenderedPageBreak/>
        <w:t>the fund. To the contrary, in their observation brief of August 5, 2013, the representatives indicated that the thirteenth operative paragraph had been complied with</w:t>
      </w:r>
      <w:r w:rsidR="00A36755" w:rsidRPr="00525E62">
        <w:rPr>
          <w:rFonts w:ascii="Verdana" w:hAnsi="Verdana"/>
          <w:sz w:val="20"/>
          <w:lang w:val="en-US"/>
        </w:rPr>
        <w:t xml:space="preserve"> (</w:t>
      </w:r>
      <w:r w:rsidR="00A36755" w:rsidRPr="00525E62">
        <w:rPr>
          <w:rFonts w:ascii="Verdana" w:hAnsi="Verdana"/>
          <w:i/>
          <w:sz w:val="20"/>
          <w:lang w:val="en-US"/>
        </w:rPr>
        <w:t>supra</w:t>
      </w:r>
      <w:r w:rsidR="00A36755" w:rsidRPr="00525E62">
        <w:rPr>
          <w:rFonts w:ascii="Verdana" w:hAnsi="Verdana"/>
          <w:sz w:val="20"/>
          <w:lang w:val="en-US"/>
        </w:rPr>
        <w:t xml:space="preserve"> </w:t>
      </w:r>
      <w:proofErr w:type="spellStart"/>
      <w:r w:rsidR="007F7CF1" w:rsidRPr="00525E62">
        <w:rPr>
          <w:rFonts w:ascii="Verdana" w:hAnsi="Verdana"/>
          <w:i/>
          <w:sz w:val="20"/>
          <w:lang w:val="en-US"/>
        </w:rPr>
        <w:t>considerandum</w:t>
      </w:r>
      <w:proofErr w:type="spellEnd"/>
      <w:r w:rsidR="00A36755"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_Ref526857221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9</w:t>
      </w:r>
      <w:r w:rsidR="001413FA">
        <w:rPr>
          <w:rFonts w:ascii="Verdana" w:hAnsi="Verdana"/>
          <w:sz w:val="20"/>
          <w:lang w:val="en-US"/>
        </w:rPr>
        <w:fldChar w:fldCharType="end"/>
      </w:r>
      <w:r w:rsidR="00A36755" w:rsidRPr="00525E62">
        <w:rPr>
          <w:rFonts w:ascii="Verdana" w:hAnsi="Verdana"/>
          <w:sz w:val="20"/>
          <w:lang w:val="en-US"/>
        </w:rPr>
        <w:t>)</w:t>
      </w:r>
      <w:r w:rsidR="008E69E1" w:rsidRPr="00525E62">
        <w:rPr>
          <w:rFonts w:ascii="Verdana" w:hAnsi="Verdana"/>
          <w:sz w:val="20"/>
          <w:lang w:val="en-US"/>
        </w:rPr>
        <w:t xml:space="preserve">. </w:t>
      </w:r>
      <w:r w:rsidR="007F7CF1" w:rsidRPr="00525E62">
        <w:rPr>
          <w:rFonts w:ascii="Verdana" w:hAnsi="Verdana"/>
          <w:sz w:val="20"/>
          <w:lang w:val="en-US"/>
        </w:rPr>
        <w:t>Accordingly, the Court will</w:t>
      </w:r>
      <w:r w:rsidRPr="00525E62">
        <w:rPr>
          <w:rFonts w:ascii="Verdana" w:hAnsi="Verdana"/>
          <w:sz w:val="20"/>
          <w:lang w:val="en-US"/>
        </w:rPr>
        <w:t xml:space="preserve"> not</w:t>
      </w:r>
      <w:r w:rsidR="007F7CF1" w:rsidRPr="00525E62">
        <w:rPr>
          <w:rFonts w:ascii="Verdana" w:hAnsi="Verdana"/>
          <w:sz w:val="20"/>
          <w:lang w:val="en-US"/>
        </w:rPr>
        <w:t xml:space="preserve"> include </w:t>
      </w:r>
      <w:r w:rsidRPr="00525E62">
        <w:rPr>
          <w:rFonts w:ascii="Verdana" w:hAnsi="Verdana"/>
          <w:sz w:val="20"/>
          <w:lang w:val="en-US"/>
        </w:rPr>
        <w:t>any</w:t>
      </w:r>
      <w:r w:rsidR="007F7CF1" w:rsidRPr="00525E62">
        <w:rPr>
          <w:rFonts w:ascii="Verdana" w:hAnsi="Verdana"/>
          <w:sz w:val="20"/>
          <w:lang w:val="en-US"/>
        </w:rPr>
        <w:t xml:space="preserve"> further considerations on the administration or execution of the money in the fund. Nevertheless, the Court recalls </w:t>
      </w:r>
      <w:r w:rsidR="007F7CF1" w:rsidRPr="00E83269">
        <w:rPr>
          <w:rFonts w:ascii="Verdana" w:hAnsi="Verdana"/>
          <w:sz w:val="20"/>
          <w:lang w:val="en-US"/>
        </w:rPr>
        <w:t xml:space="preserve">that, according to </w:t>
      </w:r>
      <w:r w:rsidR="00AD0DAA" w:rsidRPr="00E83269">
        <w:rPr>
          <w:rFonts w:ascii="Verdana" w:hAnsi="Verdana"/>
          <w:sz w:val="20"/>
          <w:lang w:val="en-US"/>
        </w:rPr>
        <w:t>paragraphs</w:t>
      </w:r>
      <w:r w:rsidR="00AF6005" w:rsidRPr="00E83269">
        <w:rPr>
          <w:rFonts w:ascii="Verdana" w:hAnsi="Verdana"/>
          <w:sz w:val="20"/>
          <w:lang w:val="en-US"/>
        </w:rPr>
        <w:t xml:space="preserve"> 200 </w:t>
      </w:r>
      <w:r w:rsidR="007F7CF1" w:rsidRPr="00E83269">
        <w:rPr>
          <w:rFonts w:ascii="Verdana" w:hAnsi="Verdana"/>
          <w:sz w:val="20"/>
          <w:lang w:val="en-US"/>
        </w:rPr>
        <w:t>and</w:t>
      </w:r>
      <w:r w:rsidR="00AF6005" w:rsidRPr="00E83269">
        <w:rPr>
          <w:rFonts w:ascii="Verdana" w:hAnsi="Verdana"/>
          <w:sz w:val="20"/>
          <w:lang w:val="en-US"/>
        </w:rPr>
        <w:t xml:space="preserve"> 201</w:t>
      </w:r>
      <w:r w:rsidR="002462D1" w:rsidRPr="00E83269">
        <w:rPr>
          <w:rFonts w:ascii="Verdana" w:hAnsi="Verdana"/>
          <w:sz w:val="20"/>
          <w:lang w:val="en-US"/>
        </w:rPr>
        <w:t xml:space="preserve"> of the </w:t>
      </w:r>
      <w:r w:rsidR="00C93224" w:rsidRPr="00E83269">
        <w:rPr>
          <w:rFonts w:ascii="Verdana" w:hAnsi="Verdana"/>
          <w:sz w:val="20"/>
          <w:lang w:val="en-US"/>
        </w:rPr>
        <w:t>judgment</w:t>
      </w:r>
      <w:r w:rsidR="00AF6005" w:rsidRPr="00E83269">
        <w:rPr>
          <w:rFonts w:ascii="Verdana" w:hAnsi="Verdana"/>
          <w:sz w:val="20"/>
          <w:lang w:val="en-US"/>
        </w:rPr>
        <w:t xml:space="preserve">, </w:t>
      </w:r>
      <w:r w:rsidR="007F7CF1" w:rsidRPr="00E83269">
        <w:rPr>
          <w:rFonts w:ascii="Verdana" w:hAnsi="Verdana"/>
          <w:sz w:val="20"/>
          <w:lang w:val="en-US"/>
        </w:rPr>
        <w:t>the purpose of the sum allocated to the community development fund is to “</w:t>
      </w:r>
      <w:r w:rsidR="007F7CF1" w:rsidRPr="00E83269">
        <w:rPr>
          <w:rFonts w:ascii="Verdana" w:eastAsiaTheme="minorHAnsi" w:hAnsi="Verdana" w:cs="Verdana"/>
          <w:sz w:val="20"/>
          <w:lang w:val="en-US"/>
        </w:rPr>
        <w:t xml:space="preserve">finance educational, housing, agricultural and health projects, as well as </w:t>
      </w:r>
      <w:r w:rsidRPr="00E83269">
        <w:rPr>
          <w:rFonts w:ascii="Verdana" w:eastAsiaTheme="minorHAnsi" w:hAnsi="Verdana" w:cs="Verdana"/>
          <w:sz w:val="20"/>
          <w:lang w:val="en-US"/>
        </w:rPr>
        <w:t xml:space="preserve">to </w:t>
      </w:r>
      <w:r w:rsidR="007F7CF1" w:rsidRPr="00E83269">
        <w:rPr>
          <w:rFonts w:ascii="Verdana" w:eastAsiaTheme="minorHAnsi" w:hAnsi="Verdana" w:cs="Verdana"/>
          <w:sz w:val="20"/>
          <w:lang w:val="en-US"/>
        </w:rPr>
        <w:t xml:space="preserve">provide electricity and drinking water, if necessary, for the benefit of the </w:t>
      </w:r>
      <w:proofErr w:type="spellStart"/>
      <w:r w:rsidR="007F7CF1" w:rsidRPr="00E83269">
        <w:rPr>
          <w:rFonts w:ascii="Verdana" w:eastAsiaTheme="minorHAnsi" w:hAnsi="Verdana" w:cs="Verdana"/>
          <w:sz w:val="20"/>
          <w:lang w:val="en-US"/>
        </w:rPr>
        <w:t>Saramaka</w:t>
      </w:r>
      <w:proofErr w:type="spellEnd"/>
      <w:r w:rsidR="007F7CF1" w:rsidRPr="00E83269">
        <w:rPr>
          <w:rFonts w:ascii="Verdana" w:eastAsiaTheme="minorHAnsi" w:hAnsi="Verdana" w:cs="Verdana"/>
          <w:sz w:val="20"/>
          <w:lang w:val="en-US"/>
        </w:rPr>
        <w:t xml:space="preserve"> people”</w:t>
      </w:r>
      <w:r w:rsidR="007F7CF1" w:rsidRPr="00E83269">
        <w:rPr>
          <w:rFonts w:ascii="Verdana" w:hAnsi="Verdana"/>
          <w:sz w:val="20"/>
          <w:lang w:val="en-US"/>
        </w:rPr>
        <w:t xml:space="preserve"> </w:t>
      </w:r>
      <w:r w:rsidR="00F7258D" w:rsidRPr="00E83269">
        <w:rPr>
          <w:rFonts w:ascii="Verdana" w:hAnsi="Verdana"/>
          <w:sz w:val="20"/>
          <w:lang w:val="en-US"/>
        </w:rPr>
        <w:t>(</w:t>
      </w:r>
      <w:r w:rsidR="00F7258D" w:rsidRPr="00E83269">
        <w:rPr>
          <w:rFonts w:ascii="Verdana" w:hAnsi="Verdana"/>
          <w:i/>
          <w:sz w:val="20"/>
          <w:lang w:val="en-US"/>
        </w:rPr>
        <w:t>supra</w:t>
      </w:r>
      <w:r w:rsidR="00F7258D" w:rsidRPr="00E83269">
        <w:rPr>
          <w:rFonts w:ascii="Verdana" w:hAnsi="Verdana"/>
          <w:sz w:val="20"/>
          <w:lang w:val="en-US"/>
        </w:rPr>
        <w:t xml:space="preserve"> </w:t>
      </w:r>
      <w:proofErr w:type="spellStart"/>
      <w:r w:rsidR="007F7CF1" w:rsidRPr="00E83269">
        <w:rPr>
          <w:rFonts w:ascii="Verdana" w:hAnsi="Verdana"/>
          <w:i/>
          <w:sz w:val="20"/>
          <w:lang w:val="en-US"/>
        </w:rPr>
        <w:t>considerandum</w:t>
      </w:r>
      <w:proofErr w:type="spellEnd"/>
      <w:r w:rsidR="00F7258D"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_Ref530057380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6</w:t>
      </w:r>
      <w:r w:rsidR="001413FA">
        <w:rPr>
          <w:rFonts w:ascii="Verdana" w:hAnsi="Verdana"/>
          <w:sz w:val="20"/>
          <w:lang w:val="en-US"/>
        </w:rPr>
        <w:fldChar w:fldCharType="end"/>
      </w:r>
      <w:r w:rsidR="00F7258D" w:rsidRPr="00E83269">
        <w:rPr>
          <w:rFonts w:ascii="Verdana" w:hAnsi="Verdana"/>
          <w:sz w:val="20"/>
          <w:lang w:val="en-US"/>
        </w:rPr>
        <w:t>)</w:t>
      </w:r>
      <w:r w:rsidR="00AF6005" w:rsidRPr="00E83269">
        <w:rPr>
          <w:rFonts w:ascii="Verdana" w:hAnsi="Verdana"/>
          <w:sz w:val="20"/>
          <w:lang w:val="en-US"/>
        </w:rPr>
        <w:t xml:space="preserve">. </w:t>
      </w:r>
    </w:p>
    <w:p w14:paraId="20763A68" w14:textId="77777777" w:rsidR="00BF6499" w:rsidRPr="00525E62" w:rsidRDefault="00BF6499" w:rsidP="00BF6499">
      <w:pPr>
        <w:pStyle w:val="ListParagraph"/>
        <w:ind w:left="0"/>
        <w:jc w:val="both"/>
        <w:rPr>
          <w:rFonts w:ascii="Verdana" w:hAnsi="Verdana"/>
          <w:sz w:val="20"/>
          <w:lang w:val="en-US"/>
        </w:rPr>
      </w:pPr>
    </w:p>
    <w:p w14:paraId="72AB5B2E" w14:textId="2B8EAE89" w:rsidR="004E1B86" w:rsidRPr="00525E62" w:rsidRDefault="007F7CF1" w:rsidP="00846F1D">
      <w:pPr>
        <w:pStyle w:val="ListParagraph"/>
        <w:numPr>
          <w:ilvl w:val="0"/>
          <w:numId w:val="2"/>
        </w:numPr>
        <w:ind w:left="0" w:firstLine="0"/>
        <w:jc w:val="both"/>
        <w:rPr>
          <w:rFonts w:ascii="Verdana" w:hAnsi="Verdana"/>
          <w:sz w:val="20"/>
          <w:lang w:val="en-US"/>
        </w:rPr>
      </w:pPr>
      <w:bookmarkStart w:id="17" w:name="_Ref526530161"/>
      <w:r w:rsidRPr="00525E62">
        <w:rPr>
          <w:rFonts w:ascii="Verdana" w:hAnsi="Verdana"/>
          <w:sz w:val="20"/>
          <w:lang w:val="en-US"/>
        </w:rPr>
        <w:t>Based on the above, the Court considers that the State has complied fully with the measure of reparation relating to the payment of the compensation for pecuniary and non-pecuniary damage.</w:t>
      </w:r>
      <w:bookmarkEnd w:id="17"/>
    </w:p>
    <w:p w14:paraId="32D5E4C7" w14:textId="6B8275B3" w:rsidR="00BC4FF3" w:rsidRPr="00525E62" w:rsidRDefault="00B15139" w:rsidP="009A33F4">
      <w:pPr>
        <w:pStyle w:val="Heading1"/>
        <w:numPr>
          <w:ilvl w:val="0"/>
          <w:numId w:val="10"/>
        </w:numPr>
        <w:jc w:val="both"/>
        <w:rPr>
          <w:rFonts w:ascii="Verdana" w:hAnsi="Verdana"/>
          <w:color w:val="auto"/>
          <w:sz w:val="20"/>
          <w:szCs w:val="20"/>
          <w:lang w:val="en-US"/>
        </w:rPr>
      </w:pPr>
      <w:bookmarkStart w:id="18" w:name="_Toc530057346"/>
      <w:r w:rsidRPr="00525E62">
        <w:rPr>
          <w:rFonts w:ascii="Verdana" w:hAnsi="Verdana"/>
          <w:color w:val="auto"/>
          <w:sz w:val="20"/>
          <w:szCs w:val="20"/>
          <w:lang w:val="en-US"/>
        </w:rPr>
        <w:t>D</w:t>
      </w:r>
      <w:r w:rsidR="00327243" w:rsidRPr="00525E62">
        <w:rPr>
          <w:rFonts w:ascii="Verdana" w:hAnsi="Verdana"/>
          <w:color w:val="auto"/>
          <w:sz w:val="20"/>
          <w:szCs w:val="20"/>
          <w:lang w:val="en-US"/>
        </w:rPr>
        <w:t>e</w:t>
      </w:r>
      <w:r w:rsidRPr="00525E62">
        <w:rPr>
          <w:rFonts w:ascii="Verdana" w:hAnsi="Verdana"/>
          <w:color w:val="auto"/>
          <w:sz w:val="20"/>
          <w:szCs w:val="20"/>
          <w:lang w:val="en-US"/>
        </w:rPr>
        <w:t>limit</w:t>
      </w:r>
      <w:r w:rsidR="00327243" w:rsidRPr="00525E62">
        <w:rPr>
          <w:rFonts w:ascii="Verdana" w:hAnsi="Verdana"/>
          <w:color w:val="auto"/>
          <w:sz w:val="20"/>
          <w:szCs w:val="20"/>
          <w:lang w:val="en-US"/>
        </w:rPr>
        <w:t xml:space="preserve"> and</w:t>
      </w:r>
      <w:r w:rsidRPr="00525E62">
        <w:rPr>
          <w:rFonts w:ascii="Verdana" w:hAnsi="Verdana"/>
          <w:color w:val="auto"/>
          <w:sz w:val="20"/>
          <w:szCs w:val="20"/>
          <w:lang w:val="en-US"/>
        </w:rPr>
        <w:t xml:space="preserve"> demarcate</w:t>
      </w:r>
      <w:r w:rsidR="00BF28FF" w:rsidRPr="00525E62">
        <w:rPr>
          <w:rFonts w:ascii="Verdana" w:hAnsi="Verdana"/>
          <w:color w:val="auto"/>
          <w:sz w:val="20"/>
          <w:szCs w:val="20"/>
          <w:lang w:val="en-US"/>
        </w:rPr>
        <w:t xml:space="preserve"> and grant collective title</w:t>
      </w:r>
      <w:r w:rsidRPr="00525E62">
        <w:rPr>
          <w:rFonts w:ascii="Verdana" w:hAnsi="Verdana"/>
          <w:color w:val="auto"/>
          <w:sz w:val="20"/>
          <w:szCs w:val="20"/>
          <w:lang w:val="en-US"/>
        </w:rPr>
        <w:t xml:space="preserve"> </w:t>
      </w:r>
      <w:r w:rsidR="00BF28FF" w:rsidRPr="00525E62">
        <w:rPr>
          <w:rFonts w:ascii="Verdana" w:hAnsi="Verdana"/>
          <w:color w:val="auto"/>
          <w:sz w:val="20"/>
          <w:szCs w:val="20"/>
          <w:lang w:val="en-US"/>
        </w:rPr>
        <w:t xml:space="preserve">over </w:t>
      </w:r>
      <w:r w:rsidRPr="00525E62">
        <w:rPr>
          <w:rFonts w:ascii="Verdana" w:hAnsi="Verdana"/>
          <w:color w:val="auto"/>
          <w:sz w:val="20"/>
          <w:szCs w:val="20"/>
          <w:lang w:val="en-US"/>
        </w:rPr>
        <w:t>the territory of the members</w:t>
      </w:r>
      <w:r w:rsidR="005D679B" w:rsidRPr="00525E62">
        <w:rPr>
          <w:rFonts w:ascii="Verdana" w:hAnsi="Verdana"/>
          <w:color w:val="auto"/>
          <w:sz w:val="20"/>
          <w:szCs w:val="20"/>
          <w:lang w:val="en-US"/>
        </w:rPr>
        <w:t xml:space="preserve"> of the Saramaka People</w:t>
      </w:r>
      <w:bookmarkEnd w:id="18"/>
      <w:r w:rsidR="00BC4FF3" w:rsidRPr="00525E62">
        <w:rPr>
          <w:rFonts w:ascii="Verdana" w:hAnsi="Verdana"/>
          <w:color w:val="auto"/>
          <w:sz w:val="20"/>
          <w:szCs w:val="20"/>
          <w:lang w:val="en-US"/>
        </w:rPr>
        <w:t xml:space="preserve"> </w:t>
      </w:r>
    </w:p>
    <w:p w14:paraId="52B683E1" w14:textId="77777777" w:rsidR="00BC4FF3" w:rsidRPr="00525E62" w:rsidRDefault="00BC4FF3" w:rsidP="00BC4FF3">
      <w:pPr>
        <w:jc w:val="both"/>
        <w:rPr>
          <w:rFonts w:ascii="Verdana" w:hAnsi="Verdana"/>
          <w:b/>
          <w:sz w:val="20"/>
          <w:lang w:val="en-US"/>
        </w:rPr>
      </w:pPr>
    </w:p>
    <w:p w14:paraId="3EEE238F" w14:textId="1680A0E8" w:rsidR="00BC4FF3" w:rsidRPr="00525E62" w:rsidRDefault="001D07E8" w:rsidP="00F303E4">
      <w:pPr>
        <w:ind w:left="360"/>
        <w:jc w:val="both"/>
        <w:rPr>
          <w:rFonts w:ascii="Verdana" w:hAnsi="Verdana"/>
          <w:i/>
          <w:sz w:val="20"/>
          <w:lang w:val="en-US"/>
        </w:rPr>
      </w:pPr>
      <w:r w:rsidRPr="00525E62">
        <w:rPr>
          <w:rFonts w:ascii="Verdana" w:hAnsi="Verdana"/>
          <w:i/>
          <w:sz w:val="20"/>
          <w:lang w:val="en-US"/>
        </w:rPr>
        <w:t>B</w:t>
      </w:r>
      <w:r w:rsidR="00BC4FF3" w:rsidRPr="00525E62">
        <w:rPr>
          <w:rFonts w:ascii="Verdana" w:hAnsi="Verdana"/>
          <w:i/>
          <w:sz w:val="20"/>
          <w:lang w:val="en-US"/>
        </w:rPr>
        <w:t xml:space="preserve">.1. </w:t>
      </w:r>
      <w:r w:rsidR="007F7CF1" w:rsidRPr="00525E62">
        <w:rPr>
          <w:rFonts w:ascii="Verdana" w:hAnsi="Verdana"/>
          <w:i/>
          <w:sz w:val="20"/>
          <w:lang w:val="en-US"/>
        </w:rPr>
        <w:t>Measure required by</w:t>
      </w:r>
      <w:r w:rsidR="00BC4FF3" w:rsidRPr="00525E62">
        <w:rPr>
          <w:rFonts w:ascii="Verdana" w:hAnsi="Verdana"/>
          <w:i/>
          <w:sz w:val="20"/>
          <w:lang w:val="en-US"/>
        </w:rPr>
        <w:t xml:space="preserve"> </w:t>
      </w:r>
      <w:r w:rsidR="00C93224" w:rsidRPr="00525E62">
        <w:rPr>
          <w:rFonts w:ascii="Verdana" w:hAnsi="Verdana"/>
          <w:i/>
          <w:sz w:val="20"/>
          <w:lang w:val="en-US"/>
        </w:rPr>
        <w:t>the Court</w:t>
      </w:r>
      <w:r w:rsidR="00F94C71" w:rsidRPr="00525E62">
        <w:rPr>
          <w:rFonts w:ascii="Verdana" w:hAnsi="Verdana"/>
          <w:i/>
          <w:sz w:val="20"/>
          <w:lang w:val="en-US"/>
        </w:rPr>
        <w:t xml:space="preserve"> </w:t>
      </w:r>
      <w:r w:rsidR="007F7CF1" w:rsidRPr="00525E62">
        <w:rPr>
          <w:rFonts w:ascii="Verdana" w:hAnsi="Verdana"/>
          <w:i/>
          <w:sz w:val="20"/>
          <w:lang w:val="en-US"/>
        </w:rPr>
        <w:t xml:space="preserve">and </w:t>
      </w:r>
      <w:r w:rsidR="00C30AD4">
        <w:rPr>
          <w:rFonts w:ascii="Verdana" w:hAnsi="Verdana"/>
          <w:i/>
          <w:sz w:val="20"/>
          <w:lang w:val="en-US"/>
        </w:rPr>
        <w:t>monitoring realized</w:t>
      </w:r>
      <w:r w:rsidR="00C30AD4" w:rsidRPr="00525E62">
        <w:rPr>
          <w:rFonts w:ascii="Verdana" w:hAnsi="Verdana"/>
          <w:i/>
          <w:sz w:val="20"/>
          <w:lang w:val="en-US"/>
        </w:rPr>
        <w:t xml:space="preserve"> in previous orders</w:t>
      </w:r>
    </w:p>
    <w:p w14:paraId="50D6F01A" w14:textId="77777777" w:rsidR="00BC4FF3" w:rsidRPr="00525E62" w:rsidRDefault="00BC4FF3" w:rsidP="00BC4FF3">
      <w:pPr>
        <w:jc w:val="both"/>
        <w:rPr>
          <w:rFonts w:ascii="Verdana" w:hAnsi="Verdana"/>
          <w:sz w:val="20"/>
          <w:lang w:val="en-US"/>
        </w:rPr>
      </w:pPr>
    </w:p>
    <w:p w14:paraId="1706C119" w14:textId="576BED3D" w:rsidR="00FE28F0" w:rsidRPr="00525E62" w:rsidRDefault="007F7CF1" w:rsidP="00BC4FF3">
      <w:pPr>
        <w:pStyle w:val="ListParagraph"/>
        <w:numPr>
          <w:ilvl w:val="0"/>
          <w:numId w:val="2"/>
        </w:numPr>
        <w:ind w:left="0" w:firstLine="0"/>
        <w:jc w:val="both"/>
        <w:rPr>
          <w:rFonts w:ascii="Verdana" w:hAnsi="Verdana"/>
          <w:sz w:val="20"/>
          <w:lang w:val="en-US"/>
        </w:rPr>
      </w:pPr>
      <w:bookmarkStart w:id="19" w:name="_Ref526765096"/>
      <w:bookmarkStart w:id="20" w:name="_Ref530057274"/>
      <w:r w:rsidRPr="00525E62">
        <w:rPr>
          <w:rFonts w:ascii="Verdana" w:hAnsi="Verdana"/>
          <w:sz w:val="20"/>
          <w:lang w:val="en-US"/>
        </w:rPr>
        <w:t xml:space="preserve">In the fifth operative paragraph </w:t>
      </w:r>
      <w:r w:rsidR="002462D1" w:rsidRPr="00525E62">
        <w:rPr>
          <w:rFonts w:ascii="Verdana" w:hAnsi="Verdana"/>
          <w:sz w:val="20"/>
          <w:lang w:val="en-US"/>
        </w:rPr>
        <w:t xml:space="preserve">of the </w:t>
      </w:r>
      <w:r w:rsidR="00C93224" w:rsidRPr="00525E62">
        <w:rPr>
          <w:rFonts w:ascii="Verdana" w:hAnsi="Verdana"/>
          <w:sz w:val="20"/>
          <w:lang w:val="en-US"/>
        </w:rPr>
        <w:t>judgment</w:t>
      </w:r>
      <w:r w:rsidR="00BC4FF3" w:rsidRPr="00525E62">
        <w:rPr>
          <w:rFonts w:ascii="Verdana" w:hAnsi="Verdana"/>
          <w:sz w:val="20"/>
          <w:lang w:val="en-US"/>
        </w:rPr>
        <w:t xml:space="preserve">, </w:t>
      </w:r>
      <w:r w:rsidR="00C93224" w:rsidRPr="00525E62">
        <w:rPr>
          <w:rFonts w:ascii="Verdana" w:hAnsi="Verdana"/>
          <w:sz w:val="20"/>
          <w:lang w:val="en-US"/>
        </w:rPr>
        <w:t>the Court</w:t>
      </w:r>
      <w:r w:rsidR="00BC4FF3" w:rsidRPr="00525E62">
        <w:rPr>
          <w:rFonts w:ascii="Verdana" w:hAnsi="Verdana"/>
          <w:sz w:val="20"/>
          <w:lang w:val="en-US"/>
        </w:rPr>
        <w:t xml:space="preserve"> </w:t>
      </w:r>
      <w:r w:rsidRPr="00525E62">
        <w:rPr>
          <w:rFonts w:ascii="Verdana" w:hAnsi="Verdana"/>
          <w:sz w:val="20"/>
          <w:lang w:val="en-US"/>
        </w:rPr>
        <w:t>ordered the State</w:t>
      </w:r>
      <w:bookmarkEnd w:id="19"/>
      <w:r w:rsidR="002A0FF6" w:rsidRPr="00525E62">
        <w:rPr>
          <w:rFonts w:ascii="Verdana" w:hAnsi="Verdana"/>
          <w:sz w:val="20"/>
          <w:lang w:val="en-US"/>
        </w:rPr>
        <w:t xml:space="preserve"> to</w:t>
      </w:r>
      <w:r w:rsidRPr="00525E62">
        <w:rPr>
          <w:rFonts w:ascii="Verdana" w:hAnsi="Verdana"/>
          <w:sz w:val="20"/>
          <w:lang w:val="en-US"/>
        </w:rPr>
        <w:t>:</w:t>
      </w:r>
      <w:bookmarkEnd w:id="20"/>
      <w:r w:rsidR="00BC4FF3" w:rsidRPr="00525E62">
        <w:rPr>
          <w:rFonts w:ascii="Verdana" w:hAnsi="Verdana"/>
          <w:sz w:val="20"/>
          <w:lang w:val="en-US"/>
        </w:rPr>
        <w:t xml:space="preserve"> </w:t>
      </w:r>
    </w:p>
    <w:p w14:paraId="03638CD1" w14:textId="64395592" w:rsidR="00FE28F0" w:rsidRPr="00525E62" w:rsidRDefault="00B10FEF" w:rsidP="00B10FEF">
      <w:pPr>
        <w:pStyle w:val="ListParagraph"/>
        <w:tabs>
          <w:tab w:val="left" w:pos="3400"/>
        </w:tabs>
        <w:ind w:left="709" w:right="616"/>
        <w:jc w:val="both"/>
        <w:rPr>
          <w:rFonts w:ascii="Verdana" w:hAnsi="Verdana"/>
          <w:sz w:val="16"/>
          <w:szCs w:val="16"/>
          <w:lang w:val="en-US"/>
        </w:rPr>
      </w:pPr>
      <w:r w:rsidRPr="00525E62">
        <w:rPr>
          <w:rFonts w:ascii="Verdana" w:hAnsi="Verdana"/>
          <w:sz w:val="16"/>
          <w:szCs w:val="16"/>
          <w:lang w:val="en-US"/>
        </w:rPr>
        <w:tab/>
      </w:r>
    </w:p>
    <w:p w14:paraId="0BB04409" w14:textId="66E9C263" w:rsidR="002A0FF6" w:rsidRPr="00E83269" w:rsidRDefault="00B15139" w:rsidP="002A0FF6">
      <w:pPr>
        <w:autoSpaceDE w:val="0"/>
        <w:autoSpaceDN w:val="0"/>
        <w:adjustRightInd w:val="0"/>
        <w:ind w:left="720" w:right="558"/>
        <w:jc w:val="both"/>
        <w:rPr>
          <w:rFonts w:ascii="Verdana" w:hAnsi="Verdana"/>
          <w:sz w:val="16"/>
          <w:szCs w:val="16"/>
          <w:lang w:val="en-US"/>
        </w:rPr>
      </w:pPr>
      <w:r w:rsidRPr="00E83269">
        <w:rPr>
          <w:rFonts w:ascii="Verdana" w:hAnsi="Verdana"/>
          <w:sz w:val="16"/>
          <w:szCs w:val="16"/>
          <w:lang w:val="en-US"/>
        </w:rPr>
        <w:t>D</w:t>
      </w:r>
      <w:r w:rsidR="007F7CF1" w:rsidRPr="00E83269">
        <w:rPr>
          <w:rFonts w:ascii="Verdana" w:hAnsi="Verdana"/>
          <w:sz w:val="16"/>
          <w:szCs w:val="16"/>
          <w:lang w:val="en-US"/>
        </w:rPr>
        <w:t>e</w:t>
      </w:r>
      <w:r w:rsidRPr="00E83269">
        <w:rPr>
          <w:rFonts w:ascii="Verdana" w:hAnsi="Verdana"/>
          <w:sz w:val="16"/>
          <w:szCs w:val="16"/>
          <w:lang w:val="en-US"/>
        </w:rPr>
        <w:t>limit</w:t>
      </w:r>
      <w:r w:rsidR="00BF28FF" w:rsidRPr="00E83269">
        <w:rPr>
          <w:rFonts w:ascii="Verdana" w:hAnsi="Verdana"/>
          <w:sz w:val="16"/>
          <w:szCs w:val="16"/>
          <w:lang w:val="en-US"/>
        </w:rPr>
        <w:t>,</w:t>
      </w:r>
      <w:r w:rsidR="007F7CF1" w:rsidRPr="00E83269">
        <w:rPr>
          <w:rFonts w:ascii="Verdana" w:eastAsiaTheme="minorHAnsi" w:hAnsi="Verdana" w:cs="Verdana"/>
          <w:sz w:val="16"/>
          <w:szCs w:val="16"/>
          <w:lang w:val="en-US"/>
        </w:rPr>
        <w:t xml:space="preserve"> demarcate and grant collective title over the territory of the</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members of the Saramaka people in accordance with their customary laws, and through</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previous, effective and fully informed consultations with the Saramaka people, without</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prejudice to other tribal and indigenous communities. Until said delimitation, demarcation,</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and titling of the Saramaka territory has been carried out, Suriname must abstain from acts</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which might lead the agents of the State itself, or third parties acting with its acquiescence</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or its tolerance, to affect the existence, value, use or enjoyment of the territory to which</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the members of the Saramaka people are entitled, unless the State obtains the free,</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informed and prior consent of the Saramaka people. With regards to the concessions</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already granted within traditional Saramaka territory, the State must review them in light</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of the present Judgment and the Court’s jurisprudence, in order to evaluate whether a</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modification of the rights of the concessionaires is necessary in order to preserve the</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survival of the Saramaka people, in the terms of paragraphs 101, 115, 129</w:t>
      </w:r>
      <w:r w:rsidR="00BF28FF" w:rsidRPr="00E83269">
        <w:rPr>
          <w:rFonts w:ascii="Verdana" w:eastAsiaTheme="minorHAnsi" w:hAnsi="Verdana" w:cs="Verdana"/>
          <w:sz w:val="16"/>
          <w:szCs w:val="16"/>
          <w:lang w:val="en-US"/>
        </w:rPr>
        <w:t xml:space="preserve"> to </w:t>
      </w:r>
      <w:r w:rsidR="007F7CF1" w:rsidRPr="00E83269">
        <w:rPr>
          <w:rFonts w:ascii="Verdana" w:eastAsiaTheme="minorHAnsi" w:hAnsi="Verdana" w:cs="Verdana"/>
          <w:sz w:val="16"/>
          <w:szCs w:val="16"/>
          <w:lang w:val="en-US"/>
        </w:rPr>
        <w:t>137, 143, 147,</w:t>
      </w:r>
      <w:r w:rsidR="002A0FF6" w:rsidRPr="00E83269">
        <w:rPr>
          <w:rFonts w:ascii="Verdana" w:eastAsiaTheme="minorHAnsi" w:hAnsi="Verdana" w:cs="Verdana"/>
          <w:sz w:val="16"/>
          <w:szCs w:val="16"/>
          <w:lang w:val="en-US"/>
        </w:rPr>
        <w:t xml:space="preserve"> </w:t>
      </w:r>
      <w:r w:rsidR="007F7CF1" w:rsidRPr="00E83269">
        <w:rPr>
          <w:rFonts w:ascii="Verdana" w:eastAsiaTheme="minorHAnsi" w:hAnsi="Verdana" w:cs="Verdana"/>
          <w:sz w:val="16"/>
          <w:szCs w:val="16"/>
          <w:lang w:val="en-US"/>
        </w:rPr>
        <w:t>155, 157, 158, and 194(a) of this Judgment</w:t>
      </w:r>
      <w:r w:rsidR="007F7CF1" w:rsidRPr="00E83269">
        <w:rPr>
          <w:rFonts w:ascii="Verdana" w:hAnsi="Verdana"/>
          <w:sz w:val="16"/>
          <w:szCs w:val="16"/>
          <w:lang w:val="en-US"/>
        </w:rPr>
        <w:t xml:space="preserve"> </w:t>
      </w:r>
    </w:p>
    <w:p w14:paraId="3A479750" w14:textId="0748D602" w:rsidR="008E69E1" w:rsidRPr="0020651E" w:rsidRDefault="00A36755" w:rsidP="00B10FEF">
      <w:pPr>
        <w:pStyle w:val="ListParagraph"/>
        <w:ind w:left="0"/>
        <w:jc w:val="both"/>
        <w:rPr>
          <w:rFonts w:ascii="Verdana" w:hAnsi="Verdana"/>
          <w:b/>
          <w:sz w:val="18"/>
          <w:lang w:val="en-US"/>
        </w:rPr>
      </w:pPr>
      <w:r w:rsidRPr="00525E62">
        <w:rPr>
          <w:rFonts w:ascii="Verdana" w:hAnsi="Verdana"/>
          <w:color w:val="00B050"/>
          <w:sz w:val="16"/>
          <w:szCs w:val="16"/>
          <w:lang w:val="en-US"/>
        </w:rPr>
        <w:tab/>
      </w:r>
    </w:p>
    <w:p w14:paraId="23466F83" w14:textId="1E471C86" w:rsidR="002A0FF6" w:rsidRPr="00E83269" w:rsidRDefault="002A0FF6" w:rsidP="00D75D75">
      <w:pPr>
        <w:pStyle w:val="ListParagraph"/>
        <w:numPr>
          <w:ilvl w:val="0"/>
          <w:numId w:val="2"/>
        </w:numPr>
        <w:autoSpaceDE w:val="0"/>
        <w:autoSpaceDN w:val="0"/>
        <w:adjustRightInd w:val="0"/>
        <w:ind w:left="0" w:firstLine="0"/>
        <w:jc w:val="both"/>
        <w:rPr>
          <w:rFonts w:ascii="Verdana" w:eastAsiaTheme="minorHAnsi" w:hAnsi="Verdana" w:cs="Verdana"/>
          <w:sz w:val="20"/>
          <w:lang w:val="en-US"/>
        </w:rPr>
      </w:pPr>
      <w:bookmarkStart w:id="21" w:name="_Ref526765088"/>
      <w:r w:rsidRPr="00E83269">
        <w:rPr>
          <w:rFonts w:ascii="Verdana" w:hAnsi="Verdana"/>
          <w:sz w:val="20"/>
          <w:lang w:val="en-US"/>
        </w:rPr>
        <w:t>In paragraph</w:t>
      </w:r>
      <w:r w:rsidR="000D0E36" w:rsidRPr="00E83269">
        <w:rPr>
          <w:rFonts w:ascii="Verdana" w:hAnsi="Verdana"/>
          <w:sz w:val="20"/>
          <w:lang w:val="en-US"/>
        </w:rPr>
        <w:t xml:space="preserve"> </w:t>
      </w:r>
      <w:r w:rsidR="00B10FEF" w:rsidRPr="00E83269">
        <w:rPr>
          <w:rFonts w:ascii="Verdana" w:hAnsi="Verdana"/>
          <w:sz w:val="20"/>
          <w:lang w:val="en-US"/>
        </w:rPr>
        <w:t>194</w:t>
      </w:r>
      <w:r w:rsidRPr="00E83269">
        <w:rPr>
          <w:rFonts w:ascii="Verdana" w:hAnsi="Verdana"/>
          <w:sz w:val="20"/>
          <w:lang w:val="en-US"/>
        </w:rPr>
        <w:t>(</w:t>
      </w:r>
      <w:r w:rsidR="00B10FEF" w:rsidRPr="00E83269">
        <w:rPr>
          <w:rFonts w:ascii="Verdana" w:hAnsi="Verdana"/>
          <w:sz w:val="20"/>
          <w:lang w:val="en-US"/>
        </w:rPr>
        <w:t>a</w:t>
      </w:r>
      <w:r w:rsidRPr="00E83269">
        <w:rPr>
          <w:rFonts w:ascii="Verdana" w:hAnsi="Verdana"/>
          <w:sz w:val="20"/>
          <w:lang w:val="en-US"/>
        </w:rPr>
        <w:t>)</w:t>
      </w:r>
      <w:r w:rsidR="002462D1" w:rsidRPr="00E83269">
        <w:rPr>
          <w:rFonts w:ascii="Verdana" w:hAnsi="Verdana"/>
          <w:sz w:val="20"/>
          <w:lang w:val="en-US"/>
        </w:rPr>
        <w:t xml:space="preserve"> of the </w:t>
      </w:r>
      <w:r w:rsidR="00C93224" w:rsidRPr="00E83269">
        <w:rPr>
          <w:rFonts w:ascii="Verdana" w:hAnsi="Verdana"/>
          <w:sz w:val="20"/>
          <w:lang w:val="en-US"/>
        </w:rPr>
        <w:t>judgment</w:t>
      </w:r>
      <w:r w:rsidR="000D0E36" w:rsidRPr="00E83269">
        <w:rPr>
          <w:rFonts w:ascii="Verdana" w:hAnsi="Verdana"/>
          <w:sz w:val="20"/>
          <w:lang w:val="en-US"/>
        </w:rPr>
        <w:t xml:space="preserve">, </w:t>
      </w:r>
      <w:r w:rsidR="00C93224" w:rsidRPr="00E83269">
        <w:rPr>
          <w:rFonts w:ascii="Verdana" w:hAnsi="Verdana"/>
          <w:sz w:val="20"/>
          <w:lang w:val="en-US"/>
        </w:rPr>
        <w:t>the Court</w:t>
      </w:r>
      <w:r w:rsidR="009A33F4" w:rsidRPr="00E83269">
        <w:rPr>
          <w:rFonts w:ascii="Verdana" w:hAnsi="Verdana"/>
          <w:sz w:val="20"/>
          <w:lang w:val="en-US"/>
        </w:rPr>
        <w:t xml:space="preserve"> indic</w:t>
      </w:r>
      <w:r w:rsidRPr="00E83269">
        <w:rPr>
          <w:rFonts w:ascii="Verdana" w:hAnsi="Verdana"/>
          <w:sz w:val="20"/>
          <w:lang w:val="en-US"/>
        </w:rPr>
        <w:t>ated that</w:t>
      </w:r>
      <w:r w:rsidR="009A33F4" w:rsidRPr="00E83269">
        <w:rPr>
          <w:rFonts w:ascii="Verdana" w:hAnsi="Verdana"/>
          <w:sz w:val="20"/>
          <w:lang w:val="en-US"/>
        </w:rPr>
        <w:t xml:space="preserve"> “[</w:t>
      </w:r>
      <w:r w:rsidRPr="00E83269">
        <w:rPr>
          <w:rFonts w:ascii="Verdana" w:hAnsi="Verdana"/>
          <w:sz w:val="20"/>
          <w:lang w:val="en-US"/>
        </w:rPr>
        <w:t>t</w:t>
      </w:r>
      <w:r w:rsidR="009A33F4" w:rsidRPr="00E83269">
        <w:rPr>
          <w:rFonts w:ascii="Verdana" w:hAnsi="Verdana"/>
          <w:sz w:val="20"/>
          <w:lang w:val="en-US"/>
        </w:rPr>
        <w:t>]</w:t>
      </w:r>
      <w:bookmarkEnd w:id="21"/>
      <w:r w:rsidRPr="00E83269">
        <w:rPr>
          <w:rFonts w:ascii="Verdana" w:eastAsiaTheme="minorHAnsi" w:hAnsi="Verdana" w:cs="Verdana"/>
          <w:sz w:val="20"/>
          <w:lang w:val="en-US"/>
        </w:rPr>
        <w:t>he State must begin the process of delimitation, demarcation and titling of traditional Saramaka territory within three months from notification of the present Judgment and must complete this process within three years from such date.”</w:t>
      </w:r>
    </w:p>
    <w:p w14:paraId="258AA8E8" w14:textId="77777777" w:rsidR="003A3D45" w:rsidRPr="00525E62" w:rsidRDefault="003A3D45" w:rsidP="003A3D45">
      <w:pPr>
        <w:pStyle w:val="ListParagraph"/>
        <w:ind w:left="0"/>
        <w:jc w:val="both"/>
        <w:rPr>
          <w:rFonts w:ascii="Verdana" w:hAnsi="Verdana"/>
          <w:sz w:val="20"/>
          <w:lang w:val="en-US"/>
        </w:rPr>
      </w:pPr>
    </w:p>
    <w:p w14:paraId="537E9DCD" w14:textId="576A7E6D" w:rsidR="003A3D45" w:rsidRPr="00525E62" w:rsidRDefault="002A0FF6" w:rsidP="00BC4FF3">
      <w:pPr>
        <w:pStyle w:val="ListParagraph"/>
        <w:numPr>
          <w:ilvl w:val="0"/>
          <w:numId w:val="2"/>
        </w:numPr>
        <w:ind w:left="0" w:firstLine="0"/>
        <w:jc w:val="both"/>
        <w:rPr>
          <w:rFonts w:ascii="Verdana" w:hAnsi="Verdana"/>
          <w:sz w:val="20"/>
          <w:lang w:val="en-US"/>
        </w:rPr>
      </w:pPr>
      <w:r w:rsidRPr="00525E62">
        <w:rPr>
          <w:rFonts w:ascii="Verdana" w:hAnsi="Verdana"/>
          <w:sz w:val="20"/>
          <w:lang w:val="en-US"/>
        </w:rPr>
        <w:t>I</w:t>
      </w:r>
      <w:r w:rsidR="003A3D45" w:rsidRPr="00525E62">
        <w:rPr>
          <w:rFonts w:ascii="Verdana" w:hAnsi="Verdana"/>
          <w:sz w:val="20"/>
          <w:lang w:val="en-US"/>
        </w:rPr>
        <w:t xml:space="preserve">n </w:t>
      </w:r>
      <w:r w:rsidR="00AD0DAA" w:rsidRPr="00525E62">
        <w:rPr>
          <w:rFonts w:ascii="Verdana" w:hAnsi="Verdana"/>
          <w:sz w:val="20"/>
          <w:lang w:val="en-US"/>
        </w:rPr>
        <w:t>paragraphs</w:t>
      </w:r>
      <w:r w:rsidR="003A3D45" w:rsidRPr="00525E62">
        <w:rPr>
          <w:rFonts w:ascii="Verdana" w:hAnsi="Verdana"/>
          <w:sz w:val="20"/>
          <w:lang w:val="en-US"/>
        </w:rPr>
        <w:t xml:space="preserve"> </w:t>
      </w:r>
      <w:r w:rsidR="00977AD2" w:rsidRPr="00525E62">
        <w:rPr>
          <w:rFonts w:ascii="Verdana" w:hAnsi="Verdana"/>
          <w:sz w:val="20"/>
          <w:lang w:val="en-US"/>
        </w:rPr>
        <w:t xml:space="preserve">129, 133, 143 </w:t>
      </w:r>
      <w:r w:rsidRPr="00525E62">
        <w:rPr>
          <w:rFonts w:ascii="Verdana" w:hAnsi="Verdana"/>
          <w:sz w:val="20"/>
          <w:lang w:val="en-US"/>
        </w:rPr>
        <w:t>and</w:t>
      </w:r>
      <w:r w:rsidR="00977AD2" w:rsidRPr="00525E62">
        <w:rPr>
          <w:rFonts w:ascii="Verdana" w:hAnsi="Verdana"/>
          <w:sz w:val="20"/>
          <w:lang w:val="en-US"/>
        </w:rPr>
        <w:t xml:space="preserve"> 155 </w:t>
      </w:r>
      <w:r w:rsidR="002462D1" w:rsidRPr="00525E62">
        <w:rPr>
          <w:rFonts w:ascii="Verdana" w:hAnsi="Verdana"/>
          <w:sz w:val="20"/>
          <w:lang w:val="en-US"/>
        </w:rPr>
        <w:t xml:space="preserve">of the </w:t>
      </w:r>
      <w:r w:rsidR="00C93224" w:rsidRPr="00525E62">
        <w:rPr>
          <w:rFonts w:ascii="Verdana" w:hAnsi="Verdana"/>
          <w:sz w:val="20"/>
          <w:lang w:val="en-US"/>
        </w:rPr>
        <w:t>judgment</w:t>
      </w:r>
      <w:r w:rsidR="003A3D45" w:rsidRPr="00525E62">
        <w:rPr>
          <w:rFonts w:ascii="Verdana" w:hAnsi="Verdana"/>
          <w:sz w:val="20"/>
          <w:lang w:val="en-US"/>
        </w:rPr>
        <w:t xml:space="preserve">, </w:t>
      </w:r>
      <w:r w:rsidRPr="00525E62">
        <w:rPr>
          <w:rFonts w:ascii="Verdana" w:hAnsi="Verdana"/>
          <w:sz w:val="20"/>
          <w:lang w:val="en-US"/>
        </w:rPr>
        <w:t>the Court determined that</w:t>
      </w:r>
      <w:r w:rsidR="003A3D45" w:rsidRPr="00525E62">
        <w:rPr>
          <w:rFonts w:ascii="Verdana" w:hAnsi="Verdana"/>
          <w:sz w:val="20"/>
          <w:lang w:val="en-US"/>
        </w:rPr>
        <w:t>:</w:t>
      </w:r>
    </w:p>
    <w:p w14:paraId="3ADF310B" w14:textId="77777777" w:rsidR="003A3D45" w:rsidRPr="00525E62" w:rsidRDefault="003A3D45" w:rsidP="0064739F">
      <w:pPr>
        <w:ind w:right="616"/>
        <w:jc w:val="both"/>
        <w:rPr>
          <w:rFonts w:ascii="Verdana" w:hAnsi="Verdana"/>
          <w:sz w:val="16"/>
          <w:szCs w:val="16"/>
          <w:lang w:val="en-US"/>
        </w:rPr>
      </w:pPr>
    </w:p>
    <w:p w14:paraId="07FB14FE" w14:textId="2D2D6194" w:rsidR="002A0FF6" w:rsidRPr="00E83269" w:rsidRDefault="003A3D45" w:rsidP="00BF28FF">
      <w:pPr>
        <w:tabs>
          <w:tab w:val="left" w:pos="1170"/>
        </w:tabs>
        <w:autoSpaceDE w:val="0"/>
        <w:autoSpaceDN w:val="0"/>
        <w:adjustRightInd w:val="0"/>
        <w:ind w:left="540" w:right="648"/>
        <w:jc w:val="both"/>
        <w:rPr>
          <w:rFonts w:ascii="Verdana" w:eastAsiaTheme="minorHAnsi" w:hAnsi="Verdana" w:cs="Verdana"/>
          <w:sz w:val="16"/>
          <w:szCs w:val="16"/>
          <w:lang w:val="en-US"/>
        </w:rPr>
      </w:pPr>
      <w:r w:rsidRPr="00E83269">
        <w:rPr>
          <w:rFonts w:ascii="Verdana" w:hAnsi="Verdana"/>
          <w:sz w:val="16"/>
          <w:szCs w:val="16"/>
          <w:lang w:val="en-US"/>
        </w:rPr>
        <w:t>129.</w:t>
      </w:r>
      <w:r w:rsidRPr="00E83269">
        <w:rPr>
          <w:rFonts w:ascii="Verdana" w:hAnsi="Verdana"/>
          <w:sz w:val="16"/>
          <w:szCs w:val="16"/>
          <w:lang w:val="en-US"/>
        </w:rPr>
        <w:tab/>
      </w:r>
      <w:r w:rsidR="002A0FF6" w:rsidRPr="00E83269">
        <w:rPr>
          <w:rFonts w:ascii="Verdana" w:eastAsiaTheme="minorHAnsi" w:hAnsi="Verdana" w:cs="Verdana"/>
          <w:sz w:val="16"/>
          <w:szCs w:val="16"/>
          <w:lang w:val="en-US"/>
        </w:rPr>
        <w:t>In this particular case, the restrictions in question pertain to the issuance of logging and mining concessions for the exploration and extraction of certain natural resources found within Saramaka territory. Thus, in accordance with Article 1(1) of the Convention, in order to guarantee that restrictions to the property rights of the members of the Saramaka people by the issuance of concessions within their territory does not amount to a denial of their survival as a tribal people, the State must abide by the following three safeguards: First, the State must ensure the effective participation of the members of the Saramaka people, in conformity with their customs and traditions, regarding any development, investment, exploration or extraction plan (hereinafter “development or investment plan”)</w:t>
      </w:r>
      <w:r w:rsidR="002A0FF6" w:rsidRPr="00E83269">
        <w:rPr>
          <w:rFonts w:ascii="Verdana" w:hAnsi="Verdana"/>
          <w:sz w:val="16"/>
          <w:szCs w:val="16"/>
          <w:lang w:val="en-US"/>
        </w:rPr>
        <w:t xml:space="preserve"> </w:t>
      </w:r>
      <w:r w:rsidR="002A0FF6" w:rsidRPr="00E83269">
        <w:rPr>
          <w:rFonts w:ascii="Verdana" w:eastAsiaTheme="minorHAnsi" w:hAnsi="Verdana" w:cs="Verdana"/>
          <w:sz w:val="16"/>
          <w:szCs w:val="16"/>
          <w:lang w:val="en-US"/>
        </w:rPr>
        <w:t xml:space="preserve">within Saramaka territory. Second, the State must guarantee that the Saramakas will receive a reasonable benefit from any such plan within their territory. Thirdly, the State must ensure that no concession will be issued within Saramaka territory unless and until independent and technically capable entities, with the State’s supervision, perform a prior environmental and social impact assessment. </w:t>
      </w:r>
      <w:r w:rsidR="002A0FF6" w:rsidRPr="00E83269">
        <w:rPr>
          <w:rFonts w:ascii="Verdana" w:eastAsiaTheme="minorHAnsi" w:hAnsi="Verdana" w:cs="Verdana"/>
          <w:sz w:val="16"/>
          <w:szCs w:val="16"/>
          <w:lang w:val="en-US"/>
        </w:rPr>
        <w:lastRenderedPageBreak/>
        <w:t>These safeguards are intended to preserve, protect and guarantee the special relationship that the members of the Saramaka community have with their territory, which in turn ensures their survival as a tribal people.</w:t>
      </w:r>
    </w:p>
    <w:p w14:paraId="074079F1" w14:textId="410537DE" w:rsidR="003A3D45" w:rsidRPr="00E83269" w:rsidRDefault="003A3D45" w:rsidP="00BF28FF">
      <w:pPr>
        <w:tabs>
          <w:tab w:val="left" w:pos="1170"/>
        </w:tabs>
        <w:ind w:left="567" w:right="616"/>
        <w:jc w:val="both"/>
        <w:rPr>
          <w:rFonts w:ascii="Verdana" w:hAnsi="Verdana"/>
          <w:sz w:val="16"/>
          <w:szCs w:val="16"/>
          <w:lang w:val="en-US"/>
        </w:rPr>
      </w:pPr>
      <w:r w:rsidRPr="00E83269">
        <w:rPr>
          <w:rFonts w:ascii="Verdana" w:hAnsi="Verdana"/>
          <w:sz w:val="16"/>
          <w:szCs w:val="16"/>
          <w:lang w:val="en-US"/>
        </w:rPr>
        <w:t>[…]</w:t>
      </w:r>
    </w:p>
    <w:p w14:paraId="144D902B" w14:textId="00B02BBA" w:rsidR="003A3D45" w:rsidRPr="00E83269" w:rsidRDefault="003A3D45" w:rsidP="00BF28FF">
      <w:pPr>
        <w:tabs>
          <w:tab w:val="left" w:pos="1170"/>
        </w:tabs>
        <w:ind w:left="567" w:right="616"/>
        <w:jc w:val="both"/>
        <w:rPr>
          <w:rFonts w:ascii="Verdana" w:hAnsi="Verdana"/>
          <w:sz w:val="16"/>
          <w:szCs w:val="16"/>
          <w:lang w:val="en-US"/>
        </w:rPr>
      </w:pPr>
      <w:r w:rsidRPr="00E83269">
        <w:rPr>
          <w:rFonts w:ascii="Verdana" w:hAnsi="Verdana"/>
          <w:sz w:val="16"/>
          <w:szCs w:val="16"/>
          <w:lang w:val="en-US"/>
        </w:rPr>
        <w:t>133.</w:t>
      </w:r>
      <w:r w:rsidRPr="00E83269">
        <w:rPr>
          <w:rFonts w:ascii="Verdana" w:hAnsi="Verdana"/>
          <w:sz w:val="16"/>
          <w:szCs w:val="16"/>
          <w:lang w:val="en-US"/>
        </w:rPr>
        <w:tab/>
      </w:r>
      <w:r w:rsidR="00013987" w:rsidRPr="00E83269">
        <w:rPr>
          <w:rFonts w:ascii="Verdana" w:eastAsiaTheme="minorHAnsi" w:hAnsi="Verdana" w:cs="Verdana"/>
          <w:sz w:val="16"/>
          <w:szCs w:val="16"/>
          <w:lang w:val="en-US"/>
        </w:rPr>
        <w:t>First, the Court has stated that in ensuring the effective participation of members of the Saramaka people in development or investment plans within their territory, the State has a duty to actively consult with said community according to their customs and traditions (</w:t>
      </w:r>
      <w:r w:rsidR="00013987" w:rsidRPr="00E83269">
        <w:rPr>
          <w:rFonts w:ascii="Verdana" w:eastAsiaTheme="minorHAnsi" w:hAnsi="Verdana" w:cs="Verdana"/>
          <w:i/>
          <w:iCs/>
          <w:sz w:val="16"/>
          <w:szCs w:val="16"/>
          <w:lang w:val="en-US"/>
        </w:rPr>
        <w:t xml:space="preserve">supra </w:t>
      </w:r>
      <w:r w:rsidR="00013987" w:rsidRPr="00E83269">
        <w:rPr>
          <w:rFonts w:ascii="Verdana" w:eastAsiaTheme="minorHAnsi" w:hAnsi="Verdana" w:cs="Verdana"/>
          <w:sz w:val="16"/>
          <w:szCs w:val="16"/>
          <w:lang w:val="en-US"/>
        </w:rPr>
        <w:t xml:space="preserve">para. 129). This duty requires the State to both accept and disseminate </w:t>
      </w:r>
      <w:r w:rsidR="00525E62" w:rsidRPr="00E83269">
        <w:rPr>
          <w:rFonts w:ascii="Verdana" w:eastAsiaTheme="minorHAnsi" w:hAnsi="Verdana" w:cs="Verdana"/>
          <w:sz w:val="16"/>
          <w:szCs w:val="16"/>
          <w:lang w:val="en-US"/>
        </w:rPr>
        <w:t>information and</w:t>
      </w:r>
      <w:r w:rsidR="00013987" w:rsidRPr="00E83269">
        <w:rPr>
          <w:rFonts w:ascii="Verdana" w:eastAsiaTheme="minorHAnsi" w:hAnsi="Verdana" w:cs="Verdana"/>
          <w:sz w:val="16"/>
          <w:szCs w:val="16"/>
          <w:lang w:val="en-US"/>
        </w:rPr>
        <w:t xml:space="preserve"> entails constant communication between the parties. These consultations must be in good faith, through culturally appropriate procedures and with the objective of reaching an agreement. Furthermore, the Saramakas must be consulted, in accordance with their own traditions, at the early stages of a development or investment plan, not only when the need arises to obtain approval from the community, if such is the case. Early notice provides time for internal discussion within communities and for proper feedback to the State. The State must also ensure that members of the Saramaka people are aware of possible risks, including environmental and health risks, in order that the proposed development or investment plan is accepted knowingly and voluntarily. Finally, consultation should take account of the Saramaka people’s traditional methods of decision-making.</w:t>
      </w:r>
    </w:p>
    <w:p w14:paraId="6F459465" w14:textId="487AA2B6" w:rsidR="003A3D45" w:rsidRPr="00E83269" w:rsidRDefault="003A3D45" w:rsidP="00BF28FF">
      <w:pPr>
        <w:tabs>
          <w:tab w:val="left" w:pos="1170"/>
        </w:tabs>
        <w:ind w:left="567" w:right="616"/>
        <w:jc w:val="both"/>
        <w:rPr>
          <w:rFonts w:ascii="Verdana" w:hAnsi="Verdana"/>
          <w:sz w:val="16"/>
          <w:szCs w:val="16"/>
          <w:lang w:val="en-US"/>
        </w:rPr>
      </w:pPr>
      <w:r w:rsidRPr="00E83269">
        <w:rPr>
          <w:rFonts w:ascii="Verdana" w:hAnsi="Verdana"/>
          <w:sz w:val="16"/>
          <w:szCs w:val="16"/>
          <w:lang w:val="en-US"/>
        </w:rPr>
        <w:t>[…]</w:t>
      </w:r>
    </w:p>
    <w:p w14:paraId="79BFC38D" w14:textId="0AB2ADEE" w:rsidR="00013987" w:rsidRPr="00E83269" w:rsidRDefault="003A3D45" w:rsidP="00BF28FF">
      <w:pPr>
        <w:tabs>
          <w:tab w:val="left" w:pos="1170"/>
        </w:tabs>
        <w:ind w:left="567" w:right="616"/>
        <w:jc w:val="both"/>
        <w:rPr>
          <w:rFonts w:ascii="Verdana" w:hAnsi="Verdana"/>
          <w:sz w:val="16"/>
          <w:szCs w:val="16"/>
          <w:lang w:val="en-US"/>
        </w:rPr>
      </w:pPr>
      <w:r w:rsidRPr="00E83269">
        <w:rPr>
          <w:rFonts w:ascii="Verdana" w:hAnsi="Verdana"/>
          <w:sz w:val="16"/>
          <w:szCs w:val="16"/>
          <w:lang w:val="en-US"/>
        </w:rPr>
        <w:t>143.</w:t>
      </w:r>
      <w:r w:rsidRPr="00E83269">
        <w:rPr>
          <w:rFonts w:ascii="Verdana" w:hAnsi="Verdana"/>
          <w:sz w:val="16"/>
          <w:szCs w:val="16"/>
          <w:lang w:val="en-US"/>
        </w:rPr>
        <w:tab/>
      </w:r>
      <w:r w:rsidR="00013987" w:rsidRPr="00E83269">
        <w:rPr>
          <w:rFonts w:ascii="Verdana" w:eastAsiaTheme="minorHAnsi" w:hAnsi="Verdana" w:cs="Verdana"/>
          <w:sz w:val="16"/>
          <w:szCs w:val="16"/>
          <w:lang w:val="en-US"/>
        </w:rPr>
        <w:t xml:space="preserve">As mentioned above, Article 21 of the Convention does not </w:t>
      </w:r>
      <w:r w:rsidR="00013987" w:rsidRPr="00E83269">
        <w:rPr>
          <w:rFonts w:ascii="Verdana" w:eastAsiaTheme="minorHAnsi" w:hAnsi="Verdana" w:cs="Verdana"/>
          <w:i/>
          <w:iCs/>
          <w:sz w:val="16"/>
          <w:szCs w:val="16"/>
          <w:lang w:val="en-US"/>
        </w:rPr>
        <w:t xml:space="preserve">per se </w:t>
      </w:r>
      <w:r w:rsidR="00013987" w:rsidRPr="00E83269">
        <w:rPr>
          <w:rFonts w:ascii="Verdana" w:eastAsiaTheme="minorHAnsi" w:hAnsi="Verdana" w:cs="Verdana"/>
          <w:sz w:val="16"/>
          <w:szCs w:val="16"/>
          <w:lang w:val="en-US"/>
        </w:rPr>
        <w:t>preclude the issuance of concessions for the exploration and exploitation of natural resources in indigenous or tribal territories. Nonetheless, if the State wants to restrict, legitimately, the Saramakas’ right to communal property, it must consult with the communities affected by the development or investment project planned within territories which they have traditionally occupied, reasonably share the benefits with them, and complete prior assessments of the environmental and social impact of the project (</w:t>
      </w:r>
      <w:r w:rsidR="00013987" w:rsidRPr="00E83269">
        <w:rPr>
          <w:rFonts w:ascii="Verdana" w:eastAsiaTheme="minorHAnsi" w:hAnsi="Verdana" w:cs="Verdana"/>
          <w:i/>
          <w:iCs/>
          <w:sz w:val="16"/>
          <w:szCs w:val="16"/>
          <w:lang w:val="en-US"/>
        </w:rPr>
        <w:t xml:space="preserve">supra </w:t>
      </w:r>
      <w:r w:rsidR="00013987" w:rsidRPr="00E83269">
        <w:rPr>
          <w:rFonts w:ascii="Verdana" w:eastAsiaTheme="minorHAnsi" w:hAnsi="Verdana" w:cs="Verdana"/>
          <w:sz w:val="16"/>
          <w:szCs w:val="16"/>
          <w:lang w:val="en-US"/>
        </w:rPr>
        <w:t>paras. 126-129).</w:t>
      </w:r>
    </w:p>
    <w:p w14:paraId="494E8F2D" w14:textId="2BAE7048" w:rsidR="003A3D45" w:rsidRPr="00E83269" w:rsidRDefault="00013987" w:rsidP="00BF28FF">
      <w:pPr>
        <w:tabs>
          <w:tab w:val="left" w:pos="1170"/>
        </w:tabs>
        <w:ind w:left="567" w:right="616"/>
        <w:jc w:val="both"/>
        <w:rPr>
          <w:rFonts w:ascii="Verdana" w:hAnsi="Verdana"/>
          <w:sz w:val="16"/>
          <w:szCs w:val="16"/>
          <w:lang w:val="en-US"/>
        </w:rPr>
      </w:pPr>
      <w:r w:rsidRPr="00E83269">
        <w:rPr>
          <w:rFonts w:ascii="Verdana" w:hAnsi="Verdana"/>
          <w:sz w:val="16"/>
          <w:szCs w:val="16"/>
          <w:lang w:val="en-US"/>
        </w:rPr>
        <w:t xml:space="preserve"> </w:t>
      </w:r>
      <w:r w:rsidR="003A3D45" w:rsidRPr="00E83269">
        <w:rPr>
          <w:rFonts w:ascii="Verdana" w:hAnsi="Verdana"/>
          <w:sz w:val="16"/>
          <w:szCs w:val="16"/>
          <w:lang w:val="en-US"/>
        </w:rPr>
        <w:t>[…]</w:t>
      </w:r>
    </w:p>
    <w:p w14:paraId="14407181" w14:textId="09654D2A" w:rsidR="00013987" w:rsidRPr="00E83269" w:rsidRDefault="003A3D45" w:rsidP="00BF28FF">
      <w:pPr>
        <w:tabs>
          <w:tab w:val="left" w:pos="1170"/>
        </w:tabs>
        <w:ind w:left="567" w:right="616"/>
        <w:jc w:val="both"/>
        <w:rPr>
          <w:rFonts w:ascii="Verdana" w:hAnsi="Verdana"/>
          <w:sz w:val="16"/>
          <w:szCs w:val="16"/>
          <w:lang w:val="en-US"/>
        </w:rPr>
      </w:pPr>
      <w:r w:rsidRPr="00E83269">
        <w:rPr>
          <w:rFonts w:ascii="Verdana" w:hAnsi="Verdana"/>
          <w:sz w:val="16"/>
          <w:szCs w:val="16"/>
          <w:lang w:val="en-US"/>
        </w:rPr>
        <w:t>155.</w:t>
      </w:r>
      <w:r w:rsidRPr="00E83269">
        <w:rPr>
          <w:rFonts w:ascii="Verdana" w:hAnsi="Verdana"/>
          <w:sz w:val="16"/>
          <w:szCs w:val="16"/>
          <w:lang w:val="en-US"/>
        </w:rPr>
        <w:tab/>
      </w:r>
      <w:r w:rsidR="00C93224" w:rsidRPr="00E83269">
        <w:rPr>
          <w:rFonts w:ascii="Verdana" w:hAnsi="Verdana"/>
          <w:sz w:val="16"/>
          <w:szCs w:val="16"/>
          <w:lang w:val="en-US"/>
        </w:rPr>
        <w:t>The Court</w:t>
      </w:r>
      <w:r w:rsidRPr="00E83269">
        <w:rPr>
          <w:rFonts w:ascii="Verdana" w:hAnsi="Verdana"/>
          <w:sz w:val="16"/>
          <w:szCs w:val="16"/>
          <w:lang w:val="en-US"/>
        </w:rPr>
        <w:t xml:space="preserve"> </w:t>
      </w:r>
      <w:r w:rsidR="00013987" w:rsidRPr="00E83269">
        <w:rPr>
          <w:rFonts w:ascii="Verdana" w:eastAsiaTheme="minorHAnsi" w:hAnsi="Verdana" w:cs="Verdana"/>
          <w:sz w:val="16"/>
          <w:szCs w:val="16"/>
          <w:lang w:val="en-US"/>
        </w:rPr>
        <w:t>must also analyze whether gold-mining concessions within traditional Saramaka territory have affected natural resources that have been traditionally used and are necessary for the survival of the members of the Saramaka people. According to the evidence submitted before the Court, the members of the Saramaka people have not traditionally used gold as part of their cultural identity or economic system. Despite possible individual exceptions, members of the Saramaka people do not identify themselves with gold nor have they demonstrated a particular relationship with this natural resource, other than claiming a general right to “own everything, from the very top of the trees to the very deepest place that you could go under the ground.” Nevertheless, as stated above (</w:t>
      </w:r>
      <w:r w:rsidR="00013987" w:rsidRPr="00E83269">
        <w:rPr>
          <w:rFonts w:ascii="Verdana" w:eastAsiaTheme="minorHAnsi" w:hAnsi="Verdana" w:cs="Verdana"/>
          <w:i/>
          <w:iCs/>
          <w:sz w:val="16"/>
          <w:szCs w:val="16"/>
          <w:lang w:val="en-US"/>
        </w:rPr>
        <w:t xml:space="preserve">supra </w:t>
      </w:r>
      <w:r w:rsidR="00013987" w:rsidRPr="00E83269">
        <w:rPr>
          <w:rFonts w:ascii="Verdana" w:eastAsiaTheme="minorHAnsi" w:hAnsi="Verdana" w:cs="Verdana"/>
          <w:sz w:val="16"/>
          <w:szCs w:val="16"/>
          <w:lang w:val="en-US"/>
        </w:rPr>
        <w:t>paras. 126-129), because any gold mining activity within Saramaka territory will necessarily affect other natural resources necessary for the survival of the Saramakas, such as waterways, the State has a duty to consult with them, in conformity with their traditions and customs, regarding any proposed mining concession within Saramaka territory, as well as to allow the members of the community to reasonably participate in the benefits derived from any such possible concession, and perform or supervise an assessment on the environmental and social impact prior to the commencement of the project. The same analysis applies regarding other concessions within Saramaka territory involving natural resources which have not been traditionally used by members of the Saramaka community, the extraction of which will necessarily affect other resources that are vital to their way of life.</w:t>
      </w:r>
    </w:p>
    <w:p w14:paraId="087D70F6" w14:textId="77777777" w:rsidR="00F94C71" w:rsidRPr="00525E62" w:rsidRDefault="00F94C71" w:rsidP="00133754">
      <w:pPr>
        <w:pStyle w:val="ListParagraph"/>
        <w:ind w:left="0"/>
        <w:jc w:val="both"/>
        <w:rPr>
          <w:rFonts w:ascii="Verdana" w:hAnsi="Verdana"/>
          <w:sz w:val="20"/>
          <w:lang w:val="en-US"/>
        </w:rPr>
      </w:pPr>
    </w:p>
    <w:p w14:paraId="4F6348A3" w14:textId="64522BE8" w:rsidR="00515461" w:rsidRPr="00E83269" w:rsidRDefault="00013987" w:rsidP="00BC4FF3">
      <w:pPr>
        <w:pStyle w:val="ListParagraph"/>
        <w:numPr>
          <w:ilvl w:val="0"/>
          <w:numId w:val="2"/>
        </w:numPr>
        <w:ind w:left="0" w:firstLine="0"/>
        <w:jc w:val="both"/>
        <w:rPr>
          <w:rFonts w:ascii="Verdana" w:hAnsi="Verdana"/>
          <w:sz w:val="20"/>
          <w:lang w:val="en-US"/>
        </w:rPr>
      </w:pPr>
      <w:r w:rsidRPr="00E83269">
        <w:rPr>
          <w:rFonts w:ascii="Verdana" w:hAnsi="Verdana"/>
          <w:sz w:val="20"/>
          <w:lang w:val="en-US"/>
        </w:rPr>
        <w:t xml:space="preserve">In the order issued on </w:t>
      </w:r>
      <w:r w:rsidR="002462D1" w:rsidRPr="00E83269">
        <w:rPr>
          <w:rFonts w:ascii="Verdana" w:hAnsi="Verdana"/>
          <w:sz w:val="20"/>
          <w:lang w:val="en-US"/>
        </w:rPr>
        <w:t>November 23,</w:t>
      </w:r>
      <w:r w:rsidR="002565E0" w:rsidRPr="00E83269">
        <w:rPr>
          <w:rFonts w:ascii="Verdana" w:hAnsi="Verdana"/>
          <w:sz w:val="20"/>
          <w:lang w:val="en-US"/>
        </w:rPr>
        <w:t xml:space="preserve"> 2011, </w:t>
      </w:r>
      <w:r w:rsidRPr="00E83269">
        <w:rPr>
          <w:rFonts w:ascii="Verdana" w:hAnsi="Verdana"/>
          <w:sz w:val="20"/>
          <w:lang w:val="en-US"/>
        </w:rPr>
        <w:t>the Court considered that</w:t>
      </w:r>
      <w:r w:rsidR="00C84F6E" w:rsidRPr="00E83269">
        <w:rPr>
          <w:rFonts w:ascii="Verdana" w:hAnsi="Verdana"/>
          <w:sz w:val="20"/>
          <w:lang w:val="en-US"/>
        </w:rPr>
        <w:t xml:space="preserve"> “</w:t>
      </w:r>
      <w:r w:rsidR="009C2D9A" w:rsidRPr="00E83269">
        <w:rPr>
          <w:rFonts w:ascii="Verdana" w:hAnsi="Verdana"/>
          <w:sz w:val="20"/>
          <w:lang w:val="en-US"/>
        </w:rPr>
        <w:t xml:space="preserve">the State ha[d] not complied with this obligation and must thus submit updated and detailed information on the specific measures it is implementing in order to delimit, demarcate, and title </w:t>
      </w:r>
      <w:proofErr w:type="spellStart"/>
      <w:r w:rsidR="009C2D9A" w:rsidRPr="00E83269">
        <w:rPr>
          <w:rFonts w:ascii="Verdana" w:hAnsi="Verdana"/>
          <w:sz w:val="20"/>
          <w:lang w:val="en-US"/>
        </w:rPr>
        <w:t>Saramaka</w:t>
      </w:r>
      <w:proofErr w:type="spellEnd"/>
      <w:r w:rsidR="009C2D9A" w:rsidRPr="00E83269">
        <w:rPr>
          <w:rFonts w:ascii="Verdana" w:hAnsi="Verdana"/>
          <w:sz w:val="20"/>
          <w:lang w:val="en-US"/>
        </w:rPr>
        <w:t xml:space="preserve"> territories</w:t>
      </w:r>
      <w:r w:rsidR="00251EF8" w:rsidRPr="00E83269">
        <w:rPr>
          <w:rFonts w:ascii="Verdana" w:hAnsi="Verdana"/>
          <w:sz w:val="20"/>
          <w:lang w:val="en-US"/>
        </w:rPr>
        <w:t xml:space="preserve"> as indicated in the Judgement”. </w:t>
      </w:r>
      <w:r w:rsidR="005F13A5" w:rsidRPr="00E83269">
        <w:rPr>
          <w:rFonts w:ascii="Verdana" w:hAnsi="Verdana"/>
          <w:sz w:val="20"/>
          <w:lang w:val="en-US"/>
        </w:rPr>
        <w:t>It also required the State to provide information</w:t>
      </w:r>
      <w:r w:rsidR="004E1B86" w:rsidRPr="00E83269">
        <w:rPr>
          <w:rFonts w:ascii="Verdana" w:hAnsi="Verdana"/>
          <w:sz w:val="20"/>
          <w:lang w:val="en-US"/>
        </w:rPr>
        <w:t xml:space="preserve"> “</w:t>
      </w:r>
      <w:r w:rsidR="00251EF8" w:rsidRPr="00E83269">
        <w:rPr>
          <w:rFonts w:ascii="Verdana" w:hAnsi="Verdana"/>
          <w:sz w:val="20"/>
          <w:lang w:val="en-US"/>
        </w:rPr>
        <w:t xml:space="preserve">on the specific actions it is taking in order to consult the </w:t>
      </w:r>
      <w:proofErr w:type="spellStart"/>
      <w:r w:rsidR="00251EF8" w:rsidRPr="00E83269">
        <w:rPr>
          <w:rFonts w:ascii="Verdana" w:hAnsi="Verdana"/>
          <w:sz w:val="20"/>
          <w:lang w:val="en-US"/>
        </w:rPr>
        <w:t>Saramaka</w:t>
      </w:r>
      <w:proofErr w:type="spellEnd"/>
      <w:r w:rsidR="00251EF8" w:rsidRPr="00E83269">
        <w:rPr>
          <w:rFonts w:ascii="Verdana" w:hAnsi="Verdana"/>
          <w:sz w:val="20"/>
          <w:lang w:val="en-US"/>
        </w:rPr>
        <w:t xml:space="preserve"> people on the implementation of this particular order, as well as on the results of those consultations”. </w:t>
      </w:r>
      <w:r w:rsidR="005F13A5" w:rsidRPr="00E83269">
        <w:rPr>
          <w:rFonts w:ascii="Verdana" w:hAnsi="Verdana"/>
          <w:sz w:val="20"/>
          <w:lang w:val="en-US"/>
        </w:rPr>
        <w:t xml:space="preserve">Lastly, it required Suriname to present </w:t>
      </w:r>
      <w:r w:rsidR="004E1B86" w:rsidRPr="00E83269">
        <w:rPr>
          <w:rFonts w:ascii="Verdana" w:hAnsi="Verdana"/>
          <w:sz w:val="20"/>
          <w:lang w:val="en-US"/>
        </w:rPr>
        <w:t>“</w:t>
      </w:r>
      <w:r w:rsidR="00251EF8" w:rsidRPr="00E83269">
        <w:rPr>
          <w:rFonts w:ascii="Verdana" w:hAnsi="Verdana"/>
          <w:sz w:val="20"/>
          <w:lang w:val="en-US"/>
        </w:rPr>
        <w:t>a detailed schedule for compliance with this obligation</w:t>
      </w:r>
      <w:r w:rsidR="004E1B86" w:rsidRPr="00E83269">
        <w:rPr>
          <w:rFonts w:ascii="Verdana" w:hAnsi="Verdana"/>
          <w:sz w:val="20"/>
          <w:lang w:val="en-US"/>
        </w:rPr>
        <w:t xml:space="preserve">” </w:t>
      </w:r>
      <w:r w:rsidR="005F13A5" w:rsidRPr="00E83269">
        <w:rPr>
          <w:rFonts w:ascii="Verdana" w:hAnsi="Verdana"/>
          <w:sz w:val="20"/>
          <w:lang w:val="en-US"/>
        </w:rPr>
        <w:t xml:space="preserve">and a </w:t>
      </w:r>
      <w:r w:rsidR="00251EF8" w:rsidRPr="00E83269">
        <w:rPr>
          <w:rFonts w:ascii="Verdana" w:hAnsi="Verdana"/>
          <w:sz w:val="20"/>
          <w:lang w:val="en-US"/>
        </w:rPr>
        <w:t xml:space="preserve">“sketch </w:t>
      </w:r>
      <w:r w:rsidR="005F13A5" w:rsidRPr="00E83269">
        <w:rPr>
          <w:rFonts w:ascii="Verdana" w:hAnsi="Verdana"/>
          <w:sz w:val="20"/>
          <w:lang w:val="en-US"/>
        </w:rPr>
        <w:t>map</w:t>
      </w:r>
      <w:r w:rsidR="004E1B86" w:rsidRPr="00E83269">
        <w:rPr>
          <w:rFonts w:ascii="Verdana" w:hAnsi="Verdana"/>
          <w:sz w:val="20"/>
          <w:lang w:val="en-US"/>
        </w:rPr>
        <w:t xml:space="preserve"> </w:t>
      </w:r>
      <w:r w:rsidR="005F13A5" w:rsidRPr="00E83269">
        <w:rPr>
          <w:rFonts w:ascii="Verdana" w:hAnsi="Verdana"/>
          <w:sz w:val="20"/>
          <w:lang w:val="en-US"/>
        </w:rPr>
        <w:t>that</w:t>
      </w:r>
      <w:r w:rsidR="004E1B86" w:rsidRPr="00E83269">
        <w:rPr>
          <w:rFonts w:ascii="Verdana" w:hAnsi="Verdana"/>
          <w:sz w:val="20"/>
          <w:lang w:val="en-US"/>
        </w:rPr>
        <w:t xml:space="preserve"> </w:t>
      </w:r>
      <w:r w:rsidR="00251EF8" w:rsidRPr="00E83269">
        <w:rPr>
          <w:rFonts w:ascii="Verdana" w:hAnsi="Verdana"/>
          <w:sz w:val="20"/>
          <w:lang w:val="en-US"/>
        </w:rPr>
        <w:t xml:space="preserve">was used by the Association of </w:t>
      </w:r>
      <w:proofErr w:type="spellStart"/>
      <w:r w:rsidR="00251EF8" w:rsidRPr="00E83269">
        <w:rPr>
          <w:rFonts w:ascii="Verdana" w:hAnsi="Verdana"/>
          <w:sz w:val="20"/>
          <w:lang w:val="en-US"/>
        </w:rPr>
        <w:t>Saramaka</w:t>
      </w:r>
      <w:proofErr w:type="spellEnd"/>
      <w:r w:rsidR="00251EF8" w:rsidRPr="00E83269">
        <w:rPr>
          <w:rFonts w:ascii="Verdana" w:hAnsi="Verdana"/>
          <w:sz w:val="20"/>
          <w:lang w:val="en-US"/>
        </w:rPr>
        <w:t xml:space="preserve"> Authorities to hold </w:t>
      </w:r>
      <w:r w:rsidR="004E1B86" w:rsidRPr="00E83269">
        <w:rPr>
          <w:rFonts w:ascii="Verdana" w:hAnsi="Verdana"/>
          <w:sz w:val="20"/>
          <w:lang w:val="en-US"/>
        </w:rPr>
        <w:t>‘</w:t>
      </w:r>
      <w:r w:rsidR="00251EF8" w:rsidRPr="00E83269">
        <w:rPr>
          <w:rFonts w:ascii="Verdana" w:hAnsi="Verdana"/>
          <w:sz w:val="20"/>
          <w:lang w:val="en-US"/>
        </w:rPr>
        <w:t xml:space="preserve">consultations in </w:t>
      </w:r>
      <w:r w:rsidR="00E83269" w:rsidRPr="00E83269">
        <w:rPr>
          <w:rFonts w:ascii="Verdana" w:hAnsi="Verdana"/>
          <w:sz w:val="20"/>
          <w:lang w:val="en-US"/>
        </w:rPr>
        <w:t>[…]</w:t>
      </w:r>
      <w:r w:rsidR="004E1B86" w:rsidRPr="00E83269">
        <w:rPr>
          <w:rFonts w:ascii="Verdana" w:hAnsi="Verdana"/>
          <w:sz w:val="20"/>
          <w:lang w:val="en-US"/>
        </w:rPr>
        <w:t xml:space="preserve"> </w:t>
      </w:r>
      <w:proofErr w:type="spellStart"/>
      <w:r w:rsidR="004E1B86" w:rsidRPr="00E83269">
        <w:rPr>
          <w:rFonts w:ascii="Verdana" w:hAnsi="Verdana"/>
          <w:sz w:val="20"/>
          <w:lang w:val="en-US"/>
        </w:rPr>
        <w:t>Saramaka</w:t>
      </w:r>
      <w:proofErr w:type="spellEnd"/>
      <w:r w:rsidR="00251EF8" w:rsidRPr="00E83269">
        <w:rPr>
          <w:rFonts w:ascii="Verdana" w:hAnsi="Verdana"/>
          <w:sz w:val="20"/>
          <w:lang w:val="en-US"/>
        </w:rPr>
        <w:t xml:space="preserve"> areas</w:t>
      </w:r>
      <w:r w:rsidR="004503F7" w:rsidRPr="00E83269">
        <w:rPr>
          <w:rFonts w:ascii="Verdana" w:hAnsi="Verdana"/>
          <w:sz w:val="20"/>
          <w:lang w:val="en-US"/>
        </w:rPr>
        <w:t>’</w:t>
      </w:r>
      <w:r w:rsidR="004E1B86" w:rsidRPr="00E83269">
        <w:rPr>
          <w:rFonts w:ascii="Verdana" w:hAnsi="Verdana"/>
          <w:sz w:val="20"/>
          <w:lang w:val="en-US"/>
        </w:rPr>
        <w:t>”</w:t>
      </w:r>
      <w:r w:rsidR="00251EF8" w:rsidRPr="00E83269">
        <w:rPr>
          <w:rFonts w:ascii="Verdana" w:hAnsi="Verdana"/>
          <w:sz w:val="20"/>
          <w:lang w:val="en-US"/>
        </w:rPr>
        <w:t xml:space="preserve">. </w:t>
      </w:r>
    </w:p>
    <w:p w14:paraId="2EE662B1" w14:textId="068F213C" w:rsidR="00573BEA" w:rsidRPr="00251EF8" w:rsidRDefault="00251EF8" w:rsidP="00251EF8">
      <w:pPr>
        <w:pStyle w:val="ListParagraph"/>
        <w:tabs>
          <w:tab w:val="left" w:pos="3488"/>
        </w:tabs>
        <w:ind w:left="0"/>
        <w:jc w:val="both"/>
        <w:rPr>
          <w:rFonts w:ascii="Verdana" w:hAnsi="Verdana"/>
          <w:sz w:val="20"/>
          <w:lang w:val="en-US"/>
        </w:rPr>
      </w:pPr>
      <w:r>
        <w:rPr>
          <w:rFonts w:ascii="Verdana" w:hAnsi="Verdana"/>
          <w:sz w:val="20"/>
          <w:lang w:val="en-US"/>
        </w:rPr>
        <w:tab/>
      </w:r>
    </w:p>
    <w:p w14:paraId="5764F318" w14:textId="14926C35" w:rsidR="00573BEA" w:rsidRPr="00E83269" w:rsidRDefault="00E83269" w:rsidP="00BC4FF3">
      <w:pPr>
        <w:pStyle w:val="ListParagraph"/>
        <w:numPr>
          <w:ilvl w:val="0"/>
          <w:numId w:val="2"/>
        </w:numPr>
        <w:ind w:left="0" w:firstLine="0"/>
        <w:jc w:val="both"/>
        <w:rPr>
          <w:rFonts w:ascii="Verdana" w:hAnsi="Verdana"/>
          <w:sz w:val="20"/>
          <w:lang w:val="en-US"/>
        </w:rPr>
      </w:pPr>
      <w:r>
        <w:rPr>
          <w:rFonts w:ascii="Verdana" w:hAnsi="Verdana"/>
          <w:sz w:val="20"/>
          <w:lang w:val="en-US"/>
        </w:rPr>
        <w:t>Additionally</w:t>
      </w:r>
      <w:r w:rsidR="005F13A5" w:rsidRPr="00E83269">
        <w:rPr>
          <w:rFonts w:ascii="Verdana" w:hAnsi="Verdana"/>
          <w:sz w:val="20"/>
          <w:lang w:val="en-US"/>
        </w:rPr>
        <w:t xml:space="preserve">, the Court emphasized that, according to the time frame granted in </w:t>
      </w:r>
      <w:r w:rsidR="00C93224" w:rsidRPr="00E83269">
        <w:rPr>
          <w:rFonts w:ascii="Verdana" w:hAnsi="Verdana"/>
          <w:sz w:val="20"/>
          <w:lang w:val="en-US"/>
        </w:rPr>
        <w:t>the judgment</w:t>
      </w:r>
      <w:r w:rsidR="00573BEA" w:rsidRPr="00E83269">
        <w:rPr>
          <w:rFonts w:ascii="Verdana" w:hAnsi="Verdana"/>
          <w:sz w:val="20"/>
          <w:lang w:val="en-US"/>
        </w:rPr>
        <w:t xml:space="preserve">, </w:t>
      </w:r>
      <w:r w:rsidR="005D679B" w:rsidRPr="00E83269">
        <w:rPr>
          <w:rFonts w:ascii="Verdana" w:hAnsi="Verdana"/>
          <w:sz w:val="20"/>
          <w:lang w:val="en-US"/>
        </w:rPr>
        <w:t>the State</w:t>
      </w:r>
      <w:r w:rsidR="00573BEA" w:rsidRPr="00E83269">
        <w:rPr>
          <w:rFonts w:ascii="Verdana" w:hAnsi="Verdana"/>
          <w:sz w:val="20"/>
          <w:lang w:val="en-US"/>
        </w:rPr>
        <w:t xml:space="preserve"> </w:t>
      </w:r>
      <w:r w:rsidR="005F13A5" w:rsidRPr="00E83269">
        <w:rPr>
          <w:rFonts w:ascii="Verdana" w:hAnsi="Verdana"/>
          <w:sz w:val="20"/>
          <w:lang w:val="en-US"/>
        </w:rPr>
        <w:t>should have complied with this reparation within three years of its notification. Therefore</w:t>
      </w:r>
      <w:r w:rsidR="00573BEA" w:rsidRPr="00E83269">
        <w:rPr>
          <w:rFonts w:ascii="Verdana" w:hAnsi="Verdana"/>
          <w:sz w:val="20"/>
          <w:lang w:val="en-US"/>
        </w:rPr>
        <w:t xml:space="preserve">, </w:t>
      </w:r>
      <w:r w:rsidR="00F303E4" w:rsidRPr="00E83269">
        <w:rPr>
          <w:rFonts w:ascii="Verdana" w:hAnsi="Verdana"/>
          <w:sz w:val="20"/>
          <w:lang w:val="en-US"/>
        </w:rPr>
        <w:t>“</w:t>
      </w:r>
      <w:r w:rsidR="00251EF8" w:rsidRPr="00E83269">
        <w:rPr>
          <w:rFonts w:ascii="Verdana" w:hAnsi="Verdana"/>
          <w:sz w:val="20"/>
          <w:lang w:val="en-US"/>
        </w:rPr>
        <w:t>this measure of reparation should have been implemented by December 2010, at the latest</w:t>
      </w:r>
      <w:r w:rsidR="00573BEA" w:rsidRPr="00E83269">
        <w:rPr>
          <w:rFonts w:ascii="Verdana" w:hAnsi="Verdana"/>
          <w:sz w:val="20"/>
          <w:lang w:val="en-US"/>
        </w:rPr>
        <w:t>”</w:t>
      </w:r>
      <w:r w:rsidR="00251EF8" w:rsidRPr="00E83269">
        <w:rPr>
          <w:rFonts w:ascii="Verdana" w:hAnsi="Verdana"/>
          <w:sz w:val="20"/>
          <w:lang w:val="en-US"/>
        </w:rPr>
        <w:t>.</w:t>
      </w:r>
    </w:p>
    <w:p w14:paraId="56CED4E8" w14:textId="77777777" w:rsidR="00515461" w:rsidRPr="00251EF8" w:rsidRDefault="00515461" w:rsidP="00515461">
      <w:pPr>
        <w:pStyle w:val="ListParagraph"/>
        <w:rPr>
          <w:rFonts w:ascii="Verdana" w:hAnsi="Verdana"/>
          <w:sz w:val="20"/>
          <w:lang w:val="en-US"/>
        </w:rPr>
      </w:pPr>
    </w:p>
    <w:p w14:paraId="57CAA56A" w14:textId="0B805126" w:rsidR="00F119A9" w:rsidRPr="00E83269" w:rsidRDefault="005F13A5" w:rsidP="00BC4FF3">
      <w:pPr>
        <w:pStyle w:val="ListParagraph"/>
        <w:numPr>
          <w:ilvl w:val="0"/>
          <w:numId w:val="2"/>
        </w:numPr>
        <w:ind w:left="0" w:firstLine="0"/>
        <w:jc w:val="both"/>
        <w:rPr>
          <w:rFonts w:ascii="Verdana" w:hAnsi="Verdana"/>
          <w:sz w:val="20"/>
          <w:lang w:val="en-US"/>
        </w:rPr>
      </w:pPr>
      <w:bookmarkStart w:id="22" w:name="_Ref526771051"/>
      <w:r w:rsidRPr="00E83269">
        <w:rPr>
          <w:rFonts w:ascii="Verdana" w:hAnsi="Verdana"/>
          <w:sz w:val="20"/>
          <w:lang w:val="en-US"/>
        </w:rPr>
        <w:t xml:space="preserve">Moreover, in the said order of 2011, the Court determined that, since the </w:t>
      </w:r>
      <w:r w:rsidR="00770F54" w:rsidRPr="00E83269">
        <w:rPr>
          <w:rFonts w:ascii="Verdana" w:hAnsi="Verdana"/>
          <w:sz w:val="20"/>
          <w:lang w:val="en-US"/>
        </w:rPr>
        <w:t>“</w:t>
      </w:r>
      <w:r w:rsidR="00251EF8" w:rsidRPr="00E83269">
        <w:rPr>
          <w:rFonts w:ascii="Verdana" w:hAnsi="Verdana"/>
          <w:sz w:val="20"/>
          <w:lang w:val="en-US"/>
        </w:rPr>
        <w:t xml:space="preserve">titling of </w:t>
      </w:r>
      <w:proofErr w:type="spellStart"/>
      <w:r w:rsidR="00251EF8" w:rsidRPr="00E83269">
        <w:rPr>
          <w:rFonts w:ascii="Verdana" w:hAnsi="Verdana"/>
          <w:sz w:val="20"/>
          <w:lang w:val="en-US"/>
        </w:rPr>
        <w:t>Saramaka</w:t>
      </w:r>
      <w:proofErr w:type="spellEnd"/>
      <w:r w:rsidR="00251EF8" w:rsidRPr="00E83269">
        <w:rPr>
          <w:rFonts w:ascii="Verdana" w:hAnsi="Verdana"/>
          <w:sz w:val="20"/>
          <w:lang w:val="en-US"/>
        </w:rPr>
        <w:t xml:space="preserve"> lands has not yet been carried out […], the Court considers that the granting of any new concessions in those territories after December 19, 2007, the date on which the Judgement was served, without the consent of the </w:t>
      </w:r>
      <w:proofErr w:type="spellStart"/>
      <w:r w:rsidR="00251EF8" w:rsidRPr="00E83269">
        <w:rPr>
          <w:rFonts w:ascii="Verdana" w:hAnsi="Verdana"/>
          <w:sz w:val="20"/>
          <w:lang w:val="en-US"/>
        </w:rPr>
        <w:t>Saramaka</w:t>
      </w:r>
      <w:proofErr w:type="spellEnd"/>
      <w:r w:rsidR="00251EF8" w:rsidRPr="00E83269">
        <w:rPr>
          <w:rFonts w:ascii="Verdana" w:hAnsi="Verdana"/>
          <w:sz w:val="20"/>
          <w:lang w:val="en-US"/>
        </w:rPr>
        <w:t xml:space="preserve"> and without prior environmental and social impact assessments, would constitute a direct contravention of the Court’s decision and, accor</w:t>
      </w:r>
      <w:r w:rsidR="005529C5" w:rsidRPr="00E83269">
        <w:rPr>
          <w:rFonts w:ascii="Verdana" w:hAnsi="Verdana"/>
          <w:sz w:val="20"/>
          <w:lang w:val="en-US"/>
        </w:rPr>
        <w:t>dingly, of the State’s international treaty obligations</w:t>
      </w:r>
      <w:r w:rsidR="00C84F6E" w:rsidRPr="00E83269">
        <w:rPr>
          <w:rFonts w:ascii="Verdana" w:hAnsi="Verdana"/>
          <w:sz w:val="20"/>
          <w:lang w:val="en-US"/>
        </w:rPr>
        <w:t>”</w:t>
      </w:r>
      <w:r w:rsidR="005529C5" w:rsidRPr="00E83269">
        <w:rPr>
          <w:rFonts w:ascii="Verdana" w:hAnsi="Verdana"/>
          <w:sz w:val="20"/>
          <w:lang w:val="en-US"/>
        </w:rPr>
        <w:t>.</w:t>
      </w:r>
      <w:r w:rsidR="00215CC4" w:rsidRPr="00E83269">
        <w:rPr>
          <w:rFonts w:ascii="Verdana" w:hAnsi="Verdana"/>
          <w:sz w:val="20"/>
          <w:lang w:val="en-US"/>
        </w:rPr>
        <w:t xml:space="preserve"> </w:t>
      </w:r>
      <w:r w:rsidRPr="00E83269">
        <w:rPr>
          <w:rFonts w:ascii="Verdana" w:hAnsi="Verdana"/>
          <w:sz w:val="20"/>
          <w:lang w:val="en-US"/>
        </w:rPr>
        <w:t xml:space="preserve">Additionally, the State was required to provide </w:t>
      </w:r>
      <w:r w:rsidR="004E1B86" w:rsidRPr="00E83269">
        <w:rPr>
          <w:rFonts w:ascii="Verdana" w:hAnsi="Verdana"/>
          <w:sz w:val="20"/>
          <w:lang w:val="en-US"/>
        </w:rPr>
        <w:t>“</w:t>
      </w:r>
      <w:r w:rsidR="005529C5" w:rsidRPr="00E83269">
        <w:rPr>
          <w:rFonts w:ascii="Verdana" w:hAnsi="Verdana"/>
          <w:sz w:val="20"/>
          <w:lang w:val="en-US"/>
        </w:rPr>
        <w:t xml:space="preserve">detailed information on whether it has reviewed concessions existing in </w:t>
      </w:r>
      <w:proofErr w:type="spellStart"/>
      <w:r w:rsidR="005529C5" w:rsidRPr="00E83269">
        <w:rPr>
          <w:rFonts w:ascii="Verdana" w:hAnsi="Verdana"/>
          <w:sz w:val="20"/>
          <w:lang w:val="en-US"/>
        </w:rPr>
        <w:t>Saramaka</w:t>
      </w:r>
      <w:proofErr w:type="spellEnd"/>
      <w:r w:rsidR="005529C5" w:rsidRPr="00E83269">
        <w:rPr>
          <w:rFonts w:ascii="Verdana" w:hAnsi="Verdana"/>
          <w:sz w:val="20"/>
          <w:lang w:val="en-US"/>
        </w:rPr>
        <w:t xml:space="preserve"> territory prior to the issuance of the Judgement</w:t>
      </w:r>
      <w:r w:rsidR="004E1B86" w:rsidRPr="00E83269">
        <w:rPr>
          <w:rFonts w:ascii="Verdana" w:hAnsi="Verdana"/>
          <w:sz w:val="20"/>
          <w:lang w:val="en-US"/>
        </w:rPr>
        <w:t>”</w:t>
      </w:r>
      <w:r w:rsidR="004E1B86" w:rsidRPr="00E83269">
        <w:rPr>
          <w:rStyle w:val="FootnoteReference"/>
          <w:rFonts w:ascii="Verdana" w:hAnsi="Verdana"/>
          <w:sz w:val="20"/>
          <w:lang w:val="en-US"/>
        </w:rPr>
        <w:footnoteReference w:id="21"/>
      </w:r>
      <w:r w:rsidR="004E1B86" w:rsidRPr="00E83269">
        <w:rPr>
          <w:rFonts w:ascii="Verdana" w:hAnsi="Verdana"/>
          <w:sz w:val="20"/>
          <w:lang w:val="en-US"/>
        </w:rPr>
        <w:t xml:space="preserve"> </w:t>
      </w:r>
      <w:r w:rsidRPr="00E83269">
        <w:rPr>
          <w:rFonts w:ascii="Verdana" w:hAnsi="Verdana"/>
          <w:sz w:val="20"/>
          <w:lang w:val="en-US"/>
        </w:rPr>
        <w:t>and also with regard to</w:t>
      </w:r>
      <w:r w:rsidR="004E1B86" w:rsidRPr="00E83269">
        <w:rPr>
          <w:rFonts w:ascii="Verdana" w:hAnsi="Verdana"/>
          <w:sz w:val="20"/>
          <w:lang w:val="en-US"/>
        </w:rPr>
        <w:t xml:space="preserve"> “</w:t>
      </w:r>
      <w:r w:rsidR="005529C5" w:rsidRPr="00E83269">
        <w:rPr>
          <w:rFonts w:ascii="Verdana" w:hAnsi="Verdana"/>
          <w:sz w:val="20"/>
          <w:lang w:val="en-US"/>
        </w:rPr>
        <w:t>all the logging and mining concessions allegedly granted after the Judgement was served</w:t>
      </w:r>
      <w:r w:rsidR="004E1B86" w:rsidRPr="00E83269">
        <w:rPr>
          <w:rFonts w:ascii="Verdana" w:hAnsi="Verdana"/>
          <w:sz w:val="20"/>
          <w:lang w:val="en-US"/>
        </w:rPr>
        <w:t>”</w:t>
      </w:r>
      <w:r w:rsidR="00515461" w:rsidRPr="00E83269">
        <w:rPr>
          <w:rStyle w:val="FootnoteReference"/>
          <w:rFonts w:ascii="Verdana" w:hAnsi="Verdana"/>
          <w:sz w:val="20"/>
          <w:lang w:val="en-US"/>
        </w:rPr>
        <w:footnoteReference w:id="22"/>
      </w:r>
      <w:bookmarkEnd w:id="22"/>
      <w:r w:rsidR="005529C5" w:rsidRPr="00E83269">
        <w:rPr>
          <w:rFonts w:ascii="Verdana" w:hAnsi="Verdana"/>
          <w:sz w:val="20"/>
          <w:lang w:val="en-US"/>
        </w:rPr>
        <w:t>.</w:t>
      </w:r>
    </w:p>
    <w:p w14:paraId="1438CB3F" w14:textId="77777777" w:rsidR="00770F54" w:rsidRPr="005529C5" w:rsidRDefault="00770F54" w:rsidP="00770F54">
      <w:pPr>
        <w:pStyle w:val="ListParagraph"/>
        <w:rPr>
          <w:rFonts w:ascii="Verdana" w:hAnsi="Verdana"/>
          <w:sz w:val="20"/>
          <w:lang w:val="en-US"/>
        </w:rPr>
      </w:pPr>
    </w:p>
    <w:p w14:paraId="61D9ED67" w14:textId="6F039CF3" w:rsidR="00770F54" w:rsidRPr="00E83269" w:rsidRDefault="005F13A5" w:rsidP="00BC4FF3">
      <w:pPr>
        <w:pStyle w:val="ListParagraph"/>
        <w:numPr>
          <w:ilvl w:val="0"/>
          <w:numId w:val="2"/>
        </w:numPr>
        <w:ind w:left="0" w:firstLine="0"/>
        <w:jc w:val="both"/>
        <w:rPr>
          <w:rFonts w:ascii="Verdana" w:hAnsi="Verdana"/>
          <w:sz w:val="20"/>
          <w:lang w:val="en-US"/>
        </w:rPr>
      </w:pPr>
      <w:bookmarkStart w:id="23" w:name="_Ref530057291"/>
      <w:bookmarkStart w:id="24" w:name="_Ref526771394"/>
      <w:r w:rsidRPr="00E83269">
        <w:rPr>
          <w:rFonts w:ascii="Verdana" w:hAnsi="Verdana"/>
          <w:sz w:val="20"/>
          <w:lang w:val="en-US"/>
        </w:rPr>
        <w:t xml:space="preserve">Lastly, in </w:t>
      </w:r>
      <w:r w:rsidR="00BF28FF" w:rsidRPr="00E83269">
        <w:rPr>
          <w:rFonts w:ascii="Verdana" w:hAnsi="Verdana"/>
          <w:sz w:val="20"/>
          <w:lang w:val="en-US"/>
        </w:rPr>
        <w:t>its</w:t>
      </w:r>
      <w:r w:rsidRPr="00E83269">
        <w:rPr>
          <w:rFonts w:ascii="Verdana" w:hAnsi="Verdana"/>
          <w:sz w:val="20"/>
          <w:lang w:val="en-US"/>
        </w:rPr>
        <w:t xml:space="preserve"> order of September 2013, the Court asked the State “to forward to the Court a complete, detailed and specific report” on the alleged granting of a mining concession in </w:t>
      </w:r>
      <w:proofErr w:type="spellStart"/>
      <w:r w:rsidRPr="00E83269">
        <w:rPr>
          <w:rFonts w:ascii="Verdana" w:hAnsi="Verdana"/>
          <w:sz w:val="20"/>
          <w:lang w:val="en-US"/>
        </w:rPr>
        <w:t>Saramaka</w:t>
      </w:r>
      <w:proofErr w:type="spellEnd"/>
      <w:r w:rsidRPr="00E83269">
        <w:rPr>
          <w:rFonts w:ascii="Verdana" w:hAnsi="Verdana"/>
          <w:sz w:val="20"/>
          <w:lang w:val="en-US"/>
        </w:rPr>
        <w:t xml:space="preserve"> territory</w:t>
      </w:r>
      <w:r w:rsidR="00BF28FF" w:rsidRPr="00E83269">
        <w:rPr>
          <w:rFonts w:ascii="Verdana" w:hAnsi="Verdana"/>
          <w:sz w:val="20"/>
          <w:lang w:val="en-US"/>
        </w:rPr>
        <w:t xml:space="preserve"> to IAMGOLD</w:t>
      </w:r>
      <w:r w:rsidRPr="00E83269">
        <w:rPr>
          <w:rFonts w:ascii="Verdana" w:hAnsi="Verdana"/>
          <w:sz w:val="20"/>
          <w:lang w:val="en-US"/>
        </w:rPr>
        <w:t xml:space="preserve"> in June 2013,</w:t>
      </w:r>
      <w:r w:rsidR="00F830A7" w:rsidRPr="00E83269">
        <w:rPr>
          <w:rStyle w:val="FootnoteReference"/>
          <w:rFonts w:ascii="Verdana" w:hAnsi="Verdana"/>
          <w:sz w:val="20"/>
          <w:lang w:val="en-US"/>
        </w:rPr>
        <w:footnoteReference w:id="23"/>
      </w:r>
      <w:r w:rsidRPr="00E83269">
        <w:rPr>
          <w:rFonts w:ascii="Verdana" w:hAnsi="Verdana"/>
          <w:sz w:val="20"/>
          <w:lang w:val="en-US"/>
        </w:rPr>
        <w:t xml:space="preserve"> indicat</w:t>
      </w:r>
      <w:r w:rsidR="00BF28FF" w:rsidRPr="00E83269">
        <w:rPr>
          <w:rFonts w:ascii="Verdana" w:hAnsi="Verdana"/>
          <w:sz w:val="20"/>
          <w:lang w:val="en-US"/>
        </w:rPr>
        <w:t>ing</w:t>
      </w:r>
      <w:r w:rsidRPr="00E83269">
        <w:rPr>
          <w:rFonts w:ascii="Verdana" w:hAnsi="Verdana"/>
          <w:sz w:val="20"/>
          <w:lang w:val="en-US"/>
        </w:rPr>
        <w:t xml:space="preserve">: </w:t>
      </w:r>
      <w:r w:rsidR="001E7971" w:rsidRPr="00E83269">
        <w:rPr>
          <w:rFonts w:ascii="Verdana" w:hAnsi="Verdana"/>
          <w:sz w:val="20"/>
          <w:lang w:val="en-US"/>
        </w:rPr>
        <w:t>“</w:t>
      </w:r>
      <w:r w:rsidRPr="00E83269">
        <w:rPr>
          <w:rFonts w:ascii="Verdana" w:hAnsi="Verdana"/>
          <w:sz w:val="20"/>
          <w:lang w:val="en-US"/>
        </w:rPr>
        <w:t>(</w:t>
      </w:r>
      <w:r w:rsidR="00770F54" w:rsidRPr="00E83269">
        <w:rPr>
          <w:rFonts w:ascii="Verdana" w:hAnsi="Verdana"/>
          <w:sz w:val="20"/>
          <w:lang w:val="en-US"/>
        </w:rPr>
        <w:t>a)</w:t>
      </w:r>
      <w:r w:rsidR="005529C5" w:rsidRPr="00E83269">
        <w:rPr>
          <w:rFonts w:ascii="Verdana" w:hAnsi="Verdana"/>
          <w:sz w:val="20"/>
          <w:lang w:val="en-US"/>
        </w:rPr>
        <w:t xml:space="preserve"> the scope and content of the said concession,</w:t>
      </w:r>
      <w:r w:rsidR="00770F54" w:rsidRPr="00E83269">
        <w:rPr>
          <w:rFonts w:ascii="Verdana" w:hAnsi="Verdana"/>
          <w:sz w:val="20"/>
          <w:lang w:val="en-US"/>
        </w:rPr>
        <w:t xml:space="preserve"> b) </w:t>
      </w:r>
      <w:r w:rsidR="005529C5" w:rsidRPr="00E83269">
        <w:rPr>
          <w:rFonts w:ascii="Verdana" w:hAnsi="Verdana"/>
          <w:sz w:val="20"/>
          <w:lang w:val="en-US"/>
        </w:rPr>
        <w:t xml:space="preserve">whether the </w:t>
      </w:r>
      <w:proofErr w:type="spellStart"/>
      <w:r w:rsidR="005529C5" w:rsidRPr="00E83269">
        <w:rPr>
          <w:rFonts w:ascii="Verdana" w:hAnsi="Verdana"/>
          <w:sz w:val="20"/>
          <w:lang w:val="en-US"/>
        </w:rPr>
        <w:t>Saramaka</w:t>
      </w:r>
      <w:proofErr w:type="spellEnd"/>
      <w:r w:rsidR="005529C5" w:rsidRPr="00E83269">
        <w:rPr>
          <w:rFonts w:ascii="Verdana" w:hAnsi="Verdana"/>
          <w:sz w:val="20"/>
          <w:lang w:val="en-US"/>
        </w:rPr>
        <w:t xml:space="preserve"> People was consulted and what measures were taken to this end; </w:t>
      </w:r>
      <w:r w:rsidR="00770F54" w:rsidRPr="00E83269">
        <w:rPr>
          <w:rFonts w:ascii="Verdana" w:hAnsi="Verdana"/>
          <w:sz w:val="20"/>
          <w:lang w:val="en-US"/>
        </w:rPr>
        <w:t xml:space="preserve">c) </w:t>
      </w:r>
      <w:r w:rsidR="005529C5" w:rsidRPr="00E83269">
        <w:rPr>
          <w:rFonts w:ascii="Verdana" w:hAnsi="Verdana"/>
          <w:sz w:val="20"/>
          <w:lang w:val="en-US"/>
        </w:rPr>
        <w:t xml:space="preserve">whether the said concession was preceded by environmental and social assessment studies, and </w:t>
      </w:r>
      <w:r w:rsidR="00770F54" w:rsidRPr="00E83269">
        <w:rPr>
          <w:rFonts w:ascii="Verdana" w:hAnsi="Verdana"/>
          <w:sz w:val="20"/>
          <w:lang w:val="en-US"/>
        </w:rPr>
        <w:t xml:space="preserve">d) </w:t>
      </w:r>
      <w:r w:rsidR="005529C5" w:rsidRPr="00E83269">
        <w:rPr>
          <w:rFonts w:ascii="Verdana" w:hAnsi="Verdana"/>
          <w:sz w:val="20"/>
          <w:lang w:val="en-US"/>
        </w:rPr>
        <w:t xml:space="preserve">if applicable, the benefits for the </w:t>
      </w:r>
      <w:proofErr w:type="spellStart"/>
      <w:r w:rsidR="005529C5" w:rsidRPr="00E83269">
        <w:rPr>
          <w:rFonts w:ascii="Verdana" w:hAnsi="Verdana"/>
          <w:sz w:val="20"/>
          <w:lang w:val="en-US"/>
        </w:rPr>
        <w:t>Saramaka</w:t>
      </w:r>
      <w:proofErr w:type="spellEnd"/>
      <w:r w:rsidR="005529C5" w:rsidRPr="00E83269">
        <w:rPr>
          <w:rFonts w:ascii="Verdana" w:hAnsi="Verdana"/>
          <w:sz w:val="20"/>
          <w:lang w:val="en-US"/>
        </w:rPr>
        <w:t xml:space="preserve"> People; all of this pursuant to operative paragraphs 5, 7 8 and 9 of the Judgement</w:t>
      </w:r>
      <w:r w:rsidR="00770F54" w:rsidRPr="00E83269">
        <w:rPr>
          <w:rFonts w:ascii="Verdana" w:hAnsi="Verdana"/>
          <w:sz w:val="20"/>
          <w:lang w:val="en-US"/>
        </w:rPr>
        <w:t>”</w:t>
      </w:r>
      <w:r w:rsidR="005529C5" w:rsidRPr="00E83269">
        <w:rPr>
          <w:rFonts w:ascii="Verdana" w:hAnsi="Verdana"/>
          <w:sz w:val="20"/>
          <w:lang w:val="en-US"/>
        </w:rPr>
        <w:t>.</w:t>
      </w:r>
      <w:bookmarkEnd w:id="23"/>
      <w:r w:rsidR="00770F54" w:rsidRPr="00E83269">
        <w:rPr>
          <w:rFonts w:ascii="Verdana" w:hAnsi="Verdana"/>
          <w:sz w:val="20"/>
          <w:lang w:val="en-US"/>
        </w:rPr>
        <w:t xml:space="preserve"> </w:t>
      </w:r>
      <w:bookmarkEnd w:id="24"/>
    </w:p>
    <w:p w14:paraId="00756722" w14:textId="65D83C97" w:rsidR="00FB56C6" w:rsidRPr="005529C5" w:rsidRDefault="00542A44" w:rsidP="00542A44">
      <w:pPr>
        <w:tabs>
          <w:tab w:val="left" w:pos="3198"/>
        </w:tabs>
        <w:jc w:val="both"/>
        <w:rPr>
          <w:rFonts w:ascii="Verdana" w:hAnsi="Verdana"/>
          <w:sz w:val="20"/>
          <w:lang w:val="en-US"/>
        </w:rPr>
      </w:pPr>
      <w:r w:rsidRPr="005529C5">
        <w:rPr>
          <w:rFonts w:ascii="Verdana" w:hAnsi="Verdana"/>
          <w:sz w:val="20"/>
          <w:lang w:val="en-US"/>
        </w:rPr>
        <w:tab/>
      </w:r>
    </w:p>
    <w:p w14:paraId="3302273E" w14:textId="36B18957" w:rsidR="00770F54" w:rsidRPr="00525E62" w:rsidRDefault="001D07E8" w:rsidP="00F303E4">
      <w:pPr>
        <w:ind w:firstLine="720"/>
        <w:jc w:val="both"/>
        <w:rPr>
          <w:rFonts w:ascii="Verdana" w:hAnsi="Verdana"/>
          <w:i/>
          <w:sz w:val="20"/>
          <w:lang w:val="en-US"/>
        </w:rPr>
      </w:pPr>
      <w:r w:rsidRPr="00525E62">
        <w:rPr>
          <w:rFonts w:ascii="Verdana" w:hAnsi="Verdana"/>
          <w:i/>
          <w:sz w:val="20"/>
          <w:lang w:val="en-US"/>
        </w:rPr>
        <w:t>B</w:t>
      </w:r>
      <w:r w:rsidR="00FB56C6" w:rsidRPr="00525E62">
        <w:rPr>
          <w:rFonts w:ascii="Verdana" w:hAnsi="Verdana"/>
          <w:i/>
          <w:sz w:val="20"/>
          <w:lang w:val="en-US"/>
        </w:rPr>
        <w:t>.2. Considera</w:t>
      </w:r>
      <w:r w:rsidR="008C5E61" w:rsidRPr="00525E62">
        <w:rPr>
          <w:rFonts w:ascii="Verdana" w:hAnsi="Verdana"/>
          <w:i/>
          <w:sz w:val="20"/>
          <w:lang w:val="en-US"/>
        </w:rPr>
        <w:t>tion</w:t>
      </w:r>
      <w:r w:rsidR="00FB56C6" w:rsidRPr="00525E62">
        <w:rPr>
          <w:rFonts w:ascii="Verdana" w:hAnsi="Verdana"/>
          <w:i/>
          <w:sz w:val="20"/>
          <w:lang w:val="en-US"/>
        </w:rPr>
        <w:t>s</w:t>
      </w:r>
      <w:r w:rsidR="002462D1" w:rsidRPr="00525E62">
        <w:rPr>
          <w:rFonts w:ascii="Verdana" w:hAnsi="Verdana"/>
          <w:i/>
          <w:sz w:val="20"/>
          <w:lang w:val="en-US"/>
        </w:rPr>
        <w:t xml:space="preserve"> of the </w:t>
      </w:r>
      <w:r w:rsidR="00C93224" w:rsidRPr="00525E62">
        <w:rPr>
          <w:rFonts w:ascii="Verdana" w:hAnsi="Verdana"/>
          <w:i/>
          <w:sz w:val="20"/>
          <w:lang w:val="en-US"/>
        </w:rPr>
        <w:t>Court</w:t>
      </w:r>
    </w:p>
    <w:p w14:paraId="74A84F96" w14:textId="77777777" w:rsidR="006E1E66" w:rsidRPr="00525E62" w:rsidRDefault="006E1E66" w:rsidP="00FB56C6">
      <w:pPr>
        <w:jc w:val="both"/>
        <w:rPr>
          <w:rFonts w:ascii="Verdana" w:hAnsi="Verdana"/>
          <w:i/>
          <w:sz w:val="20"/>
          <w:lang w:val="en-US"/>
        </w:rPr>
      </w:pPr>
    </w:p>
    <w:p w14:paraId="78021F91" w14:textId="52CF20E1" w:rsidR="00573BEA" w:rsidRPr="00525E62" w:rsidRDefault="008C5E61" w:rsidP="005E4B9B">
      <w:pPr>
        <w:pStyle w:val="ListParagraph"/>
        <w:numPr>
          <w:ilvl w:val="0"/>
          <w:numId w:val="2"/>
        </w:numPr>
        <w:ind w:left="0" w:firstLine="0"/>
        <w:jc w:val="both"/>
        <w:rPr>
          <w:rFonts w:ascii="Verdana" w:hAnsi="Verdana"/>
          <w:sz w:val="20"/>
          <w:lang w:val="en-US"/>
        </w:rPr>
      </w:pPr>
      <w:r w:rsidRPr="008E6AB9">
        <w:rPr>
          <w:rFonts w:ascii="Verdana" w:hAnsi="Verdana"/>
          <w:sz w:val="20"/>
          <w:lang w:val="en-US"/>
        </w:rPr>
        <w:t>Regarding the obligation to de</w:t>
      </w:r>
      <w:r w:rsidR="00B15139" w:rsidRPr="008E6AB9">
        <w:rPr>
          <w:rFonts w:ascii="Verdana" w:hAnsi="Verdana"/>
          <w:sz w:val="20"/>
          <w:lang w:val="en-US"/>
        </w:rPr>
        <w:t>limit</w:t>
      </w:r>
      <w:r w:rsidR="00E41CA7" w:rsidRPr="008E6AB9">
        <w:rPr>
          <w:rFonts w:ascii="Verdana" w:hAnsi="Verdana"/>
          <w:sz w:val="20"/>
          <w:lang w:val="en-US"/>
        </w:rPr>
        <w:t xml:space="preserve">, </w:t>
      </w:r>
      <w:r w:rsidR="00B15139" w:rsidRPr="008E6AB9">
        <w:rPr>
          <w:rFonts w:ascii="Verdana" w:hAnsi="Verdana"/>
          <w:sz w:val="20"/>
          <w:lang w:val="en-US"/>
        </w:rPr>
        <w:t>demarcate</w:t>
      </w:r>
      <w:r w:rsidR="00E41CA7" w:rsidRPr="008E6AB9">
        <w:rPr>
          <w:rFonts w:ascii="Verdana" w:hAnsi="Verdana"/>
          <w:sz w:val="20"/>
          <w:lang w:val="en-US"/>
        </w:rPr>
        <w:t xml:space="preserve"> and grant collective title over</w:t>
      </w:r>
      <w:r w:rsidR="00B15139" w:rsidRPr="008E6AB9">
        <w:rPr>
          <w:rFonts w:ascii="Verdana" w:hAnsi="Verdana"/>
          <w:sz w:val="20"/>
          <w:lang w:val="en-US"/>
        </w:rPr>
        <w:t xml:space="preserve"> the territory of the members</w:t>
      </w:r>
      <w:r w:rsidR="005D679B" w:rsidRPr="008E6AB9">
        <w:rPr>
          <w:rFonts w:ascii="Verdana" w:hAnsi="Verdana"/>
          <w:sz w:val="20"/>
          <w:lang w:val="en-US"/>
        </w:rPr>
        <w:t xml:space="preserve"> of the </w:t>
      </w:r>
      <w:proofErr w:type="spellStart"/>
      <w:r w:rsidR="005D679B" w:rsidRPr="008E6AB9">
        <w:rPr>
          <w:rFonts w:ascii="Verdana" w:hAnsi="Verdana"/>
          <w:sz w:val="20"/>
          <w:lang w:val="en-US"/>
        </w:rPr>
        <w:t>Saramaka</w:t>
      </w:r>
      <w:proofErr w:type="spellEnd"/>
      <w:r w:rsidR="005D679B" w:rsidRPr="008E6AB9">
        <w:rPr>
          <w:rFonts w:ascii="Verdana" w:hAnsi="Verdana"/>
          <w:sz w:val="20"/>
          <w:lang w:val="en-US"/>
        </w:rPr>
        <w:t xml:space="preserve"> </w:t>
      </w:r>
      <w:r w:rsidR="005D679B" w:rsidRPr="00E83269">
        <w:rPr>
          <w:rFonts w:ascii="Verdana" w:hAnsi="Verdana"/>
          <w:sz w:val="20"/>
          <w:lang w:val="en-US"/>
        </w:rPr>
        <w:t>People</w:t>
      </w:r>
      <w:r w:rsidRPr="00E83269">
        <w:rPr>
          <w:rFonts w:ascii="Verdana" w:hAnsi="Verdana"/>
          <w:sz w:val="20"/>
          <w:lang w:val="en-US"/>
        </w:rPr>
        <w:t>, in its report of March 2013, t</w:t>
      </w:r>
      <w:r w:rsidR="00E41CA7" w:rsidRPr="00E83269">
        <w:rPr>
          <w:rFonts w:ascii="Verdana" w:hAnsi="Verdana"/>
          <w:sz w:val="20"/>
          <w:lang w:val="en-US"/>
        </w:rPr>
        <w:t>h</w:t>
      </w:r>
      <w:r w:rsidRPr="00E83269">
        <w:rPr>
          <w:rFonts w:ascii="Verdana" w:hAnsi="Verdana"/>
          <w:sz w:val="20"/>
          <w:lang w:val="en-US"/>
        </w:rPr>
        <w:t xml:space="preserve">e State indicated that it </w:t>
      </w:r>
      <w:r w:rsidR="008E6AB9" w:rsidRPr="00E83269">
        <w:rPr>
          <w:rFonts w:ascii="Verdana" w:hAnsi="Verdana"/>
          <w:sz w:val="20"/>
          <w:lang w:val="en-US"/>
        </w:rPr>
        <w:t>had “contracted a consultant acceptable to the VSG to arrive at the demarcation of the Sa[r]</w:t>
      </w:r>
      <w:proofErr w:type="spellStart"/>
      <w:r w:rsidR="008E6AB9" w:rsidRPr="00E83269">
        <w:rPr>
          <w:rFonts w:ascii="Verdana" w:hAnsi="Verdana"/>
          <w:sz w:val="20"/>
          <w:lang w:val="en-US"/>
        </w:rPr>
        <w:t>amaka</w:t>
      </w:r>
      <w:proofErr w:type="spellEnd"/>
      <w:r w:rsidR="008E6AB9" w:rsidRPr="00E83269">
        <w:rPr>
          <w:rFonts w:ascii="Verdana" w:hAnsi="Verdana"/>
          <w:sz w:val="20"/>
          <w:lang w:val="en-US"/>
        </w:rPr>
        <w:t xml:space="preserve"> residential and living area</w:t>
      </w:r>
      <w:r w:rsidR="001041F1" w:rsidRPr="00E83269">
        <w:rPr>
          <w:rFonts w:ascii="Verdana" w:hAnsi="Verdana"/>
          <w:sz w:val="20"/>
          <w:lang w:val="en-US"/>
        </w:rPr>
        <w:t>”</w:t>
      </w:r>
      <w:r w:rsidRPr="00E83269">
        <w:rPr>
          <w:rFonts w:ascii="Verdana" w:hAnsi="Verdana"/>
          <w:sz w:val="20"/>
          <w:lang w:val="en-US"/>
        </w:rPr>
        <w:t>; that a “</w:t>
      </w:r>
      <w:r w:rsidR="008E6AB9" w:rsidRPr="00E83269">
        <w:rPr>
          <w:rFonts w:ascii="Verdana" w:hAnsi="Verdana"/>
          <w:sz w:val="20"/>
          <w:lang w:val="en-US"/>
        </w:rPr>
        <w:t>draft land use map</w:t>
      </w:r>
      <w:r w:rsidRPr="00E83269">
        <w:rPr>
          <w:rFonts w:ascii="Verdana" w:hAnsi="Verdana"/>
          <w:sz w:val="20"/>
          <w:lang w:val="en-US"/>
        </w:rPr>
        <w:t xml:space="preserve">” had been drawn up, and that </w:t>
      </w:r>
      <w:r w:rsidR="001041F1" w:rsidRPr="00E83269">
        <w:rPr>
          <w:rFonts w:ascii="Verdana" w:hAnsi="Verdana"/>
          <w:sz w:val="20"/>
          <w:lang w:val="en-US"/>
        </w:rPr>
        <w:t>“</w:t>
      </w:r>
      <w:r w:rsidR="008E6AB9" w:rsidRPr="00E83269">
        <w:rPr>
          <w:rFonts w:ascii="Verdana" w:hAnsi="Verdana"/>
          <w:sz w:val="20"/>
          <w:lang w:val="en-US"/>
        </w:rPr>
        <w:t xml:space="preserve">the </w:t>
      </w:r>
      <w:proofErr w:type="spellStart"/>
      <w:r w:rsidR="008E6AB9" w:rsidRPr="00E83269">
        <w:rPr>
          <w:rFonts w:ascii="Verdana" w:hAnsi="Verdana"/>
          <w:sz w:val="20"/>
          <w:lang w:val="en-US"/>
        </w:rPr>
        <w:t>Saramaka</w:t>
      </w:r>
      <w:proofErr w:type="spellEnd"/>
      <w:r w:rsidR="008E6AB9" w:rsidRPr="00E83269">
        <w:rPr>
          <w:rFonts w:ascii="Verdana" w:hAnsi="Verdana"/>
          <w:sz w:val="20"/>
          <w:lang w:val="en-US"/>
        </w:rPr>
        <w:t xml:space="preserve"> have accepted this draft and approved it, but no agreement has been reached within the whole society on this</w:t>
      </w:r>
      <w:r w:rsidR="007C0BD8" w:rsidRPr="00E83269">
        <w:rPr>
          <w:rFonts w:ascii="Verdana" w:hAnsi="Verdana"/>
          <w:sz w:val="20"/>
          <w:lang w:val="en-US"/>
        </w:rPr>
        <w:t>”.</w:t>
      </w:r>
      <w:r w:rsidR="00350165" w:rsidRPr="00E83269">
        <w:rPr>
          <w:rFonts w:ascii="Verdana" w:hAnsi="Verdana"/>
          <w:sz w:val="20"/>
          <w:lang w:val="en-US"/>
        </w:rPr>
        <w:t xml:space="preserve"> </w:t>
      </w:r>
      <w:r w:rsidRPr="00E83269">
        <w:rPr>
          <w:rFonts w:ascii="Verdana" w:hAnsi="Verdana"/>
          <w:sz w:val="20"/>
          <w:lang w:val="en-US"/>
        </w:rPr>
        <w:t xml:space="preserve">Subsequently, the State only referred to the impossibility of complying with this </w:t>
      </w:r>
      <w:r w:rsidR="00E41CA7" w:rsidRPr="00E83269">
        <w:rPr>
          <w:rFonts w:ascii="Verdana" w:hAnsi="Verdana"/>
          <w:sz w:val="20"/>
          <w:lang w:val="en-US"/>
        </w:rPr>
        <w:t>point</w:t>
      </w:r>
      <w:r w:rsidRPr="00E83269">
        <w:rPr>
          <w:rFonts w:ascii="Verdana" w:hAnsi="Verdana"/>
          <w:sz w:val="20"/>
          <w:lang w:val="en-US"/>
        </w:rPr>
        <w:t xml:space="preserve"> and with the other elements </w:t>
      </w:r>
      <w:r w:rsidR="002462D1" w:rsidRPr="00E83269">
        <w:rPr>
          <w:rFonts w:ascii="Verdana" w:hAnsi="Verdana"/>
          <w:sz w:val="20"/>
          <w:lang w:val="en-US"/>
        </w:rPr>
        <w:t xml:space="preserve">of the </w:t>
      </w:r>
      <w:r w:rsidR="00C93224" w:rsidRPr="00E83269">
        <w:rPr>
          <w:rFonts w:ascii="Verdana" w:hAnsi="Verdana"/>
          <w:sz w:val="20"/>
          <w:lang w:val="en-US"/>
        </w:rPr>
        <w:t>judgment</w:t>
      </w:r>
      <w:r w:rsidR="005E4B9B" w:rsidRPr="00E83269">
        <w:rPr>
          <w:rFonts w:ascii="Verdana" w:hAnsi="Verdana"/>
          <w:sz w:val="20"/>
          <w:lang w:val="en-US"/>
        </w:rPr>
        <w:t xml:space="preserve"> </w:t>
      </w:r>
      <w:r w:rsidRPr="00E83269">
        <w:rPr>
          <w:rFonts w:ascii="Verdana" w:hAnsi="Verdana"/>
          <w:sz w:val="20"/>
          <w:lang w:val="en-US"/>
        </w:rPr>
        <w:t>owing to an alleged</w:t>
      </w:r>
      <w:r w:rsidR="005E4B9B" w:rsidRPr="00E83269">
        <w:rPr>
          <w:rFonts w:ascii="Verdana" w:hAnsi="Verdana"/>
          <w:sz w:val="20"/>
          <w:lang w:val="en-US"/>
        </w:rPr>
        <w:t xml:space="preserve"> “crisis </w:t>
      </w:r>
      <w:r w:rsidR="008E6AB9" w:rsidRPr="00E83269">
        <w:rPr>
          <w:rFonts w:ascii="Verdana" w:hAnsi="Verdana"/>
          <w:sz w:val="20"/>
          <w:lang w:val="en-US"/>
        </w:rPr>
        <w:t>of authority</w:t>
      </w:r>
      <w:r w:rsidR="005E4B9B" w:rsidRPr="00E83269">
        <w:rPr>
          <w:rFonts w:ascii="Verdana" w:hAnsi="Verdana"/>
          <w:sz w:val="20"/>
          <w:lang w:val="en-US"/>
        </w:rPr>
        <w:t xml:space="preserve">” </w:t>
      </w:r>
      <w:r w:rsidRPr="00E83269">
        <w:rPr>
          <w:rFonts w:ascii="Verdana" w:hAnsi="Verdana"/>
          <w:sz w:val="20"/>
          <w:lang w:val="en-US"/>
        </w:rPr>
        <w:t>due to the death of a Saramaka leader, and to the lack of unanimity</w:t>
      </w:r>
      <w:r w:rsidRPr="00525E62">
        <w:rPr>
          <w:rFonts w:ascii="Verdana" w:hAnsi="Verdana"/>
          <w:sz w:val="20"/>
          <w:lang w:val="en-US"/>
        </w:rPr>
        <w:t xml:space="preserve"> among the clans of which</w:t>
      </w:r>
      <w:r w:rsidR="005E4B9B" w:rsidRPr="00525E62">
        <w:rPr>
          <w:rFonts w:ascii="Verdana" w:hAnsi="Verdana"/>
          <w:sz w:val="20"/>
          <w:lang w:val="en-US"/>
        </w:rPr>
        <w:t xml:space="preserve"> </w:t>
      </w:r>
      <w:r w:rsidR="005D679B" w:rsidRPr="00525E62">
        <w:rPr>
          <w:rFonts w:ascii="Verdana" w:hAnsi="Verdana"/>
          <w:sz w:val="20"/>
          <w:lang w:val="en-US"/>
        </w:rPr>
        <w:t xml:space="preserve">the Saramaka </w:t>
      </w:r>
      <w:r w:rsidRPr="00525E62">
        <w:rPr>
          <w:rFonts w:ascii="Verdana" w:hAnsi="Verdana"/>
          <w:sz w:val="20"/>
          <w:lang w:val="en-US"/>
        </w:rPr>
        <w:t>p</w:t>
      </w:r>
      <w:r w:rsidR="005D679B" w:rsidRPr="00525E62">
        <w:rPr>
          <w:rFonts w:ascii="Verdana" w:hAnsi="Verdana"/>
          <w:sz w:val="20"/>
          <w:lang w:val="en-US"/>
        </w:rPr>
        <w:t>eople</w:t>
      </w:r>
      <w:r w:rsidRPr="00525E62">
        <w:rPr>
          <w:rFonts w:ascii="Verdana" w:hAnsi="Verdana"/>
          <w:sz w:val="20"/>
          <w:lang w:val="en-US"/>
        </w:rPr>
        <w:t xml:space="preserve"> are composed. According to the State, this made it impossible to comply with the measures </w:t>
      </w:r>
      <w:r w:rsidR="005E4B9B" w:rsidRPr="00525E62">
        <w:rPr>
          <w:rFonts w:ascii="Verdana" w:hAnsi="Verdana"/>
          <w:sz w:val="20"/>
          <w:lang w:val="en-US"/>
        </w:rPr>
        <w:t xml:space="preserve">(infra </w:t>
      </w:r>
      <w:proofErr w:type="spellStart"/>
      <w:r w:rsidR="007F7CF1" w:rsidRPr="00525E62">
        <w:rPr>
          <w:rFonts w:ascii="Verdana" w:hAnsi="Verdana"/>
          <w:i/>
          <w:sz w:val="20"/>
          <w:lang w:val="en-US"/>
        </w:rPr>
        <w:t>considerandum</w:t>
      </w:r>
      <w:proofErr w:type="spellEnd"/>
      <w:r w:rsidR="005E4B9B"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_Ref528141244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40</w:t>
      </w:r>
      <w:r w:rsidR="001413FA">
        <w:rPr>
          <w:rFonts w:ascii="Verdana" w:hAnsi="Verdana"/>
          <w:sz w:val="20"/>
          <w:lang w:val="en-US"/>
        </w:rPr>
        <w:fldChar w:fldCharType="end"/>
      </w:r>
      <w:r w:rsidR="005E4B9B" w:rsidRPr="00525E62">
        <w:rPr>
          <w:rFonts w:ascii="Verdana" w:hAnsi="Verdana"/>
          <w:sz w:val="20"/>
          <w:lang w:val="en-US"/>
        </w:rPr>
        <w:t>)</w:t>
      </w:r>
      <w:r w:rsidR="007C0BD8" w:rsidRPr="00525E62">
        <w:rPr>
          <w:rFonts w:ascii="Verdana" w:hAnsi="Verdana"/>
          <w:sz w:val="20"/>
          <w:lang w:val="en-US"/>
        </w:rPr>
        <w:t xml:space="preserve">. </w:t>
      </w:r>
      <w:r w:rsidRPr="00525E62">
        <w:rPr>
          <w:rFonts w:ascii="Verdana" w:hAnsi="Verdana"/>
          <w:sz w:val="20"/>
          <w:lang w:val="en-US"/>
        </w:rPr>
        <w:t xml:space="preserve">Meanwhile in their 2014 and 2015 observations, </w:t>
      </w:r>
      <w:r w:rsidR="002462D1" w:rsidRPr="00525E62">
        <w:rPr>
          <w:rFonts w:ascii="Verdana" w:hAnsi="Verdana"/>
          <w:sz w:val="20"/>
          <w:lang w:val="en-US"/>
        </w:rPr>
        <w:t>the representative</w:t>
      </w:r>
      <w:r w:rsidR="00E41CA7" w:rsidRPr="00525E62">
        <w:rPr>
          <w:rFonts w:ascii="Verdana" w:hAnsi="Verdana"/>
          <w:sz w:val="20"/>
          <w:lang w:val="en-US"/>
        </w:rPr>
        <w:t>s</w:t>
      </w:r>
      <w:r w:rsidRPr="00525E62">
        <w:rPr>
          <w:rFonts w:ascii="Verdana" w:hAnsi="Verdana"/>
          <w:sz w:val="20"/>
          <w:lang w:val="en-US"/>
        </w:rPr>
        <w:t xml:space="preserve"> insisted in Suriname</w:t>
      </w:r>
      <w:r w:rsidR="00E41CA7" w:rsidRPr="00525E62">
        <w:rPr>
          <w:rFonts w:ascii="Verdana" w:hAnsi="Verdana"/>
          <w:sz w:val="20"/>
          <w:lang w:val="en-US"/>
        </w:rPr>
        <w:t>’s failure</w:t>
      </w:r>
      <w:r w:rsidRPr="00525E62">
        <w:rPr>
          <w:rFonts w:ascii="Verdana" w:hAnsi="Verdana"/>
          <w:sz w:val="20"/>
          <w:lang w:val="en-US"/>
        </w:rPr>
        <w:t xml:space="preserve"> to adopt measures to comply with this element of the measure of reparation.</w:t>
      </w:r>
      <w:r w:rsidR="007C0BD8" w:rsidRPr="00525E62">
        <w:rPr>
          <w:rFonts w:ascii="Verdana" w:hAnsi="Verdana"/>
          <w:sz w:val="20"/>
          <w:lang w:val="en-US"/>
        </w:rPr>
        <w:t xml:space="preserve"> </w:t>
      </w:r>
    </w:p>
    <w:p w14:paraId="0481FFD5" w14:textId="77777777" w:rsidR="00573BEA" w:rsidRPr="00525E62" w:rsidRDefault="00573BEA" w:rsidP="00573BEA">
      <w:pPr>
        <w:pStyle w:val="ListParagraph"/>
        <w:ind w:left="0"/>
        <w:jc w:val="both"/>
        <w:rPr>
          <w:rFonts w:ascii="Verdana" w:hAnsi="Verdana"/>
          <w:sz w:val="20"/>
          <w:lang w:val="en-US"/>
        </w:rPr>
      </w:pPr>
    </w:p>
    <w:p w14:paraId="14C2E5BF" w14:textId="40EFD2AE" w:rsidR="002E5BB5" w:rsidRPr="00525E62" w:rsidRDefault="00C93224" w:rsidP="007C0BD8">
      <w:pPr>
        <w:pStyle w:val="ListParagraph"/>
        <w:numPr>
          <w:ilvl w:val="0"/>
          <w:numId w:val="2"/>
        </w:numPr>
        <w:ind w:left="0" w:firstLine="0"/>
        <w:jc w:val="both"/>
        <w:rPr>
          <w:rFonts w:ascii="Verdana" w:hAnsi="Verdana"/>
          <w:sz w:val="20"/>
          <w:lang w:val="en-US"/>
        </w:rPr>
      </w:pPr>
      <w:r w:rsidRPr="00525E62">
        <w:rPr>
          <w:rFonts w:ascii="Verdana" w:hAnsi="Verdana"/>
          <w:sz w:val="20"/>
          <w:lang w:val="en-US"/>
        </w:rPr>
        <w:lastRenderedPageBreak/>
        <w:t>The Court</w:t>
      </w:r>
      <w:r w:rsidR="005627F9" w:rsidRPr="00525E62">
        <w:rPr>
          <w:rFonts w:ascii="Verdana" w:hAnsi="Verdana"/>
          <w:sz w:val="20"/>
          <w:lang w:val="en-US"/>
        </w:rPr>
        <w:t xml:space="preserve"> </w:t>
      </w:r>
      <w:r w:rsidR="002E5BB5" w:rsidRPr="00525E62">
        <w:rPr>
          <w:rFonts w:ascii="Verdana" w:hAnsi="Verdana"/>
          <w:sz w:val="20"/>
          <w:lang w:val="en-US"/>
        </w:rPr>
        <w:t xml:space="preserve">underscores that </w:t>
      </w:r>
      <w:r w:rsidR="005D679B" w:rsidRPr="00525E62">
        <w:rPr>
          <w:rFonts w:ascii="Verdana" w:hAnsi="Verdana"/>
          <w:sz w:val="20"/>
          <w:lang w:val="en-US"/>
        </w:rPr>
        <w:t>the State</w:t>
      </w:r>
      <w:r w:rsidR="005627F9" w:rsidRPr="00525E62">
        <w:rPr>
          <w:rFonts w:ascii="Verdana" w:hAnsi="Verdana"/>
          <w:sz w:val="20"/>
          <w:lang w:val="en-US"/>
        </w:rPr>
        <w:t xml:space="preserve"> </w:t>
      </w:r>
      <w:r w:rsidR="002E5BB5" w:rsidRPr="00525E62">
        <w:rPr>
          <w:rFonts w:ascii="Verdana" w:hAnsi="Verdana"/>
          <w:sz w:val="20"/>
          <w:lang w:val="en-US"/>
        </w:rPr>
        <w:t>has not presented precise</w:t>
      </w:r>
      <w:r w:rsidR="00E41CA7" w:rsidRPr="00525E62">
        <w:rPr>
          <w:rFonts w:ascii="Verdana" w:hAnsi="Verdana"/>
          <w:sz w:val="20"/>
          <w:lang w:val="en-US"/>
        </w:rPr>
        <w:t>,</w:t>
      </w:r>
      <w:r w:rsidR="002E5BB5" w:rsidRPr="00525E62">
        <w:rPr>
          <w:rFonts w:ascii="Verdana" w:hAnsi="Verdana"/>
          <w:sz w:val="20"/>
          <w:lang w:val="en-US"/>
        </w:rPr>
        <w:t xml:space="preserve"> updated information on this aspect of the measure, despite the requests for information and </w:t>
      </w:r>
      <w:r w:rsidR="00E41CA7" w:rsidRPr="00525E62">
        <w:rPr>
          <w:rFonts w:ascii="Verdana" w:hAnsi="Verdana"/>
          <w:sz w:val="20"/>
          <w:lang w:val="en-US"/>
        </w:rPr>
        <w:t xml:space="preserve">the </w:t>
      </w:r>
      <w:r w:rsidR="002E5BB5" w:rsidRPr="00525E62">
        <w:rPr>
          <w:rFonts w:ascii="Verdana" w:hAnsi="Verdana"/>
          <w:sz w:val="20"/>
          <w:lang w:val="en-US"/>
        </w:rPr>
        <w:t xml:space="preserve">reminders contained in notes from the Secretariat </w:t>
      </w:r>
      <w:r w:rsidR="005627F9" w:rsidRPr="00525E62">
        <w:rPr>
          <w:rFonts w:ascii="Verdana" w:hAnsi="Verdana"/>
          <w:sz w:val="20"/>
          <w:lang w:val="en-US"/>
        </w:rPr>
        <w:t>(</w:t>
      </w:r>
      <w:r w:rsidR="005627F9" w:rsidRPr="00525E62">
        <w:rPr>
          <w:rFonts w:ascii="Verdana" w:hAnsi="Verdana"/>
          <w:i/>
          <w:sz w:val="20"/>
          <w:lang w:val="en-US"/>
        </w:rPr>
        <w:t>supra</w:t>
      </w:r>
      <w:r w:rsidR="005627F9" w:rsidRPr="00525E62">
        <w:rPr>
          <w:rFonts w:ascii="Verdana" w:hAnsi="Verdana"/>
          <w:sz w:val="20"/>
          <w:lang w:val="en-US"/>
        </w:rPr>
        <w:t xml:space="preserve"> </w:t>
      </w:r>
      <w:r w:rsidR="00B15139" w:rsidRPr="00525E62">
        <w:rPr>
          <w:rFonts w:ascii="Verdana" w:hAnsi="Verdana"/>
          <w:sz w:val="20"/>
          <w:lang w:val="en-US"/>
        </w:rPr>
        <w:t>having seen paragraph</w:t>
      </w:r>
      <w:r w:rsidR="0011436E"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_Ref530057328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11</w:t>
      </w:r>
      <w:r w:rsidR="001413FA">
        <w:rPr>
          <w:rFonts w:ascii="Verdana" w:hAnsi="Verdana"/>
          <w:sz w:val="20"/>
          <w:lang w:val="en-US"/>
        </w:rPr>
        <w:fldChar w:fldCharType="end"/>
      </w:r>
      <w:r w:rsidR="005627F9" w:rsidRPr="00525E62">
        <w:rPr>
          <w:rFonts w:ascii="Verdana" w:hAnsi="Verdana"/>
          <w:sz w:val="20"/>
          <w:lang w:val="en-US"/>
        </w:rPr>
        <w:t xml:space="preserve">). </w:t>
      </w:r>
      <w:r w:rsidR="002E5BB5" w:rsidRPr="00525E62">
        <w:rPr>
          <w:rFonts w:ascii="Verdana" w:hAnsi="Verdana"/>
          <w:sz w:val="20"/>
          <w:lang w:val="en-US"/>
        </w:rPr>
        <w:t xml:space="preserve">Bearing this in mind, the </w:t>
      </w:r>
      <w:r w:rsidRPr="00525E62">
        <w:rPr>
          <w:rFonts w:ascii="Verdana" w:hAnsi="Verdana"/>
          <w:sz w:val="20"/>
          <w:lang w:val="en-US"/>
        </w:rPr>
        <w:t>Court</w:t>
      </w:r>
      <w:r w:rsidR="00573BEA" w:rsidRPr="00525E62">
        <w:rPr>
          <w:rFonts w:ascii="Verdana" w:hAnsi="Verdana"/>
          <w:sz w:val="20"/>
          <w:lang w:val="en-US"/>
        </w:rPr>
        <w:t xml:space="preserve"> reitera</w:t>
      </w:r>
      <w:r w:rsidR="002E5BB5" w:rsidRPr="00525E62">
        <w:rPr>
          <w:rFonts w:ascii="Verdana" w:hAnsi="Verdana"/>
          <w:sz w:val="20"/>
          <w:lang w:val="en-US"/>
        </w:rPr>
        <w:t>tes</w:t>
      </w:r>
      <w:r w:rsidR="00573BEA" w:rsidRPr="00525E62">
        <w:rPr>
          <w:rFonts w:ascii="Verdana" w:hAnsi="Verdana"/>
          <w:sz w:val="20"/>
          <w:lang w:val="en-US"/>
        </w:rPr>
        <w:t xml:space="preserve">, </w:t>
      </w:r>
      <w:r w:rsidR="002E5BB5" w:rsidRPr="00525E62">
        <w:rPr>
          <w:rFonts w:ascii="Verdana" w:hAnsi="Verdana"/>
          <w:sz w:val="20"/>
          <w:lang w:val="en-US"/>
        </w:rPr>
        <w:t xml:space="preserve">as it did in its 2011 order, that full compliance with this measure of reparation should have been completed by December 19, 2010, at the latest. Thus, the three-year time frame indicated in the judgment expired approximately seven years and nine months ago, without any indication to date that the State has made substantial progress in compliance. To the contrary, in view of the representatives’ observations regarding the absence of measures aimed at compliance, the Court considers that </w:t>
      </w:r>
      <w:r w:rsidR="00060DE6" w:rsidRPr="00525E62">
        <w:rPr>
          <w:rFonts w:ascii="Verdana" w:hAnsi="Verdana"/>
          <w:sz w:val="20"/>
          <w:lang w:val="en-US"/>
        </w:rPr>
        <w:t xml:space="preserve">the State is in non-compliance with the time frame granted in the judgment. </w:t>
      </w:r>
    </w:p>
    <w:p w14:paraId="5B5CA090" w14:textId="77777777" w:rsidR="005627F9" w:rsidRPr="00525E62" w:rsidRDefault="005627F9" w:rsidP="005627F9">
      <w:pPr>
        <w:jc w:val="both"/>
        <w:rPr>
          <w:rFonts w:ascii="Verdana" w:hAnsi="Verdana"/>
          <w:sz w:val="20"/>
          <w:lang w:val="en-US"/>
        </w:rPr>
      </w:pPr>
    </w:p>
    <w:p w14:paraId="0B888829" w14:textId="3F3ED5F3" w:rsidR="005627F9" w:rsidRPr="00E83269" w:rsidRDefault="00060DE6" w:rsidP="007C0BD8">
      <w:pPr>
        <w:pStyle w:val="ListParagraph"/>
        <w:numPr>
          <w:ilvl w:val="0"/>
          <w:numId w:val="2"/>
        </w:numPr>
        <w:ind w:left="0" w:firstLine="0"/>
        <w:jc w:val="both"/>
        <w:rPr>
          <w:rFonts w:ascii="Verdana" w:hAnsi="Verdana"/>
          <w:sz w:val="20"/>
          <w:lang w:val="en-US"/>
        </w:rPr>
      </w:pPr>
      <w:r w:rsidRPr="00525E62">
        <w:rPr>
          <w:rFonts w:ascii="Verdana" w:hAnsi="Verdana"/>
          <w:sz w:val="20"/>
          <w:lang w:val="en-US"/>
        </w:rPr>
        <w:t xml:space="preserve">Compliance with this measure has special relevance for </w:t>
      </w:r>
      <w:r w:rsidR="005D679B" w:rsidRPr="00525E62">
        <w:rPr>
          <w:rFonts w:ascii="Verdana" w:hAnsi="Verdana"/>
          <w:sz w:val="20"/>
          <w:lang w:val="en-US"/>
        </w:rPr>
        <w:t xml:space="preserve">the Saramaka </w:t>
      </w:r>
      <w:r w:rsidRPr="00525E62">
        <w:rPr>
          <w:rFonts w:ascii="Verdana" w:hAnsi="Verdana"/>
          <w:sz w:val="20"/>
          <w:lang w:val="en-US"/>
        </w:rPr>
        <w:t>p</w:t>
      </w:r>
      <w:r w:rsidR="005D679B" w:rsidRPr="00525E62">
        <w:rPr>
          <w:rFonts w:ascii="Verdana" w:hAnsi="Verdana"/>
          <w:sz w:val="20"/>
          <w:lang w:val="en-US"/>
        </w:rPr>
        <w:t>eople</w:t>
      </w:r>
      <w:r w:rsidR="005627F9" w:rsidRPr="00525E62">
        <w:rPr>
          <w:rFonts w:ascii="Verdana" w:hAnsi="Verdana"/>
          <w:sz w:val="20"/>
          <w:lang w:val="en-US"/>
        </w:rPr>
        <w:t xml:space="preserve">. </w:t>
      </w:r>
      <w:r w:rsidRPr="00525E62">
        <w:rPr>
          <w:rFonts w:ascii="Verdana" w:hAnsi="Verdana"/>
          <w:sz w:val="20"/>
          <w:lang w:val="en-US"/>
        </w:rPr>
        <w:t xml:space="preserve">As established </w:t>
      </w:r>
      <w:r w:rsidRPr="00E83269">
        <w:rPr>
          <w:rFonts w:ascii="Verdana" w:hAnsi="Verdana"/>
          <w:sz w:val="20"/>
          <w:lang w:val="en-US"/>
        </w:rPr>
        <w:t xml:space="preserve">in </w:t>
      </w:r>
      <w:r w:rsidR="00C93224" w:rsidRPr="00E83269">
        <w:rPr>
          <w:rFonts w:ascii="Verdana" w:hAnsi="Verdana"/>
          <w:sz w:val="20"/>
          <w:lang w:val="en-US"/>
        </w:rPr>
        <w:t>the judgment</w:t>
      </w:r>
      <w:r w:rsidR="005627F9" w:rsidRPr="00E83269">
        <w:rPr>
          <w:rFonts w:ascii="Verdana" w:hAnsi="Verdana"/>
          <w:sz w:val="20"/>
          <w:lang w:val="en-US"/>
        </w:rPr>
        <w:t>:</w:t>
      </w:r>
    </w:p>
    <w:p w14:paraId="0FDC4A30" w14:textId="77777777" w:rsidR="005627F9" w:rsidRPr="00E83269" w:rsidRDefault="005627F9" w:rsidP="005627F9">
      <w:pPr>
        <w:jc w:val="both"/>
        <w:rPr>
          <w:rFonts w:ascii="Verdana" w:hAnsi="Verdana"/>
          <w:sz w:val="20"/>
          <w:lang w:val="en-US"/>
        </w:rPr>
      </w:pPr>
    </w:p>
    <w:p w14:paraId="20593E05" w14:textId="2B753955" w:rsidR="00060DE6" w:rsidRPr="00E83269" w:rsidRDefault="005627F9" w:rsidP="00060DE6">
      <w:pPr>
        <w:ind w:left="567" w:right="474"/>
        <w:jc w:val="both"/>
        <w:rPr>
          <w:rFonts w:ascii="Verdana" w:hAnsi="Verdana"/>
          <w:sz w:val="16"/>
          <w:szCs w:val="16"/>
          <w:lang w:val="en-US"/>
        </w:rPr>
      </w:pPr>
      <w:r w:rsidRPr="00E83269">
        <w:rPr>
          <w:rFonts w:ascii="Verdana" w:hAnsi="Verdana"/>
          <w:sz w:val="16"/>
          <w:szCs w:val="16"/>
          <w:lang w:val="en-US"/>
        </w:rPr>
        <w:t>82.</w:t>
      </w:r>
      <w:r w:rsidR="00060DE6" w:rsidRPr="00E83269">
        <w:rPr>
          <w:rFonts w:ascii="Verdana" w:hAnsi="Verdana"/>
          <w:sz w:val="16"/>
          <w:szCs w:val="16"/>
          <w:lang w:val="en-US"/>
        </w:rPr>
        <w:t xml:space="preserve">    </w:t>
      </w:r>
      <w:r w:rsidR="00060DE6" w:rsidRPr="00E83269">
        <w:rPr>
          <w:rFonts w:ascii="Verdana" w:eastAsiaTheme="minorHAnsi" w:hAnsi="Verdana" w:cs="Verdana"/>
          <w:sz w:val="16"/>
          <w:szCs w:val="16"/>
          <w:lang w:val="en-US"/>
        </w:rPr>
        <w:t>Their culture is also similar to that of tribal peoples insofar as the members of the Saramaka people maintain a strong spiritual relationship with the ancestral territory they have traditionally used and occupied. Land is more than merely a source of subsistence for them; it is also a necessary source for the continuation of the life and cultural identity of the Saramaka people. The lands and resources of the Saramaka people are part of their social, ancestral, and spiritual essence. In this territory, the Saramaka people hunt, fish and farm, and they gather water, plants for medicinal purposes, oils, minerals and wood. Their sacred sites are scattered throughout the territory, while at the same time the territory itself has a sacred value to them. In particular, the identification of the members of the Saramaka people with the land is inextricably linked to their historical fight for freedom from slavery, called the sacred “first time.” During the public hearing in this case, Head Captain Wazen Ed</w:t>
      </w:r>
      <w:r w:rsidR="00F005A2" w:rsidRPr="00E83269">
        <w:rPr>
          <w:rFonts w:ascii="Verdana" w:eastAsiaTheme="minorHAnsi" w:hAnsi="Verdana" w:cs="Verdana"/>
          <w:sz w:val="16"/>
          <w:szCs w:val="16"/>
          <w:lang w:val="en-US"/>
        </w:rPr>
        <w:t>u</w:t>
      </w:r>
      <w:r w:rsidR="00060DE6" w:rsidRPr="00E83269">
        <w:rPr>
          <w:rFonts w:ascii="Verdana" w:eastAsiaTheme="minorHAnsi" w:hAnsi="Verdana" w:cs="Verdana"/>
          <w:sz w:val="16"/>
          <w:szCs w:val="16"/>
          <w:lang w:val="en-US"/>
        </w:rPr>
        <w:t>ards described their special relationship with the land as follows:</w:t>
      </w:r>
    </w:p>
    <w:p w14:paraId="5F076B14" w14:textId="77777777" w:rsidR="00060DE6" w:rsidRPr="00E83269" w:rsidRDefault="00060DE6" w:rsidP="00060DE6">
      <w:pPr>
        <w:autoSpaceDE w:val="0"/>
        <w:autoSpaceDN w:val="0"/>
        <w:adjustRightInd w:val="0"/>
        <w:rPr>
          <w:rFonts w:ascii="Verdana" w:eastAsiaTheme="minorHAnsi" w:hAnsi="Verdana" w:cs="Verdana"/>
          <w:sz w:val="18"/>
          <w:szCs w:val="18"/>
          <w:lang w:val="en-US"/>
        </w:rPr>
      </w:pPr>
    </w:p>
    <w:p w14:paraId="3B1229B5" w14:textId="32AC195A" w:rsidR="00060DE6" w:rsidRPr="00525E62" w:rsidRDefault="00060DE6" w:rsidP="00060DE6">
      <w:pPr>
        <w:autoSpaceDE w:val="0"/>
        <w:autoSpaceDN w:val="0"/>
        <w:adjustRightInd w:val="0"/>
        <w:ind w:left="720" w:right="648"/>
        <w:jc w:val="both"/>
        <w:rPr>
          <w:rFonts w:ascii="Verdana" w:eastAsiaTheme="minorHAnsi" w:hAnsi="Verdana" w:cs="Verdana"/>
          <w:sz w:val="16"/>
          <w:szCs w:val="16"/>
          <w:lang w:val="en-US"/>
        </w:rPr>
      </w:pPr>
      <w:r w:rsidRPr="00E83269">
        <w:rPr>
          <w:rFonts w:ascii="Verdana" w:eastAsiaTheme="minorHAnsi" w:hAnsi="Verdana" w:cs="Verdana"/>
          <w:sz w:val="16"/>
          <w:szCs w:val="16"/>
          <w:lang w:val="en-US"/>
        </w:rPr>
        <w:t xml:space="preserve">The forest is like our market place; it is where we get our medicines, our medicinal plants. It is where we hunt to have meat to eat. The forest is truly our entire life. When our ancestors fled into the </w:t>
      </w:r>
      <w:r w:rsidR="00525E62" w:rsidRPr="00E83269">
        <w:rPr>
          <w:rFonts w:ascii="Verdana" w:eastAsiaTheme="minorHAnsi" w:hAnsi="Verdana" w:cs="Verdana"/>
          <w:sz w:val="16"/>
          <w:szCs w:val="16"/>
          <w:lang w:val="en-US"/>
        </w:rPr>
        <w:t>forest,</w:t>
      </w:r>
      <w:r w:rsidRPr="00E83269">
        <w:rPr>
          <w:rFonts w:ascii="Verdana" w:eastAsiaTheme="minorHAnsi" w:hAnsi="Verdana" w:cs="Verdana"/>
          <w:sz w:val="16"/>
          <w:szCs w:val="16"/>
          <w:lang w:val="en-US"/>
        </w:rPr>
        <w:t xml:space="preserve"> they did not carry anything with them. They learned how to live, what plants to eat, how to deal with subsistence needs once they got to the forest. It is our whole life.</w:t>
      </w:r>
    </w:p>
    <w:p w14:paraId="376F8DB3" w14:textId="77777777" w:rsidR="005627F9" w:rsidRPr="00525E62" w:rsidRDefault="005627F9" w:rsidP="005627F9">
      <w:pPr>
        <w:jc w:val="both"/>
        <w:rPr>
          <w:rFonts w:ascii="Verdana" w:hAnsi="Verdana"/>
          <w:sz w:val="20"/>
          <w:lang w:val="en-US"/>
        </w:rPr>
      </w:pPr>
    </w:p>
    <w:p w14:paraId="0D4D5A92" w14:textId="64188128" w:rsidR="00060DE6" w:rsidRPr="00525E62" w:rsidRDefault="00060DE6" w:rsidP="007C0BD8">
      <w:pPr>
        <w:pStyle w:val="ListParagraph"/>
        <w:numPr>
          <w:ilvl w:val="0"/>
          <w:numId w:val="2"/>
        </w:numPr>
        <w:ind w:left="0" w:firstLine="0"/>
        <w:jc w:val="both"/>
        <w:rPr>
          <w:rFonts w:ascii="Verdana" w:hAnsi="Verdana"/>
          <w:sz w:val="20"/>
          <w:lang w:val="en-US"/>
        </w:rPr>
      </w:pPr>
      <w:r w:rsidRPr="00525E62">
        <w:rPr>
          <w:rFonts w:ascii="Verdana" w:hAnsi="Verdana"/>
          <w:sz w:val="20"/>
          <w:lang w:val="en-US"/>
        </w:rPr>
        <w:t xml:space="preserve">Consequently, the Court requires the State to adopt forthwith the necessary measures to delimit and demarcate the lands corresponding to the Saramaka people </w:t>
      </w:r>
      <w:r w:rsidR="00265F6B" w:rsidRPr="00525E62">
        <w:rPr>
          <w:rFonts w:ascii="Verdana" w:hAnsi="Verdana"/>
          <w:sz w:val="20"/>
          <w:lang w:val="en-US"/>
        </w:rPr>
        <w:t xml:space="preserve">definitively, </w:t>
      </w:r>
      <w:r w:rsidRPr="00525E62">
        <w:rPr>
          <w:rFonts w:ascii="Verdana" w:hAnsi="Verdana"/>
          <w:sz w:val="20"/>
          <w:lang w:val="en-US"/>
        </w:rPr>
        <w:t>and</w:t>
      </w:r>
      <w:r w:rsidR="00265F6B" w:rsidRPr="00525E62">
        <w:rPr>
          <w:rFonts w:ascii="Verdana" w:hAnsi="Verdana"/>
          <w:sz w:val="20"/>
          <w:lang w:val="en-US"/>
        </w:rPr>
        <w:t xml:space="preserve"> to</w:t>
      </w:r>
      <w:r w:rsidRPr="00525E62">
        <w:rPr>
          <w:rFonts w:ascii="Verdana" w:hAnsi="Verdana"/>
          <w:sz w:val="20"/>
          <w:lang w:val="en-US"/>
        </w:rPr>
        <w:t xml:space="preserve"> grant them collective title. </w:t>
      </w:r>
      <w:r w:rsidR="00882B49" w:rsidRPr="00525E62">
        <w:rPr>
          <w:rFonts w:ascii="Verdana" w:hAnsi="Verdana"/>
          <w:sz w:val="20"/>
          <w:lang w:val="en-US"/>
        </w:rPr>
        <w:t>In this regard, the State must present a detailed timetable to comply with this obligation.</w:t>
      </w:r>
    </w:p>
    <w:p w14:paraId="6E64431F" w14:textId="77777777" w:rsidR="007C0BD8" w:rsidRPr="00525E62" w:rsidRDefault="007C0BD8" w:rsidP="007C0BD8">
      <w:pPr>
        <w:pStyle w:val="ListParagraph"/>
        <w:ind w:left="0"/>
        <w:jc w:val="both"/>
        <w:rPr>
          <w:rFonts w:ascii="Verdana" w:hAnsi="Verdana"/>
          <w:sz w:val="20"/>
          <w:lang w:val="en-US"/>
        </w:rPr>
      </w:pPr>
    </w:p>
    <w:p w14:paraId="176FFFB0" w14:textId="13E9C538" w:rsidR="007C0BD8" w:rsidRPr="00525E62" w:rsidRDefault="00882B49" w:rsidP="00882B49">
      <w:pPr>
        <w:pStyle w:val="ListParagraph"/>
        <w:numPr>
          <w:ilvl w:val="0"/>
          <w:numId w:val="2"/>
        </w:numPr>
        <w:ind w:left="0" w:firstLine="0"/>
        <w:jc w:val="both"/>
        <w:rPr>
          <w:rFonts w:ascii="Verdana" w:hAnsi="Verdana"/>
          <w:sz w:val="20"/>
          <w:lang w:val="en-US"/>
        </w:rPr>
      </w:pPr>
      <w:r w:rsidRPr="00525E62">
        <w:rPr>
          <w:rFonts w:ascii="Verdana" w:hAnsi="Verdana"/>
          <w:sz w:val="20"/>
          <w:lang w:val="en-US"/>
        </w:rPr>
        <w:t>Furthermore, regarding the obligation to review the concessions granted in the territory corresponding to the Saramaka people before the judgment</w:t>
      </w:r>
      <w:r w:rsidR="00265F6B" w:rsidRPr="00525E62">
        <w:rPr>
          <w:rFonts w:ascii="Verdana" w:hAnsi="Verdana"/>
          <w:sz w:val="20"/>
          <w:lang w:val="en-US"/>
        </w:rPr>
        <w:t xml:space="preserve"> was handed down</w:t>
      </w:r>
      <w:r w:rsidRPr="00525E62">
        <w:rPr>
          <w:rFonts w:ascii="Verdana" w:hAnsi="Verdana"/>
          <w:sz w:val="20"/>
          <w:lang w:val="en-US"/>
        </w:rPr>
        <w:t xml:space="preserve"> </w:t>
      </w:r>
      <w:r w:rsidR="00646D74" w:rsidRPr="00525E62">
        <w:rPr>
          <w:rFonts w:ascii="Verdana" w:hAnsi="Verdana"/>
          <w:sz w:val="20"/>
          <w:lang w:val="en-US"/>
        </w:rPr>
        <w:t>(</w:t>
      </w:r>
      <w:r w:rsidR="00646D74" w:rsidRPr="00525E62">
        <w:rPr>
          <w:rFonts w:ascii="Verdana" w:hAnsi="Verdana"/>
          <w:i/>
          <w:sz w:val="20"/>
          <w:lang w:val="en-US"/>
        </w:rPr>
        <w:t>supra</w:t>
      </w:r>
      <w:r w:rsidR="00646D74" w:rsidRPr="00525E62">
        <w:rPr>
          <w:rFonts w:ascii="Verdana" w:hAnsi="Verdana"/>
          <w:sz w:val="20"/>
          <w:lang w:val="en-US"/>
        </w:rPr>
        <w:t xml:space="preserve"> </w:t>
      </w:r>
      <w:proofErr w:type="spellStart"/>
      <w:r w:rsidR="007F7CF1" w:rsidRPr="00525E62">
        <w:rPr>
          <w:rFonts w:ascii="Verdana" w:hAnsi="Verdana"/>
          <w:i/>
          <w:sz w:val="20"/>
          <w:lang w:val="en-US"/>
        </w:rPr>
        <w:t>considerandum</w:t>
      </w:r>
      <w:proofErr w:type="spellEnd"/>
      <w:r w:rsidR="00646D74"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_Ref530057274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12</w:t>
      </w:r>
      <w:r w:rsidR="001413FA">
        <w:rPr>
          <w:rFonts w:ascii="Verdana" w:hAnsi="Verdana"/>
          <w:sz w:val="20"/>
          <w:lang w:val="en-US"/>
        </w:rPr>
        <w:fldChar w:fldCharType="end"/>
      </w:r>
      <w:r w:rsidR="00646D74" w:rsidRPr="00525E62">
        <w:rPr>
          <w:rFonts w:ascii="Verdana" w:hAnsi="Verdana"/>
          <w:sz w:val="20"/>
          <w:lang w:val="en-US"/>
        </w:rPr>
        <w:t>)</w:t>
      </w:r>
      <w:r w:rsidR="007C0BD8" w:rsidRPr="00525E62">
        <w:rPr>
          <w:rFonts w:ascii="Verdana" w:hAnsi="Verdana"/>
          <w:sz w:val="20"/>
          <w:lang w:val="en-US"/>
        </w:rPr>
        <w:t>,</w:t>
      </w:r>
      <w:r w:rsidR="00826C90" w:rsidRPr="00525E62">
        <w:rPr>
          <w:rFonts w:ascii="Verdana" w:hAnsi="Verdana"/>
          <w:sz w:val="20"/>
          <w:lang w:val="en-US"/>
        </w:rPr>
        <w:t xml:space="preserve"> </w:t>
      </w:r>
      <w:r w:rsidR="00C93224" w:rsidRPr="00525E62">
        <w:rPr>
          <w:rFonts w:ascii="Verdana" w:hAnsi="Verdana"/>
          <w:sz w:val="20"/>
          <w:lang w:val="en-US"/>
        </w:rPr>
        <w:t>the Court</w:t>
      </w:r>
      <w:r w:rsidR="00826C90" w:rsidRPr="00525E62">
        <w:rPr>
          <w:rFonts w:ascii="Verdana" w:hAnsi="Verdana"/>
          <w:sz w:val="20"/>
          <w:lang w:val="en-US"/>
        </w:rPr>
        <w:t xml:space="preserve"> observ</w:t>
      </w:r>
      <w:r w:rsidRPr="00525E62">
        <w:rPr>
          <w:rFonts w:ascii="Verdana" w:hAnsi="Verdana"/>
          <w:sz w:val="20"/>
          <w:lang w:val="en-US"/>
        </w:rPr>
        <w:t>es that</w:t>
      </w:r>
      <w:r w:rsidR="007C0BD8" w:rsidRPr="00525E62">
        <w:rPr>
          <w:rFonts w:ascii="Verdana" w:hAnsi="Verdana"/>
          <w:sz w:val="20"/>
          <w:lang w:val="en-US"/>
        </w:rPr>
        <w:t xml:space="preserve"> </w:t>
      </w:r>
      <w:r w:rsidR="005D679B" w:rsidRPr="00525E62">
        <w:rPr>
          <w:rFonts w:ascii="Verdana" w:hAnsi="Verdana"/>
          <w:sz w:val="20"/>
          <w:lang w:val="en-US"/>
        </w:rPr>
        <w:t xml:space="preserve">the </w:t>
      </w:r>
      <w:r w:rsidR="005D679B" w:rsidRPr="001413FA">
        <w:rPr>
          <w:rFonts w:ascii="Verdana" w:hAnsi="Verdana"/>
          <w:i/>
          <w:sz w:val="20"/>
          <w:lang w:val="en-US"/>
        </w:rPr>
        <w:t>State</w:t>
      </w:r>
      <w:r w:rsidR="007C0BD8" w:rsidRPr="00525E62">
        <w:rPr>
          <w:rFonts w:ascii="Verdana" w:hAnsi="Verdana"/>
          <w:sz w:val="20"/>
          <w:lang w:val="en-US"/>
        </w:rPr>
        <w:t xml:space="preserve"> </w:t>
      </w:r>
      <w:r w:rsidRPr="00525E62">
        <w:rPr>
          <w:rFonts w:ascii="Verdana" w:hAnsi="Verdana"/>
          <w:sz w:val="20"/>
          <w:lang w:val="en-US"/>
        </w:rPr>
        <w:t xml:space="preserve">has not provided information, following the 2011 order, </w:t>
      </w:r>
      <w:r w:rsidR="00265F6B" w:rsidRPr="00525E62">
        <w:rPr>
          <w:rFonts w:ascii="Verdana" w:hAnsi="Verdana"/>
          <w:sz w:val="20"/>
          <w:lang w:val="en-US"/>
        </w:rPr>
        <w:t xml:space="preserve">to show </w:t>
      </w:r>
      <w:r w:rsidRPr="00525E62">
        <w:rPr>
          <w:rFonts w:ascii="Verdana" w:hAnsi="Verdana"/>
          <w:sz w:val="20"/>
          <w:lang w:val="en-US"/>
        </w:rPr>
        <w:t xml:space="preserve">that it has </w:t>
      </w:r>
      <w:r w:rsidR="00265F6B" w:rsidRPr="00525E62">
        <w:rPr>
          <w:rFonts w:ascii="Verdana" w:hAnsi="Verdana"/>
          <w:sz w:val="20"/>
          <w:lang w:val="en-US"/>
        </w:rPr>
        <w:t>taken</w:t>
      </w:r>
      <w:r w:rsidRPr="00525E62">
        <w:rPr>
          <w:rFonts w:ascii="Verdana" w:hAnsi="Verdana"/>
          <w:sz w:val="20"/>
          <w:lang w:val="en-US"/>
        </w:rPr>
        <w:t xml:space="preserve"> an</w:t>
      </w:r>
      <w:r w:rsidR="00265F6B" w:rsidRPr="00525E62">
        <w:rPr>
          <w:rFonts w:ascii="Verdana" w:hAnsi="Verdana"/>
          <w:sz w:val="20"/>
          <w:lang w:val="en-US"/>
        </w:rPr>
        <w:t>y</w:t>
      </w:r>
      <w:r w:rsidRPr="00525E62">
        <w:rPr>
          <w:rFonts w:ascii="Verdana" w:hAnsi="Verdana"/>
          <w:sz w:val="20"/>
          <w:lang w:val="en-US"/>
        </w:rPr>
        <w:t xml:space="preserve"> measure aimed at reviewing such concessions. Consequently, the Court requires the State to specify the concessions that were granted and subsist within Saramaka territory, and the measures it has taken to review them. Suriname must indicate whether it has consulted the Saramaka and guaranteed their effective participation in these reviews. Also, if appropriate, whether it is ensuring that the members </w:t>
      </w:r>
      <w:r w:rsidR="005D679B" w:rsidRPr="00525E62">
        <w:rPr>
          <w:rFonts w:ascii="Verdana" w:hAnsi="Verdana"/>
          <w:sz w:val="20"/>
          <w:lang w:val="en-US"/>
        </w:rPr>
        <w:t xml:space="preserve">of the Saramaka </w:t>
      </w:r>
      <w:r w:rsidRPr="00525E62">
        <w:rPr>
          <w:rFonts w:ascii="Verdana" w:hAnsi="Verdana"/>
          <w:sz w:val="20"/>
          <w:lang w:val="en-US"/>
        </w:rPr>
        <w:t>p</w:t>
      </w:r>
      <w:r w:rsidR="005D679B" w:rsidRPr="00525E62">
        <w:rPr>
          <w:rFonts w:ascii="Verdana" w:hAnsi="Verdana"/>
          <w:sz w:val="20"/>
          <w:lang w:val="en-US"/>
        </w:rPr>
        <w:t>eople</w:t>
      </w:r>
      <w:r w:rsidR="007C0BD8" w:rsidRPr="00525E62">
        <w:rPr>
          <w:rFonts w:ascii="Verdana" w:hAnsi="Verdana"/>
          <w:sz w:val="20"/>
          <w:lang w:val="en-US"/>
        </w:rPr>
        <w:t xml:space="preserve"> rec</w:t>
      </w:r>
      <w:r w:rsidRPr="00525E62">
        <w:rPr>
          <w:rFonts w:ascii="Verdana" w:hAnsi="Verdana"/>
          <w:sz w:val="20"/>
          <w:lang w:val="en-US"/>
        </w:rPr>
        <w:t xml:space="preserve">eive reasonable benefits from these concessions, and whether the relevant social and environmental impact assessments </w:t>
      </w:r>
      <w:r w:rsidR="00265F6B" w:rsidRPr="00525E62">
        <w:rPr>
          <w:rFonts w:ascii="Verdana" w:hAnsi="Verdana"/>
          <w:sz w:val="20"/>
          <w:lang w:val="en-US"/>
        </w:rPr>
        <w:t>were</w:t>
      </w:r>
      <w:r w:rsidRPr="00525E62">
        <w:rPr>
          <w:rFonts w:ascii="Verdana" w:hAnsi="Verdana"/>
          <w:sz w:val="20"/>
          <w:lang w:val="en-US"/>
        </w:rPr>
        <w:t xml:space="preserve"> carried out.</w:t>
      </w:r>
      <w:r w:rsidR="00EC3A7C" w:rsidRPr="00525E62">
        <w:rPr>
          <w:rStyle w:val="FootnoteReference"/>
          <w:rFonts w:ascii="Verdana" w:hAnsi="Verdana"/>
          <w:sz w:val="20"/>
          <w:lang w:val="en-US"/>
        </w:rPr>
        <w:footnoteReference w:id="24"/>
      </w:r>
      <w:r w:rsidR="007C0BD8" w:rsidRPr="00525E62">
        <w:rPr>
          <w:rFonts w:ascii="Verdana" w:hAnsi="Verdana"/>
          <w:sz w:val="20"/>
          <w:lang w:val="en-US"/>
        </w:rPr>
        <w:t xml:space="preserve"> </w:t>
      </w:r>
    </w:p>
    <w:p w14:paraId="3EB0CD7E" w14:textId="77777777" w:rsidR="007C0BD8" w:rsidRPr="00525E62" w:rsidRDefault="007C0BD8" w:rsidP="007C0BD8">
      <w:pPr>
        <w:jc w:val="both"/>
        <w:rPr>
          <w:rFonts w:ascii="Verdana" w:hAnsi="Verdana"/>
          <w:sz w:val="20"/>
          <w:lang w:val="en-US"/>
        </w:rPr>
      </w:pPr>
    </w:p>
    <w:p w14:paraId="1FC82A59" w14:textId="62CDBBF5" w:rsidR="003F7BC8" w:rsidRPr="00E83269" w:rsidRDefault="00882B49" w:rsidP="00254D08">
      <w:pPr>
        <w:pStyle w:val="ListParagraph"/>
        <w:numPr>
          <w:ilvl w:val="0"/>
          <w:numId w:val="2"/>
        </w:numPr>
        <w:ind w:left="0" w:firstLine="0"/>
        <w:jc w:val="both"/>
        <w:rPr>
          <w:rFonts w:ascii="Verdana" w:hAnsi="Verdana"/>
          <w:sz w:val="20"/>
          <w:lang w:val="en-US"/>
        </w:rPr>
      </w:pPr>
      <w:bookmarkStart w:id="25" w:name="_Ref526771383"/>
      <w:r w:rsidRPr="00E83269">
        <w:rPr>
          <w:rFonts w:ascii="Verdana" w:hAnsi="Verdana"/>
          <w:sz w:val="20"/>
          <w:lang w:val="en-US"/>
        </w:rPr>
        <w:t xml:space="preserve">Lastly, regarding the logging and mining concessions granted </w:t>
      </w:r>
      <w:r w:rsidR="00254D08" w:rsidRPr="00E83269">
        <w:rPr>
          <w:rFonts w:ascii="Verdana" w:hAnsi="Verdana"/>
          <w:sz w:val="20"/>
          <w:lang w:val="en-US"/>
        </w:rPr>
        <w:t>following</w:t>
      </w:r>
      <w:r w:rsidRPr="00E83269">
        <w:rPr>
          <w:rFonts w:ascii="Verdana" w:hAnsi="Verdana"/>
          <w:sz w:val="20"/>
          <w:lang w:val="en-US"/>
        </w:rPr>
        <w:t xml:space="preserve"> </w:t>
      </w:r>
      <w:r w:rsidR="00C93224" w:rsidRPr="00E83269">
        <w:rPr>
          <w:rFonts w:ascii="Verdana" w:hAnsi="Verdana"/>
          <w:sz w:val="20"/>
          <w:lang w:val="en-US"/>
        </w:rPr>
        <w:t>the judgment</w:t>
      </w:r>
      <w:r w:rsidR="003A34A7" w:rsidRPr="00E83269">
        <w:rPr>
          <w:rFonts w:ascii="Verdana" w:hAnsi="Verdana"/>
          <w:sz w:val="20"/>
          <w:lang w:val="en-US"/>
        </w:rPr>
        <w:t xml:space="preserve"> </w:t>
      </w:r>
      <w:r w:rsidRPr="00E83269">
        <w:rPr>
          <w:rFonts w:ascii="Verdana" w:hAnsi="Verdana"/>
          <w:sz w:val="20"/>
          <w:lang w:val="en-US"/>
        </w:rPr>
        <w:t xml:space="preserve">and the State’s obligation </w:t>
      </w:r>
      <w:r w:rsidR="00254D08" w:rsidRPr="00E83269">
        <w:rPr>
          <w:rFonts w:ascii="Verdana" w:hAnsi="Verdana"/>
          <w:sz w:val="20"/>
          <w:lang w:val="en-US"/>
        </w:rPr>
        <w:t xml:space="preserve">to </w:t>
      </w:r>
      <w:r w:rsidR="003A34A7" w:rsidRPr="00E83269">
        <w:rPr>
          <w:rFonts w:ascii="Verdana" w:hAnsi="Verdana"/>
          <w:sz w:val="20"/>
          <w:lang w:val="en-US"/>
        </w:rPr>
        <w:t>“</w:t>
      </w:r>
      <w:r w:rsidR="00254D08" w:rsidRPr="00E83269">
        <w:rPr>
          <w:rFonts w:ascii="Verdana" w:eastAsiaTheme="minorHAnsi" w:hAnsi="Verdana" w:cs="Verdana"/>
          <w:sz w:val="20"/>
          <w:lang w:val="en-US"/>
        </w:rPr>
        <w:t>abstain from acts which might lead the agents of the State itself, or third parties acting with its acquiescence or its tolerance, to affect the existence, value, use or enjoyment of the territory to which the members of the Saramaka people are entitled</w:t>
      </w:r>
      <w:r w:rsidR="003A34A7" w:rsidRPr="00E83269">
        <w:rPr>
          <w:rFonts w:ascii="Verdana" w:hAnsi="Verdana"/>
          <w:sz w:val="20"/>
          <w:lang w:val="en-US"/>
        </w:rPr>
        <w:t>”</w:t>
      </w:r>
      <w:r w:rsidR="00646D74" w:rsidRPr="00E83269">
        <w:rPr>
          <w:rFonts w:ascii="Verdana" w:hAnsi="Verdana"/>
          <w:sz w:val="20"/>
          <w:lang w:val="en-US"/>
        </w:rPr>
        <w:t xml:space="preserve"> (</w:t>
      </w:r>
      <w:r w:rsidR="00646D74" w:rsidRPr="00E83269">
        <w:rPr>
          <w:rFonts w:ascii="Verdana" w:hAnsi="Verdana"/>
          <w:i/>
          <w:sz w:val="20"/>
          <w:lang w:val="en-US"/>
        </w:rPr>
        <w:t>supra</w:t>
      </w:r>
      <w:r w:rsidR="00646D74" w:rsidRPr="00E83269">
        <w:rPr>
          <w:rFonts w:ascii="Verdana" w:hAnsi="Verdana"/>
          <w:sz w:val="20"/>
          <w:lang w:val="en-US"/>
        </w:rPr>
        <w:t xml:space="preserve"> </w:t>
      </w:r>
      <w:proofErr w:type="spellStart"/>
      <w:r w:rsidR="007F7CF1" w:rsidRPr="00E83269">
        <w:rPr>
          <w:rFonts w:ascii="Verdana" w:hAnsi="Verdana"/>
          <w:i/>
          <w:sz w:val="20"/>
          <w:lang w:val="en-US"/>
        </w:rPr>
        <w:t>considerandum</w:t>
      </w:r>
      <w:proofErr w:type="spellEnd"/>
      <w:r w:rsidR="00646D74"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_Ref530057274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12</w:t>
      </w:r>
      <w:r w:rsidR="001413FA">
        <w:rPr>
          <w:rFonts w:ascii="Verdana" w:hAnsi="Verdana"/>
          <w:sz w:val="20"/>
          <w:lang w:val="en-US"/>
        </w:rPr>
        <w:fldChar w:fldCharType="end"/>
      </w:r>
      <w:r w:rsidR="00646D74" w:rsidRPr="00E83269">
        <w:rPr>
          <w:rFonts w:ascii="Verdana" w:hAnsi="Verdana"/>
          <w:sz w:val="20"/>
          <w:lang w:val="en-US"/>
        </w:rPr>
        <w:t>)</w:t>
      </w:r>
      <w:r w:rsidR="007C0BD8" w:rsidRPr="00E83269">
        <w:rPr>
          <w:rFonts w:ascii="Verdana" w:hAnsi="Verdana"/>
          <w:sz w:val="20"/>
          <w:lang w:val="en-US"/>
        </w:rPr>
        <w:t xml:space="preserve">, </w:t>
      </w:r>
      <w:r w:rsidR="00C93224" w:rsidRPr="00E83269">
        <w:rPr>
          <w:rFonts w:ascii="Verdana" w:hAnsi="Verdana"/>
          <w:sz w:val="20"/>
          <w:lang w:val="en-US"/>
        </w:rPr>
        <w:t>the Court</w:t>
      </w:r>
      <w:r w:rsidR="007C0BD8" w:rsidRPr="00E83269">
        <w:rPr>
          <w:rFonts w:ascii="Verdana" w:hAnsi="Verdana"/>
          <w:sz w:val="20"/>
          <w:lang w:val="en-US"/>
        </w:rPr>
        <w:t xml:space="preserve"> observ</w:t>
      </w:r>
      <w:r w:rsidR="00254D08" w:rsidRPr="00E83269">
        <w:rPr>
          <w:rFonts w:ascii="Verdana" w:hAnsi="Verdana"/>
          <w:sz w:val="20"/>
          <w:lang w:val="en-US"/>
        </w:rPr>
        <w:t>es that, after 2011, the legal debate on this aspect of the measure has been restricted to the alleged concession granted to IAMGOLD, which the Court referred to in the 2013 order</w:t>
      </w:r>
      <w:r w:rsidR="00EC3A7C" w:rsidRPr="00E83269">
        <w:rPr>
          <w:rFonts w:ascii="Verdana" w:hAnsi="Verdana"/>
          <w:sz w:val="20"/>
          <w:lang w:val="en-US"/>
        </w:rPr>
        <w:t xml:space="preserve"> (</w:t>
      </w:r>
      <w:r w:rsidR="00EC3A7C" w:rsidRPr="00E83269">
        <w:rPr>
          <w:rFonts w:ascii="Verdana" w:hAnsi="Verdana"/>
          <w:i/>
          <w:sz w:val="20"/>
          <w:lang w:val="en-US"/>
        </w:rPr>
        <w:t>supra</w:t>
      </w:r>
      <w:r w:rsidR="00EC3A7C" w:rsidRPr="00E83269">
        <w:rPr>
          <w:rFonts w:ascii="Verdana" w:hAnsi="Verdana"/>
          <w:sz w:val="20"/>
          <w:lang w:val="en-US"/>
        </w:rPr>
        <w:t xml:space="preserve"> </w:t>
      </w:r>
      <w:proofErr w:type="spellStart"/>
      <w:r w:rsidR="007F7CF1" w:rsidRPr="00E83269">
        <w:rPr>
          <w:rFonts w:ascii="Verdana" w:hAnsi="Verdana"/>
          <w:i/>
          <w:sz w:val="20"/>
          <w:lang w:val="en-US"/>
        </w:rPr>
        <w:t>considerandum</w:t>
      </w:r>
      <w:proofErr w:type="spellEnd"/>
      <w:r w:rsidR="00EC3A7C"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_Ref530057291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18</w:t>
      </w:r>
      <w:r w:rsidR="001413FA">
        <w:rPr>
          <w:rFonts w:ascii="Verdana" w:hAnsi="Verdana"/>
          <w:sz w:val="20"/>
          <w:lang w:val="en-US"/>
        </w:rPr>
        <w:fldChar w:fldCharType="end"/>
      </w:r>
      <w:r w:rsidR="00EC3A7C" w:rsidRPr="00E83269">
        <w:rPr>
          <w:rFonts w:ascii="Verdana" w:hAnsi="Verdana"/>
          <w:sz w:val="20"/>
          <w:lang w:val="en-US"/>
        </w:rPr>
        <w:t xml:space="preserve">) </w:t>
      </w:r>
      <w:r w:rsidR="00254D08" w:rsidRPr="00E83269">
        <w:rPr>
          <w:rFonts w:ascii="Verdana" w:hAnsi="Verdana"/>
          <w:sz w:val="20"/>
          <w:lang w:val="en-US"/>
        </w:rPr>
        <w:t xml:space="preserve">and to the modification </w:t>
      </w:r>
      <w:r w:rsidR="00265F6B" w:rsidRPr="00E83269">
        <w:rPr>
          <w:rFonts w:ascii="Verdana" w:hAnsi="Verdana"/>
          <w:sz w:val="20"/>
          <w:lang w:val="en-US"/>
        </w:rPr>
        <w:t>of</w:t>
      </w:r>
      <w:r w:rsidR="00254D08" w:rsidRPr="00E83269">
        <w:rPr>
          <w:rFonts w:ascii="Verdana" w:hAnsi="Verdana"/>
          <w:sz w:val="20"/>
          <w:lang w:val="en-US"/>
        </w:rPr>
        <w:t xml:space="preserve"> the </w:t>
      </w:r>
      <w:r w:rsidR="003F7BC8" w:rsidRPr="00E83269">
        <w:rPr>
          <w:rFonts w:ascii="Verdana" w:hAnsi="Verdana"/>
          <w:sz w:val="20"/>
          <w:lang w:val="en-US"/>
        </w:rPr>
        <w:t>Rosebel Mineral Agreement</w:t>
      </w:r>
      <w:r w:rsidR="00265F6B" w:rsidRPr="00E83269">
        <w:rPr>
          <w:rFonts w:ascii="Verdana" w:hAnsi="Verdana"/>
          <w:sz w:val="20"/>
          <w:lang w:val="en-US"/>
        </w:rPr>
        <w:t>,</w:t>
      </w:r>
      <w:r w:rsidR="003F7BC8" w:rsidRPr="00E83269">
        <w:rPr>
          <w:rFonts w:ascii="Verdana" w:hAnsi="Verdana"/>
          <w:sz w:val="20"/>
          <w:lang w:val="en-US"/>
        </w:rPr>
        <w:t xml:space="preserve"> </w:t>
      </w:r>
      <w:r w:rsidR="00254D08" w:rsidRPr="00E83269">
        <w:rPr>
          <w:rFonts w:ascii="Verdana" w:hAnsi="Verdana"/>
          <w:sz w:val="20"/>
          <w:lang w:val="en-US"/>
        </w:rPr>
        <w:t xml:space="preserve">in force since April </w:t>
      </w:r>
      <w:r w:rsidR="003F7BC8" w:rsidRPr="00E83269">
        <w:rPr>
          <w:rFonts w:ascii="Verdana" w:hAnsi="Verdana"/>
          <w:sz w:val="20"/>
          <w:lang w:val="en-US"/>
        </w:rPr>
        <w:t>1994</w:t>
      </w:r>
      <w:r w:rsidR="00265F6B" w:rsidRPr="00E83269">
        <w:rPr>
          <w:rFonts w:ascii="Verdana" w:hAnsi="Verdana"/>
          <w:sz w:val="20"/>
          <w:lang w:val="en-US"/>
        </w:rPr>
        <w:t>, by the April 2013 amendment</w:t>
      </w:r>
      <w:r w:rsidR="0034353D" w:rsidRPr="00E83269">
        <w:rPr>
          <w:rFonts w:ascii="Verdana" w:hAnsi="Verdana"/>
          <w:sz w:val="20"/>
          <w:lang w:val="en-US"/>
        </w:rPr>
        <w:t xml:space="preserve"> (</w:t>
      </w:r>
      <w:r w:rsidR="0034353D" w:rsidRPr="00E83269">
        <w:rPr>
          <w:rFonts w:ascii="Verdana" w:hAnsi="Verdana"/>
          <w:i/>
          <w:sz w:val="20"/>
          <w:lang w:val="en-US"/>
        </w:rPr>
        <w:t>infra</w:t>
      </w:r>
      <w:r w:rsidR="0034353D" w:rsidRPr="00E83269">
        <w:rPr>
          <w:rFonts w:ascii="Verdana" w:hAnsi="Verdana"/>
          <w:sz w:val="20"/>
          <w:lang w:val="en-US"/>
        </w:rPr>
        <w:t xml:space="preserve"> </w:t>
      </w:r>
      <w:proofErr w:type="spellStart"/>
      <w:r w:rsidR="007F7CF1" w:rsidRPr="00E83269">
        <w:rPr>
          <w:rFonts w:ascii="Verdana" w:hAnsi="Verdana"/>
          <w:i/>
          <w:sz w:val="20"/>
          <w:lang w:val="en-US"/>
        </w:rPr>
        <w:t>considerandum</w:t>
      </w:r>
      <w:proofErr w:type="spellEnd"/>
      <w:r w:rsidR="0034353D"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_Ref530057493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25</w:t>
      </w:r>
      <w:r w:rsidR="001413FA">
        <w:rPr>
          <w:rFonts w:ascii="Verdana" w:hAnsi="Verdana"/>
          <w:sz w:val="20"/>
          <w:lang w:val="en-US"/>
        </w:rPr>
        <w:fldChar w:fldCharType="end"/>
      </w:r>
      <w:r w:rsidR="0034353D" w:rsidRPr="00E83269">
        <w:rPr>
          <w:rFonts w:ascii="Verdana" w:hAnsi="Verdana"/>
          <w:sz w:val="20"/>
          <w:lang w:val="en-US"/>
        </w:rPr>
        <w:t>)</w:t>
      </w:r>
      <w:r w:rsidR="00EC3A7C" w:rsidRPr="00E83269">
        <w:rPr>
          <w:rFonts w:ascii="Verdana" w:hAnsi="Verdana"/>
          <w:sz w:val="20"/>
          <w:lang w:val="en-US"/>
        </w:rPr>
        <w:t>.</w:t>
      </w:r>
      <w:bookmarkEnd w:id="25"/>
      <w:r w:rsidR="003F7BC8" w:rsidRPr="00E83269">
        <w:rPr>
          <w:rFonts w:ascii="Verdana" w:hAnsi="Verdana"/>
          <w:sz w:val="20"/>
          <w:lang w:val="en-US"/>
        </w:rPr>
        <w:t xml:space="preserve"> </w:t>
      </w:r>
    </w:p>
    <w:p w14:paraId="5D0D6E6C" w14:textId="77777777" w:rsidR="003F7BC8" w:rsidRPr="00525E62" w:rsidRDefault="003F7BC8" w:rsidP="003F7BC8">
      <w:pPr>
        <w:pStyle w:val="ListParagraph"/>
        <w:ind w:left="0"/>
        <w:jc w:val="both"/>
        <w:rPr>
          <w:rFonts w:ascii="Verdana" w:hAnsi="Verdana"/>
          <w:sz w:val="20"/>
          <w:lang w:val="en-US"/>
        </w:rPr>
      </w:pPr>
    </w:p>
    <w:p w14:paraId="214973E7" w14:textId="775267B8" w:rsidR="0034593B" w:rsidRPr="00E83269" w:rsidRDefault="00254D08" w:rsidP="00254D08">
      <w:pPr>
        <w:pStyle w:val="ListParagraph"/>
        <w:numPr>
          <w:ilvl w:val="0"/>
          <w:numId w:val="2"/>
        </w:numPr>
        <w:ind w:left="0" w:firstLine="0"/>
        <w:jc w:val="both"/>
        <w:rPr>
          <w:rFonts w:ascii="Verdana" w:hAnsi="Verdana"/>
          <w:sz w:val="20"/>
          <w:lang w:val="en-US"/>
        </w:rPr>
      </w:pPr>
      <w:bookmarkStart w:id="26" w:name="_Ref530057493"/>
      <w:bookmarkStart w:id="27" w:name="_Ref526858848"/>
      <w:r w:rsidRPr="00E83269">
        <w:rPr>
          <w:rFonts w:ascii="Verdana" w:hAnsi="Verdana"/>
          <w:sz w:val="20"/>
          <w:lang w:val="en-US"/>
        </w:rPr>
        <w:t>In this regard, based on the information provided by the parties, in April 2013 an amendment was made to the Rosebel Mineral Agreement</w:t>
      </w:r>
      <w:r w:rsidR="002128C8">
        <w:rPr>
          <w:rFonts w:ascii="Verdana" w:hAnsi="Verdana"/>
          <w:sz w:val="20"/>
          <w:lang w:val="en-US"/>
        </w:rPr>
        <w:t>,</w:t>
      </w:r>
      <w:r w:rsidRPr="00E83269">
        <w:rPr>
          <w:rFonts w:ascii="Verdana" w:hAnsi="Verdana"/>
          <w:sz w:val="20"/>
          <w:lang w:val="en-US"/>
        </w:rPr>
        <w:t xml:space="preserve"> </w:t>
      </w:r>
      <w:r w:rsidR="002128C8">
        <w:rPr>
          <w:rFonts w:ascii="Verdana" w:hAnsi="Verdana"/>
          <w:sz w:val="20"/>
          <w:lang w:val="en-US"/>
        </w:rPr>
        <w:t>which</w:t>
      </w:r>
      <w:r w:rsidR="00265F6B" w:rsidRPr="00E83269">
        <w:rPr>
          <w:rFonts w:ascii="Verdana" w:hAnsi="Verdana"/>
          <w:sz w:val="20"/>
          <w:lang w:val="en-US"/>
        </w:rPr>
        <w:t xml:space="preserve"> </w:t>
      </w:r>
      <w:r w:rsidRPr="00E83269">
        <w:rPr>
          <w:rFonts w:ascii="Verdana" w:hAnsi="Verdana"/>
          <w:sz w:val="20"/>
          <w:lang w:val="en-US"/>
        </w:rPr>
        <w:t>regulat</w:t>
      </w:r>
      <w:r w:rsidR="00265F6B" w:rsidRPr="00E83269">
        <w:rPr>
          <w:rFonts w:ascii="Verdana" w:hAnsi="Verdana"/>
          <w:sz w:val="20"/>
          <w:lang w:val="en-US"/>
        </w:rPr>
        <w:t>ed</w:t>
      </w:r>
      <w:r w:rsidRPr="00E83269">
        <w:rPr>
          <w:rFonts w:ascii="Verdana" w:hAnsi="Verdana"/>
          <w:sz w:val="20"/>
          <w:lang w:val="en-US"/>
        </w:rPr>
        <w:t xml:space="preserve"> the terms of the</w:t>
      </w:r>
      <w:r w:rsidR="0034593B" w:rsidRPr="00E83269">
        <w:rPr>
          <w:rFonts w:ascii="Verdana" w:hAnsi="Verdana"/>
          <w:sz w:val="20"/>
          <w:lang w:val="en-US"/>
        </w:rPr>
        <w:t xml:space="preserve"> rights for</w:t>
      </w:r>
      <w:r w:rsidRPr="00E83269">
        <w:rPr>
          <w:rFonts w:ascii="Verdana" w:hAnsi="Verdana"/>
          <w:sz w:val="20"/>
          <w:lang w:val="en-US"/>
        </w:rPr>
        <w:t xml:space="preserve"> </w:t>
      </w:r>
      <w:r w:rsidR="00456BE0" w:rsidRPr="00E83269">
        <w:rPr>
          <w:rFonts w:ascii="Verdana" w:hAnsi="Verdana"/>
          <w:sz w:val="20"/>
          <w:lang w:val="en-US"/>
        </w:rPr>
        <w:t xml:space="preserve">the </w:t>
      </w:r>
      <w:r w:rsidRPr="00E83269">
        <w:rPr>
          <w:rFonts w:ascii="Verdana" w:hAnsi="Verdana"/>
          <w:sz w:val="20"/>
          <w:lang w:val="en-US"/>
        </w:rPr>
        <w:t xml:space="preserve">exploration and exploitation </w:t>
      </w:r>
      <w:r w:rsidR="0034593B" w:rsidRPr="00E83269">
        <w:rPr>
          <w:rFonts w:ascii="Verdana" w:hAnsi="Verdana"/>
          <w:sz w:val="20"/>
          <w:lang w:val="en-US"/>
        </w:rPr>
        <w:t>of</w:t>
      </w:r>
      <w:r w:rsidRPr="00E83269">
        <w:rPr>
          <w:rFonts w:ascii="Verdana" w:hAnsi="Verdana"/>
          <w:sz w:val="20"/>
          <w:lang w:val="en-US"/>
        </w:rPr>
        <w:t xml:space="preserve"> mineral resources in certain “areas of interest,” by </w:t>
      </w:r>
      <w:r w:rsidR="0034593B" w:rsidRPr="00E83269">
        <w:rPr>
          <w:rFonts w:ascii="Verdana" w:hAnsi="Verdana"/>
          <w:sz w:val="20"/>
          <w:lang w:val="en-US"/>
        </w:rPr>
        <w:t xml:space="preserve">IAMGOLD and its subsidiary, </w:t>
      </w:r>
      <w:r w:rsidR="003F7BC8" w:rsidRPr="00E83269">
        <w:rPr>
          <w:rFonts w:ascii="Verdana" w:hAnsi="Verdana"/>
          <w:sz w:val="20"/>
          <w:lang w:val="en-US"/>
        </w:rPr>
        <w:t>Rosebel Gold Mine</w:t>
      </w:r>
      <w:r w:rsidR="004D3CE1" w:rsidRPr="00E83269">
        <w:rPr>
          <w:rFonts w:ascii="Verdana" w:hAnsi="Verdana"/>
          <w:sz w:val="20"/>
          <w:lang w:val="en-US"/>
        </w:rPr>
        <w:t>s</w:t>
      </w:r>
      <w:r w:rsidR="003F7BC8" w:rsidRPr="00E83269">
        <w:rPr>
          <w:rFonts w:ascii="Verdana" w:hAnsi="Verdana"/>
          <w:sz w:val="20"/>
          <w:lang w:val="en-US"/>
        </w:rPr>
        <w:t xml:space="preserve"> (“RGM”). </w:t>
      </w:r>
      <w:r w:rsidR="0034593B" w:rsidRPr="00E83269">
        <w:rPr>
          <w:rFonts w:ascii="Verdana" w:hAnsi="Verdana"/>
          <w:sz w:val="20"/>
          <w:lang w:val="en-US"/>
        </w:rPr>
        <w:t xml:space="preserve">As emphasized by </w:t>
      </w:r>
      <w:r w:rsidR="002462D1" w:rsidRPr="00E83269">
        <w:rPr>
          <w:rFonts w:ascii="Verdana" w:hAnsi="Verdana"/>
          <w:sz w:val="20"/>
          <w:lang w:val="en-US"/>
        </w:rPr>
        <w:t>the representatives</w:t>
      </w:r>
      <w:r w:rsidR="003F7BC8" w:rsidRPr="00E83269">
        <w:rPr>
          <w:rFonts w:ascii="Verdana" w:hAnsi="Verdana"/>
          <w:sz w:val="20"/>
          <w:lang w:val="en-US"/>
        </w:rPr>
        <w:t xml:space="preserve"> </w:t>
      </w:r>
      <w:r w:rsidR="0034593B" w:rsidRPr="00E83269">
        <w:rPr>
          <w:rFonts w:ascii="Verdana" w:hAnsi="Verdana"/>
          <w:sz w:val="20"/>
          <w:lang w:val="en-US"/>
        </w:rPr>
        <w:t xml:space="preserve">in their </w:t>
      </w:r>
      <w:r w:rsidR="003F7BC8" w:rsidRPr="00E83269">
        <w:rPr>
          <w:rFonts w:ascii="Verdana" w:hAnsi="Verdana"/>
          <w:sz w:val="20"/>
          <w:lang w:val="en-US"/>
        </w:rPr>
        <w:t xml:space="preserve">2013, 2014 </w:t>
      </w:r>
      <w:r w:rsidR="0034593B" w:rsidRPr="00E83269">
        <w:rPr>
          <w:rFonts w:ascii="Verdana" w:hAnsi="Verdana"/>
          <w:sz w:val="20"/>
          <w:lang w:val="en-US"/>
        </w:rPr>
        <w:t>and</w:t>
      </w:r>
      <w:r w:rsidR="003F7BC8" w:rsidRPr="00E83269">
        <w:rPr>
          <w:rFonts w:ascii="Verdana" w:hAnsi="Verdana"/>
          <w:sz w:val="20"/>
          <w:lang w:val="en-US"/>
        </w:rPr>
        <w:t xml:space="preserve"> 2015</w:t>
      </w:r>
      <w:r w:rsidR="0034593B" w:rsidRPr="00E83269">
        <w:rPr>
          <w:rFonts w:ascii="Verdana" w:hAnsi="Verdana"/>
          <w:sz w:val="20"/>
          <w:lang w:val="en-US"/>
        </w:rPr>
        <w:t xml:space="preserve"> observations</w:t>
      </w:r>
      <w:r w:rsidR="003F7BC8" w:rsidRPr="00E83269">
        <w:rPr>
          <w:rFonts w:ascii="Verdana" w:hAnsi="Verdana"/>
          <w:sz w:val="20"/>
          <w:lang w:val="en-US"/>
        </w:rPr>
        <w:t xml:space="preserve">, </w:t>
      </w:r>
      <w:r w:rsidR="005D679B" w:rsidRPr="00E83269">
        <w:rPr>
          <w:rFonts w:ascii="Verdana" w:hAnsi="Verdana"/>
          <w:sz w:val="20"/>
          <w:lang w:val="en-US"/>
        </w:rPr>
        <w:t xml:space="preserve">Suriname </w:t>
      </w:r>
      <w:r w:rsidR="0034593B" w:rsidRPr="00E83269">
        <w:rPr>
          <w:rFonts w:ascii="Verdana" w:hAnsi="Verdana"/>
          <w:sz w:val="20"/>
          <w:lang w:val="en-US"/>
        </w:rPr>
        <w:t>has not provided the Court with a copy of the said</w:t>
      </w:r>
      <w:r w:rsidR="003F7BC8" w:rsidRPr="00E83269">
        <w:rPr>
          <w:rFonts w:ascii="Verdana" w:hAnsi="Verdana"/>
          <w:sz w:val="20"/>
          <w:lang w:val="en-US"/>
        </w:rPr>
        <w:t xml:space="preserve"> Rosebel Mineral Agreement</w:t>
      </w:r>
      <w:r w:rsidR="003F7BC8" w:rsidRPr="00E83269">
        <w:rPr>
          <w:rFonts w:ascii="Verdana" w:hAnsi="Verdana"/>
          <w:i/>
          <w:sz w:val="20"/>
          <w:lang w:val="en-US"/>
        </w:rPr>
        <w:t xml:space="preserve"> </w:t>
      </w:r>
      <w:r w:rsidR="0034593B" w:rsidRPr="00E83269">
        <w:rPr>
          <w:rFonts w:ascii="Verdana" w:hAnsi="Verdana"/>
          <w:sz w:val="20"/>
          <w:lang w:val="en-US"/>
        </w:rPr>
        <w:t>as it is in force at the present time; hence the Court is uncertain of the contents of the agreement and the areas of interest that are affected by this amendment.</w:t>
      </w:r>
      <w:bookmarkEnd w:id="26"/>
    </w:p>
    <w:bookmarkEnd w:id="27"/>
    <w:p w14:paraId="53C0FEE3" w14:textId="77777777" w:rsidR="003F7BC8" w:rsidRPr="00525E62" w:rsidRDefault="003F7BC8" w:rsidP="003F7BC8">
      <w:pPr>
        <w:pStyle w:val="ListParagraph"/>
        <w:jc w:val="center"/>
        <w:rPr>
          <w:rFonts w:ascii="Verdana" w:hAnsi="Verdana"/>
          <w:sz w:val="20"/>
          <w:lang w:val="en-US"/>
        </w:rPr>
      </w:pPr>
    </w:p>
    <w:p w14:paraId="2DFF2C53" w14:textId="1D014CCB" w:rsidR="003A34A7" w:rsidRPr="00525E62" w:rsidRDefault="0034593B" w:rsidP="0034593B">
      <w:pPr>
        <w:pStyle w:val="ListParagraph"/>
        <w:numPr>
          <w:ilvl w:val="0"/>
          <w:numId w:val="2"/>
        </w:numPr>
        <w:ind w:left="0" w:firstLine="0"/>
        <w:jc w:val="both"/>
        <w:rPr>
          <w:rFonts w:ascii="Verdana" w:hAnsi="Verdana"/>
          <w:sz w:val="20"/>
          <w:lang w:val="en-US"/>
        </w:rPr>
      </w:pPr>
      <w:r w:rsidRPr="00525E62">
        <w:rPr>
          <w:rFonts w:ascii="Verdana" w:hAnsi="Verdana"/>
          <w:sz w:val="20"/>
          <w:lang w:val="en-US"/>
        </w:rPr>
        <w:t xml:space="preserve">The parties hold contradictory positions </w:t>
      </w:r>
      <w:r w:rsidR="003A34A7" w:rsidRPr="00525E62">
        <w:rPr>
          <w:rFonts w:ascii="Verdana" w:hAnsi="Verdana"/>
          <w:sz w:val="20"/>
          <w:lang w:val="en-US"/>
        </w:rPr>
        <w:t>(</w:t>
      </w:r>
      <w:r w:rsidR="003A34A7" w:rsidRPr="00525E62">
        <w:rPr>
          <w:rFonts w:ascii="Verdana" w:hAnsi="Verdana"/>
          <w:i/>
          <w:sz w:val="20"/>
          <w:lang w:val="en-US"/>
        </w:rPr>
        <w:t>infra</w:t>
      </w:r>
      <w:r w:rsidR="003A34A7" w:rsidRPr="00525E62">
        <w:rPr>
          <w:rFonts w:ascii="Verdana" w:hAnsi="Verdana"/>
          <w:sz w:val="20"/>
          <w:lang w:val="en-US"/>
        </w:rPr>
        <w:t xml:space="preserve"> </w:t>
      </w:r>
      <w:proofErr w:type="spellStart"/>
      <w:r w:rsidR="007F7CF1" w:rsidRPr="00525E62">
        <w:rPr>
          <w:rFonts w:ascii="Verdana" w:hAnsi="Verdana"/>
          <w:i/>
          <w:sz w:val="20"/>
          <w:lang w:val="en-US"/>
        </w:rPr>
        <w:t>considerand</w:t>
      </w:r>
      <w:r w:rsidRPr="00525E62">
        <w:rPr>
          <w:rFonts w:ascii="Verdana" w:hAnsi="Verdana"/>
          <w:i/>
          <w:sz w:val="20"/>
          <w:lang w:val="en-US"/>
        </w:rPr>
        <w:t>a</w:t>
      </w:r>
      <w:proofErr w:type="spellEnd"/>
      <w:r w:rsidRPr="00525E62">
        <w:rPr>
          <w:rFonts w:ascii="Verdana" w:hAnsi="Verdana"/>
          <w:i/>
          <w:sz w:val="20"/>
          <w:lang w:val="en-US"/>
        </w:rPr>
        <w:t xml:space="preserve"> </w:t>
      </w:r>
      <w:r w:rsidR="001413FA" w:rsidRPr="001413FA">
        <w:rPr>
          <w:rFonts w:ascii="Verdana" w:hAnsi="Verdana"/>
          <w:sz w:val="20"/>
          <w:lang w:val="en-US"/>
        </w:rPr>
        <w:fldChar w:fldCharType="begin"/>
      </w:r>
      <w:r w:rsidR="001413FA" w:rsidRPr="001413FA">
        <w:rPr>
          <w:rFonts w:ascii="Verdana" w:hAnsi="Verdana"/>
          <w:sz w:val="20"/>
          <w:lang w:val="en-US"/>
        </w:rPr>
        <w:instrText xml:space="preserve"> REF _Ref526858989 \r \h  \* MERGEFORMAT </w:instrText>
      </w:r>
      <w:r w:rsidR="001413FA" w:rsidRPr="001413FA">
        <w:rPr>
          <w:rFonts w:ascii="Verdana" w:hAnsi="Verdana"/>
          <w:sz w:val="20"/>
          <w:lang w:val="en-US"/>
        </w:rPr>
      </w:r>
      <w:r w:rsidR="001413FA" w:rsidRPr="001413FA">
        <w:rPr>
          <w:rFonts w:ascii="Verdana" w:hAnsi="Verdana"/>
          <w:sz w:val="20"/>
          <w:lang w:val="en-US"/>
        </w:rPr>
        <w:fldChar w:fldCharType="separate"/>
      </w:r>
      <w:r w:rsidR="00980175">
        <w:rPr>
          <w:rFonts w:ascii="Verdana" w:hAnsi="Verdana"/>
          <w:sz w:val="20"/>
          <w:lang w:val="en-US"/>
        </w:rPr>
        <w:t>27</w:t>
      </w:r>
      <w:r w:rsidR="001413FA" w:rsidRPr="001413FA">
        <w:rPr>
          <w:rFonts w:ascii="Verdana" w:hAnsi="Verdana"/>
          <w:sz w:val="20"/>
          <w:lang w:val="en-US"/>
        </w:rPr>
        <w:fldChar w:fldCharType="end"/>
      </w:r>
      <w:r w:rsidR="00BF4902" w:rsidRPr="00525E62">
        <w:rPr>
          <w:rFonts w:ascii="Verdana" w:hAnsi="Verdana"/>
          <w:sz w:val="20"/>
          <w:lang w:val="en-US"/>
        </w:rPr>
        <w:t xml:space="preserve"> </w:t>
      </w:r>
      <w:r w:rsidRPr="00525E62">
        <w:rPr>
          <w:rFonts w:ascii="Verdana" w:hAnsi="Verdana"/>
          <w:sz w:val="20"/>
          <w:lang w:val="en-US"/>
        </w:rPr>
        <w:t>and</w:t>
      </w:r>
      <w:r w:rsidR="003A34A7"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_Ref526861739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28</w:t>
      </w:r>
      <w:r w:rsidR="001413FA">
        <w:rPr>
          <w:rFonts w:ascii="Verdana" w:hAnsi="Verdana"/>
          <w:sz w:val="20"/>
          <w:lang w:val="en-US"/>
        </w:rPr>
        <w:fldChar w:fldCharType="end"/>
      </w:r>
      <w:r w:rsidR="003A34A7" w:rsidRPr="00525E62">
        <w:rPr>
          <w:rFonts w:ascii="Verdana" w:hAnsi="Verdana"/>
          <w:sz w:val="20"/>
          <w:lang w:val="en-US"/>
        </w:rPr>
        <w:t>)</w:t>
      </w:r>
      <w:r w:rsidR="003F7BC8" w:rsidRPr="00525E62">
        <w:rPr>
          <w:rFonts w:ascii="Verdana" w:hAnsi="Verdana"/>
          <w:sz w:val="20"/>
          <w:lang w:val="en-US"/>
        </w:rPr>
        <w:t xml:space="preserve"> </w:t>
      </w:r>
      <w:r w:rsidRPr="00525E62">
        <w:rPr>
          <w:rFonts w:ascii="Verdana" w:hAnsi="Verdana"/>
          <w:sz w:val="20"/>
          <w:lang w:val="en-US"/>
        </w:rPr>
        <w:t xml:space="preserve">with regard to the content and scope of the said agreement, and regarding whether the State has complied with its international obligations </w:t>
      </w:r>
      <w:r w:rsidR="002128C8">
        <w:rPr>
          <w:rFonts w:ascii="Verdana" w:hAnsi="Verdana"/>
          <w:sz w:val="20"/>
          <w:lang w:val="en-US"/>
        </w:rPr>
        <w:t>to</w:t>
      </w:r>
      <w:r w:rsidRPr="00525E62">
        <w:rPr>
          <w:rFonts w:ascii="Verdana" w:hAnsi="Verdana"/>
          <w:sz w:val="20"/>
          <w:lang w:val="en-US"/>
        </w:rPr>
        <w:t xml:space="preserve"> legitimate</w:t>
      </w:r>
      <w:r w:rsidR="002128C8">
        <w:rPr>
          <w:rFonts w:ascii="Verdana" w:hAnsi="Verdana"/>
          <w:sz w:val="20"/>
          <w:lang w:val="en-US"/>
        </w:rPr>
        <w:t>ly</w:t>
      </w:r>
      <w:r w:rsidRPr="00525E62">
        <w:rPr>
          <w:rFonts w:ascii="Verdana" w:hAnsi="Verdana"/>
          <w:sz w:val="20"/>
          <w:lang w:val="en-US"/>
        </w:rPr>
        <w:t xml:space="preserve"> restrict the </w:t>
      </w:r>
      <w:proofErr w:type="spellStart"/>
      <w:r w:rsidRPr="00525E62">
        <w:rPr>
          <w:rFonts w:ascii="Verdana" w:hAnsi="Verdana"/>
          <w:sz w:val="20"/>
          <w:lang w:val="en-US"/>
        </w:rPr>
        <w:t>Saramaka</w:t>
      </w:r>
      <w:proofErr w:type="spellEnd"/>
      <w:r w:rsidRPr="00525E62">
        <w:rPr>
          <w:rFonts w:ascii="Verdana" w:hAnsi="Verdana"/>
          <w:sz w:val="20"/>
          <w:lang w:val="en-US"/>
        </w:rPr>
        <w:t xml:space="preserve"> people’s property rights over their territories established in </w:t>
      </w:r>
      <w:r w:rsidR="00C93224" w:rsidRPr="00525E62">
        <w:rPr>
          <w:rFonts w:ascii="Verdana" w:hAnsi="Verdana"/>
          <w:sz w:val="20"/>
          <w:lang w:val="en-US"/>
        </w:rPr>
        <w:t>the judgment</w:t>
      </w:r>
      <w:r w:rsidRPr="00525E62">
        <w:rPr>
          <w:rFonts w:ascii="Verdana" w:hAnsi="Verdana"/>
          <w:sz w:val="20"/>
          <w:lang w:val="en-US"/>
        </w:rPr>
        <w:t>.</w:t>
      </w:r>
      <w:r w:rsidR="003F7BC8" w:rsidRPr="00525E62">
        <w:rPr>
          <w:rStyle w:val="FootnoteReference"/>
          <w:rFonts w:ascii="Verdana" w:hAnsi="Verdana"/>
          <w:sz w:val="20"/>
          <w:lang w:val="en-US"/>
        </w:rPr>
        <w:footnoteReference w:id="25"/>
      </w:r>
    </w:p>
    <w:p w14:paraId="3154282C" w14:textId="77777777" w:rsidR="003A34A7" w:rsidRPr="00525E62" w:rsidRDefault="003A34A7" w:rsidP="003A34A7">
      <w:pPr>
        <w:pStyle w:val="ListParagraph"/>
        <w:rPr>
          <w:rFonts w:ascii="Verdana" w:hAnsi="Verdana"/>
          <w:sz w:val="20"/>
          <w:lang w:val="en-US"/>
        </w:rPr>
      </w:pPr>
    </w:p>
    <w:p w14:paraId="0495E66C" w14:textId="7ED5B547" w:rsidR="003F7BC8" w:rsidRPr="00525E62" w:rsidRDefault="00265F6B" w:rsidP="003C1AF4">
      <w:pPr>
        <w:pStyle w:val="ListParagraph"/>
        <w:numPr>
          <w:ilvl w:val="0"/>
          <w:numId w:val="2"/>
        </w:numPr>
        <w:ind w:left="0" w:firstLine="0"/>
        <w:jc w:val="both"/>
        <w:rPr>
          <w:rFonts w:ascii="Verdana" w:hAnsi="Verdana"/>
          <w:sz w:val="20"/>
          <w:lang w:val="en-US"/>
        </w:rPr>
      </w:pPr>
      <w:bookmarkStart w:id="28" w:name="_Ref526858989"/>
      <w:r w:rsidRPr="00525E62">
        <w:rPr>
          <w:rFonts w:ascii="Verdana" w:hAnsi="Verdana"/>
          <w:sz w:val="20"/>
          <w:lang w:val="en-US"/>
        </w:rPr>
        <w:t>I</w:t>
      </w:r>
      <w:r w:rsidR="003C1AF4" w:rsidRPr="00525E62">
        <w:rPr>
          <w:rFonts w:ascii="Verdana" w:hAnsi="Verdana"/>
          <w:sz w:val="20"/>
          <w:lang w:val="en-US"/>
        </w:rPr>
        <w:t>n its</w:t>
      </w:r>
      <w:r w:rsidR="003F7BC8" w:rsidRPr="00525E62">
        <w:rPr>
          <w:rFonts w:ascii="Verdana" w:hAnsi="Verdana"/>
          <w:sz w:val="20"/>
          <w:lang w:val="en-US"/>
        </w:rPr>
        <w:t xml:space="preserve"> 2013</w:t>
      </w:r>
      <w:r w:rsidR="003C1AF4" w:rsidRPr="00525E62">
        <w:rPr>
          <w:rFonts w:ascii="Verdana" w:hAnsi="Verdana"/>
          <w:sz w:val="20"/>
          <w:lang w:val="en-US"/>
        </w:rPr>
        <w:t xml:space="preserve"> report</w:t>
      </w:r>
      <w:r w:rsidR="003F7BC8" w:rsidRPr="00525E62">
        <w:rPr>
          <w:rFonts w:ascii="Verdana" w:hAnsi="Verdana"/>
          <w:sz w:val="20"/>
          <w:lang w:val="en-US"/>
        </w:rPr>
        <w:t xml:space="preserve">, </w:t>
      </w:r>
      <w:r w:rsidRPr="00525E62">
        <w:rPr>
          <w:rFonts w:ascii="Verdana" w:hAnsi="Verdana"/>
          <w:sz w:val="20"/>
          <w:lang w:val="en-US"/>
        </w:rPr>
        <w:t xml:space="preserve">the </w:t>
      </w:r>
      <w:r w:rsidRPr="001413FA">
        <w:rPr>
          <w:rFonts w:ascii="Verdana" w:hAnsi="Verdana"/>
          <w:i/>
          <w:sz w:val="20"/>
          <w:lang w:val="en-US"/>
        </w:rPr>
        <w:t>State</w:t>
      </w:r>
      <w:r w:rsidRPr="00E83269">
        <w:rPr>
          <w:rFonts w:ascii="Verdana" w:hAnsi="Verdana"/>
          <w:sz w:val="20"/>
          <w:lang w:val="en-US"/>
        </w:rPr>
        <w:t xml:space="preserve"> </w:t>
      </w:r>
      <w:r w:rsidR="003F7BC8" w:rsidRPr="00E83269">
        <w:rPr>
          <w:rFonts w:ascii="Verdana" w:hAnsi="Verdana"/>
          <w:sz w:val="20"/>
          <w:lang w:val="en-US"/>
        </w:rPr>
        <w:t>indic</w:t>
      </w:r>
      <w:r w:rsidR="003C1AF4" w:rsidRPr="00E83269">
        <w:rPr>
          <w:rFonts w:ascii="Verdana" w:hAnsi="Verdana"/>
          <w:sz w:val="20"/>
          <w:lang w:val="en-US"/>
        </w:rPr>
        <w:t xml:space="preserve">ated that this amendment to the agreement </w:t>
      </w:r>
      <w:r w:rsidR="003F7BC8" w:rsidRPr="00E83269">
        <w:rPr>
          <w:rFonts w:ascii="Verdana" w:hAnsi="Verdana"/>
          <w:sz w:val="20"/>
          <w:szCs w:val="18"/>
          <w:lang w:val="en-US"/>
        </w:rPr>
        <w:t>“</w:t>
      </w:r>
      <w:r w:rsidR="00AE7E52" w:rsidRPr="00E83269">
        <w:rPr>
          <w:rFonts w:ascii="Verdana" w:hAnsi="Verdana"/>
          <w:sz w:val="20"/>
          <w:szCs w:val="18"/>
          <w:lang w:val="en-US"/>
        </w:rPr>
        <w:t>does not grant RGM [IAM</w:t>
      </w:r>
      <w:r w:rsidR="00E83269" w:rsidRPr="00E83269">
        <w:rPr>
          <w:rFonts w:ascii="Verdana" w:hAnsi="Verdana"/>
          <w:sz w:val="20"/>
          <w:szCs w:val="18"/>
          <w:lang w:val="en-US"/>
        </w:rPr>
        <w:t>G</w:t>
      </w:r>
      <w:r w:rsidR="00AE7E52" w:rsidRPr="00E83269">
        <w:rPr>
          <w:rFonts w:ascii="Verdana" w:hAnsi="Verdana"/>
          <w:sz w:val="20"/>
          <w:szCs w:val="18"/>
          <w:lang w:val="en-US"/>
        </w:rPr>
        <w:t>OLD’s subsidiary] any rights of exploration (or exploitation) within the joint venture area</w:t>
      </w:r>
      <w:r w:rsidR="003F7BC8" w:rsidRPr="00E83269">
        <w:rPr>
          <w:rFonts w:ascii="Verdana" w:hAnsi="Verdana"/>
          <w:sz w:val="20"/>
          <w:szCs w:val="18"/>
          <w:lang w:val="en-US"/>
        </w:rPr>
        <w:t>”</w:t>
      </w:r>
      <w:r w:rsidR="003C1AF4" w:rsidRPr="00E83269">
        <w:rPr>
          <w:rFonts w:ascii="Verdana" w:hAnsi="Verdana"/>
          <w:sz w:val="20"/>
          <w:szCs w:val="18"/>
          <w:lang w:val="en-US"/>
        </w:rPr>
        <w:t xml:space="preserve">, so that </w:t>
      </w:r>
      <w:r w:rsidR="003F7BC8" w:rsidRPr="00E83269">
        <w:rPr>
          <w:rFonts w:ascii="Verdana" w:hAnsi="Verdana"/>
          <w:sz w:val="20"/>
          <w:szCs w:val="18"/>
          <w:lang w:val="en-US"/>
        </w:rPr>
        <w:t>“</w:t>
      </w:r>
      <w:r w:rsidR="00AE7E52" w:rsidRPr="00E83269">
        <w:rPr>
          <w:rFonts w:ascii="Verdana" w:hAnsi="Verdana"/>
          <w:sz w:val="20"/>
          <w:szCs w:val="18"/>
          <w:lang w:val="en-US"/>
        </w:rPr>
        <w:t>there is no conceivable scenario possible</w:t>
      </w:r>
      <w:r w:rsidR="003F7BC8" w:rsidRPr="00E83269">
        <w:rPr>
          <w:rFonts w:ascii="Verdana" w:hAnsi="Verdana"/>
          <w:sz w:val="20"/>
          <w:szCs w:val="18"/>
          <w:lang w:val="en-US"/>
        </w:rPr>
        <w:t xml:space="preserve">” </w:t>
      </w:r>
      <w:r w:rsidR="003C1AF4" w:rsidRPr="00E83269">
        <w:rPr>
          <w:rFonts w:ascii="Verdana" w:hAnsi="Verdana"/>
          <w:sz w:val="20"/>
          <w:szCs w:val="18"/>
          <w:lang w:val="en-US"/>
        </w:rPr>
        <w:t xml:space="preserve">in which the mining activity carried out by the joint project between </w:t>
      </w:r>
      <w:r w:rsidR="003F7BC8" w:rsidRPr="00E83269">
        <w:rPr>
          <w:rFonts w:ascii="Verdana" w:hAnsi="Verdana"/>
          <w:sz w:val="20"/>
          <w:szCs w:val="18"/>
          <w:lang w:val="en-US"/>
        </w:rPr>
        <w:t xml:space="preserve">RGM </w:t>
      </w:r>
      <w:r w:rsidR="003C1AF4" w:rsidRPr="00E83269">
        <w:rPr>
          <w:rFonts w:ascii="Verdana" w:hAnsi="Verdana"/>
          <w:sz w:val="20"/>
          <w:szCs w:val="18"/>
          <w:lang w:val="en-US"/>
        </w:rPr>
        <w:t>and</w:t>
      </w:r>
      <w:r w:rsidR="003F7BC8" w:rsidRPr="00E83269">
        <w:rPr>
          <w:rFonts w:ascii="Verdana" w:hAnsi="Verdana"/>
          <w:sz w:val="20"/>
          <w:szCs w:val="18"/>
          <w:lang w:val="en-US"/>
        </w:rPr>
        <w:t xml:space="preserve"> </w:t>
      </w:r>
      <w:r w:rsidR="005D679B" w:rsidRPr="00E83269">
        <w:rPr>
          <w:rFonts w:ascii="Verdana" w:hAnsi="Verdana"/>
          <w:sz w:val="20"/>
          <w:szCs w:val="18"/>
          <w:lang w:val="en-US"/>
        </w:rPr>
        <w:t>the State</w:t>
      </w:r>
      <w:r w:rsidR="003F7BC8" w:rsidRPr="00E83269">
        <w:rPr>
          <w:rFonts w:ascii="Verdana" w:hAnsi="Verdana"/>
          <w:sz w:val="20"/>
          <w:szCs w:val="18"/>
          <w:lang w:val="en-US"/>
        </w:rPr>
        <w:t xml:space="preserve"> </w:t>
      </w:r>
      <w:r w:rsidR="003C1AF4" w:rsidRPr="00E83269">
        <w:rPr>
          <w:rFonts w:ascii="Verdana" w:hAnsi="Verdana"/>
          <w:sz w:val="20"/>
          <w:szCs w:val="18"/>
          <w:lang w:val="en-US"/>
        </w:rPr>
        <w:t>of</w:t>
      </w:r>
      <w:r w:rsidR="003F7BC8" w:rsidRPr="00E83269">
        <w:rPr>
          <w:rFonts w:ascii="Verdana" w:hAnsi="Verdana"/>
          <w:sz w:val="20"/>
          <w:szCs w:val="18"/>
          <w:lang w:val="en-US"/>
        </w:rPr>
        <w:t xml:space="preserve"> </w:t>
      </w:r>
      <w:r w:rsidR="005D679B" w:rsidRPr="00E83269">
        <w:rPr>
          <w:rFonts w:ascii="Verdana" w:hAnsi="Verdana"/>
          <w:sz w:val="20"/>
          <w:szCs w:val="18"/>
          <w:lang w:val="en-US"/>
        </w:rPr>
        <w:t xml:space="preserve">Suriname </w:t>
      </w:r>
      <w:r w:rsidR="003C1AF4" w:rsidRPr="00E83269">
        <w:rPr>
          <w:rFonts w:ascii="Verdana" w:hAnsi="Verdana"/>
          <w:sz w:val="20"/>
          <w:szCs w:val="18"/>
          <w:lang w:val="en-US"/>
        </w:rPr>
        <w:t>will take place within Saramaka</w:t>
      </w:r>
      <w:r w:rsidR="003C1AF4" w:rsidRPr="00525E62">
        <w:rPr>
          <w:rFonts w:ascii="Verdana" w:hAnsi="Verdana"/>
          <w:sz w:val="20"/>
          <w:szCs w:val="18"/>
          <w:lang w:val="en-US"/>
        </w:rPr>
        <w:t xml:space="preserve"> territory</w:t>
      </w:r>
      <w:r w:rsidR="003F7BC8" w:rsidRPr="00525E62">
        <w:rPr>
          <w:rFonts w:ascii="Verdana" w:hAnsi="Verdana"/>
          <w:sz w:val="20"/>
          <w:szCs w:val="18"/>
          <w:lang w:val="en-US"/>
        </w:rPr>
        <w:t xml:space="preserve">. </w:t>
      </w:r>
      <w:r w:rsidR="005D679B" w:rsidRPr="00525E62">
        <w:rPr>
          <w:rFonts w:ascii="Verdana" w:hAnsi="Verdana"/>
          <w:sz w:val="20"/>
          <w:szCs w:val="18"/>
          <w:lang w:val="en-US"/>
        </w:rPr>
        <w:t>The State</w:t>
      </w:r>
      <w:r w:rsidR="003C1AF4" w:rsidRPr="00525E62">
        <w:rPr>
          <w:rFonts w:ascii="Verdana" w:hAnsi="Verdana"/>
          <w:sz w:val="20"/>
          <w:szCs w:val="18"/>
          <w:lang w:val="en-US"/>
        </w:rPr>
        <w:t xml:space="preserve"> also asserted that RGM would be obliged to complete a social and environmental impact assessment for the planned exploitation and any possible impact it would have on the Saramaka </w:t>
      </w:r>
      <w:r w:rsidR="00456BE0" w:rsidRPr="00525E62">
        <w:rPr>
          <w:rFonts w:ascii="Verdana" w:hAnsi="Verdana"/>
          <w:sz w:val="20"/>
          <w:szCs w:val="18"/>
          <w:lang w:val="en-US"/>
        </w:rPr>
        <w:t>communities</w:t>
      </w:r>
      <w:r w:rsidR="003C1AF4" w:rsidRPr="00525E62">
        <w:rPr>
          <w:rFonts w:ascii="Verdana" w:hAnsi="Verdana"/>
          <w:sz w:val="20"/>
          <w:szCs w:val="18"/>
          <w:lang w:val="en-US"/>
        </w:rPr>
        <w:t xml:space="preserve">. In addition, the State indicated that the communities had been offered the opportunity to </w:t>
      </w:r>
      <w:r w:rsidR="00456BE0" w:rsidRPr="00525E62">
        <w:rPr>
          <w:rFonts w:ascii="Verdana" w:hAnsi="Verdana"/>
          <w:sz w:val="20"/>
          <w:szCs w:val="18"/>
          <w:lang w:val="en-US"/>
        </w:rPr>
        <w:t>give</w:t>
      </w:r>
      <w:r w:rsidR="003C1AF4" w:rsidRPr="00525E62">
        <w:rPr>
          <w:rFonts w:ascii="Verdana" w:hAnsi="Verdana"/>
          <w:sz w:val="20"/>
          <w:szCs w:val="18"/>
          <w:lang w:val="en-US"/>
        </w:rPr>
        <w:t xml:space="preserve"> their opinions </w:t>
      </w:r>
      <w:r w:rsidR="00456BE0" w:rsidRPr="00525E62">
        <w:rPr>
          <w:rFonts w:ascii="Verdana" w:hAnsi="Verdana"/>
          <w:sz w:val="20"/>
          <w:szCs w:val="18"/>
          <w:lang w:val="en-US"/>
        </w:rPr>
        <w:t>on</w:t>
      </w:r>
      <w:r w:rsidR="003C1AF4" w:rsidRPr="00525E62">
        <w:rPr>
          <w:rFonts w:ascii="Verdana" w:hAnsi="Verdana"/>
          <w:sz w:val="20"/>
          <w:szCs w:val="18"/>
          <w:lang w:val="en-US"/>
        </w:rPr>
        <w:t xml:space="preserve"> the amendment </w:t>
      </w:r>
      <w:r w:rsidR="00456BE0" w:rsidRPr="00525E62">
        <w:rPr>
          <w:rFonts w:ascii="Verdana" w:hAnsi="Verdana"/>
          <w:sz w:val="20"/>
          <w:szCs w:val="18"/>
          <w:lang w:val="en-US"/>
        </w:rPr>
        <w:t>to</w:t>
      </w:r>
      <w:r w:rsidR="003C1AF4" w:rsidRPr="00525E62">
        <w:rPr>
          <w:rFonts w:ascii="Verdana" w:hAnsi="Verdana"/>
          <w:sz w:val="20"/>
          <w:szCs w:val="18"/>
          <w:lang w:val="en-US"/>
        </w:rPr>
        <w:t xml:space="preserve"> the said agreement, and </w:t>
      </w:r>
      <w:r w:rsidR="005D679B" w:rsidRPr="00525E62">
        <w:rPr>
          <w:rFonts w:ascii="Verdana" w:hAnsi="Verdana"/>
          <w:sz w:val="20"/>
          <w:szCs w:val="18"/>
          <w:lang w:val="en-US"/>
        </w:rPr>
        <w:t xml:space="preserve">the Saramaka </w:t>
      </w:r>
      <w:r w:rsidR="003C1AF4" w:rsidRPr="00525E62">
        <w:rPr>
          <w:rFonts w:ascii="Verdana" w:hAnsi="Verdana"/>
          <w:sz w:val="20"/>
          <w:szCs w:val="18"/>
          <w:lang w:val="en-US"/>
        </w:rPr>
        <w:t>p</w:t>
      </w:r>
      <w:r w:rsidR="005D679B" w:rsidRPr="00525E62">
        <w:rPr>
          <w:rFonts w:ascii="Verdana" w:hAnsi="Verdana"/>
          <w:sz w:val="20"/>
          <w:szCs w:val="18"/>
          <w:lang w:val="en-US"/>
        </w:rPr>
        <w:t>eople</w:t>
      </w:r>
      <w:r w:rsidR="003C1AF4" w:rsidRPr="00525E62">
        <w:rPr>
          <w:rFonts w:ascii="Verdana" w:hAnsi="Verdana"/>
          <w:sz w:val="20"/>
          <w:szCs w:val="18"/>
          <w:lang w:val="en-US"/>
        </w:rPr>
        <w:t xml:space="preserve"> had raised </w:t>
      </w:r>
      <w:r w:rsidR="00456BE0" w:rsidRPr="00525E62">
        <w:rPr>
          <w:rFonts w:ascii="Verdana" w:hAnsi="Verdana"/>
          <w:sz w:val="20"/>
          <w:szCs w:val="18"/>
          <w:lang w:val="en-US"/>
        </w:rPr>
        <w:t>no</w:t>
      </w:r>
      <w:r w:rsidR="003C1AF4" w:rsidRPr="00525E62">
        <w:rPr>
          <w:rFonts w:ascii="Verdana" w:hAnsi="Verdana"/>
          <w:sz w:val="20"/>
          <w:szCs w:val="18"/>
          <w:lang w:val="en-US"/>
        </w:rPr>
        <w:t xml:space="preserve"> objections to the modification of the agreement or the activities of IAMGOLD </w:t>
      </w:r>
      <w:r w:rsidR="003C1AF4" w:rsidRPr="00E83269">
        <w:rPr>
          <w:rFonts w:ascii="Verdana" w:hAnsi="Verdana"/>
          <w:sz w:val="20"/>
          <w:szCs w:val="18"/>
          <w:lang w:val="en-US"/>
        </w:rPr>
        <w:t>in their districts; moreover, there would be benefits for the local communities</w:t>
      </w:r>
      <w:r w:rsidR="003F7BC8" w:rsidRPr="00E83269">
        <w:rPr>
          <w:rFonts w:ascii="Verdana" w:hAnsi="Verdana"/>
          <w:sz w:val="20"/>
          <w:szCs w:val="18"/>
          <w:lang w:val="en-US"/>
        </w:rPr>
        <w:t xml:space="preserve">, </w:t>
      </w:r>
      <w:r w:rsidR="003C1AF4" w:rsidRPr="00E83269">
        <w:rPr>
          <w:rFonts w:ascii="Verdana" w:hAnsi="Verdana"/>
          <w:sz w:val="20"/>
          <w:szCs w:val="18"/>
          <w:lang w:val="en-US"/>
        </w:rPr>
        <w:t>because</w:t>
      </w:r>
      <w:r w:rsidR="003F7BC8" w:rsidRPr="00E83269">
        <w:rPr>
          <w:rFonts w:ascii="Verdana" w:hAnsi="Verdana"/>
          <w:sz w:val="20"/>
          <w:szCs w:val="18"/>
          <w:lang w:val="en-US"/>
        </w:rPr>
        <w:t xml:space="preserve"> “RGM </w:t>
      </w:r>
      <w:r w:rsidR="00C961EA" w:rsidRPr="00E83269">
        <w:rPr>
          <w:rFonts w:ascii="Verdana" w:hAnsi="Verdana"/>
          <w:sz w:val="20"/>
          <w:szCs w:val="18"/>
          <w:lang w:val="en-US"/>
        </w:rPr>
        <w:t>provides significant opportunities for the local communities by engaging and consulting with them, providing employment and by financing sustainable development projects</w:t>
      </w:r>
      <w:r w:rsidR="003F7BC8" w:rsidRPr="00E83269">
        <w:rPr>
          <w:rFonts w:ascii="Verdana" w:hAnsi="Verdana"/>
          <w:sz w:val="20"/>
          <w:szCs w:val="18"/>
          <w:lang w:val="en-US"/>
        </w:rPr>
        <w:t xml:space="preserve">”. </w:t>
      </w:r>
      <w:r w:rsidR="005D679B" w:rsidRPr="00E83269">
        <w:rPr>
          <w:rFonts w:ascii="Verdana" w:hAnsi="Verdana"/>
          <w:sz w:val="20"/>
          <w:szCs w:val="18"/>
          <w:lang w:val="en-US"/>
        </w:rPr>
        <w:t>The</w:t>
      </w:r>
      <w:r w:rsidR="005D679B" w:rsidRPr="00525E62">
        <w:rPr>
          <w:rFonts w:ascii="Verdana" w:hAnsi="Verdana"/>
          <w:sz w:val="20"/>
          <w:szCs w:val="18"/>
          <w:lang w:val="en-US"/>
        </w:rPr>
        <w:t xml:space="preserve"> State</w:t>
      </w:r>
      <w:r w:rsidR="003F7BC8" w:rsidRPr="00525E62">
        <w:rPr>
          <w:rFonts w:ascii="Verdana" w:hAnsi="Verdana"/>
          <w:sz w:val="20"/>
          <w:szCs w:val="18"/>
          <w:lang w:val="en-US"/>
        </w:rPr>
        <w:t xml:space="preserve"> </w:t>
      </w:r>
      <w:r w:rsidR="009112DF" w:rsidRPr="00525E62">
        <w:rPr>
          <w:rFonts w:ascii="Verdana" w:hAnsi="Verdana"/>
          <w:sz w:val="20"/>
          <w:szCs w:val="18"/>
          <w:lang w:val="en-US"/>
        </w:rPr>
        <w:t>failed to</w:t>
      </w:r>
      <w:r w:rsidR="003C1AF4" w:rsidRPr="00525E62">
        <w:rPr>
          <w:rFonts w:ascii="Verdana" w:hAnsi="Verdana"/>
          <w:sz w:val="20"/>
          <w:szCs w:val="18"/>
          <w:lang w:val="en-US"/>
        </w:rPr>
        <w:t xml:space="preserve"> provide any evidence to support these assertions. The State has not </w:t>
      </w:r>
      <w:r w:rsidR="009112DF" w:rsidRPr="00525E62">
        <w:rPr>
          <w:rFonts w:ascii="Verdana" w:hAnsi="Verdana"/>
          <w:sz w:val="20"/>
          <w:szCs w:val="18"/>
          <w:lang w:val="en-US"/>
        </w:rPr>
        <w:t>forwarded</w:t>
      </w:r>
      <w:r w:rsidR="003C1AF4" w:rsidRPr="00525E62">
        <w:rPr>
          <w:rFonts w:ascii="Verdana" w:hAnsi="Verdana"/>
          <w:sz w:val="20"/>
          <w:szCs w:val="18"/>
          <w:lang w:val="en-US"/>
        </w:rPr>
        <w:t xml:space="preserve"> any further information about this amendment since 2013, despite</w:t>
      </w:r>
      <w:r w:rsidR="009112DF" w:rsidRPr="00525E62">
        <w:rPr>
          <w:rFonts w:ascii="Verdana" w:hAnsi="Verdana"/>
          <w:sz w:val="20"/>
          <w:szCs w:val="18"/>
          <w:lang w:val="en-US"/>
        </w:rPr>
        <w:t xml:space="preserve"> the</w:t>
      </w:r>
      <w:r w:rsidR="003C1AF4" w:rsidRPr="00525E62">
        <w:rPr>
          <w:rFonts w:ascii="Verdana" w:hAnsi="Verdana"/>
          <w:sz w:val="20"/>
          <w:szCs w:val="18"/>
          <w:lang w:val="en-US"/>
        </w:rPr>
        <w:t xml:space="preserve"> </w:t>
      </w:r>
      <w:r w:rsidR="005956F3" w:rsidRPr="00525E62">
        <w:rPr>
          <w:rFonts w:ascii="Verdana" w:hAnsi="Verdana"/>
          <w:sz w:val="20"/>
          <w:szCs w:val="18"/>
          <w:lang w:val="en-US"/>
        </w:rPr>
        <w:t xml:space="preserve">requests made, on the instructions of the President of the Court </w:t>
      </w:r>
      <w:r w:rsidR="003F7BC8" w:rsidRPr="00525E62">
        <w:rPr>
          <w:rFonts w:ascii="Verdana" w:hAnsi="Verdana"/>
          <w:sz w:val="20"/>
          <w:szCs w:val="18"/>
          <w:lang w:val="en-US"/>
        </w:rPr>
        <w:t>(</w:t>
      </w:r>
      <w:r w:rsidR="003F7BC8" w:rsidRPr="00525E62">
        <w:rPr>
          <w:rFonts w:ascii="Verdana" w:hAnsi="Verdana"/>
          <w:i/>
          <w:sz w:val="20"/>
          <w:szCs w:val="18"/>
          <w:lang w:val="en-US"/>
        </w:rPr>
        <w:t>supra</w:t>
      </w:r>
      <w:r w:rsidR="003F7BC8" w:rsidRPr="00525E62">
        <w:rPr>
          <w:rFonts w:ascii="Verdana" w:hAnsi="Verdana"/>
          <w:sz w:val="20"/>
          <w:szCs w:val="18"/>
          <w:lang w:val="en-US"/>
        </w:rPr>
        <w:t xml:space="preserve"> </w:t>
      </w:r>
      <w:r w:rsidR="00B15139" w:rsidRPr="00525E62">
        <w:rPr>
          <w:rFonts w:ascii="Verdana" w:hAnsi="Verdana"/>
          <w:sz w:val="20"/>
          <w:szCs w:val="18"/>
          <w:lang w:val="en-US"/>
        </w:rPr>
        <w:t>having seen paragraph</w:t>
      </w:r>
      <w:r w:rsidR="004D3CE1" w:rsidRPr="00525E62">
        <w:rPr>
          <w:rFonts w:ascii="Verdana" w:hAnsi="Verdana"/>
          <w:sz w:val="20"/>
          <w:szCs w:val="18"/>
          <w:lang w:val="en-US"/>
        </w:rPr>
        <w:t xml:space="preserve"> </w:t>
      </w:r>
      <w:r w:rsidR="001413FA">
        <w:rPr>
          <w:rFonts w:ascii="Verdana" w:hAnsi="Verdana"/>
          <w:sz w:val="20"/>
          <w:szCs w:val="18"/>
          <w:lang w:val="en-US"/>
        </w:rPr>
        <w:fldChar w:fldCharType="begin"/>
      </w:r>
      <w:r w:rsidR="001413FA">
        <w:rPr>
          <w:rFonts w:ascii="Verdana" w:hAnsi="Verdana"/>
          <w:sz w:val="20"/>
          <w:szCs w:val="18"/>
          <w:lang w:val="en-US"/>
        </w:rPr>
        <w:instrText xml:space="preserve"> REF _Ref530057328 \r \h </w:instrText>
      </w:r>
      <w:r w:rsidR="001413FA">
        <w:rPr>
          <w:rFonts w:ascii="Verdana" w:hAnsi="Verdana"/>
          <w:sz w:val="20"/>
          <w:szCs w:val="18"/>
          <w:lang w:val="en-US"/>
        </w:rPr>
      </w:r>
      <w:r w:rsidR="001413FA">
        <w:rPr>
          <w:rFonts w:ascii="Verdana" w:hAnsi="Verdana"/>
          <w:sz w:val="20"/>
          <w:szCs w:val="18"/>
          <w:lang w:val="en-US"/>
        </w:rPr>
        <w:fldChar w:fldCharType="separate"/>
      </w:r>
      <w:r w:rsidR="00980175">
        <w:rPr>
          <w:rFonts w:ascii="Verdana" w:hAnsi="Verdana"/>
          <w:sz w:val="20"/>
          <w:szCs w:val="18"/>
          <w:lang w:val="en-US"/>
        </w:rPr>
        <w:t>11</w:t>
      </w:r>
      <w:r w:rsidR="001413FA">
        <w:rPr>
          <w:rFonts w:ascii="Verdana" w:hAnsi="Verdana"/>
          <w:sz w:val="20"/>
          <w:szCs w:val="18"/>
          <w:lang w:val="en-US"/>
        </w:rPr>
        <w:fldChar w:fldCharType="end"/>
      </w:r>
      <w:r w:rsidR="003F7BC8" w:rsidRPr="00525E62">
        <w:rPr>
          <w:rFonts w:ascii="Verdana" w:hAnsi="Verdana"/>
          <w:sz w:val="20"/>
          <w:szCs w:val="18"/>
          <w:lang w:val="en-US"/>
        </w:rPr>
        <w:t>).</w:t>
      </w:r>
      <w:bookmarkEnd w:id="28"/>
    </w:p>
    <w:p w14:paraId="05B566D3" w14:textId="77777777" w:rsidR="003F7BC8" w:rsidRPr="00525E62" w:rsidRDefault="003F7BC8" w:rsidP="003F7BC8">
      <w:pPr>
        <w:pStyle w:val="ListParagraph"/>
        <w:ind w:left="0"/>
        <w:jc w:val="both"/>
        <w:rPr>
          <w:rFonts w:ascii="Verdana" w:hAnsi="Verdana"/>
          <w:sz w:val="20"/>
          <w:lang w:val="en-US"/>
        </w:rPr>
      </w:pPr>
    </w:p>
    <w:p w14:paraId="1B3658DD" w14:textId="2BAA4DBF" w:rsidR="003F7BC8" w:rsidRPr="00525E62" w:rsidRDefault="005956F3" w:rsidP="00D75D75">
      <w:pPr>
        <w:pStyle w:val="ListParagraph"/>
        <w:numPr>
          <w:ilvl w:val="0"/>
          <w:numId w:val="2"/>
        </w:numPr>
        <w:ind w:left="0" w:firstLine="0"/>
        <w:jc w:val="both"/>
        <w:rPr>
          <w:rFonts w:ascii="Verdana" w:hAnsi="Verdana"/>
          <w:sz w:val="20"/>
          <w:lang w:val="en-US"/>
        </w:rPr>
      </w:pPr>
      <w:bookmarkStart w:id="29" w:name="_Ref526861739"/>
      <w:bookmarkStart w:id="30" w:name="_Ref526774467"/>
      <w:r w:rsidRPr="00525E62">
        <w:rPr>
          <w:rFonts w:ascii="Verdana" w:hAnsi="Verdana"/>
          <w:sz w:val="20"/>
          <w:lang w:val="en-US"/>
        </w:rPr>
        <w:t xml:space="preserve">To the contrary, </w:t>
      </w:r>
      <w:r w:rsidR="002462D1" w:rsidRPr="00525E62">
        <w:rPr>
          <w:rFonts w:ascii="Verdana" w:hAnsi="Verdana"/>
          <w:sz w:val="20"/>
          <w:lang w:val="en-US"/>
        </w:rPr>
        <w:t xml:space="preserve">the </w:t>
      </w:r>
      <w:r w:rsidR="002462D1" w:rsidRPr="001413FA">
        <w:rPr>
          <w:rFonts w:ascii="Verdana" w:hAnsi="Verdana"/>
          <w:i/>
          <w:sz w:val="20"/>
          <w:lang w:val="en-US"/>
        </w:rPr>
        <w:t>representative</w:t>
      </w:r>
      <w:r w:rsidR="009112DF" w:rsidRPr="001413FA">
        <w:rPr>
          <w:rFonts w:ascii="Verdana" w:hAnsi="Verdana"/>
          <w:i/>
          <w:sz w:val="20"/>
          <w:lang w:val="en-US"/>
        </w:rPr>
        <w:t>s</w:t>
      </w:r>
      <w:r w:rsidR="009112DF" w:rsidRPr="00525E62">
        <w:rPr>
          <w:rFonts w:ascii="Verdana" w:hAnsi="Verdana"/>
          <w:sz w:val="20"/>
          <w:lang w:val="en-US"/>
        </w:rPr>
        <w:t xml:space="preserve"> indicated</w:t>
      </w:r>
      <w:r w:rsidRPr="00525E62">
        <w:rPr>
          <w:rFonts w:ascii="Verdana" w:hAnsi="Verdana"/>
          <w:sz w:val="20"/>
          <w:lang w:val="en-US"/>
        </w:rPr>
        <w:t xml:space="preserve"> that the agreement between the State and </w:t>
      </w:r>
      <w:r w:rsidR="003F7BC8" w:rsidRPr="00E83269">
        <w:rPr>
          <w:rFonts w:ascii="Verdana" w:hAnsi="Verdana"/>
          <w:sz w:val="20"/>
          <w:lang w:val="en-US"/>
        </w:rPr>
        <w:t>IAMGOLD af</w:t>
      </w:r>
      <w:r w:rsidRPr="00E83269">
        <w:rPr>
          <w:rFonts w:ascii="Verdana" w:hAnsi="Verdana"/>
          <w:sz w:val="20"/>
          <w:lang w:val="en-US"/>
        </w:rPr>
        <w:t>fects</w:t>
      </w:r>
      <w:r w:rsidR="003F7BC8" w:rsidRPr="00E83269">
        <w:rPr>
          <w:rFonts w:ascii="Verdana" w:hAnsi="Verdana"/>
          <w:sz w:val="20"/>
          <w:lang w:val="en-US"/>
        </w:rPr>
        <w:t xml:space="preserve"> 33 Saramaka</w:t>
      </w:r>
      <w:r w:rsidRPr="00E83269">
        <w:rPr>
          <w:rFonts w:ascii="Verdana" w:hAnsi="Verdana"/>
          <w:sz w:val="20"/>
          <w:lang w:val="en-US"/>
        </w:rPr>
        <w:t xml:space="preserve"> communities</w:t>
      </w:r>
      <w:r w:rsidR="003F7BC8" w:rsidRPr="00E83269">
        <w:rPr>
          <w:rFonts w:ascii="Verdana" w:hAnsi="Verdana"/>
          <w:sz w:val="20"/>
          <w:lang w:val="en-US"/>
        </w:rPr>
        <w:t xml:space="preserve">, </w:t>
      </w:r>
      <w:r w:rsidRPr="00E83269">
        <w:rPr>
          <w:rFonts w:ascii="Verdana" w:hAnsi="Verdana"/>
          <w:sz w:val="20"/>
          <w:lang w:val="en-US"/>
        </w:rPr>
        <w:t xml:space="preserve">and that it indirectly affects all </w:t>
      </w:r>
      <w:r w:rsidRPr="00E83269">
        <w:rPr>
          <w:rFonts w:ascii="Verdana" w:hAnsi="Verdana"/>
          <w:sz w:val="20"/>
          <w:lang w:val="en-US"/>
        </w:rPr>
        <w:lastRenderedPageBreak/>
        <w:t xml:space="preserve">the others within the “areas of interest” covered by the </w:t>
      </w:r>
      <w:r w:rsidR="003F7BC8" w:rsidRPr="00E83269">
        <w:rPr>
          <w:rFonts w:ascii="Verdana" w:hAnsi="Verdana"/>
          <w:sz w:val="20"/>
          <w:lang w:val="en-US"/>
        </w:rPr>
        <w:t xml:space="preserve">Rosebel Mineral Agreement. </w:t>
      </w:r>
      <w:r w:rsidRPr="00E83269">
        <w:rPr>
          <w:rFonts w:ascii="Verdana" w:hAnsi="Verdana"/>
          <w:sz w:val="20"/>
          <w:lang w:val="en-US"/>
        </w:rPr>
        <w:t xml:space="preserve">In addition, they pointed out that the term “area of interest” used in the text of the agreement has the same legal effects as the mining rights regulated in the 1986 Mining Decree, in that they would grant powers </w:t>
      </w:r>
      <w:r w:rsidR="009112DF" w:rsidRPr="00E83269">
        <w:rPr>
          <w:rFonts w:ascii="Verdana" w:hAnsi="Verdana"/>
          <w:sz w:val="20"/>
          <w:lang w:val="en-US"/>
        </w:rPr>
        <w:t>for the</w:t>
      </w:r>
      <w:r w:rsidRPr="00E83269">
        <w:rPr>
          <w:rFonts w:ascii="Verdana" w:hAnsi="Verdana"/>
          <w:sz w:val="20"/>
          <w:lang w:val="en-US"/>
        </w:rPr>
        <w:t xml:space="preserve"> </w:t>
      </w:r>
      <w:r w:rsidR="009112DF" w:rsidRPr="00E83269">
        <w:rPr>
          <w:rFonts w:ascii="Verdana" w:hAnsi="Verdana"/>
          <w:sz w:val="20"/>
          <w:lang w:val="en-US"/>
        </w:rPr>
        <w:t>reconnaissance</w:t>
      </w:r>
      <w:r w:rsidRPr="00E83269">
        <w:rPr>
          <w:rFonts w:ascii="Verdana" w:hAnsi="Verdana"/>
          <w:sz w:val="20"/>
          <w:lang w:val="en-US"/>
        </w:rPr>
        <w:t xml:space="preserve">, exploration and exploitation </w:t>
      </w:r>
      <w:r w:rsidR="009112DF" w:rsidRPr="00E83269">
        <w:rPr>
          <w:rFonts w:ascii="Verdana" w:hAnsi="Verdana"/>
          <w:sz w:val="20"/>
          <w:lang w:val="en-US"/>
        </w:rPr>
        <w:t>of</w:t>
      </w:r>
      <w:r w:rsidRPr="00E83269">
        <w:rPr>
          <w:rFonts w:ascii="Verdana" w:hAnsi="Verdana"/>
          <w:sz w:val="20"/>
          <w:lang w:val="en-US"/>
        </w:rPr>
        <w:t xml:space="preserve"> the lands indicated in the “area of interest”; thus the new legal relationship arising over the “areas of interest” is th</w:t>
      </w:r>
      <w:r w:rsidR="009112DF" w:rsidRPr="00E83269">
        <w:rPr>
          <w:rFonts w:ascii="Verdana" w:hAnsi="Verdana"/>
          <w:sz w:val="20"/>
          <w:lang w:val="en-US"/>
        </w:rPr>
        <w:t>a</w:t>
      </w:r>
      <w:r w:rsidRPr="00E83269">
        <w:rPr>
          <w:rFonts w:ascii="Verdana" w:hAnsi="Verdana"/>
          <w:sz w:val="20"/>
          <w:lang w:val="en-US"/>
        </w:rPr>
        <w:t>t of a concession granted in favor of IAMGOLD. They also noted that these rights granted to IAMGOLD are exclusive, and include</w:t>
      </w:r>
      <w:r w:rsidR="00CF4E42" w:rsidRPr="00E83269">
        <w:rPr>
          <w:rFonts w:ascii="Verdana" w:hAnsi="Verdana"/>
          <w:sz w:val="20"/>
          <w:lang w:val="en-US"/>
        </w:rPr>
        <w:t xml:space="preserve"> “</w:t>
      </w:r>
      <w:r w:rsidR="00C961EA" w:rsidRPr="00E83269">
        <w:rPr>
          <w:rFonts w:ascii="Verdana" w:hAnsi="Verdana"/>
          <w:sz w:val="20"/>
          <w:lang w:val="en-US"/>
        </w:rPr>
        <w:t xml:space="preserve">the right to exclude the </w:t>
      </w:r>
      <w:proofErr w:type="spellStart"/>
      <w:r w:rsidR="00C961EA" w:rsidRPr="00E83269">
        <w:rPr>
          <w:rFonts w:ascii="Verdana" w:hAnsi="Verdana"/>
          <w:sz w:val="20"/>
          <w:lang w:val="en-US"/>
        </w:rPr>
        <w:t>Saramaka</w:t>
      </w:r>
      <w:proofErr w:type="spellEnd"/>
      <w:r w:rsidR="00C961EA" w:rsidRPr="00E83269">
        <w:rPr>
          <w:rFonts w:ascii="Verdana" w:hAnsi="Verdana"/>
          <w:sz w:val="20"/>
          <w:lang w:val="en-US"/>
        </w:rPr>
        <w:t xml:space="preserve"> from areas in which it operates or intends to operate</w:t>
      </w:r>
      <w:r w:rsidR="00CF4E42" w:rsidRPr="00E83269">
        <w:rPr>
          <w:rFonts w:ascii="Verdana" w:hAnsi="Verdana"/>
          <w:sz w:val="20"/>
          <w:lang w:val="en-US"/>
        </w:rPr>
        <w:t>”</w:t>
      </w:r>
      <w:r w:rsidR="003F7BC8" w:rsidRPr="00E83269">
        <w:rPr>
          <w:rFonts w:ascii="Verdana" w:hAnsi="Verdana"/>
          <w:sz w:val="20"/>
          <w:lang w:val="en-US"/>
        </w:rPr>
        <w:t xml:space="preserve">. </w:t>
      </w:r>
      <w:r w:rsidR="002462D1" w:rsidRPr="00E83269">
        <w:rPr>
          <w:rFonts w:ascii="Verdana" w:hAnsi="Verdana"/>
          <w:sz w:val="20"/>
          <w:lang w:val="en-US"/>
        </w:rPr>
        <w:t>The representatives</w:t>
      </w:r>
      <w:r w:rsidR="00D56B49" w:rsidRPr="00E83269">
        <w:rPr>
          <w:rFonts w:ascii="Verdana" w:hAnsi="Verdana"/>
          <w:sz w:val="20"/>
          <w:lang w:val="en-US"/>
        </w:rPr>
        <w:t xml:space="preserve"> contested</w:t>
      </w:r>
      <w:r w:rsidR="003F7BC8" w:rsidRPr="00E83269">
        <w:rPr>
          <w:rFonts w:ascii="Verdana" w:hAnsi="Verdana"/>
          <w:sz w:val="20"/>
          <w:lang w:val="en-US"/>
        </w:rPr>
        <w:t xml:space="preserve"> </w:t>
      </w:r>
      <w:r w:rsidR="005D679B" w:rsidRPr="00E83269">
        <w:rPr>
          <w:rFonts w:ascii="Verdana" w:hAnsi="Verdana"/>
          <w:sz w:val="20"/>
          <w:lang w:val="en-US"/>
        </w:rPr>
        <w:t>the State</w:t>
      </w:r>
      <w:r w:rsidR="00D56B49" w:rsidRPr="00E83269">
        <w:rPr>
          <w:rFonts w:ascii="Verdana" w:hAnsi="Verdana"/>
          <w:sz w:val="20"/>
          <w:lang w:val="en-US"/>
        </w:rPr>
        <w:t>’s a</w:t>
      </w:r>
      <w:r w:rsidR="009112DF" w:rsidRPr="00E83269">
        <w:rPr>
          <w:rFonts w:ascii="Verdana" w:hAnsi="Verdana"/>
          <w:sz w:val="20"/>
          <w:lang w:val="en-US"/>
        </w:rPr>
        <w:t>sser</w:t>
      </w:r>
      <w:r w:rsidR="00D56B49" w:rsidRPr="00E83269">
        <w:rPr>
          <w:rFonts w:ascii="Verdana" w:hAnsi="Verdana"/>
          <w:sz w:val="20"/>
          <w:lang w:val="en-US"/>
        </w:rPr>
        <w:t>tion that it</w:t>
      </w:r>
      <w:r w:rsidR="003F7BC8" w:rsidRPr="00E83269">
        <w:rPr>
          <w:rFonts w:ascii="Verdana" w:hAnsi="Verdana"/>
          <w:sz w:val="20"/>
          <w:lang w:val="en-US"/>
        </w:rPr>
        <w:t xml:space="preserve"> ha</w:t>
      </w:r>
      <w:r w:rsidRPr="00E83269">
        <w:rPr>
          <w:rFonts w:ascii="Verdana" w:hAnsi="Verdana"/>
          <w:sz w:val="20"/>
          <w:lang w:val="en-US"/>
        </w:rPr>
        <w:t>d carried out a prior consultation</w:t>
      </w:r>
      <w:r w:rsidR="00D56B49" w:rsidRPr="00E83269">
        <w:rPr>
          <w:rFonts w:ascii="Verdana" w:hAnsi="Verdana"/>
          <w:sz w:val="20"/>
          <w:lang w:val="en-US"/>
        </w:rPr>
        <w:t>; they</w:t>
      </w:r>
      <w:r w:rsidRPr="00E83269">
        <w:rPr>
          <w:rFonts w:ascii="Verdana" w:hAnsi="Verdana"/>
          <w:sz w:val="20"/>
          <w:lang w:val="en-US"/>
        </w:rPr>
        <w:t xml:space="preserve"> also provided a note in which </w:t>
      </w:r>
      <w:r w:rsidR="00F427BA" w:rsidRPr="00E83269">
        <w:rPr>
          <w:rFonts w:ascii="Verdana" w:hAnsi="Verdana"/>
          <w:sz w:val="20"/>
          <w:lang w:val="en-US"/>
        </w:rPr>
        <w:t>“</w:t>
      </w:r>
      <w:r w:rsidR="00925275" w:rsidRPr="00E83269">
        <w:rPr>
          <w:rFonts w:ascii="Verdana" w:hAnsi="Verdana"/>
          <w:sz w:val="20"/>
          <w:lang w:val="en-US"/>
        </w:rPr>
        <w:t xml:space="preserve">traditional authorities” </w:t>
      </w:r>
      <w:r w:rsidR="005D679B" w:rsidRPr="00E83269">
        <w:rPr>
          <w:rFonts w:ascii="Verdana" w:hAnsi="Verdana"/>
          <w:sz w:val="20"/>
          <w:lang w:val="en-US"/>
        </w:rPr>
        <w:t xml:space="preserve">of the Saramaka </w:t>
      </w:r>
      <w:r w:rsidR="00D75D75" w:rsidRPr="00E83269">
        <w:rPr>
          <w:rFonts w:ascii="Verdana" w:hAnsi="Verdana"/>
          <w:sz w:val="20"/>
          <w:lang w:val="en-US"/>
        </w:rPr>
        <w:t>p</w:t>
      </w:r>
      <w:r w:rsidR="005D679B" w:rsidRPr="00E83269">
        <w:rPr>
          <w:rFonts w:ascii="Verdana" w:hAnsi="Verdana"/>
          <w:sz w:val="20"/>
          <w:lang w:val="en-US"/>
        </w:rPr>
        <w:t>eople</w:t>
      </w:r>
      <w:r w:rsidR="00F427BA" w:rsidRPr="00E83269">
        <w:rPr>
          <w:rFonts w:ascii="Verdana" w:hAnsi="Verdana"/>
          <w:sz w:val="20"/>
          <w:lang w:val="en-US"/>
        </w:rPr>
        <w:t xml:space="preserve"> </w:t>
      </w:r>
      <w:r w:rsidRPr="00E83269">
        <w:rPr>
          <w:rFonts w:ascii="Verdana" w:hAnsi="Verdana"/>
          <w:sz w:val="20"/>
          <w:lang w:val="en-US"/>
        </w:rPr>
        <w:t>stated that they had not been consulted as regards the expansion of IAMGOLD operations</w:t>
      </w:r>
      <w:r w:rsidR="00D75D75" w:rsidRPr="00E83269">
        <w:rPr>
          <w:rFonts w:ascii="Verdana" w:hAnsi="Verdana"/>
          <w:sz w:val="20"/>
          <w:lang w:val="en-US"/>
        </w:rPr>
        <w:t>.</w:t>
      </w:r>
      <w:r w:rsidR="00BF5193" w:rsidRPr="00E83269">
        <w:rPr>
          <w:rStyle w:val="FootnoteReference"/>
          <w:rFonts w:ascii="Verdana" w:hAnsi="Verdana"/>
          <w:sz w:val="20"/>
          <w:lang w:val="en-US"/>
        </w:rPr>
        <w:footnoteReference w:id="26"/>
      </w:r>
      <w:r w:rsidR="00D75D75" w:rsidRPr="00E83269">
        <w:rPr>
          <w:rFonts w:ascii="Verdana" w:hAnsi="Verdana"/>
          <w:sz w:val="20"/>
          <w:lang w:val="en-US"/>
        </w:rPr>
        <w:t xml:space="preserve"> In this regard, they recalled that, according to </w:t>
      </w:r>
      <w:r w:rsidR="00C93224" w:rsidRPr="00E83269">
        <w:rPr>
          <w:rFonts w:ascii="Verdana" w:hAnsi="Verdana"/>
          <w:sz w:val="20"/>
          <w:lang w:val="en-US"/>
        </w:rPr>
        <w:t>the judgment</w:t>
      </w:r>
      <w:r w:rsidR="003F7BC8" w:rsidRPr="00E83269">
        <w:rPr>
          <w:rFonts w:ascii="Verdana" w:hAnsi="Verdana"/>
          <w:sz w:val="20"/>
          <w:lang w:val="en-US"/>
        </w:rPr>
        <w:t xml:space="preserve">, </w:t>
      </w:r>
      <w:r w:rsidR="005D679B" w:rsidRPr="00E83269">
        <w:rPr>
          <w:rFonts w:ascii="Verdana" w:hAnsi="Verdana"/>
          <w:sz w:val="20"/>
          <w:lang w:val="en-US"/>
        </w:rPr>
        <w:t xml:space="preserve">Suriname </w:t>
      </w:r>
      <w:r w:rsidR="00D75D75" w:rsidRPr="00E83269">
        <w:rPr>
          <w:rFonts w:ascii="Verdana" w:hAnsi="Verdana"/>
          <w:sz w:val="20"/>
          <w:lang w:val="en-US"/>
        </w:rPr>
        <w:t>had the obligation</w:t>
      </w:r>
      <w:r w:rsidR="00D75D75" w:rsidRPr="00525E62">
        <w:rPr>
          <w:rFonts w:ascii="Verdana" w:hAnsi="Verdana"/>
          <w:sz w:val="20"/>
          <w:lang w:val="en-US"/>
        </w:rPr>
        <w:t xml:space="preserve"> to obtain the consent </w:t>
      </w:r>
      <w:r w:rsidR="005D679B" w:rsidRPr="00525E62">
        <w:rPr>
          <w:rFonts w:ascii="Verdana" w:hAnsi="Verdana"/>
          <w:sz w:val="20"/>
          <w:lang w:val="en-US"/>
        </w:rPr>
        <w:t xml:space="preserve">of the Saramaka </w:t>
      </w:r>
      <w:r w:rsidR="00D75D75" w:rsidRPr="00525E62">
        <w:rPr>
          <w:rFonts w:ascii="Verdana" w:hAnsi="Verdana"/>
          <w:sz w:val="20"/>
          <w:lang w:val="en-US"/>
        </w:rPr>
        <w:t>p</w:t>
      </w:r>
      <w:r w:rsidR="005D679B" w:rsidRPr="00525E62">
        <w:rPr>
          <w:rFonts w:ascii="Verdana" w:hAnsi="Verdana"/>
          <w:sz w:val="20"/>
          <w:lang w:val="en-US"/>
        </w:rPr>
        <w:t>eople</w:t>
      </w:r>
      <w:r w:rsidR="003F7BC8" w:rsidRPr="00525E62">
        <w:rPr>
          <w:rFonts w:ascii="Verdana" w:hAnsi="Verdana"/>
          <w:sz w:val="20"/>
          <w:lang w:val="en-US"/>
        </w:rPr>
        <w:t xml:space="preserve"> </w:t>
      </w:r>
      <w:r w:rsidR="00D75D75" w:rsidRPr="00525E62">
        <w:rPr>
          <w:rFonts w:ascii="Verdana" w:hAnsi="Verdana"/>
          <w:sz w:val="20"/>
          <w:lang w:val="en-US"/>
        </w:rPr>
        <w:t xml:space="preserve">in order to carry out </w:t>
      </w:r>
      <w:r w:rsidR="009112DF" w:rsidRPr="00525E62">
        <w:rPr>
          <w:rFonts w:ascii="Verdana" w:hAnsi="Verdana"/>
          <w:sz w:val="20"/>
          <w:lang w:val="en-US"/>
        </w:rPr>
        <w:t>such</w:t>
      </w:r>
      <w:r w:rsidR="00D75D75" w:rsidRPr="00525E62">
        <w:rPr>
          <w:rFonts w:ascii="Verdana" w:hAnsi="Verdana"/>
          <w:sz w:val="20"/>
          <w:lang w:val="en-US"/>
        </w:rPr>
        <w:t xml:space="preserve"> activities. </w:t>
      </w:r>
      <w:r w:rsidR="009112DF" w:rsidRPr="00525E62">
        <w:rPr>
          <w:rFonts w:ascii="Verdana" w:hAnsi="Verdana"/>
          <w:sz w:val="20"/>
          <w:lang w:val="en-US"/>
        </w:rPr>
        <w:t>In addition, t</w:t>
      </w:r>
      <w:r w:rsidR="00D75D75" w:rsidRPr="00525E62">
        <w:rPr>
          <w:rFonts w:ascii="Verdana" w:hAnsi="Verdana"/>
          <w:sz w:val="20"/>
          <w:lang w:val="en-US"/>
        </w:rPr>
        <w:t xml:space="preserve">hey indicated that they disagreed that the proposals mentioned by the State would represent shared benefits in favor </w:t>
      </w:r>
      <w:r w:rsidR="005D679B" w:rsidRPr="00525E62">
        <w:rPr>
          <w:rFonts w:ascii="Verdana" w:hAnsi="Verdana"/>
          <w:sz w:val="20"/>
          <w:lang w:val="en-US"/>
        </w:rPr>
        <w:t xml:space="preserve">of the Saramaka </w:t>
      </w:r>
      <w:r w:rsidR="00D75D75" w:rsidRPr="00525E62">
        <w:rPr>
          <w:rFonts w:ascii="Verdana" w:hAnsi="Verdana"/>
          <w:sz w:val="20"/>
          <w:lang w:val="en-US"/>
        </w:rPr>
        <w:t>p</w:t>
      </w:r>
      <w:r w:rsidR="005D679B" w:rsidRPr="00525E62">
        <w:rPr>
          <w:rFonts w:ascii="Verdana" w:hAnsi="Verdana"/>
          <w:sz w:val="20"/>
          <w:lang w:val="en-US"/>
        </w:rPr>
        <w:t>eople</w:t>
      </w:r>
      <w:r w:rsidR="003F7BC8" w:rsidRPr="00525E62">
        <w:rPr>
          <w:rFonts w:ascii="Verdana" w:hAnsi="Verdana"/>
          <w:sz w:val="20"/>
          <w:lang w:val="en-US"/>
        </w:rPr>
        <w:t xml:space="preserve">. </w:t>
      </w:r>
      <w:r w:rsidR="00D75D75" w:rsidRPr="00525E62">
        <w:rPr>
          <w:rFonts w:ascii="Verdana" w:hAnsi="Verdana"/>
          <w:sz w:val="20"/>
          <w:lang w:val="en-US"/>
        </w:rPr>
        <w:t xml:space="preserve">Lastly, they considered that the impact assessments mentioned by the State </w:t>
      </w:r>
      <w:r w:rsidR="00925275" w:rsidRPr="00525E62">
        <w:rPr>
          <w:rFonts w:ascii="Verdana" w:hAnsi="Verdana"/>
          <w:sz w:val="20"/>
          <w:lang w:val="en-US"/>
        </w:rPr>
        <w:t>had no</w:t>
      </w:r>
      <w:r w:rsidR="00D75D75" w:rsidRPr="00525E62">
        <w:rPr>
          <w:rFonts w:ascii="Verdana" w:hAnsi="Verdana"/>
          <w:sz w:val="20"/>
          <w:lang w:val="en-US"/>
        </w:rPr>
        <w:t xml:space="preserve"> correlat</w:t>
      </w:r>
      <w:r w:rsidR="00925275" w:rsidRPr="00525E62">
        <w:rPr>
          <w:rFonts w:ascii="Verdana" w:hAnsi="Verdana"/>
          <w:sz w:val="20"/>
          <w:lang w:val="en-US"/>
        </w:rPr>
        <w:t>ion</w:t>
      </w:r>
      <w:r w:rsidR="00D75D75" w:rsidRPr="00525E62">
        <w:rPr>
          <w:rFonts w:ascii="Verdana" w:hAnsi="Verdana"/>
          <w:sz w:val="20"/>
          <w:lang w:val="en-US"/>
        </w:rPr>
        <w:t xml:space="preserve"> </w:t>
      </w:r>
      <w:r w:rsidR="00925275" w:rsidRPr="00525E62">
        <w:rPr>
          <w:rFonts w:ascii="Verdana" w:hAnsi="Verdana"/>
          <w:sz w:val="20"/>
          <w:lang w:val="en-US"/>
        </w:rPr>
        <w:t>with</w:t>
      </w:r>
      <w:r w:rsidR="00D75D75" w:rsidRPr="00525E62">
        <w:rPr>
          <w:rFonts w:ascii="Verdana" w:hAnsi="Verdana"/>
          <w:sz w:val="20"/>
          <w:lang w:val="en-US"/>
        </w:rPr>
        <w:t xml:space="preserve"> the </w:t>
      </w:r>
      <w:r w:rsidR="00925275" w:rsidRPr="00525E62">
        <w:rPr>
          <w:rFonts w:ascii="Verdana" w:hAnsi="Verdana"/>
          <w:sz w:val="20"/>
          <w:lang w:val="en-US"/>
        </w:rPr>
        <w:t>current</w:t>
      </w:r>
      <w:r w:rsidR="00D75D75" w:rsidRPr="00525E62">
        <w:rPr>
          <w:rFonts w:ascii="Verdana" w:hAnsi="Verdana"/>
          <w:sz w:val="20"/>
          <w:lang w:val="en-US"/>
        </w:rPr>
        <w:t xml:space="preserve"> amendment to the </w:t>
      </w:r>
      <w:r w:rsidR="003F7BC8" w:rsidRPr="00525E62">
        <w:rPr>
          <w:rFonts w:ascii="Verdana" w:hAnsi="Verdana"/>
          <w:sz w:val="20"/>
          <w:lang w:val="en-US"/>
        </w:rPr>
        <w:t xml:space="preserve">Rosebel Mineral Agreement. </w:t>
      </w:r>
      <w:r w:rsidR="002462D1" w:rsidRPr="00525E62">
        <w:rPr>
          <w:rFonts w:ascii="Verdana" w:hAnsi="Verdana"/>
          <w:sz w:val="20"/>
          <w:lang w:val="en-US"/>
        </w:rPr>
        <w:t xml:space="preserve">The </w:t>
      </w:r>
      <w:r w:rsidR="002462D1" w:rsidRPr="005F7AE5">
        <w:rPr>
          <w:rFonts w:ascii="Verdana" w:hAnsi="Verdana"/>
          <w:i/>
          <w:sz w:val="20"/>
          <w:lang w:val="en-US"/>
        </w:rPr>
        <w:t>representatives</w:t>
      </w:r>
      <w:r w:rsidR="003F7BC8" w:rsidRPr="00525E62">
        <w:rPr>
          <w:rFonts w:ascii="Verdana" w:hAnsi="Verdana"/>
          <w:sz w:val="20"/>
          <w:lang w:val="en-US"/>
        </w:rPr>
        <w:t xml:space="preserve">, </w:t>
      </w:r>
      <w:r w:rsidR="00D75D75" w:rsidRPr="00525E62">
        <w:rPr>
          <w:rFonts w:ascii="Verdana" w:hAnsi="Verdana"/>
          <w:sz w:val="20"/>
          <w:lang w:val="en-US"/>
        </w:rPr>
        <w:t xml:space="preserve">in their May 2015 </w:t>
      </w:r>
      <w:r w:rsidR="00C70258" w:rsidRPr="00525E62">
        <w:rPr>
          <w:rFonts w:ascii="Verdana" w:hAnsi="Verdana"/>
          <w:sz w:val="20"/>
          <w:lang w:val="en-US"/>
        </w:rPr>
        <w:t>observation brief</w:t>
      </w:r>
      <w:r w:rsidR="00D75D75" w:rsidRPr="00525E62">
        <w:rPr>
          <w:rFonts w:ascii="Verdana" w:hAnsi="Verdana"/>
          <w:sz w:val="20"/>
          <w:lang w:val="en-US"/>
        </w:rPr>
        <w:t>, asked the Court to refer to the validity of the said mining exploitation activities</w:t>
      </w:r>
      <w:r w:rsidR="003F7BC8" w:rsidRPr="00525E62">
        <w:rPr>
          <w:rFonts w:ascii="Verdana" w:hAnsi="Verdana"/>
          <w:sz w:val="20"/>
          <w:lang w:val="en-US"/>
        </w:rPr>
        <w:t>.</w:t>
      </w:r>
      <w:bookmarkEnd w:id="29"/>
      <w:r w:rsidR="003F7BC8" w:rsidRPr="00525E62">
        <w:rPr>
          <w:rFonts w:ascii="Verdana" w:hAnsi="Verdana"/>
          <w:sz w:val="20"/>
          <w:lang w:val="en-US"/>
        </w:rPr>
        <w:t xml:space="preserve"> </w:t>
      </w:r>
      <w:bookmarkEnd w:id="30"/>
    </w:p>
    <w:p w14:paraId="0EFBD035" w14:textId="2DBA42A6" w:rsidR="003F7BC8" w:rsidRPr="00525E62" w:rsidRDefault="0033259E" w:rsidP="0033259E">
      <w:pPr>
        <w:pStyle w:val="ListParagraph"/>
        <w:tabs>
          <w:tab w:val="left" w:pos="7058"/>
        </w:tabs>
        <w:ind w:left="0"/>
        <w:jc w:val="both"/>
        <w:rPr>
          <w:rFonts w:ascii="Verdana" w:hAnsi="Verdana"/>
          <w:sz w:val="20"/>
          <w:lang w:val="en-US"/>
        </w:rPr>
      </w:pPr>
      <w:r w:rsidRPr="00525E62">
        <w:rPr>
          <w:rFonts w:ascii="Verdana" w:hAnsi="Verdana"/>
          <w:sz w:val="20"/>
          <w:lang w:val="en-US"/>
        </w:rPr>
        <w:tab/>
      </w:r>
    </w:p>
    <w:p w14:paraId="6D6F4463" w14:textId="08398A53" w:rsidR="003F7BC8" w:rsidRPr="00E83269" w:rsidRDefault="00D75D75" w:rsidP="003F7BC8">
      <w:pPr>
        <w:pStyle w:val="ListParagraph"/>
        <w:numPr>
          <w:ilvl w:val="0"/>
          <w:numId w:val="2"/>
        </w:numPr>
        <w:ind w:left="0" w:firstLine="0"/>
        <w:jc w:val="both"/>
        <w:rPr>
          <w:rFonts w:ascii="Verdana" w:hAnsi="Verdana"/>
          <w:sz w:val="20"/>
          <w:lang w:val="en-US"/>
        </w:rPr>
      </w:pPr>
      <w:r w:rsidRPr="00E83269">
        <w:rPr>
          <w:rFonts w:ascii="Verdana" w:hAnsi="Verdana"/>
          <w:sz w:val="20"/>
          <w:lang w:val="en-US"/>
        </w:rPr>
        <w:t>Meanwhile</w:t>
      </w:r>
      <w:r w:rsidR="003F7BC8" w:rsidRPr="00E83269">
        <w:rPr>
          <w:rFonts w:ascii="Verdana" w:hAnsi="Verdana"/>
          <w:sz w:val="20"/>
          <w:lang w:val="en-US"/>
        </w:rPr>
        <w:t xml:space="preserve">, </w:t>
      </w:r>
      <w:r w:rsidRPr="00E83269">
        <w:rPr>
          <w:rFonts w:ascii="Verdana" w:hAnsi="Verdana"/>
          <w:sz w:val="20"/>
          <w:lang w:val="en-US"/>
        </w:rPr>
        <w:t xml:space="preserve">in its December 2013 observations, </w:t>
      </w:r>
      <w:r w:rsidR="002462D1" w:rsidRPr="00E83269">
        <w:rPr>
          <w:rFonts w:ascii="Verdana" w:hAnsi="Verdana"/>
          <w:sz w:val="20"/>
          <w:lang w:val="en-US"/>
        </w:rPr>
        <w:t xml:space="preserve">the </w:t>
      </w:r>
      <w:r w:rsidR="002462D1" w:rsidRPr="005F7AE5">
        <w:rPr>
          <w:rFonts w:ascii="Verdana" w:hAnsi="Verdana"/>
          <w:i/>
          <w:sz w:val="20"/>
          <w:lang w:val="en-US"/>
        </w:rPr>
        <w:t>Commission</w:t>
      </w:r>
      <w:r w:rsidR="003F7BC8" w:rsidRPr="00E83269">
        <w:rPr>
          <w:rFonts w:ascii="Verdana" w:hAnsi="Verdana"/>
          <w:sz w:val="20"/>
          <w:lang w:val="en-US"/>
        </w:rPr>
        <w:t xml:space="preserve"> indic</w:t>
      </w:r>
      <w:r w:rsidRPr="00E83269">
        <w:rPr>
          <w:rFonts w:ascii="Verdana" w:hAnsi="Verdana"/>
          <w:sz w:val="20"/>
          <w:lang w:val="en-US"/>
        </w:rPr>
        <w:t>ated that the State continued</w:t>
      </w:r>
      <w:r w:rsidR="003F7BC8" w:rsidRPr="00E83269">
        <w:rPr>
          <w:rFonts w:ascii="Verdana" w:hAnsi="Verdana"/>
          <w:sz w:val="20"/>
          <w:lang w:val="en-US"/>
        </w:rPr>
        <w:t xml:space="preserve"> “</w:t>
      </w:r>
      <w:r w:rsidR="00C961EA" w:rsidRPr="00E83269">
        <w:rPr>
          <w:rFonts w:ascii="Verdana" w:hAnsi="Verdana"/>
          <w:sz w:val="20"/>
          <w:lang w:val="en-US"/>
        </w:rPr>
        <w:t>to promote actions that directly contravene the obligations established by the Court</w:t>
      </w:r>
      <w:r w:rsidR="003F7BC8" w:rsidRPr="00E83269">
        <w:rPr>
          <w:rFonts w:ascii="Verdana" w:hAnsi="Verdana"/>
          <w:sz w:val="20"/>
          <w:lang w:val="en-US"/>
        </w:rPr>
        <w:t xml:space="preserve">”, </w:t>
      </w:r>
      <w:r w:rsidRPr="00E83269">
        <w:rPr>
          <w:rFonts w:ascii="Verdana" w:hAnsi="Verdana"/>
          <w:sz w:val="20"/>
          <w:lang w:val="en-US"/>
        </w:rPr>
        <w:t>and that</w:t>
      </w:r>
      <w:r w:rsidR="003F7BC8" w:rsidRPr="00E83269">
        <w:rPr>
          <w:rFonts w:ascii="Verdana" w:hAnsi="Verdana"/>
          <w:sz w:val="20"/>
          <w:lang w:val="en-US"/>
        </w:rPr>
        <w:t xml:space="preserve"> “</w:t>
      </w:r>
      <w:r w:rsidR="00C961EA" w:rsidRPr="00E83269">
        <w:rPr>
          <w:rFonts w:ascii="Verdana" w:hAnsi="Verdana"/>
          <w:sz w:val="20"/>
          <w:lang w:val="en-US"/>
        </w:rPr>
        <w:t xml:space="preserve">the information provided by the State does not demonstrate that mining activities of IAMGOLD would not affect </w:t>
      </w:r>
      <w:proofErr w:type="spellStart"/>
      <w:r w:rsidR="00C961EA" w:rsidRPr="00E83269">
        <w:rPr>
          <w:rFonts w:ascii="Verdana" w:hAnsi="Verdana"/>
          <w:sz w:val="20"/>
          <w:lang w:val="en-US"/>
        </w:rPr>
        <w:t>Saramaka</w:t>
      </w:r>
      <w:proofErr w:type="spellEnd"/>
      <w:r w:rsidR="00C961EA" w:rsidRPr="00E83269">
        <w:rPr>
          <w:rFonts w:ascii="Verdana" w:hAnsi="Verdana"/>
          <w:sz w:val="20"/>
          <w:lang w:val="en-US"/>
        </w:rPr>
        <w:t xml:space="preserve"> territory</w:t>
      </w:r>
      <w:r w:rsidR="003F7BC8" w:rsidRPr="00E83269">
        <w:rPr>
          <w:rFonts w:ascii="Verdana" w:hAnsi="Verdana"/>
          <w:sz w:val="20"/>
          <w:lang w:val="en-US"/>
        </w:rPr>
        <w:t xml:space="preserve">”. </w:t>
      </w:r>
      <w:r w:rsidRPr="00E83269">
        <w:rPr>
          <w:rFonts w:ascii="Verdana" w:hAnsi="Verdana"/>
          <w:sz w:val="20"/>
          <w:lang w:val="en-US"/>
        </w:rPr>
        <w:t xml:space="preserve">Subsequently, in its June 2015 observations, </w:t>
      </w:r>
      <w:r w:rsidR="002462D1" w:rsidRPr="00E83269">
        <w:rPr>
          <w:rFonts w:ascii="Verdana" w:hAnsi="Verdana"/>
          <w:sz w:val="20"/>
          <w:lang w:val="en-US"/>
        </w:rPr>
        <w:t>the Commission</w:t>
      </w:r>
      <w:r w:rsidR="003F7BC8" w:rsidRPr="00E83269">
        <w:rPr>
          <w:rFonts w:ascii="Verdana" w:hAnsi="Verdana"/>
          <w:sz w:val="20"/>
          <w:lang w:val="en-US"/>
        </w:rPr>
        <w:t xml:space="preserve"> </w:t>
      </w:r>
      <w:r w:rsidRPr="00E83269">
        <w:rPr>
          <w:rFonts w:ascii="Verdana" w:hAnsi="Verdana"/>
          <w:sz w:val="20"/>
          <w:lang w:val="en-US"/>
        </w:rPr>
        <w:t xml:space="preserve">pointed out that the State had not presented the information requested in the </w:t>
      </w:r>
      <w:r w:rsidR="00313A42" w:rsidRPr="00E83269">
        <w:rPr>
          <w:rFonts w:ascii="Verdana" w:hAnsi="Verdana"/>
          <w:sz w:val="20"/>
          <w:lang w:val="en-US"/>
        </w:rPr>
        <w:t xml:space="preserve">Court’s order of 2013 and asked the Court to require the State to provide </w:t>
      </w:r>
      <w:r w:rsidR="00340106" w:rsidRPr="00E83269">
        <w:rPr>
          <w:rFonts w:ascii="Verdana" w:hAnsi="Verdana"/>
          <w:sz w:val="20"/>
          <w:lang w:val="en-US"/>
        </w:rPr>
        <w:t>“</w:t>
      </w:r>
      <w:r w:rsidR="00621142" w:rsidRPr="00E83269">
        <w:rPr>
          <w:rFonts w:ascii="Verdana" w:hAnsi="Verdana"/>
          <w:sz w:val="20"/>
          <w:lang w:val="en-US"/>
        </w:rPr>
        <w:t>concrete information regarding the implementation of the measures of reparations</w:t>
      </w:r>
      <w:r w:rsidR="001D6CC4" w:rsidRPr="00E83269">
        <w:rPr>
          <w:rFonts w:ascii="Verdana" w:hAnsi="Verdana"/>
          <w:sz w:val="20"/>
          <w:lang w:val="en-US"/>
        </w:rPr>
        <w:t>”</w:t>
      </w:r>
      <w:r w:rsidR="003F7BC8" w:rsidRPr="00E83269">
        <w:rPr>
          <w:rFonts w:ascii="Verdana" w:hAnsi="Verdana"/>
          <w:sz w:val="20"/>
          <w:lang w:val="en-US"/>
        </w:rPr>
        <w:t xml:space="preserve">. </w:t>
      </w:r>
    </w:p>
    <w:p w14:paraId="609F8093" w14:textId="77777777" w:rsidR="003F7BC8" w:rsidRPr="00525E62" w:rsidRDefault="003F7BC8" w:rsidP="003F7BC8">
      <w:pPr>
        <w:pStyle w:val="ListParagraph"/>
        <w:rPr>
          <w:rFonts w:ascii="Verdana" w:hAnsi="Verdana"/>
          <w:sz w:val="20"/>
          <w:lang w:val="en-US"/>
        </w:rPr>
      </w:pPr>
    </w:p>
    <w:p w14:paraId="621475EB" w14:textId="2904A3F0" w:rsidR="003F7BC8" w:rsidRPr="00E83269" w:rsidRDefault="00C93224" w:rsidP="00313A42">
      <w:pPr>
        <w:pStyle w:val="ListParagraph"/>
        <w:numPr>
          <w:ilvl w:val="0"/>
          <w:numId w:val="2"/>
        </w:numPr>
        <w:ind w:left="0" w:firstLine="0"/>
        <w:jc w:val="both"/>
        <w:rPr>
          <w:rFonts w:ascii="Verdana" w:hAnsi="Verdana"/>
          <w:sz w:val="20"/>
          <w:lang w:val="en-US"/>
        </w:rPr>
      </w:pPr>
      <w:r w:rsidRPr="00E83269">
        <w:rPr>
          <w:rFonts w:ascii="Verdana" w:hAnsi="Verdana"/>
          <w:sz w:val="20"/>
          <w:lang w:val="en-US"/>
        </w:rPr>
        <w:t>The Court</w:t>
      </w:r>
      <w:r w:rsidR="003F7BC8" w:rsidRPr="00E83269">
        <w:rPr>
          <w:rFonts w:ascii="Verdana" w:hAnsi="Verdana"/>
          <w:sz w:val="20"/>
          <w:lang w:val="en-US"/>
        </w:rPr>
        <w:t xml:space="preserve"> </w:t>
      </w:r>
      <w:r w:rsidR="00313A42" w:rsidRPr="00E83269">
        <w:rPr>
          <w:rFonts w:ascii="Verdana" w:hAnsi="Verdana"/>
          <w:sz w:val="20"/>
          <w:lang w:val="en-US"/>
        </w:rPr>
        <w:t>underlines that the State has not provided the information required to assess compliance with this aspect of the measure of reparations. In addition to failing to provide evidence to support any of its assertions relating to this measure, since 2013 it has not sent the information required, despite the requests made by the President of the Court</w:t>
      </w:r>
      <w:r w:rsidR="00AA6548" w:rsidRPr="00E83269">
        <w:rPr>
          <w:rFonts w:ascii="Verdana" w:hAnsi="Verdana"/>
          <w:sz w:val="20"/>
          <w:lang w:val="en-US"/>
        </w:rPr>
        <w:t xml:space="preserve"> (</w:t>
      </w:r>
      <w:r w:rsidR="00AA6548" w:rsidRPr="00E83269">
        <w:rPr>
          <w:rFonts w:ascii="Verdana" w:hAnsi="Verdana"/>
          <w:i/>
          <w:sz w:val="20"/>
          <w:lang w:val="en-US"/>
        </w:rPr>
        <w:t>supra</w:t>
      </w:r>
      <w:r w:rsidR="005C2D89" w:rsidRPr="00E83269">
        <w:rPr>
          <w:rFonts w:ascii="Verdana" w:hAnsi="Verdana"/>
          <w:sz w:val="20"/>
          <w:lang w:val="en-US"/>
        </w:rPr>
        <w:t xml:space="preserve"> </w:t>
      </w:r>
      <w:r w:rsidR="00B15139" w:rsidRPr="00E83269">
        <w:rPr>
          <w:rFonts w:ascii="Verdana" w:hAnsi="Verdana"/>
          <w:sz w:val="20"/>
          <w:lang w:val="en-US"/>
        </w:rPr>
        <w:t>having seen paragraph</w:t>
      </w:r>
      <w:r w:rsidR="00CF4E42"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_Ref530057328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11</w:t>
      </w:r>
      <w:r w:rsidR="001413FA">
        <w:rPr>
          <w:rFonts w:ascii="Verdana" w:hAnsi="Verdana"/>
          <w:sz w:val="20"/>
          <w:lang w:val="en-US"/>
        </w:rPr>
        <w:fldChar w:fldCharType="end"/>
      </w:r>
      <w:r w:rsidR="005C2D89" w:rsidRPr="00E83269">
        <w:rPr>
          <w:rFonts w:ascii="Verdana" w:hAnsi="Verdana"/>
          <w:sz w:val="20"/>
          <w:lang w:val="en-US"/>
        </w:rPr>
        <w:t>).</w:t>
      </w:r>
      <w:r w:rsidR="00AA6548" w:rsidRPr="00E83269">
        <w:rPr>
          <w:rFonts w:ascii="Verdana" w:hAnsi="Verdana"/>
          <w:sz w:val="20"/>
          <w:lang w:val="en-US"/>
        </w:rPr>
        <w:t xml:space="preserve"> </w:t>
      </w:r>
      <w:r w:rsidR="00313A42" w:rsidRPr="00E83269">
        <w:rPr>
          <w:rFonts w:ascii="Verdana" w:hAnsi="Verdana"/>
          <w:sz w:val="20"/>
          <w:lang w:val="en-US"/>
        </w:rPr>
        <w:t xml:space="preserve">The information available, such as the note from </w:t>
      </w:r>
      <w:r w:rsidR="00925275" w:rsidRPr="00E83269">
        <w:rPr>
          <w:rFonts w:ascii="Verdana" w:hAnsi="Verdana"/>
          <w:sz w:val="20"/>
          <w:lang w:val="en-US"/>
        </w:rPr>
        <w:t xml:space="preserve">“traditional authorities” </w:t>
      </w:r>
      <w:r w:rsidR="005D679B" w:rsidRPr="00E83269">
        <w:rPr>
          <w:rFonts w:ascii="Verdana" w:hAnsi="Verdana"/>
          <w:sz w:val="20"/>
          <w:lang w:val="en-US"/>
        </w:rPr>
        <w:t xml:space="preserve">of the Saramaka </w:t>
      </w:r>
      <w:r w:rsidR="00313A42" w:rsidRPr="00E83269">
        <w:rPr>
          <w:rFonts w:ascii="Verdana" w:hAnsi="Verdana"/>
          <w:sz w:val="20"/>
          <w:lang w:val="en-US"/>
        </w:rPr>
        <w:t>p</w:t>
      </w:r>
      <w:r w:rsidR="005D679B" w:rsidRPr="00E83269">
        <w:rPr>
          <w:rFonts w:ascii="Verdana" w:hAnsi="Verdana"/>
          <w:sz w:val="20"/>
          <w:lang w:val="en-US"/>
        </w:rPr>
        <w:t>eople</w:t>
      </w:r>
      <w:r w:rsidR="003F7BC8" w:rsidRPr="00E83269">
        <w:rPr>
          <w:rFonts w:ascii="Verdana" w:hAnsi="Verdana"/>
          <w:sz w:val="20"/>
          <w:lang w:val="en-US"/>
        </w:rPr>
        <w:t xml:space="preserve"> </w:t>
      </w:r>
      <w:r w:rsidR="00313A42" w:rsidRPr="00E83269">
        <w:rPr>
          <w:rFonts w:ascii="Verdana" w:hAnsi="Verdana"/>
          <w:sz w:val="20"/>
          <w:lang w:val="en-US"/>
        </w:rPr>
        <w:t>opposing the expansi</w:t>
      </w:r>
      <w:r w:rsidR="00925275" w:rsidRPr="00E83269">
        <w:rPr>
          <w:rFonts w:ascii="Verdana" w:hAnsi="Verdana"/>
          <w:sz w:val="20"/>
          <w:lang w:val="en-US"/>
        </w:rPr>
        <w:t>o</w:t>
      </w:r>
      <w:r w:rsidR="00313A42" w:rsidRPr="00E83269">
        <w:rPr>
          <w:rFonts w:ascii="Verdana" w:hAnsi="Verdana"/>
          <w:sz w:val="20"/>
          <w:lang w:val="en-US"/>
        </w:rPr>
        <w:t xml:space="preserve">n of IAMGOLD activities </w:t>
      </w:r>
      <w:r w:rsidR="0033259E" w:rsidRPr="00E83269">
        <w:rPr>
          <w:rFonts w:ascii="Verdana" w:hAnsi="Verdana"/>
          <w:sz w:val="20"/>
          <w:lang w:val="en-US"/>
        </w:rPr>
        <w:t>(</w:t>
      </w:r>
      <w:r w:rsidR="0033259E" w:rsidRPr="00E83269">
        <w:rPr>
          <w:rFonts w:ascii="Verdana" w:hAnsi="Verdana"/>
          <w:i/>
          <w:sz w:val="20"/>
          <w:lang w:val="en-US"/>
        </w:rPr>
        <w:t>supra</w:t>
      </w:r>
      <w:r w:rsidR="0033259E" w:rsidRPr="00E83269">
        <w:rPr>
          <w:rFonts w:ascii="Verdana" w:hAnsi="Verdana"/>
          <w:sz w:val="20"/>
          <w:lang w:val="en-US"/>
        </w:rPr>
        <w:t xml:space="preserve"> </w:t>
      </w:r>
      <w:proofErr w:type="spellStart"/>
      <w:r w:rsidR="007F7CF1" w:rsidRPr="00E83269">
        <w:rPr>
          <w:rFonts w:ascii="Verdana" w:hAnsi="Verdana"/>
          <w:i/>
          <w:sz w:val="20"/>
          <w:lang w:val="en-US"/>
        </w:rPr>
        <w:t>considerandum</w:t>
      </w:r>
      <w:proofErr w:type="spellEnd"/>
      <w:r w:rsidR="0033259E"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_Ref526861739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28</w:t>
      </w:r>
      <w:r w:rsidR="001413FA">
        <w:rPr>
          <w:rFonts w:ascii="Verdana" w:hAnsi="Verdana"/>
          <w:sz w:val="20"/>
          <w:lang w:val="en-US"/>
        </w:rPr>
        <w:fldChar w:fldCharType="end"/>
      </w:r>
      <w:r w:rsidR="0033259E" w:rsidRPr="00E83269">
        <w:rPr>
          <w:rFonts w:ascii="Verdana" w:hAnsi="Verdana"/>
          <w:sz w:val="20"/>
          <w:lang w:val="en-US"/>
        </w:rPr>
        <w:t>)</w:t>
      </w:r>
      <w:r w:rsidR="00777621" w:rsidRPr="00E83269">
        <w:rPr>
          <w:rFonts w:ascii="Verdana" w:hAnsi="Verdana"/>
          <w:sz w:val="20"/>
          <w:lang w:val="en-US"/>
        </w:rPr>
        <w:t xml:space="preserve"> </w:t>
      </w:r>
      <w:r w:rsidR="00313A42" w:rsidRPr="00E83269">
        <w:rPr>
          <w:rFonts w:ascii="Verdana" w:hAnsi="Verdana"/>
          <w:sz w:val="20"/>
          <w:lang w:val="en-US"/>
        </w:rPr>
        <w:t>and a press release in which the president of this company recognized that his company’s</w:t>
      </w:r>
      <w:r w:rsidR="00925275" w:rsidRPr="00E83269">
        <w:rPr>
          <w:rFonts w:ascii="Verdana" w:hAnsi="Verdana"/>
          <w:sz w:val="20"/>
          <w:lang w:val="en-US"/>
        </w:rPr>
        <w:t xml:space="preserve"> gold exploitation conc</w:t>
      </w:r>
      <w:r w:rsidR="00313A42" w:rsidRPr="00E83269">
        <w:rPr>
          <w:rFonts w:ascii="Verdana" w:hAnsi="Verdana"/>
          <w:sz w:val="20"/>
          <w:lang w:val="en-US"/>
        </w:rPr>
        <w:t>ession was being expanded,</w:t>
      </w:r>
      <w:r w:rsidR="003F7BC8" w:rsidRPr="00E83269">
        <w:rPr>
          <w:rStyle w:val="FootnoteReference"/>
          <w:rFonts w:ascii="Verdana" w:hAnsi="Verdana"/>
          <w:sz w:val="20"/>
          <w:lang w:val="en-US"/>
        </w:rPr>
        <w:footnoteReference w:id="27"/>
      </w:r>
      <w:r w:rsidR="003F7BC8" w:rsidRPr="00E83269">
        <w:rPr>
          <w:rFonts w:ascii="Verdana" w:hAnsi="Verdana"/>
          <w:sz w:val="20"/>
          <w:lang w:val="en-US"/>
        </w:rPr>
        <w:t xml:space="preserve"> </w:t>
      </w:r>
      <w:r w:rsidR="00313A42" w:rsidRPr="00E83269">
        <w:rPr>
          <w:rFonts w:ascii="Verdana" w:hAnsi="Verdana"/>
          <w:sz w:val="20"/>
          <w:lang w:val="en-US"/>
        </w:rPr>
        <w:t>allow</w:t>
      </w:r>
      <w:r w:rsidR="00BF5193" w:rsidRPr="00E83269">
        <w:rPr>
          <w:rFonts w:ascii="Verdana" w:hAnsi="Verdana"/>
          <w:sz w:val="20"/>
          <w:lang w:val="en-US"/>
        </w:rPr>
        <w:t xml:space="preserve"> </w:t>
      </w:r>
      <w:r w:rsidRPr="00E83269">
        <w:rPr>
          <w:rFonts w:ascii="Verdana" w:hAnsi="Verdana"/>
          <w:sz w:val="20"/>
          <w:lang w:val="en-US"/>
        </w:rPr>
        <w:t>the Court</w:t>
      </w:r>
      <w:r w:rsidR="003F7BC8" w:rsidRPr="00E83269">
        <w:rPr>
          <w:rFonts w:ascii="Verdana" w:hAnsi="Verdana"/>
          <w:sz w:val="20"/>
          <w:lang w:val="en-US"/>
        </w:rPr>
        <w:t xml:space="preserve"> </w:t>
      </w:r>
      <w:r w:rsidR="00313A42" w:rsidRPr="00E83269">
        <w:rPr>
          <w:rFonts w:ascii="Verdana" w:hAnsi="Verdana"/>
          <w:sz w:val="20"/>
          <w:lang w:val="en-US"/>
        </w:rPr>
        <w:t xml:space="preserve">to </w:t>
      </w:r>
      <w:r w:rsidR="003F7BC8" w:rsidRPr="00E83269">
        <w:rPr>
          <w:rFonts w:ascii="Verdana" w:hAnsi="Verdana"/>
          <w:sz w:val="20"/>
          <w:lang w:val="en-US"/>
        </w:rPr>
        <w:t>consider</w:t>
      </w:r>
      <w:r w:rsidR="00313A42" w:rsidRPr="00E83269">
        <w:rPr>
          <w:rFonts w:ascii="Verdana" w:hAnsi="Verdana"/>
          <w:sz w:val="20"/>
          <w:lang w:val="en-US"/>
        </w:rPr>
        <w:t xml:space="preserve"> that the effects of the second amendment to the</w:t>
      </w:r>
      <w:r w:rsidR="003F7BC8" w:rsidRPr="00E83269">
        <w:rPr>
          <w:rFonts w:ascii="Verdana" w:hAnsi="Verdana"/>
          <w:sz w:val="20"/>
          <w:lang w:val="en-US"/>
        </w:rPr>
        <w:t xml:space="preserve"> Rosebel Mineral Agreement </w:t>
      </w:r>
      <w:r w:rsidR="00313A42" w:rsidRPr="00E83269">
        <w:rPr>
          <w:rFonts w:ascii="Verdana" w:hAnsi="Verdana"/>
          <w:sz w:val="20"/>
          <w:lang w:val="en-US"/>
        </w:rPr>
        <w:t>could be similar to those grant</w:t>
      </w:r>
      <w:r w:rsidR="003F09C1" w:rsidRPr="00E83269">
        <w:rPr>
          <w:rFonts w:ascii="Verdana" w:hAnsi="Verdana"/>
          <w:sz w:val="20"/>
          <w:lang w:val="en-US"/>
        </w:rPr>
        <w:t>ed by</w:t>
      </w:r>
      <w:r w:rsidR="00313A42" w:rsidRPr="00E83269">
        <w:rPr>
          <w:rFonts w:ascii="Verdana" w:hAnsi="Verdana"/>
          <w:sz w:val="20"/>
          <w:lang w:val="en-US"/>
        </w:rPr>
        <w:t xml:space="preserve"> a new concession</w:t>
      </w:r>
      <w:r w:rsidR="003F09C1" w:rsidRPr="00E83269">
        <w:rPr>
          <w:rFonts w:ascii="Verdana" w:hAnsi="Verdana"/>
          <w:sz w:val="20"/>
          <w:lang w:val="en-US"/>
        </w:rPr>
        <w:t>;</w:t>
      </w:r>
      <w:r w:rsidR="00313A42" w:rsidRPr="00E83269">
        <w:rPr>
          <w:rFonts w:ascii="Verdana" w:hAnsi="Verdana"/>
          <w:sz w:val="20"/>
          <w:lang w:val="en-US"/>
        </w:rPr>
        <w:t xml:space="preserve"> that the said concession could have affected territories belonging to the Saramaka communities, and that measures had not been taken to </w:t>
      </w:r>
      <w:r w:rsidR="00313A42" w:rsidRPr="00E83269">
        <w:rPr>
          <w:rFonts w:ascii="Verdana" w:hAnsi="Verdana"/>
          <w:sz w:val="20"/>
          <w:lang w:val="en-US"/>
        </w:rPr>
        <w:lastRenderedPageBreak/>
        <w:t xml:space="preserve">guarantee prior consultation, social and environmental impact assessments, and benefits shared with </w:t>
      </w:r>
      <w:r w:rsidR="005D679B" w:rsidRPr="00E83269">
        <w:rPr>
          <w:rFonts w:ascii="Verdana" w:hAnsi="Verdana"/>
          <w:sz w:val="20"/>
          <w:lang w:val="en-US"/>
        </w:rPr>
        <w:t xml:space="preserve">the Saramaka </w:t>
      </w:r>
      <w:r w:rsidR="00313A42" w:rsidRPr="00E83269">
        <w:rPr>
          <w:rFonts w:ascii="Verdana" w:hAnsi="Verdana"/>
          <w:sz w:val="20"/>
          <w:lang w:val="en-US"/>
        </w:rPr>
        <w:t>p</w:t>
      </w:r>
      <w:r w:rsidR="005D679B" w:rsidRPr="00E83269">
        <w:rPr>
          <w:rFonts w:ascii="Verdana" w:hAnsi="Verdana"/>
          <w:sz w:val="20"/>
          <w:lang w:val="en-US"/>
        </w:rPr>
        <w:t>eople</w:t>
      </w:r>
      <w:r w:rsidR="003F7BC8" w:rsidRPr="00E83269">
        <w:rPr>
          <w:rFonts w:ascii="Verdana" w:hAnsi="Verdana"/>
          <w:sz w:val="20"/>
          <w:lang w:val="en-US"/>
        </w:rPr>
        <w:t>.</w:t>
      </w:r>
    </w:p>
    <w:p w14:paraId="45FCB580" w14:textId="77777777" w:rsidR="003F7BC8" w:rsidRPr="00525E62" w:rsidRDefault="003F7BC8" w:rsidP="003F7BC8">
      <w:pPr>
        <w:pStyle w:val="ListParagraph"/>
        <w:ind w:left="0"/>
        <w:jc w:val="both"/>
        <w:rPr>
          <w:rFonts w:ascii="Verdana" w:hAnsi="Verdana"/>
          <w:sz w:val="20"/>
          <w:lang w:val="en-US"/>
        </w:rPr>
      </w:pPr>
    </w:p>
    <w:p w14:paraId="15300DF2" w14:textId="00DBBE23" w:rsidR="00E75FEF" w:rsidRPr="00E83269" w:rsidRDefault="00313A42" w:rsidP="00563488">
      <w:pPr>
        <w:pStyle w:val="ListParagraph"/>
        <w:numPr>
          <w:ilvl w:val="0"/>
          <w:numId w:val="2"/>
        </w:numPr>
        <w:ind w:left="0" w:firstLine="0"/>
        <w:jc w:val="both"/>
        <w:rPr>
          <w:rFonts w:ascii="Verdana" w:hAnsi="Verdana"/>
          <w:sz w:val="20"/>
          <w:lang w:val="en-US"/>
        </w:rPr>
      </w:pPr>
      <w:r w:rsidRPr="00E83269">
        <w:rPr>
          <w:rFonts w:ascii="Verdana" w:hAnsi="Verdana"/>
          <w:sz w:val="20"/>
          <w:lang w:val="en-US"/>
        </w:rPr>
        <w:t>In this regard, in its 2011 order, the Cour</w:t>
      </w:r>
      <w:r w:rsidR="00AD4AE7" w:rsidRPr="00E83269">
        <w:rPr>
          <w:rFonts w:ascii="Verdana" w:hAnsi="Verdana"/>
          <w:sz w:val="20"/>
          <w:lang w:val="en-US"/>
        </w:rPr>
        <w:t>t</w:t>
      </w:r>
      <w:r w:rsidRPr="00E83269">
        <w:rPr>
          <w:rFonts w:ascii="Verdana" w:hAnsi="Verdana"/>
          <w:sz w:val="20"/>
          <w:lang w:val="en-US"/>
        </w:rPr>
        <w:t xml:space="preserve"> established that </w:t>
      </w:r>
      <w:r w:rsidR="003F7BC8" w:rsidRPr="00E83269">
        <w:rPr>
          <w:rFonts w:ascii="Verdana" w:hAnsi="Verdana"/>
          <w:sz w:val="20"/>
          <w:lang w:val="en-US"/>
        </w:rPr>
        <w:t>“</w:t>
      </w:r>
      <w:r w:rsidR="001F3A09" w:rsidRPr="00E83269">
        <w:rPr>
          <w:rFonts w:ascii="Verdana" w:hAnsi="Verdana"/>
          <w:sz w:val="20"/>
          <w:lang w:val="en-US"/>
        </w:rPr>
        <w:t xml:space="preserve">given that the titling of </w:t>
      </w:r>
      <w:proofErr w:type="spellStart"/>
      <w:r w:rsidR="001F3A09" w:rsidRPr="00E83269">
        <w:rPr>
          <w:rFonts w:ascii="Verdana" w:hAnsi="Verdana"/>
          <w:sz w:val="20"/>
          <w:lang w:val="en-US"/>
        </w:rPr>
        <w:t>Saramaka</w:t>
      </w:r>
      <w:proofErr w:type="spellEnd"/>
      <w:r w:rsidR="001F3A09" w:rsidRPr="00E83269">
        <w:rPr>
          <w:rFonts w:ascii="Verdana" w:hAnsi="Verdana"/>
          <w:sz w:val="20"/>
          <w:lang w:val="en-US"/>
        </w:rPr>
        <w:t xml:space="preserve"> lands has not yet been carried out […], the Court considers that the granting of any new concessions in those territories after December 19, 2007, the date on which the Judgment was served, without the consent of the </w:t>
      </w:r>
      <w:proofErr w:type="spellStart"/>
      <w:r w:rsidR="001F3A09" w:rsidRPr="00E83269">
        <w:rPr>
          <w:rFonts w:ascii="Verdana" w:hAnsi="Verdana"/>
          <w:sz w:val="20"/>
          <w:lang w:val="en-US"/>
        </w:rPr>
        <w:t>Saramaka</w:t>
      </w:r>
      <w:proofErr w:type="spellEnd"/>
      <w:r w:rsidR="001F3A09" w:rsidRPr="00E83269">
        <w:rPr>
          <w:rFonts w:ascii="Verdana" w:hAnsi="Verdana"/>
          <w:sz w:val="20"/>
          <w:lang w:val="en-US"/>
        </w:rPr>
        <w:t xml:space="preserve"> and without prior environmental and social impact assessments, would constitute a direct contravention of the Court's decision and, accordingly, of the State's international treaty obligations</w:t>
      </w:r>
      <w:r w:rsidR="003F7BC8" w:rsidRPr="00E83269">
        <w:rPr>
          <w:rFonts w:ascii="Verdana" w:hAnsi="Verdana"/>
          <w:sz w:val="20"/>
          <w:lang w:val="en-US"/>
        </w:rPr>
        <w:t>”</w:t>
      </w:r>
      <w:r w:rsidR="00C92D9B" w:rsidRPr="00E83269">
        <w:rPr>
          <w:rStyle w:val="FootnoteReference"/>
          <w:rFonts w:ascii="Verdana" w:hAnsi="Verdana"/>
          <w:sz w:val="20"/>
          <w:lang w:val="en-US"/>
        </w:rPr>
        <w:footnoteReference w:id="28"/>
      </w:r>
      <w:r w:rsidR="001F3A09" w:rsidRPr="00E83269">
        <w:rPr>
          <w:rFonts w:ascii="Verdana" w:hAnsi="Verdana"/>
          <w:sz w:val="20"/>
          <w:lang w:val="en-US"/>
        </w:rPr>
        <w:t>.</w:t>
      </w:r>
    </w:p>
    <w:p w14:paraId="1668A03B" w14:textId="77777777" w:rsidR="00E75FEF" w:rsidRPr="001F3A09" w:rsidRDefault="00E75FEF" w:rsidP="00E75FEF">
      <w:pPr>
        <w:pStyle w:val="ListParagraph"/>
        <w:rPr>
          <w:rFonts w:ascii="Verdana" w:hAnsi="Verdana"/>
          <w:sz w:val="20"/>
          <w:lang w:val="en-US"/>
        </w:rPr>
      </w:pPr>
    </w:p>
    <w:p w14:paraId="646FC0BB" w14:textId="75F0DC3B" w:rsidR="00A6584F" w:rsidRPr="00525E62" w:rsidRDefault="00A6584F" w:rsidP="00563488">
      <w:pPr>
        <w:pStyle w:val="ListParagraph"/>
        <w:numPr>
          <w:ilvl w:val="0"/>
          <w:numId w:val="2"/>
        </w:numPr>
        <w:ind w:left="0" w:firstLine="0"/>
        <w:jc w:val="both"/>
        <w:rPr>
          <w:rFonts w:ascii="Verdana" w:hAnsi="Verdana"/>
          <w:sz w:val="20"/>
          <w:lang w:val="en-US"/>
        </w:rPr>
      </w:pPr>
      <w:r w:rsidRPr="00525E62">
        <w:rPr>
          <w:rFonts w:ascii="Verdana" w:hAnsi="Verdana"/>
          <w:sz w:val="20"/>
          <w:lang w:val="en-US"/>
        </w:rPr>
        <w:t xml:space="preserve">Based on the above, the Court considers that Suriname is </w:t>
      </w:r>
      <w:r w:rsidR="002128C8">
        <w:rPr>
          <w:rFonts w:ascii="Verdana" w:hAnsi="Verdana"/>
          <w:sz w:val="20"/>
          <w:lang w:val="en-US"/>
        </w:rPr>
        <w:t>not complying</w:t>
      </w:r>
      <w:r w:rsidRPr="00525E62">
        <w:rPr>
          <w:rFonts w:ascii="Verdana" w:hAnsi="Verdana"/>
          <w:sz w:val="20"/>
          <w:lang w:val="en-US"/>
        </w:rPr>
        <w:t xml:space="preserve"> with this measure of reparation. This is especially serious taking into account that more than seven years and nine months have elapsed since the expir</w:t>
      </w:r>
      <w:r w:rsidR="003F09C1" w:rsidRPr="00525E62">
        <w:rPr>
          <w:rFonts w:ascii="Verdana" w:hAnsi="Verdana"/>
          <w:sz w:val="20"/>
          <w:lang w:val="en-US"/>
        </w:rPr>
        <w:t>ation</w:t>
      </w:r>
      <w:r w:rsidRPr="00525E62">
        <w:rPr>
          <w:rFonts w:ascii="Verdana" w:hAnsi="Verdana"/>
          <w:sz w:val="20"/>
          <w:lang w:val="en-US"/>
        </w:rPr>
        <w:t xml:space="preserve"> of the time </w:t>
      </w:r>
      <w:r w:rsidR="003F09C1" w:rsidRPr="00525E62">
        <w:rPr>
          <w:rFonts w:ascii="Verdana" w:hAnsi="Verdana"/>
          <w:sz w:val="20"/>
          <w:lang w:val="en-US"/>
        </w:rPr>
        <w:t>limit</w:t>
      </w:r>
      <w:r w:rsidRPr="00525E62">
        <w:rPr>
          <w:rFonts w:ascii="Verdana" w:hAnsi="Verdana"/>
          <w:sz w:val="20"/>
          <w:lang w:val="en-US"/>
        </w:rPr>
        <w:t xml:space="preserve"> for complying with the measure</w:t>
      </w:r>
      <w:r w:rsidR="003F09C1" w:rsidRPr="00525E62">
        <w:rPr>
          <w:rFonts w:ascii="Verdana" w:hAnsi="Verdana"/>
          <w:sz w:val="20"/>
          <w:lang w:val="en-US"/>
        </w:rPr>
        <w:t xml:space="preserve"> established in the judgment</w:t>
      </w:r>
      <w:r w:rsidRPr="00525E62">
        <w:rPr>
          <w:rFonts w:ascii="Verdana" w:hAnsi="Verdana"/>
          <w:sz w:val="20"/>
          <w:lang w:val="en-US"/>
        </w:rPr>
        <w:t xml:space="preserve">. </w:t>
      </w:r>
    </w:p>
    <w:p w14:paraId="48EC09C6" w14:textId="77777777" w:rsidR="00563488" w:rsidRPr="00525E62" w:rsidRDefault="00563488" w:rsidP="00A6584F">
      <w:pPr>
        <w:rPr>
          <w:rFonts w:ascii="Verdana" w:hAnsi="Verdana"/>
          <w:sz w:val="20"/>
          <w:lang w:val="en-US"/>
        </w:rPr>
      </w:pPr>
    </w:p>
    <w:p w14:paraId="1B834A87" w14:textId="0722245E" w:rsidR="00A6584F" w:rsidRPr="00525E62" w:rsidRDefault="00E75FEF" w:rsidP="00563488">
      <w:pPr>
        <w:pStyle w:val="ListParagraph"/>
        <w:numPr>
          <w:ilvl w:val="0"/>
          <w:numId w:val="2"/>
        </w:numPr>
        <w:ind w:left="0" w:firstLine="0"/>
        <w:jc w:val="both"/>
        <w:rPr>
          <w:rFonts w:ascii="Verdana" w:hAnsi="Verdana"/>
          <w:sz w:val="20"/>
          <w:lang w:val="en-US"/>
        </w:rPr>
      </w:pPr>
      <w:r w:rsidRPr="00525E62">
        <w:rPr>
          <w:rFonts w:ascii="Verdana" w:hAnsi="Verdana"/>
          <w:sz w:val="20"/>
          <w:lang w:val="en-US"/>
        </w:rPr>
        <w:t>T</w:t>
      </w:r>
      <w:r w:rsidR="00A6584F" w:rsidRPr="00525E62">
        <w:rPr>
          <w:rFonts w:ascii="Verdana" w:hAnsi="Verdana"/>
          <w:sz w:val="20"/>
          <w:lang w:val="en-US"/>
        </w:rPr>
        <w:t xml:space="preserve">aking into account all the foregoing, the Court requires the State to adopt measures to put an end to the situation of non-compliance with this measure of reparation and, essentially, to proceed forthwith to delimit, demarcate and grant title </w:t>
      </w:r>
      <w:r w:rsidR="003F09C1" w:rsidRPr="00525E62">
        <w:rPr>
          <w:rFonts w:ascii="Verdana" w:hAnsi="Verdana"/>
          <w:sz w:val="20"/>
          <w:lang w:val="en-US"/>
        </w:rPr>
        <w:t>over</w:t>
      </w:r>
      <w:r w:rsidR="00A6584F" w:rsidRPr="00525E62">
        <w:rPr>
          <w:rFonts w:ascii="Verdana" w:hAnsi="Verdana"/>
          <w:sz w:val="20"/>
          <w:lang w:val="en-US"/>
        </w:rPr>
        <w:t xml:space="preserve"> the traditional lands that correspond to the Saramaka people. In this regard, the State is requ</w:t>
      </w:r>
      <w:r w:rsidR="003F09C1" w:rsidRPr="00525E62">
        <w:rPr>
          <w:rFonts w:ascii="Verdana" w:hAnsi="Verdana"/>
          <w:sz w:val="20"/>
          <w:lang w:val="en-US"/>
        </w:rPr>
        <w:t>ested</w:t>
      </w:r>
      <w:r w:rsidR="00A6584F" w:rsidRPr="00525E62">
        <w:rPr>
          <w:rFonts w:ascii="Verdana" w:hAnsi="Verdana"/>
          <w:sz w:val="20"/>
          <w:lang w:val="en-US"/>
        </w:rPr>
        <w:t xml:space="preserve"> to provide information on the measures taken to comply with this requirement.</w:t>
      </w:r>
    </w:p>
    <w:p w14:paraId="0607A596" w14:textId="1A6377AE" w:rsidR="0014747A" w:rsidRPr="00525E62" w:rsidRDefault="00B15139" w:rsidP="0040761F">
      <w:pPr>
        <w:pStyle w:val="Heading1"/>
        <w:numPr>
          <w:ilvl w:val="0"/>
          <w:numId w:val="10"/>
        </w:numPr>
        <w:rPr>
          <w:rFonts w:ascii="Verdana" w:hAnsi="Verdana"/>
          <w:color w:val="auto"/>
          <w:sz w:val="20"/>
          <w:szCs w:val="20"/>
          <w:lang w:val="en-US"/>
        </w:rPr>
      </w:pPr>
      <w:bookmarkStart w:id="31" w:name="_Toc530057347"/>
      <w:r w:rsidRPr="00525E62">
        <w:rPr>
          <w:rFonts w:ascii="Verdana" w:hAnsi="Verdana"/>
          <w:color w:val="auto"/>
          <w:sz w:val="20"/>
          <w:szCs w:val="20"/>
          <w:lang w:val="en-US"/>
        </w:rPr>
        <w:t>Other measures of reparation</w:t>
      </w:r>
      <w:bookmarkEnd w:id="31"/>
    </w:p>
    <w:p w14:paraId="6E6811EE" w14:textId="77777777" w:rsidR="0014747A" w:rsidRPr="00525E62" w:rsidRDefault="0014747A" w:rsidP="0014747A">
      <w:pPr>
        <w:jc w:val="both"/>
        <w:rPr>
          <w:rFonts w:ascii="Verdana" w:hAnsi="Verdana"/>
          <w:b/>
          <w:sz w:val="20"/>
          <w:lang w:val="en-US"/>
        </w:rPr>
      </w:pPr>
    </w:p>
    <w:p w14:paraId="657957CF" w14:textId="56411ADE" w:rsidR="00B10FEF" w:rsidRPr="00525E62" w:rsidRDefault="00A6584F" w:rsidP="0091457E">
      <w:pPr>
        <w:pStyle w:val="ListParagraph"/>
        <w:numPr>
          <w:ilvl w:val="0"/>
          <w:numId w:val="2"/>
        </w:numPr>
        <w:ind w:left="0" w:firstLine="0"/>
        <w:jc w:val="both"/>
        <w:rPr>
          <w:rFonts w:ascii="Verdana" w:hAnsi="Verdana"/>
          <w:sz w:val="20"/>
          <w:lang w:val="en-US"/>
        </w:rPr>
      </w:pPr>
      <w:bookmarkStart w:id="32" w:name="_Ref526850412"/>
      <w:r w:rsidRPr="00525E62">
        <w:rPr>
          <w:rFonts w:ascii="Verdana" w:hAnsi="Verdana"/>
          <w:sz w:val="20"/>
          <w:lang w:val="en-US"/>
        </w:rPr>
        <w:t>In addition to the measures of reparation assessed in the preceding sections, the Court ordered the following reparations in the judgment:</w:t>
      </w:r>
      <w:bookmarkEnd w:id="32"/>
    </w:p>
    <w:p w14:paraId="7666AC5D" w14:textId="77777777" w:rsidR="00B10FEF" w:rsidRPr="00525E62" w:rsidRDefault="00B10FEF" w:rsidP="00B10FEF">
      <w:pPr>
        <w:jc w:val="both"/>
        <w:rPr>
          <w:rFonts w:ascii="Verdana" w:hAnsi="Verdana"/>
          <w:sz w:val="20"/>
          <w:lang w:val="en-US"/>
        </w:rPr>
      </w:pPr>
    </w:p>
    <w:p w14:paraId="1670C105" w14:textId="4B3EC618" w:rsidR="00B10FEF" w:rsidRPr="00525E62" w:rsidRDefault="00B10FEF" w:rsidP="00627273">
      <w:pPr>
        <w:pStyle w:val="FootnoteText"/>
        <w:tabs>
          <w:tab w:val="left" w:pos="1080"/>
        </w:tabs>
        <w:ind w:left="567" w:right="616"/>
        <w:jc w:val="both"/>
        <w:rPr>
          <w:rFonts w:ascii="Verdana" w:hAnsi="Verdana"/>
          <w:sz w:val="16"/>
          <w:szCs w:val="16"/>
          <w:lang w:val="en-US"/>
        </w:rPr>
      </w:pPr>
      <w:r w:rsidRPr="00525E62">
        <w:rPr>
          <w:rFonts w:ascii="Verdana" w:hAnsi="Verdana"/>
          <w:sz w:val="16"/>
          <w:szCs w:val="16"/>
          <w:lang w:val="en-US"/>
        </w:rPr>
        <w:t>a)</w:t>
      </w:r>
      <w:r w:rsidRPr="00525E62">
        <w:rPr>
          <w:rFonts w:ascii="Verdana" w:hAnsi="Verdana"/>
          <w:sz w:val="16"/>
          <w:szCs w:val="16"/>
          <w:lang w:val="en-US"/>
        </w:rPr>
        <w:tab/>
      </w:r>
      <w:r w:rsidR="00627273" w:rsidRPr="00525E62">
        <w:rPr>
          <w:rFonts w:ascii="Verdana" w:hAnsi="Verdana" w:cs="Verdana"/>
          <w:sz w:val="16"/>
          <w:szCs w:val="16"/>
          <w:lang w:val="en-US"/>
        </w:rPr>
        <w:t>grant the members of the Saramaka people legal recognition of the collective juridical capacity, pertaining to the community to which they belong, with the purpose of ensuring the full exercise and enjoyment of their right to communal property, as well as collective access to justice, in accordance with their communal system, customary laws, and traditions</w:t>
      </w:r>
      <w:r w:rsidR="00627273" w:rsidRPr="00525E62">
        <w:rPr>
          <w:rFonts w:ascii="Verdana" w:hAnsi="Verdana"/>
          <w:i/>
          <w:sz w:val="16"/>
          <w:szCs w:val="16"/>
          <w:lang w:val="en-US"/>
        </w:rPr>
        <w:t xml:space="preserve"> </w:t>
      </w:r>
      <w:r w:rsidRPr="00525E62">
        <w:rPr>
          <w:rFonts w:ascii="Verdana" w:hAnsi="Verdana"/>
          <w:i/>
          <w:sz w:val="16"/>
          <w:szCs w:val="16"/>
          <w:lang w:val="en-US"/>
        </w:rPr>
        <w:t>(</w:t>
      </w:r>
      <w:r w:rsidR="00FB50D5" w:rsidRPr="00525E62">
        <w:rPr>
          <w:rFonts w:ascii="Verdana" w:hAnsi="Verdana"/>
          <w:i/>
          <w:sz w:val="16"/>
          <w:szCs w:val="16"/>
          <w:lang w:val="en-US"/>
        </w:rPr>
        <w:t>sixth operative paragraph</w:t>
      </w:r>
      <w:r w:rsidR="002462D1" w:rsidRPr="00525E62">
        <w:rPr>
          <w:rFonts w:ascii="Verdana" w:hAnsi="Verdana"/>
          <w:i/>
          <w:sz w:val="16"/>
          <w:szCs w:val="16"/>
          <w:lang w:val="en-US"/>
        </w:rPr>
        <w:t xml:space="preserve"> of the </w:t>
      </w:r>
      <w:r w:rsidR="00C93224" w:rsidRPr="00525E62">
        <w:rPr>
          <w:rFonts w:ascii="Verdana" w:hAnsi="Verdana"/>
          <w:i/>
          <w:sz w:val="16"/>
          <w:szCs w:val="16"/>
          <w:lang w:val="en-US"/>
        </w:rPr>
        <w:t>judgment</w:t>
      </w:r>
      <w:r w:rsidRPr="00525E62">
        <w:rPr>
          <w:rFonts w:ascii="Verdana" w:hAnsi="Verdana"/>
          <w:i/>
          <w:sz w:val="16"/>
          <w:szCs w:val="16"/>
          <w:lang w:val="en-US"/>
        </w:rPr>
        <w:t>)</w:t>
      </w:r>
      <w:r w:rsidRPr="00525E62">
        <w:rPr>
          <w:rFonts w:ascii="Verdana" w:hAnsi="Verdana"/>
          <w:sz w:val="16"/>
          <w:szCs w:val="16"/>
          <w:lang w:val="en-US"/>
        </w:rPr>
        <w:t>;</w:t>
      </w:r>
    </w:p>
    <w:p w14:paraId="7EA98EF1" w14:textId="2B06E3FB" w:rsidR="00B10FEF" w:rsidRPr="00525E62" w:rsidRDefault="00B10FEF" w:rsidP="00627273">
      <w:pPr>
        <w:pStyle w:val="FootnoteText"/>
        <w:tabs>
          <w:tab w:val="left" w:pos="1080"/>
        </w:tabs>
        <w:ind w:left="567" w:right="616"/>
        <w:jc w:val="both"/>
        <w:rPr>
          <w:rFonts w:ascii="Verdana" w:hAnsi="Verdana"/>
          <w:sz w:val="16"/>
          <w:szCs w:val="16"/>
          <w:lang w:val="en-US"/>
        </w:rPr>
      </w:pPr>
      <w:r w:rsidRPr="00525E62">
        <w:rPr>
          <w:rFonts w:ascii="Verdana" w:hAnsi="Verdana"/>
          <w:sz w:val="16"/>
          <w:szCs w:val="16"/>
          <w:lang w:val="en-US"/>
        </w:rPr>
        <w:t>b)</w:t>
      </w:r>
      <w:r w:rsidRPr="00525E62">
        <w:rPr>
          <w:rFonts w:ascii="Verdana" w:hAnsi="Verdana"/>
          <w:sz w:val="16"/>
          <w:szCs w:val="16"/>
          <w:lang w:val="en-US"/>
        </w:rPr>
        <w:tab/>
      </w:r>
      <w:r w:rsidR="00627273" w:rsidRPr="00525E62">
        <w:rPr>
          <w:rFonts w:ascii="Verdana" w:hAnsi="Verdana" w:cs="Verdana"/>
          <w:sz w:val="16"/>
          <w:szCs w:val="16"/>
          <w:lang w:val="en-US"/>
        </w:rPr>
        <w:t>remove or amend the legal provisions that impede protection of the right to property of the members of the Saramaka people and adopt, in its domestic legislation, and through prior, effective and fully informed consultations with the Saramaka people, legislative, administrative, and other measures as may be required to recognize, protect, guarantee and give legal effect to the right of the members of the Saramaka people to hold collective title of the territory they have traditionally used and occupied, which includes the lands and natural resources necessary for their social, cultural and economic survival, as well as manage, distribute, and effectively control such territory, in accordance with their customary laws and traditional collective land tenure system, and without prejudice to other tribal and indigenous communities</w:t>
      </w:r>
      <w:r w:rsidR="00627273" w:rsidRPr="00525E62">
        <w:rPr>
          <w:rFonts w:ascii="Verdana" w:hAnsi="Verdana"/>
          <w:i/>
          <w:sz w:val="16"/>
          <w:szCs w:val="16"/>
          <w:lang w:val="en-US"/>
        </w:rPr>
        <w:t xml:space="preserve"> </w:t>
      </w:r>
      <w:r w:rsidRPr="00525E62">
        <w:rPr>
          <w:rFonts w:ascii="Verdana" w:hAnsi="Verdana"/>
          <w:i/>
          <w:sz w:val="16"/>
          <w:szCs w:val="16"/>
          <w:lang w:val="en-US"/>
        </w:rPr>
        <w:t>(</w:t>
      </w:r>
      <w:r w:rsidR="00FB50D5" w:rsidRPr="00525E62">
        <w:rPr>
          <w:rFonts w:ascii="Verdana" w:hAnsi="Verdana"/>
          <w:i/>
          <w:sz w:val="16"/>
          <w:szCs w:val="16"/>
          <w:lang w:val="en-US"/>
        </w:rPr>
        <w:t>seventh operative paragraph</w:t>
      </w:r>
      <w:r w:rsidRPr="00525E62">
        <w:rPr>
          <w:rFonts w:ascii="Verdana" w:hAnsi="Verdana"/>
          <w:i/>
          <w:sz w:val="16"/>
          <w:szCs w:val="16"/>
          <w:lang w:val="en-US"/>
        </w:rPr>
        <w:t xml:space="preserve"> </w:t>
      </w:r>
      <w:r w:rsidR="002462D1" w:rsidRPr="00525E62">
        <w:rPr>
          <w:rFonts w:ascii="Verdana" w:hAnsi="Verdana"/>
          <w:i/>
          <w:sz w:val="16"/>
          <w:szCs w:val="16"/>
          <w:lang w:val="en-US"/>
        </w:rPr>
        <w:t xml:space="preserve">of the </w:t>
      </w:r>
      <w:r w:rsidR="00C93224" w:rsidRPr="00525E62">
        <w:rPr>
          <w:rFonts w:ascii="Verdana" w:hAnsi="Verdana"/>
          <w:i/>
          <w:sz w:val="16"/>
          <w:szCs w:val="16"/>
          <w:lang w:val="en-US"/>
        </w:rPr>
        <w:t>judgment</w:t>
      </w:r>
      <w:r w:rsidRPr="00525E62">
        <w:rPr>
          <w:rFonts w:ascii="Verdana" w:hAnsi="Verdana"/>
          <w:i/>
          <w:sz w:val="16"/>
          <w:szCs w:val="16"/>
          <w:lang w:val="en-US"/>
        </w:rPr>
        <w:t>)</w:t>
      </w:r>
      <w:r w:rsidRPr="00525E62">
        <w:rPr>
          <w:rFonts w:ascii="Verdana" w:hAnsi="Verdana"/>
          <w:sz w:val="16"/>
          <w:szCs w:val="16"/>
          <w:lang w:val="en-US"/>
        </w:rPr>
        <w:t>;</w:t>
      </w:r>
    </w:p>
    <w:p w14:paraId="49DDA13F" w14:textId="65804984" w:rsidR="00B10FEF" w:rsidRPr="00525E62" w:rsidRDefault="00B10FEF" w:rsidP="00627273">
      <w:pPr>
        <w:pStyle w:val="FootnoteText"/>
        <w:tabs>
          <w:tab w:val="left" w:pos="1080"/>
        </w:tabs>
        <w:ind w:left="567" w:right="616"/>
        <w:jc w:val="both"/>
        <w:rPr>
          <w:rFonts w:ascii="Verdana" w:hAnsi="Verdana" w:cs="Verdana"/>
          <w:sz w:val="16"/>
          <w:szCs w:val="16"/>
          <w:lang w:val="en-US"/>
        </w:rPr>
      </w:pPr>
      <w:r w:rsidRPr="00525E62">
        <w:rPr>
          <w:rFonts w:ascii="Verdana" w:hAnsi="Verdana"/>
          <w:sz w:val="16"/>
          <w:szCs w:val="16"/>
          <w:lang w:val="en-US"/>
        </w:rPr>
        <w:t>c)</w:t>
      </w:r>
      <w:r w:rsidRPr="00525E62">
        <w:rPr>
          <w:rFonts w:ascii="Verdana" w:hAnsi="Verdana"/>
          <w:sz w:val="16"/>
          <w:szCs w:val="16"/>
          <w:lang w:val="en-US"/>
        </w:rPr>
        <w:tab/>
      </w:r>
      <w:r w:rsidR="00627273" w:rsidRPr="00525E62">
        <w:rPr>
          <w:rFonts w:ascii="Verdana" w:hAnsi="Verdana" w:cs="Verdana"/>
          <w:sz w:val="16"/>
          <w:szCs w:val="16"/>
          <w:lang w:val="en-US"/>
        </w:rPr>
        <w:t>adopt legislative, administrative and other measures necessary to recognize and ensure the right of the Saramaka people to be effectively consulted, in accordance with their traditions and customs, or when necessary, the right to give or withhold their free, informed and prior consent, with regards to development or investment projects that may affect their territory, and to reasonably share the benefits of such projects with the members of the Saramaka people, should these be ultimately carried out</w:t>
      </w:r>
      <w:r w:rsidRPr="00525E62">
        <w:rPr>
          <w:rFonts w:ascii="Verdana" w:hAnsi="Verdana"/>
          <w:sz w:val="16"/>
          <w:szCs w:val="16"/>
          <w:lang w:val="en-US"/>
        </w:rPr>
        <w:t xml:space="preserve"> </w:t>
      </w:r>
      <w:r w:rsidRPr="00525E62">
        <w:rPr>
          <w:rFonts w:ascii="Verdana" w:hAnsi="Verdana"/>
          <w:i/>
          <w:sz w:val="16"/>
          <w:szCs w:val="16"/>
          <w:lang w:val="en-US"/>
        </w:rPr>
        <w:t>(</w:t>
      </w:r>
      <w:r w:rsidR="00627273" w:rsidRPr="00525E62">
        <w:rPr>
          <w:rFonts w:ascii="Verdana" w:hAnsi="Verdana"/>
          <w:i/>
          <w:sz w:val="16"/>
          <w:szCs w:val="16"/>
          <w:lang w:val="en-US"/>
        </w:rPr>
        <w:t>eighth o</w:t>
      </w:r>
      <w:r w:rsidR="00FB50D5" w:rsidRPr="00525E62">
        <w:rPr>
          <w:rFonts w:ascii="Verdana" w:hAnsi="Verdana"/>
          <w:i/>
          <w:sz w:val="16"/>
          <w:szCs w:val="16"/>
          <w:lang w:val="en-US"/>
        </w:rPr>
        <w:t>perative paragraph</w:t>
      </w:r>
      <w:r w:rsidR="002462D1" w:rsidRPr="00525E62">
        <w:rPr>
          <w:rFonts w:ascii="Verdana" w:hAnsi="Verdana"/>
          <w:i/>
          <w:sz w:val="16"/>
          <w:szCs w:val="16"/>
          <w:lang w:val="en-US"/>
        </w:rPr>
        <w:t xml:space="preserve"> of the </w:t>
      </w:r>
      <w:r w:rsidR="00C93224" w:rsidRPr="00525E62">
        <w:rPr>
          <w:rFonts w:ascii="Verdana" w:hAnsi="Verdana"/>
          <w:i/>
          <w:sz w:val="16"/>
          <w:szCs w:val="16"/>
          <w:lang w:val="en-US"/>
        </w:rPr>
        <w:t>judgment</w:t>
      </w:r>
      <w:r w:rsidRPr="00525E62">
        <w:rPr>
          <w:rFonts w:ascii="Verdana" w:hAnsi="Verdana"/>
          <w:i/>
          <w:sz w:val="16"/>
          <w:szCs w:val="16"/>
          <w:lang w:val="en-US"/>
        </w:rPr>
        <w:t>)</w:t>
      </w:r>
      <w:r w:rsidRPr="00525E62">
        <w:rPr>
          <w:rFonts w:ascii="Verdana" w:hAnsi="Verdana"/>
          <w:sz w:val="16"/>
          <w:szCs w:val="16"/>
          <w:lang w:val="en-US"/>
        </w:rPr>
        <w:t>;</w:t>
      </w:r>
    </w:p>
    <w:p w14:paraId="567FC4BA" w14:textId="7E3A6271" w:rsidR="00B10FEF" w:rsidRPr="00525E62" w:rsidRDefault="00B10FEF" w:rsidP="00627273">
      <w:pPr>
        <w:pStyle w:val="FootnoteText"/>
        <w:tabs>
          <w:tab w:val="left" w:pos="1080"/>
        </w:tabs>
        <w:ind w:left="567" w:right="616"/>
        <w:jc w:val="both"/>
        <w:rPr>
          <w:rFonts w:ascii="Verdana" w:hAnsi="Verdana"/>
          <w:sz w:val="16"/>
          <w:szCs w:val="16"/>
          <w:lang w:val="en-US"/>
        </w:rPr>
      </w:pPr>
      <w:r w:rsidRPr="00525E62">
        <w:rPr>
          <w:rFonts w:ascii="Verdana" w:hAnsi="Verdana"/>
          <w:sz w:val="16"/>
          <w:szCs w:val="16"/>
          <w:lang w:val="en-US"/>
        </w:rPr>
        <w:t>d)</w:t>
      </w:r>
      <w:r w:rsidRPr="00525E62">
        <w:rPr>
          <w:rFonts w:ascii="Verdana" w:hAnsi="Verdana"/>
          <w:sz w:val="16"/>
          <w:szCs w:val="16"/>
          <w:lang w:val="en-US"/>
        </w:rPr>
        <w:tab/>
      </w:r>
      <w:r w:rsidR="00627273" w:rsidRPr="00525E62">
        <w:rPr>
          <w:rFonts w:ascii="Verdana" w:hAnsi="Verdana" w:cs="Verdana"/>
          <w:sz w:val="16"/>
          <w:szCs w:val="16"/>
          <w:lang w:val="en-US"/>
        </w:rPr>
        <w:t xml:space="preserve">ensure that environmental and social impact assessments are conducted by independent and technically competent entities, prior to awarding a concession for any development or investment project within traditional Saramaka territory, and implement adequate safeguards and mechanisms in order to minimize the damaging effects such projects </w:t>
      </w:r>
      <w:r w:rsidR="00627273" w:rsidRPr="00525E62">
        <w:rPr>
          <w:rFonts w:ascii="Verdana" w:hAnsi="Verdana" w:cs="Verdana"/>
          <w:sz w:val="16"/>
          <w:szCs w:val="16"/>
          <w:lang w:val="en-US"/>
        </w:rPr>
        <w:lastRenderedPageBreak/>
        <w:t>may have upon the social, economic and cultural survival of the Saramaka people</w:t>
      </w:r>
      <w:r w:rsidR="00627273" w:rsidRPr="00525E62">
        <w:rPr>
          <w:rFonts w:ascii="Verdana" w:hAnsi="Verdana"/>
          <w:i/>
          <w:sz w:val="16"/>
          <w:szCs w:val="16"/>
          <w:lang w:val="en-US"/>
        </w:rPr>
        <w:t xml:space="preserve"> </w:t>
      </w:r>
      <w:r w:rsidRPr="00525E62">
        <w:rPr>
          <w:rFonts w:ascii="Verdana" w:hAnsi="Verdana"/>
          <w:i/>
          <w:sz w:val="16"/>
          <w:szCs w:val="16"/>
          <w:lang w:val="en-US"/>
        </w:rPr>
        <w:t>(</w:t>
      </w:r>
      <w:r w:rsidR="00627273" w:rsidRPr="00525E62">
        <w:rPr>
          <w:rFonts w:ascii="Verdana" w:hAnsi="Verdana"/>
          <w:i/>
          <w:sz w:val="16"/>
          <w:szCs w:val="16"/>
          <w:lang w:val="en-US"/>
        </w:rPr>
        <w:t>ninth o</w:t>
      </w:r>
      <w:r w:rsidR="00FB50D5" w:rsidRPr="00525E62">
        <w:rPr>
          <w:rFonts w:ascii="Verdana" w:hAnsi="Verdana"/>
          <w:i/>
          <w:sz w:val="16"/>
          <w:szCs w:val="16"/>
          <w:lang w:val="en-US"/>
        </w:rPr>
        <w:t>perative paragraph</w:t>
      </w:r>
      <w:r w:rsidRPr="00525E62">
        <w:rPr>
          <w:rFonts w:ascii="Verdana" w:hAnsi="Verdana"/>
          <w:i/>
          <w:sz w:val="16"/>
          <w:szCs w:val="16"/>
          <w:lang w:val="en-US"/>
        </w:rPr>
        <w:t xml:space="preserve"> </w:t>
      </w:r>
      <w:r w:rsidR="002462D1" w:rsidRPr="00525E62">
        <w:rPr>
          <w:rFonts w:ascii="Verdana" w:hAnsi="Verdana"/>
          <w:i/>
          <w:sz w:val="16"/>
          <w:szCs w:val="16"/>
          <w:lang w:val="en-US"/>
        </w:rPr>
        <w:t xml:space="preserve">of the </w:t>
      </w:r>
      <w:r w:rsidR="00C93224" w:rsidRPr="00525E62">
        <w:rPr>
          <w:rFonts w:ascii="Verdana" w:hAnsi="Verdana"/>
          <w:i/>
          <w:sz w:val="16"/>
          <w:szCs w:val="16"/>
          <w:lang w:val="en-US"/>
        </w:rPr>
        <w:t>judgment</w:t>
      </w:r>
      <w:r w:rsidRPr="00525E62">
        <w:rPr>
          <w:rFonts w:ascii="Verdana" w:hAnsi="Verdana"/>
          <w:i/>
          <w:sz w:val="16"/>
          <w:szCs w:val="16"/>
          <w:lang w:val="en-US"/>
        </w:rPr>
        <w:t>)</w:t>
      </w:r>
      <w:r w:rsidRPr="00525E62">
        <w:rPr>
          <w:rFonts w:ascii="Verdana" w:hAnsi="Verdana"/>
          <w:sz w:val="16"/>
          <w:szCs w:val="16"/>
          <w:lang w:val="en-US"/>
        </w:rPr>
        <w:t xml:space="preserve">; </w:t>
      </w:r>
      <w:r w:rsidR="00627273" w:rsidRPr="00525E62">
        <w:rPr>
          <w:rFonts w:ascii="Verdana" w:hAnsi="Verdana"/>
          <w:sz w:val="16"/>
          <w:szCs w:val="16"/>
          <w:lang w:val="en-US"/>
        </w:rPr>
        <w:t>and</w:t>
      </w:r>
    </w:p>
    <w:p w14:paraId="3898637B" w14:textId="24932829" w:rsidR="004F68E9" w:rsidRPr="00525E62" w:rsidRDefault="00B10FEF" w:rsidP="00627273">
      <w:pPr>
        <w:tabs>
          <w:tab w:val="left" w:pos="1080"/>
        </w:tabs>
        <w:ind w:left="567" w:right="616"/>
        <w:jc w:val="both"/>
        <w:rPr>
          <w:rFonts w:ascii="Verdana" w:hAnsi="Verdana"/>
          <w:sz w:val="20"/>
          <w:lang w:val="en-US"/>
        </w:rPr>
      </w:pPr>
      <w:r w:rsidRPr="00525E62">
        <w:rPr>
          <w:rFonts w:ascii="Verdana" w:hAnsi="Verdana"/>
          <w:sz w:val="16"/>
          <w:szCs w:val="16"/>
          <w:lang w:val="en-US"/>
        </w:rPr>
        <w:t>e)</w:t>
      </w:r>
      <w:r w:rsidRPr="00525E62">
        <w:rPr>
          <w:rFonts w:ascii="Verdana" w:hAnsi="Verdana"/>
          <w:sz w:val="16"/>
          <w:szCs w:val="16"/>
          <w:lang w:val="en-US"/>
        </w:rPr>
        <w:tab/>
      </w:r>
      <w:r w:rsidR="00627273" w:rsidRPr="00525E62">
        <w:rPr>
          <w:rFonts w:ascii="Verdana" w:hAnsi="Verdana" w:cs="Verdana"/>
          <w:sz w:val="16"/>
          <w:szCs w:val="16"/>
          <w:lang w:val="en-US"/>
        </w:rPr>
        <w:t>adopt legislative, administrative and other measures necessary to provide the members of the Saramaka people with adequate and effective recourses against acts that violate their right to the use and enjoyment of property in accordance with their communal property system</w:t>
      </w:r>
      <w:r w:rsidR="00627273" w:rsidRPr="00525E62">
        <w:rPr>
          <w:rFonts w:ascii="Verdana" w:hAnsi="Verdana"/>
          <w:i/>
          <w:sz w:val="16"/>
          <w:szCs w:val="16"/>
          <w:lang w:val="en-US"/>
        </w:rPr>
        <w:t xml:space="preserve"> </w:t>
      </w:r>
      <w:r w:rsidRPr="00525E62">
        <w:rPr>
          <w:rFonts w:ascii="Verdana" w:hAnsi="Verdana"/>
          <w:i/>
          <w:sz w:val="16"/>
          <w:szCs w:val="16"/>
          <w:lang w:val="en-US"/>
        </w:rPr>
        <w:t>(</w:t>
      </w:r>
      <w:r w:rsidR="00627273" w:rsidRPr="00525E62">
        <w:rPr>
          <w:rFonts w:ascii="Verdana" w:hAnsi="Verdana"/>
          <w:i/>
          <w:sz w:val="16"/>
          <w:szCs w:val="16"/>
          <w:lang w:val="en-US"/>
        </w:rPr>
        <w:t>tenth o</w:t>
      </w:r>
      <w:r w:rsidR="00FB50D5" w:rsidRPr="00525E62">
        <w:rPr>
          <w:rFonts w:ascii="Verdana" w:hAnsi="Verdana"/>
          <w:i/>
          <w:sz w:val="16"/>
          <w:szCs w:val="16"/>
          <w:lang w:val="en-US"/>
        </w:rPr>
        <w:t>perative paragraph</w:t>
      </w:r>
      <w:r w:rsidRPr="00525E62">
        <w:rPr>
          <w:rFonts w:ascii="Verdana" w:hAnsi="Verdana"/>
          <w:i/>
          <w:sz w:val="16"/>
          <w:szCs w:val="16"/>
          <w:lang w:val="en-US"/>
        </w:rPr>
        <w:t xml:space="preserve"> </w:t>
      </w:r>
      <w:r w:rsidR="002462D1" w:rsidRPr="00525E62">
        <w:rPr>
          <w:rFonts w:ascii="Verdana" w:hAnsi="Verdana"/>
          <w:i/>
          <w:sz w:val="16"/>
          <w:szCs w:val="16"/>
          <w:lang w:val="en-US"/>
        </w:rPr>
        <w:t xml:space="preserve">of the </w:t>
      </w:r>
      <w:r w:rsidR="00C93224" w:rsidRPr="00525E62">
        <w:rPr>
          <w:rFonts w:ascii="Verdana" w:hAnsi="Verdana"/>
          <w:i/>
          <w:sz w:val="16"/>
          <w:szCs w:val="16"/>
          <w:lang w:val="en-US"/>
        </w:rPr>
        <w:t>judgment</w:t>
      </w:r>
      <w:r w:rsidRPr="00525E62">
        <w:rPr>
          <w:rFonts w:ascii="Verdana" w:hAnsi="Verdana"/>
          <w:i/>
          <w:sz w:val="16"/>
          <w:szCs w:val="16"/>
          <w:lang w:val="en-US"/>
        </w:rPr>
        <w:t>)</w:t>
      </w:r>
      <w:r w:rsidRPr="00525E62">
        <w:rPr>
          <w:rFonts w:ascii="Verdana" w:hAnsi="Verdana"/>
          <w:sz w:val="16"/>
          <w:szCs w:val="16"/>
          <w:lang w:val="en-US"/>
        </w:rPr>
        <w:t>.</w:t>
      </w:r>
    </w:p>
    <w:p w14:paraId="5726EF8A" w14:textId="77777777" w:rsidR="00B10FEF" w:rsidRPr="00525E62" w:rsidRDefault="00B10FEF" w:rsidP="00B10FEF">
      <w:pPr>
        <w:pStyle w:val="ListParagraph"/>
        <w:ind w:left="0"/>
        <w:jc w:val="both"/>
        <w:rPr>
          <w:rFonts w:ascii="Verdana" w:hAnsi="Verdana"/>
          <w:sz w:val="20"/>
          <w:lang w:val="en-US"/>
        </w:rPr>
      </w:pPr>
    </w:p>
    <w:p w14:paraId="714A7FF9" w14:textId="68A11065" w:rsidR="00674FA7" w:rsidRPr="00525E62" w:rsidRDefault="00627273" w:rsidP="00404BD4">
      <w:pPr>
        <w:pStyle w:val="ListParagraph"/>
        <w:numPr>
          <w:ilvl w:val="0"/>
          <w:numId w:val="2"/>
        </w:numPr>
        <w:ind w:left="0" w:firstLine="0"/>
        <w:jc w:val="both"/>
        <w:rPr>
          <w:rFonts w:ascii="Verdana" w:hAnsi="Verdana"/>
          <w:sz w:val="20"/>
          <w:lang w:val="en-US"/>
        </w:rPr>
      </w:pPr>
      <w:r w:rsidRPr="00525E62">
        <w:rPr>
          <w:rFonts w:ascii="Verdana" w:hAnsi="Verdana"/>
          <w:sz w:val="20"/>
          <w:lang w:val="en-US"/>
        </w:rPr>
        <w:t xml:space="preserve">In its </w:t>
      </w:r>
      <w:r w:rsidR="003F09C1" w:rsidRPr="00525E62">
        <w:rPr>
          <w:rFonts w:ascii="Verdana" w:hAnsi="Verdana"/>
          <w:sz w:val="20"/>
          <w:lang w:val="en-US"/>
        </w:rPr>
        <w:t xml:space="preserve">2011 </w:t>
      </w:r>
      <w:r w:rsidRPr="00525E62">
        <w:rPr>
          <w:rFonts w:ascii="Verdana" w:hAnsi="Verdana"/>
          <w:sz w:val="20"/>
          <w:lang w:val="en-US"/>
        </w:rPr>
        <w:t>order, the Court noted that the State had not present</w:t>
      </w:r>
      <w:r w:rsidR="003F09C1" w:rsidRPr="00525E62">
        <w:rPr>
          <w:rFonts w:ascii="Verdana" w:hAnsi="Verdana"/>
          <w:sz w:val="20"/>
          <w:lang w:val="en-US"/>
        </w:rPr>
        <w:t>ed</w:t>
      </w:r>
      <w:r w:rsidRPr="00525E62">
        <w:rPr>
          <w:rFonts w:ascii="Verdana" w:hAnsi="Verdana"/>
          <w:sz w:val="20"/>
          <w:lang w:val="en-US"/>
        </w:rPr>
        <w:t xml:space="preserve"> relevant information regarding the said measures.</w:t>
      </w:r>
      <w:r w:rsidR="0099721E" w:rsidRPr="00525E62">
        <w:rPr>
          <w:rStyle w:val="FootnoteReference"/>
          <w:rFonts w:ascii="Verdana" w:hAnsi="Verdana"/>
          <w:sz w:val="20"/>
          <w:lang w:val="en-US"/>
        </w:rPr>
        <w:footnoteReference w:id="29"/>
      </w:r>
    </w:p>
    <w:p w14:paraId="5D572B41" w14:textId="77777777" w:rsidR="00404BD4" w:rsidRPr="00525E62" w:rsidRDefault="00404BD4" w:rsidP="00EF48AB">
      <w:pPr>
        <w:pStyle w:val="ListParagraph"/>
        <w:ind w:left="0"/>
        <w:jc w:val="both"/>
        <w:rPr>
          <w:rFonts w:ascii="Verdana" w:hAnsi="Verdana"/>
          <w:sz w:val="20"/>
          <w:lang w:val="en-US"/>
        </w:rPr>
      </w:pPr>
    </w:p>
    <w:p w14:paraId="2984B845" w14:textId="7D89A4F7" w:rsidR="00681938" w:rsidRPr="00E83269" w:rsidRDefault="00C93224" w:rsidP="0091457E">
      <w:pPr>
        <w:pStyle w:val="ListParagraph"/>
        <w:numPr>
          <w:ilvl w:val="0"/>
          <w:numId w:val="2"/>
        </w:numPr>
        <w:ind w:left="0" w:firstLine="0"/>
        <w:jc w:val="both"/>
        <w:rPr>
          <w:rFonts w:ascii="Verdana" w:hAnsi="Verdana"/>
          <w:sz w:val="20"/>
          <w:lang w:val="en-US"/>
        </w:rPr>
      </w:pPr>
      <w:r w:rsidRPr="00E83269">
        <w:rPr>
          <w:rFonts w:ascii="Verdana" w:hAnsi="Verdana"/>
          <w:sz w:val="20"/>
          <w:lang w:val="en-US"/>
        </w:rPr>
        <w:t>The Court</w:t>
      </w:r>
      <w:r w:rsidR="00681938" w:rsidRPr="00E83269">
        <w:rPr>
          <w:rFonts w:ascii="Verdana" w:hAnsi="Verdana"/>
          <w:sz w:val="20"/>
          <w:lang w:val="en-US"/>
        </w:rPr>
        <w:t xml:space="preserve"> </w:t>
      </w:r>
      <w:r w:rsidR="00627273" w:rsidRPr="00E83269">
        <w:rPr>
          <w:rFonts w:ascii="Verdana" w:hAnsi="Verdana"/>
          <w:sz w:val="20"/>
          <w:lang w:val="en-US"/>
        </w:rPr>
        <w:t xml:space="preserve">will refer, first, to the arguments submitted by the State in 2013 </w:t>
      </w:r>
      <w:r w:rsidR="00786FBB" w:rsidRPr="00E83269">
        <w:rPr>
          <w:rFonts w:ascii="Verdana" w:hAnsi="Verdana"/>
          <w:sz w:val="20"/>
          <w:lang w:val="en-US"/>
        </w:rPr>
        <w:t>concern</w:t>
      </w:r>
      <w:r w:rsidR="00627273" w:rsidRPr="00E83269">
        <w:rPr>
          <w:rFonts w:ascii="Verdana" w:hAnsi="Verdana"/>
          <w:sz w:val="20"/>
          <w:lang w:val="en-US"/>
        </w:rPr>
        <w:t xml:space="preserve">ing alleged obstacles to compliance with the said measures of reparation arising from its domestic laws </w:t>
      </w:r>
      <w:r w:rsidR="00681938" w:rsidRPr="00E83269">
        <w:rPr>
          <w:rFonts w:ascii="Verdana" w:hAnsi="Verdana"/>
          <w:sz w:val="20"/>
          <w:lang w:val="en-US"/>
        </w:rPr>
        <w:t>(</w:t>
      </w:r>
      <w:r w:rsidR="00681938" w:rsidRPr="00E83269">
        <w:rPr>
          <w:rFonts w:ascii="Verdana" w:hAnsi="Verdana"/>
          <w:i/>
          <w:sz w:val="20"/>
          <w:lang w:val="en-US"/>
        </w:rPr>
        <w:t>infra</w:t>
      </w:r>
      <w:r w:rsidR="00681938" w:rsidRPr="00E83269">
        <w:rPr>
          <w:rFonts w:ascii="Verdana" w:hAnsi="Verdana"/>
          <w:sz w:val="20"/>
          <w:lang w:val="en-US"/>
        </w:rPr>
        <w:t xml:space="preserve"> </w:t>
      </w:r>
      <w:proofErr w:type="spellStart"/>
      <w:r w:rsidR="007F7CF1" w:rsidRPr="00E83269">
        <w:rPr>
          <w:rFonts w:ascii="Verdana" w:hAnsi="Verdana"/>
          <w:i/>
          <w:sz w:val="20"/>
          <w:lang w:val="en-US"/>
        </w:rPr>
        <w:t>considerand</w:t>
      </w:r>
      <w:r w:rsidR="00627273" w:rsidRPr="00E83269">
        <w:rPr>
          <w:rFonts w:ascii="Verdana" w:hAnsi="Verdana"/>
          <w:i/>
          <w:sz w:val="20"/>
          <w:lang w:val="en-US"/>
        </w:rPr>
        <w:t>a</w:t>
      </w:r>
      <w:proofErr w:type="spellEnd"/>
      <w:r w:rsidR="00681938"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_Ref530057626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37</w:t>
      </w:r>
      <w:r w:rsidR="001413FA">
        <w:rPr>
          <w:rFonts w:ascii="Verdana" w:hAnsi="Verdana"/>
          <w:sz w:val="20"/>
          <w:lang w:val="en-US"/>
        </w:rPr>
        <w:fldChar w:fldCharType="end"/>
      </w:r>
      <w:r w:rsidR="00681938" w:rsidRPr="00E83269">
        <w:rPr>
          <w:rFonts w:ascii="Verdana" w:hAnsi="Verdana"/>
          <w:sz w:val="20"/>
          <w:lang w:val="en-US"/>
        </w:rPr>
        <w:t xml:space="preserve"> </w:t>
      </w:r>
      <w:r w:rsidR="00627273" w:rsidRPr="00E83269">
        <w:rPr>
          <w:rFonts w:ascii="Verdana" w:hAnsi="Verdana"/>
          <w:sz w:val="20"/>
          <w:lang w:val="en-US"/>
        </w:rPr>
        <w:t>to</w:t>
      </w:r>
      <w:r w:rsidR="00681938"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_Ref526763788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39</w:t>
      </w:r>
      <w:r w:rsidR="001413FA">
        <w:rPr>
          <w:rFonts w:ascii="Verdana" w:hAnsi="Verdana"/>
          <w:sz w:val="20"/>
          <w:lang w:val="en-US"/>
        </w:rPr>
        <w:fldChar w:fldCharType="end"/>
      </w:r>
      <w:r w:rsidR="00681938" w:rsidRPr="00E83269">
        <w:rPr>
          <w:rFonts w:ascii="Verdana" w:hAnsi="Verdana"/>
          <w:sz w:val="20"/>
          <w:lang w:val="en-US"/>
        </w:rPr>
        <w:t>)</w:t>
      </w:r>
      <w:r w:rsidR="00374CE5" w:rsidRPr="00E83269">
        <w:rPr>
          <w:rFonts w:ascii="Verdana" w:hAnsi="Verdana"/>
          <w:sz w:val="20"/>
          <w:lang w:val="en-US"/>
        </w:rPr>
        <w:t xml:space="preserve"> </w:t>
      </w:r>
      <w:r w:rsidR="00627273" w:rsidRPr="00E83269">
        <w:rPr>
          <w:rFonts w:ascii="Verdana" w:hAnsi="Verdana"/>
          <w:sz w:val="20"/>
          <w:lang w:val="en-US"/>
        </w:rPr>
        <w:t xml:space="preserve">and to the supposed </w:t>
      </w:r>
      <w:r w:rsidR="00374CE5" w:rsidRPr="00E83269">
        <w:rPr>
          <w:rFonts w:ascii="Verdana" w:hAnsi="Verdana"/>
          <w:sz w:val="20"/>
          <w:lang w:val="en-US"/>
        </w:rPr>
        <w:t>“</w:t>
      </w:r>
      <w:r w:rsidR="001F3A09" w:rsidRPr="00E83269">
        <w:rPr>
          <w:rFonts w:ascii="Verdana" w:hAnsi="Verdana"/>
          <w:sz w:val="20"/>
          <w:lang w:val="en-US"/>
        </w:rPr>
        <w:t>internal conflicts</w:t>
      </w:r>
      <w:r w:rsidR="00374CE5" w:rsidRPr="00E83269">
        <w:rPr>
          <w:rFonts w:ascii="Verdana" w:hAnsi="Verdana"/>
          <w:sz w:val="20"/>
          <w:lang w:val="en-US"/>
        </w:rPr>
        <w:t>”</w:t>
      </w:r>
      <w:r w:rsidR="00627273" w:rsidRPr="00E83269">
        <w:rPr>
          <w:rFonts w:ascii="Verdana" w:hAnsi="Verdana"/>
          <w:sz w:val="20"/>
          <w:lang w:val="en-US"/>
        </w:rPr>
        <w:t xml:space="preserve"> within the </w:t>
      </w:r>
      <w:proofErr w:type="spellStart"/>
      <w:r w:rsidR="00627273" w:rsidRPr="00E83269">
        <w:rPr>
          <w:rFonts w:ascii="Verdana" w:hAnsi="Verdana"/>
          <w:sz w:val="20"/>
          <w:lang w:val="en-US"/>
        </w:rPr>
        <w:t>Saramaka</w:t>
      </w:r>
      <w:proofErr w:type="spellEnd"/>
      <w:r w:rsidR="00627273" w:rsidRPr="00E83269">
        <w:rPr>
          <w:rFonts w:ascii="Verdana" w:hAnsi="Verdana"/>
          <w:sz w:val="20"/>
          <w:lang w:val="en-US"/>
        </w:rPr>
        <w:t xml:space="preserve"> themselves </w:t>
      </w:r>
      <w:r w:rsidR="00374CE5" w:rsidRPr="00E83269">
        <w:rPr>
          <w:rFonts w:ascii="Verdana" w:hAnsi="Verdana"/>
          <w:sz w:val="20"/>
          <w:lang w:val="en-US"/>
        </w:rPr>
        <w:t>(</w:t>
      </w:r>
      <w:r w:rsidR="00374CE5" w:rsidRPr="00E83269">
        <w:rPr>
          <w:rFonts w:ascii="Verdana" w:hAnsi="Verdana"/>
          <w:i/>
          <w:sz w:val="20"/>
          <w:lang w:val="en-US"/>
        </w:rPr>
        <w:t>infra</w:t>
      </w:r>
      <w:r w:rsidR="00374CE5" w:rsidRPr="00E83269">
        <w:rPr>
          <w:rFonts w:ascii="Verdana" w:hAnsi="Verdana"/>
          <w:sz w:val="20"/>
          <w:lang w:val="en-US"/>
        </w:rPr>
        <w:t xml:space="preserve"> </w:t>
      </w:r>
      <w:proofErr w:type="spellStart"/>
      <w:r w:rsidR="007F7CF1" w:rsidRPr="00E83269">
        <w:rPr>
          <w:rFonts w:ascii="Verdana" w:hAnsi="Verdana"/>
          <w:i/>
          <w:sz w:val="20"/>
          <w:lang w:val="en-US"/>
        </w:rPr>
        <w:t>considerandum</w:t>
      </w:r>
      <w:proofErr w:type="spellEnd"/>
      <w:r w:rsidR="00374CE5"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_Ref528141244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40</w:t>
      </w:r>
      <w:r w:rsidR="001413FA">
        <w:rPr>
          <w:rFonts w:ascii="Verdana" w:hAnsi="Verdana"/>
          <w:sz w:val="20"/>
          <w:lang w:val="en-US"/>
        </w:rPr>
        <w:fldChar w:fldCharType="end"/>
      </w:r>
      <w:r w:rsidR="005F6A48" w:rsidRPr="00E83269">
        <w:rPr>
          <w:rFonts w:ascii="Verdana" w:hAnsi="Verdana"/>
          <w:sz w:val="20"/>
          <w:lang w:val="en-US"/>
        </w:rPr>
        <w:t xml:space="preserve">). </w:t>
      </w:r>
      <w:r w:rsidR="00627273" w:rsidRPr="00E83269">
        <w:rPr>
          <w:rFonts w:ascii="Verdana" w:hAnsi="Verdana"/>
          <w:sz w:val="20"/>
          <w:lang w:val="en-US"/>
        </w:rPr>
        <w:t>Subsequently, the Court will refer to the lack of information</w:t>
      </w:r>
      <w:r w:rsidR="00786FBB" w:rsidRPr="00E83269">
        <w:rPr>
          <w:rFonts w:ascii="Verdana" w:hAnsi="Verdana"/>
          <w:sz w:val="20"/>
          <w:lang w:val="en-US"/>
        </w:rPr>
        <w:t xml:space="preserve"> between 2011 and 2018</w:t>
      </w:r>
      <w:r w:rsidR="00627273" w:rsidRPr="00E83269">
        <w:rPr>
          <w:rFonts w:ascii="Verdana" w:hAnsi="Verdana"/>
          <w:sz w:val="20"/>
          <w:lang w:val="en-US"/>
        </w:rPr>
        <w:t xml:space="preserve"> that would allow it to assess the degree of compliance with the said measures of reparation </w:t>
      </w:r>
      <w:r w:rsidR="00681938" w:rsidRPr="00E83269">
        <w:rPr>
          <w:rFonts w:ascii="Verdana" w:hAnsi="Verdana"/>
          <w:sz w:val="20"/>
          <w:lang w:val="en-US"/>
        </w:rPr>
        <w:t>(</w:t>
      </w:r>
      <w:r w:rsidR="00681938" w:rsidRPr="00E83269">
        <w:rPr>
          <w:rFonts w:ascii="Verdana" w:hAnsi="Verdana"/>
          <w:i/>
          <w:sz w:val="20"/>
          <w:lang w:val="en-US"/>
        </w:rPr>
        <w:t>infra</w:t>
      </w:r>
      <w:r w:rsidR="00681938" w:rsidRPr="00E83269">
        <w:rPr>
          <w:rFonts w:ascii="Verdana" w:hAnsi="Verdana"/>
          <w:sz w:val="20"/>
          <w:lang w:val="en-US"/>
        </w:rPr>
        <w:t xml:space="preserve"> </w:t>
      </w:r>
      <w:proofErr w:type="spellStart"/>
      <w:r w:rsidR="007F7CF1" w:rsidRPr="00E83269">
        <w:rPr>
          <w:rFonts w:ascii="Verdana" w:hAnsi="Verdana"/>
          <w:i/>
          <w:sz w:val="20"/>
          <w:lang w:val="en-US"/>
        </w:rPr>
        <w:t>considerand</w:t>
      </w:r>
      <w:r w:rsidR="00627273" w:rsidRPr="00E83269">
        <w:rPr>
          <w:rFonts w:ascii="Verdana" w:hAnsi="Verdana"/>
          <w:i/>
          <w:sz w:val="20"/>
          <w:lang w:val="en-US"/>
        </w:rPr>
        <w:t>a</w:t>
      </w:r>
      <w:proofErr w:type="spellEnd"/>
      <w:r w:rsidR="00681938"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_Ref530057664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44</w:t>
      </w:r>
      <w:r w:rsidR="001413FA">
        <w:rPr>
          <w:rFonts w:ascii="Verdana" w:hAnsi="Verdana"/>
          <w:sz w:val="20"/>
          <w:lang w:val="en-US"/>
        </w:rPr>
        <w:fldChar w:fldCharType="end"/>
      </w:r>
      <w:r w:rsidR="00DA303E" w:rsidRPr="00E83269">
        <w:rPr>
          <w:rFonts w:ascii="Verdana" w:hAnsi="Verdana"/>
          <w:sz w:val="20"/>
          <w:lang w:val="en-US"/>
        </w:rPr>
        <w:t xml:space="preserve"> a</w:t>
      </w:r>
      <w:r w:rsidR="00627273" w:rsidRPr="00E83269">
        <w:rPr>
          <w:rFonts w:ascii="Verdana" w:hAnsi="Verdana"/>
          <w:sz w:val="20"/>
          <w:lang w:val="en-US"/>
        </w:rPr>
        <w:t>nd</w:t>
      </w:r>
      <w:r w:rsidR="00DA303E"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_Ref530057672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45</w:t>
      </w:r>
      <w:r w:rsidR="001413FA">
        <w:rPr>
          <w:rFonts w:ascii="Verdana" w:hAnsi="Verdana"/>
          <w:sz w:val="20"/>
          <w:lang w:val="en-US"/>
        </w:rPr>
        <w:fldChar w:fldCharType="end"/>
      </w:r>
      <w:r w:rsidR="00681938" w:rsidRPr="00E83269">
        <w:rPr>
          <w:rFonts w:ascii="Verdana" w:hAnsi="Verdana"/>
          <w:sz w:val="20"/>
          <w:lang w:val="en-US"/>
        </w:rPr>
        <w:t xml:space="preserve">). </w:t>
      </w:r>
    </w:p>
    <w:p w14:paraId="639DFC9E" w14:textId="77777777" w:rsidR="00681938" w:rsidRPr="00525E62" w:rsidRDefault="00681938" w:rsidP="00681938">
      <w:pPr>
        <w:pStyle w:val="ListParagraph"/>
        <w:ind w:left="0"/>
        <w:jc w:val="both"/>
        <w:rPr>
          <w:rFonts w:ascii="Verdana" w:hAnsi="Verdana"/>
          <w:sz w:val="20"/>
          <w:lang w:val="en-US"/>
        </w:rPr>
      </w:pPr>
    </w:p>
    <w:p w14:paraId="598D46E0" w14:textId="4E37FAAC" w:rsidR="00365F53" w:rsidRPr="00E83269" w:rsidRDefault="00786FBB" w:rsidP="00627273">
      <w:pPr>
        <w:pStyle w:val="ListParagraph"/>
        <w:numPr>
          <w:ilvl w:val="0"/>
          <w:numId w:val="2"/>
        </w:numPr>
        <w:ind w:left="0" w:firstLine="0"/>
        <w:jc w:val="both"/>
        <w:rPr>
          <w:rFonts w:ascii="Verdana" w:hAnsi="Verdana"/>
          <w:sz w:val="20"/>
          <w:lang w:val="en-US"/>
        </w:rPr>
      </w:pPr>
      <w:bookmarkStart w:id="33" w:name="_Ref530057626"/>
      <w:bookmarkStart w:id="34" w:name="_Ref526763780"/>
      <w:r w:rsidRPr="00E83269">
        <w:rPr>
          <w:rFonts w:ascii="Verdana" w:hAnsi="Verdana"/>
          <w:sz w:val="20"/>
          <w:lang w:val="en-US"/>
        </w:rPr>
        <w:t>In</w:t>
      </w:r>
      <w:r w:rsidR="00374CE5" w:rsidRPr="00E83269">
        <w:rPr>
          <w:rFonts w:ascii="Verdana" w:hAnsi="Verdana"/>
          <w:sz w:val="20"/>
          <w:lang w:val="en-US"/>
        </w:rPr>
        <w:t xml:space="preserve"> 2013, </w:t>
      </w:r>
      <w:r w:rsidR="005D679B" w:rsidRPr="00E83269">
        <w:rPr>
          <w:rFonts w:ascii="Verdana" w:hAnsi="Verdana"/>
          <w:sz w:val="20"/>
          <w:lang w:val="en-US"/>
        </w:rPr>
        <w:t>the State</w:t>
      </w:r>
      <w:r w:rsidR="00374CE5" w:rsidRPr="00E83269">
        <w:rPr>
          <w:rFonts w:ascii="Verdana" w:hAnsi="Verdana"/>
          <w:sz w:val="20"/>
          <w:lang w:val="en-US"/>
        </w:rPr>
        <w:t xml:space="preserve"> </w:t>
      </w:r>
      <w:r w:rsidR="00627273" w:rsidRPr="00E83269">
        <w:rPr>
          <w:rFonts w:ascii="Verdana" w:hAnsi="Verdana"/>
          <w:sz w:val="20"/>
          <w:lang w:val="en-US"/>
        </w:rPr>
        <w:t xml:space="preserve">referred to supposed obstacles to compliance with </w:t>
      </w:r>
      <w:r w:rsidR="002462D1" w:rsidRPr="00E83269">
        <w:rPr>
          <w:rFonts w:ascii="Verdana" w:hAnsi="Verdana"/>
          <w:sz w:val="20"/>
          <w:lang w:val="en-US"/>
        </w:rPr>
        <w:t xml:space="preserve">the </w:t>
      </w:r>
      <w:r w:rsidR="00C93224" w:rsidRPr="00E83269">
        <w:rPr>
          <w:rFonts w:ascii="Verdana" w:hAnsi="Verdana"/>
          <w:sz w:val="20"/>
          <w:lang w:val="en-US"/>
        </w:rPr>
        <w:t>judgment</w:t>
      </w:r>
      <w:r w:rsidR="00374CE5" w:rsidRPr="00E83269">
        <w:rPr>
          <w:rFonts w:ascii="Verdana" w:hAnsi="Verdana"/>
          <w:sz w:val="20"/>
          <w:lang w:val="en-US"/>
        </w:rPr>
        <w:t xml:space="preserve"> deriv</w:t>
      </w:r>
      <w:r w:rsidR="00627273" w:rsidRPr="00E83269">
        <w:rPr>
          <w:rFonts w:ascii="Verdana" w:hAnsi="Verdana"/>
          <w:sz w:val="20"/>
          <w:lang w:val="en-US"/>
        </w:rPr>
        <w:t>ed from its domestic laws. In the private hearing held in May of that year, it asked</w:t>
      </w:r>
      <w:r w:rsidR="00307C88" w:rsidRPr="00E83269">
        <w:rPr>
          <w:rFonts w:ascii="Verdana" w:hAnsi="Verdana"/>
          <w:sz w:val="20"/>
          <w:lang w:val="en-US"/>
        </w:rPr>
        <w:t xml:space="preserve"> “</w:t>
      </w:r>
      <w:r w:rsidR="00064ACF" w:rsidRPr="00E83269">
        <w:rPr>
          <w:rFonts w:ascii="Verdana" w:hAnsi="Verdana"/>
          <w:sz w:val="20"/>
          <w:lang w:val="en-US"/>
        </w:rPr>
        <w:t xml:space="preserve">how can the State amend its legislation to following redistrict content as dictated in the </w:t>
      </w:r>
      <w:proofErr w:type="spellStart"/>
      <w:r w:rsidR="00064ACF" w:rsidRPr="00E83269">
        <w:rPr>
          <w:rFonts w:ascii="Verdana" w:hAnsi="Verdana"/>
          <w:sz w:val="20"/>
          <w:lang w:val="en-US"/>
        </w:rPr>
        <w:t>Saramaka</w:t>
      </w:r>
      <w:proofErr w:type="spellEnd"/>
      <w:r w:rsidR="00064ACF" w:rsidRPr="00E83269">
        <w:rPr>
          <w:rFonts w:ascii="Verdana" w:hAnsi="Verdana"/>
          <w:sz w:val="20"/>
          <w:lang w:val="en-US"/>
        </w:rPr>
        <w:t xml:space="preserve"> judgement, while taking into account, one the national interest of the entire population within our territory and second the principles and regulations of our </w:t>
      </w:r>
      <w:proofErr w:type="spellStart"/>
      <w:r w:rsidR="00064ACF" w:rsidRPr="00E83269">
        <w:rPr>
          <w:rFonts w:ascii="Verdana" w:hAnsi="Verdana"/>
          <w:sz w:val="20"/>
          <w:lang w:val="en-US"/>
        </w:rPr>
        <w:t>Parlamentary</w:t>
      </w:r>
      <w:proofErr w:type="spellEnd"/>
      <w:r w:rsidR="00064ACF" w:rsidRPr="00E83269">
        <w:rPr>
          <w:rFonts w:ascii="Verdana" w:hAnsi="Verdana"/>
          <w:sz w:val="20"/>
          <w:lang w:val="en-US"/>
        </w:rPr>
        <w:t xml:space="preserve"> democracy?</w:t>
      </w:r>
      <w:r w:rsidR="009F412E" w:rsidRPr="00E83269">
        <w:rPr>
          <w:rFonts w:ascii="Verdana" w:hAnsi="Verdana"/>
          <w:sz w:val="20"/>
          <w:lang w:val="en-US"/>
        </w:rPr>
        <w:t>”</w:t>
      </w:r>
      <w:r w:rsidR="00307C88" w:rsidRPr="00E83269">
        <w:rPr>
          <w:rFonts w:ascii="Verdana" w:hAnsi="Verdana"/>
          <w:sz w:val="20"/>
          <w:lang w:val="en-US"/>
        </w:rPr>
        <w:t xml:space="preserve"> </w:t>
      </w:r>
      <w:r w:rsidR="00627273" w:rsidRPr="00E83269">
        <w:rPr>
          <w:rFonts w:ascii="Verdana" w:hAnsi="Verdana"/>
          <w:sz w:val="20"/>
          <w:lang w:val="en-US"/>
        </w:rPr>
        <w:t xml:space="preserve">It also </w:t>
      </w:r>
      <w:r w:rsidR="003454F4" w:rsidRPr="00E83269">
        <w:rPr>
          <w:rFonts w:ascii="Verdana" w:hAnsi="Verdana"/>
          <w:sz w:val="20"/>
          <w:lang w:val="en-US"/>
        </w:rPr>
        <w:t xml:space="preserve">indicated that </w:t>
      </w:r>
      <w:r w:rsidR="0041779C" w:rsidRPr="00E83269">
        <w:rPr>
          <w:rFonts w:ascii="Verdana" w:hAnsi="Verdana"/>
          <w:sz w:val="20"/>
          <w:lang w:val="en-US"/>
        </w:rPr>
        <w:t>“</w:t>
      </w:r>
      <w:r w:rsidR="00064ACF" w:rsidRPr="00E83269">
        <w:rPr>
          <w:rFonts w:ascii="Verdana" w:hAnsi="Verdana"/>
          <w:sz w:val="20"/>
          <w:lang w:val="en-US"/>
        </w:rPr>
        <w:t>certain aspects of the judgement also implicate that the State should demand the Constitution</w:t>
      </w:r>
      <w:r w:rsidR="0041779C" w:rsidRPr="00E83269">
        <w:rPr>
          <w:rFonts w:ascii="Verdana" w:hAnsi="Verdana"/>
          <w:sz w:val="20"/>
          <w:lang w:val="en-US"/>
        </w:rPr>
        <w:t>”</w:t>
      </w:r>
      <w:r w:rsidR="008E0A03" w:rsidRPr="00E83269">
        <w:rPr>
          <w:rFonts w:ascii="Verdana" w:hAnsi="Verdana"/>
          <w:sz w:val="20"/>
          <w:lang w:val="en-US"/>
        </w:rPr>
        <w:t xml:space="preserve">, </w:t>
      </w:r>
      <w:r w:rsidR="003454F4" w:rsidRPr="00E83269">
        <w:rPr>
          <w:rFonts w:ascii="Verdana" w:hAnsi="Verdana"/>
          <w:sz w:val="20"/>
          <w:lang w:val="en-US"/>
        </w:rPr>
        <w:t>and emphasized</w:t>
      </w:r>
      <w:r w:rsidR="0041779C" w:rsidRPr="00E83269">
        <w:rPr>
          <w:rFonts w:ascii="Verdana" w:hAnsi="Verdana"/>
          <w:sz w:val="20"/>
          <w:lang w:val="en-US"/>
        </w:rPr>
        <w:t xml:space="preserve"> </w:t>
      </w:r>
      <w:r w:rsidR="003454F4" w:rsidRPr="00E83269">
        <w:rPr>
          <w:rFonts w:ascii="Verdana" w:hAnsi="Verdana"/>
          <w:sz w:val="20"/>
          <w:lang w:val="en-US"/>
        </w:rPr>
        <w:t>that</w:t>
      </w:r>
      <w:r w:rsidR="0041779C" w:rsidRPr="00E83269">
        <w:rPr>
          <w:rFonts w:ascii="Verdana" w:hAnsi="Verdana"/>
          <w:sz w:val="20"/>
          <w:lang w:val="en-US"/>
        </w:rPr>
        <w:t xml:space="preserve"> “</w:t>
      </w:r>
      <w:r w:rsidR="00064ACF" w:rsidRPr="00E83269">
        <w:rPr>
          <w:rFonts w:ascii="Verdana" w:hAnsi="Verdana"/>
          <w:sz w:val="20"/>
          <w:lang w:val="en-US"/>
        </w:rPr>
        <w:t>carrying out any changes of fundamental nature to the Constitution will thus require a referendum</w:t>
      </w:r>
      <w:r w:rsidR="008E0A03" w:rsidRPr="00E83269">
        <w:rPr>
          <w:rFonts w:ascii="Verdana" w:hAnsi="Verdana"/>
          <w:sz w:val="20"/>
          <w:lang w:val="en-US"/>
        </w:rPr>
        <w:t xml:space="preserve">”. </w:t>
      </w:r>
      <w:r w:rsidR="003454F4" w:rsidRPr="00E83269">
        <w:rPr>
          <w:rFonts w:ascii="Verdana" w:hAnsi="Verdana"/>
          <w:sz w:val="20"/>
          <w:lang w:val="en-US"/>
        </w:rPr>
        <w:t xml:space="preserve">In its report of July 2013, Suriname indicated that </w:t>
      </w:r>
      <w:r w:rsidR="00D40921" w:rsidRPr="00E83269">
        <w:rPr>
          <w:rFonts w:ascii="Verdana" w:hAnsi="Verdana"/>
          <w:sz w:val="20"/>
          <w:lang w:val="en-US"/>
        </w:rPr>
        <w:t>“[</w:t>
      </w:r>
      <w:proofErr w:type="spellStart"/>
      <w:r w:rsidR="00A62687" w:rsidRPr="00E83269">
        <w:rPr>
          <w:rFonts w:ascii="Verdana" w:hAnsi="Verdana"/>
          <w:sz w:val="20"/>
          <w:lang w:val="en-US"/>
        </w:rPr>
        <w:t>i</w:t>
      </w:r>
      <w:proofErr w:type="spellEnd"/>
      <w:r w:rsidR="00D40921" w:rsidRPr="00E83269">
        <w:rPr>
          <w:rFonts w:ascii="Verdana" w:hAnsi="Verdana"/>
          <w:sz w:val="20"/>
          <w:lang w:val="en-US"/>
        </w:rPr>
        <w:t>]n pr</w:t>
      </w:r>
      <w:r w:rsidR="00A62687" w:rsidRPr="00E83269">
        <w:rPr>
          <w:rFonts w:ascii="Verdana" w:hAnsi="Verdana"/>
          <w:sz w:val="20"/>
          <w:lang w:val="en-US"/>
        </w:rPr>
        <w:t xml:space="preserve">actice the implementation of certain parts of the judgement, especially those relating to legislation, appeared to be very complicated and almost </w:t>
      </w:r>
      <w:proofErr w:type="spellStart"/>
      <w:r w:rsidR="00A62687" w:rsidRPr="00E83269">
        <w:rPr>
          <w:rFonts w:ascii="Verdana" w:hAnsi="Verdana"/>
          <w:sz w:val="20"/>
          <w:lang w:val="en-US"/>
        </w:rPr>
        <w:t>unfeasable</w:t>
      </w:r>
      <w:proofErr w:type="spellEnd"/>
      <w:r w:rsidR="00DA303E" w:rsidRPr="00E83269">
        <w:rPr>
          <w:rFonts w:ascii="Verdana" w:hAnsi="Verdana"/>
          <w:sz w:val="20"/>
          <w:lang w:val="en-US"/>
        </w:rPr>
        <w:t>”</w:t>
      </w:r>
      <w:r w:rsidR="00F652D7" w:rsidRPr="00E83269">
        <w:rPr>
          <w:rFonts w:ascii="Verdana" w:hAnsi="Verdana"/>
          <w:sz w:val="20"/>
          <w:lang w:val="en-US"/>
        </w:rPr>
        <w:t xml:space="preserve">, </w:t>
      </w:r>
      <w:r w:rsidR="003454F4" w:rsidRPr="00E83269">
        <w:rPr>
          <w:rFonts w:ascii="Verdana" w:hAnsi="Verdana"/>
          <w:sz w:val="20"/>
          <w:lang w:val="en-US"/>
        </w:rPr>
        <w:t>because</w:t>
      </w:r>
      <w:r w:rsidR="00F652D7" w:rsidRPr="00E83269">
        <w:rPr>
          <w:rFonts w:ascii="Verdana" w:hAnsi="Verdana"/>
          <w:sz w:val="20"/>
          <w:lang w:val="en-US"/>
        </w:rPr>
        <w:t xml:space="preserve"> </w:t>
      </w:r>
      <w:r w:rsidR="00A62687" w:rsidRPr="00E83269">
        <w:rPr>
          <w:rFonts w:ascii="Verdana" w:hAnsi="Verdana"/>
          <w:sz w:val="20"/>
          <w:lang w:val="en-US"/>
        </w:rPr>
        <w:t xml:space="preserve">it </w:t>
      </w:r>
      <w:r w:rsidR="00F652D7" w:rsidRPr="00E83269">
        <w:rPr>
          <w:rFonts w:ascii="Verdana" w:hAnsi="Verdana"/>
          <w:sz w:val="20"/>
          <w:lang w:val="en-US"/>
        </w:rPr>
        <w:t>“</w:t>
      </w:r>
      <w:r w:rsidR="00A62687" w:rsidRPr="00E83269">
        <w:rPr>
          <w:rFonts w:ascii="Verdana" w:hAnsi="Verdana"/>
          <w:sz w:val="20"/>
          <w:lang w:val="en-US"/>
        </w:rPr>
        <w:t>entails that new legislation has to be formulated and that existing laws have to be amended</w:t>
      </w:r>
      <w:r w:rsidR="00F652D7" w:rsidRPr="00E83269">
        <w:rPr>
          <w:rFonts w:ascii="Verdana" w:hAnsi="Verdana"/>
          <w:sz w:val="20"/>
          <w:lang w:val="en-US"/>
        </w:rPr>
        <w:t>”</w:t>
      </w:r>
      <w:r w:rsidRPr="00E83269">
        <w:rPr>
          <w:rFonts w:ascii="Verdana" w:hAnsi="Verdana"/>
          <w:sz w:val="20"/>
          <w:lang w:val="en-US"/>
        </w:rPr>
        <w:t>; moreover, it</w:t>
      </w:r>
      <w:r w:rsidR="003454F4" w:rsidRPr="00E83269">
        <w:rPr>
          <w:rFonts w:ascii="Verdana" w:hAnsi="Verdana"/>
          <w:sz w:val="20"/>
          <w:lang w:val="en-US"/>
        </w:rPr>
        <w:t xml:space="preserve"> </w:t>
      </w:r>
      <w:r w:rsidRPr="00E83269">
        <w:rPr>
          <w:rFonts w:ascii="Verdana" w:hAnsi="Verdana"/>
          <w:sz w:val="20"/>
          <w:lang w:val="en-US"/>
        </w:rPr>
        <w:t>called into question</w:t>
      </w:r>
      <w:r w:rsidR="003454F4" w:rsidRPr="00E83269">
        <w:rPr>
          <w:rFonts w:ascii="Verdana" w:hAnsi="Verdana"/>
          <w:sz w:val="20"/>
          <w:lang w:val="en-US"/>
        </w:rPr>
        <w:t xml:space="preserve"> the possibility of doing so </w:t>
      </w:r>
      <w:r w:rsidR="00F652D7" w:rsidRPr="00E83269">
        <w:rPr>
          <w:rFonts w:ascii="Verdana" w:hAnsi="Verdana"/>
          <w:sz w:val="20"/>
          <w:lang w:val="en-US"/>
        </w:rPr>
        <w:t>“</w:t>
      </w:r>
      <w:r w:rsidR="00A62687" w:rsidRPr="00E83269">
        <w:rPr>
          <w:rFonts w:ascii="Verdana" w:hAnsi="Verdana"/>
          <w:sz w:val="20"/>
          <w:lang w:val="en-US"/>
        </w:rPr>
        <w:t>within the constitutional system of the Republic of Suriname</w:t>
      </w:r>
      <w:r w:rsidR="00D40921" w:rsidRPr="00E83269">
        <w:rPr>
          <w:rFonts w:ascii="Verdana" w:hAnsi="Verdana"/>
          <w:sz w:val="20"/>
          <w:lang w:val="en-US"/>
        </w:rPr>
        <w:t>”.</w:t>
      </w:r>
      <w:bookmarkEnd w:id="33"/>
      <w:r w:rsidR="00D40921" w:rsidRPr="00E83269">
        <w:rPr>
          <w:rFonts w:ascii="Verdana" w:hAnsi="Verdana"/>
          <w:sz w:val="20"/>
          <w:lang w:val="en-US"/>
        </w:rPr>
        <w:t xml:space="preserve"> </w:t>
      </w:r>
      <w:bookmarkEnd w:id="34"/>
    </w:p>
    <w:p w14:paraId="1BE4F397" w14:textId="77777777" w:rsidR="00BF1D20" w:rsidRPr="00A62687" w:rsidRDefault="00BF1D20" w:rsidP="00681938">
      <w:pPr>
        <w:pStyle w:val="ListParagraph"/>
        <w:ind w:left="0"/>
        <w:jc w:val="both"/>
        <w:rPr>
          <w:rFonts w:ascii="Verdana" w:hAnsi="Verdana"/>
          <w:sz w:val="20"/>
          <w:lang w:val="en-US"/>
        </w:rPr>
      </w:pPr>
    </w:p>
    <w:p w14:paraId="2A1EDB22" w14:textId="6730C566" w:rsidR="00493014" w:rsidRPr="00525E62" w:rsidRDefault="00A11C28" w:rsidP="002A660F">
      <w:pPr>
        <w:pStyle w:val="ListParagraph"/>
        <w:numPr>
          <w:ilvl w:val="0"/>
          <w:numId w:val="2"/>
        </w:numPr>
        <w:ind w:left="0" w:firstLine="0"/>
        <w:jc w:val="both"/>
        <w:rPr>
          <w:rFonts w:ascii="Verdana" w:hAnsi="Verdana"/>
          <w:sz w:val="20"/>
          <w:lang w:val="en-US"/>
        </w:rPr>
      </w:pPr>
      <w:r w:rsidRPr="00525E62">
        <w:rPr>
          <w:rFonts w:ascii="Verdana" w:hAnsi="Verdana"/>
          <w:sz w:val="20"/>
          <w:lang w:val="en-US"/>
        </w:rPr>
        <w:t xml:space="preserve">In this regard, the Court recalls that the obligation to comply with the decisions </w:t>
      </w:r>
      <w:r w:rsidR="00D65525" w:rsidRPr="00525E62">
        <w:rPr>
          <w:rFonts w:ascii="Verdana" w:hAnsi="Verdana"/>
          <w:sz w:val="20"/>
          <w:lang w:val="en-US"/>
        </w:rPr>
        <w:t>made</w:t>
      </w:r>
      <w:r w:rsidRPr="00525E62">
        <w:rPr>
          <w:rFonts w:ascii="Verdana" w:hAnsi="Verdana"/>
          <w:sz w:val="20"/>
          <w:lang w:val="en-US"/>
        </w:rPr>
        <w:t xml:space="preserve"> in its judgme</w:t>
      </w:r>
      <w:r w:rsidR="00D65525" w:rsidRPr="00525E62">
        <w:rPr>
          <w:rFonts w:ascii="Verdana" w:hAnsi="Verdana"/>
          <w:sz w:val="20"/>
          <w:lang w:val="en-US"/>
        </w:rPr>
        <w:t>n</w:t>
      </w:r>
      <w:r w:rsidRPr="00525E62">
        <w:rPr>
          <w:rFonts w:ascii="Verdana" w:hAnsi="Verdana"/>
          <w:sz w:val="20"/>
          <w:lang w:val="en-US"/>
        </w:rPr>
        <w:t xml:space="preserve">ts corresponds to a basic principle of the law on the international responsibility of States, supported by international case law, according to which States must comply with their international treaty-based obligations in good faith </w:t>
      </w:r>
      <w:r w:rsidR="000D580D" w:rsidRPr="00525E62">
        <w:rPr>
          <w:rFonts w:ascii="Verdana" w:hAnsi="Verdana"/>
          <w:sz w:val="20"/>
          <w:lang w:val="en-US"/>
        </w:rPr>
        <w:t>(</w:t>
      </w:r>
      <w:r w:rsidR="000D580D" w:rsidRPr="00525E62">
        <w:rPr>
          <w:rFonts w:ascii="Verdana" w:hAnsi="Verdana"/>
          <w:i/>
          <w:sz w:val="20"/>
          <w:lang w:val="en-US"/>
        </w:rPr>
        <w:t>pacta sunt servanda</w:t>
      </w:r>
      <w:r w:rsidR="000D580D" w:rsidRPr="00525E62">
        <w:rPr>
          <w:rFonts w:ascii="Verdana" w:hAnsi="Verdana"/>
          <w:sz w:val="20"/>
          <w:lang w:val="en-US"/>
        </w:rPr>
        <w:t xml:space="preserve">) </w:t>
      </w:r>
      <w:r w:rsidRPr="00525E62">
        <w:rPr>
          <w:rFonts w:ascii="Verdana" w:hAnsi="Verdana"/>
          <w:sz w:val="20"/>
          <w:lang w:val="en-US"/>
        </w:rPr>
        <w:t xml:space="preserve">and, as this Court has indicated and as established in Article 27 of the 1969 Vienna Convention on the Law of Treaties, </w:t>
      </w:r>
      <w:r w:rsidR="0098443D" w:rsidRPr="00525E62">
        <w:rPr>
          <w:rFonts w:ascii="Verdana" w:hAnsi="Verdana"/>
          <w:sz w:val="20"/>
          <w:lang w:val="en-US"/>
        </w:rPr>
        <w:t xml:space="preserve">a </w:t>
      </w:r>
      <w:r w:rsidRPr="00525E62">
        <w:rPr>
          <w:rFonts w:ascii="Verdana" w:hAnsi="Verdana"/>
          <w:sz w:val="20"/>
          <w:lang w:val="en-US"/>
        </w:rPr>
        <w:t>State</w:t>
      </w:r>
      <w:r w:rsidR="0098443D" w:rsidRPr="00525E62">
        <w:rPr>
          <w:rFonts w:ascii="Verdana" w:hAnsi="Verdana"/>
          <w:sz w:val="20"/>
          <w:lang w:val="en-US"/>
        </w:rPr>
        <w:t xml:space="preserve"> “may not invoke the provisions of its internal</w:t>
      </w:r>
      <w:r w:rsidR="0098443D" w:rsidRPr="00525E62">
        <w:rPr>
          <w:rFonts w:ascii="Verdana" w:hAnsi="Verdana"/>
          <w:sz w:val="16"/>
          <w:szCs w:val="16"/>
          <w:lang w:val="en-US"/>
        </w:rPr>
        <w:t xml:space="preserve"> </w:t>
      </w:r>
      <w:r w:rsidR="0098443D" w:rsidRPr="00525E62">
        <w:rPr>
          <w:rFonts w:ascii="Verdana" w:hAnsi="Verdana"/>
          <w:sz w:val="20"/>
          <w:lang w:val="en-US"/>
        </w:rPr>
        <w:t>law as justification for its failure to perform a treaty”</w:t>
      </w:r>
      <w:r w:rsidR="000D580D" w:rsidRPr="00525E62">
        <w:rPr>
          <w:rStyle w:val="FootnoteReference"/>
          <w:rFonts w:ascii="Verdana" w:hAnsi="Verdana"/>
          <w:sz w:val="20"/>
          <w:lang w:val="en-US"/>
        </w:rPr>
        <w:footnoteReference w:id="30"/>
      </w:r>
      <w:r w:rsidR="005B1E93">
        <w:rPr>
          <w:rFonts w:ascii="Verdana" w:hAnsi="Verdana"/>
          <w:sz w:val="20"/>
          <w:lang w:val="en-US"/>
        </w:rPr>
        <w:t>.</w:t>
      </w:r>
      <w:r w:rsidR="00681938" w:rsidRPr="00525E62">
        <w:rPr>
          <w:rFonts w:ascii="Verdana" w:hAnsi="Verdana"/>
          <w:sz w:val="20"/>
          <w:lang w:val="en-US"/>
        </w:rPr>
        <w:t xml:space="preserve"> </w:t>
      </w:r>
    </w:p>
    <w:p w14:paraId="595147C4" w14:textId="77777777" w:rsidR="00493014" w:rsidRPr="00525E62" w:rsidRDefault="00493014" w:rsidP="000E3711">
      <w:pPr>
        <w:jc w:val="both"/>
        <w:rPr>
          <w:rFonts w:ascii="Verdana" w:hAnsi="Verdana"/>
          <w:sz w:val="20"/>
          <w:lang w:val="en-US"/>
        </w:rPr>
      </w:pPr>
    </w:p>
    <w:p w14:paraId="2491B628" w14:textId="2C01FABD" w:rsidR="000E3711" w:rsidRPr="00525E62" w:rsidRDefault="0098443D" w:rsidP="0098443D">
      <w:pPr>
        <w:pStyle w:val="ListParagraph"/>
        <w:numPr>
          <w:ilvl w:val="0"/>
          <w:numId w:val="2"/>
        </w:numPr>
        <w:ind w:left="0" w:firstLine="0"/>
        <w:jc w:val="both"/>
        <w:rPr>
          <w:rFonts w:ascii="Verdana" w:hAnsi="Verdana"/>
          <w:sz w:val="20"/>
          <w:lang w:val="en-US"/>
        </w:rPr>
      </w:pPr>
      <w:bookmarkStart w:id="35" w:name="_Ref526763788"/>
      <w:r w:rsidRPr="00525E62">
        <w:rPr>
          <w:rFonts w:ascii="Verdana" w:hAnsi="Verdana" w:cs="Times-Roman"/>
          <w:sz w:val="20"/>
          <w:lang w:val="en-US" w:bidi="en-US"/>
        </w:rPr>
        <w:t>The States Parties to the Convention may not invoke provisions of constitutional law or other aspects of their domestic law</w:t>
      </w:r>
      <w:r w:rsidR="00452826" w:rsidRPr="00525E62">
        <w:rPr>
          <w:rFonts w:ascii="Verdana" w:hAnsi="Verdana" w:cs="Times-Roman"/>
          <w:sz w:val="20"/>
          <w:lang w:val="en-US" w:bidi="en-US"/>
        </w:rPr>
        <w:t>s</w:t>
      </w:r>
      <w:r w:rsidRPr="00525E62">
        <w:rPr>
          <w:rFonts w:ascii="Verdana" w:hAnsi="Verdana" w:cs="Times-Roman"/>
          <w:sz w:val="20"/>
          <w:lang w:val="en-US" w:bidi="en-US"/>
        </w:rPr>
        <w:t xml:space="preserve"> to justify a failure to comply with the </w:t>
      </w:r>
      <w:r w:rsidRPr="00525E62">
        <w:rPr>
          <w:rFonts w:ascii="Verdana" w:hAnsi="Verdana" w:cs="Times-Roman"/>
          <w:sz w:val="20"/>
          <w:lang w:val="en-US" w:bidi="en-US"/>
        </w:rPr>
        <w:lastRenderedPageBreak/>
        <w:t>obligations contained in this treaty.</w:t>
      </w:r>
      <w:r w:rsidR="000E3711" w:rsidRPr="00525E62">
        <w:rPr>
          <w:rFonts w:ascii="Verdana" w:hAnsi="Verdana"/>
          <w:sz w:val="20"/>
          <w:vertAlign w:val="superscript"/>
          <w:lang w:val="en-US"/>
        </w:rPr>
        <w:footnoteReference w:id="31"/>
      </w:r>
      <w:r w:rsidRPr="00525E62">
        <w:rPr>
          <w:rFonts w:ascii="Verdana" w:hAnsi="Verdana" w:cs="Times-Roman"/>
          <w:sz w:val="20"/>
          <w:lang w:val="en-US" w:bidi="en-US"/>
        </w:rPr>
        <w:t xml:space="preserve"> As regards compliance with the Cour</w:t>
      </w:r>
      <w:r w:rsidR="00452826" w:rsidRPr="00525E62">
        <w:rPr>
          <w:rFonts w:ascii="Verdana" w:hAnsi="Verdana" w:cs="Times-Roman"/>
          <w:sz w:val="20"/>
          <w:lang w:val="en-US" w:bidi="en-US"/>
        </w:rPr>
        <w:t>t</w:t>
      </w:r>
      <w:r w:rsidRPr="00525E62">
        <w:rPr>
          <w:rFonts w:ascii="Verdana" w:hAnsi="Verdana" w:cs="Times-Roman"/>
          <w:sz w:val="20"/>
          <w:lang w:val="en-US" w:bidi="en-US"/>
        </w:rPr>
        <w:t xml:space="preserve">’s judgments, it is not a question of </w:t>
      </w:r>
      <w:r w:rsidR="00452826" w:rsidRPr="00525E62">
        <w:rPr>
          <w:rFonts w:ascii="Verdana" w:hAnsi="Verdana" w:cs="Times-Roman"/>
          <w:sz w:val="20"/>
          <w:lang w:val="en-US" w:bidi="en-US"/>
        </w:rPr>
        <w:t>deciding whether</w:t>
      </w:r>
      <w:r w:rsidRPr="00525E62">
        <w:rPr>
          <w:rFonts w:ascii="Verdana" w:hAnsi="Verdana" w:cs="Times-Roman"/>
          <w:sz w:val="20"/>
          <w:lang w:val="en-US" w:bidi="en-US"/>
        </w:rPr>
        <w:t xml:space="preserve"> international law </w:t>
      </w:r>
      <w:r w:rsidR="00452826" w:rsidRPr="00525E62">
        <w:rPr>
          <w:rFonts w:ascii="Verdana" w:hAnsi="Verdana" w:cs="Times-Roman"/>
          <w:sz w:val="20"/>
          <w:lang w:val="en-US" w:bidi="en-US"/>
        </w:rPr>
        <w:t xml:space="preserve">has supremacy </w:t>
      </w:r>
      <w:r w:rsidRPr="00525E62">
        <w:rPr>
          <w:rFonts w:ascii="Verdana" w:hAnsi="Verdana" w:cs="Times-Roman"/>
          <w:sz w:val="20"/>
          <w:lang w:val="en-US" w:bidi="en-US"/>
        </w:rPr>
        <w:t>over domestic law in the domestic sphere, but merely of complying with commitments made by the States in exercise of their sovereignty.</w:t>
      </w:r>
      <w:r w:rsidR="000E3711" w:rsidRPr="00525E62">
        <w:rPr>
          <w:rStyle w:val="FootnoteReference"/>
          <w:rFonts w:ascii="Verdana" w:hAnsi="Verdana"/>
          <w:sz w:val="20"/>
          <w:lang w:val="en-US"/>
        </w:rPr>
        <w:footnoteReference w:id="32"/>
      </w:r>
      <w:bookmarkEnd w:id="35"/>
      <w:r w:rsidR="000E3711" w:rsidRPr="00525E62">
        <w:rPr>
          <w:rFonts w:ascii="Verdana" w:hAnsi="Verdana"/>
          <w:sz w:val="20"/>
          <w:lang w:val="en-US"/>
        </w:rPr>
        <w:t xml:space="preserve"> </w:t>
      </w:r>
    </w:p>
    <w:p w14:paraId="74BB4D91" w14:textId="77777777" w:rsidR="00BF1D20" w:rsidRPr="00525E62" w:rsidRDefault="00BF1D20" w:rsidP="00681938">
      <w:pPr>
        <w:pStyle w:val="ListParagraph"/>
        <w:ind w:left="0"/>
        <w:jc w:val="both"/>
        <w:rPr>
          <w:rFonts w:ascii="Verdana" w:hAnsi="Verdana"/>
          <w:sz w:val="20"/>
          <w:lang w:val="en-US"/>
        </w:rPr>
      </w:pPr>
    </w:p>
    <w:p w14:paraId="509BB90C" w14:textId="2EE22EF4" w:rsidR="00515461" w:rsidRPr="00E83269" w:rsidRDefault="00452826" w:rsidP="00515461">
      <w:pPr>
        <w:pStyle w:val="ListParagraph"/>
        <w:numPr>
          <w:ilvl w:val="0"/>
          <w:numId w:val="2"/>
        </w:numPr>
        <w:ind w:left="0" w:firstLine="0"/>
        <w:jc w:val="both"/>
        <w:rPr>
          <w:rFonts w:ascii="Verdana" w:hAnsi="Verdana"/>
          <w:sz w:val="18"/>
          <w:szCs w:val="18"/>
          <w:lang w:val="en-US"/>
        </w:rPr>
      </w:pPr>
      <w:bookmarkStart w:id="36" w:name="_Ref528141244"/>
      <w:bookmarkStart w:id="37" w:name="_Ref526763772"/>
      <w:r w:rsidRPr="00E83269">
        <w:rPr>
          <w:rFonts w:ascii="Verdana" w:hAnsi="Verdana"/>
          <w:sz w:val="20"/>
          <w:lang w:val="en-US"/>
        </w:rPr>
        <w:t>I</w:t>
      </w:r>
      <w:r w:rsidR="0098443D" w:rsidRPr="00E83269">
        <w:rPr>
          <w:rFonts w:ascii="Verdana" w:hAnsi="Verdana"/>
          <w:sz w:val="20"/>
          <w:lang w:val="en-US"/>
        </w:rPr>
        <w:t>n its report of April 27,</w:t>
      </w:r>
      <w:r w:rsidR="002A660F" w:rsidRPr="00E83269">
        <w:rPr>
          <w:rFonts w:ascii="Verdana" w:hAnsi="Verdana"/>
          <w:sz w:val="20"/>
          <w:lang w:val="en-US"/>
        </w:rPr>
        <w:t xml:space="preserve"> 2015, </w:t>
      </w:r>
      <w:r w:rsidR="0098443D" w:rsidRPr="00E83269">
        <w:rPr>
          <w:rFonts w:ascii="Verdana" w:hAnsi="Verdana"/>
          <w:sz w:val="20"/>
          <w:lang w:val="en-US"/>
        </w:rPr>
        <w:t xml:space="preserve">when </w:t>
      </w:r>
      <w:r w:rsidRPr="00E83269">
        <w:rPr>
          <w:rFonts w:ascii="Verdana" w:hAnsi="Verdana"/>
          <w:sz w:val="20"/>
          <w:lang w:val="en-US"/>
        </w:rPr>
        <w:t>acknowledging</w:t>
      </w:r>
      <w:r w:rsidR="0098443D" w:rsidRPr="00E83269">
        <w:rPr>
          <w:rFonts w:ascii="Verdana" w:hAnsi="Verdana"/>
          <w:sz w:val="20"/>
          <w:lang w:val="en-US"/>
        </w:rPr>
        <w:t xml:space="preserve"> that it had not taken measures to comply with </w:t>
      </w:r>
      <w:r w:rsidR="00C93224" w:rsidRPr="00E83269">
        <w:rPr>
          <w:rFonts w:ascii="Verdana" w:hAnsi="Verdana"/>
          <w:sz w:val="20"/>
          <w:lang w:val="en-US"/>
        </w:rPr>
        <w:t>the judgment</w:t>
      </w:r>
      <w:r w:rsidR="00374CE5" w:rsidRPr="00E83269">
        <w:rPr>
          <w:rFonts w:ascii="Verdana" w:hAnsi="Verdana"/>
          <w:sz w:val="20"/>
          <w:lang w:val="en-US"/>
        </w:rPr>
        <w:t xml:space="preserve">, </w:t>
      </w:r>
      <w:r w:rsidRPr="00E83269">
        <w:rPr>
          <w:rFonts w:ascii="Verdana" w:hAnsi="Verdana"/>
          <w:sz w:val="20"/>
          <w:lang w:val="en-US"/>
        </w:rPr>
        <w:t xml:space="preserve">the State referred to a second obstacle to compliance </w:t>
      </w:r>
      <w:r w:rsidR="0098443D" w:rsidRPr="00E83269">
        <w:rPr>
          <w:rFonts w:ascii="Verdana" w:hAnsi="Verdana"/>
          <w:sz w:val="20"/>
          <w:lang w:val="en-US"/>
        </w:rPr>
        <w:t xml:space="preserve">with the argument that this was due to </w:t>
      </w:r>
      <w:r w:rsidR="00D651AA" w:rsidRPr="00E83269">
        <w:rPr>
          <w:rFonts w:ascii="Verdana" w:hAnsi="Verdana"/>
          <w:sz w:val="20"/>
          <w:szCs w:val="18"/>
          <w:lang w:val="en-US"/>
        </w:rPr>
        <w:t>“</w:t>
      </w:r>
      <w:r w:rsidR="00A62687" w:rsidRPr="00E83269">
        <w:rPr>
          <w:rFonts w:ascii="Verdana" w:hAnsi="Verdana"/>
          <w:sz w:val="20"/>
          <w:szCs w:val="18"/>
          <w:lang w:val="en-US"/>
        </w:rPr>
        <w:t xml:space="preserve">internal conflicts in this case differences of opinion (crisis of authority) within the </w:t>
      </w:r>
      <w:proofErr w:type="spellStart"/>
      <w:r w:rsidR="00A62687" w:rsidRPr="00E83269">
        <w:rPr>
          <w:rFonts w:ascii="Verdana" w:hAnsi="Verdana"/>
          <w:sz w:val="20"/>
          <w:szCs w:val="18"/>
          <w:lang w:val="en-US"/>
        </w:rPr>
        <w:t>Saramaka</w:t>
      </w:r>
      <w:proofErr w:type="spellEnd"/>
      <w:r w:rsidR="00A62687" w:rsidRPr="00E83269">
        <w:rPr>
          <w:rFonts w:ascii="Verdana" w:hAnsi="Verdana"/>
          <w:sz w:val="20"/>
          <w:szCs w:val="18"/>
          <w:lang w:val="en-US"/>
        </w:rPr>
        <w:t xml:space="preserve"> community</w:t>
      </w:r>
      <w:r w:rsidR="00515461" w:rsidRPr="00E83269">
        <w:rPr>
          <w:rFonts w:ascii="Verdana" w:hAnsi="Verdana"/>
          <w:sz w:val="20"/>
          <w:szCs w:val="18"/>
          <w:lang w:val="en-US"/>
        </w:rPr>
        <w:t>”</w:t>
      </w:r>
      <w:r w:rsidR="00515461" w:rsidRPr="00E83269">
        <w:rPr>
          <w:rStyle w:val="FootnoteReference"/>
          <w:rFonts w:ascii="Verdana" w:hAnsi="Verdana"/>
          <w:sz w:val="20"/>
          <w:szCs w:val="18"/>
          <w:lang w:val="en-US"/>
        </w:rPr>
        <w:footnoteReference w:id="33"/>
      </w:r>
      <w:r w:rsidR="00A62687" w:rsidRPr="00E83269">
        <w:rPr>
          <w:rFonts w:ascii="Verdana" w:hAnsi="Verdana"/>
          <w:sz w:val="20"/>
          <w:szCs w:val="18"/>
          <w:lang w:val="en-US"/>
        </w:rPr>
        <w:t>.</w:t>
      </w:r>
      <w:r w:rsidR="0098443D" w:rsidRPr="00E83269">
        <w:rPr>
          <w:rFonts w:ascii="Verdana" w:hAnsi="Verdana"/>
          <w:sz w:val="20"/>
          <w:szCs w:val="18"/>
          <w:lang w:val="en-US"/>
        </w:rPr>
        <w:t xml:space="preserve"> In this regard, it provided a document</w:t>
      </w:r>
      <w:bookmarkStart w:id="38" w:name="_Ref530057701"/>
      <w:r w:rsidR="00D9597C" w:rsidRPr="00E83269">
        <w:rPr>
          <w:rStyle w:val="FootnoteReference"/>
          <w:rFonts w:ascii="Verdana" w:hAnsi="Verdana"/>
          <w:sz w:val="20"/>
          <w:szCs w:val="18"/>
          <w:lang w:val="en-US"/>
        </w:rPr>
        <w:footnoteReference w:id="34"/>
      </w:r>
      <w:bookmarkEnd w:id="38"/>
      <w:r w:rsidR="00D9597C" w:rsidRPr="00E83269">
        <w:rPr>
          <w:rFonts w:ascii="Verdana" w:hAnsi="Verdana"/>
          <w:sz w:val="20"/>
          <w:szCs w:val="18"/>
          <w:lang w:val="en-US"/>
        </w:rPr>
        <w:t xml:space="preserve"> </w:t>
      </w:r>
      <w:r w:rsidR="0098443D" w:rsidRPr="00E83269">
        <w:rPr>
          <w:rFonts w:ascii="Verdana" w:hAnsi="Verdana"/>
          <w:sz w:val="20"/>
          <w:szCs w:val="18"/>
          <w:lang w:val="en-US"/>
        </w:rPr>
        <w:t>and indicated that</w:t>
      </w:r>
      <w:r w:rsidR="00D9597C" w:rsidRPr="00E83269">
        <w:rPr>
          <w:rFonts w:ascii="Verdana" w:hAnsi="Verdana"/>
          <w:sz w:val="20"/>
          <w:szCs w:val="18"/>
          <w:lang w:val="en-US"/>
        </w:rPr>
        <w:t xml:space="preserve"> </w:t>
      </w:r>
      <w:r w:rsidR="00D651AA" w:rsidRPr="00E83269">
        <w:rPr>
          <w:rFonts w:ascii="Verdana" w:hAnsi="Verdana"/>
          <w:sz w:val="20"/>
          <w:szCs w:val="18"/>
          <w:lang w:val="en-US"/>
        </w:rPr>
        <w:t>“</w:t>
      </w:r>
      <w:r w:rsidR="00A62687" w:rsidRPr="00E83269">
        <w:rPr>
          <w:rFonts w:ascii="Verdana" w:hAnsi="Verdana"/>
          <w:sz w:val="20"/>
          <w:szCs w:val="18"/>
          <w:lang w:val="en-US"/>
        </w:rPr>
        <w:t xml:space="preserve">this lack of unanimity among the members of the </w:t>
      </w:r>
      <w:proofErr w:type="spellStart"/>
      <w:r w:rsidR="00A62687" w:rsidRPr="00E83269">
        <w:rPr>
          <w:rFonts w:ascii="Verdana" w:hAnsi="Verdana"/>
          <w:sz w:val="20"/>
          <w:szCs w:val="18"/>
          <w:lang w:val="en-US"/>
        </w:rPr>
        <w:t>Saramaka</w:t>
      </w:r>
      <w:proofErr w:type="spellEnd"/>
      <w:r w:rsidR="00A62687" w:rsidRPr="00E83269">
        <w:rPr>
          <w:rFonts w:ascii="Verdana" w:hAnsi="Verdana"/>
          <w:sz w:val="20"/>
          <w:szCs w:val="18"/>
          <w:lang w:val="en-US"/>
        </w:rPr>
        <w:t xml:space="preserve"> community makes the implementation of the outstanding parts of the judgement more complex</w:t>
      </w:r>
      <w:r w:rsidR="004174CB" w:rsidRPr="00E83269">
        <w:rPr>
          <w:rFonts w:ascii="Verdana" w:hAnsi="Verdana"/>
          <w:sz w:val="20"/>
          <w:szCs w:val="18"/>
          <w:lang w:val="en-US"/>
        </w:rPr>
        <w:t>”</w:t>
      </w:r>
      <w:r w:rsidR="00DB3D65" w:rsidRPr="00E83269">
        <w:rPr>
          <w:rFonts w:ascii="Verdana" w:hAnsi="Verdana"/>
          <w:sz w:val="20"/>
          <w:lang w:val="en-US"/>
        </w:rPr>
        <w:t xml:space="preserve">. </w:t>
      </w:r>
      <w:r w:rsidR="0098443D" w:rsidRPr="00E83269">
        <w:rPr>
          <w:rFonts w:ascii="Verdana" w:hAnsi="Verdana"/>
          <w:sz w:val="20"/>
          <w:lang w:val="en-US"/>
        </w:rPr>
        <w:t>The State added that</w:t>
      </w:r>
      <w:r w:rsidR="00D651AA" w:rsidRPr="00E83269">
        <w:rPr>
          <w:rFonts w:ascii="Verdana" w:hAnsi="Verdana"/>
          <w:sz w:val="20"/>
          <w:szCs w:val="18"/>
          <w:lang w:val="en-US"/>
        </w:rPr>
        <w:t xml:space="preserve"> “</w:t>
      </w:r>
      <w:r w:rsidR="005666D9" w:rsidRPr="00E83269">
        <w:rPr>
          <w:rFonts w:ascii="Verdana" w:hAnsi="Verdana"/>
          <w:sz w:val="20"/>
          <w:szCs w:val="18"/>
          <w:lang w:val="en-US"/>
        </w:rPr>
        <w:t xml:space="preserve">[t]o contribute to the solution of the situation that has arisen the State has through the mediation of the Ministry of Regional Development established a </w:t>
      </w:r>
      <w:r w:rsidR="00E83269" w:rsidRPr="00E83269">
        <w:rPr>
          <w:rFonts w:ascii="Verdana" w:hAnsi="Verdana"/>
          <w:sz w:val="20"/>
          <w:szCs w:val="18"/>
          <w:lang w:val="en-US"/>
        </w:rPr>
        <w:t>Commission</w:t>
      </w:r>
      <w:r w:rsidR="005666D9" w:rsidRPr="00E83269">
        <w:rPr>
          <w:rFonts w:ascii="Verdana" w:hAnsi="Verdana"/>
          <w:sz w:val="20"/>
          <w:szCs w:val="18"/>
          <w:lang w:val="en-US"/>
        </w:rPr>
        <w:t xml:space="preserve"> on 1 November 2014 [called] ‘Mediation succession dispute </w:t>
      </w:r>
      <w:proofErr w:type="spellStart"/>
      <w:r w:rsidR="005666D9" w:rsidRPr="00E83269">
        <w:rPr>
          <w:rFonts w:ascii="Verdana" w:hAnsi="Verdana"/>
          <w:sz w:val="20"/>
          <w:szCs w:val="18"/>
          <w:lang w:val="en-US"/>
        </w:rPr>
        <w:t>Saramaka</w:t>
      </w:r>
      <w:proofErr w:type="spellEnd"/>
      <w:r w:rsidR="005666D9" w:rsidRPr="00E83269">
        <w:rPr>
          <w:rFonts w:ascii="Verdana" w:hAnsi="Verdana"/>
          <w:sz w:val="20"/>
          <w:szCs w:val="18"/>
          <w:lang w:val="en-US"/>
        </w:rPr>
        <w:t xml:space="preserve"> Traditional Authorities’. The composition of this commission was established in consultation with the </w:t>
      </w:r>
      <w:proofErr w:type="spellStart"/>
      <w:r w:rsidR="005666D9" w:rsidRPr="00E83269">
        <w:rPr>
          <w:rFonts w:ascii="Verdana" w:hAnsi="Verdana"/>
          <w:sz w:val="20"/>
          <w:szCs w:val="18"/>
          <w:lang w:val="en-US"/>
        </w:rPr>
        <w:t>Saramaka</w:t>
      </w:r>
      <w:proofErr w:type="spellEnd"/>
      <w:r w:rsidR="005666D9" w:rsidRPr="00E83269">
        <w:rPr>
          <w:rFonts w:ascii="Verdana" w:hAnsi="Verdana"/>
          <w:sz w:val="20"/>
          <w:szCs w:val="18"/>
          <w:lang w:val="en-US"/>
        </w:rPr>
        <w:t xml:space="preserve"> tribe</w:t>
      </w:r>
      <w:r w:rsidR="00235045" w:rsidRPr="00E83269">
        <w:rPr>
          <w:rFonts w:ascii="Verdana" w:hAnsi="Verdana"/>
          <w:sz w:val="20"/>
          <w:szCs w:val="18"/>
          <w:lang w:val="en-US"/>
        </w:rPr>
        <w:t>”</w:t>
      </w:r>
      <w:r w:rsidR="00EF36C6" w:rsidRPr="00E83269">
        <w:rPr>
          <w:rStyle w:val="FootnoteReference"/>
          <w:rFonts w:ascii="Verdana" w:hAnsi="Verdana"/>
          <w:sz w:val="20"/>
          <w:szCs w:val="18"/>
          <w:lang w:val="en-US"/>
        </w:rPr>
        <w:footnoteReference w:id="35"/>
      </w:r>
      <w:r w:rsidR="00235045" w:rsidRPr="00E83269">
        <w:rPr>
          <w:rFonts w:ascii="Verdana" w:hAnsi="Verdana"/>
          <w:sz w:val="20"/>
          <w:szCs w:val="18"/>
          <w:lang w:val="en-US"/>
        </w:rPr>
        <w:t>.</w:t>
      </w:r>
      <w:bookmarkEnd w:id="36"/>
      <w:r w:rsidR="00235045" w:rsidRPr="00E83269">
        <w:rPr>
          <w:rFonts w:ascii="Verdana" w:hAnsi="Verdana"/>
          <w:sz w:val="20"/>
          <w:szCs w:val="18"/>
          <w:lang w:val="en-US"/>
        </w:rPr>
        <w:t xml:space="preserve"> </w:t>
      </w:r>
      <w:bookmarkEnd w:id="37"/>
    </w:p>
    <w:p w14:paraId="0116E77E" w14:textId="77777777" w:rsidR="00515461" w:rsidRPr="005666D9" w:rsidRDefault="00515461" w:rsidP="00515461">
      <w:pPr>
        <w:pStyle w:val="ListParagraph"/>
        <w:ind w:left="0"/>
        <w:jc w:val="both"/>
        <w:rPr>
          <w:rFonts w:ascii="Verdana" w:hAnsi="Verdana"/>
          <w:sz w:val="18"/>
          <w:szCs w:val="18"/>
          <w:lang w:val="en-US"/>
        </w:rPr>
      </w:pPr>
    </w:p>
    <w:p w14:paraId="5D762B38" w14:textId="193ADA79" w:rsidR="00D9597C" w:rsidRPr="00E83269" w:rsidRDefault="002462D1" w:rsidP="00D9597C">
      <w:pPr>
        <w:pStyle w:val="ListParagraph"/>
        <w:numPr>
          <w:ilvl w:val="0"/>
          <w:numId w:val="2"/>
        </w:numPr>
        <w:ind w:left="0" w:firstLine="0"/>
        <w:jc w:val="both"/>
        <w:rPr>
          <w:rFonts w:ascii="Verdana" w:hAnsi="Verdana"/>
          <w:sz w:val="20"/>
          <w:lang w:val="en-US"/>
        </w:rPr>
      </w:pPr>
      <w:bookmarkStart w:id="39" w:name="_Ref530057716"/>
      <w:bookmarkStart w:id="40" w:name="_Ref526763733"/>
      <w:r w:rsidRPr="00E83269">
        <w:rPr>
          <w:rFonts w:ascii="Verdana" w:hAnsi="Verdana"/>
          <w:sz w:val="20"/>
          <w:lang w:val="en-US"/>
        </w:rPr>
        <w:t xml:space="preserve">The </w:t>
      </w:r>
      <w:r w:rsidRPr="005F7AE5">
        <w:rPr>
          <w:rFonts w:ascii="Verdana" w:hAnsi="Verdana"/>
          <w:i/>
          <w:sz w:val="20"/>
          <w:lang w:val="en-US"/>
        </w:rPr>
        <w:t>representatives</w:t>
      </w:r>
      <w:r w:rsidR="00515461" w:rsidRPr="00E83269">
        <w:rPr>
          <w:rFonts w:ascii="Verdana" w:hAnsi="Verdana"/>
          <w:i/>
          <w:sz w:val="20"/>
          <w:lang w:val="en-US"/>
        </w:rPr>
        <w:t>,</w:t>
      </w:r>
      <w:r w:rsidR="00A54B8D" w:rsidRPr="00E83269">
        <w:rPr>
          <w:rFonts w:ascii="Verdana" w:hAnsi="Verdana"/>
          <w:sz w:val="20"/>
          <w:lang w:val="en-US"/>
        </w:rPr>
        <w:t xml:space="preserve"> </w:t>
      </w:r>
      <w:r w:rsidR="0098443D" w:rsidRPr="00E83269">
        <w:rPr>
          <w:rFonts w:ascii="Verdana" w:hAnsi="Verdana"/>
          <w:sz w:val="20"/>
          <w:lang w:val="en-US"/>
        </w:rPr>
        <w:t xml:space="preserve">in their </w:t>
      </w:r>
      <w:r w:rsidR="00C70258" w:rsidRPr="00E83269">
        <w:rPr>
          <w:rFonts w:ascii="Verdana" w:hAnsi="Verdana"/>
          <w:sz w:val="20"/>
          <w:lang w:val="en-US"/>
        </w:rPr>
        <w:t>observation brief</w:t>
      </w:r>
      <w:r w:rsidR="0098443D" w:rsidRPr="00E83269">
        <w:rPr>
          <w:rFonts w:ascii="Verdana" w:hAnsi="Verdana"/>
          <w:sz w:val="20"/>
          <w:lang w:val="en-US"/>
        </w:rPr>
        <w:t xml:space="preserve"> of May 29, </w:t>
      </w:r>
      <w:r w:rsidR="00515461" w:rsidRPr="00E83269">
        <w:rPr>
          <w:rFonts w:ascii="Verdana" w:hAnsi="Verdana"/>
          <w:sz w:val="20"/>
          <w:lang w:val="en-US"/>
        </w:rPr>
        <w:t xml:space="preserve">2015, </w:t>
      </w:r>
      <w:r w:rsidR="0098443D" w:rsidRPr="00E83269">
        <w:rPr>
          <w:rFonts w:ascii="Verdana" w:hAnsi="Verdana"/>
          <w:sz w:val="20"/>
          <w:lang w:val="en-US"/>
        </w:rPr>
        <w:t xml:space="preserve">pointed out that </w:t>
      </w:r>
      <w:r w:rsidR="00515461" w:rsidRPr="00E83269">
        <w:rPr>
          <w:rFonts w:ascii="Verdana" w:hAnsi="Verdana"/>
          <w:sz w:val="20"/>
          <w:lang w:val="en-US"/>
        </w:rPr>
        <w:t>“</w:t>
      </w:r>
      <w:r w:rsidR="005666D9" w:rsidRPr="00E83269">
        <w:rPr>
          <w:rFonts w:ascii="Verdana" w:hAnsi="Verdana"/>
          <w:sz w:val="20"/>
          <w:lang w:val="en-US"/>
        </w:rPr>
        <w:t xml:space="preserve">[t]he </w:t>
      </w:r>
      <w:proofErr w:type="spellStart"/>
      <w:r w:rsidR="005666D9" w:rsidRPr="00E83269">
        <w:rPr>
          <w:rFonts w:ascii="Verdana" w:hAnsi="Verdana"/>
          <w:sz w:val="20"/>
          <w:lang w:val="en-US"/>
        </w:rPr>
        <w:t>Saramaka</w:t>
      </w:r>
      <w:proofErr w:type="spellEnd"/>
      <w:r w:rsidR="005666D9" w:rsidRPr="00E83269">
        <w:rPr>
          <w:rFonts w:ascii="Verdana" w:hAnsi="Verdana"/>
          <w:sz w:val="20"/>
          <w:lang w:val="en-US"/>
        </w:rPr>
        <w:t xml:space="preserve"> have explained that the Association of </w:t>
      </w:r>
      <w:proofErr w:type="spellStart"/>
      <w:r w:rsidR="005666D9" w:rsidRPr="00E83269">
        <w:rPr>
          <w:rFonts w:ascii="Verdana" w:hAnsi="Verdana"/>
          <w:sz w:val="20"/>
          <w:lang w:val="en-US"/>
        </w:rPr>
        <w:t>Saramaka</w:t>
      </w:r>
      <w:proofErr w:type="spellEnd"/>
      <w:r w:rsidR="005666D9" w:rsidRPr="00E83269">
        <w:rPr>
          <w:rFonts w:ascii="Verdana" w:hAnsi="Verdana"/>
          <w:sz w:val="20"/>
          <w:lang w:val="en-US"/>
        </w:rPr>
        <w:t xml:space="preserve"> Authorities (‘ASA’) is their designated representative [for the implementation of Judgement] in this regard on numerous occasions</w:t>
      </w:r>
      <w:r w:rsidR="00374CE5" w:rsidRPr="00E83269">
        <w:rPr>
          <w:rFonts w:ascii="Verdana" w:hAnsi="Verdana"/>
          <w:sz w:val="20"/>
          <w:lang w:val="en-US"/>
        </w:rPr>
        <w:t>”</w:t>
      </w:r>
      <w:r w:rsidR="00515461" w:rsidRPr="00E83269">
        <w:rPr>
          <w:rFonts w:ascii="Verdana" w:hAnsi="Verdana"/>
          <w:sz w:val="20"/>
          <w:lang w:val="en-US"/>
        </w:rPr>
        <w:t xml:space="preserve">. </w:t>
      </w:r>
      <w:r w:rsidR="0098443D" w:rsidRPr="00E83269">
        <w:rPr>
          <w:rFonts w:ascii="Verdana" w:hAnsi="Verdana"/>
          <w:sz w:val="20"/>
          <w:lang w:val="en-US"/>
        </w:rPr>
        <w:t>In addition, they referred to a docume</w:t>
      </w:r>
      <w:r w:rsidR="00AD4AE7" w:rsidRPr="00E83269">
        <w:rPr>
          <w:rFonts w:ascii="Verdana" w:hAnsi="Verdana"/>
          <w:sz w:val="20"/>
          <w:lang w:val="en-US"/>
        </w:rPr>
        <w:t>n</w:t>
      </w:r>
      <w:r w:rsidR="0098443D" w:rsidRPr="00E83269">
        <w:rPr>
          <w:rFonts w:ascii="Verdana" w:hAnsi="Verdana"/>
          <w:sz w:val="20"/>
          <w:lang w:val="en-US"/>
        </w:rPr>
        <w:t xml:space="preserve">t of July 2013 in which </w:t>
      </w:r>
      <w:r w:rsidR="00374CE5" w:rsidRPr="00E83269">
        <w:rPr>
          <w:rFonts w:ascii="Verdana" w:hAnsi="Verdana"/>
          <w:sz w:val="20"/>
          <w:lang w:val="en-US"/>
        </w:rPr>
        <w:t>“</w:t>
      </w:r>
      <w:r w:rsidR="005666D9" w:rsidRPr="00E83269">
        <w:rPr>
          <w:rFonts w:ascii="Verdana" w:hAnsi="Verdana"/>
          <w:sz w:val="20"/>
          <w:lang w:val="en-US"/>
        </w:rPr>
        <w:t xml:space="preserve">approximately 80 percent[… of the] traditional </w:t>
      </w:r>
      <w:proofErr w:type="spellStart"/>
      <w:r w:rsidR="005666D9" w:rsidRPr="00E83269">
        <w:rPr>
          <w:rFonts w:ascii="Verdana" w:hAnsi="Verdana"/>
          <w:sz w:val="20"/>
          <w:lang w:val="en-US"/>
        </w:rPr>
        <w:t>Saramaka</w:t>
      </w:r>
      <w:proofErr w:type="spellEnd"/>
      <w:r w:rsidR="005666D9" w:rsidRPr="00E83269">
        <w:rPr>
          <w:rFonts w:ascii="Verdana" w:hAnsi="Verdana"/>
          <w:sz w:val="20"/>
          <w:lang w:val="en-US"/>
        </w:rPr>
        <w:t xml:space="preserve"> authorities endorsed a statement confirming again </w:t>
      </w:r>
      <w:r w:rsidR="005666D9" w:rsidRPr="00E83269">
        <w:rPr>
          <w:rFonts w:ascii="Verdana" w:hAnsi="Verdana"/>
          <w:sz w:val="20"/>
          <w:lang w:val="en-US"/>
        </w:rPr>
        <w:tab/>
        <w:t>that they are unanimous in their desire to see the judgement implemented and that they expect the State to collaborate with them via their freely chosen representatives</w:t>
      </w:r>
      <w:r w:rsidR="00515461" w:rsidRPr="00E83269">
        <w:rPr>
          <w:rFonts w:ascii="Verdana" w:hAnsi="Verdana"/>
          <w:sz w:val="20"/>
          <w:lang w:val="en-US"/>
        </w:rPr>
        <w:t>”</w:t>
      </w:r>
      <w:r w:rsidR="006243C8" w:rsidRPr="00E83269">
        <w:rPr>
          <w:rStyle w:val="FootnoteReference"/>
          <w:rFonts w:ascii="Verdana" w:hAnsi="Verdana"/>
          <w:sz w:val="20"/>
          <w:lang w:val="en-US"/>
        </w:rPr>
        <w:footnoteReference w:id="36"/>
      </w:r>
      <w:r w:rsidR="005666D9" w:rsidRPr="00E83269">
        <w:rPr>
          <w:rFonts w:ascii="Verdana" w:hAnsi="Verdana"/>
          <w:sz w:val="20"/>
          <w:lang w:val="en-US"/>
        </w:rPr>
        <w:t>.</w:t>
      </w:r>
      <w:r w:rsidR="0098443D" w:rsidRPr="00E83269">
        <w:rPr>
          <w:rFonts w:ascii="Verdana" w:hAnsi="Verdana"/>
          <w:sz w:val="20"/>
          <w:lang w:val="en-US"/>
        </w:rPr>
        <w:t xml:space="preserve"> Regarding the document provided by the State </w:t>
      </w:r>
      <w:r w:rsidR="00D9597C" w:rsidRPr="00E83269">
        <w:rPr>
          <w:rFonts w:ascii="Verdana" w:hAnsi="Verdana"/>
          <w:sz w:val="20"/>
          <w:lang w:val="en-US"/>
        </w:rPr>
        <w:t>(</w:t>
      </w:r>
      <w:r w:rsidR="00D9597C" w:rsidRPr="00E83269">
        <w:rPr>
          <w:rFonts w:ascii="Verdana" w:hAnsi="Verdana"/>
          <w:i/>
          <w:sz w:val="20"/>
          <w:lang w:val="en-US"/>
        </w:rPr>
        <w:t>supra</w:t>
      </w:r>
      <w:r w:rsidR="00D9597C" w:rsidRPr="00E83269">
        <w:rPr>
          <w:rFonts w:ascii="Verdana" w:hAnsi="Verdana"/>
          <w:sz w:val="20"/>
          <w:lang w:val="en-US"/>
        </w:rPr>
        <w:t xml:space="preserve"> </w:t>
      </w:r>
      <w:r w:rsidR="0098443D" w:rsidRPr="00E83269">
        <w:rPr>
          <w:rFonts w:ascii="Verdana" w:hAnsi="Verdana"/>
          <w:sz w:val="20"/>
          <w:lang w:val="en-US"/>
        </w:rPr>
        <w:t>footnote</w:t>
      </w:r>
      <w:r w:rsidR="00D9597C" w:rsidRPr="00E83269">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NOTEREF _Ref530057701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33</w:t>
      </w:r>
      <w:r w:rsidR="001413FA">
        <w:rPr>
          <w:rFonts w:ascii="Verdana" w:hAnsi="Verdana"/>
          <w:sz w:val="20"/>
          <w:lang w:val="en-US"/>
        </w:rPr>
        <w:fldChar w:fldCharType="end"/>
      </w:r>
      <w:r w:rsidR="00D9597C" w:rsidRPr="00E83269">
        <w:rPr>
          <w:rFonts w:ascii="Verdana" w:hAnsi="Verdana"/>
          <w:sz w:val="20"/>
          <w:lang w:val="en-US"/>
        </w:rPr>
        <w:t xml:space="preserve">), </w:t>
      </w:r>
      <w:r w:rsidRPr="00E83269">
        <w:rPr>
          <w:rFonts w:ascii="Verdana" w:hAnsi="Verdana"/>
          <w:sz w:val="20"/>
          <w:lang w:val="en-US"/>
        </w:rPr>
        <w:t>the representatives</w:t>
      </w:r>
      <w:r w:rsidR="00D9597C" w:rsidRPr="00E83269">
        <w:rPr>
          <w:rFonts w:ascii="Verdana" w:hAnsi="Verdana"/>
          <w:sz w:val="20"/>
          <w:lang w:val="en-US"/>
        </w:rPr>
        <w:t xml:space="preserve"> indica</w:t>
      </w:r>
      <w:r w:rsidR="0098443D" w:rsidRPr="00E83269">
        <w:rPr>
          <w:rFonts w:ascii="Verdana" w:hAnsi="Verdana"/>
          <w:sz w:val="20"/>
          <w:lang w:val="en-US"/>
        </w:rPr>
        <w:t>ted that th</w:t>
      </w:r>
      <w:r w:rsidR="00290E62" w:rsidRPr="00E83269">
        <w:rPr>
          <w:rFonts w:ascii="Verdana" w:hAnsi="Verdana"/>
          <w:sz w:val="20"/>
          <w:lang w:val="en-US"/>
        </w:rPr>
        <w:t>e</w:t>
      </w:r>
      <w:r w:rsidR="0098443D" w:rsidRPr="00E83269">
        <w:rPr>
          <w:rFonts w:ascii="Verdana" w:hAnsi="Verdana"/>
          <w:sz w:val="20"/>
          <w:lang w:val="en-US"/>
        </w:rPr>
        <w:t xml:space="preserve"> letter </w:t>
      </w:r>
      <w:r w:rsidR="00D9597C" w:rsidRPr="00E83269">
        <w:rPr>
          <w:rFonts w:ascii="Verdana" w:hAnsi="Verdana"/>
          <w:sz w:val="20"/>
          <w:lang w:val="en-US"/>
        </w:rPr>
        <w:t>“</w:t>
      </w:r>
      <w:r w:rsidR="005666D9" w:rsidRPr="00E83269">
        <w:rPr>
          <w:rFonts w:ascii="Verdana" w:hAnsi="Verdana"/>
          <w:sz w:val="20"/>
          <w:lang w:val="en-US"/>
        </w:rPr>
        <w:t xml:space="preserve">submitted </w:t>
      </w:r>
      <w:r w:rsidR="00D9597C" w:rsidRPr="00E83269">
        <w:rPr>
          <w:rFonts w:ascii="Verdana" w:hAnsi="Verdana"/>
          <w:sz w:val="20"/>
          <w:lang w:val="en-US"/>
        </w:rPr>
        <w:t xml:space="preserve">[…] </w:t>
      </w:r>
      <w:r w:rsidR="005666D9" w:rsidRPr="00E83269">
        <w:rPr>
          <w:rFonts w:ascii="Verdana" w:hAnsi="Verdana"/>
          <w:sz w:val="20"/>
          <w:lang w:val="en-US"/>
        </w:rPr>
        <w:t>was signed by merely 18 authorities (less t</w:t>
      </w:r>
      <w:r w:rsidR="00461F46" w:rsidRPr="00E83269">
        <w:rPr>
          <w:rFonts w:ascii="Verdana" w:hAnsi="Verdana"/>
          <w:sz w:val="20"/>
          <w:lang w:val="en-US"/>
        </w:rPr>
        <w:t>h</w:t>
      </w:r>
      <w:r w:rsidR="005666D9" w:rsidRPr="00E83269">
        <w:rPr>
          <w:rFonts w:ascii="Verdana" w:hAnsi="Verdana"/>
          <w:sz w:val="20"/>
          <w:lang w:val="en-US"/>
        </w:rPr>
        <w:t xml:space="preserve">an 4 percent of </w:t>
      </w:r>
      <w:proofErr w:type="spellStart"/>
      <w:r w:rsidR="005666D9" w:rsidRPr="00E83269">
        <w:rPr>
          <w:rFonts w:ascii="Verdana" w:hAnsi="Verdana"/>
          <w:sz w:val="20"/>
          <w:lang w:val="en-US"/>
        </w:rPr>
        <w:t>Saramaka</w:t>
      </w:r>
      <w:proofErr w:type="spellEnd"/>
      <w:r w:rsidR="005666D9" w:rsidRPr="00E83269">
        <w:rPr>
          <w:rFonts w:ascii="Verdana" w:hAnsi="Verdana"/>
          <w:sz w:val="20"/>
          <w:lang w:val="en-US"/>
        </w:rPr>
        <w:t xml:space="preserve"> authorities) and it is a serious misrepresentation of </w:t>
      </w:r>
      <w:proofErr w:type="spellStart"/>
      <w:r w:rsidR="005666D9" w:rsidRPr="00E83269">
        <w:rPr>
          <w:rFonts w:ascii="Verdana" w:hAnsi="Verdana"/>
          <w:sz w:val="20"/>
          <w:lang w:val="en-US"/>
        </w:rPr>
        <w:t>Saramaka</w:t>
      </w:r>
      <w:proofErr w:type="spellEnd"/>
      <w:r w:rsidR="005666D9" w:rsidRPr="00E83269">
        <w:rPr>
          <w:rFonts w:ascii="Verdana" w:hAnsi="Verdana"/>
          <w:sz w:val="20"/>
          <w:lang w:val="en-US"/>
        </w:rPr>
        <w:t xml:space="preserve"> political and social organization to claim, as the State does in its report, that these 18 authorities can by</w:t>
      </w:r>
      <w:r w:rsidR="00461F46" w:rsidRPr="00E83269">
        <w:rPr>
          <w:rFonts w:ascii="Verdana" w:hAnsi="Verdana"/>
          <w:sz w:val="20"/>
          <w:lang w:val="en-US"/>
        </w:rPr>
        <w:t xml:space="preserve"> themselves speak on behalf of either their clan or the </w:t>
      </w:r>
      <w:proofErr w:type="spellStart"/>
      <w:r w:rsidR="00461F46" w:rsidRPr="00E83269">
        <w:rPr>
          <w:rFonts w:ascii="Verdana" w:hAnsi="Verdana"/>
          <w:sz w:val="20"/>
          <w:lang w:val="en-US"/>
        </w:rPr>
        <w:t>Saramaka</w:t>
      </w:r>
      <w:proofErr w:type="spellEnd"/>
      <w:r w:rsidR="00461F46" w:rsidRPr="00E83269">
        <w:rPr>
          <w:rFonts w:ascii="Verdana" w:hAnsi="Verdana"/>
          <w:sz w:val="20"/>
          <w:lang w:val="en-US"/>
        </w:rPr>
        <w:t xml:space="preserve"> as a whole</w:t>
      </w:r>
      <w:r w:rsidR="00D9597C" w:rsidRPr="00E83269">
        <w:rPr>
          <w:rFonts w:ascii="Verdana" w:hAnsi="Verdana"/>
          <w:sz w:val="20"/>
          <w:lang w:val="en-US"/>
        </w:rPr>
        <w:t>”.</w:t>
      </w:r>
      <w:bookmarkEnd w:id="39"/>
    </w:p>
    <w:p w14:paraId="4D18EAA9" w14:textId="77777777" w:rsidR="00D9597C" w:rsidRPr="005666D9" w:rsidRDefault="00D9597C" w:rsidP="00D9597C">
      <w:pPr>
        <w:jc w:val="both"/>
        <w:rPr>
          <w:rFonts w:ascii="Verdana" w:hAnsi="Verdana"/>
          <w:sz w:val="16"/>
          <w:szCs w:val="16"/>
          <w:lang w:val="en-US"/>
        </w:rPr>
      </w:pPr>
    </w:p>
    <w:p w14:paraId="66BB6FFD" w14:textId="01E07457" w:rsidR="002A660F" w:rsidRPr="00E83269" w:rsidRDefault="00D03915" w:rsidP="00D9597C">
      <w:pPr>
        <w:pStyle w:val="ListParagraph"/>
        <w:numPr>
          <w:ilvl w:val="0"/>
          <w:numId w:val="2"/>
        </w:numPr>
        <w:ind w:left="0" w:firstLine="0"/>
        <w:jc w:val="both"/>
        <w:rPr>
          <w:rFonts w:ascii="Verdana" w:hAnsi="Verdana"/>
          <w:sz w:val="18"/>
          <w:szCs w:val="18"/>
          <w:lang w:val="en-US"/>
        </w:rPr>
      </w:pPr>
      <w:r w:rsidRPr="00E83269">
        <w:rPr>
          <w:rFonts w:ascii="Verdana" w:hAnsi="Verdana"/>
          <w:sz w:val="20"/>
          <w:szCs w:val="18"/>
          <w:lang w:val="en-US"/>
        </w:rPr>
        <w:lastRenderedPageBreak/>
        <w:t xml:space="preserve">Meanwhile, the </w:t>
      </w:r>
      <w:r w:rsidRPr="005F7AE5">
        <w:rPr>
          <w:rFonts w:ascii="Verdana" w:hAnsi="Verdana"/>
          <w:i/>
          <w:sz w:val="20"/>
          <w:szCs w:val="18"/>
          <w:lang w:val="en-US"/>
        </w:rPr>
        <w:t>Commission</w:t>
      </w:r>
      <w:r w:rsidRPr="00E83269">
        <w:rPr>
          <w:rFonts w:ascii="Verdana" w:hAnsi="Verdana"/>
          <w:sz w:val="20"/>
          <w:szCs w:val="18"/>
          <w:lang w:val="en-US"/>
        </w:rPr>
        <w:t xml:space="preserve"> expressed its </w:t>
      </w:r>
      <w:r w:rsidR="00A54B8D" w:rsidRPr="00E83269">
        <w:rPr>
          <w:rFonts w:ascii="Verdana" w:hAnsi="Verdana"/>
          <w:sz w:val="20"/>
          <w:szCs w:val="18"/>
          <w:lang w:val="en-US"/>
        </w:rPr>
        <w:t>“</w:t>
      </w:r>
      <w:r w:rsidR="00D80FA6" w:rsidRPr="00E83269">
        <w:rPr>
          <w:rFonts w:ascii="Verdana" w:hAnsi="Verdana"/>
          <w:sz w:val="20"/>
          <w:szCs w:val="18"/>
          <w:lang w:val="en-US"/>
        </w:rPr>
        <w:t>deep concern regarding the complete lack of measures adopted by Suriname to comply with the measures of reparations ordered by the Court</w:t>
      </w:r>
      <w:r w:rsidR="00A54B8D" w:rsidRPr="00E83269">
        <w:rPr>
          <w:rFonts w:ascii="Verdana" w:hAnsi="Verdana"/>
          <w:sz w:val="20"/>
          <w:szCs w:val="18"/>
          <w:lang w:val="en-US"/>
        </w:rPr>
        <w:t>”</w:t>
      </w:r>
      <w:bookmarkEnd w:id="40"/>
      <w:r w:rsidR="00D80FA6" w:rsidRPr="00E83269">
        <w:rPr>
          <w:rFonts w:ascii="Verdana" w:hAnsi="Verdana"/>
          <w:sz w:val="20"/>
          <w:szCs w:val="18"/>
          <w:lang w:val="en-US"/>
        </w:rPr>
        <w:t>.</w:t>
      </w:r>
    </w:p>
    <w:p w14:paraId="3FC424FD" w14:textId="77777777" w:rsidR="00515461" w:rsidRPr="00D80FA6" w:rsidRDefault="00515461" w:rsidP="00515461">
      <w:pPr>
        <w:pStyle w:val="ListParagraph"/>
        <w:rPr>
          <w:rFonts w:ascii="Verdana" w:hAnsi="Verdana"/>
          <w:sz w:val="18"/>
          <w:szCs w:val="18"/>
          <w:lang w:val="en-US"/>
        </w:rPr>
      </w:pPr>
    </w:p>
    <w:p w14:paraId="62CBC850" w14:textId="3556A2E9" w:rsidR="00515461" w:rsidRPr="00525E62" w:rsidRDefault="00290E62" w:rsidP="00290E62">
      <w:pPr>
        <w:pStyle w:val="ListParagraph"/>
        <w:numPr>
          <w:ilvl w:val="0"/>
          <w:numId w:val="2"/>
        </w:numPr>
        <w:ind w:left="0" w:firstLine="0"/>
        <w:jc w:val="both"/>
        <w:rPr>
          <w:rFonts w:ascii="Verdana" w:hAnsi="Verdana"/>
          <w:sz w:val="20"/>
          <w:lang w:val="en-US"/>
        </w:rPr>
      </w:pPr>
      <w:r w:rsidRPr="00525E62">
        <w:rPr>
          <w:rFonts w:ascii="Verdana" w:hAnsi="Verdana"/>
          <w:sz w:val="20"/>
          <w:lang w:val="en-US"/>
        </w:rPr>
        <w:t xml:space="preserve">Subsequently, in a note </w:t>
      </w:r>
      <w:r w:rsidR="006863BE" w:rsidRPr="00525E62">
        <w:rPr>
          <w:rFonts w:ascii="Verdana" w:hAnsi="Verdana"/>
          <w:sz w:val="20"/>
          <w:lang w:val="en-US"/>
        </w:rPr>
        <w:t>of December 2015 sent by</w:t>
      </w:r>
      <w:r w:rsidRPr="00525E62">
        <w:rPr>
          <w:rFonts w:ascii="Verdana" w:hAnsi="Verdana"/>
          <w:sz w:val="20"/>
          <w:lang w:val="en-US"/>
        </w:rPr>
        <w:t xml:space="preserve"> the Court’s Secretariat on the instructions of its President, the State was requested to present a report concerning compliance with the judgment that took into account the observations of the representatives of the victims and of the Commission</w:t>
      </w:r>
      <w:r w:rsidR="00515461" w:rsidRPr="00525E62">
        <w:rPr>
          <w:rFonts w:ascii="Verdana" w:hAnsi="Verdana"/>
          <w:sz w:val="20"/>
          <w:lang w:val="en-US"/>
        </w:rPr>
        <w:t xml:space="preserve"> (</w:t>
      </w:r>
      <w:r w:rsidR="00515461" w:rsidRPr="00525E62">
        <w:rPr>
          <w:rFonts w:ascii="Verdana" w:hAnsi="Verdana"/>
          <w:i/>
          <w:sz w:val="20"/>
          <w:lang w:val="en-US"/>
        </w:rPr>
        <w:t>supra</w:t>
      </w:r>
      <w:r w:rsidR="00515461" w:rsidRPr="00525E62">
        <w:rPr>
          <w:rFonts w:ascii="Verdana" w:hAnsi="Verdana"/>
          <w:sz w:val="20"/>
          <w:lang w:val="en-US"/>
        </w:rPr>
        <w:t xml:space="preserve"> </w:t>
      </w:r>
      <w:proofErr w:type="spellStart"/>
      <w:r w:rsidR="007F7CF1" w:rsidRPr="00525E62">
        <w:rPr>
          <w:rFonts w:ascii="Verdana" w:hAnsi="Verdana"/>
          <w:i/>
          <w:sz w:val="20"/>
          <w:lang w:val="en-US"/>
        </w:rPr>
        <w:t>considerandum</w:t>
      </w:r>
      <w:proofErr w:type="spellEnd"/>
      <w:r w:rsidR="00515461"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_Ref530057716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41</w:t>
      </w:r>
      <w:r w:rsidR="001413FA">
        <w:rPr>
          <w:rFonts w:ascii="Verdana" w:hAnsi="Verdana"/>
          <w:sz w:val="20"/>
          <w:lang w:val="en-US"/>
        </w:rPr>
        <w:fldChar w:fldCharType="end"/>
      </w:r>
      <w:r w:rsidR="00515461" w:rsidRPr="00525E62">
        <w:rPr>
          <w:rFonts w:ascii="Verdana" w:hAnsi="Verdana"/>
          <w:sz w:val="20"/>
          <w:lang w:val="en-US"/>
        </w:rPr>
        <w:t xml:space="preserve">). </w:t>
      </w:r>
      <w:r w:rsidRPr="00525E62">
        <w:rPr>
          <w:rFonts w:ascii="Verdana" w:hAnsi="Verdana"/>
          <w:sz w:val="20"/>
          <w:lang w:val="en-US"/>
        </w:rPr>
        <w:t xml:space="preserve">Despite the reminders sent </w:t>
      </w:r>
      <w:r w:rsidR="006863BE" w:rsidRPr="00525E62">
        <w:rPr>
          <w:rFonts w:ascii="Verdana" w:hAnsi="Verdana"/>
          <w:sz w:val="20"/>
          <w:lang w:val="en-US"/>
        </w:rPr>
        <w:t xml:space="preserve">subsequently </w:t>
      </w:r>
      <w:r w:rsidRPr="00525E62">
        <w:rPr>
          <w:rFonts w:ascii="Verdana" w:hAnsi="Verdana"/>
          <w:sz w:val="20"/>
          <w:lang w:val="en-US"/>
        </w:rPr>
        <w:t xml:space="preserve">by the President of the Court in notes from the Secretariat </w:t>
      </w:r>
      <w:r w:rsidR="003F4258" w:rsidRPr="00525E62">
        <w:rPr>
          <w:rFonts w:ascii="Verdana" w:hAnsi="Verdana"/>
          <w:sz w:val="20"/>
          <w:lang w:val="en-US"/>
        </w:rPr>
        <w:t>(</w:t>
      </w:r>
      <w:r w:rsidR="003F4258" w:rsidRPr="00525E62">
        <w:rPr>
          <w:rFonts w:ascii="Verdana" w:hAnsi="Verdana"/>
          <w:i/>
          <w:sz w:val="20"/>
          <w:lang w:val="en-US"/>
        </w:rPr>
        <w:t>supra</w:t>
      </w:r>
      <w:r w:rsidR="003F4258" w:rsidRPr="00525E62">
        <w:rPr>
          <w:rFonts w:ascii="Verdana" w:hAnsi="Verdana"/>
          <w:sz w:val="20"/>
          <w:lang w:val="en-US"/>
        </w:rPr>
        <w:t xml:space="preserve"> </w:t>
      </w:r>
      <w:r w:rsidR="00B15139" w:rsidRPr="00525E62">
        <w:rPr>
          <w:rFonts w:ascii="Verdana" w:hAnsi="Verdana"/>
          <w:sz w:val="20"/>
          <w:lang w:val="en-US"/>
        </w:rPr>
        <w:t>having seen paragraph</w:t>
      </w:r>
      <w:r w:rsidR="00F01F5F"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_Ref530057328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11</w:t>
      </w:r>
      <w:r w:rsidR="001413FA">
        <w:rPr>
          <w:rFonts w:ascii="Verdana" w:hAnsi="Verdana"/>
          <w:sz w:val="20"/>
          <w:lang w:val="en-US"/>
        </w:rPr>
        <w:fldChar w:fldCharType="end"/>
      </w:r>
      <w:r w:rsidR="003F4258" w:rsidRPr="00525E62">
        <w:rPr>
          <w:rFonts w:ascii="Verdana" w:hAnsi="Verdana"/>
          <w:sz w:val="20"/>
          <w:lang w:val="en-US"/>
        </w:rPr>
        <w:t>)</w:t>
      </w:r>
      <w:r w:rsidR="00515461" w:rsidRPr="00525E62">
        <w:rPr>
          <w:rFonts w:ascii="Verdana" w:hAnsi="Verdana"/>
          <w:sz w:val="20"/>
          <w:lang w:val="en-US"/>
        </w:rPr>
        <w:t xml:space="preserve">, </w:t>
      </w:r>
      <w:r w:rsidR="005D679B" w:rsidRPr="00525E62">
        <w:rPr>
          <w:rFonts w:ascii="Verdana" w:hAnsi="Verdana"/>
          <w:sz w:val="20"/>
          <w:lang w:val="en-US"/>
        </w:rPr>
        <w:t>the State</w:t>
      </w:r>
      <w:r w:rsidR="00515461" w:rsidRPr="00525E62">
        <w:rPr>
          <w:rFonts w:ascii="Verdana" w:hAnsi="Verdana"/>
          <w:sz w:val="20"/>
          <w:lang w:val="en-US"/>
        </w:rPr>
        <w:t xml:space="preserve"> </w:t>
      </w:r>
      <w:r w:rsidRPr="00525E62">
        <w:rPr>
          <w:rFonts w:ascii="Verdana" w:hAnsi="Verdana"/>
          <w:sz w:val="20"/>
          <w:lang w:val="en-US"/>
        </w:rPr>
        <w:t>failed to present any additional information that would identify the actions take</w:t>
      </w:r>
      <w:r w:rsidR="006863BE" w:rsidRPr="00525E62">
        <w:rPr>
          <w:rFonts w:ascii="Verdana" w:hAnsi="Verdana"/>
          <w:sz w:val="20"/>
          <w:lang w:val="en-US"/>
        </w:rPr>
        <w:t>n</w:t>
      </w:r>
      <w:r w:rsidRPr="00525E62">
        <w:rPr>
          <w:rFonts w:ascii="Verdana" w:hAnsi="Verdana"/>
          <w:sz w:val="20"/>
          <w:lang w:val="en-US"/>
        </w:rPr>
        <w:t xml:space="preserve"> to overcome the obstacles to compliance with </w:t>
      </w:r>
      <w:r w:rsidR="002462D1" w:rsidRPr="00525E62">
        <w:rPr>
          <w:rFonts w:ascii="Verdana" w:hAnsi="Verdana"/>
          <w:sz w:val="20"/>
          <w:lang w:val="en-US"/>
        </w:rPr>
        <w:t xml:space="preserve">the </w:t>
      </w:r>
      <w:r w:rsidR="00C93224" w:rsidRPr="00525E62">
        <w:rPr>
          <w:rFonts w:ascii="Verdana" w:hAnsi="Verdana"/>
          <w:sz w:val="20"/>
          <w:lang w:val="en-US"/>
        </w:rPr>
        <w:t>judgment</w:t>
      </w:r>
      <w:r w:rsidR="00515461" w:rsidRPr="00525E62">
        <w:rPr>
          <w:rFonts w:ascii="Verdana" w:hAnsi="Verdana"/>
          <w:sz w:val="20"/>
          <w:lang w:val="en-US"/>
        </w:rPr>
        <w:t>.</w:t>
      </w:r>
      <w:r w:rsidR="00B41004" w:rsidRPr="00525E62">
        <w:rPr>
          <w:rFonts w:ascii="Verdana" w:hAnsi="Verdana"/>
          <w:sz w:val="20"/>
          <w:lang w:val="en-US"/>
        </w:rPr>
        <w:t xml:space="preserve"> </w:t>
      </w:r>
    </w:p>
    <w:p w14:paraId="3ED08D10" w14:textId="77777777" w:rsidR="002A660F" w:rsidRPr="00525E62" w:rsidRDefault="00632F2F" w:rsidP="002A660F">
      <w:pPr>
        <w:pStyle w:val="ListParagraph"/>
        <w:ind w:left="0"/>
        <w:jc w:val="both"/>
        <w:rPr>
          <w:rFonts w:ascii="Verdana" w:hAnsi="Verdana"/>
          <w:sz w:val="18"/>
          <w:szCs w:val="18"/>
          <w:lang w:val="en-US"/>
        </w:rPr>
      </w:pPr>
      <w:r w:rsidRPr="00525E62">
        <w:rPr>
          <w:rFonts w:ascii="Verdana" w:hAnsi="Verdana"/>
          <w:sz w:val="20"/>
          <w:szCs w:val="18"/>
          <w:lang w:val="en-US"/>
        </w:rPr>
        <w:t xml:space="preserve"> </w:t>
      </w:r>
      <w:bookmarkStart w:id="41" w:name="_Ref437251222"/>
    </w:p>
    <w:p w14:paraId="4F20646F" w14:textId="3306E647" w:rsidR="007F38E8" w:rsidRPr="00525E62" w:rsidRDefault="00C93224" w:rsidP="000C70BE">
      <w:pPr>
        <w:pStyle w:val="ListParagraph"/>
        <w:numPr>
          <w:ilvl w:val="0"/>
          <w:numId w:val="2"/>
        </w:numPr>
        <w:ind w:left="0" w:firstLine="0"/>
        <w:jc w:val="both"/>
        <w:rPr>
          <w:rFonts w:ascii="Verdana" w:hAnsi="Verdana"/>
          <w:sz w:val="18"/>
          <w:szCs w:val="18"/>
          <w:lang w:val="en-US"/>
        </w:rPr>
      </w:pPr>
      <w:bookmarkStart w:id="42" w:name="_Ref526763753"/>
      <w:bookmarkStart w:id="43" w:name="_Ref530057664"/>
      <w:r w:rsidRPr="00525E62">
        <w:rPr>
          <w:rFonts w:ascii="Verdana" w:hAnsi="Verdana"/>
          <w:sz w:val="20"/>
          <w:lang w:val="en-US"/>
        </w:rPr>
        <w:t>The Court</w:t>
      </w:r>
      <w:r w:rsidR="00374CE5" w:rsidRPr="00525E62">
        <w:rPr>
          <w:rFonts w:ascii="Verdana" w:hAnsi="Verdana"/>
          <w:sz w:val="20"/>
          <w:lang w:val="en-US"/>
        </w:rPr>
        <w:t xml:space="preserve"> </w:t>
      </w:r>
      <w:r w:rsidR="002C5BB9" w:rsidRPr="00525E62">
        <w:rPr>
          <w:rFonts w:ascii="Verdana" w:hAnsi="Verdana"/>
          <w:sz w:val="20"/>
          <w:lang w:val="en-US"/>
        </w:rPr>
        <w:t>consider</w:t>
      </w:r>
      <w:r w:rsidR="008905D9" w:rsidRPr="00525E62">
        <w:rPr>
          <w:rFonts w:ascii="Verdana" w:hAnsi="Verdana"/>
          <w:sz w:val="20"/>
          <w:lang w:val="en-US"/>
        </w:rPr>
        <w:t xml:space="preserve">s that </w:t>
      </w:r>
      <w:r w:rsidR="005D679B" w:rsidRPr="00525E62">
        <w:rPr>
          <w:rFonts w:ascii="Verdana" w:hAnsi="Verdana"/>
          <w:sz w:val="20"/>
          <w:lang w:val="en-US"/>
        </w:rPr>
        <w:t>the State</w:t>
      </w:r>
      <w:r w:rsidR="00374CE5" w:rsidRPr="00525E62">
        <w:rPr>
          <w:rFonts w:ascii="Verdana" w:hAnsi="Verdana"/>
          <w:sz w:val="20"/>
          <w:lang w:val="en-US"/>
        </w:rPr>
        <w:t xml:space="preserve"> </w:t>
      </w:r>
      <w:r w:rsidR="008905D9" w:rsidRPr="00525E62">
        <w:rPr>
          <w:rFonts w:ascii="Verdana" w:hAnsi="Verdana"/>
          <w:sz w:val="20"/>
          <w:lang w:val="en-US"/>
        </w:rPr>
        <w:t>has not submitted information that would allow it to assess the degree of compliance with the five measures of reparation referred to in thi</w:t>
      </w:r>
      <w:r w:rsidR="00895D3A" w:rsidRPr="00525E62">
        <w:rPr>
          <w:rFonts w:ascii="Verdana" w:hAnsi="Verdana"/>
          <w:sz w:val="20"/>
          <w:lang w:val="en-US"/>
        </w:rPr>
        <w:t>s</w:t>
      </w:r>
      <w:r w:rsidR="008905D9" w:rsidRPr="00525E62">
        <w:rPr>
          <w:rFonts w:ascii="Verdana" w:hAnsi="Verdana"/>
          <w:sz w:val="20"/>
          <w:lang w:val="en-US"/>
        </w:rPr>
        <w:t xml:space="preserve"> section. In this regard, </w:t>
      </w:r>
      <w:r w:rsidR="00895D3A" w:rsidRPr="00525E62">
        <w:rPr>
          <w:rFonts w:ascii="Verdana" w:hAnsi="Verdana"/>
          <w:sz w:val="20"/>
          <w:lang w:val="en-US"/>
        </w:rPr>
        <w:t>although more t</w:t>
      </w:r>
      <w:r w:rsidR="006863BE" w:rsidRPr="00525E62">
        <w:rPr>
          <w:rFonts w:ascii="Verdana" w:hAnsi="Verdana"/>
          <w:sz w:val="20"/>
          <w:lang w:val="en-US"/>
        </w:rPr>
        <w:t>h</w:t>
      </w:r>
      <w:r w:rsidR="00895D3A" w:rsidRPr="00525E62">
        <w:rPr>
          <w:rFonts w:ascii="Verdana" w:hAnsi="Verdana"/>
          <w:sz w:val="20"/>
          <w:lang w:val="en-US"/>
        </w:rPr>
        <w:t xml:space="preserve">an ten years have </w:t>
      </w:r>
      <w:r w:rsidR="006863BE" w:rsidRPr="00525E62">
        <w:rPr>
          <w:rFonts w:ascii="Verdana" w:hAnsi="Verdana"/>
          <w:sz w:val="20"/>
          <w:lang w:val="en-US"/>
        </w:rPr>
        <w:t>pas</w:t>
      </w:r>
      <w:r w:rsidR="00895D3A" w:rsidRPr="00525E62">
        <w:rPr>
          <w:rFonts w:ascii="Verdana" w:hAnsi="Verdana"/>
          <w:sz w:val="20"/>
          <w:lang w:val="en-US"/>
        </w:rPr>
        <w:t xml:space="preserve">sed since notification </w:t>
      </w:r>
      <w:bookmarkEnd w:id="42"/>
      <w:r w:rsidR="002462D1" w:rsidRPr="00525E62">
        <w:rPr>
          <w:rFonts w:ascii="Verdana" w:hAnsi="Verdana"/>
          <w:sz w:val="20"/>
          <w:lang w:val="en-US"/>
        </w:rPr>
        <w:t xml:space="preserve">of the </w:t>
      </w:r>
      <w:r w:rsidRPr="00525E62">
        <w:rPr>
          <w:rFonts w:ascii="Verdana" w:hAnsi="Verdana"/>
          <w:sz w:val="20"/>
          <w:lang w:val="en-US"/>
        </w:rPr>
        <w:t>judgment</w:t>
      </w:r>
      <w:r w:rsidR="00500436" w:rsidRPr="00525E62">
        <w:rPr>
          <w:rFonts w:ascii="Verdana" w:hAnsi="Verdana"/>
          <w:sz w:val="20"/>
          <w:lang w:val="en-US"/>
        </w:rPr>
        <w:t xml:space="preserve"> </w:t>
      </w:r>
      <w:r w:rsidR="00895D3A" w:rsidRPr="00525E62">
        <w:rPr>
          <w:rFonts w:ascii="Verdana" w:hAnsi="Verdana"/>
          <w:sz w:val="20"/>
          <w:lang w:val="en-US"/>
        </w:rPr>
        <w:t>of</w:t>
      </w:r>
      <w:r w:rsidR="00500436" w:rsidRPr="00525E62">
        <w:rPr>
          <w:rFonts w:ascii="Verdana" w:hAnsi="Verdana"/>
          <w:sz w:val="20"/>
          <w:lang w:val="en-US"/>
        </w:rPr>
        <w:t xml:space="preserve"> </w:t>
      </w:r>
      <w:r w:rsidRPr="00525E62">
        <w:rPr>
          <w:rFonts w:ascii="Verdana" w:hAnsi="Verdana"/>
          <w:sz w:val="20"/>
          <w:lang w:val="en-US"/>
        </w:rPr>
        <w:t>November 28,</w:t>
      </w:r>
      <w:r w:rsidR="00500436" w:rsidRPr="00525E62">
        <w:rPr>
          <w:rFonts w:ascii="Verdana" w:hAnsi="Verdana"/>
          <w:sz w:val="20"/>
          <w:lang w:val="en-US"/>
        </w:rPr>
        <w:t xml:space="preserve"> 2007 (</w:t>
      </w:r>
      <w:r w:rsidR="00500436" w:rsidRPr="00525E62">
        <w:rPr>
          <w:rFonts w:ascii="Verdana" w:hAnsi="Verdana"/>
          <w:i/>
          <w:sz w:val="20"/>
          <w:lang w:val="en-US"/>
        </w:rPr>
        <w:t>supra</w:t>
      </w:r>
      <w:r w:rsidR="00500436" w:rsidRPr="00525E62">
        <w:rPr>
          <w:rFonts w:ascii="Verdana" w:hAnsi="Verdana"/>
          <w:sz w:val="20"/>
          <w:lang w:val="en-US"/>
        </w:rPr>
        <w:t xml:space="preserve"> </w:t>
      </w:r>
      <w:r w:rsidR="00B15139" w:rsidRPr="00525E62">
        <w:rPr>
          <w:rFonts w:ascii="Verdana" w:hAnsi="Verdana"/>
          <w:sz w:val="20"/>
          <w:lang w:val="en-US"/>
        </w:rPr>
        <w:t>having seen paragraph</w:t>
      </w:r>
      <w:r w:rsidR="00500436"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_Ref437273668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w:t>
      </w:r>
      <w:r w:rsidR="001413FA">
        <w:rPr>
          <w:rFonts w:ascii="Verdana" w:hAnsi="Verdana"/>
          <w:sz w:val="20"/>
          <w:lang w:val="en-US"/>
        </w:rPr>
        <w:fldChar w:fldCharType="end"/>
      </w:r>
      <w:r w:rsidR="00500436" w:rsidRPr="00525E62">
        <w:rPr>
          <w:rFonts w:ascii="Verdana" w:hAnsi="Verdana"/>
          <w:sz w:val="20"/>
          <w:lang w:val="en-US"/>
        </w:rPr>
        <w:t>)</w:t>
      </w:r>
      <w:r w:rsidR="0005569D" w:rsidRPr="00525E62">
        <w:rPr>
          <w:rFonts w:ascii="Verdana" w:hAnsi="Verdana"/>
          <w:sz w:val="20"/>
          <w:lang w:val="en-US"/>
        </w:rPr>
        <w:t>,</w:t>
      </w:r>
      <w:r w:rsidR="00826D54" w:rsidRPr="00525E62">
        <w:rPr>
          <w:rFonts w:ascii="Verdana" w:hAnsi="Verdana"/>
          <w:sz w:val="20"/>
          <w:lang w:val="en-US"/>
        </w:rPr>
        <w:t xml:space="preserve"> </w:t>
      </w:r>
      <w:r w:rsidR="005D679B" w:rsidRPr="00525E62">
        <w:rPr>
          <w:rFonts w:ascii="Verdana" w:hAnsi="Verdana"/>
          <w:sz w:val="20"/>
          <w:lang w:val="en-US"/>
        </w:rPr>
        <w:t>the State</w:t>
      </w:r>
      <w:r w:rsidR="00826D54" w:rsidRPr="00525E62">
        <w:rPr>
          <w:rFonts w:ascii="Verdana" w:hAnsi="Verdana"/>
          <w:sz w:val="20"/>
          <w:lang w:val="en-US"/>
        </w:rPr>
        <w:t xml:space="preserve"> </w:t>
      </w:r>
      <w:r w:rsidR="00895D3A" w:rsidRPr="00525E62">
        <w:rPr>
          <w:rFonts w:ascii="Verdana" w:hAnsi="Verdana"/>
          <w:sz w:val="20"/>
          <w:lang w:val="en-US"/>
        </w:rPr>
        <w:t>has not submitted information that would allow the Court to identify any progress made towards compliance with the said reparations.</w:t>
      </w:r>
      <w:bookmarkEnd w:id="43"/>
      <w:r w:rsidR="00895D3A" w:rsidRPr="00525E62">
        <w:rPr>
          <w:rFonts w:ascii="Verdana" w:hAnsi="Verdana"/>
          <w:sz w:val="20"/>
          <w:lang w:val="en-US"/>
        </w:rPr>
        <w:t xml:space="preserve"> </w:t>
      </w:r>
    </w:p>
    <w:p w14:paraId="28B9DB08" w14:textId="77777777" w:rsidR="000C70BE" w:rsidRPr="00525E62" w:rsidRDefault="000C70BE" w:rsidP="000C70BE">
      <w:pPr>
        <w:pStyle w:val="ListParagraph"/>
        <w:ind w:left="0"/>
        <w:jc w:val="both"/>
        <w:rPr>
          <w:rFonts w:ascii="Verdana" w:hAnsi="Verdana"/>
          <w:sz w:val="18"/>
          <w:szCs w:val="18"/>
          <w:lang w:val="en-US"/>
        </w:rPr>
      </w:pPr>
    </w:p>
    <w:p w14:paraId="633D1057" w14:textId="282FEC60" w:rsidR="008D1E11" w:rsidRPr="00525E62" w:rsidRDefault="006863BE" w:rsidP="008D1E11">
      <w:pPr>
        <w:pStyle w:val="ListParagraph"/>
        <w:numPr>
          <w:ilvl w:val="0"/>
          <w:numId w:val="2"/>
        </w:numPr>
        <w:ind w:left="0" w:firstLine="0"/>
        <w:jc w:val="both"/>
        <w:rPr>
          <w:rFonts w:ascii="Verdana" w:hAnsi="Verdana"/>
          <w:sz w:val="18"/>
          <w:szCs w:val="18"/>
          <w:lang w:val="en-US"/>
        </w:rPr>
      </w:pPr>
      <w:bookmarkStart w:id="44" w:name="_Ref526763764"/>
      <w:bookmarkStart w:id="45" w:name="_Ref530057672"/>
      <w:r w:rsidRPr="00525E62">
        <w:rPr>
          <w:rFonts w:ascii="Verdana" w:hAnsi="Verdana"/>
          <w:sz w:val="20"/>
          <w:lang w:val="en-US"/>
        </w:rPr>
        <w:t>A State’s</w:t>
      </w:r>
      <w:r w:rsidR="00895D3A" w:rsidRPr="00525E62">
        <w:rPr>
          <w:rFonts w:ascii="Verdana" w:hAnsi="Verdana"/>
          <w:sz w:val="20"/>
          <w:lang w:val="en-US"/>
        </w:rPr>
        <w:t xml:space="preserve"> inactivity before </w:t>
      </w:r>
      <w:r w:rsidRPr="00525E62">
        <w:rPr>
          <w:rFonts w:ascii="Verdana" w:hAnsi="Verdana"/>
          <w:sz w:val="20"/>
          <w:lang w:val="en-US"/>
        </w:rPr>
        <w:t>the</w:t>
      </w:r>
      <w:r w:rsidR="00895D3A" w:rsidRPr="00525E62">
        <w:rPr>
          <w:rFonts w:ascii="Verdana" w:hAnsi="Verdana"/>
          <w:sz w:val="20"/>
          <w:lang w:val="en-US"/>
        </w:rPr>
        <w:t xml:space="preserve"> international human rights jurisdiction is contrary to the object, purpose and spirit </w:t>
      </w:r>
      <w:r w:rsidR="00C93224" w:rsidRPr="00525E62">
        <w:rPr>
          <w:rFonts w:ascii="Verdana" w:hAnsi="Verdana" w:cs="Arial"/>
          <w:sz w:val="20"/>
          <w:lang w:val="en-US"/>
        </w:rPr>
        <w:t xml:space="preserve">of </w:t>
      </w:r>
      <w:r w:rsidR="002462D1" w:rsidRPr="00525E62">
        <w:rPr>
          <w:rFonts w:ascii="Verdana" w:hAnsi="Verdana" w:cs="Arial"/>
          <w:sz w:val="20"/>
          <w:lang w:val="en-US"/>
        </w:rPr>
        <w:t>the American Convention</w:t>
      </w:r>
      <w:r w:rsidR="00895D3A" w:rsidRPr="00525E62">
        <w:rPr>
          <w:rFonts w:ascii="Verdana" w:hAnsi="Verdana" w:cs="Arial"/>
          <w:sz w:val="20"/>
          <w:lang w:val="en-US"/>
        </w:rPr>
        <w:t>.</w:t>
      </w:r>
      <w:r w:rsidR="00E54903" w:rsidRPr="00525E62">
        <w:rPr>
          <w:rStyle w:val="FootnoteReference"/>
          <w:rFonts w:ascii="Verdana" w:hAnsi="Verdana" w:cs="Arial"/>
          <w:sz w:val="20"/>
          <w:lang w:val="en-US"/>
        </w:rPr>
        <w:footnoteReference w:id="37"/>
      </w:r>
      <w:r w:rsidR="00E54903" w:rsidRPr="00525E62">
        <w:rPr>
          <w:rFonts w:ascii="Verdana" w:hAnsi="Verdana" w:cs="Arial"/>
          <w:sz w:val="20"/>
          <w:lang w:val="en-US"/>
        </w:rPr>
        <w:t xml:space="preserve"> </w:t>
      </w:r>
      <w:r w:rsidR="00895D3A" w:rsidRPr="00525E62">
        <w:rPr>
          <w:rFonts w:ascii="Verdana" w:hAnsi="Verdana" w:cs="Arial"/>
          <w:sz w:val="20"/>
          <w:lang w:val="en-US"/>
        </w:rPr>
        <w:t>In this regard, at the stage of monitoring compliance with judgment in other case</w:t>
      </w:r>
      <w:r w:rsidRPr="00525E62">
        <w:rPr>
          <w:rFonts w:ascii="Verdana" w:hAnsi="Verdana" w:cs="Arial"/>
          <w:sz w:val="20"/>
          <w:lang w:val="en-US"/>
        </w:rPr>
        <w:t>s</w:t>
      </w:r>
      <w:r w:rsidR="00895D3A" w:rsidRPr="00525E62">
        <w:rPr>
          <w:rFonts w:ascii="Verdana" w:hAnsi="Verdana" w:cs="Arial"/>
          <w:sz w:val="20"/>
          <w:lang w:val="en-US"/>
        </w:rPr>
        <w:t>,</w:t>
      </w:r>
      <w:r w:rsidR="00E54903" w:rsidRPr="00525E62">
        <w:rPr>
          <w:rStyle w:val="FootnoteReference"/>
          <w:rFonts w:ascii="Verdana" w:hAnsi="Verdana"/>
          <w:sz w:val="20"/>
          <w:lang w:val="en-US"/>
        </w:rPr>
        <w:footnoteReference w:id="38"/>
      </w:r>
      <w:r w:rsidR="00E54903" w:rsidRPr="00525E62">
        <w:rPr>
          <w:rFonts w:ascii="Verdana" w:hAnsi="Verdana"/>
          <w:sz w:val="20"/>
          <w:lang w:val="en-US"/>
        </w:rPr>
        <w:t xml:space="preserve"> </w:t>
      </w:r>
      <w:r w:rsidR="00C93224" w:rsidRPr="00525E62">
        <w:rPr>
          <w:rFonts w:ascii="Verdana" w:hAnsi="Verdana"/>
          <w:sz w:val="20"/>
          <w:lang w:val="en-US"/>
        </w:rPr>
        <w:t>the Court</w:t>
      </w:r>
      <w:r w:rsidR="00E54903" w:rsidRPr="00525E62">
        <w:rPr>
          <w:rFonts w:ascii="Verdana" w:hAnsi="Verdana"/>
          <w:sz w:val="20"/>
          <w:lang w:val="en-US"/>
        </w:rPr>
        <w:t xml:space="preserve"> ha</w:t>
      </w:r>
      <w:r w:rsidR="00895D3A" w:rsidRPr="00525E62">
        <w:rPr>
          <w:rFonts w:ascii="Verdana" w:hAnsi="Verdana"/>
          <w:sz w:val="20"/>
          <w:lang w:val="en-US"/>
        </w:rPr>
        <w:t>s established that the State’s neglect of its duty to provide information constitutes non-compliance with the obligations established in Articles</w:t>
      </w:r>
      <w:r w:rsidR="00E54903" w:rsidRPr="00525E62">
        <w:rPr>
          <w:rFonts w:ascii="Verdana" w:hAnsi="Verdana"/>
          <w:sz w:val="20"/>
          <w:lang w:val="en-US"/>
        </w:rPr>
        <w:t xml:space="preserve"> 67 </w:t>
      </w:r>
      <w:r w:rsidR="00895D3A" w:rsidRPr="00525E62">
        <w:rPr>
          <w:rFonts w:ascii="Verdana" w:hAnsi="Verdana"/>
          <w:sz w:val="20"/>
          <w:lang w:val="en-US"/>
        </w:rPr>
        <w:t>and</w:t>
      </w:r>
      <w:r w:rsidR="00E54903" w:rsidRPr="00525E62">
        <w:rPr>
          <w:rFonts w:ascii="Verdana" w:hAnsi="Verdana"/>
          <w:sz w:val="20"/>
          <w:lang w:val="en-US"/>
        </w:rPr>
        <w:t xml:space="preserve"> 68</w:t>
      </w:r>
      <w:bookmarkEnd w:id="41"/>
      <w:bookmarkEnd w:id="44"/>
      <w:r w:rsidR="00895D3A" w:rsidRPr="00525E62">
        <w:rPr>
          <w:rFonts w:ascii="Verdana" w:hAnsi="Verdana"/>
          <w:sz w:val="20"/>
          <w:lang w:val="en-US"/>
        </w:rPr>
        <w:t>(1) of this instrument.</w:t>
      </w:r>
      <w:bookmarkEnd w:id="45"/>
      <w:r w:rsidR="00E54903" w:rsidRPr="00525E62">
        <w:rPr>
          <w:rFonts w:ascii="Verdana" w:hAnsi="Verdana"/>
          <w:sz w:val="20"/>
          <w:lang w:val="en-US"/>
        </w:rPr>
        <w:t xml:space="preserve"> </w:t>
      </w:r>
    </w:p>
    <w:p w14:paraId="4B9AFFCD" w14:textId="29BFFD6B" w:rsidR="008D1E11" w:rsidRPr="00525E62" w:rsidRDefault="00B15139" w:rsidP="00E83269">
      <w:pPr>
        <w:pStyle w:val="Heading1"/>
        <w:numPr>
          <w:ilvl w:val="0"/>
          <w:numId w:val="10"/>
        </w:numPr>
        <w:rPr>
          <w:rFonts w:ascii="Verdana" w:hAnsi="Verdana"/>
          <w:color w:val="auto"/>
          <w:sz w:val="20"/>
          <w:szCs w:val="20"/>
          <w:lang w:val="en-US"/>
        </w:rPr>
      </w:pPr>
      <w:bookmarkStart w:id="46" w:name="_Toc530057348"/>
      <w:r w:rsidRPr="00525E62">
        <w:rPr>
          <w:rFonts w:ascii="Verdana" w:hAnsi="Verdana"/>
          <w:color w:val="auto"/>
          <w:sz w:val="20"/>
          <w:szCs w:val="20"/>
          <w:lang w:val="en-US"/>
        </w:rPr>
        <w:t>Pending report and possible monitoring visit</w:t>
      </w:r>
      <w:bookmarkEnd w:id="46"/>
      <w:r w:rsidR="008D1E11" w:rsidRPr="00525E62">
        <w:rPr>
          <w:rFonts w:ascii="Verdana" w:hAnsi="Verdana"/>
          <w:color w:val="auto"/>
          <w:sz w:val="20"/>
          <w:szCs w:val="20"/>
          <w:lang w:val="en-US"/>
        </w:rPr>
        <w:t xml:space="preserve"> </w:t>
      </w:r>
    </w:p>
    <w:p w14:paraId="6E27E33B" w14:textId="77777777" w:rsidR="001C43DF" w:rsidRPr="00525E62" w:rsidRDefault="001C43DF" w:rsidP="000E3711">
      <w:pPr>
        <w:rPr>
          <w:color w:val="365F91"/>
          <w:lang w:val="en-US"/>
        </w:rPr>
      </w:pPr>
    </w:p>
    <w:p w14:paraId="568D4519" w14:textId="3C668A1C" w:rsidR="00776AEA" w:rsidRPr="00525E62" w:rsidRDefault="00A56734" w:rsidP="001C43DF">
      <w:pPr>
        <w:pStyle w:val="ListParagraph"/>
        <w:numPr>
          <w:ilvl w:val="0"/>
          <w:numId w:val="2"/>
        </w:numPr>
        <w:ind w:left="0" w:firstLine="0"/>
        <w:jc w:val="both"/>
        <w:rPr>
          <w:rFonts w:ascii="Verdana" w:hAnsi="Verdana"/>
          <w:b/>
          <w:sz w:val="20"/>
          <w:lang w:val="en-US"/>
        </w:rPr>
      </w:pPr>
      <w:bookmarkStart w:id="47" w:name="_Ref526851896"/>
      <w:r w:rsidRPr="00525E62">
        <w:rPr>
          <w:rFonts w:ascii="Verdana" w:hAnsi="Verdana"/>
          <w:sz w:val="20"/>
          <w:lang w:val="en-US"/>
        </w:rPr>
        <w:t xml:space="preserve">The time frame granted to the State by the President of the Court to present a report on compliance with all the pending measures of reparation expired on March 17, 2017. Reminders were sent in notes from the Secretariat </w:t>
      </w:r>
      <w:r w:rsidR="00776AEA" w:rsidRPr="00525E62">
        <w:rPr>
          <w:rFonts w:ascii="Verdana" w:hAnsi="Verdana"/>
          <w:sz w:val="20"/>
          <w:lang w:val="en-US"/>
        </w:rPr>
        <w:t>(</w:t>
      </w:r>
      <w:r w:rsidR="00776AEA" w:rsidRPr="00525E62">
        <w:rPr>
          <w:rFonts w:ascii="Verdana" w:hAnsi="Verdana"/>
          <w:i/>
          <w:sz w:val="20"/>
          <w:lang w:val="en-US"/>
        </w:rPr>
        <w:t xml:space="preserve">supra </w:t>
      </w:r>
      <w:r w:rsidR="00B15139" w:rsidRPr="00525E62">
        <w:rPr>
          <w:rFonts w:ascii="Verdana" w:hAnsi="Verdana"/>
          <w:sz w:val="20"/>
          <w:lang w:val="en-US"/>
        </w:rPr>
        <w:t>having seen paragraph</w:t>
      </w:r>
      <w:r w:rsidR="00776AEA"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_Ref530057328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11</w:t>
      </w:r>
      <w:r w:rsidR="001413FA">
        <w:rPr>
          <w:rFonts w:ascii="Verdana" w:hAnsi="Verdana"/>
          <w:sz w:val="20"/>
          <w:lang w:val="en-US"/>
        </w:rPr>
        <w:fldChar w:fldCharType="end"/>
      </w:r>
      <w:r w:rsidR="00776AEA" w:rsidRPr="00525E62">
        <w:rPr>
          <w:rFonts w:ascii="Verdana" w:hAnsi="Verdana"/>
          <w:sz w:val="20"/>
          <w:lang w:val="en-US"/>
        </w:rPr>
        <w:t>)</w:t>
      </w:r>
      <w:r w:rsidRPr="00525E62">
        <w:rPr>
          <w:rFonts w:ascii="Verdana" w:hAnsi="Verdana"/>
          <w:sz w:val="20"/>
          <w:lang w:val="en-US"/>
        </w:rPr>
        <w:t xml:space="preserve">; but the report was not submitted. Consequently, within the time frame established in </w:t>
      </w:r>
      <w:r w:rsidR="00FB50D5" w:rsidRPr="00525E62">
        <w:rPr>
          <w:rFonts w:ascii="Verdana" w:hAnsi="Verdana"/>
          <w:sz w:val="20"/>
          <w:lang w:val="en-US"/>
        </w:rPr>
        <w:t>operative paragraph</w:t>
      </w:r>
      <w:r w:rsidR="00776AEA" w:rsidRPr="00525E62">
        <w:rPr>
          <w:rFonts w:ascii="Verdana" w:hAnsi="Verdana"/>
          <w:sz w:val="20"/>
          <w:lang w:val="en-US"/>
        </w:rPr>
        <w:t xml:space="preserve"> </w:t>
      </w:r>
      <w:r w:rsidR="004C459A" w:rsidRPr="00525E62">
        <w:rPr>
          <w:rFonts w:ascii="Verdana" w:hAnsi="Verdana"/>
          <w:sz w:val="20"/>
          <w:lang w:val="en-US"/>
        </w:rPr>
        <w:fldChar w:fldCharType="begin"/>
      </w:r>
      <w:r w:rsidR="004C459A" w:rsidRPr="00525E62">
        <w:rPr>
          <w:rFonts w:ascii="Verdana" w:hAnsi="Verdana"/>
          <w:sz w:val="20"/>
          <w:lang w:val="en-US"/>
        </w:rPr>
        <w:instrText xml:space="preserve"> REF _Ref526764676 \r \h </w:instrText>
      </w:r>
      <w:r w:rsidR="004C459A" w:rsidRPr="00525E62">
        <w:rPr>
          <w:rFonts w:ascii="Verdana" w:hAnsi="Verdana"/>
          <w:sz w:val="20"/>
          <w:lang w:val="en-US"/>
        </w:rPr>
      </w:r>
      <w:r w:rsidR="004C459A" w:rsidRPr="00525E62">
        <w:rPr>
          <w:rFonts w:ascii="Verdana" w:hAnsi="Verdana"/>
          <w:sz w:val="20"/>
          <w:lang w:val="en-US"/>
        </w:rPr>
        <w:fldChar w:fldCharType="separate"/>
      </w:r>
      <w:r w:rsidR="00980175">
        <w:rPr>
          <w:rFonts w:ascii="Verdana" w:hAnsi="Verdana"/>
          <w:sz w:val="20"/>
          <w:lang w:val="en-US"/>
        </w:rPr>
        <w:t>6</w:t>
      </w:r>
      <w:r w:rsidR="004C459A" w:rsidRPr="00525E62">
        <w:rPr>
          <w:rFonts w:ascii="Verdana" w:hAnsi="Verdana"/>
          <w:sz w:val="20"/>
          <w:lang w:val="en-US"/>
        </w:rPr>
        <w:fldChar w:fldCharType="end"/>
      </w:r>
      <w:r w:rsidR="00776AEA" w:rsidRPr="00525E62">
        <w:rPr>
          <w:rFonts w:ascii="Verdana" w:hAnsi="Verdana"/>
          <w:sz w:val="20"/>
          <w:lang w:val="en-US"/>
        </w:rPr>
        <w:t xml:space="preserve"> </w:t>
      </w:r>
      <w:r w:rsidRPr="00525E62">
        <w:rPr>
          <w:rFonts w:ascii="Verdana" w:hAnsi="Verdana"/>
          <w:sz w:val="20"/>
          <w:lang w:val="en-US"/>
        </w:rPr>
        <w:t xml:space="preserve">of this order, the State is again required to submit a report on compliance with </w:t>
      </w:r>
      <w:r w:rsidR="002462D1" w:rsidRPr="00525E62">
        <w:rPr>
          <w:rFonts w:ascii="Verdana" w:hAnsi="Verdana"/>
          <w:sz w:val="20"/>
          <w:lang w:val="en-US"/>
        </w:rPr>
        <w:t xml:space="preserve">the </w:t>
      </w:r>
      <w:r w:rsidR="00C93224" w:rsidRPr="00525E62">
        <w:rPr>
          <w:rFonts w:ascii="Verdana" w:hAnsi="Verdana"/>
          <w:sz w:val="20"/>
          <w:lang w:val="en-US"/>
        </w:rPr>
        <w:t>judgment</w:t>
      </w:r>
      <w:r w:rsidR="00EF48AB" w:rsidRPr="00525E62">
        <w:rPr>
          <w:rFonts w:ascii="Verdana" w:hAnsi="Verdana"/>
          <w:sz w:val="20"/>
          <w:lang w:val="en-US"/>
        </w:rPr>
        <w:t xml:space="preserve"> </w:t>
      </w:r>
      <w:r w:rsidRPr="00525E62">
        <w:rPr>
          <w:rFonts w:ascii="Verdana" w:hAnsi="Verdana"/>
          <w:sz w:val="20"/>
          <w:lang w:val="en-US"/>
        </w:rPr>
        <w:t>in which it provides updated information on compliance with the pending measures of reparation.</w:t>
      </w:r>
      <w:bookmarkEnd w:id="47"/>
    </w:p>
    <w:p w14:paraId="2999B7A4" w14:textId="77777777" w:rsidR="00776AEA" w:rsidRPr="00525E62" w:rsidRDefault="00776AEA" w:rsidP="00EF48AB">
      <w:pPr>
        <w:pStyle w:val="ListParagraph"/>
        <w:ind w:left="0"/>
        <w:jc w:val="both"/>
        <w:rPr>
          <w:rFonts w:ascii="Verdana" w:hAnsi="Verdana"/>
          <w:b/>
          <w:sz w:val="20"/>
          <w:lang w:val="en-US"/>
        </w:rPr>
      </w:pPr>
    </w:p>
    <w:p w14:paraId="510D536A" w14:textId="2F56DCCA" w:rsidR="00B82AFC" w:rsidRPr="00E83269" w:rsidRDefault="00A56734" w:rsidP="009F6055">
      <w:pPr>
        <w:pStyle w:val="ListParagraph"/>
        <w:numPr>
          <w:ilvl w:val="0"/>
          <w:numId w:val="2"/>
        </w:numPr>
        <w:ind w:left="0" w:firstLine="0"/>
        <w:jc w:val="both"/>
        <w:rPr>
          <w:rFonts w:ascii="Verdana" w:hAnsi="Verdana"/>
          <w:sz w:val="20"/>
          <w:lang w:val="en-US"/>
        </w:rPr>
      </w:pPr>
      <w:r w:rsidRPr="00E83269">
        <w:rPr>
          <w:rFonts w:ascii="Verdana" w:hAnsi="Verdana"/>
          <w:sz w:val="20"/>
          <w:lang w:val="en-US"/>
        </w:rPr>
        <w:t xml:space="preserve">In addition, the Court recalls that, during the private hearing held on May 28, </w:t>
      </w:r>
      <w:r w:rsidR="000A5547" w:rsidRPr="00E83269">
        <w:rPr>
          <w:rFonts w:ascii="Verdana" w:hAnsi="Verdana"/>
          <w:sz w:val="20"/>
          <w:lang w:val="en-US"/>
        </w:rPr>
        <w:t xml:space="preserve">2013, </w:t>
      </w:r>
      <w:r w:rsidR="005D679B" w:rsidRPr="00E83269">
        <w:rPr>
          <w:rFonts w:ascii="Verdana" w:hAnsi="Verdana"/>
          <w:sz w:val="20"/>
          <w:lang w:val="en-US"/>
        </w:rPr>
        <w:t>the State</w:t>
      </w:r>
      <w:r w:rsidR="000A5547" w:rsidRPr="00E83269">
        <w:rPr>
          <w:rFonts w:ascii="Verdana" w:hAnsi="Verdana"/>
          <w:sz w:val="20"/>
          <w:lang w:val="en-US"/>
        </w:rPr>
        <w:t xml:space="preserve"> expres</w:t>
      </w:r>
      <w:r w:rsidRPr="00E83269">
        <w:rPr>
          <w:rFonts w:ascii="Verdana" w:hAnsi="Verdana"/>
          <w:sz w:val="20"/>
          <w:lang w:val="en-US"/>
        </w:rPr>
        <w:t xml:space="preserve">sed its wish </w:t>
      </w:r>
      <w:r w:rsidR="000A5547" w:rsidRPr="00E83269">
        <w:rPr>
          <w:rFonts w:ascii="Verdana" w:hAnsi="Verdana"/>
          <w:sz w:val="20"/>
          <w:lang w:val="en-US"/>
        </w:rPr>
        <w:t>“</w:t>
      </w:r>
      <w:r w:rsidRPr="00E83269">
        <w:rPr>
          <w:rFonts w:ascii="Verdana" w:hAnsi="Verdana"/>
          <w:sz w:val="20"/>
          <w:lang w:val="en-US"/>
        </w:rPr>
        <w:t xml:space="preserve">to </w:t>
      </w:r>
      <w:r w:rsidR="000A5547" w:rsidRPr="00E83269">
        <w:rPr>
          <w:rFonts w:ascii="Verdana" w:hAnsi="Verdana"/>
          <w:sz w:val="20"/>
          <w:lang w:val="en-US"/>
        </w:rPr>
        <w:t>invit</w:t>
      </w:r>
      <w:r w:rsidRPr="00E83269">
        <w:rPr>
          <w:rFonts w:ascii="Verdana" w:hAnsi="Verdana"/>
          <w:sz w:val="20"/>
          <w:lang w:val="en-US"/>
        </w:rPr>
        <w:t>e</w:t>
      </w:r>
      <w:r w:rsidR="000A5547" w:rsidRPr="00E83269">
        <w:rPr>
          <w:rFonts w:ascii="Verdana" w:hAnsi="Verdana"/>
          <w:sz w:val="20"/>
          <w:lang w:val="en-US"/>
        </w:rPr>
        <w:t xml:space="preserve"> </w:t>
      </w:r>
      <w:r w:rsidR="00C93224" w:rsidRPr="00E83269">
        <w:rPr>
          <w:rFonts w:ascii="Verdana" w:hAnsi="Verdana"/>
          <w:sz w:val="20"/>
          <w:lang w:val="en-US"/>
        </w:rPr>
        <w:t>the Court</w:t>
      </w:r>
      <w:r w:rsidR="000A5547" w:rsidRPr="00E83269">
        <w:rPr>
          <w:rFonts w:ascii="Verdana" w:hAnsi="Verdana"/>
          <w:sz w:val="20"/>
          <w:lang w:val="en-US"/>
        </w:rPr>
        <w:t xml:space="preserve"> </w:t>
      </w:r>
      <w:r w:rsidRPr="00E83269">
        <w:rPr>
          <w:rFonts w:ascii="Verdana" w:hAnsi="Verdana"/>
          <w:sz w:val="20"/>
          <w:lang w:val="en-US"/>
        </w:rPr>
        <w:t>to</w:t>
      </w:r>
      <w:r w:rsidR="000A5547" w:rsidRPr="00E83269">
        <w:rPr>
          <w:rFonts w:ascii="Verdana" w:hAnsi="Verdana"/>
          <w:sz w:val="20"/>
          <w:lang w:val="en-US"/>
        </w:rPr>
        <w:t xml:space="preserve"> </w:t>
      </w:r>
      <w:r w:rsidR="005D679B" w:rsidRPr="00E83269">
        <w:rPr>
          <w:rFonts w:ascii="Verdana" w:hAnsi="Verdana"/>
          <w:sz w:val="20"/>
          <w:lang w:val="en-US"/>
        </w:rPr>
        <w:t xml:space="preserve">Suriname </w:t>
      </w:r>
      <w:r w:rsidR="005529C5" w:rsidRPr="00E83269">
        <w:rPr>
          <w:rFonts w:ascii="Verdana" w:hAnsi="Verdana"/>
          <w:sz w:val="20"/>
          <w:lang w:val="en-US"/>
        </w:rPr>
        <w:t>in order to experience the practical elements of the various complexities and challenges</w:t>
      </w:r>
      <w:r w:rsidR="000A5547" w:rsidRPr="00E83269">
        <w:rPr>
          <w:rFonts w:ascii="Verdana" w:hAnsi="Verdana"/>
          <w:sz w:val="20"/>
          <w:lang w:val="en-US"/>
        </w:rPr>
        <w:t xml:space="preserve">” </w:t>
      </w:r>
      <w:r w:rsidRPr="00E83269">
        <w:rPr>
          <w:rFonts w:ascii="Verdana" w:hAnsi="Verdana"/>
          <w:sz w:val="20"/>
          <w:lang w:val="en-US"/>
        </w:rPr>
        <w:t xml:space="preserve">in relation to implementation </w:t>
      </w:r>
      <w:r w:rsidR="002462D1" w:rsidRPr="00E83269">
        <w:rPr>
          <w:rFonts w:ascii="Verdana" w:hAnsi="Verdana"/>
          <w:sz w:val="20"/>
          <w:lang w:val="en-US"/>
        </w:rPr>
        <w:t xml:space="preserve">of the </w:t>
      </w:r>
      <w:r w:rsidR="00C93224" w:rsidRPr="00E83269">
        <w:rPr>
          <w:rFonts w:ascii="Verdana" w:hAnsi="Verdana"/>
          <w:sz w:val="20"/>
          <w:lang w:val="en-US"/>
        </w:rPr>
        <w:t>judgment</w:t>
      </w:r>
      <w:r w:rsidR="000A5547" w:rsidRPr="00E83269">
        <w:rPr>
          <w:rFonts w:ascii="Verdana" w:hAnsi="Verdana"/>
          <w:sz w:val="20"/>
          <w:lang w:val="en-US"/>
        </w:rPr>
        <w:t xml:space="preserve">. </w:t>
      </w:r>
      <w:r w:rsidRPr="00E83269">
        <w:rPr>
          <w:rFonts w:ascii="Verdana" w:hAnsi="Verdana"/>
          <w:sz w:val="20"/>
          <w:lang w:val="en-US"/>
        </w:rPr>
        <w:t>Bearing this in mind, and since it would appear tha</w:t>
      </w:r>
      <w:r w:rsidR="006863BE" w:rsidRPr="00E83269">
        <w:rPr>
          <w:rFonts w:ascii="Verdana" w:hAnsi="Verdana"/>
          <w:sz w:val="20"/>
          <w:lang w:val="en-US"/>
        </w:rPr>
        <w:t>t</w:t>
      </w:r>
      <w:r w:rsidRPr="00E83269">
        <w:rPr>
          <w:rFonts w:ascii="Verdana" w:hAnsi="Verdana"/>
          <w:sz w:val="20"/>
          <w:lang w:val="en-US"/>
        </w:rPr>
        <w:t xml:space="preserve"> no progress has been made in compliance with the above-mentioned measures, a</w:t>
      </w:r>
      <w:r w:rsidR="006863BE" w:rsidRPr="00E83269">
        <w:rPr>
          <w:rFonts w:ascii="Verdana" w:hAnsi="Verdana"/>
          <w:sz w:val="20"/>
          <w:lang w:val="en-US"/>
        </w:rPr>
        <w:t>s well as</w:t>
      </w:r>
      <w:r w:rsidRPr="00E83269">
        <w:rPr>
          <w:rFonts w:ascii="Verdana" w:hAnsi="Verdana"/>
          <w:sz w:val="20"/>
          <w:lang w:val="en-US"/>
        </w:rPr>
        <w:t xml:space="preserve"> the possible benefits of a visit to monitor compliance, </w:t>
      </w:r>
      <w:r w:rsidR="00C93224" w:rsidRPr="00E83269">
        <w:rPr>
          <w:rFonts w:ascii="Verdana" w:hAnsi="Verdana"/>
          <w:sz w:val="20"/>
          <w:lang w:val="en-US"/>
        </w:rPr>
        <w:t>the Court</w:t>
      </w:r>
      <w:r w:rsidR="008D1E11" w:rsidRPr="00E83269">
        <w:rPr>
          <w:rFonts w:ascii="Verdana" w:hAnsi="Verdana"/>
          <w:sz w:val="20"/>
          <w:lang w:val="en-US"/>
        </w:rPr>
        <w:t xml:space="preserve"> </w:t>
      </w:r>
      <w:r w:rsidR="001C43DF" w:rsidRPr="00E83269">
        <w:rPr>
          <w:rFonts w:ascii="Verdana" w:hAnsi="Verdana"/>
          <w:sz w:val="20"/>
          <w:lang w:val="en-US"/>
        </w:rPr>
        <w:t>consider</w:t>
      </w:r>
      <w:r w:rsidRPr="00E83269">
        <w:rPr>
          <w:rFonts w:ascii="Verdana" w:hAnsi="Verdana"/>
          <w:sz w:val="20"/>
          <w:lang w:val="en-US"/>
        </w:rPr>
        <w:t>s it necessary to establish that, pursuant to Article 69 of its Rules of Procedure, if appropriate, the President</w:t>
      </w:r>
      <w:r w:rsidR="002462D1" w:rsidRPr="00E83269">
        <w:rPr>
          <w:rFonts w:ascii="Verdana" w:hAnsi="Verdana"/>
          <w:sz w:val="20"/>
          <w:lang w:val="en-US"/>
        </w:rPr>
        <w:t xml:space="preserve"> of the </w:t>
      </w:r>
      <w:r w:rsidR="00C93224" w:rsidRPr="00E83269">
        <w:rPr>
          <w:rFonts w:ascii="Verdana" w:hAnsi="Verdana"/>
          <w:sz w:val="20"/>
          <w:lang w:val="en-US"/>
        </w:rPr>
        <w:t>Court</w:t>
      </w:r>
      <w:r w:rsidR="00B82AFC" w:rsidRPr="00E83269">
        <w:rPr>
          <w:rFonts w:ascii="Verdana" w:hAnsi="Verdana"/>
          <w:sz w:val="20"/>
          <w:lang w:val="en-US"/>
        </w:rPr>
        <w:t xml:space="preserve"> </w:t>
      </w:r>
      <w:r w:rsidRPr="00E83269">
        <w:rPr>
          <w:rFonts w:ascii="Verdana" w:hAnsi="Verdana"/>
          <w:sz w:val="20"/>
          <w:lang w:val="en-US"/>
        </w:rPr>
        <w:t>could delegate one or more judges of the Court o</w:t>
      </w:r>
      <w:r w:rsidR="006863BE" w:rsidRPr="00E83269">
        <w:rPr>
          <w:rFonts w:ascii="Verdana" w:hAnsi="Verdana"/>
          <w:sz w:val="20"/>
          <w:lang w:val="en-US"/>
        </w:rPr>
        <w:t>r</w:t>
      </w:r>
      <w:r w:rsidRPr="00E83269">
        <w:rPr>
          <w:rFonts w:ascii="Verdana" w:hAnsi="Verdana"/>
          <w:sz w:val="20"/>
          <w:lang w:val="en-US"/>
        </w:rPr>
        <w:t xml:space="preserve"> officials of the Secretariat to carry out a visit to Suriname to obtain precise and relevant information </w:t>
      </w:r>
      <w:r w:rsidR="00E86257" w:rsidRPr="00E83269">
        <w:rPr>
          <w:rFonts w:ascii="Verdana" w:hAnsi="Verdana"/>
          <w:sz w:val="20"/>
          <w:lang w:val="en-US"/>
        </w:rPr>
        <w:t xml:space="preserve">directly from the parties so as to monitor compliance </w:t>
      </w:r>
      <w:r w:rsidR="00E86257" w:rsidRPr="00E83269">
        <w:rPr>
          <w:rFonts w:ascii="Verdana" w:hAnsi="Verdana"/>
          <w:sz w:val="20"/>
          <w:lang w:val="en-US"/>
        </w:rPr>
        <w:lastRenderedPageBreak/>
        <w:t xml:space="preserve">with </w:t>
      </w:r>
      <w:r w:rsidR="002462D1" w:rsidRPr="00E83269">
        <w:rPr>
          <w:rFonts w:ascii="Verdana" w:hAnsi="Verdana"/>
          <w:sz w:val="20"/>
          <w:lang w:val="en-US"/>
        </w:rPr>
        <w:t xml:space="preserve">the </w:t>
      </w:r>
      <w:r w:rsidR="00C93224" w:rsidRPr="00E83269">
        <w:rPr>
          <w:rFonts w:ascii="Verdana" w:hAnsi="Verdana"/>
          <w:sz w:val="20"/>
          <w:lang w:val="en-US"/>
        </w:rPr>
        <w:t>judgment</w:t>
      </w:r>
      <w:r w:rsidR="00B82AFC" w:rsidRPr="00E83269">
        <w:rPr>
          <w:rFonts w:ascii="Verdana" w:hAnsi="Verdana"/>
          <w:sz w:val="20"/>
          <w:lang w:val="en-US"/>
        </w:rPr>
        <w:t xml:space="preserve">, </w:t>
      </w:r>
      <w:r w:rsidR="00E86257" w:rsidRPr="00E83269">
        <w:rPr>
          <w:rFonts w:ascii="Verdana" w:hAnsi="Verdana"/>
          <w:sz w:val="20"/>
          <w:lang w:val="en-US"/>
        </w:rPr>
        <w:t>after obtaining the consent of, and in coordination with,</w:t>
      </w:r>
      <w:r w:rsidR="00B82AFC" w:rsidRPr="00E83269">
        <w:rPr>
          <w:rFonts w:ascii="Verdana" w:hAnsi="Verdana"/>
          <w:sz w:val="20"/>
          <w:lang w:val="en-US"/>
        </w:rPr>
        <w:t xml:space="preserve"> </w:t>
      </w:r>
      <w:r w:rsidR="005D679B" w:rsidRPr="00E83269">
        <w:rPr>
          <w:rFonts w:ascii="Verdana" w:hAnsi="Verdana"/>
          <w:sz w:val="20"/>
          <w:lang w:val="en-US"/>
        </w:rPr>
        <w:t>the State</w:t>
      </w:r>
      <w:r w:rsidR="00B82AFC" w:rsidRPr="00E83269">
        <w:rPr>
          <w:rFonts w:ascii="Verdana" w:hAnsi="Verdana"/>
          <w:sz w:val="20"/>
          <w:lang w:val="en-US"/>
        </w:rPr>
        <w:t xml:space="preserve"> </w:t>
      </w:r>
      <w:r w:rsidR="00E86257" w:rsidRPr="00E83269">
        <w:rPr>
          <w:rFonts w:ascii="Verdana" w:hAnsi="Verdana"/>
          <w:sz w:val="20"/>
          <w:lang w:val="en-US"/>
        </w:rPr>
        <w:t>of</w:t>
      </w:r>
      <w:r w:rsidR="00B82AFC" w:rsidRPr="00E83269">
        <w:rPr>
          <w:rFonts w:ascii="Verdana" w:hAnsi="Verdana"/>
          <w:sz w:val="20"/>
          <w:lang w:val="en-US"/>
        </w:rPr>
        <w:t xml:space="preserve"> Surinam</w:t>
      </w:r>
      <w:r w:rsidR="00E86257" w:rsidRPr="00E83269">
        <w:rPr>
          <w:rFonts w:ascii="Verdana" w:hAnsi="Verdana"/>
          <w:sz w:val="20"/>
          <w:lang w:val="en-US"/>
        </w:rPr>
        <w:t>e</w:t>
      </w:r>
      <w:r w:rsidR="00B82AFC" w:rsidRPr="00E83269">
        <w:rPr>
          <w:rFonts w:ascii="Verdana" w:hAnsi="Verdana"/>
          <w:sz w:val="20"/>
          <w:lang w:val="en-US"/>
        </w:rPr>
        <w:t>.</w:t>
      </w:r>
      <w:r w:rsidR="0049698B" w:rsidRPr="00E83269">
        <w:rPr>
          <w:rFonts w:ascii="Verdana" w:hAnsi="Verdana"/>
          <w:sz w:val="20"/>
          <w:lang w:val="en-US"/>
        </w:rPr>
        <w:t xml:space="preserve"> </w:t>
      </w:r>
    </w:p>
    <w:p w14:paraId="220F7DE6" w14:textId="77777777" w:rsidR="00B82AFC" w:rsidRPr="00525E62" w:rsidRDefault="00B82AFC" w:rsidP="00B82AFC">
      <w:pPr>
        <w:jc w:val="both"/>
        <w:rPr>
          <w:rFonts w:ascii="Verdana" w:hAnsi="Verdana"/>
          <w:sz w:val="20"/>
          <w:lang w:val="en-US"/>
        </w:rPr>
      </w:pPr>
    </w:p>
    <w:p w14:paraId="2E31F689" w14:textId="617F971F" w:rsidR="00E86257" w:rsidRPr="00525E62" w:rsidRDefault="00E86257" w:rsidP="00424381">
      <w:pPr>
        <w:pStyle w:val="ListParagraph"/>
        <w:numPr>
          <w:ilvl w:val="0"/>
          <w:numId w:val="2"/>
        </w:numPr>
        <w:ind w:left="0" w:firstLine="0"/>
        <w:jc w:val="both"/>
        <w:rPr>
          <w:rFonts w:ascii="Verdana" w:hAnsi="Verdana"/>
          <w:sz w:val="20"/>
          <w:lang w:val="en-US"/>
        </w:rPr>
      </w:pPr>
      <w:r w:rsidRPr="00525E62">
        <w:rPr>
          <w:rFonts w:ascii="Verdana" w:hAnsi="Verdana"/>
          <w:sz w:val="20"/>
          <w:lang w:val="en-US"/>
        </w:rPr>
        <w:t>Furthermore</w:t>
      </w:r>
      <w:r w:rsidR="00AF6005" w:rsidRPr="00525E62">
        <w:rPr>
          <w:rFonts w:ascii="Verdana" w:hAnsi="Verdana"/>
          <w:sz w:val="20"/>
          <w:lang w:val="en-US"/>
        </w:rPr>
        <w:t>,</w:t>
      </w:r>
      <w:r w:rsidR="00B82AFC" w:rsidRPr="00525E62">
        <w:rPr>
          <w:rFonts w:ascii="Verdana" w:hAnsi="Verdana"/>
          <w:sz w:val="20"/>
          <w:lang w:val="en-US"/>
        </w:rPr>
        <w:t xml:space="preserve"> </w:t>
      </w:r>
      <w:r w:rsidRPr="00525E62">
        <w:rPr>
          <w:rFonts w:ascii="Verdana" w:hAnsi="Verdana"/>
          <w:sz w:val="20"/>
          <w:lang w:val="en-US"/>
        </w:rPr>
        <w:t xml:space="preserve">based on Article </w:t>
      </w:r>
      <w:r w:rsidR="006863BE" w:rsidRPr="00525E62">
        <w:rPr>
          <w:rFonts w:ascii="Verdana" w:hAnsi="Verdana"/>
          <w:sz w:val="20"/>
          <w:lang w:val="en-US"/>
        </w:rPr>
        <w:t xml:space="preserve">69 </w:t>
      </w:r>
      <w:r w:rsidRPr="00525E62">
        <w:rPr>
          <w:rFonts w:ascii="Verdana" w:hAnsi="Verdana"/>
          <w:sz w:val="20"/>
          <w:lang w:val="en-US"/>
        </w:rPr>
        <w:t xml:space="preserve">of its Rules of Procedure, the Court establishes that </w:t>
      </w:r>
      <w:r w:rsidR="00647897">
        <w:rPr>
          <w:rFonts w:ascii="Verdana" w:hAnsi="Verdana"/>
          <w:sz w:val="20"/>
          <w:lang w:val="en-US"/>
        </w:rPr>
        <w:t>the Secretary</w:t>
      </w:r>
      <w:r w:rsidRPr="00525E62">
        <w:rPr>
          <w:rFonts w:ascii="Verdana" w:hAnsi="Verdana"/>
          <w:sz w:val="20"/>
          <w:lang w:val="en-US"/>
        </w:rPr>
        <w:t xml:space="preserve"> </w:t>
      </w:r>
      <w:r w:rsidR="00647897">
        <w:rPr>
          <w:rFonts w:ascii="Verdana" w:hAnsi="Verdana"/>
          <w:sz w:val="20"/>
          <w:lang w:val="en-US"/>
        </w:rPr>
        <w:t>shall</w:t>
      </w:r>
      <w:r w:rsidRPr="00525E62">
        <w:rPr>
          <w:rFonts w:ascii="Verdana" w:hAnsi="Verdana"/>
          <w:sz w:val="20"/>
          <w:lang w:val="en-US"/>
        </w:rPr>
        <w:t xml:space="preserve"> take steps to coordinate </w:t>
      </w:r>
      <w:r w:rsidR="006863BE" w:rsidRPr="00525E62">
        <w:rPr>
          <w:rFonts w:ascii="Verdana" w:hAnsi="Verdana"/>
          <w:sz w:val="20"/>
          <w:lang w:val="en-US"/>
        </w:rPr>
        <w:t xml:space="preserve">with Suriname, with its consent, </w:t>
      </w:r>
      <w:r w:rsidRPr="00525E62">
        <w:rPr>
          <w:rFonts w:ascii="Verdana" w:hAnsi="Verdana"/>
          <w:sz w:val="20"/>
          <w:lang w:val="en-US"/>
        </w:rPr>
        <w:t xml:space="preserve">a visit to that country to obtain precise and relevant information in order to monitor compliance with the pending measures of reparation. If the visit is made, the President </w:t>
      </w:r>
      <w:r w:rsidR="006863BE" w:rsidRPr="00525E62">
        <w:rPr>
          <w:rFonts w:ascii="Verdana" w:hAnsi="Verdana"/>
          <w:sz w:val="20"/>
          <w:lang w:val="en-US"/>
        </w:rPr>
        <w:t xml:space="preserve">himself </w:t>
      </w:r>
      <w:r w:rsidRPr="00525E62">
        <w:rPr>
          <w:rFonts w:ascii="Verdana" w:hAnsi="Verdana"/>
          <w:sz w:val="20"/>
          <w:lang w:val="en-US"/>
        </w:rPr>
        <w:t>could execute this procedure of monitoring compliance with judgment, or delegate this to one or more judges of the Court or officials of the Secretariat. In this regard, the President will take the necessary decisions based on the provisions of the Court’s Rules of Procedure.</w:t>
      </w:r>
    </w:p>
    <w:p w14:paraId="47EDEDDB" w14:textId="77777777" w:rsidR="00E86257" w:rsidRPr="0020651E" w:rsidRDefault="00E86257" w:rsidP="0020651E">
      <w:pPr>
        <w:rPr>
          <w:rFonts w:ascii="Times New Roman" w:hAnsi="Times New Roman"/>
          <w:szCs w:val="24"/>
          <w:lang w:val="en-US" w:eastAsia="es-CR"/>
        </w:rPr>
      </w:pPr>
    </w:p>
    <w:p w14:paraId="12D5373B" w14:textId="77C16CF5" w:rsidR="00E54903" w:rsidRPr="00525E62" w:rsidRDefault="00583AEB" w:rsidP="00E54903">
      <w:pPr>
        <w:jc w:val="both"/>
        <w:rPr>
          <w:rFonts w:ascii="Verdana" w:hAnsi="Verdana"/>
          <w:b/>
          <w:sz w:val="20"/>
          <w:lang w:val="en-US"/>
        </w:rPr>
      </w:pPr>
      <w:r w:rsidRPr="00525E62">
        <w:rPr>
          <w:rFonts w:ascii="Verdana" w:hAnsi="Verdana"/>
          <w:b/>
          <w:sz w:val="20"/>
          <w:lang w:val="en-US"/>
        </w:rPr>
        <w:t>THEREFORE,</w:t>
      </w:r>
    </w:p>
    <w:p w14:paraId="18B48AA2" w14:textId="053F1D5A" w:rsidR="00E54903" w:rsidRPr="00525E62" w:rsidRDefault="00C93224" w:rsidP="00E54903">
      <w:pPr>
        <w:jc w:val="both"/>
        <w:rPr>
          <w:rFonts w:ascii="Verdana" w:hAnsi="Verdana"/>
          <w:b/>
          <w:sz w:val="20"/>
          <w:lang w:val="en-US"/>
        </w:rPr>
      </w:pPr>
      <w:r w:rsidRPr="00525E62">
        <w:rPr>
          <w:rFonts w:ascii="Verdana" w:hAnsi="Verdana"/>
          <w:b/>
          <w:sz w:val="20"/>
          <w:lang w:val="en-US"/>
        </w:rPr>
        <w:t>THE INTER-AMERICAN COURT OF HUMAN RIGHTS</w:t>
      </w:r>
      <w:r w:rsidR="00E54903" w:rsidRPr="00525E62">
        <w:rPr>
          <w:rFonts w:ascii="Verdana" w:hAnsi="Verdana"/>
          <w:b/>
          <w:sz w:val="20"/>
          <w:lang w:val="en-US"/>
        </w:rPr>
        <w:t>,</w:t>
      </w:r>
    </w:p>
    <w:p w14:paraId="6137252B" w14:textId="77777777" w:rsidR="00E54903" w:rsidRPr="00525E62" w:rsidRDefault="00E54903" w:rsidP="00E54903">
      <w:pPr>
        <w:jc w:val="both"/>
        <w:rPr>
          <w:rFonts w:ascii="Verdana" w:hAnsi="Verdana"/>
          <w:sz w:val="20"/>
          <w:lang w:val="en-US"/>
        </w:rPr>
      </w:pPr>
    </w:p>
    <w:p w14:paraId="1B99C4EE" w14:textId="7B47D4C7" w:rsidR="00E54903" w:rsidRPr="00525E62" w:rsidRDefault="00583AEB" w:rsidP="00E54903">
      <w:pPr>
        <w:jc w:val="both"/>
        <w:rPr>
          <w:rFonts w:ascii="Verdana" w:hAnsi="Verdana"/>
          <w:sz w:val="20"/>
          <w:lang w:val="en-US"/>
        </w:rPr>
      </w:pPr>
      <w:r w:rsidRPr="00525E62">
        <w:rPr>
          <w:rFonts w:ascii="Verdana" w:hAnsi="Verdana"/>
          <w:sz w:val="20"/>
          <w:lang w:val="en-US"/>
        </w:rPr>
        <w:t xml:space="preserve">in exercise of its authority to monitor compliance with its decisions, in accordance with Articles </w:t>
      </w:r>
      <w:r w:rsidR="00E54903" w:rsidRPr="00525E62">
        <w:rPr>
          <w:rFonts w:ascii="Verdana" w:hAnsi="Verdana"/>
          <w:sz w:val="20"/>
          <w:lang w:val="en-US"/>
        </w:rPr>
        <w:t>33, 62</w:t>
      </w:r>
      <w:r w:rsidRPr="00525E62">
        <w:rPr>
          <w:rFonts w:ascii="Verdana" w:hAnsi="Verdana"/>
          <w:sz w:val="20"/>
          <w:lang w:val="en-US"/>
        </w:rPr>
        <w:t>(1)</w:t>
      </w:r>
      <w:r w:rsidR="00E54903" w:rsidRPr="00525E62">
        <w:rPr>
          <w:rFonts w:ascii="Verdana" w:hAnsi="Verdana"/>
          <w:sz w:val="20"/>
          <w:lang w:val="en-US"/>
        </w:rPr>
        <w:t>, 62</w:t>
      </w:r>
      <w:r w:rsidRPr="00525E62">
        <w:rPr>
          <w:rFonts w:ascii="Verdana" w:hAnsi="Verdana"/>
          <w:sz w:val="20"/>
          <w:lang w:val="en-US"/>
        </w:rPr>
        <w:t>(3)</w:t>
      </w:r>
      <w:r w:rsidR="00E54903" w:rsidRPr="00525E62">
        <w:rPr>
          <w:rFonts w:ascii="Verdana" w:hAnsi="Verdana"/>
          <w:sz w:val="20"/>
          <w:lang w:val="en-US"/>
        </w:rPr>
        <w:t xml:space="preserve">, 65, 67 </w:t>
      </w:r>
      <w:r w:rsidRPr="00525E62">
        <w:rPr>
          <w:rFonts w:ascii="Verdana" w:hAnsi="Verdana"/>
          <w:sz w:val="20"/>
          <w:lang w:val="en-US"/>
        </w:rPr>
        <w:t>and</w:t>
      </w:r>
      <w:r w:rsidR="00E54903" w:rsidRPr="00525E62">
        <w:rPr>
          <w:rFonts w:ascii="Verdana" w:hAnsi="Verdana"/>
          <w:sz w:val="20"/>
          <w:lang w:val="en-US"/>
        </w:rPr>
        <w:t xml:space="preserve"> 68</w:t>
      </w:r>
      <w:r w:rsidRPr="00525E62">
        <w:rPr>
          <w:rFonts w:ascii="Verdana" w:hAnsi="Verdana"/>
          <w:sz w:val="20"/>
          <w:lang w:val="en-US"/>
        </w:rPr>
        <w:t>(1)</w:t>
      </w:r>
      <w:r w:rsidR="00C93224" w:rsidRPr="00525E62">
        <w:rPr>
          <w:rFonts w:ascii="Verdana" w:hAnsi="Verdana"/>
          <w:sz w:val="20"/>
          <w:lang w:val="en-US"/>
        </w:rPr>
        <w:t xml:space="preserve"> of </w:t>
      </w:r>
      <w:r w:rsidR="002462D1" w:rsidRPr="00525E62">
        <w:rPr>
          <w:rFonts w:ascii="Verdana" w:hAnsi="Verdana"/>
          <w:sz w:val="20"/>
          <w:lang w:val="en-US"/>
        </w:rPr>
        <w:t>the American Convention</w:t>
      </w:r>
      <w:r w:rsidR="00E54903" w:rsidRPr="00525E62">
        <w:rPr>
          <w:rFonts w:ascii="Verdana" w:hAnsi="Verdana"/>
          <w:sz w:val="20"/>
          <w:lang w:val="en-US"/>
        </w:rPr>
        <w:t xml:space="preserve"> </w:t>
      </w:r>
      <w:r w:rsidRPr="00525E62">
        <w:rPr>
          <w:rFonts w:ascii="Verdana" w:hAnsi="Verdana"/>
          <w:sz w:val="20"/>
          <w:lang w:val="en-US"/>
        </w:rPr>
        <w:t xml:space="preserve">on Human Rights, Articles </w:t>
      </w:r>
      <w:r w:rsidR="00E54903" w:rsidRPr="00525E62">
        <w:rPr>
          <w:rFonts w:ascii="Verdana" w:hAnsi="Verdana"/>
          <w:sz w:val="20"/>
          <w:lang w:val="en-US"/>
        </w:rPr>
        <w:t xml:space="preserve">24, 25 </w:t>
      </w:r>
      <w:r w:rsidRPr="00525E62">
        <w:rPr>
          <w:rFonts w:ascii="Verdana" w:hAnsi="Verdana"/>
          <w:sz w:val="20"/>
          <w:lang w:val="en-US"/>
        </w:rPr>
        <w:t>and</w:t>
      </w:r>
      <w:r w:rsidR="00E54903" w:rsidRPr="00525E62">
        <w:rPr>
          <w:rFonts w:ascii="Verdana" w:hAnsi="Verdana"/>
          <w:sz w:val="20"/>
          <w:lang w:val="en-US"/>
        </w:rPr>
        <w:t xml:space="preserve"> 30 </w:t>
      </w:r>
      <w:r w:rsidRPr="00525E62">
        <w:rPr>
          <w:rFonts w:ascii="Verdana" w:hAnsi="Verdana"/>
          <w:sz w:val="20"/>
          <w:lang w:val="en-US"/>
        </w:rPr>
        <w:t>of the Court’s Statutes and Articles</w:t>
      </w:r>
      <w:r w:rsidR="00E54903" w:rsidRPr="00525E62">
        <w:rPr>
          <w:rFonts w:ascii="Verdana" w:hAnsi="Verdana"/>
          <w:sz w:val="20"/>
          <w:lang w:val="en-US"/>
        </w:rPr>
        <w:t xml:space="preserve"> 31</w:t>
      </w:r>
      <w:r w:rsidRPr="00525E62">
        <w:rPr>
          <w:rFonts w:ascii="Verdana" w:hAnsi="Verdana"/>
          <w:sz w:val="20"/>
          <w:lang w:val="en-US"/>
        </w:rPr>
        <w:t>(</w:t>
      </w:r>
      <w:r w:rsidR="00C85AC5" w:rsidRPr="00525E62">
        <w:rPr>
          <w:rFonts w:ascii="Verdana" w:hAnsi="Verdana"/>
          <w:sz w:val="20"/>
          <w:lang w:val="en-US"/>
        </w:rPr>
        <w:t>2</w:t>
      </w:r>
      <w:r w:rsidRPr="00525E62">
        <w:rPr>
          <w:rFonts w:ascii="Verdana" w:hAnsi="Verdana"/>
          <w:sz w:val="20"/>
          <w:lang w:val="en-US"/>
        </w:rPr>
        <w:t>)</w:t>
      </w:r>
      <w:r w:rsidR="00E54903" w:rsidRPr="00525E62">
        <w:rPr>
          <w:rFonts w:ascii="Verdana" w:hAnsi="Verdana"/>
          <w:sz w:val="20"/>
          <w:lang w:val="en-US"/>
        </w:rPr>
        <w:t xml:space="preserve"> </w:t>
      </w:r>
      <w:r w:rsidRPr="00525E62">
        <w:rPr>
          <w:rFonts w:ascii="Verdana" w:hAnsi="Verdana"/>
          <w:sz w:val="20"/>
          <w:lang w:val="en-US"/>
        </w:rPr>
        <w:t>and</w:t>
      </w:r>
      <w:r w:rsidR="00E54903" w:rsidRPr="00525E62">
        <w:rPr>
          <w:rFonts w:ascii="Verdana" w:hAnsi="Verdana"/>
          <w:sz w:val="20"/>
          <w:lang w:val="en-US"/>
        </w:rPr>
        <w:t xml:space="preserve"> 69 </w:t>
      </w:r>
      <w:r w:rsidRPr="00525E62">
        <w:rPr>
          <w:rFonts w:ascii="Verdana" w:hAnsi="Verdana"/>
          <w:sz w:val="20"/>
          <w:lang w:val="en-US"/>
        </w:rPr>
        <w:t>of its Rules of Procedure,</w:t>
      </w:r>
    </w:p>
    <w:p w14:paraId="75249DEC" w14:textId="77777777" w:rsidR="00E54903" w:rsidRPr="00525E62" w:rsidRDefault="00E54903" w:rsidP="00E54903">
      <w:pPr>
        <w:jc w:val="both"/>
        <w:rPr>
          <w:rFonts w:ascii="Verdana" w:hAnsi="Verdana"/>
          <w:sz w:val="20"/>
          <w:lang w:val="en-US"/>
        </w:rPr>
      </w:pPr>
    </w:p>
    <w:p w14:paraId="18CB612C" w14:textId="5F2B1D53" w:rsidR="00E54903" w:rsidRPr="00525E62" w:rsidRDefault="00583AEB" w:rsidP="00E54903">
      <w:pPr>
        <w:jc w:val="both"/>
        <w:rPr>
          <w:rFonts w:ascii="Verdana" w:hAnsi="Verdana"/>
          <w:b/>
          <w:sz w:val="20"/>
          <w:lang w:val="en-US"/>
        </w:rPr>
      </w:pPr>
      <w:r w:rsidRPr="00525E62">
        <w:rPr>
          <w:rFonts w:ascii="Verdana" w:hAnsi="Verdana"/>
          <w:b/>
          <w:sz w:val="20"/>
          <w:lang w:val="en-US"/>
        </w:rPr>
        <w:t>DECIDES</w:t>
      </w:r>
      <w:r w:rsidR="006863BE" w:rsidRPr="00525E62">
        <w:rPr>
          <w:rFonts w:ascii="Verdana" w:hAnsi="Verdana"/>
          <w:b/>
          <w:sz w:val="20"/>
          <w:lang w:val="en-US"/>
        </w:rPr>
        <w:t xml:space="preserve"> TO</w:t>
      </w:r>
      <w:r w:rsidR="00D9597C" w:rsidRPr="00525E62">
        <w:rPr>
          <w:rFonts w:ascii="Verdana" w:hAnsi="Verdana"/>
          <w:b/>
          <w:sz w:val="20"/>
          <w:lang w:val="en-US"/>
        </w:rPr>
        <w:t>:</w:t>
      </w:r>
    </w:p>
    <w:p w14:paraId="4D5B80F8" w14:textId="77777777" w:rsidR="00E54903" w:rsidRPr="00525E62" w:rsidRDefault="00E54903" w:rsidP="00E54903">
      <w:pPr>
        <w:jc w:val="both"/>
        <w:rPr>
          <w:rFonts w:ascii="Verdana" w:hAnsi="Verdana"/>
          <w:b/>
          <w:sz w:val="20"/>
          <w:lang w:val="en-US"/>
        </w:rPr>
      </w:pPr>
    </w:p>
    <w:p w14:paraId="4A6F7579" w14:textId="64F9773E" w:rsidR="0040761F" w:rsidRPr="00525E62" w:rsidRDefault="006863BE" w:rsidP="00E54903">
      <w:pPr>
        <w:numPr>
          <w:ilvl w:val="0"/>
          <w:numId w:val="3"/>
        </w:numPr>
        <w:ind w:left="0" w:hanging="11"/>
        <w:jc w:val="both"/>
        <w:rPr>
          <w:rFonts w:ascii="Verdana" w:hAnsi="Verdana"/>
          <w:sz w:val="20"/>
          <w:lang w:val="en-US"/>
        </w:rPr>
      </w:pPr>
      <w:r w:rsidRPr="00525E62">
        <w:rPr>
          <w:rFonts w:ascii="Verdana" w:hAnsi="Verdana"/>
          <w:sz w:val="20"/>
          <w:lang w:val="en-US"/>
        </w:rPr>
        <w:t>D</w:t>
      </w:r>
      <w:r w:rsidR="00583AEB" w:rsidRPr="00525E62">
        <w:rPr>
          <w:rFonts w:ascii="Verdana" w:hAnsi="Verdana"/>
          <w:sz w:val="20"/>
          <w:lang w:val="en-US"/>
        </w:rPr>
        <w:t>eclare, as indicated in</w:t>
      </w:r>
      <w:r w:rsidR="0040761F" w:rsidRPr="00525E62">
        <w:rPr>
          <w:rFonts w:ascii="Verdana" w:hAnsi="Verdana"/>
          <w:sz w:val="20"/>
          <w:lang w:val="en-US"/>
        </w:rPr>
        <w:t xml:space="preserve"> </w:t>
      </w:r>
      <w:proofErr w:type="spellStart"/>
      <w:r w:rsidR="007F7CF1" w:rsidRPr="00525E62">
        <w:rPr>
          <w:rFonts w:ascii="Verdana" w:hAnsi="Verdana"/>
          <w:i/>
          <w:sz w:val="20"/>
          <w:lang w:val="en-US"/>
        </w:rPr>
        <w:t>considerand</w:t>
      </w:r>
      <w:r w:rsidR="00583AEB" w:rsidRPr="00525E62">
        <w:rPr>
          <w:rFonts w:ascii="Verdana" w:hAnsi="Verdana"/>
          <w:i/>
          <w:sz w:val="20"/>
          <w:lang w:val="en-US"/>
        </w:rPr>
        <w:t>a</w:t>
      </w:r>
      <w:proofErr w:type="spellEnd"/>
      <w:r w:rsidR="007F00CD"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_Ref526857221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9</w:t>
      </w:r>
      <w:r w:rsidR="001413FA">
        <w:rPr>
          <w:rFonts w:ascii="Verdana" w:hAnsi="Verdana"/>
          <w:sz w:val="20"/>
          <w:lang w:val="en-US"/>
        </w:rPr>
        <w:fldChar w:fldCharType="end"/>
      </w:r>
      <w:r w:rsidR="007F00CD" w:rsidRPr="00525E62">
        <w:rPr>
          <w:rFonts w:ascii="Verdana" w:hAnsi="Verdana"/>
          <w:sz w:val="20"/>
          <w:lang w:val="en-US"/>
        </w:rPr>
        <w:t xml:space="preserve"> </w:t>
      </w:r>
      <w:r w:rsidR="00583AEB" w:rsidRPr="00525E62">
        <w:rPr>
          <w:rFonts w:ascii="Verdana" w:hAnsi="Verdana"/>
          <w:sz w:val="20"/>
          <w:lang w:val="en-US"/>
        </w:rPr>
        <w:t>to</w:t>
      </w:r>
      <w:r w:rsidR="0040761F" w:rsidRPr="00525E62">
        <w:rPr>
          <w:rFonts w:ascii="Verdana" w:hAnsi="Verdana"/>
          <w:sz w:val="20"/>
          <w:lang w:val="en-US"/>
        </w:rPr>
        <w:t xml:space="preserve"> </w:t>
      </w:r>
      <w:r w:rsidR="001413FA">
        <w:rPr>
          <w:rFonts w:ascii="Verdana" w:hAnsi="Verdana"/>
          <w:sz w:val="20"/>
          <w:lang w:val="en-US"/>
        </w:rPr>
        <w:fldChar w:fldCharType="begin"/>
      </w:r>
      <w:r w:rsidR="001413FA">
        <w:rPr>
          <w:rFonts w:ascii="Verdana" w:hAnsi="Verdana"/>
          <w:sz w:val="20"/>
          <w:lang w:val="en-US"/>
        </w:rPr>
        <w:instrText xml:space="preserve"> REF _Ref526530161 \r \h </w:instrText>
      </w:r>
      <w:r w:rsidR="001413FA">
        <w:rPr>
          <w:rFonts w:ascii="Verdana" w:hAnsi="Verdana"/>
          <w:sz w:val="20"/>
          <w:lang w:val="en-US"/>
        </w:rPr>
      </w:r>
      <w:r w:rsidR="001413FA">
        <w:rPr>
          <w:rFonts w:ascii="Verdana" w:hAnsi="Verdana"/>
          <w:sz w:val="20"/>
          <w:lang w:val="en-US"/>
        </w:rPr>
        <w:fldChar w:fldCharType="separate"/>
      </w:r>
      <w:r w:rsidR="00980175">
        <w:rPr>
          <w:rFonts w:ascii="Verdana" w:hAnsi="Verdana"/>
          <w:sz w:val="20"/>
          <w:lang w:val="en-US"/>
        </w:rPr>
        <w:t>11</w:t>
      </w:r>
      <w:r w:rsidR="001413FA">
        <w:rPr>
          <w:rFonts w:ascii="Verdana" w:hAnsi="Verdana"/>
          <w:sz w:val="20"/>
          <w:lang w:val="en-US"/>
        </w:rPr>
        <w:fldChar w:fldCharType="end"/>
      </w:r>
      <w:r w:rsidR="00C93224" w:rsidRPr="00525E62">
        <w:rPr>
          <w:rFonts w:ascii="Verdana" w:hAnsi="Verdana"/>
          <w:sz w:val="20"/>
          <w:lang w:val="en-US"/>
        </w:rPr>
        <w:t xml:space="preserve"> of </w:t>
      </w:r>
      <w:r w:rsidR="00583AEB" w:rsidRPr="00525E62">
        <w:rPr>
          <w:rFonts w:ascii="Verdana" w:hAnsi="Verdana"/>
          <w:sz w:val="20"/>
          <w:lang w:val="en-US"/>
        </w:rPr>
        <w:t xml:space="preserve">this </w:t>
      </w:r>
      <w:proofErr w:type="gramStart"/>
      <w:r w:rsidR="00583AEB" w:rsidRPr="00525E62">
        <w:rPr>
          <w:rFonts w:ascii="Verdana" w:hAnsi="Verdana"/>
          <w:sz w:val="20"/>
          <w:lang w:val="en-US"/>
        </w:rPr>
        <w:t>order</w:t>
      </w:r>
      <w:r w:rsidR="0040761F" w:rsidRPr="00525E62">
        <w:rPr>
          <w:rFonts w:ascii="Verdana" w:hAnsi="Verdana"/>
          <w:sz w:val="20"/>
          <w:lang w:val="en-US"/>
        </w:rPr>
        <w:t xml:space="preserve">, </w:t>
      </w:r>
      <w:r w:rsidR="00583AEB" w:rsidRPr="00525E62">
        <w:rPr>
          <w:rFonts w:ascii="Verdana" w:hAnsi="Verdana"/>
          <w:sz w:val="20"/>
          <w:lang w:val="en-US"/>
        </w:rPr>
        <w:t>that</w:t>
      </w:r>
      <w:proofErr w:type="gramEnd"/>
      <w:r w:rsidR="00583AEB" w:rsidRPr="00525E62">
        <w:rPr>
          <w:rFonts w:ascii="Verdana" w:hAnsi="Verdana"/>
          <w:sz w:val="20"/>
          <w:lang w:val="en-US"/>
        </w:rPr>
        <w:t xml:space="preserve"> </w:t>
      </w:r>
      <w:r w:rsidR="005D679B" w:rsidRPr="00525E62">
        <w:rPr>
          <w:rFonts w:ascii="Verdana" w:hAnsi="Verdana"/>
          <w:sz w:val="20"/>
          <w:lang w:val="en-US"/>
        </w:rPr>
        <w:t>the State</w:t>
      </w:r>
      <w:r w:rsidR="0040761F" w:rsidRPr="00525E62">
        <w:rPr>
          <w:rFonts w:ascii="Verdana" w:hAnsi="Verdana"/>
          <w:sz w:val="20"/>
          <w:lang w:val="en-US"/>
        </w:rPr>
        <w:t xml:space="preserve"> ha</w:t>
      </w:r>
      <w:r w:rsidR="00583AEB" w:rsidRPr="00525E62">
        <w:rPr>
          <w:rFonts w:ascii="Verdana" w:hAnsi="Verdana"/>
          <w:sz w:val="20"/>
          <w:lang w:val="en-US"/>
        </w:rPr>
        <w:t xml:space="preserve">s complied fully with the measure of reparation concerning the payment of US$675,000.00 as compensation for pecuniary and non-pecuniary damage to a community development fund created and established to benefit the members </w:t>
      </w:r>
      <w:r w:rsidR="005D679B" w:rsidRPr="00525E62">
        <w:rPr>
          <w:rFonts w:ascii="Verdana" w:hAnsi="Verdana"/>
          <w:sz w:val="20"/>
          <w:lang w:val="en-US"/>
        </w:rPr>
        <w:t xml:space="preserve">of the Saramaka </w:t>
      </w:r>
      <w:r w:rsidR="00583AEB" w:rsidRPr="00525E62">
        <w:rPr>
          <w:rFonts w:ascii="Verdana" w:hAnsi="Verdana"/>
          <w:sz w:val="20"/>
          <w:lang w:val="en-US"/>
        </w:rPr>
        <w:t>p</w:t>
      </w:r>
      <w:r w:rsidR="005D679B" w:rsidRPr="00525E62">
        <w:rPr>
          <w:rFonts w:ascii="Verdana" w:hAnsi="Verdana"/>
          <w:sz w:val="20"/>
          <w:lang w:val="en-US"/>
        </w:rPr>
        <w:t>eople</w:t>
      </w:r>
      <w:r w:rsidR="0040761F" w:rsidRPr="00525E62">
        <w:rPr>
          <w:rFonts w:ascii="Verdana" w:hAnsi="Verdana"/>
          <w:sz w:val="20"/>
          <w:lang w:val="en-US"/>
        </w:rPr>
        <w:t xml:space="preserve"> </w:t>
      </w:r>
      <w:r w:rsidR="00583AEB" w:rsidRPr="00525E62">
        <w:rPr>
          <w:rFonts w:ascii="Verdana" w:hAnsi="Verdana"/>
          <w:sz w:val="20"/>
          <w:lang w:val="en-US"/>
        </w:rPr>
        <w:t xml:space="preserve">in their traditional territory. </w:t>
      </w:r>
    </w:p>
    <w:p w14:paraId="5EE21022" w14:textId="1C1B19D2" w:rsidR="00BE3A14" w:rsidRPr="00525E62" w:rsidRDefault="0040761F" w:rsidP="00BE3A14">
      <w:pPr>
        <w:jc w:val="both"/>
        <w:rPr>
          <w:rFonts w:ascii="Verdana" w:hAnsi="Verdana"/>
          <w:sz w:val="20"/>
          <w:lang w:val="en-US"/>
        </w:rPr>
      </w:pPr>
      <w:r w:rsidRPr="00525E62">
        <w:rPr>
          <w:rFonts w:ascii="Verdana" w:hAnsi="Verdana"/>
          <w:sz w:val="20"/>
          <w:lang w:val="en-US"/>
        </w:rPr>
        <w:t xml:space="preserve"> </w:t>
      </w:r>
    </w:p>
    <w:p w14:paraId="2191CF9B" w14:textId="483C80EF" w:rsidR="00E54903" w:rsidRPr="00525E62" w:rsidRDefault="006863BE" w:rsidP="00E54903">
      <w:pPr>
        <w:numPr>
          <w:ilvl w:val="0"/>
          <w:numId w:val="3"/>
        </w:numPr>
        <w:ind w:left="0" w:hanging="11"/>
        <w:jc w:val="both"/>
        <w:rPr>
          <w:rFonts w:ascii="Verdana" w:hAnsi="Verdana"/>
          <w:sz w:val="20"/>
          <w:lang w:val="en-US"/>
        </w:rPr>
      </w:pPr>
      <w:r w:rsidRPr="00525E62">
        <w:rPr>
          <w:rFonts w:ascii="Verdana" w:hAnsi="Verdana"/>
          <w:sz w:val="20"/>
          <w:lang w:val="en-US"/>
        </w:rPr>
        <w:t>K</w:t>
      </w:r>
      <w:r w:rsidR="00583AEB" w:rsidRPr="00525E62">
        <w:rPr>
          <w:rFonts w:ascii="Verdana" w:hAnsi="Verdana"/>
          <w:sz w:val="20"/>
          <w:lang w:val="en-US"/>
        </w:rPr>
        <w:t xml:space="preserve">eep open the procedure to monitor compliance </w:t>
      </w:r>
      <w:r w:rsidR="00647897">
        <w:rPr>
          <w:rFonts w:ascii="Verdana" w:hAnsi="Verdana"/>
          <w:sz w:val="20"/>
          <w:lang w:val="en-US"/>
        </w:rPr>
        <w:t>of</w:t>
      </w:r>
      <w:r w:rsidR="00583AEB" w:rsidRPr="00525E62">
        <w:rPr>
          <w:rFonts w:ascii="Verdana" w:hAnsi="Verdana"/>
          <w:sz w:val="20"/>
          <w:lang w:val="en-US"/>
        </w:rPr>
        <w:t xml:space="preserve"> the following measures of reparation: </w:t>
      </w:r>
    </w:p>
    <w:p w14:paraId="71D62C52" w14:textId="77777777" w:rsidR="00E54903" w:rsidRPr="00525E62" w:rsidRDefault="00E54903" w:rsidP="00E54903">
      <w:pPr>
        <w:jc w:val="both"/>
        <w:rPr>
          <w:rFonts w:ascii="Verdana" w:hAnsi="Verdana"/>
          <w:sz w:val="20"/>
          <w:lang w:val="en-US"/>
        </w:rPr>
      </w:pPr>
    </w:p>
    <w:p w14:paraId="75194A8B" w14:textId="2103D0E9" w:rsidR="00E86257" w:rsidRPr="00E83269" w:rsidRDefault="00B15139" w:rsidP="00424381">
      <w:pPr>
        <w:pStyle w:val="ListParagraph"/>
        <w:numPr>
          <w:ilvl w:val="0"/>
          <w:numId w:val="4"/>
        </w:numPr>
        <w:jc w:val="both"/>
        <w:rPr>
          <w:rFonts w:ascii="Verdana" w:eastAsiaTheme="minorHAnsi" w:hAnsi="Verdana" w:cs="Verdana"/>
          <w:sz w:val="18"/>
          <w:szCs w:val="18"/>
          <w:lang w:val="en-US"/>
        </w:rPr>
      </w:pPr>
      <w:r w:rsidRPr="00E83269">
        <w:rPr>
          <w:rFonts w:ascii="Verdana" w:hAnsi="Verdana"/>
          <w:sz w:val="18"/>
          <w:lang w:val="en-US"/>
        </w:rPr>
        <w:t>D</w:t>
      </w:r>
      <w:r w:rsidR="00583AEB" w:rsidRPr="00E83269">
        <w:rPr>
          <w:rFonts w:ascii="Verdana" w:hAnsi="Verdana"/>
          <w:sz w:val="18"/>
          <w:lang w:val="en-US"/>
        </w:rPr>
        <w:t>e</w:t>
      </w:r>
      <w:r w:rsidRPr="00E83269">
        <w:rPr>
          <w:rFonts w:ascii="Verdana" w:hAnsi="Verdana"/>
          <w:sz w:val="18"/>
          <w:lang w:val="en-US"/>
        </w:rPr>
        <w:t xml:space="preserve">limit, demarcate and grant collective title </w:t>
      </w:r>
      <w:r w:rsidR="00424381" w:rsidRPr="00E83269">
        <w:rPr>
          <w:rFonts w:ascii="Verdana" w:eastAsiaTheme="minorHAnsi" w:hAnsi="Verdana" w:cs="Verdana"/>
          <w:sz w:val="18"/>
          <w:szCs w:val="18"/>
          <w:lang w:val="en-US"/>
        </w:rPr>
        <w:t>over the territory of the members of the Saramaka people, in accordance with their customary laws, and through previous, effective and fully informed consultations with the Saramaka people, without prejudice to other tribal and indigenous communities. Until said delimitation, demarcation, and titling of the Saramaka territory has been carried out, Suriname must abstain from acts which might lead the agents of the State itself, or third parties acting with its acquiescence or its tolerance, to affect the existence, value, use or enjoyment of the territory to which the members of the Saramaka people are entitled, unless the State obtains the free, informed and prior consent of the Saramaka people. With regards to the concessions already granted within traditional Saramaka territory, the State must review them, in light of the […] judgment and the Court’s jurisprudence, in order to evaluate whether a modification of the rights of the concessionaires is necessary in order to preserve the survival of the Saramaka people</w:t>
      </w:r>
      <w:r w:rsidR="00AB17AC" w:rsidRPr="00E83269">
        <w:rPr>
          <w:rFonts w:ascii="Verdana" w:hAnsi="Verdana"/>
          <w:sz w:val="18"/>
          <w:szCs w:val="18"/>
          <w:lang w:val="en-US"/>
        </w:rPr>
        <w:t xml:space="preserve"> (</w:t>
      </w:r>
      <w:r w:rsidR="00583AEB" w:rsidRPr="00E83269">
        <w:rPr>
          <w:rFonts w:ascii="Verdana" w:hAnsi="Verdana"/>
          <w:i/>
          <w:sz w:val="18"/>
          <w:szCs w:val="18"/>
          <w:lang w:val="en-US"/>
        </w:rPr>
        <w:t>fifth operative paragraph</w:t>
      </w:r>
      <w:r w:rsidR="002462D1" w:rsidRPr="00E83269">
        <w:rPr>
          <w:rFonts w:ascii="Verdana" w:hAnsi="Verdana"/>
          <w:i/>
          <w:sz w:val="18"/>
          <w:szCs w:val="18"/>
          <w:lang w:val="en-US"/>
        </w:rPr>
        <w:t xml:space="preserve"> of the </w:t>
      </w:r>
      <w:r w:rsidR="00C93224" w:rsidRPr="00E83269">
        <w:rPr>
          <w:rFonts w:ascii="Verdana" w:hAnsi="Verdana"/>
          <w:i/>
          <w:sz w:val="18"/>
          <w:szCs w:val="18"/>
          <w:lang w:val="en-US"/>
        </w:rPr>
        <w:t>judgment</w:t>
      </w:r>
      <w:r w:rsidR="00AB17AC" w:rsidRPr="00E83269">
        <w:rPr>
          <w:rFonts w:ascii="Verdana" w:hAnsi="Verdana"/>
          <w:sz w:val="18"/>
          <w:szCs w:val="18"/>
          <w:lang w:val="en-US"/>
        </w:rPr>
        <w:t>);</w:t>
      </w:r>
    </w:p>
    <w:p w14:paraId="664DBFEA" w14:textId="2219F808" w:rsidR="00E86257" w:rsidRPr="00E83269" w:rsidRDefault="00E86257" w:rsidP="00E86257">
      <w:pPr>
        <w:pStyle w:val="FootnoteText"/>
        <w:numPr>
          <w:ilvl w:val="0"/>
          <w:numId w:val="4"/>
        </w:numPr>
        <w:tabs>
          <w:tab w:val="left" w:pos="1080"/>
        </w:tabs>
        <w:jc w:val="both"/>
        <w:rPr>
          <w:rFonts w:ascii="Verdana" w:hAnsi="Verdana"/>
          <w:sz w:val="18"/>
          <w:szCs w:val="18"/>
          <w:lang w:val="en-US"/>
        </w:rPr>
      </w:pPr>
      <w:r w:rsidRPr="00E83269">
        <w:rPr>
          <w:rFonts w:ascii="Verdana" w:hAnsi="Verdana" w:cs="Verdana"/>
          <w:sz w:val="18"/>
          <w:szCs w:val="18"/>
          <w:lang w:val="en-US"/>
        </w:rPr>
        <w:t>grant the members of the Saramaka people legal recognition of the collective juridical capacity, pertaining to the community to which they belong, with the purpose of ensuring the full exercise and enjoyment of their right to communal property, as well as collective access to justice, in accordance with their communal system, customary laws, and traditions</w:t>
      </w:r>
      <w:r w:rsidRPr="00E83269">
        <w:rPr>
          <w:rFonts w:ascii="Verdana" w:hAnsi="Verdana"/>
          <w:i/>
          <w:sz w:val="18"/>
          <w:szCs w:val="18"/>
          <w:lang w:val="en-US"/>
        </w:rPr>
        <w:t xml:space="preserve"> (sixth operative paragraph of the judgment)</w:t>
      </w:r>
      <w:r w:rsidRPr="00E83269">
        <w:rPr>
          <w:rFonts w:ascii="Verdana" w:hAnsi="Verdana"/>
          <w:sz w:val="18"/>
          <w:szCs w:val="18"/>
          <w:lang w:val="en-US"/>
        </w:rPr>
        <w:t>;</w:t>
      </w:r>
    </w:p>
    <w:p w14:paraId="4FC852F1" w14:textId="488569E5" w:rsidR="00E86257" w:rsidRPr="00E83269" w:rsidRDefault="00E86257" w:rsidP="00E86257">
      <w:pPr>
        <w:pStyle w:val="FootnoteText"/>
        <w:numPr>
          <w:ilvl w:val="0"/>
          <w:numId w:val="4"/>
        </w:numPr>
        <w:tabs>
          <w:tab w:val="left" w:pos="1080"/>
        </w:tabs>
        <w:jc w:val="both"/>
        <w:rPr>
          <w:rFonts w:ascii="Verdana" w:hAnsi="Verdana"/>
          <w:sz w:val="18"/>
          <w:szCs w:val="18"/>
          <w:lang w:val="en-US"/>
        </w:rPr>
      </w:pPr>
      <w:r w:rsidRPr="00E83269">
        <w:rPr>
          <w:rFonts w:ascii="Verdana" w:hAnsi="Verdana" w:cs="Verdana"/>
          <w:sz w:val="18"/>
          <w:szCs w:val="18"/>
          <w:lang w:val="en-US"/>
        </w:rPr>
        <w:t xml:space="preserve">remove or amend the legal provisions that impede protection of the right to property of the members of the Saramaka people and adopt, in its domestic legislation, and through prior, effective and fully informed consultations with the Saramaka people, legislative, administrative, and other measures as may be required to recognize, protect, guarantee and give legal effect to the right of the members of the Saramaka people to hold </w:t>
      </w:r>
      <w:r w:rsidRPr="00E83269">
        <w:rPr>
          <w:rFonts w:ascii="Verdana" w:hAnsi="Verdana" w:cs="Verdana"/>
          <w:sz w:val="18"/>
          <w:szCs w:val="18"/>
          <w:lang w:val="en-US"/>
        </w:rPr>
        <w:lastRenderedPageBreak/>
        <w:t>collective title of the territory they have traditionally used and occupied, which includes the lands and natural resources necessary for their social, cultural and economic survival, as well as manage, distribute, and effectively control such territory, in accordance with their customary laws and traditional collective land tenure system, and without prejudice to other tribal and indigenous communities</w:t>
      </w:r>
      <w:r w:rsidRPr="00E83269">
        <w:rPr>
          <w:rFonts w:ascii="Verdana" w:hAnsi="Verdana"/>
          <w:i/>
          <w:sz w:val="18"/>
          <w:szCs w:val="18"/>
          <w:lang w:val="en-US"/>
        </w:rPr>
        <w:t xml:space="preserve"> (seventh operative paragraph of the judgment)</w:t>
      </w:r>
      <w:r w:rsidRPr="00E83269">
        <w:rPr>
          <w:rFonts w:ascii="Verdana" w:hAnsi="Verdana"/>
          <w:sz w:val="18"/>
          <w:szCs w:val="18"/>
          <w:lang w:val="en-US"/>
        </w:rPr>
        <w:t>;</w:t>
      </w:r>
    </w:p>
    <w:p w14:paraId="5322C6B5" w14:textId="5FFA284D" w:rsidR="00E86257" w:rsidRPr="00E83269" w:rsidRDefault="00E86257" w:rsidP="00E86257">
      <w:pPr>
        <w:pStyle w:val="FootnoteText"/>
        <w:numPr>
          <w:ilvl w:val="0"/>
          <w:numId w:val="4"/>
        </w:numPr>
        <w:tabs>
          <w:tab w:val="left" w:pos="1080"/>
        </w:tabs>
        <w:jc w:val="both"/>
        <w:rPr>
          <w:rFonts w:ascii="Verdana" w:hAnsi="Verdana" w:cs="Verdana"/>
          <w:sz w:val="18"/>
          <w:szCs w:val="18"/>
          <w:lang w:val="en-US"/>
        </w:rPr>
      </w:pPr>
      <w:r w:rsidRPr="00E83269">
        <w:rPr>
          <w:rFonts w:ascii="Verdana" w:hAnsi="Verdana" w:cs="Verdana"/>
          <w:sz w:val="18"/>
          <w:szCs w:val="18"/>
          <w:lang w:val="en-US"/>
        </w:rPr>
        <w:t>adopt legislative, administrative and other measures necessary to recognize and ensure the right of the Saramaka people to be effectively consulted, in accordance with their traditions and customs, or when necessary, the right to give or withhold their free, informed and prior consent, with regards to development or investment projects that may affect their territory, and to reasonably share the benefits of such projects with the members of the Saramaka people, should these be ultimately carried out</w:t>
      </w:r>
      <w:r w:rsidRPr="00E83269">
        <w:rPr>
          <w:rFonts w:ascii="Verdana" w:hAnsi="Verdana"/>
          <w:sz w:val="18"/>
          <w:szCs w:val="18"/>
          <w:lang w:val="en-US"/>
        </w:rPr>
        <w:t xml:space="preserve"> </w:t>
      </w:r>
      <w:r w:rsidRPr="00E83269">
        <w:rPr>
          <w:rFonts w:ascii="Verdana" w:hAnsi="Verdana"/>
          <w:i/>
          <w:sz w:val="18"/>
          <w:szCs w:val="18"/>
          <w:lang w:val="en-US"/>
        </w:rPr>
        <w:t>(eighth operative paragraph of the judgment)</w:t>
      </w:r>
      <w:r w:rsidRPr="00E83269">
        <w:rPr>
          <w:rFonts w:ascii="Verdana" w:hAnsi="Verdana"/>
          <w:sz w:val="18"/>
          <w:szCs w:val="18"/>
          <w:lang w:val="en-US"/>
        </w:rPr>
        <w:t>;</w:t>
      </w:r>
    </w:p>
    <w:p w14:paraId="782E01D1" w14:textId="79CEBE6B" w:rsidR="00E86257" w:rsidRPr="00E83269" w:rsidRDefault="00E86257" w:rsidP="00E86257">
      <w:pPr>
        <w:pStyle w:val="FootnoteText"/>
        <w:numPr>
          <w:ilvl w:val="0"/>
          <w:numId w:val="4"/>
        </w:numPr>
        <w:tabs>
          <w:tab w:val="left" w:pos="1080"/>
        </w:tabs>
        <w:jc w:val="both"/>
        <w:rPr>
          <w:rFonts w:ascii="Verdana" w:hAnsi="Verdana"/>
          <w:sz w:val="18"/>
          <w:szCs w:val="18"/>
          <w:lang w:val="en-US"/>
        </w:rPr>
      </w:pPr>
      <w:r w:rsidRPr="00E83269">
        <w:rPr>
          <w:rFonts w:ascii="Verdana" w:hAnsi="Verdana" w:cs="Verdana"/>
          <w:sz w:val="18"/>
          <w:szCs w:val="18"/>
          <w:lang w:val="en-US"/>
        </w:rPr>
        <w:t>ensure that environmental and social impact assessments are conducted by independent and technically competent entities, prior to awarding a concession for any development or investment project within traditional Saramaka territory, and implement adequate safeguards and mechanisms in order to minimize the damaging effects such projects may have upon the social, economic and cultural survival of the Saramaka people</w:t>
      </w:r>
      <w:r w:rsidRPr="00E83269">
        <w:rPr>
          <w:rFonts w:ascii="Verdana" w:hAnsi="Verdana"/>
          <w:i/>
          <w:sz w:val="18"/>
          <w:szCs w:val="18"/>
          <w:lang w:val="en-US"/>
        </w:rPr>
        <w:t xml:space="preserve"> (ninth operative paragraph of the judgment)</w:t>
      </w:r>
      <w:r w:rsidRPr="00E83269">
        <w:rPr>
          <w:rFonts w:ascii="Verdana" w:hAnsi="Verdana"/>
          <w:sz w:val="18"/>
          <w:szCs w:val="18"/>
          <w:lang w:val="en-US"/>
        </w:rPr>
        <w:t>; and</w:t>
      </w:r>
    </w:p>
    <w:p w14:paraId="180896A1" w14:textId="3FD443E7" w:rsidR="00E86257" w:rsidRPr="00E83269" w:rsidRDefault="00E86257" w:rsidP="00E86257">
      <w:pPr>
        <w:pStyle w:val="FootnoteText"/>
        <w:numPr>
          <w:ilvl w:val="0"/>
          <w:numId w:val="4"/>
        </w:numPr>
        <w:tabs>
          <w:tab w:val="left" w:pos="1080"/>
        </w:tabs>
        <w:jc w:val="both"/>
        <w:rPr>
          <w:rFonts w:ascii="Verdana" w:hAnsi="Verdana"/>
          <w:sz w:val="18"/>
          <w:szCs w:val="18"/>
          <w:lang w:val="en-US"/>
        </w:rPr>
      </w:pPr>
      <w:r w:rsidRPr="00E83269">
        <w:rPr>
          <w:rFonts w:ascii="Verdana" w:hAnsi="Verdana" w:cs="Verdana"/>
          <w:sz w:val="18"/>
          <w:szCs w:val="18"/>
          <w:lang w:val="en-US"/>
        </w:rPr>
        <w:t>adopt legislative, administrative and other measures necessary to provide the members of the Saramaka people with adequate and effective recourses against acts that violate their right to the use and enjoyment of property in accordance with their communal property system</w:t>
      </w:r>
      <w:r w:rsidRPr="00E83269">
        <w:rPr>
          <w:rFonts w:ascii="Verdana" w:hAnsi="Verdana"/>
          <w:i/>
          <w:sz w:val="18"/>
          <w:szCs w:val="18"/>
          <w:lang w:val="en-US"/>
        </w:rPr>
        <w:t xml:space="preserve"> (tenth operative paragraph of the judgment)</w:t>
      </w:r>
      <w:r w:rsidRPr="00E83269">
        <w:rPr>
          <w:rFonts w:ascii="Verdana" w:hAnsi="Verdana"/>
          <w:sz w:val="18"/>
          <w:szCs w:val="18"/>
          <w:lang w:val="en-US"/>
        </w:rPr>
        <w:t>.</w:t>
      </w:r>
    </w:p>
    <w:p w14:paraId="018CEB0E" w14:textId="77777777" w:rsidR="00E54903" w:rsidRPr="00525E62" w:rsidRDefault="00E54903" w:rsidP="00E86257">
      <w:pPr>
        <w:jc w:val="both"/>
        <w:rPr>
          <w:rFonts w:ascii="Verdana" w:hAnsi="Verdana"/>
          <w:sz w:val="18"/>
          <w:szCs w:val="18"/>
          <w:lang w:val="en-US"/>
        </w:rPr>
      </w:pPr>
    </w:p>
    <w:p w14:paraId="6AAEDDF0" w14:textId="4DBE4F9C" w:rsidR="00E54903" w:rsidRPr="00525E62" w:rsidRDefault="00D9597C" w:rsidP="00D9597C">
      <w:pPr>
        <w:numPr>
          <w:ilvl w:val="0"/>
          <w:numId w:val="3"/>
        </w:numPr>
        <w:ind w:left="0" w:hanging="11"/>
        <w:jc w:val="both"/>
        <w:rPr>
          <w:rFonts w:ascii="Verdana" w:hAnsi="Verdana"/>
          <w:sz w:val="20"/>
          <w:lang w:val="en-US"/>
        </w:rPr>
      </w:pPr>
      <w:r w:rsidRPr="00525E62">
        <w:rPr>
          <w:rFonts w:ascii="Verdana" w:hAnsi="Verdana"/>
          <w:sz w:val="20"/>
          <w:lang w:val="en-US"/>
        </w:rPr>
        <w:t>Requ</w:t>
      </w:r>
      <w:r w:rsidR="00583AEB" w:rsidRPr="00525E62">
        <w:rPr>
          <w:rFonts w:ascii="Verdana" w:hAnsi="Verdana"/>
          <w:sz w:val="20"/>
          <w:lang w:val="en-US"/>
        </w:rPr>
        <w:t xml:space="preserve">ire the State to adopt, finally and forthwith, all necessary measures to comply effectively and promptly with the pending elements </w:t>
      </w:r>
      <w:r w:rsidR="002462D1" w:rsidRPr="00525E62">
        <w:rPr>
          <w:rFonts w:ascii="Verdana" w:hAnsi="Verdana"/>
          <w:sz w:val="20"/>
          <w:lang w:val="en-US"/>
        </w:rPr>
        <w:t xml:space="preserve">of the </w:t>
      </w:r>
      <w:r w:rsidR="00C93224" w:rsidRPr="00525E62">
        <w:rPr>
          <w:rFonts w:ascii="Verdana" w:hAnsi="Verdana"/>
          <w:sz w:val="20"/>
          <w:lang w:val="en-US"/>
        </w:rPr>
        <w:t>judgment</w:t>
      </w:r>
      <w:r w:rsidRPr="00525E62">
        <w:rPr>
          <w:rFonts w:ascii="Verdana" w:hAnsi="Verdana"/>
          <w:sz w:val="20"/>
          <w:lang w:val="en-US"/>
        </w:rPr>
        <w:t xml:space="preserve"> </w:t>
      </w:r>
      <w:r w:rsidR="00583AEB" w:rsidRPr="00525E62">
        <w:rPr>
          <w:rFonts w:ascii="Verdana" w:hAnsi="Verdana"/>
          <w:sz w:val="20"/>
          <w:lang w:val="en-US"/>
        </w:rPr>
        <w:t>on</w:t>
      </w:r>
      <w:r w:rsidRPr="00525E62">
        <w:rPr>
          <w:rFonts w:ascii="Verdana" w:hAnsi="Verdana"/>
          <w:sz w:val="20"/>
          <w:lang w:val="en-US"/>
        </w:rPr>
        <w:t xml:space="preserve"> </w:t>
      </w:r>
      <w:r w:rsidR="00C93224" w:rsidRPr="00525E62">
        <w:rPr>
          <w:rFonts w:ascii="Verdana" w:hAnsi="Verdana"/>
          <w:sz w:val="20"/>
          <w:lang w:val="en-US"/>
        </w:rPr>
        <w:t>preliminary objections, merits, reparations and costs</w:t>
      </w:r>
      <w:r w:rsidR="00CA5FEC" w:rsidRPr="00525E62">
        <w:rPr>
          <w:rFonts w:ascii="Verdana" w:hAnsi="Verdana"/>
          <w:color w:val="00B050"/>
          <w:sz w:val="20"/>
          <w:lang w:val="en-US"/>
        </w:rPr>
        <w:t xml:space="preserve"> </w:t>
      </w:r>
      <w:r w:rsidR="00583AEB" w:rsidRPr="00525E62">
        <w:rPr>
          <w:rFonts w:ascii="Verdana" w:hAnsi="Verdana"/>
          <w:sz w:val="20"/>
          <w:lang w:val="en-US"/>
        </w:rPr>
        <w:t xml:space="preserve">delivered in this case, in accordance with the considerations in this order, and with the provisions of Article 68(1) </w:t>
      </w:r>
      <w:r w:rsidR="00C93224" w:rsidRPr="00525E62">
        <w:rPr>
          <w:rFonts w:ascii="Verdana" w:hAnsi="Verdana"/>
          <w:sz w:val="20"/>
          <w:lang w:val="en-US"/>
        </w:rPr>
        <w:t xml:space="preserve">of </w:t>
      </w:r>
      <w:r w:rsidR="002462D1" w:rsidRPr="00525E62">
        <w:rPr>
          <w:rFonts w:ascii="Verdana" w:hAnsi="Verdana"/>
          <w:sz w:val="20"/>
          <w:lang w:val="en-US"/>
        </w:rPr>
        <w:t>the American Convention</w:t>
      </w:r>
      <w:r w:rsidRPr="00525E62">
        <w:rPr>
          <w:rFonts w:ascii="Verdana" w:hAnsi="Verdana"/>
          <w:sz w:val="20"/>
          <w:lang w:val="en-US"/>
        </w:rPr>
        <w:t xml:space="preserve"> </w:t>
      </w:r>
      <w:r w:rsidR="00583AEB" w:rsidRPr="00525E62">
        <w:rPr>
          <w:rFonts w:ascii="Verdana" w:hAnsi="Verdana"/>
          <w:sz w:val="20"/>
          <w:lang w:val="en-US"/>
        </w:rPr>
        <w:t>on Human Rights</w:t>
      </w:r>
      <w:r w:rsidRPr="00525E62">
        <w:rPr>
          <w:rFonts w:ascii="Verdana" w:hAnsi="Verdana"/>
          <w:sz w:val="20"/>
          <w:lang w:val="en-US"/>
        </w:rPr>
        <w:t>.</w:t>
      </w:r>
    </w:p>
    <w:p w14:paraId="56EA12CB" w14:textId="77777777" w:rsidR="00D9597C" w:rsidRPr="00525E62" w:rsidRDefault="00D9597C" w:rsidP="00D9597C">
      <w:pPr>
        <w:jc w:val="both"/>
        <w:rPr>
          <w:rFonts w:ascii="Verdana" w:hAnsi="Verdana"/>
          <w:sz w:val="20"/>
          <w:lang w:val="en-US"/>
        </w:rPr>
      </w:pPr>
    </w:p>
    <w:p w14:paraId="53284C3A" w14:textId="44F1C270" w:rsidR="002B39AC" w:rsidRPr="00AF3B29" w:rsidRDefault="004A6EED" w:rsidP="004A6EED">
      <w:pPr>
        <w:numPr>
          <w:ilvl w:val="0"/>
          <w:numId w:val="3"/>
        </w:numPr>
        <w:ind w:left="0" w:hanging="11"/>
        <w:jc w:val="both"/>
        <w:rPr>
          <w:rFonts w:ascii="Verdana" w:hAnsi="Verdana"/>
          <w:sz w:val="20"/>
          <w:lang w:val="en-US"/>
        </w:rPr>
      </w:pPr>
      <w:r w:rsidRPr="00AF3B29">
        <w:rPr>
          <w:rFonts w:ascii="Verdana" w:hAnsi="Verdana"/>
          <w:sz w:val="20"/>
          <w:lang w:val="en-US"/>
        </w:rPr>
        <w:t xml:space="preserve"> </w:t>
      </w:r>
      <w:r w:rsidR="00AF3B29">
        <w:rPr>
          <w:rFonts w:ascii="Verdana" w:hAnsi="Verdana"/>
          <w:sz w:val="20"/>
          <w:lang w:val="en-US"/>
        </w:rPr>
        <w:t>Establish</w:t>
      </w:r>
      <w:r w:rsidR="00424381" w:rsidRPr="00AF3B29">
        <w:rPr>
          <w:rFonts w:ascii="Verdana" w:hAnsi="Verdana"/>
          <w:sz w:val="20"/>
          <w:lang w:val="en-US"/>
        </w:rPr>
        <w:t xml:space="preserve"> that, pursuant to Article 69 of the Court’s Rules of Procedure, following the consent of, and in coordination with,</w:t>
      </w:r>
      <w:r w:rsidR="002B39AC" w:rsidRPr="00AF3B29">
        <w:rPr>
          <w:rFonts w:ascii="Verdana" w:hAnsi="Verdana"/>
          <w:sz w:val="20"/>
          <w:lang w:val="en-US"/>
        </w:rPr>
        <w:t xml:space="preserve"> </w:t>
      </w:r>
      <w:r w:rsidR="005D679B" w:rsidRPr="00AF3B29">
        <w:rPr>
          <w:rFonts w:ascii="Verdana" w:hAnsi="Verdana"/>
          <w:sz w:val="20"/>
          <w:lang w:val="en-US"/>
        </w:rPr>
        <w:t>the State</w:t>
      </w:r>
      <w:r w:rsidR="002B39AC" w:rsidRPr="00AF3B29">
        <w:rPr>
          <w:rFonts w:ascii="Verdana" w:hAnsi="Verdana"/>
          <w:sz w:val="20"/>
          <w:lang w:val="en-US"/>
        </w:rPr>
        <w:t xml:space="preserve"> </w:t>
      </w:r>
      <w:r w:rsidR="00424381" w:rsidRPr="00AF3B29">
        <w:rPr>
          <w:rFonts w:ascii="Verdana" w:hAnsi="Verdana"/>
          <w:sz w:val="20"/>
          <w:lang w:val="en-US"/>
        </w:rPr>
        <w:t>of</w:t>
      </w:r>
      <w:r w:rsidR="002B39AC" w:rsidRPr="00AF3B29">
        <w:rPr>
          <w:rFonts w:ascii="Verdana" w:hAnsi="Verdana"/>
          <w:sz w:val="20"/>
          <w:lang w:val="en-US"/>
        </w:rPr>
        <w:t xml:space="preserve"> Surinam</w:t>
      </w:r>
      <w:r w:rsidR="00424381" w:rsidRPr="00AF3B29">
        <w:rPr>
          <w:rFonts w:ascii="Verdana" w:hAnsi="Verdana"/>
          <w:sz w:val="20"/>
          <w:lang w:val="en-US"/>
        </w:rPr>
        <w:t>e</w:t>
      </w:r>
      <w:r w:rsidR="002B39AC" w:rsidRPr="00AF3B29">
        <w:rPr>
          <w:rFonts w:ascii="Verdana" w:hAnsi="Verdana"/>
          <w:sz w:val="20"/>
          <w:lang w:val="en-US"/>
        </w:rPr>
        <w:t xml:space="preserve">, </w:t>
      </w:r>
      <w:r w:rsidR="00424381" w:rsidRPr="00AF3B29">
        <w:rPr>
          <w:rFonts w:ascii="Verdana" w:hAnsi="Verdana"/>
          <w:sz w:val="20"/>
          <w:lang w:val="en-US"/>
        </w:rPr>
        <w:t>the</w:t>
      </w:r>
      <w:r w:rsidR="002B39AC" w:rsidRPr="00AF3B29">
        <w:rPr>
          <w:rFonts w:ascii="Verdana" w:hAnsi="Verdana"/>
          <w:sz w:val="20"/>
          <w:lang w:val="en-US"/>
        </w:rPr>
        <w:t xml:space="preserve"> President</w:t>
      </w:r>
      <w:r w:rsidR="002462D1" w:rsidRPr="00AF3B29">
        <w:rPr>
          <w:rFonts w:ascii="Verdana" w:hAnsi="Verdana"/>
          <w:sz w:val="20"/>
          <w:lang w:val="en-US"/>
        </w:rPr>
        <w:t xml:space="preserve"> of the </w:t>
      </w:r>
      <w:r w:rsidR="00C93224" w:rsidRPr="00AF3B29">
        <w:rPr>
          <w:rFonts w:ascii="Verdana" w:hAnsi="Verdana"/>
          <w:sz w:val="20"/>
          <w:lang w:val="en-US"/>
        </w:rPr>
        <w:t>Court</w:t>
      </w:r>
      <w:r w:rsidR="002B39AC" w:rsidRPr="00AF3B29">
        <w:rPr>
          <w:rFonts w:ascii="Verdana" w:hAnsi="Verdana"/>
          <w:sz w:val="20"/>
          <w:lang w:val="en-US"/>
        </w:rPr>
        <w:t xml:space="preserve"> </w:t>
      </w:r>
      <w:r w:rsidR="00AF3B29">
        <w:rPr>
          <w:rFonts w:ascii="Verdana" w:hAnsi="Verdana"/>
          <w:sz w:val="20"/>
          <w:lang w:val="en-US"/>
        </w:rPr>
        <w:t>may</w:t>
      </w:r>
      <w:r w:rsidR="00424381" w:rsidRPr="00AF3B29">
        <w:rPr>
          <w:rFonts w:ascii="Verdana" w:hAnsi="Verdana"/>
          <w:sz w:val="20"/>
          <w:lang w:val="en-US"/>
        </w:rPr>
        <w:t xml:space="preserve"> visit Suriname to obtain relevant information directly from the parties in order to monitor compliance with </w:t>
      </w:r>
      <w:r w:rsidR="002462D1" w:rsidRPr="00AF3B29">
        <w:rPr>
          <w:rFonts w:ascii="Verdana" w:hAnsi="Verdana"/>
          <w:sz w:val="20"/>
          <w:lang w:val="en-US"/>
        </w:rPr>
        <w:t xml:space="preserve">the </w:t>
      </w:r>
      <w:r w:rsidR="00C93224" w:rsidRPr="00AF3B29">
        <w:rPr>
          <w:rFonts w:ascii="Verdana" w:hAnsi="Verdana"/>
          <w:sz w:val="20"/>
          <w:lang w:val="en-US"/>
        </w:rPr>
        <w:t>judgment</w:t>
      </w:r>
      <w:r w:rsidR="002B39AC" w:rsidRPr="00AF3B29">
        <w:rPr>
          <w:rFonts w:ascii="Verdana" w:hAnsi="Verdana"/>
          <w:sz w:val="20"/>
          <w:lang w:val="en-US"/>
        </w:rPr>
        <w:t>, o</w:t>
      </w:r>
      <w:r w:rsidR="00424381" w:rsidRPr="00AF3B29">
        <w:rPr>
          <w:rFonts w:ascii="Verdana" w:hAnsi="Verdana"/>
          <w:sz w:val="20"/>
          <w:lang w:val="en-US"/>
        </w:rPr>
        <w:t xml:space="preserve">r may delegate this to one or more judges </w:t>
      </w:r>
      <w:r w:rsidR="002462D1" w:rsidRPr="00AF3B29">
        <w:rPr>
          <w:rFonts w:ascii="Verdana" w:hAnsi="Verdana"/>
          <w:sz w:val="20"/>
          <w:lang w:val="en-US"/>
        </w:rPr>
        <w:t xml:space="preserve">of the </w:t>
      </w:r>
      <w:r w:rsidR="00C93224" w:rsidRPr="00AF3B29">
        <w:rPr>
          <w:rFonts w:ascii="Verdana" w:hAnsi="Verdana"/>
          <w:sz w:val="20"/>
          <w:lang w:val="en-US"/>
        </w:rPr>
        <w:t>Court</w:t>
      </w:r>
      <w:r w:rsidR="002B39AC" w:rsidRPr="00AF3B29">
        <w:rPr>
          <w:rFonts w:ascii="Verdana" w:hAnsi="Verdana"/>
          <w:sz w:val="20"/>
          <w:lang w:val="en-US"/>
        </w:rPr>
        <w:t xml:space="preserve"> o</w:t>
      </w:r>
      <w:r w:rsidR="00424381" w:rsidRPr="00AF3B29">
        <w:rPr>
          <w:rFonts w:ascii="Verdana" w:hAnsi="Verdana"/>
          <w:sz w:val="20"/>
          <w:lang w:val="en-US"/>
        </w:rPr>
        <w:t>r officials of the Sec</w:t>
      </w:r>
      <w:r>
        <w:rPr>
          <w:rFonts w:ascii="Verdana" w:hAnsi="Verdana"/>
          <w:sz w:val="20"/>
          <w:lang w:val="en-US"/>
        </w:rPr>
        <w:t>retariat.</w:t>
      </w:r>
    </w:p>
    <w:p w14:paraId="3A121D3C" w14:textId="77777777" w:rsidR="002B39AC" w:rsidRPr="00525E62" w:rsidRDefault="002B39AC" w:rsidP="002B39AC">
      <w:pPr>
        <w:ind w:left="720"/>
        <w:jc w:val="both"/>
        <w:rPr>
          <w:rFonts w:ascii="Verdana" w:hAnsi="Verdana"/>
          <w:sz w:val="20"/>
          <w:lang w:val="en-US"/>
        </w:rPr>
      </w:pPr>
    </w:p>
    <w:p w14:paraId="3367B8CC" w14:textId="36B41C16" w:rsidR="001C43DF" w:rsidRPr="0020651E" w:rsidRDefault="00A451B4" w:rsidP="00424381">
      <w:pPr>
        <w:numPr>
          <w:ilvl w:val="0"/>
          <w:numId w:val="3"/>
        </w:numPr>
        <w:ind w:left="0" w:hanging="11"/>
        <w:jc w:val="both"/>
        <w:rPr>
          <w:rFonts w:ascii="Verdana" w:hAnsi="Verdana"/>
          <w:sz w:val="20"/>
          <w:lang w:val="en-US"/>
        </w:rPr>
      </w:pPr>
      <w:r w:rsidRPr="00525E62">
        <w:rPr>
          <w:rFonts w:ascii="Verdana" w:hAnsi="Verdana"/>
          <w:sz w:val="20"/>
          <w:lang w:val="en-US"/>
        </w:rPr>
        <w:t>Order</w:t>
      </w:r>
      <w:r w:rsidR="00424381" w:rsidRPr="00525E62">
        <w:rPr>
          <w:rFonts w:ascii="Verdana" w:hAnsi="Verdana"/>
          <w:sz w:val="20"/>
          <w:lang w:val="en-US"/>
        </w:rPr>
        <w:t xml:space="preserve"> that, based on Article 69 of the Court’s Rules of Procedure, the Secretariat take steps to coordinate </w:t>
      </w:r>
      <w:r w:rsidR="00022445">
        <w:rPr>
          <w:rFonts w:ascii="Verdana" w:hAnsi="Verdana"/>
          <w:sz w:val="20"/>
          <w:lang w:val="en-US"/>
        </w:rPr>
        <w:t>with</w:t>
      </w:r>
      <w:r w:rsidR="00022445" w:rsidRPr="00525E62">
        <w:rPr>
          <w:rFonts w:ascii="Verdana" w:hAnsi="Verdana"/>
          <w:sz w:val="20"/>
          <w:lang w:val="en-US"/>
        </w:rPr>
        <w:t xml:space="preserve"> Suriname </w:t>
      </w:r>
      <w:r w:rsidR="00424381" w:rsidRPr="00525E62">
        <w:rPr>
          <w:rFonts w:ascii="Verdana" w:hAnsi="Verdana"/>
          <w:sz w:val="20"/>
          <w:lang w:val="en-US"/>
        </w:rPr>
        <w:t>a possible visit</w:t>
      </w:r>
      <w:r w:rsidR="00022445">
        <w:rPr>
          <w:rFonts w:ascii="Verdana" w:hAnsi="Verdana"/>
          <w:sz w:val="20"/>
          <w:lang w:val="en-US"/>
        </w:rPr>
        <w:t xml:space="preserve"> that country</w:t>
      </w:r>
      <w:r w:rsidR="00424381" w:rsidRPr="00525E62">
        <w:rPr>
          <w:rFonts w:ascii="Verdana" w:hAnsi="Verdana"/>
          <w:sz w:val="20"/>
          <w:lang w:val="en-US"/>
        </w:rPr>
        <w:t xml:space="preserve"> to obtain precise and relevant information in order to monitor compliance with the pending measures of reparation.</w:t>
      </w:r>
      <w:r w:rsidR="00334833" w:rsidRPr="00525E62">
        <w:rPr>
          <w:rFonts w:ascii="Verdana" w:hAnsi="Verdana"/>
          <w:sz w:val="20"/>
          <w:lang w:val="en-US"/>
        </w:rPr>
        <w:t xml:space="preserve"> </w:t>
      </w:r>
    </w:p>
    <w:p w14:paraId="2D293D0E" w14:textId="4524696A" w:rsidR="00E54903" w:rsidRPr="0020651E" w:rsidRDefault="004A6EED" w:rsidP="004A6EED">
      <w:pPr>
        <w:pStyle w:val="ListParagraph"/>
        <w:tabs>
          <w:tab w:val="left" w:pos="4235"/>
        </w:tabs>
        <w:rPr>
          <w:rFonts w:ascii="Verdana" w:hAnsi="Verdana"/>
          <w:sz w:val="20"/>
          <w:lang w:val="en-US"/>
        </w:rPr>
      </w:pPr>
      <w:r w:rsidRPr="0020651E">
        <w:rPr>
          <w:rFonts w:ascii="Verdana" w:hAnsi="Verdana"/>
          <w:sz w:val="20"/>
          <w:lang w:val="en-US"/>
        </w:rPr>
        <w:tab/>
      </w:r>
    </w:p>
    <w:p w14:paraId="22181ED9" w14:textId="4C5CF6CA" w:rsidR="00E54903" w:rsidRPr="00525E62" w:rsidRDefault="00A451B4" w:rsidP="00E54903">
      <w:pPr>
        <w:numPr>
          <w:ilvl w:val="0"/>
          <w:numId w:val="3"/>
        </w:numPr>
        <w:ind w:left="0" w:hanging="11"/>
        <w:jc w:val="both"/>
        <w:rPr>
          <w:rFonts w:ascii="Verdana" w:hAnsi="Verdana"/>
          <w:sz w:val="20"/>
          <w:lang w:val="en-US"/>
        </w:rPr>
      </w:pPr>
      <w:bookmarkStart w:id="48" w:name="_Ref526764676"/>
      <w:r w:rsidRPr="00525E62">
        <w:rPr>
          <w:rFonts w:ascii="Verdana" w:hAnsi="Verdana"/>
          <w:sz w:val="20"/>
          <w:lang w:val="en-US"/>
        </w:rPr>
        <w:t>R</w:t>
      </w:r>
      <w:r w:rsidR="00334833" w:rsidRPr="00525E62">
        <w:rPr>
          <w:rFonts w:ascii="Verdana" w:hAnsi="Verdana"/>
          <w:sz w:val="20"/>
          <w:lang w:val="en-US"/>
        </w:rPr>
        <w:t xml:space="preserve">equire the State to submit to </w:t>
      </w:r>
      <w:r w:rsidR="00C93224" w:rsidRPr="00525E62">
        <w:rPr>
          <w:rFonts w:ascii="Verdana" w:hAnsi="Verdana"/>
          <w:sz w:val="20"/>
          <w:lang w:val="en-US"/>
        </w:rPr>
        <w:t>the Inter-American Court of Human Rights</w:t>
      </w:r>
      <w:r w:rsidR="00E54903" w:rsidRPr="00525E62">
        <w:rPr>
          <w:rFonts w:ascii="Verdana" w:hAnsi="Verdana"/>
          <w:sz w:val="20"/>
          <w:lang w:val="en-US"/>
        </w:rPr>
        <w:t xml:space="preserve">, </w:t>
      </w:r>
      <w:r w:rsidR="00334833" w:rsidRPr="00525E62">
        <w:rPr>
          <w:rFonts w:ascii="Verdana" w:hAnsi="Verdana"/>
          <w:sz w:val="20"/>
          <w:lang w:val="en-US"/>
        </w:rPr>
        <w:t xml:space="preserve">by January 15, 2019 at the latest, a report indicating the measures adopted to comply with the reparations ordered by the Court, in keeping with the considerations in this order.  </w:t>
      </w:r>
      <w:bookmarkEnd w:id="48"/>
    </w:p>
    <w:p w14:paraId="12643FBB" w14:textId="77777777" w:rsidR="00E54903" w:rsidRPr="00525E62" w:rsidRDefault="00E54903" w:rsidP="00E54903">
      <w:pPr>
        <w:pStyle w:val="ListParagraph"/>
        <w:rPr>
          <w:rFonts w:ascii="Verdana" w:hAnsi="Verdana"/>
          <w:sz w:val="20"/>
          <w:lang w:val="en-US"/>
        </w:rPr>
      </w:pPr>
    </w:p>
    <w:p w14:paraId="2AED94B1" w14:textId="078D1AD4" w:rsidR="00E54903" w:rsidRPr="00525E62" w:rsidRDefault="00A451B4" w:rsidP="00E54903">
      <w:pPr>
        <w:numPr>
          <w:ilvl w:val="0"/>
          <w:numId w:val="3"/>
        </w:numPr>
        <w:ind w:left="0" w:hanging="11"/>
        <w:jc w:val="both"/>
        <w:rPr>
          <w:rFonts w:ascii="Verdana" w:hAnsi="Verdana"/>
          <w:sz w:val="20"/>
          <w:lang w:val="en-US"/>
        </w:rPr>
      </w:pPr>
      <w:r w:rsidRPr="00525E62">
        <w:rPr>
          <w:rFonts w:ascii="Verdana" w:hAnsi="Verdana"/>
          <w:sz w:val="20"/>
          <w:lang w:val="en-US"/>
        </w:rPr>
        <w:t>R</w:t>
      </w:r>
      <w:r w:rsidR="00334833" w:rsidRPr="00525E62">
        <w:rPr>
          <w:rFonts w:ascii="Verdana" w:hAnsi="Verdana"/>
          <w:sz w:val="20"/>
          <w:lang w:val="en-US"/>
        </w:rPr>
        <w:t>equire</w:t>
      </w:r>
      <w:r w:rsidR="00391C45" w:rsidRPr="00525E62">
        <w:rPr>
          <w:rFonts w:ascii="Verdana" w:hAnsi="Verdana"/>
          <w:sz w:val="20"/>
          <w:lang w:val="en-US"/>
        </w:rPr>
        <w:t xml:space="preserve"> </w:t>
      </w:r>
      <w:r w:rsidR="002462D1" w:rsidRPr="00525E62">
        <w:rPr>
          <w:rFonts w:ascii="Verdana" w:hAnsi="Verdana"/>
          <w:sz w:val="20"/>
          <w:lang w:val="en-US"/>
        </w:rPr>
        <w:t>the representatives</w:t>
      </w:r>
      <w:r w:rsidR="00E54903" w:rsidRPr="00525E62">
        <w:rPr>
          <w:rFonts w:ascii="Verdana" w:hAnsi="Verdana"/>
          <w:sz w:val="20"/>
          <w:lang w:val="en-US"/>
        </w:rPr>
        <w:t xml:space="preserve"> </w:t>
      </w:r>
      <w:r w:rsidR="00334833" w:rsidRPr="00525E62">
        <w:rPr>
          <w:rFonts w:ascii="Verdana" w:hAnsi="Verdana"/>
          <w:sz w:val="20"/>
          <w:lang w:val="en-US"/>
        </w:rPr>
        <w:t xml:space="preserve">of the victims and </w:t>
      </w:r>
      <w:r w:rsidR="002462D1" w:rsidRPr="00525E62">
        <w:rPr>
          <w:rFonts w:ascii="Verdana" w:hAnsi="Verdana"/>
          <w:sz w:val="20"/>
          <w:lang w:val="en-US"/>
        </w:rPr>
        <w:t>the Inter-American Commission on Human Rights</w:t>
      </w:r>
      <w:r w:rsidR="00391C45" w:rsidRPr="00525E62">
        <w:rPr>
          <w:rFonts w:ascii="Verdana" w:hAnsi="Verdana"/>
          <w:sz w:val="20"/>
          <w:lang w:val="en-US"/>
        </w:rPr>
        <w:t xml:space="preserve"> </w:t>
      </w:r>
      <w:r w:rsidR="00334833" w:rsidRPr="00525E62">
        <w:rPr>
          <w:rFonts w:ascii="Verdana" w:hAnsi="Verdana"/>
          <w:sz w:val="20"/>
          <w:lang w:val="en-US"/>
        </w:rPr>
        <w:t xml:space="preserve">to present observations on the State’s report mentioned in the preceding </w:t>
      </w:r>
      <w:r w:rsidR="00FB50D5" w:rsidRPr="00525E62">
        <w:rPr>
          <w:rFonts w:ascii="Verdana" w:hAnsi="Verdana"/>
          <w:sz w:val="20"/>
          <w:lang w:val="en-US"/>
        </w:rPr>
        <w:t>operative paragraph</w:t>
      </w:r>
      <w:r w:rsidR="00334833" w:rsidRPr="00525E62">
        <w:rPr>
          <w:rFonts w:ascii="Verdana" w:hAnsi="Verdana"/>
          <w:sz w:val="20"/>
          <w:lang w:val="en-US"/>
        </w:rPr>
        <w:t>, within four and six weeks, respectively, of receiving the report.</w:t>
      </w:r>
    </w:p>
    <w:p w14:paraId="776E2722" w14:textId="77777777" w:rsidR="00E54903" w:rsidRPr="00525E62" w:rsidRDefault="00E54903" w:rsidP="00E54903">
      <w:pPr>
        <w:jc w:val="both"/>
        <w:rPr>
          <w:rFonts w:ascii="Verdana" w:hAnsi="Verdana"/>
          <w:sz w:val="20"/>
          <w:lang w:val="en-US"/>
        </w:rPr>
      </w:pPr>
    </w:p>
    <w:p w14:paraId="21CCB43F" w14:textId="5C242410" w:rsidR="00463DD5" w:rsidRDefault="00A451B4" w:rsidP="00817369">
      <w:pPr>
        <w:numPr>
          <w:ilvl w:val="0"/>
          <w:numId w:val="3"/>
        </w:numPr>
        <w:spacing w:after="200" w:line="276" w:lineRule="auto"/>
        <w:ind w:left="0" w:hanging="11"/>
        <w:jc w:val="both"/>
        <w:rPr>
          <w:rFonts w:ascii="Verdana" w:hAnsi="Verdana"/>
          <w:sz w:val="20"/>
          <w:lang w:val="en-US"/>
        </w:rPr>
      </w:pPr>
      <w:r w:rsidRPr="00817369">
        <w:rPr>
          <w:rFonts w:ascii="Verdana" w:hAnsi="Verdana"/>
          <w:sz w:val="20"/>
          <w:lang w:val="en-US"/>
        </w:rPr>
        <w:t>R</w:t>
      </w:r>
      <w:r w:rsidR="00334833" w:rsidRPr="00817369">
        <w:rPr>
          <w:rFonts w:ascii="Verdana" w:hAnsi="Verdana"/>
          <w:sz w:val="20"/>
          <w:lang w:val="en-US"/>
        </w:rPr>
        <w:t xml:space="preserve">equire the Secretariat of the Court to notify this order to the State, </w:t>
      </w:r>
      <w:r w:rsidR="002462D1" w:rsidRPr="00817369">
        <w:rPr>
          <w:rFonts w:ascii="Verdana" w:hAnsi="Verdana"/>
          <w:sz w:val="20"/>
          <w:lang w:val="en-US"/>
        </w:rPr>
        <w:t>the representatives</w:t>
      </w:r>
      <w:r w:rsidR="00E54903" w:rsidRPr="00817369">
        <w:rPr>
          <w:rFonts w:ascii="Verdana" w:hAnsi="Verdana"/>
          <w:sz w:val="20"/>
          <w:lang w:val="en-US"/>
        </w:rPr>
        <w:t xml:space="preserve"> </w:t>
      </w:r>
      <w:r w:rsidR="00334833" w:rsidRPr="00817369">
        <w:rPr>
          <w:rFonts w:ascii="Verdana" w:hAnsi="Verdana"/>
          <w:sz w:val="20"/>
          <w:lang w:val="en-US"/>
        </w:rPr>
        <w:t>of the victims and</w:t>
      </w:r>
      <w:r w:rsidR="00E54903" w:rsidRPr="00817369">
        <w:rPr>
          <w:rFonts w:ascii="Verdana" w:hAnsi="Verdana"/>
          <w:sz w:val="20"/>
          <w:lang w:val="en-US"/>
        </w:rPr>
        <w:t xml:space="preserve"> </w:t>
      </w:r>
      <w:r w:rsidR="002462D1" w:rsidRPr="00817369">
        <w:rPr>
          <w:rFonts w:ascii="Verdana" w:hAnsi="Verdana"/>
          <w:sz w:val="20"/>
          <w:lang w:val="en-US"/>
        </w:rPr>
        <w:t>the Inter-American Commission on Human Rights</w:t>
      </w:r>
      <w:r w:rsidR="00E54903" w:rsidRPr="00817369">
        <w:rPr>
          <w:rFonts w:ascii="Verdana" w:hAnsi="Verdana"/>
          <w:sz w:val="20"/>
          <w:lang w:val="en-US"/>
        </w:rPr>
        <w:t xml:space="preserve">. </w:t>
      </w:r>
    </w:p>
    <w:p w14:paraId="5F8803AB" w14:textId="77777777" w:rsidR="00A17B2C" w:rsidRDefault="00A17B2C" w:rsidP="00A17B2C">
      <w:pPr>
        <w:pStyle w:val="ListParagraph"/>
        <w:rPr>
          <w:rFonts w:ascii="Verdana" w:hAnsi="Verdana"/>
          <w:sz w:val="20"/>
          <w:lang w:val="en-US"/>
        </w:rPr>
      </w:pPr>
    </w:p>
    <w:p w14:paraId="41CF44F9" w14:textId="77777777" w:rsidR="00A17B2C" w:rsidRPr="00A17B2C" w:rsidRDefault="00A17B2C" w:rsidP="00A17B2C">
      <w:pPr>
        <w:tabs>
          <w:tab w:val="left" w:pos="567"/>
        </w:tabs>
        <w:jc w:val="both"/>
        <w:rPr>
          <w:rFonts w:ascii="Verdana" w:hAnsi="Verdana"/>
          <w:sz w:val="20"/>
          <w:lang w:val="en-US"/>
        </w:rPr>
      </w:pPr>
      <w:proofErr w:type="gramStart"/>
      <w:r w:rsidRPr="00A17B2C">
        <w:rPr>
          <w:rFonts w:ascii="Verdana" w:hAnsi="Verdana"/>
          <w:sz w:val="20"/>
          <w:lang w:val="en-US"/>
        </w:rPr>
        <w:lastRenderedPageBreak/>
        <w:t xml:space="preserve">I/A Court H.R. Case of the </w:t>
      </w:r>
      <w:proofErr w:type="spellStart"/>
      <w:r w:rsidRPr="00A17B2C">
        <w:rPr>
          <w:rFonts w:ascii="Verdana" w:hAnsi="Verdana"/>
          <w:sz w:val="20"/>
          <w:lang w:val="en-US"/>
        </w:rPr>
        <w:t>Saramaka</w:t>
      </w:r>
      <w:proofErr w:type="spellEnd"/>
      <w:r w:rsidRPr="00A17B2C">
        <w:rPr>
          <w:rFonts w:ascii="Verdana" w:hAnsi="Verdana"/>
          <w:sz w:val="20"/>
          <w:lang w:val="en-US"/>
        </w:rPr>
        <w:t xml:space="preserve"> People v. Suriname.</w:t>
      </w:r>
      <w:proofErr w:type="gramEnd"/>
      <w:r w:rsidRPr="00A17B2C">
        <w:rPr>
          <w:rFonts w:ascii="Verdana" w:hAnsi="Verdana"/>
          <w:sz w:val="20"/>
          <w:lang w:val="en-US"/>
        </w:rPr>
        <w:t xml:space="preserve">  </w:t>
      </w:r>
      <w:proofErr w:type="gramStart"/>
      <w:r w:rsidRPr="00A17B2C">
        <w:rPr>
          <w:rFonts w:ascii="Verdana" w:hAnsi="Verdana"/>
          <w:sz w:val="20"/>
          <w:lang w:val="en-US"/>
        </w:rPr>
        <w:t>Monitoring Compliance with Judgment.</w:t>
      </w:r>
      <w:proofErr w:type="gramEnd"/>
      <w:r w:rsidRPr="00A17B2C">
        <w:rPr>
          <w:rFonts w:ascii="Verdana" w:hAnsi="Verdana"/>
          <w:sz w:val="20"/>
          <w:lang w:val="en-US"/>
        </w:rPr>
        <w:t xml:space="preserve">  Order of the Inter-American Court of Human Rights of September 26</w:t>
      </w:r>
      <w:r w:rsidRPr="00A17B2C">
        <w:rPr>
          <w:rFonts w:ascii="Verdana" w:hAnsi="Verdana"/>
          <w:sz w:val="20"/>
          <w:vertAlign w:val="superscript"/>
          <w:lang w:val="en-US"/>
        </w:rPr>
        <w:t>th</w:t>
      </w:r>
      <w:r w:rsidRPr="00A17B2C">
        <w:rPr>
          <w:rFonts w:ascii="Verdana" w:hAnsi="Verdana"/>
          <w:sz w:val="20"/>
          <w:lang w:val="en-US"/>
        </w:rPr>
        <w:t>, 2018.</w:t>
      </w:r>
    </w:p>
    <w:p w14:paraId="4795CD23" w14:textId="77777777" w:rsidR="00A17B2C" w:rsidRPr="00A17B2C" w:rsidRDefault="00A17B2C" w:rsidP="00A17B2C">
      <w:pPr>
        <w:tabs>
          <w:tab w:val="left" w:pos="567"/>
        </w:tabs>
        <w:jc w:val="both"/>
        <w:rPr>
          <w:rFonts w:ascii="Verdana" w:hAnsi="Verdana"/>
          <w:sz w:val="20"/>
          <w:lang w:val="en-US"/>
        </w:rPr>
      </w:pPr>
    </w:p>
    <w:p w14:paraId="58EB98E5" w14:textId="77777777" w:rsidR="00A17B2C" w:rsidRPr="00A17B2C" w:rsidRDefault="00A17B2C" w:rsidP="00A17B2C">
      <w:pPr>
        <w:tabs>
          <w:tab w:val="left" w:pos="567"/>
        </w:tabs>
        <w:jc w:val="both"/>
        <w:rPr>
          <w:rFonts w:ascii="Verdana" w:hAnsi="Verdana"/>
          <w:sz w:val="20"/>
          <w:lang w:val="en-US"/>
        </w:rPr>
      </w:pPr>
    </w:p>
    <w:p w14:paraId="61557995" w14:textId="77777777" w:rsidR="00A17B2C" w:rsidRPr="00A17B2C" w:rsidRDefault="00A17B2C" w:rsidP="00A17B2C">
      <w:pPr>
        <w:tabs>
          <w:tab w:val="left" w:pos="567"/>
        </w:tabs>
        <w:jc w:val="both"/>
        <w:rPr>
          <w:rFonts w:ascii="Verdana" w:hAnsi="Verdana"/>
          <w:sz w:val="20"/>
          <w:lang w:val="en-US"/>
        </w:rPr>
      </w:pPr>
    </w:p>
    <w:p w14:paraId="272634A7" w14:textId="77777777" w:rsidR="00A17B2C" w:rsidRPr="00A17B2C" w:rsidRDefault="00A17B2C" w:rsidP="00A17B2C">
      <w:pPr>
        <w:jc w:val="both"/>
        <w:rPr>
          <w:rFonts w:ascii="Verdana" w:hAnsi="Verdana"/>
          <w:sz w:val="20"/>
          <w:lang w:val="en-US"/>
        </w:rPr>
      </w:pPr>
    </w:p>
    <w:p w14:paraId="7FBEB73E" w14:textId="77777777" w:rsidR="00A17B2C" w:rsidRPr="00A17B2C" w:rsidRDefault="00A17B2C" w:rsidP="00A17B2C">
      <w:pPr>
        <w:jc w:val="center"/>
        <w:rPr>
          <w:rFonts w:ascii="Verdana" w:hAnsi="Verdana"/>
          <w:sz w:val="20"/>
          <w:lang w:val="en-US"/>
        </w:rPr>
      </w:pPr>
    </w:p>
    <w:p w14:paraId="5288B7CA" w14:textId="77777777" w:rsidR="00A17B2C" w:rsidRPr="00A17B2C" w:rsidRDefault="00A17B2C" w:rsidP="00A17B2C">
      <w:pPr>
        <w:jc w:val="center"/>
        <w:rPr>
          <w:rFonts w:ascii="Verdana" w:hAnsi="Verdana"/>
          <w:sz w:val="20"/>
          <w:lang w:val="en-US"/>
        </w:rPr>
      </w:pPr>
      <w:r w:rsidRPr="00A17B2C">
        <w:rPr>
          <w:rFonts w:ascii="Verdana" w:hAnsi="Verdana"/>
          <w:sz w:val="20"/>
          <w:lang w:val="en-US"/>
        </w:rPr>
        <w:t>Eduardo Ferrer Mac-</w:t>
      </w:r>
      <w:proofErr w:type="spellStart"/>
      <w:r w:rsidRPr="00A17B2C">
        <w:rPr>
          <w:rFonts w:ascii="Verdana" w:hAnsi="Verdana"/>
          <w:sz w:val="20"/>
          <w:lang w:val="en-US"/>
        </w:rPr>
        <w:t>Gregor</w:t>
      </w:r>
      <w:proofErr w:type="spellEnd"/>
      <w:r w:rsidRPr="00A17B2C">
        <w:rPr>
          <w:rFonts w:ascii="Verdana" w:hAnsi="Verdana"/>
          <w:sz w:val="20"/>
          <w:lang w:val="en-US"/>
        </w:rPr>
        <w:t xml:space="preserve"> </w:t>
      </w:r>
      <w:proofErr w:type="spellStart"/>
      <w:r w:rsidRPr="00A17B2C">
        <w:rPr>
          <w:rFonts w:ascii="Verdana" w:hAnsi="Verdana"/>
          <w:sz w:val="20"/>
          <w:lang w:val="en-US"/>
        </w:rPr>
        <w:t>Poisot</w:t>
      </w:r>
      <w:proofErr w:type="spellEnd"/>
    </w:p>
    <w:p w14:paraId="61FF9A5F" w14:textId="77777777" w:rsidR="00A17B2C" w:rsidRPr="00A17B2C" w:rsidRDefault="00A17B2C" w:rsidP="00A17B2C">
      <w:pPr>
        <w:jc w:val="center"/>
        <w:rPr>
          <w:rFonts w:ascii="Verdana" w:hAnsi="Verdana"/>
          <w:sz w:val="20"/>
          <w:lang w:val="en-US"/>
        </w:rPr>
      </w:pPr>
      <w:r w:rsidRPr="00A17B2C">
        <w:rPr>
          <w:rFonts w:ascii="Verdana" w:hAnsi="Verdana"/>
          <w:sz w:val="20"/>
          <w:lang w:val="en-US"/>
        </w:rPr>
        <w:t xml:space="preserve">President </w:t>
      </w:r>
    </w:p>
    <w:p w14:paraId="25D20E1F" w14:textId="77777777" w:rsidR="00A17B2C" w:rsidRPr="00A17B2C" w:rsidRDefault="00A17B2C" w:rsidP="00A17B2C">
      <w:pPr>
        <w:jc w:val="both"/>
        <w:rPr>
          <w:rFonts w:ascii="Verdana" w:hAnsi="Verdana"/>
          <w:sz w:val="20"/>
          <w:lang w:val="en-US"/>
        </w:rPr>
      </w:pPr>
    </w:p>
    <w:p w14:paraId="06748C6A" w14:textId="77777777" w:rsidR="00A17B2C" w:rsidRPr="00A17B2C" w:rsidRDefault="00A17B2C" w:rsidP="00A17B2C">
      <w:pPr>
        <w:jc w:val="both"/>
        <w:rPr>
          <w:rFonts w:ascii="Verdana" w:hAnsi="Verdana"/>
          <w:sz w:val="20"/>
          <w:lang w:val="en-US"/>
        </w:rPr>
      </w:pPr>
    </w:p>
    <w:p w14:paraId="403B671F" w14:textId="77777777" w:rsidR="00A17B2C" w:rsidRPr="00A17B2C" w:rsidRDefault="00A17B2C" w:rsidP="00A17B2C">
      <w:pPr>
        <w:jc w:val="both"/>
        <w:rPr>
          <w:rFonts w:ascii="Verdana" w:hAnsi="Verdana"/>
          <w:sz w:val="20"/>
          <w:lang w:val="en-US"/>
        </w:rPr>
      </w:pPr>
    </w:p>
    <w:p w14:paraId="41EFD4F9" w14:textId="77777777" w:rsidR="00A17B2C" w:rsidRPr="00A17B2C" w:rsidRDefault="00A17B2C" w:rsidP="00A17B2C">
      <w:pPr>
        <w:jc w:val="both"/>
        <w:rPr>
          <w:rFonts w:ascii="Verdana" w:hAnsi="Verdana"/>
          <w:sz w:val="20"/>
          <w:lang w:val="en-US"/>
        </w:rPr>
      </w:pPr>
    </w:p>
    <w:p w14:paraId="28CA1D97" w14:textId="77777777" w:rsidR="00A17B2C" w:rsidRPr="00A17B2C" w:rsidRDefault="00A17B2C" w:rsidP="00A17B2C">
      <w:pPr>
        <w:jc w:val="both"/>
        <w:rPr>
          <w:rFonts w:ascii="Verdana" w:hAnsi="Verdana"/>
          <w:sz w:val="20"/>
          <w:lang w:val="en-US"/>
        </w:rPr>
      </w:pPr>
    </w:p>
    <w:p w14:paraId="6CDDE81E" w14:textId="77777777" w:rsidR="00A17B2C" w:rsidRPr="00B97595" w:rsidRDefault="00A17B2C" w:rsidP="00A17B2C">
      <w:pPr>
        <w:jc w:val="both"/>
        <w:rPr>
          <w:rFonts w:ascii="Verdana" w:hAnsi="Verdana"/>
          <w:sz w:val="20"/>
          <w:lang w:val="es-CR"/>
        </w:rPr>
      </w:pPr>
      <w:r w:rsidRPr="00B97595">
        <w:rPr>
          <w:rFonts w:ascii="Verdana" w:hAnsi="Verdana"/>
          <w:sz w:val="20"/>
          <w:lang w:val="es-CR"/>
        </w:rPr>
        <w:t>Eduardo Vio Grossi</w:t>
      </w:r>
      <w:r w:rsidRPr="00B97595">
        <w:rPr>
          <w:rFonts w:ascii="Verdana" w:hAnsi="Verdana"/>
          <w:sz w:val="20"/>
          <w:lang w:val="es-CR"/>
        </w:rPr>
        <w:tab/>
      </w:r>
      <w:r w:rsidRPr="00B97595">
        <w:rPr>
          <w:rFonts w:ascii="Verdana" w:hAnsi="Verdana"/>
          <w:sz w:val="20"/>
          <w:lang w:val="es-CR"/>
        </w:rPr>
        <w:tab/>
      </w:r>
      <w:r w:rsidRPr="00B97595">
        <w:rPr>
          <w:rFonts w:ascii="Verdana" w:hAnsi="Verdana"/>
          <w:sz w:val="20"/>
          <w:lang w:val="es-CR"/>
        </w:rPr>
        <w:tab/>
      </w:r>
      <w:r w:rsidRPr="00B97595">
        <w:rPr>
          <w:rFonts w:ascii="Verdana" w:hAnsi="Verdana"/>
          <w:sz w:val="20"/>
          <w:lang w:val="es-CR"/>
        </w:rPr>
        <w:tab/>
      </w:r>
      <w:r w:rsidRPr="00B97595">
        <w:rPr>
          <w:rFonts w:ascii="Verdana" w:hAnsi="Verdana"/>
          <w:sz w:val="20"/>
          <w:lang w:val="es-CR"/>
        </w:rPr>
        <w:tab/>
      </w:r>
      <w:r w:rsidRPr="00B97595">
        <w:rPr>
          <w:rFonts w:ascii="Verdana" w:hAnsi="Verdana"/>
          <w:sz w:val="20"/>
          <w:lang w:val="es-CR"/>
        </w:rPr>
        <w:tab/>
      </w:r>
      <w:r>
        <w:rPr>
          <w:rFonts w:ascii="Verdana" w:hAnsi="Verdana"/>
          <w:sz w:val="20"/>
          <w:lang w:val="es-CR"/>
        </w:rPr>
        <w:t>Humberto Antonio Sierra Porto</w:t>
      </w:r>
    </w:p>
    <w:p w14:paraId="181EC4EE" w14:textId="77777777" w:rsidR="00A17B2C" w:rsidRPr="00B97595" w:rsidRDefault="00A17B2C" w:rsidP="00A17B2C">
      <w:pPr>
        <w:jc w:val="both"/>
        <w:rPr>
          <w:rFonts w:ascii="Verdana" w:hAnsi="Verdana"/>
          <w:sz w:val="20"/>
          <w:lang w:val="es-CR"/>
        </w:rPr>
      </w:pPr>
    </w:p>
    <w:p w14:paraId="6F75A5DD" w14:textId="77777777" w:rsidR="00A17B2C" w:rsidRPr="00B97595" w:rsidRDefault="00A17B2C" w:rsidP="00A17B2C">
      <w:pPr>
        <w:jc w:val="both"/>
        <w:rPr>
          <w:rFonts w:ascii="Verdana" w:hAnsi="Verdana"/>
          <w:sz w:val="20"/>
          <w:lang w:val="es-CR"/>
        </w:rPr>
      </w:pPr>
    </w:p>
    <w:p w14:paraId="0F691376" w14:textId="77777777" w:rsidR="00A17B2C" w:rsidRDefault="00A17B2C" w:rsidP="00A17B2C">
      <w:pPr>
        <w:jc w:val="both"/>
        <w:rPr>
          <w:rFonts w:ascii="Verdana" w:hAnsi="Verdana"/>
          <w:sz w:val="20"/>
          <w:lang w:val="es-CR"/>
        </w:rPr>
      </w:pPr>
    </w:p>
    <w:p w14:paraId="4D1C593A" w14:textId="77777777" w:rsidR="00A17B2C" w:rsidRDefault="00A17B2C" w:rsidP="00A17B2C">
      <w:pPr>
        <w:jc w:val="both"/>
        <w:rPr>
          <w:rFonts w:ascii="Verdana" w:hAnsi="Verdana"/>
          <w:sz w:val="20"/>
          <w:lang w:val="es-CR"/>
        </w:rPr>
      </w:pPr>
    </w:p>
    <w:p w14:paraId="5397EB39" w14:textId="77777777" w:rsidR="00A17B2C" w:rsidRDefault="00A17B2C" w:rsidP="00A17B2C">
      <w:pPr>
        <w:jc w:val="both"/>
        <w:rPr>
          <w:rFonts w:ascii="Verdana" w:hAnsi="Verdana"/>
          <w:sz w:val="20"/>
          <w:lang w:val="es-CR"/>
        </w:rPr>
      </w:pPr>
    </w:p>
    <w:p w14:paraId="0627CBCB" w14:textId="77777777" w:rsidR="00A17B2C" w:rsidRDefault="00A17B2C" w:rsidP="00A17B2C">
      <w:pPr>
        <w:jc w:val="both"/>
        <w:rPr>
          <w:rFonts w:ascii="Verdana" w:hAnsi="Verdana"/>
          <w:sz w:val="20"/>
          <w:lang w:val="es-ES"/>
        </w:rPr>
      </w:pPr>
      <w:r>
        <w:rPr>
          <w:rFonts w:ascii="Verdana" w:hAnsi="Verdana"/>
          <w:sz w:val="20"/>
          <w:lang w:val="es-ES"/>
        </w:rPr>
        <w:t xml:space="preserve">Eugenio </w:t>
      </w:r>
      <w:proofErr w:type="spellStart"/>
      <w:r>
        <w:rPr>
          <w:rFonts w:ascii="Verdana" w:hAnsi="Verdana"/>
          <w:sz w:val="20"/>
          <w:lang w:val="es-ES"/>
        </w:rPr>
        <w:t>Raul</w:t>
      </w:r>
      <w:proofErr w:type="spellEnd"/>
      <w:r>
        <w:rPr>
          <w:rFonts w:ascii="Verdana" w:hAnsi="Verdana"/>
          <w:sz w:val="20"/>
          <w:lang w:val="es-ES"/>
        </w:rPr>
        <w:t xml:space="preserve"> </w:t>
      </w:r>
      <w:proofErr w:type="spellStart"/>
      <w:r>
        <w:rPr>
          <w:rFonts w:ascii="Verdana" w:hAnsi="Verdana"/>
          <w:sz w:val="20"/>
          <w:lang w:val="es-ES"/>
        </w:rPr>
        <w:t>Zaffaroni</w:t>
      </w:r>
      <w:proofErr w:type="spellEnd"/>
      <w:r>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L. Patricio Pazmiño Freire</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p>
    <w:p w14:paraId="3FC1D54E" w14:textId="77777777" w:rsidR="00A17B2C" w:rsidRDefault="00A17B2C" w:rsidP="00A17B2C">
      <w:pPr>
        <w:jc w:val="both"/>
        <w:rPr>
          <w:rFonts w:ascii="Verdana" w:hAnsi="Verdana"/>
          <w:sz w:val="20"/>
          <w:lang w:val="es-ES"/>
        </w:rPr>
      </w:pPr>
    </w:p>
    <w:p w14:paraId="0A20F1C6" w14:textId="77777777" w:rsidR="00A17B2C" w:rsidRDefault="00A17B2C" w:rsidP="00A17B2C">
      <w:pPr>
        <w:jc w:val="both"/>
        <w:rPr>
          <w:rFonts w:ascii="Verdana" w:hAnsi="Verdana"/>
          <w:sz w:val="20"/>
          <w:lang w:val="es-ES"/>
        </w:rPr>
      </w:pPr>
    </w:p>
    <w:p w14:paraId="2CE7E3A4" w14:textId="77777777" w:rsidR="00A17B2C" w:rsidRDefault="00A17B2C" w:rsidP="00A17B2C">
      <w:pPr>
        <w:jc w:val="both"/>
        <w:rPr>
          <w:rFonts w:ascii="Verdana" w:hAnsi="Verdana"/>
          <w:sz w:val="20"/>
          <w:lang w:val="es-ES"/>
        </w:rPr>
      </w:pPr>
    </w:p>
    <w:p w14:paraId="5714D295" w14:textId="77777777" w:rsidR="00A17B2C" w:rsidRDefault="00A17B2C" w:rsidP="00A17B2C">
      <w:pPr>
        <w:jc w:val="both"/>
        <w:rPr>
          <w:rFonts w:ascii="Verdana" w:hAnsi="Verdana"/>
          <w:sz w:val="20"/>
          <w:lang w:val="es-ES"/>
        </w:rPr>
      </w:pPr>
    </w:p>
    <w:p w14:paraId="54DF8D52" w14:textId="77777777" w:rsidR="00A17B2C" w:rsidRDefault="00A17B2C" w:rsidP="00A17B2C">
      <w:pPr>
        <w:jc w:val="both"/>
        <w:rPr>
          <w:rFonts w:ascii="Verdana" w:hAnsi="Verdana"/>
          <w:sz w:val="20"/>
          <w:lang w:val="es-ES"/>
        </w:rPr>
      </w:pPr>
    </w:p>
    <w:p w14:paraId="1F3D71E9" w14:textId="77777777" w:rsidR="00A17B2C" w:rsidRDefault="00A17B2C" w:rsidP="00A17B2C">
      <w:pPr>
        <w:jc w:val="center"/>
        <w:rPr>
          <w:rFonts w:ascii="Verdana" w:hAnsi="Verdana"/>
          <w:sz w:val="20"/>
          <w:lang w:val="es-ES"/>
        </w:rPr>
      </w:pPr>
    </w:p>
    <w:p w14:paraId="1347B96F" w14:textId="77777777" w:rsidR="00A17B2C" w:rsidRPr="002C0A2B" w:rsidRDefault="00A17B2C" w:rsidP="00A17B2C">
      <w:pPr>
        <w:jc w:val="center"/>
        <w:rPr>
          <w:rFonts w:ascii="Verdana" w:hAnsi="Verdana"/>
          <w:sz w:val="20"/>
          <w:lang w:val="es-ES"/>
        </w:rPr>
      </w:pPr>
      <w:r w:rsidRPr="002C0A2B">
        <w:rPr>
          <w:rFonts w:ascii="Verdana" w:hAnsi="Verdana"/>
          <w:sz w:val="20"/>
          <w:lang w:val="es-ES"/>
        </w:rPr>
        <w:t>Pablo Saavedra Alessandri</w:t>
      </w:r>
    </w:p>
    <w:p w14:paraId="41A19D3C" w14:textId="77777777" w:rsidR="00A17B2C" w:rsidRPr="002C0A2B" w:rsidRDefault="00A17B2C" w:rsidP="00A17B2C">
      <w:pPr>
        <w:jc w:val="center"/>
        <w:rPr>
          <w:rFonts w:ascii="Verdana" w:hAnsi="Verdana"/>
          <w:sz w:val="20"/>
          <w:lang w:val="es-ES"/>
        </w:rPr>
      </w:pPr>
      <w:r>
        <w:rPr>
          <w:rFonts w:ascii="Verdana" w:hAnsi="Verdana"/>
          <w:sz w:val="20"/>
          <w:lang w:val="es-ES"/>
        </w:rPr>
        <w:t>Registrar</w:t>
      </w:r>
    </w:p>
    <w:p w14:paraId="7019CC54" w14:textId="77777777" w:rsidR="00A17B2C" w:rsidRDefault="00A17B2C" w:rsidP="00A17B2C">
      <w:pPr>
        <w:rPr>
          <w:rFonts w:ascii="Verdana" w:hAnsi="Verdana"/>
          <w:sz w:val="20"/>
          <w:lang w:val="es-ES"/>
        </w:rPr>
      </w:pPr>
    </w:p>
    <w:p w14:paraId="28C0A1F0" w14:textId="77777777" w:rsidR="00A17B2C" w:rsidRPr="002C0A2B" w:rsidRDefault="00A17B2C" w:rsidP="00A17B2C">
      <w:pPr>
        <w:rPr>
          <w:rFonts w:ascii="Verdana" w:hAnsi="Verdana"/>
          <w:sz w:val="20"/>
          <w:lang w:val="es-ES"/>
        </w:rPr>
      </w:pPr>
    </w:p>
    <w:p w14:paraId="01112B90" w14:textId="77777777" w:rsidR="00A17B2C" w:rsidRPr="002C0A2B" w:rsidRDefault="00A17B2C" w:rsidP="00A17B2C">
      <w:pPr>
        <w:jc w:val="both"/>
        <w:rPr>
          <w:rFonts w:ascii="Verdana" w:hAnsi="Verdana"/>
          <w:sz w:val="20"/>
          <w:lang w:val="es-ES"/>
        </w:rPr>
      </w:pPr>
    </w:p>
    <w:p w14:paraId="0AC0EFB5" w14:textId="77777777" w:rsidR="00A17B2C" w:rsidRPr="002C0A2B" w:rsidRDefault="00A17B2C" w:rsidP="00A17B2C">
      <w:pPr>
        <w:jc w:val="both"/>
        <w:rPr>
          <w:rFonts w:ascii="Verdana" w:hAnsi="Verdana"/>
          <w:sz w:val="20"/>
          <w:lang w:val="es-ES"/>
        </w:rPr>
      </w:pPr>
      <w:r w:rsidRPr="00EC2FE8">
        <w:rPr>
          <w:rFonts w:ascii="Verdana" w:hAnsi="Verdana"/>
          <w:sz w:val="20"/>
          <w:lang w:val="es-ES"/>
        </w:rPr>
        <w:t xml:space="preserve">So </w:t>
      </w:r>
      <w:proofErr w:type="spellStart"/>
      <w:r w:rsidRPr="00EC2FE8">
        <w:rPr>
          <w:rFonts w:ascii="Verdana" w:hAnsi="Verdana"/>
          <w:sz w:val="20"/>
          <w:lang w:val="es-ES"/>
        </w:rPr>
        <w:t>ordered</w:t>
      </w:r>
      <w:proofErr w:type="spellEnd"/>
      <w:r w:rsidRPr="00EC2FE8">
        <w:rPr>
          <w:rFonts w:ascii="Verdana" w:hAnsi="Verdana"/>
          <w:sz w:val="20"/>
          <w:lang w:val="es-ES"/>
        </w:rPr>
        <w:t>,</w:t>
      </w:r>
    </w:p>
    <w:p w14:paraId="26B8B5AB" w14:textId="77777777" w:rsidR="00A17B2C" w:rsidRPr="002C0A2B" w:rsidRDefault="00A17B2C" w:rsidP="00A17B2C">
      <w:pPr>
        <w:jc w:val="both"/>
        <w:rPr>
          <w:rFonts w:ascii="Verdana" w:hAnsi="Verdana"/>
          <w:sz w:val="20"/>
          <w:lang w:val="es-ES"/>
        </w:rPr>
      </w:pPr>
    </w:p>
    <w:p w14:paraId="171E27F8" w14:textId="77777777" w:rsidR="00A17B2C" w:rsidRPr="002C0A2B" w:rsidRDefault="00A17B2C" w:rsidP="00A17B2C">
      <w:pPr>
        <w:jc w:val="both"/>
        <w:rPr>
          <w:rFonts w:ascii="Verdana" w:hAnsi="Verdana"/>
          <w:sz w:val="20"/>
          <w:lang w:val="es-ES"/>
        </w:rPr>
      </w:pPr>
    </w:p>
    <w:p w14:paraId="7AF011D2" w14:textId="77777777" w:rsidR="00A17B2C" w:rsidRDefault="00A17B2C" w:rsidP="00A17B2C">
      <w:pPr>
        <w:jc w:val="both"/>
        <w:rPr>
          <w:rFonts w:ascii="Verdana" w:hAnsi="Verdana"/>
          <w:sz w:val="20"/>
          <w:lang w:val="es-ES"/>
        </w:rPr>
      </w:pPr>
    </w:p>
    <w:p w14:paraId="66E89ABD" w14:textId="77777777" w:rsidR="00A17B2C" w:rsidRPr="002C0A2B" w:rsidRDefault="00A17B2C" w:rsidP="00A17B2C">
      <w:pPr>
        <w:jc w:val="both"/>
        <w:rPr>
          <w:rFonts w:ascii="Verdana" w:hAnsi="Verdana"/>
          <w:sz w:val="20"/>
          <w:lang w:val="es-ES"/>
        </w:rPr>
      </w:pPr>
    </w:p>
    <w:p w14:paraId="0485270C" w14:textId="77777777" w:rsidR="00A17B2C" w:rsidRPr="002C0A2B" w:rsidRDefault="00A17B2C" w:rsidP="00A17B2C">
      <w:pPr>
        <w:jc w:val="both"/>
        <w:rPr>
          <w:rFonts w:ascii="Verdana" w:hAnsi="Verdana"/>
          <w:sz w:val="20"/>
          <w:lang w:val="es-CR"/>
        </w:rPr>
      </w:pPr>
    </w:p>
    <w:p w14:paraId="0337976F" w14:textId="77777777" w:rsidR="00A17B2C" w:rsidRPr="00A17B2C" w:rsidRDefault="00A17B2C" w:rsidP="00A17B2C">
      <w:pPr>
        <w:jc w:val="center"/>
        <w:rPr>
          <w:rFonts w:ascii="Verdana" w:hAnsi="Verdana"/>
          <w:sz w:val="20"/>
          <w:lang w:val="en-US"/>
        </w:rPr>
      </w:pPr>
      <w:r w:rsidRPr="002C0A2B">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sidRPr="002C0A2B">
        <w:rPr>
          <w:rFonts w:ascii="Verdana" w:hAnsi="Verdana"/>
          <w:sz w:val="20"/>
          <w:lang w:val="es-ES"/>
        </w:rPr>
        <w:t xml:space="preserve"> </w:t>
      </w:r>
      <w:r w:rsidRPr="00A17B2C">
        <w:rPr>
          <w:rFonts w:ascii="Verdana" w:hAnsi="Verdana"/>
          <w:sz w:val="20"/>
          <w:lang w:val="en-US"/>
        </w:rPr>
        <w:t>Eduardo Ferrer Mac-</w:t>
      </w:r>
      <w:proofErr w:type="spellStart"/>
      <w:r w:rsidRPr="00A17B2C">
        <w:rPr>
          <w:rFonts w:ascii="Verdana" w:hAnsi="Verdana"/>
          <w:sz w:val="20"/>
          <w:lang w:val="en-US"/>
        </w:rPr>
        <w:t>Gregor</w:t>
      </w:r>
      <w:proofErr w:type="spellEnd"/>
      <w:r w:rsidRPr="00A17B2C">
        <w:rPr>
          <w:rFonts w:ascii="Verdana" w:hAnsi="Verdana"/>
          <w:sz w:val="20"/>
          <w:lang w:val="en-US"/>
        </w:rPr>
        <w:t xml:space="preserve"> </w:t>
      </w:r>
      <w:proofErr w:type="spellStart"/>
      <w:r w:rsidRPr="00A17B2C">
        <w:rPr>
          <w:rFonts w:ascii="Verdana" w:hAnsi="Verdana"/>
          <w:sz w:val="20"/>
          <w:lang w:val="en-US"/>
        </w:rPr>
        <w:t>Poisot</w:t>
      </w:r>
      <w:proofErr w:type="spellEnd"/>
    </w:p>
    <w:p w14:paraId="06B926EA" w14:textId="77777777" w:rsidR="00A17B2C" w:rsidRPr="00A17B2C" w:rsidRDefault="00A17B2C" w:rsidP="00A17B2C">
      <w:pPr>
        <w:ind w:left="5040"/>
        <w:rPr>
          <w:rFonts w:ascii="Verdana" w:hAnsi="Verdana"/>
          <w:sz w:val="20"/>
          <w:lang w:val="en-US"/>
        </w:rPr>
      </w:pPr>
      <w:r w:rsidRPr="00A17B2C">
        <w:rPr>
          <w:rFonts w:ascii="Verdana" w:hAnsi="Verdana"/>
          <w:sz w:val="20"/>
          <w:lang w:val="en-US"/>
        </w:rPr>
        <w:t xml:space="preserve">        </w:t>
      </w:r>
      <w:r w:rsidRPr="00A17B2C">
        <w:rPr>
          <w:rFonts w:ascii="Verdana" w:hAnsi="Verdana"/>
          <w:sz w:val="20"/>
          <w:lang w:val="en-US"/>
        </w:rPr>
        <w:tab/>
      </w:r>
      <w:r w:rsidRPr="00A17B2C">
        <w:rPr>
          <w:rFonts w:ascii="Verdana" w:hAnsi="Verdana"/>
          <w:sz w:val="20"/>
          <w:lang w:val="en-US"/>
        </w:rPr>
        <w:tab/>
        <w:t xml:space="preserve">   President </w:t>
      </w:r>
    </w:p>
    <w:p w14:paraId="08168B39" w14:textId="77777777" w:rsidR="00A17B2C" w:rsidRPr="00A17B2C" w:rsidRDefault="00A17B2C" w:rsidP="00A17B2C">
      <w:pPr>
        <w:jc w:val="both"/>
        <w:rPr>
          <w:rFonts w:ascii="Verdana" w:hAnsi="Verdana"/>
          <w:sz w:val="20"/>
          <w:lang w:val="en-US"/>
        </w:rPr>
      </w:pPr>
    </w:p>
    <w:p w14:paraId="63E7B441" w14:textId="77777777" w:rsidR="00A17B2C" w:rsidRPr="00A17B2C" w:rsidRDefault="00A17B2C" w:rsidP="00A17B2C">
      <w:pPr>
        <w:jc w:val="both"/>
        <w:rPr>
          <w:rFonts w:ascii="Verdana" w:hAnsi="Verdana"/>
          <w:sz w:val="20"/>
          <w:lang w:val="en-US"/>
        </w:rPr>
      </w:pPr>
    </w:p>
    <w:p w14:paraId="4AFB1927" w14:textId="77777777" w:rsidR="00A17B2C" w:rsidRPr="00A17B2C" w:rsidRDefault="00A17B2C" w:rsidP="00A17B2C">
      <w:pPr>
        <w:jc w:val="both"/>
        <w:rPr>
          <w:rFonts w:ascii="Verdana" w:hAnsi="Verdana"/>
          <w:sz w:val="20"/>
          <w:lang w:val="en-US"/>
        </w:rPr>
      </w:pPr>
    </w:p>
    <w:p w14:paraId="1E00C390" w14:textId="77777777" w:rsidR="00A17B2C" w:rsidRPr="00A17B2C" w:rsidRDefault="00A17B2C" w:rsidP="00A17B2C">
      <w:pPr>
        <w:jc w:val="both"/>
        <w:rPr>
          <w:rFonts w:ascii="Verdana" w:hAnsi="Verdana"/>
          <w:sz w:val="20"/>
          <w:lang w:val="en-US"/>
        </w:rPr>
      </w:pPr>
    </w:p>
    <w:p w14:paraId="1E5B2F5A" w14:textId="77777777" w:rsidR="00A17B2C" w:rsidRPr="00A17B2C" w:rsidRDefault="00A17B2C" w:rsidP="00A17B2C">
      <w:pPr>
        <w:jc w:val="both"/>
        <w:rPr>
          <w:rFonts w:ascii="Verdana" w:hAnsi="Verdana"/>
          <w:sz w:val="20"/>
          <w:lang w:val="en-US"/>
        </w:rPr>
      </w:pPr>
    </w:p>
    <w:p w14:paraId="2B34407A" w14:textId="77777777" w:rsidR="00A17B2C" w:rsidRPr="002C0A2B" w:rsidRDefault="00A17B2C" w:rsidP="00A17B2C">
      <w:pPr>
        <w:jc w:val="both"/>
        <w:rPr>
          <w:rFonts w:ascii="Verdana" w:hAnsi="Verdana"/>
          <w:sz w:val="20"/>
          <w:lang w:val="es-ES"/>
        </w:rPr>
      </w:pPr>
      <w:r w:rsidRPr="002C0A2B">
        <w:rPr>
          <w:rFonts w:ascii="Verdana" w:hAnsi="Verdana"/>
          <w:sz w:val="20"/>
          <w:lang w:val="es-ES"/>
        </w:rPr>
        <w:t>Pablo Saavedra Alessandri</w:t>
      </w:r>
    </w:p>
    <w:p w14:paraId="0E9A4551" w14:textId="77777777" w:rsidR="00A17B2C" w:rsidRPr="00BC36E2" w:rsidRDefault="00A17B2C" w:rsidP="00A17B2C">
      <w:pPr>
        <w:rPr>
          <w:rFonts w:ascii="Verdana" w:hAnsi="Verdana"/>
          <w:sz w:val="20"/>
          <w:lang w:val="es-CR"/>
        </w:rPr>
      </w:pPr>
      <w:r w:rsidRPr="002C0A2B">
        <w:rPr>
          <w:rFonts w:ascii="Verdana" w:hAnsi="Verdana"/>
          <w:sz w:val="20"/>
          <w:lang w:val="es-ES"/>
        </w:rPr>
        <w:tab/>
      </w:r>
      <w:r>
        <w:rPr>
          <w:rFonts w:ascii="Verdana" w:hAnsi="Verdana"/>
          <w:sz w:val="20"/>
          <w:lang w:val="es-ES"/>
        </w:rPr>
        <w:t>Registrar</w:t>
      </w:r>
    </w:p>
    <w:p w14:paraId="19F4CDCD" w14:textId="77777777" w:rsidR="00A17B2C" w:rsidRPr="00817369" w:rsidRDefault="00A17B2C" w:rsidP="00A17B2C">
      <w:pPr>
        <w:spacing w:after="200" w:line="276" w:lineRule="auto"/>
        <w:jc w:val="both"/>
        <w:rPr>
          <w:rFonts w:ascii="Verdana" w:hAnsi="Verdana"/>
          <w:sz w:val="20"/>
          <w:lang w:val="en-US"/>
        </w:rPr>
      </w:pPr>
      <w:bookmarkStart w:id="49" w:name="_GoBack"/>
      <w:bookmarkEnd w:id="49"/>
    </w:p>
    <w:p w14:paraId="362DE586" w14:textId="77777777" w:rsidR="00EE60FB" w:rsidRPr="004A6EED" w:rsidRDefault="00EE60FB" w:rsidP="00463DD5">
      <w:pPr>
        <w:jc w:val="both"/>
        <w:rPr>
          <w:rFonts w:ascii="Verdana" w:hAnsi="Verdana"/>
          <w:sz w:val="20"/>
          <w:lang w:val="en-US"/>
        </w:rPr>
      </w:pPr>
    </w:p>
    <w:sectPr w:rsidR="00EE60FB" w:rsidRPr="004A6EED" w:rsidSect="00226DCD">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58B05" w14:textId="77777777" w:rsidR="001413FA" w:rsidRDefault="001413FA" w:rsidP="00E54903">
      <w:r>
        <w:separator/>
      </w:r>
    </w:p>
  </w:endnote>
  <w:endnote w:type="continuationSeparator" w:id="0">
    <w:p w14:paraId="23744BF9" w14:textId="77777777" w:rsidR="001413FA" w:rsidRDefault="001413FA" w:rsidP="00E5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115E" w14:textId="37B6F191" w:rsidR="001413FA" w:rsidRDefault="001413FA">
    <w:pPr>
      <w:pStyle w:val="Footer"/>
      <w:jc w:val="center"/>
    </w:pPr>
  </w:p>
  <w:p w14:paraId="606C2F45" w14:textId="77777777" w:rsidR="001413FA" w:rsidRDefault="001413FA" w:rsidP="00EE60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03A32" w14:textId="77777777" w:rsidR="001413FA" w:rsidRDefault="001413FA" w:rsidP="00E54903">
      <w:r>
        <w:separator/>
      </w:r>
    </w:p>
  </w:footnote>
  <w:footnote w:type="continuationSeparator" w:id="0">
    <w:p w14:paraId="0C81BF6A" w14:textId="77777777" w:rsidR="001413FA" w:rsidRDefault="001413FA" w:rsidP="00E54903">
      <w:r>
        <w:continuationSeparator/>
      </w:r>
    </w:p>
  </w:footnote>
  <w:footnote w:id="1">
    <w:p w14:paraId="6E2BE421" w14:textId="73934764" w:rsidR="001413FA" w:rsidRPr="00265F6B" w:rsidRDefault="001413FA" w:rsidP="005D679B">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t>*</w:t>
      </w:r>
      <w:r w:rsidRPr="00265F6B">
        <w:rPr>
          <w:rFonts w:ascii="Verdana" w:hAnsi="Verdana"/>
          <w:sz w:val="16"/>
          <w:szCs w:val="16"/>
          <w:lang w:val="en-US"/>
        </w:rPr>
        <w:t xml:space="preserve"> </w:t>
      </w:r>
      <w:r w:rsidRPr="00265F6B">
        <w:rPr>
          <w:rFonts w:ascii="Verdana" w:hAnsi="Verdana"/>
          <w:sz w:val="16"/>
          <w:szCs w:val="16"/>
          <w:lang w:val="en-US"/>
        </w:rPr>
        <w:tab/>
        <w:t>Judge Elizabeth Odio Benito did not attend the 127th regular session of the Inter-American Court for reasons beyond her control that were accepted by the full Court. Consequently, she did not take part in the deliberation and signature of this order.</w:t>
      </w:r>
    </w:p>
  </w:footnote>
  <w:footnote w:id="2">
    <w:p w14:paraId="02794FE9" w14:textId="59B394E3" w:rsidR="001413FA" w:rsidRPr="00265F6B" w:rsidRDefault="001413FA" w:rsidP="005D679B">
      <w:pPr>
        <w:pStyle w:val="FootnoteText"/>
        <w:tabs>
          <w:tab w:val="left" w:pos="567"/>
        </w:tabs>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sz w:val="16"/>
          <w:szCs w:val="16"/>
          <w:lang w:val="en-US"/>
        </w:rPr>
        <w:tab/>
      </w:r>
      <w:proofErr w:type="gramStart"/>
      <w:r w:rsidRPr="00265F6B">
        <w:rPr>
          <w:rFonts w:ascii="Verdana" w:hAnsi="Verdana"/>
          <w:i/>
          <w:sz w:val="16"/>
          <w:szCs w:val="16"/>
          <w:lang w:val="en-US"/>
        </w:rPr>
        <w:t>Cf. Case of the Saramaka People v. Suriname.</w:t>
      </w:r>
      <w:proofErr w:type="gramEnd"/>
      <w:r w:rsidRPr="00265F6B">
        <w:rPr>
          <w:rFonts w:ascii="Verdana" w:hAnsi="Verdana"/>
          <w:i/>
          <w:sz w:val="16"/>
          <w:szCs w:val="16"/>
          <w:lang w:val="en-US"/>
        </w:rPr>
        <w:t xml:space="preserve"> Preliminary objections, merits, reparations and costs. </w:t>
      </w:r>
      <w:r w:rsidRPr="00265F6B">
        <w:rPr>
          <w:rFonts w:ascii="Verdana" w:hAnsi="Verdana"/>
          <w:sz w:val="16"/>
          <w:szCs w:val="16"/>
          <w:lang w:val="en-US"/>
        </w:rPr>
        <w:t>Judgment of November 28, 2007. Series C No. 172.</w:t>
      </w:r>
      <w:r w:rsidRPr="00265F6B">
        <w:rPr>
          <w:rFonts w:ascii="Verdana" w:hAnsi="Verdana"/>
          <w:color w:val="00B050"/>
          <w:sz w:val="16"/>
          <w:szCs w:val="16"/>
          <w:lang w:val="en-US"/>
        </w:rPr>
        <w:t xml:space="preserve"> </w:t>
      </w:r>
      <w:r w:rsidRPr="00265F6B">
        <w:rPr>
          <w:rFonts w:ascii="Verdana" w:hAnsi="Verdana"/>
          <w:sz w:val="16"/>
          <w:szCs w:val="16"/>
          <w:lang w:val="en-US"/>
        </w:rPr>
        <w:t xml:space="preserve">The complete text of the judgment is available at:  </w:t>
      </w:r>
      <w:hyperlink r:id="rId1" w:history="1">
        <w:r w:rsidRPr="00265F6B">
          <w:rPr>
            <w:rStyle w:val="Hyperlink"/>
            <w:rFonts w:ascii="Verdana" w:hAnsi="Verdana"/>
            <w:sz w:val="16"/>
            <w:szCs w:val="16"/>
            <w:lang w:val="en-US"/>
          </w:rPr>
          <w:t xml:space="preserve">http://www.corteidh.or.cr/docs/casos/articulos/seriec_172_ing.pdf </w:t>
        </w:r>
      </w:hyperlink>
      <w:r w:rsidRPr="00265F6B">
        <w:rPr>
          <w:rFonts w:ascii="Verdana" w:hAnsi="Verdana"/>
          <w:sz w:val="16"/>
          <w:szCs w:val="16"/>
          <w:lang w:val="en-US"/>
        </w:rPr>
        <w:t>. The judgment was notified to the State on December 19, 2007.</w:t>
      </w:r>
    </w:p>
  </w:footnote>
  <w:footnote w:id="3">
    <w:p w14:paraId="02FB5A7E" w14:textId="0984EB33" w:rsidR="001413FA" w:rsidRPr="00265F6B" w:rsidRDefault="001413FA" w:rsidP="005D679B">
      <w:pPr>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i/>
          <w:sz w:val="16"/>
          <w:szCs w:val="16"/>
          <w:lang w:val="en-US"/>
        </w:rPr>
        <w:t xml:space="preserve">Cf. Case of the Saramaka People v. Suriname. Interpretation of the judgment on preliminary objections, merits, reparations and costs. </w:t>
      </w:r>
      <w:r w:rsidRPr="00265F6B">
        <w:rPr>
          <w:rFonts w:ascii="Verdana" w:hAnsi="Verdana"/>
          <w:sz w:val="16"/>
          <w:szCs w:val="16"/>
          <w:lang w:val="en-US"/>
        </w:rPr>
        <w:t xml:space="preserve">Judgment of August 12, 2008. Series C No. 185. The complete text of the judgment is available at: </w:t>
      </w:r>
      <w:r w:rsidRPr="00265F6B">
        <w:rPr>
          <w:rStyle w:val="Hyperlink"/>
          <w:rFonts w:ascii="Verdana" w:hAnsi="Verdana"/>
          <w:sz w:val="16"/>
          <w:szCs w:val="16"/>
          <w:lang w:val="en-US"/>
        </w:rPr>
        <w:t>http://www.corteidh.or.cr/docs/casos/articulos/seriec_185_ing.pdf</w:t>
      </w:r>
    </w:p>
  </w:footnote>
  <w:footnote w:id="4">
    <w:p w14:paraId="7FCB33C4" w14:textId="634DB9F4" w:rsidR="001413FA" w:rsidRPr="00265F6B" w:rsidRDefault="001413FA" w:rsidP="005D679B">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i/>
          <w:sz w:val="16"/>
          <w:szCs w:val="16"/>
          <w:lang w:val="en-US"/>
        </w:rPr>
        <w:t>Cf.</w:t>
      </w:r>
      <w:r w:rsidRPr="00265F6B">
        <w:rPr>
          <w:rFonts w:ascii="Verdana" w:hAnsi="Verdana"/>
          <w:sz w:val="16"/>
          <w:szCs w:val="16"/>
          <w:lang w:val="en-US"/>
        </w:rPr>
        <w:t xml:space="preserve"> </w:t>
      </w:r>
      <w:r w:rsidRPr="00265F6B">
        <w:rPr>
          <w:rFonts w:ascii="Verdana" w:hAnsi="Verdana"/>
          <w:i/>
          <w:sz w:val="16"/>
          <w:szCs w:val="16"/>
          <w:lang w:val="en-US"/>
        </w:rPr>
        <w:t>Case of the Saramaka People v. Suriname. Monitoring compliance with judgment.</w:t>
      </w:r>
      <w:r w:rsidRPr="00265F6B">
        <w:rPr>
          <w:rFonts w:ascii="Verdana" w:hAnsi="Verdana"/>
          <w:sz w:val="16"/>
          <w:szCs w:val="16"/>
          <w:lang w:val="en-US"/>
        </w:rPr>
        <w:t xml:space="preserve"> Order of the Inter-American Court of Human Rights of November 23, 2011, available at: </w:t>
      </w:r>
      <w:hyperlink r:id="rId2" w:history="1">
        <w:r w:rsidRPr="00265F6B">
          <w:rPr>
            <w:rStyle w:val="Hyperlink"/>
            <w:rFonts w:ascii="Verdana" w:hAnsi="Verdana"/>
            <w:sz w:val="16"/>
            <w:szCs w:val="16"/>
            <w:lang w:val="en-US"/>
          </w:rPr>
          <w:t>http://www.corteidh.or.cr/docs/supervisiones/saramaka_23_11_11.pdf</w:t>
        </w:r>
      </w:hyperlink>
      <w:r w:rsidRPr="00265F6B">
        <w:rPr>
          <w:rFonts w:ascii="Verdana" w:hAnsi="Verdana"/>
          <w:sz w:val="16"/>
          <w:szCs w:val="16"/>
          <w:lang w:val="en-US"/>
        </w:rPr>
        <w:t xml:space="preserve">.  </w:t>
      </w:r>
    </w:p>
    <w:p w14:paraId="318DEC8C" w14:textId="65E803C6" w:rsidR="001413FA" w:rsidRPr="00265F6B" w:rsidRDefault="001413FA" w:rsidP="005D679B">
      <w:pPr>
        <w:pStyle w:val="FootnoteText"/>
        <w:spacing w:after="80"/>
        <w:jc w:val="both"/>
        <w:rPr>
          <w:rFonts w:ascii="Verdana" w:hAnsi="Verdana"/>
          <w:sz w:val="16"/>
          <w:szCs w:val="16"/>
          <w:lang w:val="en-US"/>
        </w:rPr>
      </w:pPr>
      <w:r w:rsidRPr="00265F6B">
        <w:rPr>
          <w:rFonts w:ascii="Verdana" w:hAnsi="Verdana"/>
          <w:sz w:val="16"/>
          <w:szCs w:val="16"/>
          <w:lang w:val="en-US"/>
        </w:rPr>
        <w:tab/>
      </w:r>
      <w:r w:rsidRPr="00265F6B">
        <w:rPr>
          <w:rFonts w:ascii="Verdana" w:hAnsi="Verdana"/>
          <w:i/>
          <w:sz w:val="16"/>
          <w:szCs w:val="16"/>
          <w:lang w:val="en-US"/>
        </w:rPr>
        <w:t>Cf.</w:t>
      </w:r>
      <w:r w:rsidRPr="00265F6B">
        <w:rPr>
          <w:rFonts w:ascii="Verdana" w:hAnsi="Verdana"/>
          <w:sz w:val="16"/>
          <w:szCs w:val="16"/>
          <w:lang w:val="en-US"/>
        </w:rPr>
        <w:t xml:space="preserve"> </w:t>
      </w:r>
      <w:r w:rsidRPr="00265F6B">
        <w:rPr>
          <w:rFonts w:ascii="Verdana" w:hAnsi="Verdana"/>
          <w:i/>
          <w:sz w:val="16"/>
          <w:szCs w:val="16"/>
          <w:lang w:val="en-US"/>
        </w:rPr>
        <w:t>Case of the Saramaka People v. Suriname. Request for provisional measures and Monitoring compliance with judgment.</w:t>
      </w:r>
      <w:r w:rsidRPr="00265F6B">
        <w:rPr>
          <w:rFonts w:ascii="Verdana" w:hAnsi="Verdana"/>
          <w:sz w:val="16"/>
          <w:szCs w:val="16"/>
          <w:lang w:val="en-US"/>
        </w:rPr>
        <w:t xml:space="preserve"> Order of the Inter-American Court of Human Rights of September 4, 2013, available at: </w:t>
      </w:r>
      <w:hyperlink r:id="rId3" w:history="1">
        <w:r w:rsidRPr="00265F6B">
          <w:rPr>
            <w:rStyle w:val="Hyperlink"/>
            <w:rFonts w:ascii="Verdana" w:hAnsi="Verdana"/>
            <w:sz w:val="16"/>
            <w:szCs w:val="16"/>
            <w:lang w:val="en-US"/>
          </w:rPr>
          <w:t>http://www.corteidh.or.cr/docs/supervisiones/saramaka_04_09_13.pdf</w:t>
        </w:r>
      </w:hyperlink>
      <w:r w:rsidRPr="00265F6B">
        <w:rPr>
          <w:rFonts w:ascii="Verdana" w:hAnsi="Verdana"/>
          <w:sz w:val="16"/>
          <w:szCs w:val="16"/>
          <w:lang w:val="en-US"/>
        </w:rPr>
        <w:t xml:space="preserve">. </w:t>
      </w:r>
    </w:p>
  </w:footnote>
  <w:footnote w:id="5">
    <w:p w14:paraId="2CB87CEB" w14:textId="720A19C4" w:rsidR="001413FA" w:rsidRPr="00265F6B" w:rsidRDefault="001413FA" w:rsidP="005D679B">
      <w:pPr>
        <w:pStyle w:val="FootnoteText"/>
        <w:spacing w:after="80"/>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t xml:space="preserve">The Forest Peoples Programme represents the victims in this case. </w:t>
      </w:r>
    </w:p>
  </w:footnote>
  <w:footnote w:id="6">
    <w:p w14:paraId="3C9D16D7" w14:textId="7EE007E8" w:rsidR="001413FA" w:rsidRPr="00265F6B" w:rsidRDefault="001413FA" w:rsidP="005D679B">
      <w:pPr>
        <w:spacing w:after="80"/>
        <w:jc w:val="both"/>
        <w:rPr>
          <w:rFonts w:ascii="Verdana" w:eastAsia="Times New Roman" w:hAnsi="Verdana"/>
          <w:sz w:val="16"/>
          <w:szCs w:val="16"/>
          <w:lang w:val="en-US" w:eastAsia="es-CR"/>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t xml:space="preserve">The </w:t>
      </w:r>
      <w:r>
        <w:rPr>
          <w:rFonts w:ascii="Verdana" w:hAnsi="Verdana"/>
          <w:sz w:val="16"/>
          <w:szCs w:val="16"/>
          <w:lang w:val="en-US"/>
        </w:rPr>
        <w:t xml:space="preserve">following participated in the </w:t>
      </w:r>
      <w:r w:rsidRPr="00265F6B">
        <w:rPr>
          <w:rFonts w:ascii="Verdana" w:hAnsi="Verdana"/>
          <w:sz w:val="16"/>
          <w:szCs w:val="16"/>
          <w:lang w:val="en-US"/>
        </w:rPr>
        <w:t xml:space="preserve">hearing: (a) for the State: </w:t>
      </w:r>
      <w:r w:rsidRPr="00265F6B">
        <w:rPr>
          <w:rFonts w:ascii="Verdana" w:eastAsia="Times New Roman" w:hAnsi="Verdana"/>
          <w:sz w:val="16"/>
          <w:szCs w:val="16"/>
          <w:lang w:val="en-US" w:eastAsia="es-CR"/>
        </w:rPr>
        <w:t>Jules Wijdenbosch, Government Advisor, former President of the Republic of Suriname; Stanley Betterson, Minister for Regional Development; Martin Misiedjan, Presidential Commissioner on Land Rights; Jennifer Van Dijk-Silos, Government Legal Advisor; Albert Aboikoni, Head Captain of the Saramaka People; Henk Finisi, Head Captain of the Saramaka People; Jornell Vinkwolk, Head of the Human Rights Department of the Ministry of Justice and Police, and Monique Pool, interpreter</w:t>
      </w:r>
      <w:r w:rsidRPr="00265F6B">
        <w:rPr>
          <w:rFonts w:ascii="Verdana" w:hAnsi="Verdana"/>
          <w:sz w:val="16"/>
          <w:szCs w:val="16"/>
          <w:lang w:val="en-US"/>
        </w:rPr>
        <w:t xml:space="preserve">; (b) for the victims and their representatives: Hugo Jabini, representative of the Saramaka People; Wazen Eduards, </w:t>
      </w:r>
      <w:r w:rsidRPr="00265F6B">
        <w:rPr>
          <w:rFonts w:ascii="Verdana" w:eastAsia="Times New Roman" w:hAnsi="Verdana"/>
          <w:sz w:val="16"/>
          <w:szCs w:val="16"/>
          <w:lang w:val="en-US" w:eastAsia="es-CR"/>
        </w:rPr>
        <w:t xml:space="preserve">Director in Chief, President of the Association of Saramaka Authorities; </w:t>
      </w:r>
      <w:r w:rsidRPr="00265F6B">
        <w:rPr>
          <w:rFonts w:ascii="Verdana" w:hAnsi="Verdana"/>
          <w:sz w:val="16"/>
          <w:szCs w:val="16"/>
          <w:lang w:val="en-US"/>
        </w:rPr>
        <w:t xml:space="preserve">Peter Amoida, </w:t>
      </w:r>
      <w:r w:rsidRPr="00265F6B">
        <w:rPr>
          <w:rFonts w:ascii="Verdana" w:eastAsia="Times New Roman" w:hAnsi="Verdana"/>
          <w:sz w:val="16"/>
          <w:szCs w:val="16"/>
          <w:lang w:val="en-US" w:eastAsia="es-CR"/>
        </w:rPr>
        <w:t xml:space="preserve">Representative of Gaama and the Association of Saramaka Authorities; </w:t>
      </w:r>
      <w:r w:rsidRPr="00265F6B">
        <w:rPr>
          <w:rFonts w:ascii="Verdana" w:hAnsi="Verdana"/>
          <w:sz w:val="16"/>
          <w:szCs w:val="16"/>
          <w:lang w:val="en-US"/>
        </w:rPr>
        <w:t xml:space="preserve">Nicolas Petrusi, </w:t>
      </w:r>
      <w:r w:rsidRPr="00265F6B">
        <w:rPr>
          <w:rFonts w:ascii="Verdana" w:eastAsia="Times New Roman" w:hAnsi="Verdana"/>
          <w:sz w:val="16"/>
          <w:szCs w:val="16"/>
          <w:lang w:val="en-US" w:eastAsia="es-CR"/>
        </w:rPr>
        <w:t xml:space="preserve">Association of Saramaka Authorities; </w:t>
      </w:r>
      <w:r w:rsidRPr="00265F6B">
        <w:rPr>
          <w:rFonts w:ascii="Verdana" w:hAnsi="Verdana"/>
          <w:sz w:val="16"/>
          <w:szCs w:val="16"/>
          <w:lang w:val="en-US"/>
        </w:rPr>
        <w:t xml:space="preserve">Fergus MacKay, Coordinating Lawyer </w:t>
      </w:r>
      <w:r w:rsidRPr="00265F6B">
        <w:rPr>
          <w:rFonts w:ascii="Verdana" w:eastAsia="Times New Roman" w:hAnsi="Verdana"/>
          <w:sz w:val="16"/>
          <w:szCs w:val="16"/>
          <w:lang w:val="en-US" w:eastAsia="es-CR"/>
        </w:rPr>
        <w:t>for the Forest Peoples Programme, and</w:t>
      </w:r>
      <w:r w:rsidRPr="00265F6B">
        <w:rPr>
          <w:rFonts w:ascii="Verdana" w:hAnsi="Verdana"/>
          <w:sz w:val="16"/>
          <w:szCs w:val="16"/>
          <w:lang w:val="en-US"/>
        </w:rPr>
        <w:t xml:space="preserve"> Alancay Morales Garro, of the Forest Peoples Programme, and (c) for the Commission: Elizabeth Abi-Mershed, Deputy Executive Secretary. The hearing was held before Judges Diego García-Sayán, President of the Court, Alberto Pérez Pérez and Humberto A. Sierra Porto. </w:t>
      </w:r>
    </w:p>
  </w:footnote>
  <w:footnote w:id="7">
    <w:p w14:paraId="71821D47" w14:textId="34514F49" w:rsidR="001413FA" w:rsidRPr="00265F6B" w:rsidRDefault="001413FA" w:rsidP="005D679B">
      <w:pPr>
        <w:pStyle w:val="FootnoteText"/>
        <w:spacing w:after="80"/>
        <w:jc w:val="both"/>
        <w:rPr>
          <w:rFonts w:ascii="Verdana" w:hAnsi="Verdana"/>
          <w:b/>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t>Briefs of July 9, 10, 11 and 26, and October 25, 2013, and April 27, 2015.</w:t>
      </w:r>
    </w:p>
  </w:footnote>
  <w:footnote w:id="8">
    <w:p w14:paraId="27AA3191" w14:textId="1336B1D7" w:rsidR="001413FA" w:rsidRPr="00265F6B" w:rsidRDefault="001413FA" w:rsidP="005D679B">
      <w:pPr>
        <w:pStyle w:val="FootnoteText"/>
        <w:spacing w:after="80"/>
        <w:jc w:val="both"/>
        <w:rPr>
          <w:rFonts w:ascii="Verdana" w:hAnsi="Verdana"/>
          <w:b/>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t xml:space="preserve">Briefs of August 5, 2013, March 10 and November 3, </w:t>
      </w:r>
      <w:r w:rsidRPr="00265F6B">
        <w:rPr>
          <w:rFonts w:ascii="Verdana" w:eastAsiaTheme="minorHAnsi" w:hAnsi="Verdana"/>
          <w:sz w:val="16"/>
          <w:szCs w:val="16"/>
          <w:lang w:val="en-US" w:eastAsia="es-CR"/>
        </w:rPr>
        <w:t xml:space="preserve">2014, and May 29, 2015. </w:t>
      </w:r>
    </w:p>
  </w:footnote>
  <w:footnote w:id="9">
    <w:p w14:paraId="473C5C6B" w14:textId="3B219AA6" w:rsidR="001413FA" w:rsidRPr="00265F6B" w:rsidRDefault="001413FA" w:rsidP="005D679B">
      <w:pPr>
        <w:pStyle w:val="FootnoteText"/>
        <w:spacing w:after="80"/>
        <w:jc w:val="both"/>
        <w:rPr>
          <w:rFonts w:ascii="Verdana" w:hAnsi="Verdana"/>
          <w:b/>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t xml:space="preserve">Briefs of August 29 and December 17, 2013, and June 18, 2015. </w:t>
      </w:r>
    </w:p>
  </w:footnote>
  <w:footnote w:id="10">
    <w:p w14:paraId="71B25F6B" w14:textId="2DFB0F2E" w:rsidR="001413FA" w:rsidRPr="00265F6B" w:rsidRDefault="001413FA" w:rsidP="005D679B">
      <w:pPr>
        <w:pStyle w:val="FootnoteText"/>
        <w:spacing w:after="80"/>
        <w:jc w:val="both"/>
        <w:rPr>
          <w:rFonts w:ascii="Verdana" w:hAnsi="Verdana"/>
          <w:sz w:val="16"/>
          <w:szCs w:val="16"/>
          <w:lang w:val="en-US" w:eastAsia="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t>A prerogative that also arises from Articles 33, 62(1), 62(3) and 65 of the American Convention and 30 of the Court’s Statute, and that is regulated in Article 69 of its Rules of Procedure.</w:t>
      </w:r>
    </w:p>
  </w:footnote>
  <w:footnote w:id="11">
    <w:p w14:paraId="630370F3" w14:textId="267C46B9" w:rsidR="001413FA" w:rsidRPr="00265F6B" w:rsidRDefault="001413FA" w:rsidP="005D679B">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t>Suriname has complied fully with the following measures of reparations: (i) translate into the Dutch language and publish in the State’s official gazette and in another newspaper with widespread circulation Chapter VII of the judgment, without the corresponding footnotes, and operative paragraphs one to fifteen (</w:t>
      </w:r>
      <w:r w:rsidRPr="00265F6B">
        <w:rPr>
          <w:rFonts w:ascii="Verdana" w:hAnsi="Verdana"/>
          <w:i/>
          <w:sz w:val="16"/>
          <w:szCs w:val="16"/>
          <w:lang w:val="en-US"/>
        </w:rPr>
        <w:t>eleventh operative paragraph of the judgment</w:t>
      </w:r>
      <w:r w:rsidRPr="00265F6B">
        <w:rPr>
          <w:rFonts w:ascii="Verdana" w:hAnsi="Verdana"/>
          <w:sz w:val="16"/>
          <w:szCs w:val="16"/>
          <w:lang w:val="en-US"/>
        </w:rPr>
        <w:t>); (ii) finance two broadcasts in the Saramaka language of the pertinent paragraphs and operative paragraphs of the judgment by a radio station accessible to the Saramaka people (</w:t>
      </w:r>
      <w:r w:rsidRPr="00265F6B">
        <w:rPr>
          <w:rFonts w:ascii="Verdana" w:hAnsi="Verdana"/>
          <w:i/>
          <w:sz w:val="16"/>
          <w:szCs w:val="16"/>
          <w:lang w:val="en-US"/>
        </w:rPr>
        <w:t>twelfth operative paragraph of the judgment</w:t>
      </w:r>
      <w:r w:rsidRPr="00265F6B">
        <w:rPr>
          <w:rFonts w:ascii="Verdana" w:hAnsi="Verdana"/>
          <w:sz w:val="16"/>
          <w:szCs w:val="16"/>
          <w:lang w:val="en-US"/>
        </w:rPr>
        <w:t>), and (iii) make the payment for costs and expenses to the Forest Peoples Programme and to the Association of Saramaka Authorities (</w:t>
      </w:r>
      <w:r w:rsidRPr="00265F6B">
        <w:rPr>
          <w:rFonts w:ascii="Verdana" w:hAnsi="Verdana"/>
          <w:i/>
          <w:sz w:val="16"/>
          <w:szCs w:val="16"/>
          <w:lang w:val="en-US"/>
        </w:rPr>
        <w:t>fourteenth operative paragraph of the judgment</w:t>
      </w:r>
      <w:r w:rsidRPr="00265F6B">
        <w:rPr>
          <w:rFonts w:ascii="Verdana" w:hAnsi="Verdana"/>
          <w:sz w:val="16"/>
          <w:szCs w:val="16"/>
          <w:lang w:val="en-US"/>
        </w:rPr>
        <w:t xml:space="preserve">). </w:t>
      </w:r>
    </w:p>
  </w:footnote>
  <w:footnote w:id="12">
    <w:p w14:paraId="23A5B23F" w14:textId="31F83CE8" w:rsidR="001413FA" w:rsidRPr="00265F6B" w:rsidRDefault="001413FA" w:rsidP="005D679B">
      <w:pPr>
        <w:pStyle w:val="FootnoteText"/>
        <w:spacing w:after="80"/>
        <w:jc w:val="both"/>
        <w:rPr>
          <w:rFonts w:ascii="Verdana" w:hAnsi="Verdana"/>
          <w:i/>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proofErr w:type="gramStart"/>
      <w:r w:rsidRPr="00265F6B">
        <w:rPr>
          <w:rFonts w:ascii="Verdana" w:hAnsi="Verdana"/>
          <w:i/>
          <w:sz w:val="16"/>
          <w:szCs w:val="16"/>
          <w:lang w:val="en-US"/>
        </w:rPr>
        <w:t>Cf. Case of the Barrios Family v. Venezuela.</w:t>
      </w:r>
      <w:proofErr w:type="gramEnd"/>
      <w:r w:rsidRPr="00265F6B">
        <w:rPr>
          <w:rFonts w:ascii="Verdana" w:hAnsi="Verdana"/>
          <w:i/>
          <w:sz w:val="16"/>
          <w:szCs w:val="16"/>
          <w:lang w:val="en-US"/>
        </w:rPr>
        <w:t xml:space="preserve"> Monitoring compliance with judgment. </w:t>
      </w:r>
      <w:r w:rsidRPr="00265F6B">
        <w:rPr>
          <w:rFonts w:ascii="Verdana" w:hAnsi="Verdana"/>
          <w:sz w:val="16"/>
          <w:szCs w:val="16"/>
          <w:lang w:val="en-US"/>
        </w:rPr>
        <w:t xml:space="preserve">Order of the Inter-American Court of Human Rights of September 2, 2015, </w:t>
      </w:r>
      <w:r w:rsidRPr="00265F6B">
        <w:rPr>
          <w:rFonts w:ascii="Verdana" w:hAnsi="Verdana"/>
          <w:i/>
          <w:sz w:val="16"/>
          <w:szCs w:val="16"/>
          <w:lang w:val="en-US"/>
        </w:rPr>
        <w:t>considerandum</w:t>
      </w:r>
      <w:r w:rsidRPr="00265F6B">
        <w:rPr>
          <w:rFonts w:ascii="Verdana" w:hAnsi="Verdana"/>
          <w:sz w:val="16"/>
          <w:szCs w:val="16"/>
          <w:lang w:val="en-US"/>
        </w:rPr>
        <w:t xml:space="preserve"> 2, and </w:t>
      </w:r>
      <w:r w:rsidRPr="00265F6B">
        <w:rPr>
          <w:rFonts w:ascii="Verdana" w:hAnsi="Verdana"/>
          <w:i/>
          <w:sz w:val="16"/>
          <w:szCs w:val="16"/>
          <w:lang w:val="en-US"/>
        </w:rPr>
        <w:t xml:space="preserve">Case of the Massacres of El Mozote and neighboring places v. El Salvador. Monitoring compliance with judgment. </w:t>
      </w:r>
      <w:r w:rsidRPr="00265F6B">
        <w:rPr>
          <w:rFonts w:ascii="Verdana" w:hAnsi="Verdana"/>
          <w:sz w:val="16"/>
          <w:szCs w:val="16"/>
          <w:lang w:val="en-US"/>
        </w:rPr>
        <w:t xml:space="preserve">Order of the Inter-American Court of Human Rights of May 30, 2018, </w:t>
      </w:r>
      <w:r w:rsidRPr="00265F6B">
        <w:rPr>
          <w:rFonts w:ascii="Verdana" w:hAnsi="Verdana"/>
          <w:i/>
          <w:sz w:val="16"/>
          <w:szCs w:val="16"/>
          <w:lang w:val="en-US"/>
        </w:rPr>
        <w:t>considerandum</w:t>
      </w:r>
      <w:r w:rsidRPr="00265F6B">
        <w:rPr>
          <w:rFonts w:ascii="Verdana" w:hAnsi="Verdana"/>
          <w:sz w:val="16"/>
          <w:szCs w:val="16"/>
          <w:lang w:val="en-US"/>
        </w:rPr>
        <w:t xml:space="preserve"> 2.</w:t>
      </w:r>
    </w:p>
  </w:footnote>
  <w:footnote w:id="13">
    <w:p w14:paraId="26B3D076" w14:textId="62F951D0" w:rsidR="001413FA" w:rsidRPr="00265F6B" w:rsidRDefault="001413FA" w:rsidP="005C30FE">
      <w:pPr>
        <w:pStyle w:val="FootnoteText"/>
        <w:tabs>
          <w:tab w:val="left" w:pos="567"/>
        </w:tabs>
        <w:spacing w:after="80"/>
        <w:ind w:right="4"/>
        <w:jc w:val="both"/>
        <w:rPr>
          <w:rFonts w:ascii="Verdana" w:hAnsi="Verdana"/>
          <w:color w:val="000000"/>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i/>
          <w:color w:val="000000"/>
          <w:sz w:val="16"/>
          <w:szCs w:val="16"/>
          <w:lang w:val="en-US"/>
        </w:rPr>
        <w:t xml:space="preserve">Cf. Case of Castillo Petruzzi et al. v. Peru. Monitoring compliance with judgment. </w:t>
      </w:r>
      <w:r w:rsidRPr="00265F6B">
        <w:rPr>
          <w:rFonts w:ascii="Verdana" w:hAnsi="Verdana"/>
          <w:color w:val="000000"/>
          <w:sz w:val="16"/>
          <w:szCs w:val="16"/>
          <w:lang w:val="en-US"/>
        </w:rPr>
        <w:t xml:space="preserve">Order of the Inter-American Court of Human Rights of November 17, 1999, </w:t>
      </w:r>
      <w:r w:rsidRPr="00265F6B">
        <w:rPr>
          <w:rFonts w:ascii="Verdana" w:hAnsi="Verdana"/>
          <w:i/>
          <w:color w:val="000000"/>
          <w:sz w:val="16"/>
          <w:szCs w:val="16"/>
          <w:lang w:val="en-US"/>
        </w:rPr>
        <w:t>considerandum</w:t>
      </w:r>
      <w:r w:rsidRPr="00265F6B">
        <w:rPr>
          <w:rFonts w:ascii="Verdana" w:hAnsi="Verdana"/>
          <w:color w:val="000000"/>
          <w:sz w:val="16"/>
          <w:szCs w:val="16"/>
          <w:lang w:val="en-US"/>
        </w:rPr>
        <w:t xml:space="preserve"> 3</w:t>
      </w:r>
      <w:r w:rsidRPr="00265F6B">
        <w:rPr>
          <w:rFonts w:ascii="Verdana" w:hAnsi="Verdana"/>
          <w:i/>
          <w:color w:val="000000"/>
          <w:sz w:val="16"/>
          <w:szCs w:val="16"/>
          <w:lang w:val="en-US"/>
        </w:rPr>
        <w:t xml:space="preserve">, </w:t>
      </w:r>
      <w:r w:rsidRPr="00265F6B">
        <w:rPr>
          <w:rFonts w:ascii="Verdana" w:hAnsi="Verdana"/>
          <w:color w:val="000000"/>
          <w:sz w:val="16"/>
          <w:szCs w:val="16"/>
          <w:lang w:val="en-US"/>
        </w:rPr>
        <w:t xml:space="preserve">and </w:t>
      </w:r>
      <w:r w:rsidRPr="00265F6B">
        <w:rPr>
          <w:rFonts w:ascii="Verdana" w:hAnsi="Verdana"/>
          <w:i/>
          <w:color w:val="000000"/>
          <w:sz w:val="16"/>
          <w:szCs w:val="16"/>
          <w:lang w:val="en-US"/>
        </w:rPr>
        <w:t xml:space="preserve">Case of Fleury et al. v. Haiti. Monitoring compliance with judgment. </w:t>
      </w:r>
      <w:r w:rsidRPr="00265F6B">
        <w:rPr>
          <w:rFonts w:ascii="Verdana" w:hAnsi="Verdana"/>
          <w:color w:val="000000"/>
          <w:sz w:val="16"/>
          <w:szCs w:val="16"/>
          <w:lang w:val="en-US"/>
        </w:rPr>
        <w:t xml:space="preserve">Order of the Inter-American Court of Human Rights of November 22, 2016, </w:t>
      </w:r>
      <w:r w:rsidRPr="00265F6B">
        <w:rPr>
          <w:rFonts w:ascii="Verdana" w:hAnsi="Verdana"/>
          <w:i/>
          <w:color w:val="000000"/>
          <w:sz w:val="16"/>
          <w:szCs w:val="16"/>
          <w:lang w:val="en-US"/>
        </w:rPr>
        <w:t>considerandum</w:t>
      </w:r>
      <w:r w:rsidRPr="00265F6B">
        <w:rPr>
          <w:rFonts w:ascii="Verdana" w:hAnsi="Verdana"/>
          <w:color w:val="000000"/>
          <w:sz w:val="16"/>
          <w:szCs w:val="16"/>
          <w:lang w:val="en-US"/>
        </w:rPr>
        <w:t xml:space="preserve"> 3.</w:t>
      </w:r>
    </w:p>
  </w:footnote>
  <w:footnote w:id="14">
    <w:p w14:paraId="5B5113D6" w14:textId="236DD6A7" w:rsidR="001413FA" w:rsidRPr="00265F6B" w:rsidRDefault="001413FA" w:rsidP="005D679B">
      <w:pPr>
        <w:pStyle w:val="FootnoteText"/>
        <w:tabs>
          <w:tab w:val="left" w:pos="567"/>
        </w:tabs>
        <w:spacing w:after="80"/>
        <w:ind w:right="4"/>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i/>
          <w:sz w:val="16"/>
          <w:szCs w:val="16"/>
          <w:lang w:val="en-US"/>
        </w:rPr>
        <w:t>Cf. Case of Garrido and Baigorria. Reparations</w:t>
      </w:r>
      <w:r w:rsidRPr="00265F6B">
        <w:rPr>
          <w:rFonts w:ascii="Verdana" w:hAnsi="Verdana"/>
          <w:sz w:val="16"/>
          <w:szCs w:val="16"/>
          <w:lang w:val="en-US"/>
        </w:rPr>
        <w:t xml:space="preserve"> (Art. 63(1) American Convention on Human Rights). Judgment of August 27, 1998. Series C No. 39, </w:t>
      </w:r>
      <w:r w:rsidRPr="00265F6B">
        <w:rPr>
          <w:rFonts w:ascii="Verdana" w:hAnsi="Verdana"/>
          <w:i/>
          <w:sz w:val="16"/>
          <w:szCs w:val="16"/>
          <w:lang w:val="en-US"/>
        </w:rPr>
        <w:t>para.</w:t>
      </w:r>
      <w:r w:rsidRPr="00265F6B">
        <w:rPr>
          <w:rFonts w:ascii="Verdana" w:hAnsi="Verdana"/>
          <w:sz w:val="16"/>
          <w:szCs w:val="16"/>
          <w:lang w:val="en-US"/>
        </w:rPr>
        <w:t xml:space="preserve"> 40, and</w:t>
      </w:r>
      <w:r w:rsidRPr="00265F6B">
        <w:rPr>
          <w:rFonts w:ascii="Verdana" w:hAnsi="Verdana"/>
          <w:b/>
          <w:i/>
          <w:sz w:val="16"/>
          <w:szCs w:val="16"/>
          <w:lang w:val="en-US"/>
        </w:rPr>
        <w:t xml:space="preserve"> </w:t>
      </w:r>
      <w:r w:rsidRPr="00265F6B">
        <w:rPr>
          <w:rFonts w:ascii="Verdana" w:hAnsi="Verdana"/>
          <w:i/>
          <w:color w:val="000000"/>
          <w:sz w:val="16"/>
          <w:szCs w:val="16"/>
          <w:lang w:val="en-US"/>
        </w:rPr>
        <w:t xml:space="preserve">Case of Fleury et al. v. Haiti, supra </w:t>
      </w:r>
      <w:r w:rsidRPr="00265F6B">
        <w:rPr>
          <w:rFonts w:ascii="Verdana" w:hAnsi="Verdana"/>
          <w:color w:val="000000"/>
          <w:sz w:val="16"/>
          <w:szCs w:val="16"/>
          <w:lang w:val="en-US"/>
        </w:rPr>
        <w:t xml:space="preserve">footnote 12, </w:t>
      </w:r>
      <w:r w:rsidRPr="00265F6B">
        <w:rPr>
          <w:rFonts w:ascii="Verdana" w:hAnsi="Verdana"/>
          <w:i/>
          <w:color w:val="000000"/>
          <w:sz w:val="16"/>
          <w:szCs w:val="16"/>
          <w:lang w:val="en-US"/>
        </w:rPr>
        <w:t>considerandum</w:t>
      </w:r>
      <w:r w:rsidRPr="00265F6B">
        <w:rPr>
          <w:rFonts w:ascii="Verdana" w:hAnsi="Verdana"/>
          <w:color w:val="000000"/>
          <w:sz w:val="16"/>
          <w:szCs w:val="16"/>
          <w:lang w:val="en-US"/>
        </w:rPr>
        <w:t xml:space="preserve"> 3.</w:t>
      </w:r>
    </w:p>
  </w:footnote>
  <w:footnote w:id="15">
    <w:p w14:paraId="5072D1D5" w14:textId="51FBF393" w:rsidR="001413FA" w:rsidRPr="00265F6B" w:rsidRDefault="001413FA" w:rsidP="005D679B">
      <w:pPr>
        <w:pStyle w:val="FootnoteText"/>
        <w:tabs>
          <w:tab w:val="left" w:pos="567"/>
        </w:tabs>
        <w:spacing w:after="80"/>
        <w:ind w:right="4"/>
        <w:jc w:val="both"/>
        <w:rPr>
          <w:rFonts w:ascii="Verdana" w:hAnsi="Verdana"/>
          <w:color w:val="000000"/>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i/>
          <w:sz w:val="16"/>
          <w:szCs w:val="16"/>
          <w:lang w:val="en-US"/>
        </w:rPr>
        <w:t>Cf.</w:t>
      </w:r>
      <w:r w:rsidRPr="00265F6B">
        <w:rPr>
          <w:rFonts w:ascii="Verdana" w:hAnsi="Verdana"/>
          <w:b/>
          <w:sz w:val="16"/>
          <w:szCs w:val="16"/>
          <w:lang w:val="en-US"/>
        </w:rPr>
        <w:t xml:space="preserve"> </w:t>
      </w:r>
      <w:r w:rsidRPr="00265F6B">
        <w:rPr>
          <w:rFonts w:ascii="Verdana" w:hAnsi="Verdana"/>
          <w:bCs/>
          <w:i/>
          <w:color w:val="000000"/>
          <w:sz w:val="16"/>
          <w:szCs w:val="16"/>
          <w:lang w:val="en-US"/>
        </w:rPr>
        <w:t>Case of Castillo Páez v. Peru</w:t>
      </w:r>
      <w:r w:rsidRPr="00265F6B">
        <w:rPr>
          <w:rFonts w:ascii="Verdana" w:hAnsi="Verdana"/>
          <w:b/>
          <w:bCs/>
          <w:color w:val="000000"/>
          <w:sz w:val="16"/>
          <w:szCs w:val="16"/>
          <w:lang w:val="en-US"/>
        </w:rPr>
        <w:t xml:space="preserve">. </w:t>
      </w:r>
      <w:r w:rsidRPr="00265F6B">
        <w:rPr>
          <w:rFonts w:ascii="Verdana" w:hAnsi="Verdana"/>
          <w:i/>
          <w:color w:val="000000"/>
          <w:sz w:val="16"/>
          <w:szCs w:val="16"/>
          <w:lang w:val="en-US"/>
        </w:rPr>
        <w:t>Reparations and costs.</w:t>
      </w:r>
      <w:r w:rsidRPr="00265F6B">
        <w:rPr>
          <w:rFonts w:ascii="Verdana" w:hAnsi="Verdana"/>
          <w:color w:val="000000"/>
          <w:sz w:val="16"/>
          <w:szCs w:val="16"/>
          <w:lang w:val="en-US"/>
        </w:rPr>
        <w:t xml:space="preserve"> Judgment of November 27, 1998. Series C No. 43, para. 50,</w:t>
      </w:r>
      <w:r w:rsidRPr="00265F6B">
        <w:rPr>
          <w:rFonts w:ascii="Verdana" w:hAnsi="Verdana"/>
          <w:sz w:val="16"/>
          <w:szCs w:val="16"/>
          <w:lang w:val="en-US"/>
        </w:rPr>
        <w:t xml:space="preserve"> and </w:t>
      </w:r>
      <w:r w:rsidRPr="00265F6B">
        <w:rPr>
          <w:rFonts w:ascii="Verdana" w:hAnsi="Verdana"/>
          <w:i/>
          <w:color w:val="000000"/>
          <w:sz w:val="16"/>
          <w:szCs w:val="16"/>
          <w:lang w:val="en-US"/>
        </w:rPr>
        <w:t xml:space="preserve">Case of Fleury et al. v. Haiti, supra </w:t>
      </w:r>
      <w:r w:rsidRPr="00265F6B">
        <w:rPr>
          <w:rFonts w:ascii="Verdana" w:hAnsi="Verdana"/>
          <w:color w:val="000000"/>
          <w:sz w:val="16"/>
          <w:szCs w:val="16"/>
          <w:lang w:val="en-US"/>
        </w:rPr>
        <w:t>footnote</w:t>
      </w:r>
      <w:r w:rsidRPr="00265F6B">
        <w:rPr>
          <w:rFonts w:ascii="Verdana" w:hAnsi="Verdana"/>
          <w:i/>
          <w:color w:val="000000"/>
          <w:sz w:val="16"/>
          <w:szCs w:val="16"/>
          <w:lang w:val="en-US"/>
        </w:rPr>
        <w:t xml:space="preserve"> </w:t>
      </w:r>
      <w:r w:rsidRPr="00265F6B">
        <w:rPr>
          <w:rFonts w:ascii="Verdana" w:hAnsi="Verdana"/>
          <w:color w:val="000000"/>
          <w:sz w:val="16"/>
          <w:szCs w:val="16"/>
          <w:lang w:val="en-US"/>
        </w:rPr>
        <w:t xml:space="preserve">12, </w:t>
      </w:r>
      <w:r w:rsidRPr="00265F6B">
        <w:rPr>
          <w:rFonts w:ascii="Verdana" w:hAnsi="Verdana"/>
          <w:i/>
          <w:color w:val="000000"/>
          <w:sz w:val="16"/>
          <w:szCs w:val="16"/>
          <w:lang w:val="en-US"/>
        </w:rPr>
        <w:t>considerandum</w:t>
      </w:r>
      <w:r w:rsidRPr="00265F6B">
        <w:rPr>
          <w:rFonts w:ascii="Verdana" w:hAnsi="Verdana"/>
          <w:color w:val="000000"/>
          <w:sz w:val="16"/>
          <w:szCs w:val="16"/>
          <w:lang w:val="en-US"/>
        </w:rPr>
        <w:t xml:space="preserve"> 3.</w:t>
      </w:r>
    </w:p>
  </w:footnote>
  <w:footnote w:id="16">
    <w:p w14:paraId="5FE8B118" w14:textId="2BF0F3CC" w:rsidR="001413FA" w:rsidRPr="00265F6B" w:rsidRDefault="001413FA" w:rsidP="005D679B">
      <w:pPr>
        <w:pStyle w:val="FootnoteText"/>
        <w:tabs>
          <w:tab w:val="left" w:pos="567"/>
        </w:tabs>
        <w:spacing w:after="80"/>
        <w:ind w:right="4"/>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i/>
          <w:sz w:val="16"/>
          <w:szCs w:val="16"/>
          <w:lang w:val="en-US"/>
        </w:rPr>
        <w:t>Cf.</w:t>
      </w:r>
      <w:r w:rsidRPr="00265F6B">
        <w:rPr>
          <w:rFonts w:ascii="Verdana" w:hAnsi="Verdana"/>
          <w:sz w:val="16"/>
          <w:szCs w:val="16"/>
          <w:lang w:val="en-US"/>
        </w:rPr>
        <w:t xml:space="preserve"> </w:t>
      </w:r>
      <w:r w:rsidRPr="00265F6B">
        <w:rPr>
          <w:rFonts w:ascii="Verdana" w:hAnsi="Verdana"/>
          <w:i/>
          <w:sz w:val="16"/>
          <w:szCs w:val="16"/>
          <w:lang w:val="en-US"/>
        </w:rPr>
        <w:t>Reparation for Injuries Suffered in the Service of the United Nations</w:t>
      </w:r>
      <w:r w:rsidRPr="00265F6B">
        <w:rPr>
          <w:rFonts w:ascii="Verdana" w:hAnsi="Verdana"/>
          <w:sz w:val="16"/>
          <w:szCs w:val="16"/>
          <w:lang w:val="en-US"/>
        </w:rPr>
        <w:t xml:space="preserve">, </w:t>
      </w:r>
      <w:r w:rsidRPr="00265F6B">
        <w:rPr>
          <w:rFonts w:ascii="Verdana" w:hAnsi="Verdana"/>
          <w:i/>
          <w:sz w:val="16"/>
          <w:szCs w:val="16"/>
          <w:lang w:val="en-US"/>
        </w:rPr>
        <w:t xml:space="preserve">Advisory Opinion: I.C.J. Reports 1949, </w:t>
      </w:r>
      <w:r w:rsidRPr="00265F6B">
        <w:rPr>
          <w:rFonts w:ascii="Verdana" w:hAnsi="Verdana"/>
          <w:sz w:val="16"/>
          <w:szCs w:val="16"/>
          <w:lang w:val="en-US"/>
        </w:rPr>
        <w:t>p. 184</w:t>
      </w:r>
      <w:r w:rsidRPr="00265F6B">
        <w:rPr>
          <w:rFonts w:ascii="Verdana" w:hAnsi="Verdana"/>
          <w:i/>
          <w:sz w:val="16"/>
          <w:szCs w:val="16"/>
          <w:lang w:val="en-US"/>
        </w:rPr>
        <w:t>;</w:t>
      </w:r>
      <w:r w:rsidRPr="00265F6B">
        <w:rPr>
          <w:rFonts w:ascii="Verdana" w:hAnsi="Verdana"/>
          <w:sz w:val="16"/>
          <w:szCs w:val="16"/>
          <w:lang w:val="en-US"/>
        </w:rPr>
        <w:t xml:space="preserve"> </w:t>
      </w:r>
      <w:r w:rsidRPr="00265F6B">
        <w:rPr>
          <w:rFonts w:ascii="Verdana" w:hAnsi="Verdana"/>
          <w:i/>
          <w:sz w:val="16"/>
          <w:szCs w:val="16"/>
          <w:lang w:val="en-US"/>
        </w:rPr>
        <w:t xml:space="preserve">Case concerning the Factory at Chorzów (Claim for Indemnity) (Merits), Judgment No. 13, 13 September 1928, </w:t>
      </w:r>
      <w:r w:rsidRPr="00265F6B">
        <w:rPr>
          <w:rFonts w:ascii="Verdana" w:hAnsi="Verdana"/>
          <w:sz w:val="16"/>
          <w:szCs w:val="16"/>
          <w:lang w:val="en-US"/>
        </w:rPr>
        <w:t>P.C.I.J. Series A. No. 17, p. 29,</w:t>
      </w:r>
      <w:r w:rsidRPr="00265F6B">
        <w:rPr>
          <w:rFonts w:ascii="Verdana" w:hAnsi="Verdana"/>
          <w:i/>
          <w:sz w:val="16"/>
          <w:szCs w:val="16"/>
          <w:lang w:val="en-US"/>
        </w:rPr>
        <w:t xml:space="preserve"> </w:t>
      </w:r>
      <w:r w:rsidRPr="00265F6B">
        <w:rPr>
          <w:rFonts w:ascii="Verdana" w:hAnsi="Verdana"/>
          <w:sz w:val="16"/>
          <w:szCs w:val="16"/>
          <w:lang w:val="en-US"/>
        </w:rPr>
        <w:t xml:space="preserve">and </w:t>
      </w:r>
      <w:r w:rsidRPr="00265F6B">
        <w:rPr>
          <w:rFonts w:ascii="Verdana" w:hAnsi="Verdana"/>
          <w:i/>
          <w:color w:val="000000"/>
          <w:sz w:val="16"/>
          <w:szCs w:val="16"/>
          <w:lang w:val="en-US"/>
        </w:rPr>
        <w:t xml:space="preserve">Case of Fleury et al. v. Haiti, supra </w:t>
      </w:r>
      <w:r w:rsidRPr="00265F6B">
        <w:rPr>
          <w:rFonts w:ascii="Verdana" w:hAnsi="Verdana"/>
          <w:color w:val="000000"/>
          <w:sz w:val="16"/>
          <w:szCs w:val="16"/>
          <w:lang w:val="en-US"/>
        </w:rPr>
        <w:t xml:space="preserve">footnote 12, </w:t>
      </w:r>
      <w:r w:rsidRPr="00265F6B">
        <w:rPr>
          <w:rFonts w:ascii="Verdana" w:hAnsi="Verdana"/>
          <w:i/>
          <w:color w:val="000000"/>
          <w:sz w:val="16"/>
          <w:szCs w:val="16"/>
          <w:lang w:val="en-US"/>
        </w:rPr>
        <w:t>considerandum</w:t>
      </w:r>
      <w:r w:rsidRPr="00265F6B">
        <w:rPr>
          <w:rFonts w:ascii="Verdana" w:hAnsi="Verdana"/>
          <w:color w:val="000000"/>
          <w:sz w:val="16"/>
          <w:szCs w:val="16"/>
          <w:lang w:val="en-US"/>
        </w:rPr>
        <w:t xml:space="preserve"> 4</w:t>
      </w:r>
      <w:r w:rsidRPr="00265F6B">
        <w:rPr>
          <w:rFonts w:ascii="Verdana" w:hAnsi="Verdana"/>
          <w:i/>
          <w:color w:val="000000"/>
          <w:sz w:val="16"/>
          <w:szCs w:val="16"/>
          <w:lang w:val="en-US"/>
        </w:rPr>
        <w:t>.</w:t>
      </w:r>
    </w:p>
  </w:footnote>
  <w:footnote w:id="17">
    <w:p w14:paraId="7CDEC1F4" w14:textId="0C35835B" w:rsidR="001413FA" w:rsidRPr="00265F6B" w:rsidRDefault="001413FA" w:rsidP="005D679B">
      <w:pPr>
        <w:pStyle w:val="FootnoteText"/>
        <w:spacing w:after="80"/>
        <w:jc w:val="both"/>
        <w:rPr>
          <w:rFonts w:ascii="Verdana" w:hAnsi="Verdana"/>
          <w:b/>
          <w:sz w:val="16"/>
          <w:szCs w:val="16"/>
          <w:lang w:val="en-US"/>
        </w:rPr>
      </w:pPr>
      <w:r w:rsidRPr="00265F6B">
        <w:rPr>
          <w:rStyle w:val="FootnoteReference"/>
          <w:rFonts w:ascii="Verdana" w:hAnsi="Verdana"/>
          <w:sz w:val="16"/>
          <w:szCs w:val="16"/>
          <w:lang w:val="en-US"/>
        </w:rPr>
        <w:footnoteRef/>
      </w:r>
      <w:r>
        <w:rPr>
          <w:rFonts w:ascii="Verdana" w:hAnsi="Verdana"/>
          <w:i/>
          <w:sz w:val="16"/>
          <w:szCs w:val="16"/>
          <w:lang w:val="en-US"/>
        </w:rPr>
        <w:t xml:space="preserve"> </w:t>
      </w:r>
      <w:r>
        <w:rPr>
          <w:rFonts w:ascii="Verdana" w:hAnsi="Verdana"/>
          <w:i/>
          <w:sz w:val="16"/>
          <w:szCs w:val="16"/>
          <w:lang w:val="en-US"/>
        </w:rPr>
        <w:tab/>
      </w:r>
      <w:proofErr w:type="gramStart"/>
      <w:r w:rsidRPr="00265F6B">
        <w:rPr>
          <w:rFonts w:ascii="Verdana" w:hAnsi="Verdana"/>
          <w:i/>
          <w:sz w:val="16"/>
          <w:szCs w:val="16"/>
          <w:lang w:val="en-US"/>
        </w:rPr>
        <w:t>Cf.</w:t>
      </w:r>
      <w:r w:rsidRPr="00265F6B">
        <w:rPr>
          <w:rFonts w:ascii="Verdana" w:hAnsi="Verdana"/>
          <w:sz w:val="16"/>
          <w:szCs w:val="16"/>
          <w:lang w:val="en-US"/>
        </w:rPr>
        <w:t xml:space="preserve"> </w:t>
      </w:r>
      <w:r w:rsidRPr="00265F6B">
        <w:rPr>
          <w:rFonts w:ascii="Verdana" w:hAnsi="Verdana"/>
          <w:i/>
          <w:sz w:val="16"/>
          <w:szCs w:val="16"/>
          <w:lang w:val="en-US"/>
        </w:rPr>
        <w:t>Case of</w:t>
      </w:r>
      <w:r w:rsidRPr="00265F6B">
        <w:rPr>
          <w:rFonts w:ascii="Verdana" w:hAnsi="Verdana"/>
          <w:b/>
          <w:i/>
          <w:sz w:val="16"/>
          <w:szCs w:val="16"/>
          <w:lang w:val="en-US"/>
        </w:rPr>
        <w:t xml:space="preserve"> </w:t>
      </w:r>
      <w:r w:rsidRPr="00265F6B">
        <w:rPr>
          <w:rStyle w:val="Strong"/>
          <w:rFonts w:ascii="Verdana" w:hAnsi="Verdana"/>
          <w:b w:val="0"/>
          <w:i/>
          <w:sz w:val="16"/>
          <w:szCs w:val="16"/>
          <w:lang w:val="en-US"/>
        </w:rPr>
        <w:t>Baena Ricardo et al. v. Panama.</w:t>
      </w:r>
      <w:proofErr w:type="gramEnd"/>
      <w:r w:rsidRPr="00265F6B">
        <w:rPr>
          <w:rStyle w:val="Strong"/>
          <w:rFonts w:ascii="Verdana" w:hAnsi="Verdana"/>
          <w:b w:val="0"/>
          <w:i/>
          <w:sz w:val="16"/>
          <w:szCs w:val="16"/>
          <w:lang w:val="en-US"/>
        </w:rPr>
        <w:t xml:space="preserve"> Jurisdiction.</w:t>
      </w:r>
      <w:r w:rsidRPr="00265F6B">
        <w:rPr>
          <w:rStyle w:val="Strong"/>
          <w:rFonts w:ascii="Verdana" w:hAnsi="Verdana"/>
          <w:b w:val="0"/>
          <w:sz w:val="16"/>
          <w:szCs w:val="16"/>
          <w:lang w:val="en-US"/>
        </w:rPr>
        <w:t xml:space="preserve"> Judgment of November 28, 2003. Series C No. 104, </w:t>
      </w:r>
      <w:r w:rsidRPr="00265F6B">
        <w:rPr>
          <w:rStyle w:val="Strong"/>
          <w:rFonts w:ascii="Verdana" w:hAnsi="Verdana"/>
          <w:b w:val="0"/>
          <w:i/>
          <w:sz w:val="16"/>
          <w:szCs w:val="16"/>
          <w:lang w:val="en-US"/>
        </w:rPr>
        <w:t>para.</w:t>
      </w:r>
      <w:r w:rsidRPr="00265F6B">
        <w:rPr>
          <w:rStyle w:val="Strong"/>
          <w:rFonts w:ascii="Verdana" w:hAnsi="Verdana"/>
          <w:b w:val="0"/>
          <w:sz w:val="16"/>
          <w:szCs w:val="16"/>
          <w:lang w:val="en-US"/>
        </w:rPr>
        <w:t xml:space="preserve"> 83 and </w:t>
      </w:r>
      <w:r w:rsidRPr="00265F6B">
        <w:rPr>
          <w:rFonts w:ascii="Verdana" w:hAnsi="Verdana"/>
          <w:i/>
          <w:color w:val="000000"/>
          <w:sz w:val="16"/>
          <w:szCs w:val="16"/>
          <w:lang w:val="en-US"/>
        </w:rPr>
        <w:t xml:space="preserve">Case of Fleury et al. v. Haiti, supra </w:t>
      </w:r>
      <w:r w:rsidRPr="00265F6B">
        <w:rPr>
          <w:rFonts w:ascii="Verdana" w:hAnsi="Verdana"/>
          <w:color w:val="000000"/>
          <w:sz w:val="16"/>
          <w:szCs w:val="16"/>
          <w:lang w:val="en-US"/>
        </w:rPr>
        <w:t>footnote</w:t>
      </w:r>
      <w:r w:rsidRPr="00265F6B">
        <w:rPr>
          <w:rFonts w:ascii="Verdana" w:hAnsi="Verdana"/>
          <w:i/>
          <w:color w:val="000000"/>
          <w:sz w:val="16"/>
          <w:szCs w:val="16"/>
          <w:lang w:val="en-US"/>
        </w:rPr>
        <w:t xml:space="preserve"> </w:t>
      </w:r>
      <w:r w:rsidRPr="00265F6B">
        <w:rPr>
          <w:rFonts w:ascii="Verdana" w:hAnsi="Verdana"/>
          <w:color w:val="000000"/>
          <w:sz w:val="16"/>
          <w:szCs w:val="16"/>
          <w:lang w:val="en-US"/>
        </w:rPr>
        <w:t xml:space="preserve">12, </w:t>
      </w:r>
      <w:proofErr w:type="spellStart"/>
      <w:r w:rsidRPr="00265F6B">
        <w:rPr>
          <w:rFonts w:ascii="Verdana" w:hAnsi="Verdana"/>
          <w:i/>
          <w:color w:val="000000"/>
          <w:sz w:val="16"/>
          <w:szCs w:val="16"/>
          <w:lang w:val="en-US"/>
        </w:rPr>
        <w:t>considerandum</w:t>
      </w:r>
      <w:proofErr w:type="spellEnd"/>
      <w:r w:rsidRPr="00265F6B">
        <w:rPr>
          <w:rFonts w:ascii="Verdana" w:hAnsi="Verdana"/>
          <w:color w:val="000000"/>
          <w:sz w:val="16"/>
          <w:szCs w:val="16"/>
          <w:lang w:val="en-US"/>
        </w:rPr>
        <w:t xml:space="preserve"> 4</w:t>
      </w:r>
      <w:r w:rsidRPr="00265F6B">
        <w:rPr>
          <w:rFonts w:ascii="Verdana" w:hAnsi="Verdana"/>
          <w:i/>
          <w:color w:val="000000"/>
          <w:sz w:val="16"/>
          <w:szCs w:val="16"/>
          <w:lang w:val="en-US"/>
        </w:rPr>
        <w:t>.</w:t>
      </w:r>
    </w:p>
  </w:footnote>
  <w:footnote w:id="18">
    <w:p w14:paraId="3DEF4174" w14:textId="1E406B5E" w:rsidR="001413FA" w:rsidRPr="00265F6B" w:rsidRDefault="001413FA" w:rsidP="005D679B">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proofErr w:type="gramStart"/>
      <w:r w:rsidRPr="00265F6B">
        <w:rPr>
          <w:rFonts w:ascii="Verdana" w:hAnsi="Verdana"/>
          <w:i/>
          <w:sz w:val="16"/>
          <w:szCs w:val="16"/>
          <w:lang w:val="en-US"/>
        </w:rPr>
        <w:t>Cf.</w:t>
      </w:r>
      <w:r w:rsidRPr="00265F6B">
        <w:rPr>
          <w:rFonts w:ascii="Verdana" w:hAnsi="Verdana"/>
          <w:sz w:val="16"/>
          <w:szCs w:val="16"/>
          <w:lang w:val="en-US"/>
        </w:rPr>
        <w:t xml:space="preserve"> </w:t>
      </w:r>
      <w:r w:rsidRPr="00265F6B">
        <w:rPr>
          <w:rFonts w:ascii="Verdana" w:hAnsi="Verdana"/>
          <w:i/>
          <w:sz w:val="16"/>
          <w:szCs w:val="16"/>
          <w:lang w:val="en-US"/>
        </w:rPr>
        <w:t>Case of the Saramaka People v. Suriname.</w:t>
      </w:r>
      <w:proofErr w:type="gramEnd"/>
      <w:r w:rsidRPr="00265F6B">
        <w:rPr>
          <w:rFonts w:ascii="Verdana" w:hAnsi="Verdana"/>
          <w:i/>
          <w:sz w:val="16"/>
          <w:szCs w:val="16"/>
          <w:lang w:val="en-US"/>
        </w:rPr>
        <w:t xml:space="preserve"> Monitoring compliance with judgment.</w:t>
      </w:r>
      <w:r w:rsidRPr="00265F6B">
        <w:rPr>
          <w:rFonts w:ascii="Verdana" w:hAnsi="Verdana"/>
          <w:sz w:val="16"/>
          <w:szCs w:val="16"/>
          <w:lang w:val="en-US"/>
        </w:rPr>
        <w:t xml:space="preserve"> Order of the Inter-American Court of Human Rights of November 23, 2011, </w:t>
      </w:r>
      <w:r w:rsidRPr="00265F6B">
        <w:rPr>
          <w:rFonts w:ascii="Verdana" w:hAnsi="Verdana"/>
          <w:i/>
          <w:sz w:val="16"/>
          <w:szCs w:val="16"/>
          <w:lang w:val="en-US"/>
        </w:rPr>
        <w:t>considerandum</w:t>
      </w:r>
      <w:r w:rsidRPr="00265F6B">
        <w:rPr>
          <w:rFonts w:ascii="Verdana" w:hAnsi="Verdana"/>
          <w:sz w:val="16"/>
          <w:szCs w:val="16"/>
          <w:lang w:val="en-US"/>
        </w:rPr>
        <w:t xml:space="preserve"> 39.</w:t>
      </w:r>
    </w:p>
  </w:footnote>
  <w:footnote w:id="19">
    <w:p w14:paraId="08C39E7D" w14:textId="010C4125" w:rsidR="001413FA" w:rsidRPr="00265F6B" w:rsidRDefault="001413FA" w:rsidP="005D679B">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t>In July 2013, the State indicated that “the amount of US$675,000.00 for pecuniary and non-pecuniary compensation has been paid in full and deposited in the said fund.” The State did not present a voucher for this deposit.</w:t>
      </w:r>
    </w:p>
  </w:footnote>
  <w:footnote w:id="20">
    <w:p w14:paraId="53A3C3CD" w14:textId="31CF433F" w:rsidR="001413FA" w:rsidRPr="00265F6B" w:rsidRDefault="001413FA" w:rsidP="005D679B">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t>The representatives attached a document to their observation brief of August 5, 2013, acknowledging that this measure of reparation had been complied with.</w:t>
      </w:r>
    </w:p>
  </w:footnote>
  <w:footnote w:id="21">
    <w:p w14:paraId="4C9B779F" w14:textId="536FCF05" w:rsidR="001413FA" w:rsidRPr="0049210D" w:rsidRDefault="001413FA" w:rsidP="005D679B">
      <w:pPr>
        <w:pStyle w:val="FootnoteText"/>
        <w:spacing w:after="80"/>
        <w:jc w:val="both"/>
        <w:rPr>
          <w:rFonts w:ascii="Verdana" w:hAnsi="Verdana"/>
          <w:sz w:val="16"/>
          <w:szCs w:val="16"/>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 xml:space="preserve">In this regard, the Court ordered that “the State must report on: whether it has consulted with the </w:t>
      </w:r>
      <w:proofErr w:type="spellStart"/>
      <w:r w:rsidRPr="00E83269">
        <w:rPr>
          <w:rFonts w:ascii="Verdana" w:hAnsi="Verdana"/>
          <w:sz w:val="16"/>
          <w:szCs w:val="16"/>
          <w:lang w:val="en-US"/>
        </w:rPr>
        <w:t>Saramaka</w:t>
      </w:r>
      <w:proofErr w:type="spellEnd"/>
      <w:r w:rsidRPr="00E83269">
        <w:rPr>
          <w:rFonts w:ascii="Verdana" w:hAnsi="Verdana"/>
          <w:sz w:val="16"/>
          <w:szCs w:val="16"/>
          <w:lang w:val="en-US"/>
        </w:rPr>
        <w:t xml:space="preserve"> and ensured their effective participation in those reviews; how it is guaranteeing that the </w:t>
      </w:r>
      <w:proofErr w:type="spellStart"/>
      <w:r w:rsidRPr="00E83269">
        <w:rPr>
          <w:rFonts w:ascii="Verdana" w:hAnsi="Verdana"/>
          <w:sz w:val="16"/>
          <w:szCs w:val="16"/>
          <w:lang w:val="en-US"/>
        </w:rPr>
        <w:t>Saramaka</w:t>
      </w:r>
      <w:proofErr w:type="spellEnd"/>
      <w:r w:rsidRPr="00E83269">
        <w:rPr>
          <w:rFonts w:ascii="Verdana" w:hAnsi="Verdana"/>
          <w:sz w:val="16"/>
          <w:szCs w:val="16"/>
          <w:lang w:val="en-US"/>
        </w:rPr>
        <w:t xml:space="preserve"> will receive reasonable benefits from those concessions; and whether environmental and social impact  assessments have been carried out</w:t>
      </w:r>
      <w:r w:rsidRPr="00E83269">
        <w:rPr>
          <w:rFonts w:ascii="Verdana" w:hAnsi="Verdana" w:cs="Verdana"/>
          <w:sz w:val="16"/>
          <w:szCs w:val="16"/>
          <w:lang w:val="en-US"/>
        </w:rPr>
        <w:t>”.</w:t>
      </w:r>
    </w:p>
  </w:footnote>
  <w:footnote w:id="22">
    <w:p w14:paraId="0348FB0A" w14:textId="4FE79FD9" w:rsidR="001413FA" w:rsidRPr="0049210D" w:rsidRDefault="001413FA" w:rsidP="005D679B">
      <w:pPr>
        <w:pStyle w:val="FootnoteText"/>
        <w:spacing w:after="80"/>
        <w:jc w:val="both"/>
        <w:rPr>
          <w:rFonts w:ascii="Verdana" w:hAnsi="Verdana"/>
          <w:sz w:val="16"/>
          <w:szCs w:val="16"/>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The Court requested information “on the title of land lease apparently granted to the ‘</w:t>
      </w:r>
      <w:proofErr w:type="spellStart"/>
      <w:r w:rsidRPr="00E83269">
        <w:rPr>
          <w:rFonts w:ascii="Verdana" w:hAnsi="Verdana"/>
          <w:sz w:val="16"/>
          <w:szCs w:val="16"/>
          <w:lang w:val="en-US"/>
        </w:rPr>
        <w:t>Anaula</w:t>
      </w:r>
      <w:proofErr w:type="spellEnd"/>
      <w:r w:rsidRPr="00E83269">
        <w:rPr>
          <w:rFonts w:ascii="Verdana" w:hAnsi="Verdana"/>
          <w:sz w:val="16"/>
          <w:szCs w:val="16"/>
          <w:lang w:val="en-US"/>
        </w:rPr>
        <w:t xml:space="preserve"> Nature Resort NV’; on any upgrades to the </w:t>
      </w:r>
      <w:proofErr w:type="spellStart"/>
      <w:r w:rsidRPr="00E83269">
        <w:rPr>
          <w:rFonts w:ascii="Verdana" w:hAnsi="Verdana" w:cs="Verdana"/>
          <w:sz w:val="16"/>
          <w:szCs w:val="16"/>
          <w:lang w:val="en-US"/>
        </w:rPr>
        <w:t>Afobaka</w:t>
      </w:r>
      <w:proofErr w:type="spellEnd"/>
      <w:r w:rsidRPr="00E83269">
        <w:rPr>
          <w:rFonts w:ascii="Verdana" w:hAnsi="Verdana" w:cs="Verdana"/>
          <w:sz w:val="16"/>
          <w:szCs w:val="16"/>
          <w:lang w:val="en-US"/>
        </w:rPr>
        <w:t xml:space="preserve"> road in </w:t>
      </w:r>
      <w:proofErr w:type="spellStart"/>
      <w:r w:rsidRPr="00E83269">
        <w:rPr>
          <w:rFonts w:ascii="Verdana" w:hAnsi="Verdana" w:cs="Verdana"/>
          <w:sz w:val="16"/>
          <w:szCs w:val="16"/>
          <w:lang w:val="en-US"/>
        </w:rPr>
        <w:t>Saramaka</w:t>
      </w:r>
      <w:proofErr w:type="spellEnd"/>
      <w:r w:rsidRPr="00E83269">
        <w:rPr>
          <w:rFonts w:ascii="Verdana" w:hAnsi="Verdana" w:cs="Verdana"/>
          <w:sz w:val="16"/>
          <w:szCs w:val="16"/>
          <w:lang w:val="en-US"/>
        </w:rPr>
        <w:t xml:space="preserve"> territory</w:t>
      </w:r>
      <w:r w:rsidRPr="00E83269">
        <w:rPr>
          <w:rFonts w:ascii="Verdana" w:hAnsi="Verdana"/>
          <w:sz w:val="16"/>
          <w:szCs w:val="16"/>
          <w:lang w:val="en-US"/>
        </w:rPr>
        <w:t xml:space="preserve">”, regarding which the representatives presented information at that time, and “on any other action that could affect the existence, value, use, or enjoyment of the territory of the members of the </w:t>
      </w:r>
      <w:proofErr w:type="spellStart"/>
      <w:r w:rsidRPr="00E83269">
        <w:rPr>
          <w:rFonts w:ascii="Verdana" w:hAnsi="Verdana"/>
          <w:sz w:val="16"/>
          <w:szCs w:val="16"/>
          <w:lang w:val="en-US"/>
        </w:rPr>
        <w:t>Saramaka</w:t>
      </w:r>
      <w:proofErr w:type="spellEnd"/>
      <w:r w:rsidRPr="00E83269">
        <w:rPr>
          <w:rFonts w:ascii="Verdana" w:hAnsi="Verdana"/>
          <w:sz w:val="16"/>
          <w:szCs w:val="16"/>
          <w:lang w:val="en-US"/>
        </w:rPr>
        <w:t xml:space="preserve"> people”.</w:t>
      </w:r>
    </w:p>
  </w:footnote>
  <w:footnote w:id="23">
    <w:p w14:paraId="21D34DCE" w14:textId="13F3AEC7" w:rsidR="001413FA" w:rsidRPr="00265F6B" w:rsidRDefault="001413FA" w:rsidP="005D679B">
      <w:pPr>
        <w:pStyle w:val="FootnoteText"/>
        <w:spacing w:after="80"/>
        <w:jc w:val="both"/>
        <w:rPr>
          <w:rFonts w:ascii="Verdana" w:hAnsi="Verdana"/>
          <w:sz w:val="16"/>
          <w:szCs w:val="16"/>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 xml:space="preserve">Following delivery of the judgment, the representatives of the victims presented information concerning “a mineral exploitation Project that has allegedly been awarded to IAMGOLD, […] and which would have ‘severe effects’ on the subsistence practices, spiritual freedom, and the land and culture of the </w:t>
      </w:r>
      <w:proofErr w:type="spellStart"/>
      <w:r w:rsidRPr="00E83269">
        <w:rPr>
          <w:rFonts w:ascii="Verdana" w:hAnsi="Verdana"/>
          <w:sz w:val="16"/>
          <w:szCs w:val="16"/>
          <w:lang w:val="en-US"/>
        </w:rPr>
        <w:t>Saramaka</w:t>
      </w:r>
      <w:proofErr w:type="spellEnd"/>
      <w:r w:rsidRPr="00E83269">
        <w:rPr>
          <w:rFonts w:ascii="Verdana" w:hAnsi="Verdana"/>
          <w:sz w:val="16"/>
          <w:szCs w:val="16"/>
          <w:lang w:val="en-US"/>
        </w:rPr>
        <w:t xml:space="preserve">. In addition, this Project would affect the viability of the </w:t>
      </w:r>
      <w:proofErr w:type="spellStart"/>
      <w:r w:rsidRPr="00E83269">
        <w:rPr>
          <w:rFonts w:ascii="Verdana" w:hAnsi="Verdana"/>
          <w:sz w:val="16"/>
          <w:szCs w:val="16"/>
          <w:lang w:val="en-US"/>
        </w:rPr>
        <w:t>Saramaka</w:t>
      </w:r>
      <w:proofErr w:type="spellEnd"/>
      <w:r w:rsidRPr="00E83269">
        <w:rPr>
          <w:rFonts w:ascii="Verdana" w:hAnsi="Verdana"/>
          <w:sz w:val="16"/>
          <w:szCs w:val="16"/>
          <w:lang w:val="en-US"/>
        </w:rPr>
        <w:t xml:space="preserve"> territory for present and future generations…</w:t>
      </w:r>
      <w:proofErr w:type="gramStart"/>
      <w:r w:rsidRPr="00E83269">
        <w:rPr>
          <w:rFonts w:ascii="Verdana" w:hAnsi="Verdana"/>
          <w:sz w:val="16"/>
          <w:szCs w:val="16"/>
          <w:lang w:val="en-US"/>
        </w:rPr>
        <w:t>”.</w:t>
      </w:r>
      <w:proofErr w:type="gramEnd"/>
      <w:r w:rsidRPr="00E83269">
        <w:rPr>
          <w:rFonts w:ascii="Verdana" w:hAnsi="Verdana"/>
          <w:sz w:val="16"/>
          <w:szCs w:val="16"/>
          <w:lang w:val="en-US"/>
        </w:rPr>
        <w:t xml:space="preserve"> </w:t>
      </w:r>
      <w:r w:rsidRPr="00E83269">
        <w:rPr>
          <w:rFonts w:ascii="Verdana" w:hAnsi="Verdana"/>
          <w:i/>
          <w:sz w:val="16"/>
          <w:szCs w:val="16"/>
          <w:lang w:val="en-US"/>
        </w:rPr>
        <w:t>Cf. Case of the Saramaka People v. Suriname</w:t>
      </w:r>
      <w:r w:rsidRPr="00E83269">
        <w:rPr>
          <w:rFonts w:ascii="Verdana" w:hAnsi="Verdana"/>
          <w:sz w:val="16"/>
          <w:szCs w:val="16"/>
          <w:lang w:val="en-US"/>
        </w:rPr>
        <w:t xml:space="preserve">. </w:t>
      </w:r>
      <w:r w:rsidRPr="00E83269">
        <w:rPr>
          <w:rFonts w:ascii="Verdana" w:hAnsi="Verdana"/>
          <w:i/>
          <w:sz w:val="16"/>
          <w:szCs w:val="16"/>
          <w:lang w:val="en-US"/>
        </w:rPr>
        <w:t>Request for provisional measures and Monitoring compliance with judgment.</w:t>
      </w:r>
      <w:r w:rsidRPr="00E83269">
        <w:rPr>
          <w:rFonts w:ascii="Verdana" w:hAnsi="Verdana"/>
          <w:sz w:val="16"/>
          <w:szCs w:val="16"/>
          <w:lang w:val="en-US"/>
        </w:rPr>
        <w:t xml:space="preserve"> Order of the Inter-American Court of Human Rights of September 4, 2013, para. 18. The representatives requested provisional measures. However, the Court did not grant these in the said order; rather, it indicated that this information would be assessed in the context of monitoring compliance with the judgment.</w:t>
      </w:r>
      <w:r w:rsidRPr="00265F6B">
        <w:rPr>
          <w:rFonts w:ascii="Verdana" w:hAnsi="Verdana"/>
          <w:sz w:val="16"/>
          <w:szCs w:val="16"/>
          <w:lang w:val="en-US"/>
        </w:rPr>
        <w:t xml:space="preserve"> </w:t>
      </w:r>
    </w:p>
  </w:footnote>
  <w:footnote w:id="24">
    <w:p w14:paraId="76953F7D" w14:textId="447C6E0F" w:rsidR="001413FA" w:rsidRPr="00CE0248" w:rsidRDefault="001413FA" w:rsidP="005D679B">
      <w:pPr>
        <w:pStyle w:val="FootnoteText"/>
        <w:spacing w:after="80"/>
        <w:jc w:val="both"/>
        <w:rPr>
          <w:rFonts w:ascii="Verdana" w:hAnsi="Verdana"/>
          <w:sz w:val="16"/>
          <w:szCs w:val="16"/>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 xml:space="preserve">Similarly, in </w:t>
      </w:r>
      <w:proofErr w:type="spellStart"/>
      <w:r w:rsidRPr="00E83269">
        <w:rPr>
          <w:rFonts w:ascii="Verdana" w:hAnsi="Verdana"/>
          <w:i/>
          <w:sz w:val="16"/>
          <w:szCs w:val="16"/>
          <w:lang w:val="en-US"/>
        </w:rPr>
        <w:t>considerandum</w:t>
      </w:r>
      <w:proofErr w:type="spellEnd"/>
      <w:r w:rsidRPr="00E83269">
        <w:rPr>
          <w:rFonts w:ascii="Verdana" w:hAnsi="Verdana"/>
          <w:sz w:val="16"/>
          <w:szCs w:val="16"/>
          <w:lang w:val="en-US"/>
        </w:rPr>
        <w:t xml:space="preserve"> 25 of the order of 2013, the Court required “the State must forward the Court a complete, detailed and specific report on the alleged award of the mining concession on the </w:t>
      </w:r>
      <w:proofErr w:type="spellStart"/>
      <w:r w:rsidRPr="00E83269">
        <w:rPr>
          <w:rFonts w:ascii="Verdana" w:hAnsi="Verdana"/>
          <w:sz w:val="16"/>
          <w:szCs w:val="16"/>
          <w:lang w:val="en-US"/>
        </w:rPr>
        <w:t>Saramaka</w:t>
      </w:r>
      <w:proofErr w:type="spellEnd"/>
      <w:r w:rsidRPr="00E83269">
        <w:rPr>
          <w:rFonts w:ascii="Verdana" w:hAnsi="Verdana"/>
          <w:sz w:val="16"/>
          <w:szCs w:val="16"/>
          <w:lang w:val="en-US"/>
        </w:rPr>
        <w:t xml:space="preserve"> territory to IAMGOLD, in which it must indicate: (a) the scope and content of the said concession, (b) whether the </w:t>
      </w:r>
      <w:proofErr w:type="spellStart"/>
      <w:r w:rsidRPr="00E83269">
        <w:rPr>
          <w:rFonts w:ascii="Verdana" w:hAnsi="Verdana"/>
          <w:sz w:val="16"/>
          <w:szCs w:val="16"/>
          <w:lang w:val="en-US"/>
        </w:rPr>
        <w:t>Saramaka</w:t>
      </w:r>
      <w:proofErr w:type="spellEnd"/>
      <w:r w:rsidRPr="00E83269">
        <w:rPr>
          <w:rFonts w:ascii="Verdana" w:hAnsi="Verdana"/>
          <w:sz w:val="16"/>
          <w:szCs w:val="16"/>
          <w:lang w:val="en-US"/>
        </w:rPr>
        <w:t xml:space="preserve"> People was consulted and what measures were taken to this end; (c) whether the said concession was preceded by environmental and social assessment studies, and (d) if applicable, the benefits for the </w:t>
      </w:r>
      <w:proofErr w:type="spellStart"/>
      <w:r w:rsidRPr="00E83269">
        <w:rPr>
          <w:rFonts w:ascii="Verdana" w:hAnsi="Verdana"/>
          <w:sz w:val="16"/>
          <w:szCs w:val="16"/>
          <w:lang w:val="en-US"/>
        </w:rPr>
        <w:t>Saramaka</w:t>
      </w:r>
      <w:proofErr w:type="spellEnd"/>
      <w:r w:rsidRPr="00E83269">
        <w:rPr>
          <w:rFonts w:ascii="Verdana" w:hAnsi="Verdana"/>
          <w:sz w:val="16"/>
          <w:szCs w:val="16"/>
          <w:lang w:val="en-US"/>
        </w:rPr>
        <w:t xml:space="preserve"> People; all of this pursuant to operative paragraphs 5, 7, 8 and 9 of the Judgement”.</w:t>
      </w:r>
    </w:p>
  </w:footnote>
  <w:footnote w:id="25">
    <w:p w14:paraId="56B1977E" w14:textId="3582185C" w:rsidR="001413FA" w:rsidRPr="00265F6B" w:rsidRDefault="001413FA" w:rsidP="00583AEB">
      <w:pPr>
        <w:pStyle w:val="FootnoteText"/>
        <w:spacing w:after="80"/>
        <w:jc w:val="both"/>
        <w:rPr>
          <w:rFonts w:ascii="Verdana" w:hAnsi="Verdana"/>
          <w:sz w:val="16"/>
          <w:szCs w:val="16"/>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According to the judgment, “</w:t>
      </w:r>
      <w:r w:rsidRPr="00E83269">
        <w:rPr>
          <w:rFonts w:ascii="Verdana" w:eastAsiaTheme="minorHAnsi" w:hAnsi="Verdana" w:cs="Verdana"/>
          <w:sz w:val="16"/>
          <w:szCs w:val="16"/>
          <w:lang w:val="en-US"/>
        </w:rPr>
        <w:t xml:space="preserve">Article 21 of the Convention does not </w:t>
      </w:r>
      <w:r w:rsidRPr="00E83269">
        <w:rPr>
          <w:rFonts w:ascii="Verdana" w:eastAsiaTheme="minorHAnsi" w:hAnsi="Verdana" w:cs="Verdana"/>
          <w:i/>
          <w:iCs/>
          <w:sz w:val="16"/>
          <w:szCs w:val="16"/>
          <w:lang w:val="en-US"/>
        </w:rPr>
        <w:t xml:space="preserve">per se </w:t>
      </w:r>
      <w:r w:rsidRPr="00E83269">
        <w:rPr>
          <w:rFonts w:ascii="Verdana" w:eastAsiaTheme="minorHAnsi" w:hAnsi="Verdana" w:cs="Verdana"/>
          <w:sz w:val="16"/>
          <w:szCs w:val="16"/>
          <w:lang w:val="en-US"/>
        </w:rPr>
        <w:t>preclude the issuance of concessions for the exploration and exploitation of natural resources in indigenous or tribal territories. Nonetheless, if the State wants to restrict, legitimately, the Saramakas’ right to communal property, it must consult with the communities affected by the development or investment project planned within territories which they have traditionally occupied, reasonably share the benefits with them, and complete prior assessments of the environmental and social impact of the project.</w:t>
      </w:r>
      <w:r w:rsidRPr="00E83269">
        <w:rPr>
          <w:rFonts w:ascii="Verdana" w:hAnsi="Verdana"/>
          <w:sz w:val="16"/>
          <w:szCs w:val="16"/>
          <w:lang w:val="en-US"/>
        </w:rPr>
        <w:t xml:space="preserve">” </w:t>
      </w:r>
      <w:r w:rsidRPr="00E83269">
        <w:rPr>
          <w:rFonts w:ascii="Verdana" w:hAnsi="Verdana"/>
          <w:i/>
          <w:sz w:val="16"/>
          <w:szCs w:val="16"/>
          <w:lang w:val="en-US"/>
        </w:rPr>
        <w:t>Cf. Case of the Saramaka People v. Suriname, supra</w:t>
      </w:r>
      <w:r w:rsidRPr="00E83269">
        <w:rPr>
          <w:rFonts w:ascii="Verdana" w:hAnsi="Verdana"/>
          <w:sz w:val="16"/>
          <w:szCs w:val="16"/>
          <w:lang w:val="en-US"/>
        </w:rPr>
        <w:t xml:space="preserve"> footnote 1, para. 143.</w:t>
      </w:r>
      <w:r w:rsidRPr="00265F6B">
        <w:rPr>
          <w:rFonts w:ascii="Verdana" w:hAnsi="Verdana"/>
          <w:sz w:val="16"/>
          <w:szCs w:val="16"/>
          <w:lang w:val="en-US"/>
        </w:rPr>
        <w:t xml:space="preserve"> </w:t>
      </w:r>
    </w:p>
  </w:footnote>
  <w:footnote w:id="26">
    <w:p w14:paraId="760DAAFD" w14:textId="1378EE9F" w:rsidR="001413FA" w:rsidRPr="001F3A09" w:rsidRDefault="001413FA" w:rsidP="005D679B">
      <w:pPr>
        <w:pStyle w:val="FootnoteText"/>
        <w:spacing w:after="80"/>
        <w:jc w:val="both"/>
        <w:rPr>
          <w:rFonts w:ascii="Verdana" w:hAnsi="Verdana"/>
          <w:sz w:val="16"/>
          <w:szCs w:val="16"/>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 xml:space="preserve">The representatives attached a letter to their brief of August 5, 2013, indicating that it bore the signature of “the traditional authorities” of the Saramaka people. The letter states, </w:t>
      </w:r>
      <w:r w:rsidRPr="00E83269">
        <w:rPr>
          <w:rFonts w:ascii="Verdana" w:hAnsi="Verdana"/>
          <w:i/>
          <w:sz w:val="16"/>
          <w:szCs w:val="16"/>
          <w:lang w:val="en-US"/>
        </w:rPr>
        <w:t>inter alia</w:t>
      </w:r>
      <w:r w:rsidRPr="00E83269">
        <w:rPr>
          <w:rFonts w:ascii="Verdana" w:hAnsi="Verdana"/>
          <w:sz w:val="16"/>
          <w:szCs w:val="16"/>
          <w:lang w:val="en-US"/>
        </w:rPr>
        <w:t>, that “we are united in our position that implementation of this judgement is urgently required because our rights remain unrecognized by the State and the State continues to act inconsistently with those rights to this day; the granting of additional concession rights in our territory to IAMGOLD being the most recent example”.</w:t>
      </w:r>
      <w:r w:rsidRPr="001F3A09">
        <w:rPr>
          <w:rFonts w:ascii="Verdana" w:hAnsi="Verdana"/>
          <w:sz w:val="16"/>
          <w:szCs w:val="16"/>
          <w:lang w:val="en-US"/>
        </w:rPr>
        <w:t xml:space="preserve"> </w:t>
      </w:r>
    </w:p>
  </w:footnote>
  <w:footnote w:id="27">
    <w:p w14:paraId="0565B389" w14:textId="457FEBDE" w:rsidR="001413FA" w:rsidRPr="00265F6B" w:rsidRDefault="001413FA" w:rsidP="005D679B">
      <w:pPr>
        <w:pStyle w:val="FootnoteText"/>
        <w:spacing w:after="80"/>
        <w:jc w:val="both"/>
        <w:rPr>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 xml:space="preserve">The representatives’ brief of March 10, 2014, provided a link to the press release published in the “Financial Post” of April 15, 2013, entitled “Iamgold’s Rosebel mine expansion approved by Suriname, in which the CEO of IAMGOLD declared that “[a]ccess to new concessions creates ample opportunity to add to the life of the Rosebel Gold Mine and to find softer ore which can be processed at lower cost.” In addition, the press release indicated that “[t]he agreement is for an expansion of the operation and anything in the new area qualifies for a lower power rate.” The article is available at: </w:t>
      </w:r>
      <w:hyperlink r:id="rId4" w:history="1">
        <w:r w:rsidRPr="00E83269">
          <w:rPr>
            <w:rStyle w:val="Hyperlink"/>
            <w:rFonts w:ascii="Verdana" w:hAnsi="Verdana"/>
            <w:sz w:val="16"/>
            <w:szCs w:val="16"/>
            <w:lang w:val="en-US"/>
          </w:rPr>
          <w:t>http://business.financialpost.com/ investing/</w:t>
        </w:r>
        <w:proofErr w:type="spellStart"/>
        <w:r w:rsidRPr="00E83269">
          <w:rPr>
            <w:rStyle w:val="Hyperlink"/>
            <w:rFonts w:ascii="Verdana" w:hAnsi="Verdana"/>
            <w:sz w:val="16"/>
            <w:szCs w:val="16"/>
            <w:lang w:val="en-US"/>
          </w:rPr>
          <w:t>iamgolds</w:t>
        </w:r>
        <w:proofErr w:type="spellEnd"/>
        <w:r w:rsidRPr="00E83269">
          <w:rPr>
            <w:rStyle w:val="Hyperlink"/>
            <w:rFonts w:ascii="Verdana" w:hAnsi="Verdana"/>
            <w:sz w:val="16"/>
            <w:szCs w:val="16"/>
            <w:lang w:val="en-US"/>
          </w:rPr>
          <w:t>-</w:t>
        </w:r>
        <w:proofErr w:type="spellStart"/>
        <w:r w:rsidRPr="00E83269">
          <w:rPr>
            <w:rStyle w:val="Hyperlink"/>
            <w:rFonts w:ascii="Verdana" w:hAnsi="Verdana"/>
            <w:sz w:val="16"/>
            <w:szCs w:val="16"/>
            <w:lang w:val="en-US"/>
          </w:rPr>
          <w:t>rosebel</w:t>
        </w:r>
        <w:proofErr w:type="spellEnd"/>
        <w:r w:rsidRPr="00E83269">
          <w:rPr>
            <w:rStyle w:val="Hyperlink"/>
            <w:rFonts w:ascii="Verdana" w:hAnsi="Verdana"/>
            <w:sz w:val="16"/>
            <w:szCs w:val="16"/>
            <w:lang w:val="en-US"/>
          </w:rPr>
          <w:t>-mine-expansion-approved-by-</w:t>
        </w:r>
        <w:proofErr w:type="spellStart"/>
        <w:r w:rsidRPr="00E83269">
          <w:rPr>
            <w:rStyle w:val="Hyperlink"/>
            <w:rFonts w:ascii="Verdana" w:hAnsi="Verdana"/>
            <w:sz w:val="16"/>
            <w:szCs w:val="16"/>
            <w:lang w:val="en-US"/>
          </w:rPr>
          <w:t>suriname</w:t>
        </w:r>
        <w:proofErr w:type="spellEnd"/>
      </w:hyperlink>
      <w:r w:rsidRPr="00E83269">
        <w:rPr>
          <w:rStyle w:val="Hyperlink"/>
          <w:rFonts w:ascii="Verdana" w:hAnsi="Verdana"/>
          <w:sz w:val="16"/>
          <w:szCs w:val="16"/>
          <w:lang w:val="en-US"/>
        </w:rPr>
        <w:t>.</w:t>
      </w:r>
      <w:r w:rsidRPr="00265F6B">
        <w:rPr>
          <w:rFonts w:ascii="Verdana" w:hAnsi="Verdana"/>
          <w:sz w:val="16"/>
          <w:szCs w:val="16"/>
          <w:lang w:val="en-US"/>
        </w:rPr>
        <w:t xml:space="preserve"> </w:t>
      </w:r>
    </w:p>
  </w:footnote>
  <w:footnote w:id="28">
    <w:p w14:paraId="29A5398E" w14:textId="4144B8D0" w:rsidR="001413FA" w:rsidRPr="00265F6B" w:rsidRDefault="001413FA" w:rsidP="005D679B">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i/>
          <w:sz w:val="16"/>
          <w:szCs w:val="16"/>
          <w:lang w:val="en-US"/>
        </w:rPr>
        <w:t>Cf. Case of the Saramaka People v. Suriname. Monitoring compliance with judgment.</w:t>
      </w:r>
      <w:r w:rsidRPr="00265F6B">
        <w:rPr>
          <w:rFonts w:ascii="Verdana" w:hAnsi="Verdana"/>
          <w:sz w:val="16"/>
          <w:szCs w:val="16"/>
          <w:lang w:val="en-US"/>
        </w:rPr>
        <w:t xml:space="preserve"> Order of the Inter-American Court of Human Rights of November 23, 2011, </w:t>
      </w:r>
      <w:r w:rsidRPr="00265F6B">
        <w:rPr>
          <w:rFonts w:ascii="Verdana" w:hAnsi="Verdana"/>
          <w:i/>
          <w:sz w:val="16"/>
          <w:szCs w:val="16"/>
          <w:lang w:val="en-US"/>
        </w:rPr>
        <w:t>considerandum</w:t>
      </w:r>
      <w:r w:rsidRPr="00265F6B">
        <w:rPr>
          <w:rFonts w:ascii="Verdana" w:hAnsi="Verdana"/>
          <w:sz w:val="16"/>
          <w:szCs w:val="16"/>
          <w:lang w:val="en-US"/>
        </w:rPr>
        <w:t xml:space="preserve"> 19.</w:t>
      </w:r>
    </w:p>
  </w:footnote>
  <w:footnote w:id="29">
    <w:p w14:paraId="1C8DD209" w14:textId="78784AF1" w:rsidR="001413FA" w:rsidRPr="00A62687" w:rsidRDefault="001413FA" w:rsidP="005D679B">
      <w:pPr>
        <w:pStyle w:val="FootnoteText"/>
        <w:spacing w:after="80"/>
        <w:jc w:val="both"/>
        <w:rPr>
          <w:rFonts w:ascii="Verdana" w:hAnsi="Verdana"/>
          <w:sz w:val="16"/>
          <w:szCs w:val="16"/>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In the Court’s 2011 order, regarding the ninth operative paragraph, the State had indicated that the information “was ‘not yet available’” at that time. Regarding the sixth, seventh, eighth and tenth operative paragraphs, the State merely advised that the purpose of the project “Support for the Sustainable Development of the Interior” was “to ‘provide the building blocks for […] the legal framework [and] collective rights’”; indicating, subsequently, that “on December 15, 2010, the SSDI project was ‘officially […] stop[</w:t>
      </w:r>
      <w:proofErr w:type="spellStart"/>
      <w:r w:rsidRPr="00E83269">
        <w:rPr>
          <w:rFonts w:ascii="Verdana" w:hAnsi="Verdana"/>
          <w:sz w:val="16"/>
          <w:szCs w:val="16"/>
          <w:lang w:val="en-US"/>
        </w:rPr>
        <w:t>ped</w:t>
      </w:r>
      <w:proofErr w:type="spellEnd"/>
      <w:r w:rsidRPr="00E83269">
        <w:rPr>
          <w:rFonts w:ascii="Verdana" w:hAnsi="Verdana"/>
          <w:sz w:val="16"/>
          <w:szCs w:val="16"/>
          <w:lang w:val="en-US"/>
        </w:rPr>
        <w:t>]’”.</w:t>
      </w:r>
    </w:p>
  </w:footnote>
  <w:footnote w:id="30">
    <w:p w14:paraId="775B724F" w14:textId="3EE510DE" w:rsidR="001413FA" w:rsidRPr="00265F6B" w:rsidRDefault="001413FA" w:rsidP="005D679B">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i/>
          <w:sz w:val="16"/>
          <w:szCs w:val="16"/>
          <w:lang w:val="en-US"/>
        </w:rPr>
        <w:t>Cf.</w:t>
      </w:r>
      <w:r w:rsidRPr="00265F6B">
        <w:rPr>
          <w:rFonts w:ascii="Verdana" w:hAnsi="Verdana"/>
          <w:sz w:val="16"/>
          <w:szCs w:val="16"/>
          <w:lang w:val="en-US"/>
        </w:rPr>
        <w:t xml:space="preserve"> International Responsibility for the Promulgation and Enforcement of Laws in Violation of the Convention (Arts. 1 and 2 American Convention on Human Rights). Advisory Opinion OC-14/94 of December 9, 1994. Series A No. 14, para. 35, and </w:t>
      </w:r>
      <w:r w:rsidRPr="00265F6B">
        <w:rPr>
          <w:rFonts w:ascii="Verdana" w:hAnsi="Verdana"/>
          <w:i/>
          <w:sz w:val="16"/>
          <w:szCs w:val="16"/>
          <w:lang w:val="en-US"/>
        </w:rPr>
        <w:t>Case of López Lone et al. v. Honduras. Monitoring compliance with judgment.</w:t>
      </w:r>
      <w:r w:rsidRPr="00265F6B">
        <w:rPr>
          <w:rFonts w:ascii="Verdana" w:hAnsi="Verdana"/>
          <w:sz w:val="16"/>
          <w:szCs w:val="16"/>
          <w:lang w:val="en-US"/>
        </w:rPr>
        <w:t xml:space="preserve"> Order of the Inter-American Court of Human Rights </w:t>
      </w:r>
      <w:r>
        <w:rPr>
          <w:rFonts w:ascii="Verdana" w:hAnsi="Verdana"/>
          <w:sz w:val="16"/>
          <w:szCs w:val="16"/>
          <w:lang w:val="en-US"/>
        </w:rPr>
        <w:t xml:space="preserve">of </w:t>
      </w:r>
      <w:r w:rsidRPr="00265F6B">
        <w:rPr>
          <w:rFonts w:ascii="Verdana" w:hAnsi="Verdana"/>
          <w:sz w:val="16"/>
          <w:szCs w:val="16"/>
          <w:lang w:val="en-US"/>
        </w:rPr>
        <w:t xml:space="preserve">May 25, 2017, </w:t>
      </w:r>
      <w:r w:rsidRPr="00265F6B">
        <w:rPr>
          <w:rFonts w:ascii="Verdana" w:hAnsi="Verdana"/>
          <w:i/>
          <w:sz w:val="16"/>
          <w:szCs w:val="16"/>
          <w:lang w:val="en-US"/>
        </w:rPr>
        <w:t>considerandum</w:t>
      </w:r>
      <w:r w:rsidRPr="00265F6B">
        <w:rPr>
          <w:rFonts w:ascii="Verdana" w:hAnsi="Verdana"/>
          <w:sz w:val="16"/>
          <w:szCs w:val="16"/>
          <w:lang w:val="en-US"/>
        </w:rPr>
        <w:t xml:space="preserve"> 15.</w:t>
      </w:r>
    </w:p>
  </w:footnote>
  <w:footnote w:id="31">
    <w:p w14:paraId="0505D269" w14:textId="4BD13FB0" w:rsidR="001413FA" w:rsidRPr="00265F6B" w:rsidRDefault="001413FA" w:rsidP="009A204C">
      <w:pPr>
        <w:pStyle w:val="BodyText2"/>
        <w:tabs>
          <w:tab w:val="left" w:pos="0"/>
        </w:tabs>
        <w:spacing w:after="80" w:line="240" w:lineRule="auto"/>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ab/>
      </w:r>
      <w:r w:rsidRPr="00265F6B">
        <w:rPr>
          <w:rFonts w:ascii="Verdana" w:hAnsi="Verdana"/>
          <w:i/>
          <w:sz w:val="16"/>
          <w:szCs w:val="16"/>
          <w:lang w:val="en-US"/>
        </w:rPr>
        <w:t>Cf. Case of Ivcher Bronstein v. Peru. Jurisdiction.</w:t>
      </w:r>
      <w:r w:rsidRPr="00265F6B">
        <w:rPr>
          <w:rFonts w:ascii="Verdana" w:hAnsi="Verdana"/>
          <w:sz w:val="16"/>
          <w:szCs w:val="16"/>
          <w:lang w:val="en-US"/>
        </w:rPr>
        <w:t xml:space="preserve"> Judgment of September 24, 1999. Series C No. 54, </w:t>
      </w:r>
      <w:r w:rsidRPr="00265F6B">
        <w:rPr>
          <w:rFonts w:ascii="Verdana" w:hAnsi="Verdana"/>
          <w:i/>
          <w:sz w:val="16"/>
          <w:szCs w:val="16"/>
          <w:lang w:val="en-US"/>
        </w:rPr>
        <w:t>para.</w:t>
      </w:r>
      <w:r w:rsidRPr="00265F6B">
        <w:rPr>
          <w:rFonts w:ascii="Verdana" w:hAnsi="Verdana"/>
          <w:sz w:val="16"/>
          <w:szCs w:val="16"/>
          <w:lang w:val="en-US"/>
        </w:rPr>
        <w:t xml:space="preserve"> 37, and</w:t>
      </w:r>
      <w:r w:rsidRPr="00265F6B">
        <w:rPr>
          <w:rFonts w:ascii="Verdana" w:hAnsi="Verdana"/>
          <w:i/>
          <w:sz w:val="16"/>
          <w:szCs w:val="16"/>
          <w:lang w:val="en-US"/>
        </w:rPr>
        <w:t xml:space="preserve"> Case of Fontevecchia and D’Amico v. Argentina. Monitoring compliance with judgment. </w:t>
      </w:r>
      <w:r w:rsidRPr="00265F6B">
        <w:rPr>
          <w:rFonts w:ascii="Verdana" w:hAnsi="Verdana"/>
          <w:sz w:val="16"/>
          <w:szCs w:val="16"/>
          <w:lang w:val="en-US"/>
        </w:rPr>
        <w:t xml:space="preserve">Order of the Inter-American Court of Human Rights of October 18, 2017, </w:t>
      </w:r>
      <w:r w:rsidRPr="00265F6B">
        <w:rPr>
          <w:rFonts w:ascii="Verdana" w:hAnsi="Verdana"/>
          <w:i/>
          <w:sz w:val="16"/>
          <w:szCs w:val="16"/>
          <w:lang w:val="en-US"/>
        </w:rPr>
        <w:t>considerandum</w:t>
      </w:r>
      <w:r w:rsidRPr="00265F6B">
        <w:rPr>
          <w:rFonts w:ascii="Verdana" w:hAnsi="Verdana"/>
          <w:sz w:val="16"/>
          <w:szCs w:val="16"/>
          <w:lang w:val="en-US"/>
        </w:rPr>
        <w:t xml:space="preserve"> 14.</w:t>
      </w:r>
    </w:p>
  </w:footnote>
  <w:footnote w:id="32">
    <w:p w14:paraId="29E51908" w14:textId="0ADCC100" w:rsidR="001413FA" w:rsidRPr="00265F6B" w:rsidRDefault="001413FA" w:rsidP="005D679B">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i/>
          <w:sz w:val="16"/>
          <w:szCs w:val="16"/>
          <w:lang w:val="en-US"/>
        </w:rPr>
        <w:t xml:space="preserve">Cf. Case of Fontevecchia and D’Amico v. Argentina, supra footnote </w:t>
      </w:r>
      <w:r w:rsidRPr="00265F6B">
        <w:rPr>
          <w:rFonts w:ascii="Verdana" w:hAnsi="Verdana"/>
          <w:sz w:val="16"/>
          <w:szCs w:val="16"/>
          <w:lang w:val="en-US"/>
        </w:rPr>
        <w:t xml:space="preserve">31, </w:t>
      </w:r>
      <w:r w:rsidRPr="00265F6B">
        <w:rPr>
          <w:rFonts w:ascii="Verdana" w:hAnsi="Verdana"/>
          <w:i/>
          <w:sz w:val="16"/>
          <w:szCs w:val="16"/>
          <w:lang w:val="en-US"/>
        </w:rPr>
        <w:t>considerandum</w:t>
      </w:r>
      <w:r w:rsidRPr="00265F6B">
        <w:rPr>
          <w:rFonts w:ascii="Verdana" w:hAnsi="Verdana"/>
          <w:sz w:val="16"/>
          <w:szCs w:val="16"/>
          <w:lang w:val="en-US"/>
        </w:rPr>
        <w:t xml:space="preserve"> 14.</w:t>
      </w:r>
    </w:p>
  </w:footnote>
  <w:footnote w:id="33">
    <w:p w14:paraId="676078BC" w14:textId="439E8F87" w:rsidR="001413FA" w:rsidRPr="005666D9" w:rsidRDefault="001413FA" w:rsidP="005D679B">
      <w:pPr>
        <w:pStyle w:val="FootnoteText"/>
        <w:spacing w:after="80"/>
        <w:jc w:val="both"/>
        <w:rPr>
          <w:rFonts w:ascii="Verdana" w:hAnsi="Verdana"/>
          <w:sz w:val="16"/>
          <w:szCs w:val="16"/>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 xml:space="preserve">According to the State, this crisis was generated by the “passing away of the Paramount Chief of the </w:t>
      </w:r>
      <w:proofErr w:type="spellStart"/>
      <w:r w:rsidRPr="00E83269">
        <w:rPr>
          <w:rFonts w:ascii="Verdana" w:hAnsi="Verdana"/>
          <w:sz w:val="16"/>
          <w:szCs w:val="16"/>
          <w:lang w:val="en-US"/>
        </w:rPr>
        <w:t>Saramaka</w:t>
      </w:r>
      <w:proofErr w:type="spellEnd"/>
      <w:r w:rsidRPr="00E83269">
        <w:rPr>
          <w:rFonts w:ascii="Verdana" w:hAnsi="Verdana"/>
          <w:sz w:val="16"/>
          <w:szCs w:val="16"/>
          <w:lang w:val="en-US"/>
        </w:rPr>
        <w:t xml:space="preserve"> [… as a result of] which each of the 12 tribes have an own opinion about the succession of a new tribal leader”.</w:t>
      </w:r>
    </w:p>
  </w:footnote>
  <w:footnote w:id="34">
    <w:p w14:paraId="388135DF" w14:textId="6C7AE5B1" w:rsidR="001413FA" w:rsidRPr="00106EE7" w:rsidRDefault="001413FA" w:rsidP="005D679B">
      <w:pPr>
        <w:pStyle w:val="FootnoteText"/>
        <w:spacing w:after="80"/>
        <w:jc w:val="both"/>
        <w:rPr>
          <w:rFonts w:ascii="Verdana" w:hAnsi="Verdana"/>
          <w:b/>
          <w:sz w:val="16"/>
          <w:szCs w:val="16"/>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 xml:space="preserve">Attached to this report, the State provided a letter addressed to the President of Suriname dated June 24, 2013, supposedly signed by representatives of 18 clans of the Saramaka people; however, it does not bear their signatures. The letter states, </w:t>
      </w:r>
      <w:r w:rsidRPr="00E83269">
        <w:rPr>
          <w:rFonts w:ascii="Verdana" w:hAnsi="Verdana"/>
          <w:i/>
          <w:sz w:val="16"/>
          <w:szCs w:val="16"/>
          <w:lang w:val="en-US"/>
        </w:rPr>
        <w:t>inter alia</w:t>
      </w:r>
      <w:r w:rsidRPr="00E83269">
        <w:rPr>
          <w:rFonts w:ascii="Verdana" w:hAnsi="Verdana"/>
          <w:sz w:val="16"/>
          <w:szCs w:val="16"/>
          <w:lang w:val="en-US"/>
        </w:rPr>
        <w:t>, that “[w]hen trying to find solutions to the land rights issue in general and the implementation of the Sa[r]</w:t>
      </w:r>
      <w:proofErr w:type="spellStart"/>
      <w:r w:rsidRPr="00E83269">
        <w:rPr>
          <w:rFonts w:ascii="Verdana" w:hAnsi="Verdana"/>
          <w:sz w:val="16"/>
          <w:szCs w:val="16"/>
          <w:lang w:val="en-US"/>
        </w:rPr>
        <w:t>amaka</w:t>
      </w:r>
      <w:proofErr w:type="spellEnd"/>
      <w:r w:rsidRPr="00E83269">
        <w:rPr>
          <w:rFonts w:ascii="Verdana" w:hAnsi="Verdana"/>
          <w:sz w:val="16"/>
          <w:szCs w:val="16"/>
          <w:lang w:val="en-US"/>
        </w:rPr>
        <w:t xml:space="preserve"> judgement in particular, it is striking that not all Sa[r]</w:t>
      </w:r>
      <w:proofErr w:type="spellStart"/>
      <w:r w:rsidRPr="00E83269">
        <w:rPr>
          <w:rFonts w:ascii="Verdana" w:hAnsi="Verdana"/>
          <w:sz w:val="16"/>
          <w:szCs w:val="16"/>
          <w:lang w:val="en-US"/>
        </w:rPr>
        <w:t>amaka</w:t>
      </w:r>
      <w:proofErr w:type="spellEnd"/>
      <w:r w:rsidRPr="00E83269">
        <w:rPr>
          <w:rFonts w:ascii="Verdana" w:hAnsi="Verdana"/>
          <w:sz w:val="16"/>
          <w:szCs w:val="16"/>
          <w:lang w:val="en-US"/>
        </w:rPr>
        <w:t xml:space="preserve"> </w:t>
      </w:r>
      <w:proofErr w:type="spellStart"/>
      <w:r w:rsidRPr="00E83269">
        <w:rPr>
          <w:rFonts w:ascii="Verdana" w:hAnsi="Verdana"/>
          <w:sz w:val="16"/>
          <w:szCs w:val="16"/>
          <w:lang w:val="en-US"/>
        </w:rPr>
        <w:t>matriclans</w:t>
      </w:r>
      <w:proofErr w:type="spellEnd"/>
      <w:r w:rsidRPr="00E83269">
        <w:rPr>
          <w:rFonts w:ascii="Verdana" w:hAnsi="Verdana"/>
          <w:sz w:val="16"/>
          <w:szCs w:val="16"/>
          <w:lang w:val="en-US"/>
        </w:rPr>
        <w:t xml:space="preserve"> are consulted in an acceptable manner. This causes irritations with the different groups and stagnation in the progress of the process”. Consequently, they asked the Suriname authorities “to make all efforts to ensure that all </w:t>
      </w:r>
      <w:proofErr w:type="gramStart"/>
      <w:r w:rsidRPr="00E83269">
        <w:rPr>
          <w:rFonts w:ascii="Verdana" w:hAnsi="Verdana"/>
          <w:sz w:val="16"/>
          <w:szCs w:val="16"/>
          <w:lang w:val="en-US"/>
        </w:rPr>
        <w:t>Sa[</w:t>
      </w:r>
      <w:proofErr w:type="gramEnd"/>
      <w:r w:rsidRPr="00E83269">
        <w:rPr>
          <w:rFonts w:ascii="Verdana" w:hAnsi="Verdana"/>
          <w:sz w:val="16"/>
          <w:szCs w:val="16"/>
          <w:lang w:val="en-US"/>
        </w:rPr>
        <w:t>r]</w:t>
      </w:r>
      <w:proofErr w:type="spellStart"/>
      <w:r w:rsidRPr="00E83269">
        <w:rPr>
          <w:rFonts w:ascii="Verdana" w:hAnsi="Verdana"/>
          <w:sz w:val="16"/>
          <w:szCs w:val="16"/>
          <w:lang w:val="en-US"/>
        </w:rPr>
        <w:t>amaka</w:t>
      </w:r>
      <w:proofErr w:type="spellEnd"/>
      <w:r w:rsidRPr="00E83269">
        <w:rPr>
          <w:rFonts w:ascii="Verdana" w:hAnsi="Verdana"/>
          <w:sz w:val="16"/>
          <w:szCs w:val="16"/>
          <w:lang w:val="en-US"/>
        </w:rPr>
        <w:t xml:space="preserve"> </w:t>
      </w:r>
      <w:proofErr w:type="spellStart"/>
      <w:r w:rsidRPr="00E83269">
        <w:rPr>
          <w:rFonts w:ascii="Verdana" w:hAnsi="Verdana"/>
          <w:sz w:val="16"/>
          <w:szCs w:val="16"/>
          <w:lang w:val="en-US"/>
        </w:rPr>
        <w:t>matriclans</w:t>
      </w:r>
      <w:proofErr w:type="spellEnd"/>
      <w:r w:rsidRPr="00E83269">
        <w:rPr>
          <w:rFonts w:ascii="Verdana" w:hAnsi="Verdana"/>
          <w:sz w:val="16"/>
          <w:szCs w:val="16"/>
          <w:lang w:val="en-US"/>
        </w:rPr>
        <w:t xml:space="preserve"> can participate in a proportionate manner in the process to arrive at an acceptable solution of the land rights issue […].”</w:t>
      </w:r>
      <w:r w:rsidRPr="00106EE7">
        <w:rPr>
          <w:rFonts w:ascii="Verdana" w:hAnsi="Verdana"/>
          <w:sz w:val="16"/>
          <w:szCs w:val="16"/>
          <w:lang w:val="en-US"/>
        </w:rPr>
        <w:t xml:space="preserve"> </w:t>
      </w:r>
    </w:p>
  </w:footnote>
  <w:footnote w:id="35">
    <w:p w14:paraId="7D867B9D" w14:textId="1E5DC2C1" w:rsidR="001413FA" w:rsidRPr="00265F6B" w:rsidRDefault="001413FA" w:rsidP="00106EE7">
      <w:pPr>
        <w:autoSpaceDE w:val="0"/>
        <w:autoSpaceDN w:val="0"/>
        <w:adjustRightInd w:val="0"/>
        <w:jc w:val="both"/>
        <w:rPr>
          <w:rFonts w:ascii="Verdana" w:hAnsi="Verdana"/>
          <w:b/>
          <w:sz w:val="16"/>
          <w:szCs w:val="16"/>
          <w:lang w:val="en-US"/>
        </w:rPr>
      </w:pPr>
      <w:r w:rsidRPr="00E83269">
        <w:rPr>
          <w:rStyle w:val="FootnoteReference"/>
          <w:rFonts w:ascii="Verdana" w:hAnsi="Verdana"/>
          <w:sz w:val="16"/>
          <w:szCs w:val="16"/>
          <w:lang w:val="en-US"/>
        </w:rPr>
        <w:footnoteRef/>
      </w:r>
      <w:r w:rsidRPr="00E83269">
        <w:rPr>
          <w:rFonts w:ascii="Verdana" w:hAnsi="Verdana"/>
          <w:sz w:val="16"/>
          <w:szCs w:val="16"/>
          <w:lang w:val="en-US"/>
        </w:rPr>
        <w:t xml:space="preserve"> </w:t>
      </w:r>
      <w:r w:rsidRPr="00E83269">
        <w:rPr>
          <w:rFonts w:ascii="Verdana" w:hAnsi="Verdana"/>
          <w:sz w:val="16"/>
          <w:szCs w:val="16"/>
          <w:lang w:val="en-US"/>
        </w:rPr>
        <w:tab/>
        <w:t>The State provided the document in which the Ministry of Regional Development extended the mandate of the committee created for “</w:t>
      </w:r>
      <w:r w:rsidRPr="00E83269">
        <w:rPr>
          <w:rFonts w:ascii="Verdana" w:eastAsiaTheme="minorHAnsi" w:hAnsi="Verdana"/>
          <w:sz w:val="16"/>
          <w:szCs w:val="16"/>
          <w:lang w:val="en-US"/>
        </w:rPr>
        <w:t xml:space="preserve">Mediation Succession Dispute </w:t>
      </w:r>
      <w:proofErr w:type="spellStart"/>
      <w:r w:rsidRPr="00E83269">
        <w:rPr>
          <w:rFonts w:ascii="Verdana" w:eastAsiaTheme="minorHAnsi" w:hAnsi="Verdana"/>
          <w:sz w:val="16"/>
          <w:szCs w:val="16"/>
          <w:lang w:val="en-US"/>
        </w:rPr>
        <w:t>Saramaka</w:t>
      </w:r>
      <w:proofErr w:type="spellEnd"/>
      <w:r w:rsidRPr="00E83269">
        <w:rPr>
          <w:rFonts w:ascii="Verdana" w:eastAsiaTheme="minorHAnsi" w:hAnsi="Verdana"/>
          <w:sz w:val="16"/>
          <w:szCs w:val="16"/>
          <w:lang w:val="en-US"/>
        </w:rPr>
        <w:t xml:space="preserve"> Traditional Authorities</w:t>
      </w:r>
      <w:r w:rsidRPr="00E83269">
        <w:rPr>
          <w:rFonts w:ascii="Verdana" w:hAnsi="Verdana"/>
          <w:sz w:val="16"/>
          <w:szCs w:val="16"/>
          <w:lang w:val="en-US"/>
        </w:rPr>
        <w:t xml:space="preserve">”. </w:t>
      </w:r>
      <w:r w:rsidRPr="00E83269">
        <w:rPr>
          <w:rFonts w:ascii="Verdana" w:hAnsi="Verdana"/>
          <w:i/>
          <w:sz w:val="16"/>
          <w:szCs w:val="16"/>
          <w:lang w:val="en-US"/>
        </w:rPr>
        <w:t xml:space="preserve">Cf. </w:t>
      </w:r>
      <w:r w:rsidRPr="00E83269">
        <w:rPr>
          <w:rFonts w:ascii="Verdana" w:hAnsi="Verdana"/>
          <w:sz w:val="16"/>
          <w:szCs w:val="16"/>
          <w:lang w:val="en-US"/>
        </w:rPr>
        <w:t>Resolution No. 2951 of the Ministry of Regional Development dated February 18, 2015 (attached to the State’s report of April 27, 2015).</w:t>
      </w:r>
      <w:r w:rsidRPr="00265F6B">
        <w:rPr>
          <w:rFonts w:ascii="Verdana" w:hAnsi="Verdana"/>
          <w:sz w:val="16"/>
          <w:szCs w:val="16"/>
          <w:lang w:val="en-US"/>
        </w:rPr>
        <w:t xml:space="preserve"> </w:t>
      </w:r>
    </w:p>
  </w:footnote>
  <w:footnote w:id="36">
    <w:p w14:paraId="2B412CCC" w14:textId="2E55F3AA" w:rsidR="001413FA" w:rsidRPr="00265F6B" w:rsidRDefault="001413FA" w:rsidP="005D679B">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t xml:space="preserve">They indicated that this would represent approximately 80%. </w:t>
      </w:r>
      <w:r w:rsidRPr="00265F6B">
        <w:rPr>
          <w:rFonts w:ascii="Verdana" w:hAnsi="Verdana"/>
          <w:i/>
          <w:sz w:val="16"/>
          <w:szCs w:val="16"/>
          <w:lang w:val="en-US"/>
        </w:rPr>
        <w:t xml:space="preserve">Cf. </w:t>
      </w:r>
      <w:r w:rsidRPr="00265F6B">
        <w:rPr>
          <w:rFonts w:ascii="Verdana" w:hAnsi="Verdana"/>
          <w:sz w:val="16"/>
          <w:szCs w:val="16"/>
          <w:lang w:val="en-US"/>
        </w:rPr>
        <w:t>Document presented by several authorities of the Saramaka people in July 2013 (</w:t>
      </w:r>
      <w:r w:rsidRPr="00452826">
        <w:rPr>
          <w:rFonts w:ascii="Verdana" w:hAnsi="Verdana"/>
          <w:sz w:val="16"/>
          <w:szCs w:val="16"/>
          <w:lang w:val="en-US"/>
        </w:rPr>
        <w:t>attached to the observation brief presented by the representatives on August 5, 2013</w:t>
      </w:r>
      <w:r w:rsidRPr="00265F6B">
        <w:rPr>
          <w:rFonts w:ascii="Verdana" w:hAnsi="Verdana"/>
          <w:sz w:val="16"/>
          <w:szCs w:val="16"/>
          <w:lang w:val="en-US"/>
        </w:rPr>
        <w:t>).</w:t>
      </w:r>
    </w:p>
  </w:footnote>
  <w:footnote w:id="37">
    <w:p w14:paraId="7E606433" w14:textId="55C9155E" w:rsidR="001413FA" w:rsidRPr="00265F6B" w:rsidRDefault="001413FA" w:rsidP="00895D3A">
      <w:pPr>
        <w:pStyle w:val="FootnoteText"/>
        <w:spacing w:after="80"/>
        <w:jc w:val="both"/>
        <w:rPr>
          <w:rFonts w:ascii="Verdana" w:hAnsi="Verdana"/>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sz w:val="16"/>
          <w:szCs w:val="16"/>
          <w:lang w:val="en-US"/>
        </w:rPr>
        <w:tab/>
      </w:r>
      <w:r w:rsidRPr="00265F6B">
        <w:rPr>
          <w:rFonts w:ascii="Verdana" w:hAnsi="Verdana"/>
          <w:i/>
          <w:sz w:val="16"/>
          <w:szCs w:val="16"/>
          <w:lang w:val="en-US"/>
        </w:rPr>
        <w:t>Cf. Case of Caesar v. Trinidad and Tobago. Merits, reparations and costs.</w:t>
      </w:r>
      <w:r w:rsidRPr="00265F6B">
        <w:rPr>
          <w:rFonts w:ascii="Verdana" w:hAnsi="Verdana"/>
          <w:sz w:val="16"/>
          <w:szCs w:val="16"/>
          <w:lang w:val="en-US"/>
        </w:rPr>
        <w:t xml:space="preserve"> Judgment of March 11, 2005. Series C No. 123, </w:t>
      </w:r>
      <w:r w:rsidRPr="00265F6B">
        <w:rPr>
          <w:rFonts w:ascii="Verdana" w:hAnsi="Verdana"/>
          <w:i/>
          <w:sz w:val="16"/>
          <w:szCs w:val="16"/>
          <w:lang w:val="en-US"/>
        </w:rPr>
        <w:t>para.</w:t>
      </w:r>
      <w:r w:rsidRPr="00265F6B">
        <w:rPr>
          <w:rFonts w:ascii="Verdana" w:hAnsi="Verdana"/>
          <w:sz w:val="16"/>
          <w:szCs w:val="16"/>
          <w:lang w:val="en-US"/>
        </w:rPr>
        <w:t xml:space="preserve"> 38, and</w:t>
      </w:r>
      <w:r w:rsidRPr="00265F6B">
        <w:rPr>
          <w:rFonts w:ascii="Verdana" w:hAnsi="Verdana"/>
          <w:b/>
          <w:sz w:val="16"/>
          <w:szCs w:val="16"/>
          <w:lang w:val="en-US"/>
        </w:rPr>
        <w:t xml:space="preserve"> </w:t>
      </w:r>
      <w:r w:rsidRPr="00265F6B">
        <w:rPr>
          <w:rStyle w:val="Strong"/>
          <w:rFonts w:ascii="Verdana" w:hAnsi="Verdana"/>
          <w:b w:val="0"/>
          <w:i/>
          <w:sz w:val="16"/>
          <w:szCs w:val="16"/>
          <w:lang w:val="en-US"/>
        </w:rPr>
        <w:t>Case of the Barrios Family v. Venezuela</w:t>
      </w:r>
      <w:r w:rsidRPr="00265F6B">
        <w:rPr>
          <w:rStyle w:val="Strong"/>
          <w:rFonts w:ascii="Verdana" w:hAnsi="Verdana"/>
          <w:b w:val="0"/>
          <w:sz w:val="16"/>
          <w:szCs w:val="16"/>
          <w:lang w:val="en-US"/>
        </w:rPr>
        <w:t>. Monitoring compliance with judgment.</w:t>
      </w:r>
      <w:r w:rsidRPr="00265F6B">
        <w:rPr>
          <w:rStyle w:val="Strong"/>
          <w:rFonts w:ascii="Verdana" w:hAnsi="Verdana"/>
          <w:b w:val="0"/>
          <w:i/>
          <w:sz w:val="16"/>
          <w:szCs w:val="16"/>
          <w:lang w:val="en-US"/>
        </w:rPr>
        <w:t xml:space="preserve"> </w:t>
      </w:r>
      <w:r w:rsidRPr="00265F6B">
        <w:rPr>
          <w:rStyle w:val="Strong"/>
          <w:rFonts w:ascii="Verdana" w:hAnsi="Verdana"/>
          <w:b w:val="0"/>
          <w:sz w:val="16"/>
          <w:szCs w:val="16"/>
          <w:lang w:val="en-US"/>
        </w:rPr>
        <w:t xml:space="preserve">Order of the Inter-American Court of Human Rights of November 22, 2016, </w:t>
      </w:r>
      <w:r w:rsidRPr="00265F6B">
        <w:rPr>
          <w:rStyle w:val="Strong"/>
          <w:rFonts w:ascii="Verdana" w:hAnsi="Verdana"/>
          <w:b w:val="0"/>
          <w:i/>
          <w:sz w:val="16"/>
          <w:szCs w:val="16"/>
          <w:lang w:val="en-US"/>
        </w:rPr>
        <w:t>considerandum</w:t>
      </w:r>
      <w:r w:rsidRPr="00265F6B">
        <w:rPr>
          <w:rStyle w:val="Strong"/>
          <w:rFonts w:ascii="Verdana" w:hAnsi="Verdana"/>
          <w:b w:val="0"/>
          <w:sz w:val="16"/>
          <w:szCs w:val="16"/>
          <w:lang w:val="en-US"/>
        </w:rPr>
        <w:t xml:space="preserve"> 6.</w:t>
      </w:r>
    </w:p>
  </w:footnote>
  <w:footnote w:id="38">
    <w:p w14:paraId="52F0ED6A" w14:textId="59606996" w:rsidR="001413FA" w:rsidRPr="00265F6B" w:rsidRDefault="001413FA" w:rsidP="005D679B">
      <w:pPr>
        <w:tabs>
          <w:tab w:val="left" w:pos="0"/>
          <w:tab w:val="left" w:pos="720"/>
          <w:tab w:val="left" w:pos="1440"/>
          <w:tab w:val="left" w:pos="2160"/>
        </w:tabs>
        <w:spacing w:after="80"/>
        <w:jc w:val="both"/>
        <w:rPr>
          <w:rFonts w:ascii="Verdana" w:hAnsi="Verdana"/>
          <w:b/>
          <w:sz w:val="16"/>
          <w:szCs w:val="16"/>
          <w:lang w:val="en-US"/>
        </w:rPr>
      </w:pPr>
      <w:r w:rsidRPr="00265F6B">
        <w:rPr>
          <w:rStyle w:val="FootnoteReference"/>
          <w:rFonts w:ascii="Verdana" w:hAnsi="Verdana"/>
          <w:sz w:val="16"/>
          <w:szCs w:val="16"/>
          <w:lang w:val="en-US"/>
        </w:rPr>
        <w:footnoteRef/>
      </w:r>
      <w:r w:rsidRPr="00265F6B">
        <w:rPr>
          <w:rFonts w:ascii="Verdana" w:hAnsi="Verdana"/>
          <w:sz w:val="16"/>
          <w:szCs w:val="16"/>
          <w:lang w:val="en-US"/>
        </w:rPr>
        <w:t xml:space="preserve"> </w:t>
      </w:r>
      <w:r w:rsidRPr="00265F6B">
        <w:rPr>
          <w:rFonts w:ascii="Verdana" w:hAnsi="Verdana"/>
          <w:b/>
          <w:sz w:val="16"/>
          <w:szCs w:val="16"/>
          <w:lang w:val="en-US"/>
        </w:rPr>
        <w:tab/>
      </w:r>
      <w:r w:rsidRPr="00265F6B">
        <w:rPr>
          <w:rFonts w:ascii="Verdana" w:hAnsi="Verdana"/>
          <w:i/>
          <w:sz w:val="16"/>
          <w:szCs w:val="16"/>
          <w:lang w:val="en-US"/>
        </w:rPr>
        <w:t>Cf. Case of Caesar v. Trinidad and Tobago. Monitoring compliance with judgment.</w:t>
      </w:r>
      <w:r w:rsidRPr="00265F6B">
        <w:rPr>
          <w:rFonts w:ascii="Verdana" w:hAnsi="Verdana"/>
          <w:sz w:val="16"/>
          <w:szCs w:val="16"/>
          <w:lang w:val="en-US"/>
        </w:rPr>
        <w:t xml:space="preserve"> Order of the Inter-American Court of Human Rights of November 21, 2007, </w:t>
      </w:r>
      <w:r w:rsidRPr="00265F6B">
        <w:rPr>
          <w:rFonts w:ascii="Verdana" w:hAnsi="Verdana"/>
          <w:i/>
          <w:sz w:val="16"/>
          <w:szCs w:val="16"/>
          <w:lang w:val="en-US"/>
        </w:rPr>
        <w:t>considerandum</w:t>
      </w:r>
      <w:r w:rsidRPr="00265F6B">
        <w:rPr>
          <w:rFonts w:ascii="Verdana" w:hAnsi="Verdana"/>
          <w:sz w:val="16"/>
          <w:szCs w:val="16"/>
          <w:lang w:val="en-US"/>
        </w:rPr>
        <w:t xml:space="preserve"> 11, and</w:t>
      </w:r>
      <w:r w:rsidRPr="00265F6B">
        <w:rPr>
          <w:rFonts w:ascii="Verdana" w:hAnsi="Verdana"/>
          <w:b/>
          <w:sz w:val="16"/>
          <w:szCs w:val="16"/>
          <w:lang w:val="en-US"/>
        </w:rPr>
        <w:t xml:space="preserve"> </w:t>
      </w:r>
      <w:r w:rsidRPr="00265F6B">
        <w:rPr>
          <w:rStyle w:val="Strong"/>
          <w:rFonts w:ascii="Verdana" w:hAnsi="Verdana"/>
          <w:b w:val="0"/>
          <w:i/>
          <w:sz w:val="16"/>
          <w:szCs w:val="16"/>
          <w:lang w:val="en-US"/>
        </w:rPr>
        <w:t>Case of the Barrios Family v. Venezuela</w:t>
      </w:r>
      <w:r w:rsidRPr="00265F6B">
        <w:rPr>
          <w:rStyle w:val="Strong"/>
          <w:rFonts w:ascii="Verdana" w:hAnsi="Verdana"/>
          <w:b w:val="0"/>
          <w:sz w:val="16"/>
          <w:szCs w:val="16"/>
          <w:lang w:val="en-US"/>
        </w:rPr>
        <w:t xml:space="preserve">, </w:t>
      </w:r>
      <w:r w:rsidRPr="00265F6B">
        <w:rPr>
          <w:rStyle w:val="Strong"/>
          <w:rFonts w:ascii="Verdana" w:hAnsi="Verdana"/>
          <w:b w:val="0"/>
          <w:i/>
          <w:sz w:val="16"/>
          <w:szCs w:val="16"/>
          <w:lang w:val="en-US"/>
        </w:rPr>
        <w:t xml:space="preserve">supra </w:t>
      </w:r>
      <w:r w:rsidRPr="00265F6B">
        <w:rPr>
          <w:rStyle w:val="Strong"/>
          <w:rFonts w:ascii="Verdana" w:hAnsi="Verdana"/>
          <w:b w:val="0"/>
          <w:sz w:val="16"/>
          <w:szCs w:val="16"/>
          <w:lang w:val="en-US"/>
        </w:rPr>
        <w:t>footnote</w:t>
      </w:r>
      <w:r w:rsidRPr="00265F6B">
        <w:rPr>
          <w:rStyle w:val="Strong"/>
          <w:rFonts w:ascii="Verdana" w:hAnsi="Verdana"/>
          <w:b w:val="0"/>
          <w:i/>
          <w:sz w:val="16"/>
          <w:szCs w:val="16"/>
          <w:lang w:val="en-US"/>
        </w:rPr>
        <w:t xml:space="preserve"> </w:t>
      </w:r>
      <w:r w:rsidRPr="00265F6B">
        <w:rPr>
          <w:rStyle w:val="Strong"/>
          <w:rFonts w:ascii="Verdana" w:hAnsi="Verdana"/>
          <w:b w:val="0"/>
          <w:sz w:val="16"/>
          <w:szCs w:val="16"/>
          <w:lang w:val="en-US"/>
        </w:rPr>
        <w:t xml:space="preserve">36, </w:t>
      </w:r>
      <w:r w:rsidRPr="00265F6B">
        <w:rPr>
          <w:rStyle w:val="Strong"/>
          <w:rFonts w:ascii="Verdana" w:hAnsi="Verdana"/>
          <w:b w:val="0"/>
          <w:i/>
          <w:sz w:val="16"/>
          <w:szCs w:val="16"/>
          <w:lang w:val="en-US"/>
        </w:rPr>
        <w:t>considerandum</w:t>
      </w:r>
      <w:r w:rsidRPr="00265F6B">
        <w:rPr>
          <w:rStyle w:val="Strong"/>
          <w:rFonts w:ascii="Verdana" w:hAnsi="Verdana"/>
          <w:b w:val="0"/>
          <w:sz w:val="16"/>
          <w:szCs w:val="16"/>
          <w:lang w:val="en-US"/>
        </w:rPr>
        <w:t xml:space="preserv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76419"/>
      <w:docPartObj>
        <w:docPartGallery w:val="Page Numbers (Top of Page)"/>
        <w:docPartUnique/>
      </w:docPartObj>
    </w:sdtPr>
    <w:sdtEndPr>
      <w:rPr>
        <w:rFonts w:ascii="Verdana" w:hAnsi="Verdana"/>
        <w:noProof/>
        <w:sz w:val="20"/>
      </w:rPr>
    </w:sdtEndPr>
    <w:sdtContent>
      <w:p w14:paraId="65C9329C" w14:textId="1E56FE45" w:rsidR="001413FA" w:rsidRPr="00463DD5" w:rsidRDefault="001413FA">
        <w:pPr>
          <w:pStyle w:val="Header"/>
          <w:jc w:val="center"/>
          <w:rPr>
            <w:rFonts w:ascii="Verdana" w:hAnsi="Verdana"/>
            <w:sz w:val="20"/>
          </w:rPr>
        </w:pPr>
        <w:r w:rsidRPr="00463DD5">
          <w:rPr>
            <w:rFonts w:ascii="Verdana" w:hAnsi="Verdana"/>
            <w:sz w:val="20"/>
          </w:rPr>
          <w:fldChar w:fldCharType="begin"/>
        </w:r>
        <w:r w:rsidRPr="00463DD5">
          <w:rPr>
            <w:rFonts w:ascii="Verdana" w:hAnsi="Verdana"/>
            <w:sz w:val="20"/>
          </w:rPr>
          <w:instrText xml:space="preserve"> PAGE   \* MERGEFORMAT </w:instrText>
        </w:r>
        <w:r w:rsidRPr="00463DD5">
          <w:rPr>
            <w:rFonts w:ascii="Verdana" w:hAnsi="Verdana"/>
            <w:sz w:val="20"/>
          </w:rPr>
          <w:fldChar w:fldCharType="separate"/>
        </w:r>
        <w:r w:rsidR="00980175">
          <w:rPr>
            <w:rFonts w:ascii="Verdana" w:hAnsi="Verdana"/>
            <w:noProof/>
            <w:sz w:val="20"/>
          </w:rPr>
          <w:t>13</w:t>
        </w:r>
        <w:r w:rsidRPr="00463DD5">
          <w:rPr>
            <w:rFonts w:ascii="Verdana" w:hAnsi="Verdana"/>
            <w:noProof/>
            <w:sz w:val="20"/>
          </w:rPr>
          <w:fldChar w:fldCharType="end"/>
        </w:r>
      </w:p>
    </w:sdtContent>
  </w:sdt>
  <w:p w14:paraId="426C42D6" w14:textId="7B63F278" w:rsidR="001413FA" w:rsidRPr="00F95938" w:rsidRDefault="001413FA" w:rsidP="00226DCD">
    <w:pPr>
      <w:pStyle w:val="Header"/>
      <w:jc w:val="center"/>
      <w:rPr>
        <w:rFonts w:ascii="Verdana" w:hAnsi="Verdana"/>
        <w:b/>
        <w:i/>
        <w:sz w:val="20"/>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3DD"/>
    <w:multiLevelType w:val="hybridMultilevel"/>
    <w:tmpl w:val="6124FC8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C500AC"/>
    <w:multiLevelType w:val="hybridMultilevel"/>
    <w:tmpl w:val="EAD22D8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5A2AE6"/>
    <w:multiLevelType w:val="multilevel"/>
    <w:tmpl w:val="86806766"/>
    <w:lvl w:ilvl="0">
      <w:start w:val="1"/>
      <w:numFmt w:val="decimal"/>
      <w:lvlText w:val="%1."/>
      <w:lvlJc w:val="left"/>
      <w:pPr>
        <w:ind w:left="720" w:hanging="360"/>
      </w:pPr>
    </w:lvl>
    <w:lvl w:ilvl="1">
      <w:start w:val="2"/>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2040" w:hanging="144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940" w:hanging="2160"/>
      </w:pPr>
    </w:lvl>
    <w:lvl w:ilvl="8">
      <w:start w:val="1"/>
      <w:numFmt w:val="decimal"/>
      <w:isLgl/>
      <w:lvlText w:val="%1.%2.%3.%4.%5.%6.%7.%8.%9."/>
      <w:lvlJc w:val="left"/>
      <w:pPr>
        <w:ind w:left="3000" w:hanging="2160"/>
      </w:pPr>
    </w:lvl>
  </w:abstractNum>
  <w:abstractNum w:abstractNumId="3">
    <w:nsid w:val="1B6059A7"/>
    <w:multiLevelType w:val="hybridMultilevel"/>
    <w:tmpl w:val="75C0CA12"/>
    <w:lvl w:ilvl="0" w:tplc="BE88D86E">
      <w:start w:val="1"/>
      <w:numFmt w:val="decimal"/>
      <w:lvlText w:val="%1."/>
      <w:lvlJc w:val="lef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CE77853"/>
    <w:multiLevelType w:val="hybridMultilevel"/>
    <w:tmpl w:val="81BC84D4"/>
    <w:lvl w:ilvl="0" w:tplc="4CA26230">
      <w:start w:val="1"/>
      <w:numFmt w:val="decimal"/>
      <w:lvlText w:val="%1."/>
      <w:lvlJc w:val="left"/>
      <w:pPr>
        <w:tabs>
          <w:tab w:val="num" w:pos="1080"/>
        </w:tabs>
        <w:ind w:left="360"/>
      </w:pPr>
      <w:rPr>
        <w:rFonts w:ascii="Verdana" w:hAnsi="Verdana" w:cs="Times New Roman" w:hint="default"/>
        <w:b w:val="0"/>
        <w:i w:val="0"/>
        <w:strike w:val="0"/>
        <w:color w:val="auto"/>
        <w:sz w:val="20"/>
      </w:rPr>
    </w:lvl>
    <w:lvl w:ilvl="1" w:tplc="340A0003">
      <w:start w:val="1"/>
      <w:numFmt w:val="lowerLetter"/>
      <w:lvlText w:val="%2."/>
      <w:lvlJc w:val="left"/>
      <w:pPr>
        <w:tabs>
          <w:tab w:val="num" w:pos="1440"/>
        </w:tabs>
        <w:ind w:left="1440" w:hanging="360"/>
      </w:pPr>
      <w:rPr>
        <w:rFonts w:cs="Times New Roman"/>
      </w:rPr>
    </w:lvl>
    <w:lvl w:ilvl="2" w:tplc="340A0005" w:tentative="1">
      <w:start w:val="1"/>
      <w:numFmt w:val="lowerRoman"/>
      <w:lvlText w:val="%3."/>
      <w:lvlJc w:val="right"/>
      <w:pPr>
        <w:tabs>
          <w:tab w:val="num" w:pos="2160"/>
        </w:tabs>
        <w:ind w:left="2160" w:hanging="180"/>
      </w:pPr>
      <w:rPr>
        <w:rFonts w:cs="Times New Roman"/>
      </w:rPr>
    </w:lvl>
    <w:lvl w:ilvl="3" w:tplc="340A0001" w:tentative="1">
      <w:start w:val="1"/>
      <w:numFmt w:val="decimal"/>
      <w:lvlText w:val="%4."/>
      <w:lvlJc w:val="left"/>
      <w:pPr>
        <w:tabs>
          <w:tab w:val="num" w:pos="2880"/>
        </w:tabs>
        <w:ind w:left="2880" w:hanging="360"/>
      </w:pPr>
      <w:rPr>
        <w:rFonts w:cs="Times New Roman"/>
      </w:rPr>
    </w:lvl>
    <w:lvl w:ilvl="4" w:tplc="340A0003" w:tentative="1">
      <w:start w:val="1"/>
      <w:numFmt w:val="lowerLetter"/>
      <w:lvlText w:val="%5."/>
      <w:lvlJc w:val="left"/>
      <w:pPr>
        <w:tabs>
          <w:tab w:val="num" w:pos="3600"/>
        </w:tabs>
        <w:ind w:left="3600" w:hanging="360"/>
      </w:pPr>
      <w:rPr>
        <w:rFonts w:cs="Times New Roman"/>
      </w:rPr>
    </w:lvl>
    <w:lvl w:ilvl="5" w:tplc="340A0005" w:tentative="1">
      <w:start w:val="1"/>
      <w:numFmt w:val="lowerRoman"/>
      <w:lvlText w:val="%6."/>
      <w:lvlJc w:val="right"/>
      <w:pPr>
        <w:tabs>
          <w:tab w:val="num" w:pos="4320"/>
        </w:tabs>
        <w:ind w:left="4320" w:hanging="180"/>
      </w:pPr>
      <w:rPr>
        <w:rFonts w:cs="Times New Roman"/>
      </w:rPr>
    </w:lvl>
    <w:lvl w:ilvl="6" w:tplc="340A0001" w:tentative="1">
      <w:start w:val="1"/>
      <w:numFmt w:val="decimal"/>
      <w:lvlText w:val="%7."/>
      <w:lvlJc w:val="left"/>
      <w:pPr>
        <w:tabs>
          <w:tab w:val="num" w:pos="5040"/>
        </w:tabs>
        <w:ind w:left="5040" w:hanging="360"/>
      </w:pPr>
      <w:rPr>
        <w:rFonts w:cs="Times New Roman"/>
      </w:rPr>
    </w:lvl>
    <w:lvl w:ilvl="7" w:tplc="340A0003" w:tentative="1">
      <w:start w:val="1"/>
      <w:numFmt w:val="lowerLetter"/>
      <w:lvlText w:val="%8."/>
      <w:lvlJc w:val="left"/>
      <w:pPr>
        <w:tabs>
          <w:tab w:val="num" w:pos="5760"/>
        </w:tabs>
        <w:ind w:left="5760" w:hanging="360"/>
      </w:pPr>
      <w:rPr>
        <w:rFonts w:cs="Times New Roman"/>
      </w:rPr>
    </w:lvl>
    <w:lvl w:ilvl="8" w:tplc="340A0005" w:tentative="1">
      <w:start w:val="1"/>
      <w:numFmt w:val="lowerRoman"/>
      <w:lvlText w:val="%9."/>
      <w:lvlJc w:val="right"/>
      <w:pPr>
        <w:tabs>
          <w:tab w:val="num" w:pos="6480"/>
        </w:tabs>
        <w:ind w:left="6480" w:hanging="180"/>
      </w:pPr>
      <w:rPr>
        <w:rFonts w:cs="Times New Roman"/>
      </w:rPr>
    </w:lvl>
  </w:abstractNum>
  <w:abstractNum w:abstractNumId="5">
    <w:nsid w:val="1CFD5FDA"/>
    <w:multiLevelType w:val="hybridMultilevel"/>
    <w:tmpl w:val="BE1854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DC246DF"/>
    <w:multiLevelType w:val="hybridMultilevel"/>
    <w:tmpl w:val="0278EE7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F0966BF"/>
    <w:multiLevelType w:val="hybridMultilevel"/>
    <w:tmpl w:val="ED76795A"/>
    <w:lvl w:ilvl="0" w:tplc="2EA6DDA4">
      <w:start w:val="1"/>
      <w:numFmt w:val="decimal"/>
      <w:lvlText w:val="%1."/>
      <w:lvlJc w:val="left"/>
      <w:pPr>
        <w:tabs>
          <w:tab w:val="num" w:pos="360"/>
        </w:tabs>
        <w:ind w:left="360" w:hanging="360"/>
      </w:pPr>
      <w:rPr>
        <w:b w:val="0"/>
        <w:i w:val="0"/>
        <w:sz w:val="20"/>
        <w:szCs w:val="20"/>
      </w:rPr>
    </w:lvl>
    <w:lvl w:ilvl="1" w:tplc="0409000F">
      <w:start w:val="1"/>
      <w:numFmt w:val="decimal"/>
      <w:lvlText w:val="%2."/>
      <w:lvlJc w:val="left"/>
      <w:pPr>
        <w:tabs>
          <w:tab w:val="num" w:pos="1440"/>
        </w:tabs>
        <w:ind w:left="1440" w:hanging="360"/>
      </w:pPr>
      <w:rPr>
        <w:sz w:val="20"/>
        <w:szCs w:val="20"/>
      </w:rPr>
    </w:lvl>
    <w:lvl w:ilvl="2" w:tplc="C9FA38AC">
      <w:start w:val="1"/>
      <w:numFmt w:val="lowerLetter"/>
      <w:lvlText w:val="%3)"/>
      <w:lvlJc w:val="left"/>
      <w:pPr>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64D0CB0"/>
    <w:multiLevelType w:val="hybridMultilevel"/>
    <w:tmpl w:val="F4C01C3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7C15C3A"/>
    <w:multiLevelType w:val="hybridMultilevel"/>
    <w:tmpl w:val="7FFA42A0"/>
    <w:lvl w:ilvl="0" w:tplc="140A000F">
      <w:start w:val="1"/>
      <w:numFmt w:val="decimal"/>
      <w:lvlText w:val="%1."/>
      <w:lvlJc w:val="left"/>
      <w:pPr>
        <w:ind w:left="2844" w:hanging="360"/>
      </w:pPr>
    </w:lvl>
    <w:lvl w:ilvl="1" w:tplc="140A0019">
      <w:start w:val="1"/>
      <w:numFmt w:val="lowerLetter"/>
      <w:lvlText w:val="%2."/>
      <w:lvlJc w:val="left"/>
      <w:pPr>
        <w:ind w:left="3564" w:hanging="360"/>
      </w:pPr>
    </w:lvl>
    <w:lvl w:ilvl="2" w:tplc="140A001B">
      <w:start w:val="1"/>
      <w:numFmt w:val="lowerRoman"/>
      <w:lvlText w:val="%3."/>
      <w:lvlJc w:val="right"/>
      <w:pPr>
        <w:ind w:left="4284" w:hanging="180"/>
      </w:pPr>
    </w:lvl>
    <w:lvl w:ilvl="3" w:tplc="140A000F">
      <w:start w:val="1"/>
      <w:numFmt w:val="decimal"/>
      <w:lvlText w:val="%4."/>
      <w:lvlJc w:val="left"/>
      <w:pPr>
        <w:ind w:left="5004" w:hanging="360"/>
      </w:pPr>
    </w:lvl>
    <w:lvl w:ilvl="4" w:tplc="140A0019">
      <w:start w:val="1"/>
      <w:numFmt w:val="lowerLetter"/>
      <w:lvlText w:val="%5."/>
      <w:lvlJc w:val="left"/>
      <w:pPr>
        <w:ind w:left="5724" w:hanging="360"/>
      </w:pPr>
    </w:lvl>
    <w:lvl w:ilvl="5" w:tplc="140A001B">
      <w:start w:val="1"/>
      <w:numFmt w:val="lowerRoman"/>
      <w:lvlText w:val="%6."/>
      <w:lvlJc w:val="right"/>
      <w:pPr>
        <w:ind w:left="6444" w:hanging="180"/>
      </w:pPr>
    </w:lvl>
    <w:lvl w:ilvl="6" w:tplc="140A000F">
      <w:start w:val="1"/>
      <w:numFmt w:val="decimal"/>
      <w:lvlText w:val="%7."/>
      <w:lvlJc w:val="left"/>
      <w:pPr>
        <w:ind w:left="7164" w:hanging="360"/>
      </w:pPr>
    </w:lvl>
    <w:lvl w:ilvl="7" w:tplc="140A0019">
      <w:start w:val="1"/>
      <w:numFmt w:val="lowerLetter"/>
      <w:lvlText w:val="%8."/>
      <w:lvlJc w:val="left"/>
      <w:pPr>
        <w:ind w:left="7884" w:hanging="360"/>
      </w:pPr>
    </w:lvl>
    <w:lvl w:ilvl="8" w:tplc="140A001B">
      <w:start w:val="1"/>
      <w:numFmt w:val="lowerRoman"/>
      <w:lvlText w:val="%9."/>
      <w:lvlJc w:val="right"/>
      <w:pPr>
        <w:ind w:left="8604" w:hanging="180"/>
      </w:pPr>
    </w:lvl>
  </w:abstractNum>
  <w:abstractNum w:abstractNumId="10">
    <w:nsid w:val="2D4B46CD"/>
    <w:multiLevelType w:val="hybridMultilevel"/>
    <w:tmpl w:val="C71AA7F4"/>
    <w:lvl w:ilvl="0" w:tplc="41FCBFEC">
      <w:start w:val="6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D36B53"/>
    <w:multiLevelType w:val="hybridMultilevel"/>
    <w:tmpl w:val="117E5F2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70E275F"/>
    <w:multiLevelType w:val="hybridMultilevel"/>
    <w:tmpl w:val="289AEF94"/>
    <w:lvl w:ilvl="0" w:tplc="9C1446EA">
      <w:start w:val="1"/>
      <w:numFmt w:val="decimal"/>
      <w:lvlText w:val="%1."/>
      <w:lvlJc w:val="left"/>
      <w:pPr>
        <w:ind w:left="360" w:hanging="360"/>
      </w:pPr>
      <w:rPr>
        <w:rFonts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0ED06F5"/>
    <w:multiLevelType w:val="hybridMultilevel"/>
    <w:tmpl w:val="625A8A1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nsid w:val="737A70D2"/>
    <w:multiLevelType w:val="hybridMultilevel"/>
    <w:tmpl w:val="AE64E87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769A4DCE"/>
    <w:multiLevelType w:val="hybridMultilevel"/>
    <w:tmpl w:val="EACE6E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7A0B4833"/>
    <w:multiLevelType w:val="hybridMultilevel"/>
    <w:tmpl w:val="6D223192"/>
    <w:lvl w:ilvl="0" w:tplc="2944587C">
      <w:start w:val="1"/>
      <w:numFmt w:val="decimal"/>
      <w:lvlText w:val="%1."/>
      <w:lvlJc w:val="left"/>
      <w:pPr>
        <w:ind w:left="360" w:hanging="360"/>
      </w:pPr>
      <w:rPr>
        <w:rFonts w:ascii="Verdana" w:hAnsi="Verdana" w:hint="default"/>
        <w:b w:val="0"/>
        <w:i w:val="0"/>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16"/>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num>
  <w:num w:numId="7">
    <w:abstractNumId w:val="6"/>
  </w:num>
  <w:num w:numId="8">
    <w:abstractNumId w:val="15"/>
  </w:num>
  <w:num w:numId="9">
    <w:abstractNumId w:val="0"/>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03"/>
    <w:rsid w:val="000026AC"/>
    <w:rsid w:val="00003C20"/>
    <w:rsid w:val="00004F87"/>
    <w:rsid w:val="0001226D"/>
    <w:rsid w:val="00013987"/>
    <w:rsid w:val="0001668C"/>
    <w:rsid w:val="00017B45"/>
    <w:rsid w:val="00022445"/>
    <w:rsid w:val="00023701"/>
    <w:rsid w:val="0002379E"/>
    <w:rsid w:val="00026D0F"/>
    <w:rsid w:val="00027382"/>
    <w:rsid w:val="0003048D"/>
    <w:rsid w:val="00033A69"/>
    <w:rsid w:val="00046610"/>
    <w:rsid w:val="0005569D"/>
    <w:rsid w:val="00056EE8"/>
    <w:rsid w:val="00060DE6"/>
    <w:rsid w:val="00060F6C"/>
    <w:rsid w:val="00062C6D"/>
    <w:rsid w:val="00064ACF"/>
    <w:rsid w:val="00072E53"/>
    <w:rsid w:val="0007553A"/>
    <w:rsid w:val="0007645B"/>
    <w:rsid w:val="00091D03"/>
    <w:rsid w:val="000A07BD"/>
    <w:rsid w:val="000A5547"/>
    <w:rsid w:val="000A746E"/>
    <w:rsid w:val="000A7842"/>
    <w:rsid w:val="000B0837"/>
    <w:rsid w:val="000B505A"/>
    <w:rsid w:val="000C43E8"/>
    <w:rsid w:val="000C70BE"/>
    <w:rsid w:val="000D0439"/>
    <w:rsid w:val="000D0E36"/>
    <w:rsid w:val="000D580D"/>
    <w:rsid w:val="000E2F37"/>
    <w:rsid w:val="000E3711"/>
    <w:rsid w:val="000F004F"/>
    <w:rsid w:val="000F6A13"/>
    <w:rsid w:val="001041F1"/>
    <w:rsid w:val="00105695"/>
    <w:rsid w:val="00106EE7"/>
    <w:rsid w:val="00110B32"/>
    <w:rsid w:val="00111F8C"/>
    <w:rsid w:val="0011436E"/>
    <w:rsid w:val="001212EC"/>
    <w:rsid w:val="001217E6"/>
    <w:rsid w:val="00133754"/>
    <w:rsid w:val="00133DAE"/>
    <w:rsid w:val="001413FA"/>
    <w:rsid w:val="00146D7D"/>
    <w:rsid w:val="0014747A"/>
    <w:rsid w:val="0015267F"/>
    <w:rsid w:val="00157B64"/>
    <w:rsid w:val="00160717"/>
    <w:rsid w:val="00182F09"/>
    <w:rsid w:val="0019151F"/>
    <w:rsid w:val="001A0EB5"/>
    <w:rsid w:val="001C2AD7"/>
    <w:rsid w:val="001C43DF"/>
    <w:rsid w:val="001C7A70"/>
    <w:rsid w:val="001D07E8"/>
    <w:rsid w:val="001D622E"/>
    <w:rsid w:val="001D6CC4"/>
    <w:rsid w:val="001D72C3"/>
    <w:rsid w:val="001E08D0"/>
    <w:rsid w:val="001E1A68"/>
    <w:rsid w:val="001E7971"/>
    <w:rsid w:val="001F1849"/>
    <w:rsid w:val="001F388D"/>
    <w:rsid w:val="001F3A09"/>
    <w:rsid w:val="001F58B4"/>
    <w:rsid w:val="001F594A"/>
    <w:rsid w:val="00201BB4"/>
    <w:rsid w:val="0020651E"/>
    <w:rsid w:val="0021019A"/>
    <w:rsid w:val="002128C8"/>
    <w:rsid w:val="00213075"/>
    <w:rsid w:val="00213947"/>
    <w:rsid w:val="00215CC4"/>
    <w:rsid w:val="00225349"/>
    <w:rsid w:val="002267F3"/>
    <w:rsid w:val="00226DCD"/>
    <w:rsid w:val="00231FB9"/>
    <w:rsid w:val="00235045"/>
    <w:rsid w:val="00240142"/>
    <w:rsid w:val="002462D1"/>
    <w:rsid w:val="00251EF8"/>
    <w:rsid w:val="00251FEF"/>
    <w:rsid w:val="00254D08"/>
    <w:rsid w:val="002565E0"/>
    <w:rsid w:val="00265BDB"/>
    <w:rsid w:val="00265F6B"/>
    <w:rsid w:val="00270679"/>
    <w:rsid w:val="0027216C"/>
    <w:rsid w:val="00272CCA"/>
    <w:rsid w:val="0028437F"/>
    <w:rsid w:val="00290E62"/>
    <w:rsid w:val="002A0FF6"/>
    <w:rsid w:val="002A660F"/>
    <w:rsid w:val="002B326D"/>
    <w:rsid w:val="002B39AC"/>
    <w:rsid w:val="002B760A"/>
    <w:rsid w:val="002C5BB9"/>
    <w:rsid w:val="002E0E26"/>
    <w:rsid w:val="002E37CA"/>
    <w:rsid w:val="002E5BB5"/>
    <w:rsid w:val="002F4E48"/>
    <w:rsid w:val="00307C88"/>
    <w:rsid w:val="00313A42"/>
    <w:rsid w:val="00322CC1"/>
    <w:rsid w:val="00327243"/>
    <w:rsid w:val="00332580"/>
    <w:rsid w:val="0033259E"/>
    <w:rsid w:val="00334833"/>
    <w:rsid w:val="00336B97"/>
    <w:rsid w:val="00340106"/>
    <w:rsid w:val="0034236D"/>
    <w:rsid w:val="00343125"/>
    <w:rsid w:val="0034353D"/>
    <w:rsid w:val="00343AC6"/>
    <w:rsid w:val="003454F4"/>
    <w:rsid w:val="0034593B"/>
    <w:rsid w:val="00350165"/>
    <w:rsid w:val="003517FC"/>
    <w:rsid w:val="00360099"/>
    <w:rsid w:val="00361DE8"/>
    <w:rsid w:val="00362397"/>
    <w:rsid w:val="00365F53"/>
    <w:rsid w:val="00367E96"/>
    <w:rsid w:val="0037345D"/>
    <w:rsid w:val="00374CE5"/>
    <w:rsid w:val="003758BA"/>
    <w:rsid w:val="00381013"/>
    <w:rsid w:val="00383CC6"/>
    <w:rsid w:val="003845AC"/>
    <w:rsid w:val="00391C45"/>
    <w:rsid w:val="00392BC4"/>
    <w:rsid w:val="00392D3C"/>
    <w:rsid w:val="003956AE"/>
    <w:rsid w:val="00395E27"/>
    <w:rsid w:val="00397517"/>
    <w:rsid w:val="003A1C22"/>
    <w:rsid w:val="003A34A7"/>
    <w:rsid w:val="003A3D45"/>
    <w:rsid w:val="003A5753"/>
    <w:rsid w:val="003A68C2"/>
    <w:rsid w:val="003B2990"/>
    <w:rsid w:val="003B4863"/>
    <w:rsid w:val="003B5A34"/>
    <w:rsid w:val="003B6960"/>
    <w:rsid w:val="003C14AC"/>
    <w:rsid w:val="003C1AF4"/>
    <w:rsid w:val="003D345F"/>
    <w:rsid w:val="003D621D"/>
    <w:rsid w:val="003E39E1"/>
    <w:rsid w:val="003F09C1"/>
    <w:rsid w:val="003F4258"/>
    <w:rsid w:val="003F7BC8"/>
    <w:rsid w:val="004032AB"/>
    <w:rsid w:val="00404BD4"/>
    <w:rsid w:val="0040657B"/>
    <w:rsid w:val="00406773"/>
    <w:rsid w:val="0040761F"/>
    <w:rsid w:val="00407FBF"/>
    <w:rsid w:val="00415085"/>
    <w:rsid w:val="004174CB"/>
    <w:rsid w:val="0041779C"/>
    <w:rsid w:val="00417850"/>
    <w:rsid w:val="00424381"/>
    <w:rsid w:val="004316A0"/>
    <w:rsid w:val="00435758"/>
    <w:rsid w:val="004437EF"/>
    <w:rsid w:val="004503F7"/>
    <w:rsid w:val="004521CE"/>
    <w:rsid w:val="00452826"/>
    <w:rsid w:val="004528C5"/>
    <w:rsid w:val="00456BE0"/>
    <w:rsid w:val="00461F46"/>
    <w:rsid w:val="00462C75"/>
    <w:rsid w:val="00463DD5"/>
    <w:rsid w:val="00466323"/>
    <w:rsid w:val="00467624"/>
    <w:rsid w:val="00480792"/>
    <w:rsid w:val="00481E03"/>
    <w:rsid w:val="004840BF"/>
    <w:rsid w:val="00490EA2"/>
    <w:rsid w:val="004917E1"/>
    <w:rsid w:val="0049210D"/>
    <w:rsid w:val="00493014"/>
    <w:rsid w:val="0049587E"/>
    <w:rsid w:val="0049698B"/>
    <w:rsid w:val="00497AA9"/>
    <w:rsid w:val="004A1227"/>
    <w:rsid w:val="004A20BA"/>
    <w:rsid w:val="004A323A"/>
    <w:rsid w:val="004A6EED"/>
    <w:rsid w:val="004B0116"/>
    <w:rsid w:val="004B66E0"/>
    <w:rsid w:val="004C260F"/>
    <w:rsid w:val="004C2C83"/>
    <w:rsid w:val="004C459A"/>
    <w:rsid w:val="004D072E"/>
    <w:rsid w:val="004D18B2"/>
    <w:rsid w:val="004D2636"/>
    <w:rsid w:val="004D3CE1"/>
    <w:rsid w:val="004D7DA1"/>
    <w:rsid w:val="004E1B86"/>
    <w:rsid w:val="004F14EA"/>
    <w:rsid w:val="004F2506"/>
    <w:rsid w:val="004F4E7D"/>
    <w:rsid w:val="004F6325"/>
    <w:rsid w:val="004F68E9"/>
    <w:rsid w:val="00500436"/>
    <w:rsid w:val="00501846"/>
    <w:rsid w:val="0050645E"/>
    <w:rsid w:val="0050759D"/>
    <w:rsid w:val="00515461"/>
    <w:rsid w:val="00524465"/>
    <w:rsid w:val="00525E62"/>
    <w:rsid w:val="0053036D"/>
    <w:rsid w:val="00537543"/>
    <w:rsid w:val="00542A44"/>
    <w:rsid w:val="005529C5"/>
    <w:rsid w:val="00553238"/>
    <w:rsid w:val="00557A0F"/>
    <w:rsid w:val="005627F9"/>
    <w:rsid w:val="00563488"/>
    <w:rsid w:val="005666D9"/>
    <w:rsid w:val="00566A6E"/>
    <w:rsid w:val="00572E0F"/>
    <w:rsid w:val="00573BEA"/>
    <w:rsid w:val="005754C5"/>
    <w:rsid w:val="00575703"/>
    <w:rsid w:val="00583AEB"/>
    <w:rsid w:val="0059049D"/>
    <w:rsid w:val="005956F3"/>
    <w:rsid w:val="005A0479"/>
    <w:rsid w:val="005A77F9"/>
    <w:rsid w:val="005B1E93"/>
    <w:rsid w:val="005B3145"/>
    <w:rsid w:val="005B66C1"/>
    <w:rsid w:val="005C1187"/>
    <w:rsid w:val="005C24FB"/>
    <w:rsid w:val="005C2D89"/>
    <w:rsid w:val="005C30FE"/>
    <w:rsid w:val="005D0778"/>
    <w:rsid w:val="005D679B"/>
    <w:rsid w:val="005E2419"/>
    <w:rsid w:val="005E4B9B"/>
    <w:rsid w:val="005F0D3D"/>
    <w:rsid w:val="005F13A5"/>
    <w:rsid w:val="005F5C83"/>
    <w:rsid w:val="005F6A48"/>
    <w:rsid w:val="005F7AE5"/>
    <w:rsid w:val="00603837"/>
    <w:rsid w:val="00605DF8"/>
    <w:rsid w:val="00611697"/>
    <w:rsid w:val="00611CD7"/>
    <w:rsid w:val="00612B47"/>
    <w:rsid w:val="00621142"/>
    <w:rsid w:val="006243C8"/>
    <w:rsid w:val="00624E60"/>
    <w:rsid w:val="0062559F"/>
    <w:rsid w:val="00627273"/>
    <w:rsid w:val="00632F2F"/>
    <w:rsid w:val="006332B3"/>
    <w:rsid w:val="006413C9"/>
    <w:rsid w:val="0064189C"/>
    <w:rsid w:val="00646D74"/>
    <w:rsid w:val="0064739F"/>
    <w:rsid w:val="00647897"/>
    <w:rsid w:val="0065187C"/>
    <w:rsid w:val="00655D59"/>
    <w:rsid w:val="006573D1"/>
    <w:rsid w:val="00670BD1"/>
    <w:rsid w:val="00670F84"/>
    <w:rsid w:val="00674FA7"/>
    <w:rsid w:val="00675CE9"/>
    <w:rsid w:val="006805BE"/>
    <w:rsid w:val="00681938"/>
    <w:rsid w:val="00682C84"/>
    <w:rsid w:val="00685BBF"/>
    <w:rsid w:val="006863BE"/>
    <w:rsid w:val="00687410"/>
    <w:rsid w:val="00693351"/>
    <w:rsid w:val="00696738"/>
    <w:rsid w:val="006A3625"/>
    <w:rsid w:val="006A7C13"/>
    <w:rsid w:val="006B6185"/>
    <w:rsid w:val="006B61C3"/>
    <w:rsid w:val="006B7C00"/>
    <w:rsid w:val="006C2E81"/>
    <w:rsid w:val="006C694A"/>
    <w:rsid w:val="006E1E66"/>
    <w:rsid w:val="006E2EA5"/>
    <w:rsid w:val="006E4A0A"/>
    <w:rsid w:val="006E68BB"/>
    <w:rsid w:val="006F26B0"/>
    <w:rsid w:val="006F5080"/>
    <w:rsid w:val="00711126"/>
    <w:rsid w:val="0072448A"/>
    <w:rsid w:val="00725FD3"/>
    <w:rsid w:val="00742E49"/>
    <w:rsid w:val="00747365"/>
    <w:rsid w:val="0075339B"/>
    <w:rsid w:val="00766EA4"/>
    <w:rsid w:val="00767BA7"/>
    <w:rsid w:val="00770E45"/>
    <w:rsid w:val="00770F54"/>
    <w:rsid w:val="00776AEA"/>
    <w:rsid w:val="00777621"/>
    <w:rsid w:val="007805E4"/>
    <w:rsid w:val="007835DE"/>
    <w:rsid w:val="007857BA"/>
    <w:rsid w:val="00786DAA"/>
    <w:rsid w:val="00786FBB"/>
    <w:rsid w:val="00794288"/>
    <w:rsid w:val="007A2BBD"/>
    <w:rsid w:val="007A38C8"/>
    <w:rsid w:val="007B2DB2"/>
    <w:rsid w:val="007B7FAE"/>
    <w:rsid w:val="007C0BD8"/>
    <w:rsid w:val="007C1123"/>
    <w:rsid w:val="007D5DC3"/>
    <w:rsid w:val="007F00CD"/>
    <w:rsid w:val="007F38E8"/>
    <w:rsid w:val="007F7CF1"/>
    <w:rsid w:val="008033D4"/>
    <w:rsid w:val="00803932"/>
    <w:rsid w:val="00816F81"/>
    <w:rsid w:val="00817369"/>
    <w:rsid w:val="0081751C"/>
    <w:rsid w:val="00824CC8"/>
    <w:rsid w:val="00826C90"/>
    <w:rsid w:val="00826D54"/>
    <w:rsid w:val="00832DE3"/>
    <w:rsid w:val="00836182"/>
    <w:rsid w:val="00840AA2"/>
    <w:rsid w:val="00840F13"/>
    <w:rsid w:val="00846F1D"/>
    <w:rsid w:val="0084704A"/>
    <w:rsid w:val="00847912"/>
    <w:rsid w:val="00853C30"/>
    <w:rsid w:val="00872A28"/>
    <w:rsid w:val="00882B49"/>
    <w:rsid w:val="0088461B"/>
    <w:rsid w:val="008905D9"/>
    <w:rsid w:val="00890775"/>
    <w:rsid w:val="00894F18"/>
    <w:rsid w:val="00895D3A"/>
    <w:rsid w:val="008A4F5A"/>
    <w:rsid w:val="008B22DC"/>
    <w:rsid w:val="008C5E61"/>
    <w:rsid w:val="008D1E11"/>
    <w:rsid w:val="008D3EB5"/>
    <w:rsid w:val="008E0A03"/>
    <w:rsid w:val="008E0A64"/>
    <w:rsid w:val="008E19B4"/>
    <w:rsid w:val="008E69E1"/>
    <w:rsid w:val="008E6AB9"/>
    <w:rsid w:val="008F0A97"/>
    <w:rsid w:val="009000FA"/>
    <w:rsid w:val="009112DF"/>
    <w:rsid w:val="009123F9"/>
    <w:rsid w:val="00913A08"/>
    <w:rsid w:val="00913E65"/>
    <w:rsid w:val="0091457E"/>
    <w:rsid w:val="00925275"/>
    <w:rsid w:val="00931E3C"/>
    <w:rsid w:val="00935108"/>
    <w:rsid w:val="009351BB"/>
    <w:rsid w:val="009414DC"/>
    <w:rsid w:val="00942D68"/>
    <w:rsid w:val="0094522A"/>
    <w:rsid w:val="00954218"/>
    <w:rsid w:val="009600EC"/>
    <w:rsid w:val="009610F6"/>
    <w:rsid w:val="00961B1D"/>
    <w:rsid w:val="00961ED7"/>
    <w:rsid w:val="0096564B"/>
    <w:rsid w:val="00977AD2"/>
    <w:rsid w:val="00980175"/>
    <w:rsid w:val="0098443D"/>
    <w:rsid w:val="009968C3"/>
    <w:rsid w:val="0099721E"/>
    <w:rsid w:val="009A204C"/>
    <w:rsid w:val="009A285E"/>
    <w:rsid w:val="009A33F4"/>
    <w:rsid w:val="009A5E19"/>
    <w:rsid w:val="009B6CF6"/>
    <w:rsid w:val="009C0CC9"/>
    <w:rsid w:val="009C291B"/>
    <w:rsid w:val="009C2D9A"/>
    <w:rsid w:val="009C4B06"/>
    <w:rsid w:val="009D54DC"/>
    <w:rsid w:val="009E2F1D"/>
    <w:rsid w:val="009F1A72"/>
    <w:rsid w:val="009F412E"/>
    <w:rsid w:val="009F6055"/>
    <w:rsid w:val="00A04452"/>
    <w:rsid w:val="00A0553A"/>
    <w:rsid w:val="00A05ABA"/>
    <w:rsid w:val="00A06099"/>
    <w:rsid w:val="00A07586"/>
    <w:rsid w:val="00A07E10"/>
    <w:rsid w:val="00A10DB3"/>
    <w:rsid w:val="00A11C28"/>
    <w:rsid w:val="00A12296"/>
    <w:rsid w:val="00A1564C"/>
    <w:rsid w:val="00A17B2C"/>
    <w:rsid w:val="00A36755"/>
    <w:rsid w:val="00A43C87"/>
    <w:rsid w:val="00A451B4"/>
    <w:rsid w:val="00A4634B"/>
    <w:rsid w:val="00A50252"/>
    <w:rsid w:val="00A54B8D"/>
    <w:rsid w:val="00A56734"/>
    <w:rsid w:val="00A60C53"/>
    <w:rsid w:val="00A62687"/>
    <w:rsid w:val="00A6584F"/>
    <w:rsid w:val="00A670AE"/>
    <w:rsid w:val="00A70043"/>
    <w:rsid w:val="00A861E1"/>
    <w:rsid w:val="00AA16A9"/>
    <w:rsid w:val="00AA6548"/>
    <w:rsid w:val="00AB17AC"/>
    <w:rsid w:val="00AB2F2E"/>
    <w:rsid w:val="00AC085B"/>
    <w:rsid w:val="00AD0DAA"/>
    <w:rsid w:val="00AD48A9"/>
    <w:rsid w:val="00AD4AE7"/>
    <w:rsid w:val="00AE04E9"/>
    <w:rsid w:val="00AE5D85"/>
    <w:rsid w:val="00AE7E52"/>
    <w:rsid w:val="00AF3B29"/>
    <w:rsid w:val="00AF5947"/>
    <w:rsid w:val="00AF6005"/>
    <w:rsid w:val="00B10FEF"/>
    <w:rsid w:val="00B15139"/>
    <w:rsid w:val="00B159E5"/>
    <w:rsid w:val="00B163D0"/>
    <w:rsid w:val="00B258E0"/>
    <w:rsid w:val="00B30DFD"/>
    <w:rsid w:val="00B34336"/>
    <w:rsid w:val="00B41004"/>
    <w:rsid w:val="00B4567E"/>
    <w:rsid w:val="00B60F9E"/>
    <w:rsid w:val="00B63B6C"/>
    <w:rsid w:val="00B747D3"/>
    <w:rsid w:val="00B77D60"/>
    <w:rsid w:val="00B82AFC"/>
    <w:rsid w:val="00B94347"/>
    <w:rsid w:val="00B96B24"/>
    <w:rsid w:val="00BA6A25"/>
    <w:rsid w:val="00BA70DC"/>
    <w:rsid w:val="00BB0EF0"/>
    <w:rsid w:val="00BB32B5"/>
    <w:rsid w:val="00BB5D69"/>
    <w:rsid w:val="00BC4FF3"/>
    <w:rsid w:val="00BC6C9B"/>
    <w:rsid w:val="00BE04E5"/>
    <w:rsid w:val="00BE1CBA"/>
    <w:rsid w:val="00BE3A14"/>
    <w:rsid w:val="00BE401B"/>
    <w:rsid w:val="00BE4CCA"/>
    <w:rsid w:val="00BE53E7"/>
    <w:rsid w:val="00BE5A8C"/>
    <w:rsid w:val="00BF1D20"/>
    <w:rsid w:val="00BF28FF"/>
    <w:rsid w:val="00BF408A"/>
    <w:rsid w:val="00BF4902"/>
    <w:rsid w:val="00BF5193"/>
    <w:rsid w:val="00BF6499"/>
    <w:rsid w:val="00C01535"/>
    <w:rsid w:val="00C10FF6"/>
    <w:rsid w:val="00C11927"/>
    <w:rsid w:val="00C1771A"/>
    <w:rsid w:val="00C21E79"/>
    <w:rsid w:val="00C22547"/>
    <w:rsid w:val="00C239A5"/>
    <w:rsid w:val="00C30AD4"/>
    <w:rsid w:val="00C31114"/>
    <w:rsid w:val="00C33884"/>
    <w:rsid w:val="00C36BD1"/>
    <w:rsid w:val="00C375E9"/>
    <w:rsid w:val="00C520EC"/>
    <w:rsid w:val="00C543D4"/>
    <w:rsid w:val="00C572D9"/>
    <w:rsid w:val="00C70258"/>
    <w:rsid w:val="00C815EE"/>
    <w:rsid w:val="00C81BCB"/>
    <w:rsid w:val="00C84577"/>
    <w:rsid w:val="00C84F6E"/>
    <w:rsid w:val="00C85AC5"/>
    <w:rsid w:val="00C85C3B"/>
    <w:rsid w:val="00C92D9B"/>
    <w:rsid w:val="00C93224"/>
    <w:rsid w:val="00C94516"/>
    <w:rsid w:val="00C94925"/>
    <w:rsid w:val="00C961EA"/>
    <w:rsid w:val="00CA3F51"/>
    <w:rsid w:val="00CA5FB5"/>
    <w:rsid w:val="00CA5FEC"/>
    <w:rsid w:val="00CA6E8E"/>
    <w:rsid w:val="00CB6BF2"/>
    <w:rsid w:val="00CC268C"/>
    <w:rsid w:val="00CC4F6B"/>
    <w:rsid w:val="00CD18FF"/>
    <w:rsid w:val="00CD545A"/>
    <w:rsid w:val="00CD5FF5"/>
    <w:rsid w:val="00CE00F0"/>
    <w:rsid w:val="00CE0248"/>
    <w:rsid w:val="00CE3C57"/>
    <w:rsid w:val="00CE6583"/>
    <w:rsid w:val="00CE6939"/>
    <w:rsid w:val="00CE77E9"/>
    <w:rsid w:val="00CF336B"/>
    <w:rsid w:val="00CF4D8A"/>
    <w:rsid w:val="00CF4E42"/>
    <w:rsid w:val="00D01F0D"/>
    <w:rsid w:val="00D03915"/>
    <w:rsid w:val="00D07F06"/>
    <w:rsid w:val="00D201BB"/>
    <w:rsid w:val="00D30253"/>
    <w:rsid w:val="00D306AF"/>
    <w:rsid w:val="00D3246C"/>
    <w:rsid w:val="00D40921"/>
    <w:rsid w:val="00D42D6F"/>
    <w:rsid w:val="00D43DF6"/>
    <w:rsid w:val="00D4409A"/>
    <w:rsid w:val="00D55DB2"/>
    <w:rsid w:val="00D56B49"/>
    <w:rsid w:val="00D57519"/>
    <w:rsid w:val="00D57AE5"/>
    <w:rsid w:val="00D651AA"/>
    <w:rsid w:val="00D65525"/>
    <w:rsid w:val="00D6613D"/>
    <w:rsid w:val="00D66443"/>
    <w:rsid w:val="00D714C9"/>
    <w:rsid w:val="00D7197C"/>
    <w:rsid w:val="00D74F2C"/>
    <w:rsid w:val="00D75D75"/>
    <w:rsid w:val="00D80FA6"/>
    <w:rsid w:val="00D81C16"/>
    <w:rsid w:val="00D8684D"/>
    <w:rsid w:val="00D92734"/>
    <w:rsid w:val="00D9597C"/>
    <w:rsid w:val="00DA303E"/>
    <w:rsid w:val="00DB3D65"/>
    <w:rsid w:val="00DB4B0F"/>
    <w:rsid w:val="00DC5546"/>
    <w:rsid w:val="00DD3BAF"/>
    <w:rsid w:val="00DD3C5B"/>
    <w:rsid w:val="00DD4FB2"/>
    <w:rsid w:val="00DD5AA2"/>
    <w:rsid w:val="00DE0F7A"/>
    <w:rsid w:val="00DF3DDA"/>
    <w:rsid w:val="00DF7D20"/>
    <w:rsid w:val="00E01507"/>
    <w:rsid w:val="00E022F4"/>
    <w:rsid w:val="00E05CF6"/>
    <w:rsid w:val="00E10062"/>
    <w:rsid w:val="00E11622"/>
    <w:rsid w:val="00E14E7F"/>
    <w:rsid w:val="00E23619"/>
    <w:rsid w:val="00E26415"/>
    <w:rsid w:val="00E32BA8"/>
    <w:rsid w:val="00E35CCB"/>
    <w:rsid w:val="00E41168"/>
    <w:rsid w:val="00E4195E"/>
    <w:rsid w:val="00E41CA7"/>
    <w:rsid w:val="00E42A40"/>
    <w:rsid w:val="00E469D6"/>
    <w:rsid w:val="00E506F2"/>
    <w:rsid w:val="00E54903"/>
    <w:rsid w:val="00E622BA"/>
    <w:rsid w:val="00E66BDC"/>
    <w:rsid w:val="00E75FEF"/>
    <w:rsid w:val="00E80B22"/>
    <w:rsid w:val="00E81F62"/>
    <w:rsid w:val="00E83269"/>
    <w:rsid w:val="00E86257"/>
    <w:rsid w:val="00E956C8"/>
    <w:rsid w:val="00EA411E"/>
    <w:rsid w:val="00EA7BD8"/>
    <w:rsid w:val="00EC189D"/>
    <w:rsid w:val="00EC3A7C"/>
    <w:rsid w:val="00ED0D99"/>
    <w:rsid w:val="00ED2754"/>
    <w:rsid w:val="00ED36D4"/>
    <w:rsid w:val="00EE5F50"/>
    <w:rsid w:val="00EE60FB"/>
    <w:rsid w:val="00EF36C6"/>
    <w:rsid w:val="00EF48AB"/>
    <w:rsid w:val="00F005A2"/>
    <w:rsid w:val="00F01244"/>
    <w:rsid w:val="00F01F5F"/>
    <w:rsid w:val="00F119A9"/>
    <w:rsid w:val="00F2090E"/>
    <w:rsid w:val="00F211FF"/>
    <w:rsid w:val="00F252CA"/>
    <w:rsid w:val="00F30358"/>
    <w:rsid w:val="00F303E4"/>
    <w:rsid w:val="00F329A8"/>
    <w:rsid w:val="00F3434E"/>
    <w:rsid w:val="00F427BA"/>
    <w:rsid w:val="00F4317B"/>
    <w:rsid w:val="00F452E2"/>
    <w:rsid w:val="00F6479A"/>
    <w:rsid w:val="00F652D7"/>
    <w:rsid w:val="00F7258D"/>
    <w:rsid w:val="00F830A7"/>
    <w:rsid w:val="00F83863"/>
    <w:rsid w:val="00F83978"/>
    <w:rsid w:val="00F90182"/>
    <w:rsid w:val="00F926BB"/>
    <w:rsid w:val="00F94C71"/>
    <w:rsid w:val="00F977CE"/>
    <w:rsid w:val="00FA5197"/>
    <w:rsid w:val="00FB50D5"/>
    <w:rsid w:val="00FB56C6"/>
    <w:rsid w:val="00FD1FED"/>
    <w:rsid w:val="00FD7AE4"/>
    <w:rsid w:val="00FE28F0"/>
    <w:rsid w:val="00FF23D8"/>
    <w:rsid w:val="00FF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F29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03"/>
    <w:pPr>
      <w:spacing w:after="0" w:line="240" w:lineRule="auto"/>
    </w:pPr>
    <w:rPr>
      <w:rFonts w:ascii="Garamond" w:eastAsia="Times" w:hAnsi="Garamond" w:cs="Times New Roman"/>
      <w:sz w:val="24"/>
      <w:szCs w:val="20"/>
      <w:lang w:val="es-ES_tradnl"/>
    </w:rPr>
  </w:style>
  <w:style w:type="paragraph" w:styleId="Heading1">
    <w:name w:val="heading 1"/>
    <w:basedOn w:val="Normal"/>
    <w:next w:val="Normal"/>
    <w:link w:val="Heading1Char"/>
    <w:uiPriority w:val="9"/>
    <w:qFormat/>
    <w:rsid w:val="00407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03"/>
    <w:pPr>
      <w:tabs>
        <w:tab w:val="center" w:pos="4419"/>
        <w:tab w:val="right" w:pos="8838"/>
      </w:tabs>
    </w:pPr>
  </w:style>
  <w:style w:type="character" w:customStyle="1" w:styleId="HeaderChar">
    <w:name w:val="Header Char"/>
    <w:basedOn w:val="DefaultParagraphFont"/>
    <w:link w:val="Header"/>
    <w:uiPriority w:val="99"/>
    <w:rsid w:val="00E54903"/>
    <w:rPr>
      <w:rFonts w:ascii="Garamond" w:eastAsia="Times" w:hAnsi="Garamond" w:cs="Times New Roman"/>
      <w:sz w:val="24"/>
      <w:szCs w:val="20"/>
      <w:lang w:val="es-ES_tradnl"/>
    </w:rPr>
  </w:style>
  <w:style w:type="paragraph" w:styleId="Footer">
    <w:name w:val="footer"/>
    <w:basedOn w:val="Normal"/>
    <w:link w:val="FooterChar"/>
    <w:uiPriority w:val="99"/>
    <w:unhideWhenUsed/>
    <w:rsid w:val="00E54903"/>
    <w:pPr>
      <w:tabs>
        <w:tab w:val="center" w:pos="4419"/>
        <w:tab w:val="right" w:pos="8838"/>
      </w:tabs>
    </w:pPr>
  </w:style>
  <w:style w:type="character" w:customStyle="1" w:styleId="FooterChar">
    <w:name w:val="Footer Char"/>
    <w:basedOn w:val="DefaultParagraphFont"/>
    <w:link w:val="Footer"/>
    <w:uiPriority w:val="99"/>
    <w:rsid w:val="00E54903"/>
    <w:rPr>
      <w:rFonts w:ascii="Garamond" w:eastAsia="Times" w:hAnsi="Garamond" w:cs="Times New Roman"/>
      <w:sz w:val="24"/>
      <w:szCs w:val="20"/>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rsid w:val="00E54903"/>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E54903"/>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qFormat/>
    <w:rsid w:val="00E54903"/>
    <w:rPr>
      <w:vertAlign w:val="superscript"/>
    </w:rPr>
  </w:style>
  <w:style w:type="character" w:styleId="Hyperlink">
    <w:name w:val="Hyperlink"/>
    <w:uiPriority w:val="99"/>
    <w:unhideWhenUsed/>
    <w:rsid w:val="00E54903"/>
    <w:rPr>
      <w:color w:val="0000FF"/>
      <w:u w:val="single"/>
    </w:rPr>
  </w:style>
  <w:style w:type="character" w:styleId="Strong">
    <w:name w:val="Strong"/>
    <w:uiPriority w:val="22"/>
    <w:qFormat/>
    <w:rsid w:val="00E54903"/>
    <w:rPr>
      <w:b/>
      <w:bCs/>
    </w:rPr>
  </w:style>
  <w:style w:type="paragraph" w:styleId="ListParagraph">
    <w:name w:val="List Paragraph"/>
    <w:aliases w:val="Footnote,Párrafo de lista1,List Paragraph1,Colorful List - Accent 11"/>
    <w:basedOn w:val="Normal"/>
    <w:link w:val="ListParagraphChar"/>
    <w:qFormat/>
    <w:rsid w:val="00E54903"/>
    <w:pPr>
      <w:ind w:left="720"/>
      <w:contextualSpacing/>
    </w:pPr>
  </w:style>
  <w:style w:type="character" w:customStyle="1" w:styleId="ListParagraphChar">
    <w:name w:val="List Paragraph Char"/>
    <w:aliases w:val="Footnote Char,Párrafo de lista1 Char,List Paragraph1 Char,Colorful List - Accent 11 Char"/>
    <w:link w:val="ListParagraph"/>
    <w:uiPriority w:val="34"/>
    <w:locked/>
    <w:rsid w:val="00E54903"/>
    <w:rPr>
      <w:rFonts w:ascii="Garamond" w:eastAsia="Times" w:hAnsi="Garamond" w:cs="Times New Roman"/>
      <w:sz w:val="24"/>
      <w:szCs w:val="20"/>
      <w:lang w:val="es-ES_tradnl"/>
    </w:rPr>
  </w:style>
  <w:style w:type="paragraph" w:styleId="BalloonText">
    <w:name w:val="Balloon Text"/>
    <w:basedOn w:val="Normal"/>
    <w:link w:val="BalloonTextChar"/>
    <w:uiPriority w:val="99"/>
    <w:semiHidden/>
    <w:unhideWhenUsed/>
    <w:rsid w:val="00023701"/>
    <w:rPr>
      <w:rFonts w:ascii="Tahoma" w:hAnsi="Tahoma" w:cs="Tahoma"/>
      <w:sz w:val="16"/>
      <w:szCs w:val="16"/>
    </w:rPr>
  </w:style>
  <w:style w:type="character" w:customStyle="1" w:styleId="BalloonTextChar">
    <w:name w:val="Balloon Text Char"/>
    <w:basedOn w:val="DefaultParagraphFont"/>
    <w:link w:val="BalloonText"/>
    <w:uiPriority w:val="99"/>
    <w:semiHidden/>
    <w:rsid w:val="00023701"/>
    <w:rPr>
      <w:rFonts w:ascii="Tahoma" w:eastAsia="Times" w:hAnsi="Tahoma" w:cs="Tahoma"/>
      <w:sz w:val="16"/>
      <w:szCs w:val="16"/>
      <w:lang w:val="es-ES_tradnl"/>
    </w:rPr>
  </w:style>
  <w:style w:type="character" w:styleId="FollowedHyperlink">
    <w:name w:val="FollowedHyperlink"/>
    <w:basedOn w:val="DefaultParagraphFont"/>
    <w:uiPriority w:val="99"/>
    <w:semiHidden/>
    <w:unhideWhenUsed/>
    <w:rsid w:val="00C36BD1"/>
    <w:rPr>
      <w:color w:val="800080" w:themeColor="followedHyperlink"/>
      <w:u w:val="single"/>
    </w:rPr>
  </w:style>
  <w:style w:type="character" w:styleId="CommentReference">
    <w:name w:val="annotation reference"/>
    <w:basedOn w:val="DefaultParagraphFont"/>
    <w:uiPriority w:val="99"/>
    <w:semiHidden/>
    <w:unhideWhenUsed/>
    <w:rsid w:val="00767BA7"/>
    <w:rPr>
      <w:sz w:val="16"/>
      <w:szCs w:val="16"/>
    </w:rPr>
  </w:style>
  <w:style w:type="paragraph" w:styleId="CommentText">
    <w:name w:val="annotation text"/>
    <w:basedOn w:val="Normal"/>
    <w:link w:val="CommentTextChar"/>
    <w:uiPriority w:val="99"/>
    <w:semiHidden/>
    <w:unhideWhenUsed/>
    <w:rsid w:val="00767BA7"/>
    <w:rPr>
      <w:sz w:val="20"/>
    </w:rPr>
  </w:style>
  <w:style w:type="character" w:customStyle="1" w:styleId="CommentTextChar">
    <w:name w:val="Comment Text Char"/>
    <w:basedOn w:val="DefaultParagraphFont"/>
    <w:link w:val="CommentText"/>
    <w:uiPriority w:val="99"/>
    <w:semiHidden/>
    <w:rsid w:val="00767BA7"/>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767BA7"/>
    <w:rPr>
      <w:b/>
      <w:bCs/>
    </w:rPr>
  </w:style>
  <w:style w:type="character" w:customStyle="1" w:styleId="CommentSubjectChar">
    <w:name w:val="Comment Subject Char"/>
    <w:basedOn w:val="CommentTextChar"/>
    <w:link w:val="CommentSubject"/>
    <w:uiPriority w:val="99"/>
    <w:semiHidden/>
    <w:rsid w:val="00767BA7"/>
    <w:rPr>
      <w:rFonts w:ascii="Garamond" w:eastAsia="Times" w:hAnsi="Garamond" w:cs="Times New Roman"/>
      <w:b/>
      <w:bCs/>
      <w:sz w:val="20"/>
      <w:szCs w:val="20"/>
      <w:lang w:val="es-ES_tradnl"/>
    </w:rPr>
  </w:style>
  <w:style w:type="paragraph" w:styleId="Revision">
    <w:name w:val="Revision"/>
    <w:hidden/>
    <w:uiPriority w:val="99"/>
    <w:semiHidden/>
    <w:rsid w:val="00767BA7"/>
    <w:pPr>
      <w:spacing w:after="0" w:line="240" w:lineRule="auto"/>
    </w:pPr>
    <w:rPr>
      <w:rFonts w:ascii="Garamond" w:eastAsia="Times" w:hAnsi="Garamond" w:cs="Times New Roman"/>
      <w:sz w:val="24"/>
      <w:szCs w:val="20"/>
      <w:lang w:val="es-ES_tradnl"/>
    </w:rPr>
  </w:style>
  <w:style w:type="character" w:customStyle="1" w:styleId="Heading1Char">
    <w:name w:val="Heading 1 Char"/>
    <w:basedOn w:val="DefaultParagraphFont"/>
    <w:link w:val="Heading1"/>
    <w:uiPriority w:val="9"/>
    <w:rsid w:val="0040761F"/>
    <w:rPr>
      <w:rFonts w:asciiTheme="majorHAnsi" w:eastAsiaTheme="majorEastAsia" w:hAnsiTheme="majorHAnsi" w:cstheme="majorBidi"/>
      <w:b/>
      <w:bCs/>
      <w:color w:val="365F91" w:themeColor="accent1" w:themeShade="BF"/>
      <w:sz w:val="28"/>
      <w:szCs w:val="28"/>
      <w:lang w:val="es-ES_tradnl"/>
    </w:rPr>
  </w:style>
  <w:style w:type="paragraph" w:styleId="TOC1">
    <w:name w:val="toc 1"/>
    <w:basedOn w:val="Normal"/>
    <w:next w:val="Normal"/>
    <w:autoRedefine/>
    <w:uiPriority w:val="39"/>
    <w:unhideWhenUsed/>
    <w:rsid w:val="0040761F"/>
    <w:pPr>
      <w:spacing w:after="100"/>
    </w:pPr>
  </w:style>
  <w:style w:type="character" w:styleId="LineNumber">
    <w:name w:val="line number"/>
    <w:basedOn w:val="DefaultParagraphFont"/>
    <w:uiPriority w:val="99"/>
    <w:semiHidden/>
    <w:unhideWhenUsed/>
    <w:rsid w:val="000B083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11927"/>
    <w:pPr>
      <w:jc w:val="both"/>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semiHidden/>
    <w:unhideWhenUsed/>
    <w:rsid w:val="00770E45"/>
    <w:pPr>
      <w:spacing w:before="100" w:beforeAutospacing="1" w:after="100" w:afterAutospacing="1"/>
    </w:pPr>
    <w:rPr>
      <w:rFonts w:ascii="Times" w:eastAsiaTheme="minorHAnsi" w:hAnsi="Times"/>
      <w:sz w:val="20"/>
      <w:lang w:val="en-US"/>
    </w:rPr>
  </w:style>
  <w:style w:type="paragraph" w:styleId="BodyText2">
    <w:name w:val="Body Text 2"/>
    <w:basedOn w:val="Normal"/>
    <w:link w:val="BodyText2Char"/>
    <w:uiPriority w:val="99"/>
    <w:semiHidden/>
    <w:unhideWhenUsed/>
    <w:rsid w:val="000E3711"/>
    <w:pPr>
      <w:spacing w:after="120" w:line="480" w:lineRule="auto"/>
    </w:pPr>
    <w:rPr>
      <w:lang w:eastAsia="x-none"/>
    </w:rPr>
  </w:style>
  <w:style w:type="character" w:customStyle="1" w:styleId="BodyText2Char">
    <w:name w:val="Body Text 2 Char"/>
    <w:basedOn w:val="DefaultParagraphFont"/>
    <w:link w:val="BodyText2"/>
    <w:uiPriority w:val="99"/>
    <w:semiHidden/>
    <w:rsid w:val="000E3711"/>
    <w:rPr>
      <w:rFonts w:ascii="Garamond" w:eastAsia="Times" w:hAnsi="Garamond" w:cs="Times New Roman"/>
      <w:sz w:val="24"/>
      <w:szCs w:val="20"/>
      <w:lang w:val="es-ES_tradnl" w:eastAsia="x-none"/>
    </w:rPr>
  </w:style>
  <w:style w:type="character" w:customStyle="1" w:styleId="UnresolvedMention">
    <w:name w:val="Unresolved Mention"/>
    <w:basedOn w:val="DefaultParagraphFont"/>
    <w:uiPriority w:val="99"/>
    <w:semiHidden/>
    <w:unhideWhenUsed/>
    <w:rsid w:val="008907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03"/>
    <w:pPr>
      <w:spacing w:after="0" w:line="240" w:lineRule="auto"/>
    </w:pPr>
    <w:rPr>
      <w:rFonts w:ascii="Garamond" w:eastAsia="Times" w:hAnsi="Garamond" w:cs="Times New Roman"/>
      <w:sz w:val="24"/>
      <w:szCs w:val="20"/>
      <w:lang w:val="es-ES_tradnl"/>
    </w:rPr>
  </w:style>
  <w:style w:type="paragraph" w:styleId="Heading1">
    <w:name w:val="heading 1"/>
    <w:basedOn w:val="Normal"/>
    <w:next w:val="Normal"/>
    <w:link w:val="Heading1Char"/>
    <w:uiPriority w:val="9"/>
    <w:qFormat/>
    <w:rsid w:val="00407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03"/>
    <w:pPr>
      <w:tabs>
        <w:tab w:val="center" w:pos="4419"/>
        <w:tab w:val="right" w:pos="8838"/>
      </w:tabs>
    </w:pPr>
  </w:style>
  <w:style w:type="character" w:customStyle="1" w:styleId="HeaderChar">
    <w:name w:val="Header Char"/>
    <w:basedOn w:val="DefaultParagraphFont"/>
    <w:link w:val="Header"/>
    <w:uiPriority w:val="99"/>
    <w:rsid w:val="00E54903"/>
    <w:rPr>
      <w:rFonts w:ascii="Garamond" w:eastAsia="Times" w:hAnsi="Garamond" w:cs="Times New Roman"/>
      <w:sz w:val="24"/>
      <w:szCs w:val="20"/>
      <w:lang w:val="es-ES_tradnl"/>
    </w:rPr>
  </w:style>
  <w:style w:type="paragraph" w:styleId="Footer">
    <w:name w:val="footer"/>
    <w:basedOn w:val="Normal"/>
    <w:link w:val="FooterChar"/>
    <w:uiPriority w:val="99"/>
    <w:unhideWhenUsed/>
    <w:rsid w:val="00E54903"/>
    <w:pPr>
      <w:tabs>
        <w:tab w:val="center" w:pos="4419"/>
        <w:tab w:val="right" w:pos="8838"/>
      </w:tabs>
    </w:pPr>
  </w:style>
  <w:style w:type="character" w:customStyle="1" w:styleId="FooterChar">
    <w:name w:val="Footer Char"/>
    <w:basedOn w:val="DefaultParagraphFont"/>
    <w:link w:val="Footer"/>
    <w:uiPriority w:val="99"/>
    <w:rsid w:val="00E54903"/>
    <w:rPr>
      <w:rFonts w:ascii="Garamond" w:eastAsia="Times" w:hAnsi="Garamond" w:cs="Times New Roman"/>
      <w:sz w:val="24"/>
      <w:szCs w:val="20"/>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rsid w:val="00E54903"/>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E54903"/>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qFormat/>
    <w:rsid w:val="00E54903"/>
    <w:rPr>
      <w:vertAlign w:val="superscript"/>
    </w:rPr>
  </w:style>
  <w:style w:type="character" w:styleId="Hyperlink">
    <w:name w:val="Hyperlink"/>
    <w:uiPriority w:val="99"/>
    <w:unhideWhenUsed/>
    <w:rsid w:val="00E54903"/>
    <w:rPr>
      <w:color w:val="0000FF"/>
      <w:u w:val="single"/>
    </w:rPr>
  </w:style>
  <w:style w:type="character" w:styleId="Strong">
    <w:name w:val="Strong"/>
    <w:uiPriority w:val="22"/>
    <w:qFormat/>
    <w:rsid w:val="00E54903"/>
    <w:rPr>
      <w:b/>
      <w:bCs/>
    </w:rPr>
  </w:style>
  <w:style w:type="paragraph" w:styleId="ListParagraph">
    <w:name w:val="List Paragraph"/>
    <w:aliases w:val="Footnote,Párrafo de lista1,List Paragraph1,Colorful List - Accent 11"/>
    <w:basedOn w:val="Normal"/>
    <w:link w:val="ListParagraphChar"/>
    <w:qFormat/>
    <w:rsid w:val="00E54903"/>
    <w:pPr>
      <w:ind w:left="720"/>
      <w:contextualSpacing/>
    </w:pPr>
  </w:style>
  <w:style w:type="character" w:customStyle="1" w:styleId="ListParagraphChar">
    <w:name w:val="List Paragraph Char"/>
    <w:aliases w:val="Footnote Char,Párrafo de lista1 Char,List Paragraph1 Char,Colorful List - Accent 11 Char"/>
    <w:link w:val="ListParagraph"/>
    <w:uiPriority w:val="34"/>
    <w:locked/>
    <w:rsid w:val="00E54903"/>
    <w:rPr>
      <w:rFonts w:ascii="Garamond" w:eastAsia="Times" w:hAnsi="Garamond" w:cs="Times New Roman"/>
      <w:sz w:val="24"/>
      <w:szCs w:val="20"/>
      <w:lang w:val="es-ES_tradnl"/>
    </w:rPr>
  </w:style>
  <w:style w:type="paragraph" w:styleId="BalloonText">
    <w:name w:val="Balloon Text"/>
    <w:basedOn w:val="Normal"/>
    <w:link w:val="BalloonTextChar"/>
    <w:uiPriority w:val="99"/>
    <w:semiHidden/>
    <w:unhideWhenUsed/>
    <w:rsid w:val="00023701"/>
    <w:rPr>
      <w:rFonts w:ascii="Tahoma" w:hAnsi="Tahoma" w:cs="Tahoma"/>
      <w:sz w:val="16"/>
      <w:szCs w:val="16"/>
    </w:rPr>
  </w:style>
  <w:style w:type="character" w:customStyle="1" w:styleId="BalloonTextChar">
    <w:name w:val="Balloon Text Char"/>
    <w:basedOn w:val="DefaultParagraphFont"/>
    <w:link w:val="BalloonText"/>
    <w:uiPriority w:val="99"/>
    <w:semiHidden/>
    <w:rsid w:val="00023701"/>
    <w:rPr>
      <w:rFonts w:ascii="Tahoma" w:eastAsia="Times" w:hAnsi="Tahoma" w:cs="Tahoma"/>
      <w:sz w:val="16"/>
      <w:szCs w:val="16"/>
      <w:lang w:val="es-ES_tradnl"/>
    </w:rPr>
  </w:style>
  <w:style w:type="character" w:styleId="FollowedHyperlink">
    <w:name w:val="FollowedHyperlink"/>
    <w:basedOn w:val="DefaultParagraphFont"/>
    <w:uiPriority w:val="99"/>
    <w:semiHidden/>
    <w:unhideWhenUsed/>
    <w:rsid w:val="00C36BD1"/>
    <w:rPr>
      <w:color w:val="800080" w:themeColor="followedHyperlink"/>
      <w:u w:val="single"/>
    </w:rPr>
  </w:style>
  <w:style w:type="character" w:styleId="CommentReference">
    <w:name w:val="annotation reference"/>
    <w:basedOn w:val="DefaultParagraphFont"/>
    <w:uiPriority w:val="99"/>
    <w:semiHidden/>
    <w:unhideWhenUsed/>
    <w:rsid w:val="00767BA7"/>
    <w:rPr>
      <w:sz w:val="16"/>
      <w:szCs w:val="16"/>
    </w:rPr>
  </w:style>
  <w:style w:type="paragraph" w:styleId="CommentText">
    <w:name w:val="annotation text"/>
    <w:basedOn w:val="Normal"/>
    <w:link w:val="CommentTextChar"/>
    <w:uiPriority w:val="99"/>
    <w:semiHidden/>
    <w:unhideWhenUsed/>
    <w:rsid w:val="00767BA7"/>
    <w:rPr>
      <w:sz w:val="20"/>
    </w:rPr>
  </w:style>
  <w:style w:type="character" w:customStyle="1" w:styleId="CommentTextChar">
    <w:name w:val="Comment Text Char"/>
    <w:basedOn w:val="DefaultParagraphFont"/>
    <w:link w:val="CommentText"/>
    <w:uiPriority w:val="99"/>
    <w:semiHidden/>
    <w:rsid w:val="00767BA7"/>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767BA7"/>
    <w:rPr>
      <w:b/>
      <w:bCs/>
    </w:rPr>
  </w:style>
  <w:style w:type="character" w:customStyle="1" w:styleId="CommentSubjectChar">
    <w:name w:val="Comment Subject Char"/>
    <w:basedOn w:val="CommentTextChar"/>
    <w:link w:val="CommentSubject"/>
    <w:uiPriority w:val="99"/>
    <w:semiHidden/>
    <w:rsid w:val="00767BA7"/>
    <w:rPr>
      <w:rFonts w:ascii="Garamond" w:eastAsia="Times" w:hAnsi="Garamond" w:cs="Times New Roman"/>
      <w:b/>
      <w:bCs/>
      <w:sz w:val="20"/>
      <w:szCs w:val="20"/>
      <w:lang w:val="es-ES_tradnl"/>
    </w:rPr>
  </w:style>
  <w:style w:type="paragraph" w:styleId="Revision">
    <w:name w:val="Revision"/>
    <w:hidden/>
    <w:uiPriority w:val="99"/>
    <w:semiHidden/>
    <w:rsid w:val="00767BA7"/>
    <w:pPr>
      <w:spacing w:after="0" w:line="240" w:lineRule="auto"/>
    </w:pPr>
    <w:rPr>
      <w:rFonts w:ascii="Garamond" w:eastAsia="Times" w:hAnsi="Garamond" w:cs="Times New Roman"/>
      <w:sz w:val="24"/>
      <w:szCs w:val="20"/>
      <w:lang w:val="es-ES_tradnl"/>
    </w:rPr>
  </w:style>
  <w:style w:type="character" w:customStyle="1" w:styleId="Heading1Char">
    <w:name w:val="Heading 1 Char"/>
    <w:basedOn w:val="DefaultParagraphFont"/>
    <w:link w:val="Heading1"/>
    <w:uiPriority w:val="9"/>
    <w:rsid w:val="0040761F"/>
    <w:rPr>
      <w:rFonts w:asciiTheme="majorHAnsi" w:eastAsiaTheme="majorEastAsia" w:hAnsiTheme="majorHAnsi" w:cstheme="majorBidi"/>
      <w:b/>
      <w:bCs/>
      <w:color w:val="365F91" w:themeColor="accent1" w:themeShade="BF"/>
      <w:sz w:val="28"/>
      <w:szCs w:val="28"/>
      <w:lang w:val="es-ES_tradnl"/>
    </w:rPr>
  </w:style>
  <w:style w:type="paragraph" w:styleId="TOC1">
    <w:name w:val="toc 1"/>
    <w:basedOn w:val="Normal"/>
    <w:next w:val="Normal"/>
    <w:autoRedefine/>
    <w:uiPriority w:val="39"/>
    <w:unhideWhenUsed/>
    <w:rsid w:val="0040761F"/>
    <w:pPr>
      <w:spacing w:after="100"/>
    </w:pPr>
  </w:style>
  <w:style w:type="character" w:styleId="LineNumber">
    <w:name w:val="line number"/>
    <w:basedOn w:val="DefaultParagraphFont"/>
    <w:uiPriority w:val="99"/>
    <w:semiHidden/>
    <w:unhideWhenUsed/>
    <w:rsid w:val="000B083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11927"/>
    <w:pPr>
      <w:jc w:val="both"/>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semiHidden/>
    <w:unhideWhenUsed/>
    <w:rsid w:val="00770E45"/>
    <w:pPr>
      <w:spacing w:before="100" w:beforeAutospacing="1" w:after="100" w:afterAutospacing="1"/>
    </w:pPr>
    <w:rPr>
      <w:rFonts w:ascii="Times" w:eastAsiaTheme="minorHAnsi" w:hAnsi="Times"/>
      <w:sz w:val="20"/>
      <w:lang w:val="en-US"/>
    </w:rPr>
  </w:style>
  <w:style w:type="paragraph" w:styleId="BodyText2">
    <w:name w:val="Body Text 2"/>
    <w:basedOn w:val="Normal"/>
    <w:link w:val="BodyText2Char"/>
    <w:uiPriority w:val="99"/>
    <w:semiHidden/>
    <w:unhideWhenUsed/>
    <w:rsid w:val="000E3711"/>
    <w:pPr>
      <w:spacing w:after="120" w:line="480" w:lineRule="auto"/>
    </w:pPr>
    <w:rPr>
      <w:lang w:eastAsia="x-none"/>
    </w:rPr>
  </w:style>
  <w:style w:type="character" w:customStyle="1" w:styleId="BodyText2Char">
    <w:name w:val="Body Text 2 Char"/>
    <w:basedOn w:val="DefaultParagraphFont"/>
    <w:link w:val="BodyText2"/>
    <w:uiPriority w:val="99"/>
    <w:semiHidden/>
    <w:rsid w:val="000E3711"/>
    <w:rPr>
      <w:rFonts w:ascii="Garamond" w:eastAsia="Times" w:hAnsi="Garamond" w:cs="Times New Roman"/>
      <w:sz w:val="24"/>
      <w:szCs w:val="20"/>
      <w:lang w:val="es-ES_tradnl" w:eastAsia="x-none"/>
    </w:rPr>
  </w:style>
  <w:style w:type="character" w:customStyle="1" w:styleId="UnresolvedMention">
    <w:name w:val="Unresolved Mention"/>
    <w:basedOn w:val="DefaultParagraphFont"/>
    <w:uiPriority w:val="99"/>
    <w:semiHidden/>
    <w:unhideWhenUsed/>
    <w:rsid w:val="0089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373">
      <w:bodyDiv w:val="1"/>
      <w:marLeft w:val="0"/>
      <w:marRight w:val="0"/>
      <w:marTop w:val="0"/>
      <w:marBottom w:val="0"/>
      <w:divBdr>
        <w:top w:val="none" w:sz="0" w:space="0" w:color="auto"/>
        <w:left w:val="none" w:sz="0" w:space="0" w:color="auto"/>
        <w:bottom w:val="none" w:sz="0" w:space="0" w:color="auto"/>
        <w:right w:val="none" w:sz="0" w:space="0" w:color="auto"/>
      </w:divBdr>
    </w:div>
    <w:div w:id="238490802">
      <w:bodyDiv w:val="1"/>
      <w:marLeft w:val="0"/>
      <w:marRight w:val="0"/>
      <w:marTop w:val="0"/>
      <w:marBottom w:val="0"/>
      <w:divBdr>
        <w:top w:val="none" w:sz="0" w:space="0" w:color="auto"/>
        <w:left w:val="none" w:sz="0" w:space="0" w:color="auto"/>
        <w:bottom w:val="none" w:sz="0" w:space="0" w:color="auto"/>
        <w:right w:val="none" w:sz="0" w:space="0" w:color="auto"/>
      </w:divBdr>
    </w:div>
    <w:div w:id="287707575">
      <w:bodyDiv w:val="1"/>
      <w:marLeft w:val="0"/>
      <w:marRight w:val="0"/>
      <w:marTop w:val="0"/>
      <w:marBottom w:val="0"/>
      <w:divBdr>
        <w:top w:val="none" w:sz="0" w:space="0" w:color="auto"/>
        <w:left w:val="none" w:sz="0" w:space="0" w:color="auto"/>
        <w:bottom w:val="none" w:sz="0" w:space="0" w:color="auto"/>
        <w:right w:val="none" w:sz="0" w:space="0" w:color="auto"/>
      </w:divBdr>
      <w:divsChild>
        <w:div w:id="1516381707">
          <w:marLeft w:val="0"/>
          <w:marRight w:val="0"/>
          <w:marTop w:val="0"/>
          <w:marBottom w:val="0"/>
          <w:divBdr>
            <w:top w:val="none" w:sz="0" w:space="0" w:color="auto"/>
            <w:left w:val="none" w:sz="0" w:space="0" w:color="auto"/>
            <w:bottom w:val="none" w:sz="0" w:space="0" w:color="auto"/>
            <w:right w:val="none" w:sz="0" w:space="0" w:color="auto"/>
          </w:divBdr>
          <w:divsChild>
            <w:div w:id="1284923671">
              <w:marLeft w:val="0"/>
              <w:marRight w:val="0"/>
              <w:marTop w:val="0"/>
              <w:marBottom w:val="0"/>
              <w:divBdr>
                <w:top w:val="none" w:sz="0" w:space="0" w:color="auto"/>
                <w:left w:val="none" w:sz="0" w:space="0" w:color="auto"/>
                <w:bottom w:val="none" w:sz="0" w:space="0" w:color="auto"/>
                <w:right w:val="none" w:sz="0" w:space="0" w:color="auto"/>
              </w:divBdr>
              <w:divsChild>
                <w:div w:id="3637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7616">
      <w:bodyDiv w:val="1"/>
      <w:marLeft w:val="0"/>
      <w:marRight w:val="0"/>
      <w:marTop w:val="0"/>
      <w:marBottom w:val="0"/>
      <w:divBdr>
        <w:top w:val="none" w:sz="0" w:space="0" w:color="auto"/>
        <w:left w:val="none" w:sz="0" w:space="0" w:color="auto"/>
        <w:bottom w:val="none" w:sz="0" w:space="0" w:color="auto"/>
        <w:right w:val="none" w:sz="0" w:space="0" w:color="auto"/>
      </w:divBdr>
      <w:divsChild>
        <w:div w:id="1244295875">
          <w:marLeft w:val="0"/>
          <w:marRight w:val="0"/>
          <w:marTop w:val="0"/>
          <w:marBottom w:val="0"/>
          <w:divBdr>
            <w:top w:val="none" w:sz="0" w:space="0" w:color="auto"/>
            <w:left w:val="none" w:sz="0" w:space="0" w:color="auto"/>
            <w:bottom w:val="none" w:sz="0" w:space="0" w:color="auto"/>
            <w:right w:val="none" w:sz="0" w:space="0" w:color="auto"/>
          </w:divBdr>
          <w:divsChild>
            <w:div w:id="1662924258">
              <w:marLeft w:val="0"/>
              <w:marRight w:val="0"/>
              <w:marTop w:val="0"/>
              <w:marBottom w:val="0"/>
              <w:divBdr>
                <w:top w:val="none" w:sz="0" w:space="0" w:color="auto"/>
                <w:left w:val="none" w:sz="0" w:space="0" w:color="auto"/>
                <w:bottom w:val="none" w:sz="0" w:space="0" w:color="auto"/>
                <w:right w:val="none" w:sz="0" w:space="0" w:color="auto"/>
              </w:divBdr>
              <w:divsChild>
                <w:div w:id="1173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6928">
      <w:bodyDiv w:val="1"/>
      <w:marLeft w:val="0"/>
      <w:marRight w:val="0"/>
      <w:marTop w:val="0"/>
      <w:marBottom w:val="0"/>
      <w:divBdr>
        <w:top w:val="none" w:sz="0" w:space="0" w:color="auto"/>
        <w:left w:val="none" w:sz="0" w:space="0" w:color="auto"/>
        <w:bottom w:val="none" w:sz="0" w:space="0" w:color="auto"/>
        <w:right w:val="none" w:sz="0" w:space="0" w:color="auto"/>
      </w:divBdr>
    </w:div>
    <w:div w:id="1146895927">
      <w:bodyDiv w:val="1"/>
      <w:marLeft w:val="0"/>
      <w:marRight w:val="0"/>
      <w:marTop w:val="0"/>
      <w:marBottom w:val="0"/>
      <w:divBdr>
        <w:top w:val="none" w:sz="0" w:space="0" w:color="auto"/>
        <w:left w:val="none" w:sz="0" w:space="0" w:color="auto"/>
        <w:bottom w:val="none" w:sz="0" w:space="0" w:color="auto"/>
        <w:right w:val="none" w:sz="0" w:space="0" w:color="auto"/>
      </w:divBdr>
    </w:div>
    <w:div w:id="1361396117">
      <w:bodyDiv w:val="1"/>
      <w:marLeft w:val="0"/>
      <w:marRight w:val="0"/>
      <w:marTop w:val="0"/>
      <w:marBottom w:val="0"/>
      <w:divBdr>
        <w:top w:val="none" w:sz="0" w:space="0" w:color="auto"/>
        <w:left w:val="none" w:sz="0" w:space="0" w:color="auto"/>
        <w:bottom w:val="none" w:sz="0" w:space="0" w:color="auto"/>
        <w:right w:val="none" w:sz="0" w:space="0" w:color="auto"/>
      </w:divBdr>
    </w:div>
    <w:div w:id="1512912193">
      <w:bodyDiv w:val="1"/>
      <w:marLeft w:val="0"/>
      <w:marRight w:val="0"/>
      <w:marTop w:val="0"/>
      <w:marBottom w:val="0"/>
      <w:divBdr>
        <w:top w:val="none" w:sz="0" w:space="0" w:color="auto"/>
        <w:left w:val="none" w:sz="0" w:space="0" w:color="auto"/>
        <w:bottom w:val="none" w:sz="0" w:space="0" w:color="auto"/>
        <w:right w:val="none" w:sz="0" w:space="0" w:color="auto"/>
      </w:divBdr>
      <w:divsChild>
        <w:div w:id="651953959">
          <w:marLeft w:val="0"/>
          <w:marRight w:val="0"/>
          <w:marTop w:val="0"/>
          <w:marBottom w:val="0"/>
          <w:divBdr>
            <w:top w:val="none" w:sz="0" w:space="0" w:color="auto"/>
            <w:left w:val="none" w:sz="0" w:space="0" w:color="auto"/>
            <w:bottom w:val="none" w:sz="0" w:space="0" w:color="auto"/>
            <w:right w:val="none" w:sz="0" w:space="0" w:color="auto"/>
          </w:divBdr>
        </w:div>
        <w:div w:id="1981878371">
          <w:marLeft w:val="0"/>
          <w:marRight w:val="0"/>
          <w:marTop w:val="0"/>
          <w:marBottom w:val="0"/>
          <w:divBdr>
            <w:top w:val="none" w:sz="0" w:space="0" w:color="auto"/>
            <w:left w:val="none" w:sz="0" w:space="0" w:color="auto"/>
            <w:bottom w:val="none" w:sz="0" w:space="0" w:color="auto"/>
            <w:right w:val="none" w:sz="0" w:space="0" w:color="auto"/>
          </w:divBdr>
        </w:div>
        <w:div w:id="748965295">
          <w:marLeft w:val="0"/>
          <w:marRight w:val="0"/>
          <w:marTop w:val="0"/>
          <w:marBottom w:val="0"/>
          <w:divBdr>
            <w:top w:val="none" w:sz="0" w:space="0" w:color="auto"/>
            <w:left w:val="none" w:sz="0" w:space="0" w:color="auto"/>
            <w:bottom w:val="none" w:sz="0" w:space="0" w:color="auto"/>
            <w:right w:val="none" w:sz="0" w:space="0" w:color="auto"/>
          </w:divBdr>
        </w:div>
      </w:divsChild>
    </w:div>
    <w:div w:id="1874538113">
      <w:bodyDiv w:val="1"/>
      <w:marLeft w:val="0"/>
      <w:marRight w:val="0"/>
      <w:marTop w:val="0"/>
      <w:marBottom w:val="0"/>
      <w:divBdr>
        <w:top w:val="none" w:sz="0" w:space="0" w:color="auto"/>
        <w:left w:val="none" w:sz="0" w:space="0" w:color="auto"/>
        <w:bottom w:val="none" w:sz="0" w:space="0" w:color="auto"/>
        <w:right w:val="none" w:sz="0" w:space="0" w:color="auto"/>
      </w:divBdr>
      <w:divsChild>
        <w:div w:id="71587220">
          <w:marLeft w:val="0"/>
          <w:marRight w:val="0"/>
          <w:marTop w:val="0"/>
          <w:marBottom w:val="0"/>
          <w:divBdr>
            <w:top w:val="none" w:sz="0" w:space="0" w:color="auto"/>
            <w:left w:val="none" w:sz="0" w:space="0" w:color="auto"/>
            <w:bottom w:val="none" w:sz="0" w:space="0" w:color="auto"/>
            <w:right w:val="none" w:sz="0" w:space="0" w:color="auto"/>
          </w:divBdr>
        </w:div>
        <w:div w:id="789207176">
          <w:marLeft w:val="0"/>
          <w:marRight w:val="0"/>
          <w:marTop w:val="0"/>
          <w:marBottom w:val="0"/>
          <w:divBdr>
            <w:top w:val="none" w:sz="0" w:space="0" w:color="auto"/>
            <w:left w:val="none" w:sz="0" w:space="0" w:color="auto"/>
            <w:bottom w:val="none" w:sz="0" w:space="0" w:color="auto"/>
            <w:right w:val="none" w:sz="0" w:space="0" w:color="auto"/>
          </w:divBdr>
        </w:div>
        <w:div w:id="1972636862">
          <w:marLeft w:val="0"/>
          <w:marRight w:val="0"/>
          <w:marTop w:val="0"/>
          <w:marBottom w:val="0"/>
          <w:divBdr>
            <w:top w:val="none" w:sz="0" w:space="0" w:color="auto"/>
            <w:left w:val="none" w:sz="0" w:space="0" w:color="auto"/>
            <w:bottom w:val="none" w:sz="0" w:space="0" w:color="auto"/>
            <w:right w:val="none" w:sz="0" w:space="0" w:color="auto"/>
          </w:divBdr>
        </w:div>
      </w:divsChild>
    </w:div>
    <w:div w:id="2105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saramaka_04_09_13.pdf" TargetMode="External"/><Relationship Id="rId2" Type="http://schemas.openxmlformats.org/officeDocument/2006/relationships/hyperlink" Target="http://www.corteidh.or.cr/docs/supervisiones/saramaka_23_11_11.pdf" TargetMode="External"/><Relationship Id="rId1" Type="http://schemas.openxmlformats.org/officeDocument/2006/relationships/hyperlink" Target="http://www.corteidh.or.cr/docs/casos/articulos/seriec_172_ing.pdf%20" TargetMode="External"/><Relationship Id="rId4" Type="http://schemas.openxmlformats.org/officeDocument/2006/relationships/hyperlink" Target="http://business.financialpost.com/%20investing/iamgolds-rosebel-mine-expansion-approved-by-suri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B72E-0B43-4CB2-8572-1C1FD758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8320</Words>
  <Characters>45764</Characters>
  <Application>Microsoft Office Word</Application>
  <DocSecurity>4</DocSecurity>
  <Lines>381</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2018-11-16T16:07:00Z</cp:lastPrinted>
  <dcterms:created xsi:type="dcterms:W3CDTF">2018-11-16T16:06:00Z</dcterms:created>
  <dcterms:modified xsi:type="dcterms:W3CDTF">2018-11-16T16:07:00Z</dcterms:modified>
</cp:coreProperties>
</file>