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C3" w:rsidRDefault="00002BC3" w:rsidP="00704BA6">
      <w:pPr>
        <w:spacing w:after="0" w:line="240" w:lineRule="auto"/>
        <w:jc w:val="center"/>
        <w:rPr>
          <w:rFonts w:ascii="Verdana" w:hAnsi="Verdana"/>
          <w:b/>
          <w:sz w:val="20"/>
          <w:szCs w:val="20"/>
          <w:lang w:val="es-CR"/>
        </w:rPr>
      </w:pPr>
    </w:p>
    <w:p w:rsidR="00C00826" w:rsidRDefault="00C00826" w:rsidP="00704BA6">
      <w:pPr>
        <w:spacing w:after="0" w:line="240" w:lineRule="auto"/>
        <w:jc w:val="center"/>
        <w:rPr>
          <w:rFonts w:ascii="Verdana" w:hAnsi="Verdana"/>
          <w:b/>
          <w:sz w:val="20"/>
          <w:szCs w:val="20"/>
          <w:lang w:val="es-CR"/>
        </w:rPr>
      </w:pPr>
    </w:p>
    <w:p w:rsidR="00C00826" w:rsidRDefault="00C00826" w:rsidP="00704BA6">
      <w:pPr>
        <w:spacing w:after="0" w:line="240" w:lineRule="auto"/>
        <w:jc w:val="center"/>
        <w:rPr>
          <w:rFonts w:ascii="Verdana" w:hAnsi="Verdana"/>
          <w:b/>
          <w:sz w:val="20"/>
          <w:szCs w:val="20"/>
          <w:lang w:val="es-CR"/>
        </w:rPr>
      </w:pPr>
    </w:p>
    <w:p w:rsidR="00C00826" w:rsidRDefault="00C00826" w:rsidP="00704BA6">
      <w:pPr>
        <w:spacing w:after="0" w:line="240" w:lineRule="auto"/>
        <w:jc w:val="center"/>
        <w:rPr>
          <w:rFonts w:ascii="Verdana" w:hAnsi="Verdana"/>
          <w:b/>
          <w:sz w:val="20"/>
          <w:szCs w:val="20"/>
          <w:lang w:val="es-CR"/>
        </w:rPr>
      </w:pPr>
    </w:p>
    <w:p w:rsidR="00002BC3" w:rsidRDefault="00002BC3" w:rsidP="00704BA6">
      <w:pPr>
        <w:spacing w:after="0" w:line="240" w:lineRule="auto"/>
        <w:jc w:val="center"/>
        <w:rPr>
          <w:rFonts w:ascii="Verdana" w:hAnsi="Verdana"/>
          <w:b/>
          <w:sz w:val="20"/>
          <w:szCs w:val="20"/>
          <w:lang w:val="es-CR"/>
        </w:rPr>
      </w:pPr>
    </w:p>
    <w:p w:rsidR="00002BC3" w:rsidRDefault="00002BC3" w:rsidP="00704BA6">
      <w:pPr>
        <w:spacing w:after="0" w:line="240" w:lineRule="auto"/>
        <w:jc w:val="center"/>
        <w:rPr>
          <w:rFonts w:ascii="Verdana" w:hAnsi="Verdana"/>
          <w:b/>
          <w:sz w:val="20"/>
          <w:szCs w:val="20"/>
          <w:lang w:val="es-CR"/>
        </w:rPr>
      </w:pPr>
    </w:p>
    <w:p w:rsidR="00002BC3" w:rsidRDefault="00002BC3" w:rsidP="00704BA6">
      <w:pPr>
        <w:spacing w:after="0" w:line="240" w:lineRule="auto"/>
        <w:jc w:val="center"/>
        <w:rPr>
          <w:rFonts w:ascii="Verdana" w:hAnsi="Verdana"/>
          <w:b/>
          <w:sz w:val="20"/>
          <w:szCs w:val="20"/>
          <w:lang w:val="es-CR"/>
        </w:rPr>
      </w:pPr>
    </w:p>
    <w:p w:rsidR="00002BC3" w:rsidRDefault="00002BC3" w:rsidP="00704BA6">
      <w:pPr>
        <w:spacing w:after="0" w:line="240" w:lineRule="auto"/>
        <w:jc w:val="center"/>
        <w:rPr>
          <w:rFonts w:ascii="Verdana" w:hAnsi="Verdana"/>
          <w:b/>
          <w:sz w:val="20"/>
          <w:szCs w:val="20"/>
          <w:lang w:val="es-CR"/>
        </w:rPr>
      </w:pPr>
      <w:r w:rsidRPr="00745AE4">
        <w:rPr>
          <w:rFonts w:ascii="Verdana" w:hAnsi="Verdana"/>
          <w:b/>
          <w:sz w:val="20"/>
          <w:szCs w:val="20"/>
          <w:lang w:val="es-CR"/>
        </w:rPr>
        <w:t xml:space="preserve">RESOLUCIÓN DE LA </w:t>
      </w:r>
    </w:p>
    <w:p w:rsidR="00002BC3" w:rsidRDefault="00002BC3" w:rsidP="00704BA6">
      <w:pPr>
        <w:spacing w:after="0" w:line="240" w:lineRule="auto"/>
        <w:jc w:val="center"/>
        <w:rPr>
          <w:rFonts w:ascii="Verdana" w:hAnsi="Verdana"/>
          <w:b/>
          <w:smallCaps/>
          <w:sz w:val="20"/>
          <w:lang w:val="es-CR"/>
        </w:rPr>
      </w:pPr>
      <w:r w:rsidRPr="00745AE4">
        <w:rPr>
          <w:rFonts w:ascii="Verdana" w:hAnsi="Verdana"/>
          <w:b/>
          <w:sz w:val="20"/>
          <w:szCs w:val="20"/>
          <w:lang w:val="es-CR"/>
        </w:rPr>
        <w:t>CORTE INTERAMERICANA DE DERECHOS HUMANOS</w:t>
      </w:r>
      <w:r w:rsidR="00C00826">
        <w:rPr>
          <w:rFonts w:ascii="Verdana" w:hAnsi="Verdana"/>
          <w:b/>
          <w:sz w:val="20"/>
          <w:szCs w:val="20"/>
          <w:lang w:val="es-CR"/>
        </w:rPr>
        <w:t>*</w:t>
      </w:r>
    </w:p>
    <w:p w:rsidR="00002BC3" w:rsidRPr="00745AE4" w:rsidRDefault="00002BC3" w:rsidP="00704BA6">
      <w:pPr>
        <w:spacing w:after="0" w:line="240" w:lineRule="auto"/>
        <w:jc w:val="center"/>
        <w:rPr>
          <w:rFonts w:ascii="Verdana" w:hAnsi="Verdana"/>
          <w:b/>
          <w:sz w:val="20"/>
          <w:szCs w:val="20"/>
          <w:lang w:val="es-CR"/>
        </w:rPr>
      </w:pPr>
    </w:p>
    <w:p w:rsidR="00002BC3" w:rsidRDefault="00002BC3" w:rsidP="00704BA6">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C00826">
        <w:rPr>
          <w:rFonts w:ascii="Verdana" w:hAnsi="Verdana"/>
          <w:b/>
          <w:sz w:val="20"/>
          <w:szCs w:val="20"/>
          <w:lang w:val="es-CR"/>
        </w:rPr>
        <w:t>4</w:t>
      </w:r>
      <w:r>
        <w:rPr>
          <w:rFonts w:ascii="Verdana" w:hAnsi="Verdana"/>
          <w:b/>
          <w:sz w:val="20"/>
          <w:szCs w:val="20"/>
          <w:lang w:val="es-CR"/>
        </w:rPr>
        <w:t xml:space="preserve"> DE MARZO</w:t>
      </w:r>
      <w:r w:rsidRPr="00745AE4">
        <w:rPr>
          <w:rFonts w:ascii="Verdana" w:hAnsi="Verdana"/>
          <w:b/>
          <w:sz w:val="20"/>
          <w:szCs w:val="20"/>
          <w:lang w:val="es-CR"/>
        </w:rPr>
        <w:t xml:space="preserve"> DE </w:t>
      </w:r>
      <w:r>
        <w:rPr>
          <w:rFonts w:ascii="Verdana" w:hAnsi="Verdana"/>
          <w:b/>
          <w:sz w:val="20"/>
          <w:szCs w:val="20"/>
          <w:lang w:val="es-CR"/>
        </w:rPr>
        <w:t>2019</w:t>
      </w:r>
    </w:p>
    <w:p w:rsidR="00002BC3" w:rsidRPr="00745AE4" w:rsidRDefault="00002BC3" w:rsidP="00704BA6">
      <w:pPr>
        <w:spacing w:after="0" w:line="240" w:lineRule="auto"/>
        <w:jc w:val="center"/>
        <w:rPr>
          <w:rFonts w:ascii="Verdana" w:hAnsi="Verdana"/>
          <w:b/>
          <w:sz w:val="20"/>
          <w:szCs w:val="20"/>
          <w:lang w:val="es-CR"/>
        </w:rPr>
      </w:pPr>
    </w:p>
    <w:p w:rsidR="00002BC3" w:rsidRPr="009B4B9D" w:rsidRDefault="00002BC3" w:rsidP="00704BA6">
      <w:pPr>
        <w:spacing w:after="0" w:line="240" w:lineRule="auto"/>
        <w:jc w:val="center"/>
        <w:rPr>
          <w:rFonts w:ascii="Verdana" w:hAnsi="Verdana"/>
          <w:b/>
          <w:i/>
          <w:sz w:val="20"/>
          <w:szCs w:val="20"/>
          <w:lang w:val="es-CR"/>
        </w:rPr>
      </w:pPr>
      <w:r w:rsidRPr="009B4B9D">
        <w:rPr>
          <w:rFonts w:ascii="Verdana" w:hAnsi="Verdana"/>
          <w:b/>
          <w:i/>
          <w:sz w:val="20"/>
          <w:szCs w:val="20"/>
          <w:lang w:val="es-CR"/>
        </w:rPr>
        <w:t xml:space="preserve">CASO </w:t>
      </w:r>
      <w:r>
        <w:rPr>
          <w:rFonts w:ascii="Verdana" w:hAnsi="Verdana"/>
          <w:b/>
          <w:i/>
          <w:sz w:val="20"/>
          <w:szCs w:val="20"/>
          <w:lang w:val="es-CR"/>
        </w:rPr>
        <w:t>TARAZONA ARRIETA Y OTROS VS. PERÚ</w:t>
      </w:r>
    </w:p>
    <w:p w:rsidR="00002BC3" w:rsidRPr="009B4B9D" w:rsidRDefault="00002BC3" w:rsidP="00704BA6">
      <w:pPr>
        <w:spacing w:after="0" w:line="240" w:lineRule="auto"/>
        <w:jc w:val="center"/>
        <w:rPr>
          <w:rFonts w:ascii="Verdana" w:hAnsi="Verdana"/>
          <w:b/>
          <w:sz w:val="20"/>
          <w:szCs w:val="20"/>
          <w:lang w:val="es-CR"/>
        </w:rPr>
      </w:pPr>
    </w:p>
    <w:p w:rsidR="00002BC3" w:rsidRPr="009B4B9D" w:rsidRDefault="00002BC3" w:rsidP="00704BA6">
      <w:pPr>
        <w:spacing w:after="0" w:line="240" w:lineRule="auto"/>
        <w:jc w:val="center"/>
        <w:rPr>
          <w:rFonts w:ascii="Verdana" w:hAnsi="Verdana"/>
          <w:b/>
          <w:sz w:val="20"/>
          <w:szCs w:val="20"/>
          <w:lang w:val="es-CR"/>
        </w:rPr>
      </w:pPr>
      <w:r w:rsidRPr="009B4B9D">
        <w:rPr>
          <w:rFonts w:ascii="Verdana" w:hAnsi="Verdana"/>
          <w:b/>
          <w:sz w:val="20"/>
          <w:szCs w:val="20"/>
          <w:lang w:val="es-CR"/>
        </w:rPr>
        <w:t>SUPERVISIÓN DE CUMPLIMIENTO DE SENTENCIA</w:t>
      </w:r>
    </w:p>
    <w:p w:rsidR="00002BC3" w:rsidRPr="004576AE" w:rsidRDefault="00002BC3" w:rsidP="00704BA6">
      <w:pPr>
        <w:spacing w:before="120" w:after="120" w:line="240" w:lineRule="auto"/>
        <w:jc w:val="both"/>
        <w:rPr>
          <w:rFonts w:ascii="Verdana" w:hAnsi="Verdana"/>
          <w:b/>
          <w:sz w:val="14"/>
          <w:szCs w:val="14"/>
          <w:lang w:val="es-CR"/>
        </w:rPr>
      </w:pPr>
    </w:p>
    <w:p w:rsidR="00002BC3" w:rsidRDefault="00002BC3" w:rsidP="00704BA6">
      <w:pPr>
        <w:spacing w:before="120" w:after="120" w:line="240" w:lineRule="auto"/>
        <w:jc w:val="both"/>
        <w:rPr>
          <w:rFonts w:ascii="Verdana" w:hAnsi="Verdana"/>
          <w:b/>
          <w:sz w:val="20"/>
          <w:szCs w:val="20"/>
          <w:lang w:val="es-CR"/>
        </w:rPr>
      </w:pPr>
      <w:r w:rsidRPr="009B4B9D">
        <w:rPr>
          <w:rFonts w:ascii="Verdana" w:hAnsi="Verdana"/>
          <w:b/>
          <w:sz w:val="20"/>
          <w:szCs w:val="20"/>
          <w:lang w:val="es-CR"/>
        </w:rPr>
        <w:t>VISTO:</w:t>
      </w:r>
      <w:r>
        <w:rPr>
          <w:rFonts w:ascii="Verdana" w:hAnsi="Verdana"/>
          <w:b/>
          <w:sz w:val="20"/>
          <w:szCs w:val="20"/>
          <w:lang w:val="es-CR"/>
        </w:rPr>
        <w:t xml:space="preserve"> </w:t>
      </w:r>
    </w:p>
    <w:p w:rsidR="00002BC3" w:rsidRPr="002A4ADA" w:rsidRDefault="00002BC3" w:rsidP="00704BA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2A4ADA">
        <w:rPr>
          <w:rFonts w:ascii="Verdana" w:hAnsi="Verdana"/>
          <w:sz w:val="20"/>
          <w:szCs w:val="20"/>
          <w:lang w:val="es-CR"/>
        </w:rPr>
        <w:t>La Sentencia de excepción preliminar, fondo, reparaciones y costas (en adelante “la Sentencia”) dictada por la Corte Interamericana de Derechos Humanos (en adelante “la Corte Interamericana”, “la Corte” o “el Tribunal”) el 15 de octubre de 2014</w:t>
      </w:r>
      <w:r>
        <w:rPr>
          <w:rStyle w:val="Refdenotaalpie"/>
          <w:rFonts w:ascii="Verdana" w:hAnsi="Verdana"/>
          <w:sz w:val="20"/>
          <w:szCs w:val="20"/>
          <w:lang w:val="es-CR"/>
        </w:rPr>
        <w:footnoteReference w:id="1"/>
      </w:r>
      <w:r w:rsidRPr="002A4ADA">
        <w:rPr>
          <w:rFonts w:ascii="Verdana" w:hAnsi="Verdana"/>
          <w:sz w:val="20"/>
          <w:szCs w:val="20"/>
          <w:lang w:val="es-CR"/>
        </w:rPr>
        <w:t>. La Corte declaró la responsabilidad internacional de la República del Perú (en adelante “el Estado” o “</w:t>
      </w:r>
      <w:r w:rsidR="0075475A">
        <w:rPr>
          <w:rFonts w:ascii="Verdana" w:hAnsi="Verdana"/>
          <w:sz w:val="20"/>
          <w:szCs w:val="20"/>
          <w:lang w:val="es-CR"/>
        </w:rPr>
        <w:t xml:space="preserve">el </w:t>
      </w:r>
      <w:r w:rsidRPr="002A4ADA">
        <w:rPr>
          <w:rFonts w:ascii="Verdana" w:hAnsi="Verdana"/>
          <w:sz w:val="20"/>
          <w:szCs w:val="20"/>
          <w:lang w:val="es-CR"/>
        </w:rPr>
        <w:t xml:space="preserve">Perú”) por la violación al principio del plazo razonable del proceso penal seguido en contra de un miembro del Ejército peruano quien </w:t>
      </w:r>
      <w:r w:rsidR="008459F8">
        <w:rPr>
          <w:rFonts w:ascii="Verdana" w:hAnsi="Verdana"/>
          <w:sz w:val="20"/>
          <w:szCs w:val="20"/>
          <w:lang w:val="es-CR"/>
        </w:rPr>
        <w:t>disparó</w:t>
      </w:r>
      <w:r w:rsidRPr="002A4ADA">
        <w:rPr>
          <w:rFonts w:ascii="Verdana" w:hAnsi="Verdana"/>
          <w:sz w:val="20"/>
          <w:szCs w:val="20"/>
          <w:lang w:val="es-CR"/>
        </w:rPr>
        <w:t xml:space="preserve"> contra un vehículo de transporte público, causando la muerte de dos pasajeras, Zulema Tarazona Arrieta y Norma Pérez Chávez, y lesiones a una tercera persona, Luis Bejarano Laura. Asimismo, el Tribunal declaró la responsabilidad</w:t>
      </w:r>
      <w:r w:rsidR="0075475A">
        <w:rPr>
          <w:rFonts w:ascii="Verdana" w:hAnsi="Verdana"/>
          <w:sz w:val="20"/>
          <w:szCs w:val="20"/>
          <w:lang w:val="es-CR"/>
        </w:rPr>
        <w:t xml:space="preserve"> internacional</w:t>
      </w:r>
      <w:r w:rsidRPr="002A4ADA">
        <w:rPr>
          <w:rFonts w:ascii="Verdana" w:hAnsi="Verdana"/>
          <w:sz w:val="20"/>
          <w:szCs w:val="20"/>
          <w:lang w:val="es-CR"/>
        </w:rPr>
        <w:t xml:space="preserve"> del Estado por haber violado, al momento de los hechos, su deber de adecuar el derecho interno sobre precaución y prevención en el </w:t>
      </w:r>
      <w:r w:rsidR="0075475A">
        <w:rPr>
          <w:rFonts w:ascii="Verdana" w:hAnsi="Verdana"/>
          <w:sz w:val="20"/>
          <w:szCs w:val="20"/>
          <w:lang w:val="es-CR"/>
        </w:rPr>
        <w:t>ejercicio</w:t>
      </w:r>
      <w:r w:rsidR="0075475A" w:rsidRPr="002A4ADA">
        <w:rPr>
          <w:rFonts w:ascii="Verdana" w:hAnsi="Verdana"/>
          <w:sz w:val="20"/>
          <w:szCs w:val="20"/>
          <w:lang w:val="es-CR"/>
        </w:rPr>
        <w:t xml:space="preserve"> </w:t>
      </w:r>
      <w:r w:rsidRPr="002A4ADA">
        <w:rPr>
          <w:rFonts w:ascii="Verdana" w:hAnsi="Verdana"/>
          <w:sz w:val="20"/>
          <w:szCs w:val="20"/>
          <w:lang w:val="es-CR"/>
        </w:rPr>
        <w:t>del uso de la fuerza y sobre la asistencia debida a las personas heridas o afectadas,</w:t>
      </w:r>
      <w:r w:rsidR="007464BE">
        <w:rPr>
          <w:rFonts w:ascii="Verdana" w:hAnsi="Verdana"/>
          <w:sz w:val="20"/>
          <w:szCs w:val="20"/>
          <w:lang w:val="es-CR"/>
        </w:rPr>
        <w:t xml:space="preserve"> </w:t>
      </w:r>
      <w:r w:rsidRPr="002A4ADA">
        <w:rPr>
          <w:rFonts w:ascii="Verdana" w:hAnsi="Verdana"/>
          <w:sz w:val="20"/>
          <w:szCs w:val="20"/>
          <w:lang w:val="es-CR"/>
        </w:rPr>
        <w:t>así como por la aplicación de la Ley de Amnistía No. 26.479 en los procesos seguidos en contra del responsable de</w:t>
      </w:r>
      <w:r w:rsidR="008459F8">
        <w:rPr>
          <w:rFonts w:ascii="Verdana" w:hAnsi="Verdana"/>
          <w:sz w:val="20"/>
          <w:szCs w:val="20"/>
          <w:lang w:val="es-CR"/>
        </w:rPr>
        <w:t xml:space="preserve"> haber disparado</w:t>
      </w:r>
      <w:r w:rsidRPr="002A4ADA">
        <w:rPr>
          <w:rFonts w:ascii="Verdana" w:hAnsi="Verdana"/>
          <w:sz w:val="20"/>
          <w:szCs w:val="20"/>
          <w:lang w:val="es-CR"/>
        </w:rPr>
        <w:t>.</w:t>
      </w:r>
      <w:r w:rsidR="007464BE">
        <w:rPr>
          <w:rFonts w:ascii="Verdana" w:hAnsi="Verdana"/>
          <w:sz w:val="20"/>
          <w:szCs w:val="20"/>
          <w:lang w:val="es-CR"/>
        </w:rPr>
        <w:t xml:space="preserve"> </w:t>
      </w:r>
      <w:r w:rsidRPr="002A4ADA">
        <w:rPr>
          <w:rFonts w:ascii="Verdana" w:hAnsi="Verdana"/>
          <w:sz w:val="20"/>
          <w:szCs w:val="20"/>
          <w:lang w:val="es-CR"/>
        </w:rPr>
        <w:t>La Corte estableció que su Sentencia constituye por sí misma una forma de reparación y</w:t>
      </w:r>
      <w:r w:rsidR="0093640A">
        <w:rPr>
          <w:rFonts w:ascii="Verdana" w:hAnsi="Verdana"/>
          <w:sz w:val="20"/>
          <w:szCs w:val="20"/>
          <w:lang w:val="es-CR"/>
        </w:rPr>
        <w:t>, adicionalmente,</w:t>
      </w:r>
      <w:r w:rsidR="0075475A">
        <w:rPr>
          <w:rFonts w:ascii="Verdana" w:hAnsi="Verdana"/>
          <w:sz w:val="20"/>
          <w:szCs w:val="20"/>
          <w:lang w:val="es-CR"/>
        </w:rPr>
        <w:t xml:space="preserve"> </w:t>
      </w:r>
      <w:r w:rsidRPr="002A4ADA">
        <w:rPr>
          <w:rFonts w:ascii="Verdana" w:hAnsi="Verdana"/>
          <w:sz w:val="20"/>
          <w:szCs w:val="20"/>
          <w:lang w:val="es-CR"/>
        </w:rPr>
        <w:t xml:space="preserve">ordenó al Estado </w:t>
      </w:r>
      <w:r w:rsidR="0093640A">
        <w:rPr>
          <w:rFonts w:ascii="Verdana" w:hAnsi="Verdana"/>
          <w:sz w:val="20"/>
          <w:szCs w:val="20"/>
          <w:lang w:val="es-CR"/>
        </w:rPr>
        <w:t>determinadas</w:t>
      </w:r>
      <w:r w:rsidRPr="002A4ADA">
        <w:rPr>
          <w:rFonts w:ascii="Verdana" w:hAnsi="Verdana"/>
          <w:sz w:val="20"/>
          <w:szCs w:val="20"/>
          <w:lang w:val="es-CR"/>
        </w:rPr>
        <w:t xml:space="preserve"> medidas de reparación </w:t>
      </w:r>
      <w:r w:rsidR="008459F8">
        <w:rPr>
          <w:rFonts w:ascii="Verdana" w:hAnsi="Verdana"/>
          <w:sz w:val="20"/>
          <w:szCs w:val="20"/>
          <w:lang w:val="es-CR"/>
        </w:rPr>
        <w:t xml:space="preserve">y el reintegro al </w:t>
      </w:r>
      <w:r w:rsidR="008459F8" w:rsidRPr="00342BD7">
        <w:rPr>
          <w:rFonts w:ascii="Verdana" w:hAnsi="Verdana"/>
          <w:sz w:val="20"/>
          <w:szCs w:val="20"/>
          <w:lang w:val="es-CR"/>
        </w:rPr>
        <w:t>Fondo de Asistencia Legal de Víctimas de la Corte</w:t>
      </w:r>
      <w:r w:rsidR="008459F8" w:rsidRPr="002A4ADA">
        <w:rPr>
          <w:rFonts w:ascii="Verdana" w:hAnsi="Verdana"/>
          <w:sz w:val="20"/>
          <w:szCs w:val="20"/>
          <w:lang w:val="es-CR"/>
        </w:rPr>
        <w:t xml:space="preserve"> </w:t>
      </w:r>
      <w:r w:rsidRPr="002A4ADA">
        <w:rPr>
          <w:rFonts w:ascii="Verdana" w:hAnsi="Verdana"/>
          <w:sz w:val="20"/>
          <w:szCs w:val="20"/>
          <w:lang w:val="es-CR"/>
        </w:rPr>
        <w:t>(</w:t>
      </w:r>
      <w:r w:rsidRPr="002A4ADA">
        <w:rPr>
          <w:rFonts w:ascii="Verdana" w:hAnsi="Verdana"/>
          <w:i/>
          <w:sz w:val="20"/>
          <w:szCs w:val="20"/>
          <w:lang w:val="es-CR"/>
        </w:rPr>
        <w:t xml:space="preserve">infra </w:t>
      </w:r>
      <w:r w:rsidRPr="002A4ADA">
        <w:rPr>
          <w:rFonts w:ascii="Verdana" w:hAnsi="Verdana"/>
          <w:sz w:val="20"/>
          <w:szCs w:val="20"/>
          <w:lang w:val="es-CR"/>
        </w:rPr>
        <w:t xml:space="preserve">Considerando 1). </w:t>
      </w:r>
    </w:p>
    <w:p w:rsidR="006D226C" w:rsidRPr="006D226C" w:rsidRDefault="006D226C" w:rsidP="00704BA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342BD7">
        <w:rPr>
          <w:rFonts w:ascii="Verdana" w:hAnsi="Verdana"/>
          <w:sz w:val="20"/>
          <w:szCs w:val="20"/>
          <w:lang w:val="es-CR"/>
        </w:rPr>
        <w:t xml:space="preserve">La Resolución emitida por la Corte el </w:t>
      </w:r>
      <w:r>
        <w:rPr>
          <w:rFonts w:ascii="Verdana" w:hAnsi="Verdana"/>
          <w:sz w:val="20"/>
          <w:szCs w:val="20"/>
          <w:lang w:val="es-CR"/>
        </w:rPr>
        <w:t>14 de noviembre de 2017</w:t>
      </w:r>
      <w:r w:rsidRPr="00342BD7">
        <w:rPr>
          <w:rFonts w:ascii="Verdana" w:hAnsi="Verdana"/>
          <w:sz w:val="20"/>
          <w:szCs w:val="20"/>
          <w:lang w:val="es-CR"/>
        </w:rPr>
        <w:t xml:space="preserve"> sobre el reintegro realizado por el Estado al</w:t>
      </w:r>
      <w:r w:rsidR="008459F8">
        <w:rPr>
          <w:rFonts w:ascii="Verdana" w:hAnsi="Verdana"/>
          <w:sz w:val="20"/>
          <w:szCs w:val="20"/>
          <w:lang w:val="es-CR"/>
        </w:rPr>
        <w:t xml:space="preserve"> Fondo de Asistencia</w:t>
      </w:r>
      <w:r w:rsidRPr="00342BD7">
        <w:rPr>
          <w:rStyle w:val="Refdenotaalpie"/>
          <w:rFonts w:ascii="Verdana" w:eastAsia="Times New Roman" w:hAnsi="Verdana"/>
          <w:sz w:val="20"/>
          <w:szCs w:val="20"/>
          <w:lang w:val="es-CO"/>
        </w:rPr>
        <w:footnoteReference w:id="2"/>
      </w:r>
      <w:r w:rsidRPr="00342BD7">
        <w:rPr>
          <w:rFonts w:ascii="Verdana" w:hAnsi="Verdana"/>
          <w:sz w:val="20"/>
          <w:szCs w:val="20"/>
          <w:lang w:val="es-CR"/>
        </w:rPr>
        <w:t>.</w:t>
      </w:r>
    </w:p>
    <w:p w:rsidR="00002BC3" w:rsidRPr="00E410FD" w:rsidRDefault="00002BC3" w:rsidP="00704BA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Pr>
          <w:rFonts w:ascii="Verdana" w:hAnsi="Verdana"/>
          <w:sz w:val="20"/>
          <w:lang w:val="es-CR"/>
        </w:rPr>
        <w:t>Los tres informes presentados por el Estado entre noviembre de 2015 y septiembre de 2017</w:t>
      </w:r>
      <w:r w:rsidRPr="009B4B9D">
        <w:rPr>
          <w:rStyle w:val="Refdenotaalpie"/>
          <w:rFonts w:ascii="Verdana" w:hAnsi="Verdana"/>
          <w:color w:val="000000"/>
          <w:sz w:val="20"/>
          <w:szCs w:val="20"/>
          <w:shd w:val="clear" w:color="auto" w:fill="FFFFFF"/>
          <w:lang w:val="es-CR"/>
        </w:rPr>
        <w:footnoteReference w:id="3"/>
      </w:r>
      <w:r>
        <w:rPr>
          <w:rFonts w:ascii="Verdana" w:hAnsi="Verdana"/>
          <w:sz w:val="20"/>
          <w:lang w:val="es-CR"/>
        </w:rPr>
        <w:t>.</w:t>
      </w:r>
    </w:p>
    <w:p w:rsidR="00002BC3" w:rsidRPr="009B4B9D" w:rsidRDefault="00002BC3" w:rsidP="00704BA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lastRenderedPageBreak/>
        <w:t xml:space="preserve">Los escritos de observaciones presentados por </w:t>
      </w:r>
      <w:r>
        <w:rPr>
          <w:rFonts w:ascii="Verdana" w:hAnsi="Verdana"/>
          <w:color w:val="000000"/>
          <w:sz w:val="20"/>
          <w:szCs w:val="20"/>
          <w:shd w:val="clear" w:color="auto" w:fill="FFFFFF"/>
          <w:lang w:val="es-CR"/>
        </w:rPr>
        <w:t>los</w:t>
      </w:r>
      <w:r w:rsidRPr="009B4B9D">
        <w:rPr>
          <w:rFonts w:ascii="Verdana" w:hAnsi="Verdana"/>
          <w:color w:val="000000"/>
          <w:sz w:val="20"/>
          <w:szCs w:val="20"/>
          <w:shd w:val="clear" w:color="auto" w:fill="FFFFFF"/>
          <w:lang w:val="es-CR"/>
        </w:rPr>
        <w:t xml:space="preserve"> representante</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de la</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víctima</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(en adelante “</w:t>
      </w:r>
      <w:r>
        <w:rPr>
          <w:rFonts w:ascii="Verdana" w:hAnsi="Verdana"/>
          <w:color w:val="000000"/>
          <w:sz w:val="20"/>
          <w:szCs w:val="20"/>
          <w:shd w:val="clear" w:color="auto" w:fill="FFFFFF"/>
          <w:lang w:val="es-CR"/>
        </w:rPr>
        <w:t xml:space="preserve">los </w:t>
      </w:r>
      <w:r w:rsidRPr="009B4B9D">
        <w:rPr>
          <w:rFonts w:ascii="Verdana" w:hAnsi="Verdana"/>
          <w:color w:val="000000"/>
          <w:sz w:val="20"/>
          <w:szCs w:val="20"/>
          <w:shd w:val="clear" w:color="auto" w:fill="FFFFFF"/>
          <w:lang w:val="es-CR"/>
        </w:rPr>
        <w:t>representantes”)</w:t>
      </w:r>
      <w:r w:rsidRPr="009B4B9D">
        <w:rPr>
          <w:rStyle w:val="Refdenotaalpie"/>
          <w:rFonts w:ascii="Verdana" w:hAnsi="Verdana"/>
          <w:color w:val="000000"/>
          <w:sz w:val="20"/>
          <w:szCs w:val="20"/>
          <w:shd w:val="clear" w:color="auto" w:fill="FFFFFF"/>
          <w:lang w:val="es-CR"/>
        </w:rPr>
        <w:footnoteReference w:id="4"/>
      </w:r>
      <w:r w:rsidRPr="009B4B9D">
        <w:rPr>
          <w:rFonts w:ascii="Verdana" w:hAnsi="Verdana"/>
          <w:color w:val="000000"/>
          <w:sz w:val="20"/>
          <w:szCs w:val="20"/>
          <w:shd w:val="clear" w:color="auto" w:fill="FFFFFF"/>
          <w:lang w:val="es-CR"/>
        </w:rPr>
        <w:t xml:space="preserve"> </w:t>
      </w:r>
      <w:r w:rsidR="0039181A">
        <w:rPr>
          <w:rFonts w:ascii="Verdana" w:hAnsi="Verdana"/>
          <w:color w:val="000000"/>
          <w:sz w:val="20"/>
          <w:szCs w:val="20"/>
          <w:shd w:val="clear" w:color="auto" w:fill="FFFFFF"/>
          <w:lang w:val="es-CR"/>
        </w:rPr>
        <w:t xml:space="preserve">el 12 de </w:t>
      </w:r>
      <w:r>
        <w:rPr>
          <w:rFonts w:ascii="Verdana" w:hAnsi="Verdana"/>
          <w:color w:val="000000"/>
          <w:sz w:val="20"/>
          <w:szCs w:val="20"/>
          <w:shd w:val="clear" w:color="auto" w:fill="FFFFFF"/>
          <w:lang w:val="es-CR"/>
        </w:rPr>
        <w:t>julio de 2017</w:t>
      </w:r>
      <w:r w:rsidR="0039181A">
        <w:rPr>
          <w:rFonts w:ascii="Verdana" w:hAnsi="Verdana"/>
          <w:color w:val="000000"/>
          <w:sz w:val="20"/>
          <w:szCs w:val="20"/>
          <w:shd w:val="clear" w:color="auto" w:fill="FFFFFF"/>
          <w:lang w:val="es-CR"/>
        </w:rPr>
        <w:t xml:space="preserve"> </w:t>
      </w:r>
      <w:r>
        <w:rPr>
          <w:rFonts w:ascii="Verdana" w:hAnsi="Verdana"/>
          <w:color w:val="000000"/>
          <w:sz w:val="20"/>
          <w:szCs w:val="20"/>
          <w:shd w:val="clear" w:color="auto" w:fill="FFFFFF"/>
          <w:lang w:val="es-CR"/>
        </w:rPr>
        <w:t xml:space="preserve">y </w:t>
      </w:r>
      <w:r w:rsidR="0039181A">
        <w:rPr>
          <w:rFonts w:ascii="Verdana" w:hAnsi="Verdana"/>
          <w:color w:val="000000"/>
          <w:sz w:val="20"/>
          <w:szCs w:val="20"/>
          <w:shd w:val="clear" w:color="auto" w:fill="FFFFFF"/>
          <w:lang w:val="es-CR"/>
        </w:rPr>
        <w:t xml:space="preserve">22 de </w:t>
      </w:r>
      <w:r>
        <w:rPr>
          <w:rFonts w:ascii="Verdana" w:hAnsi="Verdana"/>
          <w:color w:val="000000"/>
          <w:sz w:val="20"/>
          <w:szCs w:val="20"/>
          <w:shd w:val="clear" w:color="auto" w:fill="FFFFFF"/>
          <w:lang w:val="es-CR"/>
        </w:rPr>
        <w:t>febrero de 2018</w:t>
      </w:r>
      <w:r w:rsidRPr="009B4B9D">
        <w:rPr>
          <w:rFonts w:ascii="Verdana" w:hAnsi="Verdana"/>
          <w:color w:val="000000"/>
          <w:sz w:val="20"/>
          <w:szCs w:val="20"/>
          <w:shd w:val="clear" w:color="auto" w:fill="FFFFFF"/>
          <w:lang w:val="es-CR"/>
        </w:rPr>
        <w:t>.</w:t>
      </w:r>
      <w:r w:rsidR="0039181A">
        <w:rPr>
          <w:rFonts w:ascii="Verdana" w:hAnsi="Verdana"/>
          <w:color w:val="000000"/>
          <w:sz w:val="20"/>
          <w:szCs w:val="20"/>
          <w:shd w:val="clear" w:color="auto" w:fill="FFFFFF"/>
          <w:lang w:val="es-CR"/>
        </w:rPr>
        <w:t xml:space="preserve"> </w:t>
      </w:r>
    </w:p>
    <w:p w:rsidR="00002BC3" w:rsidRDefault="00002BC3" w:rsidP="00704BA6">
      <w:pPr>
        <w:pStyle w:val="Prrafodelista"/>
        <w:numPr>
          <w:ilvl w:val="0"/>
          <w:numId w:val="1"/>
        </w:numPr>
        <w:spacing w:before="120" w:after="12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t xml:space="preserve">Los </w:t>
      </w:r>
      <w:r>
        <w:rPr>
          <w:rFonts w:ascii="Verdana" w:hAnsi="Verdana"/>
          <w:color w:val="000000"/>
          <w:sz w:val="20"/>
          <w:szCs w:val="20"/>
          <w:shd w:val="clear" w:color="auto" w:fill="FFFFFF"/>
          <w:lang w:val="es-CR"/>
        </w:rPr>
        <w:t>tres</w:t>
      </w:r>
      <w:r w:rsidRPr="009B4B9D">
        <w:rPr>
          <w:rFonts w:ascii="Verdana" w:hAnsi="Verdana"/>
          <w:color w:val="000000"/>
          <w:sz w:val="20"/>
          <w:szCs w:val="20"/>
          <w:shd w:val="clear" w:color="auto" w:fill="FFFFFF"/>
          <w:lang w:val="es-CR"/>
        </w:rPr>
        <w:t xml:space="preserve"> escritos de observaciones presentados por la Comisión Interamericana de Derechos Humanos (en adelante “la Comisión Interamericana” o “la Comisión”) entre </w:t>
      </w:r>
      <w:r>
        <w:rPr>
          <w:rFonts w:ascii="Verdana" w:hAnsi="Verdana"/>
          <w:sz w:val="20"/>
          <w:lang w:val="es-CR"/>
        </w:rPr>
        <w:t>enero de 2016 y enero de 2018</w:t>
      </w:r>
      <w:r w:rsidRPr="009B4B9D">
        <w:rPr>
          <w:rStyle w:val="Refdenotaalpie"/>
          <w:rFonts w:ascii="Verdana" w:hAnsi="Verdana"/>
          <w:color w:val="000000"/>
          <w:sz w:val="20"/>
          <w:szCs w:val="20"/>
          <w:shd w:val="clear" w:color="auto" w:fill="FFFFFF"/>
          <w:lang w:val="es-CR"/>
        </w:rPr>
        <w:footnoteReference w:id="5"/>
      </w:r>
      <w:r w:rsidRPr="009B4B9D">
        <w:rPr>
          <w:rFonts w:ascii="Verdana" w:hAnsi="Verdana"/>
          <w:color w:val="000000"/>
          <w:sz w:val="20"/>
          <w:szCs w:val="20"/>
          <w:shd w:val="clear" w:color="auto" w:fill="FFFFFF"/>
          <w:lang w:val="es-CR"/>
        </w:rPr>
        <w:t>.</w:t>
      </w:r>
    </w:p>
    <w:p w:rsidR="00002BC3" w:rsidRPr="004576AE" w:rsidRDefault="00002BC3" w:rsidP="00704BA6">
      <w:pPr>
        <w:spacing w:before="120" w:after="120" w:line="240" w:lineRule="auto"/>
        <w:jc w:val="both"/>
        <w:rPr>
          <w:rFonts w:ascii="Verdana" w:hAnsi="Verdana"/>
          <w:b/>
          <w:sz w:val="14"/>
          <w:szCs w:val="14"/>
          <w:lang w:val="es-CR"/>
        </w:rPr>
      </w:pPr>
    </w:p>
    <w:p w:rsidR="00002BC3" w:rsidRPr="009B4B9D" w:rsidRDefault="00002BC3" w:rsidP="00704BA6">
      <w:pPr>
        <w:spacing w:before="120" w:after="120" w:line="240" w:lineRule="auto"/>
        <w:jc w:val="both"/>
        <w:rPr>
          <w:rFonts w:ascii="Verdana" w:hAnsi="Verdana"/>
          <w:b/>
          <w:sz w:val="20"/>
          <w:lang w:val="es-MX"/>
        </w:rPr>
      </w:pPr>
      <w:r w:rsidRPr="009B4B9D">
        <w:rPr>
          <w:rFonts w:ascii="Verdana" w:hAnsi="Verdana"/>
          <w:b/>
          <w:sz w:val="20"/>
          <w:szCs w:val="20"/>
          <w:lang w:val="es-CR"/>
        </w:rPr>
        <w:t>C</w:t>
      </w:r>
      <w:r w:rsidRPr="009B4B9D">
        <w:rPr>
          <w:rFonts w:ascii="Verdana" w:hAnsi="Verdana"/>
          <w:b/>
          <w:sz w:val="20"/>
          <w:lang w:val="es-MX"/>
        </w:rPr>
        <w:t xml:space="preserve">ONSIDERANDO QUE: </w:t>
      </w:r>
    </w:p>
    <w:p w:rsidR="00002BC3" w:rsidRPr="00443D74" w:rsidRDefault="00002BC3" w:rsidP="00704BA6">
      <w:pPr>
        <w:pStyle w:val="Prrafodelista"/>
        <w:numPr>
          <w:ilvl w:val="0"/>
          <w:numId w:val="2"/>
        </w:numPr>
        <w:spacing w:before="120" w:after="120" w:line="240" w:lineRule="auto"/>
        <w:ind w:left="0" w:firstLine="0"/>
        <w:contextualSpacing w:val="0"/>
        <w:jc w:val="both"/>
        <w:rPr>
          <w:rFonts w:ascii="Verdana" w:hAnsi="Verdana"/>
          <w:b/>
          <w:sz w:val="20"/>
          <w:szCs w:val="20"/>
          <w:lang w:val="es-MX"/>
        </w:rPr>
      </w:pPr>
      <w:r w:rsidRPr="00443D74">
        <w:rPr>
          <w:rFonts w:ascii="Verdana" w:hAnsi="Verdana"/>
          <w:sz w:val="20"/>
          <w:lang w:val="es-CR"/>
        </w:rPr>
        <w:t xml:space="preserve">En el ejercicio de </w:t>
      </w:r>
      <w:r w:rsidRPr="00443D74">
        <w:rPr>
          <w:rFonts w:ascii="Verdana" w:hAnsi="Verdana"/>
          <w:sz w:val="20"/>
          <w:lang w:val="es-ES"/>
        </w:rPr>
        <w:t xml:space="preserve">su función jurisdiccional de </w:t>
      </w:r>
      <w:r w:rsidRPr="00443D74">
        <w:rPr>
          <w:rFonts w:ascii="Verdana" w:hAnsi="Verdana"/>
          <w:sz w:val="20"/>
          <w:lang w:val="es-CR"/>
        </w:rPr>
        <w:t>supervisar el cumplimiento de sus decisiones</w:t>
      </w:r>
      <w:r w:rsidRPr="009B4B9D">
        <w:rPr>
          <w:rStyle w:val="Refdenotaalpie"/>
          <w:rFonts w:ascii="Verdana" w:hAnsi="Verdana"/>
          <w:sz w:val="20"/>
        </w:rPr>
        <w:footnoteReference w:id="6"/>
      </w:r>
      <w:r w:rsidRPr="00443D74">
        <w:rPr>
          <w:rFonts w:ascii="Verdana" w:hAnsi="Verdana"/>
          <w:sz w:val="20"/>
          <w:lang w:val="es-CR"/>
        </w:rPr>
        <w:t>, la Corte ha venido supervisando la ejecución de la</w:t>
      </w:r>
      <w:r>
        <w:rPr>
          <w:rFonts w:ascii="Verdana" w:hAnsi="Verdana"/>
          <w:sz w:val="20"/>
          <w:lang w:val="es-CR"/>
        </w:rPr>
        <w:t xml:space="preserve"> </w:t>
      </w:r>
      <w:r w:rsidRPr="00443D74">
        <w:rPr>
          <w:rFonts w:ascii="Verdana" w:hAnsi="Verdana"/>
          <w:sz w:val="20"/>
          <w:lang w:val="es-CR"/>
        </w:rPr>
        <w:t xml:space="preserve">Sentencia emitida </w:t>
      </w:r>
      <w:r w:rsidRPr="00443D74">
        <w:rPr>
          <w:rFonts w:ascii="Verdana" w:hAnsi="Verdana"/>
          <w:sz w:val="20"/>
          <w:lang w:val="es-MX"/>
        </w:rPr>
        <w:t>en el</w:t>
      </w:r>
      <w:r w:rsidR="00FA75DA">
        <w:rPr>
          <w:rFonts w:ascii="Verdana" w:hAnsi="Verdana"/>
          <w:sz w:val="20"/>
          <w:lang w:val="es-MX"/>
        </w:rPr>
        <w:t xml:space="preserve"> presente caso en el</w:t>
      </w:r>
      <w:r w:rsidRPr="00443D74">
        <w:rPr>
          <w:rFonts w:ascii="Verdana" w:hAnsi="Verdana"/>
          <w:sz w:val="20"/>
          <w:lang w:val="es-MX"/>
        </w:rPr>
        <w:t xml:space="preserve"> </w:t>
      </w:r>
      <w:r>
        <w:rPr>
          <w:rFonts w:ascii="Verdana" w:hAnsi="Verdana"/>
          <w:sz w:val="20"/>
          <w:lang w:val="es-MX"/>
        </w:rPr>
        <w:t>2014</w:t>
      </w:r>
      <w:r w:rsidRPr="00443D74">
        <w:rPr>
          <w:rFonts w:ascii="Verdana" w:hAnsi="Verdana"/>
          <w:sz w:val="20"/>
          <w:lang w:val="es-MX"/>
        </w:rPr>
        <w:t xml:space="preserve"> (</w:t>
      </w:r>
      <w:r w:rsidRPr="00443D74">
        <w:rPr>
          <w:rFonts w:ascii="Verdana" w:hAnsi="Verdana"/>
          <w:i/>
          <w:sz w:val="20"/>
          <w:lang w:val="es-MX"/>
        </w:rPr>
        <w:t>supra</w:t>
      </w:r>
      <w:r w:rsidRPr="00443D74">
        <w:rPr>
          <w:rFonts w:ascii="Verdana" w:hAnsi="Verdana"/>
          <w:sz w:val="20"/>
          <w:lang w:val="es-MX"/>
        </w:rPr>
        <w:t xml:space="preserve"> Visto 1). </w:t>
      </w:r>
      <w:r w:rsidRPr="00443D74">
        <w:rPr>
          <w:rFonts w:ascii="Verdana" w:hAnsi="Verdana"/>
          <w:sz w:val="20"/>
          <w:szCs w:val="20"/>
          <w:lang w:val="es-CR"/>
        </w:rPr>
        <w:t xml:space="preserve">En </w:t>
      </w:r>
      <w:r>
        <w:rPr>
          <w:rFonts w:ascii="Verdana" w:hAnsi="Verdana"/>
          <w:sz w:val="20"/>
          <w:szCs w:val="20"/>
          <w:lang w:val="es-CR"/>
        </w:rPr>
        <w:t>dicho fallo</w:t>
      </w:r>
      <w:r w:rsidRPr="00443D74">
        <w:rPr>
          <w:rFonts w:ascii="Verdana" w:hAnsi="Verdana"/>
          <w:sz w:val="20"/>
          <w:szCs w:val="20"/>
          <w:lang w:val="es-CR"/>
        </w:rPr>
        <w:t xml:space="preserve"> la Corte dispuso </w:t>
      </w:r>
      <w:r w:rsidR="00FA75DA">
        <w:rPr>
          <w:rFonts w:ascii="Verdana" w:hAnsi="Verdana"/>
          <w:sz w:val="20"/>
          <w:szCs w:val="20"/>
          <w:lang w:val="es-CR"/>
        </w:rPr>
        <w:t xml:space="preserve">las siguientes </w:t>
      </w:r>
      <w:r>
        <w:rPr>
          <w:rFonts w:ascii="Verdana" w:hAnsi="Verdana"/>
          <w:sz w:val="20"/>
          <w:szCs w:val="20"/>
          <w:lang w:val="es-CR"/>
        </w:rPr>
        <w:t>medidas de reparación</w:t>
      </w:r>
      <w:r w:rsidR="00FA75DA">
        <w:rPr>
          <w:rFonts w:ascii="Verdana" w:hAnsi="Verdana"/>
          <w:sz w:val="20"/>
          <w:szCs w:val="20"/>
          <w:lang w:val="es-CR"/>
        </w:rPr>
        <w:t xml:space="preserve">: a) la publicación y difusión de la Sentencia </w:t>
      </w:r>
      <w:r w:rsidR="008A73E4">
        <w:rPr>
          <w:rFonts w:ascii="Verdana" w:hAnsi="Verdana"/>
          <w:sz w:val="20"/>
          <w:szCs w:val="20"/>
          <w:lang w:val="es-CR"/>
        </w:rPr>
        <w:t xml:space="preserve">y su resumen oficial, </w:t>
      </w:r>
      <w:r w:rsidR="00FA75DA">
        <w:rPr>
          <w:rFonts w:ascii="Verdana" w:hAnsi="Verdana"/>
          <w:sz w:val="20"/>
          <w:szCs w:val="20"/>
          <w:lang w:val="es-CR"/>
        </w:rPr>
        <w:t>y b) el reintegro de costas y gastos</w:t>
      </w:r>
      <w:r w:rsidRPr="00443D74">
        <w:rPr>
          <w:rFonts w:ascii="Verdana" w:hAnsi="Verdana"/>
          <w:sz w:val="20"/>
          <w:szCs w:val="20"/>
          <w:lang w:val="es-CR"/>
        </w:rPr>
        <w:t xml:space="preserve">. </w:t>
      </w:r>
    </w:p>
    <w:p w:rsidR="00002BC3" w:rsidRPr="003F5F46" w:rsidRDefault="00002BC3" w:rsidP="00704BA6">
      <w:pPr>
        <w:pStyle w:val="Prrafodelista"/>
        <w:numPr>
          <w:ilvl w:val="0"/>
          <w:numId w:val="2"/>
        </w:numPr>
        <w:spacing w:before="120" w:after="120" w:line="240" w:lineRule="auto"/>
        <w:ind w:left="0" w:firstLine="0"/>
        <w:contextualSpacing w:val="0"/>
        <w:jc w:val="both"/>
        <w:rPr>
          <w:rFonts w:ascii="Verdana" w:hAnsi="Verdana"/>
          <w:b/>
          <w:sz w:val="20"/>
          <w:lang w:val="es-MX"/>
        </w:rPr>
      </w:pPr>
      <w:r w:rsidRPr="009B4B9D">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9B4B9D">
        <w:rPr>
          <w:rStyle w:val="Refdenotaalpie"/>
          <w:rFonts w:ascii="Verdana" w:hAnsi="Verdana"/>
          <w:sz w:val="20"/>
          <w:szCs w:val="20"/>
        </w:rPr>
        <w:footnoteReference w:id="7"/>
      </w:r>
      <w:r w:rsidRPr="009B4B9D">
        <w:rPr>
          <w:rFonts w:ascii="Verdana" w:hAnsi="Verdana"/>
          <w:sz w:val="20"/>
          <w:szCs w:val="20"/>
          <w:lang w:val="es-CR"/>
        </w:rPr>
        <w:t>.</w:t>
      </w:r>
      <w:r>
        <w:rPr>
          <w:rFonts w:ascii="Times New Roman" w:hAnsi="Times New Roman"/>
          <w:sz w:val="24"/>
          <w:szCs w:val="24"/>
          <w:lang w:val="es-CR"/>
        </w:rPr>
        <w:t xml:space="preserve"> </w:t>
      </w:r>
      <w:r w:rsidRPr="006A08FC">
        <w:rPr>
          <w:rFonts w:ascii="Verdana" w:hAnsi="Verdana"/>
          <w:sz w:val="20"/>
          <w:szCs w:val="20"/>
          <w:lang w:val="es-CR"/>
        </w:rPr>
        <w:t>Los Estados Parte en la Convención deben garantizar el cumplimiento de las disposiciones convencionales y sus efectos propios (</w:t>
      </w:r>
      <w:proofErr w:type="spellStart"/>
      <w:r w:rsidRPr="006A08FC">
        <w:rPr>
          <w:rFonts w:ascii="Verdana" w:hAnsi="Verdana"/>
          <w:i/>
          <w:sz w:val="20"/>
          <w:szCs w:val="20"/>
          <w:lang w:val="es-CR"/>
        </w:rPr>
        <w:t>effet</w:t>
      </w:r>
      <w:proofErr w:type="spellEnd"/>
      <w:r w:rsidRPr="006A08FC">
        <w:rPr>
          <w:rFonts w:ascii="Verdana" w:hAnsi="Verdana"/>
          <w:i/>
          <w:sz w:val="20"/>
          <w:szCs w:val="20"/>
          <w:lang w:val="es-CR"/>
        </w:rPr>
        <w:t xml:space="preserve"> </w:t>
      </w:r>
      <w:proofErr w:type="spellStart"/>
      <w:r w:rsidRPr="006A08FC">
        <w:rPr>
          <w:rFonts w:ascii="Verdana" w:hAnsi="Verdana"/>
          <w:i/>
          <w:sz w:val="20"/>
          <w:szCs w:val="20"/>
          <w:lang w:val="es-CR"/>
        </w:rPr>
        <w:t>utile</w:t>
      </w:r>
      <w:proofErr w:type="spellEnd"/>
      <w:r w:rsidRPr="006A08FC">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9B4B9D">
        <w:rPr>
          <w:rStyle w:val="Refdenotaalpie"/>
          <w:rFonts w:ascii="Verdana" w:hAnsi="Verdana"/>
          <w:sz w:val="20"/>
          <w:szCs w:val="20"/>
          <w:lang w:val="es-CR"/>
        </w:rPr>
        <w:footnoteReference w:id="8"/>
      </w:r>
      <w:r w:rsidRPr="006A08FC">
        <w:rPr>
          <w:rFonts w:ascii="Verdana" w:hAnsi="Verdana"/>
          <w:sz w:val="20"/>
          <w:szCs w:val="20"/>
          <w:lang w:val="es-CR"/>
        </w:rPr>
        <w:t>.</w:t>
      </w:r>
    </w:p>
    <w:p w:rsidR="00002BC3" w:rsidRPr="008B36B7" w:rsidRDefault="00397807" w:rsidP="00704BA6">
      <w:pPr>
        <w:pStyle w:val="Prrafodelista"/>
        <w:numPr>
          <w:ilvl w:val="0"/>
          <w:numId w:val="3"/>
        </w:numPr>
        <w:spacing w:before="120" w:after="120" w:line="240" w:lineRule="auto"/>
        <w:ind w:left="0" w:hanging="11"/>
        <w:contextualSpacing w:val="0"/>
        <w:jc w:val="both"/>
        <w:rPr>
          <w:rFonts w:ascii="Verdana" w:hAnsi="Verdana"/>
          <w:sz w:val="20"/>
          <w:szCs w:val="20"/>
          <w:lang w:val="es-CR"/>
        </w:rPr>
      </w:pPr>
      <w:r>
        <w:rPr>
          <w:rFonts w:ascii="Verdana" w:hAnsi="Verdana"/>
          <w:sz w:val="20"/>
          <w:szCs w:val="20"/>
          <w:lang w:val="es-CR"/>
        </w:rPr>
        <w:t xml:space="preserve">En el presente caso, el Tribunal emitió una resolución declarando que el Estado </w:t>
      </w:r>
      <w:r w:rsidRPr="00397807">
        <w:rPr>
          <w:rFonts w:ascii="Verdana" w:hAnsi="Verdana"/>
          <w:sz w:val="20"/>
          <w:szCs w:val="20"/>
          <w:lang w:val="es-CR"/>
        </w:rPr>
        <w:t>ha</w:t>
      </w:r>
      <w:r>
        <w:rPr>
          <w:rFonts w:ascii="Verdana" w:hAnsi="Verdana"/>
          <w:sz w:val="20"/>
          <w:szCs w:val="20"/>
          <w:lang w:val="es-CR"/>
        </w:rPr>
        <w:t>bía</w:t>
      </w:r>
      <w:r w:rsidRPr="00397807">
        <w:rPr>
          <w:rFonts w:ascii="Verdana" w:hAnsi="Verdana"/>
          <w:sz w:val="20"/>
          <w:szCs w:val="20"/>
          <w:lang w:val="es-CR"/>
        </w:rPr>
        <w:t xml:space="preserve"> cumplido con reintegrar al Fondo de Asistencia Legal de Víctimas </w:t>
      </w:r>
      <w:r>
        <w:rPr>
          <w:rFonts w:ascii="Verdana" w:hAnsi="Verdana"/>
          <w:sz w:val="20"/>
          <w:szCs w:val="20"/>
          <w:lang w:val="es-CR"/>
        </w:rPr>
        <w:t>la</w:t>
      </w:r>
      <w:r w:rsidRPr="00397807">
        <w:rPr>
          <w:rFonts w:ascii="Verdana" w:hAnsi="Verdana"/>
          <w:sz w:val="20"/>
          <w:szCs w:val="20"/>
          <w:lang w:val="es-CR"/>
        </w:rPr>
        <w:t xml:space="preserve"> cantidad</w:t>
      </w:r>
      <w:r>
        <w:rPr>
          <w:rFonts w:ascii="Verdana" w:hAnsi="Verdana"/>
          <w:sz w:val="20"/>
          <w:szCs w:val="20"/>
          <w:lang w:val="es-CR"/>
        </w:rPr>
        <w:t xml:space="preserve"> dispuesta en la Sentencia (</w:t>
      </w:r>
      <w:r>
        <w:rPr>
          <w:rFonts w:ascii="Verdana" w:hAnsi="Verdana"/>
          <w:i/>
          <w:sz w:val="20"/>
          <w:szCs w:val="20"/>
          <w:lang w:val="es-CR"/>
        </w:rPr>
        <w:t xml:space="preserve">supra </w:t>
      </w:r>
      <w:r>
        <w:rPr>
          <w:rFonts w:ascii="Verdana" w:hAnsi="Verdana"/>
          <w:sz w:val="20"/>
          <w:szCs w:val="20"/>
          <w:lang w:val="es-CR"/>
        </w:rPr>
        <w:t xml:space="preserve">Visto </w:t>
      </w:r>
      <w:r w:rsidR="006D226C">
        <w:rPr>
          <w:rFonts w:ascii="Verdana" w:hAnsi="Verdana"/>
          <w:sz w:val="20"/>
          <w:szCs w:val="20"/>
          <w:lang w:val="es-CR"/>
        </w:rPr>
        <w:t>2</w:t>
      </w:r>
      <w:r w:rsidR="009F0122">
        <w:rPr>
          <w:rFonts w:ascii="Verdana" w:hAnsi="Verdana"/>
          <w:sz w:val="20"/>
          <w:szCs w:val="20"/>
          <w:lang w:val="es-CR"/>
        </w:rPr>
        <w:t>). En la presente r</w:t>
      </w:r>
      <w:r>
        <w:rPr>
          <w:rFonts w:ascii="Verdana" w:hAnsi="Verdana"/>
          <w:sz w:val="20"/>
          <w:szCs w:val="20"/>
          <w:lang w:val="es-CR"/>
        </w:rPr>
        <w:t>esolución, l</w:t>
      </w:r>
      <w:r w:rsidR="00002BC3" w:rsidRPr="00F7406C">
        <w:rPr>
          <w:rFonts w:ascii="Verdana" w:hAnsi="Verdana"/>
          <w:sz w:val="20"/>
          <w:szCs w:val="20"/>
          <w:lang w:val="es-CR"/>
        </w:rPr>
        <w:t xml:space="preserve">a Corte </w:t>
      </w:r>
      <w:r>
        <w:rPr>
          <w:rFonts w:ascii="Verdana" w:hAnsi="Verdana"/>
          <w:sz w:val="20"/>
          <w:szCs w:val="20"/>
          <w:lang w:val="es-CR"/>
        </w:rPr>
        <w:t xml:space="preserve">valorará la información presentada por las partes respecto de las dos </w:t>
      </w:r>
      <w:r w:rsidR="00002BC3" w:rsidRPr="00F7406C">
        <w:rPr>
          <w:rFonts w:ascii="Verdana" w:hAnsi="Verdana"/>
          <w:sz w:val="20"/>
          <w:szCs w:val="20"/>
          <w:lang w:val="es-CR"/>
        </w:rPr>
        <w:t>medidas de repar</w:t>
      </w:r>
      <w:r w:rsidR="00002BC3">
        <w:rPr>
          <w:rFonts w:ascii="Verdana" w:hAnsi="Verdana"/>
          <w:sz w:val="20"/>
          <w:szCs w:val="20"/>
          <w:lang w:val="es-CR"/>
        </w:rPr>
        <w:t xml:space="preserve">ación </w:t>
      </w:r>
      <w:r>
        <w:rPr>
          <w:rFonts w:ascii="Verdana" w:hAnsi="Verdana"/>
          <w:sz w:val="20"/>
          <w:szCs w:val="20"/>
          <w:lang w:val="es-CR"/>
        </w:rPr>
        <w:t xml:space="preserve">ordenadas en este caso </w:t>
      </w:r>
      <w:r w:rsidR="00002BC3" w:rsidRPr="009065E1">
        <w:rPr>
          <w:rFonts w:ascii="Verdana" w:hAnsi="Verdana"/>
          <w:sz w:val="20"/>
          <w:szCs w:val="20"/>
          <w:lang w:val="es-CR"/>
        </w:rPr>
        <w:t>(</w:t>
      </w:r>
      <w:r w:rsidR="00002BC3" w:rsidRPr="009065E1">
        <w:rPr>
          <w:rFonts w:ascii="Verdana" w:hAnsi="Verdana"/>
          <w:i/>
          <w:sz w:val="20"/>
          <w:szCs w:val="20"/>
          <w:lang w:val="es-CR"/>
        </w:rPr>
        <w:t>supra</w:t>
      </w:r>
      <w:r w:rsidR="00002BC3" w:rsidRPr="009065E1">
        <w:rPr>
          <w:rFonts w:ascii="Verdana" w:hAnsi="Verdana"/>
          <w:sz w:val="20"/>
          <w:szCs w:val="20"/>
          <w:lang w:val="es-CR"/>
        </w:rPr>
        <w:t xml:space="preserve"> Considerando 1)</w:t>
      </w:r>
      <w:r>
        <w:rPr>
          <w:rFonts w:ascii="Verdana" w:hAnsi="Verdana"/>
          <w:sz w:val="20"/>
          <w:szCs w:val="20"/>
          <w:lang w:val="es-CR"/>
        </w:rPr>
        <w:t xml:space="preserve"> y determinará el grado de cumplimiento por parte del Estado</w:t>
      </w:r>
      <w:r w:rsidR="00002BC3" w:rsidRPr="009065E1">
        <w:rPr>
          <w:rFonts w:ascii="Verdana" w:hAnsi="Verdana"/>
          <w:sz w:val="20"/>
          <w:szCs w:val="20"/>
          <w:lang w:val="es-CR"/>
        </w:rPr>
        <w:t>.</w:t>
      </w:r>
      <w:r w:rsidR="00002BC3">
        <w:rPr>
          <w:rFonts w:ascii="Verdana" w:hAnsi="Verdana"/>
          <w:sz w:val="20"/>
          <w:szCs w:val="20"/>
          <w:lang w:val="es-CR"/>
        </w:rPr>
        <w:t xml:space="preserve"> </w:t>
      </w:r>
    </w:p>
    <w:p w:rsidR="007153F1" w:rsidRDefault="007153F1" w:rsidP="003D4C18">
      <w:pPr>
        <w:pStyle w:val="TDC1"/>
        <w:spacing w:after="0" w:line="240" w:lineRule="auto"/>
        <w:rPr>
          <w:rFonts w:ascii="Verdana" w:hAnsi="Verdana"/>
          <w:sz w:val="14"/>
          <w:szCs w:val="14"/>
          <w:lang w:val="es-CR"/>
        </w:rPr>
      </w:pPr>
    </w:p>
    <w:p w:rsidR="00002BC3" w:rsidRPr="004576AE" w:rsidRDefault="00002BC3" w:rsidP="003D4C18">
      <w:pPr>
        <w:pStyle w:val="TDC1"/>
        <w:spacing w:after="0" w:line="240" w:lineRule="auto"/>
        <w:rPr>
          <w:rFonts w:ascii="Verdana" w:eastAsia="Times New Roman" w:hAnsi="Verdana"/>
          <w:noProof/>
          <w:sz w:val="14"/>
          <w:szCs w:val="14"/>
          <w:lang w:val="es-CR" w:eastAsia="es-CR"/>
        </w:rPr>
      </w:pPr>
      <w:r w:rsidRPr="004576AE">
        <w:rPr>
          <w:rFonts w:ascii="Verdana" w:hAnsi="Verdana"/>
          <w:sz w:val="14"/>
          <w:szCs w:val="14"/>
          <w:lang w:val="es-CR"/>
        </w:rPr>
        <w:fldChar w:fldCharType="begin"/>
      </w:r>
      <w:r w:rsidRPr="004576AE">
        <w:rPr>
          <w:rFonts w:ascii="Verdana" w:hAnsi="Verdana"/>
          <w:sz w:val="14"/>
          <w:szCs w:val="14"/>
          <w:lang w:val="es-CR"/>
        </w:rPr>
        <w:instrText xml:space="preserve"> TOC \o "1-1" \h \z \u </w:instrText>
      </w:r>
      <w:r w:rsidRPr="004576AE">
        <w:rPr>
          <w:rFonts w:ascii="Verdana" w:hAnsi="Verdana"/>
          <w:sz w:val="14"/>
          <w:szCs w:val="14"/>
          <w:lang w:val="es-CR"/>
        </w:rPr>
        <w:fldChar w:fldCharType="separate"/>
      </w:r>
    </w:p>
    <w:p w:rsidR="00002BC3" w:rsidRPr="006A558D" w:rsidRDefault="00002BC3" w:rsidP="003D4C18">
      <w:pPr>
        <w:spacing w:after="0" w:line="240" w:lineRule="auto"/>
        <w:rPr>
          <w:rFonts w:ascii="Verdana" w:hAnsi="Verdana"/>
          <w:b/>
          <w:i/>
          <w:sz w:val="20"/>
          <w:lang w:val="es-MX"/>
        </w:rPr>
      </w:pPr>
      <w:r w:rsidRPr="004576AE">
        <w:rPr>
          <w:rFonts w:ascii="Verdana" w:hAnsi="Verdana"/>
          <w:sz w:val="14"/>
          <w:szCs w:val="14"/>
          <w:lang w:val="es-CR"/>
        </w:rPr>
        <w:fldChar w:fldCharType="end"/>
      </w:r>
      <w:bookmarkStart w:id="0" w:name="_Toc1394497"/>
      <w:r w:rsidR="005A7846">
        <w:rPr>
          <w:rFonts w:ascii="Verdana" w:hAnsi="Verdana"/>
          <w:b/>
          <w:i/>
          <w:sz w:val="20"/>
          <w:lang w:val="es-MX"/>
        </w:rPr>
        <w:t xml:space="preserve">A. </w:t>
      </w:r>
      <w:r w:rsidR="005A7846">
        <w:rPr>
          <w:rFonts w:ascii="Verdana" w:hAnsi="Verdana"/>
          <w:b/>
          <w:i/>
          <w:sz w:val="20"/>
          <w:lang w:val="es-MX"/>
        </w:rPr>
        <w:tab/>
      </w:r>
      <w:r>
        <w:rPr>
          <w:rFonts w:ascii="Verdana" w:hAnsi="Verdana"/>
          <w:b/>
          <w:i/>
          <w:sz w:val="20"/>
          <w:lang w:val="es-MX"/>
        </w:rPr>
        <w:t>Publicación y difusión de la Sentencia</w:t>
      </w:r>
      <w:bookmarkEnd w:id="0"/>
    </w:p>
    <w:p w:rsidR="004A695F" w:rsidRPr="00BE3C8E" w:rsidRDefault="004A695F" w:rsidP="003D4C18">
      <w:pPr>
        <w:spacing w:after="0" w:line="240" w:lineRule="auto"/>
        <w:jc w:val="both"/>
        <w:rPr>
          <w:rFonts w:ascii="Verdana" w:hAnsi="Verdana"/>
          <w:i/>
          <w:sz w:val="14"/>
          <w:szCs w:val="14"/>
          <w:lang w:val="es-MX"/>
        </w:rPr>
      </w:pPr>
    </w:p>
    <w:p w:rsidR="00002BC3" w:rsidRDefault="00002BC3" w:rsidP="00704BA6">
      <w:pPr>
        <w:pStyle w:val="Prrafodelista"/>
        <w:spacing w:before="120" w:after="120" w:line="240" w:lineRule="auto"/>
        <w:contextualSpacing w:val="0"/>
        <w:jc w:val="both"/>
        <w:rPr>
          <w:rFonts w:ascii="Verdana" w:hAnsi="Verdana"/>
          <w:i/>
          <w:sz w:val="20"/>
          <w:lang w:val="es-MX"/>
        </w:rPr>
      </w:pPr>
      <w:r w:rsidRPr="000121ED">
        <w:rPr>
          <w:rFonts w:ascii="Verdana" w:hAnsi="Verdana"/>
          <w:i/>
          <w:sz w:val="20"/>
          <w:lang w:val="es-MX"/>
        </w:rPr>
        <w:t>A.</w:t>
      </w:r>
      <w:r w:rsidR="00650B2E">
        <w:rPr>
          <w:rFonts w:ascii="Verdana" w:hAnsi="Verdana"/>
          <w:i/>
          <w:sz w:val="20"/>
          <w:lang w:val="es-MX"/>
        </w:rPr>
        <w:t>1. Medida</w:t>
      </w:r>
      <w:r w:rsidR="00BD2EAA">
        <w:rPr>
          <w:rFonts w:ascii="Verdana" w:hAnsi="Verdana"/>
          <w:i/>
          <w:sz w:val="20"/>
          <w:lang w:val="es-MX"/>
        </w:rPr>
        <w:t>s</w:t>
      </w:r>
      <w:r w:rsidR="00650B2E">
        <w:rPr>
          <w:rFonts w:ascii="Verdana" w:hAnsi="Verdana"/>
          <w:i/>
          <w:sz w:val="20"/>
          <w:lang w:val="es-MX"/>
        </w:rPr>
        <w:t xml:space="preserve"> ordenada</w:t>
      </w:r>
      <w:r w:rsidR="00BD2EAA">
        <w:rPr>
          <w:rFonts w:ascii="Verdana" w:hAnsi="Verdana"/>
          <w:i/>
          <w:sz w:val="20"/>
          <w:lang w:val="es-MX"/>
        </w:rPr>
        <w:t>s</w:t>
      </w:r>
      <w:r w:rsidR="00650B2E">
        <w:rPr>
          <w:rFonts w:ascii="Verdana" w:hAnsi="Verdana"/>
          <w:i/>
          <w:sz w:val="20"/>
          <w:lang w:val="es-MX"/>
        </w:rPr>
        <w:t xml:space="preserve"> por la Corte</w:t>
      </w:r>
    </w:p>
    <w:p w:rsidR="00002BC3" w:rsidRDefault="00002BC3" w:rsidP="00704BA6">
      <w:pPr>
        <w:pStyle w:val="Prrafodelista"/>
        <w:numPr>
          <w:ilvl w:val="0"/>
          <w:numId w:val="3"/>
        </w:numPr>
        <w:spacing w:before="120" w:after="120" w:line="240" w:lineRule="auto"/>
        <w:ind w:left="0" w:hanging="11"/>
        <w:contextualSpacing w:val="0"/>
        <w:jc w:val="both"/>
        <w:rPr>
          <w:rFonts w:ascii="Verdana" w:hAnsi="Verdana"/>
          <w:sz w:val="20"/>
          <w:lang w:val="es-MX"/>
        </w:rPr>
      </w:pPr>
      <w:r>
        <w:rPr>
          <w:rFonts w:ascii="Verdana" w:hAnsi="Verdana"/>
          <w:sz w:val="20"/>
          <w:lang w:val="es-MX"/>
        </w:rPr>
        <w:t>E</w:t>
      </w:r>
      <w:r w:rsidRPr="00BD6F58">
        <w:rPr>
          <w:rFonts w:ascii="Verdana" w:hAnsi="Verdana"/>
          <w:sz w:val="20"/>
          <w:lang w:val="es-MX"/>
        </w:rPr>
        <w:t xml:space="preserve">n el punto </w:t>
      </w:r>
      <w:r>
        <w:rPr>
          <w:rFonts w:ascii="Verdana" w:hAnsi="Verdana"/>
          <w:sz w:val="20"/>
          <w:lang w:val="es-MX"/>
        </w:rPr>
        <w:t>dispositivo</w:t>
      </w:r>
      <w:r w:rsidRPr="00BD6F58">
        <w:rPr>
          <w:rFonts w:ascii="Verdana" w:hAnsi="Verdana"/>
          <w:sz w:val="20"/>
          <w:lang w:val="es-MX"/>
        </w:rPr>
        <w:t xml:space="preserve"> </w:t>
      </w:r>
      <w:r>
        <w:rPr>
          <w:rFonts w:ascii="Verdana" w:hAnsi="Verdana"/>
          <w:sz w:val="20"/>
          <w:lang w:val="es-MX"/>
        </w:rPr>
        <w:t>séptimo y en el párrafo</w:t>
      </w:r>
      <w:r w:rsidRPr="00BD6F58">
        <w:rPr>
          <w:rFonts w:ascii="Verdana" w:hAnsi="Verdana"/>
          <w:sz w:val="20"/>
          <w:lang w:val="es-MX"/>
        </w:rPr>
        <w:t xml:space="preserve"> </w:t>
      </w:r>
      <w:r>
        <w:rPr>
          <w:rFonts w:ascii="Verdana" w:hAnsi="Verdana"/>
          <w:sz w:val="20"/>
          <w:lang w:val="es-MX"/>
        </w:rPr>
        <w:t xml:space="preserve">179 </w:t>
      </w:r>
      <w:r w:rsidRPr="00BD6F58">
        <w:rPr>
          <w:rFonts w:ascii="Verdana" w:hAnsi="Verdana"/>
          <w:sz w:val="20"/>
          <w:lang w:val="es-MX"/>
        </w:rPr>
        <w:t xml:space="preserve">de la Sentencia, la Corte dispuso que </w:t>
      </w:r>
      <w:r>
        <w:rPr>
          <w:rFonts w:ascii="Verdana" w:hAnsi="Verdana"/>
          <w:sz w:val="20"/>
          <w:lang w:val="es-MX"/>
        </w:rPr>
        <w:t>el Estado deb</w:t>
      </w:r>
      <w:r w:rsidR="003D7BC3">
        <w:rPr>
          <w:rFonts w:ascii="Verdana" w:hAnsi="Verdana"/>
          <w:sz w:val="20"/>
          <w:lang w:val="es-MX"/>
        </w:rPr>
        <w:t>ía</w:t>
      </w:r>
      <w:r>
        <w:rPr>
          <w:rFonts w:ascii="Verdana" w:hAnsi="Verdana"/>
          <w:sz w:val="20"/>
          <w:lang w:val="es-MX"/>
        </w:rPr>
        <w:t>, en el plazo de seis meses a partir de la notificación de la Sentencia</w:t>
      </w:r>
      <w:r w:rsidR="003D7BC3">
        <w:rPr>
          <w:rFonts w:ascii="Verdana" w:hAnsi="Verdana"/>
          <w:sz w:val="20"/>
          <w:lang w:val="es-MX"/>
        </w:rPr>
        <w:t>:</w:t>
      </w:r>
      <w:r>
        <w:rPr>
          <w:rFonts w:ascii="Verdana" w:hAnsi="Verdana"/>
          <w:sz w:val="20"/>
          <w:lang w:val="es-MX"/>
        </w:rPr>
        <w:t xml:space="preserve"> i) publicar en el Diario Oficial del Perú y en un diario de amplia circulación nacional, por una sola vez, el resumen oficial de la Sentencia, y ii) publicar</w:t>
      </w:r>
      <w:r w:rsidR="008A73E4">
        <w:rPr>
          <w:rFonts w:ascii="Verdana" w:hAnsi="Verdana"/>
          <w:sz w:val="20"/>
          <w:lang w:val="es-MX"/>
        </w:rPr>
        <w:t xml:space="preserve"> el texto íntegro de</w:t>
      </w:r>
      <w:r>
        <w:rPr>
          <w:rFonts w:ascii="Verdana" w:hAnsi="Verdana"/>
          <w:sz w:val="20"/>
          <w:lang w:val="es-MX"/>
        </w:rPr>
        <w:t xml:space="preserve"> la Sentencia</w:t>
      </w:r>
      <w:r w:rsidR="008A73E4">
        <w:rPr>
          <w:rFonts w:ascii="Verdana" w:hAnsi="Verdana"/>
          <w:sz w:val="20"/>
          <w:lang w:val="es-MX"/>
        </w:rPr>
        <w:t>,</w:t>
      </w:r>
      <w:r w:rsidR="00F902AB">
        <w:rPr>
          <w:rFonts w:ascii="Verdana" w:hAnsi="Verdana"/>
          <w:sz w:val="20"/>
          <w:lang w:val="es-MX"/>
        </w:rPr>
        <w:t xml:space="preserve"> </w:t>
      </w:r>
      <w:r w:rsidR="003D7BC3">
        <w:rPr>
          <w:rFonts w:ascii="Verdana" w:hAnsi="Verdana"/>
          <w:sz w:val="20"/>
          <w:lang w:val="es-MX"/>
        </w:rPr>
        <w:t>disponible por un período de un año,</w:t>
      </w:r>
      <w:r>
        <w:rPr>
          <w:rFonts w:ascii="Verdana" w:hAnsi="Verdana"/>
          <w:sz w:val="20"/>
          <w:lang w:val="es-MX"/>
        </w:rPr>
        <w:t xml:space="preserve"> en un sitio web oficial del Estado. </w:t>
      </w:r>
    </w:p>
    <w:p w:rsidR="00002BC3" w:rsidRPr="00BE3C8E" w:rsidRDefault="00002BC3" w:rsidP="003D4C18">
      <w:pPr>
        <w:spacing w:after="0" w:line="240" w:lineRule="auto"/>
        <w:rPr>
          <w:rFonts w:ascii="Verdana" w:hAnsi="Verdana"/>
          <w:sz w:val="10"/>
          <w:szCs w:val="10"/>
          <w:lang w:val="es-MX"/>
        </w:rPr>
      </w:pPr>
    </w:p>
    <w:p w:rsidR="00002BC3" w:rsidRPr="006063C0" w:rsidRDefault="00002BC3" w:rsidP="00704BA6">
      <w:pPr>
        <w:pStyle w:val="Prrafodelista"/>
        <w:spacing w:before="120" w:after="120" w:line="240" w:lineRule="auto"/>
        <w:contextualSpacing w:val="0"/>
        <w:jc w:val="both"/>
        <w:rPr>
          <w:rFonts w:ascii="Verdana" w:hAnsi="Verdana"/>
          <w:i/>
          <w:sz w:val="20"/>
          <w:lang w:val="es-MX"/>
        </w:rPr>
      </w:pPr>
      <w:r w:rsidRPr="002E2891">
        <w:rPr>
          <w:rFonts w:ascii="Verdana" w:hAnsi="Verdana"/>
          <w:i/>
          <w:sz w:val="20"/>
          <w:lang w:val="es-MX"/>
        </w:rPr>
        <w:lastRenderedPageBreak/>
        <w:t>A.2. Consideraciones de la Corte</w:t>
      </w:r>
    </w:p>
    <w:p w:rsidR="00002BC3" w:rsidRDefault="00002BC3" w:rsidP="00704BA6">
      <w:pPr>
        <w:pStyle w:val="Prrafodelista"/>
        <w:numPr>
          <w:ilvl w:val="0"/>
          <w:numId w:val="3"/>
        </w:numPr>
        <w:spacing w:before="120" w:after="120" w:line="240" w:lineRule="auto"/>
        <w:ind w:left="0" w:hanging="11"/>
        <w:contextualSpacing w:val="0"/>
        <w:jc w:val="both"/>
        <w:rPr>
          <w:rFonts w:ascii="Verdana" w:hAnsi="Verdana"/>
          <w:sz w:val="20"/>
          <w:lang w:val="es-MX"/>
        </w:rPr>
      </w:pPr>
      <w:r w:rsidRPr="00CE7DF0">
        <w:rPr>
          <w:rFonts w:ascii="Verdana" w:hAnsi="Verdana"/>
          <w:sz w:val="20"/>
          <w:lang w:val="es-MX"/>
        </w:rPr>
        <w:t>La Corte ha constatado, con base en los comprobantes aportados por el Estado</w:t>
      </w:r>
      <w:r>
        <w:rPr>
          <w:rStyle w:val="Refdenotaalpie"/>
          <w:rFonts w:ascii="Verdana" w:hAnsi="Verdana"/>
          <w:sz w:val="20"/>
          <w:lang w:val="es-MX"/>
        </w:rPr>
        <w:footnoteReference w:id="9"/>
      </w:r>
      <w:r w:rsidRPr="00CE7DF0">
        <w:rPr>
          <w:rFonts w:ascii="Verdana" w:hAnsi="Verdana"/>
          <w:sz w:val="20"/>
          <w:lang w:val="es-MX"/>
        </w:rPr>
        <w:t xml:space="preserve"> y tomando en cuenta la conformidad manifestada por los representantes de las víctimas</w:t>
      </w:r>
      <w:r>
        <w:rPr>
          <w:rStyle w:val="Refdenotaalpie"/>
          <w:rFonts w:ascii="Verdana" w:hAnsi="Verdana"/>
          <w:sz w:val="20"/>
          <w:lang w:val="es-MX"/>
        </w:rPr>
        <w:footnoteReference w:id="10"/>
      </w:r>
      <w:r>
        <w:rPr>
          <w:rFonts w:ascii="Verdana" w:hAnsi="Verdana"/>
          <w:sz w:val="20"/>
          <w:lang w:val="es-MX"/>
        </w:rPr>
        <w:t xml:space="preserve"> y el parecer de la Comisión Interamericana</w:t>
      </w:r>
      <w:r>
        <w:rPr>
          <w:rStyle w:val="Refdenotaalpie"/>
          <w:rFonts w:ascii="Verdana" w:hAnsi="Verdana"/>
          <w:sz w:val="20"/>
          <w:lang w:val="es-MX"/>
        </w:rPr>
        <w:footnoteReference w:id="11"/>
      </w:r>
      <w:r>
        <w:rPr>
          <w:rFonts w:ascii="Verdana" w:hAnsi="Verdana"/>
          <w:sz w:val="20"/>
          <w:lang w:val="es-MX"/>
        </w:rPr>
        <w:t>, que el Estado</w:t>
      </w:r>
      <w:r w:rsidR="00BE6031">
        <w:rPr>
          <w:rFonts w:ascii="Verdana" w:hAnsi="Verdana"/>
          <w:sz w:val="20"/>
          <w:lang w:val="es-MX"/>
        </w:rPr>
        <w:t>: i)</w:t>
      </w:r>
      <w:r>
        <w:rPr>
          <w:rFonts w:ascii="Verdana" w:hAnsi="Verdana"/>
          <w:sz w:val="20"/>
          <w:lang w:val="es-MX"/>
        </w:rPr>
        <w:t xml:space="preserve"> </w:t>
      </w:r>
      <w:r w:rsidR="00BE6031">
        <w:rPr>
          <w:rFonts w:ascii="Verdana" w:hAnsi="Verdana"/>
          <w:sz w:val="20"/>
          <w:lang w:val="es-MX"/>
        </w:rPr>
        <w:t xml:space="preserve">dentro del plazo establecido en el fallo, </w:t>
      </w:r>
      <w:r w:rsidR="009735CC">
        <w:rPr>
          <w:rFonts w:ascii="Verdana" w:hAnsi="Verdana"/>
          <w:sz w:val="20"/>
          <w:lang w:val="es-MX"/>
        </w:rPr>
        <w:t>publicó</w:t>
      </w:r>
      <w:r w:rsidR="00BE6031">
        <w:rPr>
          <w:rFonts w:ascii="Verdana" w:hAnsi="Verdana"/>
          <w:sz w:val="20"/>
          <w:lang w:val="es-MX"/>
        </w:rPr>
        <w:t xml:space="preserve"> </w:t>
      </w:r>
      <w:r w:rsidR="00DC0D73">
        <w:rPr>
          <w:rFonts w:ascii="Verdana" w:hAnsi="Verdana"/>
          <w:sz w:val="20"/>
          <w:lang w:val="es-MX"/>
        </w:rPr>
        <w:t xml:space="preserve">el texto integral de </w:t>
      </w:r>
      <w:r w:rsidR="00BE6031">
        <w:rPr>
          <w:rFonts w:ascii="Verdana" w:hAnsi="Verdana"/>
          <w:sz w:val="20"/>
          <w:lang w:val="es-MX"/>
        </w:rPr>
        <w:t>la Sentencia en el sitio web oficial del Ministerio de Justicia y Derechos Humanos, manteniendo dicha publicación más allá del período de un año</w:t>
      </w:r>
      <w:r w:rsidR="00BE6031">
        <w:rPr>
          <w:rStyle w:val="Refdenotaalpie"/>
          <w:rFonts w:ascii="Verdana" w:hAnsi="Verdana"/>
          <w:sz w:val="20"/>
          <w:lang w:val="es-MX"/>
        </w:rPr>
        <w:footnoteReference w:id="12"/>
      </w:r>
      <w:r w:rsidR="00BE6031">
        <w:rPr>
          <w:rFonts w:ascii="Verdana" w:hAnsi="Verdana"/>
          <w:sz w:val="20"/>
          <w:lang w:val="es-MX"/>
        </w:rPr>
        <w:t xml:space="preserve">; y ii) </w:t>
      </w:r>
      <w:r w:rsidR="002C1F03">
        <w:rPr>
          <w:rFonts w:ascii="Verdana" w:hAnsi="Verdana"/>
          <w:sz w:val="20"/>
          <w:lang w:val="es-MX"/>
        </w:rPr>
        <w:t>con posterioridad al vencimiento</w:t>
      </w:r>
      <w:r w:rsidR="00BE6031">
        <w:rPr>
          <w:rFonts w:ascii="Verdana" w:hAnsi="Verdana"/>
          <w:sz w:val="20"/>
          <w:lang w:val="es-MX"/>
        </w:rPr>
        <w:t xml:space="preserve"> del plazo establecido en el fallo,</w:t>
      </w:r>
      <w:r>
        <w:rPr>
          <w:rFonts w:ascii="Verdana" w:hAnsi="Verdana"/>
          <w:sz w:val="20"/>
          <w:lang w:val="es-MX"/>
        </w:rPr>
        <w:t xml:space="preserve"> </w:t>
      </w:r>
      <w:r w:rsidR="002C1F03">
        <w:rPr>
          <w:rFonts w:ascii="Verdana" w:hAnsi="Verdana"/>
          <w:sz w:val="20"/>
          <w:lang w:val="es-MX"/>
        </w:rPr>
        <w:t>publicó</w:t>
      </w:r>
      <w:r>
        <w:rPr>
          <w:rFonts w:ascii="Verdana" w:hAnsi="Verdana"/>
          <w:sz w:val="20"/>
          <w:lang w:val="es-MX"/>
        </w:rPr>
        <w:t xml:space="preserve"> el resumen oficial </w:t>
      </w:r>
      <w:r w:rsidR="00DD2219">
        <w:rPr>
          <w:rFonts w:ascii="Verdana" w:hAnsi="Verdana"/>
          <w:sz w:val="20"/>
          <w:lang w:val="es-MX"/>
        </w:rPr>
        <w:t xml:space="preserve">de la Sentencia </w:t>
      </w:r>
      <w:r>
        <w:rPr>
          <w:rFonts w:ascii="Verdana" w:hAnsi="Verdana"/>
          <w:sz w:val="20"/>
          <w:lang w:val="es-MX"/>
        </w:rPr>
        <w:t>en el Diario Oficial</w:t>
      </w:r>
      <w:r w:rsidR="005655B1">
        <w:rPr>
          <w:rFonts w:ascii="Verdana" w:hAnsi="Verdana"/>
          <w:sz w:val="20"/>
          <w:lang w:val="es-MX"/>
        </w:rPr>
        <w:t xml:space="preserve"> “El Peruano”</w:t>
      </w:r>
      <w:r>
        <w:rPr>
          <w:rStyle w:val="Refdenotaalpie"/>
          <w:rFonts w:ascii="Verdana" w:hAnsi="Verdana"/>
          <w:sz w:val="20"/>
          <w:lang w:val="es-MX"/>
        </w:rPr>
        <w:footnoteReference w:id="13"/>
      </w:r>
      <w:r>
        <w:rPr>
          <w:rFonts w:ascii="Verdana" w:hAnsi="Verdana"/>
          <w:sz w:val="20"/>
          <w:lang w:val="es-MX"/>
        </w:rPr>
        <w:t xml:space="preserve"> y en el Diario La República</w:t>
      </w:r>
      <w:r w:rsidR="00DD2219">
        <w:rPr>
          <w:rFonts w:ascii="Verdana" w:hAnsi="Verdana"/>
          <w:sz w:val="20"/>
          <w:lang w:val="es-MX"/>
        </w:rPr>
        <w:t>, “</w:t>
      </w:r>
      <w:r w:rsidR="008E0C68">
        <w:rPr>
          <w:rFonts w:ascii="Verdana" w:hAnsi="Verdana"/>
          <w:sz w:val="20"/>
          <w:lang w:val="es-MX"/>
        </w:rPr>
        <w:t>d</w:t>
      </w:r>
      <w:r w:rsidR="00DD2219">
        <w:rPr>
          <w:rFonts w:ascii="Verdana" w:hAnsi="Verdana"/>
          <w:sz w:val="20"/>
          <w:lang w:val="es-MX"/>
        </w:rPr>
        <w:t>iario de amplia circulación nacional</w:t>
      </w:r>
      <w:r w:rsidR="005655B1">
        <w:rPr>
          <w:rFonts w:ascii="Verdana" w:hAnsi="Verdana"/>
          <w:sz w:val="20"/>
          <w:lang w:val="es-MX"/>
        </w:rPr>
        <w:t>”</w:t>
      </w:r>
      <w:r>
        <w:rPr>
          <w:rStyle w:val="Refdenotaalpie"/>
          <w:rFonts w:ascii="Verdana" w:hAnsi="Verdana"/>
          <w:sz w:val="20"/>
          <w:lang w:val="es-MX"/>
        </w:rPr>
        <w:footnoteReference w:id="14"/>
      </w:r>
      <w:r w:rsidR="00BE6031">
        <w:rPr>
          <w:rFonts w:ascii="Verdana" w:hAnsi="Verdana"/>
          <w:sz w:val="20"/>
          <w:lang w:val="es-MX"/>
        </w:rPr>
        <w:t xml:space="preserve">. </w:t>
      </w:r>
    </w:p>
    <w:p w:rsidR="00002BC3" w:rsidRPr="00CE7DF0" w:rsidRDefault="00002BC3" w:rsidP="00704BA6">
      <w:pPr>
        <w:pStyle w:val="Prrafodelista"/>
        <w:numPr>
          <w:ilvl w:val="0"/>
          <w:numId w:val="5"/>
        </w:numPr>
        <w:spacing w:before="120" w:after="120" w:line="240" w:lineRule="auto"/>
        <w:ind w:left="0" w:firstLine="0"/>
        <w:contextualSpacing w:val="0"/>
        <w:jc w:val="both"/>
        <w:rPr>
          <w:rFonts w:ascii="Verdana" w:hAnsi="Verdana"/>
          <w:sz w:val="20"/>
          <w:lang w:val="es-MX"/>
        </w:rPr>
      </w:pPr>
      <w:r>
        <w:rPr>
          <w:rFonts w:ascii="Verdana" w:hAnsi="Verdana"/>
          <w:sz w:val="20"/>
          <w:lang w:val="es-MX"/>
        </w:rPr>
        <w:t xml:space="preserve">En virtud de lo anterior, la Corte </w:t>
      </w:r>
      <w:r w:rsidR="00DC0D73">
        <w:rPr>
          <w:rFonts w:ascii="Verdana" w:hAnsi="Verdana"/>
          <w:sz w:val="20"/>
          <w:lang w:val="es-MX"/>
        </w:rPr>
        <w:t xml:space="preserve">considera </w:t>
      </w:r>
      <w:r>
        <w:rPr>
          <w:rFonts w:ascii="Verdana" w:hAnsi="Verdana"/>
          <w:sz w:val="20"/>
          <w:lang w:val="es-MX"/>
        </w:rPr>
        <w:t xml:space="preserve">que </w:t>
      </w:r>
      <w:r w:rsidR="00DC0D73">
        <w:rPr>
          <w:rFonts w:ascii="Verdana" w:hAnsi="Verdana"/>
          <w:sz w:val="20"/>
          <w:lang w:val="es-MX"/>
        </w:rPr>
        <w:t xml:space="preserve">el Estado </w:t>
      </w:r>
      <w:r>
        <w:rPr>
          <w:rFonts w:ascii="Verdana" w:hAnsi="Verdana"/>
          <w:sz w:val="20"/>
          <w:lang w:val="es-MX"/>
        </w:rPr>
        <w:t>ha dado cumplimiento a las medidas de publicación y difusión de la Sentencia</w:t>
      </w:r>
      <w:r w:rsidR="00DC0D73">
        <w:rPr>
          <w:rFonts w:ascii="Verdana" w:hAnsi="Verdana"/>
          <w:sz w:val="20"/>
          <w:lang w:val="es-MX"/>
        </w:rPr>
        <w:t xml:space="preserve"> y de su resumen oficial</w:t>
      </w:r>
      <w:r>
        <w:rPr>
          <w:rFonts w:ascii="Verdana" w:hAnsi="Verdana"/>
          <w:sz w:val="20"/>
          <w:lang w:val="es-MX"/>
        </w:rPr>
        <w:t xml:space="preserve">, ordenadas en el punto dispositivo séptimo de la misma. </w:t>
      </w:r>
    </w:p>
    <w:p w:rsidR="00002BC3" w:rsidRDefault="00002BC3" w:rsidP="003D4C18">
      <w:pPr>
        <w:pStyle w:val="Prrafodelista"/>
        <w:spacing w:after="0" w:line="240" w:lineRule="auto"/>
        <w:ind w:left="0"/>
        <w:contextualSpacing w:val="0"/>
        <w:jc w:val="both"/>
        <w:rPr>
          <w:rFonts w:ascii="Verdana" w:hAnsi="Verdana"/>
          <w:b/>
          <w:i/>
          <w:sz w:val="14"/>
          <w:szCs w:val="14"/>
          <w:lang w:val="es-MX"/>
        </w:rPr>
      </w:pPr>
    </w:p>
    <w:p w:rsidR="007153F1" w:rsidRPr="004576AE" w:rsidRDefault="007153F1" w:rsidP="003D4C18">
      <w:pPr>
        <w:pStyle w:val="Prrafodelista"/>
        <w:spacing w:after="0" w:line="240" w:lineRule="auto"/>
        <w:ind w:left="0"/>
        <w:contextualSpacing w:val="0"/>
        <w:jc w:val="both"/>
        <w:rPr>
          <w:rFonts w:ascii="Verdana" w:hAnsi="Verdana"/>
          <w:b/>
          <w:i/>
          <w:sz w:val="14"/>
          <w:szCs w:val="14"/>
          <w:lang w:val="es-MX"/>
        </w:rPr>
      </w:pPr>
    </w:p>
    <w:p w:rsidR="00002BC3" w:rsidRPr="008928F8" w:rsidRDefault="008928F8" w:rsidP="003D4C18">
      <w:pPr>
        <w:spacing w:after="0" w:line="240" w:lineRule="auto"/>
        <w:ind w:firstLine="708"/>
        <w:jc w:val="both"/>
        <w:outlineLvl w:val="0"/>
        <w:rPr>
          <w:rFonts w:ascii="Verdana" w:hAnsi="Verdana"/>
          <w:b/>
          <w:i/>
          <w:sz w:val="20"/>
          <w:lang w:val="es-MX"/>
        </w:rPr>
      </w:pPr>
      <w:bookmarkStart w:id="1" w:name="_Toc1394498"/>
      <w:r>
        <w:rPr>
          <w:rFonts w:ascii="Verdana" w:hAnsi="Verdana"/>
          <w:b/>
          <w:i/>
          <w:sz w:val="20"/>
          <w:lang w:val="es-MX"/>
        </w:rPr>
        <w:t xml:space="preserve">B. </w:t>
      </w:r>
      <w:r w:rsidR="004A695F">
        <w:rPr>
          <w:rFonts w:ascii="Verdana" w:hAnsi="Verdana"/>
          <w:b/>
          <w:i/>
          <w:sz w:val="20"/>
          <w:lang w:val="es-MX"/>
        </w:rPr>
        <w:tab/>
      </w:r>
      <w:r w:rsidR="00002BC3" w:rsidRPr="008928F8">
        <w:rPr>
          <w:rFonts w:ascii="Verdana" w:hAnsi="Verdana"/>
          <w:b/>
          <w:i/>
          <w:sz w:val="20"/>
          <w:lang w:val="es-MX"/>
        </w:rPr>
        <w:t>Reintegro de costas y gastos</w:t>
      </w:r>
      <w:bookmarkEnd w:id="1"/>
    </w:p>
    <w:p w:rsidR="004A695F" w:rsidRPr="00BE3C8E" w:rsidRDefault="004A695F" w:rsidP="003D4C18">
      <w:pPr>
        <w:tabs>
          <w:tab w:val="left" w:pos="1175"/>
        </w:tabs>
        <w:spacing w:after="0" w:line="240" w:lineRule="auto"/>
        <w:jc w:val="both"/>
        <w:rPr>
          <w:rFonts w:ascii="Verdana" w:hAnsi="Verdana"/>
          <w:i/>
          <w:sz w:val="14"/>
          <w:szCs w:val="14"/>
          <w:lang w:val="es-MX"/>
        </w:rPr>
      </w:pPr>
    </w:p>
    <w:p w:rsidR="00002BC3" w:rsidRPr="000121ED" w:rsidRDefault="00002BC3" w:rsidP="00704BA6">
      <w:pPr>
        <w:pStyle w:val="Prrafodelista"/>
        <w:spacing w:before="120" w:after="120" w:line="240" w:lineRule="auto"/>
        <w:contextualSpacing w:val="0"/>
        <w:jc w:val="both"/>
        <w:rPr>
          <w:rFonts w:ascii="Verdana" w:hAnsi="Verdana"/>
          <w:i/>
          <w:sz w:val="20"/>
          <w:lang w:val="es-MX"/>
        </w:rPr>
      </w:pPr>
      <w:r>
        <w:rPr>
          <w:rFonts w:ascii="Verdana" w:hAnsi="Verdana"/>
          <w:i/>
          <w:sz w:val="20"/>
          <w:lang w:val="es-MX"/>
        </w:rPr>
        <w:t>B</w:t>
      </w:r>
      <w:r w:rsidRPr="000121ED">
        <w:rPr>
          <w:rFonts w:ascii="Verdana" w:hAnsi="Verdana"/>
          <w:i/>
          <w:sz w:val="20"/>
          <w:lang w:val="es-MX"/>
        </w:rPr>
        <w:t>.</w:t>
      </w:r>
      <w:r>
        <w:rPr>
          <w:rFonts w:ascii="Verdana" w:hAnsi="Verdana"/>
          <w:i/>
          <w:sz w:val="20"/>
          <w:lang w:val="es-MX"/>
        </w:rPr>
        <w:t xml:space="preserve">1. Medida ordenada por la Corte </w:t>
      </w:r>
    </w:p>
    <w:p w:rsidR="00002BC3" w:rsidRPr="00464ED6" w:rsidRDefault="00002BC3" w:rsidP="00704BA6">
      <w:pPr>
        <w:pStyle w:val="Prrafodelista"/>
        <w:numPr>
          <w:ilvl w:val="0"/>
          <w:numId w:val="5"/>
        </w:numPr>
        <w:spacing w:before="120" w:after="120" w:line="240" w:lineRule="auto"/>
        <w:ind w:left="0" w:firstLine="0"/>
        <w:contextualSpacing w:val="0"/>
        <w:jc w:val="both"/>
        <w:rPr>
          <w:rFonts w:ascii="Verdana" w:hAnsi="Verdana"/>
          <w:bCs/>
          <w:sz w:val="18"/>
          <w:szCs w:val="18"/>
          <w:lang w:val="es-CR"/>
        </w:rPr>
      </w:pPr>
      <w:r w:rsidRPr="005A5BF2">
        <w:rPr>
          <w:rFonts w:ascii="Verdana" w:hAnsi="Verdana"/>
          <w:sz w:val="20"/>
          <w:lang w:val="es-MX"/>
        </w:rPr>
        <w:t xml:space="preserve">En el punto </w:t>
      </w:r>
      <w:r>
        <w:rPr>
          <w:rFonts w:ascii="Verdana" w:hAnsi="Verdana"/>
          <w:sz w:val="20"/>
          <w:lang w:val="es-MX"/>
        </w:rPr>
        <w:t>dispositivo</w:t>
      </w:r>
      <w:r w:rsidRPr="005A5BF2">
        <w:rPr>
          <w:rFonts w:ascii="Verdana" w:hAnsi="Verdana"/>
          <w:sz w:val="20"/>
          <w:lang w:val="es-MX"/>
        </w:rPr>
        <w:t xml:space="preserve"> </w:t>
      </w:r>
      <w:r>
        <w:rPr>
          <w:rFonts w:ascii="Verdana" w:hAnsi="Verdana"/>
          <w:sz w:val="20"/>
          <w:lang w:val="es-MX"/>
        </w:rPr>
        <w:t>octavo</w:t>
      </w:r>
      <w:r w:rsidRPr="005A5BF2">
        <w:rPr>
          <w:rFonts w:ascii="Verdana" w:hAnsi="Verdana"/>
          <w:sz w:val="20"/>
          <w:lang w:val="es-MX"/>
        </w:rPr>
        <w:t xml:space="preserve"> y en </w:t>
      </w:r>
      <w:r>
        <w:rPr>
          <w:rFonts w:ascii="Verdana" w:hAnsi="Verdana"/>
          <w:sz w:val="20"/>
          <w:lang w:val="es-MX"/>
        </w:rPr>
        <w:t>el párrafo 200</w:t>
      </w:r>
      <w:r w:rsidRPr="005A5BF2">
        <w:rPr>
          <w:rFonts w:ascii="Verdana" w:hAnsi="Verdana"/>
          <w:sz w:val="20"/>
          <w:lang w:val="es-MX"/>
        </w:rPr>
        <w:t xml:space="preserve"> de la Sentencia, la Corte dispuso que el Estado deb</w:t>
      </w:r>
      <w:r w:rsidR="003A091D">
        <w:rPr>
          <w:rFonts w:ascii="Verdana" w:hAnsi="Verdana"/>
          <w:sz w:val="20"/>
          <w:lang w:val="es-MX"/>
        </w:rPr>
        <w:t>ía</w:t>
      </w:r>
      <w:r w:rsidRPr="005A5BF2">
        <w:rPr>
          <w:rFonts w:ascii="Verdana" w:hAnsi="Verdana"/>
          <w:sz w:val="20"/>
          <w:lang w:val="es-MX"/>
        </w:rPr>
        <w:t xml:space="preserve">, </w:t>
      </w:r>
      <w:r>
        <w:rPr>
          <w:rFonts w:ascii="Verdana" w:hAnsi="Verdana"/>
          <w:sz w:val="20"/>
          <w:lang w:val="es-MX"/>
        </w:rPr>
        <w:t xml:space="preserve">dentro del plazo de seis meses a partir de la notificación de la Sentencia, pagar </w:t>
      </w:r>
      <w:r w:rsidR="006136B8">
        <w:rPr>
          <w:rFonts w:ascii="Verdana" w:hAnsi="Verdana"/>
          <w:sz w:val="20"/>
          <w:lang w:val="es-MX"/>
        </w:rPr>
        <w:t xml:space="preserve">a los representantes de las víctimas </w:t>
      </w:r>
      <w:r w:rsidRPr="00F71A12">
        <w:rPr>
          <w:rFonts w:ascii="Verdana" w:hAnsi="Verdana"/>
          <w:sz w:val="20"/>
          <w:lang w:val="es-MX"/>
        </w:rPr>
        <w:t xml:space="preserve">USD $ 10.000 (diez mil dólares de los Estados Unidos de América) </w:t>
      </w:r>
      <w:r>
        <w:rPr>
          <w:rFonts w:ascii="Verdana" w:hAnsi="Verdana"/>
          <w:sz w:val="20"/>
          <w:lang w:val="es-MX"/>
        </w:rPr>
        <w:t xml:space="preserve">por concepto de costas y gastos. </w:t>
      </w:r>
      <w:r w:rsidRPr="00A82D3A">
        <w:rPr>
          <w:rFonts w:ascii="Verdana" w:hAnsi="Verdana"/>
          <w:sz w:val="20"/>
          <w:lang w:val="es-MX"/>
        </w:rPr>
        <w:t>Asimismo, en el párrafo 204 del fallo se estableció</w:t>
      </w:r>
      <w:r w:rsidR="003A091D">
        <w:rPr>
          <w:rFonts w:ascii="Verdana" w:hAnsi="Verdana"/>
          <w:sz w:val="20"/>
          <w:lang w:val="es-MX"/>
        </w:rPr>
        <w:t>, entre otros,</w:t>
      </w:r>
      <w:r w:rsidRPr="00A82D3A">
        <w:rPr>
          <w:rFonts w:ascii="Verdana" w:hAnsi="Verdana"/>
          <w:sz w:val="20"/>
          <w:lang w:val="es-MX"/>
        </w:rPr>
        <w:t xml:space="preserve"> que en caso de que el Estado incurriera en mora</w:t>
      </w:r>
      <w:r w:rsidR="003A091D">
        <w:rPr>
          <w:rFonts w:ascii="Verdana" w:hAnsi="Verdana"/>
          <w:sz w:val="20"/>
          <w:lang w:val="es-MX"/>
        </w:rPr>
        <w:t xml:space="preserve"> en el referido reintegro</w:t>
      </w:r>
      <w:r w:rsidRPr="00A82D3A">
        <w:rPr>
          <w:rFonts w:ascii="Verdana" w:hAnsi="Verdana"/>
          <w:sz w:val="20"/>
          <w:lang w:val="es-MX"/>
        </w:rPr>
        <w:t>, deber</w:t>
      </w:r>
      <w:r w:rsidR="003A091D">
        <w:rPr>
          <w:rFonts w:ascii="Verdana" w:hAnsi="Verdana"/>
          <w:sz w:val="20"/>
          <w:lang w:val="es-MX"/>
        </w:rPr>
        <w:t>ía</w:t>
      </w:r>
      <w:r w:rsidRPr="00A82D3A">
        <w:rPr>
          <w:rFonts w:ascii="Verdana" w:hAnsi="Verdana"/>
          <w:sz w:val="20"/>
          <w:lang w:val="es-MX"/>
        </w:rPr>
        <w:t xml:space="preserve"> </w:t>
      </w:r>
      <w:r w:rsidR="003A091D">
        <w:rPr>
          <w:rFonts w:ascii="Verdana" w:hAnsi="Verdana"/>
          <w:sz w:val="20"/>
          <w:lang w:val="es-MX"/>
        </w:rPr>
        <w:t>“</w:t>
      </w:r>
      <w:r w:rsidRPr="00A82D3A">
        <w:rPr>
          <w:rFonts w:ascii="Verdana" w:hAnsi="Verdana"/>
          <w:sz w:val="20"/>
          <w:lang w:val="es-MX"/>
        </w:rPr>
        <w:t>pagar un interés sobre la cantidad adeudada, correspondiente al interés bancario moratorio en la República del Perú</w:t>
      </w:r>
      <w:r w:rsidR="003A091D">
        <w:rPr>
          <w:rFonts w:ascii="Verdana" w:hAnsi="Verdana"/>
          <w:sz w:val="20"/>
          <w:lang w:val="es-MX"/>
        </w:rPr>
        <w:t>”</w:t>
      </w:r>
      <w:r w:rsidRPr="00A82D3A">
        <w:rPr>
          <w:rFonts w:ascii="Verdana" w:hAnsi="Verdana"/>
          <w:sz w:val="20"/>
          <w:lang w:val="es-MX"/>
        </w:rPr>
        <w:t>.</w:t>
      </w:r>
    </w:p>
    <w:p w:rsidR="00002BC3" w:rsidRPr="006063C0" w:rsidRDefault="00002BC3" w:rsidP="00704BA6">
      <w:pPr>
        <w:pStyle w:val="Prrafodelista"/>
        <w:spacing w:before="120" w:after="120" w:line="240" w:lineRule="auto"/>
        <w:contextualSpacing w:val="0"/>
        <w:jc w:val="both"/>
        <w:rPr>
          <w:rFonts w:ascii="Verdana" w:hAnsi="Verdana"/>
          <w:i/>
          <w:sz w:val="20"/>
          <w:lang w:val="es-MX"/>
        </w:rPr>
      </w:pPr>
      <w:r w:rsidRPr="00F77D04">
        <w:rPr>
          <w:rFonts w:ascii="Verdana" w:hAnsi="Verdana"/>
          <w:i/>
          <w:sz w:val="20"/>
          <w:lang w:val="es-MX"/>
        </w:rPr>
        <w:t>B.2. Consideraciones de la Corte</w:t>
      </w:r>
    </w:p>
    <w:p w:rsidR="00002BC3" w:rsidRPr="00E32A52" w:rsidRDefault="00002BC3" w:rsidP="00704BA6">
      <w:pPr>
        <w:pStyle w:val="Prrafodelista"/>
        <w:numPr>
          <w:ilvl w:val="0"/>
          <w:numId w:val="5"/>
        </w:numPr>
        <w:spacing w:before="120" w:after="120" w:line="240" w:lineRule="auto"/>
        <w:ind w:left="0" w:firstLine="0"/>
        <w:contextualSpacing w:val="0"/>
        <w:jc w:val="both"/>
        <w:rPr>
          <w:rFonts w:ascii="Verdana" w:hAnsi="Verdana"/>
          <w:b/>
          <w:i/>
          <w:sz w:val="20"/>
          <w:szCs w:val="20"/>
          <w:lang w:val="es-MX"/>
        </w:rPr>
      </w:pPr>
      <w:r>
        <w:rPr>
          <w:rFonts w:ascii="Verdana" w:hAnsi="Verdana"/>
          <w:sz w:val="20"/>
          <w:lang w:val="es-MX"/>
        </w:rPr>
        <w:t xml:space="preserve">La Corte constata que, a más de </w:t>
      </w:r>
      <w:r w:rsidR="00B40F4A">
        <w:rPr>
          <w:rFonts w:ascii="Verdana" w:hAnsi="Verdana"/>
          <w:sz w:val="20"/>
          <w:lang w:val="es-MX"/>
        </w:rPr>
        <w:t xml:space="preserve">cuatro </w:t>
      </w:r>
      <w:r>
        <w:rPr>
          <w:rFonts w:ascii="Verdana" w:hAnsi="Verdana"/>
          <w:sz w:val="20"/>
          <w:lang w:val="es-MX"/>
        </w:rPr>
        <w:t xml:space="preserve">años de emitida la Sentencia, el Estado no ha realizado </w:t>
      </w:r>
      <w:r w:rsidR="00B40F4A">
        <w:rPr>
          <w:rFonts w:ascii="Verdana" w:hAnsi="Verdana"/>
          <w:sz w:val="20"/>
          <w:lang w:val="es-MX"/>
        </w:rPr>
        <w:t>el</w:t>
      </w:r>
      <w:r>
        <w:rPr>
          <w:rFonts w:ascii="Verdana" w:hAnsi="Verdana"/>
          <w:sz w:val="20"/>
          <w:lang w:val="es-MX"/>
        </w:rPr>
        <w:t xml:space="preserve"> pago </w:t>
      </w:r>
      <w:r w:rsidR="003E64E9">
        <w:rPr>
          <w:rFonts w:ascii="Verdana" w:hAnsi="Verdana"/>
          <w:sz w:val="20"/>
          <w:lang w:val="es-MX"/>
        </w:rPr>
        <w:t>relativo al</w:t>
      </w:r>
      <w:r>
        <w:rPr>
          <w:rFonts w:ascii="Verdana" w:hAnsi="Verdana"/>
          <w:sz w:val="20"/>
          <w:lang w:val="es-MX"/>
        </w:rPr>
        <w:t xml:space="preserve"> reintegro de costas y gastos. </w:t>
      </w:r>
      <w:r w:rsidR="00AB4767">
        <w:rPr>
          <w:rFonts w:ascii="Verdana" w:hAnsi="Verdana"/>
          <w:sz w:val="20"/>
          <w:lang w:val="es-MX"/>
        </w:rPr>
        <w:t xml:space="preserve">Si bien el Tribunal </w:t>
      </w:r>
      <w:r w:rsidR="008177BF">
        <w:rPr>
          <w:rFonts w:ascii="Verdana" w:hAnsi="Verdana"/>
          <w:sz w:val="20"/>
          <w:lang w:val="es-MX"/>
        </w:rPr>
        <w:t>o</w:t>
      </w:r>
      <w:r w:rsidR="00FA4174">
        <w:rPr>
          <w:rFonts w:ascii="Verdana" w:hAnsi="Verdana"/>
          <w:sz w:val="20"/>
          <w:lang w:val="es-MX"/>
        </w:rPr>
        <w:t>bserva</w:t>
      </w:r>
      <w:r w:rsidR="00AB4767">
        <w:rPr>
          <w:rFonts w:ascii="Verdana" w:hAnsi="Verdana"/>
          <w:sz w:val="20"/>
          <w:lang w:val="es-MX"/>
        </w:rPr>
        <w:t xml:space="preserve"> que los representantes de las víctimas han </w:t>
      </w:r>
      <w:r w:rsidR="005F043B">
        <w:rPr>
          <w:rFonts w:ascii="Verdana" w:hAnsi="Verdana"/>
          <w:sz w:val="20"/>
          <w:lang w:val="es-MX"/>
        </w:rPr>
        <w:t>enviado</w:t>
      </w:r>
      <w:r w:rsidR="00AB4767">
        <w:rPr>
          <w:rFonts w:ascii="Verdana" w:hAnsi="Verdana"/>
          <w:sz w:val="20"/>
          <w:lang w:val="es-MX"/>
        </w:rPr>
        <w:t xml:space="preserve"> “reiteradas cartas </w:t>
      </w:r>
      <w:r w:rsidR="005F043B">
        <w:rPr>
          <w:rFonts w:ascii="Verdana" w:hAnsi="Verdana"/>
          <w:sz w:val="20"/>
          <w:lang w:val="es-MX"/>
        </w:rPr>
        <w:t xml:space="preserve">[…] </w:t>
      </w:r>
      <w:r w:rsidR="00AB4767">
        <w:rPr>
          <w:rFonts w:ascii="Verdana" w:hAnsi="Verdana"/>
          <w:sz w:val="20"/>
          <w:lang w:val="es-MX"/>
        </w:rPr>
        <w:t>desde febrero de 2016”</w:t>
      </w:r>
      <w:r w:rsidR="00AB4767">
        <w:rPr>
          <w:rStyle w:val="Refdenotaalpie"/>
          <w:rFonts w:ascii="Verdana" w:hAnsi="Verdana"/>
          <w:sz w:val="20"/>
          <w:lang w:val="es-MX"/>
        </w:rPr>
        <w:footnoteReference w:id="15"/>
      </w:r>
      <w:r w:rsidR="005F043B">
        <w:rPr>
          <w:rFonts w:ascii="Verdana" w:hAnsi="Verdana"/>
          <w:sz w:val="20"/>
          <w:lang w:val="es-MX"/>
        </w:rPr>
        <w:t xml:space="preserve"> al Ministerio de Justicia y Derechos Humanos</w:t>
      </w:r>
      <w:r w:rsidR="00AB4767">
        <w:rPr>
          <w:rFonts w:ascii="Verdana" w:hAnsi="Verdana"/>
          <w:sz w:val="20"/>
          <w:lang w:val="es-MX"/>
        </w:rPr>
        <w:t>, con el objetivo</w:t>
      </w:r>
      <w:r w:rsidR="005F043B">
        <w:rPr>
          <w:rFonts w:ascii="Verdana" w:hAnsi="Verdana"/>
          <w:sz w:val="20"/>
          <w:lang w:val="es-MX"/>
        </w:rPr>
        <w:t>, entre otros,</w:t>
      </w:r>
      <w:r w:rsidR="00AB4767">
        <w:rPr>
          <w:rFonts w:ascii="Verdana" w:hAnsi="Verdana"/>
          <w:sz w:val="20"/>
          <w:lang w:val="es-MX"/>
        </w:rPr>
        <w:t xml:space="preserve"> de que el Estado </w:t>
      </w:r>
      <w:r w:rsidR="00FA4174">
        <w:rPr>
          <w:rFonts w:ascii="Verdana" w:hAnsi="Verdana"/>
          <w:sz w:val="20"/>
          <w:lang w:val="es-MX"/>
        </w:rPr>
        <w:t>brinde</w:t>
      </w:r>
      <w:r w:rsidR="00AB4767">
        <w:rPr>
          <w:rFonts w:ascii="Verdana" w:hAnsi="Verdana"/>
          <w:sz w:val="20"/>
          <w:lang w:val="es-MX"/>
        </w:rPr>
        <w:t xml:space="preserve"> un pronto cumplimiento a la medida en cuestión, e</w:t>
      </w:r>
      <w:r>
        <w:rPr>
          <w:rFonts w:ascii="Verdana" w:hAnsi="Verdana"/>
          <w:sz w:val="20"/>
          <w:lang w:val="es-MX"/>
        </w:rPr>
        <w:t xml:space="preserve">l </w:t>
      </w:r>
      <w:r w:rsidR="006430B5">
        <w:rPr>
          <w:rFonts w:ascii="Verdana" w:hAnsi="Verdana"/>
          <w:sz w:val="20"/>
          <w:lang w:val="es-MX"/>
        </w:rPr>
        <w:t xml:space="preserve">Perú ha reiterado a lo largo de la supervisión que dicha </w:t>
      </w:r>
      <w:r>
        <w:rPr>
          <w:rFonts w:ascii="Verdana" w:hAnsi="Verdana"/>
          <w:sz w:val="20"/>
          <w:lang w:val="es-MX"/>
        </w:rPr>
        <w:t>medida “se encuentra pendiente de cumplimiento en tanto el Consejo de Defensa Jurídica del Estado no ha definido las entidades responsables del mismo”</w:t>
      </w:r>
      <w:r>
        <w:rPr>
          <w:rStyle w:val="Refdenotaalpie"/>
          <w:rFonts w:ascii="Verdana" w:hAnsi="Verdana"/>
          <w:sz w:val="20"/>
          <w:lang w:val="es-MX"/>
        </w:rPr>
        <w:footnoteReference w:id="16"/>
      </w:r>
      <w:r>
        <w:rPr>
          <w:rFonts w:ascii="Verdana" w:hAnsi="Verdana"/>
          <w:sz w:val="20"/>
          <w:lang w:val="es-MX"/>
        </w:rPr>
        <w:t xml:space="preserve">. </w:t>
      </w:r>
      <w:r w:rsidR="00BB150C">
        <w:rPr>
          <w:rFonts w:ascii="Verdana" w:hAnsi="Verdana"/>
          <w:sz w:val="20"/>
          <w:lang w:val="es-MX"/>
        </w:rPr>
        <w:t xml:space="preserve">Considerando que esta medida no es de compleja </w:t>
      </w:r>
      <w:r w:rsidR="00BB150C">
        <w:rPr>
          <w:rFonts w:ascii="Verdana" w:hAnsi="Verdana"/>
          <w:sz w:val="20"/>
          <w:lang w:val="es-MX"/>
        </w:rPr>
        <w:lastRenderedPageBreak/>
        <w:t>implementación</w:t>
      </w:r>
      <w:r w:rsidR="00D957AC">
        <w:rPr>
          <w:rFonts w:ascii="Verdana" w:hAnsi="Verdana"/>
          <w:sz w:val="20"/>
          <w:lang w:val="es-MX"/>
        </w:rPr>
        <w:t>, así como que</w:t>
      </w:r>
      <w:r w:rsidR="00BB150C">
        <w:rPr>
          <w:rFonts w:ascii="Verdana" w:hAnsi="Verdana"/>
          <w:sz w:val="20"/>
          <w:lang w:val="es-MX"/>
        </w:rPr>
        <w:t xml:space="preserve"> es la única medida pendiente de cumplimiento en el presente caso, </w:t>
      </w:r>
      <w:r w:rsidR="008177BF">
        <w:rPr>
          <w:rFonts w:ascii="Verdana" w:hAnsi="Verdana"/>
          <w:sz w:val="20"/>
          <w:szCs w:val="20"/>
          <w:lang w:val="es-CR"/>
        </w:rPr>
        <w:t>la Corte</w:t>
      </w:r>
      <w:r w:rsidRPr="00E32A52">
        <w:rPr>
          <w:rFonts w:ascii="Verdana" w:hAnsi="Verdana"/>
          <w:sz w:val="20"/>
          <w:szCs w:val="20"/>
          <w:lang w:val="es-CR"/>
        </w:rPr>
        <w:t xml:space="preserve"> requiere que el Estado defina</w:t>
      </w:r>
      <w:r w:rsidR="00BB150C">
        <w:rPr>
          <w:rFonts w:ascii="Verdana" w:hAnsi="Verdana"/>
          <w:sz w:val="20"/>
          <w:szCs w:val="20"/>
          <w:lang w:val="es-CR"/>
        </w:rPr>
        <w:t>,</w:t>
      </w:r>
      <w:r w:rsidRPr="00E32A52">
        <w:rPr>
          <w:rFonts w:ascii="Verdana" w:hAnsi="Verdana"/>
          <w:sz w:val="20"/>
          <w:szCs w:val="20"/>
          <w:lang w:val="es-CR"/>
        </w:rPr>
        <w:t xml:space="preserve"> </w:t>
      </w:r>
      <w:r w:rsidR="00BB150C" w:rsidRPr="00E32A52">
        <w:rPr>
          <w:rFonts w:ascii="Verdana" w:hAnsi="Verdana"/>
          <w:sz w:val="20"/>
          <w:szCs w:val="20"/>
          <w:lang w:val="es-CR"/>
        </w:rPr>
        <w:t>a la mayor brevedad posible</w:t>
      </w:r>
      <w:r w:rsidR="00BB150C">
        <w:rPr>
          <w:rFonts w:ascii="Verdana" w:hAnsi="Verdana"/>
          <w:sz w:val="20"/>
          <w:szCs w:val="20"/>
          <w:lang w:val="es-CR"/>
        </w:rPr>
        <w:t>,</w:t>
      </w:r>
      <w:r w:rsidR="00BB150C" w:rsidRPr="00E32A52">
        <w:rPr>
          <w:rFonts w:ascii="Verdana" w:hAnsi="Verdana"/>
          <w:sz w:val="20"/>
          <w:szCs w:val="20"/>
          <w:lang w:val="es-CR"/>
        </w:rPr>
        <w:t xml:space="preserve"> </w:t>
      </w:r>
      <w:r w:rsidRPr="00E32A52">
        <w:rPr>
          <w:rFonts w:ascii="Verdana" w:hAnsi="Verdana"/>
          <w:sz w:val="20"/>
          <w:szCs w:val="20"/>
          <w:lang w:val="es-CR"/>
        </w:rPr>
        <w:t xml:space="preserve">la entidad responsable del cumplimiento de esta medida y realice </w:t>
      </w:r>
      <w:r w:rsidR="00BB150C">
        <w:rPr>
          <w:rFonts w:ascii="Verdana" w:hAnsi="Verdana"/>
          <w:sz w:val="20"/>
          <w:szCs w:val="20"/>
          <w:lang w:val="es-CR"/>
        </w:rPr>
        <w:t>el reintegro respectivo</w:t>
      </w:r>
      <w:r w:rsidR="00FC22D9">
        <w:rPr>
          <w:rFonts w:ascii="Verdana" w:hAnsi="Verdana"/>
          <w:sz w:val="20"/>
          <w:szCs w:val="20"/>
          <w:lang w:val="es-CR"/>
        </w:rPr>
        <w:t xml:space="preserve">, tomando </w:t>
      </w:r>
      <w:r w:rsidRPr="00E32A52">
        <w:rPr>
          <w:rFonts w:ascii="Verdana" w:hAnsi="Verdana"/>
          <w:sz w:val="20"/>
          <w:szCs w:val="20"/>
          <w:lang w:val="es-CR"/>
        </w:rPr>
        <w:t xml:space="preserve">en cuenta los intereses moratorios que se han generado por motivo de </w:t>
      </w:r>
      <w:r w:rsidR="00A55C30">
        <w:rPr>
          <w:rFonts w:ascii="Verdana" w:hAnsi="Verdana"/>
          <w:sz w:val="20"/>
          <w:szCs w:val="20"/>
          <w:lang w:val="es-CR"/>
        </w:rPr>
        <w:t>su retraso en el cumplimiento de la referida medida</w:t>
      </w:r>
      <w:r w:rsidRPr="00E32A52">
        <w:rPr>
          <w:rFonts w:ascii="Verdana" w:hAnsi="Verdana"/>
          <w:sz w:val="20"/>
          <w:szCs w:val="20"/>
          <w:lang w:val="es-CR"/>
        </w:rPr>
        <w:t>.</w:t>
      </w:r>
    </w:p>
    <w:p w:rsidR="00002BC3" w:rsidRPr="002F053E" w:rsidRDefault="00002BC3" w:rsidP="00704BA6">
      <w:pPr>
        <w:pStyle w:val="Prrafodelista"/>
        <w:numPr>
          <w:ilvl w:val="0"/>
          <w:numId w:val="5"/>
        </w:numPr>
        <w:spacing w:before="120" w:after="120" w:line="240" w:lineRule="auto"/>
        <w:ind w:left="0" w:firstLine="0"/>
        <w:contextualSpacing w:val="0"/>
        <w:jc w:val="both"/>
        <w:rPr>
          <w:rFonts w:ascii="Verdana" w:hAnsi="Verdana"/>
          <w:sz w:val="20"/>
          <w:szCs w:val="20"/>
          <w:lang w:val="es-CR"/>
        </w:rPr>
      </w:pPr>
      <w:r w:rsidRPr="002F053E">
        <w:rPr>
          <w:rFonts w:ascii="Verdana" w:hAnsi="Verdana"/>
          <w:sz w:val="20"/>
          <w:szCs w:val="20"/>
          <w:lang w:val="es-CR"/>
        </w:rPr>
        <w:t>Por lo anterior, el Tribunal declara que el Esta</w:t>
      </w:r>
      <w:r>
        <w:rPr>
          <w:rFonts w:ascii="Verdana" w:hAnsi="Verdana"/>
          <w:sz w:val="20"/>
          <w:szCs w:val="20"/>
          <w:lang w:val="es-CR"/>
        </w:rPr>
        <w:t xml:space="preserve">do no ha dado cumplimiento a la medida de reparación relativa al </w:t>
      </w:r>
      <w:r w:rsidRPr="002F053E">
        <w:rPr>
          <w:rFonts w:ascii="Verdana" w:hAnsi="Verdana"/>
          <w:sz w:val="20"/>
          <w:szCs w:val="20"/>
          <w:lang w:val="es-CR"/>
        </w:rPr>
        <w:t>reinteg</w:t>
      </w:r>
      <w:r>
        <w:rPr>
          <w:rFonts w:ascii="Verdana" w:hAnsi="Verdana"/>
          <w:sz w:val="20"/>
          <w:szCs w:val="20"/>
          <w:lang w:val="es-CR"/>
        </w:rPr>
        <w:t>ro de costas y gastos, ordenada</w:t>
      </w:r>
      <w:r w:rsidRPr="002F053E">
        <w:rPr>
          <w:rFonts w:ascii="Verdana" w:hAnsi="Verdana"/>
          <w:sz w:val="20"/>
          <w:szCs w:val="20"/>
          <w:lang w:val="es-CR"/>
        </w:rPr>
        <w:t xml:space="preserve"> en el pu</w:t>
      </w:r>
      <w:r>
        <w:rPr>
          <w:rFonts w:ascii="Verdana" w:hAnsi="Verdana"/>
          <w:sz w:val="20"/>
          <w:szCs w:val="20"/>
          <w:lang w:val="es-CR"/>
        </w:rPr>
        <w:t>nto dispositivo octavo</w:t>
      </w:r>
      <w:r w:rsidRPr="002F053E">
        <w:rPr>
          <w:rFonts w:ascii="Verdana" w:hAnsi="Verdana"/>
          <w:sz w:val="20"/>
          <w:szCs w:val="20"/>
          <w:lang w:val="es-CR"/>
        </w:rPr>
        <w:t xml:space="preserve"> de la Sentencia.</w:t>
      </w:r>
    </w:p>
    <w:p w:rsidR="00B40C90" w:rsidRDefault="00B40C90" w:rsidP="00BE3C8E">
      <w:pPr>
        <w:spacing w:before="120" w:after="120" w:line="240" w:lineRule="auto"/>
        <w:jc w:val="both"/>
        <w:outlineLvl w:val="0"/>
        <w:rPr>
          <w:rFonts w:ascii="Verdana" w:hAnsi="Verdana"/>
          <w:sz w:val="14"/>
          <w:szCs w:val="14"/>
          <w:lang w:val="es-MX"/>
        </w:rPr>
      </w:pPr>
    </w:p>
    <w:p w:rsidR="007153F1" w:rsidRPr="00BE3C8E" w:rsidRDefault="007153F1" w:rsidP="00BE3C8E">
      <w:pPr>
        <w:spacing w:before="120" w:after="120" w:line="240" w:lineRule="auto"/>
        <w:jc w:val="both"/>
        <w:outlineLvl w:val="0"/>
        <w:rPr>
          <w:rFonts w:ascii="Verdana" w:hAnsi="Verdana"/>
          <w:sz w:val="14"/>
          <w:szCs w:val="14"/>
          <w:lang w:val="es-MX"/>
        </w:rPr>
      </w:pPr>
    </w:p>
    <w:p w:rsidR="00002BC3" w:rsidRPr="006D2F98" w:rsidRDefault="00002BC3" w:rsidP="00704BA6">
      <w:pPr>
        <w:tabs>
          <w:tab w:val="left" w:pos="680"/>
        </w:tabs>
        <w:spacing w:before="60" w:after="60" w:line="240" w:lineRule="auto"/>
        <w:jc w:val="both"/>
        <w:rPr>
          <w:rFonts w:ascii="Verdana" w:hAnsi="Verdana"/>
          <w:b/>
          <w:sz w:val="20"/>
          <w:szCs w:val="20"/>
          <w:lang w:val="es-MX"/>
        </w:rPr>
      </w:pPr>
      <w:r>
        <w:rPr>
          <w:rFonts w:ascii="Verdana" w:hAnsi="Verdana"/>
          <w:b/>
          <w:sz w:val="20"/>
          <w:szCs w:val="20"/>
          <w:lang w:val="es-MX"/>
        </w:rPr>
        <w:t>POR TANTO:</w:t>
      </w:r>
    </w:p>
    <w:p w:rsidR="00002BC3" w:rsidRPr="00B40C90" w:rsidRDefault="00002BC3" w:rsidP="00704BA6">
      <w:pPr>
        <w:pStyle w:val="Textoindependiente"/>
        <w:tabs>
          <w:tab w:val="left" w:pos="360"/>
          <w:tab w:val="left" w:pos="567"/>
        </w:tabs>
        <w:spacing w:before="60" w:after="60" w:line="240" w:lineRule="auto"/>
        <w:rPr>
          <w:rFonts w:ascii="Verdana" w:hAnsi="Verdana"/>
          <w:b/>
          <w:sz w:val="14"/>
          <w:szCs w:val="14"/>
          <w:lang w:val="es-CR"/>
        </w:rPr>
      </w:pPr>
    </w:p>
    <w:p w:rsidR="00002BC3" w:rsidRDefault="00002BC3" w:rsidP="00704BA6">
      <w:pPr>
        <w:pStyle w:val="Textoindependiente"/>
        <w:tabs>
          <w:tab w:val="left" w:pos="360"/>
          <w:tab w:val="left" w:pos="567"/>
        </w:tabs>
        <w:spacing w:before="60" w:after="60" w:line="240" w:lineRule="auto"/>
        <w:rPr>
          <w:rFonts w:ascii="Verdana" w:hAnsi="Verdana"/>
          <w:b/>
          <w:sz w:val="20"/>
          <w:lang w:val="es-CR"/>
        </w:rPr>
      </w:pPr>
      <w:r w:rsidRPr="00C16F1F">
        <w:rPr>
          <w:rFonts w:ascii="Verdana" w:hAnsi="Verdana"/>
          <w:b/>
          <w:sz w:val="20"/>
          <w:lang w:val="es-CR"/>
        </w:rPr>
        <w:t>LA CORTE INTERAMERICANA DE DERECHOS HUMANOS,</w:t>
      </w:r>
    </w:p>
    <w:p w:rsidR="00AB4767" w:rsidRPr="00AB4767" w:rsidRDefault="00AB4767" w:rsidP="00704BA6">
      <w:pPr>
        <w:tabs>
          <w:tab w:val="left" w:pos="567"/>
        </w:tabs>
        <w:spacing w:before="60" w:after="60" w:line="240" w:lineRule="auto"/>
        <w:jc w:val="both"/>
        <w:rPr>
          <w:rFonts w:ascii="Verdana" w:hAnsi="Verdana"/>
          <w:sz w:val="14"/>
          <w:szCs w:val="14"/>
          <w:lang w:val="es-CR"/>
        </w:rPr>
      </w:pPr>
    </w:p>
    <w:p w:rsidR="00002BC3" w:rsidRPr="009F78E3" w:rsidRDefault="00002BC3" w:rsidP="00704BA6">
      <w:pPr>
        <w:tabs>
          <w:tab w:val="left" w:pos="567"/>
        </w:tabs>
        <w:spacing w:before="60" w:after="60" w:line="240" w:lineRule="auto"/>
        <w:jc w:val="both"/>
        <w:rPr>
          <w:rFonts w:ascii="Verdana" w:hAnsi="Verdana"/>
          <w:sz w:val="20"/>
          <w:lang w:val="es-CR"/>
        </w:rPr>
      </w:pPr>
      <w:r w:rsidRPr="009F78E3">
        <w:rPr>
          <w:rFonts w:ascii="Verdana" w:hAnsi="Verdana"/>
          <w:sz w:val="20"/>
          <w:lang w:val="es-CR"/>
        </w:rPr>
        <w:t>en el ejercicio de sus atribuciones de supervisión del cumplimiento de sus decisiones, de conformidad con los artículos 33, 62.1, 62.3, 65, 67 y 68.1 de la Convención Americana sobre Derechos Humanos, 24, 25 y 30 del Estatuto, y 31.2 y 69 de su Reglamento,</w:t>
      </w:r>
    </w:p>
    <w:p w:rsidR="00002BC3" w:rsidRPr="00B40C90" w:rsidRDefault="00002BC3" w:rsidP="00704BA6">
      <w:pPr>
        <w:tabs>
          <w:tab w:val="left" w:pos="567"/>
        </w:tabs>
        <w:spacing w:before="60" w:after="60" w:line="240" w:lineRule="auto"/>
        <w:jc w:val="both"/>
        <w:rPr>
          <w:rFonts w:ascii="Verdana" w:hAnsi="Verdana"/>
          <w:sz w:val="14"/>
          <w:szCs w:val="14"/>
          <w:lang w:val="es-CR"/>
        </w:rPr>
      </w:pPr>
    </w:p>
    <w:p w:rsidR="00002BC3" w:rsidRDefault="00002BC3" w:rsidP="00704BA6">
      <w:pPr>
        <w:tabs>
          <w:tab w:val="left" w:pos="567"/>
        </w:tabs>
        <w:spacing w:before="60" w:after="60" w:line="240" w:lineRule="auto"/>
        <w:ind w:right="22"/>
        <w:jc w:val="both"/>
        <w:rPr>
          <w:rFonts w:ascii="Verdana" w:hAnsi="Verdana"/>
          <w:b/>
          <w:sz w:val="20"/>
          <w:lang w:val="es-CR"/>
        </w:rPr>
      </w:pPr>
      <w:r w:rsidRPr="006F0AF8">
        <w:rPr>
          <w:rFonts w:ascii="Verdana" w:hAnsi="Verdana"/>
          <w:b/>
          <w:sz w:val="20"/>
          <w:lang w:val="es-CR"/>
        </w:rPr>
        <w:t xml:space="preserve">RESUELVE: </w:t>
      </w:r>
    </w:p>
    <w:p w:rsidR="00002BC3" w:rsidRPr="00B40C90" w:rsidRDefault="00002BC3" w:rsidP="00704BA6">
      <w:pPr>
        <w:tabs>
          <w:tab w:val="left" w:pos="567"/>
        </w:tabs>
        <w:spacing w:before="60" w:after="60" w:line="240" w:lineRule="auto"/>
        <w:ind w:right="22"/>
        <w:jc w:val="both"/>
        <w:rPr>
          <w:rFonts w:ascii="Verdana" w:hAnsi="Verdana"/>
          <w:b/>
          <w:sz w:val="14"/>
          <w:szCs w:val="14"/>
          <w:lang w:val="es-CR"/>
        </w:rPr>
      </w:pPr>
    </w:p>
    <w:p w:rsidR="00002BC3" w:rsidRPr="00761C78" w:rsidRDefault="00002BC3" w:rsidP="00704BA6">
      <w:pPr>
        <w:tabs>
          <w:tab w:val="left" w:pos="567"/>
        </w:tabs>
        <w:spacing w:before="60" w:after="60" w:line="240" w:lineRule="auto"/>
        <w:ind w:right="22"/>
        <w:jc w:val="both"/>
        <w:rPr>
          <w:rFonts w:ascii="Verdana" w:hAnsi="Verdana"/>
          <w:sz w:val="20"/>
          <w:szCs w:val="20"/>
          <w:lang w:val="es-CR"/>
        </w:rPr>
      </w:pPr>
      <w:r w:rsidRPr="00761C78">
        <w:rPr>
          <w:rFonts w:ascii="Verdana" w:hAnsi="Verdana"/>
          <w:sz w:val="20"/>
          <w:szCs w:val="20"/>
          <w:lang w:val="es-CR"/>
        </w:rPr>
        <w:t>1.</w:t>
      </w:r>
      <w:r w:rsidRPr="00761C78">
        <w:rPr>
          <w:rFonts w:ascii="Verdana" w:hAnsi="Verdana"/>
          <w:b/>
          <w:sz w:val="20"/>
          <w:szCs w:val="20"/>
          <w:lang w:val="es-CR"/>
        </w:rPr>
        <w:tab/>
      </w:r>
      <w:r w:rsidRPr="00761C78">
        <w:rPr>
          <w:rFonts w:ascii="Verdana" w:hAnsi="Verdana"/>
          <w:sz w:val="20"/>
          <w:szCs w:val="20"/>
          <w:lang w:val="es-CR"/>
        </w:rPr>
        <w:t xml:space="preserve">Declarar, de conformidad con lo señalado en los Considerandos 5 y 6 de la presente Resolución, que el Estado ha dado cumplimiento </w:t>
      </w:r>
      <w:r w:rsidR="00011668">
        <w:rPr>
          <w:rFonts w:ascii="Verdana" w:hAnsi="Verdana"/>
          <w:sz w:val="20"/>
          <w:szCs w:val="20"/>
          <w:lang w:val="es-CR"/>
        </w:rPr>
        <w:t>a la</w:t>
      </w:r>
      <w:r w:rsidRPr="00761C78">
        <w:rPr>
          <w:rFonts w:ascii="Verdana" w:hAnsi="Verdana"/>
          <w:sz w:val="20"/>
          <w:szCs w:val="20"/>
          <w:lang w:val="es-CR"/>
        </w:rPr>
        <w:t xml:space="preserve"> publicación y difusión de la Sentencia</w:t>
      </w:r>
      <w:r w:rsidR="00011668">
        <w:rPr>
          <w:rFonts w:ascii="Verdana" w:hAnsi="Verdana"/>
          <w:sz w:val="20"/>
          <w:szCs w:val="20"/>
          <w:lang w:val="es-CR"/>
        </w:rPr>
        <w:t xml:space="preserve"> y su resumen oficial</w:t>
      </w:r>
      <w:r w:rsidRPr="00761C78">
        <w:rPr>
          <w:rFonts w:ascii="Verdana" w:hAnsi="Verdana"/>
          <w:sz w:val="20"/>
          <w:szCs w:val="20"/>
          <w:lang w:val="es-CR"/>
        </w:rPr>
        <w:t xml:space="preserve"> (</w:t>
      </w:r>
      <w:r w:rsidRPr="00761C78">
        <w:rPr>
          <w:rFonts w:ascii="Verdana" w:hAnsi="Verdana"/>
          <w:i/>
          <w:sz w:val="20"/>
          <w:szCs w:val="20"/>
          <w:lang w:val="es-CR"/>
        </w:rPr>
        <w:t>punto dispositivo séptimo de la Sentencia</w:t>
      </w:r>
      <w:r w:rsidRPr="00761C78">
        <w:rPr>
          <w:rFonts w:ascii="Verdana" w:hAnsi="Verdana"/>
          <w:sz w:val="20"/>
          <w:szCs w:val="20"/>
          <w:lang w:val="es-CR"/>
        </w:rPr>
        <w:t>).</w:t>
      </w:r>
    </w:p>
    <w:p w:rsidR="00002BC3" w:rsidRPr="00B40C90" w:rsidRDefault="00002BC3" w:rsidP="00704BA6">
      <w:pPr>
        <w:tabs>
          <w:tab w:val="left" w:pos="567"/>
        </w:tabs>
        <w:spacing w:before="60" w:after="60" w:line="240" w:lineRule="auto"/>
        <w:ind w:right="22"/>
        <w:jc w:val="both"/>
        <w:rPr>
          <w:rFonts w:ascii="Verdana" w:hAnsi="Verdana"/>
          <w:sz w:val="14"/>
          <w:szCs w:val="14"/>
          <w:lang w:val="es-CR"/>
        </w:rPr>
      </w:pPr>
    </w:p>
    <w:p w:rsidR="00002BC3" w:rsidRPr="00761C78" w:rsidRDefault="00002BC3" w:rsidP="00704BA6">
      <w:pPr>
        <w:tabs>
          <w:tab w:val="left" w:pos="567"/>
        </w:tabs>
        <w:spacing w:before="60" w:after="60" w:line="240" w:lineRule="auto"/>
        <w:ind w:right="22"/>
        <w:jc w:val="both"/>
        <w:rPr>
          <w:rFonts w:ascii="Verdana" w:hAnsi="Verdana"/>
          <w:sz w:val="20"/>
          <w:szCs w:val="20"/>
          <w:lang w:val="es-CR"/>
        </w:rPr>
      </w:pPr>
      <w:r w:rsidRPr="00761C78">
        <w:rPr>
          <w:rFonts w:ascii="Verdana" w:hAnsi="Verdana"/>
          <w:sz w:val="20"/>
          <w:szCs w:val="20"/>
          <w:lang w:val="es-CR"/>
        </w:rPr>
        <w:t>2.</w:t>
      </w:r>
      <w:r w:rsidRPr="00761C78">
        <w:rPr>
          <w:rFonts w:ascii="Verdana" w:hAnsi="Verdana"/>
          <w:sz w:val="20"/>
          <w:szCs w:val="20"/>
          <w:lang w:val="es-CR"/>
        </w:rPr>
        <w:tab/>
        <w:t>Mantener abierto el procedimiento de supervisión de cumplimiento</w:t>
      </w:r>
      <w:r w:rsidR="008D16A3">
        <w:rPr>
          <w:rFonts w:ascii="Verdana" w:hAnsi="Verdana"/>
          <w:sz w:val="20"/>
          <w:szCs w:val="20"/>
          <w:lang w:val="es-CR"/>
        </w:rPr>
        <w:t>, de conformidad con lo señalado en los Considerandos 8 y 9 de la presente Resolución,</w:t>
      </w:r>
      <w:r w:rsidRPr="00761C78">
        <w:rPr>
          <w:rFonts w:ascii="Verdana" w:hAnsi="Verdana"/>
          <w:sz w:val="20"/>
          <w:szCs w:val="20"/>
          <w:lang w:val="es-CR"/>
        </w:rPr>
        <w:t xml:space="preserve"> respecto </w:t>
      </w:r>
      <w:r w:rsidR="008D16A3">
        <w:rPr>
          <w:rFonts w:ascii="Verdana" w:hAnsi="Verdana"/>
          <w:sz w:val="20"/>
          <w:szCs w:val="20"/>
          <w:lang w:val="es-CR"/>
        </w:rPr>
        <w:t>de</w:t>
      </w:r>
      <w:r w:rsidRPr="00761C78">
        <w:rPr>
          <w:rFonts w:ascii="Verdana" w:hAnsi="Verdana"/>
          <w:sz w:val="20"/>
          <w:szCs w:val="20"/>
          <w:lang w:val="es-CR"/>
        </w:rPr>
        <w:t>l reintegro de</w:t>
      </w:r>
      <w:r w:rsidR="008D16A3">
        <w:rPr>
          <w:rFonts w:ascii="Verdana" w:hAnsi="Verdana"/>
          <w:sz w:val="20"/>
          <w:szCs w:val="20"/>
          <w:lang w:val="es-CR"/>
        </w:rPr>
        <w:t xml:space="preserve"> </w:t>
      </w:r>
      <w:r w:rsidRPr="00761C78">
        <w:rPr>
          <w:rFonts w:ascii="Verdana" w:hAnsi="Verdana"/>
          <w:sz w:val="20"/>
          <w:szCs w:val="20"/>
          <w:lang w:val="es-CR"/>
        </w:rPr>
        <w:t>costas y gastos (</w:t>
      </w:r>
      <w:r w:rsidRPr="00761C78">
        <w:rPr>
          <w:rFonts w:ascii="Verdana" w:hAnsi="Verdana"/>
          <w:i/>
          <w:sz w:val="20"/>
          <w:szCs w:val="20"/>
          <w:lang w:val="es-CR"/>
        </w:rPr>
        <w:t>punto dispositivo octavo de la Sentencia</w:t>
      </w:r>
      <w:r w:rsidRPr="00761C78">
        <w:rPr>
          <w:rFonts w:ascii="Verdana" w:hAnsi="Verdana"/>
          <w:sz w:val="20"/>
          <w:szCs w:val="20"/>
          <w:lang w:val="es-CR"/>
        </w:rPr>
        <w:t>).</w:t>
      </w:r>
    </w:p>
    <w:p w:rsidR="00002BC3" w:rsidRPr="00B40C90" w:rsidRDefault="00002BC3" w:rsidP="00704BA6">
      <w:pPr>
        <w:tabs>
          <w:tab w:val="left" w:pos="567"/>
        </w:tabs>
        <w:spacing w:before="60" w:after="60" w:line="240" w:lineRule="auto"/>
        <w:ind w:right="22"/>
        <w:jc w:val="both"/>
        <w:rPr>
          <w:rFonts w:ascii="Verdana" w:hAnsi="Verdana"/>
          <w:sz w:val="14"/>
          <w:szCs w:val="14"/>
          <w:lang w:val="es-CR"/>
        </w:rPr>
      </w:pPr>
    </w:p>
    <w:p w:rsidR="00002BC3" w:rsidRPr="00761C78" w:rsidRDefault="006136B8" w:rsidP="00704BA6">
      <w:pPr>
        <w:tabs>
          <w:tab w:val="left" w:pos="567"/>
        </w:tabs>
        <w:spacing w:before="60" w:after="60" w:line="240" w:lineRule="auto"/>
        <w:ind w:right="22"/>
        <w:jc w:val="both"/>
        <w:rPr>
          <w:rFonts w:ascii="Verdana" w:hAnsi="Verdana"/>
          <w:sz w:val="20"/>
          <w:szCs w:val="20"/>
          <w:lang w:val="es-CR"/>
        </w:rPr>
      </w:pPr>
      <w:r>
        <w:rPr>
          <w:rFonts w:ascii="Verdana" w:hAnsi="Verdana"/>
          <w:sz w:val="20"/>
          <w:szCs w:val="20"/>
          <w:lang w:val="es-CR"/>
        </w:rPr>
        <w:t>3</w:t>
      </w:r>
      <w:r w:rsidR="00002BC3" w:rsidRPr="00761C78">
        <w:rPr>
          <w:rFonts w:ascii="Verdana" w:hAnsi="Verdana"/>
          <w:sz w:val="20"/>
          <w:szCs w:val="20"/>
          <w:lang w:val="es-CR"/>
        </w:rPr>
        <w:t>.</w:t>
      </w:r>
      <w:r w:rsidR="00002BC3" w:rsidRPr="00761C78">
        <w:rPr>
          <w:rFonts w:ascii="Verdana" w:hAnsi="Verdana"/>
          <w:sz w:val="20"/>
          <w:szCs w:val="20"/>
          <w:lang w:val="es-CR"/>
        </w:rPr>
        <w:tab/>
        <w:t xml:space="preserve">Disponer que el Estado presente a la Corte Interamericana de Derechos Humanos, a más tardar el </w:t>
      </w:r>
      <w:r w:rsidR="002A42C0">
        <w:rPr>
          <w:rFonts w:ascii="Verdana" w:hAnsi="Verdana"/>
          <w:sz w:val="20"/>
          <w:szCs w:val="20"/>
          <w:lang w:val="es-CR"/>
        </w:rPr>
        <w:t>24</w:t>
      </w:r>
      <w:r w:rsidR="00002BC3" w:rsidRPr="00761C78">
        <w:rPr>
          <w:rFonts w:ascii="Verdana" w:hAnsi="Verdana"/>
          <w:sz w:val="20"/>
          <w:szCs w:val="20"/>
          <w:lang w:val="es-CR"/>
        </w:rPr>
        <w:t xml:space="preserve"> de </w:t>
      </w:r>
      <w:r w:rsidR="002452F1">
        <w:rPr>
          <w:rFonts w:ascii="Verdana" w:hAnsi="Verdana"/>
          <w:sz w:val="20"/>
          <w:szCs w:val="20"/>
          <w:lang w:val="es-CR"/>
        </w:rPr>
        <w:t>junio</w:t>
      </w:r>
      <w:r w:rsidR="00002BC3" w:rsidRPr="00761C78">
        <w:rPr>
          <w:rFonts w:ascii="Verdana" w:hAnsi="Verdana"/>
          <w:sz w:val="20"/>
          <w:szCs w:val="20"/>
          <w:lang w:val="es-CR"/>
        </w:rPr>
        <w:t xml:space="preserve"> de 2019, un informe sobre el cumplimiento de la reparación ordenada</w:t>
      </w:r>
      <w:r w:rsidR="00CC79E7">
        <w:rPr>
          <w:rFonts w:ascii="Verdana" w:hAnsi="Verdana"/>
          <w:sz w:val="20"/>
          <w:szCs w:val="20"/>
          <w:lang w:val="es-CR"/>
        </w:rPr>
        <w:t xml:space="preserve"> en el punto dispositivo octavo de la Sentencia,</w:t>
      </w:r>
      <w:r w:rsidR="00002BC3" w:rsidRPr="00761C78">
        <w:rPr>
          <w:rFonts w:ascii="Verdana" w:hAnsi="Verdana"/>
          <w:sz w:val="20"/>
          <w:szCs w:val="20"/>
          <w:lang w:val="es-CR"/>
        </w:rPr>
        <w:t xml:space="preserve"> de conformidad con lo indicado en los Considerandos 8 y 9 de la presente Resolución. </w:t>
      </w:r>
    </w:p>
    <w:p w:rsidR="00002BC3" w:rsidRPr="00B40C90" w:rsidRDefault="00002BC3" w:rsidP="00704BA6">
      <w:pPr>
        <w:tabs>
          <w:tab w:val="left" w:pos="567"/>
        </w:tabs>
        <w:spacing w:before="60" w:after="60" w:line="240" w:lineRule="auto"/>
        <w:ind w:right="22"/>
        <w:jc w:val="both"/>
        <w:rPr>
          <w:rFonts w:ascii="Verdana" w:hAnsi="Verdana"/>
          <w:sz w:val="14"/>
          <w:szCs w:val="14"/>
          <w:lang w:val="es-CR"/>
        </w:rPr>
      </w:pPr>
    </w:p>
    <w:p w:rsidR="00002BC3" w:rsidRPr="00761C78" w:rsidRDefault="006136B8" w:rsidP="00704BA6">
      <w:pPr>
        <w:tabs>
          <w:tab w:val="left" w:pos="567"/>
        </w:tabs>
        <w:spacing w:before="60" w:after="60" w:line="240" w:lineRule="auto"/>
        <w:ind w:right="22"/>
        <w:jc w:val="both"/>
        <w:rPr>
          <w:rFonts w:ascii="Verdana" w:hAnsi="Verdana"/>
          <w:sz w:val="20"/>
          <w:szCs w:val="20"/>
          <w:lang w:val="es-CR"/>
        </w:rPr>
      </w:pPr>
      <w:r>
        <w:rPr>
          <w:rFonts w:ascii="Verdana" w:hAnsi="Verdana"/>
          <w:sz w:val="20"/>
          <w:szCs w:val="20"/>
          <w:lang w:val="es-CR"/>
        </w:rPr>
        <w:t>4</w:t>
      </w:r>
      <w:r w:rsidR="00002BC3" w:rsidRPr="00761C78">
        <w:rPr>
          <w:rFonts w:ascii="Verdana" w:hAnsi="Verdana"/>
          <w:sz w:val="20"/>
          <w:szCs w:val="20"/>
          <w:lang w:val="es-CR"/>
        </w:rPr>
        <w:t>.</w:t>
      </w:r>
      <w:r w:rsidR="00002BC3" w:rsidRPr="00761C78">
        <w:rPr>
          <w:rFonts w:ascii="Verdana" w:hAnsi="Verdana"/>
          <w:sz w:val="20"/>
          <w:szCs w:val="20"/>
          <w:lang w:val="es-CR"/>
        </w:rPr>
        <w:tab/>
        <w:t xml:space="preserve">Disponer que los representantes de las víctimas y la Comisión Interamericana de Derechos Humanos presenten observaciones al informe del Estado mencionado en el punto resolutivo anterior, en los plazos de </w:t>
      </w:r>
      <w:r w:rsidR="00CC79E7">
        <w:rPr>
          <w:rFonts w:ascii="Verdana" w:hAnsi="Verdana"/>
          <w:sz w:val="20"/>
          <w:szCs w:val="20"/>
          <w:lang w:val="es-CR"/>
        </w:rPr>
        <w:t>dos</w:t>
      </w:r>
      <w:r w:rsidR="00CC79E7" w:rsidRPr="00761C78">
        <w:rPr>
          <w:rFonts w:ascii="Verdana" w:hAnsi="Verdana"/>
          <w:sz w:val="20"/>
          <w:szCs w:val="20"/>
          <w:lang w:val="es-CR"/>
        </w:rPr>
        <w:t xml:space="preserve"> </w:t>
      </w:r>
      <w:r w:rsidR="00002BC3" w:rsidRPr="00761C78">
        <w:rPr>
          <w:rFonts w:ascii="Verdana" w:hAnsi="Verdana"/>
          <w:sz w:val="20"/>
          <w:szCs w:val="20"/>
          <w:lang w:val="es-CR"/>
        </w:rPr>
        <w:t xml:space="preserve">y </w:t>
      </w:r>
      <w:r w:rsidR="00CC79E7">
        <w:rPr>
          <w:rFonts w:ascii="Verdana" w:hAnsi="Verdana"/>
          <w:sz w:val="20"/>
          <w:szCs w:val="20"/>
          <w:lang w:val="es-CR"/>
        </w:rPr>
        <w:t>cuatro</w:t>
      </w:r>
      <w:r w:rsidR="00002BC3" w:rsidRPr="00761C78">
        <w:rPr>
          <w:rFonts w:ascii="Verdana" w:hAnsi="Verdana"/>
          <w:sz w:val="20"/>
          <w:szCs w:val="20"/>
          <w:lang w:val="es-CR"/>
        </w:rPr>
        <w:t xml:space="preserve"> semanas, respectivamente, contados a partir de la recepción del informe.</w:t>
      </w:r>
    </w:p>
    <w:p w:rsidR="00002BC3" w:rsidRPr="00B40C90" w:rsidRDefault="00002BC3" w:rsidP="00704BA6">
      <w:pPr>
        <w:tabs>
          <w:tab w:val="left" w:pos="567"/>
        </w:tabs>
        <w:spacing w:before="60" w:after="60" w:line="240" w:lineRule="auto"/>
        <w:ind w:right="22"/>
        <w:jc w:val="both"/>
        <w:rPr>
          <w:rFonts w:ascii="Verdana" w:hAnsi="Verdana"/>
          <w:sz w:val="14"/>
          <w:szCs w:val="14"/>
          <w:lang w:val="es-CR"/>
        </w:rPr>
      </w:pPr>
    </w:p>
    <w:p w:rsidR="00002BC3" w:rsidRDefault="006136B8" w:rsidP="00704BA6">
      <w:pPr>
        <w:tabs>
          <w:tab w:val="left" w:pos="567"/>
        </w:tabs>
        <w:spacing w:before="60" w:after="60" w:line="240" w:lineRule="auto"/>
        <w:ind w:right="22"/>
        <w:jc w:val="both"/>
        <w:rPr>
          <w:rFonts w:ascii="Verdana" w:hAnsi="Verdana"/>
          <w:sz w:val="20"/>
          <w:szCs w:val="20"/>
          <w:lang w:val="es-CR"/>
        </w:rPr>
      </w:pPr>
      <w:r>
        <w:rPr>
          <w:rFonts w:ascii="Verdana" w:hAnsi="Verdana"/>
          <w:sz w:val="20"/>
          <w:szCs w:val="20"/>
          <w:lang w:val="es-CR"/>
        </w:rPr>
        <w:t>5</w:t>
      </w:r>
      <w:r w:rsidR="00002BC3" w:rsidRPr="00761C78">
        <w:rPr>
          <w:rFonts w:ascii="Verdana" w:hAnsi="Verdana"/>
          <w:sz w:val="20"/>
          <w:szCs w:val="20"/>
          <w:lang w:val="es-CR"/>
        </w:rPr>
        <w:t>.</w:t>
      </w:r>
      <w:r w:rsidR="00002BC3" w:rsidRPr="00761C78">
        <w:rPr>
          <w:rFonts w:ascii="Verdana" w:hAnsi="Verdana"/>
          <w:sz w:val="20"/>
          <w:szCs w:val="20"/>
          <w:lang w:val="es-CR"/>
        </w:rPr>
        <w:tab/>
        <w:t>Disponer que la Secretaría de la Corte notifique la presente Resolución al Estado</w:t>
      </w:r>
      <w:r w:rsidR="002F4835">
        <w:rPr>
          <w:rFonts w:ascii="Verdana" w:hAnsi="Verdana"/>
          <w:sz w:val="20"/>
          <w:szCs w:val="20"/>
          <w:lang w:val="es-CR"/>
        </w:rPr>
        <w:t xml:space="preserve"> del Perú</w:t>
      </w:r>
      <w:r w:rsidR="00002BC3" w:rsidRPr="00761C78">
        <w:rPr>
          <w:rFonts w:ascii="Verdana" w:hAnsi="Verdana"/>
          <w:sz w:val="20"/>
          <w:szCs w:val="20"/>
          <w:lang w:val="es-CR"/>
        </w:rPr>
        <w:t>, a los representantes de las víctimas y a la Comisión Interamericana de Derechos Humanos.</w:t>
      </w:r>
    </w:p>
    <w:p w:rsidR="004A66D8" w:rsidRDefault="004A66D8" w:rsidP="00704BA6">
      <w:pPr>
        <w:tabs>
          <w:tab w:val="left" w:pos="567"/>
        </w:tabs>
        <w:spacing w:before="60" w:after="60" w:line="240" w:lineRule="auto"/>
        <w:ind w:right="22"/>
        <w:jc w:val="both"/>
        <w:rPr>
          <w:rFonts w:ascii="Verdana" w:hAnsi="Verdana"/>
          <w:sz w:val="20"/>
          <w:szCs w:val="20"/>
          <w:lang w:val="es-CR"/>
        </w:rPr>
      </w:pPr>
    </w:p>
    <w:p w:rsidR="004A66D8" w:rsidRDefault="004A66D8" w:rsidP="00704BA6">
      <w:pPr>
        <w:tabs>
          <w:tab w:val="left" w:pos="567"/>
        </w:tabs>
        <w:spacing w:before="60" w:after="60" w:line="240" w:lineRule="auto"/>
        <w:ind w:right="22"/>
        <w:jc w:val="both"/>
        <w:rPr>
          <w:rFonts w:ascii="Verdana" w:hAnsi="Verdana"/>
          <w:sz w:val="20"/>
          <w:szCs w:val="20"/>
          <w:lang w:val="es-CR"/>
        </w:rPr>
      </w:pPr>
    </w:p>
    <w:p w:rsidR="004A66D8" w:rsidRDefault="004A66D8" w:rsidP="00704BA6">
      <w:pPr>
        <w:tabs>
          <w:tab w:val="left" w:pos="567"/>
        </w:tabs>
        <w:spacing w:before="60" w:after="60" w:line="240" w:lineRule="auto"/>
        <w:ind w:right="22"/>
        <w:jc w:val="both"/>
        <w:rPr>
          <w:rFonts w:ascii="Verdana" w:hAnsi="Verdana"/>
          <w:sz w:val="20"/>
          <w:szCs w:val="20"/>
          <w:lang w:val="es-CR"/>
        </w:rPr>
      </w:pPr>
    </w:p>
    <w:p w:rsidR="004A66D8" w:rsidRDefault="004A66D8" w:rsidP="00704BA6">
      <w:pPr>
        <w:tabs>
          <w:tab w:val="left" w:pos="567"/>
        </w:tabs>
        <w:spacing w:before="60" w:after="60" w:line="240" w:lineRule="auto"/>
        <w:ind w:right="22"/>
        <w:jc w:val="both"/>
        <w:rPr>
          <w:rFonts w:ascii="Verdana" w:hAnsi="Verdana"/>
          <w:sz w:val="20"/>
          <w:szCs w:val="20"/>
          <w:lang w:val="es-CR"/>
        </w:rPr>
      </w:pPr>
    </w:p>
    <w:p w:rsidR="004A66D8" w:rsidRDefault="004A66D8" w:rsidP="00704BA6">
      <w:pPr>
        <w:tabs>
          <w:tab w:val="left" w:pos="567"/>
        </w:tabs>
        <w:spacing w:before="60" w:after="60" w:line="240" w:lineRule="auto"/>
        <w:ind w:right="22"/>
        <w:jc w:val="both"/>
        <w:rPr>
          <w:rFonts w:ascii="Verdana" w:hAnsi="Verdana"/>
          <w:sz w:val="20"/>
          <w:szCs w:val="20"/>
          <w:lang w:val="es-CR"/>
        </w:rPr>
      </w:pPr>
    </w:p>
    <w:p w:rsidR="004A66D8" w:rsidRPr="00847B73" w:rsidRDefault="004A66D8" w:rsidP="004A66D8">
      <w:pPr>
        <w:rPr>
          <w:rFonts w:ascii="Verdana" w:hAnsi="Verdana"/>
          <w:sz w:val="20"/>
          <w:lang w:val="es-ES"/>
        </w:rPr>
      </w:pPr>
    </w:p>
    <w:p w:rsidR="004A66D8" w:rsidRPr="004A66D8" w:rsidRDefault="004A66D8" w:rsidP="004A66D8">
      <w:pPr>
        <w:keepNext/>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sidRPr="00341158">
        <w:rPr>
          <w:rFonts w:ascii="Verdana" w:hAnsi="Verdana"/>
          <w:bCs/>
          <w:i/>
          <w:sz w:val="20"/>
          <w:lang w:val="es-CR"/>
        </w:rPr>
        <w:t>Tarazona Arrieta y otros Vs. Perú</w:t>
      </w:r>
      <w:r w:rsidRPr="00847B73">
        <w:rPr>
          <w:rFonts w:ascii="Verdana" w:hAnsi="Verdana"/>
          <w:i/>
          <w:sz w:val="20"/>
          <w:lang w:val="es-ES"/>
        </w:rPr>
        <w:t>.</w:t>
      </w:r>
      <w:r w:rsidRPr="00847B73">
        <w:rPr>
          <w:rFonts w:ascii="Verdana" w:hAnsi="Verdana" w:cs="Arial"/>
          <w:i/>
          <w:sz w:val="20"/>
          <w:lang w:val="es-CR"/>
        </w:rPr>
        <w:t xml:space="preserve"> </w:t>
      </w:r>
      <w:r>
        <w:rPr>
          <w:rFonts w:ascii="Verdana" w:hAnsi="Verdana"/>
          <w:sz w:val="20"/>
          <w:lang w:val="es-CR"/>
        </w:rPr>
        <w:t xml:space="preserve">Supervisión de cumplimiento de sentencia. </w:t>
      </w:r>
      <w:r w:rsidRPr="00B32051">
        <w:rPr>
          <w:rFonts w:ascii="Verdana" w:hAnsi="Verdana"/>
          <w:bCs/>
          <w:sz w:val="20"/>
          <w:lang w:val="es-CR"/>
        </w:rPr>
        <w:t xml:space="preserve">Resolución de la Corte Interamericana de Derechos Humanos de </w:t>
      </w:r>
      <w:r w:rsidRPr="006D2159">
        <w:rPr>
          <w:rFonts w:ascii="Verdana" w:hAnsi="Verdana"/>
          <w:sz w:val="20"/>
          <w:lang w:val="es-ES"/>
        </w:rPr>
        <w:t>4 de marzo de 2019</w:t>
      </w:r>
      <w:r w:rsidRPr="00847B73">
        <w:rPr>
          <w:rFonts w:ascii="Verdana" w:hAnsi="Verdana"/>
          <w:sz w:val="20"/>
          <w:lang w:val="es-ES"/>
        </w:rPr>
        <w:t xml:space="preserve">. </w:t>
      </w:r>
    </w:p>
    <w:p w:rsidR="004A66D8" w:rsidRPr="00847B73" w:rsidRDefault="004A66D8" w:rsidP="004A66D8">
      <w:pPr>
        <w:jc w:val="center"/>
        <w:rPr>
          <w:rFonts w:ascii="Verdana" w:hAnsi="Verdana"/>
          <w:sz w:val="20"/>
          <w:lang w:val="es-ES"/>
        </w:rPr>
      </w:pPr>
    </w:p>
    <w:p w:rsidR="004A66D8" w:rsidRPr="00847B73" w:rsidRDefault="004A66D8" w:rsidP="004A66D8">
      <w:pPr>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rsidR="004A66D8" w:rsidRPr="00847B73" w:rsidRDefault="004A66D8" w:rsidP="004A66D8">
      <w:pPr>
        <w:jc w:val="center"/>
        <w:rPr>
          <w:rFonts w:ascii="Verdana" w:hAnsi="Verdana"/>
          <w:sz w:val="20"/>
          <w:lang w:val="pt-BR"/>
        </w:rPr>
      </w:pPr>
      <w:r w:rsidRPr="00847B73">
        <w:rPr>
          <w:rFonts w:ascii="Verdana" w:hAnsi="Verdana"/>
          <w:sz w:val="20"/>
          <w:lang w:val="pt-BR"/>
        </w:rPr>
        <w:t>Presidente</w:t>
      </w:r>
    </w:p>
    <w:p w:rsidR="004A66D8" w:rsidRDefault="004A66D8" w:rsidP="004A66D8">
      <w:pPr>
        <w:jc w:val="both"/>
        <w:rPr>
          <w:rFonts w:ascii="Verdana" w:hAnsi="Verdana"/>
          <w:sz w:val="20"/>
          <w:lang w:val="pt-BR"/>
        </w:rPr>
      </w:pPr>
    </w:p>
    <w:p w:rsidR="004A66D8" w:rsidRPr="00847B73" w:rsidRDefault="004A66D8" w:rsidP="004A66D8">
      <w:pPr>
        <w:jc w:val="both"/>
        <w:rPr>
          <w:rFonts w:ascii="Verdana" w:hAnsi="Verdana"/>
          <w:sz w:val="20"/>
          <w:lang w:val="pt-BR"/>
        </w:rPr>
      </w:pPr>
    </w:p>
    <w:p w:rsidR="004A66D8" w:rsidRDefault="004A66D8" w:rsidP="004A66D8">
      <w:pP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rsidR="004A66D8" w:rsidRPr="00847B73" w:rsidRDefault="004A66D8" w:rsidP="004A66D8">
      <w:pPr>
        <w:jc w:val="both"/>
        <w:rPr>
          <w:rFonts w:ascii="Verdana" w:hAnsi="Verdana"/>
          <w:sz w:val="20"/>
          <w:lang w:val="pt-BR"/>
        </w:rPr>
      </w:pPr>
    </w:p>
    <w:p w:rsidR="004A66D8" w:rsidRPr="00847B73" w:rsidRDefault="004A66D8" w:rsidP="004A66D8">
      <w:pPr>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rsidR="004A66D8" w:rsidRPr="00847B73" w:rsidRDefault="004A66D8" w:rsidP="004A66D8">
      <w:pPr>
        <w:rPr>
          <w:rFonts w:ascii="Verdana" w:hAnsi="Verdana"/>
          <w:sz w:val="20"/>
          <w:lang w:val="pt-BR"/>
        </w:rPr>
      </w:pPr>
    </w:p>
    <w:p w:rsidR="004A66D8" w:rsidRPr="00847B73" w:rsidRDefault="004A66D8" w:rsidP="004A66D8">
      <w:pPr>
        <w:rPr>
          <w:rFonts w:ascii="Verdana" w:hAnsi="Verdana"/>
          <w:sz w:val="20"/>
          <w:lang w:val="pt-BR"/>
        </w:rPr>
      </w:pPr>
    </w:p>
    <w:p w:rsidR="004A66D8" w:rsidRPr="00847B73" w:rsidRDefault="004A66D8" w:rsidP="004A66D8">
      <w:pPr>
        <w:jc w:val="center"/>
        <w:rPr>
          <w:rFonts w:ascii="Verdana" w:hAnsi="Verdana"/>
          <w:sz w:val="20"/>
          <w:lang w:val="es-CR"/>
        </w:rPr>
      </w:pPr>
      <w:r w:rsidRPr="00847B73">
        <w:rPr>
          <w:rFonts w:ascii="Verdana" w:hAnsi="Verdana"/>
          <w:sz w:val="20"/>
          <w:lang w:val="es-CR"/>
        </w:rPr>
        <w:t>Ricardo C. Pérez Manrique</w:t>
      </w:r>
    </w:p>
    <w:p w:rsidR="004A66D8" w:rsidRPr="00847B73" w:rsidRDefault="004A66D8" w:rsidP="004A66D8">
      <w:pPr>
        <w:jc w:val="both"/>
        <w:rPr>
          <w:rFonts w:ascii="Verdana" w:hAnsi="Verdana"/>
          <w:sz w:val="20"/>
          <w:lang w:val="pt-BR"/>
        </w:rPr>
      </w:pPr>
    </w:p>
    <w:p w:rsidR="004A66D8" w:rsidRPr="00847B73" w:rsidRDefault="004A66D8" w:rsidP="004A66D8">
      <w:pPr>
        <w:jc w:val="both"/>
        <w:rPr>
          <w:rFonts w:ascii="Verdana" w:hAnsi="Verdana"/>
          <w:sz w:val="20"/>
          <w:lang w:val="pt-BR"/>
        </w:rPr>
      </w:pPr>
    </w:p>
    <w:p w:rsidR="004A66D8" w:rsidRPr="00847B73" w:rsidRDefault="004A66D8" w:rsidP="004A66D8">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rsidR="004A66D8" w:rsidRPr="00847B73" w:rsidRDefault="004A66D8" w:rsidP="004A66D8">
      <w:pPr>
        <w:jc w:val="center"/>
        <w:rPr>
          <w:rFonts w:ascii="Verdana" w:hAnsi="Verdana"/>
          <w:sz w:val="20"/>
          <w:lang w:val="pt-BR"/>
        </w:rPr>
      </w:pPr>
      <w:r w:rsidRPr="00847B73">
        <w:rPr>
          <w:rFonts w:ascii="Verdana" w:hAnsi="Verdana"/>
          <w:sz w:val="20"/>
          <w:lang w:val="pt-BR"/>
        </w:rPr>
        <w:t>Secretario</w:t>
      </w:r>
    </w:p>
    <w:p w:rsidR="004A66D8" w:rsidRPr="00847B73" w:rsidRDefault="004A66D8" w:rsidP="004A66D8">
      <w:pPr>
        <w:pStyle w:val="Textonotapie"/>
        <w:rPr>
          <w:rFonts w:ascii="Verdana" w:hAnsi="Verdana"/>
          <w:lang w:val="pt-BR"/>
        </w:rPr>
      </w:pPr>
    </w:p>
    <w:p w:rsidR="004A66D8" w:rsidRPr="00847B73" w:rsidRDefault="004A66D8" w:rsidP="004A66D8">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rsidR="004A66D8" w:rsidRPr="00847B73" w:rsidRDefault="004A66D8" w:rsidP="004A66D8">
      <w:pPr>
        <w:jc w:val="both"/>
        <w:rPr>
          <w:rFonts w:ascii="Verdana" w:hAnsi="Verdana"/>
          <w:sz w:val="20"/>
          <w:lang w:val="pt-BR"/>
        </w:rPr>
      </w:pPr>
    </w:p>
    <w:p w:rsidR="004A66D8" w:rsidRPr="00847B73" w:rsidRDefault="004A66D8" w:rsidP="004A66D8">
      <w:pPr>
        <w:jc w:val="both"/>
        <w:rPr>
          <w:rFonts w:ascii="Verdana" w:hAnsi="Verdana"/>
          <w:sz w:val="20"/>
          <w:lang w:val="pt-BR"/>
        </w:rPr>
      </w:pPr>
    </w:p>
    <w:p w:rsidR="004A66D8" w:rsidRPr="00847B73" w:rsidRDefault="004A66D8" w:rsidP="004A66D8">
      <w:pPr>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rsidR="004A66D8" w:rsidRPr="00847B73" w:rsidRDefault="004A66D8" w:rsidP="004A66D8">
      <w:pPr>
        <w:ind w:left="4956"/>
        <w:jc w:val="center"/>
        <w:rPr>
          <w:rFonts w:ascii="Verdana" w:hAnsi="Verdana"/>
          <w:sz w:val="20"/>
          <w:lang w:val="pt-BR"/>
        </w:rPr>
      </w:pPr>
      <w:r w:rsidRPr="00847B73">
        <w:rPr>
          <w:rFonts w:ascii="Verdana" w:hAnsi="Verdana"/>
          <w:sz w:val="20"/>
          <w:lang w:val="pt-BR"/>
        </w:rPr>
        <w:t>Presidente</w:t>
      </w:r>
    </w:p>
    <w:p w:rsidR="004A66D8" w:rsidRPr="00847B73" w:rsidRDefault="004A66D8" w:rsidP="004A66D8">
      <w:pPr>
        <w:jc w:val="both"/>
        <w:rPr>
          <w:rFonts w:ascii="Verdana" w:hAnsi="Verdana"/>
          <w:sz w:val="20"/>
          <w:lang w:val="pt-BR"/>
        </w:rPr>
      </w:pPr>
    </w:p>
    <w:p w:rsidR="004A66D8" w:rsidRPr="00847B73" w:rsidRDefault="004A66D8" w:rsidP="004A66D8">
      <w:pPr>
        <w:jc w:val="both"/>
        <w:rPr>
          <w:rFonts w:ascii="Verdana" w:hAnsi="Verdana"/>
          <w:sz w:val="20"/>
          <w:lang w:val="es-ES"/>
        </w:rPr>
      </w:pPr>
      <w:r w:rsidRPr="00847B73">
        <w:rPr>
          <w:rFonts w:ascii="Verdana" w:hAnsi="Verdana"/>
          <w:sz w:val="20"/>
          <w:lang w:val="es-ES"/>
        </w:rPr>
        <w:t>Pablo Saavedra Alessandri</w:t>
      </w:r>
    </w:p>
    <w:p w:rsidR="004A66D8" w:rsidRPr="00847B73" w:rsidRDefault="004A66D8" w:rsidP="004A66D8">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rsidR="004A66D8" w:rsidRPr="00761C78" w:rsidRDefault="004A66D8" w:rsidP="00704BA6">
      <w:pPr>
        <w:tabs>
          <w:tab w:val="left" w:pos="567"/>
        </w:tabs>
        <w:spacing w:before="60" w:after="60" w:line="240" w:lineRule="auto"/>
        <w:ind w:right="22"/>
        <w:jc w:val="both"/>
        <w:rPr>
          <w:rFonts w:ascii="Verdana" w:hAnsi="Verdana"/>
          <w:sz w:val="20"/>
          <w:szCs w:val="20"/>
          <w:lang w:val="es-CR"/>
        </w:rPr>
      </w:pPr>
      <w:bookmarkStart w:id="2" w:name="_GoBack"/>
      <w:bookmarkEnd w:id="2"/>
    </w:p>
    <w:sectPr w:rsidR="004A66D8" w:rsidRPr="00761C78" w:rsidSect="0093640A">
      <w:headerReference w:type="default" r:id="rId7"/>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1A" w:rsidRDefault="00DF141A" w:rsidP="00002BC3">
      <w:pPr>
        <w:spacing w:after="0" w:line="240" w:lineRule="auto"/>
      </w:pPr>
      <w:r>
        <w:separator/>
      </w:r>
    </w:p>
  </w:endnote>
  <w:endnote w:type="continuationSeparator" w:id="0">
    <w:p w:rsidR="00DF141A" w:rsidRDefault="00DF141A" w:rsidP="0000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1A" w:rsidRDefault="00DF141A" w:rsidP="00002BC3">
      <w:pPr>
        <w:spacing w:after="0" w:line="240" w:lineRule="auto"/>
      </w:pPr>
      <w:r>
        <w:separator/>
      </w:r>
    </w:p>
  </w:footnote>
  <w:footnote w:type="continuationSeparator" w:id="0">
    <w:p w:rsidR="00DF141A" w:rsidRDefault="00DF141A" w:rsidP="00002BC3">
      <w:pPr>
        <w:spacing w:after="0" w:line="240" w:lineRule="auto"/>
      </w:pPr>
      <w:r>
        <w:continuationSeparator/>
      </w:r>
    </w:p>
  </w:footnote>
  <w:footnote w:id="1">
    <w:p w:rsidR="00C00826" w:rsidRDefault="00C00826" w:rsidP="00395F50">
      <w:pPr>
        <w:pStyle w:val="Textonotapie"/>
        <w:tabs>
          <w:tab w:val="left" w:pos="450"/>
        </w:tabs>
        <w:jc w:val="both"/>
        <w:rPr>
          <w:rFonts w:ascii="Verdana" w:hAnsi="Verdana"/>
          <w:sz w:val="16"/>
          <w:szCs w:val="16"/>
          <w:lang w:val="es-CR"/>
        </w:rPr>
      </w:pPr>
      <w:r>
        <w:rPr>
          <w:rFonts w:ascii="Verdana" w:hAnsi="Verdana"/>
          <w:sz w:val="16"/>
          <w:szCs w:val="16"/>
          <w:lang w:val="es-CR"/>
        </w:rPr>
        <w:t>*</w:t>
      </w:r>
      <w:r>
        <w:rPr>
          <w:rFonts w:ascii="Verdana" w:hAnsi="Verdana"/>
          <w:sz w:val="16"/>
          <w:szCs w:val="16"/>
          <w:lang w:val="es-CR"/>
        </w:rPr>
        <w:tab/>
      </w:r>
      <w:r w:rsidRPr="00C00826">
        <w:rPr>
          <w:rFonts w:ascii="Verdana" w:hAnsi="Verdana"/>
          <w:sz w:val="16"/>
          <w:szCs w:val="16"/>
          <w:lang w:val="es-CR"/>
        </w:rPr>
        <w:t xml:space="preserve">El </w:t>
      </w:r>
      <w:r>
        <w:rPr>
          <w:rFonts w:ascii="Verdana" w:hAnsi="Verdana"/>
          <w:sz w:val="16"/>
          <w:szCs w:val="16"/>
          <w:lang w:val="es-CR"/>
        </w:rPr>
        <w:t>Juez</w:t>
      </w:r>
      <w:r w:rsidRPr="00C00826">
        <w:rPr>
          <w:rFonts w:ascii="Verdana" w:hAnsi="Verdana"/>
          <w:sz w:val="16"/>
          <w:szCs w:val="16"/>
          <w:lang w:val="es-CR"/>
        </w:rPr>
        <w:t xml:space="preserve"> </w:t>
      </w:r>
      <w:r>
        <w:rPr>
          <w:rFonts w:ascii="Verdana" w:hAnsi="Verdana"/>
          <w:sz w:val="16"/>
          <w:szCs w:val="16"/>
          <w:lang w:val="es-CR"/>
        </w:rPr>
        <w:t>L. Patricio Pazmiño Freire</w:t>
      </w:r>
      <w:r w:rsidRPr="00C00826">
        <w:rPr>
          <w:rFonts w:ascii="Verdana" w:hAnsi="Verdana"/>
          <w:sz w:val="16"/>
          <w:szCs w:val="16"/>
          <w:lang w:val="es-CR"/>
        </w:rPr>
        <w:t xml:space="preserve"> no participó en la deliberación y firma de la presente Resolución por razones de fuerza mayor.</w:t>
      </w:r>
    </w:p>
    <w:p w:rsidR="00002BC3" w:rsidRPr="00665BCC" w:rsidRDefault="00002BC3" w:rsidP="00395F50">
      <w:pPr>
        <w:pStyle w:val="Textonotapie"/>
        <w:tabs>
          <w:tab w:val="left" w:pos="450"/>
        </w:tabs>
        <w:jc w:val="both"/>
        <w:rPr>
          <w:rFonts w:ascii="Verdana" w:hAnsi="Verdana"/>
          <w:b/>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ab/>
      </w:r>
      <w:r w:rsidRPr="00665BCC">
        <w:rPr>
          <w:rFonts w:ascii="Verdana" w:hAnsi="Verdana"/>
          <w:i/>
          <w:sz w:val="16"/>
          <w:szCs w:val="16"/>
          <w:lang w:val="es-CR"/>
        </w:rPr>
        <w:t xml:space="preserve">Cfr. </w:t>
      </w:r>
      <w:r w:rsidRPr="00665BCC">
        <w:rPr>
          <w:rStyle w:val="Textoennegrita"/>
          <w:rFonts w:ascii="Verdana" w:hAnsi="Verdana"/>
          <w:b w:val="0"/>
          <w:i/>
          <w:color w:val="000000"/>
          <w:sz w:val="16"/>
          <w:szCs w:val="16"/>
          <w:shd w:val="clear" w:color="auto" w:fill="FFFFFF"/>
          <w:lang w:val="es-CR"/>
        </w:rPr>
        <w:t>Caso Tarazona Arrieta y otros Vs. Perú. Excepción Preliminar, Fondo, Reparaciones y Costas.</w:t>
      </w:r>
      <w:r w:rsidRPr="00665BCC">
        <w:rPr>
          <w:rStyle w:val="Textoennegrita"/>
          <w:rFonts w:ascii="Verdana" w:hAnsi="Verdana"/>
          <w:color w:val="000000"/>
          <w:sz w:val="16"/>
          <w:szCs w:val="16"/>
          <w:shd w:val="clear" w:color="auto" w:fill="FFFFFF"/>
          <w:lang w:val="es-CR"/>
        </w:rPr>
        <w:t xml:space="preserve"> </w:t>
      </w:r>
      <w:r w:rsidRPr="00665BCC">
        <w:rPr>
          <w:rStyle w:val="Textoennegrita"/>
          <w:rFonts w:ascii="Verdana" w:hAnsi="Verdana"/>
          <w:b w:val="0"/>
          <w:color w:val="000000"/>
          <w:sz w:val="16"/>
          <w:szCs w:val="16"/>
          <w:shd w:val="clear" w:color="auto" w:fill="FFFFFF"/>
          <w:lang w:val="es-CR"/>
        </w:rPr>
        <w:t>Sentencia de 15 de octubre de 2014. Serie C No. 286. El texto íntegro de la Sentencia se encuentra disponible en:</w:t>
      </w:r>
      <w:r w:rsidRPr="00665BCC">
        <w:rPr>
          <w:rStyle w:val="Textoennegrita"/>
          <w:rFonts w:ascii="Verdana" w:hAnsi="Verdana"/>
          <w:color w:val="000000"/>
          <w:sz w:val="16"/>
          <w:szCs w:val="16"/>
          <w:shd w:val="clear" w:color="auto" w:fill="FFFFFF"/>
          <w:lang w:val="es-CR"/>
        </w:rPr>
        <w:t xml:space="preserve"> </w:t>
      </w:r>
      <w:hyperlink r:id="rId1" w:history="1">
        <w:r w:rsidRPr="00665BCC">
          <w:rPr>
            <w:rStyle w:val="Hipervnculo"/>
            <w:rFonts w:ascii="Verdana" w:hAnsi="Verdana"/>
            <w:sz w:val="16"/>
            <w:szCs w:val="16"/>
            <w:shd w:val="clear" w:color="auto" w:fill="FFFFFF"/>
            <w:lang w:val="es-CR"/>
          </w:rPr>
          <w:t>http://www.corteidh.or.cr/docs/casos/articulos/seriec_286_esp.pdf</w:t>
        </w:r>
      </w:hyperlink>
      <w:r w:rsidRPr="00665BCC">
        <w:rPr>
          <w:rStyle w:val="Textoennegrita"/>
          <w:rFonts w:ascii="Verdana" w:hAnsi="Verdana"/>
          <w:b w:val="0"/>
          <w:color w:val="000000"/>
          <w:sz w:val="16"/>
          <w:szCs w:val="16"/>
          <w:shd w:val="clear" w:color="auto" w:fill="FFFFFF"/>
          <w:lang w:val="es-CR"/>
        </w:rPr>
        <w:t>.</w:t>
      </w:r>
      <w:r w:rsidRPr="00665BCC">
        <w:rPr>
          <w:rStyle w:val="Textoennegrita"/>
          <w:rFonts w:ascii="Verdana" w:hAnsi="Verdana"/>
          <w:color w:val="000000"/>
          <w:sz w:val="16"/>
          <w:szCs w:val="16"/>
          <w:shd w:val="clear" w:color="auto" w:fill="FFFFFF"/>
          <w:lang w:val="es-CR"/>
        </w:rPr>
        <w:t xml:space="preserve"> </w:t>
      </w:r>
      <w:r w:rsidRPr="00665BCC">
        <w:rPr>
          <w:rStyle w:val="Textoennegrita"/>
          <w:rFonts w:ascii="Verdana" w:hAnsi="Verdana"/>
          <w:b w:val="0"/>
          <w:color w:val="000000"/>
          <w:sz w:val="16"/>
          <w:szCs w:val="16"/>
          <w:shd w:val="clear" w:color="auto" w:fill="FFFFFF"/>
          <w:lang w:val="es-CR"/>
        </w:rPr>
        <w:t>La Sentencia fue noticiada al Estado el 27 de noviembre de 2014</w:t>
      </w:r>
      <w:r w:rsidR="00BD2EAA">
        <w:rPr>
          <w:rStyle w:val="Textoennegrita"/>
          <w:rFonts w:ascii="Verdana" w:hAnsi="Verdana"/>
          <w:b w:val="0"/>
          <w:color w:val="000000"/>
          <w:sz w:val="16"/>
          <w:szCs w:val="16"/>
          <w:shd w:val="clear" w:color="auto" w:fill="FFFFFF"/>
          <w:lang w:val="es-CR"/>
        </w:rPr>
        <w:t>.</w:t>
      </w:r>
    </w:p>
  </w:footnote>
  <w:footnote w:id="2">
    <w:p w:rsidR="006D226C" w:rsidRPr="00665BCC" w:rsidRDefault="006D226C"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ab/>
      </w:r>
      <w:r w:rsidRPr="00665BCC">
        <w:rPr>
          <w:rFonts w:ascii="Verdana" w:hAnsi="Verdana"/>
          <w:i/>
          <w:sz w:val="16"/>
          <w:szCs w:val="16"/>
          <w:lang w:val="es-CR"/>
        </w:rPr>
        <w:t xml:space="preserve">Cfr. </w:t>
      </w:r>
      <w:r w:rsidRPr="00665BCC">
        <w:rPr>
          <w:rStyle w:val="Textoennegrita"/>
          <w:rFonts w:ascii="Verdana" w:hAnsi="Verdana"/>
          <w:b w:val="0"/>
          <w:i/>
          <w:color w:val="000000"/>
          <w:sz w:val="16"/>
          <w:szCs w:val="16"/>
          <w:shd w:val="clear" w:color="auto" w:fill="FFFFFF"/>
          <w:lang w:val="es-CR"/>
        </w:rPr>
        <w:t xml:space="preserve">Casos Osorio Rivera y familiares, J., Penal Miguel Castro </w:t>
      </w:r>
      <w:proofErr w:type="spellStart"/>
      <w:r w:rsidRPr="00665BCC">
        <w:rPr>
          <w:rStyle w:val="Textoennegrita"/>
          <w:rFonts w:ascii="Verdana" w:hAnsi="Verdana"/>
          <w:b w:val="0"/>
          <w:i/>
          <w:color w:val="000000"/>
          <w:sz w:val="16"/>
          <w:szCs w:val="16"/>
          <w:shd w:val="clear" w:color="auto" w:fill="FFFFFF"/>
          <w:lang w:val="es-CR"/>
        </w:rPr>
        <w:t>Castro</w:t>
      </w:r>
      <w:proofErr w:type="spellEnd"/>
      <w:r w:rsidRPr="00665BCC">
        <w:rPr>
          <w:rStyle w:val="Textoennegrita"/>
          <w:rFonts w:ascii="Verdana" w:hAnsi="Verdana"/>
          <w:b w:val="0"/>
          <w:i/>
          <w:color w:val="000000"/>
          <w:sz w:val="16"/>
          <w:szCs w:val="16"/>
          <w:shd w:val="clear" w:color="auto" w:fill="FFFFFF"/>
          <w:lang w:val="es-CR"/>
        </w:rPr>
        <w:t xml:space="preserve">, Tarazona Arrieta y otros, Espinoza Gonzáles, Cruz Sánchez y otros, Canales Huapaya y otros, Comunidad Campesina de Santa Bárbara, </w:t>
      </w:r>
      <w:proofErr w:type="spellStart"/>
      <w:r w:rsidRPr="00665BCC">
        <w:rPr>
          <w:rStyle w:val="Textoennegrita"/>
          <w:rFonts w:ascii="Verdana" w:hAnsi="Verdana"/>
          <w:b w:val="0"/>
          <w:i/>
          <w:color w:val="000000"/>
          <w:sz w:val="16"/>
          <w:szCs w:val="16"/>
          <w:shd w:val="clear" w:color="auto" w:fill="FFFFFF"/>
          <w:lang w:val="es-CR"/>
        </w:rPr>
        <w:t>Quispialaya</w:t>
      </w:r>
      <w:proofErr w:type="spellEnd"/>
      <w:r w:rsidRPr="00665BCC">
        <w:rPr>
          <w:rStyle w:val="Textoennegrita"/>
          <w:rFonts w:ascii="Verdana" w:hAnsi="Verdana"/>
          <w:b w:val="0"/>
          <w:i/>
          <w:color w:val="000000"/>
          <w:sz w:val="16"/>
          <w:szCs w:val="16"/>
          <w:shd w:val="clear" w:color="auto" w:fill="FFFFFF"/>
          <w:lang w:val="es-CR"/>
        </w:rPr>
        <w:t xml:space="preserve"> Vilcapoma y Tenorio Roca y otros Vs. Perú. Reintegro al Fondo de Asistencia Legal de Víctimas</w:t>
      </w:r>
      <w:r w:rsidRPr="00665BCC">
        <w:rPr>
          <w:rStyle w:val="Textoennegrita"/>
          <w:rFonts w:ascii="Verdana" w:hAnsi="Verdana"/>
          <w:b w:val="0"/>
          <w:color w:val="000000"/>
          <w:sz w:val="16"/>
          <w:szCs w:val="16"/>
          <w:shd w:val="clear" w:color="auto" w:fill="FFFFFF"/>
          <w:lang w:val="es-CR"/>
        </w:rPr>
        <w:t>. Resolución de la Corte Interamericana de Derechos Humanos de 14 de noviembre de 2017</w:t>
      </w:r>
      <w:r w:rsidRPr="00665BCC">
        <w:rPr>
          <w:rStyle w:val="Textoennegrita"/>
          <w:rFonts w:ascii="Verdana" w:hAnsi="Verdana"/>
          <w:b w:val="0"/>
          <w:i/>
          <w:color w:val="000000"/>
          <w:sz w:val="16"/>
          <w:szCs w:val="16"/>
          <w:lang w:val="es-CR"/>
        </w:rPr>
        <w:t xml:space="preserve">, </w:t>
      </w:r>
      <w:r w:rsidRPr="00665BCC">
        <w:rPr>
          <w:rStyle w:val="Textoennegrita"/>
          <w:rFonts w:ascii="Verdana" w:hAnsi="Verdana"/>
          <w:b w:val="0"/>
          <w:color w:val="000000"/>
          <w:sz w:val="16"/>
          <w:szCs w:val="16"/>
          <w:lang w:val="es-CR"/>
        </w:rPr>
        <w:t xml:space="preserve">disponible en: </w:t>
      </w:r>
      <w:hyperlink r:id="rId2" w:history="1">
        <w:r w:rsidRPr="00665BCC">
          <w:rPr>
            <w:rStyle w:val="Hipervnculo"/>
            <w:rFonts w:ascii="Verdana" w:hAnsi="Verdana"/>
            <w:sz w:val="16"/>
            <w:szCs w:val="16"/>
            <w:lang w:val="es-CR"/>
          </w:rPr>
          <w:t>http://www.corteidh.or.cr/docs/asuntos/osorivperu_fv_17.pdf</w:t>
        </w:r>
      </w:hyperlink>
      <w:r w:rsidRPr="00665BCC">
        <w:rPr>
          <w:rStyle w:val="Textoennegrita"/>
          <w:rFonts w:ascii="Verdana" w:hAnsi="Verdana"/>
          <w:b w:val="0"/>
          <w:color w:val="000000"/>
          <w:sz w:val="16"/>
          <w:szCs w:val="16"/>
          <w:lang w:val="es-CR"/>
        </w:rPr>
        <w:t xml:space="preserve">. </w:t>
      </w:r>
    </w:p>
  </w:footnote>
  <w:footnote w:id="3">
    <w:p w:rsidR="00002BC3" w:rsidRPr="00F87651"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ab/>
        <w:t>Escritos de 27 de noviembre de 2015, 11 de mayo de 2016 y 20 de septiembre de 2017.</w:t>
      </w:r>
    </w:p>
  </w:footnote>
  <w:footnote w:id="4">
    <w:p w:rsidR="00002BC3" w:rsidRPr="00F87651" w:rsidRDefault="00002BC3" w:rsidP="00395F50">
      <w:pPr>
        <w:pStyle w:val="Textonotapie"/>
        <w:tabs>
          <w:tab w:val="left" w:pos="450"/>
        </w:tabs>
        <w:jc w:val="both"/>
        <w:rPr>
          <w:rFonts w:ascii="Verdana" w:hAnsi="Verdana"/>
          <w:sz w:val="16"/>
          <w:szCs w:val="16"/>
          <w:lang w:val="es-CR"/>
        </w:rPr>
      </w:pPr>
      <w:r w:rsidRPr="00F87651">
        <w:rPr>
          <w:rStyle w:val="Refdenotaalpie"/>
          <w:rFonts w:ascii="Verdana" w:hAnsi="Verdana"/>
          <w:sz w:val="16"/>
          <w:szCs w:val="16"/>
        </w:rPr>
        <w:footnoteRef/>
      </w:r>
      <w:r w:rsidRPr="00F87651">
        <w:rPr>
          <w:rFonts w:ascii="Verdana" w:hAnsi="Verdana"/>
          <w:sz w:val="16"/>
          <w:szCs w:val="16"/>
          <w:lang w:val="es-CR"/>
        </w:rPr>
        <w:t xml:space="preserve"> </w:t>
      </w:r>
      <w:r w:rsidRPr="00F87651">
        <w:rPr>
          <w:rFonts w:ascii="Verdana" w:hAnsi="Verdana"/>
          <w:sz w:val="16"/>
          <w:szCs w:val="16"/>
          <w:lang w:val="es-CR"/>
        </w:rPr>
        <w:tab/>
      </w:r>
      <w:r w:rsidR="0039181A" w:rsidRPr="00F87651">
        <w:rPr>
          <w:rFonts w:ascii="Verdana" w:hAnsi="Verdana"/>
          <w:sz w:val="16"/>
          <w:szCs w:val="16"/>
          <w:lang w:val="es-CR"/>
        </w:rPr>
        <w:t>Las víctimas del presente caso son representadas por l</w:t>
      </w:r>
      <w:r w:rsidRPr="00F87651">
        <w:rPr>
          <w:rFonts w:ascii="Verdana" w:hAnsi="Verdana"/>
          <w:sz w:val="16"/>
          <w:szCs w:val="16"/>
          <w:lang w:val="es-CR"/>
        </w:rPr>
        <w:t>a Asociación Pro Derechos Humanos (APRODEH).</w:t>
      </w:r>
    </w:p>
  </w:footnote>
  <w:footnote w:id="5">
    <w:p w:rsidR="00002BC3" w:rsidRPr="00F87651" w:rsidRDefault="00002BC3" w:rsidP="00395F50">
      <w:pPr>
        <w:pStyle w:val="Textonotapie"/>
        <w:tabs>
          <w:tab w:val="left" w:pos="450"/>
        </w:tabs>
        <w:jc w:val="both"/>
        <w:rPr>
          <w:rFonts w:ascii="Verdana" w:hAnsi="Verdana"/>
          <w:sz w:val="16"/>
          <w:szCs w:val="16"/>
          <w:lang w:val="es-CR"/>
        </w:rPr>
      </w:pPr>
      <w:r w:rsidRPr="00F87651">
        <w:rPr>
          <w:rStyle w:val="Refdenotaalpie"/>
          <w:rFonts w:ascii="Verdana" w:hAnsi="Verdana"/>
          <w:sz w:val="16"/>
          <w:szCs w:val="16"/>
        </w:rPr>
        <w:footnoteRef/>
      </w:r>
      <w:r w:rsidRPr="00F87651">
        <w:rPr>
          <w:rFonts w:ascii="Verdana" w:hAnsi="Verdana"/>
          <w:sz w:val="16"/>
          <w:szCs w:val="16"/>
          <w:lang w:val="es-CR"/>
        </w:rPr>
        <w:tab/>
        <w:t>Escritos de 28 de enero y 19 de julio de 2016 y 17 de enero de 2018</w:t>
      </w:r>
      <w:r w:rsidR="00BD2EAA">
        <w:rPr>
          <w:rFonts w:ascii="Verdana" w:hAnsi="Verdana"/>
          <w:sz w:val="16"/>
          <w:szCs w:val="16"/>
          <w:lang w:val="es-CR"/>
        </w:rPr>
        <w:t>.</w:t>
      </w:r>
    </w:p>
  </w:footnote>
  <w:footnote w:id="6">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ab/>
        <w:t xml:space="preserve">Facultad que además </w:t>
      </w:r>
      <w:r w:rsidRPr="00665BCC">
        <w:rPr>
          <w:rFonts w:ascii="Verdana" w:hAnsi="Verdana"/>
          <w:sz w:val="16"/>
          <w:szCs w:val="16"/>
          <w:lang w:val="es-ES"/>
        </w:rPr>
        <w:t xml:space="preserve">se desprende de lo dispuesto en los artículos 33, 62.1, 62.3 y 65 de la Convención Americana y </w:t>
      </w:r>
      <w:r w:rsidRPr="00665BCC">
        <w:rPr>
          <w:rFonts w:ascii="Verdana" w:hAnsi="Verdana"/>
          <w:sz w:val="16"/>
          <w:szCs w:val="16"/>
          <w:lang w:val="es-CR"/>
        </w:rPr>
        <w:t>30 de su Estatuto y se encuentra regulada en el artículo 69 de su Reglamento.</w:t>
      </w:r>
    </w:p>
  </w:footnote>
  <w:footnote w:id="7">
    <w:p w:rsidR="00002BC3" w:rsidRPr="00665BCC" w:rsidRDefault="00002BC3" w:rsidP="00395F50">
      <w:pPr>
        <w:pStyle w:val="Textonotapie"/>
        <w:tabs>
          <w:tab w:val="left" w:pos="450"/>
        </w:tabs>
        <w:ind w:right="4"/>
        <w:jc w:val="both"/>
        <w:rPr>
          <w:rFonts w:ascii="Verdana" w:hAnsi="Verdana"/>
          <w:b/>
          <w:color w:val="000000"/>
          <w:sz w:val="16"/>
          <w:szCs w:val="16"/>
          <w:lang w:val="es-CR"/>
        </w:rPr>
      </w:pPr>
      <w:r w:rsidRPr="00665BCC">
        <w:rPr>
          <w:rStyle w:val="Refdenotaalpie"/>
          <w:rFonts w:ascii="Verdana" w:hAnsi="Verdana"/>
          <w:sz w:val="16"/>
          <w:szCs w:val="16"/>
        </w:rPr>
        <w:footnoteRef/>
      </w:r>
      <w:r w:rsidRPr="00665BCC">
        <w:rPr>
          <w:rFonts w:ascii="Verdana" w:hAnsi="Verdana"/>
          <w:i/>
          <w:color w:val="000000"/>
          <w:sz w:val="16"/>
          <w:szCs w:val="16"/>
          <w:lang w:val="es-AR"/>
        </w:rPr>
        <w:tab/>
        <w:t>Cfr. Caso Cinco Pensionistas Vs. Perú</w:t>
      </w:r>
      <w:r w:rsidR="0087477A">
        <w:rPr>
          <w:rFonts w:ascii="Verdana" w:hAnsi="Verdana"/>
          <w:i/>
          <w:color w:val="000000"/>
          <w:sz w:val="16"/>
          <w:szCs w:val="16"/>
          <w:lang w:val="es-AR"/>
        </w:rPr>
        <w:t>.</w:t>
      </w:r>
      <w:r w:rsidRPr="00665BCC">
        <w:rPr>
          <w:rFonts w:ascii="Verdana" w:hAnsi="Verdana"/>
          <w:i/>
          <w:color w:val="000000"/>
          <w:sz w:val="16"/>
          <w:szCs w:val="16"/>
          <w:lang w:val="es-AR"/>
        </w:rPr>
        <w:t xml:space="preserve"> </w:t>
      </w:r>
      <w:r w:rsidR="0087477A">
        <w:rPr>
          <w:rFonts w:ascii="Verdana" w:hAnsi="Verdana"/>
          <w:i/>
          <w:color w:val="000000"/>
          <w:sz w:val="16"/>
          <w:szCs w:val="16"/>
          <w:lang w:val="es-AR"/>
        </w:rPr>
        <w:t xml:space="preserve">Supervisión de cumplimiento de Sentencia. </w:t>
      </w:r>
      <w:r w:rsidRPr="00665BCC">
        <w:rPr>
          <w:rFonts w:ascii="Verdana" w:hAnsi="Verdana"/>
          <w:color w:val="000000"/>
          <w:sz w:val="16"/>
          <w:szCs w:val="16"/>
          <w:lang w:val="es-AR"/>
        </w:rPr>
        <w:t xml:space="preserve">Resolución de la Corte de 17 de noviembre de 2004, Considerando </w:t>
      </w:r>
      <w:r w:rsidR="00BD2EAA">
        <w:rPr>
          <w:rFonts w:ascii="Verdana" w:hAnsi="Verdana"/>
          <w:color w:val="000000"/>
          <w:sz w:val="16"/>
          <w:szCs w:val="16"/>
          <w:lang w:val="es-AR"/>
        </w:rPr>
        <w:t>5</w:t>
      </w:r>
      <w:r w:rsidRPr="00665BCC">
        <w:rPr>
          <w:rFonts w:ascii="Verdana" w:hAnsi="Verdana"/>
          <w:color w:val="000000"/>
          <w:sz w:val="16"/>
          <w:szCs w:val="16"/>
          <w:lang w:val="es-AR"/>
        </w:rPr>
        <w:t xml:space="preserve">, y </w:t>
      </w:r>
      <w:r w:rsidR="00BD2EAA" w:rsidRPr="00BD2EAA">
        <w:rPr>
          <w:rFonts w:ascii="Verdana" w:hAnsi="Verdana"/>
          <w:i/>
          <w:color w:val="000000"/>
          <w:sz w:val="16"/>
          <w:szCs w:val="16"/>
          <w:lang w:val="es-AR"/>
        </w:rPr>
        <w:t>Caso Fermín Ramírez Vs. Guatemala. Supervisión de Cumplimiento de Sentencia</w:t>
      </w:r>
      <w:r w:rsidR="00BD2EAA" w:rsidRPr="00BD2EAA">
        <w:rPr>
          <w:rFonts w:ascii="Verdana" w:hAnsi="Verdana"/>
          <w:color w:val="000000"/>
          <w:sz w:val="16"/>
          <w:szCs w:val="16"/>
          <w:lang w:val="es-AR"/>
        </w:rPr>
        <w:t>. Resolución de la Corte Interamericana de Derechos Humanos de 6 febrero de 2019</w:t>
      </w:r>
      <w:r w:rsidR="00BD2EAA">
        <w:rPr>
          <w:rFonts w:ascii="Verdana" w:hAnsi="Verdana"/>
          <w:color w:val="000000"/>
          <w:sz w:val="16"/>
          <w:szCs w:val="16"/>
          <w:lang w:val="es-AR"/>
        </w:rPr>
        <w:t>, Considerando 2</w:t>
      </w:r>
      <w:r w:rsidR="00BD2EAA" w:rsidRPr="00BD2EAA">
        <w:rPr>
          <w:rFonts w:ascii="Verdana" w:hAnsi="Verdana"/>
          <w:color w:val="000000"/>
          <w:sz w:val="16"/>
          <w:szCs w:val="16"/>
          <w:lang w:val="es-AR"/>
        </w:rPr>
        <w:t>.</w:t>
      </w:r>
    </w:p>
  </w:footnote>
  <w:footnote w:id="8">
    <w:p w:rsidR="00002BC3" w:rsidRPr="00665BCC" w:rsidRDefault="00002BC3" w:rsidP="00395F50">
      <w:pPr>
        <w:pStyle w:val="Textonotapie"/>
        <w:tabs>
          <w:tab w:val="left" w:pos="450"/>
        </w:tabs>
        <w:ind w:right="4"/>
        <w:jc w:val="both"/>
        <w:rPr>
          <w:rFonts w:ascii="Verdana" w:hAnsi="Verdana"/>
          <w:b/>
          <w:color w:val="000000"/>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ab/>
      </w:r>
      <w:r w:rsidRPr="00665BCC">
        <w:rPr>
          <w:rFonts w:ascii="Verdana" w:hAnsi="Verdana"/>
          <w:i/>
          <w:sz w:val="16"/>
          <w:szCs w:val="16"/>
          <w:lang w:val="es-CR"/>
        </w:rPr>
        <w:t xml:space="preserve">Cfr. Caso </w:t>
      </w:r>
      <w:proofErr w:type="spellStart"/>
      <w:r w:rsidRPr="00665BCC">
        <w:rPr>
          <w:rFonts w:ascii="Verdana" w:hAnsi="Verdana"/>
          <w:i/>
          <w:sz w:val="16"/>
          <w:szCs w:val="16"/>
          <w:lang w:val="es-CR"/>
        </w:rPr>
        <w:t>Ivcher</w:t>
      </w:r>
      <w:proofErr w:type="spellEnd"/>
      <w:r w:rsidRPr="00665BCC">
        <w:rPr>
          <w:rFonts w:ascii="Verdana" w:hAnsi="Verdana"/>
          <w:i/>
          <w:sz w:val="16"/>
          <w:szCs w:val="16"/>
          <w:lang w:val="es-CR"/>
        </w:rPr>
        <w:t xml:space="preserve"> </w:t>
      </w:r>
      <w:proofErr w:type="spellStart"/>
      <w:r w:rsidRPr="00665BCC">
        <w:rPr>
          <w:rFonts w:ascii="Verdana" w:hAnsi="Verdana"/>
          <w:i/>
          <w:sz w:val="16"/>
          <w:szCs w:val="16"/>
          <w:lang w:val="es-CR"/>
        </w:rPr>
        <w:t>Bronstein</w:t>
      </w:r>
      <w:proofErr w:type="spellEnd"/>
      <w:r w:rsidRPr="00665BCC">
        <w:rPr>
          <w:rFonts w:ascii="Verdana" w:hAnsi="Verdana"/>
          <w:i/>
          <w:sz w:val="16"/>
          <w:szCs w:val="16"/>
          <w:lang w:val="es-CR"/>
        </w:rPr>
        <w:t xml:space="preserve"> Vs. Perú. Competencia</w:t>
      </w:r>
      <w:r w:rsidRPr="00665BCC">
        <w:rPr>
          <w:rFonts w:ascii="Verdana" w:hAnsi="Verdana"/>
          <w:sz w:val="16"/>
          <w:szCs w:val="16"/>
          <w:lang w:val="es-CR"/>
        </w:rPr>
        <w:t xml:space="preserve">. Sentencia de la Corte Interamericana de Derechos Humanos de 24 de septiembre de 1999. Serie C No. 54, párr. 37, y </w:t>
      </w:r>
      <w:r w:rsidR="00BD2EAA" w:rsidRPr="00BD2EAA">
        <w:rPr>
          <w:rFonts w:ascii="Verdana" w:hAnsi="Verdana"/>
          <w:i/>
          <w:color w:val="000000"/>
          <w:sz w:val="16"/>
          <w:szCs w:val="16"/>
          <w:lang w:val="es-AR"/>
        </w:rPr>
        <w:t>Ca</w:t>
      </w:r>
      <w:r w:rsidR="00BD2EAA">
        <w:rPr>
          <w:rFonts w:ascii="Verdana" w:hAnsi="Verdana"/>
          <w:i/>
          <w:color w:val="000000"/>
          <w:sz w:val="16"/>
          <w:szCs w:val="16"/>
          <w:lang w:val="es-AR"/>
        </w:rPr>
        <w:t xml:space="preserve">so Fermín Ramírez Vs. Guatemala, supra </w:t>
      </w:r>
      <w:r w:rsidR="00BD2EAA">
        <w:rPr>
          <w:rFonts w:ascii="Verdana" w:hAnsi="Verdana"/>
          <w:color w:val="000000"/>
          <w:sz w:val="16"/>
          <w:szCs w:val="16"/>
          <w:lang w:val="es-AR"/>
        </w:rPr>
        <w:t>nota 7, Considerando 2</w:t>
      </w:r>
      <w:r w:rsidRPr="0087477A">
        <w:rPr>
          <w:rStyle w:val="Textoennegrita"/>
          <w:rFonts w:ascii="Verdana" w:hAnsi="Verdana"/>
          <w:b w:val="0"/>
          <w:color w:val="000000"/>
          <w:sz w:val="16"/>
          <w:szCs w:val="16"/>
          <w:shd w:val="clear" w:color="auto" w:fill="FFFFFF"/>
          <w:lang w:val="es-CR"/>
        </w:rPr>
        <w:t>.</w:t>
      </w:r>
      <w:r w:rsidRPr="00665BCC">
        <w:rPr>
          <w:rStyle w:val="Textoennegrita"/>
          <w:rFonts w:ascii="Verdana" w:hAnsi="Verdana"/>
          <w:b w:val="0"/>
          <w:color w:val="000000"/>
          <w:sz w:val="16"/>
          <w:szCs w:val="16"/>
          <w:shd w:val="clear" w:color="auto" w:fill="FFFFFF"/>
          <w:lang w:val="es-CR"/>
        </w:rPr>
        <w:t xml:space="preserve"> </w:t>
      </w:r>
    </w:p>
  </w:footnote>
  <w:footnote w:id="9">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002BC3">
        <w:rPr>
          <w:rFonts w:ascii="Verdana" w:hAnsi="Verdana"/>
          <w:sz w:val="16"/>
          <w:szCs w:val="16"/>
          <w:lang w:val="es-CR"/>
        </w:rPr>
        <w:t xml:space="preserve"> </w:t>
      </w:r>
      <w:r w:rsidRPr="00002BC3">
        <w:rPr>
          <w:rFonts w:ascii="Verdana" w:hAnsi="Verdana"/>
          <w:sz w:val="16"/>
          <w:szCs w:val="16"/>
          <w:lang w:val="es-CR"/>
        </w:rPr>
        <w:tab/>
      </w:r>
      <w:r w:rsidRPr="00002BC3">
        <w:rPr>
          <w:rFonts w:ascii="Verdana" w:hAnsi="Verdana"/>
          <w:i/>
          <w:sz w:val="16"/>
          <w:szCs w:val="16"/>
          <w:lang w:val="es-CR"/>
        </w:rPr>
        <w:t>Infra</w:t>
      </w:r>
      <w:r w:rsidR="005F043B">
        <w:rPr>
          <w:rFonts w:ascii="Verdana" w:hAnsi="Verdana"/>
          <w:sz w:val="16"/>
          <w:szCs w:val="16"/>
          <w:lang w:val="es-CR"/>
        </w:rPr>
        <w:t xml:space="preserve"> notas 1</w:t>
      </w:r>
      <w:r w:rsidR="00982784">
        <w:rPr>
          <w:rFonts w:ascii="Verdana" w:hAnsi="Verdana"/>
          <w:sz w:val="16"/>
          <w:szCs w:val="16"/>
          <w:lang w:val="es-CR"/>
        </w:rPr>
        <w:t>3</w:t>
      </w:r>
      <w:r w:rsidR="005F043B">
        <w:rPr>
          <w:rFonts w:ascii="Verdana" w:hAnsi="Verdana"/>
          <w:sz w:val="16"/>
          <w:szCs w:val="16"/>
          <w:lang w:val="es-CR"/>
        </w:rPr>
        <w:t xml:space="preserve"> </w:t>
      </w:r>
      <w:r w:rsidR="00982784">
        <w:rPr>
          <w:rFonts w:ascii="Verdana" w:hAnsi="Verdana"/>
          <w:sz w:val="16"/>
          <w:szCs w:val="16"/>
          <w:lang w:val="es-CR"/>
        </w:rPr>
        <w:t>a</w:t>
      </w:r>
      <w:r w:rsidR="005F043B">
        <w:rPr>
          <w:rFonts w:ascii="Verdana" w:hAnsi="Verdana"/>
          <w:sz w:val="16"/>
          <w:szCs w:val="16"/>
          <w:lang w:val="es-CR"/>
        </w:rPr>
        <w:t xml:space="preserve"> 15</w:t>
      </w:r>
      <w:r w:rsidRPr="00002BC3">
        <w:rPr>
          <w:rFonts w:ascii="Verdana" w:hAnsi="Verdana"/>
          <w:sz w:val="16"/>
          <w:szCs w:val="16"/>
          <w:lang w:val="es-CR"/>
        </w:rPr>
        <w:t>.</w:t>
      </w:r>
    </w:p>
  </w:footnote>
  <w:footnote w:id="10">
    <w:p w:rsidR="00002BC3" w:rsidRPr="005655B1"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t xml:space="preserve">En febrero de 2018, los representantes solicitaron a la Corte “que señale como cumplido el referido punto de la </w:t>
      </w:r>
      <w:r w:rsidR="000144BA">
        <w:rPr>
          <w:rFonts w:ascii="Verdana" w:hAnsi="Verdana"/>
          <w:sz w:val="16"/>
          <w:szCs w:val="16"/>
          <w:lang w:val="es-CR"/>
        </w:rPr>
        <w:t>[</w:t>
      </w:r>
      <w:r w:rsidRPr="00665BCC">
        <w:rPr>
          <w:rFonts w:ascii="Verdana" w:hAnsi="Verdana"/>
          <w:sz w:val="16"/>
          <w:szCs w:val="16"/>
          <w:lang w:val="es-CR"/>
        </w:rPr>
        <w:t>S</w:t>
      </w:r>
      <w:r w:rsidR="000144BA">
        <w:rPr>
          <w:rFonts w:ascii="Verdana" w:hAnsi="Verdana"/>
          <w:sz w:val="16"/>
          <w:szCs w:val="16"/>
          <w:lang w:val="es-CR"/>
        </w:rPr>
        <w:t>]</w:t>
      </w:r>
      <w:r w:rsidRPr="00665BCC">
        <w:rPr>
          <w:rFonts w:ascii="Verdana" w:hAnsi="Verdana"/>
          <w:sz w:val="16"/>
          <w:szCs w:val="16"/>
          <w:lang w:val="es-CR"/>
        </w:rPr>
        <w:t xml:space="preserve">entencia”. </w:t>
      </w:r>
      <w:r w:rsidRPr="00665BCC">
        <w:rPr>
          <w:rFonts w:ascii="Verdana" w:hAnsi="Verdana"/>
          <w:i/>
          <w:sz w:val="16"/>
          <w:szCs w:val="16"/>
          <w:lang w:val="es-CR"/>
        </w:rPr>
        <w:t>Cfr.</w:t>
      </w:r>
      <w:r w:rsidRPr="00665BCC">
        <w:rPr>
          <w:rFonts w:ascii="Verdana" w:hAnsi="Verdana"/>
          <w:sz w:val="16"/>
          <w:szCs w:val="16"/>
          <w:lang w:val="es-CR"/>
        </w:rPr>
        <w:t xml:space="preserve"> Escrito de observaciones de los representantes de las víctimas de 22 de febrero de 2018.</w:t>
      </w:r>
      <w:r w:rsidR="005E56A5">
        <w:rPr>
          <w:rFonts w:ascii="Verdana" w:hAnsi="Verdana"/>
          <w:sz w:val="16"/>
          <w:szCs w:val="16"/>
          <w:lang w:val="es-CR"/>
        </w:rPr>
        <w:t xml:space="preserve"> </w:t>
      </w:r>
      <w:r w:rsidR="005E56A5" w:rsidRPr="005E56A5">
        <w:rPr>
          <w:rFonts w:ascii="Verdana" w:hAnsi="Verdana"/>
          <w:sz w:val="16"/>
          <w:szCs w:val="16"/>
          <w:lang w:val="es-CR"/>
        </w:rPr>
        <w:t>Ver también escrito de observaciones de los representantes de las víctimas de</w:t>
      </w:r>
      <w:r w:rsidR="005E56A5">
        <w:rPr>
          <w:rFonts w:ascii="Verdana" w:hAnsi="Verdana"/>
          <w:sz w:val="16"/>
          <w:szCs w:val="16"/>
          <w:lang w:val="es-CR"/>
        </w:rPr>
        <w:t xml:space="preserve"> 12 de julio de 201</w:t>
      </w:r>
      <w:r w:rsidR="005655B1">
        <w:rPr>
          <w:rFonts w:ascii="Verdana" w:hAnsi="Verdana"/>
          <w:sz w:val="16"/>
          <w:szCs w:val="16"/>
          <w:lang w:val="es-CR"/>
        </w:rPr>
        <w:t>7</w:t>
      </w:r>
      <w:r w:rsidR="005E56A5">
        <w:rPr>
          <w:rFonts w:ascii="Verdana" w:hAnsi="Verdana"/>
          <w:sz w:val="16"/>
          <w:szCs w:val="16"/>
          <w:lang w:val="es-CR"/>
        </w:rPr>
        <w:t>.</w:t>
      </w:r>
      <w:r w:rsidR="005E56A5">
        <w:rPr>
          <w:rFonts w:ascii="Verdana" w:hAnsi="Verdana"/>
          <w:b/>
          <w:sz w:val="16"/>
          <w:szCs w:val="16"/>
          <w:lang w:val="es-CR"/>
        </w:rPr>
        <w:t xml:space="preserve"> </w:t>
      </w:r>
    </w:p>
  </w:footnote>
  <w:footnote w:id="11">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Escrito de observaciones de la Comisión de 17 de enero de 2018. </w:t>
      </w:r>
    </w:p>
  </w:footnote>
  <w:footnote w:id="12">
    <w:p w:rsidR="00BE6031" w:rsidRPr="00665BCC" w:rsidRDefault="00BE6031"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t xml:space="preserve">En noviembre de 2015, el Estado </w:t>
      </w:r>
      <w:r>
        <w:rPr>
          <w:rFonts w:ascii="Verdana" w:hAnsi="Verdana"/>
          <w:sz w:val="16"/>
          <w:szCs w:val="16"/>
          <w:lang w:val="es-CR"/>
        </w:rPr>
        <w:t>informó</w:t>
      </w:r>
      <w:r w:rsidRPr="00665BCC">
        <w:rPr>
          <w:rFonts w:ascii="Verdana" w:hAnsi="Verdana"/>
          <w:sz w:val="16"/>
          <w:szCs w:val="16"/>
          <w:lang w:val="es-CR"/>
        </w:rPr>
        <w:t xml:space="preserve"> que </w:t>
      </w:r>
      <w:r>
        <w:rPr>
          <w:rFonts w:ascii="Verdana" w:hAnsi="Verdana"/>
          <w:sz w:val="16"/>
          <w:szCs w:val="16"/>
          <w:lang w:val="es-CR"/>
        </w:rPr>
        <w:t xml:space="preserve">el texto íntegro de la Sentencia se podía consultar </w:t>
      </w:r>
      <w:r w:rsidRPr="00665BCC">
        <w:rPr>
          <w:rFonts w:ascii="Verdana" w:hAnsi="Verdana"/>
          <w:sz w:val="16"/>
          <w:szCs w:val="16"/>
          <w:lang w:val="es-CR"/>
        </w:rPr>
        <w:t xml:space="preserve">desde el </w:t>
      </w:r>
      <w:r>
        <w:rPr>
          <w:rFonts w:ascii="Verdana" w:hAnsi="Verdana"/>
          <w:sz w:val="16"/>
          <w:szCs w:val="16"/>
          <w:lang w:val="es-CR"/>
        </w:rPr>
        <w:t>“</w:t>
      </w:r>
      <w:r w:rsidRPr="00665BCC">
        <w:rPr>
          <w:rFonts w:ascii="Verdana" w:hAnsi="Verdana"/>
          <w:sz w:val="16"/>
          <w:szCs w:val="16"/>
          <w:lang w:val="es-CR"/>
        </w:rPr>
        <w:t>23 de enero</w:t>
      </w:r>
      <w:r>
        <w:rPr>
          <w:rFonts w:ascii="Verdana" w:hAnsi="Verdana"/>
          <w:sz w:val="16"/>
          <w:szCs w:val="16"/>
          <w:lang w:val="es-CR"/>
        </w:rPr>
        <w:t>” de dicho año en la referida página web del Ministerio de Justicia. El</w:t>
      </w:r>
      <w:r w:rsidRPr="00665BCC">
        <w:rPr>
          <w:rFonts w:ascii="Verdana" w:hAnsi="Verdana"/>
          <w:sz w:val="16"/>
          <w:szCs w:val="16"/>
          <w:lang w:val="es-CR"/>
        </w:rPr>
        <w:t xml:space="preserve"> enlace</w:t>
      </w:r>
      <w:r>
        <w:rPr>
          <w:rFonts w:ascii="Verdana" w:hAnsi="Verdana"/>
          <w:sz w:val="16"/>
          <w:szCs w:val="16"/>
          <w:lang w:val="es-CR"/>
        </w:rPr>
        <w:t xml:space="preserve"> proporcionado por el Estado es</w:t>
      </w:r>
      <w:r w:rsidRPr="00665BCC">
        <w:rPr>
          <w:rFonts w:ascii="Verdana" w:hAnsi="Verdana"/>
          <w:sz w:val="16"/>
          <w:szCs w:val="16"/>
          <w:lang w:val="es-CR"/>
        </w:rPr>
        <w:t xml:space="preserve">: </w:t>
      </w:r>
      <w:hyperlink r:id="rId3" w:history="1">
        <w:r w:rsidRPr="00665BCC">
          <w:rPr>
            <w:rStyle w:val="Hipervnculo"/>
            <w:rFonts w:ascii="Verdana" w:hAnsi="Verdana"/>
            <w:sz w:val="16"/>
            <w:szCs w:val="16"/>
            <w:lang w:val="es-CR"/>
          </w:rPr>
          <w:t>http://www.minjus.gob.pe/sentencias-publicadas-corteidh/</w:t>
        </w:r>
      </w:hyperlink>
      <w:r w:rsidRPr="005F043B">
        <w:rPr>
          <w:rStyle w:val="Hipervnculo"/>
          <w:rFonts w:ascii="Verdana" w:hAnsi="Verdana"/>
          <w:color w:val="auto"/>
          <w:sz w:val="16"/>
          <w:szCs w:val="16"/>
          <w:u w:val="none"/>
          <w:lang w:val="es-CR"/>
        </w:rPr>
        <w:t>.</w:t>
      </w:r>
      <w:r w:rsidRPr="00665BCC">
        <w:rPr>
          <w:rFonts w:ascii="Verdana" w:hAnsi="Verdana"/>
          <w:sz w:val="16"/>
          <w:szCs w:val="16"/>
          <w:lang w:val="es-CR"/>
        </w:rPr>
        <w:t xml:space="preserve"> </w:t>
      </w:r>
      <w:r w:rsidRPr="00DD2219">
        <w:rPr>
          <w:rFonts w:ascii="Verdana" w:hAnsi="Verdana"/>
          <w:sz w:val="16"/>
          <w:szCs w:val="16"/>
          <w:lang w:val="es-CR"/>
        </w:rPr>
        <w:t xml:space="preserve">Asimismo, la última vez que </w:t>
      </w:r>
      <w:r>
        <w:rPr>
          <w:rFonts w:ascii="Verdana" w:hAnsi="Verdana"/>
          <w:sz w:val="16"/>
          <w:szCs w:val="16"/>
          <w:lang w:val="es-CR"/>
        </w:rPr>
        <w:t xml:space="preserve">la mencionada </w:t>
      </w:r>
      <w:r w:rsidRPr="00DD2219">
        <w:rPr>
          <w:rFonts w:ascii="Verdana" w:hAnsi="Verdana"/>
          <w:sz w:val="16"/>
          <w:szCs w:val="16"/>
          <w:lang w:val="es-CR"/>
        </w:rPr>
        <w:t>página fue visitada se pudo constatar que la Sentencia sigue disponible</w:t>
      </w:r>
      <w:r>
        <w:rPr>
          <w:rFonts w:ascii="Verdana" w:hAnsi="Verdana"/>
          <w:sz w:val="16"/>
          <w:szCs w:val="16"/>
          <w:lang w:val="es-CR"/>
        </w:rPr>
        <w:t xml:space="preserve"> en el referido enlace</w:t>
      </w:r>
      <w:r w:rsidRPr="00DD2219" w:rsidDel="00DD2219">
        <w:rPr>
          <w:rFonts w:ascii="Verdana" w:hAnsi="Verdana"/>
          <w:sz w:val="16"/>
          <w:szCs w:val="16"/>
          <w:lang w:val="es-CR"/>
        </w:rPr>
        <w:t xml:space="preserve"> </w:t>
      </w:r>
      <w:r w:rsidRPr="00665BCC">
        <w:rPr>
          <w:rFonts w:ascii="Verdana" w:hAnsi="Verdana"/>
          <w:sz w:val="16"/>
          <w:szCs w:val="16"/>
          <w:lang w:val="es-CR"/>
        </w:rPr>
        <w:t>(</w:t>
      </w:r>
      <w:r>
        <w:rPr>
          <w:rFonts w:ascii="Verdana" w:hAnsi="Verdana"/>
          <w:sz w:val="16"/>
          <w:szCs w:val="16"/>
          <w:lang w:val="es-CR"/>
        </w:rPr>
        <w:t xml:space="preserve">visitada por </w:t>
      </w:r>
      <w:r w:rsidRPr="00665BCC">
        <w:rPr>
          <w:rFonts w:ascii="Verdana" w:hAnsi="Verdana"/>
          <w:sz w:val="16"/>
          <w:szCs w:val="16"/>
          <w:lang w:val="es-CR"/>
        </w:rPr>
        <w:t xml:space="preserve">última </w:t>
      </w:r>
      <w:r>
        <w:rPr>
          <w:rFonts w:ascii="Verdana" w:hAnsi="Verdana"/>
          <w:sz w:val="16"/>
          <w:szCs w:val="16"/>
          <w:lang w:val="es-CR"/>
        </w:rPr>
        <w:t>vez</w:t>
      </w:r>
      <w:r w:rsidRPr="00665BCC">
        <w:rPr>
          <w:rFonts w:ascii="Verdana" w:hAnsi="Verdana"/>
          <w:sz w:val="16"/>
          <w:szCs w:val="16"/>
          <w:lang w:val="es-CR"/>
        </w:rPr>
        <w:t xml:space="preserve"> el </w:t>
      </w:r>
      <w:r w:rsidR="005F043B">
        <w:rPr>
          <w:rFonts w:ascii="Verdana" w:hAnsi="Verdana"/>
          <w:sz w:val="16"/>
          <w:szCs w:val="16"/>
          <w:lang w:val="es-CR"/>
        </w:rPr>
        <w:t>4 de marzo</w:t>
      </w:r>
      <w:r w:rsidRPr="00665BCC">
        <w:rPr>
          <w:rFonts w:ascii="Verdana" w:hAnsi="Verdana"/>
          <w:sz w:val="16"/>
          <w:szCs w:val="16"/>
          <w:lang w:val="es-CR"/>
        </w:rPr>
        <w:t xml:space="preserve"> de 2019). </w:t>
      </w:r>
      <w:r w:rsidRPr="00665BCC">
        <w:rPr>
          <w:rFonts w:ascii="Verdana" w:hAnsi="Verdana"/>
          <w:i/>
          <w:sz w:val="16"/>
          <w:szCs w:val="16"/>
          <w:lang w:val="es-CR"/>
        </w:rPr>
        <w:t>Cfr.</w:t>
      </w:r>
      <w:r w:rsidRPr="00665BCC">
        <w:rPr>
          <w:rFonts w:ascii="Verdana" w:hAnsi="Verdana"/>
          <w:sz w:val="16"/>
          <w:szCs w:val="16"/>
          <w:lang w:val="es-CR"/>
        </w:rPr>
        <w:t xml:space="preserve"> Informe estatal de 27 de noviembre de 2015. </w:t>
      </w:r>
    </w:p>
  </w:footnote>
  <w:footnote w:id="13">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Copia de</w:t>
      </w:r>
      <w:r w:rsidR="00FC6DA9">
        <w:rPr>
          <w:rFonts w:ascii="Verdana" w:hAnsi="Verdana"/>
          <w:sz w:val="16"/>
          <w:szCs w:val="16"/>
          <w:lang w:val="es-CR"/>
        </w:rPr>
        <w:t xml:space="preserve"> la publicación realizada en e</w:t>
      </w:r>
      <w:r w:rsidRPr="00665BCC">
        <w:rPr>
          <w:rFonts w:ascii="Verdana" w:hAnsi="Verdana"/>
          <w:sz w:val="16"/>
          <w:szCs w:val="16"/>
          <w:lang w:val="es-CR"/>
        </w:rPr>
        <w:t xml:space="preserve">l Diario Oficial </w:t>
      </w:r>
      <w:r w:rsidR="00FC6DA9">
        <w:rPr>
          <w:rFonts w:ascii="Verdana" w:hAnsi="Verdana"/>
          <w:sz w:val="16"/>
          <w:szCs w:val="16"/>
          <w:lang w:val="es-CR"/>
        </w:rPr>
        <w:t>“</w:t>
      </w:r>
      <w:r w:rsidRPr="00665BCC">
        <w:rPr>
          <w:rFonts w:ascii="Verdana" w:hAnsi="Verdana"/>
          <w:sz w:val="16"/>
          <w:szCs w:val="16"/>
          <w:lang w:val="es-CR"/>
        </w:rPr>
        <w:t>El Peruano</w:t>
      </w:r>
      <w:r w:rsidR="00FC6DA9">
        <w:rPr>
          <w:rFonts w:ascii="Verdana" w:hAnsi="Verdana"/>
          <w:sz w:val="16"/>
          <w:szCs w:val="16"/>
          <w:lang w:val="es-CR"/>
        </w:rPr>
        <w:t>”</w:t>
      </w:r>
      <w:r w:rsidRPr="00665BCC">
        <w:rPr>
          <w:rFonts w:ascii="Verdana" w:hAnsi="Verdana"/>
          <w:sz w:val="16"/>
          <w:szCs w:val="16"/>
          <w:lang w:val="es-CR"/>
        </w:rPr>
        <w:t xml:space="preserve"> de 29 de diciembre de 2016, pág. 9 (anexo al informe estatal de 20 de septiembre de 2017). </w:t>
      </w:r>
    </w:p>
  </w:footnote>
  <w:footnote w:id="14">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w:t>
      </w:r>
      <w:r w:rsidR="003D1811">
        <w:rPr>
          <w:rFonts w:ascii="Verdana" w:hAnsi="Verdana"/>
          <w:sz w:val="16"/>
          <w:szCs w:val="16"/>
          <w:lang w:val="es-CR"/>
        </w:rPr>
        <w:t>Original</w:t>
      </w:r>
      <w:r w:rsidR="003A091D">
        <w:rPr>
          <w:rFonts w:ascii="Verdana" w:hAnsi="Verdana"/>
          <w:sz w:val="16"/>
          <w:szCs w:val="16"/>
          <w:lang w:val="es-CR"/>
        </w:rPr>
        <w:t xml:space="preserve"> </w:t>
      </w:r>
      <w:r w:rsidR="003D1811">
        <w:rPr>
          <w:rFonts w:ascii="Verdana" w:hAnsi="Verdana"/>
          <w:sz w:val="16"/>
          <w:szCs w:val="16"/>
          <w:lang w:val="es-CR"/>
        </w:rPr>
        <w:t>d</w:t>
      </w:r>
      <w:r w:rsidR="003A091D">
        <w:rPr>
          <w:rFonts w:ascii="Verdana" w:hAnsi="Verdana"/>
          <w:sz w:val="16"/>
          <w:szCs w:val="16"/>
          <w:lang w:val="es-CR"/>
        </w:rPr>
        <w:t>el</w:t>
      </w:r>
      <w:r w:rsidRPr="00665BCC">
        <w:rPr>
          <w:rFonts w:ascii="Verdana" w:hAnsi="Verdana"/>
          <w:sz w:val="16"/>
          <w:szCs w:val="16"/>
          <w:lang w:val="es-CR"/>
        </w:rPr>
        <w:t xml:space="preserve"> </w:t>
      </w:r>
      <w:r w:rsidR="003A091D">
        <w:rPr>
          <w:rFonts w:ascii="Verdana" w:hAnsi="Verdana"/>
          <w:sz w:val="16"/>
          <w:szCs w:val="16"/>
          <w:lang w:val="es-CR"/>
        </w:rPr>
        <w:t>“</w:t>
      </w:r>
      <w:r w:rsidRPr="00665BCC">
        <w:rPr>
          <w:rFonts w:ascii="Verdana" w:hAnsi="Verdana"/>
          <w:sz w:val="16"/>
          <w:szCs w:val="16"/>
          <w:lang w:val="es-CR"/>
        </w:rPr>
        <w:t>Diario La República</w:t>
      </w:r>
      <w:r w:rsidR="003A091D">
        <w:rPr>
          <w:rFonts w:ascii="Verdana" w:hAnsi="Verdana"/>
          <w:sz w:val="16"/>
          <w:szCs w:val="16"/>
          <w:lang w:val="es-CR"/>
        </w:rPr>
        <w:t>”</w:t>
      </w:r>
      <w:r w:rsidRPr="00665BCC">
        <w:rPr>
          <w:rFonts w:ascii="Verdana" w:hAnsi="Verdana"/>
          <w:sz w:val="16"/>
          <w:szCs w:val="16"/>
          <w:lang w:val="es-CR"/>
        </w:rPr>
        <w:t xml:space="preserve"> de 18 de agosto de 2017</w:t>
      </w:r>
      <w:r w:rsidR="003179F4">
        <w:rPr>
          <w:rFonts w:ascii="Verdana" w:hAnsi="Verdana"/>
          <w:sz w:val="16"/>
          <w:szCs w:val="16"/>
          <w:lang w:val="es-CR"/>
        </w:rPr>
        <w:t xml:space="preserve"> que contiene la publicación del resumen oficial de la Sentencia</w:t>
      </w:r>
      <w:r w:rsidRPr="00665BCC">
        <w:rPr>
          <w:rFonts w:ascii="Verdana" w:hAnsi="Verdana"/>
          <w:sz w:val="16"/>
          <w:szCs w:val="16"/>
          <w:lang w:val="es-CR"/>
        </w:rPr>
        <w:t xml:space="preserve">, pág. 18 (anexo al informe estatal de 20 de septiembre de 2017). </w:t>
      </w:r>
    </w:p>
  </w:footnote>
  <w:footnote w:id="15">
    <w:p w:rsidR="00AB4767" w:rsidRPr="00665BCC" w:rsidRDefault="00AB4767"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r>
      <w:r w:rsidRPr="00665BCC">
        <w:rPr>
          <w:rFonts w:ascii="Verdana" w:hAnsi="Verdana"/>
          <w:i/>
          <w:sz w:val="16"/>
          <w:szCs w:val="16"/>
          <w:lang w:val="es-CR"/>
        </w:rPr>
        <w:t>Cfr.</w:t>
      </w:r>
      <w:r w:rsidRPr="00665BCC">
        <w:rPr>
          <w:rFonts w:ascii="Verdana" w:hAnsi="Verdana"/>
          <w:sz w:val="16"/>
          <w:szCs w:val="16"/>
          <w:lang w:val="es-CR"/>
        </w:rPr>
        <w:t xml:space="preserve"> </w:t>
      </w:r>
      <w:r>
        <w:rPr>
          <w:rFonts w:ascii="Verdana" w:hAnsi="Verdana"/>
          <w:sz w:val="16"/>
          <w:szCs w:val="16"/>
          <w:lang w:val="es-CR"/>
        </w:rPr>
        <w:t>Notas</w:t>
      </w:r>
      <w:r w:rsidRPr="00665BCC">
        <w:rPr>
          <w:rFonts w:ascii="Verdana" w:hAnsi="Verdana"/>
          <w:sz w:val="16"/>
          <w:szCs w:val="16"/>
          <w:lang w:val="es-CR"/>
        </w:rPr>
        <w:t xml:space="preserve"> </w:t>
      </w:r>
      <w:r>
        <w:rPr>
          <w:rFonts w:ascii="Verdana" w:hAnsi="Verdana"/>
          <w:sz w:val="16"/>
          <w:szCs w:val="16"/>
          <w:lang w:val="es-CR"/>
        </w:rPr>
        <w:t xml:space="preserve">de </w:t>
      </w:r>
      <w:r w:rsidRPr="00665BCC">
        <w:rPr>
          <w:rFonts w:ascii="Verdana" w:hAnsi="Verdana"/>
          <w:sz w:val="16"/>
          <w:szCs w:val="16"/>
          <w:lang w:val="es-CR"/>
        </w:rPr>
        <w:t>9 de febrero, 10 de mayo, 28 de octubre de 2016 y 24 de febrero de 2017</w:t>
      </w:r>
      <w:r>
        <w:rPr>
          <w:rFonts w:ascii="Verdana" w:hAnsi="Verdana"/>
          <w:sz w:val="16"/>
          <w:szCs w:val="16"/>
          <w:lang w:val="es-CR"/>
        </w:rPr>
        <w:t>, suscritas por</w:t>
      </w:r>
      <w:r w:rsidRPr="00665BCC">
        <w:rPr>
          <w:rFonts w:ascii="Verdana" w:hAnsi="Verdana"/>
          <w:sz w:val="16"/>
          <w:szCs w:val="16"/>
          <w:lang w:val="es-CR"/>
        </w:rPr>
        <w:t xml:space="preserve"> los representantes de las víctimas </w:t>
      </w:r>
      <w:r>
        <w:rPr>
          <w:rFonts w:ascii="Verdana" w:hAnsi="Verdana"/>
          <w:sz w:val="16"/>
          <w:szCs w:val="16"/>
          <w:lang w:val="es-CR"/>
        </w:rPr>
        <w:t xml:space="preserve">y </w:t>
      </w:r>
      <w:r w:rsidRPr="00665BCC">
        <w:rPr>
          <w:rFonts w:ascii="Verdana" w:hAnsi="Verdana"/>
          <w:sz w:val="16"/>
          <w:szCs w:val="16"/>
          <w:lang w:val="es-CR"/>
        </w:rPr>
        <w:t xml:space="preserve">dirigidas </w:t>
      </w:r>
      <w:r>
        <w:rPr>
          <w:rFonts w:ascii="Verdana" w:hAnsi="Verdana"/>
          <w:sz w:val="16"/>
          <w:szCs w:val="16"/>
          <w:lang w:val="es-CR"/>
        </w:rPr>
        <w:t>h</w:t>
      </w:r>
      <w:r w:rsidRPr="00665BCC">
        <w:rPr>
          <w:rFonts w:ascii="Verdana" w:hAnsi="Verdana"/>
          <w:sz w:val="16"/>
          <w:szCs w:val="16"/>
          <w:lang w:val="es-CR"/>
        </w:rPr>
        <w:t>a</w:t>
      </w:r>
      <w:r>
        <w:rPr>
          <w:rFonts w:ascii="Verdana" w:hAnsi="Verdana"/>
          <w:sz w:val="16"/>
          <w:szCs w:val="16"/>
          <w:lang w:val="es-CR"/>
        </w:rPr>
        <w:t>cia la persona titular del</w:t>
      </w:r>
      <w:r w:rsidRPr="00665BCC">
        <w:rPr>
          <w:rFonts w:ascii="Verdana" w:hAnsi="Verdana"/>
          <w:sz w:val="16"/>
          <w:szCs w:val="16"/>
          <w:lang w:val="es-CR"/>
        </w:rPr>
        <w:t xml:space="preserve"> Minist</w:t>
      </w:r>
      <w:r>
        <w:rPr>
          <w:rFonts w:ascii="Verdana" w:hAnsi="Verdana"/>
          <w:sz w:val="16"/>
          <w:szCs w:val="16"/>
          <w:lang w:val="es-CR"/>
        </w:rPr>
        <w:t>erio</w:t>
      </w:r>
      <w:r w:rsidRPr="00665BCC">
        <w:rPr>
          <w:rFonts w:ascii="Verdana" w:hAnsi="Verdana"/>
          <w:sz w:val="16"/>
          <w:szCs w:val="16"/>
          <w:lang w:val="es-CR"/>
        </w:rPr>
        <w:t xml:space="preserve"> de Justicia y Derechos Humanos de </w:t>
      </w:r>
      <w:r>
        <w:rPr>
          <w:rFonts w:ascii="Verdana" w:hAnsi="Verdana"/>
          <w:sz w:val="16"/>
          <w:szCs w:val="16"/>
          <w:lang w:val="es-CR"/>
        </w:rPr>
        <w:t xml:space="preserve">la República del Perú </w:t>
      </w:r>
      <w:r w:rsidRPr="00665BCC">
        <w:rPr>
          <w:rFonts w:ascii="Verdana" w:hAnsi="Verdana"/>
          <w:sz w:val="16"/>
          <w:szCs w:val="16"/>
          <w:lang w:val="es-CR"/>
        </w:rPr>
        <w:t xml:space="preserve">(anexos a los escritos de observaciones de los representantes de 12 de julio de 2017 y 22 de febrero de 2018). </w:t>
      </w:r>
    </w:p>
  </w:footnote>
  <w:footnote w:id="16">
    <w:p w:rsidR="00002BC3" w:rsidRPr="00665BCC" w:rsidRDefault="00002BC3" w:rsidP="00395F50">
      <w:pPr>
        <w:pStyle w:val="Textonotapie"/>
        <w:tabs>
          <w:tab w:val="left" w:pos="450"/>
        </w:tabs>
        <w:jc w:val="both"/>
        <w:rPr>
          <w:rFonts w:ascii="Verdana" w:hAnsi="Verdana"/>
          <w:sz w:val="16"/>
          <w:szCs w:val="16"/>
          <w:lang w:val="es-CR"/>
        </w:rPr>
      </w:pPr>
      <w:r w:rsidRPr="00665BCC">
        <w:rPr>
          <w:rStyle w:val="Refdenotaalpie"/>
          <w:rFonts w:ascii="Verdana" w:hAnsi="Verdana"/>
          <w:sz w:val="16"/>
          <w:szCs w:val="16"/>
        </w:rPr>
        <w:footnoteRef/>
      </w:r>
      <w:r w:rsidRPr="00665BCC">
        <w:rPr>
          <w:rFonts w:ascii="Verdana" w:hAnsi="Verdana"/>
          <w:sz w:val="16"/>
          <w:szCs w:val="16"/>
          <w:lang w:val="es-CR"/>
        </w:rPr>
        <w:t xml:space="preserve"> </w:t>
      </w:r>
      <w:r w:rsidRPr="00665BCC">
        <w:rPr>
          <w:rFonts w:ascii="Verdana" w:hAnsi="Verdana"/>
          <w:sz w:val="16"/>
          <w:szCs w:val="16"/>
          <w:lang w:val="es-CR"/>
        </w:rPr>
        <w:tab/>
        <w:t xml:space="preserve">El Estado ha </w:t>
      </w:r>
      <w:r w:rsidR="002452F1">
        <w:rPr>
          <w:rFonts w:ascii="Verdana" w:hAnsi="Verdana"/>
          <w:sz w:val="16"/>
          <w:szCs w:val="16"/>
          <w:lang w:val="es-CR"/>
        </w:rPr>
        <w:t>brindado</w:t>
      </w:r>
      <w:r w:rsidR="00780F53">
        <w:rPr>
          <w:rFonts w:ascii="Verdana" w:hAnsi="Verdana"/>
          <w:sz w:val="16"/>
          <w:szCs w:val="16"/>
          <w:lang w:val="es-CR"/>
        </w:rPr>
        <w:t xml:space="preserve"> dicha explicación</w:t>
      </w:r>
      <w:r w:rsidRPr="00665BCC">
        <w:rPr>
          <w:rFonts w:ascii="Verdana" w:hAnsi="Verdana"/>
          <w:sz w:val="16"/>
          <w:szCs w:val="16"/>
          <w:lang w:val="es-CR"/>
        </w:rPr>
        <w:t xml:space="preserve"> en todos los informes presentados ante la Corte</w:t>
      </w:r>
      <w:r w:rsidR="006430B5">
        <w:rPr>
          <w:rFonts w:ascii="Verdana" w:hAnsi="Verdana"/>
          <w:sz w:val="16"/>
          <w:szCs w:val="16"/>
          <w:lang w:val="es-CR"/>
        </w:rPr>
        <w:t xml:space="preserve"> </w:t>
      </w:r>
      <w:r w:rsidR="00D957AC">
        <w:rPr>
          <w:rFonts w:ascii="Verdana" w:hAnsi="Verdana"/>
          <w:sz w:val="16"/>
          <w:szCs w:val="16"/>
          <w:lang w:val="es-CR"/>
        </w:rPr>
        <w:t>dentro del</w:t>
      </w:r>
      <w:r w:rsidR="006430B5">
        <w:rPr>
          <w:rFonts w:ascii="Verdana" w:hAnsi="Verdana"/>
          <w:sz w:val="16"/>
          <w:szCs w:val="16"/>
          <w:lang w:val="es-CR"/>
        </w:rPr>
        <w:t xml:space="preserve"> presente </w:t>
      </w:r>
      <w:r w:rsidR="00D957AC">
        <w:rPr>
          <w:rFonts w:ascii="Verdana" w:hAnsi="Verdana"/>
          <w:sz w:val="16"/>
          <w:szCs w:val="16"/>
          <w:lang w:val="es-CR"/>
        </w:rPr>
        <w:t xml:space="preserve">proceso de </w:t>
      </w:r>
      <w:r w:rsidR="006430B5">
        <w:rPr>
          <w:rFonts w:ascii="Verdana" w:hAnsi="Verdana"/>
          <w:sz w:val="16"/>
          <w:szCs w:val="16"/>
          <w:lang w:val="es-CR"/>
        </w:rPr>
        <w:t>supervisión</w:t>
      </w:r>
      <w:r w:rsidRPr="00665BCC">
        <w:rPr>
          <w:rFonts w:ascii="Verdana" w:hAnsi="Verdana"/>
          <w:sz w:val="16"/>
          <w:szCs w:val="16"/>
          <w:lang w:val="es-CR"/>
        </w:rPr>
        <w:t xml:space="preserve">. </w:t>
      </w:r>
      <w:r w:rsidRPr="00665BCC">
        <w:rPr>
          <w:rFonts w:ascii="Verdana" w:hAnsi="Verdana"/>
          <w:i/>
          <w:sz w:val="16"/>
          <w:szCs w:val="16"/>
          <w:lang w:val="es-CR"/>
        </w:rPr>
        <w:t>Cfr.</w:t>
      </w:r>
      <w:r w:rsidRPr="00665BCC">
        <w:rPr>
          <w:rFonts w:ascii="Verdana" w:hAnsi="Verdana"/>
          <w:sz w:val="16"/>
          <w:szCs w:val="16"/>
          <w:lang w:val="es-CR"/>
        </w:rPr>
        <w:t xml:space="preserve"> Informes estatales de 27 de noviembre de 2015, 11 de mayo de 2016</w:t>
      </w:r>
      <w:r w:rsidR="002452F1">
        <w:rPr>
          <w:rFonts w:ascii="Verdana" w:hAnsi="Verdana"/>
          <w:sz w:val="16"/>
          <w:szCs w:val="16"/>
          <w:lang w:val="es-CR"/>
        </w:rPr>
        <w:t xml:space="preserve"> y 20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2B" w:rsidRDefault="000048F0" w:rsidP="000048F0">
    <w:pPr>
      <w:pStyle w:val="Encabezado"/>
      <w:ind w:left="720"/>
      <w:jc w:val="center"/>
    </w:pPr>
    <w:r>
      <w:t>-</w:t>
    </w:r>
    <w:sdt>
      <w:sdtPr>
        <w:id w:val="236065224"/>
        <w:docPartObj>
          <w:docPartGallery w:val="Page Numbers (Top of Page)"/>
          <w:docPartUnique/>
        </w:docPartObj>
      </w:sdtPr>
      <w:sdtEndPr>
        <w:rPr>
          <w:noProof/>
        </w:rPr>
      </w:sdtEndPr>
      <w:sdtContent>
        <w:r w:rsidR="005E0E2B">
          <w:fldChar w:fldCharType="begin"/>
        </w:r>
        <w:r w:rsidR="005E0E2B">
          <w:instrText xml:space="preserve"> PAGE   \* MERGEFORMAT </w:instrText>
        </w:r>
        <w:r w:rsidR="005E0E2B">
          <w:fldChar w:fldCharType="separate"/>
        </w:r>
        <w:r w:rsidR="00C01169">
          <w:rPr>
            <w:noProof/>
          </w:rPr>
          <w:t>4</w:t>
        </w:r>
        <w:r w:rsidR="005E0E2B">
          <w:rPr>
            <w:noProof/>
          </w:rPr>
          <w:fldChar w:fldCharType="end"/>
        </w:r>
        <w:r>
          <w:rPr>
            <w:noProof/>
          </w:rPr>
          <w:t>-</w:t>
        </w:r>
      </w:sdtContent>
    </w:sdt>
  </w:p>
  <w:p w:rsidR="0001112B" w:rsidRPr="0001112B" w:rsidRDefault="0001112B">
    <w:pPr>
      <w:pStyle w:val="Encabezado"/>
      <w:rPr>
        <w:sz w:val="17"/>
        <w:szCs w:val="17"/>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78C3"/>
    <w:multiLevelType w:val="hybridMultilevel"/>
    <w:tmpl w:val="71C2A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F1F02"/>
    <w:multiLevelType w:val="hybridMultilevel"/>
    <w:tmpl w:val="9A4E079A"/>
    <w:lvl w:ilvl="0" w:tplc="B10C97C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BBE0E90"/>
    <w:multiLevelType w:val="hybridMultilevel"/>
    <w:tmpl w:val="68A4D502"/>
    <w:lvl w:ilvl="0" w:tplc="838AAB9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D186DB4"/>
    <w:multiLevelType w:val="hybridMultilevel"/>
    <w:tmpl w:val="70E6B9EA"/>
    <w:lvl w:ilvl="0" w:tplc="8FDA3B6E">
      <w:start w:val="2"/>
      <w:numFmt w:val="bullet"/>
      <w:lvlText w:val="-"/>
      <w:lvlJc w:val="left"/>
      <w:pPr>
        <w:ind w:left="720" w:hanging="360"/>
      </w:pPr>
      <w:rPr>
        <w:rFonts w:ascii="Calibri" w:eastAsia="Calibri"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C3"/>
    <w:rsid w:val="00002BC3"/>
    <w:rsid w:val="000048F0"/>
    <w:rsid w:val="0001112B"/>
    <w:rsid w:val="00011668"/>
    <w:rsid w:val="000144BA"/>
    <w:rsid w:val="00036C6B"/>
    <w:rsid w:val="00165205"/>
    <w:rsid w:val="00175010"/>
    <w:rsid w:val="001D27AC"/>
    <w:rsid w:val="001F3452"/>
    <w:rsid w:val="002452F1"/>
    <w:rsid w:val="00272B60"/>
    <w:rsid w:val="002A42C0"/>
    <w:rsid w:val="002C1F03"/>
    <w:rsid w:val="002F4835"/>
    <w:rsid w:val="003179F4"/>
    <w:rsid w:val="0034542A"/>
    <w:rsid w:val="0039181A"/>
    <w:rsid w:val="00392468"/>
    <w:rsid w:val="00395F50"/>
    <w:rsid w:val="00397807"/>
    <w:rsid w:val="003A091D"/>
    <w:rsid w:val="003D1811"/>
    <w:rsid w:val="003D4C18"/>
    <w:rsid w:val="003D7BC3"/>
    <w:rsid w:val="003E64E9"/>
    <w:rsid w:val="00453AB9"/>
    <w:rsid w:val="004576AE"/>
    <w:rsid w:val="004624F8"/>
    <w:rsid w:val="00470D7C"/>
    <w:rsid w:val="00480E62"/>
    <w:rsid w:val="004A66D8"/>
    <w:rsid w:val="004A695F"/>
    <w:rsid w:val="004A6F07"/>
    <w:rsid w:val="005655B1"/>
    <w:rsid w:val="005A41BB"/>
    <w:rsid w:val="005A7846"/>
    <w:rsid w:val="005E04DC"/>
    <w:rsid w:val="005E0E2B"/>
    <w:rsid w:val="005E56A5"/>
    <w:rsid w:val="005F043B"/>
    <w:rsid w:val="006136B8"/>
    <w:rsid w:val="00640694"/>
    <w:rsid w:val="006430B5"/>
    <w:rsid w:val="00650B2E"/>
    <w:rsid w:val="006D226C"/>
    <w:rsid w:val="006E227D"/>
    <w:rsid w:val="00704BA6"/>
    <w:rsid w:val="007153F1"/>
    <w:rsid w:val="007464BE"/>
    <w:rsid w:val="00753621"/>
    <w:rsid w:val="0075475A"/>
    <w:rsid w:val="00773007"/>
    <w:rsid w:val="00780F53"/>
    <w:rsid w:val="00814658"/>
    <w:rsid w:val="008177BF"/>
    <w:rsid w:val="008459F8"/>
    <w:rsid w:val="0087477A"/>
    <w:rsid w:val="008928F8"/>
    <w:rsid w:val="008A73E4"/>
    <w:rsid w:val="008D09D2"/>
    <w:rsid w:val="008D16A3"/>
    <w:rsid w:val="008D27B9"/>
    <w:rsid w:val="008E0C68"/>
    <w:rsid w:val="0093640A"/>
    <w:rsid w:val="009735CC"/>
    <w:rsid w:val="00982784"/>
    <w:rsid w:val="009F0122"/>
    <w:rsid w:val="00A55C30"/>
    <w:rsid w:val="00AB4767"/>
    <w:rsid w:val="00B35A39"/>
    <w:rsid w:val="00B40C90"/>
    <w:rsid w:val="00B40F4A"/>
    <w:rsid w:val="00BB150C"/>
    <w:rsid w:val="00BD2EAA"/>
    <w:rsid w:val="00BE3C8E"/>
    <w:rsid w:val="00BE6031"/>
    <w:rsid w:val="00C00826"/>
    <w:rsid w:val="00C01169"/>
    <w:rsid w:val="00C97C90"/>
    <w:rsid w:val="00CC79E7"/>
    <w:rsid w:val="00CE4DE1"/>
    <w:rsid w:val="00D23521"/>
    <w:rsid w:val="00D47D06"/>
    <w:rsid w:val="00D957AC"/>
    <w:rsid w:val="00DC0D73"/>
    <w:rsid w:val="00DD2219"/>
    <w:rsid w:val="00DF141A"/>
    <w:rsid w:val="00E73E28"/>
    <w:rsid w:val="00EC712B"/>
    <w:rsid w:val="00F61578"/>
    <w:rsid w:val="00F87651"/>
    <w:rsid w:val="00F902AB"/>
    <w:rsid w:val="00FA4174"/>
    <w:rsid w:val="00FA75DA"/>
    <w:rsid w:val="00FC22D9"/>
    <w:rsid w:val="00FC6DA9"/>
    <w:rsid w:val="00FD15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E2593"/>
  <w15:docId w15:val="{A822FABE-D601-4D67-B4AD-95B25B64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C3"/>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002BC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002BC3"/>
    <w:rPr>
      <w:rFonts w:ascii="Calibri" w:eastAsia="Calibri" w:hAnsi="Calibri" w:cs="Times New Roman"/>
      <w:sz w:val="20"/>
      <w:szCs w:val="20"/>
      <w:lang w:val="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002BC3"/>
    <w:rPr>
      <w:vertAlign w:val="superscript"/>
    </w:rPr>
  </w:style>
  <w:style w:type="character" w:styleId="Hipervnculo">
    <w:name w:val="Hyperlink"/>
    <w:uiPriority w:val="99"/>
    <w:unhideWhenUsed/>
    <w:rsid w:val="00002BC3"/>
    <w:rPr>
      <w:color w:val="0000FF"/>
      <w:u w:val="single"/>
    </w:rPr>
  </w:style>
  <w:style w:type="paragraph" w:styleId="Prrafodelista">
    <w:name w:val="List Paragraph"/>
    <w:aliases w:val="Footnote,Párrafo de lista1,Colorful List - Accent 11"/>
    <w:basedOn w:val="Normal"/>
    <w:link w:val="PrrafodelistaCar"/>
    <w:uiPriority w:val="34"/>
    <w:qFormat/>
    <w:rsid w:val="00002BC3"/>
    <w:pPr>
      <w:ind w:left="720"/>
      <w:contextualSpacing/>
    </w:pPr>
  </w:style>
  <w:style w:type="character" w:customStyle="1" w:styleId="PrrafodelistaCar">
    <w:name w:val="Párrafo de lista Car"/>
    <w:aliases w:val="Footnote Car,Párrafo de lista1 Car,Colorful List - Accent 11 Car"/>
    <w:link w:val="Prrafodelista"/>
    <w:uiPriority w:val="34"/>
    <w:locked/>
    <w:rsid w:val="00002BC3"/>
    <w:rPr>
      <w:rFonts w:ascii="Calibri" w:eastAsia="Calibri" w:hAnsi="Calibri" w:cs="Times New Roman"/>
      <w:lang w:val="en-US"/>
    </w:rPr>
  </w:style>
  <w:style w:type="character" w:styleId="Textoennegrita">
    <w:name w:val="Strong"/>
    <w:uiPriority w:val="22"/>
    <w:qFormat/>
    <w:rsid w:val="00002BC3"/>
    <w:rPr>
      <w:b/>
      <w:bCs/>
    </w:rPr>
  </w:style>
  <w:style w:type="paragraph" w:styleId="TDC1">
    <w:name w:val="toc 1"/>
    <w:basedOn w:val="Normal"/>
    <w:next w:val="Normal"/>
    <w:autoRedefine/>
    <w:uiPriority w:val="39"/>
    <w:unhideWhenUsed/>
    <w:qFormat/>
    <w:rsid w:val="00002BC3"/>
    <w:pPr>
      <w:tabs>
        <w:tab w:val="left" w:pos="709"/>
        <w:tab w:val="left" w:pos="8505"/>
      </w:tabs>
      <w:spacing w:after="100"/>
      <w:ind w:left="284" w:right="996"/>
      <w:jc w:val="both"/>
    </w:pPr>
  </w:style>
  <w:style w:type="paragraph" w:styleId="Textoindependiente">
    <w:name w:val="Body Text"/>
    <w:basedOn w:val="Normal"/>
    <w:link w:val="TextoindependienteCar"/>
    <w:uiPriority w:val="99"/>
    <w:unhideWhenUsed/>
    <w:rsid w:val="00002BC3"/>
    <w:pPr>
      <w:spacing w:after="120"/>
    </w:pPr>
  </w:style>
  <w:style w:type="character" w:customStyle="1" w:styleId="TextoindependienteCar">
    <w:name w:val="Texto independiente Car"/>
    <w:basedOn w:val="Fuentedeprrafopredeter"/>
    <w:link w:val="Textoindependiente"/>
    <w:uiPriority w:val="99"/>
    <w:rsid w:val="00002BC3"/>
    <w:rPr>
      <w:rFonts w:ascii="Calibri" w:eastAsia="Calibri" w:hAnsi="Calibri" w:cs="Times New Roman"/>
      <w:lang w:val="en-US"/>
    </w:rPr>
  </w:style>
  <w:style w:type="paragraph" w:styleId="Encabezado">
    <w:name w:val="header"/>
    <w:basedOn w:val="Normal"/>
    <w:link w:val="EncabezadoCar"/>
    <w:uiPriority w:val="99"/>
    <w:unhideWhenUsed/>
    <w:rsid w:val="00011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12B"/>
    <w:rPr>
      <w:rFonts w:ascii="Calibri" w:eastAsia="Calibri" w:hAnsi="Calibri" w:cs="Times New Roman"/>
      <w:lang w:val="en-US"/>
    </w:rPr>
  </w:style>
  <w:style w:type="paragraph" w:styleId="Piedepgina">
    <w:name w:val="footer"/>
    <w:basedOn w:val="Normal"/>
    <w:link w:val="PiedepginaCar"/>
    <w:uiPriority w:val="99"/>
    <w:unhideWhenUsed/>
    <w:rsid w:val="00011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12B"/>
    <w:rPr>
      <w:rFonts w:ascii="Calibri" w:eastAsia="Calibri" w:hAnsi="Calibri" w:cs="Times New Roman"/>
      <w:lang w:val="en-US"/>
    </w:rPr>
  </w:style>
  <w:style w:type="character" w:styleId="Refdecomentario">
    <w:name w:val="annotation reference"/>
    <w:basedOn w:val="Fuentedeprrafopredeter"/>
    <w:uiPriority w:val="99"/>
    <w:semiHidden/>
    <w:unhideWhenUsed/>
    <w:rsid w:val="0039181A"/>
    <w:rPr>
      <w:sz w:val="16"/>
      <w:szCs w:val="16"/>
    </w:rPr>
  </w:style>
  <w:style w:type="paragraph" w:styleId="Textocomentario">
    <w:name w:val="annotation text"/>
    <w:basedOn w:val="Normal"/>
    <w:link w:val="TextocomentarioCar"/>
    <w:uiPriority w:val="99"/>
    <w:semiHidden/>
    <w:unhideWhenUsed/>
    <w:rsid w:val="003918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181A"/>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9181A"/>
    <w:rPr>
      <w:b/>
      <w:bCs/>
    </w:rPr>
  </w:style>
  <w:style w:type="character" w:customStyle="1" w:styleId="AsuntodelcomentarioCar">
    <w:name w:val="Asunto del comentario Car"/>
    <w:basedOn w:val="TextocomentarioCar"/>
    <w:link w:val="Asuntodelcomentario"/>
    <w:uiPriority w:val="99"/>
    <w:semiHidden/>
    <w:rsid w:val="0039181A"/>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391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81A"/>
    <w:rPr>
      <w:rFonts w:ascii="Tahoma" w:eastAsia="Calibri" w:hAnsi="Tahoma" w:cs="Tahoma"/>
      <w:sz w:val="16"/>
      <w:szCs w:val="16"/>
      <w:lang w:val="en-US"/>
    </w:rPr>
  </w:style>
  <w:style w:type="character" w:styleId="Nmerodelnea">
    <w:name w:val="line number"/>
    <w:basedOn w:val="Fuentedeprrafopredeter"/>
    <w:uiPriority w:val="99"/>
    <w:semiHidden/>
    <w:unhideWhenUsed/>
    <w:rsid w:val="0075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jus.gob.pe/sentencias-publicadas-corteidh/" TargetMode="External"/><Relationship Id="rId2" Type="http://schemas.openxmlformats.org/officeDocument/2006/relationships/hyperlink" Target="http://www.corteidh.or.cr/docs/asuntos/osorivperu_fv_17.pdf" TargetMode="External"/><Relationship Id="rId1" Type="http://schemas.openxmlformats.org/officeDocument/2006/relationships/hyperlink" Target="http://www.corteidh.or.cr/docs/casos/articulos/seriec_286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7819</Characters>
  <Application>Microsoft Office Word</Application>
  <DocSecurity>4</DocSecurity>
  <Lines>159</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Magda Ramirez</cp:lastModifiedBy>
  <cp:revision>2</cp:revision>
  <dcterms:created xsi:type="dcterms:W3CDTF">2019-05-03T21:15:00Z</dcterms:created>
  <dcterms:modified xsi:type="dcterms:W3CDTF">2019-05-03T21:15:00Z</dcterms:modified>
</cp:coreProperties>
</file>