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C470" w14:textId="77777777" w:rsidR="00FE0980" w:rsidRDefault="00FE0980" w:rsidP="00CA38EE">
      <w:pPr>
        <w:spacing w:after="0" w:line="240" w:lineRule="auto"/>
        <w:jc w:val="both"/>
        <w:rPr>
          <w:rFonts w:ascii="Verdana" w:hAnsi="Verdana"/>
          <w:b/>
          <w:sz w:val="20"/>
          <w:szCs w:val="20"/>
        </w:rPr>
      </w:pPr>
      <w:bookmarkStart w:id="0" w:name="_GoBack"/>
      <w:bookmarkEnd w:id="0"/>
    </w:p>
    <w:p w14:paraId="069D19A7" w14:textId="77777777" w:rsidR="006563D4" w:rsidRDefault="006563D4" w:rsidP="00CA38EE">
      <w:pPr>
        <w:spacing w:after="0" w:line="240" w:lineRule="auto"/>
        <w:jc w:val="both"/>
        <w:rPr>
          <w:rFonts w:ascii="Verdana" w:hAnsi="Verdana"/>
          <w:b/>
          <w:sz w:val="20"/>
          <w:szCs w:val="20"/>
        </w:rPr>
      </w:pPr>
    </w:p>
    <w:p w14:paraId="53EDC002" w14:textId="77777777" w:rsidR="006563D4" w:rsidRDefault="006563D4" w:rsidP="00CA38EE">
      <w:pPr>
        <w:spacing w:after="0" w:line="240" w:lineRule="auto"/>
        <w:jc w:val="both"/>
        <w:rPr>
          <w:rFonts w:ascii="Verdana" w:hAnsi="Verdana"/>
          <w:b/>
          <w:sz w:val="20"/>
          <w:szCs w:val="20"/>
        </w:rPr>
      </w:pPr>
    </w:p>
    <w:p w14:paraId="62EBEA3C" w14:textId="77777777" w:rsidR="006563D4" w:rsidRDefault="006563D4" w:rsidP="00CA38EE">
      <w:pPr>
        <w:spacing w:after="0" w:line="240" w:lineRule="auto"/>
        <w:jc w:val="both"/>
        <w:rPr>
          <w:rFonts w:ascii="Verdana" w:hAnsi="Verdana"/>
          <w:b/>
          <w:sz w:val="20"/>
          <w:szCs w:val="20"/>
        </w:rPr>
      </w:pPr>
    </w:p>
    <w:p w14:paraId="0F85F404" w14:textId="77777777" w:rsidR="006563D4" w:rsidRDefault="006563D4" w:rsidP="00CA38EE">
      <w:pPr>
        <w:spacing w:after="0" w:line="240" w:lineRule="auto"/>
        <w:jc w:val="both"/>
        <w:rPr>
          <w:rFonts w:ascii="Verdana" w:hAnsi="Verdana"/>
          <w:b/>
          <w:sz w:val="20"/>
          <w:szCs w:val="20"/>
        </w:rPr>
      </w:pPr>
    </w:p>
    <w:p w14:paraId="20EEE65E" w14:textId="77777777" w:rsidR="006563D4" w:rsidRDefault="006563D4" w:rsidP="00CA38EE">
      <w:pPr>
        <w:spacing w:after="0" w:line="240" w:lineRule="auto"/>
        <w:jc w:val="both"/>
        <w:rPr>
          <w:rFonts w:ascii="Verdana" w:hAnsi="Verdana"/>
          <w:b/>
          <w:sz w:val="20"/>
          <w:szCs w:val="20"/>
        </w:rPr>
      </w:pPr>
    </w:p>
    <w:p w14:paraId="08085E5F" w14:textId="77777777" w:rsidR="006563D4" w:rsidRPr="00CA38EE" w:rsidRDefault="006563D4" w:rsidP="00CA38EE">
      <w:pPr>
        <w:spacing w:after="0" w:line="240" w:lineRule="auto"/>
        <w:jc w:val="both"/>
        <w:rPr>
          <w:rFonts w:ascii="Verdana" w:hAnsi="Verdana"/>
          <w:b/>
          <w:sz w:val="20"/>
          <w:szCs w:val="20"/>
        </w:rPr>
      </w:pPr>
    </w:p>
    <w:p w14:paraId="44CABFAC" w14:textId="77777777" w:rsidR="00F56ACD" w:rsidRPr="00B721BB" w:rsidRDefault="00745AE4" w:rsidP="00CA38EE">
      <w:pPr>
        <w:spacing w:after="60" w:line="240" w:lineRule="auto"/>
        <w:jc w:val="center"/>
        <w:rPr>
          <w:rFonts w:ascii="Verdana" w:hAnsi="Verdana"/>
          <w:b/>
          <w:sz w:val="20"/>
          <w:szCs w:val="20"/>
        </w:rPr>
      </w:pPr>
      <w:r w:rsidRPr="00B721BB">
        <w:rPr>
          <w:rFonts w:ascii="Verdana" w:hAnsi="Verdana"/>
          <w:b/>
          <w:sz w:val="20"/>
          <w:szCs w:val="20"/>
        </w:rPr>
        <w:t>RESOLUCIÓN DE LA</w:t>
      </w:r>
    </w:p>
    <w:p w14:paraId="31281229" w14:textId="79F3B0F3" w:rsidR="00FF7EEA" w:rsidRPr="00B721BB" w:rsidRDefault="00745AE4" w:rsidP="00CA38EE">
      <w:pPr>
        <w:spacing w:after="60" w:line="240" w:lineRule="auto"/>
        <w:jc w:val="center"/>
        <w:rPr>
          <w:rFonts w:ascii="Verdana" w:hAnsi="Verdana"/>
          <w:b/>
          <w:smallCaps/>
          <w:sz w:val="20"/>
          <w:szCs w:val="20"/>
        </w:rPr>
      </w:pPr>
      <w:r w:rsidRPr="00B721BB">
        <w:rPr>
          <w:rFonts w:ascii="Verdana" w:hAnsi="Verdana"/>
          <w:b/>
          <w:sz w:val="20"/>
          <w:szCs w:val="20"/>
        </w:rPr>
        <w:t>CORTE INTERAMERICANA DE DERECHOS HUMANOS</w:t>
      </w:r>
      <w:r w:rsidR="00E32805" w:rsidRPr="00B721BB">
        <w:rPr>
          <w:rStyle w:val="Refdenotaalpie"/>
          <w:rFonts w:ascii="Verdana" w:hAnsi="Verdana"/>
          <w:b/>
          <w:smallCaps/>
          <w:sz w:val="20"/>
          <w:lang w:val="es-CO"/>
        </w:rPr>
        <w:footnoteReference w:customMarkFollows="1" w:id="2"/>
        <w:sym w:font="Symbol" w:char="F02A"/>
      </w:r>
    </w:p>
    <w:p w14:paraId="694D7F37" w14:textId="77777777" w:rsidR="00AD4184" w:rsidRPr="00B721BB" w:rsidRDefault="00AD4184" w:rsidP="00CA38EE">
      <w:pPr>
        <w:spacing w:after="0" w:line="240" w:lineRule="auto"/>
        <w:jc w:val="center"/>
        <w:rPr>
          <w:rFonts w:ascii="Verdana" w:hAnsi="Verdana"/>
          <w:b/>
          <w:sz w:val="20"/>
          <w:szCs w:val="20"/>
        </w:rPr>
      </w:pPr>
    </w:p>
    <w:p w14:paraId="5D165664" w14:textId="382B8E02" w:rsidR="00745AE4" w:rsidRPr="00B721BB" w:rsidRDefault="00E32805" w:rsidP="00CA38EE">
      <w:pPr>
        <w:spacing w:after="0" w:line="240" w:lineRule="auto"/>
        <w:jc w:val="center"/>
        <w:rPr>
          <w:rFonts w:ascii="Verdana" w:hAnsi="Verdana"/>
          <w:b/>
          <w:sz w:val="20"/>
          <w:szCs w:val="20"/>
        </w:rPr>
      </w:pPr>
      <w:r w:rsidRPr="00B721BB">
        <w:rPr>
          <w:rFonts w:ascii="Verdana" w:hAnsi="Verdana"/>
          <w:b/>
          <w:sz w:val="20"/>
          <w:szCs w:val="20"/>
        </w:rPr>
        <w:t>22</w:t>
      </w:r>
      <w:r w:rsidR="00966E88" w:rsidRPr="00B721BB">
        <w:rPr>
          <w:rFonts w:ascii="Verdana" w:hAnsi="Verdana"/>
          <w:b/>
          <w:sz w:val="20"/>
          <w:szCs w:val="20"/>
        </w:rPr>
        <w:t xml:space="preserve"> DE </w:t>
      </w:r>
      <w:r w:rsidR="00FC4FD8" w:rsidRPr="00B721BB">
        <w:rPr>
          <w:rFonts w:ascii="Verdana" w:hAnsi="Verdana"/>
          <w:b/>
          <w:sz w:val="20"/>
          <w:szCs w:val="20"/>
        </w:rPr>
        <w:t>NOVIEMBRE</w:t>
      </w:r>
      <w:r w:rsidR="00EC3F07" w:rsidRPr="00B721BB">
        <w:rPr>
          <w:rFonts w:ascii="Verdana" w:hAnsi="Verdana"/>
          <w:b/>
          <w:sz w:val="20"/>
          <w:szCs w:val="20"/>
        </w:rPr>
        <w:t xml:space="preserve"> </w:t>
      </w:r>
      <w:r w:rsidR="00D21DDC" w:rsidRPr="00B721BB">
        <w:rPr>
          <w:rFonts w:ascii="Verdana" w:hAnsi="Verdana"/>
          <w:b/>
          <w:sz w:val="20"/>
          <w:szCs w:val="20"/>
        </w:rPr>
        <w:t>DE 2019</w:t>
      </w:r>
    </w:p>
    <w:p w14:paraId="3CFD2C5F" w14:textId="77777777" w:rsidR="00AD4184" w:rsidRPr="00B721BB" w:rsidRDefault="00AD4184" w:rsidP="00CA38EE">
      <w:pPr>
        <w:spacing w:after="0" w:line="240" w:lineRule="auto"/>
        <w:jc w:val="center"/>
        <w:rPr>
          <w:rFonts w:ascii="Verdana" w:hAnsi="Verdana"/>
          <w:b/>
          <w:sz w:val="20"/>
          <w:szCs w:val="20"/>
        </w:rPr>
      </w:pPr>
    </w:p>
    <w:p w14:paraId="579BFD85" w14:textId="77777777" w:rsidR="00745AE4" w:rsidRPr="00B721BB" w:rsidRDefault="00CD0330" w:rsidP="00CA38EE">
      <w:pPr>
        <w:spacing w:after="0" w:line="240" w:lineRule="auto"/>
        <w:jc w:val="center"/>
        <w:rPr>
          <w:rFonts w:ascii="Verdana" w:hAnsi="Verdana"/>
          <w:b/>
          <w:i/>
          <w:sz w:val="20"/>
          <w:szCs w:val="20"/>
        </w:rPr>
      </w:pPr>
      <w:r w:rsidRPr="00B721BB">
        <w:rPr>
          <w:rFonts w:ascii="Verdana" w:hAnsi="Verdana"/>
          <w:b/>
          <w:i/>
          <w:sz w:val="20"/>
          <w:szCs w:val="20"/>
        </w:rPr>
        <w:t>CASO</w:t>
      </w:r>
      <w:r w:rsidRPr="00B721BB">
        <w:rPr>
          <w:rFonts w:ascii="Verdana" w:hAnsi="Verdana"/>
          <w:bCs/>
          <w:i/>
          <w:sz w:val="20"/>
          <w:szCs w:val="20"/>
        </w:rPr>
        <w:t xml:space="preserve"> </w:t>
      </w:r>
      <w:r w:rsidR="00D21DDC" w:rsidRPr="00B721BB">
        <w:rPr>
          <w:rFonts w:ascii="Verdana" w:hAnsi="Verdana"/>
          <w:b/>
          <w:i/>
          <w:sz w:val="20"/>
          <w:szCs w:val="20"/>
        </w:rPr>
        <w:t>TRABAJADORES DE LA HACIENDA BRASIL VERDE</w:t>
      </w:r>
      <w:r w:rsidR="00576F96" w:rsidRPr="00B721BB">
        <w:rPr>
          <w:rFonts w:ascii="Verdana" w:hAnsi="Verdana"/>
          <w:b/>
          <w:i/>
          <w:sz w:val="20"/>
          <w:szCs w:val="20"/>
        </w:rPr>
        <w:t xml:space="preserve"> </w:t>
      </w:r>
      <w:r w:rsidR="009D41F1" w:rsidRPr="00B721BB">
        <w:rPr>
          <w:rFonts w:ascii="Verdana" w:hAnsi="Verdana"/>
          <w:b/>
          <w:i/>
          <w:sz w:val="20"/>
          <w:szCs w:val="20"/>
        </w:rPr>
        <w:t>V</w:t>
      </w:r>
      <w:r w:rsidR="00966E88" w:rsidRPr="00B721BB">
        <w:rPr>
          <w:rFonts w:ascii="Verdana" w:hAnsi="Verdana"/>
          <w:b/>
          <w:i/>
          <w:sz w:val="20"/>
          <w:szCs w:val="20"/>
        </w:rPr>
        <w:t>S</w:t>
      </w:r>
      <w:r w:rsidR="009D41F1" w:rsidRPr="00B721BB">
        <w:rPr>
          <w:rFonts w:ascii="Verdana" w:hAnsi="Verdana"/>
          <w:b/>
          <w:i/>
          <w:sz w:val="20"/>
          <w:szCs w:val="20"/>
        </w:rPr>
        <w:t>.</w:t>
      </w:r>
      <w:r w:rsidR="00D21DDC" w:rsidRPr="00B721BB">
        <w:rPr>
          <w:rFonts w:ascii="Verdana" w:hAnsi="Verdana"/>
          <w:b/>
          <w:i/>
          <w:sz w:val="20"/>
          <w:szCs w:val="20"/>
        </w:rPr>
        <w:t xml:space="preserve"> BR</w:t>
      </w:r>
      <w:r w:rsidR="00576F96" w:rsidRPr="00B721BB">
        <w:rPr>
          <w:rFonts w:ascii="Verdana" w:hAnsi="Verdana"/>
          <w:b/>
          <w:i/>
          <w:sz w:val="20"/>
          <w:szCs w:val="20"/>
        </w:rPr>
        <w:t>A</w:t>
      </w:r>
      <w:r w:rsidR="00D21DDC" w:rsidRPr="00B721BB">
        <w:rPr>
          <w:rFonts w:ascii="Verdana" w:hAnsi="Verdana"/>
          <w:b/>
          <w:i/>
          <w:sz w:val="20"/>
          <w:szCs w:val="20"/>
        </w:rPr>
        <w:t>SIL</w:t>
      </w:r>
    </w:p>
    <w:p w14:paraId="1659BC53" w14:textId="77777777" w:rsidR="00AD4184" w:rsidRPr="00B721BB" w:rsidRDefault="00AD4184" w:rsidP="00CA38EE">
      <w:pPr>
        <w:spacing w:after="0" w:line="240" w:lineRule="auto"/>
        <w:jc w:val="center"/>
        <w:rPr>
          <w:rFonts w:ascii="Verdana" w:hAnsi="Verdana"/>
          <w:b/>
          <w:i/>
          <w:sz w:val="20"/>
          <w:szCs w:val="20"/>
        </w:rPr>
      </w:pPr>
    </w:p>
    <w:p w14:paraId="0B9A69F0" w14:textId="77777777" w:rsidR="00745AE4" w:rsidRPr="00B721BB" w:rsidRDefault="00745AE4" w:rsidP="00CA38EE">
      <w:pPr>
        <w:spacing w:after="0" w:line="240" w:lineRule="auto"/>
        <w:jc w:val="center"/>
        <w:rPr>
          <w:rFonts w:ascii="Verdana" w:hAnsi="Verdana"/>
          <w:b/>
          <w:sz w:val="20"/>
          <w:szCs w:val="20"/>
        </w:rPr>
      </w:pPr>
      <w:r w:rsidRPr="00B721BB">
        <w:rPr>
          <w:rFonts w:ascii="Verdana" w:hAnsi="Verdana"/>
          <w:b/>
          <w:sz w:val="20"/>
          <w:szCs w:val="20"/>
        </w:rPr>
        <w:t>SUPERVISIÓN DE CUMPLIMIENTO DE SENTENCIA</w:t>
      </w:r>
    </w:p>
    <w:p w14:paraId="3DDECEFD" w14:textId="77777777" w:rsidR="00AD4184" w:rsidRPr="00B721BB" w:rsidRDefault="00AD4184" w:rsidP="00DD5E82">
      <w:pPr>
        <w:spacing w:after="0" w:line="240" w:lineRule="auto"/>
        <w:jc w:val="both"/>
        <w:rPr>
          <w:rFonts w:ascii="Verdana" w:hAnsi="Verdana"/>
          <w:b/>
          <w:sz w:val="20"/>
          <w:szCs w:val="20"/>
        </w:rPr>
      </w:pPr>
    </w:p>
    <w:p w14:paraId="27B79F98" w14:textId="77777777" w:rsidR="00CD4DDE" w:rsidRPr="00B721BB" w:rsidRDefault="005A1B3D" w:rsidP="00DD5E82">
      <w:pPr>
        <w:spacing w:after="0" w:line="240" w:lineRule="auto"/>
        <w:jc w:val="both"/>
        <w:rPr>
          <w:rFonts w:ascii="Verdana" w:hAnsi="Verdana"/>
          <w:b/>
          <w:sz w:val="20"/>
          <w:szCs w:val="20"/>
        </w:rPr>
      </w:pPr>
      <w:r w:rsidRPr="00B721BB">
        <w:rPr>
          <w:rFonts w:ascii="Verdana" w:hAnsi="Verdana"/>
          <w:b/>
          <w:sz w:val="20"/>
          <w:szCs w:val="20"/>
        </w:rPr>
        <w:t>VISTO:</w:t>
      </w:r>
      <w:r w:rsidR="006D19D6" w:rsidRPr="00B721BB">
        <w:rPr>
          <w:rFonts w:ascii="Verdana" w:hAnsi="Verdana"/>
          <w:b/>
          <w:sz w:val="20"/>
          <w:szCs w:val="20"/>
        </w:rPr>
        <w:t xml:space="preserve"> </w:t>
      </w:r>
    </w:p>
    <w:p w14:paraId="44191B28" w14:textId="77777777" w:rsidR="006563D4" w:rsidRPr="00B721BB" w:rsidRDefault="006563D4" w:rsidP="00DD5E82">
      <w:pPr>
        <w:spacing w:after="0" w:line="240" w:lineRule="auto"/>
        <w:jc w:val="both"/>
        <w:rPr>
          <w:rFonts w:ascii="Verdana" w:hAnsi="Verdana"/>
          <w:b/>
          <w:sz w:val="20"/>
          <w:szCs w:val="20"/>
        </w:rPr>
      </w:pPr>
    </w:p>
    <w:p w14:paraId="4A726256" w14:textId="1C016956" w:rsidR="001A4841" w:rsidRPr="00B721BB" w:rsidRDefault="005A1B3D" w:rsidP="00A03C1E">
      <w:pPr>
        <w:numPr>
          <w:ilvl w:val="0"/>
          <w:numId w:val="2"/>
        </w:numPr>
        <w:spacing w:before="120" w:after="120" w:line="240" w:lineRule="auto"/>
        <w:ind w:left="0" w:firstLine="0"/>
        <w:jc w:val="both"/>
        <w:rPr>
          <w:rFonts w:ascii="Verdana" w:hAnsi="Verdana"/>
          <w:sz w:val="20"/>
          <w:szCs w:val="20"/>
        </w:rPr>
      </w:pPr>
      <w:r w:rsidRPr="00B721BB">
        <w:rPr>
          <w:rFonts w:ascii="Verdana" w:hAnsi="Verdana"/>
          <w:sz w:val="20"/>
          <w:szCs w:val="20"/>
        </w:rPr>
        <w:t xml:space="preserve">La Sentencia </w:t>
      </w:r>
      <w:r w:rsidR="00426973" w:rsidRPr="00B721BB">
        <w:rPr>
          <w:rFonts w:ascii="Verdana" w:hAnsi="Verdana"/>
          <w:sz w:val="20"/>
          <w:szCs w:val="20"/>
        </w:rPr>
        <w:t xml:space="preserve">de </w:t>
      </w:r>
      <w:r w:rsidR="00D21DDC" w:rsidRPr="00B721BB">
        <w:rPr>
          <w:rFonts w:ascii="Verdana" w:hAnsi="Verdana"/>
          <w:sz w:val="20"/>
          <w:szCs w:val="20"/>
        </w:rPr>
        <w:t xml:space="preserve">excepciones preliminares, </w:t>
      </w:r>
      <w:r w:rsidR="00334EF7" w:rsidRPr="00B721BB">
        <w:rPr>
          <w:rFonts w:ascii="Verdana" w:hAnsi="Verdana"/>
          <w:sz w:val="20"/>
          <w:szCs w:val="20"/>
        </w:rPr>
        <w:t>fondo, reparaciones y costas</w:t>
      </w:r>
      <w:r w:rsidRPr="00B721BB">
        <w:rPr>
          <w:rFonts w:ascii="Verdana" w:hAnsi="Verdana"/>
          <w:sz w:val="20"/>
          <w:szCs w:val="20"/>
        </w:rPr>
        <w:t xml:space="preserve"> (en adelante “la Sentencia”) </w:t>
      </w:r>
      <w:r w:rsidR="00AD277C" w:rsidRPr="00B721BB">
        <w:rPr>
          <w:rFonts w:ascii="Verdana" w:hAnsi="Verdana"/>
          <w:sz w:val="20"/>
          <w:szCs w:val="20"/>
        </w:rPr>
        <w:t xml:space="preserve">dictada </w:t>
      </w:r>
      <w:r w:rsidRPr="00B721BB">
        <w:rPr>
          <w:rFonts w:ascii="Verdana" w:hAnsi="Verdana"/>
          <w:sz w:val="20"/>
          <w:szCs w:val="20"/>
        </w:rPr>
        <w:t>por la Corte Interamericana de Derechos Humanos (en adelante “la Corte Interamerican</w:t>
      </w:r>
      <w:r w:rsidR="00AD277C" w:rsidRPr="00B721BB">
        <w:rPr>
          <w:rFonts w:ascii="Verdana" w:hAnsi="Verdana"/>
          <w:sz w:val="20"/>
          <w:szCs w:val="20"/>
        </w:rPr>
        <w:t xml:space="preserve">a”, “la Corte” o “el Tribunal”) el </w:t>
      </w:r>
      <w:r w:rsidR="00D21DDC" w:rsidRPr="00B721BB">
        <w:rPr>
          <w:rFonts w:ascii="Verdana" w:hAnsi="Verdana"/>
          <w:sz w:val="20"/>
          <w:szCs w:val="20"/>
        </w:rPr>
        <w:t>20</w:t>
      </w:r>
      <w:r w:rsidR="00334EF7" w:rsidRPr="00B721BB">
        <w:rPr>
          <w:rFonts w:ascii="Verdana" w:hAnsi="Verdana"/>
          <w:sz w:val="20"/>
          <w:szCs w:val="20"/>
        </w:rPr>
        <w:t xml:space="preserve"> </w:t>
      </w:r>
      <w:r w:rsidR="00AD277C" w:rsidRPr="00B721BB">
        <w:rPr>
          <w:rFonts w:ascii="Verdana" w:hAnsi="Verdana"/>
          <w:sz w:val="20"/>
          <w:szCs w:val="20"/>
        </w:rPr>
        <w:t>d</w:t>
      </w:r>
      <w:r w:rsidR="00334EF7" w:rsidRPr="00B721BB">
        <w:rPr>
          <w:rFonts w:ascii="Verdana" w:hAnsi="Verdana"/>
          <w:sz w:val="20"/>
          <w:szCs w:val="20"/>
        </w:rPr>
        <w:t xml:space="preserve">e </w:t>
      </w:r>
      <w:r w:rsidR="00D21DDC" w:rsidRPr="00B721BB">
        <w:rPr>
          <w:rFonts w:ascii="Verdana" w:hAnsi="Verdana"/>
          <w:sz w:val="20"/>
          <w:szCs w:val="20"/>
        </w:rPr>
        <w:t>octubre de 2016</w:t>
      </w:r>
      <w:r w:rsidR="00886837" w:rsidRPr="00B721BB">
        <w:rPr>
          <w:rStyle w:val="Refdenotaalpie"/>
          <w:rFonts w:ascii="Verdana" w:hAnsi="Verdana"/>
          <w:sz w:val="20"/>
          <w:szCs w:val="20"/>
        </w:rPr>
        <w:footnoteReference w:id="3"/>
      </w:r>
      <w:r w:rsidR="00576F96" w:rsidRPr="00B721BB">
        <w:rPr>
          <w:rFonts w:ascii="Verdana" w:hAnsi="Verdana"/>
          <w:sz w:val="20"/>
          <w:szCs w:val="20"/>
        </w:rPr>
        <w:t xml:space="preserve">. </w:t>
      </w:r>
      <w:r w:rsidR="00C36D04" w:rsidRPr="00B721BB">
        <w:rPr>
          <w:rFonts w:ascii="Verdana" w:hAnsi="Verdana"/>
          <w:sz w:val="20"/>
          <w:szCs w:val="20"/>
        </w:rPr>
        <w:t>L</w:t>
      </w:r>
      <w:r w:rsidR="00114270" w:rsidRPr="00B721BB">
        <w:rPr>
          <w:rFonts w:ascii="Verdana" w:hAnsi="Verdana"/>
          <w:sz w:val="20"/>
          <w:szCs w:val="20"/>
        </w:rPr>
        <w:t xml:space="preserve">a Corte </w:t>
      </w:r>
      <w:r w:rsidR="00966E88" w:rsidRPr="00B721BB">
        <w:rPr>
          <w:rFonts w:ascii="Verdana" w:hAnsi="Verdana"/>
          <w:sz w:val="20"/>
          <w:szCs w:val="20"/>
        </w:rPr>
        <w:t xml:space="preserve">declaró la responsabilidad internacional de la República </w:t>
      </w:r>
      <w:r w:rsidR="00D21DDC" w:rsidRPr="00B721BB">
        <w:rPr>
          <w:rFonts w:ascii="Verdana" w:hAnsi="Verdana"/>
          <w:sz w:val="20"/>
          <w:szCs w:val="20"/>
        </w:rPr>
        <w:t xml:space="preserve">Federativa </w:t>
      </w:r>
      <w:r w:rsidR="00966E88" w:rsidRPr="00B721BB">
        <w:rPr>
          <w:rFonts w:ascii="Verdana" w:hAnsi="Verdana"/>
          <w:sz w:val="20"/>
          <w:szCs w:val="20"/>
        </w:rPr>
        <w:t>de</w:t>
      </w:r>
      <w:r w:rsidR="00F75E5F" w:rsidRPr="00B721BB">
        <w:rPr>
          <w:rFonts w:ascii="Verdana" w:hAnsi="Verdana"/>
          <w:sz w:val="20"/>
          <w:szCs w:val="20"/>
        </w:rPr>
        <w:t xml:space="preserve"> </w:t>
      </w:r>
      <w:r w:rsidR="00D21DDC" w:rsidRPr="00B721BB">
        <w:rPr>
          <w:rFonts w:ascii="Verdana" w:hAnsi="Verdana"/>
          <w:sz w:val="20"/>
          <w:szCs w:val="20"/>
        </w:rPr>
        <w:t>Brasil (en adelante “Brasil</w:t>
      </w:r>
      <w:r w:rsidR="00C36D04" w:rsidRPr="00B721BB">
        <w:rPr>
          <w:rFonts w:ascii="Verdana" w:hAnsi="Verdana"/>
          <w:sz w:val="20"/>
          <w:szCs w:val="20"/>
        </w:rPr>
        <w:t xml:space="preserve">” o “el Estado”) </w:t>
      </w:r>
      <w:r w:rsidR="00966E88" w:rsidRPr="00B721BB">
        <w:rPr>
          <w:rFonts w:ascii="Verdana" w:hAnsi="Verdana"/>
          <w:sz w:val="20"/>
          <w:szCs w:val="20"/>
        </w:rPr>
        <w:t>por</w:t>
      </w:r>
      <w:r w:rsidR="00724375" w:rsidRPr="00B721BB">
        <w:rPr>
          <w:rFonts w:ascii="Verdana" w:hAnsi="Verdana"/>
          <w:sz w:val="20"/>
          <w:szCs w:val="20"/>
        </w:rPr>
        <w:t xml:space="preserve"> no garantizar</w:t>
      </w:r>
      <w:r w:rsidR="00966E88" w:rsidRPr="00B721BB">
        <w:rPr>
          <w:rFonts w:ascii="Verdana" w:hAnsi="Verdana"/>
          <w:sz w:val="20"/>
          <w:szCs w:val="20"/>
        </w:rPr>
        <w:t xml:space="preserve"> </w:t>
      </w:r>
      <w:r w:rsidR="00724375" w:rsidRPr="00B721BB">
        <w:rPr>
          <w:rFonts w:ascii="Verdana" w:hAnsi="Verdana"/>
          <w:sz w:val="20"/>
          <w:szCs w:val="20"/>
        </w:rPr>
        <w:t>el</w:t>
      </w:r>
      <w:r w:rsidR="00966E88" w:rsidRPr="00B721BB">
        <w:rPr>
          <w:rFonts w:ascii="Verdana" w:hAnsi="Verdana"/>
          <w:sz w:val="20"/>
          <w:szCs w:val="20"/>
        </w:rPr>
        <w:t xml:space="preserve"> </w:t>
      </w:r>
      <w:r w:rsidR="00711D26" w:rsidRPr="00B721BB">
        <w:rPr>
          <w:rFonts w:ascii="Verdana" w:hAnsi="Verdana"/>
          <w:sz w:val="20"/>
          <w:szCs w:val="20"/>
        </w:rPr>
        <w:t>derecho a no ser sometido a esclavitud y trata de personas</w:t>
      </w:r>
      <w:r w:rsidR="00724375" w:rsidRPr="00B721BB">
        <w:rPr>
          <w:rFonts w:ascii="Verdana" w:hAnsi="Verdana"/>
          <w:sz w:val="20"/>
          <w:szCs w:val="20"/>
        </w:rPr>
        <w:t>,</w:t>
      </w:r>
      <w:r w:rsidR="00711D26" w:rsidRPr="00B721BB">
        <w:rPr>
          <w:rFonts w:ascii="Verdana" w:hAnsi="Verdana"/>
          <w:sz w:val="20"/>
          <w:szCs w:val="20"/>
        </w:rPr>
        <w:t xml:space="preserve"> en perjuicio de los 85 trabajadores rescatados el 15 de marzo de 2000 en la Hacienda Brasil Verde, </w:t>
      </w:r>
      <w:r w:rsidR="00724375" w:rsidRPr="00B721BB">
        <w:rPr>
          <w:rFonts w:ascii="Verdana" w:hAnsi="Verdana"/>
          <w:sz w:val="20"/>
          <w:szCs w:val="20"/>
        </w:rPr>
        <w:t xml:space="preserve">ubicada en el estado de Pará. </w:t>
      </w:r>
      <w:r w:rsidR="00463567" w:rsidRPr="00B721BB">
        <w:rPr>
          <w:rFonts w:ascii="Verdana" w:hAnsi="Verdana"/>
          <w:sz w:val="20"/>
          <w:szCs w:val="20"/>
        </w:rPr>
        <w:t xml:space="preserve">Además, declaró </w:t>
      </w:r>
      <w:r w:rsidR="00722801" w:rsidRPr="00B721BB">
        <w:rPr>
          <w:rFonts w:ascii="Verdana" w:hAnsi="Verdana"/>
          <w:sz w:val="20"/>
          <w:szCs w:val="20"/>
        </w:rPr>
        <w:t xml:space="preserve">la violación </w:t>
      </w:r>
      <w:r w:rsidR="00463567" w:rsidRPr="00B721BB">
        <w:rPr>
          <w:rFonts w:ascii="Verdana" w:hAnsi="Verdana"/>
          <w:sz w:val="20"/>
          <w:szCs w:val="20"/>
        </w:rPr>
        <w:t>de</w:t>
      </w:r>
      <w:r w:rsidR="00722801" w:rsidRPr="00B721BB">
        <w:rPr>
          <w:rFonts w:ascii="Verdana" w:hAnsi="Verdana"/>
          <w:sz w:val="20"/>
          <w:szCs w:val="20"/>
        </w:rPr>
        <w:t xml:space="preserve"> </w:t>
      </w:r>
      <w:r w:rsidR="00711D26" w:rsidRPr="00B721BB">
        <w:rPr>
          <w:rFonts w:ascii="Verdana" w:hAnsi="Verdana"/>
          <w:sz w:val="20"/>
          <w:szCs w:val="20"/>
        </w:rPr>
        <w:t>las garantías judiciales de debida diligencia y de plazo razonable</w:t>
      </w:r>
      <w:r w:rsidR="00463567" w:rsidRPr="00B721BB">
        <w:rPr>
          <w:rFonts w:ascii="Verdana" w:hAnsi="Verdana"/>
          <w:sz w:val="20"/>
          <w:szCs w:val="20"/>
        </w:rPr>
        <w:t>, así como d</w:t>
      </w:r>
      <w:r w:rsidR="00711D26" w:rsidRPr="00B721BB">
        <w:rPr>
          <w:rFonts w:ascii="Verdana" w:hAnsi="Verdana"/>
          <w:sz w:val="20"/>
          <w:szCs w:val="20"/>
        </w:rPr>
        <w:t>el derecho a la protección judicial</w:t>
      </w:r>
      <w:r w:rsidR="00463567" w:rsidRPr="00B721BB">
        <w:rPr>
          <w:rFonts w:ascii="Verdana" w:hAnsi="Verdana"/>
          <w:sz w:val="20"/>
          <w:szCs w:val="20"/>
        </w:rPr>
        <w:t>,</w:t>
      </w:r>
      <w:r w:rsidR="00711D26" w:rsidRPr="00B721BB">
        <w:rPr>
          <w:rFonts w:ascii="Verdana" w:hAnsi="Verdana"/>
          <w:sz w:val="20"/>
          <w:szCs w:val="20"/>
        </w:rPr>
        <w:t xml:space="preserve"> en perjuicio de los 43 trabajadores de la Hacienda Brasil Verde que se encontraron durante la fiscalización de 23 de abril de 1997</w:t>
      </w:r>
      <w:r w:rsidR="00463567" w:rsidRPr="00B721BB">
        <w:rPr>
          <w:rFonts w:ascii="Verdana" w:hAnsi="Verdana"/>
          <w:sz w:val="20"/>
          <w:szCs w:val="20"/>
        </w:rPr>
        <w:t xml:space="preserve"> y</w:t>
      </w:r>
      <w:r w:rsidR="00B65FAE" w:rsidRPr="00B721BB">
        <w:rPr>
          <w:rFonts w:ascii="Verdana" w:hAnsi="Verdana"/>
          <w:sz w:val="20"/>
          <w:szCs w:val="20"/>
        </w:rPr>
        <w:t xml:space="preserve"> de</w:t>
      </w:r>
      <w:r w:rsidR="00711D26" w:rsidRPr="00B721BB">
        <w:rPr>
          <w:rFonts w:ascii="Verdana" w:hAnsi="Verdana"/>
          <w:sz w:val="20"/>
          <w:szCs w:val="20"/>
        </w:rPr>
        <w:t xml:space="preserve"> los 85 trabajadores de la Hacienda Brasil Verde que se encontraron durante la fiscalización de 15 de marzo de 2000. </w:t>
      </w:r>
      <w:r w:rsidR="00463567" w:rsidRPr="00B721BB">
        <w:rPr>
          <w:rFonts w:ascii="Verdana" w:hAnsi="Verdana"/>
          <w:sz w:val="20"/>
          <w:szCs w:val="20"/>
        </w:rPr>
        <w:t>También concluyó que el Estado era responsable por no haber adoptado las medidas de protección que la condición de niño requería con relación a una de las víctimas</w:t>
      </w:r>
      <w:r w:rsidR="00463567" w:rsidRPr="00B721BB">
        <w:rPr>
          <w:rStyle w:val="Refdenotaalpie"/>
          <w:rFonts w:ascii="Verdana" w:hAnsi="Verdana"/>
          <w:sz w:val="20"/>
          <w:szCs w:val="20"/>
        </w:rPr>
        <w:footnoteReference w:id="4"/>
      </w:r>
      <w:r w:rsidR="00463567" w:rsidRPr="00B721BB">
        <w:rPr>
          <w:rFonts w:ascii="Verdana" w:hAnsi="Verdana"/>
          <w:sz w:val="20"/>
          <w:szCs w:val="20"/>
        </w:rPr>
        <w:t xml:space="preserve">. El Tribunal consideró que las violaciones se produjeron en el marco de una situación de discriminación estructural histórica en razón de la posición económica de los 85 trabajadores identificados en la Sentencia. </w:t>
      </w:r>
      <w:r w:rsidR="00236C4D" w:rsidRPr="00B721BB">
        <w:rPr>
          <w:rFonts w:ascii="Verdana" w:hAnsi="Verdana"/>
          <w:sz w:val="20"/>
          <w:szCs w:val="20"/>
        </w:rPr>
        <w:t>La Corte estable</w:t>
      </w:r>
      <w:r w:rsidR="00157974" w:rsidRPr="00B721BB">
        <w:rPr>
          <w:rFonts w:ascii="Verdana" w:hAnsi="Verdana"/>
          <w:sz w:val="20"/>
          <w:szCs w:val="20"/>
        </w:rPr>
        <w:t>ció que su Sentencia constitu</w:t>
      </w:r>
      <w:r w:rsidR="00B65FAE" w:rsidRPr="00B721BB">
        <w:rPr>
          <w:rFonts w:ascii="Verdana" w:hAnsi="Verdana"/>
          <w:sz w:val="20"/>
          <w:szCs w:val="20"/>
        </w:rPr>
        <w:t>ía</w:t>
      </w:r>
      <w:r w:rsidR="00236C4D" w:rsidRPr="00B721BB">
        <w:rPr>
          <w:rFonts w:ascii="Verdana" w:hAnsi="Verdana"/>
          <w:sz w:val="20"/>
          <w:szCs w:val="20"/>
        </w:rPr>
        <w:t xml:space="preserve"> </w:t>
      </w:r>
      <w:r w:rsidR="00E71DB0" w:rsidRPr="00B721BB">
        <w:rPr>
          <w:rFonts w:ascii="Verdana" w:hAnsi="Verdana"/>
          <w:sz w:val="20"/>
          <w:szCs w:val="20"/>
        </w:rPr>
        <w:t>por sí misma</w:t>
      </w:r>
      <w:r w:rsidR="00236C4D" w:rsidRPr="00B721BB">
        <w:rPr>
          <w:rFonts w:ascii="Verdana" w:hAnsi="Verdana"/>
          <w:sz w:val="20"/>
          <w:szCs w:val="20"/>
        </w:rPr>
        <w:t xml:space="preserve"> una forma de reparaci</w:t>
      </w:r>
      <w:r w:rsidR="00626FB9" w:rsidRPr="00B721BB">
        <w:rPr>
          <w:rFonts w:ascii="Verdana" w:hAnsi="Verdana"/>
          <w:sz w:val="20"/>
          <w:szCs w:val="20"/>
        </w:rPr>
        <w:t>ón y</w:t>
      </w:r>
      <w:r w:rsidR="00727D98" w:rsidRPr="00B721BB">
        <w:rPr>
          <w:rFonts w:ascii="Verdana" w:hAnsi="Verdana"/>
          <w:sz w:val="20"/>
          <w:szCs w:val="20"/>
        </w:rPr>
        <w:t xml:space="preserve"> </w:t>
      </w:r>
      <w:r w:rsidR="00236C4D" w:rsidRPr="00B721BB">
        <w:rPr>
          <w:rFonts w:ascii="Verdana" w:hAnsi="Verdana"/>
          <w:sz w:val="20"/>
          <w:szCs w:val="20"/>
        </w:rPr>
        <w:t>ordenó al Estado</w:t>
      </w:r>
      <w:r w:rsidR="00727D98" w:rsidRPr="00B721BB">
        <w:rPr>
          <w:rFonts w:ascii="Verdana" w:hAnsi="Verdana"/>
          <w:sz w:val="20"/>
          <w:szCs w:val="20"/>
        </w:rPr>
        <w:t xml:space="preserve"> la adopción de</w:t>
      </w:r>
      <w:r w:rsidR="00236C4D" w:rsidRPr="00B721BB">
        <w:rPr>
          <w:rFonts w:ascii="Verdana" w:hAnsi="Verdana"/>
          <w:sz w:val="20"/>
          <w:szCs w:val="20"/>
        </w:rPr>
        <w:t xml:space="preserve"> medidas de reparación </w:t>
      </w:r>
      <w:r w:rsidR="00727D98" w:rsidRPr="00B721BB">
        <w:rPr>
          <w:rFonts w:ascii="Verdana" w:hAnsi="Verdana"/>
          <w:sz w:val="20"/>
          <w:szCs w:val="20"/>
        </w:rPr>
        <w:t xml:space="preserve">adicionales </w:t>
      </w:r>
      <w:r w:rsidR="00236C4D" w:rsidRPr="00B721BB">
        <w:rPr>
          <w:rFonts w:ascii="Verdana" w:hAnsi="Verdana"/>
          <w:sz w:val="20"/>
          <w:szCs w:val="20"/>
        </w:rPr>
        <w:t>(</w:t>
      </w:r>
      <w:r w:rsidR="00236C4D" w:rsidRPr="00B721BB">
        <w:rPr>
          <w:rFonts w:ascii="Verdana" w:hAnsi="Verdana"/>
          <w:i/>
          <w:sz w:val="20"/>
          <w:szCs w:val="20"/>
        </w:rPr>
        <w:t xml:space="preserve">infra </w:t>
      </w:r>
      <w:r w:rsidR="00236C4D" w:rsidRPr="00B721BB">
        <w:rPr>
          <w:rFonts w:ascii="Verdana" w:hAnsi="Verdana"/>
          <w:sz w:val="20"/>
          <w:szCs w:val="20"/>
        </w:rPr>
        <w:t>Considerando 1).</w:t>
      </w:r>
    </w:p>
    <w:p w14:paraId="21334819" w14:textId="53D9E48A" w:rsidR="001A4841" w:rsidRPr="00B721BB" w:rsidRDefault="001A4841" w:rsidP="00A03C1E">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t xml:space="preserve">La </w:t>
      </w:r>
      <w:r w:rsidR="00621EE3" w:rsidRPr="00B721BB">
        <w:rPr>
          <w:rFonts w:ascii="Verdana" w:hAnsi="Verdana"/>
          <w:sz w:val="20"/>
          <w:szCs w:val="20"/>
        </w:rPr>
        <w:t xml:space="preserve">Sentencia de interpretación de la Sentencia </w:t>
      </w:r>
      <w:r w:rsidR="00621EE3" w:rsidRPr="00B721BB">
        <w:rPr>
          <w:rFonts w:ascii="Verdana" w:hAnsi="Verdana"/>
          <w:bCs/>
          <w:sz w:val="20"/>
          <w:szCs w:val="20"/>
        </w:rPr>
        <w:t xml:space="preserve">emitida </w:t>
      </w:r>
      <w:r w:rsidR="004D643D" w:rsidRPr="00B721BB">
        <w:rPr>
          <w:rFonts w:ascii="Verdana" w:hAnsi="Verdana"/>
          <w:bCs/>
          <w:sz w:val="20"/>
          <w:szCs w:val="20"/>
        </w:rPr>
        <w:t xml:space="preserve">por la Corte </w:t>
      </w:r>
      <w:r w:rsidR="00621EE3" w:rsidRPr="00B721BB">
        <w:rPr>
          <w:rFonts w:ascii="Verdana" w:hAnsi="Verdana"/>
          <w:bCs/>
          <w:sz w:val="20"/>
          <w:szCs w:val="20"/>
        </w:rPr>
        <w:t>el 22 de agosto de 2017</w:t>
      </w:r>
      <w:r w:rsidRPr="00B721BB">
        <w:rPr>
          <w:rStyle w:val="Refdenotaalpie"/>
          <w:rFonts w:ascii="Verdana" w:hAnsi="Verdana"/>
          <w:sz w:val="20"/>
          <w:szCs w:val="20"/>
        </w:rPr>
        <w:footnoteReference w:id="5"/>
      </w:r>
      <w:r w:rsidRPr="00B721BB">
        <w:rPr>
          <w:rFonts w:ascii="Verdana" w:hAnsi="Verdana"/>
          <w:sz w:val="20"/>
          <w:szCs w:val="20"/>
        </w:rPr>
        <w:t>.</w:t>
      </w:r>
    </w:p>
    <w:p w14:paraId="69FF2F10" w14:textId="7D32D112" w:rsidR="004D643D" w:rsidRPr="00B721BB" w:rsidRDefault="004D643D" w:rsidP="00A03C1E">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t>Los escritos presentados por los representantes de las víctimas entre noviembre y diciembre de 2017 envian</w:t>
      </w:r>
      <w:r w:rsidR="006563D4" w:rsidRPr="00B721BB">
        <w:rPr>
          <w:rFonts w:ascii="Verdana" w:hAnsi="Verdana"/>
          <w:sz w:val="20"/>
          <w:szCs w:val="20"/>
        </w:rPr>
        <w:t>d</w:t>
      </w:r>
      <w:r w:rsidRPr="00B721BB">
        <w:rPr>
          <w:rFonts w:ascii="Verdana" w:hAnsi="Verdana"/>
          <w:sz w:val="20"/>
          <w:szCs w:val="20"/>
        </w:rPr>
        <w:t xml:space="preserve">o información solicitada por el Estado para poder dar cumplimiento al pago de las indemnizaciones ordenadas en la Sentencia. </w:t>
      </w:r>
    </w:p>
    <w:p w14:paraId="4761AC2A" w14:textId="71A70235" w:rsidR="001A4841" w:rsidRPr="00B721BB" w:rsidRDefault="000E2C81" w:rsidP="00A03C1E">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lastRenderedPageBreak/>
        <w:t xml:space="preserve">Los </w:t>
      </w:r>
      <w:r w:rsidR="00E410FD" w:rsidRPr="00B721BB">
        <w:rPr>
          <w:rFonts w:ascii="Verdana" w:hAnsi="Verdana"/>
          <w:sz w:val="20"/>
          <w:szCs w:val="20"/>
        </w:rPr>
        <w:t xml:space="preserve">informes presentados por el Estado </w:t>
      </w:r>
      <w:r w:rsidR="00485376" w:rsidRPr="00B721BB">
        <w:rPr>
          <w:rFonts w:ascii="Verdana" w:hAnsi="Verdana"/>
          <w:sz w:val="20"/>
          <w:szCs w:val="20"/>
        </w:rPr>
        <w:t>entre</w:t>
      </w:r>
      <w:r w:rsidR="006E7DF8" w:rsidRPr="00B721BB">
        <w:rPr>
          <w:rFonts w:ascii="Verdana" w:hAnsi="Verdana"/>
          <w:sz w:val="20"/>
          <w:szCs w:val="20"/>
        </w:rPr>
        <w:t xml:space="preserve"> </w:t>
      </w:r>
      <w:r w:rsidR="007E47F9" w:rsidRPr="00B721BB">
        <w:rPr>
          <w:rFonts w:ascii="Verdana" w:hAnsi="Verdana"/>
          <w:sz w:val="20"/>
          <w:szCs w:val="20"/>
        </w:rPr>
        <w:t>dic</w:t>
      </w:r>
      <w:r w:rsidR="003763BD" w:rsidRPr="00B721BB">
        <w:rPr>
          <w:rFonts w:ascii="Verdana" w:hAnsi="Verdana"/>
          <w:sz w:val="20"/>
          <w:szCs w:val="20"/>
        </w:rPr>
        <w:t>iembre</w:t>
      </w:r>
      <w:r w:rsidR="00D35F7B" w:rsidRPr="00B721BB">
        <w:rPr>
          <w:rFonts w:ascii="Verdana" w:hAnsi="Verdana"/>
          <w:sz w:val="20"/>
          <w:szCs w:val="20"/>
        </w:rPr>
        <w:t xml:space="preserve"> de 2017</w:t>
      </w:r>
      <w:r w:rsidR="006E7DF8" w:rsidRPr="00B721BB">
        <w:rPr>
          <w:rFonts w:ascii="Verdana" w:hAnsi="Verdana"/>
          <w:sz w:val="20"/>
          <w:szCs w:val="20"/>
        </w:rPr>
        <w:t xml:space="preserve"> </w:t>
      </w:r>
      <w:r w:rsidR="00D35F7B" w:rsidRPr="00B721BB">
        <w:rPr>
          <w:rFonts w:ascii="Verdana" w:hAnsi="Verdana"/>
          <w:sz w:val="20"/>
          <w:szCs w:val="20"/>
        </w:rPr>
        <w:t xml:space="preserve">y </w:t>
      </w:r>
      <w:r w:rsidR="00D935B8" w:rsidRPr="00B721BB">
        <w:rPr>
          <w:rFonts w:ascii="Verdana" w:hAnsi="Verdana"/>
          <w:sz w:val="20"/>
          <w:szCs w:val="20"/>
        </w:rPr>
        <w:t xml:space="preserve">septiembre </w:t>
      </w:r>
      <w:r w:rsidR="00D53DF4" w:rsidRPr="00B721BB">
        <w:rPr>
          <w:rFonts w:ascii="Verdana" w:hAnsi="Verdana"/>
          <w:sz w:val="20"/>
          <w:szCs w:val="20"/>
        </w:rPr>
        <w:t>de</w:t>
      </w:r>
      <w:r w:rsidR="00E410FD" w:rsidRPr="00B721BB">
        <w:rPr>
          <w:rFonts w:ascii="Verdana" w:hAnsi="Verdana"/>
          <w:sz w:val="20"/>
          <w:szCs w:val="20"/>
        </w:rPr>
        <w:t xml:space="preserve"> </w:t>
      </w:r>
      <w:r w:rsidRPr="00B721BB">
        <w:rPr>
          <w:rFonts w:ascii="Verdana" w:hAnsi="Verdana"/>
          <w:sz w:val="20"/>
          <w:szCs w:val="20"/>
        </w:rPr>
        <w:t>201</w:t>
      </w:r>
      <w:r w:rsidR="00B65FAE" w:rsidRPr="00B721BB">
        <w:rPr>
          <w:rFonts w:ascii="Verdana" w:hAnsi="Verdana"/>
          <w:sz w:val="20"/>
          <w:szCs w:val="20"/>
        </w:rPr>
        <w:t>9</w:t>
      </w:r>
      <w:r w:rsidR="00D35F7B" w:rsidRPr="00B721BB">
        <w:rPr>
          <w:rFonts w:ascii="Verdana" w:hAnsi="Verdana"/>
          <w:sz w:val="20"/>
          <w:szCs w:val="20"/>
        </w:rPr>
        <w:t xml:space="preserve">, en respuesta a solicitudes efectuadas por la Corte o su </w:t>
      </w:r>
      <w:proofErr w:type="gramStart"/>
      <w:r w:rsidR="00D35F7B" w:rsidRPr="00B721BB">
        <w:rPr>
          <w:rFonts w:ascii="Verdana" w:hAnsi="Verdana"/>
          <w:sz w:val="20"/>
          <w:szCs w:val="20"/>
        </w:rPr>
        <w:t>Presidente</w:t>
      </w:r>
      <w:proofErr w:type="gramEnd"/>
      <w:r w:rsidR="00D35F7B" w:rsidRPr="00B721BB">
        <w:rPr>
          <w:rFonts w:ascii="Verdana" w:hAnsi="Verdana"/>
          <w:sz w:val="20"/>
          <w:szCs w:val="20"/>
        </w:rPr>
        <w:t xml:space="preserve"> mediante notas de la Secretaría del Tribunal. </w:t>
      </w:r>
    </w:p>
    <w:p w14:paraId="5DED8D7A" w14:textId="2C1018B9" w:rsidR="004D643D" w:rsidRPr="00B721BB" w:rsidRDefault="004D643D" w:rsidP="00494C28">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t>El escrito presentado por el Estado el 8 de octubre de 2019 solicitando la “rectificación” de la Sentencia.</w:t>
      </w:r>
    </w:p>
    <w:p w14:paraId="0916B33C" w14:textId="077007ED" w:rsidR="001A4841" w:rsidRPr="00B721BB" w:rsidRDefault="00DB1148" w:rsidP="00A03C1E">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olor w:val="000000"/>
          <w:sz w:val="20"/>
          <w:szCs w:val="20"/>
          <w:shd w:val="clear" w:color="auto" w:fill="FFFFFF"/>
        </w:rPr>
        <w:t xml:space="preserve">Los </w:t>
      </w:r>
      <w:r w:rsidR="00DC24E5" w:rsidRPr="00B721BB">
        <w:rPr>
          <w:rFonts w:ascii="Verdana" w:hAnsi="Verdana"/>
          <w:color w:val="000000"/>
          <w:sz w:val="20"/>
          <w:szCs w:val="20"/>
          <w:shd w:val="clear" w:color="auto" w:fill="FFFFFF"/>
        </w:rPr>
        <w:t>escrito</w:t>
      </w:r>
      <w:r w:rsidRPr="00B721BB">
        <w:rPr>
          <w:rFonts w:ascii="Verdana" w:hAnsi="Verdana"/>
          <w:color w:val="000000"/>
          <w:sz w:val="20"/>
          <w:szCs w:val="20"/>
          <w:shd w:val="clear" w:color="auto" w:fill="FFFFFF"/>
        </w:rPr>
        <w:t>s</w:t>
      </w:r>
      <w:r w:rsidR="00DC24E5" w:rsidRPr="00B721BB">
        <w:rPr>
          <w:rFonts w:ascii="Verdana" w:hAnsi="Verdana"/>
          <w:color w:val="000000"/>
          <w:sz w:val="20"/>
          <w:szCs w:val="20"/>
          <w:shd w:val="clear" w:color="auto" w:fill="FFFFFF"/>
        </w:rPr>
        <w:t xml:space="preserve"> </w:t>
      </w:r>
      <w:r w:rsidR="004D643D" w:rsidRPr="00B721BB">
        <w:rPr>
          <w:rFonts w:ascii="Verdana" w:hAnsi="Verdana"/>
          <w:color w:val="000000"/>
          <w:sz w:val="20"/>
          <w:szCs w:val="20"/>
          <w:shd w:val="clear" w:color="auto" w:fill="FFFFFF"/>
        </w:rPr>
        <w:t>de observaciones a los informes y el escrito estatales</w:t>
      </w:r>
      <w:r w:rsidR="006F26F8" w:rsidRPr="00B721BB">
        <w:rPr>
          <w:rFonts w:ascii="Verdana" w:hAnsi="Verdana"/>
          <w:color w:val="000000"/>
          <w:sz w:val="20"/>
          <w:szCs w:val="20"/>
          <w:shd w:val="clear" w:color="auto" w:fill="FFFFFF"/>
        </w:rPr>
        <w:t xml:space="preserve"> (</w:t>
      </w:r>
      <w:r w:rsidR="006F26F8" w:rsidRPr="00B721BB">
        <w:rPr>
          <w:rFonts w:ascii="Verdana" w:hAnsi="Verdana"/>
          <w:i/>
          <w:color w:val="000000"/>
          <w:sz w:val="20"/>
          <w:szCs w:val="20"/>
          <w:shd w:val="clear" w:color="auto" w:fill="FFFFFF"/>
        </w:rPr>
        <w:t xml:space="preserve">supra </w:t>
      </w:r>
      <w:r w:rsidR="006F26F8" w:rsidRPr="00B721BB">
        <w:rPr>
          <w:rFonts w:ascii="Verdana" w:hAnsi="Verdana"/>
          <w:color w:val="000000"/>
          <w:sz w:val="20"/>
          <w:szCs w:val="20"/>
          <w:shd w:val="clear" w:color="auto" w:fill="FFFFFF"/>
        </w:rPr>
        <w:t>Vistos 4 y 5)</w:t>
      </w:r>
      <w:r w:rsidR="004D643D" w:rsidRPr="00B721BB">
        <w:rPr>
          <w:rFonts w:ascii="Verdana" w:hAnsi="Verdana"/>
          <w:color w:val="000000"/>
          <w:sz w:val="20"/>
          <w:szCs w:val="20"/>
          <w:shd w:val="clear" w:color="auto" w:fill="FFFFFF"/>
        </w:rPr>
        <w:t xml:space="preserve"> </w:t>
      </w:r>
      <w:r w:rsidR="00DC24E5" w:rsidRPr="00B721BB">
        <w:rPr>
          <w:rFonts w:ascii="Verdana" w:hAnsi="Verdana"/>
          <w:color w:val="000000"/>
          <w:sz w:val="20"/>
          <w:szCs w:val="20"/>
          <w:shd w:val="clear" w:color="auto" w:fill="FFFFFF"/>
        </w:rPr>
        <w:t>presentado</w:t>
      </w:r>
      <w:r w:rsidRPr="00B721BB">
        <w:rPr>
          <w:rFonts w:ascii="Verdana" w:hAnsi="Verdana"/>
          <w:color w:val="000000"/>
          <w:sz w:val="20"/>
          <w:szCs w:val="20"/>
          <w:shd w:val="clear" w:color="auto" w:fill="FFFFFF"/>
        </w:rPr>
        <w:t>s</w:t>
      </w:r>
      <w:r w:rsidR="00E96F7A" w:rsidRPr="00B721BB">
        <w:rPr>
          <w:rFonts w:ascii="Verdana" w:hAnsi="Verdana"/>
          <w:color w:val="000000"/>
          <w:sz w:val="20"/>
          <w:szCs w:val="20"/>
          <w:shd w:val="clear" w:color="auto" w:fill="FFFFFF"/>
        </w:rPr>
        <w:t xml:space="preserve"> por </w:t>
      </w:r>
      <w:r w:rsidR="0026403E" w:rsidRPr="00B721BB">
        <w:rPr>
          <w:rFonts w:ascii="Verdana" w:hAnsi="Verdana"/>
          <w:color w:val="000000"/>
          <w:sz w:val="20"/>
          <w:szCs w:val="20"/>
          <w:shd w:val="clear" w:color="auto" w:fill="FFFFFF"/>
        </w:rPr>
        <w:t>l</w:t>
      </w:r>
      <w:r w:rsidR="007E47F9" w:rsidRPr="00B721BB">
        <w:rPr>
          <w:rFonts w:ascii="Verdana" w:hAnsi="Verdana"/>
          <w:color w:val="000000"/>
          <w:sz w:val="20"/>
          <w:szCs w:val="20"/>
          <w:shd w:val="clear" w:color="auto" w:fill="FFFFFF"/>
        </w:rPr>
        <w:t>o</w:t>
      </w:r>
      <w:r w:rsidR="0026403E" w:rsidRPr="00B721BB">
        <w:rPr>
          <w:rFonts w:ascii="Verdana" w:hAnsi="Verdana"/>
          <w:color w:val="000000"/>
          <w:sz w:val="20"/>
          <w:szCs w:val="20"/>
          <w:shd w:val="clear" w:color="auto" w:fill="FFFFFF"/>
        </w:rPr>
        <w:t>s</w:t>
      </w:r>
      <w:r w:rsidR="00E96F7A" w:rsidRPr="00B721BB">
        <w:rPr>
          <w:rFonts w:ascii="Verdana" w:hAnsi="Verdana"/>
          <w:color w:val="000000"/>
          <w:sz w:val="20"/>
          <w:szCs w:val="20"/>
          <w:shd w:val="clear" w:color="auto" w:fill="FFFFFF"/>
        </w:rPr>
        <w:t xml:space="preserve"> representante</w:t>
      </w:r>
      <w:r w:rsidR="0026403E" w:rsidRPr="00B721BB">
        <w:rPr>
          <w:rFonts w:ascii="Verdana" w:hAnsi="Verdana"/>
          <w:color w:val="000000"/>
          <w:sz w:val="20"/>
          <w:szCs w:val="20"/>
          <w:shd w:val="clear" w:color="auto" w:fill="FFFFFF"/>
        </w:rPr>
        <w:t>s</w:t>
      </w:r>
      <w:r w:rsidR="00E96F7A" w:rsidRPr="00B721BB">
        <w:rPr>
          <w:rFonts w:ascii="Verdana" w:hAnsi="Verdana"/>
          <w:color w:val="000000"/>
          <w:sz w:val="20"/>
          <w:szCs w:val="20"/>
          <w:shd w:val="clear" w:color="auto" w:fill="FFFFFF"/>
        </w:rPr>
        <w:t xml:space="preserve"> </w:t>
      </w:r>
      <w:r w:rsidR="000A6374" w:rsidRPr="00B721BB">
        <w:rPr>
          <w:rFonts w:ascii="Verdana" w:hAnsi="Verdana"/>
          <w:color w:val="000000"/>
          <w:sz w:val="20"/>
          <w:szCs w:val="20"/>
          <w:shd w:val="clear" w:color="auto" w:fill="FFFFFF"/>
        </w:rPr>
        <w:t>de</w:t>
      </w:r>
      <w:r w:rsidR="007E47F9" w:rsidRPr="00B721BB">
        <w:rPr>
          <w:rFonts w:ascii="Verdana" w:hAnsi="Verdana"/>
          <w:color w:val="000000"/>
          <w:sz w:val="20"/>
          <w:szCs w:val="20"/>
          <w:shd w:val="clear" w:color="auto" w:fill="FFFFFF"/>
        </w:rPr>
        <w:t xml:space="preserve"> </w:t>
      </w:r>
      <w:r w:rsidR="000A6374" w:rsidRPr="00B721BB">
        <w:rPr>
          <w:rFonts w:ascii="Verdana" w:hAnsi="Verdana"/>
          <w:color w:val="000000"/>
          <w:sz w:val="20"/>
          <w:szCs w:val="20"/>
          <w:shd w:val="clear" w:color="auto" w:fill="FFFFFF"/>
        </w:rPr>
        <w:t>l</w:t>
      </w:r>
      <w:r w:rsidR="007E47F9" w:rsidRPr="00B721BB">
        <w:rPr>
          <w:rFonts w:ascii="Verdana" w:hAnsi="Verdana"/>
          <w:color w:val="000000"/>
          <w:sz w:val="20"/>
          <w:szCs w:val="20"/>
          <w:shd w:val="clear" w:color="auto" w:fill="FFFFFF"/>
        </w:rPr>
        <w:t>as víctimas</w:t>
      </w:r>
      <w:r w:rsidR="00E96F7A" w:rsidRPr="00B721BB">
        <w:rPr>
          <w:rFonts w:ascii="Verdana" w:hAnsi="Verdana"/>
          <w:color w:val="000000"/>
          <w:sz w:val="20"/>
          <w:szCs w:val="20"/>
          <w:shd w:val="clear" w:color="auto" w:fill="FFFFFF"/>
        </w:rPr>
        <w:t xml:space="preserve"> (en adelante </w:t>
      </w:r>
      <w:r w:rsidR="009677A1" w:rsidRPr="00B721BB">
        <w:rPr>
          <w:rFonts w:ascii="Verdana" w:hAnsi="Verdana"/>
          <w:color w:val="000000"/>
          <w:sz w:val="20"/>
          <w:szCs w:val="20"/>
          <w:shd w:val="clear" w:color="auto" w:fill="FFFFFF"/>
        </w:rPr>
        <w:t xml:space="preserve">también </w:t>
      </w:r>
      <w:r w:rsidR="00E96F7A" w:rsidRPr="00B721BB">
        <w:rPr>
          <w:rFonts w:ascii="Verdana" w:hAnsi="Verdana"/>
          <w:color w:val="000000"/>
          <w:sz w:val="20"/>
          <w:szCs w:val="20"/>
          <w:shd w:val="clear" w:color="auto" w:fill="FFFFFF"/>
        </w:rPr>
        <w:t>“</w:t>
      </w:r>
      <w:r w:rsidR="0026403E" w:rsidRPr="00B721BB">
        <w:rPr>
          <w:rFonts w:ascii="Verdana" w:hAnsi="Verdana"/>
          <w:color w:val="000000"/>
          <w:sz w:val="20"/>
          <w:szCs w:val="20"/>
          <w:shd w:val="clear" w:color="auto" w:fill="FFFFFF"/>
        </w:rPr>
        <w:t>l</w:t>
      </w:r>
      <w:r w:rsidR="007E47F9" w:rsidRPr="00B721BB">
        <w:rPr>
          <w:rFonts w:ascii="Verdana" w:hAnsi="Verdana"/>
          <w:color w:val="000000"/>
          <w:sz w:val="20"/>
          <w:szCs w:val="20"/>
          <w:shd w:val="clear" w:color="auto" w:fill="FFFFFF"/>
        </w:rPr>
        <w:t>o</w:t>
      </w:r>
      <w:r w:rsidR="0026403E" w:rsidRPr="00B721BB">
        <w:rPr>
          <w:rFonts w:ascii="Verdana" w:hAnsi="Verdana"/>
          <w:color w:val="000000"/>
          <w:sz w:val="20"/>
          <w:szCs w:val="20"/>
          <w:shd w:val="clear" w:color="auto" w:fill="FFFFFF"/>
        </w:rPr>
        <w:t>s</w:t>
      </w:r>
      <w:r w:rsidR="00E96F7A" w:rsidRPr="00B721BB">
        <w:rPr>
          <w:rFonts w:ascii="Verdana" w:hAnsi="Verdana"/>
          <w:color w:val="000000"/>
          <w:sz w:val="20"/>
          <w:szCs w:val="20"/>
          <w:shd w:val="clear" w:color="auto" w:fill="FFFFFF"/>
        </w:rPr>
        <w:t xml:space="preserve"> representantes”)</w:t>
      </w:r>
      <w:r w:rsidR="00E96F7A" w:rsidRPr="00B721BB">
        <w:rPr>
          <w:rStyle w:val="Refdenotaalpie"/>
          <w:rFonts w:ascii="Verdana" w:hAnsi="Verdana"/>
          <w:color w:val="000000"/>
          <w:sz w:val="20"/>
          <w:szCs w:val="20"/>
          <w:shd w:val="clear" w:color="auto" w:fill="FFFFFF"/>
        </w:rPr>
        <w:footnoteReference w:id="6"/>
      </w:r>
      <w:r w:rsidR="0026403E" w:rsidRPr="00B721BB">
        <w:rPr>
          <w:rFonts w:ascii="Verdana" w:hAnsi="Verdana"/>
          <w:color w:val="000000"/>
          <w:sz w:val="20"/>
          <w:szCs w:val="20"/>
          <w:shd w:val="clear" w:color="auto" w:fill="FFFFFF"/>
        </w:rPr>
        <w:t xml:space="preserve"> </w:t>
      </w:r>
      <w:r w:rsidR="00DC24E5" w:rsidRPr="00B721BB">
        <w:rPr>
          <w:rFonts w:ascii="Verdana" w:hAnsi="Verdana"/>
          <w:color w:val="000000"/>
          <w:sz w:val="20"/>
          <w:szCs w:val="20"/>
          <w:shd w:val="clear" w:color="auto" w:fill="FFFFFF"/>
        </w:rPr>
        <w:t>e</w:t>
      </w:r>
      <w:r w:rsidRPr="00B721BB">
        <w:rPr>
          <w:rFonts w:ascii="Verdana" w:hAnsi="Verdana"/>
          <w:color w:val="000000"/>
          <w:sz w:val="20"/>
          <w:szCs w:val="20"/>
          <w:shd w:val="clear" w:color="auto" w:fill="FFFFFF"/>
        </w:rPr>
        <w:t xml:space="preserve">ntre </w:t>
      </w:r>
      <w:r w:rsidR="004D643D" w:rsidRPr="00B721BB">
        <w:rPr>
          <w:rFonts w:ascii="Verdana" w:hAnsi="Verdana"/>
          <w:color w:val="000000"/>
          <w:sz w:val="20"/>
          <w:szCs w:val="20"/>
          <w:shd w:val="clear" w:color="auto" w:fill="FFFFFF"/>
        </w:rPr>
        <w:t>marzo de 2018</w:t>
      </w:r>
      <w:r w:rsidR="00CF471C" w:rsidRPr="00B721BB">
        <w:rPr>
          <w:rFonts w:ascii="Verdana" w:hAnsi="Verdana"/>
          <w:color w:val="000000"/>
          <w:sz w:val="20"/>
          <w:szCs w:val="20"/>
          <w:shd w:val="clear" w:color="auto" w:fill="FFFFFF"/>
        </w:rPr>
        <w:t xml:space="preserve"> </w:t>
      </w:r>
      <w:r w:rsidRPr="00B721BB">
        <w:rPr>
          <w:rFonts w:ascii="Verdana" w:hAnsi="Verdana"/>
          <w:color w:val="000000"/>
          <w:sz w:val="20"/>
          <w:szCs w:val="20"/>
          <w:shd w:val="clear" w:color="auto" w:fill="FFFFFF"/>
        </w:rPr>
        <w:t>y</w:t>
      </w:r>
      <w:r w:rsidR="00072210" w:rsidRPr="00B721BB">
        <w:rPr>
          <w:rFonts w:ascii="Verdana" w:hAnsi="Verdana"/>
          <w:sz w:val="20"/>
          <w:szCs w:val="20"/>
        </w:rPr>
        <w:t xml:space="preserve"> </w:t>
      </w:r>
      <w:r w:rsidR="00B65FAE" w:rsidRPr="00B721BB">
        <w:rPr>
          <w:rFonts w:ascii="Verdana" w:hAnsi="Verdana"/>
          <w:sz w:val="20"/>
          <w:szCs w:val="20"/>
        </w:rPr>
        <w:t xml:space="preserve">septiembre </w:t>
      </w:r>
      <w:r w:rsidR="00FD5054" w:rsidRPr="00B721BB">
        <w:rPr>
          <w:rFonts w:ascii="Verdana" w:hAnsi="Verdana"/>
          <w:sz w:val="20"/>
          <w:szCs w:val="20"/>
        </w:rPr>
        <w:t>de 201</w:t>
      </w:r>
      <w:r w:rsidR="00B65FAE" w:rsidRPr="00B721BB">
        <w:rPr>
          <w:rFonts w:ascii="Verdana" w:hAnsi="Verdana"/>
          <w:sz w:val="20"/>
          <w:szCs w:val="20"/>
        </w:rPr>
        <w:t>9</w:t>
      </w:r>
      <w:r w:rsidR="000A2AA1" w:rsidRPr="00B721BB">
        <w:rPr>
          <w:rFonts w:ascii="Verdana" w:hAnsi="Verdana"/>
          <w:color w:val="000000"/>
          <w:sz w:val="20"/>
          <w:szCs w:val="20"/>
          <w:shd w:val="clear" w:color="auto" w:fill="FFFFFF"/>
        </w:rPr>
        <w:t>.</w:t>
      </w:r>
    </w:p>
    <w:p w14:paraId="46E6AE75" w14:textId="5744109A" w:rsidR="00F02226" w:rsidRPr="00B721BB" w:rsidRDefault="004D643D" w:rsidP="00A03C1E">
      <w:pPr>
        <w:numPr>
          <w:ilvl w:val="0"/>
          <w:numId w:val="2"/>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olor w:val="000000"/>
          <w:sz w:val="20"/>
          <w:szCs w:val="20"/>
          <w:shd w:val="clear" w:color="auto" w:fill="FFFFFF"/>
        </w:rPr>
        <w:t>Los</w:t>
      </w:r>
      <w:r w:rsidR="00703536" w:rsidRPr="00B721BB">
        <w:rPr>
          <w:rFonts w:ascii="Verdana" w:hAnsi="Verdana"/>
          <w:color w:val="000000"/>
          <w:sz w:val="20"/>
          <w:szCs w:val="20"/>
          <w:shd w:val="clear" w:color="auto" w:fill="FFFFFF"/>
        </w:rPr>
        <w:t xml:space="preserve"> </w:t>
      </w:r>
      <w:r w:rsidR="00F90AD1" w:rsidRPr="00B721BB">
        <w:rPr>
          <w:rFonts w:ascii="Verdana" w:hAnsi="Verdana"/>
          <w:color w:val="000000"/>
          <w:sz w:val="20"/>
          <w:szCs w:val="20"/>
          <w:shd w:val="clear" w:color="auto" w:fill="FFFFFF"/>
        </w:rPr>
        <w:t>escrito</w:t>
      </w:r>
      <w:r w:rsidRPr="00B721BB">
        <w:rPr>
          <w:rFonts w:ascii="Verdana" w:hAnsi="Verdana"/>
          <w:color w:val="000000"/>
          <w:sz w:val="20"/>
          <w:szCs w:val="20"/>
          <w:shd w:val="clear" w:color="auto" w:fill="FFFFFF"/>
        </w:rPr>
        <w:t>s</w:t>
      </w:r>
      <w:r w:rsidR="00F90AD1" w:rsidRPr="00B721BB">
        <w:rPr>
          <w:rFonts w:ascii="Verdana" w:hAnsi="Verdana"/>
          <w:color w:val="000000"/>
          <w:sz w:val="20"/>
          <w:szCs w:val="20"/>
          <w:shd w:val="clear" w:color="auto" w:fill="FFFFFF"/>
        </w:rPr>
        <w:t xml:space="preserve"> de observaciones presentado</w:t>
      </w:r>
      <w:r w:rsidRPr="00B721BB">
        <w:rPr>
          <w:rFonts w:ascii="Verdana" w:hAnsi="Verdana"/>
          <w:color w:val="000000"/>
          <w:sz w:val="20"/>
          <w:szCs w:val="20"/>
          <w:shd w:val="clear" w:color="auto" w:fill="FFFFFF"/>
        </w:rPr>
        <w:t>s</w:t>
      </w:r>
      <w:r w:rsidR="00F90AD1" w:rsidRPr="00B721BB">
        <w:rPr>
          <w:rFonts w:ascii="Verdana" w:hAnsi="Verdana"/>
          <w:color w:val="000000"/>
          <w:sz w:val="20"/>
          <w:szCs w:val="20"/>
          <w:shd w:val="clear" w:color="auto" w:fill="FFFFFF"/>
        </w:rPr>
        <w:t xml:space="preserve"> por la Comisión Interamericana de Derechos Humanos (en adelante “la Comisión</w:t>
      </w:r>
      <w:r w:rsidR="00157974" w:rsidRPr="00B721BB">
        <w:rPr>
          <w:rFonts w:ascii="Verdana" w:hAnsi="Verdana"/>
          <w:color w:val="000000"/>
          <w:sz w:val="20"/>
          <w:szCs w:val="20"/>
          <w:shd w:val="clear" w:color="auto" w:fill="FFFFFF"/>
        </w:rPr>
        <w:t xml:space="preserve"> Interamericana</w:t>
      </w:r>
      <w:r w:rsidR="00F90AD1" w:rsidRPr="00B721BB">
        <w:rPr>
          <w:rFonts w:ascii="Verdana" w:hAnsi="Verdana"/>
          <w:color w:val="000000"/>
          <w:sz w:val="20"/>
          <w:szCs w:val="20"/>
          <w:shd w:val="clear" w:color="auto" w:fill="FFFFFF"/>
        </w:rPr>
        <w:t>”</w:t>
      </w:r>
      <w:r w:rsidR="00157974" w:rsidRPr="00B721BB">
        <w:rPr>
          <w:rFonts w:ascii="Verdana" w:hAnsi="Verdana"/>
          <w:color w:val="000000"/>
          <w:sz w:val="20"/>
          <w:szCs w:val="20"/>
          <w:shd w:val="clear" w:color="auto" w:fill="FFFFFF"/>
        </w:rPr>
        <w:t xml:space="preserve"> o “la Comisión”</w:t>
      </w:r>
      <w:r w:rsidR="0072546D" w:rsidRPr="00B721BB">
        <w:rPr>
          <w:rFonts w:ascii="Verdana" w:hAnsi="Verdana"/>
          <w:color w:val="000000"/>
          <w:sz w:val="20"/>
          <w:szCs w:val="20"/>
          <w:shd w:val="clear" w:color="auto" w:fill="FFFFFF"/>
        </w:rPr>
        <w:t xml:space="preserve">) </w:t>
      </w:r>
      <w:r w:rsidR="00CF471C" w:rsidRPr="00B721BB">
        <w:rPr>
          <w:rFonts w:ascii="Verdana" w:hAnsi="Verdana"/>
          <w:color w:val="000000"/>
          <w:sz w:val="20"/>
          <w:szCs w:val="20"/>
          <w:shd w:val="clear" w:color="auto" w:fill="FFFFFF"/>
        </w:rPr>
        <w:t>en</w:t>
      </w:r>
      <w:r w:rsidRPr="00B721BB">
        <w:rPr>
          <w:rFonts w:ascii="Verdana" w:hAnsi="Verdana"/>
          <w:color w:val="000000"/>
          <w:sz w:val="20"/>
          <w:szCs w:val="20"/>
          <w:shd w:val="clear" w:color="auto" w:fill="FFFFFF"/>
        </w:rPr>
        <w:t>tre</w:t>
      </w:r>
      <w:r w:rsidR="00DB1148" w:rsidRPr="00B721BB">
        <w:rPr>
          <w:rFonts w:ascii="Verdana" w:hAnsi="Verdana"/>
          <w:color w:val="000000"/>
          <w:sz w:val="20"/>
          <w:szCs w:val="20"/>
          <w:shd w:val="clear" w:color="auto" w:fill="FFFFFF"/>
        </w:rPr>
        <w:t xml:space="preserve"> diciembre de 2018</w:t>
      </w:r>
      <w:r w:rsidRPr="00B721BB">
        <w:rPr>
          <w:rFonts w:ascii="Verdana" w:hAnsi="Verdana"/>
          <w:color w:val="000000"/>
          <w:sz w:val="20"/>
          <w:szCs w:val="20"/>
          <w:shd w:val="clear" w:color="auto" w:fill="FFFFFF"/>
        </w:rPr>
        <w:t xml:space="preserve"> y febrero de 2019</w:t>
      </w:r>
      <w:r w:rsidR="007E47F9" w:rsidRPr="00B721BB">
        <w:rPr>
          <w:rFonts w:ascii="Verdana" w:hAnsi="Verdana"/>
          <w:color w:val="000000"/>
          <w:sz w:val="20"/>
          <w:szCs w:val="20"/>
          <w:shd w:val="clear" w:color="auto" w:fill="FFFFFF"/>
        </w:rPr>
        <w:t>.</w:t>
      </w:r>
    </w:p>
    <w:p w14:paraId="1ABF980C" w14:textId="77777777" w:rsidR="003277DC" w:rsidRPr="00B721BB" w:rsidRDefault="003277DC" w:rsidP="00DD5E82">
      <w:pPr>
        <w:spacing w:after="0" w:line="240" w:lineRule="auto"/>
        <w:jc w:val="both"/>
        <w:rPr>
          <w:rFonts w:ascii="Verdana" w:hAnsi="Verdana"/>
          <w:b/>
          <w:color w:val="000000"/>
          <w:sz w:val="20"/>
          <w:szCs w:val="20"/>
          <w:shd w:val="clear" w:color="auto" w:fill="FFFFFF"/>
        </w:rPr>
      </w:pPr>
    </w:p>
    <w:p w14:paraId="4338BA28" w14:textId="77777777" w:rsidR="003277DC" w:rsidRPr="00B721BB" w:rsidRDefault="003277DC" w:rsidP="00DD5E82">
      <w:pPr>
        <w:spacing w:after="0" w:line="240" w:lineRule="auto"/>
        <w:jc w:val="both"/>
        <w:rPr>
          <w:rFonts w:ascii="Verdana" w:hAnsi="Verdana"/>
          <w:b/>
          <w:sz w:val="20"/>
          <w:szCs w:val="20"/>
        </w:rPr>
      </w:pPr>
      <w:r w:rsidRPr="00B721BB">
        <w:rPr>
          <w:rFonts w:ascii="Verdana" w:hAnsi="Verdana"/>
          <w:b/>
          <w:sz w:val="20"/>
          <w:szCs w:val="20"/>
        </w:rPr>
        <w:t>CONSIDERANDO QUE:</w:t>
      </w:r>
    </w:p>
    <w:p w14:paraId="6FECBBC1" w14:textId="77777777" w:rsidR="006F26F8" w:rsidRPr="00B721BB" w:rsidRDefault="006F26F8" w:rsidP="00DD5E82">
      <w:pPr>
        <w:spacing w:after="0" w:line="240" w:lineRule="auto"/>
        <w:jc w:val="both"/>
        <w:rPr>
          <w:rFonts w:ascii="Verdana" w:hAnsi="Verdana"/>
          <w:b/>
          <w:sz w:val="20"/>
          <w:szCs w:val="20"/>
        </w:rPr>
      </w:pPr>
    </w:p>
    <w:p w14:paraId="724A7A67" w14:textId="218B8EA9" w:rsidR="003277DC" w:rsidRPr="00B721BB" w:rsidRDefault="003277DC" w:rsidP="00A03C1E">
      <w:pPr>
        <w:numPr>
          <w:ilvl w:val="0"/>
          <w:numId w:val="3"/>
        </w:numPr>
        <w:spacing w:after="0" w:line="240" w:lineRule="auto"/>
        <w:ind w:left="0" w:firstLine="0"/>
        <w:jc w:val="both"/>
        <w:rPr>
          <w:rFonts w:ascii="Verdana" w:hAnsi="Verdana"/>
          <w:sz w:val="20"/>
          <w:szCs w:val="20"/>
        </w:rPr>
      </w:pPr>
      <w:r w:rsidRPr="00B721BB">
        <w:rPr>
          <w:rFonts w:ascii="Verdana" w:hAnsi="Verdana"/>
          <w:sz w:val="20"/>
          <w:szCs w:val="20"/>
        </w:rPr>
        <w:t>En el ejercicio de su función jurisdiccional de supervisar el cumplimiento de sus decisiones</w:t>
      </w:r>
      <w:r w:rsidRPr="00B721BB">
        <w:rPr>
          <w:rStyle w:val="Refdenotaalpie"/>
          <w:rFonts w:ascii="Verdana" w:hAnsi="Verdana"/>
          <w:sz w:val="20"/>
          <w:szCs w:val="20"/>
        </w:rPr>
        <w:footnoteReference w:id="7"/>
      </w:r>
      <w:r w:rsidRPr="00B721BB">
        <w:rPr>
          <w:rFonts w:ascii="Verdana" w:hAnsi="Verdana"/>
          <w:sz w:val="20"/>
          <w:szCs w:val="20"/>
        </w:rPr>
        <w:t>, la Corte ha venido supervisando la ejecución de la Sentencia emitida en el presente caso en el año 2016 (</w:t>
      </w:r>
      <w:r w:rsidRPr="00B721BB">
        <w:rPr>
          <w:rFonts w:ascii="Verdana" w:hAnsi="Verdana"/>
          <w:i/>
          <w:sz w:val="20"/>
          <w:szCs w:val="20"/>
        </w:rPr>
        <w:t>supra</w:t>
      </w:r>
      <w:r w:rsidRPr="00B721BB">
        <w:rPr>
          <w:rFonts w:ascii="Verdana" w:hAnsi="Verdana"/>
          <w:sz w:val="20"/>
          <w:szCs w:val="20"/>
        </w:rPr>
        <w:t xml:space="preserve"> Visto 1). En la Sentencia, el Tribunal dispuso cinco medidas de reparación</w:t>
      </w:r>
      <w:r w:rsidR="00642C8E" w:rsidRPr="00B721BB">
        <w:rPr>
          <w:rFonts w:ascii="Verdana" w:hAnsi="Verdana"/>
          <w:sz w:val="20"/>
          <w:szCs w:val="20"/>
        </w:rPr>
        <w:t xml:space="preserve"> (</w:t>
      </w:r>
      <w:r w:rsidR="00642C8E" w:rsidRPr="00B721BB">
        <w:rPr>
          <w:rFonts w:ascii="Verdana" w:hAnsi="Verdana"/>
          <w:i/>
          <w:sz w:val="20"/>
          <w:szCs w:val="20"/>
        </w:rPr>
        <w:t>infra</w:t>
      </w:r>
      <w:r w:rsidR="00642C8E" w:rsidRPr="00B721BB">
        <w:rPr>
          <w:rFonts w:ascii="Verdana" w:hAnsi="Verdana"/>
          <w:sz w:val="20"/>
          <w:szCs w:val="20"/>
        </w:rPr>
        <w:t xml:space="preserve"> Considerando </w:t>
      </w:r>
      <w:r w:rsidR="006F26F8" w:rsidRPr="00B721BB">
        <w:rPr>
          <w:rFonts w:ascii="Verdana" w:hAnsi="Verdana"/>
          <w:sz w:val="20"/>
          <w:szCs w:val="20"/>
        </w:rPr>
        <w:t>3</w:t>
      </w:r>
      <w:r w:rsidR="00642C8E" w:rsidRPr="00B721BB">
        <w:rPr>
          <w:rFonts w:ascii="Verdana" w:hAnsi="Verdana"/>
          <w:sz w:val="20"/>
          <w:szCs w:val="20"/>
        </w:rPr>
        <w:t xml:space="preserve"> y punto resolutivo </w:t>
      </w:r>
      <w:r w:rsidR="002F12FB" w:rsidRPr="00B721BB">
        <w:rPr>
          <w:rFonts w:ascii="Verdana" w:hAnsi="Verdana"/>
          <w:sz w:val="20"/>
          <w:szCs w:val="20"/>
        </w:rPr>
        <w:t>4</w:t>
      </w:r>
      <w:r w:rsidR="00642C8E" w:rsidRPr="00B721BB">
        <w:rPr>
          <w:rFonts w:ascii="Verdana" w:hAnsi="Verdana"/>
          <w:sz w:val="20"/>
          <w:szCs w:val="20"/>
        </w:rPr>
        <w:t>)</w:t>
      </w:r>
      <w:r w:rsidRPr="00B721BB">
        <w:rPr>
          <w:rFonts w:ascii="Verdana" w:hAnsi="Verdana"/>
          <w:sz w:val="20"/>
          <w:szCs w:val="20"/>
        </w:rPr>
        <w:t xml:space="preserve">. </w:t>
      </w:r>
    </w:p>
    <w:p w14:paraId="2E46B482" w14:textId="01B1EDAB" w:rsidR="0079759F" w:rsidRPr="00B721BB" w:rsidRDefault="00DB1148" w:rsidP="00A03C1E">
      <w:pPr>
        <w:numPr>
          <w:ilvl w:val="0"/>
          <w:numId w:val="4"/>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De conformidad con lo establecido en el artículo 68.1 de la Convención Americana </w:t>
      </w:r>
      <w:r w:rsidR="00C8446F" w:rsidRPr="00B721BB">
        <w:rPr>
          <w:rFonts w:ascii="Verdana" w:hAnsi="Verdana" w:cs="Arial"/>
          <w:sz w:val="20"/>
          <w:szCs w:val="20"/>
          <w:shd w:val="clear" w:color="auto" w:fill="FFFFFF"/>
        </w:rPr>
        <w:t>sobre</w:t>
      </w:r>
      <w:r w:rsidRPr="00B721BB">
        <w:rPr>
          <w:rFonts w:ascii="Verdana" w:hAnsi="Verdana" w:cs="Arial"/>
          <w:sz w:val="20"/>
          <w:szCs w:val="20"/>
          <w:shd w:val="clear" w:color="auto" w:fill="FFFFFF"/>
        </w:rPr>
        <w:t xml:space="preserve"> Derechos Humanos,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B721BB">
        <w:rPr>
          <w:rStyle w:val="Refdenotaalpie"/>
          <w:rFonts w:ascii="Verdana" w:hAnsi="Verdana" w:cs="Arial"/>
          <w:sz w:val="20"/>
          <w:szCs w:val="20"/>
          <w:shd w:val="clear" w:color="auto" w:fill="FFFFFF"/>
        </w:rPr>
        <w:footnoteReference w:id="8"/>
      </w:r>
      <w:r w:rsidRPr="00B721BB">
        <w:rPr>
          <w:rFonts w:ascii="Verdana" w:hAnsi="Verdana" w:cs="Arial"/>
          <w:sz w:val="20"/>
          <w:szCs w:val="20"/>
          <w:shd w:val="clear" w:color="auto" w:fill="FFFFFF"/>
        </w:rPr>
        <w:t>. Los Estados Parte en la Convención deben garantizar el cumplimiento de las disposiciones convencionales y sus efectos propios (</w:t>
      </w:r>
      <w:proofErr w:type="spellStart"/>
      <w:r w:rsidRPr="00B721BB">
        <w:rPr>
          <w:rFonts w:ascii="Verdana" w:hAnsi="Verdana" w:cs="Arial"/>
          <w:i/>
          <w:sz w:val="20"/>
          <w:szCs w:val="20"/>
          <w:shd w:val="clear" w:color="auto" w:fill="FFFFFF"/>
        </w:rPr>
        <w:t>effet</w:t>
      </w:r>
      <w:proofErr w:type="spellEnd"/>
      <w:r w:rsidRPr="00B721BB">
        <w:rPr>
          <w:rFonts w:ascii="Verdana" w:hAnsi="Verdana" w:cs="Arial"/>
          <w:i/>
          <w:sz w:val="20"/>
          <w:szCs w:val="20"/>
          <w:shd w:val="clear" w:color="auto" w:fill="FFFFFF"/>
        </w:rPr>
        <w:t xml:space="preserve"> </w:t>
      </w:r>
      <w:proofErr w:type="spellStart"/>
      <w:r w:rsidRPr="00B721BB">
        <w:rPr>
          <w:rFonts w:ascii="Verdana" w:hAnsi="Verdana" w:cs="Arial"/>
          <w:i/>
          <w:sz w:val="20"/>
          <w:szCs w:val="20"/>
          <w:shd w:val="clear" w:color="auto" w:fill="FFFFFF"/>
        </w:rPr>
        <w:t>utile</w:t>
      </w:r>
      <w:proofErr w:type="spellEnd"/>
      <w:r w:rsidRPr="00B721BB">
        <w:rPr>
          <w:rFonts w:ascii="Verdana" w:hAnsi="Verdana" w:cs="Arial"/>
          <w:sz w:val="20"/>
          <w:szCs w:val="20"/>
          <w:shd w:val="clear" w:color="auto" w:fill="FFFFFF"/>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B721BB">
        <w:rPr>
          <w:rStyle w:val="Refdenotaalpie"/>
          <w:rFonts w:ascii="Verdana" w:hAnsi="Verdana" w:cs="Arial"/>
          <w:sz w:val="20"/>
          <w:szCs w:val="20"/>
          <w:shd w:val="clear" w:color="auto" w:fill="FFFFFF"/>
        </w:rPr>
        <w:footnoteReference w:id="9"/>
      </w:r>
      <w:r w:rsidRPr="00B721BB">
        <w:rPr>
          <w:rFonts w:ascii="Verdana" w:hAnsi="Verdana" w:cs="Arial"/>
          <w:sz w:val="20"/>
          <w:szCs w:val="20"/>
          <w:shd w:val="clear" w:color="auto" w:fill="FFFFFF"/>
        </w:rPr>
        <w:t>.</w:t>
      </w:r>
    </w:p>
    <w:p w14:paraId="6987B910" w14:textId="78A901E9" w:rsidR="003277DC" w:rsidRPr="00B721BB" w:rsidRDefault="002D615D" w:rsidP="00DD5E82">
      <w:pPr>
        <w:numPr>
          <w:ilvl w:val="0"/>
          <w:numId w:val="4"/>
        </w:numPr>
        <w:spacing w:after="0" w:line="240" w:lineRule="auto"/>
        <w:ind w:left="0" w:firstLine="0"/>
        <w:jc w:val="both"/>
        <w:rPr>
          <w:rFonts w:ascii="Verdana" w:hAnsi="Verdana" w:cs="Arial"/>
          <w:sz w:val="20"/>
          <w:szCs w:val="20"/>
          <w:shd w:val="clear" w:color="auto" w:fill="FFFFFF"/>
        </w:rPr>
      </w:pPr>
      <w:bookmarkStart w:id="1" w:name="_Ref1468603"/>
      <w:r w:rsidRPr="00B721BB">
        <w:rPr>
          <w:rFonts w:ascii="Verdana" w:hAnsi="Verdana" w:cs="Arial"/>
          <w:sz w:val="20"/>
          <w:szCs w:val="20"/>
          <w:shd w:val="clear" w:color="auto" w:fill="FFFFFF"/>
        </w:rPr>
        <w:t>En la presente resolución la Corte se pronunciará sobre tres medidas de reparación (</w:t>
      </w:r>
      <w:r w:rsidRPr="00B721BB">
        <w:rPr>
          <w:rFonts w:ascii="Verdana" w:hAnsi="Verdana" w:cs="Arial"/>
          <w:i/>
          <w:sz w:val="20"/>
          <w:szCs w:val="20"/>
          <w:shd w:val="clear" w:color="auto" w:fill="FFFFFF"/>
        </w:rPr>
        <w:t xml:space="preserve">infra </w:t>
      </w:r>
      <w:r w:rsidRPr="00B721BB">
        <w:rPr>
          <w:rFonts w:ascii="Verdana" w:hAnsi="Verdana" w:cs="Arial"/>
          <w:sz w:val="20"/>
          <w:szCs w:val="20"/>
          <w:shd w:val="clear" w:color="auto" w:fill="FFFFFF"/>
        </w:rPr>
        <w:t xml:space="preserve">Considerandos </w:t>
      </w:r>
      <w:r w:rsidR="005678EF" w:rsidRPr="00B721BB">
        <w:rPr>
          <w:rFonts w:ascii="Verdana" w:hAnsi="Verdana" w:cs="Arial"/>
          <w:sz w:val="20"/>
          <w:szCs w:val="20"/>
          <w:shd w:val="clear" w:color="auto" w:fill="FFFFFF"/>
        </w:rPr>
        <w:t>4</w:t>
      </w:r>
      <w:r w:rsidRPr="00B721BB">
        <w:rPr>
          <w:rFonts w:ascii="Verdana" w:hAnsi="Verdana" w:cs="Arial"/>
          <w:sz w:val="20"/>
          <w:szCs w:val="20"/>
          <w:shd w:val="clear" w:color="auto" w:fill="FFFFFF"/>
        </w:rPr>
        <w:t xml:space="preserve"> y </w:t>
      </w:r>
      <w:r w:rsidR="005678EF" w:rsidRPr="00B721BB">
        <w:rPr>
          <w:rFonts w:ascii="Verdana" w:hAnsi="Verdana" w:cs="Arial"/>
          <w:sz w:val="20"/>
          <w:szCs w:val="20"/>
          <w:shd w:val="clear" w:color="auto" w:fill="FFFFFF"/>
        </w:rPr>
        <w:t>7), así como</w:t>
      </w:r>
      <w:r w:rsidR="004402EC" w:rsidRPr="00B721BB">
        <w:rPr>
          <w:rFonts w:ascii="Verdana" w:hAnsi="Verdana" w:cs="Arial"/>
          <w:sz w:val="20"/>
          <w:szCs w:val="20"/>
          <w:shd w:val="clear" w:color="auto" w:fill="FFFFFF"/>
        </w:rPr>
        <w:t xml:space="preserve"> respecto de la solicitud de </w:t>
      </w:r>
      <w:r w:rsidR="004402EC" w:rsidRPr="00B721BB">
        <w:rPr>
          <w:rFonts w:ascii="Verdana" w:hAnsi="Verdana" w:cs="Arial"/>
          <w:sz w:val="20"/>
          <w:szCs w:val="20"/>
        </w:rPr>
        <w:t>“rectificación” del nombre de una de las víctimas</w:t>
      </w:r>
      <w:r w:rsidR="006F26F8" w:rsidRPr="00B721BB">
        <w:rPr>
          <w:rFonts w:ascii="Verdana" w:hAnsi="Verdana" w:cs="Arial"/>
          <w:sz w:val="20"/>
          <w:szCs w:val="20"/>
        </w:rPr>
        <w:t>,</w:t>
      </w:r>
      <w:r w:rsidR="004402EC" w:rsidRPr="00B721BB">
        <w:rPr>
          <w:rFonts w:ascii="Verdana" w:hAnsi="Verdana" w:cs="Arial"/>
          <w:sz w:val="20"/>
          <w:szCs w:val="20"/>
        </w:rPr>
        <w:t xml:space="preserve"> realizada por el Estado</w:t>
      </w:r>
      <w:r w:rsidR="005678EF" w:rsidRPr="00B721BB">
        <w:rPr>
          <w:rFonts w:ascii="Verdana" w:hAnsi="Verdana" w:cs="Arial"/>
          <w:sz w:val="20"/>
          <w:szCs w:val="20"/>
        </w:rPr>
        <w:t>,</w:t>
      </w:r>
      <w:r w:rsidR="004402EC" w:rsidRPr="00B721BB">
        <w:rPr>
          <w:rFonts w:ascii="Verdana" w:hAnsi="Verdana" w:cs="Arial"/>
          <w:sz w:val="20"/>
          <w:szCs w:val="20"/>
        </w:rPr>
        <w:t xml:space="preserve"> con la cual los representantes de las víctimas</w:t>
      </w:r>
      <w:r w:rsidR="004C48F5" w:rsidRPr="00B721BB">
        <w:rPr>
          <w:rFonts w:ascii="Verdana" w:hAnsi="Verdana" w:cs="Arial"/>
          <w:sz w:val="20"/>
          <w:szCs w:val="20"/>
        </w:rPr>
        <w:t xml:space="preserve"> afirman estar de acuerdo</w:t>
      </w:r>
      <w:r w:rsidR="004402EC" w:rsidRPr="00B721BB">
        <w:rPr>
          <w:rFonts w:ascii="Verdana" w:hAnsi="Verdana" w:cs="Arial"/>
          <w:sz w:val="20"/>
          <w:szCs w:val="20"/>
        </w:rPr>
        <w:t>.</w:t>
      </w:r>
      <w:r w:rsidR="004402EC" w:rsidRPr="00B721BB" w:rsidDel="004402EC">
        <w:rPr>
          <w:rFonts w:ascii="Verdana" w:hAnsi="Verdana" w:cs="Arial"/>
          <w:sz w:val="20"/>
          <w:szCs w:val="20"/>
          <w:shd w:val="clear" w:color="auto" w:fill="FFFFFF"/>
        </w:rPr>
        <w:t xml:space="preserve"> </w:t>
      </w:r>
      <w:r w:rsidR="004402EC" w:rsidRPr="00B721BB">
        <w:rPr>
          <w:rFonts w:ascii="Verdana" w:hAnsi="Verdana" w:cs="Arial"/>
          <w:sz w:val="20"/>
          <w:szCs w:val="20"/>
          <w:shd w:val="clear" w:color="auto" w:fill="FFFFFF"/>
        </w:rPr>
        <w:t>E</w:t>
      </w:r>
      <w:r w:rsidR="00394839" w:rsidRPr="00B721BB">
        <w:rPr>
          <w:rFonts w:ascii="Verdana" w:hAnsi="Verdana" w:cs="Arial"/>
          <w:sz w:val="20"/>
          <w:szCs w:val="20"/>
          <w:shd w:val="clear" w:color="auto" w:fill="FFFFFF"/>
        </w:rPr>
        <w:t>n una resolución posterior valorará la información disponible relativa a las restantes dos medidas</w:t>
      </w:r>
      <w:r w:rsidR="006F26F8" w:rsidRPr="00B721BB">
        <w:rPr>
          <w:rFonts w:ascii="Verdana" w:hAnsi="Verdana" w:cs="Arial"/>
          <w:sz w:val="20"/>
          <w:szCs w:val="20"/>
          <w:shd w:val="clear" w:color="auto" w:fill="FFFFFF"/>
        </w:rPr>
        <w:t xml:space="preserve"> (</w:t>
      </w:r>
      <w:r w:rsidR="006F26F8" w:rsidRPr="00B721BB">
        <w:rPr>
          <w:rFonts w:ascii="Verdana" w:hAnsi="Verdana" w:cs="Arial"/>
          <w:i/>
          <w:sz w:val="20"/>
          <w:szCs w:val="20"/>
          <w:shd w:val="clear" w:color="auto" w:fill="FFFFFF"/>
        </w:rPr>
        <w:t xml:space="preserve">infra </w:t>
      </w:r>
      <w:r w:rsidR="006F26F8" w:rsidRPr="00B721BB">
        <w:rPr>
          <w:rFonts w:ascii="Verdana" w:hAnsi="Verdana" w:cs="Arial"/>
          <w:sz w:val="20"/>
          <w:szCs w:val="20"/>
          <w:shd w:val="clear" w:color="auto" w:fill="FFFFFF"/>
        </w:rPr>
        <w:t>punto resolutivo 4)</w:t>
      </w:r>
      <w:r w:rsidRPr="00B721BB">
        <w:rPr>
          <w:rFonts w:ascii="Verdana" w:hAnsi="Verdana" w:cs="Arial"/>
          <w:sz w:val="20"/>
          <w:szCs w:val="20"/>
          <w:shd w:val="clear" w:color="auto" w:fill="FFFFFF"/>
        </w:rPr>
        <w:t>. La Corte estructurará sus consideraciones en el siguiente orden</w:t>
      </w:r>
      <w:bookmarkEnd w:id="1"/>
      <w:r w:rsidRPr="00B721BB">
        <w:rPr>
          <w:rFonts w:ascii="Verdana" w:hAnsi="Verdana" w:cs="Arial"/>
          <w:sz w:val="20"/>
          <w:szCs w:val="20"/>
          <w:shd w:val="clear" w:color="auto" w:fill="FFFFFF"/>
        </w:rPr>
        <w:t>:</w:t>
      </w:r>
      <w:r w:rsidR="005344D5" w:rsidRPr="00B721BB">
        <w:rPr>
          <w:rFonts w:ascii="Verdana" w:hAnsi="Verdana" w:cs="Arial"/>
          <w:sz w:val="20"/>
          <w:szCs w:val="20"/>
          <w:shd w:val="clear" w:color="auto" w:fill="FFFFFF"/>
        </w:rPr>
        <w:t xml:space="preserve"> </w:t>
      </w:r>
    </w:p>
    <w:p w14:paraId="76E270AE" w14:textId="77777777" w:rsidR="00C42361" w:rsidRPr="00B721BB" w:rsidRDefault="00C42361" w:rsidP="00DD5E82">
      <w:pPr>
        <w:spacing w:after="0" w:line="240" w:lineRule="auto"/>
        <w:jc w:val="both"/>
        <w:rPr>
          <w:rFonts w:ascii="Verdana" w:hAnsi="Verdana" w:cs="Arial"/>
          <w:sz w:val="20"/>
          <w:szCs w:val="20"/>
          <w:shd w:val="clear" w:color="auto" w:fill="FFFFFF"/>
        </w:rPr>
      </w:pPr>
    </w:p>
    <w:p w14:paraId="0F3F5CB8" w14:textId="0F67B270" w:rsidR="004C48F5" w:rsidRPr="00B721BB" w:rsidRDefault="008E0DB8">
      <w:pPr>
        <w:pStyle w:val="TDC1"/>
        <w:rPr>
          <w:rFonts w:asciiTheme="minorHAnsi" w:eastAsiaTheme="minorEastAsia" w:hAnsiTheme="minorHAnsi" w:cstheme="minorBidi"/>
          <w:b w:val="0"/>
          <w:bCs w:val="0"/>
          <w:caps w:val="0"/>
          <w:noProof/>
          <w:szCs w:val="22"/>
          <w:lang w:val="en-US"/>
        </w:rPr>
      </w:pPr>
      <w:r w:rsidRPr="00B721BB">
        <w:rPr>
          <w:rFonts w:ascii="Verdana" w:hAnsi="Verdana"/>
          <w:b w:val="0"/>
          <w:sz w:val="16"/>
        </w:rPr>
        <w:fldChar w:fldCharType="begin"/>
      </w:r>
      <w:r w:rsidRPr="00B721BB">
        <w:rPr>
          <w:rFonts w:ascii="Verdana" w:hAnsi="Verdana"/>
          <w:b w:val="0"/>
          <w:sz w:val="16"/>
        </w:rPr>
        <w:instrText xml:space="preserve"> TOC \o "1-3" \h \z \u </w:instrText>
      </w:r>
      <w:r w:rsidRPr="00B721BB">
        <w:rPr>
          <w:rFonts w:ascii="Verdana" w:hAnsi="Verdana"/>
          <w:b w:val="0"/>
          <w:sz w:val="16"/>
        </w:rPr>
        <w:fldChar w:fldCharType="separate"/>
      </w:r>
      <w:hyperlink w:anchor="_Toc26890307" w:history="1">
        <w:r w:rsidR="004C48F5" w:rsidRPr="00B721BB">
          <w:rPr>
            <w:rStyle w:val="Hipervnculo"/>
            <w:rFonts w:ascii="Verdana" w:hAnsi="Verdana" w:cs="Arial"/>
            <w:b w:val="0"/>
            <w:i/>
            <w:caps w:val="0"/>
            <w:noProof/>
            <w:sz w:val="18"/>
          </w:rPr>
          <w:t>a</w:t>
        </w:r>
        <w:r w:rsidR="004C48F5" w:rsidRPr="00B721BB">
          <w:rPr>
            <w:rStyle w:val="Hipervnculo"/>
            <w:rFonts w:ascii="Verdana" w:hAnsi="Verdana" w:cs="Arial"/>
            <w:b w:val="0"/>
            <w:i/>
            <w:noProof/>
            <w:sz w:val="18"/>
          </w:rPr>
          <w:t>.</w:t>
        </w:r>
        <w:r w:rsidR="004C48F5" w:rsidRPr="00B721BB">
          <w:rPr>
            <w:rFonts w:asciiTheme="minorHAnsi" w:eastAsiaTheme="minorEastAsia" w:hAnsiTheme="minorHAnsi" w:cstheme="minorBidi"/>
            <w:b w:val="0"/>
            <w:bCs w:val="0"/>
            <w:caps w:val="0"/>
            <w:noProof/>
            <w:szCs w:val="22"/>
            <w:lang w:val="en-US"/>
          </w:rPr>
          <w:tab/>
        </w:r>
        <w:r w:rsidR="004C48F5" w:rsidRPr="00B721BB">
          <w:rPr>
            <w:rStyle w:val="Hipervnculo"/>
            <w:rFonts w:ascii="Verdana" w:hAnsi="Verdana" w:cs="Arial"/>
            <w:b w:val="0"/>
            <w:i/>
            <w:caps w:val="0"/>
            <w:noProof/>
            <w:sz w:val="18"/>
            <w:shd w:val="clear" w:color="auto" w:fill="FFFFFF"/>
          </w:rPr>
          <w:t xml:space="preserve">Publicación y difusión de </w:t>
        </w:r>
        <w:r w:rsidR="004C48F5" w:rsidRPr="00B721BB">
          <w:rPr>
            <w:rStyle w:val="Hipervnculo"/>
            <w:rFonts w:ascii="Verdana" w:hAnsi="Verdana"/>
            <w:b w:val="0"/>
            <w:i/>
            <w:caps w:val="0"/>
            <w:noProof/>
            <w:sz w:val="18"/>
            <w:lang w:val="es-MX"/>
          </w:rPr>
          <w:t>la</w:t>
        </w:r>
        <w:r w:rsidR="004C48F5" w:rsidRPr="00B721BB">
          <w:rPr>
            <w:rStyle w:val="Hipervnculo"/>
            <w:rFonts w:ascii="Verdana" w:hAnsi="Verdana" w:cs="Arial"/>
            <w:b w:val="0"/>
            <w:i/>
            <w:noProof/>
            <w:sz w:val="18"/>
            <w:shd w:val="clear" w:color="auto" w:fill="FFFFFF"/>
          </w:rPr>
          <w:t xml:space="preserve"> </w:t>
        </w:r>
        <w:r w:rsidR="00C42361" w:rsidRPr="00B721BB">
          <w:rPr>
            <w:rStyle w:val="Hipervnculo"/>
            <w:rFonts w:ascii="Verdana" w:hAnsi="Verdana"/>
            <w:b w:val="0"/>
            <w:i/>
            <w:caps w:val="0"/>
            <w:noProof/>
            <w:sz w:val="18"/>
            <w:lang w:val="es-MX"/>
          </w:rPr>
          <w:t>S</w:t>
        </w:r>
        <w:r w:rsidR="004C48F5" w:rsidRPr="00B721BB">
          <w:rPr>
            <w:rStyle w:val="Hipervnculo"/>
            <w:rFonts w:ascii="Verdana" w:hAnsi="Verdana"/>
            <w:b w:val="0"/>
            <w:i/>
            <w:caps w:val="0"/>
            <w:noProof/>
            <w:sz w:val="18"/>
            <w:lang w:val="es-MX"/>
          </w:rPr>
          <w:t>entencia</w:t>
        </w:r>
        <w:r w:rsidR="004C48F5" w:rsidRPr="00B721BB">
          <w:rPr>
            <w:b w:val="0"/>
            <w:noProof/>
            <w:webHidden/>
            <w:sz w:val="18"/>
          </w:rPr>
          <w:tab/>
        </w:r>
        <w:r w:rsidR="004C48F5" w:rsidRPr="00B721BB">
          <w:rPr>
            <w:b w:val="0"/>
            <w:noProof/>
            <w:webHidden/>
            <w:sz w:val="18"/>
          </w:rPr>
          <w:fldChar w:fldCharType="begin"/>
        </w:r>
        <w:r w:rsidR="004C48F5" w:rsidRPr="00B721BB">
          <w:rPr>
            <w:b w:val="0"/>
            <w:noProof/>
            <w:webHidden/>
            <w:sz w:val="18"/>
          </w:rPr>
          <w:instrText xml:space="preserve"> PAGEREF _Toc26890307 \h </w:instrText>
        </w:r>
        <w:r w:rsidR="004C48F5" w:rsidRPr="00B721BB">
          <w:rPr>
            <w:b w:val="0"/>
            <w:noProof/>
            <w:webHidden/>
            <w:sz w:val="18"/>
          </w:rPr>
        </w:r>
        <w:r w:rsidR="004C48F5" w:rsidRPr="00B721BB">
          <w:rPr>
            <w:b w:val="0"/>
            <w:noProof/>
            <w:webHidden/>
            <w:sz w:val="18"/>
          </w:rPr>
          <w:fldChar w:fldCharType="separate"/>
        </w:r>
        <w:r w:rsidR="00433F4E">
          <w:rPr>
            <w:b w:val="0"/>
            <w:noProof/>
            <w:webHidden/>
            <w:sz w:val="18"/>
          </w:rPr>
          <w:t>3</w:t>
        </w:r>
        <w:r w:rsidR="004C48F5" w:rsidRPr="00B721BB">
          <w:rPr>
            <w:b w:val="0"/>
            <w:noProof/>
            <w:webHidden/>
            <w:sz w:val="18"/>
          </w:rPr>
          <w:fldChar w:fldCharType="end"/>
        </w:r>
      </w:hyperlink>
    </w:p>
    <w:p w14:paraId="0CD4BA0A" w14:textId="6D2D0A6F" w:rsidR="004C48F5" w:rsidRPr="00B721BB" w:rsidRDefault="00433F4E">
      <w:pPr>
        <w:pStyle w:val="TDC1"/>
        <w:rPr>
          <w:rFonts w:asciiTheme="minorHAnsi" w:eastAsiaTheme="minorEastAsia" w:hAnsiTheme="minorHAnsi" w:cstheme="minorBidi"/>
          <w:b w:val="0"/>
          <w:bCs w:val="0"/>
          <w:caps w:val="0"/>
          <w:noProof/>
          <w:szCs w:val="22"/>
          <w:lang w:val="en-US"/>
        </w:rPr>
      </w:pPr>
      <w:hyperlink w:anchor="_Toc26890308" w:history="1">
        <w:r w:rsidR="004C48F5" w:rsidRPr="00B721BB">
          <w:rPr>
            <w:rStyle w:val="Hipervnculo"/>
            <w:rFonts w:ascii="Verdana" w:hAnsi="Verdana" w:cs="Arial"/>
            <w:b w:val="0"/>
            <w:i/>
            <w:caps w:val="0"/>
            <w:noProof/>
            <w:sz w:val="18"/>
          </w:rPr>
          <w:t>b.</w:t>
        </w:r>
        <w:r w:rsidR="004C48F5" w:rsidRPr="00B721BB">
          <w:rPr>
            <w:rFonts w:asciiTheme="minorHAnsi" w:eastAsiaTheme="minorEastAsia" w:hAnsiTheme="minorHAnsi" w:cstheme="minorBidi"/>
            <w:b w:val="0"/>
            <w:bCs w:val="0"/>
            <w:caps w:val="0"/>
            <w:noProof/>
            <w:szCs w:val="22"/>
            <w:lang w:val="en-US"/>
          </w:rPr>
          <w:tab/>
        </w:r>
        <w:r w:rsidR="004C48F5" w:rsidRPr="00B721BB">
          <w:rPr>
            <w:rStyle w:val="Hipervnculo"/>
            <w:rFonts w:ascii="Verdana" w:hAnsi="Verdana"/>
            <w:b w:val="0"/>
            <w:i/>
            <w:caps w:val="0"/>
            <w:noProof/>
            <w:sz w:val="18"/>
            <w:lang w:val="es-MX"/>
          </w:rPr>
          <w:t>Indemnizaciones</w:t>
        </w:r>
        <w:r w:rsidR="004C48F5" w:rsidRPr="00B721BB">
          <w:rPr>
            <w:rStyle w:val="Hipervnculo"/>
            <w:rFonts w:ascii="Verdana" w:hAnsi="Verdana" w:cs="Arial"/>
            <w:b w:val="0"/>
            <w:i/>
            <w:caps w:val="0"/>
            <w:noProof/>
            <w:sz w:val="18"/>
            <w:shd w:val="clear" w:color="auto" w:fill="FFFFFF"/>
          </w:rPr>
          <w:t xml:space="preserve"> por</w:t>
        </w:r>
        <w:r w:rsidR="00AC221E" w:rsidRPr="00B721BB">
          <w:rPr>
            <w:rStyle w:val="Hipervnculo"/>
            <w:rFonts w:ascii="Verdana" w:hAnsi="Verdana" w:cs="Arial"/>
            <w:b w:val="0"/>
            <w:i/>
            <w:caps w:val="0"/>
            <w:noProof/>
            <w:sz w:val="18"/>
            <w:shd w:val="clear" w:color="auto" w:fill="FFFFFF"/>
          </w:rPr>
          <w:t xml:space="preserve"> concepto de</w:t>
        </w:r>
        <w:r w:rsidR="004C48F5" w:rsidRPr="00B721BB">
          <w:rPr>
            <w:rStyle w:val="Hipervnculo"/>
            <w:rFonts w:ascii="Verdana" w:hAnsi="Verdana" w:cs="Arial"/>
            <w:b w:val="0"/>
            <w:i/>
            <w:caps w:val="0"/>
            <w:noProof/>
            <w:sz w:val="18"/>
            <w:shd w:val="clear" w:color="auto" w:fill="FFFFFF"/>
          </w:rPr>
          <w:t xml:space="preserve"> daño inmaterial y reintegro de costas y gastos</w:t>
        </w:r>
        <w:r w:rsidR="004C48F5" w:rsidRPr="00B721BB">
          <w:rPr>
            <w:b w:val="0"/>
            <w:noProof/>
            <w:webHidden/>
            <w:sz w:val="18"/>
          </w:rPr>
          <w:tab/>
        </w:r>
        <w:r w:rsidR="004C48F5" w:rsidRPr="00B721BB">
          <w:rPr>
            <w:b w:val="0"/>
            <w:noProof/>
            <w:webHidden/>
            <w:sz w:val="18"/>
          </w:rPr>
          <w:fldChar w:fldCharType="begin"/>
        </w:r>
        <w:r w:rsidR="004C48F5" w:rsidRPr="00B721BB">
          <w:rPr>
            <w:b w:val="0"/>
            <w:noProof/>
            <w:webHidden/>
            <w:sz w:val="18"/>
          </w:rPr>
          <w:instrText xml:space="preserve"> PAGEREF _Toc26890308 \h </w:instrText>
        </w:r>
        <w:r w:rsidR="004C48F5" w:rsidRPr="00B721BB">
          <w:rPr>
            <w:b w:val="0"/>
            <w:noProof/>
            <w:webHidden/>
            <w:sz w:val="18"/>
          </w:rPr>
        </w:r>
        <w:r w:rsidR="004C48F5" w:rsidRPr="00B721BB">
          <w:rPr>
            <w:b w:val="0"/>
            <w:noProof/>
            <w:webHidden/>
            <w:sz w:val="18"/>
          </w:rPr>
          <w:fldChar w:fldCharType="separate"/>
        </w:r>
        <w:r>
          <w:rPr>
            <w:b w:val="0"/>
            <w:noProof/>
            <w:webHidden/>
            <w:sz w:val="18"/>
          </w:rPr>
          <w:t>4</w:t>
        </w:r>
        <w:r w:rsidR="004C48F5" w:rsidRPr="00B721BB">
          <w:rPr>
            <w:b w:val="0"/>
            <w:noProof/>
            <w:webHidden/>
            <w:sz w:val="18"/>
          </w:rPr>
          <w:fldChar w:fldCharType="end"/>
        </w:r>
      </w:hyperlink>
    </w:p>
    <w:p w14:paraId="57F1D824" w14:textId="46D5A1A3" w:rsidR="004C48F5" w:rsidRPr="00B721BB" w:rsidRDefault="00433F4E">
      <w:pPr>
        <w:pStyle w:val="TDC1"/>
        <w:rPr>
          <w:rFonts w:asciiTheme="minorHAnsi" w:eastAsiaTheme="minorEastAsia" w:hAnsiTheme="minorHAnsi" w:cstheme="minorBidi"/>
          <w:b w:val="0"/>
          <w:bCs w:val="0"/>
          <w:caps w:val="0"/>
          <w:noProof/>
          <w:szCs w:val="22"/>
          <w:lang w:val="en-US"/>
        </w:rPr>
      </w:pPr>
      <w:hyperlink w:anchor="_Toc26890309" w:history="1">
        <w:r w:rsidR="004C48F5" w:rsidRPr="00B721BB">
          <w:rPr>
            <w:rStyle w:val="Hipervnculo"/>
            <w:rFonts w:ascii="Verdana" w:hAnsi="Verdana" w:cs="Arial"/>
            <w:b w:val="0"/>
            <w:i/>
            <w:caps w:val="0"/>
            <w:noProof/>
            <w:sz w:val="18"/>
          </w:rPr>
          <w:t>c.</w:t>
        </w:r>
        <w:r w:rsidR="004C48F5" w:rsidRPr="00B721BB">
          <w:rPr>
            <w:rFonts w:asciiTheme="minorHAnsi" w:eastAsiaTheme="minorEastAsia" w:hAnsiTheme="minorHAnsi" w:cstheme="minorBidi"/>
            <w:b w:val="0"/>
            <w:bCs w:val="0"/>
            <w:caps w:val="0"/>
            <w:noProof/>
            <w:szCs w:val="22"/>
            <w:lang w:val="en-US"/>
          </w:rPr>
          <w:tab/>
        </w:r>
        <w:r w:rsidR="004C48F5" w:rsidRPr="00B721BB">
          <w:rPr>
            <w:rStyle w:val="Hipervnculo"/>
            <w:rFonts w:ascii="Verdana" w:hAnsi="Verdana" w:cs="Arial"/>
            <w:b w:val="0"/>
            <w:i/>
            <w:caps w:val="0"/>
            <w:noProof/>
            <w:sz w:val="18"/>
            <w:shd w:val="clear" w:color="auto" w:fill="FFFFFF"/>
          </w:rPr>
          <w:t>Solicitud de rectificación del nombre de una de las víctimas del caso</w:t>
        </w:r>
        <w:r w:rsidR="004C48F5" w:rsidRPr="00B721BB">
          <w:rPr>
            <w:b w:val="0"/>
            <w:noProof/>
            <w:webHidden/>
            <w:sz w:val="18"/>
          </w:rPr>
          <w:tab/>
        </w:r>
        <w:r w:rsidR="004C48F5" w:rsidRPr="00B721BB">
          <w:rPr>
            <w:b w:val="0"/>
            <w:noProof/>
            <w:webHidden/>
            <w:sz w:val="18"/>
          </w:rPr>
          <w:fldChar w:fldCharType="begin"/>
        </w:r>
        <w:r w:rsidR="004C48F5" w:rsidRPr="00B721BB">
          <w:rPr>
            <w:b w:val="0"/>
            <w:noProof/>
            <w:webHidden/>
            <w:sz w:val="18"/>
          </w:rPr>
          <w:instrText xml:space="preserve"> PAGEREF _Toc26890309 \h </w:instrText>
        </w:r>
        <w:r w:rsidR="004C48F5" w:rsidRPr="00B721BB">
          <w:rPr>
            <w:b w:val="0"/>
            <w:noProof/>
            <w:webHidden/>
            <w:sz w:val="18"/>
          </w:rPr>
        </w:r>
        <w:r w:rsidR="004C48F5" w:rsidRPr="00B721BB">
          <w:rPr>
            <w:b w:val="0"/>
            <w:noProof/>
            <w:webHidden/>
            <w:sz w:val="18"/>
          </w:rPr>
          <w:fldChar w:fldCharType="separate"/>
        </w:r>
        <w:r>
          <w:rPr>
            <w:b w:val="0"/>
            <w:noProof/>
            <w:webHidden/>
            <w:sz w:val="18"/>
          </w:rPr>
          <w:t>9</w:t>
        </w:r>
        <w:r w:rsidR="004C48F5" w:rsidRPr="00B721BB">
          <w:rPr>
            <w:b w:val="0"/>
            <w:noProof/>
            <w:webHidden/>
            <w:sz w:val="18"/>
          </w:rPr>
          <w:fldChar w:fldCharType="end"/>
        </w:r>
      </w:hyperlink>
    </w:p>
    <w:p w14:paraId="436C20EF" w14:textId="77777777" w:rsidR="008E0DB8" w:rsidRPr="00B721BB" w:rsidRDefault="008E0DB8" w:rsidP="008E0DB8">
      <w:pPr>
        <w:rPr>
          <w:rFonts w:ascii="Verdana" w:hAnsi="Verdana"/>
          <w:bCs/>
          <w:noProof/>
          <w:sz w:val="16"/>
          <w:szCs w:val="20"/>
        </w:rPr>
      </w:pPr>
      <w:r w:rsidRPr="00B721BB">
        <w:rPr>
          <w:rFonts w:ascii="Verdana" w:hAnsi="Verdana"/>
          <w:bCs/>
          <w:noProof/>
          <w:sz w:val="16"/>
          <w:szCs w:val="20"/>
        </w:rPr>
        <w:lastRenderedPageBreak/>
        <w:fldChar w:fldCharType="end"/>
      </w:r>
    </w:p>
    <w:p w14:paraId="3C1E345C" w14:textId="77777777" w:rsidR="006218E1" w:rsidRPr="00B721BB" w:rsidRDefault="006218E1" w:rsidP="008E0DB8"/>
    <w:p w14:paraId="26383C94" w14:textId="77777777" w:rsidR="00240A28" w:rsidRPr="00B721BB" w:rsidRDefault="00240A28" w:rsidP="0006534C">
      <w:pPr>
        <w:pStyle w:val="Listavistosa-nfasis12"/>
        <w:numPr>
          <w:ilvl w:val="0"/>
          <w:numId w:val="1"/>
        </w:numPr>
        <w:spacing w:before="120" w:after="120"/>
        <w:contextualSpacing/>
        <w:jc w:val="both"/>
        <w:outlineLvl w:val="0"/>
        <w:rPr>
          <w:rFonts w:ascii="Verdana" w:hAnsi="Verdana" w:cs="Arial"/>
          <w:b/>
          <w:i/>
          <w:sz w:val="20"/>
          <w:szCs w:val="20"/>
          <w:shd w:val="clear" w:color="auto" w:fill="FFFFFF"/>
        </w:rPr>
      </w:pPr>
      <w:bookmarkStart w:id="2" w:name="_Toc26890307"/>
      <w:r w:rsidRPr="00B721BB">
        <w:rPr>
          <w:rFonts w:ascii="Verdana" w:hAnsi="Verdana" w:cs="Arial"/>
          <w:b/>
          <w:i/>
          <w:sz w:val="20"/>
          <w:szCs w:val="20"/>
          <w:shd w:val="clear" w:color="auto" w:fill="FFFFFF"/>
        </w:rPr>
        <w:t xml:space="preserve">Publicación y difusión de </w:t>
      </w:r>
      <w:r w:rsidRPr="00B721BB">
        <w:rPr>
          <w:rFonts w:ascii="Verdana" w:hAnsi="Verdana"/>
          <w:b/>
          <w:i/>
          <w:sz w:val="20"/>
          <w:szCs w:val="20"/>
          <w:lang w:val="es-MX"/>
        </w:rPr>
        <w:t>la</w:t>
      </w:r>
      <w:r w:rsidRPr="00B721BB">
        <w:rPr>
          <w:rFonts w:ascii="Verdana" w:hAnsi="Verdana" w:cs="Arial"/>
          <w:b/>
          <w:i/>
          <w:sz w:val="20"/>
          <w:szCs w:val="20"/>
          <w:shd w:val="clear" w:color="auto" w:fill="FFFFFF"/>
        </w:rPr>
        <w:t xml:space="preserve"> </w:t>
      </w:r>
      <w:r w:rsidRPr="00B721BB">
        <w:rPr>
          <w:rFonts w:ascii="Verdana" w:hAnsi="Verdana"/>
          <w:b/>
          <w:i/>
          <w:sz w:val="20"/>
          <w:szCs w:val="20"/>
          <w:lang w:val="es-MX"/>
        </w:rPr>
        <w:t>Sentencia</w:t>
      </w:r>
      <w:bookmarkEnd w:id="2"/>
    </w:p>
    <w:p w14:paraId="1AF93383" w14:textId="77777777" w:rsidR="006218E1" w:rsidRPr="00B721BB" w:rsidRDefault="006218E1" w:rsidP="00DD5E82">
      <w:pPr>
        <w:spacing w:after="0" w:line="240" w:lineRule="auto"/>
        <w:ind w:left="709"/>
        <w:jc w:val="both"/>
        <w:rPr>
          <w:rFonts w:ascii="Verdana" w:hAnsi="Verdana" w:cs="Arial"/>
          <w:i/>
          <w:sz w:val="20"/>
          <w:szCs w:val="20"/>
          <w:shd w:val="clear" w:color="auto" w:fill="FFFFFF"/>
        </w:rPr>
      </w:pPr>
    </w:p>
    <w:p w14:paraId="5678C5BE" w14:textId="77777777" w:rsidR="005B5203" w:rsidRPr="00B721BB" w:rsidRDefault="00240A28" w:rsidP="00DD5E82">
      <w:pPr>
        <w:spacing w:after="0" w:line="240" w:lineRule="auto"/>
        <w:ind w:left="709"/>
        <w:jc w:val="both"/>
        <w:rPr>
          <w:rFonts w:ascii="Verdana" w:hAnsi="Verdana" w:cs="Arial"/>
          <w:i/>
          <w:sz w:val="20"/>
          <w:szCs w:val="20"/>
          <w:shd w:val="clear" w:color="auto" w:fill="FFFFFF"/>
        </w:rPr>
      </w:pPr>
      <w:r w:rsidRPr="00B721BB">
        <w:rPr>
          <w:rFonts w:ascii="Verdana" w:hAnsi="Verdana" w:cs="Arial"/>
          <w:i/>
          <w:sz w:val="20"/>
          <w:szCs w:val="20"/>
          <w:shd w:val="clear" w:color="auto" w:fill="FFFFFF"/>
        </w:rPr>
        <w:t xml:space="preserve">A.1. </w:t>
      </w:r>
      <w:r w:rsidR="005B5203" w:rsidRPr="00B721BB">
        <w:rPr>
          <w:rFonts w:ascii="Verdana" w:hAnsi="Verdana" w:cs="Arial"/>
          <w:i/>
          <w:sz w:val="20"/>
          <w:szCs w:val="20"/>
          <w:shd w:val="clear" w:color="auto" w:fill="FFFFFF"/>
        </w:rPr>
        <w:t xml:space="preserve">Medidas ordenadas por la Corte </w:t>
      </w:r>
    </w:p>
    <w:p w14:paraId="6539F790" w14:textId="77777777" w:rsidR="006218E1" w:rsidRPr="00B721BB" w:rsidRDefault="006218E1" w:rsidP="00DD5E82">
      <w:pPr>
        <w:spacing w:after="0" w:line="240" w:lineRule="auto"/>
        <w:jc w:val="both"/>
        <w:rPr>
          <w:rFonts w:ascii="Verdana" w:hAnsi="Verdana" w:cs="Arial"/>
          <w:sz w:val="20"/>
          <w:szCs w:val="20"/>
          <w:shd w:val="clear" w:color="auto" w:fill="FFFFFF"/>
        </w:rPr>
      </w:pPr>
    </w:p>
    <w:p w14:paraId="7246EAE7" w14:textId="6074B0B6" w:rsidR="005B5203" w:rsidRPr="00B721BB" w:rsidRDefault="005B5203" w:rsidP="00DD5E82">
      <w:pPr>
        <w:numPr>
          <w:ilvl w:val="0"/>
          <w:numId w:val="4"/>
        </w:numPr>
        <w:spacing w:after="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En el punto resolutivo décimo y el párrafo 450 de la Sentencia, se dispuso que el Estado debía publicar, en un plazo de seis meses contado a partir de la notificación de la misma: a) el resumen oficial de la Sentencia, por una sola vez, en el Diario Oficial</w:t>
      </w:r>
      <w:r w:rsidR="00E64F1C" w:rsidRPr="00B721BB">
        <w:rPr>
          <w:rFonts w:ascii="Verdana" w:hAnsi="Verdana" w:cs="Arial"/>
          <w:sz w:val="20"/>
          <w:szCs w:val="20"/>
          <w:shd w:val="clear" w:color="auto" w:fill="FFFFFF"/>
        </w:rPr>
        <w:t xml:space="preserve"> y</w:t>
      </w:r>
      <w:r w:rsidRPr="00B721BB">
        <w:rPr>
          <w:rFonts w:ascii="Verdana" w:hAnsi="Verdana" w:cs="Arial"/>
          <w:sz w:val="20"/>
          <w:szCs w:val="20"/>
          <w:shd w:val="clear" w:color="auto" w:fill="FFFFFF"/>
        </w:rPr>
        <w:t xml:space="preserve"> en un diario de amplia circulación nacional, y </w:t>
      </w:r>
      <w:r w:rsidR="00E64F1C" w:rsidRPr="00B721BB">
        <w:rPr>
          <w:rFonts w:ascii="Verdana" w:hAnsi="Verdana" w:cs="Arial"/>
          <w:sz w:val="20"/>
          <w:szCs w:val="20"/>
          <w:shd w:val="clear" w:color="auto" w:fill="FFFFFF"/>
        </w:rPr>
        <w:t>b</w:t>
      </w:r>
      <w:r w:rsidRPr="00B721BB">
        <w:rPr>
          <w:rFonts w:ascii="Verdana" w:hAnsi="Verdana" w:cs="Arial"/>
          <w:sz w:val="20"/>
          <w:szCs w:val="20"/>
          <w:shd w:val="clear" w:color="auto" w:fill="FFFFFF"/>
        </w:rPr>
        <w:t>) la Sentencia en su integridad, disponible por un período de un año, en un sitio web oficial.</w:t>
      </w:r>
      <w:r w:rsidR="00B12281" w:rsidRPr="00B721BB">
        <w:rPr>
          <w:rFonts w:ascii="Verdana" w:hAnsi="Verdana" w:cs="Arial"/>
          <w:sz w:val="20"/>
          <w:szCs w:val="20"/>
          <w:shd w:val="clear" w:color="auto" w:fill="FFFFFF"/>
        </w:rPr>
        <w:t xml:space="preserve"> Asimismo, se dispuso que el Estado debía informar de forma inmediata una vez que procediera a realizar cada una de las publicaciones dispuestas, independientemente del plazo de un año para presentar su primer informe dispuesto en el punto resolutivo décimo </w:t>
      </w:r>
      <w:r w:rsidR="00E669F0" w:rsidRPr="00B721BB">
        <w:rPr>
          <w:rFonts w:ascii="Verdana" w:hAnsi="Verdana" w:cs="Arial"/>
          <w:sz w:val="20"/>
          <w:szCs w:val="20"/>
          <w:shd w:val="clear" w:color="auto" w:fill="FFFFFF"/>
        </w:rPr>
        <w:t xml:space="preserve">tercero </w:t>
      </w:r>
      <w:r w:rsidR="00B12281" w:rsidRPr="00B721BB">
        <w:rPr>
          <w:rFonts w:ascii="Verdana" w:hAnsi="Verdana" w:cs="Arial"/>
          <w:sz w:val="20"/>
          <w:szCs w:val="20"/>
          <w:shd w:val="clear" w:color="auto" w:fill="FFFFFF"/>
        </w:rPr>
        <w:t xml:space="preserve">de la Sentencia. </w:t>
      </w:r>
    </w:p>
    <w:p w14:paraId="7BDB3A62" w14:textId="77777777" w:rsidR="006218E1" w:rsidRPr="00B721BB" w:rsidRDefault="006218E1" w:rsidP="00DD5E82">
      <w:pPr>
        <w:spacing w:after="0" w:line="240" w:lineRule="auto"/>
        <w:ind w:left="709"/>
        <w:jc w:val="both"/>
        <w:rPr>
          <w:rFonts w:ascii="Verdana" w:hAnsi="Verdana" w:cs="Arial"/>
          <w:i/>
          <w:sz w:val="20"/>
          <w:szCs w:val="20"/>
          <w:shd w:val="clear" w:color="auto" w:fill="FFFFFF"/>
        </w:rPr>
      </w:pPr>
    </w:p>
    <w:p w14:paraId="3675801E" w14:textId="77777777" w:rsidR="005B5203" w:rsidRPr="00B721BB" w:rsidRDefault="005B5203" w:rsidP="00DD5E82">
      <w:pPr>
        <w:spacing w:after="0" w:line="240" w:lineRule="auto"/>
        <w:ind w:left="709"/>
        <w:jc w:val="both"/>
        <w:rPr>
          <w:rFonts w:ascii="Verdana" w:hAnsi="Verdana" w:cs="Arial"/>
          <w:i/>
          <w:sz w:val="20"/>
          <w:szCs w:val="20"/>
          <w:shd w:val="clear" w:color="auto" w:fill="FFFFFF"/>
        </w:rPr>
      </w:pPr>
      <w:r w:rsidRPr="00B721BB">
        <w:rPr>
          <w:rFonts w:ascii="Verdana" w:hAnsi="Verdana" w:cs="Arial"/>
          <w:i/>
          <w:sz w:val="20"/>
          <w:szCs w:val="20"/>
          <w:shd w:val="clear" w:color="auto" w:fill="FFFFFF"/>
        </w:rPr>
        <w:t xml:space="preserve">A.2. Consideraciones </w:t>
      </w:r>
      <w:r w:rsidR="003829D2" w:rsidRPr="00B721BB">
        <w:rPr>
          <w:rFonts w:ascii="Verdana" w:hAnsi="Verdana" w:cs="Arial"/>
          <w:i/>
          <w:sz w:val="20"/>
          <w:szCs w:val="20"/>
          <w:shd w:val="clear" w:color="auto" w:fill="FFFFFF"/>
        </w:rPr>
        <w:t xml:space="preserve">de </w:t>
      </w:r>
      <w:r w:rsidRPr="00B721BB">
        <w:rPr>
          <w:rFonts w:ascii="Verdana" w:hAnsi="Verdana" w:cs="Arial"/>
          <w:i/>
          <w:sz w:val="20"/>
          <w:szCs w:val="20"/>
          <w:shd w:val="clear" w:color="auto" w:fill="FFFFFF"/>
        </w:rPr>
        <w:t xml:space="preserve">la Corte </w:t>
      </w:r>
    </w:p>
    <w:p w14:paraId="245BB119" w14:textId="77777777" w:rsidR="006218E1" w:rsidRPr="00B721BB" w:rsidRDefault="006218E1" w:rsidP="00DD5E82">
      <w:pPr>
        <w:spacing w:after="0" w:line="240" w:lineRule="auto"/>
        <w:jc w:val="both"/>
        <w:rPr>
          <w:rFonts w:ascii="Verdana" w:hAnsi="Verdana" w:cs="Arial"/>
          <w:sz w:val="20"/>
          <w:szCs w:val="20"/>
          <w:shd w:val="clear" w:color="auto" w:fill="FFFFFF"/>
        </w:rPr>
      </w:pPr>
    </w:p>
    <w:p w14:paraId="54C0C9FA" w14:textId="4D036DF6" w:rsidR="005B5203" w:rsidRPr="00B721BB" w:rsidRDefault="005B5203" w:rsidP="005B5203">
      <w:pPr>
        <w:numPr>
          <w:ilvl w:val="0"/>
          <w:numId w:val="4"/>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Con base en la información y los comprobantes aportados por el Estado,</w:t>
      </w:r>
      <w:r w:rsidR="00D76195" w:rsidRPr="00B721BB">
        <w:rPr>
          <w:rFonts w:ascii="Verdana" w:hAnsi="Verdana" w:cs="Arial"/>
          <w:sz w:val="20"/>
          <w:szCs w:val="20"/>
          <w:shd w:val="clear" w:color="auto" w:fill="FFFFFF"/>
        </w:rPr>
        <w:t xml:space="preserve"> así como las observaciones de los representantes y la Comisión</w:t>
      </w:r>
      <w:r w:rsidR="00D76195" w:rsidRPr="00B721BB">
        <w:rPr>
          <w:rStyle w:val="Refdenotaalpie"/>
          <w:rFonts w:ascii="Verdana" w:hAnsi="Verdana" w:cs="Arial"/>
          <w:sz w:val="20"/>
          <w:szCs w:val="20"/>
          <w:shd w:val="clear" w:color="auto" w:fill="FFFFFF"/>
        </w:rPr>
        <w:footnoteReference w:id="10"/>
      </w:r>
      <w:r w:rsidR="00D76195" w:rsidRPr="00B721BB">
        <w:rPr>
          <w:rFonts w:ascii="Verdana" w:hAnsi="Verdana" w:cs="Arial"/>
          <w:sz w:val="20"/>
          <w:szCs w:val="20"/>
          <w:shd w:val="clear" w:color="auto" w:fill="FFFFFF"/>
        </w:rPr>
        <w:t>,</w:t>
      </w:r>
      <w:r w:rsidRPr="00B721BB">
        <w:rPr>
          <w:rFonts w:ascii="Verdana" w:hAnsi="Verdana" w:cs="Arial"/>
          <w:sz w:val="20"/>
          <w:szCs w:val="20"/>
          <w:shd w:val="clear" w:color="auto" w:fill="FFFFFF"/>
        </w:rPr>
        <w:t xml:space="preserve"> la Corte constata que Brasil publicó</w:t>
      </w:r>
      <w:r w:rsidR="004A2C3C" w:rsidRPr="00B721BB">
        <w:rPr>
          <w:rFonts w:ascii="Verdana" w:hAnsi="Verdana" w:cs="Arial"/>
          <w:sz w:val="20"/>
          <w:szCs w:val="20"/>
          <w:shd w:val="clear" w:color="auto" w:fill="FFFFFF"/>
        </w:rPr>
        <w:t>: a)</w:t>
      </w:r>
      <w:r w:rsidRPr="00B721BB">
        <w:rPr>
          <w:rFonts w:ascii="Verdana" w:hAnsi="Verdana" w:cs="Arial"/>
          <w:sz w:val="20"/>
          <w:szCs w:val="20"/>
          <w:shd w:val="clear" w:color="auto" w:fill="FFFFFF"/>
        </w:rPr>
        <w:t xml:space="preserve"> el resumen oficial de la Sentencia en el Diario Oficial de la Unión</w:t>
      </w:r>
      <w:r w:rsidR="00E87098" w:rsidRPr="00B721BB">
        <w:rPr>
          <w:rStyle w:val="Refdenotaalpie"/>
          <w:rFonts w:ascii="Verdana" w:hAnsi="Verdana" w:cs="Arial"/>
          <w:sz w:val="20"/>
          <w:szCs w:val="20"/>
          <w:shd w:val="clear" w:color="auto" w:fill="FFFFFF"/>
        </w:rPr>
        <w:footnoteReference w:id="11"/>
      </w:r>
      <w:r w:rsidR="00F46A0F" w:rsidRPr="00B721BB">
        <w:rPr>
          <w:rFonts w:ascii="Verdana" w:hAnsi="Verdana" w:cs="Arial"/>
          <w:sz w:val="20"/>
          <w:szCs w:val="20"/>
          <w:shd w:val="clear" w:color="auto" w:fill="FFFFFF"/>
        </w:rPr>
        <w:t xml:space="preserve"> y</w:t>
      </w:r>
      <w:r w:rsidR="00E87098"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en el Diario “O Globo”, de amplia circulación nacional</w:t>
      </w:r>
      <w:r w:rsidR="00E87098" w:rsidRPr="00B721BB">
        <w:rPr>
          <w:rStyle w:val="Refdenotaalpie"/>
          <w:rFonts w:ascii="Verdana" w:hAnsi="Verdana" w:cs="Arial"/>
          <w:sz w:val="20"/>
          <w:szCs w:val="20"/>
          <w:shd w:val="clear" w:color="auto" w:fill="FFFFFF"/>
        </w:rPr>
        <w:footnoteReference w:id="12"/>
      </w:r>
      <w:r w:rsidR="004A2C3C" w:rsidRPr="00B721BB">
        <w:rPr>
          <w:rFonts w:ascii="Verdana" w:hAnsi="Verdana" w:cs="Arial"/>
          <w:sz w:val="20"/>
          <w:szCs w:val="20"/>
          <w:shd w:val="clear" w:color="auto" w:fill="FFFFFF"/>
        </w:rPr>
        <w:t xml:space="preserve">, </w:t>
      </w:r>
      <w:r w:rsidR="00E87098" w:rsidRPr="00B721BB">
        <w:rPr>
          <w:rFonts w:ascii="Verdana" w:hAnsi="Verdana" w:cs="Arial"/>
          <w:sz w:val="20"/>
          <w:szCs w:val="20"/>
          <w:shd w:val="clear" w:color="auto" w:fill="FFFFFF"/>
        </w:rPr>
        <w:t>y</w:t>
      </w:r>
      <w:r w:rsidR="004A2C3C" w:rsidRPr="00B721BB">
        <w:rPr>
          <w:rFonts w:ascii="Verdana" w:hAnsi="Verdana" w:cs="Arial"/>
          <w:sz w:val="20"/>
          <w:szCs w:val="20"/>
          <w:shd w:val="clear" w:color="auto" w:fill="FFFFFF"/>
        </w:rPr>
        <w:t xml:space="preserve"> </w:t>
      </w:r>
      <w:r w:rsidR="00F46A0F" w:rsidRPr="00B721BB">
        <w:rPr>
          <w:rFonts w:ascii="Verdana" w:hAnsi="Verdana" w:cs="Arial"/>
          <w:sz w:val="20"/>
          <w:szCs w:val="20"/>
          <w:shd w:val="clear" w:color="auto" w:fill="FFFFFF"/>
        </w:rPr>
        <w:t>b</w:t>
      </w:r>
      <w:r w:rsidR="004A2C3C" w:rsidRPr="00B721BB">
        <w:rPr>
          <w:rFonts w:ascii="Verdana" w:hAnsi="Verdana" w:cs="Arial"/>
          <w:sz w:val="20"/>
          <w:szCs w:val="20"/>
          <w:shd w:val="clear" w:color="auto" w:fill="FFFFFF"/>
        </w:rPr>
        <w:t>)</w:t>
      </w:r>
      <w:r w:rsidRPr="00B721BB">
        <w:rPr>
          <w:rFonts w:ascii="Verdana" w:hAnsi="Verdana" w:cs="Arial"/>
          <w:sz w:val="20"/>
          <w:szCs w:val="20"/>
          <w:shd w:val="clear" w:color="auto" w:fill="FFFFFF"/>
        </w:rPr>
        <w:t xml:space="preserve"> la Sentencia en los sitios electrónicos de la Abogacía General de la Unión, del Ministerio de Relaciones Exteriores y del Ministerio de Derechos Humanos</w:t>
      </w:r>
      <w:r w:rsidRPr="00B721BB">
        <w:rPr>
          <w:rStyle w:val="Refdenotaalpie"/>
          <w:rFonts w:ascii="Verdana" w:hAnsi="Verdana" w:cs="Arial"/>
          <w:sz w:val="20"/>
          <w:szCs w:val="20"/>
          <w:shd w:val="clear" w:color="auto" w:fill="FFFFFF"/>
        </w:rPr>
        <w:footnoteReference w:id="13"/>
      </w:r>
      <w:r w:rsidRPr="00B721BB">
        <w:rPr>
          <w:rFonts w:ascii="Verdana" w:hAnsi="Verdana" w:cs="Arial"/>
          <w:sz w:val="20"/>
          <w:szCs w:val="20"/>
          <w:shd w:val="clear" w:color="auto" w:fill="FFFFFF"/>
        </w:rPr>
        <w:t xml:space="preserve">. </w:t>
      </w:r>
      <w:r w:rsidR="004B598B" w:rsidRPr="00B721BB">
        <w:rPr>
          <w:rFonts w:ascii="Verdana" w:hAnsi="Verdana" w:cs="Arial"/>
          <w:sz w:val="20"/>
          <w:szCs w:val="20"/>
          <w:shd w:val="clear" w:color="auto" w:fill="FFFFFF"/>
        </w:rPr>
        <w:t xml:space="preserve">Asimismo, este Tribunal valora la realización de esfuerzos </w:t>
      </w:r>
      <w:r w:rsidR="00D55A4B" w:rsidRPr="00B721BB">
        <w:rPr>
          <w:rFonts w:ascii="Verdana" w:hAnsi="Verdana" w:cs="Arial"/>
          <w:sz w:val="20"/>
          <w:szCs w:val="20"/>
          <w:shd w:val="clear" w:color="auto" w:fill="FFFFFF"/>
        </w:rPr>
        <w:t>adicionales con el fin de</w:t>
      </w:r>
      <w:r w:rsidR="004B598B" w:rsidRPr="00B721BB">
        <w:rPr>
          <w:rFonts w:ascii="Verdana" w:hAnsi="Verdana" w:cs="Arial"/>
          <w:sz w:val="20"/>
          <w:szCs w:val="20"/>
          <w:shd w:val="clear" w:color="auto" w:fill="FFFFFF"/>
        </w:rPr>
        <w:t xml:space="preserve"> contribuir a </w:t>
      </w:r>
      <w:r w:rsidR="00D55A4B" w:rsidRPr="00B721BB">
        <w:rPr>
          <w:rFonts w:ascii="Verdana" w:hAnsi="Verdana" w:cs="Arial"/>
          <w:sz w:val="20"/>
          <w:szCs w:val="20"/>
          <w:shd w:val="clear" w:color="auto" w:fill="FFFFFF"/>
        </w:rPr>
        <w:t>su</w:t>
      </w:r>
      <w:r w:rsidR="004B598B" w:rsidRPr="00B721BB">
        <w:rPr>
          <w:rFonts w:ascii="Verdana" w:hAnsi="Verdana" w:cs="Arial"/>
          <w:sz w:val="20"/>
          <w:szCs w:val="20"/>
          <w:shd w:val="clear" w:color="auto" w:fill="FFFFFF"/>
        </w:rPr>
        <w:t xml:space="preserve"> difusión en el ámbito interno</w:t>
      </w:r>
      <w:r w:rsidR="004B598B" w:rsidRPr="00B721BB">
        <w:rPr>
          <w:rStyle w:val="Refdenotaalpie"/>
          <w:rFonts w:ascii="Verdana" w:hAnsi="Verdana" w:cs="Arial"/>
          <w:sz w:val="20"/>
          <w:szCs w:val="20"/>
          <w:shd w:val="clear" w:color="auto" w:fill="FFFFFF"/>
        </w:rPr>
        <w:footnoteReference w:id="14"/>
      </w:r>
      <w:r w:rsidR="004B598B" w:rsidRPr="00B721BB">
        <w:rPr>
          <w:rFonts w:ascii="Verdana" w:hAnsi="Verdana" w:cs="Arial"/>
          <w:sz w:val="20"/>
          <w:szCs w:val="20"/>
          <w:shd w:val="clear" w:color="auto" w:fill="FFFFFF"/>
        </w:rPr>
        <w:t>.</w:t>
      </w:r>
    </w:p>
    <w:p w14:paraId="031155D0" w14:textId="77777777" w:rsidR="00485376" w:rsidRPr="00B721BB" w:rsidRDefault="005B5203" w:rsidP="005B5203">
      <w:pPr>
        <w:numPr>
          <w:ilvl w:val="0"/>
          <w:numId w:val="4"/>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En virtud de lo anterior, la Corte declara que el Estado ha dado cumplimiento total a las medidas de publicación y difusión de la Sentencia y de su resumen oficial, ordenadas en el punto resolutivo décimo de la misma</w:t>
      </w:r>
      <w:r w:rsidR="00240A28" w:rsidRPr="00B721BB">
        <w:rPr>
          <w:rFonts w:ascii="Verdana" w:hAnsi="Verdana" w:cs="Arial"/>
          <w:sz w:val="20"/>
          <w:szCs w:val="20"/>
          <w:shd w:val="clear" w:color="auto" w:fill="FFFFFF"/>
        </w:rPr>
        <w:t>.</w:t>
      </w:r>
    </w:p>
    <w:p w14:paraId="4B15C5CF" w14:textId="77777777" w:rsidR="00152789" w:rsidRPr="00B721BB" w:rsidRDefault="00152789" w:rsidP="00152789">
      <w:pPr>
        <w:spacing w:before="120" w:after="120" w:line="240" w:lineRule="auto"/>
        <w:jc w:val="both"/>
        <w:rPr>
          <w:rFonts w:ascii="Verdana" w:hAnsi="Verdana" w:cs="Arial"/>
          <w:sz w:val="20"/>
          <w:szCs w:val="20"/>
          <w:shd w:val="clear" w:color="auto" w:fill="FFFFFF"/>
        </w:rPr>
      </w:pPr>
    </w:p>
    <w:p w14:paraId="1D52675A" w14:textId="64BDB2F6" w:rsidR="00152789" w:rsidRPr="00B721BB" w:rsidRDefault="00152789" w:rsidP="0006534C">
      <w:pPr>
        <w:pStyle w:val="Listavistosa-nfasis12"/>
        <w:numPr>
          <w:ilvl w:val="0"/>
          <w:numId w:val="1"/>
        </w:numPr>
        <w:spacing w:before="120" w:after="120"/>
        <w:contextualSpacing/>
        <w:jc w:val="both"/>
        <w:outlineLvl w:val="0"/>
        <w:rPr>
          <w:rFonts w:ascii="Verdana" w:hAnsi="Verdana" w:cs="Arial"/>
          <w:b/>
          <w:i/>
          <w:sz w:val="20"/>
          <w:szCs w:val="20"/>
          <w:shd w:val="clear" w:color="auto" w:fill="FFFFFF"/>
        </w:rPr>
      </w:pPr>
      <w:bookmarkStart w:id="3" w:name="_Toc1725300"/>
      <w:bookmarkStart w:id="4" w:name="_Toc26890308"/>
      <w:bookmarkStart w:id="5" w:name="_Toc522611765"/>
      <w:r w:rsidRPr="00B721BB">
        <w:rPr>
          <w:rFonts w:ascii="Verdana" w:hAnsi="Verdana"/>
          <w:b/>
          <w:i/>
          <w:sz w:val="20"/>
          <w:szCs w:val="20"/>
          <w:lang w:val="es-MX"/>
        </w:rPr>
        <w:lastRenderedPageBreak/>
        <w:t>Indemnizaciones</w:t>
      </w:r>
      <w:r w:rsidRPr="00B721BB">
        <w:rPr>
          <w:rFonts w:ascii="Verdana" w:hAnsi="Verdana" w:cs="Arial"/>
          <w:b/>
          <w:i/>
          <w:sz w:val="20"/>
          <w:szCs w:val="20"/>
          <w:shd w:val="clear" w:color="auto" w:fill="FFFFFF"/>
        </w:rPr>
        <w:t xml:space="preserve"> por</w:t>
      </w:r>
      <w:r w:rsidR="00E669F0" w:rsidRPr="00B721BB">
        <w:rPr>
          <w:rFonts w:ascii="Verdana" w:hAnsi="Verdana" w:cs="Arial"/>
          <w:b/>
          <w:i/>
          <w:sz w:val="20"/>
          <w:szCs w:val="20"/>
          <w:shd w:val="clear" w:color="auto" w:fill="FFFFFF"/>
        </w:rPr>
        <w:t xml:space="preserve"> concepto de</w:t>
      </w:r>
      <w:r w:rsidRPr="00B721BB">
        <w:rPr>
          <w:rFonts w:ascii="Verdana" w:hAnsi="Verdana" w:cs="Arial"/>
          <w:b/>
          <w:i/>
          <w:sz w:val="20"/>
          <w:szCs w:val="20"/>
          <w:shd w:val="clear" w:color="auto" w:fill="FFFFFF"/>
        </w:rPr>
        <w:t xml:space="preserve"> daño inmaterial y reintegro de costas y gastos</w:t>
      </w:r>
      <w:bookmarkEnd w:id="3"/>
      <w:bookmarkEnd w:id="4"/>
      <w:r w:rsidRPr="00B721BB">
        <w:rPr>
          <w:rFonts w:ascii="Verdana" w:hAnsi="Verdana" w:cs="Arial"/>
          <w:b/>
          <w:i/>
          <w:sz w:val="20"/>
          <w:szCs w:val="20"/>
          <w:shd w:val="clear" w:color="auto" w:fill="FFFFFF"/>
        </w:rPr>
        <w:t xml:space="preserve"> </w:t>
      </w:r>
      <w:bookmarkEnd w:id="5"/>
    </w:p>
    <w:p w14:paraId="77AC31E5" w14:textId="77777777" w:rsidR="00E669F0" w:rsidRPr="00B721BB" w:rsidRDefault="00E669F0" w:rsidP="00DD5E82">
      <w:pPr>
        <w:spacing w:after="0" w:line="240" w:lineRule="auto"/>
        <w:ind w:left="709"/>
        <w:jc w:val="both"/>
        <w:rPr>
          <w:rFonts w:ascii="Verdana" w:hAnsi="Verdana" w:cs="Arial"/>
          <w:i/>
          <w:sz w:val="20"/>
          <w:szCs w:val="20"/>
          <w:shd w:val="clear" w:color="auto" w:fill="FFFFFF"/>
        </w:rPr>
      </w:pPr>
    </w:p>
    <w:p w14:paraId="7D53A74E" w14:textId="77777777" w:rsidR="00152789" w:rsidRPr="00B721BB" w:rsidRDefault="00152789" w:rsidP="00DD5E82">
      <w:pPr>
        <w:spacing w:after="0" w:line="240" w:lineRule="auto"/>
        <w:ind w:left="709"/>
        <w:jc w:val="both"/>
        <w:rPr>
          <w:rFonts w:ascii="Verdana" w:hAnsi="Verdana" w:cs="Arial"/>
          <w:i/>
          <w:sz w:val="20"/>
          <w:szCs w:val="20"/>
          <w:shd w:val="clear" w:color="auto" w:fill="FFFFFF"/>
        </w:rPr>
      </w:pPr>
      <w:r w:rsidRPr="00B721BB">
        <w:rPr>
          <w:rFonts w:ascii="Verdana" w:hAnsi="Verdana" w:cs="Arial"/>
          <w:i/>
          <w:sz w:val="20"/>
          <w:szCs w:val="20"/>
          <w:shd w:val="clear" w:color="auto" w:fill="FFFFFF"/>
        </w:rPr>
        <w:t>B.1. Medidas ordenadas por la Corte</w:t>
      </w:r>
    </w:p>
    <w:p w14:paraId="24032118" w14:textId="77777777" w:rsidR="00E669F0" w:rsidRPr="00B721BB" w:rsidRDefault="00E669F0" w:rsidP="00DD5E82">
      <w:pPr>
        <w:spacing w:after="0" w:line="240" w:lineRule="auto"/>
        <w:jc w:val="both"/>
        <w:rPr>
          <w:rFonts w:ascii="Verdana" w:hAnsi="Verdana"/>
          <w:sz w:val="20"/>
          <w:szCs w:val="20"/>
        </w:rPr>
      </w:pPr>
      <w:bookmarkStart w:id="6" w:name="_Ref1478628"/>
    </w:p>
    <w:p w14:paraId="0D4663B5" w14:textId="6701B649" w:rsidR="00805307" w:rsidRPr="00B721BB" w:rsidRDefault="003450B3" w:rsidP="00A03C1E">
      <w:pPr>
        <w:numPr>
          <w:ilvl w:val="0"/>
          <w:numId w:val="6"/>
        </w:numPr>
        <w:spacing w:before="120" w:after="120" w:line="240" w:lineRule="auto"/>
        <w:ind w:left="0" w:firstLine="0"/>
        <w:jc w:val="both"/>
        <w:rPr>
          <w:rFonts w:ascii="Verdana" w:hAnsi="Verdana"/>
          <w:sz w:val="20"/>
          <w:szCs w:val="20"/>
        </w:rPr>
      </w:pPr>
      <w:r w:rsidRPr="00B721BB">
        <w:rPr>
          <w:rFonts w:ascii="Verdana" w:hAnsi="Verdana"/>
          <w:sz w:val="20"/>
          <w:szCs w:val="20"/>
        </w:rPr>
        <w:t>En el punto resolutivo d</w:t>
      </w:r>
      <w:r w:rsidR="009B045C" w:rsidRPr="00B721BB">
        <w:rPr>
          <w:rFonts w:ascii="Verdana" w:hAnsi="Verdana"/>
          <w:sz w:val="20"/>
          <w:szCs w:val="20"/>
        </w:rPr>
        <w:t>é</w:t>
      </w:r>
      <w:r w:rsidRPr="00B721BB">
        <w:rPr>
          <w:rFonts w:ascii="Verdana" w:hAnsi="Verdana"/>
          <w:sz w:val="20"/>
          <w:szCs w:val="20"/>
        </w:rPr>
        <w:t>cimo</w:t>
      </w:r>
      <w:r w:rsidR="009B045C" w:rsidRPr="00B721BB">
        <w:rPr>
          <w:rFonts w:ascii="Verdana" w:hAnsi="Verdana"/>
          <w:sz w:val="20"/>
          <w:szCs w:val="20"/>
        </w:rPr>
        <w:t xml:space="preserve"> </w:t>
      </w:r>
      <w:r w:rsidR="00805307" w:rsidRPr="00B721BB">
        <w:rPr>
          <w:rFonts w:ascii="Verdana" w:hAnsi="Verdana"/>
          <w:sz w:val="20"/>
          <w:szCs w:val="20"/>
        </w:rPr>
        <w:t>segundo de la Sentencia se dispuso que el Estado debía pagar:</w:t>
      </w:r>
      <w:bookmarkEnd w:id="6"/>
    </w:p>
    <w:p w14:paraId="606BE0B5" w14:textId="480BFC28" w:rsidR="00805307" w:rsidRPr="00B721BB" w:rsidRDefault="00805307" w:rsidP="00A03C1E">
      <w:pPr>
        <w:numPr>
          <w:ilvl w:val="0"/>
          <w:numId w:val="5"/>
        </w:numPr>
        <w:spacing w:before="120" w:after="120" w:line="240" w:lineRule="auto"/>
        <w:ind w:left="709" w:hanging="349"/>
        <w:jc w:val="both"/>
        <w:rPr>
          <w:rFonts w:ascii="Verdana" w:hAnsi="Verdana"/>
          <w:sz w:val="20"/>
          <w:szCs w:val="20"/>
        </w:rPr>
      </w:pPr>
      <w:r w:rsidRPr="00B721BB">
        <w:rPr>
          <w:rFonts w:ascii="Verdana" w:hAnsi="Verdana"/>
          <w:sz w:val="20"/>
          <w:szCs w:val="20"/>
        </w:rPr>
        <w:t>a los 128 trabajadores de la Hacienda Brasil Verde que se encontraron durante las fiscalizaciones de 23 de abril de 1997 y 15 de marzo de 2000, las cantidades fijadas a favor de cada uno de ellos en el párrafo 487</w:t>
      </w:r>
      <w:r w:rsidRPr="00B721BB">
        <w:rPr>
          <w:rFonts w:ascii="Verdana" w:hAnsi="Verdana"/>
          <w:sz w:val="20"/>
          <w:szCs w:val="20"/>
          <w:vertAlign w:val="superscript"/>
        </w:rPr>
        <w:footnoteReference w:id="15"/>
      </w:r>
      <w:r w:rsidRPr="00B721BB">
        <w:rPr>
          <w:rFonts w:ascii="Verdana" w:hAnsi="Verdana"/>
          <w:sz w:val="20"/>
          <w:szCs w:val="20"/>
        </w:rPr>
        <w:t xml:space="preserve"> de la Sentencia, por concepto de indemnización del daño inmaterial</w:t>
      </w:r>
      <w:r w:rsidR="00716492" w:rsidRPr="00B721BB">
        <w:rPr>
          <w:rFonts w:ascii="Verdana" w:hAnsi="Verdana"/>
          <w:sz w:val="20"/>
          <w:szCs w:val="20"/>
        </w:rPr>
        <w:t>, y</w:t>
      </w:r>
    </w:p>
    <w:p w14:paraId="2598644F" w14:textId="179E4831" w:rsidR="00805307" w:rsidRPr="00B721BB" w:rsidRDefault="00805307" w:rsidP="00A03C1E">
      <w:pPr>
        <w:numPr>
          <w:ilvl w:val="0"/>
          <w:numId w:val="5"/>
        </w:numPr>
        <w:spacing w:before="120" w:after="120" w:line="240" w:lineRule="auto"/>
        <w:ind w:left="709" w:hanging="349"/>
        <w:jc w:val="both"/>
        <w:rPr>
          <w:rFonts w:ascii="Verdana" w:hAnsi="Verdana"/>
          <w:sz w:val="20"/>
          <w:szCs w:val="20"/>
        </w:rPr>
      </w:pPr>
      <w:r w:rsidRPr="00B721BB">
        <w:rPr>
          <w:rFonts w:ascii="Verdana" w:hAnsi="Verdana"/>
          <w:sz w:val="20"/>
          <w:szCs w:val="20"/>
        </w:rPr>
        <w:t xml:space="preserve">a la Comisión </w:t>
      </w:r>
      <w:r w:rsidR="00716492" w:rsidRPr="00B721BB">
        <w:rPr>
          <w:rFonts w:ascii="Verdana" w:hAnsi="Verdana"/>
          <w:sz w:val="20"/>
          <w:szCs w:val="20"/>
        </w:rPr>
        <w:t>Pastoral de la Tierra</w:t>
      </w:r>
      <w:r w:rsidRPr="00B721BB">
        <w:rPr>
          <w:rFonts w:ascii="Verdana" w:hAnsi="Verdana"/>
          <w:sz w:val="20"/>
          <w:szCs w:val="20"/>
        </w:rPr>
        <w:t xml:space="preserve"> (en adelante, “</w:t>
      </w:r>
      <w:r w:rsidR="00716492" w:rsidRPr="00B721BB">
        <w:rPr>
          <w:rFonts w:ascii="Verdana" w:hAnsi="Verdana"/>
          <w:sz w:val="20"/>
          <w:szCs w:val="20"/>
        </w:rPr>
        <w:t>CPT</w:t>
      </w:r>
      <w:r w:rsidRPr="00B721BB">
        <w:rPr>
          <w:rFonts w:ascii="Verdana" w:hAnsi="Verdana"/>
          <w:sz w:val="20"/>
          <w:szCs w:val="20"/>
        </w:rPr>
        <w:t>”)</w:t>
      </w:r>
      <w:r w:rsidR="00716492" w:rsidRPr="00B721BB">
        <w:rPr>
          <w:rFonts w:ascii="Verdana" w:hAnsi="Verdana"/>
          <w:sz w:val="20"/>
          <w:szCs w:val="20"/>
        </w:rPr>
        <w:t xml:space="preserve"> y al Centro por la Justicia y el Derecho Internacional (en adelante “CEJIL”)</w:t>
      </w:r>
      <w:r w:rsidR="00875FE5" w:rsidRPr="00B721BB">
        <w:rPr>
          <w:rFonts w:ascii="Verdana" w:hAnsi="Verdana"/>
          <w:sz w:val="20"/>
          <w:szCs w:val="20"/>
        </w:rPr>
        <w:t>,</w:t>
      </w:r>
      <w:r w:rsidRPr="00B721BB">
        <w:rPr>
          <w:rFonts w:ascii="Verdana" w:hAnsi="Verdana"/>
          <w:sz w:val="20"/>
          <w:szCs w:val="20"/>
        </w:rPr>
        <w:t xml:space="preserve"> la</w:t>
      </w:r>
      <w:r w:rsidR="00716492" w:rsidRPr="00B721BB">
        <w:rPr>
          <w:rFonts w:ascii="Verdana" w:hAnsi="Verdana"/>
          <w:sz w:val="20"/>
          <w:szCs w:val="20"/>
        </w:rPr>
        <w:t>s</w:t>
      </w:r>
      <w:r w:rsidRPr="00B721BB">
        <w:rPr>
          <w:rFonts w:ascii="Verdana" w:hAnsi="Verdana"/>
          <w:sz w:val="20"/>
          <w:szCs w:val="20"/>
        </w:rPr>
        <w:t xml:space="preserve"> cantidad</w:t>
      </w:r>
      <w:r w:rsidR="00716492" w:rsidRPr="00B721BB">
        <w:rPr>
          <w:rFonts w:ascii="Verdana" w:hAnsi="Verdana"/>
          <w:sz w:val="20"/>
          <w:szCs w:val="20"/>
        </w:rPr>
        <w:t>es</w:t>
      </w:r>
      <w:r w:rsidRPr="00B721BB">
        <w:rPr>
          <w:rFonts w:ascii="Verdana" w:hAnsi="Verdana"/>
          <w:sz w:val="20"/>
          <w:szCs w:val="20"/>
        </w:rPr>
        <w:t xml:space="preserve"> fijada</w:t>
      </w:r>
      <w:r w:rsidR="00716492" w:rsidRPr="00B721BB">
        <w:rPr>
          <w:rFonts w:ascii="Verdana" w:hAnsi="Verdana"/>
          <w:sz w:val="20"/>
          <w:szCs w:val="20"/>
        </w:rPr>
        <w:t>s</w:t>
      </w:r>
      <w:r w:rsidRPr="00B721BB">
        <w:rPr>
          <w:rFonts w:ascii="Verdana" w:hAnsi="Verdana"/>
          <w:sz w:val="20"/>
          <w:szCs w:val="20"/>
        </w:rPr>
        <w:t xml:space="preserve"> en el párrafo </w:t>
      </w:r>
      <w:r w:rsidR="00716492" w:rsidRPr="00B721BB">
        <w:rPr>
          <w:rFonts w:ascii="Verdana" w:hAnsi="Verdana"/>
          <w:sz w:val="20"/>
          <w:szCs w:val="20"/>
        </w:rPr>
        <w:t>495</w:t>
      </w:r>
      <w:r w:rsidRPr="00B721BB">
        <w:rPr>
          <w:rFonts w:ascii="Verdana" w:hAnsi="Verdana"/>
          <w:sz w:val="20"/>
          <w:szCs w:val="20"/>
          <w:vertAlign w:val="superscript"/>
        </w:rPr>
        <w:footnoteReference w:id="16"/>
      </w:r>
      <w:r w:rsidRPr="00B721BB">
        <w:rPr>
          <w:rFonts w:ascii="Verdana" w:hAnsi="Verdana"/>
          <w:sz w:val="20"/>
          <w:szCs w:val="20"/>
        </w:rPr>
        <w:t xml:space="preserve"> de la Sentencia, por concepto de reintegro de costas y gastos.</w:t>
      </w:r>
    </w:p>
    <w:p w14:paraId="624CFB65" w14:textId="556AC982" w:rsidR="00805307" w:rsidRPr="00B721BB" w:rsidRDefault="00805307" w:rsidP="00A03C1E">
      <w:pPr>
        <w:numPr>
          <w:ilvl w:val="0"/>
          <w:numId w:val="6"/>
        </w:numPr>
        <w:spacing w:before="120" w:after="120" w:line="240" w:lineRule="auto"/>
        <w:ind w:left="0" w:firstLine="0"/>
        <w:jc w:val="both"/>
        <w:rPr>
          <w:rFonts w:ascii="Verdana" w:hAnsi="Verdana"/>
          <w:sz w:val="20"/>
          <w:szCs w:val="20"/>
        </w:rPr>
      </w:pPr>
      <w:bookmarkStart w:id="7" w:name="_Ref14788803"/>
      <w:r w:rsidRPr="00B721BB">
        <w:rPr>
          <w:rFonts w:ascii="Verdana" w:hAnsi="Verdana"/>
          <w:sz w:val="20"/>
          <w:szCs w:val="20"/>
        </w:rPr>
        <w:t>En cuanto a la modalidad de</w:t>
      </w:r>
      <w:r w:rsidR="00716492" w:rsidRPr="00B721BB">
        <w:rPr>
          <w:rFonts w:ascii="Verdana" w:hAnsi="Verdana"/>
          <w:sz w:val="20"/>
          <w:szCs w:val="20"/>
        </w:rPr>
        <w:t xml:space="preserve"> cumplimiento de los</w:t>
      </w:r>
      <w:r w:rsidRPr="00B721BB">
        <w:rPr>
          <w:rFonts w:ascii="Verdana" w:hAnsi="Verdana"/>
          <w:sz w:val="20"/>
          <w:szCs w:val="20"/>
        </w:rPr>
        <w:t xml:space="preserve"> pagos indicados</w:t>
      </w:r>
      <w:r w:rsidR="00824329" w:rsidRPr="00B721BB">
        <w:rPr>
          <w:rFonts w:ascii="Verdana" w:hAnsi="Verdana"/>
          <w:sz w:val="20"/>
          <w:szCs w:val="20"/>
        </w:rPr>
        <w:t xml:space="preserve"> (</w:t>
      </w:r>
      <w:r w:rsidR="00824329" w:rsidRPr="00B721BB">
        <w:rPr>
          <w:rFonts w:ascii="Verdana" w:hAnsi="Verdana"/>
          <w:i/>
          <w:sz w:val="20"/>
          <w:szCs w:val="20"/>
        </w:rPr>
        <w:t xml:space="preserve">supra </w:t>
      </w:r>
      <w:r w:rsidR="00824329" w:rsidRPr="00B721BB">
        <w:rPr>
          <w:rFonts w:ascii="Verdana" w:hAnsi="Verdana"/>
          <w:sz w:val="20"/>
          <w:szCs w:val="20"/>
        </w:rPr>
        <w:t>Considerando 7)</w:t>
      </w:r>
      <w:r w:rsidR="00716492" w:rsidRPr="00B721BB">
        <w:rPr>
          <w:rFonts w:ascii="Verdana" w:hAnsi="Verdana"/>
          <w:sz w:val="20"/>
          <w:szCs w:val="20"/>
        </w:rPr>
        <w:t>, en el párrafo 496</w:t>
      </w:r>
      <w:r w:rsidRPr="00B721BB">
        <w:rPr>
          <w:rFonts w:ascii="Verdana" w:hAnsi="Verdana"/>
          <w:sz w:val="20"/>
          <w:szCs w:val="20"/>
        </w:rPr>
        <w:t xml:space="preserve"> de la Sentencia, la Corte dispuso q</w:t>
      </w:r>
      <w:r w:rsidR="00274472" w:rsidRPr="00B721BB">
        <w:rPr>
          <w:rFonts w:ascii="Verdana" w:hAnsi="Verdana"/>
          <w:sz w:val="20"/>
          <w:szCs w:val="20"/>
        </w:rPr>
        <w:t xml:space="preserve">ue éstos debían ser efectuados </w:t>
      </w:r>
      <w:r w:rsidR="00716492" w:rsidRPr="00B721BB">
        <w:rPr>
          <w:rFonts w:ascii="Verdana" w:hAnsi="Verdana"/>
          <w:sz w:val="20"/>
          <w:szCs w:val="20"/>
        </w:rPr>
        <w:t>dentro del plazo de un año</w:t>
      </w:r>
      <w:r w:rsidRPr="00B721BB">
        <w:rPr>
          <w:rFonts w:ascii="Verdana" w:hAnsi="Verdana"/>
          <w:sz w:val="20"/>
          <w:szCs w:val="20"/>
        </w:rPr>
        <w:t xml:space="preserve"> contado a partir</w:t>
      </w:r>
      <w:r w:rsidR="00274472" w:rsidRPr="00B721BB">
        <w:rPr>
          <w:rFonts w:ascii="Verdana" w:hAnsi="Verdana"/>
          <w:sz w:val="20"/>
          <w:szCs w:val="20"/>
        </w:rPr>
        <w:t xml:space="preserve"> de la notificación del Fallo</w:t>
      </w:r>
      <w:r w:rsidRPr="00B721BB">
        <w:rPr>
          <w:rFonts w:ascii="Verdana" w:hAnsi="Verdana"/>
          <w:sz w:val="20"/>
          <w:szCs w:val="20"/>
        </w:rPr>
        <w:t>. A</w:t>
      </w:r>
      <w:r w:rsidR="00716492" w:rsidRPr="00B721BB">
        <w:rPr>
          <w:rFonts w:ascii="Verdana" w:hAnsi="Verdana"/>
          <w:sz w:val="20"/>
          <w:szCs w:val="20"/>
        </w:rPr>
        <w:t xml:space="preserve">dicionalmente, en </w:t>
      </w:r>
      <w:r w:rsidR="00274472" w:rsidRPr="00B721BB">
        <w:rPr>
          <w:rFonts w:ascii="Verdana" w:hAnsi="Verdana"/>
          <w:sz w:val="20"/>
          <w:szCs w:val="20"/>
        </w:rPr>
        <w:t>el</w:t>
      </w:r>
      <w:r w:rsidRPr="00B721BB">
        <w:rPr>
          <w:rFonts w:ascii="Verdana" w:hAnsi="Verdana"/>
          <w:sz w:val="20"/>
          <w:szCs w:val="20"/>
        </w:rPr>
        <w:t xml:space="preserve"> párrafo</w:t>
      </w:r>
      <w:r w:rsidR="00716492" w:rsidRPr="00B721BB">
        <w:rPr>
          <w:rFonts w:ascii="Verdana" w:hAnsi="Verdana"/>
          <w:sz w:val="20"/>
          <w:szCs w:val="20"/>
        </w:rPr>
        <w:t xml:space="preserve"> 499 </w:t>
      </w:r>
      <w:r w:rsidR="00824329" w:rsidRPr="00B721BB">
        <w:rPr>
          <w:rFonts w:ascii="Verdana" w:hAnsi="Verdana"/>
          <w:sz w:val="20"/>
          <w:szCs w:val="20"/>
        </w:rPr>
        <w:t xml:space="preserve">de la Sentencia </w:t>
      </w:r>
      <w:r w:rsidRPr="00B721BB">
        <w:rPr>
          <w:rFonts w:ascii="Verdana" w:hAnsi="Verdana"/>
          <w:sz w:val="20"/>
          <w:szCs w:val="20"/>
        </w:rPr>
        <w:t>el Tribunal estableció que</w:t>
      </w:r>
      <w:r w:rsidR="00274472" w:rsidRPr="00B721BB">
        <w:rPr>
          <w:rFonts w:ascii="Verdana" w:hAnsi="Verdana"/>
          <w:sz w:val="20"/>
          <w:szCs w:val="20"/>
        </w:rPr>
        <w:t xml:space="preserve"> s</w:t>
      </w:r>
      <w:r w:rsidR="00716492" w:rsidRPr="00B721BB">
        <w:rPr>
          <w:rFonts w:ascii="Verdana" w:hAnsi="Verdana"/>
          <w:sz w:val="20"/>
          <w:szCs w:val="20"/>
        </w:rPr>
        <w:t xml:space="preserve">i por causas atribuibles a alguno de los beneficiarios de las indemnizaciones o a sus derechohabientes no fuese posible el pago de todo o parte de las cantidades determinadas dentro del plazo indicado, el Estado </w:t>
      </w:r>
      <w:r w:rsidR="00274472" w:rsidRPr="00B721BB">
        <w:rPr>
          <w:rFonts w:ascii="Verdana" w:hAnsi="Verdana"/>
          <w:sz w:val="20"/>
          <w:szCs w:val="20"/>
        </w:rPr>
        <w:t>deber</w:t>
      </w:r>
      <w:r w:rsidR="00014138" w:rsidRPr="00B721BB">
        <w:rPr>
          <w:rFonts w:ascii="Verdana" w:hAnsi="Verdana"/>
          <w:sz w:val="20"/>
          <w:szCs w:val="20"/>
        </w:rPr>
        <w:t>ía</w:t>
      </w:r>
      <w:r w:rsidR="00274472" w:rsidRPr="00B721BB">
        <w:rPr>
          <w:rFonts w:ascii="Verdana" w:hAnsi="Verdana"/>
          <w:sz w:val="20"/>
          <w:szCs w:val="20"/>
        </w:rPr>
        <w:t xml:space="preserve"> consignar</w:t>
      </w:r>
      <w:r w:rsidR="00716492" w:rsidRPr="00B721BB">
        <w:rPr>
          <w:rFonts w:ascii="Verdana" w:hAnsi="Verdana"/>
          <w:sz w:val="20"/>
          <w:szCs w:val="20"/>
        </w:rPr>
        <w:t xml:space="preserve"> dichos montos a su favor en una cuenta o certificado de depósito en una institución financiera brasileña solvente, en dólares de los Estados Unidos de América, y en las condiciones financieras más favorables que permitan la legislación y la práctica bancaria del Estado</w:t>
      </w:r>
      <w:r w:rsidR="00274472" w:rsidRPr="00B721BB">
        <w:rPr>
          <w:rFonts w:ascii="Verdana" w:hAnsi="Verdana"/>
          <w:sz w:val="20"/>
          <w:szCs w:val="20"/>
        </w:rPr>
        <w:t>. En el párra</w:t>
      </w:r>
      <w:r w:rsidR="000955AF" w:rsidRPr="00B721BB">
        <w:rPr>
          <w:rFonts w:ascii="Verdana" w:hAnsi="Verdana"/>
          <w:sz w:val="20"/>
          <w:szCs w:val="20"/>
        </w:rPr>
        <w:t>f</w:t>
      </w:r>
      <w:r w:rsidR="00274472" w:rsidRPr="00B721BB">
        <w:rPr>
          <w:rFonts w:ascii="Verdana" w:hAnsi="Verdana"/>
          <w:sz w:val="20"/>
          <w:szCs w:val="20"/>
        </w:rPr>
        <w:t xml:space="preserve">o 501 se agregó </w:t>
      </w:r>
      <w:r w:rsidR="00716492" w:rsidRPr="00B721BB">
        <w:rPr>
          <w:rFonts w:ascii="Verdana" w:hAnsi="Verdana"/>
          <w:sz w:val="20"/>
          <w:szCs w:val="20"/>
        </w:rPr>
        <w:t xml:space="preserve">que </w:t>
      </w:r>
      <w:r w:rsidRPr="00B721BB">
        <w:rPr>
          <w:rFonts w:ascii="Verdana" w:hAnsi="Verdana"/>
          <w:sz w:val="20"/>
          <w:szCs w:val="20"/>
        </w:rPr>
        <w:t>en caso de que el Estado incurriera en mora, deber</w:t>
      </w:r>
      <w:r w:rsidR="00014138" w:rsidRPr="00B721BB">
        <w:rPr>
          <w:rFonts w:ascii="Verdana" w:hAnsi="Verdana"/>
          <w:sz w:val="20"/>
          <w:szCs w:val="20"/>
        </w:rPr>
        <w:t>ía</w:t>
      </w:r>
      <w:r w:rsidRPr="00B721BB">
        <w:rPr>
          <w:rFonts w:ascii="Verdana" w:hAnsi="Verdana"/>
          <w:sz w:val="20"/>
          <w:szCs w:val="20"/>
        </w:rPr>
        <w:t xml:space="preserve"> pagar un interés sobre la cantidad adeudada</w:t>
      </w:r>
      <w:r w:rsidR="00716492" w:rsidRPr="00B721BB">
        <w:rPr>
          <w:rFonts w:ascii="Verdana" w:hAnsi="Verdana"/>
          <w:sz w:val="20"/>
          <w:szCs w:val="20"/>
        </w:rPr>
        <w:t>,</w:t>
      </w:r>
      <w:r w:rsidRPr="00B721BB">
        <w:rPr>
          <w:rFonts w:ascii="Verdana" w:hAnsi="Verdana"/>
          <w:sz w:val="20"/>
          <w:szCs w:val="20"/>
        </w:rPr>
        <w:t xml:space="preserve"> correspondiente al interés bancario moratorio en </w:t>
      </w:r>
      <w:r w:rsidR="00716492" w:rsidRPr="00B721BB">
        <w:rPr>
          <w:rFonts w:ascii="Verdana" w:hAnsi="Verdana"/>
          <w:sz w:val="20"/>
          <w:szCs w:val="20"/>
        </w:rPr>
        <w:t>la República Federativa de Brasil.</w:t>
      </w:r>
      <w:bookmarkEnd w:id="7"/>
    </w:p>
    <w:p w14:paraId="3E554395" w14:textId="77777777" w:rsidR="002B20FE" w:rsidRPr="00B721BB" w:rsidRDefault="002B20FE" w:rsidP="00DD5E82">
      <w:pPr>
        <w:spacing w:after="0" w:line="240" w:lineRule="auto"/>
        <w:jc w:val="both"/>
        <w:rPr>
          <w:rFonts w:ascii="Verdana" w:hAnsi="Verdana"/>
          <w:sz w:val="20"/>
          <w:szCs w:val="20"/>
        </w:rPr>
      </w:pPr>
    </w:p>
    <w:p w14:paraId="680E8890" w14:textId="77777777" w:rsidR="002B20FE" w:rsidRPr="00B721BB" w:rsidRDefault="002B20FE" w:rsidP="00DD5E82">
      <w:pPr>
        <w:spacing w:after="0" w:line="240" w:lineRule="auto"/>
        <w:ind w:left="709"/>
        <w:jc w:val="both"/>
        <w:rPr>
          <w:rFonts w:ascii="Verdana" w:hAnsi="Verdana" w:cs="Arial"/>
          <w:i/>
          <w:sz w:val="20"/>
          <w:szCs w:val="20"/>
          <w:shd w:val="clear" w:color="auto" w:fill="FFFFFF"/>
        </w:rPr>
      </w:pPr>
      <w:r w:rsidRPr="00B721BB">
        <w:rPr>
          <w:rFonts w:ascii="Verdana" w:hAnsi="Verdana" w:cs="Arial"/>
          <w:i/>
          <w:sz w:val="20"/>
          <w:szCs w:val="20"/>
          <w:shd w:val="clear" w:color="auto" w:fill="FFFFFF"/>
        </w:rPr>
        <w:t xml:space="preserve">B.2. Consideraciones </w:t>
      </w:r>
      <w:r w:rsidR="003829D2" w:rsidRPr="00B721BB">
        <w:rPr>
          <w:rFonts w:ascii="Verdana" w:hAnsi="Verdana" w:cs="Arial"/>
          <w:i/>
          <w:sz w:val="20"/>
          <w:szCs w:val="20"/>
          <w:shd w:val="clear" w:color="auto" w:fill="FFFFFF"/>
        </w:rPr>
        <w:t xml:space="preserve">de </w:t>
      </w:r>
      <w:r w:rsidRPr="00B721BB">
        <w:rPr>
          <w:rFonts w:ascii="Verdana" w:hAnsi="Verdana" w:cs="Arial"/>
          <w:i/>
          <w:sz w:val="20"/>
          <w:szCs w:val="20"/>
          <w:shd w:val="clear" w:color="auto" w:fill="FFFFFF"/>
        </w:rPr>
        <w:t xml:space="preserve">la Corte </w:t>
      </w:r>
    </w:p>
    <w:p w14:paraId="01398483" w14:textId="77777777" w:rsidR="00E669F0" w:rsidRPr="00B721BB" w:rsidRDefault="00E669F0" w:rsidP="00DD5E82">
      <w:pPr>
        <w:spacing w:after="0" w:line="240" w:lineRule="auto"/>
        <w:ind w:left="709"/>
        <w:jc w:val="both"/>
        <w:rPr>
          <w:rFonts w:ascii="Verdana" w:hAnsi="Verdana" w:cs="Arial"/>
          <w:i/>
          <w:sz w:val="20"/>
          <w:szCs w:val="20"/>
          <w:shd w:val="clear" w:color="auto" w:fill="FFFFFF"/>
        </w:rPr>
      </w:pPr>
    </w:p>
    <w:p w14:paraId="1099E990" w14:textId="1E2D7930" w:rsidR="001616CD" w:rsidRPr="00B721BB" w:rsidRDefault="004D361C" w:rsidP="001616CD">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En lo que respecta al reintegro de costas y gastos, c</w:t>
      </w:r>
      <w:r w:rsidR="001616CD" w:rsidRPr="00B721BB">
        <w:rPr>
          <w:rFonts w:ascii="Verdana" w:hAnsi="Verdana" w:cs="Arial"/>
          <w:sz w:val="20"/>
          <w:szCs w:val="20"/>
          <w:shd w:val="clear" w:color="auto" w:fill="FFFFFF"/>
        </w:rPr>
        <w:t>on base en la información aportada por el Estado</w:t>
      </w:r>
      <w:r w:rsidR="00875FE5" w:rsidRPr="00B721BB">
        <w:rPr>
          <w:rFonts w:ascii="Verdana" w:hAnsi="Verdana" w:cs="Arial"/>
          <w:sz w:val="20"/>
          <w:szCs w:val="20"/>
          <w:shd w:val="clear" w:color="auto" w:fill="FFFFFF"/>
        </w:rPr>
        <w:t xml:space="preserve"> y las observaciones de los representantes</w:t>
      </w:r>
      <w:r w:rsidR="001616CD" w:rsidRPr="00B721BB">
        <w:rPr>
          <w:rFonts w:ascii="Verdana" w:hAnsi="Verdana" w:cs="Arial"/>
          <w:sz w:val="20"/>
          <w:szCs w:val="20"/>
          <w:shd w:val="clear" w:color="auto" w:fill="FFFFFF"/>
        </w:rPr>
        <w:t>, la Corte constata que, dentro del plazo otorgado en la Sentencia, Brasil cumplió con el pago de US$ 50.000,00 (cincuenta mil dólares de los Estados Unidos de América) a favor de CEJIL y US$5,000.00 (cinco mil dólares de los Estados Unidos de América) a favor de la CPT</w:t>
      </w:r>
      <w:r w:rsidR="001616CD" w:rsidRPr="00B721BB">
        <w:rPr>
          <w:rFonts w:ascii="Verdana" w:hAnsi="Verdana" w:cs="Arial"/>
          <w:sz w:val="20"/>
          <w:szCs w:val="20"/>
          <w:shd w:val="clear" w:color="auto" w:fill="FFFFFF"/>
          <w:vertAlign w:val="superscript"/>
        </w:rPr>
        <w:footnoteReference w:id="17"/>
      </w:r>
      <w:r w:rsidR="001616CD" w:rsidRPr="00B721BB">
        <w:rPr>
          <w:rFonts w:ascii="Verdana" w:hAnsi="Verdana" w:cs="Arial"/>
          <w:sz w:val="20"/>
          <w:szCs w:val="20"/>
          <w:shd w:val="clear" w:color="auto" w:fill="FFFFFF"/>
        </w:rPr>
        <w:t xml:space="preserve">. </w:t>
      </w:r>
    </w:p>
    <w:p w14:paraId="2B272B7A" w14:textId="6EF70173" w:rsidR="00420F7C" w:rsidRPr="00B721BB" w:rsidRDefault="004D361C" w:rsidP="00F8182C">
      <w:pPr>
        <w:numPr>
          <w:ilvl w:val="0"/>
          <w:numId w:val="6"/>
        </w:numPr>
        <w:spacing w:before="120" w:after="120" w:line="240" w:lineRule="auto"/>
        <w:ind w:left="0" w:firstLine="0"/>
        <w:jc w:val="both"/>
        <w:rPr>
          <w:rFonts w:ascii="Verdana" w:hAnsi="Verdana" w:cs="Arial"/>
          <w:b/>
          <w:sz w:val="20"/>
          <w:szCs w:val="20"/>
          <w:shd w:val="clear" w:color="auto" w:fill="FFFFFF"/>
        </w:rPr>
      </w:pPr>
      <w:bookmarkStart w:id="8" w:name="_Ref14879435"/>
      <w:r w:rsidRPr="00B721BB">
        <w:rPr>
          <w:rFonts w:ascii="Verdana" w:hAnsi="Verdana" w:cs="Arial"/>
          <w:sz w:val="20"/>
          <w:szCs w:val="20"/>
          <w:shd w:val="clear" w:color="auto" w:fill="FFFFFF"/>
        </w:rPr>
        <w:t>En cuanto al pago de indemnizaciones por concepto de daño inmaterial, la Corte ha constatado que e</w:t>
      </w:r>
      <w:r w:rsidR="006E3B0D" w:rsidRPr="00B721BB">
        <w:rPr>
          <w:rFonts w:ascii="Verdana" w:hAnsi="Verdana" w:cs="Arial"/>
          <w:sz w:val="20"/>
          <w:szCs w:val="20"/>
          <w:shd w:val="clear" w:color="auto" w:fill="FFFFFF"/>
        </w:rPr>
        <w:t>n</w:t>
      </w:r>
      <w:r w:rsidR="00FA73EB" w:rsidRPr="00B721BB">
        <w:rPr>
          <w:rFonts w:ascii="Verdana" w:hAnsi="Verdana" w:cs="Arial"/>
          <w:sz w:val="20"/>
          <w:szCs w:val="20"/>
          <w:shd w:val="clear" w:color="auto" w:fill="FFFFFF"/>
        </w:rPr>
        <w:t xml:space="preserve"> diciembre de 2017 </w:t>
      </w:r>
      <w:r w:rsidR="00E31ED2" w:rsidRPr="00B721BB">
        <w:rPr>
          <w:rFonts w:ascii="Verdana" w:hAnsi="Verdana" w:cs="Arial"/>
          <w:sz w:val="20"/>
          <w:szCs w:val="20"/>
          <w:shd w:val="clear" w:color="auto" w:fill="FFFFFF"/>
        </w:rPr>
        <w:t>el Estado</w:t>
      </w:r>
      <w:r w:rsidR="0047102A" w:rsidRPr="00B721BB">
        <w:rPr>
          <w:rFonts w:ascii="Verdana" w:hAnsi="Verdana" w:cs="Arial"/>
          <w:sz w:val="20"/>
          <w:szCs w:val="20"/>
          <w:shd w:val="clear" w:color="auto" w:fill="FFFFFF"/>
        </w:rPr>
        <w:t xml:space="preserve"> </w:t>
      </w:r>
      <w:r w:rsidR="00FA73EB" w:rsidRPr="00B721BB">
        <w:rPr>
          <w:rFonts w:ascii="Verdana" w:hAnsi="Verdana" w:cs="Arial"/>
          <w:sz w:val="20"/>
          <w:szCs w:val="20"/>
          <w:shd w:val="clear" w:color="auto" w:fill="FFFFFF"/>
        </w:rPr>
        <w:t xml:space="preserve">procedió al pago </w:t>
      </w:r>
      <w:r w:rsidRPr="00B721BB">
        <w:rPr>
          <w:rFonts w:ascii="Verdana" w:hAnsi="Verdana" w:cs="Arial"/>
          <w:sz w:val="20"/>
          <w:szCs w:val="20"/>
          <w:shd w:val="clear" w:color="auto" w:fill="FFFFFF"/>
        </w:rPr>
        <w:t xml:space="preserve">a favor de </w:t>
      </w:r>
      <w:r w:rsidR="00FA73EB" w:rsidRPr="00B721BB">
        <w:rPr>
          <w:rFonts w:ascii="Verdana" w:hAnsi="Verdana" w:cs="Arial"/>
          <w:sz w:val="20"/>
          <w:szCs w:val="20"/>
          <w:shd w:val="clear" w:color="auto" w:fill="FFFFFF"/>
        </w:rPr>
        <w:t>54 víctimas</w:t>
      </w:r>
      <w:bookmarkStart w:id="9" w:name="_Ref15309188"/>
      <w:r w:rsidR="00AD7DB9" w:rsidRPr="00B721BB">
        <w:rPr>
          <w:rStyle w:val="Refdenotaalpie"/>
          <w:rFonts w:ascii="Verdana" w:hAnsi="Verdana" w:cs="Arial"/>
          <w:sz w:val="20"/>
          <w:szCs w:val="20"/>
          <w:shd w:val="clear" w:color="auto" w:fill="FFFFFF"/>
        </w:rPr>
        <w:footnoteReference w:id="18"/>
      </w:r>
      <w:r w:rsidR="0047102A" w:rsidRPr="00B721BB">
        <w:rPr>
          <w:rFonts w:ascii="Verdana" w:hAnsi="Verdana" w:cs="Arial"/>
          <w:sz w:val="20"/>
          <w:szCs w:val="20"/>
          <w:shd w:val="clear" w:color="auto" w:fill="FFFFFF"/>
        </w:rPr>
        <w:t xml:space="preserve"> </w:t>
      </w:r>
      <w:r w:rsidR="0047102A" w:rsidRPr="00B721BB">
        <w:rPr>
          <w:rFonts w:ascii="Verdana" w:hAnsi="Verdana" w:cs="Arial"/>
          <w:sz w:val="20"/>
          <w:szCs w:val="20"/>
          <w:shd w:val="clear" w:color="auto" w:fill="FFFFFF"/>
        </w:rPr>
        <w:lastRenderedPageBreak/>
        <w:t xml:space="preserve">respecto de </w:t>
      </w:r>
      <w:r w:rsidRPr="00B721BB">
        <w:rPr>
          <w:rFonts w:ascii="Verdana" w:hAnsi="Verdana" w:cs="Arial"/>
          <w:sz w:val="20"/>
          <w:szCs w:val="20"/>
          <w:shd w:val="clear" w:color="auto" w:fill="FFFFFF"/>
        </w:rPr>
        <w:t xml:space="preserve">quienes </w:t>
      </w:r>
      <w:r w:rsidR="0047102A" w:rsidRPr="00B721BB">
        <w:rPr>
          <w:rFonts w:ascii="Verdana" w:hAnsi="Verdana" w:cs="Arial"/>
          <w:sz w:val="20"/>
          <w:szCs w:val="20"/>
          <w:shd w:val="clear" w:color="auto" w:fill="FFFFFF"/>
        </w:rPr>
        <w:t xml:space="preserve">contaba con la información necesaria para realizar la operación, la cual había sido enviada por los representantes o bien obtenida a través </w:t>
      </w:r>
      <w:r w:rsidR="00203456" w:rsidRPr="00B721BB">
        <w:rPr>
          <w:rFonts w:ascii="Verdana" w:hAnsi="Verdana" w:cs="Arial"/>
          <w:sz w:val="20"/>
          <w:szCs w:val="20"/>
          <w:shd w:val="clear" w:color="auto" w:fill="FFFFFF"/>
        </w:rPr>
        <w:t xml:space="preserve">de </w:t>
      </w:r>
      <w:r w:rsidR="0047102A" w:rsidRPr="00B721BB">
        <w:rPr>
          <w:rFonts w:ascii="Verdana" w:hAnsi="Verdana" w:cs="Arial"/>
          <w:sz w:val="20"/>
          <w:szCs w:val="20"/>
          <w:shd w:val="clear" w:color="auto" w:fill="FFFFFF"/>
        </w:rPr>
        <w:t xml:space="preserve">acciones realizadas por </w:t>
      </w:r>
      <w:r w:rsidR="00E31ED2" w:rsidRPr="00B721BB">
        <w:rPr>
          <w:rFonts w:ascii="Verdana" w:hAnsi="Verdana" w:cs="Arial"/>
          <w:sz w:val="20"/>
          <w:szCs w:val="20"/>
          <w:shd w:val="clear" w:color="auto" w:fill="FFFFFF"/>
        </w:rPr>
        <w:t>éste</w:t>
      </w:r>
      <w:r w:rsidR="0047102A" w:rsidRPr="00B721BB">
        <w:rPr>
          <w:rFonts w:ascii="Verdana" w:hAnsi="Verdana" w:cs="Arial"/>
          <w:sz w:val="20"/>
          <w:szCs w:val="20"/>
          <w:shd w:val="clear" w:color="auto" w:fill="FFFFFF"/>
        </w:rPr>
        <w:t xml:space="preserve"> para localizarlas (</w:t>
      </w:r>
      <w:r w:rsidR="0047102A" w:rsidRPr="00B721BB">
        <w:rPr>
          <w:rFonts w:ascii="Verdana" w:hAnsi="Verdana" w:cs="Arial"/>
          <w:i/>
          <w:sz w:val="20"/>
          <w:szCs w:val="20"/>
          <w:shd w:val="clear" w:color="auto" w:fill="FFFFFF"/>
        </w:rPr>
        <w:t xml:space="preserve">infra </w:t>
      </w:r>
      <w:r w:rsidR="0047102A" w:rsidRPr="00B721BB">
        <w:rPr>
          <w:rFonts w:ascii="Verdana" w:hAnsi="Verdana" w:cs="Arial"/>
          <w:sz w:val="20"/>
          <w:szCs w:val="20"/>
          <w:shd w:val="clear" w:color="auto" w:fill="FFFFFF"/>
        </w:rPr>
        <w:t xml:space="preserve">Considerando </w:t>
      </w:r>
      <w:r w:rsidR="003020A0" w:rsidRPr="00B721BB">
        <w:rPr>
          <w:rFonts w:ascii="Verdana" w:hAnsi="Verdana" w:cs="Arial"/>
          <w:sz w:val="20"/>
          <w:szCs w:val="20"/>
          <w:shd w:val="clear" w:color="auto" w:fill="FFFFFF"/>
        </w:rPr>
        <w:t>11</w:t>
      </w:r>
      <w:r w:rsidR="0047102A" w:rsidRPr="00B721BB">
        <w:rPr>
          <w:rFonts w:ascii="Verdana" w:hAnsi="Verdana" w:cs="Arial"/>
          <w:sz w:val="20"/>
          <w:szCs w:val="20"/>
          <w:shd w:val="clear" w:color="auto" w:fill="FFFFFF"/>
        </w:rPr>
        <w:t>)</w:t>
      </w:r>
      <w:r w:rsidR="003B7620" w:rsidRPr="00B721BB">
        <w:rPr>
          <w:rStyle w:val="Refdenotaalpie"/>
          <w:rFonts w:ascii="Verdana" w:hAnsi="Verdana" w:cs="Arial"/>
          <w:sz w:val="20"/>
          <w:szCs w:val="20"/>
          <w:shd w:val="clear" w:color="auto" w:fill="FFFFFF"/>
        </w:rPr>
        <w:footnoteReference w:id="19"/>
      </w:r>
      <w:r w:rsidR="0047102A" w:rsidRPr="00B721BB">
        <w:rPr>
          <w:rFonts w:ascii="Verdana" w:hAnsi="Verdana" w:cs="Arial"/>
          <w:sz w:val="20"/>
          <w:szCs w:val="20"/>
          <w:shd w:val="clear" w:color="auto" w:fill="FFFFFF"/>
        </w:rPr>
        <w:t xml:space="preserve">. </w:t>
      </w:r>
      <w:r w:rsidR="006E3B0D" w:rsidRPr="00B721BB">
        <w:rPr>
          <w:rFonts w:ascii="Verdana" w:hAnsi="Verdana" w:cs="Arial"/>
          <w:sz w:val="20"/>
          <w:szCs w:val="20"/>
          <w:shd w:val="clear" w:color="auto" w:fill="FFFFFF"/>
        </w:rPr>
        <w:t xml:space="preserve">Asimismo, en dicha oportunidad </w:t>
      </w:r>
      <w:r w:rsidR="002D5531" w:rsidRPr="00B721BB">
        <w:rPr>
          <w:rFonts w:ascii="Verdana" w:hAnsi="Verdana" w:cs="Arial"/>
          <w:sz w:val="20"/>
          <w:szCs w:val="20"/>
          <w:shd w:val="clear" w:color="auto" w:fill="FFFFFF"/>
        </w:rPr>
        <w:t xml:space="preserve">Brasil </w:t>
      </w:r>
      <w:r w:rsidR="006E3B0D" w:rsidRPr="00B721BB">
        <w:rPr>
          <w:rFonts w:ascii="Verdana" w:hAnsi="Verdana" w:cs="Arial"/>
          <w:sz w:val="20"/>
          <w:szCs w:val="20"/>
          <w:shd w:val="clear" w:color="auto" w:fill="FFFFFF"/>
        </w:rPr>
        <w:t>remarcó que “el hecho de que algunos pagos continúen pendientes no se deriva de la voluntad del Estado, sino de las dificultades de la obtención de datos de los beneficiarios, incluso por parte de las organizaciones representantes de las víctimas”. Indicó que, pese a que “las víctimas beneficiarias de indemnizaciones compensatorias tienen a disposición el procedimiento previsto en el Código Procesal Civil brasileño para el cumplimiento de la sentencia que reconoce la exigibilidad de la obligación de pagar un monto cierto de la Hacienda Pública”, el Estado históricamente ha procurado realizar los pagos por la vía administrativa, independientemente de que la víctima inicie un proceso de ejecución de sentencias contra el Estado, a los fines de dar la “máxima efectividad” a las decisiones de organismos de derechos humanos. No obstante, dicha modalidad de pago requiere localizar a los beneficiarios de las indemnizaciones, lo cual resultaba difícil en este caso en tanto los representantes no poseían datos con respecto a la totalidad de las víctimas</w:t>
      </w:r>
      <w:r w:rsidR="006E3B0D" w:rsidRPr="00B721BB">
        <w:rPr>
          <w:rFonts w:ascii="Verdana" w:hAnsi="Verdana"/>
          <w:sz w:val="20"/>
          <w:szCs w:val="20"/>
          <w:vertAlign w:val="superscript"/>
        </w:rPr>
        <w:footnoteReference w:id="20"/>
      </w:r>
      <w:r w:rsidR="006E3B0D" w:rsidRPr="00B721BB">
        <w:rPr>
          <w:rFonts w:ascii="Verdana" w:hAnsi="Verdana" w:cs="Arial"/>
          <w:sz w:val="20"/>
          <w:szCs w:val="20"/>
          <w:shd w:val="clear" w:color="auto" w:fill="FFFFFF"/>
        </w:rPr>
        <w:t>.</w:t>
      </w:r>
    </w:p>
    <w:p w14:paraId="592510A1" w14:textId="5FDDEA98" w:rsidR="000E0457" w:rsidRPr="00B721BB" w:rsidRDefault="00A97AB1" w:rsidP="00224AC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Con el fin de localizar a las víctimas del caso</w:t>
      </w:r>
      <w:r w:rsidR="006E3B0D" w:rsidRPr="00B721BB">
        <w:rPr>
          <w:rFonts w:ascii="Verdana" w:hAnsi="Verdana" w:cs="Arial"/>
          <w:sz w:val="20"/>
          <w:szCs w:val="20"/>
          <w:shd w:val="clear" w:color="auto" w:fill="FFFFFF"/>
        </w:rPr>
        <w:t xml:space="preserve">, el Estado informó que </w:t>
      </w:r>
      <w:r w:rsidR="00EB3651" w:rsidRPr="00B721BB">
        <w:rPr>
          <w:rFonts w:ascii="Verdana" w:hAnsi="Verdana" w:cs="Arial"/>
          <w:sz w:val="20"/>
          <w:szCs w:val="20"/>
          <w:shd w:val="clear" w:color="auto" w:fill="FFFFFF"/>
        </w:rPr>
        <w:t xml:space="preserve">desde el año 2017 </w:t>
      </w:r>
      <w:r w:rsidR="006E3B0D" w:rsidRPr="00B721BB">
        <w:rPr>
          <w:rFonts w:ascii="Verdana" w:hAnsi="Verdana" w:cs="Arial"/>
          <w:sz w:val="20"/>
          <w:szCs w:val="20"/>
          <w:shd w:val="clear" w:color="auto" w:fill="FFFFFF"/>
        </w:rPr>
        <w:t xml:space="preserve">había realizado </w:t>
      </w:r>
      <w:r w:rsidR="00420F7C" w:rsidRPr="00B721BB">
        <w:rPr>
          <w:rFonts w:ascii="Verdana" w:hAnsi="Verdana" w:cs="Arial"/>
          <w:sz w:val="20"/>
          <w:szCs w:val="20"/>
          <w:shd w:val="clear" w:color="auto" w:fill="FFFFFF"/>
        </w:rPr>
        <w:t>las siguientes acciones</w:t>
      </w:r>
      <w:r w:rsidR="008A6C56" w:rsidRPr="00B721BB">
        <w:rPr>
          <w:rStyle w:val="Refdenotaalpie"/>
          <w:rFonts w:ascii="Verdana" w:hAnsi="Verdana" w:cs="Arial"/>
          <w:sz w:val="20"/>
          <w:szCs w:val="20"/>
          <w:shd w:val="clear" w:color="auto" w:fill="FFFFFF"/>
        </w:rPr>
        <w:footnoteReference w:id="21"/>
      </w:r>
      <w:r w:rsidR="00420F7C" w:rsidRPr="00B721BB">
        <w:rPr>
          <w:rFonts w:ascii="Verdana" w:hAnsi="Verdana" w:cs="Arial"/>
          <w:sz w:val="20"/>
          <w:szCs w:val="20"/>
          <w:shd w:val="clear" w:color="auto" w:fill="FFFFFF"/>
        </w:rPr>
        <w:t>: (i) creó una base de datos</w:t>
      </w:r>
      <w:r w:rsidR="000E0457" w:rsidRPr="00B721BB">
        <w:rPr>
          <w:rStyle w:val="Refdenotaalpie"/>
          <w:rFonts w:ascii="Verdana" w:hAnsi="Verdana" w:cs="Arial"/>
          <w:sz w:val="20"/>
          <w:szCs w:val="20"/>
          <w:shd w:val="clear" w:color="auto" w:fill="FFFFFF"/>
        </w:rPr>
        <w:footnoteReference w:id="22"/>
      </w:r>
      <w:r w:rsidR="00420F7C" w:rsidRPr="00B721BB">
        <w:rPr>
          <w:rFonts w:ascii="Verdana" w:hAnsi="Verdana" w:cs="Arial"/>
          <w:sz w:val="20"/>
          <w:szCs w:val="20"/>
          <w:shd w:val="clear" w:color="auto" w:fill="FFFFFF"/>
        </w:rPr>
        <w:t xml:space="preserve"> de las víctimas y realizó cruzamientos con la información disponible en organismos estatales; (</w:t>
      </w:r>
      <w:proofErr w:type="spellStart"/>
      <w:r w:rsidR="00420F7C" w:rsidRPr="00B721BB">
        <w:rPr>
          <w:rFonts w:ascii="Verdana" w:hAnsi="Verdana" w:cs="Arial"/>
          <w:sz w:val="20"/>
          <w:szCs w:val="20"/>
          <w:shd w:val="clear" w:color="auto" w:fill="FFFFFF"/>
        </w:rPr>
        <w:t>ii</w:t>
      </w:r>
      <w:proofErr w:type="spellEnd"/>
      <w:r w:rsidR="00420F7C" w:rsidRPr="00B721BB">
        <w:rPr>
          <w:rFonts w:ascii="Verdana" w:hAnsi="Verdana" w:cs="Arial"/>
          <w:sz w:val="20"/>
          <w:szCs w:val="20"/>
          <w:shd w:val="clear" w:color="auto" w:fill="FFFFFF"/>
        </w:rPr>
        <w:t>) celebró una reunión con los representantes de las víctimas a los fines de “armonizar” la información disponible; (</w:t>
      </w:r>
      <w:proofErr w:type="spellStart"/>
      <w:r w:rsidR="00420F7C" w:rsidRPr="00B721BB">
        <w:rPr>
          <w:rFonts w:ascii="Verdana" w:hAnsi="Verdana" w:cs="Arial"/>
          <w:sz w:val="20"/>
          <w:szCs w:val="20"/>
          <w:shd w:val="clear" w:color="auto" w:fill="FFFFFF"/>
        </w:rPr>
        <w:t>iii</w:t>
      </w:r>
      <w:proofErr w:type="spellEnd"/>
      <w:r w:rsidR="00420F7C" w:rsidRPr="00B721BB">
        <w:rPr>
          <w:rFonts w:ascii="Verdana" w:hAnsi="Verdana" w:cs="Arial"/>
          <w:sz w:val="20"/>
          <w:szCs w:val="20"/>
          <w:shd w:val="clear" w:color="auto" w:fill="FFFFFF"/>
        </w:rPr>
        <w:t xml:space="preserve">) </w:t>
      </w:r>
      <w:r w:rsidR="000E0457" w:rsidRPr="00B721BB">
        <w:rPr>
          <w:rFonts w:ascii="Verdana" w:hAnsi="Verdana" w:cs="Arial"/>
          <w:sz w:val="20"/>
          <w:szCs w:val="20"/>
          <w:shd w:val="clear" w:color="auto" w:fill="FFFFFF"/>
        </w:rPr>
        <w:t xml:space="preserve">publicó </w:t>
      </w:r>
      <w:r w:rsidR="00420F7C" w:rsidRPr="00B721BB">
        <w:rPr>
          <w:rFonts w:ascii="Verdana" w:hAnsi="Verdana" w:cs="Arial"/>
          <w:sz w:val="20"/>
          <w:szCs w:val="20"/>
          <w:shd w:val="clear" w:color="auto" w:fill="FFFFFF"/>
        </w:rPr>
        <w:t>edicto</w:t>
      </w:r>
      <w:r w:rsidR="000E0457" w:rsidRPr="00B721BB">
        <w:rPr>
          <w:rFonts w:ascii="Verdana" w:hAnsi="Verdana" w:cs="Arial"/>
          <w:sz w:val="20"/>
          <w:szCs w:val="20"/>
          <w:shd w:val="clear" w:color="auto" w:fill="FFFFFF"/>
        </w:rPr>
        <w:t>s</w:t>
      </w:r>
      <w:r w:rsidR="00420F7C" w:rsidRPr="00B721BB">
        <w:rPr>
          <w:rFonts w:ascii="Verdana" w:hAnsi="Verdana" w:cs="Arial"/>
          <w:sz w:val="20"/>
          <w:szCs w:val="20"/>
          <w:shd w:val="clear" w:color="auto" w:fill="FFFFFF"/>
        </w:rPr>
        <w:t xml:space="preserve"> en el Diario Oficial de la Unión </w:t>
      </w:r>
      <w:r w:rsidR="000E0457" w:rsidRPr="00B721BB">
        <w:rPr>
          <w:rFonts w:ascii="Verdana" w:hAnsi="Verdana" w:cs="Arial"/>
          <w:sz w:val="20"/>
          <w:szCs w:val="20"/>
          <w:shd w:val="clear" w:color="auto" w:fill="FFFFFF"/>
        </w:rPr>
        <w:t>y en diarios de circulación regional de los tres estados de donde eran oriundas la mayoría de las víctimas</w:t>
      </w:r>
      <w:r w:rsidR="000E0457" w:rsidRPr="00B721BB">
        <w:rPr>
          <w:rStyle w:val="Refdenotaalpie"/>
          <w:rFonts w:ascii="Verdana" w:hAnsi="Verdana" w:cs="Arial"/>
          <w:sz w:val="20"/>
          <w:szCs w:val="20"/>
          <w:shd w:val="clear" w:color="auto" w:fill="FFFFFF"/>
        </w:rPr>
        <w:footnoteReference w:id="23"/>
      </w:r>
      <w:r w:rsidR="000E0457" w:rsidRPr="00B721BB">
        <w:rPr>
          <w:rFonts w:ascii="Verdana" w:hAnsi="Verdana" w:cs="Arial"/>
          <w:sz w:val="20"/>
          <w:szCs w:val="20"/>
          <w:shd w:val="clear" w:color="auto" w:fill="FFFFFF"/>
        </w:rPr>
        <w:t>;</w:t>
      </w:r>
      <w:r w:rsidR="009860F1" w:rsidRPr="00B721BB">
        <w:rPr>
          <w:rFonts w:ascii="Verdana" w:hAnsi="Verdana" w:cs="Arial"/>
          <w:sz w:val="20"/>
          <w:szCs w:val="20"/>
          <w:shd w:val="clear" w:color="auto" w:fill="FFFFFF"/>
        </w:rPr>
        <w:t>(</w:t>
      </w:r>
      <w:proofErr w:type="spellStart"/>
      <w:r w:rsidR="00855C65" w:rsidRPr="00B721BB">
        <w:rPr>
          <w:rFonts w:ascii="Verdana" w:hAnsi="Verdana" w:cs="Arial"/>
          <w:sz w:val="20"/>
          <w:szCs w:val="20"/>
          <w:shd w:val="clear" w:color="auto" w:fill="FFFFFF"/>
        </w:rPr>
        <w:t>i</w:t>
      </w:r>
      <w:r w:rsidR="009860F1" w:rsidRPr="00B721BB">
        <w:rPr>
          <w:rFonts w:ascii="Verdana" w:hAnsi="Verdana" w:cs="Arial"/>
          <w:sz w:val="20"/>
          <w:szCs w:val="20"/>
          <w:shd w:val="clear" w:color="auto" w:fill="FFFFFF"/>
        </w:rPr>
        <w:t>v</w:t>
      </w:r>
      <w:proofErr w:type="spellEnd"/>
      <w:r w:rsidR="009860F1" w:rsidRPr="00B721BB">
        <w:rPr>
          <w:rFonts w:ascii="Verdana" w:hAnsi="Verdana" w:cs="Arial"/>
          <w:sz w:val="20"/>
          <w:szCs w:val="20"/>
          <w:shd w:val="clear" w:color="auto" w:fill="FFFFFF"/>
        </w:rPr>
        <w:t>) envió cartas a las víctimas a todas las direcciones encontradas en los bancos de datos, solicitando la información necesaria para proceder al pago</w:t>
      </w:r>
      <w:r w:rsidR="009860F1" w:rsidRPr="00B721BB">
        <w:rPr>
          <w:rStyle w:val="Refdenotaalpie"/>
          <w:rFonts w:ascii="Verdana" w:hAnsi="Verdana" w:cs="Arial"/>
          <w:sz w:val="20"/>
          <w:szCs w:val="20"/>
          <w:shd w:val="clear" w:color="auto" w:fill="FFFFFF"/>
        </w:rPr>
        <w:footnoteReference w:id="24"/>
      </w:r>
      <w:r w:rsidRPr="00B721BB">
        <w:rPr>
          <w:rFonts w:ascii="Verdana" w:hAnsi="Verdana" w:cs="Arial"/>
          <w:sz w:val="20"/>
          <w:szCs w:val="20"/>
          <w:shd w:val="clear" w:color="auto" w:fill="FFFFFF"/>
        </w:rPr>
        <w:t>, y (v) creó un grupo de trabajo dentro del Ministerio Público Fiscal</w:t>
      </w:r>
      <w:r w:rsidR="008A6C56" w:rsidRPr="00B721BB">
        <w:rPr>
          <w:rFonts w:ascii="Verdana" w:hAnsi="Verdana" w:cs="Arial"/>
          <w:sz w:val="20"/>
          <w:szCs w:val="20"/>
          <w:shd w:val="clear" w:color="auto" w:fill="FFFFFF"/>
        </w:rPr>
        <w:t>, el cual</w:t>
      </w:r>
      <w:r w:rsidR="0052498E"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comparte</w:t>
      </w:r>
      <w:r w:rsidR="006A5EBC" w:rsidRPr="00B721BB">
        <w:rPr>
          <w:rFonts w:ascii="Verdana" w:hAnsi="Verdana" w:cs="Arial"/>
          <w:sz w:val="20"/>
          <w:szCs w:val="20"/>
          <w:shd w:val="clear" w:color="auto" w:fill="FFFFFF"/>
        </w:rPr>
        <w:t xml:space="preserve"> </w:t>
      </w:r>
      <w:r w:rsidR="0052498E" w:rsidRPr="00B721BB">
        <w:rPr>
          <w:rFonts w:ascii="Verdana" w:hAnsi="Verdana" w:cs="Arial"/>
          <w:sz w:val="20"/>
          <w:szCs w:val="20"/>
          <w:shd w:val="clear" w:color="auto" w:fill="FFFFFF"/>
        </w:rPr>
        <w:t xml:space="preserve">con el Ministerio de Derechos Humanos </w:t>
      </w:r>
      <w:r w:rsidRPr="00B721BB">
        <w:rPr>
          <w:rFonts w:ascii="Verdana" w:hAnsi="Verdana" w:cs="Arial"/>
          <w:sz w:val="20"/>
          <w:szCs w:val="20"/>
          <w:shd w:val="clear" w:color="auto" w:fill="FFFFFF"/>
        </w:rPr>
        <w:t xml:space="preserve">información </w:t>
      </w:r>
      <w:r w:rsidR="0052498E" w:rsidRPr="00B721BB">
        <w:rPr>
          <w:rFonts w:ascii="Verdana" w:hAnsi="Verdana" w:cs="Arial"/>
          <w:sz w:val="20"/>
          <w:szCs w:val="20"/>
          <w:shd w:val="clear" w:color="auto" w:fill="FFFFFF"/>
        </w:rPr>
        <w:t>obtenida en el marco de las investigaciones ordenadas en el punto resolutivo noveno de la Sentencia</w:t>
      </w:r>
      <w:r w:rsidR="00FC435D" w:rsidRPr="00B721BB">
        <w:rPr>
          <w:rFonts w:ascii="Verdana" w:hAnsi="Verdana" w:cs="Arial"/>
          <w:sz w:val="20"/>
          <w:szCs w:val="20"/>
          <w:shd w:val="clear" w:color="auto" w:fill="FFFFFF"/>
        </w:rPr>
        <w:t xml:space="preserve"> (</w:t>
      </w:r>
      <w:r w:rsidR="00FC435D" w:rsidRPr="00B721BB">
        <w:rPr>
          <w:rFonts w:ascii="Verdana" w:hAnsi="Verdana" w:cs="Arial"/>
          <w:i/>
          <w:sz w:val="20"/>
          <w:szCs w:val="20"/>
          <w:shd w:val="clear" w:color="auto" w:fill="FFFFFF"/>
        </w:rPr>
        <w:t xml:space="preserve">infra </w:t>
      </w:r>
      <w:r w:rsidR="00FC435D" w:rsidRPr="00B721BB">
        <w:rPr>
          <w:rFonts w:ascii="Verdana" w:hAnsi="Verdana" w:cs="Arial"/>
          <w:sz w:val="20"/>
          <w:szCs w:val="20"/>
          <w:shd w:val="clear" w:color="auto" w:fill="FFFFFF"/>
        </w:rPr>
        <w:t>punto resolutivo 4)</w:t>
      </w:r>
      <w:r w:rsidR="0052498E" w:rsidRPr="00B721BB">
        <w:rPr>
          <w:rFonts w:ascii="Verdana" w:hAnsi="Verdana" w:cs="Arial"/>
          <w:sz w:val="20"/>
          <w:szCs w:val="20"/>
          <w:shd w:val="clear" w:color="auto" w:fill="FFFFFF"/>
        </w:rPr>
        <w:t>, con el fin</w:t>
      </w:r>
      <w:r w:rsidRPr="00B721BB">
        <w:rPr>
          <w:rFonts w:ascii="Verdana" w:hAnsi="Verdana" w:cs="Arial"/>
          <w:sz w:val="20"/>
          <w:szCs w:val="20"/>
          <w:shd w:val="clear" w:color="auto" w:fill="FFFFFF"/>
        </w:rPr>
        <w:t xml:space="preserve"> de localizar a las víctimas que aún no han sido encontradas. </w:t>
      </w:r>
      <w:r w:rsidR="00EB3651" w:rsidRPr="00B721BB">
        <w:rPr>
          <w:rFonts w:ascii="Verdana" w:hAnsi="Verdana" w:cs="Arial"/>
          <w:sz w:val="20"/>
          <w:szCs w:val="20"/>
          <w:shd w:val="clear" w:color="auto" w:fill="FFFFFF"/>
        </w:rPr>
        <w:lastRenderedPageBreak/>
        <w:t xml:space="preserve">Asimismo, </w:t>
      </w:r>
      <w:r w:rsidR="003E7957" w:rsidRPr="00B721BB">
        <w:rPr>
          <w:rFonts w:ascii="Verdana" w:hAnsi="Verdana" w:cs="Arial"/>
          <w:sz w:val="20"/>
          <w:szCs w:val="20"/>
          <w:shd w:val="clear" w:color="auto" w:fill="FFFFFF"/>
        </w:rPr>
        <w:t xml:space="preserve">en </w:t>
      </w:r>
      <w:r w:rsidR="00DE69DD" w:rsidRPr="00B721BB">
        <w:rPr>
          <w:rFonts w:ascii="Verdana" w:hAnsi="Verdana" w:cs="Arial"/>
          <w:sz w:val="20"/>
          <w:szCs w:val="20"/>
          <w:shd w:val="clear" w:color="auto" w:fill="FFFFFF"/>
        </w:rPr>
        <w:t xml:space="preserve">septiembre </w:t>
      </w:r>
      <w:r w:rsidR="003E7957" w:rsidRPr="00B721BB">
        <w:rPr>
          <w:rFonts w:ascii="Verdana" w:hAnsi="Verdana" w:cs="Arial"/>
          <w:sz w:val="20"/>
          <w:szCs w:val="20"/>
          <w:shd w:val="clear" w:color="auto" w:fill="FFFFFF"/>
        </w:rPr>
        <w:t>de 2019</w:t>
      </w:r>
      <w:r w:rsidR="00EB3651" w:rsidRPr="00B721BB">
        <w:rPr>
          <w:rFonts w:ascii="Verdana" w:hAnsi="Verdana" w:cs="Arial"/>
          <w:sz w:val="20"/>
          <w:szCs w:val="20"/>
          <w:shd w:val="clear" w:color="auto" w:fill="FFFFFF"/>
        </w:rPr>
        <w:t xml:space="preserve"> el Estado indicó que </w:t>
      </w:r>
      <w:r w:rsidR="003E7957" w:rsidRPr="00B721BB">
        <w:rPr>
          <w:rFonts w:ascii="Verdana" w:hAnsi="Verdana" w:cs="Arial"/>
          <w:sz w:val="20"/>
          <w:szCs w:val="20"/>
          <w:shd w:val="clear" w:color="auto" w:fill="FFFFFF"/>
        </w:rPr>
        <w:t>había continuado</w:t>
      </w:r>
      <w:r w:rsidR="00EB3651" w:rsidRPr="00B721BB">
        <w:rPr>
          <w:rFonts w:ascii="Verdana" w:hAnsi="Verdana" w:cs="Arial"/>
          <w:sz w:val="20"/>
          <w:szCs w:val="20"/>
          <w:shd w:val="clear" w:color="auto" w:fill="FFFFFF"/>
        </w:rPr>
        <w:t xml:space="preserve"> con las acciones de búsqueda comenzadas en 2017,</w:t>
      </w:r>
      <w:r w:rsidR="003E7957" w:rsidRPr="00B721BB">
        <w:rPr>
          <w:rFonts w:ascii="Verdana" w:hAnsi="Verdana" w:cs="Arial"/>
          <w:sz w:val="20"/>
          <w:szCs w:val="20"/>
          <w:shd w:val="clear" w:color="auto" w:fill="FFFFFF"/>
        </w:rPr>
        <w:t xml:space="preserve"> resaltando que durante</w:t>
      </w:r>
      <w:r w:rsidR="00CD71AC" w:rsidRPr="00B721BB">
        <w:rPr>
          <w:rFonts w:ascii="Verdana" w:hAnsi="Verdana" w:cs="Arial"/>
          <w:sz w:val="20"/>
          <w:szCs w:val="20"/>
          <w:shd w:val="clear" w:color="auto" w:fill="FFFFFF"/>
        </w:rPr>
        <w:t xml:space="preserve"> el año</w:t>
      </w:r>
      <w:r w:rsidR="003E7957" w:rsidRPr="00B721BB">
        <w:rPr>
          <w:rFonts w:ascii="Verdana" w:hAnsi="Verdana" w:cs="Arial"/>
          <w:sz w:val="20"/>
          <w:szCs w:val="20"/>
          <w:shd w:val="clear" w:color="auto" w:fill="FFFFFF"/>
        </w:rPr>
        <w:t xml:space="preserve"> 2018 </w:t>
      </w:r>
      <w:r w:rsidR="008E78B2" w:rsidRPr="00B721BB">
        <w:rPr>
          <w:rFonts w:ascii="Verdana" w:hAnsi="Verdana" w:cs="Arial"/>
          <w:sz w:val="20"/>
          <w:szCs w:val="20"/>
          <w:shd w:val="clear" w:color="auto" w:fill="FFFFFF"/>
        </w:rPr>
        <w:t xml:space="preserve">se </w:t>
      </w:r>
      <w:r w:rsidR="003E7957" w:rsidRPr="00B721BB">
        <w:rPr>
          <w:rFonts w:ascii="Verdana" w:hAnsi="Verdana" w:cs="Arial"/>
          <w:sz w:val="20"/>
          <w:szCs w:val="20"/>
          <w:shd w:val="clear" w:color="auto" w:fill="FFFFFF"/>
        </w:rPr>
        <w:t xml:space="preserve">había </w:t>
      </w:r>
      <w:r w:rsidR="008E78B2" w:rsidRPr="00B721BB">
        <w:rPr>
          <w:rFonts w:ascii="Verdana" w:hAnsi="Verdana" w:cs="Arial"/>
          <w:sz w:val="20"/>
          <w:szCs w:val="20"/>
          <w:shd w:val="clear" w:color="auto" w:fill="FFFFFF"/>
        </w:rPr>
        <w:t xml:space="preserve">comunicado </w:t>
      </w:r>
      <w:r w:rsidR="003E7957" w:rsidRPr="00B721BB">
        <w:rPr>
          <w:rFonts w:ascii="Verdana" w:hAnsi="Verdana" w:cs="Arial"/>
          <w:sz w:val="20"/>
          <w:szCs w:val="20"/>
          <w:shd w:val="clear" w:color="auto" w:fill="FFFFFF"/>
        </w:rPr>
        <w:t xml:space="preserve">con la Secretaría Nacional de Asistencia Social del Ministerio de Desarrollo Social </w:t>
      </w:r>
      <w:r w:rsidR="00224ACE" w:rsidRPr="00B721BB">
        <w:rPr>
          <w:rFonts w:ascii="Verdana" w:hAnsi="Verdana" w:cs="Arial"/>
          <w:sz w:val="20"/>
          <w:szCs w:val="20"/>
          <w:shd w:val="clear" w:color="auto" w:fill="FFFFFF"/>
        </w:rPr>
        <w:t>a los fines de solicitar la intervención de los equipos del Sistema Único de Asistencia Social para la búsqueda de las víctimas</w:t>
      </w:r>
      <w:r w:rsidR="00CD71AC" w:rsidRPr="00B721BB">
        <w:rPr>
          <w:rFonts w:ascii="Verdana" w:hAnsi="Verdana" w:cs="Arial"/>
          <w:sz w:val="20"/>
          <w:szCs w:val="20"/>
          <w:shd w:val="clear" w:color="auto" w:fill="FFFFFF"/>
        </w:rPr>
        <w:t>,</w:t>
      </w:r>
      <w:r w:rsidR="00224ACE" w:rsidRPr="00B721BB">
        <w:rPr>
          <w:rFonts w:ascii="Verdana" w:hAnsi="Verdana" w:cs="Arial"/>
          <w:sz w:val="20"/>
          <w:szCs w:val="20"/>
          <w:shd w:val="clear" w:color="auto" w:fill="FFFFFF"/>
        </w:rPr>
        <w:t xml:space="preserve"> “teniendo en cuenta la gran cap</w:t>
      </w:r>
      <w:r w:rsidR="008E78B2" w:rsidRPr="00B721BB">
        <w:rPr>
          <w:rFonts w:ascii="Verdana" w:hAnsi="Verdana" w:cs="Arial"/>
          <w:sz w:val="20"/>
          <w:szCs w:val="20"/>
          <w:shd w:val="clear" w:color="auto" w:fill="FFFFFF"/>
        </w:rPr>
        <w:t>aci</w:t>
      </w:r>
      <w:r w:rsidR="00224ACE" w:rsidRPr="00B721BB">
        <w:rPr>
          <w:rFonts w:ascii="Verdana" w:hAnsi="Verdana" w:cs="Arial"/>
          <w:sz w:val="20"/>
          <w:szCs w:val="20"/>
          <w:shd w:val="clear" w:color="auto" w:fill="FFFFFF"/>
        </w:rPr>
        <w:t xml:space="preserve">dad de la política de asistencia social en el territorio” del país, y que había solicitado el apoyo de la Comisión Nacional para la Erradicación del Trabajo Esclavo y de otros órganos relevantes en las tareas de identificación, localización y contacto de las víctimas. </w:t>
      </w:r>
    </w:p>
    <w:p w14:paraId="4AF1F9BC" w14:textId="33E75F28" w:rsidR="004522AF" w:rsidRPr="00B721BB" w:rsidRDefault="008E78B2" w:rsidP="004522AF">
      <w:pPr>
        <w:numPr>
          <w:ilvl w:val="0"/>
          <w:numId w:val="6"/>
        </w:numPr>
        <w:spacing w:before="120" w:after="120" w:line="240" w:lineRule="auto"/>
        <w:ind w:left="0" w:firstLine="0"/>
        <w:jc w:val="both"/>
        <w:rPr>
          <w:rFonts w:ascii="Verdana" w:hAnsi="Verdana" w:cs="Arial"/>
          <w:b/>
          <w:sz w:val="20"/>
          <w:szCs w:val="20"/>
          <w:shd w:val="clear" w:color="auto" w:fill="FFFFFF"/>
        </w:rPr>
      </w:pPr>
      <w:r w:rsidRPr="00B721BB">
        <w:rPr>
          <w:rFonts w:ascii="Verdana" w:hAnsi="Verdana" w:cs="Arial"/>
          <w:sz w:val="20"/>
          <w:szCs w:val="20"/>
          <w:shd w:val="clear" w:color="auto" w:fill="FFFFFF"/>
        </w:rPr>
        <w:t>La Corte constata que, c</w:t>
      </w:r>
      <w:r w:rsidR="00F8182C" w:rsidRPr="00B721BB">
        <w:rPr>
          <w:rFonts w:ascii="Verdana" w:hAnsi="Verdana" w:cs="Arial"/>
          <w:sz w:val="20"/>
          <w:szCs w:val="20"/>
          <w:shd w:val="clear" w:color="auto" w:fill="FFFFFF"/>
        </w:rPr>
        <w:t xml:space="preserve">on base en la información obtenida a partir de dichas acciones de búsqueda, así como nueva información que </w:t>
      </w:r>
      <w:r w:rsidR="00224ACE" w:rsidRPr="00B721BB">
        <w:rPr>
          <w:rFonts w:ascii="Verdana" w:hAnsi="Verdana" w:cs="Arial"/>
          <w:sz w:val="20"/>
          <w:szCs w:val="20"/>
          <w:shd w:val="clear" w:color="auto" w:fill="FFFFFF"/>
        </w:rPr>
        <w:t>recibió</w:t>
      </w:r>
      <w:r w:rsidR="00F8182C" w:rsidRPr="00B721BB">
        <w:rPr>
          <w:rFonts w:ascii="Verdana" w:hAnsi="Verdana" w:cs="Arial"/>
          <w:sz w:val="20"/>
          <w:szCs w:val="20"/>
          <w:shd w:val="clear" w:color="auto" w:fill="FFFFFF"/>
        </w:rPr>
        <w:t xml:space="preserve"> por parte de los representantes, </w:t>
      </w:r>
      <w:r w:rsidRPr="00B721BB">
        <w:rPr>
          <w:rFonts w:ascii="Verdana" w:hAnsi="Verdana" w:cs="Arial"/>
          <w:sz w:val="20"/>
          <w:szCs w:val="20"/>
          <w:shd w:val="clear" w:color="auto" w:fill="FFFFFF"/>
        </w:rPr>
        <w:t xml:space="preserve">durante los años 2018 y 2019 </w:t>
      </w:r>
      <w:r w:rsidR="0047102A" w:rsidRPr="00B721BB">
        <w:rPr>
          <w:rFonts w:ascii="Verdana" w:hAnsi="Verdana" w:cs="Arial"/>
          <w:sz w:val="20"/>
          <w:szCs w:val="20"/>
          <w:shd w:val="clear" w:color="auto" w:fill="FFFFFF"/>
        </w:rPr>
        <w:t xml:space="preserve">el Estado ha dado cumplimiento al pago de las indemnizaciones por daño </w:t>
      </w:r>
      <w:r w:rsidRPr="00B721BB">
        <w:rPr>
          <w:rFonts w:ascii="Verdana" w:hAnsi="Verdana" w:cs="Arial"/>
          <w:sz w:val="20"/>
          <w:szCs w:val="20"/>
          <w:shd w:val="clear" w:color="auto" w:fill="FFFFFF"/>
        </w:rPr>
        <w:t>in</w:t>
      </w:r>
      <w:r w:rsidR="0047102A" w:rsidRPr="00B721BB">
        <w:rPr>
          <w:rFonts w:ascii="Verdana" w:hAnsi="Verdana" w:cs="Arial"/>
          <w:sz w:val="20"/>
          <w:szCs w:val="20"/>
          <w:shd w:val="clear" w:color="auto" w:fill="FFFFFF"/>
        </w:rPr>
        <w:t xml:space="preserve">material respecto de </w:t>
      </w:r>
      <w:r w:rsidR="009019DF" w:rsidRPr="00B721BB">
        <w:rPr>
          <w:rFonts w:ascii="Verdana" w:hAnsi="Verdana" w:cs="Arial"/>
          <w:sz w:val="20"/>
          <w:szCs w:val="20"/>
          <w:shd w:val="clear" w:color="auto" w:fill="FFFFFF"/>
        </w:rPr>
        <w:t xml:space="preserve">otras </w:t>
      </w:r>
      <w:r w:rsidR="00E06C4B" w:rsidRPr="00B721BB">
        <w:rPr>
          <w:rFonts w:ascii="Verdana" w:hAnsi="Verdana" w:cs="Arial"/>
          <w:sz w:val="20"/>
          <w:szCs w:val="20"/>
          <w:shd w:val="clear" w:color="auto" w:fill="FFFFFF"/>
        </w:rPr>
        <w:t>18</w:t>
      </w:r>
      <w:r w:rsidR="0047102A" w:rsidRPr="00B721BB">
        <w:rPr>
          <w:rFonts w:ascii="Verdana" w:hAnsi="Verdana" w:cs="Arial"/>
          <w:sz w:val="20"/>
          <w:szCs w:val="20"/>
          <w:shd w:val="clear" w:color="auto" w:fill="FFFFFF"/>
        </w:rPr>
        <w:t xml:space="preserve"> víctimas</w:t>
      </w:r>
      <w:r w:rsidR="00A54BDE" w:rsidRPr="00B721BB">
        <w:rPr>
          <w:rStyle w:val="Refdenotaalpie"/>
          <w:rFonts w:ascii="Verdana" w:hAnsi="Verdana" w:cs="Arial"/>
          <w:sz w:val="20"/>
          <w:szCs w:val="20"/>
          <w:shd w:val="clear" w:color="auto" w:fill="FFFFFF"/>
        </w:rPr>
        <w:footnoteReference w:id="25"/>
      </w:r>
      <w:r w:rsidR="0047102A"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adicionales a las 54 a quienes pagó en el 2017 (</w:t>
      </w:r>
      <w:r w:rsidRPr="00B721BB">
        <w:rPr>
          <w:rFonts w:ascii="Verdana" w:hAnsi="Verdana" w:cs="Arial"/>
          <w:i/>
          <w:sz w:val="20"/>
          <w:szCs w:val="20"/>
          <w:shd w:val="clear" w:color="auto" w:fill="FFFFFF"/>
        </w:rPr>
        <w:t>supra</w:t>
      </w:r>
      <w:r w:rsidRPr="00B721BB">
        <w:rPr>
          <w:rFonts w:ascii="Verdana" w:hAnsi="Verdana" w:cs="Arial"/>
          <w:sz w:val="20"/>
          <w:szCs w:val="20"/>
          <w:shd w:val="clear" w:color="auto" w:fill="FFFFFF"/>
        </w:rPr>
        <w:t xml:space="preserve"> Considerando </w:t>
      </w:r>
      <w:r w:rsidR="001824C8" w:rsidRPr="00B721BB">
        <w:rPr>
          <w:rFonts w:ascii="Verdana" w:hAnsi="Verdana" w:cs="Arial"/>
          <w:sz w:val="20"/>
          <w:szCs w:val="20"/>
          <w:shd w:val="clear" w:color="auto" w:fill="FFFFFF"/>
        </w:rPr>
        <w:t>10</w:t>
      </w:r>
      <w:r w:rsidRPr="00B721BB">
        <w:rPr>
          <w:rFonts w:ascii="Verdana" w:hAnsi="Verdana" w:cs="Arial"/>
          <w:sz w:val="20"/>
          <w:szCs w:val="20"/>
          <w:shd w:val="clear" w:color="auto" w:fill="FFFFFF"/>
        </w:rPr>
        <w:t xml:space="preserve">). Por lo tanto, </w:t>
      </w:r>
      <w:r w:rsidR="009019DF" w:rsidRPr="00B721BB">
        <w:rPr>
          <w:rFonts w:ascii="Verdana" w:hAnsi="Verdana" w:cs="Arial"/>
          <w:sz w:val="20"/>
          <w:szCs w:val="20"/>
          <w:shd w:val="clear" w:color="auto" w:fill="FFFFFF"/>
        </w:rPr>
        <w:t xml:space="preserve">un total de </w:t>
      </w:r>
      <w:r w:rsidR="00E06C4B" w:rsidRPr="00B721BB">
        <w:rPr>
          <w:rFonts w:ascii="Verdana" w:hAnsi="Verdana" w:cs="Arial"/>
          <w:sz w:val="20"/>
          <w:szCs w:val="20"/>
          <w:shd w:val="clear" w:color="auto" w:fill="FFFFFF"/>
        </w:rPr>
        <w:t>72</w:t>
      </w:r>
      <w:r w:rsidR="0047102A" w:rsidRPr="00B721BB">
        <w:rPr>
          <w:rFonts w:ascii="Verdana" w:hAnsi="Verdana" w:cs="Arial"/>
          <w:sz w:val="20"/>
          <w:szCs w:val="20"/>
          <w:shd w:val="clear" w:color="auto" w:fill="FFFFFF"/>
        </w:rPr>
        <w:t xml:space="preserve"> víctimas han recibido las indemnizaciones ordenadas en la Sentencia, </w:t>
      </w:r>
      <w:r w:rsidR="000426F7" w:rsidRPr="00B721BB">
        <w:rPr>
          <w:rFonts w:ascii="Verdana" w:hAnsi="Verdana" w:cs="Arial"/>
          <w:sz w:val="20"/>
          <w:szCs w:val="20"/>
          <w:shd w:val="clear" w:color="auto" w:fill="FFFFFF"/>
        </w:rPr>
        <w:t>69</w:t>
      </w:r>
      <w:r w:rsidR="0047102A" w:rsidRPr="00B721BB">
        <w:rPr>
          <w:rFonts w:ascii="Verdana" w:hAnsi="Verdana" w:cs="Arial"/>
          <w:sz w:val="20"/>
          <w:szCs w:val="20"/>
          <w:shd w:val="clear" w:color="auto" w:fill="FFFFFF"/>
        </w:rPr>
        <w:t xml:space="preserve"> de las cuales corresponden al grupo rescatado en la fiscalización del año 2000 y </w:t>
      </w:r>
      <w:r w:rsidR="00E06C4B" w:rsidRPr="00B721BB">
        <w:rPr>
          <w:rFonts w:ascii="Verdana" w:hAnsi="Verdana" w:cs="Arial"/>
          <w:sz w:val="20"/>
          <w:szCs w:val="20"/>
          <w:shd w:val="clear" w:color="auto" w:fill="FFFFFF"/>
        </w:rPr>
        <w:t>3</w:t>
      </w:r>
      <w:r w:rsidR="0047102A" w:rsidRPr="00B721BB">
        <w:rPr>
          <w:rFonts w:ascii="Verdana" w:hAnsi="Verdana" w:cs="Arial"/>
          <w:sz w:val="20"/>
          <w:szCs w:val="20"/>
          <w:shd w:val="clear" w:color="auto" w:fill="FFFFFF"/>
        </w:rPr>
        <w:t xml:space="preserve"> </w:t>
      </w:r>
      <w:r w:rsidR="005965D1" w:rsidRPr="00B721BB">
        <w:rPr>
          <w:rFonts w:ascii="Verdana" w:hAnsi="Verdana" w:cs="Arial"/>
          <w:sz w:val="20"/>
          <w:szCs w:val="20"/>
          <w:shd w:val="clear" w:color="auto" w:fill="FFFFFF"/>
        </w:rPr>
        <w:t xml:space="preserve">al </w:t>
      </w:r>
      <w:r w:rsidR="0047102A" w:rsidRPr="00B721BB">
        <w:rPr>
          <w:rFonts w:ascii="Verdana" w:hAnsi="Verdana" w:cs="Arial"/>
          <w:sz w:val="20"/>
          <w:szCs w:val="20"/>
          <w:shd w:val="clear" w:color="auto" w:fill="FFFFFF"/>
        </w:rPr>
        <w:t>de 1997.</w:t>
      </w:r>
      <w:r w:rsidR="004522AF" w:rsidRPr="00B721BB">
        <w:rPr>
          <w:rFonts w:ascii="Verdana" w:hAnsi="Verdana" w:cs="Arial"/>
          <w:b/>
          <w:sz w:val="20"/>
          <w:szCs w:val="20"/>
          <w:shd w:val="clear" w:color="auto" w:fill="FFFFFF"/>
        </w:rPr>
        <w:t xml:space="preserve"> </w:t>
      </w:r>
    </w:p>
    <w:p w14:paraId="1A96E7CE" w14:textId="7AC1F114" w:rsidR="004522AF" w:rsidRPr="00B721BB" w:rsidRDefault="0047102A" w:rsidP="004522AF">
      <w:pPr>
        <w:numPr>
          <w:ilvl w:val="0"/>
          <w:numId w:val="6"/>
        </w:numPr>
        <w:spacing w:before="120" w:after="120" w:line="240" w:lineRule="auto"/>
        <w:ind w:left="0" w:firstLine="0"/>
        <w:jc w:val="both"/>
        <w:rPr>
          <w:rFonts w:ascii="Verdana" w:hAnsi="Verdana" w:cs="Arial"/>
          <w:b/>
          <w:sz w:val="20"/>
          <w:szCs w:val="20"/>
          <w:shd w:val="clear" w:color="auto" w:fill="FFFFFF"/>
        </w:rPr>
      </w:pPr>
      <w:bookmarkStart w:id="10" w:name="_Ref22055762"/>
      <w:bookmarkEnd w:id="9"/>
      <w:bookmarkEnd w:id="8"/>
      <w:r w:rsidRPr="00B721BB">
        <w:rPr>
          <w:rFonts w:ascii="Verdana" w:hAnsi="Verdana" w:cs="Arial"/>
          <w:sz w:val="20"/>
          <w:szCs w:val="20"/>
          <w:shd w:val="clear" w:color="auto" w:fill="FFFFFF"/>
        </w:rPr>
        <w:t xml:space="preserve">Asimismo, este Tribunal observa que existe una controversia respecto del pago a </w:t>
      </w:r>
      <w:r w:rsidR="004522AF" w:rsidRPr="00B721BB">
        <w:rPr>
          <w:rFonts w:ascii="Verdana" w:hAnsi="Verdana" w:cs="Arial"/>
          <w:sz w:val="20"/>
          <w:szCs w:val="20"/>
          <w:shd w:val="clear" w:color="auto" w:fill="FFFFFF"/>
        </w:rPr>
        <w:t xml:space="preserve">la víctima </w:t>
      </w:r>
      <w:proofErr w:type="spellStart"/>
      <w:r w:rsidR="004522AF" w:rsidRPr="00B721BB">
        <w:rPr>
          <w:rFonts w:ascii="Verdana" w:hAnsi="Verdana" w:cs="Arial"/>
          <w:sz w:val="20"/>
          <w:szCs w:val="20"/>
          <w:shd w:val="clear" w:color="auto" w:fill="FFFFFF"/>
        </w:rPr>
        <w:t>Antônio</w:t>
      </w:r>
      <w:proofErr w:type="spellEnd"/>
      <w:r w:rsidR="004522AF" w:rsidRPr="00B721BB">
        <w:rPr>
          <w:rFonts w:ascii="Verdana" w:hAnsi="Verdana" w:cs="Arial"/>
          <w:sz w:val="20"/>
          <w:szCs w:val="20"/>
          <w:shd w:val="clear" w:color="auto" w:fill="FFFFFF"/>
        </w:rPr>
        <w:t xml:space="preserve"> Paulo da Silva, rescatada durante la fiscalización del año 2000. Si bien </w:t>
      </w:r>
      <w:r w:rsidR="00A36601" w:rsidRPr="00B721BB">
        <w:rPr>
          <w:rFonts w:ascii="Verdana" w:hAnsi="Verdana" w:cs="Arial"/>
          <w:sz w:val="20"/>
          <w:szCs w:val="20"/>
          <w:shd w:val="clear" w:color="auto" w:fill="FFFFFF"/>
        </w:rPr>
        <w:t>el Estado aportó un</w:t>
      </w:r>
      <w:r w:rsidR="00CC4E85" w:rsidRPr="00B721BB">
        <w:rPr>
          <w:rFonts w:ascii="Verdana" w:hAnsi="Verdana" w:cs="Arial"/>
          <w:sz w:val="20"/>
          <w:szCs w:val="20"/>
          <w:shd w:val="clear" w:color="auto" w:fill="FFFFFF"/>
        </w:rPr>
        <w:t>a orden bancaria</w:t>
      </w:r>
      <w:r w:rsidR="00A36601" w:rsidRPr="00B721BB">
        <w:rPr>
          <w:rFonts w:ascii="Verdana" w:hAnsi="Verdana" w:cs="Arial"/>
          <w:sz w:val="20"/>
          <w:szCs w:val="20"/>
          <w:shd w:val="clear" w:color="auto" w:fill="FFFFFF"/>
        </w:rPr>
        <w:t xml:space="preserve"> por </w:t>
      </w:r>
      <w:r w:rsidR="004522AF" w:rsidRPr="00B721BB">
        <w:rPr>
          <w:rFonts w:ascii="Verdana" w:hAnsi="Verdana" w:cs="Arial"/>
          <w:sz w:val="20"/>
          <w:szCs w:val="20"/>
          <w:shd w:val="clear" w:color="auto" w:fill="FFFFFF"/>
        </w:rPr>
        <w:t xml:space="preserve">la </w:t>
      </w:r>
      <w:r w:rsidR="00A36601" w:rsidRPr="00B721BB">
        <w:rPr>
          <w:rFonts w:ascii="Verdana" w:hAnsi="Verdana" w:cs="Arial"/>
          <w:sz w:val="20"/>
          <w:szCs w:val="20"/>
          <w:shd w:val="clear" w:color="auto" w:fill="FFFFFF"/>
        </w:rPr>
        <w:t xml:space="preserve">cantidad ordenada en la Sentencia a favor </w:t>
      </w:r>
      <w:r w:rsidR="009A574D" w:rsidRPr="00B721BB">
        <w:rPr>
          <w:rFonts w:ascii="Verdana" w:hAnsi="Verdana" w:cs="Arial"/>
          <w:sz w:val="20"/>
          <w:szCs w:val="20"/>
          <w:shd w:val="clear" w:color="auto" w:fill="FFFFFF"/>
        </w:rPr>
        <w:t xml:space="preserve">de </w:t>
      </w:r>
      <w:r w:rsidR="00A36601" w:rsidRPr="00B721BB">
        <w:rPr>
          <w:rFonts w:ascii="Verdana" w:hAnsi="Verdana" w:cs="Arial"/>
          <w:sz w:val="20"/>
          <w:szCs w:val="20"/>
          <w:shd w:val="clear" w:color="auto" w:fill="FFFFFF"/>
        </w:rPr>
        <w:t>dicha persona</w:t>
      </w:r>
      <w:r w:rsidR="000B70BB" w:rsidRPr="00B721BB">
        <w:rPr>
          <w:rStyle w:val="Refdenotaalpie"/>
          <w:rFonts w:ascii="Verdana" w:hAnsi="Verdana" w:cs="Arial"/>
          <w:sz w:val="20"/>
          <w:szCs w:val="20"/>
          <w:shd w:val="clear" w:color="auto" w:fill="FFFFFF"/>
        </w:rPr>
        <w:footnoteReference w:id="26"/>
      </w:r>
      <w:r w:rsidR="009A574D" w:rsidRPr="00B721BB">
        <w:rPr>
          <w:rFonts w:ascii="Verdana" w:hAnsi="Verdana" w:cs="Arial"/>
          <w:sz w:val="20"/>
          <w:szCs w:val="20"/>
          <w:shd w:val="clear" w:color="auto" w:fill="FFFFFF"/>
        </w:rPr>
        <w:t>, los representantes observa</w:t>
      </w:r>
      <w:r w:rsidR="005E68C1" w:rsidRPr="00B721BB">
        <w:rPr>
          <w:rFonts w:ascii="Verdana" w:hAnsi="Verdana" w:cs="Arial"/>
          <w:sz w:val="20"/>
          <w:szCs w:val="20"/>
          <w:shd w:val="clear" w:color="auto" w:fill="FFFFFF"/>
        </w:rPr>
        <w:t>ron</w:t>
      </w:r>
      <w:r w:rsidR="009A574D" w:rsidRPr="00B721BB">
        <w:rPr>
          <w:rFonts w:ascii="Verdana" w:hAnsi="Verdana" w:cs="Arial"/>
          <w:sz w:val="20"/>
          <w:szCs w:val="20"/>
          <w:shd w:val="clear" w:color="auto" w:fill="FFFFFF"/>
        </w:rPr>
        <w:t xml:space="preserve"> que la víctima refirió no haber recibido el pago, y que los datos bancarios que constan en la referida orden bancaria </w:t>
      </w:r>
      <w:r w:rsidR="005E68C1" w:rsidRPr="00B721BB">
        <w:rPr>
          <w:rFonts w:ascii="Verdana" w:hAnsi="Verdana" w:cs="Arial"/>
          <w:sz w:val="20"/>
          <w:szCs w:val="20"/>
          <w:shd w:val="clear" w:color="auto" w:fill="FFFFFF"/>
        </w:rPr>
        <w:t xml:space="preserve">no corresponden a </w:t>
      </w:r>
      <w:r w:rsidR="000B70BB" w:rsidRPr="00B721BB">
        <w:rPr>
          <w:rFonts w:ascii="Verdana" w:hAnsi="Verdana" w:cs="Arial"/>
          <w:sz w:val="20"/>
          <w:szCs w:val="20"/>
          <w:shd w:val="clear" w:color="auto" w:fill="FFFFFF"/>
        </w:rPr>
        <w:t>la cuenta de la víctima</w:t>
      </w:r>
      <w:r w:rsidR="005E3291" w:rsidRPr="00B721BB">
        <w:rPr>
          <w:rFonts w:ascii="Verdana" w:hAnsi="Verdana" w:cs="Arial"/>
          <w:sz w:val="20"/>
          <w:szCs w:val="20"/>
          <w:shd w:val="clear" w:color="auto" w:fill="FFFFFF"/>
        </w:rPr>
        <w:t>,</w:t>
      </w:r>
      <w:r w:rsidR="000B70BB" w:rsidRPr="00B721BB">
        <w:rPr>
          <w:rFonts w:ascii="Verdana" w:hAnsi="Verdana" w:cs="Arial"/>
          <w:sz w:val="20"/>
          <w:szCs w:val="20"/>
          <w:shd w:val="clear" w:color="auto" w:fill="FFFFFF"/>
        </w:rPr>
        <w:t xml:space="preserve"> </w:t>
      </w:r>
      <w:r w:rsidR="005E68C1" w:rsidRPr="00B721BB">
        <w:rPr>
          <w:rFonts w:ascii="Verdana" w:hAnsi="Verdana" w:cs="Arial"/>
          <w:sz w:val="20"/>
          <w:szCs w:val="20"/>
          <w:shd w:val="clear" w:color="auto" w:fill="FFFFFF"/>
        </w:rPr>
        <w:t xml:space="preserve">que se encuentra en </w:t>
      </w:r>
      <w:r w:rsidR="000B70BB" w:rsidRPr="00B721BB">
        <w:rPr>
          <w:rFonts w:ascii="Verdana" w:hAnsi="Verdana" w:cs="Arial"/>
          <w:sz w:val="20"/>
          <w:szCs w:val="20"/>
          <w:shd w:val="clear" w:color="auto" w:fill="FFFFFF"/>
        </w:rPr>
        <w:t>un banco distinto de aquél al cual se realizó la transferencia</w:t>
      </w:r>
      <w:r w:rsidR="00A36601" w:rsidRPr="00B721BB">
        <w:rPr>
          <w:rFonts w:ascii="Verdana" w:hAnsi="Verdana" w:cs="Arial"/>
          <w:sz w:val="20"/>
          <w:szCs w:val="20"/>
          <w:shd w:val="clear" w:color="auto" w:fill="FFFFFF"/>
        </w:rPr>
        <w:t>. Además, remarcaron que dicho pago había sido realizado “mediante la búsqueda activa realizada por el propio [Estado]”, y que desconocían si la cuenta a la cual se había efectuado el pago pertenec</w:t>
      </w:r>
      <w:r w:rsidR="005E3291" w:rsidRPr="00B721BB">
        <w:rPr>
          <w:rFonts w:ascii="Verdana" w:hAnsi="Verdana" w:cs="Arial"/>
          <w:sz w:val="20"/>
          <w:szCs w:val="20"/>
          <w:shd w:val="clear" w:color="auto" w:fill="FFFFFF"/>
        </w:rPr>
        <w:t>ía</w:t>
      </w:r>
      <w:r w:rsidR="00A36601" w:rsidRPr="00B721BB">
        <w:rPr>
          <w:rFonts w:ascii="Verdana" w:hAnsi="Verdana" w:cs="Arial"/>
          <w:sz w:val="20"/>
          <w:szCs w:val="20"/>
          <w:shd w:val="clear" w:color="auto" w:fill="FFFFFF"/>
        </w:rPr>
        <w:t xml:space="preserve"> a la víctima, si t</w:t>
      </w:r>
      <w:r w:rsidR="005E3291" w:rsidRPr="00B721BB">
        <w:rPr>
          <w:rFonts w:ascii="Verdana" w:hAnsi="Verdana" w:cs="Arial"/>
          <w:sz w:val="20"/>
          <w:szCs w:val="20"/>
          <w:shd w:val="clear" w:color="auto" w:fill="FFFFFF"/>
        </w:rPr>
        <w:t>enía</w:t>
      </w:r>
      <w:r w:rsidR="00A36601" w:rsidRPr="00B721BB">
        <w:rPr>
          <w:rFonts w:ascii="Verdana" w:hAnsi="Verdana" w:cs="Arial"/>
          <w:sz w:val="20"/>
          <w:szCs w:val="20"/>
          <w:shd w:val="clear" w:color="auto" w:fill="FFFFFF"/>
        </w:rPr>
        <w:t xml:space="preserve"> acceso a la misma o bien si pertenecía a un homónimo, c</w:t>
      </w:r>
      <w:r w:rsidR="000B70BB" w:rsidRPr="00B721BB">
        <w:rPr>
          <w:rFonts w:ascii="Verdana" w:hAnsi="Verdana" w:cs="Arial"/>
          <w:sz w:val="20"/>
          <w:szCs w:val="20"/>
          <w:shd w:val="clear" w:color="auto" w:fill="FFFFFF"/>
        </w:rPr>
        <w:t>oncluyendo que estas</w:t>
      </w:r>
      <w:r w:rsidR="00A36601" w:rsidRPr="00B721BB">
        <w:rPr>
          <w:rFonts w:ascii="Verdana" w:hAnsi="Verdana" w:cs="Arial"/>
          <w:sz w:val="20"/>
          <w:szCs w:val="20"/>
          <w:shd w:val="clear" w:color="auto" w:fill="FFFFFF"/>
        </w:rPr>
        <w:t xml:space="preserve"> “inconsistencias significativas” en la información bancaria de la referida víctima “perjudican el pago y disfrute efectivo de su debida indemnización”</w:t>
      </w:r>
      <w:r w:rsidR="00944ECA" w:rsidRPr="00B721BB">
        <w:rPr>
          <w:rFonts w:ascii="Verdana" w:hAnsi="Verdana" w:cs="Arial"/>
          <w:sz w:val="20"/>
          <w:szCs w:val="20"/>
          <w:shd w:val="clear" w:color="auto" w:fill="FFFFFF"/>
        </w:rPr>
        <w:t>,</w:t>
      </w:r>
      <w:r w:rsidR="00A36601" w:rsidRPr="00B721BB">
        <w:rPr>
          <w:rFonts w:ascii="Verdana" w:hAnsi="Verdana" w:cs="Arial"/>
          <w:sz w:val="20"/>
          <w:szCs w:val="20"/>
          <w:shd w:val="clear" w:color="auto" w:fill="FFFFFF"/>
        </w:rPr>
        <w:t xml:space="preserve"> </w:t>
      </w:r>
      <w:r w:rsidR="005E3291" w:rsidRPr="00B721BB">
        <w:rPr>
          <w:rFonts w:ascii="Verdana" w:hAnsi="Verdana" w:cs="Arial"/>
          <w:sz w:val="20"/>
          <w:szCs w:val="20"/>
          <w:shd w:val="clear" w:color="auto" w:fill="FFFFFF"/>
        </w:rPr>
        <w:t>por lo que</w:t>
      </w:r>
      <w:r w:rsidR="00A36601" w:rsidRPr="00B721BB">
        <w:rPr>
          <w:rFonts w:ascii="Verdana" w:hAnsi="Verdana" w:cs="Arial"/>
          <w:sz w:val="20"/>
          <w:szCs w:val="20"/>
          <w:shd w:val="clear" w:color="auto" w:fill="FFFFFF"/>
        </w:rPr>
        <w:t xml:space="preserve"> insta</w:t>
      </w:r>
      <w:r w:rsidR="00944ECA" w:rsidRPr="00B721BB">
        <w:rPr>
          <w:rFonts w:ascii="Verdana" w:hAnsi="Verdana" w:cs="Arial"/>
          <w:sz w:val="20"/>
          <w:szCs w:val="20"/>
          <w:shd w:val="clear" w:color="auto" w:fill="FFFFFF"/>
        </w:rPr>
        <w:t>ron</w:t>
      </w:r>
      <w:r w:rsidR="00A36601" w:rsidRPr="00B721BB">
        <w:rPr>
          <w:rFonts w:ascii="Verdana" w:hAnsi="Verdana" w:cs="Arial"/>
          <w:sz w:val="20"/>
          <w:szCs w:val="20"/>
          <w:shd w:val="clear" w:color="auto" w:fill="FFFFFF"/>
        </w:rPr>
        <w:t xml:space="preserve"> al Estado a presentar “prueba de que la persona indemnizada es en efecto la misma víctima del [presente] caso”</w:t>
      </w:r>
      <w:r w:rsidR="000B70BB" w:rsidRPr="00B721BB">
        <w:rPr>
          <w:rStyle w:val="Refdenotaalpie"/>
          <w:rFonts w:ascii="Verdana" w:hAnsi="Verdana" w:cs="Arial"/>
          <w:sz w:val="20"/>
          <w:szCs w:val="20"/>
          <w:shd w:val="clear" w:color="auto" w:fill="FFFFFF"/>
        </w:rPr>
        <w:footnoteReference w:id="27"/>
      </w:r>
      <w:r w:rsidR="00A36601" w:rsidRPr="00B721BB">
        <w:rPr>
          <w:rFonts w:ascii="Verdana" w:hAnsi="Verdana" w:cs="Arial"/>
          <w:sz w:val="20"/>
          <w:szCs w:val="20"/>
          <w:shd w:val="clear" w:color="auto" w:fill="FFFFFF"/>
        </w:rPr>
        <w:t xml:space="preserve">. </w:t>
      </w:r>
      <w:bookmarkEnd w:id="10"/>
    </w:p>
    <w:p w14:paraId="06E79C7B" w14:textId="27227B8D" w:rsidR="00590D01" w:rsidRPr="00B721BB" w:rsidRDefault="00590D01" w:rsidP="004522AF">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Tomando en consideración las observaciones de los representantes, este Tribunal considera que no cuenta con la información suficiente para determinar el cumplimiento de la presente medida con respecto a la víctima </w:t>
      </w:r>
      <w:proofErr w:type="spellStart"/>
      <w:r w:rsidRPr="00B721BB">
        <w:rPr>
          <w:rFonts w:ascii="Verdana" w:hAnsi="Verdana" w:cs="Arial"/>
          <w:sz w:val="20"/>
          <w:szCs w:val="20"/>
          <w:shd w:val="clear" w:color="auto" w:fill="FFFFFF"/>
        </w:rPr>
        <w:t>Antônio</w:t>
      </w:r>
      <w:proofErr w:type="spellEnd"/>
      <w:r w:rsidRPr="00B721BB">
        <w:rPr>
          <w:rFonts w:ascii="Verdana" w:hAnsi="Verdana" w:cs="Arial"/>
          <w:sz w:val="20"/>
          <w:szCs w:val="20"/>
          <w:shd w:val="clear" w:color="auto" w:fill="FFFFFF"/>
        </w:rPr>
        <w:t xml:space="preserve"> Paulo da Silva y, en consecuencia, solicita al Estado que, en su próximo informe, haga referencia a las observaciones de los representantes</w:t>
      </w:r>
      <w:r w:rsidR="00CD71AC" w:rsidRPr="00B721BB">
        <w:rPr>
          <w:rFonts w:ascii="Verdana" w:hAnsi="Verdana" w:cs="Arial"/>
          <w:sz w:val="20"/>
          <w:szCs w:val="20"/>
          <w:shd w:val="clear" w:color="auto" w:fill="FFFFFF"/>
        </w:rPr>
        <w:t xml:space="preserve"> (</w:t>
      </w:r>
      <w:r w:rsidR="00CD71AC" w:rsidRPr="00B721BB">
        <w:rPr>
          <w:rFonts w:ascii="Verdana" w:hAnsi="Verdana" w:cs="Arial"/>
          <w:i/>
          <w:sz w:val="20"/>
          <w:szCs w:val="20"/>
          <w:shd w:val="clear" w:color="auto" w:fill="FFFFFF"/>
        </w:rPr>
        <w:t xml:space="preserve">supra </w:t>
      </w:r>
      <w:r w:rsidR="00CD71AC" w:rsidRPr="00B721BB">
        <w:rPr>
          <w:rFonts w:ascii="Verdana" w:hAnsi="Verdana" w:cs="Arial"/>
          <w:sz w:val="20"/>
          <w:szCs w:val="20"/>
          <w:shd w:val="clear" w:color="auto" w:fill="FFFFFF"/>
        </w:rPr>
        <w:t>Considerando 13)</w:t>
      </w:r>
      <w:r w:rsidRPr="00B721BB">
        <w:rPr>
          <w:rFonts w:ascii="Verdana" w:hAnsi="Verdana" w:cs="Arial"/>
          <w:sz w:val="20"/>
          <w:szCs w:val="20"/>
          <w:shd w:val="clear" w:color="auto" w:fill="FFFFFF"/>
        </w:rPr>
        <w:t xml:space="preserve"> y aporte las explicaciones que considere pertinentes. </w:t>
      </w:r>
    </w:p>
    <w:p w14:paraId="6D5B2D48" w14:textId="3A54BE5B" w:rsidR="008C5A45" w:rsidRPr="00B721BB" w:rsidRDefault="008C5A45" w:rsidP="004522AF">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Con </w:t>
      </w:r>
      <w:r w:rsidR="00E26E8D" w:rsidRPr="00B721BB">
        <w:rPr>
          <w:rFonts w:ascii="Verdana" w:hAnsi="Verdana" w:cs="Arial"/>
          <w:sz w:val="20"/>
          <w:szCs w:val="20"/>
          <w:shd w:val="clear" w:color="auto" w:fill="FFFFFF"/>
        </w:rPr>
        <w:t>relación</w:t>
      </w:r>
      <w:r w:rsidRPr="00B721BB">
        <w:rPr>
          <w:rFonts w:ascii="Verdana" w:hAnsi="Verdana" w:cs="Arial"/>
          <w:sz w:val="20"/>
          <w:szCs w:val="20"/>
          <w:shd w:val="clear" w:color="auto" w:fill="FFFFFF"/>
        </w:rPr>
        <w:t xml:space="preserve"> </w:t>
      </w:r>
      <w:r w:rsidR="00E26E8D" w:rsidRPr="00B721BB">
        <w:rPr>
          <w:rFonts w:ascii="Verdana" w:hAnsi="Verdana" w:cs="Arial"/>
          <w:sz w:val="20"/>
          <w:szCs w:val="20"/>
          <w:shd w:val="clear" w:color="auto" w:fill="FFFFFF"/>
        </w:rPr>
        <w:t xml:space="preserve">a </w:t>
      </w:r>
      <w:r w:rsidRPr="00B721BB">
        <w:rPr>
          <w:rFonts w:ascii="Verdana" w:hAnsi="Verdana" w:cs="Arial"/>
          <w:sz w:val="20"/>
          <w:szCs w:val="20"/>
          <w:shd w:val="clear" w:color="auto" w:fill="FFFFFF"/>
        </w:rPr>
        <w:t xml:space="preserve">las víctimas respecto de </w:t>
      </w:r>
      <w:r w:rsidR="00CF0120" w:rsidRPr="00B721BB">
        <w:rPr>
          <w:rFonts w:ascii="Verdana" w:hAnsi="Verdana" w:cs="Arial"/>
          <w:sz w:val="20"/>
          <w:szCs w:val="20"/>
          <w:shd w:val="clear" w:color="auto" w:fill="FFFFFF"/>
        </w:rPr>
        <w:t>quienes</w:t>
      </w:r>
      <w:r w:rsidRPr="00B721BB">
        <w:rPr>
          <w:rFonts w:ascii="Verdana" w:hAnsi="Verdana" w:cs="Arial"/>
          <w:sz w:val="20"/>
          <w:szCs w:val="20"/>
          <w:shd w:val="clear" w:color="auto" w:fill="FFFFFF"/>
        </w:rPr>
        <w:t xml:space="preserve"> aún no se han realizado los pagos, </w:t>
      </w:r>
      <w:r w:rsidR="00BC6C61" w:rsidRPr="00B721BB">
        <w:rPr>
          <w:rFonts w:ascii="Verdana" w:hAnsi="Verdana" w:cs="Arial"/>
          <w:sz w:val="20"/>
          <w:szCs w:val="20"/>
          <w:shd w:val="clear" w:color="auto" w:fill="FFFFFF"/>
        </w:rPr>
        <w:t xml:space="preserve">en </w:t>
      </w:r>
      <w:r w:rsidR="00DC6044" w:rsidRPr="00B721BB">
        <w:rPr>
          <w:rFonts w:ascii="Verdana" w:hAnsi="Verdana" w:cs="Arial"/>
          <w:sz w:val="20"/>
          <w:szCs w:val="20"/>
          <w:shd w:val="clear" w:color="auto" w:fill="FFFFFF"/>
        </w:rPr>
        <w:t xml:space="preserve">septiembre </w:t>
      </w:r>
      <w:r w:rsidR="00BC6C61" w:rsidRPr="00B721BB">
        <w:rPr>
          <w:rFonts w:ascii="Verdana" w:hAnsi="Verdana" w:cs="Arial"/>
          <w:sz w:val="20"/>
          <w:szCs w:val="20"/>
          <w:shd w:val="clear" w:color="auto" w:fill="FFFFFF"/>
        </w:rPr>
        <w:t xml:space="preserve">de 2019 </w:t>
      </w:r>
      <w:r w:rsidRPr="00B721BB">
        <w:rPr>
          <w:rFonts w:ascii="Verdana" w:hAnsi="Verdana" w:cs="Arial"/>
          <w:sz w:val="20"/>
          <w:szCs w:val="20"/>
          <w:shd w:val="clear" w:color="auto" w:fill="FFFFFF"/>
        </w:rPr>
        <w:t xml:space="preserve">el Estado informó que </w:t>
      </w:r>
      <w:r w:rsidR="00E8059D" w:rsidRPr="00B721BB">
        <w:rPr>
          <w:rFonts w:ascii="Verdana" w:hAnsi="Verdana" w:cs="Arial"/>
          <w:sz w:val="20"/>
          <w:szCs w:val="20"/>
          <w:shd w:val="clear" w:color="auto" w:fill="FFFFFF"/>
        </w:rPr>
        <w:t xml:space="preserve">tres de ellas </w:t>
      </w:r>
      <w:r w:rsidR="00BC6C61" w:rsidRPr="00B721BB">
        <w:rPr>
          <w:rFonts w:ascii="Verdana" w:hAnsi="Verdana" w:cs="Arial"/>
          <w:sz w:val="20"/>
          <w:szCs w:val="20"/>
          <w:shd w:val="clear" w:color="auto" w:fill="FFFFFF"/>
        </w:rPr>
        <w:t>se encontraban</w:t>
      </w:r>
      <w:r w:rsidR="00E8059D" w:rsidRPr="00B721BB">
        <w:rPr>
          <w:rFonts w:ascii="Verdana" w:hAnsi="Verdana" w:cs="Arial"/>
          <w:sz w:val="20"/>
          <w:szCs w:val="20"/>
          <w:shd w:val="clear" w:color="auto" w:fill="FFFFFF"/>
        </w:rPr>
        <w:t xml:space="preserve"> “en proceso de pago”</w:t>
      </w:r>
      <w:r w:rsidR="00BC6C61" w:rsidRPr="00B721BB">
        <w:rPr>
          <w:rStyle w:val="Refdenotaalpie"/>
          <w:rFonts w:ascii="Verdana" w:hAnsi="Verdana" w:cs="Arial"/>
          <w:sz w:val="20"/>
          <w:szCs w:val="20"/>
          <w:shd w:val="clear" w:color="auto" w:fill="FFFFFF"/>
        </w:rPr>
        <w:footnoteReference w:id="28"/>
      </w:r>
      <w:r w:rsidR="00DC6044" w:rsidRPr="00B721BB">
        <w:rPr>
          <w:rFonts w:ascii="Verdana" w:hAnsi="Verdana" w:cs="Arial"/>
          <w:sz w:val="20"/>
          <w:szCs w:val="20"/>
          <w:shd w:val="clear" w:color="auto" w:fill="FFFFFF"/>
        </w:rPr>
        <w:t xml:space="preserve">; no obstante, en esa misma oportunidad el Estado aporto dos órdenes bancarias por la cantidad ordenada en la Sentencia a favor de dos de ellas: </w:t>
      </w:r>
      <w:proofErr w:type="spellStart"/>
      <w:r w:rsidR="00DC6044" w:rsidRPr="00B721BB">
        <w:rPr>
          <w:rFonts w:ascii="Verdana" w:hAnsi="Verdana" w:cs="Arial"/>
          <w:sz w:val="20"/>
          <w:szCs w:val="20"/>
          <w:shd w:val="clear" w:color="auto" w:fill="FFFFFF"/>
        </w:rPr>
        <w:t>Antônio</w:t>
      </w:r>
      <w:proofErr w:type="spellEnd"/>
      <w:r w:rsidR="00DC6044" w:rsidRPr="00B721BB">
        <w:rPr>
          <w:rFonts w:ascii="Verdana" w:hAnsi="Verdana" w:cs="Arial"/>
          <w:sz w:val="20"/>
          <w:szCs w:val="20"/>
          <w:shd w:val="clear" w:color="auto" w:fill="FFFFFF"/>
        </w:rPr>
        <w:t xml:space="preserve"> de Paula </w:t>
      </w:r>
      <w:proofErr w:type="spellStart"/>
      <w:r w:rsidR="00DC6044" w:rsidRPr="00B721BB">
        <w:rPr>
          <w:rFonts w:ascii="Verdana" w:hAnsi="Verdana" w:cs="Arial"/>
          <w:sz w:val="20"/>
          <w:szCs w:val="20"/>
          <w:shd w:val="clear" w:color="auto" w:fill="FFFFFF"/>
        </w:rPr>
        <w:t>Rodrigues</w:t>
      </w:r>
      <w:proofErr w:type="spellEnd"/>
      <w:r w:rsidR="00DC6044" w:rsidRPr="00B721BB">
        <w:rPr>
          <w:rFonts w:ascii="Verdana" w:hAnsi="Verdana" w:cs="Arial"/>
          <w:sz w:val="20"/>
          <w:szCs w:val="20"/>
          <w:shd w:val="clear" w:color="auto" w:fill="FFFFFF"/>
        </w:rPr>
        <w:t xml:space="preserve"> de </w:t>
      </w:r>
      <w:r w:rsidR="00DC6044" w:rsidRPr="00B721BB">
        <w:rPr>
          <w:rFonts w:ascii="Verdana" w:hAnsi="Verdana" w:cs="Arial"/>
          <w:sz w:val="20"/>
          <w:szCs w:val="20"/>
          <w:shd w:val="clear" w:color="auto" w:fill="FFFFFF"/>
        </w:rPr>
        <w:lastRenderedPageBreak/>
        <w:t xml:space="preserve">Sousa y </w:t>
      </w:r>
      <w:proofErr w:type="spellStart"/>
      <w:r w:rsidR="00DC6044" w:rsidRPr="00B721BB">
        <w:rPr>
          <w:rFonts w:ascii="Verdana" w:hAnsi="Verdana" w:cs="Arial"/>
          <w:sz w:val="20"/>
          <w:szCs w:val="20"/>
          <w:shd w:val="clear" w:color="auto" w:fill="FFFFFF"/>
        </w:rPr>
        <w:t>Manoel</w:t>
      </w:r>
      <w:proofErr w:type="spellEnd"/>
      <w:r w:rsidR="00DC6044" w:rsidRPr="00B721BB">
        <w:rPr>
          <w:rFonts w:ascii="Verdana" w:hAnsi="Verdana" w:cs="Arial"/>
          <w:sz w:val="20"/>
          <w:szCs w:val="20"/>
          <w:shd w:val="clear" w:color="auto" w:fill="FFFFFF"/>
        </w:rPr>
        <w:t xml:space="preserve"> </w:t>
      </w:r>
      <w:proofErr w:type="spellStart"/>
      <w:r w:rsidR="00DC6044" w:rsidRPr="00B721BB">
        <w:rPr>
          <w:rFonts w:ascii="Verdana" w:hAnsi="Verdana" w:cs="Arial"/>
          <w:sz w:val="20"/>
          <w:szCs w:val="20"/>
          <w:shd w:val="clear" w:color="auto" w:fill="FFFFFF"/>
        </w:rPr>
        <w:t>Fernandes</w:t>
      </w:r>
      <w:proofErr w:type="spellEnd"/>
      <w:r w:rsidR="00DC6044" w:rsidRPr="00B721BB">
        <w:rPr>
          <w:rFonts w:ascii="Verdana" w:hAnsi="Verdana" w:cs="Arial"/>
          <w:sz w:val="20"/>
          <w:szCs w:val="20"/>
          <w:shd w:val="clear" w:color="auto" w:fill="FFFFFF"/>
        </w:rPr>
        <w:t xml:space="preserve"> dos Santos</w:t>
      </w:r>
      <w:r w:rsidR="00EF34A7" w:rsidRPr="00B721BB">
        <w:rPr>
          <w:rStyle w:val="Refdenotaalpie"/>
          <w:rFonts w:ascii="Verdana" w:hAnsi="Verdana" w:cs="Arial"/>
          <w:sz w:val="20"/>
          <w:szCs w:val="20"/>
          <w:shd w:val="clear" w:color="auto" w:fill="FFFFFF"/>
        </w:rPr>
        <w:footnoteReference w:id="29"/>
      </w:r>
      <w:r w:rsidR="00DC6044" w:rsidRPr="00B721BB">
        <w:rPr>
          <w:rFonts w:ascii="Verdana" w:hAnsi="Verdana" w:cs="Arial"/>
          <w:sz w:val="20"/>
          <w:szCs w:val="20"/>
          <w:shd w:val="clear" w:color="auto" w:fill="FFFFFF"/>
        </w:rPr>
        <w:t>.</w:t>
      </w:r>
      <w:r w:rsidR="00E8059D" w:rsidRPr="00B721BB">
        <w:rPr>
          <w:rFonts w:ascii="Verdana" w:hAnsi="Verdana" w:cs="Arial"/>
          <w:sz w:val="20"/>
          <w:szCs w:val="20"/>
          <w:shd w:val="clear" w:color="auto" w:fill="FFFFFF"/>
        </w:rPr>
        <w:t xml:space="preserve"> </w:t>
      </w:r>
      <w:r w:rsidR="00E26E8D" w:rsidRPr="00B721BB">
        <w:rPr>
          <w:rFonts w:ascii="Verdana" w:hAnsi="Verdana" w:cs="Arial"/>
          <w:sz w:val="20"/>
          <w:szCs w:val="20"/>
          <w:shd w:val="clear" w:color="auto" w:fill="FFFFFF"/>
        </w:rPr>
        <w:t>E</w:t>
      </w:r>
      <w:r w:rsidR="00BC6C61" w:rsidRPr="00B721BB">
        <w:rPr>
          <w:rFonts w:ascii="Verdana" w:hAnsi="Verdana" w:cs="Arial"/>
          <w:sz w:val="20"/>
          <w:szCs w:val="20"/>
          <w:shd w:val="clear" w:color="auto" w:fill="FFFFFF"/>
        </w:rPr>
        <w:t>n septiembre de 2019 los representantes “felicita[ron] al Estado por la búsqueda activa y pago” de la indemnización ordenada en la Sentencia</w:t>
      </w:r>
      <w:r w:rsidR="00E26E8D" w:rsidRPr="00B721BB">
        <w:rPr>
          <w:rFonts w:ascii="Verdana" w:hAnsi="Verdana" w:cs="Arial"/>
          <w:sz w:val="20"/>
          <w:szCs w:val="20"/>
          <w:shd w:val="clear" w:color="auto" w:fill="FFFFFF"/>
        </w:rPr>
        <w:t xml:space="preserve"> a </w:t>
      </w:r>
      <w:r w:rsidR="00DC6044" w:rsidRPr="00B721BB">
        <w:rPr>
          <w:rFonts w:ascii="Verdana" w:hAnsi="Verdana" w:cs="Arial"/>
          <w:sz w:val="20"/>
          <w:szCs w:val="20"/>
          <w:shd w:val="clear" w:color="auto" w:fill="FFFFFF"/>
        </w:rPr>
        <w:t xml:space="preserve">estas </w:t>
      </w:r>
      <w:r w:rsidR="00E26E8D" w:rsidRPr="00B721BB">
        <w:rPr>
          <w:rFonts w:ascii="Verdana" w:hAnsi="Verdana" w:cs="Arial"/>
          <w:sz w:val="20"/>
          <w:szCs w:val="20"/>
          <w:shd w:val="clear" w:color="auto" w:fill="FFFFFF"/>
        </w:rPr>
        <w:t xml:space="preserve">dos </w:t>
      </w:r>
      <w:r w:rsidR="00DC6044" w:rsidRPr="00B721BB">
        <w:rPr>
          <w:rFonts w:ascii="Verdana" w:hAnsi="Verdana" w:cs="Arial"/>
          <w:sz w:val="20"/>
          <w:szCs w:val="20"/>
          <w:shd w:val="clear" w:color="auto" w:fill="FFFFFF"/>
        </w:rPr>
        <w:t>víctimas</w:t>
      </w:r>
      <w:r w:rsidR="007074DA" w:rsidRPr="00B721BB">
        <w:rPr>
          <w:rStyle w:val="Refdenotaalpie"/>
          <w:rFonts w:ascii="Verdana" w:hAnsi="Verdana" w:cs="Arial"/>
          <w:sz w:val="20"/>
          <w:szCs w:val="20"/>
          <w:shd w:val="clear" w:color="auto" w:fill="FFFFFF"/>
        </w:rPr>
        <w:footnoteReference w:id="30"/>
      </w:r>
      <w:r w:rsidR="00BC6C61" w:rsidRPr="00B721BB">
        <w:rPr>
          <w:rFonts w:ascii="Verdana" w:hAnsi="Verdana" w:cs="Arial"/>
          <w:sz w:val="20"/>
          <w:szCs w:val="20"/>
          <w:shd w:val="clear" w:color="auto" w:fill="FFFFFF"/>
        </w:rPr>
        <w:t xml:space="preserve">. </w:t>
      </w:r>
      <w:r w:rsidR="00E26E8D" w:rsidRPr="00B721BB">
        <w:rPr>
          <w:rFonts w:ascii="Verdana" w:hAnsi="Verdana" w:cs="Arial"/>
          <w:sz w:val="20"/>
          <w:szCs w:val="20"/>
          <w:shd w:val="clear" w:color="auto" w:fill="FFFFFF"/>
        </w:rPr>
        <w:t>Con base en las observaciones realizadas por los representantes</w:t>
      </w:r>
      <w:r w:rsidR="00E06C4B" w:rsidRPr="00B721BB">
        <w:rPr>
          <w:rFonts w:ascii="Verdana" w:hAnsi="Verdana" w:cs="Arial"/>
          <w:sz w:val="20"/>
          <w:szCs w:val="20"/>
          <w:shd w:val="clear" w:color="auto" w:fill="FFFFFF"/>
        </w:rPr>
        <w:t xml:space="preserve">, el Tribunal </w:t>
      </w:r>
      <w:r w:rsidR="00E26E8D" w:rsidRPr="00B721BB">
        <w:rPr>
          <w:rFonts w:ascii="Verdana" w:hAnsi="Verdana" w:cs="Arial"/>
          <w:sz w:val="20"/>
          <w:szCs w:val="20"/>
          <w:shd w:val="clear" w:color="auto" w:fill="FFFFFF"/>
        </w:rPr>
        <w:t>nota</w:t>
      </w:r>
      <w:r w:rsidR="00E06C4B" w:rsidRPr="00B721BB">
        <w:rPr>
          <w:rFonts w:ascii="Verdana" w:hAnsi="Verdana" w:cs="Arial"/>
          <w:sz w:val="20"/>
          <w:szCs w:val="20"/>
          <w:shd w:val="clear" w:color="auto" w:fill="FFFFFF"/>
        </w:rPr>
        <w:t xml:space="preserve"> que parecería ser que el Estado habría concluido el proceso de pago con relación a </w:t>
      </w:r>
      <w:r w:rsidR="00E26E8D" w:rsidRPr="00B721BB">
        <w:rPr>
          <w:rFonts w:ascii="Verdana" w:hAnsi="Verdana" w:cs="Arial"/>
          <w:sz w:val="20"/>
          <w:szCs w:val="20"/>
          <w:shd w:val="clear" w:color="auto" w:fill="FFFFFF"/>
        </w:rPr>
        <w:t>dichas</w:t>
      </w:r>
      <w:r w:rsidR="00E06C4B" w:rsidRPr="00B721BB">
        <w:rPr>
          <w:rFonts w:ascii="Verdana" w:hAnsi="Verdana" w:cs="Arial"/>
          <w:sz w:val="20"/>
          <w:szCs w:val="20"/>
          <w:shd w:val="clear" w:color="auto" w:fill="FFFFFF"/>
        </w:rPr>
        <w:t xml:space="preserve"> víctimas</w:t>
      </w:r>
      <w:r w:rsidR="00E63BBE" w:rsidRPr="00B721BB">
        <w:rPr>
          <w:rFonts w:ascii="Verdana" w:hAnsi="Verdana" w:cs="Arial"/>
          <w:sz w:val="20"/>
          <w:szCs w:val="20"/>
          <w:shd w:val="clear" w:color="auto" w:fill="FFFFFF"/>
        </w:rPr>
        <w:t xml:space="preserve">. </w:t>
      </w:r>
      <w:r w:rsidR="00A24D96" w:rsidRPr="00B721BB">
        <w:rPr>
          <w:rFonts w:ascii="Verdana" w:hAnsi="Verdana" w:cs="Arial"/>
          <w:sz w:val="20"/>
          <w:szCs w:val="20"/>
          <w:shd w:val="clear" w:color="auto" w:fill="FFFFFF"/>
        </w:rPr>
        <w:t>Sin embargo</w:t>
      </w:r>
      <w:r w:rsidR="00E06C4B" w:rsidRPr="00B721BB">
        <w:rPr>
          <w:rFonts w:ascii="Verdana" w:hAnsi="Verdana" w:cs="Arial"/>
          <w:sz w:val="20"/>
          <w:szCs w:val="20"/>
          <w:shd w:val="clear" w:color="auto" w:fill="FFFFFF"/>
        </w:rPr>
        <w:t xml:space="preserve">, </w:t>
      </w:r>
      <w:r w:rsidR="00A24D96" w:rsidRPr="00B721BB">
        <w:rPr>
          <w:rFonts w:ascii="Verdana" w:hAnsi="Verdana" w:cs="Arial"/>
          <w:sz w:val="20"/>
          <w:szCs w:val="20"/>
          <w:shd w:val="clear" w:color="auto" w:fill="FFFFFF"/>
        </w:rPr>
        <w:t xml:space="preserve">considerando que el mismo Estado indicó que los mismos se encontraban “en proceso”, se </w:t>
      </w:r>
      <w:r w:rsidR="00E06C4B" w:rsidRPr="00B721BB">
        <w:rPr>
          <w:rFonts w:ascii="Verdana" w:hAnsi="Verdana" w:cs="Arial"/>
          <w:sz w:val="20"/>
          <w:szCs w:val="20"/>
          <w:shd w:val="clear" w:color="auto" w:fill="FFFFFF"/>
        </w:rPr>
        <w:t xml:space="preserve">solicita </w:t>
      </w:r>
      <w:r w:rsidR="00A24D96" w:rsidRPr="00B721BB">
        <w:rPr>
          <w:rFonts w:ascii="Verdana" w:hAnsi="Verdana" w:cs="Arial"/>
          <w:sz w:val="20"/>
          <w:szCs w:val="20"/>
          <w:shd w:val="clear" w:color="auto" w:fill="FFFFFF"/>
        </w:rPr>
        <w:t xml:space="preserve">a Brasil </w:t>
      </w:r>
      <w:r w:rsidR="00E06C4B" w:rsidRPr="00B721BB">
        <w:rPr>
          <w:rFonts w:ascii="Verdana" w:hAnsi="Verdana" w:cs="Arial"/>
          <w:sz w:val="20"/>
          <w:szCs w:val="20"/>
          <w:shd w:val="clear" w:color="auto" w:fill="FFFFFF"/>
        </w:rPr>
        <w:t xml:space="preserve">que </w:t>
      </w:r>
      <w:r w:rsidR="00E63BBE" w:rsidRPr="00B721BB">
        <w:rPr>
          <w:rFonts w:ascii="Verdana" w:hAnsi="Verdana" w:cs="Arial"/>
          <w:sz w:val="20"/>
          <w:szCs w:val="20"/>
          <w:shd w:val="clear" w:color="auto" w:fill="FFFFFF"/>
        </w:rPr>
        <w:t xml:space="preserve">confirme que los pagos en cuestión fueron concluidos </w:t>
      </w:r>
      <w:r w:rsidR="00E06C4B" w:rsidRPr="00B721BB">
        <w:rPr>
          <w:rFonts w:ascii="Verdana" w:hAnsi="Verdana" w:cs="Arial"/>
          <w:sz w:val="20"/>
          <w:szCs w:val="20"/>
          <w:shd w:val="clear" w:color="auto" w:fill="FFFFFF"/>
        </w:rPr>
        <w:t xml:space="preserve">para poder valorar el cumplimiento de la presente medida con relación a las víctimas referidas. </w:t>
      </w:r>
    </w:p>
    <w:p w14:paraId="4AA8AF7C" w14:textId="269794EA" w:rsidR="00331035" w:rsidRPr="00B721BB" w:rsidRDefault="000B5132" w:rsidP="004808EA">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Adicionalmente, </w:t>
      </w:r>
      <w:r w:rsidR="006D3747" w:rsidRPr="00B721BB">
        <w:rPr>
          <w:rFonts w:ascii="Verdana" w:hAnsi="Verdana" w:cs="Arial"/>
          <w:sz w:val="20"/>
          <w:szCs w:val="20"/>
          <w:shd w:val="clear" w:color="auto" w:fill="FFFFFF"/>
        </w:rPr>
        <w:t xml:space="preserve">los representantes informaron que </w:t>
      </w:r>
      <w:r w:rsidR="009C1727" w:rsidRPr="00B721BB">
        <w:rPr>
          <w:rFonts w:ascii="Verdana" w:hAnsi="Verdana" w:cs="Arial"/>
          <w:sz w:val="20"/>
          <w:szCs w:val="20"/>
          <w:shd w:val="clear" w:color="auto" w:fill="FFFFFF"/>
        </w:rPr>
        <w:t>en el mes de septiembre</w:t>
      </w:r>
      <w:r w:rsidR="00A913B1" w:rsidRPr="00B721BB">
        <w:rPr>
          <w:rFonts w:ascii="Verdana" w:hAnsi="Verdana" w:cs="Arial"/>
          <w:sz w:val="20"/>
          <w:szCs w:val="20"/>
          <w:shd w:val="clear" w:color="auto" w:fill="FFFFFF"/>
        </w:rPr>
        <w:t xml:space="preserve"> de 2018</w:t>
      </w:r>
      <w:r w:rsidR="009C1727" w:rsidRPr="00B721BB">
        <w:rPr>
          <w:rFonts w:ascii="Verdana" w:hAnsi="Verdana" w:cs="Arial"/>
          <w:sz w:val="20"/>
          <w:szCs w:val="20"/>
          <w:shd w:val="clear" w:color="auto" w:fill="FFFFFF"/>
        </w:rPr>
        <w:t xml:space="preserve"> </w:t>
      </w:r>
      <w:r w:rsidR="006D3747" w:rsidRPr="00B721BB">
        <w:rPr>
          <w:rFonts w:ascii="Verdana" w:hAnsi="Verdana" w:cs="Arial"/>
          <w:sz w:val="20"/>
          <w:szCs w:val="20"/>
          <w:shd w:val="clear" w:color="auto" w:fill="FFFFFF"/>
        </w:rPr>
        <w:t xml:space="preserve">habían remitido al </w:t>
      </w:r>
      <w:r w:rsidR="00073D0D" w:rsidRPr="00B721BB">
        <w:rPr>
          <w:rFonts w:ascii="Verdana" w:hAnsi="Verdana" w:cs="Arial"/>
          <w:sz w:val="20"/>
          <w:szCs w:val="20"/>
          <w:shd w:val="clear" w:color="auto" w:fill="FFFFFF"/>
        </w:rPr>
        <w:t xml:space="preserve">Ministerio de Derechos Humanos </w:t>
      </w:r>
      <w:r w:rsidR="006D3747" w:rsidRPr="00B721BB">
        <w:rPr>
          <w:rFonts w:ascii="Verdana" w:hAnsi="Verdana" w:cs="Arial"/>
          <w:sz w:val="20"/>
          <w:szCs w:val="20"/>
          <w:shd w:val="clear" w:color="auto" w:fill="FFFFFF"/>
        </w:rPr>
        <w:t>la información de contacto de</w:t>
      </w:r>
      <w:r w:rsidR="000A7384" w:rsidRPr="00B721BB">
        <w:rPr>
          <w:rFonts w:ascii="Verdana" w:hAnsi="Verdana" w:cs="Arial"/>
          <w:sz w:val="20"/>
          <w:szCs w:val="20"/>
          <w:shd w:val="clear" w:color="auto" w:fill="FFFFFF"/>
        </w:rPr>
        <w:t xml:space="preserve"> la víctima</w:t>
      </w:r>
      <w:r w:rsidR="006D3747" w:rsidRPr="00B721BB">
        <w:rPr>
          <w:rFonts w:ascii="Verdana" w:hAnsi="Verdana" w:cs="Arial"/>
          <w:sz w:val="20"/>
          <w:szCs w:val="20"/>
          <w:shd w:val="clear" w:color="auto" w:fill="FFFFFF"/>
        </w:rPr>
        <w:t xml:space="preserve"> </w:t>
      </w:r>
      <w:proofErr w:type="spellStart"/>
      <w:r w:rsidR="006D3747" w:rsidRPr="00B721BB">
        <w:rPr>
          <w:rFonts w:ascii="Verdana" w:hAnsi="Verdana" w:cs="Arial"/>
          <w:sz w:val="20"/>
          <w:szCs w:val="20"/>
          <w:shd w:val="clear" w:color="auto" w:fill="FFFFFF"/>
        </w:rPr>
        <w:t>Antônio</w:t>
      </w:r>
      <w:proofErr w:type="spellEnd"/>
      <w:r w:rsidR="006D3747" w:rsidRPr="00B721BB">
        <w:rPr>
          <w:rFonts w:ascii="Verdana" w:hAnsi="Verdana" w:cs="Arial"/>
          <w:sz w:val="20"/>
          <w:szCs w:val="20"/>
          <w:shd w:val="clear" w:color="auto" w:fill="FFFFFF"/>
        </w:rPr>
        <w:t xml:space="preserve"> Pereira da Silva</w:t>
      </w:r>
      <w:r w:rsidR="008C4B56" w:rsidRPr="00B721BB">
        <w:rPr>
          <w:rStyle w:val="Refdenotaalpie"/>
          <w:rFonts w:ascii="Verdana" w:hAnsi="Verdana" w:cs="Arial"/>
          <w:sz w:val="20"/>
          <w:szCs w:val="20"/>
          <w:shd w:val="clear" w:color="auto" w:fill="FFFFFF"/>
        </w:rPr>
        <w:footnoteReference w:id="31"/>
      </w:r>
      <w:r w:rsidR="008C4B56" w:rsidRPr="00B721BB">
        <w:rPr>
          <w:rFonts w:ascii="Verdana" w:hAnsi="Verdana" w:cs="Arial"/>
          <w:sz w:val="20"/>
          <w:szCs w:val="20"/>
          <w:shd w:val="clear" w:color="auto" w:fill="FFFFFF"/>
        </w:rPr>
        <w:t xml:space="preserve">. </w:t>
      </w:r>
      <w:r w:rsidR="00073D0D" w:rsidRPr="00B721BB">
        <w:rPr>
          <w:rFonts w:ascii="Verdana" w:hAnsi="Verdana" w:cs="Arial"/>
          <w:sz w:val="20"/>
          <w:szCs w:val="20"/>
          <w:shd w:val="clear" w:color="auto" w:fill="FFFFFF"/>
        </w:rPr>
        <w:t xml:space="preserve">Brasil </w:t>
      </w:r>
      <w:r w:rsidR="000A7384" w:rsidRPr="00B721BB">
        <w:rPr>
          <w:rFonts w:ascii="Verdana" w:hAnsi="Verdana" w:cs="Arial"/>
          <w:sz w:val="20"/>
          <w:szCs w:val="20"/>
          <w:shd w:val="clear" w:color="auto" w:fill="FFFFFF"/>
        </w:rPr>
        <w:t xml:space="preserve">hizo notar que “conforme consta en la sentencia […] existen dos víctimas homónimas” con ese nombre, rescatadas en distintos años. Indicó </w:t>
      </w:r>
      <w:proofErr w:type="gramStart"/>
      <w:r w:rsidR="000A7384" w:rsidRPr="00B721BB">
        <w:rPr>
          <w:rFonts w:ascii="Verdana" w:hAnsi="Verdana" w:cs="Arial"/>
          <w:sz w:val="20"/>
          <w:szCs w:val="20"/>
          <w:shd w:val="clear" w:color="auto" w:fill="FFFFFF"/>
        </w:rPr>
        <w:t>que</w:t>
      </w:r>
      <w:proofErr w:type="gramEnd"/>
      <w:r w:rsidR="000A7384" w:rsidRPr="00B721BB">
        <w:rPr>
          <w:rFonts w:ascii="Verdana" w:hAnsi="Verdana" w:cs="Arial"/>
          <w:sz w:val="20"/>
          <w:szCs w:val="20"/>
          <w:shd w:val="clear" w:color="auto" w:fill="FFFFFF"/>
        </w:rPr>
        <w:t xml:space="preserve"> </w:t>
      </w:r>
      <w:r w:rsidR="004808EA" w:rsidRPr="00B721BB">
        <w:rPr>
          <w:rFonts w:ascii="Verdana" w:hAnsi="Verdana" w:cs="Arial"/>
          <w:sz w:val="20"/>
          <w:szCs w:val="20"/>
          <w:shd w:val="clear" w:color="auto" w:fill="FFFFFF"/>
        </w:rPr>
        <w:t>en noviembre de 2018, el Ministerio de la Mujer, la Familia y los Derechos Humanos recibió una comunicación de los abogados representantes</w:t>
      </w:r>
      <w:r w:rsidR="004808EA" w:rsidRPr="00B721BB">
        <w:rPr>
          <w:rStyle w:val="Refdenotaalpie"/>
          <w:rFonts w:ascii="Verdana" w:hAnsi="Verdana" w:cs="Arial"/>
          <w:sz w:val="20"/>
          <w:szCs w:val="20"/>
          <w:shd w:val="clear" w:color="auto" w:fill="FFFFFF"/>
        </w:rPr>
        <w:footnoteReference w:id="32"/>
      </w:r>
      <w:r w:rsidR="004808EA" w:rsidRPr="00B721BB">
        <w:rPr>
          <w:rFonts w:ascii="Verdana" w:hAnsi="Verdana" w:cs="Arial"/>
          <w:sz w:val="20"/>
          <w:szCs w:val="20"/>
          <w:shd w:val="clear" w:color="auto" w:fill="FFFFFF"/>
        </w:rPr>
        <w:t xml:space="preserve"> de una persona llamada </w:t>
      </w:r>
      <w:proofErr w:type="spellStart"/>
      <w:r w:rsidR="004808EA" w:rsidRPr="00B721BB">
        <w:rPr>
          <w:rFonts w:ascii="Verdana" w:hAnsi="Verdana" w:cs="Arial"/>
          <w:sz w:val="20"/>
          <w:szCs w:val="20"/>
          <w:shd w:val="clear" w:color="auto" w:fill="FFFFFF"/>
        </w:rPr>
        <w:t>Antônio</w:t>
      </w:r>
      <w:proofErr w:type="spellEnd"/>
      <w:r w:rsidR="004808EA" w:rsidRPr="00B721BB">
        <w:rPr>
          <w:rFonts w:ascii="Verdana" w:hAnsi="Verdana" w:cs="Arial"/>
          <w:sz w:val="20"/>
          <w:szCs w:val="20"/>
          <w:shd w:val="clear" w:color="auto" w:fill="FFFFFF"/>
        </w:rPr>
        <w:t xml:space="preserve"> Pereira da Silva “alegando que la referida víctima tenía derecho a las dos indemnizaciones, referentes tanto a la fiscalización de 1997 como a la […] de 2000”</w:t>
      </w:r>
      <w:r w:rsidR="00073D0D" w:rsidRPr="00B721BB">
        <w:rPr>
          <w:rFonts w:ascii="Verdana" w:hAnsi="Verdana" w:cs="Arial"/>
          <w:sz w:val="20"/>
          <w:szCs w:val="20"/>
          <w:shd w:val="clear" w:color="auto" w:fill="FFFFFF"/>
        </w:rPr>
        <w:t>. No obstante,</w:t>
      </w:r>
      <w:r w:rsidR="004E21B7" w:rsidRPr="00B721BB">
        <w:rPr>
          <w:rFonts w:ascii="Verdana" w:hAnsi="Verdana" w:cs="Arial"/>
          <w:sz w:val="20"/>
          <w:szCs w:val="20"/>
          <w:shd w:val="clear" w:color="auto" w:fill="FFFFFF"/>
        </w:rPr>
        <w:t xml:space="preserve"> </w:t>
      </w:r>
      <w:r w:rsidR="00073D0D" w:rsidRPr="00B721BB">
        <w:rPr>
          <w:rFonts w:ascii="Verdana" w:hAnsi="Verdana" w:cs="Arial"/>
          <w:sz w:val="20"/>
          <w:szCs w:val="20"/>
          <w:shd w:val="clear" w:color="auto" w:fill="FFFFFF"/>
        </w:rPr>
        <w:t>la</w:t>
      </w:r>
      <w:r w:rsidR="004E21B7" w:rsidRPr="00B721BB">
        <w:rPr>
          <w:rFonts w:ascii="Verdana" w:hAnsi="Verdana" w:cs="Arial"/>
          <w:sz w:val="20"/>
          <w:szCs w:val="20"/>
          <w:shd w:val="clear" w:color="auto" w:fill="FFFFFF"/>
        </w:rPr>
        <w:t xml:space="preserve"> copia de la cartera de trabajo y seguridad social que </w:t>
      </w:r>
      <w:r w:rsidR="00073D0D" w:rsidRPr="00B721BB">
        <w:rPr>
          <w:rFonts w:ascii="Verdana" w:hAnsi="Verdana" w:cs="Arial"/>
          <w:sz w:val="20"/>
          <w:szCs w:val="20"/>
          <w:shd w:val="clear" w:color="auto" w:fill="FFFFFF"/>
        </w:rPr>
        <w:t xml:space="preserve">enviaron junto con la referida comunicación </w:t>
      </w:r>
      <w:r w:rsidR="004E21B7" w:rsidRPr="00B721BB">
        <w:rPr>
          <w:rFonts w:ascii="Verdana" w:hAnsi="Verdana" w:cs="Arial"/>
          <w:sz w:val="20"/>
          <w:szCs w:val="20"/>
          <w:shd w:val="clear" w:color="auto" w:fill="FFFFFF"/>
        </w:rPr>
        <w:t>evidenciaba que dicha persona había trabajado en la Hacienda Brasil Verde solamente en el año 1997</w:t>
      </w:r>
      <w:r w:rsidR="004E21B7" w:rsidRPr="00B721BB">
        <w:rPr>
          <w:rStyle w:val="Refdenotaalpie"/>
          <w:rFonts w:ascii="Verdana" w:hAnsi="Verdana" w:cs="Arial"/>
          <w:sz w:val="20"/>
          <w:szCs w:val="20"/>
          <w:shd w:val="clear" w:color="auto" w:fill="FFFFFF"/>
        </w:rPr>
        <w:footnoteReference w:id="33"/>
      </w:r>
      <w:r w:rsidR="004E21B7" w:rsidRPr="00B721BB">
        <w:rPr>
          <w:rFonts w:ascii="Verdana" w:hAnsi="Verdana" w:cs="Arial"/>
          <w:sz w:val="20"/>
          <w:szCs w:val="20"/>
          <w:shd w:val="clear" w:color="auto" w:fill="FFFFFF"/>
        </w:rPr>
        <w:t xml:space="preserve">. </w:t>
      </w:r>
      <w:r w:rsidR="009C1727" w:rsidRPr="00B721BB">
        <w:rPr>
          <w:rFonts w:ascii="Verdana" w:hAnsi="Verdana" w:cs="Arial"/>
          <w:sz w:val="20"/>
          <w:szCs w:val="20"/>
          <w:shd w:val="clear" w:color="auto" w:fill="FFFFFF"/>
        </w:rPr>
        <w:t>Asimismo, el Estado acompañó una comunicación de las organizaciones CEJIL y CPT, aclarando que la víctima cuyos datos habían remitido al Estado en septiembre de 2018 había sido rescatada en el año 2000</w:t>
      </w:r>
      <w:r w:rsidR="009C1727" w:rsidRPr="00B721BB">
        <w:rPr>
          <w:rStyle w:val="Refdenotaalpie"/>
          <w:rFonts w:ascii="Verdana" w:hAnsi="Verdana" w:cs="Arial"/>
          <w:sz w:val="20"/>
          <w:szCs w:val="20"/>
          <w:shd w:val="clear" w:color="auto" w:fill="FFFFFF"/>
        </w:rPr>
        <w:footnoteReference w:id="34"/>
      </w:r>
      <w:r w:rsidR="009C1727" w:rsidRPr="00B721BB">
        <w:rPr>
          <w:rFonts w:ascii="Verdana" w:hAnsi="Verdana" w:cs="Arial"/>
          <w:sz w:val="20"/>
          <w:szCs w:val="20"/>
          <w:shd w:val="clear" w:color="auto" w:fill="FFFFFF"/>
        </w:rPr>
        <w:t>.</w:t>
      </w:r>
      <w:r w:rsidR="00C56B2D" w:rsidRPr="00B721BB">
        <w:rPr>
          <w:rFonts w:ascii="Verdana" w:hAnsi="Verdana" w:cs="Arial"/>
          <w:sz w:val="20"/>
          <w:szCs w:val="20"/>
          <w:shd w:val="clear" w:color="auto" w:fill="FFFFFF"/>
        </w:rPr>
        <w:t xml:space="preserve"> En consecuencia, el Estado informó que, respecto de estas dos personas, “los datos recibidos se </w:t>
      </w:r>
      <w:proofErr w:type="spellStart"/>
      <w:r w:rsidR="00C56B2D" w:rsidRPr="00B721BB">
        <w:rPr>
          <w:rFonts w:ascii="Verdana" w:hAnsi="Verdana" w:cs="Arial"/>
          <w:sz w:val="20"/>
          <w:szCs w:val="20"/>
          <w:shd w:val="clear" w:color="auto" w:fill="FFFFFF"/>
        </w:rPr>
        <w:t>enc</w:t>
      </w:r>
      <w:proofErr w:type="spellEnd"/>
      <w:r w:rsidR="00C56B2D" w:rsidRPr="00B721BB">
        <w:rPr>
          <w:rFonts w:ascii="Verdana" w:hAnsi="Verdana" w:cs="Arial"/>
          <w:sz w:val="20"/>
          <w:szCs w:val="20"/>
          <w:shd w:val="clear" w:color="auto" w:fill="FFFFFF"/>
        </w:rPr>
        <w:t>[</w:t>
      </w:r>
      <w:proofErr w:type="spellStart"/>
      <w:r w:rsidR="00C56B2D" w:rsidRPr="00B721BB">
        <w:rPr>
          <w:rFonts w:ascii="Verdana" w:hAnsi="Verdana" w:cs="Arial"/>
          <w:sz w:val="20"/>
          <w:szCs w:val="20"/>
          <w:shd w:val="clear" w:color="auto" w:fill="FFFFFF"/>
        </w:rPr>
        <w:t>ontraban</w:t>
      </w:r>
      <w:proofErr w:type="spellEnd"/>
      <w:r w:rsidR="00C56B2D" w:rsidRPr="00B721BB">
        <w:rPr>
          <w:rFonts w:ascii="Verdana" w:hAnsi="Verdana" w:cs="Arial"/>
          <w:sz w:val="20"/>
          <w:szCs w:val="20"/>
          <w:shd w:val="clear" w:color="auto" w:fill="FFFFFF"/>
        </w:rPr>
        <w:t>] en análisis, antes de proseguir con el pago de la indemnización”</w:t>
      </w:r>
      <w:r w:rsidR="00C56B2D" w:rsidRPr="00B721BB">
        <w:rPr>
          <w:rStyle w:val="Refdenotaalpie"/>
          <w:rFonts w:ascii="Verdana" w:hAnsi="Verdana" w:cs="Arial"/>
          <w:sz w:val="20"/>
          <w:szCs w:val="20"/>
          <w:shd w:val="clear" w:color="auto" w:fill="FFFFFF"/>
        </w:rPr>
        <w:footnoteReference w:id="35"/>
      </w:r>
      <w:r w:rsidR="00C56B2D" w:rsidRPr="00B721BB">
        <w:rPr>
          <w:rFonts w:ascii="Verdana" w:hAnsi="Verdana" w:cs="Arial"/>
          <w:sz w:val="20"/>
          <w:szCs w:val="20"/>
          <w:shd w:val="clear" w:color="auto" w:fill="FFFFFF"/>
        </w:rPr>
        <w:t>.</w:t>
      </w:r>
    </w:p>
    <w:p w14:paraId="79734CC9" w14:textId="118FD5A3" w:rsidR="004808EA" w:rsidRPr="00B721BB" w:rsidRDefault="00331035" w:rsidP="004808EA">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Sobre este punto, los representantes confirmaron </w:t>
      </w:r>
      <w:r w:rsidR="00A913B1" w:rsidRPr="00B721BB">
        <w:rPr>
          <w:rFonts w:ascii="Verdana" w:hAnsi="Verdana" w:cs="Arial"/>
          <w:sz w:val="20"/>
          <w:szCs w:val="20"/>
          <w:shd w:val="clear" w:color="auto" w:fill="FFFFFF"/>
        </w:rPr>
        <w:t xml:space="preserve">en su escrito de septiembre de 2019 </w:t>
      </w:r>
      <w:r w:rsidRPr="00B721BB">
        <w:rPr>
          <w:rFonts w:ascii="Verdana" w:hAnsi="Verdana" w:cs="Arial"/>
          <w:sz w:val="20"/>
          <w:szCs w:val="20"/>
          <w:shd w:val="clear" w:color="auto" w:fill="FFFFFF"/>
        </w:rPr>
        <w:t xml:space="preserve">la existencia de un homónimo y reiteraron que los datos por ellos remitidos correspondían a la víctima que había sido rescatada durante la inspección del año 2000. Observaron “con preocupación” la comunicación remitida por los referidos abogados, “supuestamente en calidad de representantes de otra víctima </w:t>
      </w:r>
      <w:proofErr w:type="gramStart"/>
      <w:r w:rsidRPr="00B721BB">
        <w:rPr>
          <w:rFonts w:ascii="Verdana" w:hAnsi="Verdana" w:cs="Arial"/>
          <w:sz w:val="20"/>
          <w:szCs w:val="20"/>
          <w:shd w:val="clear" w:color="auto" w:fill="FFFFFF"/>
        </w:rPr>
        <w:t>homónima[</w:t>
      </w:r>
      <w:proofErr w:type="gramEnd"/>
      <w:r w:rsidRPr="00B721BB">
        <w:rPr>
          <w:rFonts w:ascii="Verdana" w:hAnsi="Verdana" w:cs="Arial"/>
          <w:sz w:val="20"/>
          <w:szCs w:val="20"/>
          <w:shd w:val="clear" w:color="auto" w:fill="FFFFFF"/>
        </w:rPr>
        <w:t xml:space="preserve">, …] cuya cartera de trabajo estaría firmada solamente en el año 1997”, por lo que “se presume que tal víctima es un segundo homónimo, cuyos datos no se encuentran debidamente registrados con los representantes de las víctimas”. Asimismo, expresaron su preocupación </w:t>
      </w:r>
      <w:r w:rsidR="007C4E88" w:rsidRPr="00B721BB">
        <w:rPr>
          <w:rFonts w:ascii="Verdana" w:hAnsi="Verdana" w:cs="Arial"/>
          <w:sz w:val="20"/>
          <w:szCs w:val="20"/>
          <w:shd w:val="clear" w:color="auto" w:fill="FFFFFF"/>
        </w:rPr>
        <w:t xml:space="preserve">por la solicitud </w:t>
      </w:r>
      <w:r w:rsidRPr="00B721BB">
        <w:rPr>
          <w:rFonts w:ascii="Verdana" w:hAnsi="Verdana" w:cs="Arial"/>
          <w:sz w:val="20"/>
          <w:szCs w:val="20"/>
          <w:shd w:val="clear" w:color="auto" w:fill="FFFFFF"/>
        </w:rPr>
        <w:t>realizada por dichos abogados en la referida nota respecto de que</w:t>
      </w:r>
      <w:r w:rsidR="007C4E88" w:rsidRPr="00B721BB">
        <w:rPr>
          <w:rFonts w:ascii="Verdana" w:hAnsi="Verdana" w:cs="Arial"/>
          <w:sz w:val="20"/>
          <w:szCs w:val="20"/>
          <w:shd w:val="clear" w:color="auto" w:fill="FFFFFF"/>
        </w:rPr>
        <w:t>, ante la carencia de cuenta bancaria por parte de la víctima en cuestión,</w:t>
      </w:r>
      <w:r w:rsidRPr="00B721BB">
        <w:rPr>
          <w:rFonts w:ascii="Verdana" w:hAnsi="Verdana" w:cs="Arial"/>
          <w:sz w:val="20"/>
          <w:szCs w:val="20"/>
          <w:shd w:val="clear" w:color="auto" w:fill="FFFFFF"/>
        </w:rPr>
        <w:t xml:space="preserve"> la indemnización se deposite en la cuenta personal de uno de los empleadores</w:t>
      </w:r>
      <w:r w:rsidR="007C4E88" w:rsidRPr="00B721BB">
        <w:rPr>
          <w:rFonts w:ascii="Verdana" w:hAnsi="Verdana" w:cs="Arial"/>
          <w:sz w:val="20"/>
          <w:szCs w:val="20"/>
          <w:shd w:val="clear" w:color="auto" w:fill="FFFFFF"/>
        </w:rPr>
        <w:t>. Al respecto, recordaron “la existencia de una solicitud hecha por el mismo Estado de Brasil, por medio de la Asesoría Internacional del Ministerio de Derechos Humanos al banco Caja Económica Federal” para el pago de las indemnizaciones ordenadas en la Sentencia en los casos en que la víctima no posea cuenta bancaria</w:t>
      </w:r>
      <w:r w:rsidR="009D551F" w:rsidRPr="00B721BB">
        <w:rPr>
          <w:rFonts w:ascii="Verdana" w:hAnsi="Verdana" w:cs="Arial"/>
          <w:sz w:val="20"/>
          <w:szCs w:val="20"/>
          <w:shd w:val="clear" w:color="auto" w:fill="FFFFFF"/>
        </w:rPr>
        <w:t>.</w:t>
      </w:r>
      <w:r w:rsidR="007C4E88" w:rsidRPr="00B721BB">
        <w:rPr>
          <w:rFonts w:ascii="Verdana" w:hAnsi="Verdana" w:cs="Arial"/>
          <w:sz w:val="20"/>
          <w:szCs w:val="20"/>
          <w:shd w:val="clear" w:color="auto" w:fill="FFFFFF"/>
        </w:rPr>
        <w:t xml:space="preserve"> </w:t>
      </w:r>
      <w:r w:rsidR="009D551F" w:rsidRPr="00B721BB">
        <w:rPr>
          <w:rFonts w:ascii="Verdana" w:hAnsi="Verdana" w:cs="Arial"/>
          <w:sz w:val="20"/>
          <w:szCs w:val="20"/>
          <w:shd w:val="clear" w:color="auto" w:fill="FFFFFF"/>
        </w:rPr>
        <w:t>R</w:t>
      </w:r>
      <w:r w:rsidR="007C4E88" w:rsidRPr="00B721BB">
        <w:rPr>
          <w:rFonts w:ascii="Verdana" w:hAnsi="Verdana" w:cs="Arial"/>
          <w:sz w:val="20"/>
          <w:szCs w:val="20"/>
          <w:shd w:val="clear" w:color="auto" w:fill="FFFFFF"/>
        </w:rPr>
        <w:t xml:space="preserve">emarcaron que “en tales ocasiones, se debe crear una cuenta corriente específica para los fines del pago de la indemnización, tal como el propio Estado ha procedido en varios otros casos en los cuales el beneficiario no tenía cuenta bancaria”, especialmente </w:t>
      </w:r>
      <w:r w:rsidR="00227EEE" w:rsidRPr="00B721BB">
        <w:rPr>
          <w:rFonts w:ascii="Verdana" w:hAnsi="Verdana" w:cs="Arial"/>
          <w:sz w:val="20"/>
          <w:szCs w:val="20"/>
          <w:shd w:val="clear" w:color="auto" w:fill="FFFFFF"/>
        </w:rPr>
        <w:t xml:space="preserve">tomando en consideración </w:t>
      </w:r>
      <w:r w:rsidR="007C4E88" w:rsidRPr="00B721BB">
        <w:rPr>
          <w:rFonts w:ascii="Verdana" w:hAnsi="Verdana" w:cs="Arial"/>
          <w:sz w:val="20"/>
          <w:szCs w:val="20"/>
          <w:shd w:val="clear" w:color="auto" w:fill="FFFFFF"/>
        </w:rPr>
        <w:t xml:space="preserve">la </w:t>
      </w:r>
      <w:r w:rsidR="00227EEE" w:rsidRPr="00B721BB">
        <w:rPr>
          <w:rFonts w:ascii="Verdana" w:hAnsi="Verdana" w:cs="Arial"/>
          <w:sz w:val="20"/>
          <w:szCs w:val="20"/>
          <w:shd w:val="clear" w:color="auto" w:fill="FFFFFF"/>
        </w:rPr>
        <w:t xml:space="preserve">situación </w:t>
      </w:r>
      <w:r w:rsidR="00227EEE" w:rsidRPr="00B721BB">
        <w:rPr>
          <w:rFonts w:ascii="Verdana" w:hAnsi="Verdana" w:cs="Arial"/>
          <w:sz w:val="20"/>
          <w:szCs w:val="20"/>
          <w:shd w:val="clear" w:color="auto" w:fill="FFFFFF"/>
        </w:rPr>
        <w:lastRenderedPageBreak/>
        <w:t xml:space="preserve">económica </w:t>
      </w:r>
      <w:r w:rsidR="007C4E88" w:rsidRPr="00B721BB">
        <w:rPr>
          <w:rFonts w:ascii="Verdana" w:hAnsi="Verdana" w:cs="Arial"/>
          <w:sz w:val="20"/>
          <w:szCs w:val="20"/>
          <w:shd w:val="clear" w:color="auto" w:fill="FFFFFF"/>
        </w:rPr>
        <w:t xml:space="preserve">de las víctimas, muchas de ellas </w:t>
      </w:r>
      <w:r w:rsidR="00CC4E85" w:rsidRPr="00B721BB">
        <w:rPr>
          <w:rFonts w:ascii="Verdana" w:hAnsi="Verdana" w:cs="Arial"/>
          <w:sz w:val="20"/>
          <w:szCs w:val="20"/>
          <w:shd w:val="clear" w:color="auto" w:fill="FFFFFF"/>
        </w:rPr>
        <w:t>“</w:t>
      </w:r>
      <w:r w:rsidR="007C4E88" w:rsidRPr="00B721BB">
        <w:rPr>
          <w:rFonts w:ascii="Verdana" w:hAnsi="Verdana" w:cs="Arial"/>
          <w:sz w:val="20"/>
          <w:szCs w:val="20"/>
          <w:shd w:val="clear" w:color="auto" w:fill="FFFFFF"/>
        </w:rPr>
        <w:t>no alfabetizadas</w:t>
      </w:r>
      <w:r w:rsidR="00227EEE" w:rsidRPr="00B721BB">
        <w:rPr>
          <w:rFonts w:ascii="Verdana" w:hAnsi="Verdana" w:cs="Arial"/>
          <w:sz w:val="20"/>
          <w:szCs w:val="20"/>
          <w:shd w:val="clear" w:color="auto" w:fill="FFFFFF"/>
        </w:rPr>
        <w:t xml:space="preserve"> y</w:t>
      </w:r>
      <w:r w:rsidR="007C4E88" w:rsidRPr="00B721BB">
        <w:rPr>
          <w:rFonts w:ascii="Verdana" w:hAnsi="Verdana" w:cs="Arial"/>
          <w:sz w:val="20"/>
          <w:szCs w:val="20"/>
          <w:shd w:val="clear" w:color="auto" w:fill="FFFFFF"/>
        </w:rPr>
        <w:t xml:space="preserve"> de origen humild</w:t>
      </w:r>
      <w:r w:rsidR="00184DC8" w:rsidRPr="00B721BB">
        <w:rPr>
          <w:rFonts w:ascii="Verdana" w:hAnsi="Verdana" w:cs="Arial"/>
          <w:sz w:val="20"/>
          <w:szCs w:val="20"/>
          <w:shd w:val="clear" w:color="auto" w:fill="FFFFFF"/>
        </w:rPr>
        <w:t>e</w:t>
      </w:r>
      <w:r w:rsidR="00CC4E85" w:rsidRPr="00B721BB">
        <w:rPr>
          <w:rFonts w:ascii="Verdana" w:hAnsi="Verdana" w:cs="Arial"/>
          <w:sz w:val="20"/>
          <w:szCs w:val="20"/>
          <w:shd w:val="clear" w:color="auto" w:fill="FFFFFF"/>
        </w:rPr>
        <w:t>”</w:t>
      </w:r>
      <w:r w:rsidR="007C4E88" w:rsidRPr="00B721BB">
        <w:rPr>
          <w:rFonts w:ascii="Verdana" w:hAnsi="Verdana" w:cs="Arial"/>
          <w:sz w:val="20"/>
          <w:szCs w:val="20"/>
          <w:shd w:val="clear" w:color="auto" w:fill="FFFFFF"/>
        </w:rPr>
        <w:t>. En particular, precisaron que la Caja Económica Federal, a pedido del Ministerio de Derechos Humanos, había abierto cuentas especiales para el pago de dichas indemnizaciones, “tratando a las víctimas de manera respetuosa y humana, en consideración de su situación especial de vulnerabilidad”</w:t>
      </w:r>
      <w:r w:rsidR="008F61C8" w:rsidRPr="00B721BB">
        <w:rPr>
          <w:rFonts w:ascii="Verdana" w:hAnsi="Verdana" w:cs="Arial"/>
          <w:sz w:val="20"/>
          <w:szCs w:val="20"/>
          <w:shd w:val="clear" w:color="auto" w:fill="FFFFFF"/>
        </w:rPr>
        <w:t xml:space="preserve">, y que en este caso debía procederse de igual manera, abriendo una cuenta </w:t>
      </w:r>
      <w:r w:rsidR="009D551F" w:rsidRPr="00B721BB">
        <w:rPr>
          <w:rFonts w:ascii="Verdana" w:hAnsi="Verdana" w:cs="Arial"/>
          <w:sz w:val="20"/>
          <w:szCs w:val="20"/>
          <w:shd w:val="clear" w:color="auto" w:fill="FFFFFF"/>
        </w:rPr>
        <w:t>propia a nombre de la víctima para depositar la indemnización</w:t>
      </w:r>
      <w:r w:rsidR="008F61C8" w:rsidRPr="00B721BB">
        <w:rPr>
          <w:rStyle w:val="Refdenotaalpie"/>
          <w:rFonts w:ascii="Verdana" w:hAnsi="Verdana" w:cs="Arial"/>
          <w:sz w:val="20"/>
          <w:szCs w:val="20"/>
          <w:shd w:val="clear" w:color="auto" w:fill="FFFFFF"/>
        </w:rPr>
        <w:footnoteReference w:id="36"/>
      </w:r>
      <w:r w:rsidR="00CC4E85" w:rsidRPr="00B721BB">
        <w:rPr>
          <w:rFonts w:ascii="Verdana" w:hAnsi="Verdana" w:cs="Arial"/>
          <w:sz w:val="20"/>
          <w:szCs w:val="20"/>
          <w:shd w:val="clear" w:color="auto" w:fill="FFFFFF"/>
        </w:rPr>
        <w:t>.</w:t>
      </w:r>
    </w:p>
    <w:p w14:paraId="264089F6" w14:textId="4AB93BDA" w:rsidR="008D1139" w:rsidRPr="00B721BB" w:rsidRDefault="008D1139" w:rsidP="004808EA">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Este Tribunal recuerda que, de acuerdo a lo establecido en los párrafos 199 y 206 de la Sentencia, existen dos víctimas homónimas llamadas </w:t>
      </w:r>
      <w:proofErr w:type="spellStart"/>
      <w:r w:rsidRPr="00B721BB">
        <w:rPr>
          <w:rFonts w:ascii="Verdana" w:hAnsi="Verdana" w:cs="Arial"/>
          <w:sz w:val="20"/>
          <w:szCs w:val="20"/>
          <w:shd w:val="clear" w:color="auto" w:fill="FFFFFF"/>
        </w:rPr>
        <w:t>Antônio</w:t>
      </w:r>
      <w:proofErr w:type="spellEnd"/>
      <w:r w:rsidRPr="00B721BB">
        <w:rPr>
          <w:rFonts w:ascii="Verdana" w:hAnsi="Verdana" w:cs="Arial"/>
          <w:sz w:val="20"/>
          <w:szCs w:val="20"/>
          <w:shd w:val="clear" w:color="auto" w:fill="FFFFFF"/>
        </w:rPr>
        <w:t xml:space="preserve"> Pereira da Silva, quienes fueron rescatadas en distintos años de la Hacienda Brasil Verde. Una de ellas, listada en el párrafo 199 bajo el numeral 4, fue rescatada en el año 1997, mientras que la </w:t>
      </w:r>
      <w:r w:rsidR="00227EEE" w:rsidRPr="00B721BB">
        <w:rPr>
          <w:rFonts w:ascii="Verdana" w:hAnsi="Verdana" w:cs="Arial"/>
          <w:sz w:val="20"/>
          <w:szCs w:val="20"/>
          <w:shd w:val="clear" w:color="auto" w:fill="FFFFFF"/>
        </w:rPr>
        <w:t>otra</w:t>
      </w:r>
      <w:r w:rsidRPr="00B721BB">
        <w:rPr>
          <w:rFonts w:ascii="Verdana" w:hAnsi="Verdana" w:cs="Arial"/>
          <w:sz w:val="20"/>
          <w:szCs w:val="20"/>
          <w:shd w:val="clear" w:color="auto" w:fill="FFFFFF"/>
        </w:rPr>
        <w:t xml:space="preserve">, identificada en el párrafo 206 bajo el numeral 15, fue rescatada durante la inspección del año 2000. Asimismo, según la información aportada por las partes, la víctima identificada en el año </w:t>
      </w:r>
      <w:r w:rsidR="00BE74FF" w:rsidRPr="00B721BB">
        <w:rPr>
          <w:rFonts w:ascii="Verdana" w:hAnsi="Verdana" w:cs="Arial"/>
          <w:sz w:val="20"/>
          <w:szCs w:val="20"/>
          <w:shd w:val="clear" w:color="auto" w:fill="FFFFFF"/>
        </w:rPr>
        <w:t>2000 estaría en contacto con las organizaciones representantes en el presente caso, mientras que otra persona homónima, que sólo habría comprobado su presencia en la Hacienda durante la fiscalización de 1997, afirma ser acreedora de ambas indemnizaciones. En este sentido, esta Corte nota que el Estado indicó que se encontraba investigando el asunto y</w:t>
      </w:r>
      <w:r w:rsidR="00B63A62" w:rsidRPr="00B721BB">
        <w:rPr>
          <w:rFonts w:ascii="Verdana" w:hAnsi="Verdana" w:cs="Arial"/>
          <w:sz w:val="20"/>
          <w:szCs w:val="20"/>
          <w:shd w:val="clear" w:color="auto" w:fill="FFFFFF"/>
        </w:rPr>
        <w:t>, por tanto,</w:t>
      </w:r>
      <w:r w:rsidR="00BE74FF" w:rsidRPr="00B721BB">
        <w:rPr>
          <w:rFonts w:ascii="Verdana" w:hAnsi="Verdana" w:cs="Arial"/>
          <w:sz w:val="20"/>
          <w:szCs w:val="20"/>
          <w:shd w:val="clear" w:color="auto" w:fill="FFFFFF"/>
        </w:rPr>
        <w:t xml:space="preserve"> </w:t>
      </w:r>
      <w:r w:rsidR="009D551F" w:rsidRPr="00B721BB">
        <w:rPr>
          <w:rFonts w:ascii="Verdana" w:hAnsi="Verdana" w:cs="Arial"/>
          <w:sz w:val="20"/>
          <w:szCs w:val="20"/>
          <w:shd w:val="clear" w:color="auto" w:fill="FFFFFF"/>
        </w:rPr>
        <w:t xml:space="preserve">le </w:t>
      </w:r>
      <w:r w:rsidR="00BE74FF" w:rsidRPr="00B721BB">
        <w:rPr>
          <w:rFonts w:ascii="Verdana" w:hAnsi="Verdana" w:cs="Arial"/>
          <w:sz w:val="20"/>
          <w:szCs w:val="20"/>
          <w:shd w:val="clear" w:color="auto" w:fill="FFFFFF"/>
        </w:rPr>
        <w:t xml:space="preserve">solicita </w:t>
      </w:r>
      <w:r w:rsidR="009D551F" w:rsidRPr="00B721BB">
        <w:rPr>
          <w:rFonts w:ascii="Verdana" w:hAnsi="Verdana" w:cs="Arial"/>
          <w:sz w:val="20"/>
          <w:szCs w:val="20"/>
          <w:shd w:val="clear" w:color="auto" w:fill="FFFFFF"/>
        </w:rPr>
        <w:t xml:space="preserve">a Brasil </w:t>
      </w:r>
      <w:r w:rsidR="00BE74FF" w:rsidRPr="00B721BB">
        <w:rPr>
          <w:rFonts w:ascii="Verdana" w:hAnsi="Verdana" w:cs="Arial"/>
          <w:sz w:val="20"/>
          <w:szCs w:val="20"/>
          <w:shd w:val="clear" w:color="auto" w:fill="FFFFFF"/>
        </w:rPr>
        <w:t>que, una vez concluidas dichas investigaciones, aporte las explicaciones que considere pertinentes. Asimismo, respecto de la preocupación señalada por los representantes con relación a la cuenta en que esta segunda persona solicitó que se le depositara la indemnización</w:t>
      </w:r>
      <w:r w:rsidR="00B75150" w:rsidRPr="00B721BB">
        <w:rPr>
          <w:rFonts w:ascii="Verdana" w:hAnsi="Verdana" w:cs="Arial"/>
          <w:sz w:val="20"/>
          <w:szCs w:val="20"/>
          <w:shd w:val="clear" w:color="auto" w:fill="FFFFFF"/>
        </w:rPr>
        <w:t xml:space="preserve"> (</w:t>
      </w:r>
      <w:r w:rsidR="00B75150" w:rsidRPr="00B721BB">
        <w:rPr>
          <w:rFonts w:ascii="Verdana" w:hAnsi="Verdana" w:cs="Arial"/>
          <w:i/>
          <w:sz w:val="20"/>
          <w:szCs w:val="20"/>
          <w:shd w:val="clear" w:color="auto" w:fill="FFFFFF"/>
        </w:rPr>
        <w:t xml:space="preserve">supra </w:t>
      </w:r>
      <w:r w:rsidR="00B75150" w:rsidRPr="00B721BB">
        <w:rPr>
          <w:rFonts w:ascii="Verdana" w:hAnsi="Verdana" w:cs="Arial"/>
          <w:sz w:val="20"/>
          <w:szCs w:val="20"/>
          <w:shd w:val="clear" w:color="auto" w:fill="FFFFFF"/>
        </w:rPr>
        <w:t>Considerando 17)</w:t>
      </w:r>
      <w:r w:rsidR="00BE74FF" w:rsidRPr="00B721BB">
        <w:rPr>
          <w:rFonts w:ascii="Verdana" w:hAnsi="Verdana" w:cs="Arial"/>
          <w:sz w:val="20"/>
          <w:szCs w:val="20"/>
          <w:shd w:val="clear" w:color="auto" w:fill="FFFFFF"/>
        </w:rPr>
        <w:t xml:space="preserve">, este Tribunal </w:t>
      </w:r>
      <w:r w:rsidR="008E43A4" w:rsidRPr="00B721BB">
        <w:rPr>
          <w:rFonts w:ascii="Verdana" w:hAnsi="Verdana" w:cs="Arial"/>
          <w:sz w:val="20"/>
          <w:szCs w:val="20"/>
          <w:shd w:val="clear" w:color="auto" w:fill="FFFFFF"/>
        </w:rPr>
        <w:t>considera que</w:t>
      </w:r>
      <w:r w:rsidR="00BE74FF" w:rsidRPr="00B721BB">
        <w:rPr>
          <w:rFonts w:ascii="Verdana" w:hAnsi="Verdana" w:cs="Arial"/>
          <w:sz w:val="20"/>
          <w:szCs w:val="20"/>
          <w:shd w:val="clear" w:color="auto" w:fill="FFFFFF"/>
        </w:rPr>
        <w:t xml:space="preserve"> las acciones adoptadas por el Estado a los fines </w:t>
      </w:r>
      <w:r w:rsidR="00724375" w:rsidRPr="00B721BB">
        <w:rPr>
          <w:rFonts w:ascii="Verdana" w:hAnsi="Verdana" w:cs="Arial"/>
          <w:sz w:val="20"/>
          <w:szCs w:val="20"/>
          <w:shd w:val="clear" w:color="auto" w:fill="FFFFFF"/>
        </w:rPr>
        <w:t xml:space="preserve">de asistir a las víctimas que no cuentan con </w:t>
      </w:r>
      <w:r w:rsidR="00BE74FF" w:rsidRPr="00B721BB">
        <w:rPr>
          <w:rFonts w:ascii="Verdana" w:hAnsi="Verdana" w:cs="Arial"/>
          <w:sz w:val="20"/>
          <w:szCs w:val="20"/>
          <w:shd w:val="clear" w:color="auto" w:fill="FFFFFF"/>
        </w:rPr>
        <w:t>c</w:t>
      </w:r>
      <w:r w:rsidR="00724375" w:rsidRPr="00B721BB">
        <w:rPr>
          <w:rFonts w:ascii="Verdana" w:hAnsi="Verdana" w:cs="Arial"/>
          <w:sz w:val="20"/>
          <w:szCs w:val="20"/>
          <w:shd w:val="clear" w:color="auto" w:fill="FFFFFF"/>
        </w:rPr>
        <w:t>uentas bancarias en los trámites para su apertura</w:t>
      </w:r>
      <w:r w:rsidR="008E43A4" w:rsidRPr="00B721BB">
        <w:rPr>
          <w:rFonts w:ascii="Verdana" w:hAnsi="Verdana" w:cs="Arial"/>
          <w:sz w:val="20"/>
          <w:szCs w:val="20"/>
          <w:shd w:val="clear" w:color="auto" w:fill="FFFFFF"/>
        </w:rPr>
        <w:t xml:space="preserve"> resulta una práctica positiva y valiosa, máxime cuando, tal como resaltan los representantes, esto ha venido acompañado de un tratamiento que toma en cuenta la situación de vulnerabilidad de las víctimas. En este sentido, la Corte insta al Estado a continuar con esta práctica que demu</w:t>
      </w:r>
      <w:r w:rsidR="00227EEE" w:rsidRPr="00B721BB">
        <w:rPr>
          <w:rFonts w:ascii="Verdana" w:hAnsi="Verdana" w:cs="Arial"/>
          <w:sz w:val="20"/>
          <w:szCs w:val="20"/>
          <w:shd w:val="clear" w:color="auto" w:fill="FFFFFF"/>
        </w:rPr>
        <w:t>e</w:t>
      </w:r>
      <w:r w:rsidR="008E43A4" w:rsidRPr="00B721BB">
        <w:rPr>
          <w:rFonts w:ascii="Verdana" w:hAnsi="Verdana" w:cs="Arial"/>
          <w:sz w:val="20"/>
          <w:szCs w:val="20"/>
          <w:shd w:val="clear" w:color="auto" w:fill="FFFFFF"/>
        </w:rPr>
        <w:t xml:space="preserve">stra </w:t>
      </w:r>
      <w:r w:rsidR="00227EEE" w:rsidRPr="00B721BB">
        <w:rPr>
          <w:rFonts w:ascii="Verdana" w:hAnsi="Verdana" w:cs="Arial"/>
          <w:sz w:val="20"/>
          <w:szCs w:val="20"/>
          <w:shd w:val="clear" w:color="auto" w:fill="FFFFFF"/>
        </w:rPr>
        <w:t>su</w:t>
      </w:r>
      <w:r w:rsidR="008E43A4" w:rsidRPr="00B721BB">
        <w:rPr>
          <w:rFonts w:ascii="Verdana" w:hAnsi="Verdana" w:cs="Arial"/>
          <w:sz w:val="20"/>
          <w:szCs w:val="20"/>
          <w:shd w:val="clear" w:color="auto" w:fill="FFFFFF"/>
        </w:rPr>
        <w:t xml:space="preserve"> voluntad de dar cumplimiento al presente punto</w:t>
      </w:r>
      <w:r w:rsidR="00FA3B55" w:rsidRPr="00B721BB">
        <w:rPr>
          <w:rFonts w:ascii="Verdana" w:hAnsi="Verdana" w:cs="Arial"/>
          <w:sz w:val="20"/>
          <w:szCs w:val="20"/>
          <w:shd w:val="clear" w:color="auto" w:fill="FFFFFF"/>
        </w:rPr>
        <w:t>,</w:t>
      </w:r>
      <w:r w:rsidR="00227EEE" w:rsidRPr="00B721BB">
        <w:rPr>
          <w:rFonts w:ascii="Verdana" w:hAnsi="Verdana" w:cs="Arial"/>
          <w:sz w:val="20"/>
          <w:szCs w:val="20"/>
          <w:shd w:val="clear" w:color="auto" w:fill="FFFFFF"/>
        </w:rPr>
        <w:t xml:space="preserve"> otorgando el apoyo que ha resultado necesario según las particularidades de las víctimas</w:t>
      </w:r>
      <w:r w:rsidR="00944ECA" w:rsidRPr="00B721BB">
        <w:rPr>
          <w:rFonts w:ascii="Verdana" w:hAnsi="Verdana" w:cs="Arial"/>
          <w:sz w:val="20"/>
          <w:szCs w:val="20"/>
          <w:shd w:val="clear" w:color="auto" w:fill="FFFFFF"/>
        </w:rPr>
        <w:t>.</w:t>
      </w:r>
    </w:p>
    <w:p w14:paraId="6A038BE0" w14:textId="4345400C" w:rsidR="00261FB0" w:rsidRPr="00B721BB" w:rsidRDefault="00BB6B6D" w:rsidP="007C0D94">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Por otro lado</w:t>
      </w:r>
      <w:r w:rsidR="00261FB0" w:rsidRPr="00B721BB">
        <w:rPr>
          <w:rFonts w:ascii="Verdana" w:hAnsi="Verdana" w:cs="Arial"/>
          <w:sz w:val="20"/>
          <w:szCs w:val="20"/>
          <w:shd w:val="clear" w:color="auto" w:fill="FFFFFF"/>
        </w:rPr>
        <w:t xml:space="preserve">, </w:t>
      </w:r>
      <w:r w:rsidR="008A418C" w:rsidRPr="00B721BB">
        <w:rPr>
          <w:rFonts w:ascii="Verdana" w:hAnsi="Verdana" w:cs="Arial"/>
          <w:sz w:val="20"/>
          <w:szCs w:val="20"/>
          <w:shd w:val="clear" w:color="auto" w:fill="FFFFFF"/>
        </w:rPr>
        <w:t>de la información apor</w:t>
      </w:r>
      <w:r w:rsidR="00543555" w:rsidRPr="00B721BB">
        <w:rPr>
          <w:rFonts w:ascii="Verdana" w:hAnsi="Verdana" w:cs="Arial"/>
          <w:sz w:val="20"/>
          <w:szCs w:val="20"/>
          <w:shd w:val="clear" w:color="auto" w:fill="FFFFFF"/>
        </w:rPr>
        <w:t xml:space="preserve">tada por las partes surge que </w:t>
      </w:r>
      <w:r w:rsidR="00FA3B55" w:rsidRPr="00B721BB">
        <w:rPr>
          <w:rFonts w:ascii="Verdana" w:hAnsi="Verdana" w:cs="Arial"/>
          <w:sz w:val="20"/>
          <w:szCs w:val="20"/>
          <w:shd w:val="clear" w:color="auto" w:fill="FFFFFF"/>
        </w:rPr>
        <w:t>6</w:t>
      </w:r>
      <w:r w:rsidR="008A418C" w:rsidRPr="00B721BB">
        <w:rPr>
          <w:rFonts w:ascii="Verdana" w:hAnsi="Verdana" w:cs="Arial"/>
          <w:sz w:val="20"/>
          <w:szCs w:val="20"/>
          <w:shd w:val="clear" w:color="auto" w:fill="FFFFFF"/>
        </w:rPr>
        <w:t xml:space="preserve"> de las </w:t>
      </w:r>
      <w:r w:rsidR="00FA3B55" w:rsidRPr="00B721BB">
        <w:rPr>
          <w:rFonts w:ascii="Verdana" w:hAnsi="Verdana" w:cs="Arial"/>
          <w:sz w:val="20"/>
          <w:szCs w:val="20"/>
          <w:shd w:val="clear" w:color="auto" w:fill="FFFFFF"/>
        </w:rPr>
        <w:t xml:space="preserve">restantes </w:t>
      </w:r>
      <w:r w:rsidR="008A418C" w:rsidRPr="00B721BB">
        <w:rPr>
          <w:rFonts w:ascii="Verdana" w:hAnsi="Verdana" w:cs="Arial"/>
          <w:sz w:val="20"/>
          <w:szCs w:val="20"/>
          <w:shd w:val="clear" w:color="auto" w:fill="FFFFFF"/>
        </w:rPr>
        <w:t>víctimas que aún no han recibido la indemnización correspondiente han fallecido</w:t>
      </w:r>
      <w:r w:rsidR="00944ECA" w:rsidRPr="00B721BB">
        <w:rPr>
          <w:rStyle w:val="Refdenotaalpie"/>
          <w:rFonts w:ascii="Verdana" w:hAnsi="Verdana" w:cs="Arial"/>
          <w:sz w:val="20"/>
          <w:szCs w:val="20"/>
          <w:shd w:val="clear" w:color="auto" w:fill="FFFFFF"/>
        </w:rPr>
        <w:footnoteReference w:id="37"/>
      </w:r>
      <w:r w:rsidR="008A418C" w:rsidRPr="00B721BB">
        <w:rPr>
          <w:rFonts w:ascii="Verdana" w:hAnsi="Verdana" w:cs="Arial"/>
          <w:sz w:val="20"/>
          <w:szCs w:val="20"/>
          <w:shd w:val="clear" w:color="auto" w:fill="FFFFFF"/>
        </w:rPr>
        <w:t xml:space="preserve">. </w:t>
      </w:r>
      <w:r w:rsidR="00DA7B33" w:rsidRPr="00B721BB">
        <w:rPr>
          <w:rFonts w:ascii="Verdana" w:hAnsi="Verdana" w:cs="Arial"/>
          <w:sz w:val="20"/>
          <w:szCs w:val="20"/>
          <w:shd w:val="clear" w:color="auto" w:fill="FFFFFF"/>
        </w:rPr>
        <w:t>De acuerdo a lo informado por el Brasil</w:t>
      </w:r>
      <w:r w:rsidR="00A0599B" w:rsidRPr="00B721BB">
        <w:rPr>
          <w:rFonts w:ascii="Verdana" w:hAnsi="Verdana" w:cs="Arial"/>
          <w:sz w:val="20"/>
          <w:szCs w:val="20"/>
          <w:shd w:val="clear" w:color="auto" w:fill="FFFFFF"/>
        </w:rPr>
        <w:t>,</w:t>
      </w:r>
      <w:r w:rsidR="008009A0" w:rsidRPr="00B721BB">
        <w:rPr>
          <w:rFonts w:ascii="Verdana" w:hAnsi="Verdana" w:cs="Arial"/>
          <w:sz w:val="20"/>
          <w:szCs w:val="20"/>
          <w:shd w:val="clear" w:color="auto" w:fill="FFFFFF"/>
        </w:rPr>
        <w:t xml:space="preserve"> bajo el derecho doméstico brasileño, </w:t>
      </w:r>
      <w:r w:rsidR="00A0599B" w:rsidRPr="00B721BB">
        <w:rPr>
          <w:rFonts w:ascii="Verdana" w:hAnsi="Verdana" w:cs="Arial"/>
          <w:sz w:val="20"/>
          <w:szCs w:val="20"/>
          <w:shd w:val="clear" w:color="auto" w:fill="FFFFFF"/>
        </w:rPr>
        <w:t>las indemnizaciones a</w:t>
      </w:r>
      <w:r w:rsidR="008009A0" w:rsidRPr="00B721BB">
        <w:rPr>
          <w:rFonts w:ascii="Verdana" w:hAnsi="Verdana" w:cs="Arial"/>
          <w:sz w:val="20"/>
          <w:szCs w:val="20"/>
          <w:shd w:val="clear" w:color="auto" w:fill="FFFFFF"/>
        </w:rPr>
        <w:t xml:space="preserve"> víctimas fallecidas</w:t>
      </w:r>
      <w:r w:rsidR="00A0599B" w:rsidRPr="00B721BB">
        <w:rPr>
          <w:rFonts w:ascii="Verdana" w:hAnsi="Verdana" w:cs="Arial"/>
          <w:sz w:val="20"/>
          <w:szCs w:val="20"/>
          <w:shd w:val="clear" w:color="auto" w:fill="FFFFFF"/>
        </w:rPr>
        <w:t xml:space="preserve"> deben ser pagadas dentro del proceso sucesorio</w:t>
      </w:r>
      <w:r w:rsidR="008009A0" w:rsidRPr="00B721BB">
        <w:rPr>
          <w:rFonts w:ascii="Verdana" w:hAnsi="Verdana" w:cs="Arial"/>
          <w:sz w:val="20"/>
          <w:szCs w:val="20"/>
          <w:shd w:val="clear" w:color="auto" w:fill="FFFFFF"/>
        </w:rPr>
        <w:t xml:space="preserve">. No obstante, de acuerdo a las averiguaciones realizadas por el Estado, en algunos casos no estaría iniciada la acción sucesoria. En dichos casos, </w:t>
      </w:r>
      <w:r w:rsidR="008A418C" w:rsidRPr="00B721BB">
        <w:rPr>
          <w:rFonts w:ascii="Verdana" w:hAnsi="Verdana" w:cs="Arial"/>
          <w:sz w:val="20"/>
          <w:szCs w:val="20"/>
          <w:shd w:val="clear" w:color="auto" w:fill="FFFFFF"/>
        </w:rPr>
        <w:t xml:space="preserve">el procedimiento a seguir </w:t>
      </w:r>
      <w:r w:rsidR="008009A0" w:rsidRPr="00B721BB">
        <w:rPr>
          <w:rFonts w:ascii="Verdana" w:hAnsi="Verdana" w:cs="Arial"/>
          <w:sz w:val="20"/>
          <w:szCs w:val="20"/>
          <w:shd w:val="clear" w:color="auto" w:fill="FFFFFF"/>
        </w:rPr>
        <w:t xml:space="preserve">es la “Acción Internacional de Cumplimiento de Obligaciones”, la cual </w:t>
      </w:r>
      <w:r w:rsidR="008A418C" w:rsidRPr="00B721BB">
        <w:rPr>
          <w:rFonts w:ascii="Verdana" w:hAnsi="Verdana" w:cs="Arial"/>
          <w:sz w:val="20"/>
          <w:szCs w:val="20"/>
          <w:shd w:val="clear" w:color="auto" w:fill="FFFFFF"/>
        </w:rPr>
        <w:t xml:space="preserve">comienza con la solicitud de documentación a </w:t>
      </w:r>
      <w:r w:rsidR="00D3180A" w:rsidRPr="00B721BB">
        <w:rPr>
          <w:rFonts w:ascii="Verdana" w:hAnsi="Verdana" w:cs="Arial"/>
          <w:sz w:val="20"/>
          <w:szCs w:val="20"/>
          <w:shd w:val="clear" w:color="auto" w:fill="FFFFFF"/>
        </w:rPr>
        <w:t xml:space="preserve">los posibles herederos, </w:t>
      </w:r>
      <w:r w:rsidR="008A418C" w:rsidRPr="00B721BB">
        <w:rPr>
          <w:rFonts w:ascii="Verdana" w:hAnsi="Verdana" w:cs="Arial"/>
          <w:sz w:val="20"/>
          <w:szCs w:val="20"/>
          <w:shd w:val="clear" w:color="auto" w:fill="FFFFFF"/>
        </w:rPr>
        <w:t xml:space="preserve">a los fines de </w:t>
      </w:r>
      <w:r w:rsidR="00D3180A" w:rsidRPr="00B721BB">
        <w:rPr>
          <w:rFonts w:ascii="Verdana" w:hAnsi="Verdana" w:cs="Arial"/>
          <w:sz w:val="20"/>
          <w:szCs w:val="20"/>
          <w:shd w:val="clear" w:color="auto" w:fill="FFFFFF"/>
        </w:rPr>
        <w:t xml:space="preserve">presentar </w:t>
      </w:r>
      <w:r w:rsidR="008009A0" w:rsidRPr="00B721BB">
        <w:rPr>
          <w:rFonts w:ascii="Verdana" w:hAnsi="Verdana" w:cs="Arial"/>
          <w:sz w:val="20"/>
          <w:szCs w:val="20"/>
          <w:shd w:val="clear" w:color="auto" w:fill="FFFFFF"/>
        </w:rPr>
        <w:t>la referida acción</w:t>
      </w:r>
      <w:r w:rsidR="00DA7B33" w:rsidRPr="00B721BB">
        <w:rPr>
          <w:rFonts w:ascii="Verdana" w:hAnsi="Verdana" w:cs="Arial"/>
          <w:sz w:val="20"/>
          <w:szCs w:val="20"/>
          <w:shd w:val="clear" w:color="auto" w:fill="FFFFFF"/>
        </w:rPr>
        <w:t>.</w:t>
      </w:r>
      <w:r w:rsidR="008A418C" w:rsidRPr="00B721BB">
        <w:rPr>
          <w:rFonts w:ascii="Verdana" w:hAnsi="Verdana" w:cs="Arial"/>
          <w:sz w:val="20"/>
          <w:szCs w:val="20"/>
          <w:shd w:val="clear" w:color="auto" w:fill="FFFFFF"/>
        </w:rPr>
        <w:t xml:space="preserve"> </w:t>
      </w:r>
      <w:r w:rsidR="00DA7B33" w:rsidRPr="00B721BB">
        <w:rPr>
          <w:rFonts w:ascii="Verdana" w:hAnsi="Verdana" w:cs="Arial"/>
          <w:sz w:val="20"/>
          <w:szCs w:val="20"/>
          <w:shd w:val="clear" w:color="auto" w:fill="FFFFFF"/>
        </w:rPr>
        <w:t>L</w:t>
      </w:r>
      <w:r w:rsidR="008A418C" w:rsidRPr="00B721BB">
        <w:rPr>
          <w:rFonts w:ascii="Verdana" w:hAnsi="Verdana" w:cs="Arial"/>
          <w:sz w:val="20"/>
          <w:szCs w:val="20"/>
          <w:shd w:val="clear" w:color="auto" w:fill="FFFFFF"/>
        </w:rPr>
        <w:t>uego</w:t>
      </w:r>
      <w:r w:rsidR="00D3180A" w:rsidRPr="00B721BB">
        <w:rPr>
          <w:rFonts w:ascii="Verdana" w:hAnsi="Verdana" w:cs="Arial"/>
          <w:sz w:val="20"/>
          <w:szCs w:val="20"/>
          <w:shd w:val="clear" w:color="auto" w:fill="FFFFFF"/>
        </w:rPr>
        <w:t xml:space="preserve"> de la decisión del tribunal competente, se realiza el depósito judicial</w:t>
      </w:r>
      <w:r w:rsidR="008A418C" w:rsidRPr="00B721BB">
        <w:rPr>
          <w:rFonts w:ascii="Verdana" w:hAnsi="Verdana" w:cs="Arial"/>
          <w:sz w:val="20"/>
          <w:szCs w:val="20"/>
          <w:shd w:val="clear" w:color="auto" w:fill="FFFFFF"/>
        </w:rPr>
        <w:t xml:space="preserve"> y, finalmente, “</w:t>
      </w:r>
      <w:r w:rsidR="00D3180A" w:rsidRPr="00B721BB">
        <w:rPr>
          <w:rFonts w:ascii="Verdana" w:hAnsi="Verdana" w:cs="Arial"/>
          <w:sz w:val="20"/>
          <w:szCs w:val="20"/>
          <w:shd w:val="clear" w:color="auto" w:fill="FFFFFF"/>
        </w:rPr>
        <w:t>los probables herederos comparecen ante el tribunal para probar esta condición y retirar el valor de la indemnización”</w:t>
      </w:r>
      <w:r w:rsidR="0076750A" w:rsidRPr="00B721BB">
        <w:rPr>
          <w:rFonts w:ascii="Verdana" w:hAnsi="Verdana" w:cs="Arial"/>
          <w:sz w:val="20"/>
          <w:szCs w:val="20"/>
          <w:shd w:val="clear" w:color="auto" w:fill="FFFFFF"/>
        </w:rPr>
        <w:t>.</w:t>
      </w:r>
      <w:r w:rsidR="009D784E" w:rsidRPr="00B721BB">
        <w:rPr>
          <w:rFonts w:ascii="Verdana" w:hAnsi="Verdana" w:cs="Arial"/>
          <w:sz w:val="20"/>
          <w:szCs w:val="20"/>
          <w:shd w:val="clear" w:color="auto" w:fill="FFFFFF"/>
        </w:rPr>
        <w:t xml:space="preserve"> </w:t>
      </w:r>
      <w:r w:rsidR="008A418C" w:rsidRPr="00B721BB">
        <w:rPr>
          <w:rFonts w:ascii="Verdana" w:hAnsi="Verdana" w:cs="Arial"/>
          <w:sz w:val="20"/>
          <w:szCs w:val="20"/>
          <w:shd w:val="clear" w:color="auto" w:fill="FFFFFF"/>
        </w:rPr>
        <w:t xml:space="preserve">Según </w:t>
      </w:r>
      <w:r w:rsidR="00885B1E" w:rsidRPr="00B721BB">
        <w:rPr>
          <w:rFonts w:ascii="Verdana" w:hAnsi="Verdana" w:cs="Arial"/>
          <w:sz w:val="20"/>
          <w:szCs w:val="20"/>
          <w:shd w:val="clear" w:color="auto" w:fill="FFFFFF"/>
        </w:rPr>
        <w:t xml:space="preserve">el informe estatal más reciente, </w:t>
      </w:r>
      <w:r w:rsidR="00FE7DE0" w:rsidRPr="00B721BB">
        <w:rPr>
          <w:rFonts w:ascii="Verdana" w:hAnsi="Verdana" w:cs="Arial"/>
          <w:sz w:val="20"/>
          <w:szCs w:val="20"/>
          <w:shd w:val="clear" w:color="auto" w:fill="FFFFFF"/>
        </w:rPr>
        <w:t>en</w:t>
      </w:r>
      <w:r w:rsidR="008A418C" w:rsidRPr="00B721BB">
        <w:rPr>
          <w:rFonts w:ascii="Verdana" w:hAnsi="Verdana" w:cs="Arial"/>
          <w:sz w:val="20"/>
          <w:szCs w:val="20"/>
          <w:shd w:val="clear" w:color="auto" w:fill="FFFFFF"/>
        </w:rPr>
        <w:t xml:space="preserve"> </w:t>
      </w:r>
      <w:r w:rsidR="009D784E" w:rsidRPr="00B721BB">
        <w:rPr>
          <w:rFonts w:ascii="Verdana" w:hAnsi="Verdana" w:cs="Arial"/>
          <w:sz w:val="20"/>
          <w:szCs w:val="20"/>
          <w:shd w:val="clear" w:color="auto" w:fill="FFFFFF"/>
        </w:rPr>
        <w:t xml:space="preserve">septiembre </w:t>
      </w:r>
      <w:r w:rsidR="008A418C" w:rsidRPr="00B721BB">
        <w:rPr>
          <w:rFonts w:ascii="Verdana" w:hAnsi="Verdana" w:cs="Arial"/>
          <w:sz w:val="20"/>
          <w:szCs w:val="20"/>
          <w:shd w:val="clear" w:color="auto" w:fill="FFFFFF"/>
        </w:rPr>
        <w:t xml:space="preserve">de </w:t>
      </w:r>
      <w:r w:rsidR="00CC4E85" w:rsidRPr="00B721BB">
        <w:rPr>
          <w:rFonts w:ascii="Verdana" w:hAnsi="Verdana" w:cs="Arial"/>
          <w:sz w:val="20"/>
          <w:szCs w:val="20"/>
          <w:shd w:val="clear" w:color="auto" w:fill="FFFFFF"/>
        </w:rPr>
        <w:t>2019</w:t>
      </w:r>
      <w:r w:rsidR="00543555" w:rsidRPr="00B721BB">
        <w:rPr>
          <w:rFonts w:ascii="Verdana" w:hAnsi="Verdana" w:cs="Arial"/>
          <w:sz w:val="20"/>
          <w:szCs w:val="20"/>
          <w:shd w:val="clear" w:color="auto" w:fill="FFFFFF"/>
        </w:rPr>
        <w:t xml:space="preserve"> </w:t>
      </w:r>
      <w:r w:rsidR="00FE7DE0" w:rsidRPr="00B721BB">
        <w:rPr>
          <w:rFonts w:ascii="Verdana" w:hAnsi="Verdana" w:cs="Arial"/>
          <w:sz w:val="20"/>
          <w:szCs w:val="20"/>
          <w:shd w:val="clear" w:color="auto" w:fill="FFFFFF"/>
        </w:rPr>
        <w:t>se estaba</w:t>
      </w:r>
      <w:r w:rsidR="008009A0" w:rsidRPr="00B721BB">
        <w:rPr>
          <w:rFonts w:ascii="Verdana" w:hAnsi="Verdana" w:cs="Arial"/>
          <w:sz w:val="20"/>
          <w:szCs w:val="20"/>
          <w:shd w:val="clear" w:color="auto" w:fill="FFFFFF"/>
        </w:rPr>
        <w:t xml:space="preserve"> conduciendo la acción con relación a </w:t>
      </w:r>
      <w:r w:rsidR="007B26D8" w:rsidRPr="00B721BB">
        <w:rPr>
          <w:rFonts w:ascii="Verdana" w:hAnsi="Verdana" w:cs="Arial"/>
          <w:sz w:val="20"/>
          <w:szCs w:val="20"/>
          <w:shd w:val="clear" w:color="auto" w:fill="FFFFFF"/>
        </w:rPr>
        <w:t>dos</w:t>
      </w:r>
      <w:r w:rsidR="008009A0" w:rsidRPr="00B721BB">
        <w:rPr>
          <w:rFonts w:ascii="Verdana" w:hAnsi="Verdana" w:cs="Arial"/>
          <w:sz w:val="20"/>
          <w:szCs w:val="20"/>
          <w:shd w:val="clear" w:color="auto" w:fill="FFFFFF"/>
        </w:rPr>
        <w:t xml:space="preserve"> </w:t>
      </w:r>
      <w:r w:rsidR="009D784E" w:rsidRPr="00B721BB">
        <w:rPr>
          <w:rFonts w:ascii="Verdana" w:hAnsi="Verdana" w:cs="Arial"/>
          <w:sz w:val="20"/>
          <w:szCs w:val="20"/>
          <w:shd w:val="clear" w:color="auto" w:fill="FFFFFF"/>
        </w:rPr>
        <w:t xml:space="preserve">víctimas </w:t>
      </w:r>
      <w:r w:rsidR="007B26D8" w:rsidRPr="00B721BB">
        <w:rPr>
          <w:rFonts w:ascii="Verdana" w:hAnsi="Verdana" w:cs="Arial"/>
          <w:sz w:val="20"/>
          <w:szCs w:val="20"/>
          <w:shd w:val="clear" w:color="auto" w:fill="FFFFFF"/>
        </w:rPr>
        <w:t>(</w:t>
      </w:r>
      <w:r w:rsidR="007B26D8" w:rsidRPr="00B721BB">
        <w:rPr>
          <w:rFonts w:ascii="Verdana" w:hAnsi="Verdana" w:cs="Arial"/>
          <w:sz w:val="20"/>
          <w:szCs w:val="20"/>
          <w:shd w:val="clear" w:color="auto" w:fill="FFFFFF"/>
          <w:lang w:val="es-AR"/>
        </w:rPr>
        <w:t xml:space="preserve">João Pereira </w:t>
      </w:r>
      <w:proofErr w:type="spellStart"/>
      <w:r w:rsidR="007B26D8" w:rsidRPr="00B721BB">
        <w:rPr>
          <w:rFonts w:ascii="Verdana" w:hAnsi="Verdana" w:cs="Arial"/>
          <w:sz w:val="20"/>
          <w:szCs w:val="20"/>
          <w:shd w:val="clear" w:color="auto" w:fill="FFFFFF"/>
          <w:lang w:val="es-AR"/>
        </w:rPr>
        <w:t>Marinho</w:t>
      </w:r>
      <w:proofErr w:type="spellEnd"/>
      <w:r w:rsidR="007B26D8" w:rsidRPr="00B721BB">
        <w:rPr>
          <w:rFonts w:ascii="Verdana" w:hAnsi="Verdana" w:cs="Arial"/>
          <w:sz w:val="20"/>
          <w:szCs w:val="20"/>
          <w:shd w:val="clear" w:color="auto" w:fill="FFFFFF"/>
          <w:lang w:val="es-AR"/>
        </w:rPr>
        <w:t xml:space="preserve"> y Francisco </w:t>
      </w:r>
      <w:proofErr w:type="spellStart"/>
      <w:r w:rsidR="007B26D8" w:rsidRPr="00B721BB">
        <w:rPr>
          <w:rFonts w:ascii="Verdana" w:hAnsi="Verdana" w:cs="Arial"/>
          <w:sz w:val="20"/>
          <w:szCs w:val="20"/>
          <w:shd w:val="clear" w:color="auto" w:fill="FFFFFF"/>
          <w:lang w:val="es-AR"/>
        </w:rPr>
        <w:t>Antônio</w:t>
      </w:r>
      <w:proofErr w:type="spellEnd"/>
      <w:r w:rsidR="007B26D8" w:rsidRPr="00B721BB">
        <w:rPr>
          <w:rFonts w:ascii="Verdana" w:hAnsi="Verdana" w:cs="Arial"/>
          <w:sz w:val="20"/>
          <w:szCs w:val="20"/>
          <w:shd w:val="clear" w:color="auto" w:fill="FFFFFF"/>
          <w:lang w:val="es-AR"/>
        </w:rPr>
        <w:t xml:space="preserve"> Oliveira Barbosa)</w:t>
      </w:r>
      <w:r w:rsidR="009D784E" w:rsidRPr="00B721BB">
        <w:rPr>
          <w:rFonts w:ascii="Verdana" w:hAnsi="Verdana" w:cs="Arial"/>
          <w:sz w:val="20"/>
          <w:szCs w:val="20"/>
          <w:shd w:val="clear" w:color="auto" w:fill="FFFFFF"/>
        </w:rPr>
        <w:t>,</w:t>
      </w:r>
      <w:r w:rsidR="00A0599B" w:rsidRPr="00B721BB">
        <w:rPr>
          <w:rFonts w:ascii="Verdana" w:hAnsi="Verdana" w:cs="Arial"/>
          <w:sz w:val="20"/>
          <w:szCs w:val="20"/>
          <w:shd w:val="clear" w:color="auto" w:fill="FFFFFF"/>
        </w:rPr>
        <w:t xml:space="preserve"> </w:t>
      </w:r>
      <w:r w:rsidR="009D784E" w:rsidRPr="00B721BB">
        <w:rPr>
          <w:rFonts w:ascii="Verdana" w:hAnsi="Verdana" w:cs="Arial"/>
          <w:sz w:val="20"/>
          <w:szCs w:val="20"/>
          <w:shd w:val="clear" w:color="auto" w:fill="FFFFFF"/>
        </w:rPr>
        <w:t xml:space="preserve">y </w:t>
      </w:r>
      <w:r w:rsidR="008009A0" w:rsidRPr="00B721BB">
        <w:rPr>
          <w:rFonts w:ascii="Verdana" w:hAnsi="Verdana" w:cs="Arial"/>
          <w:sz w:val="20"/>
          <w:szCs w:val="20"/>
          <w:shd w:val="clear" w:color="auto" w:fill="FFFFFF"/>
        </w:rPr>
        <w:t xml:space="preserve">se </w:t>
      </w:r>
      <w:r w:rsidR="00FE7DE0" w:rsidRPr="00B721BB">
        <w:rPr>
          <w:rFonts w:ascii="Verdana" w:hAnsi="Verdana" w:cs="Arial"/>
          <w:sz w:val="20"/>
          <w:szCs w:val="20"/>
          <w:shd w:val="clear" w:color="auto" w:fill="FFFFFF"/>
        </w:rPr>
        <w:t>había localizado</w:t>
      </w:r>
      <w:r w:rsidR="008009A0" w:rsidRPr="00B721BB">
        <w:rPr>
          <w:rFonts w:ascii="Verdana" w:hAnsi="Verdana" w:cs="Arial"/>
          <w:sz w:val="20"/>
          <w:szCs w:val="20"/>
          <w:shd w:val="clear" w:color="auto" w:fill="FFFFFF"/>
        </w:rPr>
        <w:t xml:space="preserve"> a los posibles herederos de </w:t>
      </w:r>
      <w:r w:rsidR="007B26D8" w:rsidRPr="00B721BB">
        <w:rPr>
          <w:rFonts w:ascii="Verdana" w:hAnsi="Verdana" w:cs="Arial"/>
          <w:sz w:val="20"/>
          <w:szCs w:val="20"/>
          <w:shd w:val="clear" w:color="auto" w:fill="FFFFFF"/>
          <w:lang w:val="es-AR"/>
        </w:rPr>
        <w:t xml:space="preserve">Geraldo </w:t>
      </w:r>
      <w:proofErr w:type="spellStart"/>
      <w:r w:rsidR="007B26D8" w:rsidRPr="00B721BB">
        <w:rPr>
          <w:rFonts w:ascii="Verdana" w:hAnsi="Verdana" w:cs="Arial"/>
          <w:sz w:val="20"/>
          <w:szCs w:val="20"/>
          <w:shd w:val="clear" w:color="auto" w:fill="FFFFFF"/>
          <w:lang w:val="es-AR"/>
        </w:rPr>
        <w:t>Hilário</w:t>
      </w:r>
      <w:proofErr w:type="spellEnd"/>
      <w:r w:rsidR="007B26D8" w:rsidRPr="00B721BB">
        <w:rPr>
          <w:rFonts w:ascii="Verdana" w:hAnsi="Verdana" w:cs="Arial"/>
          <w:sz w:val="20"/>
          <w:szCs w:val="20"/>
          <w:shd w:val="clear" w:color="auto" w:fill="FFFFFF"/>
          <w:lang w:val="es-AR"/>
        </w:rPr>
        <w:t xml:space="preserve"> de Almeida</w:t>
      </w:r>
      <w:r w:rsidR="008009A0" w:rsidRPr="00B721BB">
        <w:rPr>
          <w:rFonts w:ascii="Verdana" w:hAnsi="Verdana" w:cs="Arial"/>
          <w:sz w:val="20"/>
          <w:szCs w:val="20"/>
          <w:shd w:val="clear" w:color="auto" w:fill="FFFFFF"/>
        </w:rPr>
        <w:t>, estando a la espera de que remit</w:t>
      </w:r>
      <w:r w:rsidR="00FE7DE0" w:rsidRPr="00B721BB">
        <w:rPr>
          <w:rFonts w:ascii="Verdana" w:hAnsi="Verdana" w:cs="Arial"/>
          <w:sz w:val="20"/>
          <w:szCs w:val="20"/>
          <w:shd w:val="clear" w:color="auto" w:fill="FFFFFF"/>
        </w:rPr>
        <w:t>ieran</w:t>
      </w:r>
      <w:r w:rsidR="008009A0" w:rsidRPr="00B721BB">
        <w:rPr>
          <w:rFonts w:ascii="Verdana" w:hAnsi="Verdana" w:cs="Arial"/>
          <w:sz w:val="20"/>
          <w:szCs w:val="20"/>
          <w:shd w:val="clear" w:color="auto" w:fill="FFFFFF"/>
        </w:rPr>
        <w:t xml:space="preserve"> la documentación necesaria para iniciar la acci</w:t>
      </w:r>
      <w:r w:rsidR="00A0599B" w:rsidRPr="00B721BB">
        <w:rPr>
          <w:rFonts w:ascii="Verdana" w:hAnsi="Verdana" w:cs="Arial"/>
          <w:sz w:val="20"/>
          <w:szCs w:val="20"/>
          <w:shd w:val="clear" w:color="auto" w:fill="FFFFFF"/>
        </w:rPr>
        <w:t>ón</w:t>
      </w:r>
      <w:r w:rsidR="009D784E" w:rsidRPr="00B721BB">
        <w:rPr>
          <w:rFonts w:ascii="Verdana" w:hAnsi="Verdana" w:cs="Arial"/>
          <w:sz w:val="20"/>
          <w:szCs w:val="20"/>
          <w:shd w:val="clear" w:color="auto" w:fill="FFFFFF"/>
        </w:rPr>
        <w:t xml:space="preserve">. Asimismo, </w:t>
      </w:r>
      <w:r w:rsidR="008009A0" w:rsidRPr="00B721BB">
        <w:rPr>
          <w:rFonts w:ascii="Verdana" w:hAnsi="Verdana" w:cs="Arial"/>
          <w:sz w:val="20"/>
          <w:szCs w:val="20"/>
          <w:shd w:val="clear" w:color="auto" w:fill="FFFFFF"/>
        </w:rPr>
        <w:t xml:space="preserve">se </w:t>
      </w:r>
      <w:r w:rsidR="00FE7DE0" w:rsidRPr="00B721BB">
        <w:rPr>
          <w:rFonts w:ascii="Verdana" w:hAnsi="Verdana" w:cs="Arial"/>
          <w:sz w:val="20"/>
          <w:szCs w:val="20"/>
          <w:shd w:val="clear" w:color="auto" w:fill="FFFFFF"/>
        </w:rPr>
        <w:t>había solicitado</w:t>
      </w:r>
      <w:r w:rsidR="008009A0" w:rsidRPr="00B721BB">
        <w:rPr>
          <w:rFonts w:ascii="Verdana" w:hAnsi="Verdana" w:cs="Arial"/>
          <w:sz w:val="20"/>
          <w:szCs w:val="20"/>
          <w:shd w:val="clear" w:color="auto" w:fill="FFFFFF"/>
        </w:rPr>
        <w:t xml:space="preserve"> </w:t>
      </w:r>
      <w:r w:rsidR="00A0599B" w:rsidRPr="00B721BB">
        <w:rPr>
          <w:rFonts w:ascii="Verdana" w:hAnsi="Verdana" w:cs="Arial"/>
          <w:sz w:val="20"/>
          <w:szCs w:val="20"/>
          <w:shd w:val="clear" w:color="auto" w:fill="FFFFFF"/>
        </w:rPr>
        <w:t xml:space="preserve">a los representantes </w:t>
      </w:r>
      <w:r w:rsidR="008009A0" w:rsidRPr="00B721BB">
        <w:rPr>
          <w:rFonts w:ascii="Verdana" w:hAnsi="Verdana" w:cs="Arial"/>
          <w:sz w:val="20"/>
          <w:szCs w:val="20"/>
          <w:shd w:val="clear" w:color="auto" w:fill="FFFFFF"/>
        </w:rPr>
        <w:t xml:space="preserve">información con respecto a los posibles herederos </w:t>
      </w:r>
      <w:r w:rsidR="007B26D8" w:rsidRPr="00B721BB">
        <w:rPr>
          <w:rFonts w:ascii="Verdana" w:hAnsi="Verdana" w:cs="Arial"/>
          <w:sz w:val="20"/>
          <w:szCs w:val="20"/>
          <w:shd w:val="clear" w:color="auto" w:fill="FFFFFF"/>
        </w:rPr>
        <w:t>de otras 3</w:t>
      </w:r>
      <w:r w:rsidR="00A0599B" w:rsidRPr="00B721BB">
        <w:rPr>
          <w:rFonts w:ascii="Verdana" w:hAnsi="Verdana" w:cs="Arial"/>
          <w:sz w:val="20"/>
          <w:szCs w:val="20"/>
          <w:shd w:val="clear" w:color="auto" w:fill="FFFFFF"/>
        </w:rPr>
        <w:t xml:space="preserve"> víctimas</w:t>
      </w:r>
      <w:r w:rsidR="007B26D8" w:rsidRPr="00B721BB">
        <w:rPr>
          <w:rFonts w:ascii="Verdana" w:hAnsi="Verdana" w:cs="Arial"/>
          <w:sz w:val="20"/>
          <w:szCs w:val="20"/>
          <w:shd w:val="clear" w:color="auto" w:fill="FFFFFF"/>
        </w:rPr>
        <w:t xml:space="preserve"> (</w:t>
      </w:r>
      <w:proofErr w:type="spellStart"/>
      <w:r w:rsidR="007B26D8" w:rsidRPr="00B721BB">
        <w:rPr>
          <w:rFonts w:ascii="Verdana" w:hAnsi="Verdana" w:cs="Arial"/>
          <w:sz w:val="20"/>
          <w:szCs w:val="20"/>
          <w:shd w:val="clear" w:color="auto" w:fill="FFFFFF"/>
          <w:lang w:val="es-AR"/>
        </w:rPr>
        <w:t>Firmino</w:t>
      </w:r>
      <w:proofErr w:type="spellEnd"/>
      <w:r w:rsidR="007B26D8" w:rsidRPr="00B721BB">
        <w:rPr>
          <w:rFonts w:ascii="Verdana" w:hAnsi="Verdana" w:cs="Arial"/>
          <w:sz w:val="20"/>
          <w:szCs w:val="20"/>
          <w:shd w:val="clear" w:color="auto" w:fill="FFFFFF"/>
          <w:lang w:val="es-AR"/>
        </w:rPr>
        <w:t xml:space="preserve"> da Silva, Francisco José Furtado y Francisco Junior da Silva)</w:t>
      </w:r>
      <w:r w:rsidR="009D784E" w:rsidRPr="00B721BB">
        <w:rPr>
          <w:rFonts w:ascii="Verdana" w:hAnsi="Verdana"/>
          <w:sz w:val="20"/>
          <w:szCs w:val="20"/>
          <w:shd w:val="clear" w:color="auto" w:fill="FFFFFF"/>
          <w:vertAlign w:val="superscript"/>
        </w:rPr>
        <w:footnoteReference w:id="38"/>
      </w:r>
      <w:r w:rsidR="007B26D8" w:rsidRPr="00B721BB">
        <w:rPr>
          <w:rFonts w:ascii="Verdana" w:hAnsi="Verdana" w:cs="Arial"/>
          <w:sz w:val="20"/>
          <w:szCs w:val="20"/>
          <w:shd w:val="clear" w:color="auto" w:fill="FFFFFF"/>
          <w:lang w:val="es-AR"/>
        </w:rPr>
        <w:t>.</w:t>
      </w:r>
      <w:r w:rsidR="00A0599B" w:rsidRPr="00B721BB">
        <w:rPr>
          <w:rFonts w:ascii="Verdana" w:hAnsi="Verdana" w:cs="Arial"/>
          <w:sz w:val="20"/>
          <w:szCs w:val="20"/>
          <w:shd w:val="clear" w:color="auto" w:fill="FFFFFF"/>
        </w:rPr>
        <w:t xml:space="preserve"> Sobre este último punto, los representantes enfatizaron “el elevado grado de dificultad” para obtener cierta información, en especial la “declaración de residencia realizada de propio puño</w:t>
      </w:r>
      <w:r w:rsidR="00E0231F" w:rsidRPr="00B721BB">
        <w:rPr>
          <w:rFonts w:ascii="Verdana" w:hAnsi="Verdana" w:cs="Arial"/>
          <w:sz w:val="20"/>
          <w:szCs w:val="20"/>
          <w:shd w:val="clear" w:color="auto" w:fill="FFFFFF"/>
        </w:rPr>
        <w:t>”</w:t>
      </w:r>
      <w:r w:rsidR="00A0599B" w:rsidRPr="00B721BB">
        <w:rPr>
          <w:rFonts w:ascii="Verdana" w:hAnsi="Verdana" w:cs="Arial"/>
          <w:sz w:val="20"/>
          <w:szCs w:val="20"/>
          <w:shd w:val="clear" w:color="auto" w:fill="FFFFFF"/>
        </w:rPr>
        <w:t xml:space="preserve">, teniendo en cuenta </w:t>
      </w:r>
      <w:r w:rsidR="00E0231F" w:rsidRPr="00B721BB">
        <w:rPr>
          <w:rFonts w:ascii="Verdana" w:hAnsi="Verdana" w:cs="Arial"/>
          <w:sz w:val="20"/>
          <w:szCs w:val="20"/>
          <w:shd w:val="clear" w:color="auto" w:fill="FFFFFF"/>
        </w:rPr>
        <w:t>“</w:t>
      </w:r>
      <w:r w:rsidR="00A0599B" w:rsidRPr="00B721BB">
        <w:rPr>
          <w:rFonts w:ascii="Verdana" w:hAnsi="Verdana" w:cs="Arial"/>
          <w:sz w:val="20"/>
          <w:szCs w:val="20"/>
          <w:shd w:val="clear" w:color="auto" w:fill="FFFFFF"/>
        </w:rPr>
        <w:t>la distancia física que separa a las víctimas de sus representantes</w:t>
      </w:r>
      <w:r w:rsidR="00E0231F" w:rsidRPr="00B721BB">
        <w:rPr>
          <w:rFonts w:ascii="Verdana" w:hAnsi="Verdana" w:cs="Arial"/>
          <w:sz w:val="20"/>
          <w:szCs w:val="20"/>
          <w:shd w:val="clear" w:color="auto" w:fill="FFFFFF"/>
        </w:rPr>
        <w:t>” y</w:t>
      </w:r>
      <w:r w:rsidR="00A0599B" w:rsidRPr="00B721BB">
        <w:rPr>
          <w:rFonts w:ascii="Verdana" w:hAnsi="Verdana" w:cs="Arial"/>
          <w:sz w:val="20"/>
          <w:szCs w:val="20"/>
          <w:shd w:val="clear" w:color="auto" w:fill="FFFFFF"/>
        </w:rPr>
        <w:t xml:space="preserve"> </w:t>
      </w:r>
      <w:r w:rsidR="00E0231F" w:rsidRPr="00B721BB">
        <w:rPr>
          <w:rFonts w:ascii="Verdana" w:hAnsi="Verdana" w:cs="Arial"/>
          <w:sz w:val="20"/>
          <w:szCs w:val="20"/>
          <w:shd w:val="clear" w:color="auto" w:fill="FFFFFF"/>
        </w:rPr>
        <w:t>“</w:t>
      </w:r>
      <w:r w:rsidR="00A0599B" w:rsidRPr="00B721BB">
        <w:rPr>
          <w:rFonts w:ascii="Verdana" w:hAnsi="Verdana" w:cs="Arial"/>
          <w:sz w:val="20"/>
          <w:szCs w:val="20"/>
          <w:shd w:val="clear" w:color="auto" w:fill="FFFFFF"/>
        </w:rPr>
        <w:t>el hecho de que muchas de ellas no están alfabetizadas”, agregando que enviar</w:t>
      </w:r>
      <w:r w:rsidR="00E0231F" w:rsidRPr="00B721BB">
        <w:rPr>
          <w:rFonts w:ascii="Verdana" w:hAnsi="Verdana" w:cs="Arial"/>
          <w:sz w:val="20"/>
          <w:szCs w:val="20"/>
          <w:shd w:val="clear" w:color="auto" w:fill="FFFFFF"/>
        </w:rPr>
        <w:t>ían</w:t>
      </w:r>
      <w:r w:rsidR="00A0599B" w:rsidRPr="00B721BB">
        <w:rPr>
          <w:rFonts w:ascii="Verdana" w:hAnsi="Verdana" w:cs="Arial"/>
          <w:sz w:val="20"/>
          <w:szCs w:val="20"/>
          <w:shd w:val="clear" w:color="auto" w:fill="FFFFFF"/>
        </w:rPr>
        <w:t xml:space="preserve"> la informaci</w:t>
      </w:r>
      <w:r w:rsidR="00E0231F" w:rsidRPr="00B721BB">
        <w:rPr>
          <w:rFonts w:ascii="Verdana" w:hAnsi="Verdana" w:cs="Arial"/>
          <w:sz w:val="20"/>
          <w:szCs w:val="20"/>
          <w:shd w:val="clear" w:color="auto" w:fill="FFFFFF"/>
        </w:rPr>
        <w:t xml:space="preserve">ón </w:t>
      </w:r>
      <w:r w:rsidR="00D0592F" w:rsidRPr="00B721BB">
        <w:rPr>
          <w:rFonts w:ascii="Verdana" w:hAnsi="Verdana" w:cs="Arial"/>
          <w:sz w:val="20"/>
          <w:szCs w:val="20"/>
          <w:shd w:val="clear" w:color="auto" w:fill="FFFFFF"/>
        </w:rPr>
        <w:t xml:space="preserve">solicitada </w:t>
      </w:r>
      <w:r w:rsidR="00E0231F" w:rsidRPr="00B721BB">
        <w:rPr>
          <w:rFonts w:ascii="Verdana" w:hAnsi="Verdana" w:cs="Arial"/>
          <w:sz w:val="20"/>
          <w:szCs w:val="20"/>
          <w:shd w:val="clear" w:color="auto" w:fill="FFFFFF"/>
        </w:rPr>
        <w:t>en cuanto la tuviesen</w:t>
      </w:r>
      <w:r w:rsidR="00A0599B" w:rsidRPr="00B721BB">
        <w:rPr>
          <w:rFonts w:ascii="Verdana" w:hAnsi="Verdana" w:cs="Arial"/>
          <w:sz w:val="20"/>
          <w:szCs w:val="20"/>
          <w:shd w:val="clear" w:color="auto" w:fill="FFFFFF"/>
        </w:rPr>
        <w:t>. Además, remarcaron que continuar</w:t>
      </w:r>
      <w:r w:rsidR="00E0231F" w:rsidRPr="00B721BB">
        <w:rPr>
          <w:rFonts w:ascii="Verdana" w:hAnsi="Verdana" w:cs="Arial"/>
          <w:sz w:val="20"/>
          <w:szCs w:val="20"/>
          <w:shd w:val="clear" w:color="auto" w:fill="FFFFFF"/>
        </w:rPr>
        <w:t>ían</w:t>
      </w:r>
      <w:r w:rsidR="00A0599B" w:rsidRPr="00B721BB">
        <w:rPr>
          <w:rFonts w:ascii="Verdana" w:hAnsi="Verdana" w:cs="Arial"/>
          <w:sz w:val="20"/>
          <w:szCs w:val="20"/>
          <w:shd w:val="clear" w:color="auto" w:fill="FFFFFF"/>
        </w:rPr>
        <w:t xml:space="preserve"> con sus “esfuerzos </w:t>
      </w:r>
      <w:r w:rsidR="00A0599B" w:rsidRPr="00B721BB">
        <w:rPr>
          <w:rFonts w:ascii="Verdana" w:hAnsi="Verdana" w:cs="Arial"/>
          <w:sz w:val="20"/>
          <w:szCs w:val="20"/>
          <w:shd w:val="clear" w:color="auto" w:fill="FFFFFF"/>
        </w:rPr>
        <w:lastRenderedPageBreak/>
        <w:t>para apoyar al Estado Brasileño en la localización de los datos faltantes”</w:t>
      </w:r>
      <w:r w:rsidR="00E0231F" w:rsidRPr="00B721BB">
        <w:rPr>
          <w:rFonts w:ascii="Verdana" w:hAnsi="Verdana" w:cs="Arial"/>
          <w:sz w:val="20"/>
          <w:szCs w:val="20"/>
          <w:shd w:val="clear" w:color="auto" w:fill="FFFFFF"/>
        </w:rPr>
        <w:t>,</w:t>
      </w:r>
      <w:r w:rsidR="00A0599B" w:rsidRPr="00B721BB">
        <w:rPr>
          <w:rFonts w:ascii="Verdana" w:hAnsi="Verdana" w:cs="Arial"/>
          <w:sz w:val="20"/>
          <w:szCs w:val="20"/>
          <w:shd w:val="clear" w:color="auto" w:fill="FFFFFF"/>
        </w:rPr>
        <w:t xml:space="preserve"> y </w:t>
      </w:r>
      <w:r w:rsidR="00D0592F" w:rsidRPr="00B721BB">
        <w:rPr>
          <w:rFonts w:ascii="Verdana" w:hAnsi="Verdana" w:cs="Arial"/>
          <w:sz w:val="20"/>
          <w:szCs w:val="20"/>
          <w:shd w:val="clear" w:color="auto" w:fill="FFFFFF"/>
        </w:rPr>
        <w:t xml:space="preserve">le </w:t>
      </w:r>
      <w:r w:rsidR="00A0599B" w:rsidRPr="00B721BB">
        <w:rPr>
          <w:rFonts w:ascii="Verdana" w:hAnsi="Verdana" w:cs="Arial"/>
          <w:sz w:val="20"/>
          <w:szCs w:val="20"/>
          <w:shd w:val="clear" w:color="auto" w:fill="FFFFFF"/>
        </w:rPr>
        <w:t>solicitaron “</w:t>
      </w:r>
      <w:proofErr w:type="spellStart"/>
      <w:r w:rsidR="00A0599B" w:rsidRPr="00B721BB">
        <w:rPr>
          <w:rFonts w:ascii="Verdana" w:hAnsi="Verdana" w:cs="Arial"/>
          <w:sz w:val="20"/>
          <w:szCs w:val="20"/>
          <w:shd w:val="clear" w:color="auto" w:fill="FFFFFF"/>
        </w:rPr>
        <w:t>continu</w:t>
      </w:r>
      <w:proofErr w:type="spellEnd"/>
      <w:r w:rsidR="00A0599B" w:rsidRPr="00B721BB">
        <w:rPr>
          <w:rFonts w:ascii="Verdana" w:hAnsi="Verdana" w:cs="Arial"/>
          <w:sz w:val="20"/>
          <w:szCs w:val="20"/>
          <w:shd w:val="clear" w:color="auto" w:fill="FFFFFF"/>
        </w:rPr>
        <w:t>[ar] tomando medidas de forma activa, haciendo uso de sus prerrogativas estatales para recopilar la información necesaria”</w:t>
      </w:r>
      <w:r w:rsidR="00A0599B" w:rsidRPr="00B721BB">
        <w:rPr>
          <w:rFonts w:ascii="Verdana" w:hAnsi="Verdana"/>
          <w:sz w:val="20"/>
          <w:szCs w:val="20"/>
          <w:shd w:val="clear" w:color="auto" w:fill="FFFFFF"/>
          <w:vertAlign w:val="superscript"/>
        </w:rPr>
        <w:footnoteReference w:id="39"/>
      </w:r>
      <w:r w:rsidR="00A0599B" w:rsidRPr="00B721BB">
        <w:rPr>
          <w:rFonts w:ascii="Verdana" w:hAnsi="Verdana" w:cs="Arial"/>
          <w:sz w:val="20"/>
          <w:szCs w:val="20"/>
          <w:shd w:val="clear" w:color="auto" w:fill="FFFFFF"/>
        </w:rPr>
        <w:t>.</w:t>
      </w:r>
    </w:p>
    <w:p w14:paraId="631E327F" w14:textId="2C511A95" w:rsidR="0016758F" w:rsidRPr="00B721BB" w:rsidRDefault="00960439" w:rsidP="00D25665">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E</w:t>
      </w:r>
      <w:r w:rsidR="00B340E0" w:rsidRPr="00B721BB">
        <w:rPr>
          <w:rFonts w:ascii="Verdana" w:hAnsi="Verdana"/>
          <w:sz w:val="20"/>
          <w:szCs w:val="20"/>
        </w:rPr>
        <w:t>ste</w:t>
      </w:r>
      <w:r w:rsidR="00B340E0" w:rsidRPr="00B721BB">
        <w:rPr>
          <w:rFonts w:ascii="Verdana" w:hAnsi="Verdana" w:cs="Arial"/>
          <w:sz w:val="20"/>
          <w:szCs w:val="20"/>
          <w:shd w:val="clear" w:color="auto" w:fill="FFFFFF"/>
        </w:rPr>
        <w:t xml:space="preserve"> Tribunal valora </w:t>
      </w:r>
      <w:r w:rsidR="00D25665" w:rsidRPr="00B721BB">
        <w:rPr>
          <w:rFonts w:ascii="Verdana" w:hAnsi="Verdana" w:cs="Arial"/>
          <w:sz w:val="20"/>
          <w:szCs w:val="20"/>
          <w:shd w:val="clear" w:color="auto" w:fill="FFFFFF"/>
        </w:rPr>
        <w:t xml:space="preserve">positivamente los esfuerzos realizados </w:t>
      </w:r>
      <w:r w:rsidR="00B340E0" w:rsidRPr="00B721BB">
        <w:rPr>
          <w:rFonts w:ascii="Verdana" w:hAnsi="Verdana" w:cs="Arial"/>
          <w:sz w:val="20"/>
          <w:szCs w:val="20"/>
          <w:shd w:val="clear" w:color="auto" w:fill="FFFFFF"/>
        </w:rPr>
        <w:t xml:space="preserve">por el Estado con la finalidad de localizar </w:t>
      </w:r>
      <w:r w:rsidR="00D25665" w:rsidRPr="00B721BB">
        <w:rPr>
          <w:rFonts w:ascii="Verdana" w:hAnsi="Verdana" w:cs="Arial"/>
          <w:sz w:val="20"/>
          <w:szCs w:val="20"/>
          <w:shd w:val="clear" w:color="auto" w:fill="FFFFFF"/>
        </w:rPr>
        <w:t xml:space="preserve">y pagar </w:t>
      </w:r>
      <w:r w:rsidR="00B340E0" w:rsidRPr="00B721BB">
        <w:rPr>
          <w:rFonts w:ascii="Verdana" w:hAnsi="Verdana" w:cs="Arial"/>
          <w:sz w:val="20"/>
          <w:szCs w:val="20"/>
          <w:shd w:val="clear" w:color="auto" w:fill="FFFFFF"/>
        </w:rPr>
        <w:t>a l</w:t>
      </w:r>
      <w:r w:rsidR="00D25665" w:rsidRPr="00B721BB">
        <w:rPr>
          <w:rFonts w:ascii="Verdana" w:hAnsi="Verdana" w:cs="Arial"/>
          <w:sz w:val="20"/>
          <w:szCs w:val="20"/>
          <w:shd w:val="clear" w:color="auto" w:fill="FFFFFF"/>
        </w:rPr>
        <w:t>a</w:t>
      </w:r>
      <w:r w:rsidR="00B340E0" w:rsidRPr="00B721BB">
        <w:rPr>
          <w:rFonts w:ascii="Verdana" w:hAnsi="Verdana" w:cs="Arial"/>
          <w:sz w:val="20"/>
          <w:szCs w:val="20"/>
          <w:shd w:val="clear" w:color="auto" w:fill="FFFFFF"/>
        </w:rPr>
        <w:t xml:space="preserve">s </w:t>
      </w:r>
      <w:r w:rsidR="00D25665" w:rsidRPr="00B721BB">
        <w:rPr>
          <w:rFonts w:ascii="Verdana" w:hAnsi="Verdana" w:cs="Arial"/>
          <w:sz w:val="20"/>
          <w:szCs w:val="20"/>
          <w:shd w:val="clear" w:color="auto" w:fill="FFFFFF"/>
        </w:rPr>
        <w:t>víctimas</w:t>
      </w:r>
      <w:r w:rsidR="00B340E0" w:rsidRPr="00B721BB">
        <w:rPr>
          <w:rFonts w:ascii="Verdana" w:hAnsi="Verdana" w:cs="Arial"/>
          <w:sz w:val="20"/>
          <w:szCs w:val="20"/>
          <w:shd w:val="clear" w:color="auto" w:fill="FFFFFF"/>
        </w:rPr>
        <w:t xml:space="preserve">, </w:t>
      </w:r>
      <w:r w:rsidR="00D25665" w:rsidRPr="00B721BB">
        <w:rPr>
          <w:rFonts w:ascii="Verdana" w:hAnsi="Verdana" w:cs="Arial"/>
          <w:sz w:val="20"/>
          <w:szCs w:val="20"/>
          <w:shd w:val="clear" w:color="auto" w:fill="FFFFFF"/>
        </w:rPr>
        <w:t>máxime a la luz de la complejidad que dicha tarea representa por las circunstancias particulares del presente caso. Asimismo, la Corte resalta como positiv</w:t>
      </w:r>
      <w:r w:rsidR="00AD60F1" w:rsidRPr="00B721BB">
        <w:rPr>
          <w:rFonts w:ascii="Verdana" w:hAnsi="Verdana" w:cs="Arial"/>
          <w:sz w:val="20"/>
          <w:szCs w:val="20"/>
          <w:shd w:val="clear" w:color="auto" w:fill="FFFFFF"/>
        </w:rPr>
        <w:t>a</w:t>
      </w:r>
      <w:r w:rsidR="00D25665" w:rsidRPr="00B721BB">
        <w:rPr>
          <w:rFonts w:ascii="Verdana" w:hAnsi="Verdana" w:cs="Arial"/>
          <w:sz w:val="20"/>
          <w:szCs w:val="20"/>
          <w:shd w:val="clear" w:color="auto" w:fill="FFFFFF"/>
        </w:rPr>
        <w:t xml:space="preserve"> la actitud cooperativa de los representantes a tales efectos, así como la comunicación entre ambas partes. Todas estas acciones han posibilitado que, pese a las dificultades del caso, al momento se haya localizado y pagado a 72 víctimas</w:t>
      </w:r>
      <w:r w:rsidR="0076750A" w:rsidRPr="00B721BB">
        <w:rPr>
          <w:rFonts w:ascii="Verdana" w:hAnsi="Verdana" w:cs="Arial"/>
          <w:sz w:val="20"/>
          <w:szCs w:val="20"/>
          <w:shd w:val="clear" w:color="auto" w:fill="FFFFFF"/>
        </w:rPr>
        <w:t xml:space="preserve"> (</w:t>
      </w:r>
      <w:r w:rsidR="0076750A" w:rsidRPr="00B721BB">
        <w:rPr>
          <w:rFonts w:ascii="Verdana" w:hAnsi="Verdana" w:cs="Arial"/>
          <w:i/>
          <w:sz w:val="20"/>
          <w:szCs w:val="20"/>
          <w:shd w:val="clear" w:color="auto" w:fill="FFFFFF"/>
        </w:rPr>
        <w:t xml:space="preserve">supra </w:t>
      </w:r>
      <w:r w:rsidR="0076750A" w:rsidRPr="00B721BB">
        <w:rPr>
          <w:rFonts w:ascii="Verdana" w:hAnsi="Verdana" w:cs="Arial"/>
          <w:sz w:val="20"/>
          <w:szCs w:val="20"/>
          <w:shd w:val="clear" w:color="auto" w:fill="FFFFFF"/>
        </w:rPr>
        <w:t>Considerandos 10 y 12)</w:t>
      </w:r>
      <w:r w:rsidR="00D25665" w:rsidRPr="00B721BB">
        <w:rPr>
          <w:rFonts w:ascii="Verdana" w:hAnsi="Verdana" w:cs="Arial"/>
          <w:sz w:val="20"/>
          <w:szCs w:val="20"/>
          <w:shd w:val="clear" w:color="auto" w:fill="FFFFFF"/>
        </w:rPr>
        <w:t xml:space="preserve">, presentándose asimismo avances con respecto a otras </w:t>
      </w:r>
      <w:r w:rsidR="0076750A" w:rsidRPr="00B721BB">
        <w:rPr>
          <w:rFonts w:ascii="Verdana" w:hAnsi="Verdana" w:cs="Arial"/>
          <w:sz w:val="20"/>
          <w:szCs w:val="20"/>
          <w:shd w:val="clear" w:color="auto" w:fill="FFFFFF"/>
        </w:rPr>
        <w:t>víctimas (</w:t>
      </w:r>
      <w:r w:rsidR="0076750A" w:rsidRPr="00B721BB">
        <w:rPr>
          <w:rFonts w:ascii="Verdana" w:hAnsi="Verdana" w:cs="Arial"/>
          <w:i/>
          <w:sz w:val="20"/>
          <w:szCs w:val="20"/>
          <w:shd w:val="clear" w:color="auto" w:fill="FFFFFF"/>
        </w:rPr>
        <w:t xml:space="preserve">supra </w:t>
      </w:r>
      <w:r w:rsidR="0076750A" w:rsidRPr="00B721BB">
        <w:rPr>
          <w:rFonts w:ascii="Verdana" w:hAnsi="Verdana" w:cs="Arial"/>
          <w:sz w:val="20"/>
          <w:szCs w:val="20"/>
          <w:shd w:val="clear" w:color="auto" w:fill="FFFFFF"/>
        </w:rPr>
        <w:t>Considerandos 13 a 19)</w:t>
      </w:r>
      <w:r w:rsidR="00D25665" w:rsidRPr="00B721BB">
        <w:rPr>
          <w:rFonts w:ascii="Verdana" w:hAnsi="Verdana" w:cs="Arial"/>
          <w:sz w:val="20"/>
          <w:szCs w:val="20"/>
          <w:shd w:val="clear" w:color="auto" w:fill="FFFFFF"/>
        </w:rPr>
        <w:t xml:space="preserve">. En este sentido, se insta al Estado a continuar con dichos esfuerzos, y se le solicita que siga informando </w:t>
      </w:r>
      <w:r w:rsidR="00B340E0" w:rsidRPr="00B721BB">
        <w:rPr>
          <w:rFonts w:ascii="Verdana" w:hAnsi="Verdana" w:cs="Arial"/>
          <w:sz w:val="20"/>
          <w:szCs w:val="20"/>
          <w:shd w:val="clear" w:color="auto" w:fill="FFFFFF"/>
        </w:rPr>
        <w:t>respecto de las acciones implementadas a los fines de dar cumplimiento con la medida o</w:t>
      </w:r>
      <w:r w:rsidR="0063545D" w:rsidRPr="00B721BB">
        <w:rPr>
          <w:rFonts w:ascii="Verdana" w:hAnsi="Verdana" w:cs="Arial"/>
          <w:sz w:val="20"/>
          <w:szCs w:val="20"/>
          <w:shd w:val="clear" w:color="auto" w:fill="FFFFFF"/>
        </w:rPr>
        <w:t>rdenada en el punto resolutivo d</w:t>
      </w:r>
      <w:r w:rsidR="00EE1419" w:rsidRPr="00B721BB">
        <w:rPr>
          <w:rFonts w:ascii="Verdana" w:hAnsi="Verdana" w:cs="Arial"/>
          <w:sz w:val="20"/>
          <w:szCs w:val="20"/>
          <w:shd w:val="clear" w:color="auto" w:fill="FFFFFF"/>
        </w:rPr>
        <w:t>é</w:t>
      </w:r>
      <w:r w:rsidR="0063545D" w:rsidRPr="00B721BB">
        <w:rPr>
          <w:rFonts w:ascii="Verdana" w:hAnsi="Verdana" w:cs="Arial"/>
          <w:sz w:val="20"/>
          <w:szCs w:val="20"/>
          <w:shd w:val="clear" w:color="auto" w:fill="FFFFFF"/>
        </w:rPr>
        <w:t>cimo</w:t>
      </w:r>
      <w:r w:rsidR="00EE1419" w:rsidRPr="00B721BB">
        <w:rPr>
          <w:rFonts w:ascii="Verdana" w:hAnsi="Verdana" w:cs="Arial"/>
          <w:sz w:val="20"/>
          <w:szCs w:val="20"/>
          <w:shd w:val="clear" w:color="auto" w:fill="FFFFFF"/>
        </w:rPr>
        <w:t xml:space="preserve"> </w:t>
      </w:r>
      <w:r w:rsidR="0063545D" w:rsidRPr="00B721BB">
        <w:rPr>
          <w:rFonts w:ascii="Verdana" w:hAnsi="Verdana" w:cs="Arial"/>
          <w:sz w:val="20"/>
          <w:szCs w:val="20"/>
          <w:shd w:val="clear" w:color="auto" w:fill="FFFFFF"/>
        </w:rPr>
        <w:t>segundo</w:t>
      </w:r>
      <w:r w:rsidR="00B340E0" w:rsidRPr="00B721BB">
        <w:rPr>
          <w:rFonts w:ascii="Verdana" w:hAnsi="Verdana" w:cs="Arial"/>
          <w:sz w:val="20"/>
          <w:szCs w:val="20"/>
          <w:shd w:val="clear" w:color="auto" w:fill="FFFFFF"/>
        </w:rPr>
        <w:t>.</w:t>
      </w:r>
    </w:p>
    <w:p w14:paraId="18842109" w14:textId="593CCDC5" w:rsidR="00B340E0" w:rsidRPr="00B721BB" w:rsidRDefault="00B340E0" w:rsidP="000D4A18">
      <w:pPr>
        <w:numPr>
          <w:ilvl w:val="0"/>
          <w:numId w:val="6"/>
        </w:numPr>
        <w:spacing w:before="120" w:after="120" w:line="240" w:lineRule="auto"/>
        <w:ind w:left="0" w:firstLine="0"/>
        <w:jc w:val="both"/>
        <w:rPr>
          <w:rFonts w:ascii="Verdana" w:hAnsi="Verdana"/>
          <w:sz w:val="20"/>
        </w:rPr>
      </w:pPr>
      <w:r w:rsidRPr="00B721BB">
        <w:rPr>
          <w:rFonts w:ascii="Verdana" w:eastAsia="Times New Roman" w:hAnsi="Verdana"/>
          <w:sz w:val="20"/>
          <w:szCs w:val="20"/>
          <w:lang w:eastAsia="es-ES_tradnl"/>
        </w:rPr>
        <w:t xml:space="preserve">Con base en las anteriores consideraciones, la Corte concluye que el Estado ha dado cumplimiento </w:t>
      </w:r>
      <w:r w:rsidR="00C22984" w:rsidRPr="00B721BB">
        <w:rPr>
          <w:rFonts w:ascii="Verdana" w:eastAsia="Times New Roman" w:hAnsi="Verdana"/>
          <w:sz w:val="20"/>
          <w:szCs w:val="20"/>
          <w:lang w:eastAsia="es-ES_tradnl"/>
        </w:rPr>
        <w:t>total al reintegro de costas y gastos</w:t>
      </w:r>
      <w:r w:rsidR="00687B05" w:rsidRPr="00B721BB">
        <w:rPr>
          <w:rFonts w:ascii="Verdana" w:eastAsia="Times New Roman" w:hAnsi="Verdana"/>
          <w:sz w:val="20"/>
          <w:szCs w:val="20"/>
          <w:lang w:eastAsia="es-ES_tradnl"/>
        </w:rPr>
        <w:t>. Asimismo</w:t>
      </w:r>
      <w:r w:rsidR="00CC4E85" w:rsidRPr="00B721BB">
        <w:rPr>
          <w:rFonts w:ascii="Verdana" w:eastAsia="Times New Roman" w:hAnsi="Verdana"/>
          <w:sz w:val="20"/>
          <w:szCs w:val="20"/>
          <w:lang w:eastAsia="es-ES_tradnl"/>
        </w:rPr>
        <w:t>,</w:t>
      </w:r>
      <w:r w:rsidR="00C22984" w:rsidRPr="00B721BB">
        <w:rPr>
          <w:rFonts w:ascii="Verdana" w:eastAsia="Times New Roman" w:hAnsi="Verdana"/>
          <w:sz w:val="20"/>
          <w:szCs w:val="20"/>
          <w:lang w:eastAsia="es-ES_tradnl"/>
        </w:rPr>
        <w:t xml:space="preserve"> ha cumplido parcialmente con el pago de las cantidades fijadas en la Sentencia por concepto de </w:t>
      </w:r>
      <w:r w:rsidR="00687B05" w:rsidRPr="00B721BB">
        <w:rPr>
          <w:rFonts w:ascii="Verdana" w:eastAsia="Times New Roman" w:hAnsi="Verdana"/>
          <w:sz w:val="20"/>
          <w:szCs w:val="20"/>
          <w:lang w:eastAsia="es-ES_tradnl"/>
        </w:rPr>
        <w:t xml:space="preserve">indemnización del </w:t>
      </w:r>
      <w:r w:rsidR="00C22984" w:rsidRPr="00B721BB">
        <w:rPr>
          <w:rFonts w:ascii="Verdana" w:eastAsia="Times New Roman" w:hAnsi="Verdana"/>
          <w:sz w:val="20"/>
          <w:szCs w:val="20"/>
          <w:lang w:eastAsia="es-ES_tradnl"/>
        </w:rPr>
        <w:t>daño inmaterial</w:t>
      </w:r>
      <w:r w:rsidRPr="00B721BB">
        <w:rPr>
          <w:rFonts w:ascii="Verdana" w:eastAsia="Times New Roman" w:hAnsi="Verdana"/>
          <w:sz w:val="20"/>
          <w:szCs w:val="20"/>
          <w:lang w:eastAsia="es-ES_tradnl"/>
        </w:rPr>
        <w:t xml:space="preserve">, </w:t>
      </w:r>
      <w:r w:rsidR="00EE0484" w:rsidRPr="00B721BB">
        <w:rPr>
          <w:rFonts w:ascii="Verdana" w:eastAsia="Times New Roman" w:hAnsi="Verdana"/>
          <w:sz w:val="20"/>
          <w:szCs w:val="20"/>
          <w:lang w:eastAsia="es-ES_tradnl"/>
        </w:rPr>
        <w:t xml:space="preserve">esto </w:t>
      </w:r>
      <w:r w:rsidRPr="00B721BB">
        <w:rPr>
          <w:rFonts w:ascii="Verdana" w:eastAsia="Times New Roman" w:hAnsi="Verdana"/>
          <w:sz w:val="20"/>
          <w:szCs w:val="20"/>
          <w:lang w:eastAsia="es-ES_tradnl"/>
        </w:rPr>
        <w:t xml:space="preserve">en </w:t>
      </w:r>
      <w:proofErr w:type="spellStart"/>
      <w:r w:rsidRPr="00B721BB">
        <w:rPr>
          <w:rFonts w:ascii="Verdana" w:eastAsia="Times New Roman" w:hAnsi="Verdana"/>
          <w:sz w:val="20"/>
          <w:szCs w:val="20"/>
          <w:lang w:eastAsia="es-ES_tradnl"/>
        </w:rPr>
        <w:t>razón</w:t>
      </w:r>
      <w:proofErr w:type="spellEnd"/>
      <w:r w:rsidRPr="00B721BB">
        <w:rPr>
          <w:rFonts w:ascii="Verdana" w:eastAsia="Times New Roman" w:hAnsi="Verdana"/>
          <w:sz w:val="20"/>
          <w:szCs w:val="20"/>
          <w:lang w:eastAsia="es-ES_tradnl"/>
        </w:rPr>
        <w:t xml:space="preserve"> de que pagó a </w:t>
      </w:r>
      <w:r w:rsidR="00EE0484" w:rsidRPr="00B721BB">
        <w:rPr>
          <w:rFonts w:ascii="Verdana" w:eastAsia="Times New Roman" w:hAnsi="Verdana"/>
          <w:sz w:val="20"/>
          <w:szCs w:val="20"/>
          <w:lang w:eastAsia="es-ES_tradnl"/>
        </w:rPr>
        <w:t xml:space="preserve">las siguientes </w:t>
      </w:r>
      <w:r w:rsidR="00EE1419" w:rsidRPr="00B721BB">
        <w:rPr>
          <w:rFonts w:ascii="Verdana" w:eastAsia="Times New Roman" w:hAnsi="Verdana"/>
          <w:sz w:val="20"/>
          <w:szCs w:val="20"/>
          <w:lang w:eastAsia="es-ES_tradnl"/>
        </w:rPr>
        <w:t>72</w:t>
      </w:r>
      <w:r w:rsidRPr="00B721BB">
        <w:rPr>
          <w:rFonts w:ascii="Verdana" w:eastAsia="Times New Roman" w:hAnsi="Verdana"/>
          <w:sz w:val="20"/>
          <w:szCs w:val="20"/>
          <w:lang w:eastAsia="es-ES_tradnl"/>
        </w:rPr>
        <w:t xml:space="preserve"> víctimas (</w:t>
      </w:r>
      <w:r w:rsidRPr="00B721BB">
        <w:rPr>
          <w:rFonts w:ascii="Verdana" w:eastAsia="Times New Roman" w:hAnsi="Verdana"/>
          <w:i/>
          <w:sz w:val="20"/>
          <w:szCs w:val="20"/>
          <w:lang w:eastAsia="es-ES_tradnl"/>
        </w:rPr>
        <w:t xml:space="preserve">supra </w:t>
      </w:r>
      <w:r w:rsidRPr="00B721BB">
        <w:rPr>
          <w:rFonts w:ascii="Verdana" w:eastAsia="Times New Roman" w:hAnsi="Verdana"/>
          <w:sz w:val="20"/>
          <w:szCs w:val="20"/>
          <w:lang w:eastAsia="es-ES_tradnl"/>
        </w:rPr>
        <w:t>Considerando</w:t>
      </w:r>
      <w:r w:rsidR="00AD60F1" w:rsidRPr="00B721BB">
        <w:rPr>
          <w:rFonts w:ascii="Verdana" w:eastAsia="Times New Roman" w:hAnsi="Verdana"/>
          <w:sz w:val="20"/>
          <w:szCs w:val="20"/>
          <w:lang w:eastAsia="es-ES_tradnl"/>
        </w:rPr>
        <w:t>s</w:t>
      </w:r>
      <w:r w:rsidRPr="00B721BB">
        <w:rPr>
          <w:rFonts w:ascii="Verdana" w:eastAsia="Times New Roman" w:hAnsi="Verdana"/>
          <w:sz w:val="20"/>
          <w:szCs w:val="20"/>
          <w:lang w:eastAsia="es-ES_tradnl"/>
        </w:rPr>
        <w:t xml:space="preserve"> </w:t>
      </w:r>
      <w:r w:rsidR="00AD60F1" w:rsidRPr="00B721BB">
        <w:rPr>
          <w:rFonts w:ascii="Verdana" w:eastAsia="Times New Roman" w:hAnsi="Verdana"/>
          <w:sz w:val="20"/>
          <w:szCs w:val="20"/>
          <w:lang w:eastAsia="es-ES_tradnl"/>
        </w:rPr>
        <w:t xml:space="preserve">10 y 12): </w:t>
      </w:r>
      <w:r w:rsidR="000D4A18" w:rsidRPr="00B721BB">
        <w:rPr>
          <w:rFonts w:ascii="Verdana" w:hAnsi="Verdana"/>
          <w:sz w:val="20"/>
        </w:rPr>
        <w:t xml:space="preserve">1. </w:t>
      </w:r>
      <w:r w:rsidR="000D4A18" w:rsidRPr="00B721BB">
        <w:rPr>
          <w:rFonts w:ascii="Verdana" w:hAnsi="Verdana"/>
          <w:sz w:val="20"/>
          <w:lang w:val="pt-BR"/>
        </w:rPr>
        <w:t xml:space="preserve">Cassimiro Neto Souza Maia, 2. José Astrogildo Damascena, 3. Manoel Alves de Oliveira, 4. Alcione Freitas Sousa, 5. Alfredo Rodrigues, 6. Antônio Almir Lima da Silva, 7. Antônio Aroldo Rodrigues Santos, 8. Antônio Bento da Silva, 9. Antônio Damas Filho, 10. Antônio Edvaldo da Silva, 11. Antônio Fernandes Costa, 12. Antônio Francisco da Silva, 13. Antônio Francisco da Silva Fernandes, 14. Antônio Ivaldo Rodrigues da Silva, 15. Carlito Bastos Gonçalves, 16. Carlos André da Conceição Pereira, 17. Carlos Augusto Cunha, 18. Carlos Ferreira Lopes, 19. </w:t>
      </w:r>
      <w:proofErr w:type="spellStart"/>
      <w:r w:rsidR="000D4A18" w:rsidRPr="00B721BB">
        <w:rPr>
          <w:rFonts w:ascii="Verdana" w:hAnsi="Verdana"/>
          <w:sz w:val="20"/>
          <w:lang w:val="pt-BR"/>
        </w:rPr>
        <w:t>Edirceu</w:t>
      </w:r>
      <w:proofErr w:type="spellEnd"/>
      <w:r w:rsidR="000D4A18" w:rsidRPr="00B721BB">
        <w:rPr>
          <w:rFonts w:ascii="Verdana" w:hAnsi="Verdana"/>
          <w:sz w:val="20"/>
          <w:lang w:val="pt-BR"/>
        </w:rPr>
        <w:t xml:space="preserve"> Lima de Brito, 20. </w:t>
      </w:r>
      <w:proofErr w:type="spellStart"/>
      <w:r w:rsidR="000D4A18" w:rsidRPr="00B721BB">
        <w:rPr>
          <w:rFonts w:ascii="Verdana" w:hAnsi="Verdana"/>
          <w:sz w:val="20"/>
          <w:lang w:val="pt-BR"/>
        </w:rPr>
        <w:t>Erimar</w:t>
      </w:r>
      <w:proofErr w:type="spellEnd"/>
      <w:r w:rsidR="000D4A18" w:rsidRPr="00B721BB">
        <w:rPr>
          <w:rFonts w:ascii="Verdana" w:hAnsi="Verdana"/>
          <w:sz w:val="20"/>
          <w:lang w:val="pt-BR"/>
        </w:rPr>
        <w:t xml:space="preserve"> Lima da Silva, 21. Francisco da Silva, 22. Francisco das Chagas </w:t>
      </w:r>
      <w:proofErr w:type="spellStart"/>
      <w:r w:rsidR="000D4A18" w:rsidRPr="00B721BB">
        <w:rPr>
          <w:rFonts w:ascii="Verdana" w:hAnsi="Verdana"/>
          <w:sz w:val="20"/>
          <w:lang w:val="pt-BR"/>
        </w:rPr>
        <w:t>Araujo</w:t>
      </w:r>
      <w:proofErr w:type="spellEnd"/>
      <w:r w:rsidR="000D4A18" w:rsidRPr="00B721BB">
        <w:rPr>
          <w:rFonts w:ascii="Verdana" w:hAnsi="Verdana"/>
          <w:sz w:val="20"/>
          <w:lang w:val="pt-BR"/>
        </w:rPr>
        <w:t xml:space="preserve"> Carvalho, 23. Francisco das Chagas Bastos Souza, 24. Francisco das Chagas Cardoso Carvalho, 25. Francisco das Chagas Costa Rabelo, 26. Francisco das Chagas da Silva Lira, 27. Francisco Mariano da Silva, 28. Francisco das Chagas Diogo, 29. Francisco das Chagas Moreira Alves, 30. Francisco das Chagas Rodrigues de Sousa, 31. Francisco das Chagas Sousa Cardoso, 32. Francisco de Assis Felix, 33. Francisco de Assis Pereira da Silva, 34. Francisco de Souza </w:t>
      </w:r>
      <w:proofErr w:type="spellStart"/>
      <w:r w:rsidR="000D4A18" w:rsidRPr="00B721BB">
        <w:rPr>
          <w:rFonts w:ascii="Verdana" w:hAnsi="Verdana"/>
          <w:sz w:val="20"/>
          <w:lang w:val="pt-BR"/>
        </w:rPr>
        <w:t>Brígido</w:t>
      </w:r>
      <w:proofErr w:type="spellEnd"/>
      <w:r w:rsidR="000D4A18" w:rsidRPr="00B721BB">
        <w:rPr>
          <w:rFonts w:ascii="Verdana" w:hAnsi="Verdana"/>
          <w:sz w:val="20"/>
          <w:lang w:val="pt-BR"/>
        </w:rPr>
        <w:t xml:space="preserve">, 35. Francisco Ernesto de Melo, 36. Francisco Fabiano Leandro, 37. Francisco Ferreira da Silva, 38. Francisco Ferreira da Silva Filho, 39. Francisco </w:t>
      </w:r>
      <w:proofErr w:type="spellStart"/>
      <w:r w:rsidR="000D4A18" w:rsidRPr="00B721BB">
        <w:rPr>
          <w:rFonts w:ascii="Verdana" w:hAnsi="Verdana"/>
          <w:sz w:val="20"/>
          <w:lang w:val="pt-BR"/>
        </w:rPr>
        <w:t>Mirele</w:t>
      </w:r>
      <w:proofErr w:type="spellEnd"/>
      <w:r w:rsidR="000D4A18" w:rsidRPr="00B721BB">
        <w:rPr>
          <w:rFonts w:ascii="Verdana" w:hAnsi="Verdana"/>
          <w:sz w:val="20"/>
          <w:lang w:val="pt-BR"/>
        </w:rPr>
        <w:t xml:space="preserve"> Ribeiro da Silva, 40. Francisco Soares da Silva, 41. Francisco Teodoro Diogo, 42. Gonçalo Constâncio da Silva, 43. Gonçalo Firmino de Sousa, 44. Gonçalo José Gomes, 45. </w:t>
      </w:r>
      <w:proofErr w:type="spellStart"/>
      <w:r w:rsidR="000D4A18" w:rsidRPr="00B721BB">
        <w:rPr>
          <w:rFonts w:ascii="Verdana" w:hAnsi="Verdana"/>
          <w:sz w:val="20"/>
          <w:lang w:val="pt-BR"/>
        </w:rPr>
        <w:t>Jenival</w:t>
      </w:r>
      <w:proofErr w:type="spellEnd"/>
      <w:r w:rsidR="000D4A18" w:rsidRPr="00B721BB">
        <w:rPr>
          <w:rFonts w:ascii="Verdana" w:hAnsi="Verdana"/>
          <w:sz w:val="20"/>
          <w:lang w:val="pt-BR"/>
        </w:rPr>
        <w:t xml:space="preserve"> Lopes, 46. João Diogo Pereira Filho, 47. José Cordeiro Ramos, 48. José de Deus de Jesus Sousa, 49. José de Ribamar Souza, 50. José do Egito Santos, 51. José Gomes, 52. José Leandro da Silva, 53. José Renato do Nascimento Costa, 54. </w:t>
      </w:r>
      <w:proofErr w:type="spellStart"/>
      <w:r w:rsidR="000D4A18" w:rsidRPr="00B721BB">
        <w:rPr>
          <w:rFonts w:ascii="Verdana" w:hAnsi="Verdana"/>
          <w:sz w:val="20"/>
          <w:lang w:val="pt-BR"/>
        </w:rPr>
        <w:t>Juni</w:t>
      </w:r>
      <w:proofErr w:type="spellEnd"/>
      <w:r w:rsidR="000D4A18" w:rsidRPr="00B721BB">
        <w:rPr>
          <w:rFonts w:ascii="Verdana" w:hAnsi="Verdana"/>
          <w:sz w:val="20"/>
          <w:lang w:val="pt-BR"/>
        </w:rPr>
        <w:t xml:space="preserve"> Carlos da Silva, 55. Lourival da Silva Santos, 56. Luiz Gonzaga Silva Pires, 57. Luiz </w:t>
      </w:r>
      <w:proofErr w:type="spellStart"/>
      <w:r w:rsidR="000D4A18" w:rsidRPr="00B721BB">
        <w:rPr>
          <w:rFonts w:ascii="Verdana" w:hAnsi="Verdana"/>
          <w:sz w:val="20"/>
          <w:lang w:val="pt-BR"/>
        </w:rPr>
        <w:t>Sicinato</w:t>
      </w:r>
      <w:proofErr w:type="spellEnd"/>
      <w:r w:rsidR="000D4A18" w:rsidRPr="00B721BB">
        <w:rPr>
          <w:rFonts w:ascii="Verdana" w:hAnsi="Verdana"/>
          <w:sz w:val="20"/>
          <w:lang w:val="pt-BR"/>
        </w:rPr>
        <w:t xml:space="preserve"> de Menezes, 58. Manoel do Nascimento da Silva, 59. Manoel Pinheiro Brito, 60. Marcio França da Costa Silva, 61. Marcos Antônio Lima, 62. Paulo Pereira dos Santos, 63. Pedro Fernandes da Silva, 64. Raimundo Cardoso Macêdo, 65. Raimundo de Andrade, 66. Raimundo de Sousa Leandro, 67. Raimundo Nonato da Silva, 68. Roberto Alves Nascimento, 69. Rogerio Felix Silva, 70. Sebastião Pereira de Sousa Neto, 71. Silvestre Moreira de Castro Filho, </w:t>
      </w:r>
      <w:r w:rsidR="007C44A2" w:rsidRPr="00B721BB">
        <w:rPr>
          <w:rFonts w:ascii="Verdana" w:hAnsi="Verdana"/>
          <w:sz w:val="20"/>
          <w:lang w:val="pt-BR"/>
        </w:rPr>
        <w:t xml:space="preserve">y </w:t>
      </w:r>
      <w:r w:rsidR="000D4A18" w:rsidRPr="00B721BB">
        <w:rPr>
          <w:rFonts w:ascii="Verdana" w:hAnsi="Verdana"/>
          <w:sz w:val="20"/>
          <w:lang w:val="pt-BR"/>
        </w:rPr>
        <w:t>72. Vicentina Maria da Conceição</w:t>
      </w:r>
      <w:r w:rsidR="00EE0484" w:rsidRPr="00B721BB">
        <w:rPr>
          <w:rFonts w:ascii="Verdana" w:eastAsia="Times New Roman" w:hAnsi="Verdana"/>
          <w:sz w:val="20"/>
          <w:szCs w:val="20"/>
          <w:lang w:val="pt-BR" w:eastAsia="es-ES_tradnl"/>
        </w:rPr>
        <w:t xml:space="preserve">. </w:t>
      </w:r>
      <w:r w:rsidR="007C44A2" w:rsidRPr="00B721BB">
        <w:rPr>
          <w:rFonts w:ascii="Verdana" w:eastAsia="Times New Roman" w:hAnsi="Verdana"/>
          <w:sz w:val="20"/>
          <w:szCs w:val="20"/>
          <w:lang w:eastAsia="es-ES_tradnl"/>
        </w:rPr>
        <w:t>Q</w:t>
      </w:r>
      <w:r w:rsidR="00F866C3" w:rsidRPr="00B721BB">
        <w:rPr>
          <w:rFonts w:ascii="Verdana" w:eastAsia="Times New Roman" w:hAnsi="Verdana"/>
          <w:sz w:val="20"/>
          <w:szCs w:val="20"/>
          <w:lang w:eastAsia="es-ES_tradnl"/>
        </w:rPr>
        <w:t>ueda</w:t>
      </w:r>
      <w:r w:rsidRPr="00B721BB">
        <w:rPr>
          <w:rFonts w:ascii="Verdana" w:eastAsia="Times New Roman" w:hAnsi="Verdana"/>
          <w:sz w:val="20"/>
          <w:szCs w:val="20"/>
          <w:lang w:eastAsia="es-ES_tradnl"/>
        </w:rPr>
        <w:t xml:space="preserve"> pendiente el cumplimiento </w:t>
      </w:r>
      <w:r w:rsidR="007C44A2" w:rsidRPr="00B721BB">
        <w:rPr>
          <w:rFonts w:ascii="Verdana" w:eastAsia="Times New Roman" w:hAnsi="Verdana"/>
          <w:sz w:val="20"/>
          <w:szCs w:val="20"/>
          <w:lang w:eastAsia="es-ES_tradnl"/>
        </w:rPr>
        <w:t xml:space="preserve">de la presente medida </w:t>
      </w:r>
      <w:r w:rsidR="00C22984" w:rsidRPr="00B721BB">
        <w:rPr>
          <w:rFonts w:ascii="Verdana" w:eastAsia="Times New Roman" w:hAnsi="Verdana"/>
          <w:sz w:val="20"/>
          <w:szCs w:val="20"/>
          <w:lang w:eastAsia="es-ES_tradnl"/>
        </w:rPr>
        <w:t>con respecto a</w:t>
      </w:r>
      <w:r w:rsidRPr="00B721BB">
        <w:rPr>
          <w:rFonts w:ascii="Verdana" w:eastAsia="Times New Roman" w:hAnsi="Verdana"/>
          <w:sz w:val="20"/>
          <w:szCs w:val="20"/>
          <w:lang w:eastAsia="es-ES_tradnl"/>
        </w:rPr>
        <w:t xml:space="preserve"> las </w:t>
      </w:r>
      <w:r w:rsidR="00EE1419" w:rsidRPr="00B721BB">
        <w:rPr>
          <w:rFonts w:ascii="Verdana" w:eastAsia="Times New Roman" w:hAnsi="Verdana"/>
          <w:sz w:val="20"/>
          <w:szCs w:val="20"/>
          <w:lang w:eastAsia="es-ES_tradnl"/>
        </w:rPr>
        <w:t xml:space="preserve">56 </w:t>
      </w:r>
      <w:proofErr w:type="spellStart"/>
      <w:r w:rsidRPr="00B721BB">
        <w:rPr>
          <w:rFonts w:ascii="Verdana" w:eastAsia="Times New Roman" w:hAnsi="Verdana"/>
          <w:sz w:val="20"/>
          <w:szCs w:val="20"/>
          <w:lang w:eastAsia="es-ES_tradnl"/>
        </w:rPr>
        <w:t>víctimas</w:t>
      </w:r>
      <w:proofErr w:type="spellEnd"/>
      <w:r w:rsidRPr="00B721BB">
        <w:rPr>
          <w:rFonts w:ascii="Verdana" w:eastAsia="Times New Roman" w:hAnsi="Verdana"/>
          <w:sz w:val="20"/>
          <w:szCs w:val="20"/>
          <w:lang w:eastAsia="es-ES_tradnl"/>
        </w:rPr>
        <w:t xml:space="preserve"> restantes o sus derechohabientes.</w:t>
      </w:r>
    </w:p>
    <w:p w14:paraId="4F90E75E" w14:textId="77777777" w:rsidR="00EF16F6" w:rsidRPr="00B721BB" w:rsidRDefault="00EF16F6" w:rsidP="0006534C">
      <w:pPr>
        <w:spacing w:before="120" w:after="120" w:line="240" w:lineRule="auto"/>
        <w:jc w:val="both"/>
        <w:rPr>
          <w:rFonts w:ascii="Verdana" w:eastAsia="Times New Roman" w:hAnsi="Verdana"/>
          <w:sz w:val="20"/>
          <w:szCs w:val="20"/>
          <w:lang w:eastAsia="es-ES_tradnl"/>
        </w:rPr>
      </w:pPr>
    </w:p>
    <w:p w14:paraId="2F4E796E" w14:textId="77777777" w:rsidR="000C467E" w:rsidRPr="00B721BB" w:rsidRDefault="000C467E" w:rsidP="0006534C">
      <w:pPr>
        <w:spacing w:before="120" w:after="120" w:line="240" w:lineRule="auto"/>
        <w:jc w:val="both"/>
        <w:rPr>
          <w:rFonts w:ascii="Verdana" w:eastAsia="Times New Roman" w:hAnsi="Verdana"/>
          <w:sz w:val="20"/>
          <w:szCs w:val="20"/>
          <w:lang w:eastAsia="es-ES_tradnl"/>
        </w:rPr>
      </w:pPr>
    </w:p>
    <w:p w14:paraId="72758540" w14:textId="1795B4F4" w:rsidR="000C467E" w:rsidRPr="00B721BB" w:rsidRDefault="006F74E8" w:rsidP="00CC4E85">
      <w:pPr>
        <w:pStyle w:val="Listavistosa-nfasis12"/>
        <w:numPr>
          <w:ilvl w:val="0"/>
          <w:numId w:val="1"/>
        </w:numPr>
        <w:spacing w:before="120" w:after="120"/>
        <w:contextualSpacing/>
        <w:jc w:val="both"/>
        <w:outlineLvl w:val="0"/>
        <w:rPr>
          <w:rFonts w:ascii="Verdana" w:hAnsi="Verdana" w:cs="Arial"/>
          <w:b/>
          <w:i/>
          <w:sz w:val="20"/>
          <w:szCs w:val="20"/>
          <w:shd w:val="clear" w:color="auto" w:fill="FFFFFF"/>
        </w:rPr>
      </w:pPr>
      <w:bookmarkStart w:id="11" w:name="_Toc26890309"/>
      <w:r w:rsidRPr="00B721BB">
        <w:rPr>
          <w:rFonts w:ascii="Verdana" w:hAnsi="Verdana" w:cs="Arial"/>
          <w:b/>
          <w:i/>
          <w:sz w:val="20"/>
          <w:szCs w:val="20"/>
          <w:shd w:val="clear" w:color="auto" w:fill="FFFFFF"/>
        </w:rPr>
        <w:t>S</w:t>
      </w:r>
      <w:r w:rsidR="000C467E" w:rsidRPr="00B721BB">
        <w:rPr>
          <w:rFonts w:ascii="Verdana" w:hAnsi="Verdana" w:cs="Arial"/>
          <w:b/>
          <w:i/>
          <w:sz w:val="20"/>
          <w:szCs w:val="20"/>
          <w:shd w:val="clear" w:color="auto" w:fill="FFFFFF"/>
        </w:rPr>
        <w:t>olicitud de rectificación del nombre de una de las víctimas del caso</w:t>
      </w:r>
      <w:bookmarkEnd w:id="11"/>
    </w:p>
    <w:p w14:paraId="2185ECE0" w14:textId="5B7CF012"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lastRenderedPageBreak/>
        <w:t xml:space="preserve">El 8 de octubre de 2018 el Estado indicó que, con base en las </w:t>
      </w:r>
      <w:r w:rsidRPr="00B721BB">
        <w:rPr>
          <w:rFonts w:ascii="Verdana" w:eastAsia="Times New Roman" w:hAnsi="Verdana"/>
          <w:sz w:val="20"/>
          <w:szCs w:val="20"/>
          <w:lang w:eastAsia="es-ES_tradnl"/>
        </w:rPr>
        <w:t>diligencias</w:t>
      </w:r>
      <w:r w:rsidRPr="00B721BB">
        <w:rPr>
          <w:rFonts w:ascii="Verdana" w:hAnsi="Verdana" w:cs="Arial"/>
          <w:sz w:val="20"/>
          <w:szCs w:val="20"/>
          <w:shd w:val="clear" w:color="auto" w:fill="FFFFFF"/>
        </w:rPr>
        <w:t xml:space="preserve"> conducidas por el Ministerio Público Fiscal para dar cumplimiento a la medida ordenada en el punto resolutivo noveno, relativa a investigar, juzgar y sancionar las violaciones del presente caso</w:t>
      </w:r>
      <w:r w:rsidR="0031232D" w:rsidRPr="00B721BB">
        <w:rPr>
          <w:rFonts w:ascii="Verdana" w:hAnsi="Verdana" w:cs="Arial"/>
          <w:sz w:val="20"/>
          <w:szCs w:val="20"/>
          <w:shd w:val="clear" w:color="auto" w:fill="FFFFFF"/>
        </w:rPr>
        <w:t xml:space="preserve"> (</w:t>
      </w:r>
      <w:r w:rsidR="0031232D" w:rsidRPr="00B721BB">
        <w:rPr>
          <w:rFonts w:ascii="Verdana" w:hAnsi="Verdana" w:cs="Arial"/>
          <w:i/>
          <w:sz w:val="20"/>
          <w:szCs w:val="20"/>
          <w:shd w:val="clear" w:color="auto" w:fill="FFFFFF"/>
        </w:rPr>
        <w:t xml:space="preserve">infra </w:t>
      </w:r>
      <w:r w:rsidR="0031232D" w:rsidRPr="00B721BB">
        <w:rPr>
          <w:rFonts w:ascii="Verdana" w:hAnsi="Verdana" w:cs="Arial"/>
          <w:sz w:val="20"/>
          <w:szCs w:val="20"/>
          <w:shd w:val="clear" w:color="auto" w:fill="FFFFFF"/>
        </w:rPr>
        <w:t>punto resolutivo 4)</w:t>
      </w:r>
      <w:r w:rsidR="008771BF" w:rsidRPr="00B721BB">
        <w:rPr>
          <w:rStyle w:val="Refdenotaalpie"/>
          <w:rFonts w:ascii="Verdana" w:hAnsi="Verdana" w:cs="Arial"/>
          <w:sz w:val="20"/>
          <w:szCs w:val="20"/>
          <w:shd w:val="clear" w:color="auto" w:fill="FFFFFF"/>
        </w:rPr>
        <w:footnoteReference w:id="40"/>
      </w:r>
      <w:r w:rsidRPr="00B721BB">
        <w:rPr>
          <w:rFonts w:ascii="Verdana" w:hAnsi="Verdana" w:cs="Arial"/>
          <w:sz w:val="20"/>
          <w:szCs w:val="20"/>
          <w:shd w:val="clear" w:color="auto" w:fill="FFFFFF"/>
        </w:rPr>
        <w:t xml:space="preserve">, había encontrado “un error en la identificación de la víctima […] referida como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quien se trataría en realidad del señor José Francisco Furtado de Sousa. Por ello, solicitó la rectificación de la Sentencia, indicando que ésta </w:t>
      </w:r>
      <w:r w:rsidRPr="00B721BB">
        <w:rPr>
          <w:rFonts w:ascii="Verdana" w:hAnsi="Verdana" w:cs="Arial"/>
          <w:sz w:val="20"/>
          <w:szCs w:val="20"/>
          <w:shd w:val="clear" w:color="auto" w:fill="FFFFFF"/>
          <w:lang w:val="es-AR"/>
        </w:rPr>
        <w:t>sería necesaria bajo su ordenamiento jurídico interno para proceder al pago de la indemnización</w:t>
      </w:r>
      <w:r w:rsidRPr="00B721BB">
        <w:rPr>
          <w:rStyle w:val="Refdenotaalpie"/>
          <w:rFonts w:ascii="Verdana" w:hAnsi="Verdana" w:cs="Arial"/>
          <w:sz w:val="20"/>
          <w:szCs w:val="20"/>
          <w:shd w:val="clear" w:color="auto" w:fill="FFFFFF"/>
          <w:lang w:val="es-AR"/>
        </w:rPr>
        <w:footnoteReference w:id="41"/>
      </w:r>
      <w:r w:rsidRPr="00B721BB">
        <w:rPr>
          <w:rFonts w:ascii="Verdana" w:hAnsi="Verdana" w:cs="Arial"/>
          <w:sz w:val="20"/>
          <w:szCs w:val="20"/>
          <w:shd w:val="clear" w:color="auto" w:fill="FFFFFF"/>
          <w:lang w:val="es-AR"/>
        </w:rPr>
        <w:t xml:space="preserve">. Al respecto, entre </w:t>
      </w:r>
      <w:r w:rsidR="00CC4E85" w:rsidRPr="00B721BB">
        <w:rPr>
          <w:rFonts w:ascii="Verdana" w:hAnsi="Verdana" w:cs="Arial"/>
          <w:sz w:val="20"/>
          <w:szCs w:val="20"/>
          <w:shd w:val="clear" w:color="auto" w:fill="FFFFFF"/>
          <w:lang w:val="es-AR"/>
        </w:rPr>
        <w:t>octubre de 2018</w:t>
      </w:r>
      <w:r w:rsidRPr="00B721BB">
        <w:rPr>
          <w:rFonts w:ascii="Verdana" w:hAnsi="Verdana" w:cs="Arial"/>
          <w:sz w:val="20"/>
          <w:szCs w:val="20"/>
          <w:shd w:val="clear" w:color="auto" w:fill="FFFFFF"/>
          <w:lang w:val="es-AR"/>
        </w:rPr>
        <w:t xml:space="preserve"> y </w:t>
      </w:r>
      <w:r w:rsidR="00CC4E85" w:rsidRPr="00B721BB">
        <w:rPr>
          <w:rFonts w:ascii="Verdana" w:hAnsi="Verdana" w:cs="Arial"/>
          <w:sz w:val="20"/>
          <w:szCs w:val="20"/>
          <w:shd w:val="clear" w:color="auto" w:fill="FFFFFF"/>
          <w:lang w:val="es-AR"/>
        </w:rPr>
        <w:t>agosto de 2019,</w:t>
      </w:r>
      <w:r w:rsidRPr="00B721BB">
        <w:rPr>
          <w:rFonts w:ascii="Verdana" w:hAnsi="Verdana" w:cs="Arial"/>
          <w:sz w:val="20"/>
          <w:szCs w:val="20"/>
          <w:shd w:val="clear" w:color="auto" w:fill="FFFFFF"/>
          <w:lang w:val="es-AR"/>
        </w:rPr>
        <w:t xml:space="preserve"> la Secretaría de la Corte, siguiendo instrucciones de su </w:t>
      </w:r>
      <w:proofErr w:type="gramStart"/>
      <w:r w:rsidRPr="00B721BB">
        <w:rPr>
          <w:rFonts w:ascii="Verdana" w:hAnsi="Verdana" w:cs="Arial"/>
          <w:sz w:val="20"/>
          <w:szCs w:val="20"/>
          <w:shd w:val="clear" w:color="auto" w:fill="FFFFFF"/>
          <w:lang w:val="es-AR"/>
        </w:rPr>
        <w:t>Presidente</w:t>
      </w:r>
      <w:proofErr w:type="gramEnd"/>
      <w:r w:rsidRPr="00B721BB">
        <w:rPr>
          <w:rFonts w:ascii="Verdana" w:hAnsi="Verdana" w:cs="Arial"/>
          <w:sz w:val="20"/>
          <w:szCs w:val="20"/>
          <w:shd w:val="clear" w:color="auto" w:fill="FFFFFF"/>
          <w:lang w:val="es-AR"/>
        </w:rPr>
        <w:t xml:space="preserve">, solicitó </w:t>
      </w:r>
      <w:r w:rsidR="00A41AE3" w:rsidRPr="00B721BB">
        <w:rPr>
          <w:rFonts w:ascii="Verdana" w:hAnsi="Verdana" w:cs="Arial"/>
          <w:sz w:val="20"/>
          <w:szCs w:val="20"/>
          <w:shd w:val="clear" w:color="auto" w:fill="FFFFFF"/>
          <w:lang w:val="es-AR"/>
        </w:rPr>
        <w:t xml:space="preserve">al Estado </w:t>
      </w:r>
      <w:r w:rsidRPr="00B721BB">
        <w:rPr>
          <w:rFonts w:ascii="Verdana" w:hAnsi="Verdana" w:cs="Arial"/>
          <w:sz w:val="20"/>
          <w:szCs w:val="20"/>
          <w:shd w:val="clear" w:color="auto" w:fill="FFFFFF"/>
          <w:lang w:val="es-AR"/>
        </w:rPr>
        <w:t>información adicional al respecto y otorgó plazos para observaciones a los representantes de las víctimas y la Comisión Interamericana.</w:t>
      </w:r>
    </w:p>
    <w:p w14:paraId="29DD142F" w14:textId="1CEEC353"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Según la información aportada por </w:t>
      </w:r>
      <w:r w:rsidR="00A41AE3" w:rsidRPr="00B721BB">
        <w:rPr>
          <w:rFonts w:ascii="Verdana" w:hAnsi="Verdana" w:cs="Arial"/>
          <w:sz w:val="20"/>
          <w:szCs w:val="20"/>
          <w:shd w:val="clear" w:color="auto" w:fill="FFFFFF"/>
        </w:rPr>
        <w:t>Brasil</w:t>
      </w:r>
      <w:r w:rsidRPr="00B721BB">
        <w:rPr>
          <w:rFonts w:ascii="Verdana" w:hAnsi="Verdana" w:cs="Arial"/>
          <w:sz w:val="20"/>
          <w:szCs w:val="20"/>
          <w:shd w:val="clear" w:color="auto" w:fill="FFFFFF"/>
        </w:rPr>
        <w:t xml:space="preserve"> con base en las investigaciones conducidas, la “documentación verdadera [de José Francisco Furtado de Sousa] habría sido </w:t>
      </w:r>
      <w:proofErr w:type="spellStart"/>
      <w:r w:rsidRPr="00B721BB">
        <w:rPr>
          <w:rFonts w:ascii="Verdana" w:hAnsi="Verdana" w:cs="Arial"/>
          <w:sz w:val="20"/>
          <w:szCs w:val="20"/>
          <w:shd w:val="clear" w:color="auto" w:fill="FFFFFF"/>
        </w:rPr>
        <w:t>destruída</w:t>
      </w:r>
      <w:proofErr w:type="spellEnd"/>
      <w:r w:rsidRPr="00B721BB">
        <w:rPr>
          <w:rFonts w:ascii="Verdana" w:hAnsi="Verdana" w:cs="Arial"/>
          <w:sz w:val="20"/>
          <w:szCs w:val="20"/>
          <w:shd w:val="clear" w:color="auto" w:fill="FFFFFF"/>
        </w:rPr>
        <w:t xml:space="preserve"> por el gerente de la Hacienda Brasil Verde, el cual alteró el documento de identidad de […]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mediante la inclusión de la foto de José Francisco”</w:t>
      </w:r>
      <w:r w:rsidRPr="00B721BB">
        <w:rPr>
          <w:rStyle w:val="Refdenotaalpie"/>
          <w:rFonts w:ascii="Verdana" w:hAnsi="Verdana" w:cs="Arial"/>
          <w:sz w:val="20"/>
          <w:szCs w:val="20"/>
          <w:shd w:val="clear" w:color="auto" w:fill="FFFFFF"/>
        </w:rPr>
        <w:footnoteReference w:id="42"/>
      </w:r>
      <w:r w:rsidRPr="00B721BB">
        <w:rPr>
          <w:rFonts w:ascii="Verdana" w:hAnsi="Verdana" w:cs="Arial"/>
          <w:sz w:val="20"/>
          <w:szCs w:val="20"/>
          <w:shd w:val="clear" w:color="auto" w:fill="FFFFFF"/>
        </w:rPr>
        <w:t xml:space="preserve">. En este sentido, el Estado hizo notar </w:t>
      </w:r>
      <w:proofErr w:type="gramStart"/>
      <w:r w:rsidRPr="00B721BB">
        <w:rPr>
          <w:rFonts w:ascii="Verdana" w:hAnsi="Verdana" w:cs="Arial"/>
          <w:sz w:val="20"/>
          <w:szCs w:val="20"/>
          <w:shd w:val="clear" w:color="auto" w:fill="FFFFFF"/>
        </w:rPr>
        <w:t>que</w:t>
      </w:r>
      <w:proofErr w:type="gramEnd"/>
      <w:r w:rsidRPr="00B721BB">
        <w:rPr>
          <w:rFonts w:ascii="Verdana" w:hAnsi="Verdana" w:cs="Arial"/>
          <w:sz w:val="20"/>
          <w:szCs w:val="20"/>
          <w:shd w:val="clear" w:color="auto" w:fill="FFFFFF"/>
        </w:rPr>
        <w:t xml:space="preserve"> </w:t>
      </w:r>
      <w:r w:rsidRPr="00B721BB">
        <w:rPr>
          <w:rFonts w:ascii="Verdana" w:hAnsi="Verdana"/>
          <w:sz w:val="20"/>
          <w:szCs w:val="20"/>
        </w:rPr>
        <w:t xml:space="preserve">en el informe de fiscalización de trabajo realizado en ocasión del rescate de los trabajadores, fue posible identificar que la fotografía allí incluida coincidía con la persona de José Francisco Furtado de Sousa, aunque en el registro de empleados se le identificaba como </w:t>
      </w:r>
      <w:proofErr w:type="spellStart"/>
      <w:r w:rsidRPr="00B721BB">
        <w:rPr>
          <w:rFonts w:ascii="Verdana" w:hAnsi="Verdana"/>
          <w:sz w:val="20"/>
          <w:szCs w:val="20"/>
        </w:rPr>
        <w:t>Gonçalo</w:t>
      </w:r>
      <w:proofErr w:type="spellEnd"/>
      <w:r w:rsidRPr="00B721BB">
        <w:rPr>
          <w:rFonts w:ascii="Verdana" w:hAnsi="Verdana"/>
          <w:sz w:val="20"/>
          <w:szCs w:val="20"/>
        </w:rPr>
        <w:t xml:space="preserve"> </w:t>
      </w:r>
      <w:proofErr w:type="spellStart"/>
      <w:r w:rsidRPr="00B721BB">
        <w:rPr>
          <w:rFonts w:ascii="Verdana" w:hAnsi="Verdana"/>
          <w:sz w:val="20"/>
          <w:szCs w:val="20"/>
        </w:rPr>
        <w:t>Luiz</w:t>
      </w:r>
      <w:proofErr w:type="spellEnd"/>
      <w:r w:rsidRPr="00B721BB">
        <w:rPr>
          <w:rFonts w:ascii="Verdana" w:hAnsi="Verdana"/>
          <w:sz w:val="20"/>
          <w:szCs w:val="20"/>
        </w:rPr>
        <w:t xml:space="preserve"> Furtado</w:t>
      </w:r>
      <w:r w:rsidRPr="00B721BB">
        <w:rPr>
          <w:rStyle w:val="Refdenotaalpie"/>
          <w:rFonts w:ascii="Verdana" w:hAnsi="Verdana"/>
          <w:sz w:val="20"/>
          <w:szCs w:val="20"/>
        </w:rPr>
        <w:footnoteReference w:id="43"/>
      </w:r>
      <w:r w:rsidRPr="00B721BB">
        <w:rPr>
          <w:rFonts w:ascii="Verdana" w:hAnsi="Verdana"/>
          <w:sz w:val="20"/>
          <w:szCs w:val="20"/>
        </w:rPr>
        <w:t xml:space="preserve">. Además, indicó que las víctimas </w:t>
      </w:r>
      <w:r w:rsidR="00CC4E85" w:rsidRPr="00B721BB">
        <w:rPr>
          <w:rFonts w:ascii="Verdana" w:hAnsi="Verdana"/>
          <w:sz w:val="20"/>
          <w:szCs w:val="20"/>
        </w:rPr>
        <w:t xml:space="preserve">que </w:t>
      </w:r>
      <w:r w:rsidRPr="00B721BB">
        <w:rPr>
          <w:rFonts w:ascii="Verdana" w:hAnsi="Verdana"/>
          <w:sz w:val="20"/>
          <w:szCs w:val="20"/>
        </w:rPr>
        <w:t>testificaron ante el Ministerio Público Fiscal</w:t>
      </w:r>
      <w:r w:rsidR="00CC4E85" w:rsidRPr="00B721BB">
        <w:rPr>
          <w:rStyle w:val="Refdenotaalpie"/>
          <w:rFonts w:ascii="Verdana" w:hAnsi="Verdana" w:cs="Arial"/>
          <w:sz w:val="20"/>
          <w:szCs w:val="20"/>
          <w:shd w:val="clear" w:color="auto" w:fill="FFFFFF"/>
        </w:rPr>
        <w:footnoteReference w:id="44"/>
      </w:r>
      <w:r w:rsidRPr="00B721BB">
        <w:rPr>
          <w:rFonts w:ascii="Verdana" w:hAnsi="Verdana"/>
          <w:sz w:val="20"/>
          <w:szCs w:val="20"/>
        </w:rPr>
        <w:t xml:space="preserve"> </w:t>
      </w:r>
      <w:r w:rsidR="00CC4E85" w:rsidRPr="00B721BB">
        <w:rPr>
          <w:rFonts w:ascii="Verdana" w:hAnsi="Verdana"/>
          <w:sz w:val="20"/>
          <w:szCs w:val="20"/>
        </w:rPr>
        <w:t>co</w:t>
      </w:r>
      <w:r w:rsidR="00ED3798" w:rsidRPr="00B721BB">
        <w:rPr>
          <w:rFonts w:ascii="Verdana" w:hAnsi="Verdana"/>
          <w:sz w:val="20"/>
          <w:szCs w:val="20"/>
        </w:rPr>
        <w:t>i</w:t>
      </w:r>
      <w:r w:rsidR="00CC4E85" w:rsidRPr="00B721BB">
        <w:rPr>
          <w:rFonts w:ascii="Verdana" w:hAnsi="Verdana"/>
          <w:sz w:val="20"/>
          <w:szCs w:val="20"/>
        </w:rPr>
        <w:t xml:space="preserve">ncidieron en cuanto a </w:t>
      </w:r>
      <w:r w:rsidRPr="00B721BB">
        <w:rPr>
          <w:rFonts w:ascii="Verdana" w:hAnsi="Verdana"/>
          <w:sz w:val="20"/>
          <w:szCs w:val="20"/>
        </w:rPr>
        <w:t>que “</w:t>
      </w:r>
      <w:r w:rsidRPr="00B721BB">
        <w:rPr>
          <w:rFonts w:ascii="Verdana" w:hAnsi="Verdana" w:cs="Arial"/>
          <w:sz w:val="20"/>
          <w:szCs w:val="20"/>
          <w:shd w:val="clear" w:color="auto" w:fill="FFFFFF"/>
        </w:rPr>
        <w:t xml:space="preserve">José Francisco Furtado de Sousa, y no </w:t>
      </w:r>
      <w:proofErr w:type="spellStart"/>
      <w:r w:rsidRPr="00B721BB">
        <w:rPr>
          <w:rFonts w:ascii="Verdana" w:hAnsi="Verdana"/>
          <w:sz w:val="20"/>
          <w:szCs w:val="20"/>
        </w:rPr>
        <w:t>Gonçalo</w:t>
      </w:r>
      <w:proofErr w:type="spellEnd"/>
      <w:r w:rsidRPr="00B721BB">
        <w:rPr>
          <w:rFonts w:ascii="Verdana" w:hAnsi="Verdana"/>
          <w:sz w:val="20"/>
          <w:szCs w:val="20"/>
        </w:rPr>
        <w:t xml:space="preserve"> Lui</w:t>
      </w:r>
      <w:r w:rsidR="00C42A91" w:rsidRPr="00B721BB">
        <w:rPr>
          <w:rFonts w:ascii="Verdana" w:hAnsi="Verdana"/>
          <w:sz w:val="20"/>
          <w:szCs w:val="20"/>
        </w:rPr>
        <w:t>[z]</w:t>
      </w:r>
      <w:r w:rsidRPr="00B721BB">
        <w:rPr>
          <w:rFonts w:ascii="Verdana" w:hAnsi="Verdana"/>
          <w:sz w:val="20"/>
          <w:szCs w:val="20"/>
        </w:rPr>
        <w:t xml:space="preserve"> Furtado, había sido uno de los dos trabajadores que habían huido de la hacienda y hecho la denuncia a la Policía Federal”</w:t>
      </w:r>
      <w:r w:rsidR="00630A37" w:rsidRPr="00B721BB">
        <w:rPr>
          <w:rStyle w:val="Refdenotaalpie"/>
          <w:rFonts w:ascii="Verdana" w:hAnsi="Verdana"/>
          <w:sz w:val="20"/>
          <w:szCs w:val="20"/>
        </w:rPr>
        <w:footnoteReference w:id="45"/>
      </w:r>
      <w:r w:rsidRPr="00B721BB">
        <w:rPr>
          <w:rFonts w:ascii="Verdana" w:hAnsi="Verdana"/>
          <w:sz w:val="20"/>
          <w:szCs w:val="20"/>
        </w:rPr>
        <w:t xml:space="preserve">, habiendo </w:t>
      </w:r>
      <w:r w:rsidRPr="00B721BB">
        <w:rPr>
          <w:rFonts w:ascii="Verdana" w:hAnsi="Verdana" w:cs="Arial"/>
          <w:sz w:val="20"/>
          <w:szCs w:val="20"/>
          <w:shd w:val="clear" w:color="auto" w:fill="FFFFFF"/>
        </w:rPr>
        <w:t>“unísona indicación” en dichos testimonios “en cuanto a [su] relevancia […] para que los demás trabajadores fueran rescatados”</w:t>
      </w:r>
      <w:r w:rsidR="00CC4E85" w:rsidRPr="00B721BB">
        <w:rPr>
          <w:rStyle w:val="Refdenotaalpie"/>
          <w:rFonts w:ascii="Verdana" w:hAnsi="Verdana"/>
          <w:sz w:val="20"/>
          <w:szCs w:val="20"/>
        </w:rPr>
        <w:footnoteReference w:id="46"/>
      </w:r>
      <w:r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lang w:val="es-AR"/>
        </w:rPr>
        <w:t xml:space="preserve">El Estado también resaltó que </w:t>
      </w:r>
      <w:r w:rsidRPr="00B721BB">
        <w:rPr>
          <w:rFonts w:ascii="Verdana" w:hAnsi="Verdana" w:cs="Arial"/>
          <w:sz w:val="20"/>
          <w:szCs w:val="20"/>
          <w:shd w:val="clear" w:color="auto" w:fill="FFFFFF"/>
        </w:rPr>
        <w:t xml:space="preserve">solamente José Francisco Furtado de Sousa aparecía en las fotos tomadas durante la visita a las instalaciones de la hacienda, mientras </w:t>
      </w:r>
      <w:r w:rsidRPr="00B721BB">
        <w:rPr>
          <w:rFonts w:ascii="Verdana" w:hAnsi="Verdana" w:cs="Arial"/>
          <w:sz w:val="20"/>
          <w:szCs w:val="20"/>
          <w:shd w:val="clear" w:color="auto" w:fill="FFFFFF"/>
        </w:rPr>
        <w:lastRenderedPageBreak/>
        <w:t xml:space="preserve">que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no se encontraba presente al momento</w:t>
      </w:r>
      <w:r w:rsidRPr="00B721BB">
        <w:rPr>
          <w:rFonts w:ascii="Verdana" w:hAnsi="Verdana" w:cs="Arial"/>
          <w:sz w:val="20"/>
          <w:szCs w:val="20"/>
          <w:shd w:val="clear" w:color="auto" w:fill="FFFFFF"/>
          <w:vertAlign w:val="superscript"/>
        </w:rPr>
        <w:footnoteReference w:id="47"/>
      </w:r>
      <w:r w:rsidRPr="00B721BB">
        <w:rPr>
          <w:rFonts w:ascii="Verdana" w:hAnsi="Verdana" w:cs="Arial"/>
          <w:sz w:val="20"/>
          <w:szCs w:val="20"/>
          <w:shd w:val="clear" w:color="auto" w:fill="FFFFFF"/>
        </w:rPr>
        <w:t xml:space="preserve">. Asimismo, respecto a lo consignado en el párrafo 174 de la Sentencia </w:t>
      </w:r>
      <w:r w:rsidRPr="00B721BB">
        <w:rPr>
          <w:rFonts w:ascii="Verdana" w:hAnsi="Verdana"/>
          <w:sz w:val="20"/>
          <w:szCs w:val="20"/>
        </w:rPr>
        <w:t>que estableció como hecho probado que a “</w:t>
      </w:r>
      <w:proofErr w:type="spellStart"/>
      <w:r w:rsidRPr="00B721BB">
        <w:rPr>
          <w:rFonts w:ascii="Verdana" w:hAnsi="Verdana"/>
          <w:sz w:val="20"/>
          <w:szCs w:val="20"/>
          <w:lang w:val="es-ES"/>
        </w:rPr>
        <w:t>Gonc</w:t>
      </w:r>
      <w:r w:rsidRPr="00B721BB">
        <w:rPr>
          <w:rFonts w:ascii="Arial" w:hAnsi="Arial" w:cs="Arial"/>
          <w:sz w:val="20"/>
          <w:szCs w:val="20"/>
          <w:lang w:val="es-ES"/>
        </w:rPr>
        <w:t>̧</w:t>
      </w:r>
      <w:r w:rsidRPr="00B721BB">
        <w:rPr>
          <w:rFonts w:ascii="Verdana" w:hAnsi="Verdana"/>
          <w:sz w:val="20"/>
          <w:szCs w:val="20"/>
          <w:lang w:val="es-ES"/>
        </w:rPr>
        <w:t>alo</w:t>
      </w:r>
      <w:proofErr w:type="spellEnd"/>
      <w:r w:rsidRPr="00B721BB">
        <w:rPr>
          <w:rFonts w:ascii="Verdana" w:hAnsi="Verdana"/>
          <w:sz w:val="20"/>
          <w:szCs w:val="20"/>
          <w:lang w:val="es-ES"/>
        </w:rPr>
        <w:t xml:space="preserve"> </w:t>
      </w:r>
      <w:proofErr w:type="spellStart"/>
      <w:r w:rsidRPr="00B721BB">
        <w:rPr>
          <w:rFonts w:ascii="Verdana" w:hAnsi="Verdana"/>
          <w:sz w:val="20"/>
          <w:szCs w:val="20"/>
          <w:lang w:val="es-ES"/>
        </w:rPr>
        <w:t>Luiz</w:t>
      </w:r>
      <w:proofErr w:type="spellEnd"/>
      <w:r w:rsidRPr="00B721BB">
        <w:rPr>
          <w:rFonts w:ascii="Verdana" w:hAnsi="Verdana"/>
          <w:sz w:val="20"/>
          <w:szCs w:val="20"/>
          <w:lang w:val="es-ES"/>
        </w:rPr>
        <w:t xml:space="preserve"> Furtado se le dificultaba trabajar en virtud de que </w:t>
      </w:r>
      <w:proofErr w:type="spellStart"/>
      <w:r w:rsidRPr="00B721BB">
        <w:rPr>
          <w:rFonts w:ascii="Verdana" w:hAnsi="Verdana"/>
          <w:sz w:val="20"/>
          <w:szCs w:val="20"/>
          <w:lang w:val="es-ES"/>
        </w:rPr>
        <w:t>tenía</w:t>
      </w:r>
      <w:proofErr w:type="spellEnd"/>
      <w:r w:rsidRPr="00B721BB">
        <w:rPr>
          <w:rFonts w:ascii="Verdana" w:hAnsi="Verdana"/>
          <w:sz w:val="20"/>
          <w:szCs w:val="20"/>
          <w:lang w:val="es-ES"/>
        </w:rPr>
        <w:t xml:space="preserve"> una </w:t>
      </w:r>
      <w:proofErr w:type="spellStart"/>
      <w:r w:rsidRPr="00B721BB">
        <w:rPr>
          <w:rFonts w:ascii="Verdana" w:hAnsi="Verdana"/>
          <w:sz w:val="20"/>
          <w:szCs w:val="20"/>
          <w:lang w:val="es-ES"/>
        </w:rPr>
        <w:t>prótesis</w:t>
      </w:r>
      <w:proofErr w:type="spellEnd"/>
      <w:r w:rsidRPr="00B721BB">
        <w:rPr>
          <w:rFonts w:ascii="Verdana" w:hAnsi="Verdana"/>
          <w:sz w:val="20"/>
          <w:szCs w:val="20"/>
          <w:lang w:val="es-ES"/>
        </w:rPr>
        <w:t xml:space="preserve"> en una pierna”,</w:t>
      </w:r>
      <w:r w:rsidRPr="00B721BB">
        <w:rPr>
          <w:rFonts w:ascii="Verdana" w:hAnsi="Verdana"/>
          <w:sz w:val="16"/>
          <w:szCs w:val="16"/>
          <w:lang w:val="es-ES"/>
        </w:rPr>
        <w:t xml:space="preserve"> </w:t>
      </w:r>
      <w:r w:rsidRPr="00B721BB">
        <w:rPr>
          <w:rFonts w:ascii="Verdana" w:hAnsi="Verdana" w:cs="Arial"/>
          <w:sz w:val="20"/>
          <w:szCs w:val="20"/>
          <w:shd w:val="clear" w:color="auto" w:fill="FFFFFF"/>
        </w:rPr>
        <w:t>según las averiguaciones del Ministerio Público Fiscal, la única persona presente en la hacienda con una discapacidad física era el señor José Francisco Furtado de Sousa</w:t>
      </w:r>
      <w:r w:rsidRPr="00B721BB">
        <w:rPr>
          <w:rFonts w:ascii="Verdana" w:hAnsi="Verdana" w:cs="Arial"/>
          <w:sz w:val="20"/>
          <w:szCs w:val="20"/>
          <w:shd w:val="clear" w:color="auto" w:fill="FFFFFF"/>
          <w:vertAlign w:val="superscript"/>
        </w:rPr>
        <w:footnoteReference w:id="48"/>
      </w:r>
      <w:r w:rsidRPr="00B721BB">
        <w:rPr>
          <w:rFonts w:ascii="Verdana" w:hAnsi="Verdana" w:cs="Arial"/>
          <w:sz w:val="20"/>
          <w:szCs w:val="20"/>
          <w:shd w:val="clear" w:color="auto" w:fill="FFFFFF"/>
        </w:rPr>
        <w:t>.</w:t>
      </w:r>
    </w:p>
    <w:p w14:paraId="215C1B81" w14:textId="6496BD33"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En cuanto a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el Estado afirmó que “no trabajó en la Hacienda Brasil Verde”, pese a estar citado en la Sentencia</w:t>
      </w:r>
      <w:r w:rsidRPr="00B721BB">
        <w:rPr>
          <w:rStyle w:val="Refdenotaalpie"/>
          <w:rFonts w:ascii="Verdana" w:hAnsi="Verdana" w:cs="Arial"/>
          <w:sz w:val="20"/>
          <w:szCs w:val="20"/>
          <w:shd w:val="clear" w:color="auto" w:fill="FFFFFF"/>
        </w:rPr>
        <w:footnoteReference w:id="49"/>
      </w:r>
      <w:r w:rsidRPr="00B721BB">
        <w:rPr>
          <w:rFonts w:ascii="Verdana" w:hAnsi="Verdana" w:cs="Arial"/>
          <w:sz w:val="20"/>
          <w:szCs w:val="20"/>
          <w:shd w:val="clear" w:color="auto" w:fill="FFFFFF"/>
        </w:rPr>
        <w:t xml:space="preserve">. Ello en tanto el Ministerio Público Fiscal aseveró que no existía evidencia alguna de que hubiese estado entre los trabajadores rescatados. Además, informó que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ya había fallecido,</w:t>
      </w:r>
      <w:r w:rsidR="00023AE7"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 xml:space="preserve">y </w:t>
      </w:r>
      <w:r w:rsidR="00023AE7" w:rsidRPr="00B721BB">
        <w:rPr>
          <w:rFonts w:ascii="Verdana" w:hAnsi="Verdana" w:cs="Arial"/>
          <w:sz w:val="20"/>
          <w:szCs w:val="20"/>
          <w:shd w:val="clear" w:color="auto" w:fill="FFFFFF"/>
        </w:rPr>
        <w:t xml:space="preserve">agregó </w:t>
      </w:r>
      <w:r w:rsidRPr="00B721BB">
        <w:rPr>
          <w:rFonts w:ascii="Verdana" w:hAnsi="Verdana" w:cs="Arial"/>
          <w:sz w:val="20"/>
          <w:szCs w:val="20"/>
          <w:shd w:val="clear" w:color="auto" w:fill="FFFFFF"/>
        </w:rPr>
        <w:t xml:space="preserve">que el Ministerio de Derechos Humanos localizó a su familia a través de las acciones de búsqueda </w:t>
      </w:r>
      <w:r w:rsidR="00142F86" w:rsidRPr="00B721BB">
        <w:rPr>
          <w:rFonts w:ascii="Verdana" w:hAnsi="Verdana" w:cs="Arial"/>
          <w:sz w:val="20"/>
          <w:szCs w:val="20"/>
          <w:shd w:val="clear" w:color="auto" w:fill="FFFFFF"/>
        </w:rPr>
        <w:t>(</w:t>
      </w:r>
      <w:r w:rsidR="00142F86" w:rsidRPr="00B721BB">
        <w:rPr>
          <w:rFonts w:ascii="Verdana" w:hAnsi="Verdana" w:cs="Arial"/>
          <w:i/>
          <w:sz w:val="20"/>
          <w:szCs w:val="20"/>
          <w:shd w:val="clear" w:color="auto" w:fill="FFFFFF"/>
        </w:rPr>
        <w:t xml:space="preserve">supra </w:t>
      </w:r>
      <w:r w:rsidR="00142F86" w:rsidRPr="00B721BB">
        <w:rPr>
          <w:rFonts w:ascii="Verdana" w:hAnsi="Verdana" w:cs="Arial"/>
          <w:sz w:val="20"/>
          <w:szCs w:val="20"/>
          <w:shd w:val="clear" w:color="auto" w:fill="FFFFFF"/>
        </w:rPr>
        <w:t xml:space="preserve">Considerando 11) </w:t>
      </w:r>
      <w:r w:rsidRPr="00B721BB">
        <w:rPr>
          <w:rFonts w:ascii="Verdana" w:hAnsi="Verdana" w:cs="Arial"/>
          <w:sz w:val="20"/>
          <w:szCs w:val="20"/>
          <w:shd w:val="clear" w:color="auto" w:fill="FFFFFF"/>
        </w:rPr>
        <w:t>emprendidas para efectuar el pago de indemnizaciones</w:t>
      </w:r>
      <w:r w:rsidRPr="00B721BB">
        <w:rPr>
          <w:rStyle w:val="Refdenotaalpie"/>
          <w:rFonts w:ascii="Verdana" w:hAnsi="Verdana" w:cs="Arial"/>
          <w:sz w:val="20"/>
          <w:szCs w:val="20"/>
          <w:shd w:val="clear" w:color="auto" w:fill="FFFFFF"/>
        </w:rPr>
        <w:footnoteReference w:id="50"/>
      </w:r>
      <w:r w:rsidRPr="00B721BB">
        <w:rPr>
          <w:rFonts w:ascii="Verdana" w:hAnsi="Verdana" w:cs="Arial"/>
          <w:sz w:val="20"/>
          <w:szCs w:val="20"/>
          <w:shd w:val="clear" w:color="auto" w:fill="FFFFFF"/>
        </w:rPr>
        <w:t>.</w:t>
      </w:r>
    </w:p>
    <w:p w14:paraId="6597E1D4" w14:textId="2B0C29A2"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En cuanto a las solicitudes de información realizadas por la Secretaría de la Corte respecto a la posibilidad de que “</w:t>
      </w:r>
      <w:r w:rsidRPr="00B721BB">
        <w:rPr>
          <w:rFonts w:ascii="Verdana" w:hAnsi="Verdana"/>
          <w:sz w:val="20"/>
          <w:szCs w:val="20"/>
        </w:rPr>
        <w:t>José Francisco Furtado de Sousa” fuera la persona identificada en el párrafo 206 de la Sentencia bajo el numeral 44 como “Francisco José Furtado”</w:t>
      </w:r>
      <w:r w:rsidRPr="00B721BB">
        <w:rPr>
          <w:rStyle w:val="Refdenotaalpie"/>
          <w:rFonts w:ascii="Verdana" w:hAnsi="Verdana"/>
          <w:sz w:val="20"/>
          <w:szCs w:val="20"/>
        </w:rPr>
        <w:footnoteReference w:id="51"/>
      </w:r>
      <w:r w:rsidRPr="00B721BB">
        <w:rPr>
          <w:rFonts w:ascii="Verdana" w:hAnsi="Verdana"/>
          <w:sz w:val="20"/>
          <w:szCs w:val="20"/>
        </w:rPr>
        <w:t>, el Estado confirmó que “no ha[</w:t>
      </w:r>
      <w:proofErr w:type="spellStart"/>
      <w:r w:rsidRPr="00B721BB">
        <w:rPr>
          <w:rFonts w:ascii="Verdana" w:hAnsi="Verdana"/>
          <w:sz w:val="20"/>
          <w:szCs w:val="20"/>
        </w:rPr>
        <w:t>bía</w:t>
      </w:r>
      <w:proofErr w:type="spellEnd"/>
      <w:r w:rsidRPr="00B721BB">
        <w:rPr>
          <w:rFonts w:ascii="Verdana" w:hAnsi="Verdana"/>
          <w:sz w:val="20"/>
          <w:szCs w:val="20"/>
        </w:rPr>
        <w:t xml:space="preserve">] ninguna duda respecto de las identidades de Francisco José Furtado, otra víctima citada en la sentencia, y José Francisco Furtado de Sousa, quien fue erróneamente identificado como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Brasil precisó que “</w:t>
      </w:r>
      <w:r w:rsidRPr="00B721BB">
        <w:rPr>
          <w:rFonts w:ascii="Verdana" w:hAnsi="Verdana"/>
          <w:sz w:val="20"/>
          <w:szCs w:val="20"/>
        </w:rPr>
        <w:t>Francisco José Furtado se trata, efectivamente, de otra víctima, fallecida”, respecto de la cual los representantes enviaron documentación al Estado en septiembre de 2018</w:t>
      </w:r>
      <w:r w:rsidRPr="00B721BB">
        <w:rPr>
          <w:rStyle w:val="Refdenotaalpie"/>
          <w:rFonts w:ascii="Verdana" w:hAnsi="Verdana"/>
          <w:sz w:val="20"/>
          <w:szCs w:val="20"/>
        </w:rPr>
        <w:footnoteReference w:id="52"/>
      </w:r>
      <w:r w:rsidRPr="00B721BB">
        <w:rPr>
          <w:rFonts w:ascii="Verdana" w:hAnsi="Verdana"/>
          <w:sz w:val="20"/>
          <w:szCs w:val="20"/>
        </w:rPr>
        <w:t xml:space="preserve"> y el Ministerio Público Fiscal también confirmó que son personas diferentes</w:t>
      </w:r>
      <w:r w:rsidRPr="00B721BB">
        <w:rPr>
          <w:rStyle w:val="Refdenotaalpie"/>
          <w:rFonts w:ascii="Verdana" w:hAnsi="Verdana"/>
          <w:sz w:val="20"/>
          <w:szCs w:val="20"/>
        </w:rPr>
        <w:footnoteReference w:id="53"/>
      </w:r>
      <w:r w:rsidRPr="00B721BB">
        <w:rPr>
          <w:rFonts w:ascii="Verdana" w:hAnsi="Verdana"/>
          <w:sz w:val="20"/>
          <w:szCs w:val="20"/>
        </w:rPr>
        <w:t>.</w:t>
      </w:r>
    </w:p>
    <w:p w14:paraId="0EBF642D" w14:textId="6DD40B9B"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En sus observaciones a la solicitud de rectificación efectuada por el Estado, los representantes de las víctimas consideraron que la información presentada por el Estado contaba con “amplia documentación de apoyo tanto escrita como audiovisual que explica los motivos por los cuales la víctima identificada en la Sentencia como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es en realidad, José Francisco Furtado de Sousa”. Asimismo, reiteraron lo expuesto en su escrito de solicitudes, argumentos y pruebas en el cual habían enviado “información con respecto al cambio de nombre de la víctima José Francisco Furtado de Sousa”, y celebraron “el hecho de que el Estado haya rectificado su posición anterior, expresada en su escrito de contestación, en el cual refutaba dicha información”</w:t>
      </w:r>
      <w:r w:rsidR="00150D94" w:rsidRPr="00B721BB">
        <w:rPr>
          <w:rStyle w:val="Refdenotaalpie"/>
          <w:rFonts w:ascii="Verdana" w:hAnsi="Verdana" w:cs="Arial"/>
          <w:sz w:val="20"/>
          <w:szCs w:val="20"/>
          <w:shd w:val="clear" w:color="auto" w:fill="FFFFFF"/>
        </w:rPr>
        <w:footnoteReference w:id="54"/>
      </w:r>
      <w:r w:rsidRPr="00B721BB">
        <w:rPr>
          <w:rFonts w:ascii="Verdana" w:hAnsi="Verdana" w:cs="Arial"/>
          <w:sz w:val="20"/>
          <w:szCs w:val="20"/>
          <w:shd w:val="clear" w:color="auto" w:fill="FFFFFF"/>
        </w:rPr>
        <w:t>. Con respecto a la posibilidad de que José Francisco Furtado de Sousa fuera la misma persona identificada en la Sentencia como Francisco José Furtado, se remitieron a lo expuesto en el informe del Ministerio Público Fiscal de octubre de 2018 (</w:t>
      </w:r>
      <w:r w:rsidRPr="00B721BB">
        <w:rPr>
          <w:rFonts w:ascii="Verdana" w:hAnsi="Verdana" w:cs="Arial"/>
          <w:i/>
          <w:sz w:val="20"/>
          <w:szCs w:val="20"/>
          <w:shd w:val="clear" w:color="auto" w:fill="FFFFFF"/>
        </w:rPr>
        <w:t xml:space="preserve">supra </w:t>
      </w:r>
      <w:r w:rsidRPr="00B721BB">
        <w:rPr>
          <w:rFonts w:ascii="Verdana" w:hAnsi="Verdana" w:cs="Arial"/>
          <w:sz w:val="20"/>
          <w:szCs w:val="20"/>
          <w:shd w:val="clear" w:color="auto" w:fill="FFFFFF"/>
        </w:rPr>
        <w:t xml:space="preserve">Considerando </w:t>
      </w:r>
      <w:r w:rsidR="00CD0A0B" w:rsidRPr="00B721BB">
        <w:rPr>
          <w:rFonts w:ascii="Verdana" w:hAnsi="Verdana" w:cs="Arial"/>
          <w:sz w:val="20"/>
          <w:szCs w:val="20"/>
          <w:shd w:val="clear" w:color="auto" w:fill="FFFFFF"/>
        </w:rPr>
        <w:t>25</w:t>
      </w:r>
      <w:r w:rsidRPr="00B721BB">
        <w:rPr>
          <w:rFonts w:ascii="Verdana" w:hAnsi="Verdana" w:cs="Arial"/>
          <w:sz w:val="20"/>
          <w:szCs w:val="20"/>
          <w:shd w:val="clear" w:color="auto" w:fill="FFFFFF"/>
        </w:rPr>
        <w:t>)</w:t>
      </w:r>
      <w:r w:rsidRPr="00B721BB">
        <w:rPr>
          <w:rStyle w:val="Refdenotaalpie"/>
          <w:rFonts w:ascii="Verdana" w:hAnsi="Verdana" w:cs="Arial"/>
          <w:sz w:val="20"/>
          <w:szCs w:val="20"/>
          <w:shd w:val="clear" w:color="auto" w:fill="FFFFFF"/>
        </w:rPr>
        <w:footnoteReference w:id="55"/>
      </w:r>
      <w:r w:rsidRPr="00B721BB">
        <w:rPr>
          <w:rFonts w:ascii="Verdana" w:hAnsi="Verdana" w:cs="Arial"/>
          <w:sz w:val="20"/>
          <w:szCs w:val="20"/>
          <w:shd w:val="clear" w:color="auto" w:fill="FFFFFF"/>
        </w:rPr>
        <w:t>. Finalmente, en su escrito de observaciones de septiembre de 2019, los representantes “</w:t>
      </w:r>
      <w:proofErr w:type="spellStart"/>
      <w:r w:rsidRPr="00B721BB">
        <w:rPr>
          <w:rFonts w:ascii="Verdana" w:hAnsi="Verdana" w:cs="Arial"/>
          <w:sz w:val="20"/>
          <w:szCs w:val="20"/>
          <w:shd w:val="clear" w:color="auto" w:fill="FFFFFF"/>
        </w:rPr>
        <w:t>reiter</w:t>
      </w:r>
      <w:proofErr w:type="spellEnd"/>
      <w:r w:rsidRPr="00B721BB">
        <w:rPr>
          <w:rFonts w:ascii="Verdana" w:hAnsi="Verdana" w:cs="Arial"/>
          <w:sz w:val="20"/>
          <w:szCs w:val="20"/>
          <w:shd w:val="clear" w:color="auto" w:fill="FFFFFF"/>
        </w:rPr>
        <w:t>[aron] su acuerdo con la información presentada por el […] Estado […] con relación a</w:t>
      </w:r>
      <w:r w:rsidR="00947B78" w:rsidRPr="00B721BB">
        <w:rPr>
          <w:rFonts w:ascii="Verdana" w:hAnsi="Verdana" w:cs="Arial"/>
          <w:sz w:val="20"/>
          <w:szCs w:val="20"/>
          <w:shd w:val="clear" w:color="auto" w:fill="FFFFFF"/>
        </w:rPr>
        <w:t xml:space="preserve"> la rectificación del</w:t>
      </w:r>
      <w:r w:rsidRPr="00B721BB">
        <w:rPr>
          <w:rFonts w:ascii="Verdana" w:hAnsi="Verdana" w:cs="Arial"/>
          <w:sz w:val="20"/>
          <w:szCs w:val="20"/>
          <w:shd w:val="clear" w:color="auto" w:fill="FFFFFF"/>
        </w:rPr>
        <w:t xml:space="preserve"> nombre del Sr. José Francisco Furtado de Sousa”, y consideraron que “la presente ambigüedad ha sido debidamente subsanada”, de </w:t>
      </w:r>
      <w:r w:rsidRPr="00B721BB">
        <w:rPr>
          <w:rFonts w:ascii="Verdana" w:hAnsi="Verdana" w:cs="Arial"/>
          <w:sz w:val="20"/>
          <w:szCs w:val="20"/>
          <w:shd w:val="clear" w:color="auto" w:fill="FFFFFF"/>
        </w:rPr>
        <w:lastRenderedPageBreak/>
        <w:t>modo que “</w:t>
      </w:r>
      <w:proofErr w:type="spellStart"/>
      <w:r w:rsidRPr="00B721BB">
        <w:rPr>
          <w:rFonts w:ascii="Verdana" w:hAnsi="Verdana" w:cs="Arial"/>
          <w:sz w:val="20"/>
          <w:szCs w:val="20"/>
          <w:shd w:val="clear" w:color="auto" w:fill="FFFFFF"/>
        </w:rPr>
        <w:t>ref</w:t>
      </w:r>
      <w:proofErr w:type="spellEnd"/>
      <w:r w:rsidRPr="00B721BB">
        <w:rPr>
          <w:rFonts w:ascii="Verdana" w:hAnsi="Verdana" w:cs="Arial"/>
          <w:sz w:val="20"/>
          <w:szCs w:val="20"/>
          <w:shd w:val="clear" w:color="auto" w:fill="FFFFFF"/>
        </w:rPr>
        <w:t>[orzaron] el contenido” de los informes estatales sobre este punto y se sumaron a la solicitud de rectificación hecha por el Estado</w:t>
      </w:r>
      <w:r w:rsidRPr="00B721BB">
        <w:rPr>
          <w:rStyle w:val="Refdenotaalpie"/>
          <w:rFonts w:ascii="Verdana" w:hAnsi="Verdana" w:cs="Arial"/>
          <w:sz w:val="20"/>
          <w:szCs w:val="20"/>
          <w:shd w:val="clear" w:color="auto" w:fill="FFFFFF"/>
        </w:rPr>
        <w:footnoteReference w:id="56"/>
      </w:r>
      <w:r w:rsidRPr="00B721BB">
        <w:rPr>
          <w:rFonts w:ascii="Verdana" w:hAnsi="Verdana" w:cs="Arial"/>
          <w:sz w:val="20"/>
          <w:szCs w:val="20"/>
          <w:shd w:val="clear" w:color="auto" w:fill="FFFFFF"/>
        </w:rPr>
        <w:t xml:space="preserve">. </w:t>
      </w:r>
    </w:p>
    <w:p w14:paraId="5F72C3E0" w14:textId="5A08DE38"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Por su parte, la Comisión observó que “tanto el Estado como los representantes coinciden en que la víctima identificada en la sentencia como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es en realidad José Francisco Furtado de Sousa y solicita[ro]n […] que se h[</w:t>
      </w:r>
      <w:proofErr w:type="spellStart"/>
      <w:r w:rsidRPr="00B721BB">
        <w:rPr>
          <w:rFonts w:ascii="Verdana" w:hAnsi="Verdana" w:cs="Arial"/>
          <w:sz w:val="20"/>
          <w:szCs w:val="20"/>
          <w:shd w:val="clear" w:color="auto" w:fill="FFFFFF"/>
        </w:rPr>
        <w:t>iciera</w:t>
      </w:r>
      <w:proofErr w:type="spellEnd"/>
      <w:r w:rsidRPr="00B721BB">
        <w:rPr>
          <w:rFonts w:ascii="Verdana" w:hAnsi="Verdana" w:cs="Arial"/>
          <w:sz w:val="20"/>
          <w:szCs w:val="20"/>
          <w:shd w:val="clear" w:color="auto" w:fill="FFFFFF"/>
        </w:rPr>
        <w:t>] la rectificación correspondiente, de acuerdo con las pruebas presentadas”, ante lo cual expresó que no tenía observaciones que formular</w:t>
      </w:r>
      <w:r w:rsidRPr="00B721BB">
        <w:rPr>
          <w:rStyle w:val="Refdenotaalpie"/>
          <w:rFonts w:ascii="Verdana" w:hAnsi="Verdana" w:cs="Arial"/>
          <w:sz w:val="20"/>
          <w:szCs w:val="20"/>
          <w:shd w:val="clear" w:color="auto" w:fill="FFFFFF"/>
        </w:rPr>
        <w:footnoteReference w:id="57"/>
      </w:r>
      <w:r w:rsidRPr="00B721BB">
        <w:rPr>
          <w:rFonts w:ascii="Verdana" w:hAnsi="Verdana" w:cs="Arial"/>
          <w:sz w:val="20"/>
          <w:szCs w:val="20"/>
          <w:shd w:val="clear" w:color="auto" w:fill="FFFFFF"/>
        </w:rPr>
        <w:t>.</w:t>
      </w:r>
    </w:p>
    <w:p w14:paraId="50D144B0" w14:textId="2141FBB6"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A pesar de que la solicitud de rectificación fue presentada por el Estado con posterioridad al mes siguiente a la notificación de la Sentencia, en los términos dispuestos en el artículo 76 de su Reglamento</w:t>
      </w:r>
      <w:r w:rsidRPr="00B721BB">
        <w:rPr>
          <w:rStyle w:val="Refdenotaalpie"/>
          <w:rFonts w:ascii="Verdana" w:hAnsi="Verdana" w:cs="Arial"/>
          <w:sz w:val="20"/>
          <w:szCs w:val="20"/>
          <w:shd w:val="clear" w:color="auto" w:fill="FFFFFF"/>
        </w:rPr>
        <w:footnoteReference w:id="58"/>
      </w:r>
      <w:r w:rsidRPr="00B721BB">
        <w:rPr>
          <w:rFonts w:ascii="Verdana" w:hAnsi="Verdana" w:cs="Arial"/>
          <w:sz w:val="20"/>
          <w:szCs w:val="20"/>
          <w:shd w:val="clear" w:color="auto" w:fill="FFFFFF"/>
        </w:rPr>
        <w:t xml:space="preserve">, este Tribunal puede valorar la información aportada para </w:t>
      </w:r>
      <w:r w:rsidR="009E55E1" w:rsidRPr="00B721BB">
        <w:rPr>
          <w:rFonts w:ascii="Verdana" w:hAnsi="Verdana" w:cs="Arial"/>
          <w:sz w:val="20"/>
          <w:szCs w:val="20"/>
          <w:shd w:val="clear" w:color="auto" w:fill="FFFFFF"/>
        </w:rPr>
        <w:t xml:space="preserve">determinar </w:t>
      </w:r>
      <w:r w:rsidRPr="00B721BB">
        <w:rPr>
          <w:rFonts w:ascii="Verdana" w:hAnsi="Verdana" w:cs="Arial"/>
          <w:sz w:val="20"/>
          <w:szCs w:val="20"/>
          <w:shd w:val="clear" w:color="auto" w:fill="FFFFFF"/>
        </w:rPr>
        <w:t>si corresponde efectuar una corrección ya que</w:t>
      </w:r>
      <w:r w:rsidR="009E55E1" w:rsidRPr="00B721BB">
        <w:rPr>
          <w:rFonts w:ascii="Verdana" w:hAnsi="Verdana" w:cs="Arial"/>
          <w:sz w:val="20"/>
          <w:szCs w:val="20"/>
          <w:shd w:val="clear" w:color="auto" w:fill="FFFFFF"/>
        </w:rPr>
        <w:t>, tal como surge del articulado,</w:t>
      </w:r>
      <w:r w:rsidRPr="00B721BB">
        <w:rPr>
          <w:rFonts w:ascii="Verdana" w:hAnsi="Verdana" w:cs="Arial"/>
          <w:sz w:val="20"/>
          <w:szCs w:val="20"/>
          <w:shd w:val="clear" w:color="auto" w:fill="FFFFFF"/>
        </w:rPr>
        <w:t xml:space="preserve"> dicho plazo aplica únicamente para “solicitud de parte”.</w:t>
      </w:r>
    </w:p>
    <w:p w14:paraId="0744E563" w14:textId="1C27E064" w:rsidR="000C467E" w:rsidRPr="00B721BB" w:rsidRDefault="000C467E" w:rsidP="000C467E">
      <w:pPr>
        <w:numPr>
          <w:ilvl w:val="0"/>
          <w:numId w:val="6"/>
        </w:numPr>
        <w:spacing w:before="120" w:after="120" w:line="240" w:lineRule="auto"/>
        <w:ind w:left="0" w:firstLine="0"/>
        <w:jc w:val="both"/>
        <w:rPr>
          <w:rFonts w:ascii="Verdana" w:hAnsi="Verdana" w:cs="Arial"/>
          <w:sz w:val="20"/>
          <w:szCs w:val="20"/>
          <w:shd w:val="clear" w:color="auto" w:fill="FFFFFF"/>
          <w:lang w:val="es-AR"/>
        </w:rPr>
      </w:pPr>
      <w:r w:rsidRPr="00B721BB">
        <w:rPr>
          <w:rFonts w:ascii="Verdana" w:hAnsi="Verdana" w:cs="Arial"/>
          <w:sz w:val="20"/>
          <w:szCs w:val="20"/>
          <w:shd w:val="clear" w:color="auto" w:fill="FFFFFF"/>
        </w:rPr>
        <w:t xml:space="preserve">Para estos efectos, la Corte recuerda que, durante la etapa de fondo, los representantes manifestaron en el escrito de solicitudes, argumentos y prueba que “uno de los trabajadores responsables de realizar la denuncia de trabajo esclavo que dio lugar a la fiscalización de marzo del año 2000, identificado en la lista bajo el número 51 como </w:t>
      </w:r>
      <w:proofErr w:type="spellStart"/>
      <w:r w:rsidRPr="00B721BB">
        <w:rPr>
          <w:rFonts w:ascii="Verdana" w:hAnsi="Verdana" w:cs="Arial"/>
          <w:sz w:val="20"/>
          <w:szCs w:val="20"/>
          <w:shd w:val="clear" w:color="auto" w:fill="FFFFFF"/>
          <w:lang w:val="es-AR"/>
        </w:rPr>
        <w:t>Gonçalo</w:t>
      </w:r>
      <w:proofErr w:type="spellEnd"/>
      <w:r w:rsidRPr="00B721BB">
        <w:rPr>
          <w:rFonts w:ascii="Verdana" w:hAnsi="Verdana" w:cs="Arial"/>
          <w:sz w:val="20"/>
          <w:szCs w:val="20"/>
          <w:shd w:val="clear" w:color="auto" w:fill="FFFFFF"/>
          <w:lang w:val="es-AR"/>
        </w:rPr>
        <w:t xml:space="preserve"> Lui</w:t>
      </w:r>
      <w:r w:rsidR="00C42A91" w:rsidRPr="00B721BB">
        <w:rPr>
          <w:rFonts w:ascii="Verdana" w:hAnsi="Verdana" w:cs="Arial"/>
          <w:sz w:val="20"/>
          <w:szCs w:val="20"/>
          <w:shd w:val="clear" w:color="auto" w:fill="FFFFFF"/>
          <w:lang w:val="es-AR"/>
        </w:rPr>
        <w:t>[z]</w:t>
      </w:r>
      <w:r w:rsidRPr="00B721BB">
        <w:rPr>
          <w:rFonts w:ascii="Verdana" w:hAnsi="Verdana" w:cs="Arial"/>
          <w:sz w:val="20"/>
          <w:szCs w:val="20"/>
          <w:shd w:val="clear" w:color="auto" w:fill="FFFFFF"/>
          <w:lang w:val="es-AR"/>
        </w:rPr>
        <w:t xml:space="preserve"> Furtado, en verdad se llama José Francisco Furtado de Sousa”</w:t>
      </w:r>
      <w:r w:rsidR="009E55E1" w:rsidRPr="00B721BB">
        <w:rPr>
          <w:rFonts w:ascii="Verdana" w:hAnsi="Verdana" w:cs="Arial"/>
          <w:sz w:val="20"/>
          <w:szCs w:val="20"/>
          <w:shd w:val="clear" w:color="auto" w:fill="FFFFFF"/>
          <w:lang w:val="es-AR"/>
        </w:rPr>
        <w:t>.</w:t>
      </w:r>
      <w:r w:rsidRPr="00B721BB">
        <w:rPr>
          <w:rFonts w:ascii="Verdana" w:hAnsi="Verdana" w:cs="Arial"/>
          <w:sz w:val="20"/>
          <w:szCs w:val="20"/>
          <w:shd w:val="clear" w:color="auto" w:fill="FFFFFF"/>
          <w:lang w:val="es-AR"/>
        </w:rPr>
        <w:t xml:space="preserve"> Los representantes no aportaron prueba que sustentara tal afirmación.</w:t>
      </w:r>
      <w:r w:rsidRPr="00B721BB">
        <w:rPr>
          <w:rFonts w:ascii="Verdana" w:hAnsi="Verdana" w:cs="Arial"/>
          <w:b/>
          <w:sz w:val="20"/>
          <w:szCs w:val="20"/>
          <w:shd w:val="clear" w:color="auto" w:fill="FFFFFF"/>
          <w:lang w:val="es-AR"/>
        </w:rPr>
        <w:t xml:space="preserve"> </w:t>
      </w:r>
      <w:r w:rsidRPr="00B721BB">
        <w:rPr>
          <w:rFonts w:ascii="Verdana" w:hAnsi="Verdana" w:cs="Arial"/>
          <w:sz w:val="20"/>
          <w:szCs w:val="20"/>
          <w:shd w:val="clear" w:color="auto" w:fill="FFFFFF"/>
          <w:lang w:val="es-AR"/>
        </w:rPr>
        <w:t xml:space="preserve">El Estado </w:t>
      </w:r>
      <w:r w:rsidRPr="00B721BB">
        <w:rPr>
          <w:rFonts w:ascii="Verdana" w:hAnsi="Verdana" w:cs="Arial"/>
          <w:sz w:val="20"/>
          <w:szCs w:val="20"/>
          <w:shd w:val="clear" w:color="auto" w:fill="FFFFFF"/>
        </w:rPr>
        <w:t xml:space="preserve">señaló en su escrito de contestación que no existía motivo razonable ni prueba alguna para suponer que José Francisco Furtado de Sousa era en realidad </w:t>
      </w:r>
      <w:proofErr w:type="spellStart"/>
      <w:r w:rsidRPr="00B721BB">
        <w:rPr>
          <w:rFonts w:ascii="Verdana" w:hAnsi="Verdana" w:cs="Arial"/>
          <w:sz w:val="20"/>
          <w:szCs w:val="20"/>
          <w:shd w:val="clear" w:color="auto" w:fill="FFFFFF"/>
        </w:rPr>
        <w:t>Gonçalo</w:t>
      </w:r>
      <w:proofErr w:type="spellEnd"/>
      <w:r w:rsidRPr="00B721BB">
        <w:rPr>
          <w:rFonts w:ascii="Verdana" w:hAnsi="Verdana" w:cs="Arial"/>
          <w:sz w:val="20"/>
          <w:szCs w:val="20"/>
          <w:shd w:val="clear" w:color="auto" w:fill="FFFFFF"/>
        </w:rPr>
        <w:t xml:space="preserve"> </w:t>
      </w:r>
      <w:proofErr w:type="spellStart"/>
      <w:r w:rsidRPr="00B721BB">
        <w:rPr>
          <w:rFonts w:ascii="Verdana" w:hAnsi="Verdana" w:cs="Arial"/>
          <w:sz w:val="20"/>
          <w:szCs w:val="20"/>
          <w:shd w:val="clear" w:color="auto" w:fill="FFFFFF"/>
        </w:rPr>
        <w:t>Luiz</w:t>
      </w:r>
      <w:proofErr w:type="spellEnd"/>
      <w:r w:rsidRPr="00B721BB">
        <w:rPr>
          <w:rFonts w:ascii="Verdana" w:hAnsi="Verdana" w:cs="Arial"/>
          <w:sz w:val="20"/>
          <w:szCs w:val="20"/>
          <w:shd w:val="clear" w:color="auto" w:fill="FFFFFF"/>
        </w:rPr>
        <w:t xml:space="preserve"> Furtado. La Corte valoró la prueba que constaba en el expediente y en la Sentencia decidió incluir a “</w:t>
      </w:r>
      <w:proofErr w:type="spellStart"/>
      <w:r w:rsidRPr="00B721BB">
        <w:rPr>
          <w:rFonts w:ascii="Verdana" w:hAnsi="Verdana" w:cs="Arial"/>
          <w:sz w:val="20"/>
          <w:szCs w:val="20"/>
          <w:shd w:val="clear" w:color="auto" w:fill="FFFFFF"/>
          <w:lang w:val="es-AR"/>
        </w:rPr>
        <w:t>Gonçalo</w:t>
      </w:r>
      <w:proofErr w:type="spellEnd"/>
      <w:r w:rsidRPr="00B721BB">
        <w:rPr>
          <w:rFonts w:ascii="Verdana" w:hAnsi="Verdana" w:cs="Arial"/>
          <w:sz w:val="20"/>
          <w:szCs w:val="20"/>
          <w:shd w:val="clear" w:color="auto" w:fill="FFFFFF"/>
          <w:lang w:val="es-AR"/>
        </w:rPr>
        <w:t xml:space="preserve"> </w:t>
      </w:r>
      <w:proofErr w:type="spellStart"/>
      <w:r w:rsidRPr="00B721BB">
        <w:rPr>
          <w:rFonts w:ascii="Verdana" w:hAnsi="Verdana" w:cs="Arial"/>
          <w:sz w:val="20"/>
          <w:szCs w:val="20"/>
          <w:shd w:val="clear" w:color="auto" w:fill="FFFFFF"/>
          <w:lang w:val="es-AR"/>
        </w:rPr>
        <w:t>Lui</w:t>
      </w:r>
      <w:r w:rsidR="009E55E1" w:rsidRPr="00B721BB">
        <w:rPr>
          <w:rFonts w:ascii="Verdana" w:hAnsi="Verdana" w:cs="Arial"/>
          <w:sz w:val="20"/>
          <w:szCs w:val="20"/>
          <w:shd w:val="clear" w:color="auto" w:fill="FFFFFF"/>
          <w:lang w:val="es-AR"/>
        </w:rPr>
        <w:t>z</w:t>
      </w:r>
      <w:proofErr w:type="spellEnd"/>
      <w:r w:rsidRPr="00B721BB">
        <w:rPr>
          <w:rFonts w:ascii="Verdana" w:hAnsi="Verdana" w:cs="Arial"/>
          <w:sz w:val="20"/>
          <w:szCs w:val="20"/>
          <w:shd w:val="clear" w:color="auto" w:fill="FFFFFF"/>
          <w:lang w:val="es-AR"/>
        </w:rPr>
        <w:t xml:space="preserve"> Furtado” </w:t>
      </w:r>
      <w:r w:rsidRPr="00B721BB">
        <w:rPr>
          <w:rFonts w:ascii="Verdana" w:hAnsi="Verdana" w:cs="Arial"/>
          <w:sz w:val="20"/>
          <w:szCs w:val="20"/>
          <w:shd w:val="clear" w:color="auto" w:fill="FFFFFF"/>
        </w:rPr>
        <w:t>en la lista de víctimas que consta en el párrafo</w:t>
      </w:r>
      <w:r w:rsidR="009E55E1" w:rsidRPr="00B721BB">
        <w:rPr>
          <w:rFonts w:ascii="Verdana" w:hAnsi="Verdana" w:cs="Arial"/>
          <w:sz w:val="20"/>
          <w:szCs w:val="20"/>
          <w:shd w:val="clear" w:color="auto" w:fill="FFFFFF"/>
        </w:rPr>
        <w:t xml:space="preserve"> 206</w:t>
      </w:r>
      <w:r w:rsidRPr="00B721BB">
        <w:rPr>
          <w:rFonts w:ascii="Verdana" w:hAnsi="Verdana" w:cs="Arial"/>
          <w:sz w:val="20"/>
          <w:szCs w:val="20"/>
          <w:shd w:val="clear" w:color="auto" w:fill="FFFFFF"/>
        </w:rPr>
        <w:t xml:space="preserve"> de la Sentencia</w:t>
      </w:r>
      <w:r w:rsidRPr="00B721BB">
        <w:rPr>
          <w:rFonts w:ascii="Verdana" w:hAnsi="Verdana" w:cs="Arial"/>
          <w:sz w:val="20"/>
          <w:szCs w:val="20"/>
          <w:shd w:val="clear" w:color="auto" w:fill="FFFFFF"/>
          <w:lang w:val="es-AR"/>
        </w:rPr>
        <w:t>.</w:t>
      </w:r>
    </w:p>
    <w:p w14:paraId="31EB41DA" w14:textId="3E7592C8" w:rsidR="000C467E" w:rsidRPr="00B721BB" w:rsidRDefault="000C467E" w:rsidP="00494C28">
      <w:pPr>
        <w:numPr>
          <w:ilvl w:val="0"/>
          <w:numId w:val="6"/>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La Corte recuerda que el presente caso se caracterizó por dificultades en la identificación de las víctimas, por las que decidió aplicar el artículo 35.2 del Reglamento. Dicha norma establece que cuando se justifique que no fue posible identificar algunas presuntas víctimas de los hechos del caso, por tratarse de casos de violaciones masivas o colectivas, el Tribunal decidirá en su oportunidad si las considera víctimas de acuerdo con la naturaleza de la violación. </w:t>
      </w:r>
      <w:r w:rsidR="00845BD7" w:rsidRPr="00B721BB">
        <w:rPr>
          <w:rFonts w:ascii="Verdana" w:hAnsi="Verdana" w:cs="Arial"/>
          <w:sz w:val="20"/>
          <w:szCs w:val="20"/>
          <w:shd w:val="clear" w:color="auto" w:fill="FFFFFF"/>
        </w:rPr>
        <w:t>En el Fallo, la Corte</w:t>
      </w:r>
      <w:r w:rsidRPr="00B721BB">
        <w:rPr>
          <w:rFonts w:ascii="Verdana" w:hAnsi="Verdana" w:cs="Arial"/>
          <w:sz w:val="20"/>
          <w:szCs w:val="20"/>
          <w:shd w:val="clear" w:color="auto" w:fill="FFFFFF"/>
        </w:rPr>
        <w:t xml:space="preserve"> valoró la existencia de “problemas […] respecto de la identificación de las</w:t>
      </w:r>
      <w:r w:rsidR="00845BD7"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 xml:space="preserve"> víctimas”, los cuales obedecían a: i) el contexto del caso; </w:t>
      </w:r>
      <w:proofErr w:type="spellStart"/>
      <w:r w:rsidRPr="00B721BB">
        <w:rPr>
          <w:rFonts w:ascii="Verdana" w:hAnsi="Verdana" w:cs="Arial"/>
          <w:sz w:val="20"/>
          <w:szCs w:val="20"/>
          <w:shd w:val="clear" w:color="auto" w:fill="FFFFFF"/>
        </w:rPr>
        <w:t>ii</w:t>
      </w:r>
      <w:proofErr w:type="spellEnd"/>
      <w:r w:rsidRPr="00B721BB">
        <w:rPr>
          <w:rFonts w:ascii="Verdana" w:hAnsi="Verdana" w:cs="Arial"/>
          <w:sz w:val="20"/>
          <w:szCs w:val="20"/>
          <w:shd w:val="clear" w:color="auto" w:fill="FFFFFF"/>
        </w:rPr>
        <w:t xml:space="preserve">) el tiempo de 20 años transcurrido; </w:t>
      </w:r>
      <w:proofErr w:type="spellStart"/>
      <w:r w:rsidRPr="00B721BB">
        <w:rPr>
          <w:rFonts w:ascii="Verdana" w:hAnsi="Verdana" w:cs="Arial"/>
          <w:sz w:val="20"/>
          <w:szCs w:val="20"/>
          <w:shd w:val="clear" w:color="auto" w:fill="FFFFFF"/>
        </w:rPr>
        <w:t>iii</w:t>
      </w:r>
      <w:proofErr w:type="spellEnd"/>
      <w:r w:rsidRPr="00B721BB">
        <w:rPr>
          <w:rFonts w:ascii="Verdana" w:hAnsi="Verdana" w:cs="Arial"/>
          <w:sz w:val="20"/>
          <w:szCs w:val="20"/>
          <w:shd w:val="clear" w:color="auto" w:fill="FFFFFF"/>
        </w:rPr>
        <w:t xml:space="preserve">) la dificultad para contactar a las presuntas víctimas dada su condición de exclusión y vulnerabilidad, y </w:t>
      </w:r>
      <w:proofErr w:type="spellStart"/>
      <w:r w:rsidRPr="00B721BB">
        <w:rPr>
          <w:rFonts w:ascii="Verdana" w:hAnsi="Verdana" w:cs="Arial"/>
          <w:sz w:val="20"/>
          <w:szCs w:val="20"/>
          <w:shd w:val="clear" w:color="auto" w:fill="FFFFFF"/>
        </w:rPr>
        <w:t>iv</w:t>
      </w:r>
      <w:proofErr w:type="spellEnd"/>
      <w:r w:rsidRPr="00B721BB">
        <w:rPr>
          <w:rFonts w:ascii="Verdana" w:hAnsi="Verdana" w:cs="Arial"/>
          <w:sz w:val="20"/>
          <w:szCs w:val="20"/>
          <w:shd w:val="clear" w:color="auto" w:fill="FFFFFF"/>
        </w:rPr>
        <w:t xml:space="preserve">) algunos actos de omisión de registro atribuibles al Estado. </w:t>
      </w:r>
      <w:r w:rsidR="00845BD7" w:rsidRPr="00B721BB">
        <w:rPr>
          <w:rFonts w:ascii="Verdana" w:hAnsi="Verdana" w:cs="Arial"/>
          <w:sz w:val="20"/>
          <w:szCs w:val="20"/>
          <w:shd w:val="clear" w:color="auto" w:fill="FFFFFF"/>
        </w:rPr>
        <w:t>Por ello</w:t>
      </w:r>
      <w:r w:rsidRPr="00B721BB">
        <w:rPr>
          <w:rFonts w:ascii="Verdana" w:hAnsi="Verdana" w:cs="Arial"/>
          <w:sz w:val="20"/>
          <w:szCs w:val="20"/>
          <w:shd w:val="clear" w:color="auto" w:fill="FFFFFF"/>
        </w:rPr>
        <w:t xml:space="preserve">, con base en las características de este caso, </w:t>
      </w:r>
      <w:r w:rsidR="00845BD7" w:rsidRPr="00B721BB">
        <w:rPr>
          <w:rFonts w:ascii="Verdana" w:hAnsi="Verdana" w:cs="Arial"/>
          <w:sz w:val="20"/>
          <w:szCs w:val="20"/>
          <w:shd w:val="clear" w:color="auto" w:fill="FFFFFF"/>
        </w:rPr>
        <w:t xml:space="preserve">concluyó que </w:t>
      </w:r>
      <w:r w:rsidRPr="00B721BB">
        <w:rPr>
          <w:rFonts w:ascii="Verdana" w:hAnsi="Verdana" w:cs="Arial"/>
          <w:sz w:val="20"/>
          <w:szCs w:val="20"/>
          <w:shd w:val="clear" w:color="auto" w:fill="FFFFFF"/>
        </w:rPr>
        <w:t>existían causas razonables que justificaban el hecho de que el listado de presuntas víctimas incluido en el Informe de Admisibilidad y Fondo de la Comisión pudiera tener “eventuales inconsistencias tanto en la identificación plena de las presuntas víctimas como en su representación”</w:t>
      </w:r>
      <w:r w:rsidR="009E55E1" w:rsidRPr="00B721BB">
        <w:rPr>
          <w:rStyle w:val="Refdenotaalpie"/>
          <w:rFonts w:ascii="Verdana" w:hAnsi="Verdana" w:cs="Arial"/>
          <w:sz w:val="20"/>
          <w:szCs w:val="20"/>
          <w:shd w:val="clear" w:color="auto" w:fill="FFFFFF"/>
        </w:rPr>
        <w:footnoteReference w:id="59"/>
      </w:r>
      <w:r w:rsidRPr="00B721BB">
        <w:rPr>
          <w:rFonts w:ascii="Verdana" w:hAnsi="Verdana" w:cs="Arial"/>
          <w:sz w:val="20"/>
          <w:szCs w:val="20"/>
          <w:shd w:val="clear" w:color="auto" w:fill="FFFFFF"/>
        </w:rPr>
        <w:t xml:space="preserve">. </w:t>
      </w:r>
    </w:p>
    <w:p w14:paraId="1C983E7A" w14:textId="2FAF1991" w:rsidR="000C467E" w:rsidRPr="00B721BB" w:rsidRDefault="000C467E" w:rsidP="000C467E">
      <w:pPr>
        <w:numPr>
          <w:ilvl w:val="0"/>
          <w:numId w:val="6"/>
        </w:numPr>
        <w:spacing w:before="120" w:after="120" w:line="240" w:lineRule="auto"/>
        <w:ind w:left="0" w:firstLine="0"/>
        <w:jc w:val="both"/>
        <w:rPr>
          <w:rFonts w:ascii="Verdana" w:hAnsi="Verdana"/>
          <w:sz w:val="20"/>
          <w:szCs w:val="20"/>
          <w:lang w:val="es-AR"/>
        </w:rPr>
      </w:pPr>
      <w:r w:rsidRPr="00B721BB">
        <w:rPr>
          <w:rFonts w:ascii="Verdana" w:hAnsi="Verdana" w:cs="Arial"/>
          <w:sz w:val="20"/>
          <w:szCs w:val="20"/>
          <w:shd w:val="clear" w:color="auto" w:fill="FFFFFF"/>
        </w:rPr>
        <w:t xml:space="preserve">La Corte estima que tanto la información presentada por el Estado en la etapa de supervisión de cumplimiento de la Sentencia </w:t>
      </w:r>
      <w:r w:rsidR="006B5E91" w:rsidRPr="00B721BB">
        <w:rPr>
          <w:rFonts w:ascii="Verdana" w:hAnsi="Verdana" w:cs="Arial"/>
          <w:sz w:val="20"/>
          <w:szCs w:val="20"/>
          <w:shd w:val="clear" w:color="auto" w:fill="FFFFFF"/>
        </w:rPr>
        <w:t>(</w:t>
      </w:r>
      <w:r w:rsidR="006B5E91" w:rsidRPr="00B721BB">
        <w:rPr>
          <w:rFonts w:ascii="Verdana" w:hAnsi="Verdana" w:cs="Arial"/>
          <w:i/>
          <w:sz w:val="20"/>
          <w:szCs w:val="20"/>
          <w:shd w:val="clear" w:color="auto" w:fill="FFFFFF"/>
        </w:rPr>
        <w:t xml:space="preserve">supra </w:t>
      </w:r>
      <w:r w:rsidR="006B5E91" w:rsidRPr="00B721BB">
        <w:rPr>
          <w:rFonts w:ascii="Verdana" w:hAnsi="Verdana" w:cs="Arial"/>
          <w:sz w:val="20"/>
          <w:szCs w:val="20"/>
          <w:shd w:val="clear" w:color="auto" w:fill="FFFFFF"/>
        </w:rPr>
        <w:t>Considerandos 22 a 25)</w:t>
      </w:r>
      <w:r w:rsidRPr="00B721BB">
        <w:rPr>
          <w:rFonts w:ascii="Verdana" w:hAnsi="Verdana" w:cs="Arial"/>
          <w:sz w:val="20"/>
          <w:szCs w:val="20"/>
          <w:shd w:val="clear" w:color="auto" w:fill="FFFFFF"/>
        </w:rPr>
        <w:t>, como las observaciones realizadas al respecto por los representantes de las víctimas</w:t>
      </w:r>
      <w:r w:rsidR="00FC6733" w:rsidRPr="00B721BB">
        <w:rPr>
          <w:rFonts w:ascii="Verdana" w:hAnsi="Verdana" w:cs="Arial"/>
          <w:sz w:val="20"/>
          <w:szCs w:val="20"/>
          <w:shd w:val="clear" w:color="auto" w:fill="FFFFFF"/>
        </w:rPr>
        <w:t xml:space="preserve"> (</w:t>
      </w:r>
      <w:r w:rsidR="00FC6733" w:rsidRPr="00B721BB">
        <w:rPr>
          <w:rFonts w:ascii="Verdana" w:hAnsi="Verdana" w:cs="Arial"/>
          <w:i/>
          <w:sz w:val="20"/>
          <w:szCs w:val="20"/>
          <w:shd w:val="clear" w:color="auto" w:fill="FFFFFF"/>
        </w:rPr>
        <w:t xml:space="preserve">supra </w:t>
      </w:r>
      <w:r w:rsidR="00FC6733" w:rsidRPr="00B721BB">
        <w:rPr>
          <w:rFonts w:ascii="Verdana" w:hAnsi="Verdana" w:cs="Arial"/>
          <w:sz w:val="20"/>
          <w:szCs w:val="20"/>
          <w:shd w:val="clear" w:color="auto" w:fill="FFFFFF"/>
        </w:rPr>
        <w:t>Considerando 26)</w:t>
      </w:r>
      <w:r w:rsidRPr="00B721BB">
        <w:rPr>
          <w:rFonts w:ascii="Verdana" w:hAnsi="Verdana" w:cs="Arial"/>
          <w:sz w:val="20"/>
          <w:szCs w:val="20"/>
          <w:shd w:val="clear" w:color="auto" w:fill="FFFFFF"/>
        </w:rPr>
        <w:t xml:space="preserve">, coinciden en cuanto a que, en efecto, </w:t>
      </w:r>
      <w:r w:rsidRPr="00B721BB">
        <w:rPr>
          <w:rFonts w:ascii="Verdana" w:hAnsi="Verdana"/>
          <w:sz w:val="20"/>
          <w:szCs w:val="20"/>
          <w:lang w:val="es-AR"/>
        </w:rPr>
        <w:t xml:space="preserve">José Francisco Furtado de Sousa era la persona que había huido de la hacienda en el año 2000 y presentado la denuncia a la policía, quien fuera identificado como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en el párrafo 206 del Fallo</w:t>
      </w:r>
      <w:r w:rsidRPr="00B721BB">
        <w:rPr>
          <w:rFonts w:ascii="Verdana" w:hAnsi="Verdana" w:cs="Arial"/>
          <w:sz w:val="20"/>
          <w:szCs w:val="20"/>
          <w:shd w:val="clear" w:color="auto" w:fill="FFFFFF"/>
        </w:rPr>
        <w:t xml:space="preserve">. </w:t>
      </w:r>
      <w:r w:rsidRPr="00B721BB">
        <w:rPr>
          <w:rFonts w:ascii="Verdana" w:hAnsi="Verdana"/>
          <w:sz w:val="20"/>
          <w:szCs w:val="20"/>
          <w:lang w:val="es-AR"/>
        </w:rPr>
        <w:t xml:space="preserve">En consecuencia, la Corte, en ejercicio de las facultades establecidas en el artículo 76 de su </w:t>
      </w:r>
      <w:r w:rsidRPr="00B721BB">
        <w:rPr>
          <w:rFonts w:ascii="Verdana" w:hAnsi="Verdana"/>
          <w:sz w:val="20"/>
          <w:szCs w:val="20"/>
          <w:lang w:val="es-AR"/>
        </w:rPr>
        <w:lastRenderedPageBreak/>
        <w:t>Reglamento, procederá a rectificar de oficio la Sentencia en lo que respecta al nombre de una de las víctimas. Se efectuarán las siguientes rectificaciones:</w:t>
      </w:r>
    </w:p>
    <w:p w14:paraId="17A1997A" w14:textId="1AEF3566" w:rsidR="000C467E" w:rsidRPr="00B721BB" w:rsidRDefault="000C467E" w:rsidP="006F74E8">
      <w:pPr>
        <w:spacing w:before="120" w:after="120" w:line="240" w:lineRule="auto"/>
        <w:ind w:left="1440" w:hanging="360"/>
        <w:jc w:val="both"/>
        <w:rPr>
          <w:rFonts w:ascii="Verdana" w:hAnsi="Verdana"/>
          <w:sz w:val="20"/>
          <w:szCs w:val="20"/>
          <w:lang w:val="es-AR"/>
        </w:rPr>
      </w:pPr>
      <w:r w:rsidRPr="00B721BB">
        <w:rPr>
          <w:rFonts w:ascii="Verdana" w:hAnsi="Verdana"/>
          <w:sz w:val="20"/>
          <w:szCs w:val="20"/>
          <w:lang w:val="es-AR"/>
        </w:rPr>
        <w:t>a.</w:t>
      </w:r>
      <w:r w:rsidRPr="00B721BB">
        <w:rPr>
          <w:rFonts w:ascii="Times New Roman" w:hAnsi="Times New Roman"/>
          <w:sz w:val="14"/>
          <w:szCs w:val="14"/>
          <w:lang w:val="es-AR"/>
        </w:rPr>
        <w:t xml:space="preserve">    </w:t>
      </w:r>
      <w:r w:rsidRPr="00B721BB">
        <w:rPr>
          <w:rFonts w:ascii="Verdana" w:hAnsi="Verdana"/>
          <w:sz w:val="20"/>
          <w:szCs w:val="20"/>
          <w:lang w:val="es-AR"/>
        </w:rPr>
        <w:t xml:space="preserve">En los párrafos 174, 206, 304, 305, 325, 327, </w:t>
      </w:r>
      <w:r w:rsidR="00AD690B" w:rsidRPr="00B721BB">
        <w:rPr>
          <w:rFonts w:ascii="Verdana" w:hAnsi="Verdana"/>
          <w:sz w:val="20"/>
          <w:szCs w:val="20"/>
          <w:lang w:val="es-AR"/>
        </w:rPr>
        <w:t xml:space="preserve">342, </w:t>
      </w:r>
      <w:r w:rsidRPr="00B721BB">
        <w:rPr>
          <w:rFonts w:ascii="Verdana" w:hAnsi="Verdana"/>
          <w:sz w:val="20"/>
          <w:szCs w:val="20"/>
          <w:lang w:val="es-AR"/>
        </w:rPr>
        <w:t>387 y 439 de la Sentencia, se cambia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por “José Francisco Furtado de Sousa”;</w:t>
      </w:r>
    </w:p>
    <w:p w14:paraId="2D8997EA" w14:textId="77777777" w:rsidR="000C467E" w:rsidRPr="00B721BB" w:rsidRDefault="000C467E" w:rsidP="006F74E8">
      <w:pPr>
        <w:spacing w:before="120" w:after="120" w:line="240" w:lineRule="auto"/>
        <w:ind w:left="1440" w:hanging="360"/>
        <w:jc w:val="both"/>
        <w:rPr>
          <w:rFonts w:ascii="Verdana" w:hAnsi="Verdana"/>
          <w:sz w:val="20"/>
          <w:szCs w:val="20"/>
          <w:lang w:val="es-AR"/>
        </w:rPr>
      </w:pPr>
      <w:r w:rsidRPr="00B721BB">
        <w:rPr>
          <w:rFonts w:ascii="Verdana" w:hAnsi="Verdana"/>
          <w:sz w:val="20"/>
          <w:szCs w:val="20"/>
          <w:lang w:val="es-AR"/>
        </w:rPr>
        <w:t>b.</w:t>
      </w:r>
      <w:r w:rsidRPr="00B721BB">
        <w:rPr>
          <w:rFonts w:ascii="Times New Roman" w:hAnsi="Times New Roman"/>
          <w:sz w:val="14"/>
          <w:szCs w:val="14"/>
          <w:lang w:val="es-AR"/>
        </w:rPr>
        <w:t xml:space="preserve">    </w:t>
      </w:r>
      <w:r w:rsidRPr="00B721BB">
        <w:rPr>
          <w:rFonts w:ascii="Verdana" w:hAnsi="Verdana"/>
          <w:sz w:val="20"/>
          <w:szCs w:val="20"/>
          <w:lang w:val="es-AR"/>
        </w:rPr>
        <w:t>En las notas al pie de página números 175, 177, 179, 180, 182, 183, 186 y 187 de la Sentencia, se cambia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por “José Francisco Furtado de Sousa”;</w:t>
      </w:r>
    </w:p>
    <w:p w14:paraId="1295C780" w14:textId="77777777" w:rsidR="000C467E" w:rsidRPr="00B721BB" w:rsidRDefault="000C467E" w:rsidP="006F74E8">
      <w:pPr>
        <w:spacing w:before="120" w:after="120" w:line="240" w:lineRule="auto"/>
        <w:ind w:left="1440" w:hanging="360"/>
        <w:jc w:val="both"/>
        <w:rPr>
          <w:rFonts w:ascii="Verdana" w:hAnsi="Verdana"/>
          <w:sz w:val="20"/>
          <w:szCs w:val="20"/>
          <w:lang w:val="es-AR"/>
        </w:rPr>
      </w:pPr>
      <w:r w:rsidRPr="00B721BB">
        <w:rPr>
          <w:rFonts w:ascii="Verdana" w:hAnsi="Verdana"/>
          <w:sz w:val="20"/>
          <w:szCs w:val="20"/>
          <w:lang w:val="es-AR"/>
        </w:rPr>
        <w:t>c.</w:t>
      </w:r>
      <w:r w:rsidRPr="00B721BB">
        <w:rPr>
          <w:rFonts w:ascii="Times New Roman" w:hAnsi="Times New Roman"/>
          <w:sz w:val="14"/>
          <w:szCs w:val="14"/>
          <w:lang w:val="es-AR"/>
        </w:rPr>
        <w:t xml:space="preserve">    </w:t>
      </w:r>
      <w:r w:rsidRPr="00B721BB">
        <w:rPr>
          <w:rFonts w:ascii="Verdana" w:hAnsi="Verdana"/>
          <w:sz w:val="20"/>
          <w:szCs w:val="20"/>
          <w:lang w:val="es-AR"/>
        </w:rPr>
        <w:t>En el párrafo 204 de la Sentencia se cambia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por “José Francisco Furtado de Sousa, quien en el listado de la Comisión fuera identificado como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w:t>
      </w:r>
    </w:p>
    <w:p w14:paraId="171324A9" w14:textId="77777777" w:rsidR="000C467E" w:rsidRPr="00B721BB" w:rsidRDefault="000C467E" w:rsidP="006F74E8">
      <w:pPr>
        <w:spacing w:before="120" w:after="120" w:line="240" w:lineRule="auto"/>
        <w:ind w:left="1440" w:hanging="360"/>
        <w:jc w:val="both"/>
        <w:rPr>
          <w:rFonts w:ascii="Verdana" w:hAnsi="Verdana"/>
          <w:sz w:val="20"/>
          <w:szCs w:val="20"/>
          <w:lang w:val="es-AR"/>
        </w:rPr>
      </w:pPr>
      <w:r w:rsidRPr="00B721BB">
        <w:rPr>
          <w:rFonts w:ascii="Verdana" w:hAnsi="Verdana"/>
          <w:sz w:val="20"/>
          <w:szCs w:val="20"/>
          <w:lang w:val="es-AR"/>
        </w:rPr>
        <w:t>d.</w:t>
      </w:r>
      <w:r w:rsidRPr="00B721BB">
        <w:rPr>
          <w:rFonts w:ascii="Times New Roman" w:hAnsi="Times New Roman"/>
          <w:sz w:val="14"/>
          <w:szCs w:val="14"/>
          <w:lang w:val="es-AR"/>
        </w:rPr>
        <w:t xml:space="preserve">    </w:t>
      </w:r>
      <w:r w:rsidRPr="00B721BB">
        <w:rPr>
          <w:rFonts w:ascii="Verdana" w:hAnsi="Verdana"/>
          <w:sz w:val="20"/>
          <w:szCs w:val="20"/>
          <w:lang w:val="es-AR"/>
        </w:rPr>
        <w:t>En la página 7 del Resumen oficial de la Sentencia, se cambia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por “José Francisco Furtado de Sousa”, y</w:t>
      </w:r>
    </w:p>
    <w:p w14:paraId="547232D9" w14:textId="77777777" w:rsidR="000C467E" w:rsidRPr="00B721BB" w:rsidRDefault="000C467E" w:rsidP="006F74E8">
      <w:pPr>
        <w:spacing w:before="120" w:after="120" w:line="240" w:lineRule="auto"/>
        <w:ind w:left="1440" w:hanging="360"/>
        <w:jc w:val="both"/>
        <w:rPr>
          <w:rFonts w:ascii="Verdana" w:hAnsi="Verdana"/>
          <w:sz w:val="20"/>
          <w:szCs w:val="20"/>
          <w:shd w:val="clear" w:color="auto" w:fill="FFFFFF"/>
          <w:lang w:val="es-AR"/>
        </w:rPr>
      </w:pPr>
      <w:r w:rsidRPr="00B721BB">
        <w:rPr>
          <w:rFonts w:ascii="Verdana" w:hAnsi="Verdana"/>
          <w:sz w:val="20"/>
          <w:szCs w:val="20"/>
          <w:lang w:val="es-AR"/>
        </w:rPr>
        <w:t>e.</w:t>
      </w:r>
      <w:r w:rsidRPr="00B721BB">
        <w:rPr>
          <w:rFonts w:ascii="Times New Roman" w:hAnsi="Times New Roman"/>
          <w:sz w:val="14"/>
          <w:szCs w:val="14"/>
          <w:lang w:val="es-AR"/>
        </w:rPr>
        <w:t xml:space="preserve">    </w:t>
      </w:r>
      <w:r w:rsidRPr="00B721BB">
        <w:rPr>
          <w:rFonts w:ascii="Verdana" w:hAnsi="Verdana"/>
          <w:sz w:val="20"/>
          <w:szCs w:val="20"/>
          <w:lang w:val="es-AR"/>
        </w:rPr>
        <w:t>En la nota al pie de página número 114 del Voto razonado del Juez Eduardo Ferrer Mac-</w:t>
      </w:r>
      <w:proofErr w:type="spellStart"/>
      <w:r w:rsidRPr="00B721BB">
        <w:rPr>
          <w:rFonts w:ascii="Verdana" w:hAnsi="Verdana"/>
          <w:sz w:val="20"/>
          <w:szCs w:val="20"/>
          <w:lang w:val="es-AR"/>
        </w:rPr>
        <w:t>Gregor</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Poisot</w:t>
      </w:r>
      <w:proofErr w:type="spellEnd"/>
      <w:r w:rsidRPr="00B721BB">
        <w:rPr>
          <w:rFonts w:ascii="Verdana" w:hAnsi="Verdana"/>
          <w:sz w:val="20"/>
          <w:szCs w:val="20"/>
          <w:lang w:val="es-AR"/>
        </w:rPr>
        <w:t>, se cambia “</w:t>
      </w:r>
      <w:proofErr w:type="spellStart"/>
      <w:r w:rsidRPr="00B721BB">
        <w:rPr>
          <w:rFonts w:ascii="Verdana" w:hAnsi="Verdana"/>
          <w:sz w:val="20"/>
          <w:szCs w:val="20"/>
          <w:lang w:val="es-AR"/>
        </w:rPr>
        <w:t>Gonçalo</w:t>
      </w:r>
      <w:proofErr w:type="spellEnd"/>
      <w:r w:rsidRPr="00B721BB">
        <w:rPr>
          <w:rFonts w:ascii="Verdana" w:hAnsi="Verdana"/>
          <w:sz w:val="20"/>
          <w:szCs w:val="20"/>
          <w:lang w:val="es-AR"/>
        </w:rPr>
        <w:t xml:space="preserve"> </w:t>
      </w:r>
      <w:proofErr w:type="spellStart"/>
      <w:r w:rsidRPr="00B721BB">
        <w:rPr>
          <w:rFonts w:ascii="Verdana" w:hAnsi="Verdana"/>
          <w:sz w:val="20"/>
          <w:szCs w:val="20"/>
          <w:lang w:val="es-AR"/>
        </w:rPr>
        <w:t>Luiz</w:t>
      </w:r>
      <w:proofErr w:type="spellEnd"/>
      <w:r w:rsidRPr="00B721BB">
        <w:rPr>
          <w:rFonts w:ascii="Verdana" w:hAnsi="Verdana"/>
          <w:sz w:val="20"/>
          <w:szCs w:val="20"/>
          <w:lang w:val="es-AR"/>
        </w:rPr>
        <w:t xml:space="preserve"> Furtado” por “José Francisco Furtado de Sousa”. </w:t>
      </w:r>
    </w:p>
    <w:p w14:paraId="3C15854D" w14:textId="6B6505D5" w:rsidR="000C467E" w:rsidRPr="00B721BB" w:rsidRDefault="000C467E" w:rsidP="006F74E8">
      <w:pPr>
        <w:numPr>
          <w:ilvl w:val="0"/>
          <w:numId w:val="6"/>
        </w:numPr>
        <w:spacing w:before="120" w:after="120" w:line="240" w:lineRule="auto"/>
        <w:ind w:left="0" w:firstLine="0"/>
        <w:jc w:val="both"/>
        <w:rPr>
          <w:rFonts w:ascii="Verdana" w:hAnsi="Verdana"/>
          <w:sz w:val="20"/>
          <w:szCs w:val="20"/>
          <w:shd w:val="clear" w:color="auto" w:fill="FFFFFF"/>
          <w:lang w:val="es-AR"/>
        </w:rPr>
      </w:pPr>
      <w:r w:rsidRPr="00B721BB">
        <w:rPr>
          <w:rFonts w:ascii="Verdana" w:hAnsi="Verdana"/>
          <w:sz w:val="20"/>
          <w:szCs w:val="20"/>
          <w:shd w:val="clear" w:color="auto" w:fill="FFFFFF"/>
          <w:lang w:val="es-AR"/>
        </w:rPr>
        <w:t xml:space="preserve">Corresponde al Estado adoptar las medidas necesarias a nivel interno para que la indemnización ordenada en el punto resolutivo décimo segundo de la Sentencia sea pagada al señor </w:t>
      </w:r>
      <w:r w:rsidRPr="00B721BB">
        <w:rPr>
          <w:rFonts w:ascii="Verdana" w:hAnsi="Verdana" w:cs="Arial"/>
          <w:sz w:val="20"/>
          <w:szCs w:val="20"/>
          <w:shd w:val="clear" w:color="auto" w:fill="FFFFFF"/>
        </w:rPr>
        <w:t>José</w:t>
      </w:r>
      <w:r w:rsidRPr="00B721BB">
        <w:rPr>
          <w:rFonts w:ascii="Verdana" w:hAnsi="Verdana"/>
          <w:sz w:val="20"/>
          <w:szCs w:val="20"/>
          <w:lang w:val="es-AR"/>
        </w:rPr>
        <w:t xml:space="preserve"> Francisco Furtado de Sousa, así como también para que la Sentencia que actualmente se encuentre publicada en las páginas web referidas (</w:t>
      </w:r>
      <w:r w:rsidRPr="00B721BB">
        <w:rPr>
          <w:rFonts w:ascii="Verdana" w:hAnsi="Verdana"/>
          <w:i/>
          <w:sz w:val="20"/>
          <w:szCs w:val="20"/>
          <w:lang w:val="es-AR"/>
        </w:rPr>
        <w:t>supra</w:t>
      </w:r>
      <w:r w:rsidRPr="00B721BB">
        <w:rPr>
          <w:rFonts w:ascii="Verdana" w:hAnsi="Verdana"/>
          <w:sz w:val="20"/>
          <w:szCs w:val="20"/>
          <w:lang w:val="es-AR"/>
        </w:rPr>
        <w:t xml:space="preserve"> Considerando 5) sea cambiada por la versión que contenga las referidas rectificaciones, que la Secretaría de la Corte transmitirá a las partes al notificar la presente Resolución.</w:t>
      </w:r>
    </w:p>
    <w:p w14:paraId="64F33B66" w14:textId="77777777" w:rsidR="000C467E" w:rsidRPr="00B721BB" w:rsidRDefault="000C467E" w:rsidP="00DD5E82">
      <w:pPr>
        <w:spacing w:after="0" w:line="240" w:lineRule="auto"/>
        <w:jc w:val="both"/>
        <w:rPr>
          <w:rFonts w:ascii="Verdana" w:eastAsia="Times New Roman" w:hAnsi="Verdana"/>
          <w:sz w:val="20"/>
          <w:szCs w:val="20"/>
          <w:lang w:eastAsia="es-ES_tradnl"/>
        </w:rPr>
      </w:pPr>
    </w:p>
    <w:p w14:paraId="3C79326B" w14:textId="77777777" w:rsidR="00A17474" w:rsidRPr="00B721BB" w:rsidRDefault="00A17474" w:rsidP="00DD5E82">
      <w:pPr>
        <w:spacing w:after="0" w:line="240" w:lineRule="auto"/>
        <w:jc w:val="both"/>
        <w:rPr>
          <w:rFonts w:ascii="Verdana" w:eastAsia="Times New Roman" w:hAnsi="Verdana"/>
          <w:b/>
          <w:sz w:val="20"/>
          <w:szCs w:val="20"/>
          <w:lang w:eastAsia="es-ES_tradnl"/>
        </w:rPr>
      </w:pPr>
      <w:r w:rsidRPr="00B721BB">
        <w:rPr>
          <w:rFonts w:ascii="Verdana" w:eastAsia="Times New Roman" w:hAnsi="Verdana"/>
          <w:b/>
          <w:sz w:val="20"/>
          <w:szCs w:val="20"/>
          <w:lang w:eastAsia="es-ES_tradnl"/>
        </w:rPr>
        <w:t>POR TANTO:</w:t>
      </w:r>
    </w:p>
    <w:p w14:paraId="3C11AB90" w14:textId="77777777" w:rsidR="00C06A81" w:rsidRPr="00B721BB" w:rsidRDefault="00C06A81" w:rsidP="00DD5E82">
      <w:pPr>
        <w:spacing w:after="0" w:line="240" w:lineRule="auto"/>
        <w:jc w:val="both"/>
        <w:rPr>
          <w:rFonts w:ascii="Verdana" w:eastAsia="Times New Roman" w:hAnsi="Verdana"/>
          <w:b/>
          <w:sz w:val="20"/>
          <w:szCs w:val="20"/>
          <w:lang w:eastAsia="es-ES_tradnl"/>
        </w:rPr>
      </w:pPr>
    </w:p>
    <w:p w14:paraId="109000E0" w14:textId="77777777" w:rsidR="00A17474" w:rsidRPr="00B721BB" w:rsidRDefault="00A17474" w:rsidP="00DD5E82">
      <w:pPr>
        <w:spacing w:after="0" w:line="240" w:lineRule="auto"/>
        <w:jc w:val="both"/>
        <w:rPr>
          <w:rFonts w:ascii="Verdana" w:eastAsia="Times New Roman" w:hAnsi="Verdana"/>
          <w:b/>
          <w:sz w:val="20"/>
          <w:szCs w:val="20"/>
          <w:lang w:eastAsia="es-ES_tradnl"/>
        </w:rPr>
      </w:pPr>
      <w:r w:rsidRPr="00B721BB">
        <w:rPr>
          <w:rFonts w:ascii="Verdana" w:eastAsia="Times New Roman" w:hAnsi="Verdana"/>
          <w:b/>
          <w:sz w:val="20"/>
          <w:szCs w:val="20"/>
          <w:lang w:eastAsia="es-ES_tradnl"/>
        </w:rPr>
        <w:t>LA CORTE INTERAMERICANA DE DERECHOS HUMANOS,</w:t>
      </w:r>
    </w:p>
    <w:p w14:paraId="5D3508A1" w14:textId="77777777" w:rsidR="00C06A81" w:rsidRPr="00B721BB" w:rsidRDefault="00C06A81" w:rsidP="00DD5E82">
      <w:pPr>
        <w:spacing w:after="0" w:line="240" w:lineRule="auto"/>
        <w:jc w:val="both"/>
        <w:rPr>
          <w:rFonts w:ascii="Verdana" w:eastAsia="Times New Roman" w:hAnsi="Verdana"/>
          <w:sz w:val="20"/>
          <w:szCs w:val="20"/>
          <w:lang w:eastAsia="es-ES_tradnl"/>
        </w:rPr>
      </w:pPr>
    </w:p>
    <w:p w14:paraId="7F7E4838" w14:textId="012C8FA8" w:rsidR="00A17474" w:rsidRPr="00B721BB" w:rsidRDefault="00A17474" w:rsidP="00DD5E82">
      <w:pPr>
        <w:spacing w:after="0" w:line="240" w:lineRule="auto"/>
        <w:jc w:val="both"/>
        <w:rPr>
          <w:rFonts w:ascii="Verdana" w:eastAsia="Times New Roman" w:hAnsi="Verdana"/>
          <w:sz w:val="20"/>
          <w:szCs w:val="20"/>
          <w:lang w:eastAsia="es-ES_tradnl"/>
        </w:rPr>
      </w:pPr>
      <w:r w:rsidRPr="00B721BB">
        <w:rPr>
          <w:rFonts w:ascii="Verdana" w:eastAsia="Times New Roman" w:hAnsi="Verdana"/>
          <w:sz w:val="20"/>
          <w:szCs w:val="20"/>
          <w:lang w:eastAsia="es-ES_tradnl"/>
        </w:rPr>
        <w:t xml:space="preserve">En el ejercicio de sus atribuciones de </w:t>
      </w:r>
      <w:proofErr w:type="spellStart"/>
      <w:r w:rsidRPr="00B721BB">
        <w:rPr>
          <w:rFonts w:ascii="Verdana" w:eastAsia="Times New Roman" w:hAnsi="Verdana"/>
          <w:sz w:val="20"/>
          <w:szCs w:val="20"/>
          <w:lang w:eastAsia="es-ES_tradnl"/>
        </w:rPr>
        <w:t>supervisión</w:t>
      </w:r>
      <w:proofErr w:type="spellEnd"/>
      <w:r w:rsidRPr="00B721BB">
        <w:rPr>
          <w:rFonts w:ascii="Verdana" w:eastAsia="Times New Roman" w:hAnsi="Verdana"/>
          <w:sz w:val="20"/>
          <w:szCs w:val="20"/>
          <w:lang w:eastAsia="es-ES_tradnl"/>
        </w:rPr>
        <w:t xml:space="preserve"> del cumplimiento de sus decisiones, de conformidad con los </w:t>
      </w:r>
      <w:proofErr w:type="spellStart"/>
      <w:r w:rsidRPr="00B721BB">
        <w:rPr>
          <w:rFonts w:ascii="Verdana" w:eastAsia="Times New Roman" w:hAnsi="Verdana"/>
          <w:sz w:val="20"/>
          <w:szCs w:val="20"/>
          <w:lang w:eastAsia="es-ES_tradnl"/>
        </w:rPr>
        <w:t>artículos</w:t>
      </w:r>
      <w:proofErr w:type="spellEnd"/>
      <w:r w:rsidRPr="00B721BB">
        <w:rPr>
          <w:rFonts w:ascii="Verdana" w:eastAsia="Times New Roman" w:hAnsi="Verdana"/>
          <w:sz w:val="20"/>
          <w:szCs w:val="20"/>
          <w:lang w:eastAsia="es-ES_tradnl"/>
        </w:rPr>
        <w:t xml:space="preserve"> 33, 62.1, 62.3, 65, 67 y 68.1 de la </w:t>
      </w:r>
      <w:proofErr w:type="spellStart"/>
      <w:r w:rsidRPr="00B721BB">
        <w:rPr>
          <w:rFonts w:ascii="Verdana" w:eastAsia="Times New Roman" w:hAnsi="Verdana"/>
          <w:sz w:val="20"/>
          <w:szCs w:val="20"/>
          <w:lang w:eastAsia="es-ES_tradnl"/>
        </w:rPr>
        <w:t>Convención</w:t>
      </w:r>
      <w:proofErr w:type="spellEnd"/>
      <w:r w:rsidRPr="00B721BB">
        <w:rPr>
          <w:rFonts w:ascii="Verdana" w:eastAsia="Times New Roman" w:hAnsi="Verdana"/>
          <w:sz w:val="20"/>
          <w:szCs w:val="20"/>
          <w:lang w:eastAsia="es-ES_tradnl"/>
        </w:rPr>
        <w:t xml:space="preserve"> </w:t>
      </w:r>
      <w:proofErr w:type="gramStart"/>
      <w:r w:rsidRPr="00B721BB">
        <w:rPr>
          <w:rFonts w:ascii="Verdana" w:eastAsia="Times New Roman" w:hAnsi="Verdana"/>
          <w:sz w:val="20"/>
          <w:szCs w:val="20"/>
          <w:lang w:eastAsia="es-ES_tradnl"/>
        </w:rPr>
        <w:t>Americana</w:t>
      </w:r>
      <w:proofErr w:type="gramEnd"/>
      <w:r w:rsidRPr="00B721BB">
        <w:rPr>
          <w:rFonts w:ascii="Verdana" w:eastAsia="Times New Roman" w:hAnsi="Verdana"/>
          <w:sz w:val="20"/>
          <w:szCs w:val="20"/>
          <w:lang w:eastAsia="es-ES_tradnl"/>
        </w:rPr>
        <w:t xml:space="preserve"> sobre Derechos Humanos, 24</w:t>
      </w:r>
      <w:r w:rsidR="000A31B0" w:rsidRPr="00B721BB">
        <w:rPr>
          <w:rFonts w:ascii="Verdana" w:eastAsia="Times New Roman" w:hAnsi="Verdana"/>
          <w:sz w:val="20"/>
          <w:szCs w:val="20"/>
          <w:lang w:eastAsia="es-ES_tradnl"/>
        </w:rPr>
        <w:t>, 25 y 30 del Estatuto, y 31.2,</w:t>
      </w:r>
      <w:r w:rsidRPr="00B721BB">
        <w:rPr>
          <w:rFonts w:ascii="Verdana" w:eastAsia="Times New Roman" w:hAnsi="Verdana"/>
          <w:sz w:val="20"/>
          <w:szCs w:val="20"/>
          <w:lang w:eastAsia="es-ES_tradnl"/>
        </w:rPr>
        <w:t xml:space="preserve"> 69 </w:t>
      </w:r>
      <w:r w:rsidR="000A31B0" w:rsidRPr="00B721BB">
        <w:rPr>
          <w:rFonts w:ascii="Verdana" w:eastAsia="Times New Roman" w:hAnsi="Verdana"/>
          <w:sz w:val="20"/>
          <w:szCs w:val="20"/>
          <w:lang w:eastAsia="es-ES_tradnl"/>
        </w:rPr>
        <w:t xml:space="preserve">y 76 </w:t>
      </w:r>
      <w:r w:rsidRPr="00B721BB">
        <w:rPr>
          <w:rFonts w:ascii="Verdana" w:eastAsia="Times New Roman" w:hAnsi="Verdana"/>
          <w:sz w:val="20"/>
          <w:szCs w:val="20"/>
          <w:lang w:eastAsia="es-ES_tradnl"/>
        </w:rPr>
        <w:t>de su Reglamento,</w:t>
      </w:r>
    </w:p>
    <w:p w14:paraId="5698E6BF" w14:textId="77777777" w:rsidR="00C06A81" w:rsidRPr="00B721BB" w:rsidRDefault="00C06A81" w:rsidP="00DD5E82">
      <w:pPr>
        <w:spacing w:after="0" w:line="240" w:lineRule="auto"/>
        <w:jc w:val="both"/>
        <w:rPr>
          <w:rFonts w:ascii="Verdana" w:eastAsia="Times New Roman" w:hAnsi="Verdana"/>
          <w:b/>
          <w:sz w:val="20"/>
          <w:szCs w:val="20"/>
          <w:lang w:eastAsia="es-ES_tradnl"/>
        </w:rPr>
      </w:pPr>
    </w:p>
    <w:p w14:paraId="2AA58B0D" w14:textId="77777777" w:rsidR="00A17474" w:rsidRPr="00B721BB" w:rsidRDefault="00A17474" w:rsidP="00DD5E82">
      <w:pPr>
        <w:spacing w:after="0" w:line="240" w:lineRule="auto"/>
        <w:jc w:val="both"/>
        <w:rPr>
          <w:rFonts w:ascii="Verdana" w:eastAsia="Times New Roman" w:hAnsi="Verdana"/>
          <w:b/>
          <w:sz w:val="20"/>
          <w:szCs w:val="20"/>
          <w:lang w:eastAsia="es-ES_tradnl"/>
        </w:rPr>
      </w:pPr>
      <w:r w:rsidRPr="00B721BB">
        <w:rPr>
          <w:rFonts w:ascii="Verdana" w:eastAsia="Times New Roman" w:hAnsi="Verdana"/>
          <w:b/>
          <w:sz w:val="20"/>
          <w:szCs w:val="20"/>
          <w:lang w:eastAsia="es-ES_tradnl"/>
        </w:rPr>
        <w:t>RESUELVE:</w:t>
      </w:r>
    </w:p>
    <w:p w14:paraId="5BC4F153" w14:textId="77777777" w:rsidR="00C06A81" w:rsidRPr="00B721BB" w:rsidRDefault="00C06A81" w:rsidP="00DD5E82">
      <w:pPr>
        <w:spacing w:before="120" w:after="120" w:line="240" w:lineRule="auto"/>
        <w:jc w:val="both"/>
        <w:rPr>
          <w:rFonts w:ascii="Verdana" w:hAnsi="Verdana" w:cs="Arial"/>
          <w:sz w:val="20"/>
          <w:szCs w:val="20"/>
          <w:shd w:val="clear" w:color="auto" w:fill="FFFFFF"/>
        </w:rPr>
      </w:pPr>
    </w:p>
    <w:p w14:paraId="2BD42B32" w14:textId="3F8CD587" w:rsidR="007F6116" w:rsidRPr="00B721BB" w:rsidRDefault="008F6CCD"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De conformidad con el artículo 76 de su Reglamento, r</w:t>
      </w:r>
      <w:r w:rsidR="007F6116" w:rsidRPr="00B721BB">
        <w:rPr>
          <w:rFonts w:ascii="Verdana" w:hAnsi="Verdana" w:cs="Arial"/>
          <w:sz w:val="20"/>
          <w:szCs w:val="20"/>
          <w:shd w:val="clear" w:color="auto" w:fill="FFFFFF"/>
        </w:rPr>
        <w:t xml:space="preserve">ectificar </w:t>
      </w:r>
      <w:r w:rsidRPr="00B721BB">
        <w:rPr>
          <w:rFonts w:ascii="Verdana" w:hAnsi="Verdana" w:cs="Arial"/>
          <w:sz w:val="20"/>
          <w:szCs w:val="20"/>
          <w:shd w:val="clear" w:color="auto" w:fill="FFFFFF"/>
        </w:rPr>
        <w:t xml:space="preserve">el nombre de una de las víctimas incluido en </w:t>
      </w:r>
      <w:r w:rsidR="007F6116" w:rsidRPr="00B721BB">
        <w:rPr>
          <w:rFonts w:ascii="Verdana" w:hAnsi="Verdana" w:cs="Arial"/>
          <w:sz w:val="20"/>
          <w:szCs w:val="20"/>
          <w:shd w:val="clear" w:color="auto" w:fill="FFFFFF"/>
        </w:rPr>
        <w:t>la Sentencia</w:t>
      </w:r>
      <w:r w:rsidRPr="00B721BB">
        <w:rPr>
          <w:rFonts w:ascii="Verdana" w:hAnsi="Verdana" w:cs="Arial"/>
          <w:sz w:val="20"/>
          <w:szCs w:val="20"/>
          <w:shd w:val="clear" w:color="auto" w:fill="FFFFFF"/>
        </w:rPr>
        <w:t xml:space="preserve">, </w:t>
      </w:r>
      <w:r w:rsidR="007F6116" w:rsidRPr="00B721BB">
        <w:rPr>
          <w:rFonts w:ascii="Verdana" w:hAnsi="Verdana" w:cs="Arial"/>
          <w:sz w:val="20"/>
          <w:szCs w:val="20"/>
          <w:shd w:val="clear" w:color="auto" w:fill="FFFFFF"/>
        </w:rPr>
        <w:t xml:space="preserve">de conformidad con lo señalado en el Considerando </w:t>
      </w:r>
      <w:r w:rsidR="00C06A81" w:rsidRPr="00B721BB">
        <w:rPr>
          <w:rFonts w:ascii="Verdana" w:hAnsi="Verdana" w:cs="Arial"/>
          <w:sz w:val="20"/>
          <w:szCs w:val="20"/>
          <w:shd w:val="clear" w:color="auto" w:fill="FFFFFF"/>
        </w:rPr>
        <w:t xml:space="preserve">31 </w:t>
      </w:r>
      <w:r w:rsidR="007F6116" w:rsidRPr="00B721BB">
        <w:rPr>
          <w:rFonts w:ascii="Verdana" w:hAnsi="Verdana" w:cs="Arial"/>
          <w:sz w:val="20"/>
          <w:szCs w:val="20"/>
          <w:shd w:val="clear" w:color="auto" w:fill="FFFFFF"/>
        </w:rPr>
        <w:t xml:space="preserve">de la presente Resolución. </w:t>
      </w:r>
    </w:p>
    <w:p w14:paraId="0589DCDB" w14:textId="471934B9" w:rsidR="00B32441" w:rsidRPr="00B721BB" w:rsidRDefault="00B32441"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Declarar, de conformidad con lo señalado en </w:t>
      </w:r>
      <w:r w:rsidR="008F6CCD" w:rsidRPr="00B721BB">
        <w:rPr>
          <w:rFonts w:ascii="Verdana" w:hAnsi="Verdana" w:cs="Arial"/>
          <w:sz w:val="20"/>
          <w:szCs w:val="20"/>
          <w:shd w:val="clear" w:color="auto" w:fill="FFFFFF"/>
        </w:rPr>
        <w:t xml:space="preserve">los Considerandos </w:t>
      </w:r>
      <w:r w:rsidR="00AD690B" w:rsidRPr="00B721BB">
        <w:rPr>
          <w:rFonts w:ascii="Verdana" w:hAnsi="Verdana" w:cs="Arial"/>
          <w:sz w:val="20"/>
          <w:szCs w:val="20"/>
          <w:shd w:val="clear" w:color="auto" w:fill="FFFFFF"/>
        </w:rPr>
        <w:t>6 y 9</w:t>
      </w:r>
      <w:r w:rsidR="008F6CCD" w:rsidRPr="00B721BB">
        <w:rPr>
          <w:rFonts w:ascii="Verdana" w:hAnsi="Verdana" w:cs="Arial"/>
          <w:sz w:val="20"/>
          <w:szCs w:val="20"/>
          <w:shd w:val="clear" w:color="auto" w:fill="FFFFFF"/>
        </w:rPr>
        <w:t xml:space="preserve"> </w:t>
      </w:r>
      <w:r w:rsidRPr="00B721BB">
        <w:rPr>
          <w:rFonts w:ascii="Verdana" w:hAnsi="Verdana" w:cs="Arial"/>
          <w:sz w:val="20"/>
          <w:szCs w:val="20"/>
          <w:shd w:val="clear" w:color="auto" w:fill="FFFFFF"/>
        </w:rPr>
        <w:t>de la presente Resolución, que el Estado ha dado cumplimiento total a las siguientes medidas de reparación:</w:t>
      </w:r>
    </w:p>
    <w:p w14:paraId="14EA802C" w14:textId="64084FCF" w:rsidR="00950BC3" w:rsidRPr="00B721BB" w:rsidRDefault="00B633F6" w:rsidP="00950BC3">
      <w:pPr>
        <w:numPr>
          <w:ilvl w:val="0"/>
          <w:numId w:val="10"/>
        </w:numPr>
        <w:spacing w:before="120" w:after="120" w:line="240" w:lineRule="auto"/>
        <w:jc w:val="both"/>
        <w:rPr>
          <w:rFonts w:ascii="Verdana" w:hAnsi="Verdana" w:cs="Arial"/>
          <w:sz w:val="20"/>
          <w:szCs w:val="20"/>
          <w:shd w:val="clear" w:color="auto" w:fill="FFFFFF"/>
        </w:rPr>
      </w:pPr>
      <w:r w:rsidRPr="00B721BB">
        <w:rPr>
          <w:rFonts w:ascii="Verdana" w:hAnsi="Verdana" w:cs="Arial"/>
          <w:sz w:val="20"/>
          <w:szCs w:val="20"/>
          <w:shd w:val="clear" w:color="auto" w:fill="FFFFFF"/>
        </w:rPr>
        <w:t>publicación y difusión de la Sentencia</w:t>
      </w:r>
      <w:r w:rsidR="00C06A81" w:rsidRPr="00B721BB">
        <w:rPr>
          <w:rFonts w:ascii="Verdana" w:hAnsi="Verdana" w:cs="Arial"/>
          <w:sz w:val="20"/>
          <w:szCs w:val="20"/>
          <w:shd w:val="clear" w:color="auto" w:fill="FFFFFF"/>
        </w:rPr>
        <w:t xml:space="preserve"> y su resumen oficial</w:t>
      </w:r>
      <w:r w:rsidR="00950BC3" w:rsidRPr="00B721BB">
        <w:rPr>
          <w:rFonts w:ascii="Verdana" w:hAnsi="Verdana" w:cs="Arial"/>
          <w:sz w:val="20"/>
          <w:szCs w:val="20"/>
          <w:shd w:val="clear" w:color="auto" w:fill="FFFFFF"/>
        </w:rPr>
        <w:t xml:space="preserve"> (</w:t>
      </w:r>
      <w:r w:rsidR="00950BC3" w:rsidRPr="00B721BB">
        <w:rPr>
          <w:rFonts w:ascii="Verdana" w:hAnsi="Verdana" w:cs="Arial"/>
          <w:i/>
          <w:sz w:val="20"/>
          <w:szCs w:val="20"/>
          <w:shd w:val="clear" w:color="auto" w:fill="FFFFFF"/>
        </w:rPr>
        <w:t>punto resolutivo décimo de la Sentencia</w:t>
      </w:r>
      <w:r w:rsidR="00950BC3" w:rsidRPr="00B721BB">
        <w:rPr>
          <w:rFonts w:ascii="Verdana" w:hAnsi="Verdana" w:cs="Arial"/>
          <w:sz w:val="20"/>
          <w:szCs w:val="20"/>
          <w:shd w:val="clear" w:color="auto" w:fill="FFFFFF"/>
        </w:rPr>
        <w:t>), y</w:t>
      </w:r>
    </w:p>
    <w:p w14:paraId="0343DDD2" w14:textId="0F43CA6E" w:rsidR="00950BC3" w:rsidRPr="00B721BB" w:rsidRDefault="00950BC3" w:rsidP="00950BC3">
      <w:pPr>
        <w:numPr>
          <w:ilvl w:val="0"/>
          <w:numId w:val="10"/>
        </w:numPr>
        <w:spacing w:before="120" w:after="120" w:line="240" w:lineRule="auto"/>
        <w:jc w:val="both"/>
        <w:rPr>
          <w:rFonts w:ascii="Verdana" w:hAnsi="Verdana" w:cs="Arial"/>
          <w:sz w:val="20"/>
          <w:szCs w:val="20"/>
          <w:shd w:val="clear" w:color="auto" w:fill="FFFFFF"/>
        </w:rPr>
      </w:pPr>
      <w:r w:rsidRPr="00B721BB">
        <w:rPr>
          <w:rFonts w:ascii="Verdana" w:hAnsi="Verdana" w:cs="Arial"/>
          <w:sz w:val="20"/>
          <w:szCs w:val="20"/>
          <w:shd w:val="clear" w:color="auto" w:fill="FFFFFF"/>
        </w:rPr>
        <w:t>pagar a los representantes de las víctimas la</w:t>
      </w:r>
      <w:r w:rsidR="008F6CCD" w:rsidRPr="00B721BB">
        <w:rPr>
          <w:rFonts w:ascii="Verdana" w:hAnsi="Verdana" w:cs="Arial"/>
          <w:sz w:val="20"/>
          <w:szCs w:val="20"/>
          <w:shd w:val="clear" w:color="auto" w:fill="FFFFFF"/>
        </w:rPr>
        <w:t>s</w:t>
      </w:r>
      <w:r w:rsidRPr="00B721BB">
        <w:rPr>
          <w:rFonts w:ascii="Verdana" w:hAnsi="Verdana" w:cs="Arial"/>
          <w:sz w:val="20"/>
          <w:szCs w:val="20"/>
          <w:shd w:val="clear" w:color="auto" w:fill="FFFFFF"/>
        </w:rPr>
        <w:t xml:space="preserve"> cantidad</w:t>
      </w:r>
      <w:r w:rsidR="008F6CCD" w:rsidRPr="00B721BB">
        <w:rPr>
          <w:rFonts w:ascii="Verdana" w:hAnsi="Verdana" w:cs="Arial"/>
          <w:sz w:val="20"/>
          <w:szCs w:val="20"/>
          <w:shd w:val="clear" w:color="auto" w:fill="FFFFFF"/>
        </w:rPr>
        <w:t>es</w:t>
      </w:r>
      <w:r w:rsidRPr="00B721BB">
        <w:rPr>
          <w:rFonts w:ascii="Verdana" w:hAnsi="Verdana" w:cs="Arial"/>
          <w:sz w:val="20"/>
          <w:szCs w:val="20"/>
          <w:shd w:val="clear" w:color="auto" w:fill="FFFFFF"/>
        </w:rPr>
        <w:t xml:space="preserve"> fijada</w:t>
      </w:r>
      <w:r w:rsidR="008F6CCD" w:rsidRPr="00B721BB">
        <w:rPr>
          <w:rFonts w:ascii="Verdana" w:hAnsi="Verdana" w:cs="Arial"/>
          <w:sz w:val="20"/>
          <w:szCs w:val="20"/>
          <w:shd w:val="clear" w:color="auto" w:fill="FFFFFF"/>
        </w:rPr>
        <w:t>s</w:t>
      </w:r>
      <w:r w:rsidRPr="00B721BB">
        <w:rPr>
          <w:rFonts w:ascii="Verdana" w:hAnsi="Verdana" w:cs="Arial"/>
          <w:sz w:val="20"/>
          <w:szCs w:val="20"/>
          <w:shd w:val="clear" w:color="auto" w:fill="FFFFFF"/>
        </w:rPr>
        <w:t xml:space="preserve"> en la Sentencia por concepto de reintegro de cost</w:t>
      </w:r>
      <w:r w:rsidR="00F45816" w:rsidRPr="00B721BB">
        <w:rPr>
          <w:rFonts w:ascii="Verdana" w:hAnsi="Verdana" w:cs="Arial"/>
          <w:sz w:val="20"/>
          <w:szCs w:val="20"/>
          <w:shd w:val="clear" w:color="auto" w:fill="FFFFFF"/>
        </w:rPr>
        <w:t>as y gastos (</w:t>
      </w:r>
      <w:r w:rsidR="00F45816" w:rsidRPr="00B721BB">
        <w:rPr>
          <w:rFonts w:ascii="Verdana" w:hAnsi="Verdana" w:cs="Arial"/>
          <w:i/>
          <w:sz w:val="20"/>
          <w:szCs w:val="20"/>
          <w:shd w:val="clear" w:color="auto" w:fill="FFFFFF"/>
        </w:rPr>
        <w:t>punto resolutivo d</w:t>
      </w:r>
      <w:r w:rsidR="00B633F6" w:rsidRPr="00B721BB">
        <w:rPr>
          <w:rFonts w:ascii="Verdana" w:hAnsi="Verdana" w:cs="Arial"/>
          <w:i/>
          <w:sz w:val="20"/>
          <w:szCs w:val="20"/>
          <w:shd w:val="clear" w:color="auto" w:fill="FFFFFF"/>
        </w:rPr>
        <w:t>é</w:t>
      </w:r>
      <w:r w:rsidR="00F45816" w:rsidRPr="00B721BB">
        <w:rPr>
          <w:rFonts w:ascii="Verdana" w:hAnsi="Verdana" w:cs="Arial"/>
          <w:i/>
          <w:sz w:val="20"/>
          <w:szCs w:val="20"/>
          <w:shd w:val="clear" w:color="auto" w:fill="FFFFFF"/>
        </w:rPr>
        <w:t>cimo</w:t>
      </w:r>
      <w:r w:rsidR="00B633F6" w:rsidRPr="00B721BB">
        <w:rPr>
          <w:rFonts w:ascii="Verdana" w:hAnsi="Verdana" w:cs="Arial"/>
          <w:i/>
          <w:sz w:val="20"/>
          <w:szCs w:val="20"/>
          <w:shd w:val="clear" w:color="auto" w:fill="FFFFFF"/>
        </w:rPr>
        <w:t xml:space="preserve"> </w:t>
      </w:r>
      <w:r w:rsidRPr="00B721BB">
        <w:rPr>
          <w:rFonts w:ascii="Verdana" w:hAnsi="Verdana" w:cs="Arial"/>
          <w:i/>
          <w:sz w:val="20"/>
          <w:szCs w:val="20"/>
          <w:shd w:val="clear" w:color="auto" w:fill="FFFFFF"/>
        </w:rPr>
        <w:t>segundo de la Sentencia</w:t>
      </w:r>
      <w:r w:rsidRPr="00B721BB">
        <w:rPr>
          <w:rFonts w:ascii="Verdana" w:hAnsi="Verdana" w:cs="Arial"/>
          <w:sz w:val="20"/>
          <w:szCs w:val="20"/>
          <w:shd w:val="clear" w:color="auto" w:fill="FFFFFF"/>
        </w:rPr>
        <w:t>).</w:t>
      </w:r>
    </w:p>
    <w:p w14:paraId="5DA17FDA" w14:textId="0B95056E" w:rsidR="0016792E" w:rsidRPr="00B721BB" w:rsidRDefault="00B32441"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Declarar, de conformidad con lo señalado en el Considerando </w:t>
      </w:r>
      <w:r w:rsidR="00AD690B" w:rsidRPr="00B721BB">
        <w:rPr>
          <w:rFonts w:ascii="Verdana" w:hAnsi="Verdana" w:cs="Arial"/>
          <w:sz w:val="20"/>
          <w:szCs w:val="20"/>
          <w:shd w:val="clear" w:color="auto" w:fill="FFFFFF"/>
        </w:rPr>
        <w:t>21</w:t>
      </w:r>
      <w:r w:rsidRPr="00B721BB">
        <w:rPr>
          <w:rFonts w:ascii="Verdana" w:hAnsi="Verdana" w:cs="Arial"/>
          <w:sz w:val="20"/>
          <w:szCs w:val="20"/>
          <w:shd w:val="clear" w:color="auto" w:fill="FFFFFF"/>
        </w:rPr>
        <w:t xml:space="preserve"> de la presente Resolución, </w:t>
      </w:r>
      <w:r w:rsidRPr="00B721BB">
        <w:rPr>
          <w:rFonts w:ascii="Verdana" w:eastAsia="Times New Roman" w:hAnsi="Verdana"/>
          <w:sz w:val="20"/>
          <w:szCs w:val="20"/>
          <w:lang w:eastAsia="es-ES_tradnl"/>
        </w:rPr>
        <w:t>que el Estado ha dado cumplim</w:t>
      </w:r>
      <w:r w:rsidR="008F6CCD" w:rsidRPr="00B721BB">
        <w:rPr>
          <w:rFonts w:ascii="Verdana" w:eastAsia="Times New Roman" w:hAnsi="Verdana"/>
          <w:sz w:val="20"/>
          <w:szCs w:val="20"/>
          <w:lang w:eastAsia="es-ES_tradnl"/>
        </w:rPr>
        <w:t>i</w:t>
      </w:r>
      <w:r w:rsidRPr="00B721BB">
        <w:rPr>
          <w:rFonts w:ascii="Verdana" w:eastAsia="Times New Roman" w:hAnsi="Verdana"/>
          <w:sz w:val="20"/>
          <w:szCs w:val="20"/>
          <w:lang w:eastAsia="es-ES_tradnl"/>
        </w:rPr>
        <w:t xml:space="preserve">ento parcial a la medida de </w:t>
      </w:r>
      <w:proofErr w:type="spellStart"/>
      <w:r w:rsidRPr="00B721BB">
        <w:rPr>
          <w:rFonts w:ascii="Verdana" w:eastAsia="Times New Roman" w:hAnsi="Verdana"/>
          <w:sz w:val="20"/>
          <w:szCs w:val="20"/>
          <w:lang w:eastAsia="es-ES_tradnl"/>
        </w:rPr>
        <w:t>reparación</w:t>
      </w:r>
      <w:proofErr w:type="spellEnd"/>
      <w:r w:rsidRPr="00B721BB">
        <w:rPr>
          <w:rFonts w:ascii="Verdana" w:eastAsia="Times New Roman" w:hAnsi="Verdana"/>
          <w:sz w:val="20"/>
          <w:szCs w:val="20"/>
          <w:lang w:eastAsia="es-ES_tradnl"/>
        </w:rPr>
        <w:t xml:space="preserve"> </w:t>
      </w:r>
      <w:r w:rsidR="00B633F6" w:rsidRPr="00B721BB">
        <w:rPr>
          <w:rFonts w:ascii="Verdana" w:eastAsia="Times New Roman" w:hAnsi="Verdana"/>
          <w:sz w:val="20"/>
          <w:szCs w:val="20"/>
          <w:lang w:eastAsia="es-ES_tradnl"/>
        </w:rPr>
        <w:t xml:space="preserve">ordenada en el punto resolutivo décimo segundo de la Sentencia </w:t>
      </w:r>
      <w:r w:rsidRPr="00B721BB">
        <w:rPr>
          <w:rFonts w:ascii="Verdana" w:eastAsia="Times New Roman" w:hAnsi="Verdana"/>
          <w:sz w:val="20"/>
          <w:szCs w:val="20"/>
          <w:lang w:eastAsia="es-ES_tradnl"/>
        </w:rPr>
        <w:t xml:space="preserve">relativa a pagar las cantidades fijadas por concepto de </w:t>
      </w:r>
      <w:proofErr w:type="spellStart"/>
      <w:r w:rsidRPr="00B721BB">
        <w:rPr>
          <w:rFonts w:ascii="Verdana" w:eastAsia="Times New Roman" w:hAnsi="Verdana"/>
          <w:sz w:val="20"/>
          <w:szCs w:val="20"/>
          <w:lang w:eastAsia="es-ES_tradnl"/>
        </w:rPr>
        <w:t>indemnización</w:t>
      </w:r>
      <w:proofErr w:type="spellEnd"/>
      <w:r w:rsidRPr="00B721BB">
        <w:rPr>
          <w:rFonts w:ascii="Verdana" w:eastAsia="Times New Roman" w:hAnsi="Verdana"/>
          <w:sz w:val="20"/>
          <w:szCs w:val="20"/>
          <w:lang w:eastAsia="es-ES_tradnl"/>
        </w:rPr>
        <w:t xml:space="preserve"> </w:t>
      </w:r>
      <w:r w:rsidR="008F6CCD" w:rsidRPr="00B721BB">
        <w:rPr>
          <w:rFonts w:ascii="Verdana" w:eastAsia="Times New Roman" w:hAnsi="Verdana"/>
          <w:sz w:val="20"/>
          <w:szCs w:val="20"/>
          <w:lang w:eastAsia="es-ES_tradnl"/>
        </w:rPr>
        <w:t xml:space="preserve">del </w:t>
      </w:r>
      <w:proofErr w:type="spellStart"/>
      <w:r w:rsidRPr="00B721BB">
        <w:rPr>
          <w:rFonts w:ascii="Verdana" w:eastAsia="Times New Roman" w:hAnsi="Verdana"/>
          <w:sz w:val="20"/>
          <w:szCs w:val="20"/>
          <w:lang w:eastAsia="es-ES_tradnl"/>
        </w:rPr>
        <w:t>daño</w:t>
      </w:r>
      <w:proofErr w:type="spellEnd"/>
      <w:r w:rsidRPr="00B721BB">
        <w:rPr>
          <w:rFonts w:ascii="Verdana" w:eastAsia="Times New Roman" w:hAnsi="Verdana"/>
          <w:sz w:val="20"/>
          <w:szCs w:val="20"/>
          <w:lang w:eastAsia="es-ES_tradnl"/>
        </w:rPr>
        <w:t xml:space="preserve"> inmaterial </w:t>
      </w:r>
      <w:r w:rsidR="00B633F6" w:rsidRPr="00B721BB">
        <w:rPr>
          <w:rFonts w:ascii="Verdana" w:eastAsia="Times New Roman" w:hAnsi="Verdana"/>
          <w:sz w:val="20"/>
          <w:szCs w:val="20"/>
          <w:lang w:eastAsia="es-ES_tradnl"/>
        </w:rPr>
        <w:t xml:space="preserve">con relación a 72 víctimas, </w:t>
      </w:r>
      <w:r w:rsidRPr="00B721BB">
        <w:rPr>
          <w:rFonts w:ascii="Verdana" w:eastAsia="Times New Roman" w:hAnsi="Verdana"/>
          <w:sz w:val="20"/>
          <w:szCs w:val="20"/>
          <w:lang w:eastAsia="es-ES_tradnl"/>
        </w:rPr>
        <w:t xml:space="preserve">quedando pendiente el pago </w:t>
      </w:r>
      <w:r w:rsidR="00B633F6" w:rsidRPr="00B721BB">
        <w:rPr>
          <w:rFonts w:ascii="Verdana" w:eastAsia="Times New Roman" w:hAnsi="Verdana"/>
          <w:sz w:val="20"/>
          <w:szCs w:val="20"/>
          <w:lang w:eastAsia="es-ES_tradnl"/>
        </w:rPr>
        <w:t>a</w:t>
      </w:r>
      <w:r w:rsidRPr="00B721BB">
        <w:rPr>
          <w:rFonts w:ascii="Verdana" w:eastAsia="Times New Roman" w:hAnsi="Verdana"/>
          <w:sz w:val="20"/>
          <w:szCs w:val="20"/>
          <w:lang w:eastAsia="es-ES_tradnl"/>
        </w:rPr>
        <w:t xml:space="preserve"> </w:t>
      </w:r>
      <w:r w:rsidR="00B633F6" w:rsidRPr="00B721BB">
        <w:rPr>
          <w:rFonts w:ascii="Verdana" w:eastAsia="Times New Roman" w:hAnsi="Verdana"/>
          <w:sz w:val="20"/>
          <w:szCs w:val="20"/>
          <w:lang w:eastAsia="es-ES_tradnl"/>
        </w:rPr>
        <w:t>56</w:t>
      </w:r>
      <w:r w:rsidRPr="00B721BB">
        <w:rPr>
          <w:rFonts w:ascii="Verdana" w:eastAsia="Times New Roman" w:hAnsi="Verdana"/>
          <w:sz w:val="20"/>
          <w:szCs w:val="20"/>
          <w:lang w:eastAsia="es-ES_tradnl"/>
        </w:rPr>
        <w:t xml:space="preserve"> </w:t>
      </w:r>
      <w:proofErr w:type="spellStart"/>
      <w:r w:rsidRPr="00B721BB">
        <w:rPr>
          <w:rFonts w:ascii="Verdana" w:eastAsia="Times New Roman" w:hAnsi="Verdana"/>
          <w:sz w:val="20"/>
          <w:szCs w:val="20"/>
          <w:lang w:eastAsia="es-ES_tradnl"/>
        </w:rPr>
        <w:t>víctimas</w:t>
      </w:r>
      <w:proofErr w:type="spellEnd"/>
      <w:r w:rsidRPr="00B721BB">
        <w:rPr>
          <w:rFonts w:ascii="Verdana" w:eastAsia="Times New Roman" w:hAnsi="Verdana"/>
          <w:sz w:val="20"/>
          <w:szCs w:val="20"/>
          <w:lang w:eastAsia="es-ES_tradnl"/>
        </w:rPr>
        <w:t xml:space="preserve"> o sus derechohabientes.</w:t>
      </w:r>
    </w:p>
    <w:p w14:paraId="17B2C1BD" w14:textId="77777777" w:rsidR="0016792E" w:rsidRPr="00B721BB" w:rsidRDefault="0016792E"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lastRenderedPageBreak/>
        <w:t xml:space="preserve">Mantener </w:t>
      </w:r>
      <w:r w:rsidRPr="00B721BB">
        <w:rPr>
          <w:rFonts w:ascii="Verdana" w:eastAsia="Times New Roman" w:hAnsi="Verdana"/>
          <w:sz w:val="20"/>
          <w:szCs w:val="20"/>
          <w:lang w:eastAsia="es-ES_tradnl"/>
        </w:rPr>
        <w:t xml:space="preserve">abierto el procedimiento de </w:t>
      </w:r>
      <w:proofErr w:type="spellStart"/>
      <w:r w:rsidRPr="00B721BB">
        <w:rPr>
          <w:rFonts w:ascii="Verdana" w:eastAsia="Times New Roman" w:hAnsi="Verdana"/>
          <w:sz w:val="20"/>
          <w:szCs w:val="20"/>
          <w:lang w:eastAsia="es-ES_tradnl"/>
        </w:rPr>
        <w:t>supervisión</w:t>
      </w:r>
      <w:proofErr w:type="spellEnd"/>
      <w:r w:rsidRPr="00B721BB">
        <w:rPr>
          <w:rFonts w:ascii="Verdana" w:eastAsia="Times New Roman" w:hAnsi="Verdana"/>
          <w:sz w:val="20"/>
          <w:szCs w:val="20"/>
          <w:lang w:eastAsia="es-ES_tradnl"/>
        </w:rPr>
        <w:t xml:space="preserve"> de cumplimiento de las siguientes medidas de </w:t>
      </w:r>
      <w:proofErr w:type="spellStart"/>
      <w:r w:rsidRPr="00B721BB">
        <w:rPr>
          <w:rFonts w:ascii="Verdana" w:eastAsia="Times New Roman" w:hAnsi="Verdana"/>
          <w:sz w:val="20"/>
          <w:szCs w:val="20"/>
          <w:lang w:eastAsia="es-ES_tradnl"/>
        </w:rPr>
        <w:t>reparación</w:t>
      </w:r>
      <w:proofErr w:type="spellEnd"/>
      <w:r w:rsidRPr="00B721BB">
        <w:rPr>
          <w:rFonts w:ascii="Verdana" w:eastAsia="Times New Roman" w:hAnsi="Verdana"/>
          <w:sz w:val="20"/>
          <w:szCs w:val="20"/>
          <w:lang w:eastAsia="es-ES_tradnl"/>
        </w:rPr>
        <w:t xml:space="preserve">: </w:t>
      </w:r>
    </w:p>
    <w:p w14:paraId="3FBF3D96" w14:textId="7D41395D" w:rsidR="00950BC3" w:rsidRPr="00B721BB" w:rsidRDefault="00950BC3" w:rsidP="00950BC3">
      <w:pPr>
        <w:numPr>
          <w:ilvl w:val="0"/>
          <w:numId w:val="11"/>
        </w:numPr>
        <w:spacing w:before="120" w:after="120" w:line="240" w:lineRule="auto"/>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reiniciar las investigaciones </w:t>
      </w:r>
      <w:r w:rsidR="00DB7D6C" w:rsidRPr="00B721BB">
        <w:rPr>
          <w:rFonts w:ascii="Verdana" w:hAnsi="Verdana" w:cs="Arial"/>
          <w:sz w:val="20"/>
          <w:szCs w:val="20"/>
          <w:shd w:val="clear" w:color="auto" w:fill="FFFFFF"/>
        </w:rPr>
        <w:t>correspondientes</w:t>
      </w:r>
      <w:r w:rsidRPr="00B721BB">
        <w:rPr>
          <w:rFonts w:ascii="Verdana" w:hAnsi="Verdana" w:cs="Arial"/>
          <w:sz w:val="20"/>
          <w:szCs w:val="20"/>
          <w:shd w:val="clear" w:color="auto" w:fill="FFFFFF"/>
        </w:rPr>
        <w:t xml:space="preserve"> para identificar, procesar y, en su caso, sancionar a los responsables (</w:t>
      </w:r>
      <w:r w:rsidRPr="00B721BB">
        <w:rPr>
          <w:rFonts w:ascii="Verdana" w:hAnsi="Verdana" w:cs="Arial"/>
          <w:i/>
          <w:sz w:val="20"/>
          <w:szCs w:val="20"/>
          <w:shd w:val="clear" w:color="auto" w:fill="FFFFFF"/>
        </w:rPr>
        <w:t xml:space="preserve">punto resolutivo </w:t>
      </w:r>
      <w:r w:rsidR="00AD690B" w:rsidRPr="00B721BB">
        <w:rPr>
          <w:rFonts w:ascii="Verdana" w:hAnsi="Verdana" w:cs="Arial"/>
          <w:i/>
          <w:sz w:val="20"/>
          <w:szCs w:val="20"/>
          <w:shd w:val="clear" w:color="auto" w:fill="FFFFFF"/>
        </w:rPr>
        <w:t>noveno</w:t>
      </w:r>
      <w:r w:rsidRPr="00B721BB">
        <w:rPr>
          <w:rFonts w:ascii="Verdana" w:hAnsi="Verdana" w:cs="Arial"/>
          <w:i/>
          <w:sz w:val="20"/>
          <w:szCs w:val="20"/>
          <w:shd w:val="clear" w:color="auto" w:fill="FFFFFF"/>
        </w:rPr>
        <w:t xml:space="preserve"> de la Sentencia</w:t>
      </w:r>
      <w:r w:rsidRPr="00B721BB">
        <w:rPr>
          <w:rFonts w:ascii="Verdana" w:hAnsi="Verdana" w:cs="Arial"/>
          <w:sz w:val="20"/>
          <w:szCs w:val="20"/>
          <w:shd w:val="clear" w:color="auto" w:fill="FFFFFF"/>
        </w:rPr>
        <w:t>);</w:t>
      </w:r>
    </w:p>
    <w:p w14:paraId="26AA79BD" w14:textId="77777777" w:rsidR="00950BC3" w:rsidRPr="00B721BB" w:rsidRDefault="00950BC3" w:rsidP="00950BC3">
      <w:pPr>
        <w:numPr>
          <w:ilvl w:val="0"/>
          <w:numId w:val="11"/>
        </w:numPr>
        <w:spacing w:before="120" w:after="120" w:line="240" w:lineRule="auto"/>
        <w:jc w:val="both"/>
        <w:rPr>
          <w:rFonts w:ascii="Verdana" w:hAnsi="Verdana" w:cs="Arial"/>
          <w:sz w:val="20"/>
          <w:szCs w:val="20"/>
          <w:shd w:val="clear" w:color="auto" w:fill="FFFFFF"/>
        </w:rPr>
      </w:pPr>
      <w:r w:rsidRPr="00B721BB">
        <w:rPr>
          <w:rFonts w:ascii="Verdana" w:hAnsi="Verdana" w:cs="Arial"/>
          <w:sz w:val="20"/>
          <w:szCs w:val="20"/>
          <w:shd w:val="clear" w:color="auto" w:fill="FFFFFF"/>
        </w:rPr>
        <w:t>adoptar las medidas necesarias para garantizar que la prescripción no sea aplicada al delito de derecho internacional de esclavitud y sus formas análogas (</w:t>
      </w:r>
      <w:r w:rsidRPr="00B721BB">
        <w:rPr>
          <w:rFonts w:ascii="Verdana" w:hAnsi="Verdana" w:cs="Arial"/>
          <w:i/>
          <w:sz w:val="20"/>
          <w:szCs w:val="20"/>
          <w:shd w:val="clear" w:color="auto" w:fill="FFFFFF"/>
        </w:rPr>
        <w:t>punto resolutivo décimo primero de la Sentencia</w:t>
      </w:r>
      <w:r w:rsidRPr="00B721BB">
        <w:rPr>
          <w:rFonts w:ascii="Verdana" w:hAnsi="Verdana" w:cs="Arial"/>
          <w:sz w:val="20"/>
          <w:szCs w:val="20"/>
          <w:shd w:val="clear" w:color="auto" w:fill="FFFFFF"/>
        </w:rPr>
        <w:t>), y</w:t>
      </w:r>
    </w:p>
    <w:p w14:paraId="750CFDC1" w14:textId="18E871D7" w:rsidR="00950BC3" w:rsidRPr="00B721BB" w:rsidRDefault="00950BC3" w:rsidP="00950BC3">
      <w:pPr>
        <w:numPr>
          <w:ilvl w:val="0"/>
          <w:numId w:val="11"/>
        </w:numPr>
        <w:spacing w:before="120" w:after="120" w:line="240" w:lineRule="auto"/>
        <w:jc w:val="both"/>
        <w:rPr>
          <w:rFonts w:ascii="Verdana" w:hAnsi="Verdana" w:cs="Arial"/>
          <w:sz w:val="20"/>
          <w:szCs w:val="20"/>
          <w:shd w:val="clear" w:color="auto" w:fill="FFFFFF"/>
        </w:rPr>
      </w:pPr>
      <w:r w:rsidRPr="00B721BB">
        <w:rPr>
          <w:rFonts w:ascii="Verdana" w:eastAsia="Times New Roman" w:hAnsi="Verdana"/>
          <w:sz w:val="20"/>
          <w:szCs w:val="20"/>
          <w:lang w:eastAsia="es-ES_tradnl"/>
        </w:rPr>
        <w:t xml:space="preserve">pagar las cantidades fijadas en la Sentencia por concepto de </w:t>
      </w:r>
      <w:proofErr w:type="spellStart"/>
      <w:r w:rsidRPr="00B721BB">
        <w:rPr>
          <w:rFonts w:ascii="Verdana" w:eastAsia="Times New Roman" w:hAnsi="Verdana"/>
          <w:sz w:val="20"/>
          <w:szCs w:val="20"/>
          <w:lang w:eastAsia="es-ES_tradnl"/>
        </w:rPr>
        <w:t>indemnización</w:t>
      </w:r>
      <w:proofErr w:type="spellEnd"/>
      <w:r w:rsidRPr="00B721BB">
        <w:rPr>
          <w:rFonts w:ascii="Verdana" w:eastAsia="Times New Roman" w:hAnsi="Verdana"/>
          <w:sz w:val="20"/>
          <w:szCs w:val="20"/>
          <w:lang w:eastAsia="es-ES_tradnl"/>
        </w:rPr>
        <w:t xml:space="preserve"> por </w:t>
      </w:r>
      <w:proofErr w:type="spellStart"/>
      <w:r w:rsidRPr="00B721BB">
        <w:rPr>
          <w:rFonts w:ascii="Verdana" w:eastAsia="Times New Roman" w:hAnsi="Verdana"/>
          <w:sz w:val="20"/>
          <w:szCs w:val="20"/>
          <w:lang w:eastAsia="es-ES_tradnl"/>
        </w:rPr>
        <w:t>daño</w:t>
      </w:r>
      <w:proofErr w:type="spellEnd"/>
      <w:r w:rsidRPr="00B721BB">
        <w:rPr>
          <w:rFonts w:ascii="Verdana" w:eastAsia="Times New Roman" w:hAnsi="Verdana"/>
          <w:sz w:val="20"/>
          <w:szCs w:val="20"/>
          <w:lang w:eastAsia="es-ES_tradnl"/>
        </w:rPr>
        <w:t xml:space="preserve"> inmaterial </w:t>
      </w:r>
      <w:r w:rsidR="008F6CCD" w:rsidRPr="00B721BB">
        <w:rPr>
          <w:rFonts w:ascii="Verdana" w:eastAsia="Times New Roman" w:hAnsi="Verdana"/>
          <w:sz w:val="20"/>
          <w:szCs w:val="20"/>
          <w:lang w:eastAsia="es-ES_tradnl"/>
        </w:rPr>
        <w:t>r</w:t>
      </w:r>
      <w:r w:rsidR="006F74E8" w:rsidRPr="00B721BB">
        <w:rPr>
          <w:rFonts w:ascii="Verdana" w:eastAsia="Times New Roman" w:hAnsi="Verdana"/>
          <w:sz w:val="20"/>
          <w:szCs w:val="20"/>
          <w:lang w:eastAsia="es-ES_tradnl"/>
        </w:rPr>
        <w:t>e</w:t>
      </w:r>
      <w:r w:rsidR="008F6CCD" w:rsidRPr="00B721BB">
        <w:rPr>
          <w:rFonts w:ascii="Verdana" w:eastAsia="Times New Roman" w:hAnsi="Verdana"/>
          <w:sz w:val="20"/>
          <w:szCs w:val="20"/>
          <w:lang w:eastAsia="es-ES_tradnl"/>
        </w:rPr>
        <w:t xml:space="preserve">specto de 56 </w:t>
      </w:r>
      <w:proofErr w:type="spellStart"/>
      <w:r w:rsidR="008F6CCD" w:rsidRPr="00B721BB">
        <w:rPr>
          <w:rFonts w:ascii="Verdana" w:eastAsia="Times New Roman" w:hAnsi="Verdana"/>
          <w:sz w:val="20"/>
          <w:szCs w:val="20"/>
          <w:lang w:eastAsia="es-ES_tradnl"/>
        </w:rPr>
        <w:t>víctimas</w:t>
      </w:r>
      <w:proofErr w:type="spellEnd"/>
      <w:r w:rsidR="008F6CCD" w:rsidRPr="00B721BB">
        <w:rPr>
          <w:rFonts w:ascii="Verdana" w:eastAsia="Times New Roman" w:hAnsi="Verdana"/>
          <w:sz w:val="20"/>
          <w:szCs w:val="20"/>
          <w:lang w:eastAsia="es-ES_tradnl"/>
        </w:rPr>
        <w:t xml:space="preserve"> o sus derechohabientes </w:t>
      </w:r>
      <w:r w:rsidRPr="00B721BB">
        <w:rPr>
          <w:rFonts w:ascii="Verdana" w:eastAsia="Times New Roman" w:hAnsi="Verdana"/>
          <w:sz w:val="20"/>
          <w:szCs w:val="20"/>
          <w:lang w:eastAsia="es-ES_tradnl"/>
        </w:rPr>
        <w:t>(</w:t>
      </w:r>
      <w:r w:rsidRPr="00B721BB">
        <w:rPr>
          <w:rFonts w:ascii="Verdana" w:eastAsia="Times New Roman" w:hAnsi="Verdana"/>
          <w:i/>
          <w:sz w:val="20"/>
          <w:szCs w:val="20"/>
          <w:lang w:eastAsia="es-ES_tradnl"/>
        </w:rPr>
        <w:t xml:space="preserve">punto resolutivo </w:t>
      </w:r>
      <w:proofErr w:type="spellStart"/>
      <w:r w:rsidRPr="00B721BB">
        <w:rPr>
          <w:rFonts w:ascii="Verdana" w:eastAsia="Times New Roman" w:hAnsi="Verdana"/>
          <w:i/>
          <w:sz w:val="20"/>
          <w:szCs w:val="20"/>
          <w:lang w:eastAsia="es-ES_tradnl"/>
        </w:rPr>
        <w:t>décimo</w:t>
      </w:r>
      <w:proofErr w:type="spellEnd"/>
      <w:r w:rsidRPr="00B721BB">
        <w:rPr>
          <w:rFonts w:ascii="Verdana" w:eastAsia="Times New Roman" w:hAnsi="Verdana"/>
          <w:i/>
          <w:sz w:val="20"/>
          <w:szCs w:val="20"/>
          <w:lang w:eastAsia="es-ES_tradnl"/>
        </w:rPr>
        <w:t xml:space="preserve"> segundo de la Sentencia</w:t>
      </w:r>
      <w:r w:rsidRPr="00B721BB">
        <w:rPr>
          <w:rFonts w:ascii="Verdana" w:eastAsia="Times New Roman" w:hAnsi="Verdana"/>
          <w:sz w:val="20"/>
          <w:szCs w:val="20"/>
          <w:lang w:eastAsia="es-ES_tradnl"/>
        </w:rPr>
        <w:t>).</w:t>
      </w:r>
    </w:p>
    <w:p w14:paraId="742C0C99" w14:textId="1370B6E7" w:rsidR="00B32441" w:rsidRPr="00B721BB" w:rsidRDefault="00543E5B"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cs="Arial"/>
          <w:sz w:val="20"/>
          <w:szCs w:val="20"/>
          <w:shd w:val="clear" w:color="auto" w:fill="FFFFFF"/>
        </w:rPr>
        <w:t xml:space="preserve">Disponer </w:t>
      </w:r>
      <w:r w:rsidR="00701C8A" w:rsidRPr="00B721BB">
        <w:rPr>
          <w:rFonts w:ascii="Verdana" w:hAnsi="Verdana" w:cs="Arial"/>
          <w:sz w:val="20"/>
          <w:szCs w:val="20"/>
          <w:shd w:val="clear" w:color="auto" w:fill="FFFFFF"/>
        </w:rPr>
        <w:t>que el Estado presente a la Corte Interamericana de Dere</w:t>
      </w:r>
      <w:r w:rsidR="00950BC3" w:rsidRPr="00B721BB">
        <w:rPr>
          <w:rFonts w:ascii="Verdana" w:hAnsi="Verdana" w:cs="Arial"/>
          <w:sz w:val="20"/>
          <w:szCs w:val="20"/>
          <w:shd w:val="clear" w:color="auto" w:fill="FFFFFF"/>
        </w:rPr>
        <w:t>chos Humanos, a más tardar el</w:t>
      </w:r>
      <w:r w:rsidR="00101ED6" w:rsidRPr="00B721BB">
        <w:rPr>
          <w:rFonts w:ascii="Verdana" w:hAnsi="Verdana" w:cs="Arial"/>
          <w:sz w:val="20"/>
          <w:szCs w:val="20"/>
          <w:shd w:val="clear" w:color="auto" w:fill="FFFFFF"/>
        </w:rPr>
        <w:t xml:space="preserve"> </w:t>
      </w:r>
      <w:r w:rsidR="00AD690B" w:rsidRPr="00B721BB">
        <w:rPr>
          <w:rFonts w:ascii="Verdana" w:hAnsi="Verdana" w:cs="Arial"/>
          <w:sz w:val="20"/>
          <w:szCs w:val="20"/>
          <w:shd w:val="clear" w:color="auto" w:fill="FFFFFF"/>
        </w:rPr>
        <w:t>20</w:t>
      </w:r>
      <w:r w:rsidR="00DB7D6C" w:rsidRPr="00B721BB">
        <w:rPr>
          <w:rFonts w:ascii="Verdana" w:hAnsi="Verdana" w:cs="Arial"/>
          <w:sz w:val="20"/>
          <w:szCs w:val="20"/>
          <w:shd w:val="clear" w:color="auto" w:fill="FFFFFF"/>
        </w:rPr>
        <w:t xml:space="preserve"> de </w:t>
      </w:r>
      <w:r w:rsidR="00AD690B" w:rsidRPr="00B721BB">
        <w:rPr>
          <w:rFonts w:ascii="Verdana" w:hAnsi="Verdana" w:cs="Arial"/>
          <w:sz w:val="20"/>
          <w:szCs w:val="20"/>
          <w:shd w:val="clear" w:color="auto" w:fill="FFFFFF"/>
        </w:rPr>
        <w:t xml:space="preserve">marzo </w:t>
      </w:r>
      <w:r w:rsidR="00DB7D6C" w:rsidRPr="00B721BB">
        <w:rPr>
          <w:rFonts w:ascii="Verdana" w:hAnsi="Verdana" w:cs="Arial"/>
          <w:sz w:val="20"/>
          <w:szCs w:val="20"/>
          <w:shd w:val="clear" w:color="auto" w:fill="FFFFFF"/>
        </w:rPr>
        <w:t>de 2020</w:t>
      </w:r>
      <w:r w:rsidR="00701C8A" w:rsidRPr="00B721BB">
        <w:rPr>
          <w:rFonts w:ascii="Verdana" w:hAnsi="Verdana" w:cs="Arial"/>
          <w:sz w:val="20"/>
          <w:szCs w:val="20"/>
          <w:shd w:val="clear" w:color="auto" w:fill="FFFFFF"/>
        </w:rPr>
        <w:t>, un informe sobre el cumplimiento de la</w:t>
      </w:r>
      <w:r w:rsidR="00950BC3" w:rsidRPr="00B721BB">
        <w:rPr>
          <w:rFonts w:ascii="Verdana" w:hAnsi="Verdana" w:cs="Arial"/>
          <w:sz w:val="20"/>
          <w:szCs w:val="20"/>
          <w:shd w:val="clear" w:color="auto" w:fill="FFFFFF"/>
        </w:rPr>
        <w:t>s reparacio</w:t>
      </w:r>
      <w:r w:rsidR="00701C8A" w:rsidRPr="00B721BB">
        <w:rPr>
          <w:rFonts w:ascii="Verdana" w:hAnsi="Verdana" w:cs="Arial"/>
          <w:sz w:val="20"/>
          <w:szCs w:val="20"/>
          <w:shd w:val="clear" w:color="auto" w:fill="FFFFFF"/>
        </w:rPr>
        <w:t>n</w:t>
      </w:r>
      <w:r w:rsidR="00950BC3" w:rsidRPr="00B721BB">
        <w:rPr>
          <w:rFonts w:ascii="Verdana" w:hAnsi="Verdana" w:cs="Arial"/>
          <w:sz w:val="20"/>
          <w:szCs w:val="20"/>
          <w:shd w:val="clear" w:color="auto" w:fill="FFFFFF"/>
        </w:rPr>
        <w:t>es</w:t>
      </w:r>
      <w:r w:rsidR="00701C8A" w:rsidRPr="00B721BB">
        <w:rPr>
          <w:rFonts w:ascii="Verdana" w:hAnsi="Verdana" w:cs="Arial"/>
          <w:sz w:val="20"/>
          <w:szCs w:val="20"/>
          <w:shd w:val="clear" w:color="auto" w:fill="FFFFFF"/>
        </w:rPr>
        <w:t xml:space="preserve"> ordenada</w:t>
      </w:r>
      <w:r w:rsidR="00950BC3" w:rsidRPr="00B721BB">
        <w:rPr>
          <w:rFonts w:ascii="Verdana" w:hAnsi="Verdana" w:cs="Arial"/>
          <w:sz w:val="20"/>
          <w:szCs w:val="20"/>
          <w:shd w:val="clear" w:color="auto" w:fill="FFFFFF"/>
        </w:rPr>
        <w:t>s</w:t>
      </w:r>
      <w:r w:rsidR="00701C8A" w:rsidRPr="00B721BB">
        <w:rPr>
          <w:rFonts w:ascii="Verdana" w:hAnsi="Verdana" w:cs="Arial"/>
          <w:sz w:val="20"/>
          <w:szCs w:val="20"/>
          <w:shd w:val="clear" w:color="auto" w:fill="FFFFFF"/>
        </w:rPr>
        <w:t xml:space="preserve"> por esta Corte que se encuentra</w:t>
      </w:r>
      <w:r w:rsidR="00950BC3" w:rsidRPr="00B721BB">
        <w:rPr>
          <w:rFonts w:ascii="Verdana" w:hAnsi="Verdana" w:cs="Arial"/>
          <w:sz w:val="20"/>
          <w:szCs w:val="20"/>
          <w:shd w:val="clear" w:color="auto" w:fill="FFFFFF"/>
        </w:rPr>
        <w:t>n</w:t>
      </w:r>
      <w:r w:rsidR="00701C8A" w:rsidRPr="00B721BB">
        <w:rPr>
          <w:rFonts w:ascii="Verdana" w:hAnsi="Verdana" w:cs="Arial"/>
          <w:sz w:val="20"/>
          <w:szCs w:val="20"/>
          <w:shd w:val="clear" w:color="auto" w:fill="FFFFFF"/>
        </w:rPr>
        <w:t xml:space="preserve"> pendiente</w:t>
      </w:r>
      <w:r w:rsidR="00950BC3" w:rsidRPr="00B721BB">
        <w:rPr>
          <w:rFonts w:ascii="Verdana" w:hAnsi="Verdana" w:cs="Arial"/>
          <w:sz w:val="20"/>
          <w:szCs w:val="20"/>
          <w:shd w:val="clear" w:color="auto" w:fill="FFFFFF"/>
        </w:rPr>
        <w:t>s</w:t>
      </w:r>
      <w:r w:rsidR="00701C8A" w:rsidRPr="00B721BB">
        <w:rPr>
          <w:rFonts w:ascii="Verdana" w:hAnsi="Verdana" w:cs="Arial"/>
          <w:sz w:val="20"/>
          <w:szCs w:val="20"/>
          <w:shd w:val="clear" w:color="auto" w:fill="FFFFFF"/>
        </w:rPr>
        <w:t xml:space="preserve"> de cumplimiento, de conformid</w:t>
      </w:r>
      <w:r w:rsidR="00950BC3" w:rsidRPr="00B721BB">
        <w:rPr>
          <w:rFonts w:ascii="Verdana" w:hAnsi="Verdana" w:cs="Arial"/>
          <w:sz w:val="20"/>
          <w:szCs w:val="20"/>
          <w:shd w:val="clear" w:color="auto" w:fill="FFFFFF"/>
        </w:rPr>
        <w:t xml:space="preserve">ad con los Considerandos </w:t>
      </w:r>
      <w:r w:rsidR="00AD690B" w:rsidRPr="00B721BB">
        <w:rPr>
          <w:rFonts w:ascii="Verdana" w:hAnsi="Verdana" w:cs="Arial"/>
          <w:sz w:val="20"/>
          <w:szCs w:val="20"/>
          <w:shd w:val="clear" w:color="auto" w:fill="FFFFFF"/>
        </w:rPr>
        <w:t xml:space="preserve">14, 15, 18, 19 y 20, </w:t>
      </w:r>
      <w:r w:rsidR="00701C8A" w:rsidRPr="00B721BB">
        <w:rPr>
          <w:rFonts w:ascii="Verdana" w:hAnsi="Verdana" w:cs="Arial"/>
          <w:sz w:val="20"/>
          <w:szCs w:val="20"/>
          <w:shd w:val="clear" w:color="auto" w:fill="FFFFFF"/>
        </w:rPr>
        <w:t xml:space="preserve">así como con los puntos resolutivos </w:t>
      </w:r>
      <w:r w:rsidR="00101ED6" w:rsidRPr="00B721BB">
        <w:rPr>
          <w:rFonts w:ascii="Verdana" w:hAnsi="Verdana" w:cs="Arial"/>
          <w:sz w:val="20"/>
          <w:szCs w:val="20"/>
          <w:shd w:val="clear" w:color="auto" w:fill="FFFFFF"/>
        </w:rPr>
        <w:t>tercero</w:t>
      </w:r>
      <w:r w:rsidR="00701C8A" w:rsidRPr="00B721BB">
        <w:rPr>
          <w:rFonts w:ascii="Verdana" w:hAnsi="Verdana" w:cs="Arial"/>
          <w:sz w:val="20"/>
          <w:szCs w:val="20"/>
          <w:shd w:val="clear" w:color="auto" w:fill="FFFFFF"/>
        </w:rPr>
        <w:t xml:space="preserve"> y </w:t>
      </w:r>
      <w:r w:rsidR="00101ED6" w:rsidRPr="00B721BB">
        <w:rPr>
          <w:rFonts w:ascii="Verdana" w:hAnsi="Verdana" w:cs="Arial"/>
          <w:sz w:val="20"/>
          <w:szCs w:val="20"/>
          <w:shd w:val="clear" w:color="auto" w:fill="FFFFFF"/>
        </w:rPr>
        <w:t>cuarto</w:t>
      </w:r>
      <w:r w:rsidR="00701C8A" w:rsidRPr="00B721BB">
        <w:rPr>
          <w:rFonts w:ascii="Verdana" w:hAnsi="Verdana" w:cs="Arial"/>
          <w:sz w:val="20"/>
          <w:szCs w:val="20"/>
          <w:shd w:val="clear" w:color="auto" w:fill="FFFFFF"/>
        </w:rPr>
        <w:t xml:space="preserve"> de esta Resolución.</w:t>
      </w:r>
    </w:p>
    <w:p w14:paraId="58EC5240" w14:textId="77777777" w:rsidR="00950BC3" w:rsidRPr="00B721BB" w:rsidRDefault="00950BC3"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t>Disponer que los representantes de las víctimas y la Comisión Interamericana de Derechos Humanos presenten observaciones al informe del Estado mencionado en el punto resolutivo anterior, en los plazos de cuatro y seis semanas, respectivamente, contados a partir de la recepción del informe.</w:t>
      </w:r>
    </w:p>
    <w:p w14:paraId="7D1C4713" w14:textId="77777777" w:rsidR="00950BC3" w:rsidRPr="00B721BB" w:rsidRDefault="00950BC3" w:rsidP="0016792E">
      <w:pPr>
        <w:numPr>
          <w:ilvl w:val="0"/>
          <w:numId w:val="8"/>
        </w:numPr>
        <w:spacing w:before="120" w:after="120" w:line="240" w:lineRule="auto"/>
        <w:ind w:left="0" w:firstLine="0"/>
        <w:jc w:val="both"/>
        <w:rPr>
          <w:rFonts w:ascii="Verdana" w:hAnsi="Verdana" w:cs="Arial"/>
          <w:sz w:val="20"/>
          <w:szCs w:val="20"/>
          <w:shd w:val="clear" w:color="auto" w:fill="FFFFFF"/>
        </w:rPr>
      </w:pPr>
      <w:r w:rsidRPr="00B721BB">
        <w:rPr>
          <w:rFonts w:ascii="Verdana" w:hAnsi="Verdana"/>
          <w:sz w:val="20"/>
          <w:szCs w:val="20"/>
        </w:rPr>
        <w:t>Disponer que la Secretaría de la Corte notifique la presente Resolución al Estado, a los representantes de las víctimas y a la Comisión Interamericana de Derechos Humanos.</w:t>
      </w:r>
    </w:p>
    <w:p w14:paraId="7A2F013C" w14:textId="4DD3B104" w:rsidR="00D35CA4" w:rsidRDefault="00D35CA4">
      <w:pPr>
        <w:spacing w:after="0" w:line="240" w:lineRule="auto"/>
        <w:rPr>
          <w:rFonts w:ascii="Verdana" w:hAnsi="Verdana"/>
          <w:sz w:val="20"/>
          <w:szCs w:val="20"/>
        </w:rPr>
      </w:pPr>
      <w:r>
        <w:rPr>
          <w:rFonts w:ascii="Verdana" w:hAnsi="Verdana"/>
          <w:sz w:val="20"/>
          <w:szCs w:val="20"/>
        </w:rPr>
        <w:br w:type="page"/>
      </w:r>
    </w:p>
    <w:p w14:paraId="6290C7AD" w14:textId="77777777" w:rsidR="00D35CA4" w:rsidRPr="00F95CA9" w:rsidRDefault="00D35CA4" w:rsidP="00D35CA4">
      <w:pPr>
        <w:spacing w:after="0" w:line="240" w:lineRule="auto"/>
        <w:jc w:val="both"/>
        <w:rPr>
          <w:rFonts w:ascii="Verdana" w:hAnsi="Verdana" w:cs="Courier New"/>
          <w:noProof/>
          <w:sz w:val="20"/>
          <w:lang w:val="pt-BR"/>
        </w:rPr>
      </w:pPr>
      <w:r w:rsidRPr="00E558C4">
        <w:rPr>
          <w:rFonts w:ascii="Verdana" w:hAnsi="Verdana" w:cs="Courier New"/>
          <w:noProof/>
          <w:sz w:val="20"/>
          <w:lang w:val="pt-BR"/>
        </w:rPr>
        <w:lastRenderedPageBreak/>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Trabajadores de la Hacienda Brasil Verde Vs. Brasil.</w:t>
      </w:r>
      <w:r w:rsidRPr="00E558C4">
        <w:rPr>
          <w:rFonts w:ascii="Verdana" w:hAnsi="Verdana" w:cs="Courier New"/>
          <w:noProof/>
          <w:sz w:val="20"/>
          <w:lang w:val="pt-BR"/>
        </w:rPr>
        <w:t xml:space="preserve"> </w:t>
      </w:r>
      <w:r>
        <w:rPr>
          <w:rFonts w:ascii="Verdana" w:hAnsi="Verdana" w:cs="Courier New"/>
          <w:noProof/>
          <w:sz w:val="20"/>
          <w:lang w:val="pt-BR"/>
        </w:rPr>
        <w:t>Supervisión de Cumplimiento de Sentencia. Resolución de la Corte Interamericana de Derechos Humanos de 22 de noviembre de 2019.</w:t>
      </w:r>
    </w:p>
    <w:p w14:paraId="674910A3" w14:textId="77777777" w:rsidR="00D35CA4" w:rsidRDefault="00D35CA4" w:rsidP="00D35CA4">
      <w:pPr>
        <w:spacing w:after="0" w:line="240" w:lineRule="auto"/>
        <w:jc w:val="both"/>
        <w:rPr>
          <w:lang w:val="pt-BR"/>
        </w:rPr>
      </w:pPr>
    </w:p>
    <w:p w14:paraId="7910206B" w14:textId="77777777" w:rsidR="00D35CA4" w:rsidRPr="00E558C4" w:rsidRDefault="00D35CA4" w:rsidP="00D35CA4">
      <w:pPr>
        <w:spacing w:after="0" w:line="240" w:lineRule="auto"/>
        <w:jc w:val="center"/>
        <w:rPr>
          <w:rFonts w:ascii="Verdana" w:hAnsi="Verdana"/>
          <w:sz w:val="20"/>
          <w:lang w:val="pt-BR"/>
        </w:rPr>
      </w:pPr>
    </w:p>
    <w:p w14:paraId="7AB89597" w14:textId="77777777" w:rsidR="00D35CA4" w:rsidRPr="00E558C4" w:rsidRDefault="00D35CA4" w:rsidP="00D35CA4">
      <w:pPr>
        <w:spacing w:after="0" w:line="240" w:lineRule="auto"/>
        <w:jc w:val="center"/>
        <w:rPr>
          <w:rFonts w:ascii="Verdana" w:hAnsi="Verdana"/>
          <w:sz w:val="20"/>
          <w:lang w:val="pt-BR"/>
        </w:rPr>
      </w:pPr>
    </w:p>
    <w:p w14:paraId="164FB147" w14:textId="77777777" w:rsidR="00D35CA4" w:rsidRPr="00847B73" w:rsidRDefault="00D35CA4" w:rsidP="00D35CA4">
      <w:pPr>
        <w:spacing w:after="0" w:line="240" w:lineRule="auto"/>
        <w:rPr>
          <w:rFonts w:ascii="Verdana" w:hAnsi="Verdana"/>
          <w:sz w:val="20"/>
          <w:lang w:val="es-ES"/>
        </w:rPr>
      </w:pPr>
    </w:p>
    <w:p w14:paraId="0A50A82B" w14:textId="77777777" w:rsidR="00D35CA4" w:rsidRPr="00E558C4" w:rsidRDefault="00D35CA4" w:rsidP="00D35CA4">
      <w:pPr>
        <w:spacing w:after="0" w:line="240" w:lineRule="auto"/>
        <w:jc w:val="center"/>
        <w:rPr>
          <w:rFonts w:ascii="Verdana" w:hAnsi="Verdana"/>
          <w:sz w:val="20"/>
          <w:lang w:val="pt-BR"/>
        </w:rPr>
      </w:pPr>
    </w:p>
    <w:p w14:paraId="53503603" w14:textId="77777777" w:rsidR="00D35CA4" w:rsidRPr="00847B73" w:rsidRDefault="00D35CA4" w:rsidP="00D35CA4">
      <w:pPr>
        <w:spacing w:after="0" w:line="240" w:lineRule="auto"/>
        <w:rPr>
          <w:rFonts w:ascii="Verdana" w:hAnsi="Verdana"/>
          <w:sz w:val="20"/>
          <w:lang w:val="es-ES"/>
        </w:rPr>
      </w:pPr>
    </w:p>
    <w:p w14:paraId="4734FA5D" w14:textId="77777777" w:rsidR="00D35CA4" w:rsidRDefault="00D35CA4" w:rsidP="00D35CA4">
      <w:pPr>
        <w:spacing w:after="0" w:line="240" w:lineRule="auto"/>
        <w:jc w:val="cente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 </w:t>
      </w:r>
    </w:p>
    <w:p w14:paraId="5675A37E" w14:textId="77777777" w:rsidR="00D35CA4" w:rsidRPr="00847B73" w:rsidRDefault="00D35CA4" w:rsidP="00D35CA4">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w:t>
      </w:r>
      <w:proofErr w:type="spellStart"/>
      <w:r>
        <w:rPr>
          <w:rFonts w:ascii="Verdana" w:hAnsi="Verdana"/>
          <w:sz w:val="20"/>
          <w:lang w:val="pt-BR"/>
        </w:rPr>
        <w:t>en</w:t>
      </w:r>
      <w:proofErr w:type="spellEnd"/>
      <w:r>
        <w:rPr>
          <w:rFonts w:ascii="Verdana" w:hAnsi="Verdana"/>
          <w:sz w:val="20"/>
          <w:lang w:val="pt-BR"/>
        </w:rPr>
        <w:t xml:space="preserve"> </w:t>
      </w:r>
      <w:proofErr w:type="spellStart"/>
      <w:r>
        <w:rPr>
          <w:rFonts w:ascii="Verdana" w:hAnsi="Verdana"/>
          <w:sz w:val="20"/>
          <w:lang w:val="pt-BR"/>
        </w:rPr>
        <w:t>ejercicio</w:t>
      </w:r>
      <w:proofErr w:type="spellEnd"/>
    </w:p>
    <w:p w14:paraId="7A0DED37" w14:textId="77777777" w:rsidR="00D35CA4" w:rsidRPr="00847B73" w:rsidRDefault="00D35CA4" w:rsidP="00D35CA4">
      <w:pPr>
        <w:spacing w:after="0" w:line="240" w:lineRule="auto"/>
        <w:jc w:val="both"/>
        <w:rPr>
          <w:rFonts w:ascii="Verdana" w:hAnsi="Verdana"/>
          <w:sz w:val="20"/>
          <w:lang w:val="pt-BR"/>
        </w:rPr>
      </w:pPr>
    </w:p>
    <w:p w14:paraId="03524C06" w14:textId="77777777" w:rsidR="00D35CA4" w:rsidRPr="00847B73" w:rsidRDefault="00D35CA4" w:rsidP="00D35CA4">
      <w:pPr>
        <w:spacing w:after="0" w:line="240" w:lineRule="auto"/>
        <w:jc w:val="both"/>
        <w:rPr>
          <w:rFonts w:ascii="Verdana" w:hAnsi="Verdana"/>
          <w:sz w:val="20"/>
          <w:lang w:val="pt-BR"/>
        </w:rPr>
      </w:pPr>
    </w:p>
    <w:p w14:paraId="073B2B2B" w14:textId="77777777" w:rsidR="00D35CA4" w:rsidRDefault="00D35CA4" w:rsidP="00D35CA4">
      <w:pPr>
        <w:spacing w:after="0" w:line="240" w:lineRule="auto"/>
        <w:jc w:val="both"/>
        <w:rPr>
          <w:rFonts w:ascii="Verdana" w:hAnsi="Verdana"/>
          <w:sz w:val="20"/>
          <w:lang w:val="pt-BR"/>
        </w:rPr>
      </w:pPr>
    </w:p>
    <w:p w14:paraId="03F3D1D1" w14:textId="77777777" w:rsidR="00D35CA4" w:rsidRPr="00847B73" w:rsidRDefault="00D35CA4" w:rsidP="00D35CA4">
      <w:pPr>
        <w:spacing w:after="0" w:line="240" w:lineRule="auto"/>
        <w:jc w:val="both"/>
        <w:rPr>
          <w:rFonts w:ascii="Verdana" w:hAnsi="Verdana"/>
          <w:sz w:val="20"/>
          <w:lang w:val="pt-BR"/>
        </w:rPr>
      </w:pPr>
    </w:p>
    <w:p w14:paraId="3BC4E415" w14:textId="77777777" w:rsidR="00D35CA4" w:rsidRPr="00847B73" w:rsidRDefault="00D35CA4" w:rsidP="00D35CA4">
      <w:pPr>
        <w:spacing w:after="0" w:line="240" w:lineRule="auto"/>
        <w:jc w:val="both"/>
        <w:rPr>
          <w:rFonts w:ascii="Verdana" w:hAnsi="Verdana"/>
          <w:sz w:val="20"/>
          <w:lang w:val="pt-BR"/>
        </w:rPr>
      </w:pPr>
    </w:p>
    <w:p w14:paraId="0B6EC7D0" w14:textId="77777777" w:rsidR="00D35CA4" w:rsidRDefault="00D35CA4" w:rsidP="00D35CA4">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r w:rsidRPr="00214E29">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w:t>
      </w:r>
    </w:p>
    <w:p w14:paraId="33F41C67" w14:textId="77777777" w:rsidR="00D35CA4" w:rsidRDefault="00D35CA4" w:rsidP="00D35CA4">
      <w:pPr>
        <w:spacing w:after="0" w:line="240" w:lineRule="auto"/>
        <w:rPr>
          <w:rFonts w:ascii="Verdana" w:hAnsi="Verdana"/>
          <w:sz w:val="20"/>
          <w:lang w:val="pt-BR"/>
        </w:rPr>
      </w:pPr>
    </w:p>
    <w:p w14:paraId="36F26AD8" w14:textId="77777777" w:rsidR="00D35CA4" w:rsidRDefault="00D35CA4" w:rsidP="00D35CA4">
      <w:pPr>
        <w:spacing w:after="0" w:line="240" w:lineRule="auto"/>
        <w:rPr>
          <w:rFonts w:ascii="Verdana" w:hAnsi="Verdana"/>
          <w:sz w:val="20"/>
          <w:lang w:val="pt-BR"/>
        </w:rPr>
      </w:pPr>
    </w:p>
    <w:p w14:paraId="0CF9A8A1" w14:textId="77777777" w:rsidR="00D35CA4" w:rsidRDefault="00D35CA4" w:rsidP="00D35CA4">
      <w:pPr>
        <w:spacing w:after="0" w:line="240" w:lineRule="auto"/>
        <w:rPr>
          <w:rFonts w:ascii="Verdana" w:hAnsi="Verdana"/>
          <w:sz w:val="20"/>
          <w:lang w:val="pt-BR"/>
        </w:rPr>
      </w:pPr>
    </w:p>
    <w:p w14:paraId="60C6D8E4" w14:textId="77777777" w:rsidR="00D35CA4" w:rsidRPr="00847B73" w:rsidRDefault="00D35CA4" w:rsidP="00D35CA4">
      <w:pPr>
        <w:spacing w:after="0" w:line="240" w:lineRule="auto"/>
        <w:rPr>
          <w:rFonts w:ascii="Verdana" w:hAnsi="Verdana"/>
          <w:sz w:val="20"/>
          <w:lang w:val="pt-BR"/>
        </w:rPr>
      </w:pPr>
    </w:p>
    <w:p w14:paraId="477B89B4" w14:textId="77777777" w:rsidR="00D35CA4" w:rsidRPr="00847B73" w:rsidRDefault="00D35CA4" w:rsidP="00D35CA4">
      <w:pPr>
        <w:spacing w:after="0" w:line="240" w:lineRule="auto"/>
        <w:jc w:val="both"/>
        <w:rPr>
          <w:rFonts w:ascii="Verdana" w:hAnsi="Verdana"/>
          <w:sz w:val="20"/>
          <w:lang w:val="pt-BR"/>
        </w:rPr>
      </w:pPr>
    </w:p>
    <w:p w14:paraId="695EA74A" w14:textId="77777777" w:rsidR="00D35CA4" w:rsidRPr="00847B73" w:rsidRDefault="00D35CA4" w:rsidP="00D35CA4">
      <w:pPr>
        <w:spacing w:after="0" w:line="240" w:lineRule="auto"/>
        <w:rPr>
          <w:rFonts w:ascii="Verdana" w:hAnsi="Verdana"/>
          <w:sz w:val="20"/>
          <w:lang w:val="pt-BR"/>
        </w:rPr>
      </w:pPr>
      <w:r w:rsidRPr="00847B73">
        <w:rPr>
          <w:rFonts w:ascii="Verdana" w:hAnsi="Verdana"/>
          <w:sz w:val="20"/>
          <w:lang w:val="pt-BR"/>
        </w:rPr>
        <w:t xml:space="preserve">Eugenio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 xml:space="preserve">L.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w:t>
      </w:r>
    </w:p>
    <w:p w14:paraId="6F44A71C" w14:textId="77777777" w:rsidR="00D35CA4" w:rsidRPr="00847B73" w:rsidRDefault="00D35CA4" w:rsidP="00D35CA4">
      <w:pPr>
        <w:spacing w:after="0" w:line="240" w:lineRule="auto"/>
        <w:rPr>
          <w:rFonts w:ascii="Verdana" w:hAnsi="Verdana"/>
          <w:sz w:val="20"/>
          <w:lang w:val="pt-BR"/>
        </w:rPr>
      </w:pPr>
    </w:p>
    <w:p w14:paraId="37CBC639" w14:textId="77777777" w:rsidR="00D35CA4" w:rsidRDefault="00D35CA4" w:rsidP="00D35CA4">
      <w:pPr>
        <w:spacing w:after="0" w:line="240" w:lineRule="auto"/>
        <w:rPr>
          <w:rFonts w:ascii="Verdana" w:hAnsi="Verdana"/>
          <w:sz w:val="20"/>
          <w:lang w:val="pt-BR"/>
        </w:rPr>
      </w:pPr>
    </w:p>
    <w:p w14:paraId="1F8045A9" w14:textId="77777777" w:rsidR="00D35CA4" w:rsidRPr="00847B73" w:rsidRDefault="00D35CA4" w:rsidP="00D35CA4">
      <w:pPr>
        <w:spacing w:after="0" w:line="240" w:lineRule="auto"/>
        <w:rPr>
          <w:rFonts w:ascii="Verdana" w:hAnsi="Verdana"/>
          <w:sz w:val="20"/>
          <w:lang w:val="pt-BR"/>
        </w:rPr>
      </w:pPr>
    </w:p>
    <w:p w14:paraId="16FD2CC7" w14:textId="77777777" w:rsidR="00D35CA4" w:rsidRPr="00847B73" w:rsidRDefault="00D35CA4" w:rsidP="00D35CA4">
      <w:pPr>
        <w:spacing w:after="0" w:line="240" w:lineRule="auto"/>
        <w:rPr>
          <w:rFonts w:ascii="Verdana" w:hAnsi="Verdana"/>
          <w:sz w:val="20"/>
          <w:lang w:val="pt-BR"/>
        </w:rPr>
      </w:pPr>
    </w:p>
    <w:p w14:paraId="09AB939B" w14:textId="77777777" w:rsidR="00D35CA4" w:rsidRPr="00847B73" w:rsidRDefault="00D35CA4" w:rsidP="00D35CA4">
      <w:pPr>
        <w:spacing w:after="0" w:line="240" w:lineRule="auto"/>
        <w:jc w:val="center"/>
        <w:rPr>
          <w:rFonts w:ascii="Verdana" w:hAnsi="Verdana"/>
          <w:sz w:val="20"/>
          <w:lang w:val="pt-BR"/>
        </w:rPr>
      </w:pPr>
    </w:p>
    <w:p w14:paraId="164A5576" w14:textId="77777777" w:rsidR="00D35CA4" w:rsidRPr="00847B73" w:rsidRDefault="00D35CA4" w:rsidP="00D35CA4">
      <w:pPr>
        <w:spacing w:after="0" w:line="240" w:lineRule="auto"/>
        <w:jc w:val="center"/>
        <w:rPr>
          <w:rFonts w:ascii="Verdana" w:hAnsi="Verdana"/>
          <w:sz w:val="20"/>
        </w:rPr>
      </w:pPr>
      <w:r w:rsidRPr="00847B73">
        <w:rPr>
          <w:rFonts w:ascii="Verdana" w:hAnsi="Verdana"/>
          <w:sz w:val="20"/>
        </w:rPr>
        <w:t>Ricardo C. Pérez Manrique</w:t>
      </w:r>
    </w:p>
    <w:p w14:paraId="3CBD5387" w14:textId="77777777" w:rsidR="00D35CA4" w:rsidRPr="00847B73" w:rsidRDefault="00D35CA4" w:rsidP="00D35CA4">
      <w:pPr>
        <w:spacing w:after="0" w:line="240" w:lineRule="auto"/>
        <w:jc w:val="both"/>
        <w:rPr>
          <w:rFonts w:ascii="Verdana" w:hAnsi="Verdana"/>
          <w:sz w:val="20"/>
        </w:rPr>
      </w:pPr>
    </w:p>
    <w:p w14:paraId="463A3CB5" w14:textId="77777777" w:rsidR="00D35CA4" w:rsidRDefault="00D35CA4" w:rsidP="00D35CA4">
      <w:pPr>
        <w:spacing w:after="0" w:line="240" w:lineRule="auto"/>
        <w:jc w:val="both"/>
        <w:rPr>
          <w:rFonts w:ascii="Verdana" w:hAnsi="Verdana"/>
          <w:sz w:val="20"/>
          <w:lang w:val="pt-BR"/>
        </w:rPr>
      </w:pPr>
    </w:p>
    <w:p w14:paraId="4337BD5A" w14:textId="77777777" w:rsidR="00D35CA4" w:rsidRPr="00847B73" w:rsidRDefault="00D35CA4" w:rsidP="00D35CA4">
      <w:pPr>
        <w:spacing w:after="0" w:line="240" w:lineRule="auto"/>
        <w:jc w:val="both"/>
        <w:rPr>
          <w:rFonts w:ascii="Verdana" w:hAnsi="Verdana"/>
          <w:sz w:val="20"/>
          <w:lang w:val="pt-BR"/>
        </w:rPr>
      </w:pPr>
    </w:p>
    <w:p w14:paraId="4C67F81E" w14:textId="77777777" w:rsidR="00D35CA4" w:rsidRPr="00847B73" w:rsidRDefault="00D35CA4" w:rsidP="00D35CA4">
      <w:pPr>
        <w:spacing w:after="0" w:line="240" w:lineRule="auto"/>
        <w:jc w:val="both"/>
        <w:rPr>
          <w:rFonts w:ascii="Verdana" w:hAnsi="Verdana"/>
          <w:sz w:val="20"/>
          <w:lang w:val="pt-BR"/>
        </w:rPr>
      </w:pPr>
    </w:p>
    <w:p w14:paraId="4BA6693F" w14:textId="77777777" w:rsidR="00D35CA4" w:rsidRPr="00847B73" w:rsidRDefault="00D35CA4" w:rsidP="00D35CA4">
      <w:pPr>
        <w:spacing w:after="0" w:line="240" w:lineRule="auto"/>
        <w:jc w:val="both"/>
        <w:rPr>
          <w:rFonts w:ascii="Verdana" w:hAnsi="Verdana"/>
          <w:sz w:val="20"/>
          <w:lang w:val="pt-BR"/>
        </w:rPr>
      </w:pPr>
    </w:p>
    <w:p w14:paraId="4A206144" w14:textId="77777777" w:rsidR="00D35CA4" w:rsidRPr="00847B73" w:rsidRDefault="00D35CA4" w:rsidP="00D35CA4">
      <w:pPr>
        <w:spacing w:after="0" w:line="240" w:lineRule="auto"/>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57403D33" w14:textId="77777777" w:rsidR="00D35CA4" w:rsidRPr="00847B73" w:rsidRDefault="00D35CA4" w:rsidP="00D35CA4">
      <w:pPr>
        <w:spacing w:after="0" w:line="240" w:lineRule="auto"/>
        <w:jc w:val="center"/>
        <w:rPr>
          <w:rFonts w:ascii="Verdana" w:hAnsi="Verdana"/>
          <w:sz w:val="20"/>
          <w:lang w:val="pt-BR"/>
        </w:rPr>
      </w:pPr>
      <w:r w:rsidRPr="00847B73">
        <w:rPr>
          <w:rFonts w:ascii="Verdana" w:hAnsi="Verdana"/>
          <w:sz w:val="20"/>
          <w:lang w:val="pt-BR"/>
        </w:rPr>
        <w:t>Secretario</w:t>
      </w:r>
    </w:p>
    <w:p w14:paraId="5678C304" w14:textId="77777777" w:rsidR="00D35CA4" w:rsidRPr="00847B73" w:rsidRDefault="00D35CA4" w:rsidP="00D35CA4">
      <w:pPr>
        <w:spacing w:after="0" w:line="240" w:lineRule="auto"/>
        <w:rPr>
          <w:rFonts w:ascii="Verdana" w:hAnsi="Verdana"/>
          <w:sz w:val="20"/>
          <w:lang w:val="pt-BR"/>
        </w:rPr>
      </w:pPr>
    </w:p>
    <w:p w14:paraId="71DE4319" w14:textId="77777777" w:rsidR="00D35CA4" w:rsidRPr="00847B73" w:rsidRDefault="00D35CA4" w:rsidP="00D35CA4">
      <w:pPr>
        <w:pStyle w:val="Textonotapie"/>
        <w:rPr>
          <w:rFonts w:ascii="Verdana" w:hAnsi="Verdana"/>
          <w:lang w:val="pt-BR"/>
        </w:rPr>
      </w:pPr>
    </w:p>
    <w:p w14:paraId="76C0FD55" w14:textId="77777777" w:rsidR="00D35CA4" w:rsidRDefault="00D35CA4" w:rsidP="00D35CA4">
      <w:pPr>
        <w:pStyle w:val="Textonotapie"/>
        <w:rPr>
          <w:rFonts w:ascii="Verdana" w:hAnsi="Verdana"/>
          <w:lang w:val="pt-BR"/>
        </w:rPr>
      </w:pPr>
    </w:p>
    <w:p w14:paraId="64C38B68" w14:textId="77777777" w:rsidR="00D35CA4" w:rsidRPr="00847B73" w:rsidRDefault="00D35CA4" w:rsidP="00D35CA4">
      <w:pPr>
        <w:pStyle w:val="Textonotapie"/>
        <w:rPr>
          <w:rFonts w:ascii="Verdana" w:hAnsi="Verdana"/>
          <w:lang w:val="pt-BR"/>
        </w:rPr>
      </w:pPr>
    </w:p>
    <w:p w14:paraId="3CC7F36B" w14:textId="77777777" w:rsidR="00D35CA4" w:rsidRPr="00847B73" w:rsidRDefault="00D35CA4" w:rsidP="00D35CA4">
      <w:pPr>
        <w:spacing w:after="0" w:line="240" w:lineRule="auto"/>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5DD21328" w14:textId="77777777" w:rsidR="00D35CA4" w:rsidRPr="00847B73" w:rsidRDefault="00D35CA4" w:rsidP="00D35CA4">
      <w:pPr>
        <w:spacing w:after="0" w:line="240" w:lineRule="auto"/>
        <w:jc w:val="both"/>
        <w:rPr>
          <w:rFonts w:ascii="Verdana" w:hAnsi="Verdana"/>
          <w:sz w:val="20"/>
          <w:lang w:val="pt-BR"/>
        </w:rPr>
      </w:pPr>
    </w:p>
    <w:p w14:paraId="5F35C3B7" w14:textId="77777777" w:rsidR="00D35CA4" w:rsidRPr="00847B73" w:rsidRDefault="00D35CA4" w:rsidP="00D35CA4">
      <w:pPr>
        <w:spacing w:after="0" w:line="240" w:lineRule="auto"/>
        <w:jc w:val="both"/>
        <w:rPr>
          <w:rFonts w:ascii="Verdana" w:hAnsi="Verdana"/>
          <w:sz w:val="20"/>
          <w:lang w:val="pt-BR"/>
        </w:rPr>
      </w:pPr>
    </w:p>
    <w:p w14:paraId="2CA229AF" w14:textId="77777777" w:rsidR="00D35CA4" w:rsidRPr="00847B73" w:rsidRDefault="00D35CA4" w:rsidP="00D35CA4">
      <w:pPr>
        <w:spacing w:after="0" w:line="240" w:lineRule="auto"/>
        <w:jc w:val="both"/>
        <w:rPr>
          <w:rFonts w:ascii="Verdana" w:hAnsi="Verdana"/>
          <w:sz w:val="20"/>
          <w:lang w:val="pt-BR"/>
        </w:rPr>
      </w:pPr>
    </w:p>
    <w:p w14:paraId="6425EF1F" w14:textId="77777777" w:rsidR="00D35CA4" w:rsidRDefault="00D35CA4" w:rsidP="00D35CA4">
      <w:pPr>
        <w:spacing w:after="0" w:line="240" w:lineRule="auto"/>
        <w:jc w:val="both"/>
        <w:rPr>
          <w:rFonts w:ascii="Verdana" w:hAnsi="Verdana"/>
          <w:sz w:val="20"/>
          <w:lang w:val="pt-BR"/>
        </w:rPr>
      </w:pPr>
    </w:p>
    <w:p w14:paraId="1E535C38" w14:textId="77777777" w:rsidR="00D35CA4" w:rsidRPr="00847B73" w:rsidRDefault="00D35CA4" w:rsidP="00D35CA4">
      <w:pPr>
        <w:spacing w:after="0" w:line="240" w:lineRule="auto"/>
        <w:jc w:val="both"/>
        <w:rPr>
          <w:rFonts w:ascii="Verdana" w:hAnsi="Verdana"/>
          <w:sz w:val="20"/>
          <w:lang w:val="pt-BR"/>
        </w:rPr>
      </w:pPr>
    </w:p>
    <w:p w14:paraId="7F058FA8" w14:textId="77777777" w:rsidR="00D35CA4" w:rsidRPr="00847B73" w:rsidRDefault="00D35CA4" w:rsidP="00D35CA4">
      <w:pPr>
        <w:spacing w:after="0" w:line="240" w:lineRule="auto"/>
        <w:rPr>
          <w:rFonts w:ascii="Verdana" w:hAnsi="Verdana"/>
          <w:sz w:val="20"/>
          <w:lang w:val="es-ES"/>
        </w:rPr>
      </w:pPr>
    </w:p>
    <w:p w14:paraId="13650C88" w14:textId="109606D5" w:rsidR="00D35CA4" w:rsidRDefault="00D35CA4" w:rsidP="00D35CA4">
      <w:pPr>
        <w:spacing w:after="0" w:line="240" w:lineRule="auto"/>
        <w:ind w:left="6372"/>
        <w:rPr>
          <w:rFonts w:ascii="Verdana" w:hAnsi="Verdana"/>
          <w:sz w:val="20"/>
          <w:lang w:val="pt-BR"/>
        </w:rPr>
      </w:pPr>
      <w:r>
        <w:rPr>
          <w:rFonts w:ascii="Verdana" w:hAnsi="Verdana"/>
          <w:sz w:val="20"/>
          <w:lang w:val="es-ES"/>
        </w:rPr>
        <w:t xml:space="preserve">       </w:t>
      </w: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 </w:t>
      </w:r>
    </w:p>
    <w:p w14:paraId="269E717C" w14:textId="77777777" w:rsidR="00D35CA4" w:rsidRPr="00847B73" w:rsidRDefault="00D35CA4" w:rsidP="00D35CA4">
      <w:pPr>
        <w:spacing w:after="0" w:line="240" w:lineRule="auto"/>
        <w:ind w:left="6372"/>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w:t>
      </w:r>
      <w:proofErr w:type="spellStart"/>
      <w:r>
        <w:rPr>
          <w:rFonts w:ascii="Verdana" w:hAnsi="Verdana"/>
          <w:sz w:val="20"/>
          <w:lang w:val="pt-BR"/>
        </w:rPr>
        <w:t>en</w:t>
      </w:r>
      <w:proofErr w:type="spellEnd"/>
      <w:r>
        <w:rPr>
          <w:rFonts w:ascii="Verdana" w:hAnsi="Verdana"/>
          <w:sz w:val="20"/>
          <w:lang w:val="pt-BR"/>
        </w:rPr>
        <w:t xml:space="preserve"> </w:t>
      </w:r>
      <w:proofErr w:type="spellStart"/>
      <w:r>
        <w:rPr>
          <w:rFonts w:ascii="Verdana" w:hAnsi="Verdana"/>
          <w:sz w:val="20"/>
          <w:lang w:val="pt-BR"/>
        </w:rPr>
        <w:t>ejercicio</w:t>
      </w:r>
      <w:proofErr w:type="spellEnd"/>
    </w:p>
    <w:p w14:paraId="27745EBE" w14:textId="77777777" w:rsidR="00D35CA4" w:rsidRPr="00847B73" w:rsidRDefault="00D35CA4" w:rsidP="00D35CA4">
      <w:pPr>
        <w:spacing w:after="0" w:line="240" w:lineRule="auto"/>
        <w:jc w:val="both"/>
        <w:rPr>
          <w:rFonts w:ascii="Verdana" w:hAnsi="Verdana"/>
          <w:sz w:val="20"/>
          <w:lang w:val="pt-BR"/>
        </w:rPr>
      </w:pPr>
    </w:p>
    <w:p w14:paraId="36635772" w14:textId="77777777" w:rsidR="00D35CA4" w:rsidRPr="00847B73" w:rsidRDefault="00D35CA4" w:rsidP="00D35CA4">
      <w:pPr>
        <w:spacing w:after="0" w:line="240" w:lineRule="auto"/>
        <w:jc w:val="both"/>
        <w:rPr>
          <w:rFonts w:ascii="Verdana" w:hAnsi="Verdana"/>
          <w:sz w:val="20"/>
          <w:lang w:val="pt-BR"/>
        </w:rPr>
      </w:pPr>
    </w:p>
    <w:p w14:paraId="1C1E81A4" w14:textId="77777777" w:rsidR="00D35CA4" w:rsidRPr="00847B73" w:rsidRDefault="00D35CA4" w:rsidP="00D35CA4">
      <w:pPr>
        <w:spacing w:after="0" w:line="240" w:lineRule="auto"/>
        <w:jc w:val="both"/>
        <w:rPr>
          <w:rFonts w:ascii="Verdana" w:hAnsi="Verdana"/>
          <w:sz w:val="20"/>
          <w:lang w:val="es-ES"/>
        </w:rPr>
      </w:pPr>
      <w:r w:rsidRPr="00847B73">
        <w:rPr>
          <w:rFonts w:ascii="Verdana" w:hAnsi="Verdana"/>
          <w:sz w:val="20"/>
          <w:lang w:val="es-ES"/>
        </w:rPr>
        <w:t>Pablo Saavedra Alessandri</w:t>
      </w:r>
    </w:p>
    <w:p w14:paraId="4D3AC47D" w14:textId="6690E594" w:rsidR="00314153" w:rsidRPr="00D35CA4" w:rsidRDefault="00D35CA4" w:rsidP="00D35CA4">
      <w:pPr>
        <w:spacing w:after="0" w:line="240" w:lineRule="auto"/>
        <w:rPr>
          <w:rFonts w:ascii="Verdana" w:hAnsi="Verdana"/>
          <w:sz w:val="20"/>
        </w:rPr>
      </w:pPr>
      <w:r w:rsidRPr="00847B73">
        <w:rPr>
          <w:rFonts w:ascii="Verdana" w:hAnsi="Verdana"/>
          <w:sz w:val="20"/>
          <w:lang w:val="es-ES"/>
        </w:rPr>
        <w:tab/>
      </w:r>
      <w:r w:rsidRPr="00847B73">
        <w:rPr>
          <w:rFonts w:ascii="Verdana" w:hAnsi="Verdana"/>
          <w:sz w:val="20"/>
        </w:rPr>
        <w:t>Secretario</w:t>
      </w:r>
    </w:p>
    <w:sectPr w:rsidR="00314153" w:rsidRPr="00D35CA4" w:rsidSect="00E32805">
      <w:headerReference w:type="default" r:id="rId8"/>
      <w:footerReference w:type="default" r:id="rId9"/>
      <w:headerReference w:type="first" r:id="rId10"/>
      <w:endnotePr>
        <w:numFmt w:val="decimal"/>
      </w:endnotePr>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D14A" w14:textId="77777777" w:rsidR="00B32CAA" w:rsidRDefault="00B32CAA" w:rsidP="005A1B3D">
      <w:pPr>
        <w:spacing w:after="0" w:line="240" w:lineRule="auto"/>
      </w:pPr>
      <w:r>
        <w:separator/>
      </w:r>
    </w:p>
  </w:endnote>
  <w:endnote w:type="continuationSeparator" w:id="0">
    <w:p w14:paraId="27156E43" w14:textId="77777777" w:rsidR="00B32CAA" w:rsidRDefault="00B32CAA" w:rsidP="005A1B3D">
      <w:pPr>
        <w:spacing w:after="0" w:line="240" w:lineRule="auto"/>
      </w:pPr>
      <w:r>
        <w:continuationSeparator/>
      </w:r>
    </w:p>
  </w:endnote>
  <w:endnote w:type="continuationNotice" w:id="1">
    <w:p w14:paraId="6A4C2896" w14:textId="77777777" w:rsidR="00B32CAA" w:rsidRDefault="00B32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56017408"/>
      <w:docPartObj>
        <w:docPartGallery w:val="Page Numbers (Bottom of Page)"/>
        <w:docPartUnique/>
      </w:docPartObj>
    </w:sdtPr>
    <w:sdtEndPr/>
    <w:sdtContent>
      <w:p w14:paraId="42F9593B" w14:textId="77777777" w:rsidR="006563D4" w:rsidRPr="00DD5E82" w:rsidRDefault="006563D4">
        <w:pPr>
          <w:pStyle w:val="Piedepgina"/>
          <w:jc w:val="center"/>
          <w:rPr>
            <w:rFonts w:ascii="Verdana" w:hAnsi="Verdana"/>
            <w:sz w:val="16"/>
            <w:szCs w:val="16"/>
          </w:rPr>
        </w:pPr>
      </w:p>
      <w:p w14:paraId="4A42F98E" w14:textId="72E0F363" w:rsidR="006563D4" w:rsidRPr="00DD5E82" w:rsidRDefault="006563D4">
        <w:pPr>
          <w:pStyle w:val="Piedepgina"/>
          <w:jc w:val="center"/>
          <w:rPr>
            <w:rFonts w:ascii="Verdana" w:hAnsi="Verdana"/>
            <w:sz w:val="16"/>
            <w:szCs w:val="16"/>
          </w:rPr>
        </w:pPr>
        <w:r w:rsidRPr="00DD5E82">
          <w:rPr>
            <w:rFonts w:ascii="Verdana" w:hAnsi="Verdana"/>
            <w:sz w:val="16"/>
            <w:szCs w:val="16"/>
          </w:rPr>
          <w:t>-</w:t>
        </w:r>
        <w:r w:rsidRPr="00DD5E82">
          <w:rPr>
            <w:rFonts w:ascii="Verdana" w:hAnsi="Verdana"/>
            <w:sz w:val="16"/>
            <w:szCs w:val="16"/>
          </w:rPr>
          <w:fldChar w:fldCharType="begin"/>
        </w:r>
        <w:r w:rsidRPr="00DD5E82">
          <w:rPr>
            <w:rFonts w:ascii="Verdana" w:hAnsi="Verdana"/>
            <w:sz w:val="16"/>
            <w:szCs w:val="16"/>
          </w:rPr>
          <w:instrText>PAGE   \* MERGEFORMAT</w:instrText>
        </w:r>
        <w:r w:rsidRPr="00DD5E82">
          <w:rPr>
            <w:rFonts w:ascii="Verdana" w:hAnsi="Verdana"/>
            <w:sz w:val="16"/>
            <w:szCs w:val="16"/>
          </w:rPr>
          <w:fldChar w:fldCharType="separate"/>
        </w:r>
        <w:r w:rsidR="00D35CA4" w:rsidRPr="00D35CA4">
          <w:rPr>
            <w:rFonts w:ascii="Verdana" w:hAnsi="Verdana"/>
            <w:noProof/>
            <w:sz w:val="16"/>
            <w:szCs w:val="16"/>
            <w:lang w:val="es-ES"/>
          </w:rPr>
          <w:t>13</w:t>
        </w:r>
        <w:r w:rsidRPr="00DD5E82">
          <w:rPr>
            <w:rFonts w:ascii="Verdana" w:hAnsi="Verdana"/>
            <w:sz w:val="16"/>
            <w:szCs w:val="16"/>
          </w:rPr>
          <w:fldChar w:fldCharType="end"/>
        </w:r>
        <w:r w:rsidRPr="00DD5E82">
          <w:rPr>
            <w:rFonts w:ascii="Verdana" w:hAnsi="Verdana"/>
            <w:sz w:val="16"/>
            <w:szCs w:val="16"/>
          </w:rPr>
          <w:t>-</w:t>
        </w:r>
      </w:p>
    </w:sdtContent>
  </w:sdt>
  <w:p w14:paraId="5F7500C7" w14:textId="77777777" w:rsidR="00B32CAA" w:rsidRPr="00966E88" w:rsidRDefault="00B32CAA" w:rsidP="00966E88">
    <w:pPr>
      <w:pStyle w:val="Piedepgina"/>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2663" w14:textId="77777777" w:rsidR="00B32CAA" w:rsidRDefault="00B32CAA" w:rsidP="005A1B3D">
      <w:pPr>
        <w:spacing w:after="0" w:line="240" w:lineRule="auto"/>
      </w:pPr>
      <w:r>
        <w:separator/>
      </w:r>
    </w:p>
  </w:footnote>
  <w:footnote w:type="continuationSeparator" w:id="0">
    <w:p w14:paraId="0C67FA79" w14:textId="77777777" w:rsidR="00B32CAA" w:rsidRDefault="00B32CAA" w:rsidP="005A1B3D">
      <w:pPr>
        <w:spacing w:after="0" w:line="240" w:lineRule="auto"/>
      </w:pPr>
      <w:r>
        <w:continuationSeparator/>
      </w:r>
    </w:p>
  </w:footnote>
  <w:footnote w:type="continuationNotice" w:id="1">
    <w:p w14:paraId="5BD3183E" w14:textId="77777777" w:rsidR="00B32CAA" w:rsidRDefault="00B32CAA">
      <w:pPr>
        <w:spacing w:after="0" w:line="240" w:lineRule="auto"/>
      </w:pPr>
    </w:p>
  </w:footnote>
  <w:footnote w:id="2">
    <w:p w14:paraId="14D84C65" w14:textId="77777777" w:rsidR="00B32CAA" w:rsidRPr="00C0711E" w:rsidRDefault="00B32CAA" w:rsidP="00E32805">
      <w:pPr>
        <w:pStyle w:val="Textonotapie"/>
        <w:tabs>
          <w:tab w:val="left" w:pos="426"/>
          <w:tab w:val="left" w:pos="567"/>
        </w:tabs>
        <w:jc w:val="both"/>
        <w:rPr>
          <w:rFonts w:ascii="Verdana" w:hAnsi="Verdana" w:cs="Verdana"/>
          <w:sz w:val="16"/>
          <w:szCs w:val="16"/>
          <w:lang w:val="es-CO"/>
        </w:rPr>
      </w:pPr>
      <w:r w:rsidRPr="00C0711E">
        <w:rPr>
          <w:rFonts w:ascii="Verdana" w:hAnsi="Verdana"/>
          <w:sz w:val="16"/>
          <w:szCs w:val="16"/>
          <w:vertAlign w:val="superscript"/>
          <w:lang w:val="es-CR"/>
        </w:rPr>
        <w:t>*</w:t>
      </w:r>
      <w:r w:rsidRPr="00C0711E">
        <w:rPr>
          <w:rFonts w:ascii="Verdana" w:hAnsi="Verdana"/>
          <w:sz w:val="16"/>
          <w:szCs w:val="16"/>
          <w:lang w:val="es-CR"/>
        </w:rPr>
        <w:tab/>
      </w:r>
      <w:r w:rsidRPr="00C0711E">
        <w:rPr>
          <w:rFonts w:ascii="Verdana" w:hAnsi="Verdana"/>
          <w:sz w:val="16"/>
          <w:szCs w:val="16"/>
          <w:lang w:val="es-AR"/>
        </w:rPr>
        <w:t>El</w:t>
      </w:r>
      <w:r w:rsidRPr="00C0711E">
        <w:rPr>
          <w:rFonts w:ascii="Verdana" w:hAnsi="Verdana" w:cs="Verdana"/>
          <w:sz w:val="16"/>
          <w:szCs w:val="16"/>
          <w:lang w:val="es-CO"/>
        </w:rPr>
        <w:t xml:space="preserve"> Juez </w:t>
      </w:r>
      <w:r w:rsidRPr="00C0711E">
        <w:rPr>
          <w:rFonts w:ascii="Verdana" w:hAnsi="Verdana" w:cstheme="minorBidi"/>
          <w:sz w:val="16"/>
          <w:szCs w:val="16"/>
          <w:lang w:val="es-CR"/>
        </w:rPr>
        <w:t>Eduardo</w:t>
      </w:r>
      <w:r>
        <w:rPr>
          <w:rFonts w:ascii="Verdana" w:hAnsi="Verdana" w:cs="Verdana"/>
          <w:sz w:val="16"/>
          <w:szCs w:val="16"/>
          <w:lang w:val="es-CO"/>
        </w:rPr>
        <w:t xml:space="preserve"> </w:t>
      </w:r>
      <w:r w:rsidRPr="00E32805">
        <w:rPr>
          <w:rFonts w:ascii="Verdana" w:hAnsi="Verdana" w:cs="Arial"/>
          <w:sz w:val="16"/>
          <w:szCs w:val="16"/>
        </w:rPr>
        <w:t>Ferrer</w:t>
      </w:r>
      <w:r>
        <w:rPr>
          <w:rFonts w:ascii="Verdana" w:hAnsi="Verdana" w:cs="Verdana"/>
          <w:sz w:val="16"/>
          <w:szCs w:val="16"/>
          <w:lang w:val="es-CO"/>
        </w:rPr>
        <w:t xml:space="preserve"> Mac-</w:t>
      </w:r>
      <w:proofErr w:type="spellStart"/>
      <w:r w:rsidRPr="00C0711E">
        <w:rPr>
          <w:rFonts w:ascii="Verdana" w:hAnsi="Verdana" w:cs="Verdana"/>
          <w:sz w:val="16"/>
          <w:szCs w:val="16"/>
          <w:lang w:val="es-CO"/>
        </w:rPr>
        <w:t>Gregor</w:t>
      </w:r>
      <w:proofErr w:type="spellEnd"/>
      <w:r w:rsidRPr="00C0711E">
        <w:rPr>
          <w:rFonts w:ascii="Verdana" w:hAnsi="Verdana" w:cs="Verdana"/>
          <w:sz w:val="16"/>
          <w:szCs w:val="16"/>
          <w:lang w:val="es-CO"/>
        </w:rPr>
        <w:t xml:space="preserve"> </w:t>
      </w:r>
      <w:proofErr w:type="spellStart"/>
      <w:r w:rsidRPr="00C0711E">
        <w:rPr>
          <w:rFonts w:ascii="Verdana" w:hAnsi="Verdana" w:cs="Verdana"/>
          <w:sz w:val="16"/>
          <w:szCs w:val="16"/>
          <w:lang w:val="es-CO"/>
        </w:rPr>
        <w:t>Poisot</w:t>
      </w:r>
      <w:proofErr w:type="spellEnd"/>
      <w:r w:rsidRPr="00C0711E">
        <w:rPr>
          <w:rFonts w:ascii="Verdana" w:hAnsi="Verdana" w:cs="Verdana"/>
          <w:sz w:val="16"/>
          <w:szCs w:val="16"/>
          <w:lang w:val="es-CO"/>
        </w:rPr>
        <w:t xml:space="preserve"> </w:t>
      </w:r>
      <w:r w:rsidRPr="00C0711E">
        <w:rPr>
          <w:rFonts w:ascii="Verdana" w:hAnsi="Verdana" w:cs="Verdana"/>
          <w:sz w:val="16"/>
          <w:szCs w:val="16"/>
          <w:lang w:val="es-CR"/>
        </w:rPr>
        <w:t>no participó en la deliberación y firma de la presente Resolución por razones de fuerza mayor</w:t>
      </w:r>
      <w:r w:rsidRPr="00C0711E">
        <w:rPr>
          <w:rFonts w:ascii="Verdana" w:hAnsi="Verdana" w:cs="Verdana"/>
          <w:sz w:val="16"/>
          <w:szCs w:val="16"/>
          <w:lang w:val="es-CO"/>
        </w:rPr>
        <w:t>.</w:t>
      </w:r>
    </w:p>
  </w:footnote>
  <w:footnote w:id="3">
    <w:p w14:paraId="227F272A" w14:textId="171A8CE1" w:rsidR="00B32CAA" w:rsidRPr="00E841AC" w:rsidRDefault="00B32CAA" w:rsidP="00CA38EE">
      <w:pPr>
        <w:pStyle w:val="Textonotapie"/>
        <w:tabs>
          <w:tab w:val="left" w:pos="426"/>
          <w:tab w:val="left" w:pos="567"/>
        </w:tabs>
        <w:jc w:val="both"/>
        <w:rPr>
          <w:rFonts w:ascii="Verdana" w:hAnsi="Verdana"/>
          <w:b/>
          <w:sz w:val="16"/>
          <w:szCs w:val="16"/>
          <w:lang w:val="es-CR"/>
        </w:rPr>
      </w:pPr>
      <w:r w:rsidRPr="00E841AC">
        <w:rPr>
          <w:rStyle w:val="Refdenotaalpie"/>
          <w:rFonts w:ascii="Verdana" w:hAnsi="Verdana"/>
          <w:sz w:val="16"/>
          <w:szCs w:val="16"/>
        </w:rPr>
        <w:footnoteRef/>
      </w:r>
      <w:r w:rsidRPr="00E841AC">
        <w:rPr>
          <w:rFonts w:ascii="Verdana" w:hAnsi="Verdana"/>
          <w:sz w:val="16"/>
          <w:szCs w:val="16"/>
        </w:rPr>
        <w:t xml:space="preserve"> </w:t>
      </w:r>
      <w:r w:rsidRPr="00E841AC">
        <w:rPr>
          <w:rFonts w:ascii="Verdana" w:hAnsi="Verdana"/>
          <w:sz w:val="16"/>
          <w:szCs w:val="16"/>
        </w:rPr>
        <w:tab/>
      </w:r>
      <w:r w:rsidRPr="00E841AC">
        <w:rPr>
          <w:rFonts w:ascii="Verdana" w:hAnsi="Verdana"/>
          <w:i/>
          <w:sz w:val="16"/>
          <w:szCs w:val="16"/>
        </w:rPr>
        <w:t xml:space="preserve">Cfr. </w:t>
      </w:r>
      <w:r w:rsidRPr="00E841AC">
        <w:rPr>
          <w:rStyle w:val="Textoennegrita"/>
          <w:rFonts w:ascii="Verdana" w:hAnsi="Verdana"/>
          <w:b w:val="0"/>
          <w:i/>
          <w:sz w:val="16"/>
          <w:szCs w:val="16"/>
          <w:shd w:val="clear" w:color="auto" w:fill="FFFFFF"/>
        </w:rPr>
        <w:t xml:space="preserve">Caso </w:t>
      </w:r>
      <w:r>
        <w:rPr>
          <w:rStyle w:val="Textoennegrita"/>
          <w:rFonts w:ascii="Verdana" w:hAnsi="Verdana"/>
          <w:b w:val="0"/>
          <w:i/>
          <w:sz w:val="16"/>
          <w:szCs w:val="16"/>
          <w:shd w:val="clear" w:color="auto" w:fill="FFFFFF"/>
          <w:lang w:val="es-CR"/>
        </w:rPr>
        <w:t>Trabajadores de la Hacienda Brasil Verde</w:t>
      </w:r>
      <w:r>
        <w:rPr>
          <w:rStyle w:val="Textoennegrita"/>
          <w:rFonts w:ascii="Verdana" w:hAnsi="Verdana"/>
          <w:b w:val="0"/>
          <w:i/>
          <w:sz w:val="16"/>
          <w:szCs w:val="16"/>
          <w:shd w:val="clear" w:color="auto" w:fill="FFFFFF"/>
        </w:rPr>
        <w:t xml:space="preserve"> Vs. </w:t>
      </w:r>
      <w:r>
        <w:rPr>
          <w:rStyle w:val="Textoennegrita"/>
          <w:rFonts w:ascii="Verdana" w:hAnsi="Verdana"/>
          <w:b w:val="0"/>
          <w:i/>
          <w:sz w:val="16"/>
          <w:szCs w:val="16"/>
          <w:shd w:val="clear" w:color="auto" w:fill="FFFFFF"/>
          <w:lang w:val="es-CR"/>
        </w:rPr>
        <w:t>Br</w:t>
      </w:r>
      <w:proofErr w:type="spellStart"/>
      <w:r w:rsidRPr="00E841AC">
        <w:rPr>
          <w:rStyle w:val="Textoennegrita"/>
          <w:rFonts w:ascii="Verdana" w:hAnsi="Verdana"/>
          <w:b w:val="0"/>
          <w:i/>
          <w:sz w:val="16"/>
          <w:szCs w:val="16"/>
          <w:shd w:val="clear" w:color="auto" w:fill="FFFFFF"/>
        </w:rPr>
        <w:t>a</w:t>
      </w:r>
      <w:r>
        <w:rPr>
          <w:rStyle w:val="Textoennegrita"/>
          <w:rFonts w:ascii="Verdana" w:hAnsi="Verdana"/>
          <w:b w:val="0"/>
          <w:i/>
          <w:sz w:val="16"/>
          <w:szCs w:val="16"/>
          <w:shd w:val="clear" w:color="auto" w:fill="FFFFFF"/>
          <w:lang w:val="es-CR"/>
        </w:rPr>
        <w:t>sil</w:t>
      </w:r>
      <w:proofErr w:type="spellEnd"/>
      <w:r w:rsidRPr="00E841AC">
        <w:rPr>
          <w:rStyle w:val="Textoennegrita"/>
          <w:rFonts w:ascii="Verdana" w:hAnsi="Verdana"/>
          <w:b w:val="0"/>
          <w:i/>
          <w:sz w:val="16"/>
          <w:szCs w:val="16"/>
          <w:shd w:val="clear" w:color="auto" w:fill="FFFFFF"/>
        </w:rPr>
        <w:t xml:space="preserve">. </w:t>
      </w:r>
      <w:r>
        <w:rPr>
          <w:rStyle w:val="Textoennegrita"/>
          <w:rFonts w:ascii="Verdana" w:hAnsi="Verdana"/>
          <w:b w:val="0"/>
          <w:i/>
          <w:sz w:val="16"/>
          <w:szCs w:val="16"/>
          <w:shd w:val="clear" w:color="auto" w:fill="FFFFFF"/>
          <w:lang w:val="es-CR"/>
        </w:rPr>
        <w:t xml:space="preserve">Excepciones Preliminares, </w:t>
      </w:r>
      <w:r w:rsidRPr="00E841AC">
        <w:rPr>
          <w:rStyle w:val="Textoennegrita"/>
          <w:rFonts w:ascii="Verdana" w:hAnsi="Verdana"/>
          <w:b w:val="0"/>
          <w:i/>
          <w:sz w:val="16"/>
          <w:szCs w:val="16"/>
          <w:shd w:val="clear" w:color="auto" w:fill="FFFFFF"/>
        </w:rPr>
        <w:t xml:space="preserve">Fondo, Reparaciones y Costas. </w:t>
      </w:r>
      <w:r w:rsidRPr="00E841AC">
        <w:rPr>
          <w:rStyle w:val="Textoennegrita"/>
          <w:rFonts w:ascii="Verdana" w:hAnsi="Verdana"/>
          <w:b w:val="0"/>
          <w:sz w:val="16"/>
          <w:szCs w:val="16"/>
          <w:shd w:val="clear" w:color="auto" w:fill="FFFFFF"/>
        </w:rPr>
        <w:t>Sentencia de 2</w:t>
      </w:r>
      <w:r>
        <w:rPr>
          <w:rStyle w:val="Textoennegrita"/>
          <w:rFonts w:ascii="Verdana" w:hAnsi="Verdana"/>
          <w:b w:val="0"/>
          <w:sz w:val="16"/>
          <w:szCs w:val="16"/>
          <w:shd w:val="clear" w:color="auto" w:fill="FFFFFF"/>
          <w:lang w:val="es-CR"/>
        </w:rPr>
        <w:t>0</w:t>
      </w:r>
      <w:r>
        <w:rPr>
          <w:rStyle w:val="Textoennegrita"/>
          <w:rFonts w:ascii="Verdana" w:hAnsi="Verdana"/>
          <w:b w:val="0"/>
          <w:sz w:val="16"/>
          <w:szCs w:val="16"/>
          <w:shd w:val="clear" w:color="auto" w:fill="FFFFFF"/>
        </w:rPr>
        <w:t xml:space="preserve"> de</w:t>
      </w:r>
      <w:r>
        <w:rPr>
          <w:rStyle w:val="Textoennegrita"/>
          <w:rFonts w:ascii="Verdana" w:hAnsi="Verdana"/>
          <w:b w:val="0"/>
          <w:sz w:val="16"/>
          <w:szCs w:val="16"/>
          <w:shd w:val="clear" w:color="auto" w:fill="FFFFFF"/>
          <w:lang w:val="es-CR"/>
        </w:rPr>
        <w:t xml:space="preserve"> octubre</w:t>
      </w:r>
      <w:r>
        <w:rPr>
          <w:rStyle w:val="Textoennegrita"/>
          <w:rFonts w:ascii="Verdana" w:hAnsi="Verdana"/>
          <w:b w:val="0"/>
          <w:sz w:val="16"/>
          <w:szCs w:val="16"/>
          <w:shd w:val="clear" w:color="auto" w:fill="FFFFFF"/>
        </w:rPr>
        <w:t xml:space="preserve"> de 201</w:t>
      </w:r>
      <w:r>
        <w:rPr>
          <w:rStyle w:val="Textoennegrita"/>
          <w:rFonts w:ascii="Verdana" w:hAnsi="Verdana"/>
          <w:b w:val="0"/>
          <w:sz w:val="16"/>
          <w:szCs w:val="16"/>
          <w:shd w:val="clear" w:color="auto" w:fill="FFFFFF"/>
          <w:lang w:val="es-CR"/>
        </w:rPr>
        <w:t>6</w:t>
      </w:r>
      <w:r>
        <w:rPr>
          <w:rStyle w:val="Textoennegrita"/>
          <w:rFonts w:ascii="Verdana" w:hAnsi="Verdana"/>
          <w:b w:val="0"/>
          <w:sz w:val="16"/>
          <w:szCs w:val="16"/>
          <w:shd w:val="clear" w:color="auto" w:fill="FFFFFF"/>
        </w:rPr>
        <w:t xml:space="preserve">. Serie C No. </w:t>
      </w:r>
      <w:r>
        <w:rPr>
          <w:rStyle w:val="Textoennegrita"/>
          <w:rFonts w:ascii="Verdana" w:hAnsi="Verdana"/>
          <w:b w:val="0"/>
          <w:sz w:val="16"/>
          <w:szCs w:val="16"/>
          <w:shd w:val="clear" w:color="auto" w:fill="FFFFFF"/>
          <w:lang w:val="es-CR"/>
        </w:rPr>
        <w:t>318</w:t>
      </w:r>
      <w:r w:rsidRPr="00E841AC">
        <w:rPr>
          <w:rStyle w:val="Textoennegrita"/>
          <w:rFonts w:ascii="Verdana" w:hAnsi="Verdana"/>
          <w:b w:val="0"/>
          <w:sz w:val="16"/>
          <w:szCs w:val="16"/>
          <w:shd w:val="clear" w:color="auto" w:fill="FFFFFF"/>
        </w:rPr>
        <w:t>.</w:t>
      </w:r>
      <w:r w:rsidRPr="00E841AC">
        <w:rPr>
          <w:rStyle w:val="Textoennegrita"/>
          <w:rFonts w:ascii="Verdana" w:hAnsi="Verdana"/>
          <w:b w:val="0"/>
          <w:sz w:val="16"/>
          <w:szCs w:val="16"/>
          <w:shd w:val="clear" w:color="auto" w:fill="FFFFFF"/>
          <w:lang w:val="es-CR"/>
        </w:rPr>
        <w:t xml:space="preserve"> </w:t>
      </w:r>
      <w:r w:rsidRPr="00E841AC">
        <w:rPr>
          <w:rFonts w:ascii="Verdana" w:hAnsi="Verdana"/>
          <w:sz w:val="16"/>
          <w:szCs w:val="16"/>
        </w:rPr>
        <w:t xml:space="preserve">El texto íntegro de la Sentencia se encuentra disponible en: </w:t>
      </w:r>
      <w:hyperlink r:id="rId1" w:history="1">
        <w:r w:rsidRPr="00233A19">
          <w:rPr>
            <w:rStyle w:val="Hipervnculo"/>
            <w:rFonts w:ascii="Verdana" w:hAnsi="Verdana"/>
            <w:sz w:val="16"/>
            <w:szCs w:val="16"/>
          </w:rPr>
          <w:t>http://corteidh.or.cr/docs/casos/articulos/seriec_</w:t>
        </w:r>
        <w:r w:rsidRPr="00233A19">
          <w:rPr>
            <w:rStyle w:val="Hipervnculo"/>
            <w:rFonts w:ascii="Verdana" w:hAnsi="Verdana"/>
            <w:sz w:val="16"/>
            <w:szCs w:val="16"/>
            <w:lang w:val="es-CR"/>
          </w:rPr>
          <w:t>318</w:t>
        </w:r>
        <w:r w:rsidRPr="00233A19">
          <w:rPr>
            <w:rStyle w:val="Hipervnculo"/>
            <w:rFonts w:ascii="Verdana" w:hAnsi="Verdana"/>
            <w:sz w:val="16"/>
            <w:szCs w:val="16"/>
          </w:rPr>
          <w:t>_esp.pd</w:t>
        </w:r>
        <w:r w:rsidRPr="00233A19">
          <w:rPr>
            <w:rStyle w:val="Hipervnculo"/>
            <w:rFonts w:ascii="Verdana" w:hAnsi="Verdana"/>
            <w:sz w:val="16"/>
            <w:szCs w:val="16"/>
            <w:lang w:val="es-CR"/>
          </w:rPr>
          <w:t>f</w:t>
        </w:r>
      </w:hyperlink>
      <w:r>
        <w:rPr>
          <w:rFonts w:ascii="Verdana" w:hAnsi="Verdana"/>
          <w:sz w:val="16"/>
          <w:szCs w:val="16"/>
          <w:lang w:val="es-CR"/>
        </w:rPr>
        <w:t>.</w:t>
      </w:r>
      <w:r w:rsidRPr="00E841AC">
        <w:rPr>
          <w:rFonts w:ascii="Verdana" w:hAnsi="Verdana"/>
          <w:sz w:val="16"/>
          <w:szCs w:val="16"/>
          <w:lang w:val="es-CR"/>
        </w:rPr>
        <w:t xml:space="preserve"> </w:t>
      </w:r>
      <w:r w:rsidRPr="00E841AC">
        <w:rPr>
          <w:rFonts w:ascii="Verdana" w:hAnsi="Verdana" w:cs="Arial"/>
          <w:sz w:val="16"/>
          <w:szCs w:val="16"/>
        </w:rPr>
        <w:t xml:space="preserve">La Sentencia fue notificada el </w:t>
      </w:r>
      <w:r w:rsidRPr="00E841AC">
        <w:rPr>
          <w:rFonts w:ascii="Verdana" w:hAnsi="Verdana" w:cs="Arial"/>
          <w:sz w:val="16"/>
          <w:szCs w:val="16"/>
          <w:lang w:val="es-CR"/>
        </w:rPr>
        <w:t>1</w:t>
      </w:r>
      <w:r>
        <w:rPr>
          <w:rFonts w:ascii="Verdana" w:hAnsi="Verdana" w:cs="Arial"/>
          <w:sz w:val="16"/>
          <w:szCs w:val="16"/>
          <w:lang w:val="es-CR"/>
        </w:rPr>
        <w:t>5</w:t>
      </w:r>
      <w:r w:rsidRPr="00E841AC">
        <w:rPr>
          <w:rFonts w:ascii="Verdana" w:hAnsi="Verdana" w:cs="Arial"/>
          <w:sz w:val="16"/>
          <w:szCs w:val="16"/>
        </w:rPr>
        <w:t xml:space="preserve"> de </w:t>
      </w:r>
      <w:r>
        <w:rPr>
          <w:rFonts w:ascii="Verdana" w:hAnsi="Verdana" w:cs="Arial"/>
          <w:sz w:val="16"/>
          <w:szCs w:val="16"/>
          <w:lang w:val="es-CR"/>
        </w:rPr>
        <w:t>diciembre</w:t>
      </w:r>
      <w:r w:rsidRPr="00E841AC">
        <w:rPr>
          <w:rFonts w:ascii="Verdana" w:hAnsi="Verdana" w:cs="Arial"/>
          <w:sz w:val="16"/>
          <w:szCs w:val="16"/>
        </w:rPr>
        <w:t xml:space="preserve"> de 201</w:t>
      </w:r>
      <w:r>
        <w:rPr>
          <w:rFonts w:ascii="Verdana" w:hAnsi="Verdana" w:cs="Arial"/>
          <w:sz w:val="16"/>
          <w:szCs w:val="16"/>
          <w:lang w:val="es-CR"/>
        </w:rPr>
        <w:t>6</w:t>
      </w:r>
      <w:r w:rsidRPr="00E841AC">
        <w:rPr>
          <w:rFonts w:ascii="Verdana" w:hAnsi="Verdana" w:cs="Arial"/>
          <w:sz w:val="16"/>
          <w:szCs w:val="16"/>
        </w:rPr>
        <w:t>.</w:t>
      </w:r>
    </w:p>
  </w:footnote>
  <w:footnote w:id="4">
    <w:p w14:paraId="30B598E8" w14:textId="0D7CB3A5" w:rsidR="00B32CAA" w:rsidRPr="00494C28" w:rsidRDefault="00B32CAA" w:rsidP="00494C28">
      <w:pPr>
        <w:pStyle w:val="Textonotapie"/>
        <w:tabs>
          <w:tab w:val="left" w:pos="426"/>
          <w:tab w:val="left" w:pos="567"/>
        </w:tabs>
        <w:jc w:val="both"/>
        <w:rPr>
          <w:rFonts w:ascii="Verdana" w:hAnsi="Verdana"/>
          <w:sz w:val="16"/>
          <w:szCs w:val="16"/>
          <w:lang w:val="es-AR"/>
        </w:rPr>
      </w:pPr>
      <w:r w:rsidRPr="00494C28">
        <w:rPr>
          <w:rStyle w:val="Refdenotaalpie"/>
          <w:rFonts w:ascii="Verdana" w:hAnsi="Verdana"/>
          <w:sz w:val="16"/>
          <w:szCs w:val="16"/>
        </w:rPr>
        <w:footnoteRef/>
      </w:r>
      <w:r w:rsidRPr="00494C28">
        <w:rPr>
          <w:rFonts w:ascii="Verdana" w:hAnsi="Verdana"/>
          <w:sz w:val="16"/>
          <w:szCs w:val="16"/>
        </w:rPr>
        <w:t xml:space="preserve"> </w:t>
      </w:r>
      <w:r w:rsidRPr="00494C28">
        <w:rPr>
          <w:rFonts w:ascii="Verdana" w:hAnsi="Verdana"/>
          <w:sz w:val="16"/>
          <w:szCs w:val="16"/>
          <w:lang w:val="es-AR"/>
        </w:rPr>
        <w:tab/>
        <w:t xml:space="preserve">Se trata de </w:t>
      </w:r>
      <w:proofErr w:type="spellStart"/>
      <w:r w:rsidRPr="00494C28">
        <w:rPr>
          <w:rFonts w:ascii="Verdana" w:hAnsi="Verdana" w:cs="Arial"/>
          <w:sz w:val="16"/>
          <w:szCs w:val="16"/>
        </w:rPr>
        <w:t>Antônio</w:t>
      </w:r>
      <w:proofErr w:type="spellEnd"/>
      <w:r w:rsidRPr="00494C28">
        <w:rPr>
          <w:rFonts w:ascii="Verdana" w:hAnsi="Verdana"/>
          <w:sz w:val="16"/>
          <w:szCs w:val="16"/>
          <w:lang w:val="es-AR"/>
        </w:rPr>
        <w:t xml:space="preserve"> Francisco da Silva. </w:t>
      </w:r>
    </w:p>
  </w:footnote>
  <w:footnote w:id="5">
    <w:p w14:paraId="030E283D" w14:textId="77777777" w:rsidR="00B32CAA" w:rsidRPr="005F0D57" w:rsidRDefault="00B32CAA" w:rsidP="00CA38EE">
      <w:pPr>
        <w:pStyle w:val="Textonotapie"/>
        <w:tabs>
          <w:tab w:val="left" w:pos="426"/>
        </w:tabs>
        <w:jc w:val="both"/>
        <w:rPr>
          <w:rFonts w:ascii="Verdana" w:hAnsi="Verdana"/>
          <w:b/>
          <w:sz w:val="16"/>
          <w:szCs w:val="16"/>
          <w:lang w:val="es-CR"/>
        </w:rPr>
      </w:pPr>
      <w:r w:rsidRPr="005F0D57">
        <w:rPr>
          <w:rStyle w:val="Refdenotaalpie"/>
          <w:rFonts w:ascii="Verdana" w:hAnsi="Verdana"/>
          <w:sz w:val="16"/>
          <w:szCs w:val="16"/>
        </w:rPr>
        <w:footnoteRef/>
      </w:r>
      <w:r w:rsidRPr="005F0D57">
        <w:rPr>
          <w:rFonts w:ascii="Verdana" w:hAnsi="Verdana"/>
          <w:sz w:val="16"/>
          <w:szCs w:val="16"/>
        </w:rPr>
        <w:t xml:space="preserve"> </w:t>
      </w:r>
      <w:r w:rsidRPr="005F0D57">
        <w:rPr>
          <w:rFonts w:ascii="Verdana" w:hAnsi="Verdana"/>
          <w:sz w:val="16"/>
          <w:szCs w:val="16"/>
          <w:lang w:val="es-CR"/>
        </w:rPr>
        <w:tab/>
      </w:r>
      <w:r w:rsidRPr="005F0D57">
        <w:rPr>
          <w:rFonts w:ascii="Verdana" w:hAnsi="Verdana"/>
          <w:i/>
          <w:sz w:val="16"/>
          <w:szCs w:val="16"/>
          <w:lang w:val="es-CR"/>
        </w:rPr>
        <w:t xml:space="preserve">Cfr. </w:t>
      </w:r>
      <w:r w:rsidRPr="005F0D57">
        <w:rPr>
          <w:rFonts w:ascii="Verdana" w:hAnsi="Verdana"/>
          <w:bCs/>
          <w:i/>
          <w:sz w:val="16"/>
          <w:szCs w:val="16"/>
          <w:lang w:val="es-CR"/>
        </w:rPr>
        <w:t xml:space="preserve">Caso Trabajadores de la Hacienda Brasil Verde Vs. Brasil. Interpretación de la Sentencia de Excepciones Preliminares, Fondo, Reparaciones y Costas. </w:t>
      </w:r>
      <w:r w:rsidRPr="005F0D57">
        <w:rPr>
          <w:rFonts w:ascii="Verdana" w:hAnsi="Verdana"/>
          <w:bCs/>
          <w:sz w:val="16"/>
          <w:szCs w:val="16"/>
          <w:lang w:val="es-CR"/>
        </w:rPr>
        <w:t xml:space="preserve">Sentencia de 22 de agosto de 2017. Serie C No. 337, </w:t>
      </w:r>
      <w:r w:rsidRPr="005F0D57">
        <w:rPr>
          <w:rFonts w:ascii="Verdana" w:hAnsi="Verdana"/>
          <w:sz w:val="16"/>
          <w:szCs w:val="16"/>
          <w:lang w:val="es-CR"/>
        </w:rPr>
        <w:t xml:space="preserve">disponible en: </w:t>
      </w:r>
      <w:hyperlink r:id="rId2" w:history="1">
        <w:r w:rsidRPr="005F0D57">
          <w:rPr>
            <w:rStyle w:val="Hipervnculo"/>
            <w:rFonts w:ascii="Verdana" w:hAnsi="Verdana"/>
            <w:sz w:val="16"/>
            <w:szCs w:val="16"/>
            <w:lang w:val="es-CR"/>
          </w:rPr>
          <w:t>http://corteidh.or.cr/docs/casos/articulos/seriec_337_esp.pdf</w:t>
        </w:r>
      </w:hyperlink>
      <w:r w:rsidRPr="005F0D57">
        <w:rPr>
          <w:rFonts w:ascii="Verdana" w:hAnsi="Verdana"/>
          <w:sz w:val="16"/>
          <w:szCs w:val="16"/>
          <w:lang w:val="es-CR"/>
        </w:rPr>
        <w:t>.</w:t>
      </w:r>
    </w:p>
  </w:footnote>
  <w:footnote w:id="6">
    <w:p w14:paraId="512A658E" w14:textId="709B5752" w:rsidR="00B32CAA" w:rsidRPr="00394839" w:rsidRDefault="00B32CAA" w:rsidP="00394839">
      <w:pPr>
        <w:pStyle w:val="Textonotapie"/>
        <w:tabs>
          <w:tab w:val="left" w:pos="426"/>
        </w:tabs>
        <w:jc w:val="both"/>
        <w:rPr>
          <w:rFonts w:ascii="Verdana" w:hAnsi="Verdana"/>
          <w:sz w:val="16"/>
          <w:szCs w:val="16"/>
        </w:rPr>
      </w:pPr>
      <w:r w:rsidRPr="005F0D57">
        <w:rPr>
          <w:rStyle w:val="Refdenotaalpie"/>
          <w:rFonts w:ascii="Verdana" w:hAnsi="Verdana"/>
          <w:sz w:val="16"/>
          <w:szCs w:val="16"/>
        </w:rPr>
        <w:footnoteRef/>
      </w:r>
      <w:r w:rsidRPr="005F0D57">
        <w:rPr>
          <w:rFonts w:ascii="Verdana" w:hAnsi="Verdana"/>
          <w:sz w:val="16"/>
          <w:szCs w:val="16"/>
        </w:rPr>
        <w:t xml:space="preserve"> </w:t>
      </w:r>
      <w:r w:rsidRPr="005F0D57">
        <w:rPr>
          <w:rFonts w:ascii="Verdana" w:hAnsi="Verdana"/>
          <w:sz w:val="16"/>
          <w:szCs w:val="16"/>
        </w:rPr>
        <w:tab/>
      </w:r>
      <w:r>
        <w:rPr>
          <w:rFonts w:ascii="Verdana" w:hAnsi="Verdana"/>
          <w:sz w:val="16"/>
          <w:szCs w:val="16"/>
          <w:lang w:val="es-AR"/>
        </w:rPr>
        <w:t xml:space="preserve">Las víctimas del presente caso son representadas por </w:t>
      </w:r>
      <w:r>
        <w:rPr>
          <w:rFonts w:ascii="Verdana" w:hAnsi="Verdana"/>
          <w:sz w:val="16"/>
          <w:szCs w:val="16"/>
          <w:lang w:val="es-CR"/>
        </w:rPr>
        <w:t>e</w:t>
      </w:r>
      <w:r w:rsidRPr="00394839">
        <w:rPr>
          <w:rFonts w:ascii="Verdana" w:hAnsi="Verdana"/>
          <w:sz w:val="16"/>
          <w:szCs w:val="16"/>
          <w:lang w:val="es-CR"/>
        </w:rPr>
        <w:t>l Centro por la Justicia y el Derecho Internacional</w:t>
      </w:r>
      <w:r w:rsidRPr="00394839">
        <w:rPr>
          <w:rFonts w:ascii="Verdana" w:hAnsi="Verdana"/>
          <w:sz w:val="16"/>
          <w:szCs w:val="16"/>
        </w:rPr>
        <w:t xml:space="preserve"> (CE</w:t>
      </w:r>
      <w:r w:rsidRPr="00394839">
        <w:rPr>
          <w:rFonts w:ascii="Verdana" w:hAnsi="Verdana"/>
          <w:sz w:val="16"/>
          <w:szCs w:val="16"/>
          <w:lang w:val="es-CR"/>
        </w:rPr>
        <w:t>JIL</w:t>
      </w:r>
      <w:r w:rsidRPr="00394839">
        <w:rPr>
          <w:rFonts w:ascii="Verdana" w:hAnsi="Verdana"/>
          <w:sz w:val="16"/>
          <w:szCs w:val="16"/>
        </w:rPr>
        <w:t>)</w:t>
      </w:r>
      <w:r>
        <w:rPr>
          <w:rFonts w:ascii="Verdana" w:hAnsi="Verdana"/>
          <w:sz w:val="16"/>
          <w:szCs w:val="16"/>
          <w:lang w:val="es-AR"/>
        </w:rPr>
        <w:t xml:space="preserve"> y la Comisión Pastoral de la Tierra (CPT).</w:t>
      </w:r>
    </w:p>
  </w:footnote>
  <w:footnote w:id="7">
    <w:p w14:paraId="6286D7AC" w14:textId="77777777" w:rsidR="00B32CAA" w:rsidRPr="00394839" w:rsidRDefault="00B32CAA" w:rsidP="00394839">
      <w:pPr>
        <w:pStyle w:val="Textonotapie"/>
        <w:tabs>
          <w:tab w:val="left" w:pos="426"/>
        </w:tabs>
        <w:jc w:val="both"/>
        <w:rPr>
          <w:rFonts w:ascii="Verdana" w:hAnsi="Verdana"/>
          <w:sz w:val="16"/>
          <w:szCs w:val="16"/>
        </w:rPr>
      </w:pPr>
      <w:r w:rsidRPr="00394839">
        <w:rPr>
          <w:rStyle w:val="Refdenotaalpie"/>
          <w:rFonts w:ascii="Verdana" w:hAnsi="Verdana"/>
          <w:sz w:val="16"/>
          <w:szCs w:val="16"/>
        </w:rPr>
        <w:footnoteRef/>
      </w:r>
      <w:r w:rsidRPr="00394839">
        <w:rPr>
          <w:rFonts w:ascii="Verdana" w:hAnsi="Verdana"/>
          <w:sz w:val="16"/>
          <w:szCs w:val="16"/>
        </w:rPr>
        <w:t xml:space="preserve"> </w:t>
      </w:r>
      <w:r w:rsidRPr="00394839">
        <w:rPr>
          <w:rFonts w:ascii="Verdana" w:hAnsi="Verdana"/>
          <w:sz w:val="16"/>
          <w:szCs w:val="16"/>
        </w:rPr>
        <w:tab/>
      </w:r>
      <w:r w:rsidRPr="00394839">
        <w:rPr>
          <w:rFonts w:ascii="Verdana" w:hAnsi="Verdana"/>
          <w:sz w:val="16"/>
          <w:szCs w:val="16"/>
        </w:rPr>
        <w:t xml:space="preserve">Facultad que además </w:t>
      </w:r>
      <w:r w:rsidRPr="00394839">
        <w:rPr>
          <w:rFonts w:ascii="Verdana" w:hAnsi="Verdana"/>
          <w:sz w:val="16"/>
          <w:szCs w:val="16"/>
          <w:lang w:val="es-ES"/>
        </w:rPr>
        <w:t xml:space="preserve">se desprende de lo dispuesto en los artículos 33, 62.1, 62.3 y 65 de la Convención Americana y </w:t>
      </w:r>
      <w:r w:rsidRPr="00394839">
        <w:rPr>
          <w:rFonts w:ascii="Verdana" w:hAnsi="Verdana"/>
          <w:sz w:val="16"/>
          <w:szCs w:val="16"/>
        </w:rPr>
        <w:t>30 de su Estatuto y se encuentra regulada en el artículo 69 de su Reglamento.</w:t>
      </w:r>
    </w:p>
  </w:footnote>
  <w:footnote w:id="8">
    <w:p w14:paraId="6A0CBF38" w14:textId="0010AE7A" w:rsidR="00B32CAA" w:rsidRPr="00BE43A2" w:rsidRDefault="00B32CAA" w:rsidP="00466FD8">
      <w:pPr>
        <w:pStyle w:val="Textonotapie"/>
        <w:tabs>
          <w:tab w:val="left" w:pos="426"/>
        </w:tabs>
        <w:jc w:val="both"/>
        <w:rPr>
          <w:rFonts w:ascii="Verdana" w:hAnsi="Verdana"/>
          <w:sz w:val="16"/>
          <w:szCs w:val="16"/>
          <w:lang w:val="es-CR"/>
        </w:rPr>
      </w:pPr>
      <w:r w:rsidRPr="00394839">
        <w:rPr>
          <w:rStyle w:val="Refdenotaalpie"/>
          <w:rFonts w:ascii="Verdana" w:hAnsi="Verdana"/>
          <w:sz w:val="16"/>
          <w:szCs w:val="16"/>
        </w:rPr>
        <w:footnoteRef/>
      </w:r>
      <w:r>
        <w:rPr>
          <w:rFonts w:ascii="Verdana" w:hAnsi="Verdana"/>
          <w:sz w:val="16"/>
          <w:szCs w:val="16"/>
          <w:lang w:val="es-AR"/>
        </w:rPr>
        <w:t xml:space="preserve"> </w:t>
      </w:r>
      <w:r>
        <w:rPr>
          <w:rFonts w:ascii="Verdana" w:hAnsi="Verdana"/>
          <w:sz w:val="16"/>
          <w:szCs w:val="16"/>
          <w:lang w:val="es-AR"/>
        </w:rPr>
        <w:tab/>
      </w:r>
      <w:r w:rsidRPr="00394839">
        <w:rPr>
          <w:rFonts w:ascii="Verdana" w:hAnsi="Verdana"/>
          <w:i/>
          <w:sz w:val="16"/>
          <w:szCs w:val="16"/>
          <w:lang w:val="es-CR"/>
        </w:rPr>
        <w:t>Cfr. Caso Cinco Pensionistas Vs. Perú. Supervisión de Cumplimiento de Sentencia</w:t>
      </w:r>
      <w:r w:rsidRPr="00394839">
        <w:rPr>
          <w:rFonts w:ascii="Verdana" w:hAnsi="Verdana"/>
          <w:sz w:val="16"/>
          <w:szCs w:val="16"/>
          <w:lang w:val="es-CR"/>
        </w:rPr>
        <w:t xml:space="preserve">. Resolución de la Corte Interamericana de Derechos Humanos de 17 de noviembre de 2004, </w:t>
      </w:r>
      <w:r w:rsidRPr="00BE43A2">
        <w:rPr>
          <w:rFonts w:ascii="Verdana" w:hAnsi="Verdana"/>
          <w:sz w:val="16"/>
          <w:szCs w:val="16"/>
          <w:lang w:val="es-CR"/>
        </w:rPr>
        <w:t xml:space="preserve">Considerando </w:t>
      </w:r>
      <w:r w:rsidR="006218E1" w:rsidRPr="00BE43A2">
        <w:rPr>
          <w:rFonts w:ascii="Verdana" w:hAnsi="Verdana"/>
          <w:sz w:val="16"/>
          <w:szCs w:val="16"/>
          <w:lang w:val="es-CR"/>
        </w:rPr>
        <w:t>5</w:t>
      </w:r>
      <w:r w:rsidRPr="00BE43A2">
        <w:rPr>
          <w:rFonts w:ascii="Verdana" w:hAnsi="Verdana"/>
          <w:sz w:val="16"/>
          <w:szCs w:val="16"/>
          <w:lang w:val="es-CR"/>
        </w:rPr>
        <w:t xml:space="preserve">, y </w:t>
      </w:r>
      <w:r w:rsidRPr="00BE43A2">
        <w:rPr>
          <w:rFonts w:ascii="Verdana" w:hAnsi="Verdana"/>
          <w:i/>
          <w:sz w:val="16"/>
          <w:szCs w:val="16"/>
          <w:lang w:val="es-CR"/>
        </w:rPr>
        <w:t xml:space="preserve">Caso Carvajal </w:t>
      </w:r>
      <w:proofErr w:type="spellStart"/>
      <w:r w:rsidRPr="00BE43A2">
        <w:rPr>
          <w:rFonts w:ascii="Verdana" w:hAnsi="Verdana"/>
          <w:i/>
          <w:sz w:val="16"/>
          <w:szCs w:val="16"/>
          <w:lang w:val="es-CR"/>
        </w:rPr>
        <w:t>Carvajal</w:t>
      </w:r>
      <w:proofErr w:type="spellEnd"/>
      <w:r w:rsidRPr="00BE43A2">
        <w:rPr>
          <w:rFonts w:ascii="Verdana" w:hAnsi="Verdana"/>
          <w:i/>
          <w:sz w:val="16"/>
          <w:szCs w:val="16"/>
          <w:lang w:val="es-CR"/>
        </w:rPr>
        <w:t xml:space="preserve"> y otros Vs. Colombia. Supervisión de Cumplimiento de Sentencia. </w:t>
      </w:r>
      <w:r w:rsidRPr="00BE43A2">
        <w:rPr>
          <w:rFonts w:ascii="Verdana" w:hAnsi="Verdana"/>
          <w:sz w:val="16"/>
          <w:szCs w:val="16"/>
          <w:lang w:val="es-CR"/>
        </w:rPr>
        <w:t>Resolución de la Corte Interamericana de Derechos Humanos de 7 de octubre de 2019, Considerando 2.</w:t>
      </w:r>
    </w:p>
  </w:footnote>
  <w:footnote w:id="9">
    <w:p w14:paraId="0610AA1A" w14:textId="1B023985" w:rsidR="00B32CAA" w:rsidRPr="00394839" w:rsidRDefault="00B32CAA" w:rsidP="00466FD8">
      <w:pPr>
        <w:pStyle w:val="Textonotapie"/>
        <w:tabs>
          <w:tab w:val="left" w:pos="426"/>
        </w:tabs>
        <w:jc w:val="both"/>
        <w:rPr>
          <w:rFonts w:ascii="Verdana" w:hAnsi="Verdana"/>
          <w:sz w:val="16"/>
          <w:szCs w:val="16"/>
          <w:lang w:val="es-CR"/>
        </w:rPr>
      </w:pPr>
      <w:r w:rsidRPr="00BE43A2">
        <w:rPr>
          <w:rStyle w:val="Refdenotaalpie"/>
          <w:rFonts w:ascii="Verdana" w:hAnsi="Verdana"/>
          <w:sz w:val="16"/>
          <w:szCs w:val="16"/>
        </w:rPr>
        <w:footnoteRef/>
      </w:r>
      <w:r w:rsidRPr="00BE43A2">
        <w:rPr>
          <w:rFonts w:ascii="Verdana" w:hAnsi="Verdana"/>
          <w:sz w:val="16"/>
          <w:szCs w:val="16"/>
        </w:rPr>
        <w:t xml:space="preserve"> </w:t>
      </w:r>
      <w:r w:rsidRPr="00BE43A2">
        <w:rPr>
          <w:rFonts w:ascii="Verdana" w:hAnsi="Verdana"/>
          <w:sz w:val="16"/>
          <w:szCs w:val="16"/>
          <w:lang w:val="es-AR"/>
        </w:rPr>
        <w:tab/>
      </w:r>
      <w:r w:rsidRPr="00BE43A2">
        <w:rPr>
          <w:rFonts w:ascii="Verdana" w:hAnsi="Verdana"/>
          <w:i/>
          <w:sz w:val="16"/>
          <w:szCs w:val="16"/>
          <w:lang w:val="es-CR"/>
        </w:rPr>
        <w:t xml:space="preserve">Cfr. Caso </w:t>
      </w:r>
      <w:proofErr w:type="spellStart"/>
      <w:r w:rsidRPr="00BE43A2">
        <w:rPr>
          <w:rFonts w:ascii="Verdana" w:hAnsi="Verdana"/>
          <w:i/>
          <w:sz w:val="16"/>
          <w:szCs w:val="16"/>
          <w:lang w:val="es-CR"/>
        </w:rPr>
        <w:t>Ivcher</w:t>
      </w:r>
      <w:proofErr w:type="spellEnd"/>
      <w:r w:rsidRPr="00BE43A2">
        <w:rPr>
          <w:rFonts w:ascii="Verdana" w:hAnsi="Verdana"/>
          <w:i/>
          <w:sz w:val="16"/>
          <w:szCs w:val="16"/>
          <w:lang w:val="es-CR"/>
        </w:rPr>
        <w:t xml:space="preserve"> </w:t>
      </w:r>
      <w:proofErr w:type="spellStart"/>
      <w:r w:rsidRPr="00BE43A2">
        <w:rPr>
          <w:rFonts w:ascii="Verdana" w:hAnsi="Verdana"/>
          <w:i/>
          <w:sz w:val="16"/>
          <w:szCs w:val="16"/>
          <w:lang w:val="es-CR"/>
        </w:rPr>
        <w:t>Bronstein</w:t>
      </w:r>
      <w:proofErr w:type="spellEnd"/>
      <w:r w:rsidRPr="00BE43A2">
        <w:rPr>
          <w:rFonts w:ascii="Verdana" w:hAnsi="Verdana"/>
          <w:i/>
          <w:sz w:val="16"/>
          <w:szCs w:val="16"/>
          <w:lang w:val="es-CR"/>
        </w:rPr>
        <w:t xml:space="preserve"> Vs. Perú. Competencia</w:t>
      </w:r>
      <w:r w:rsidRPr="00BE43A2">
        <w:rPr>
          <w:rFonts w:ascii="Verdana" w:hAnsi="Verdana"/>
          <w:sz w:val="16"/>
          <w:szCs w:val="16"/>
          <w:lang w:val="es-CR"/>
        </w:rPr>
        <w:t>. Sentencia de la Corte Interamericana</w:t>
      </w:r>
      <w:r w:rsidRPr="00394839">
        <w:rPr>
          <w:rFonts w:ascii="Verdana" w:hAnsi="Verdana"/>
          <w:sz w:val="16"/>
          <w:szCs w:val="16"/>
          <w:lang w:val="es-CR"/>
        </w:rPr>
        <w:t xml:space="preserve"> de Derechos Humanos de 24 de septiembre de 1999. Serie C No. 54, párr. 37</w:t>
      </w:r>
      <w:r w:rsidRPr="00DF0A0A">
        <w:rPr>
          <w:rFonts w:ascii="Verdana" w:hAnsi="Verdana"/>
          <w:sz w:val="16"/>
          <w:szCs w:val="16"/>
          <w:lang w:val="es-CR"/>
        </w:rPr>
        <w:t xml:space="preserve">, y </w:t>
      </w:r>
      <w:r w:rsidRPr="00E64F1C">
        <w:rPr>
          <w:rFonts w:ascii="Verdana" w:hAnsi="Verdana"/>
          <w:i/>
          <w:sz w:val="16"/>
          <w:szCs w:val="16"/>
          <w:lang w:val="es-CR"/>
        </w:rPr>
        <w:t xml:space="preserve">Caso Carvajal </w:t>
      </w:r>
      <w:proofErr w:type="spellStart"/>
      <w:r w:rsidRPr="00E64F1C">
        <w:rPr>
          <w:rFonts w:ascii="Verdana" w:hAnsi="Verdana"/>
          <w:i/>
          <w:sz w:val="16"/>
          <w:szCs w:val="16"/>
          <w:lang w:val="es-CR"/>
        </w:rPr>
        <w:t>Carvajal</w:t>
      </w:r>
      <w:proofErr w:type="spellEnd"/>
      <w:r w:rsidRPr="00E64F1C">
        <w:rPr>
          <w:rFonts w:ascii="Verdana" w:hAnsi="Verdana"/>
          <w:i/>
          <w:sz w:val="16"/>
          <w:szCs w:val="16"/>
          <w:lang w:val="es-CR"/>
        </w:rPr>
        <w:t xml:space="preserve"> y otros Vs. Colombia. Supervisi</w:t>
      </w:r>
      <w:r>
        <w:rPr>
          <w:rFonts w:ascii="Verdana" w:hAnsi="Verdana"/>
          <w:i/>
          <w:sz w:val="16"/>
          <w:szCs w:val="16"/>
          <w:lang w:val="es-CR"/>
        </w:rPr>
        <w:t xml:space="preserve">ón de Cumplimiento de Sentencia, supra </w:t>
      </w:r>
      <w:r>
        <w:rPr>
          <w:rFonts w:ascii="Verdana" w:hAnsi="Verdana"/>
          <w:sz w:val="16"/>
          <w:szCs w:val="16"/>
          <w:lang w:val="es-CR"/>
        </w:rPr>
        <w:t>nota 6,</w:t>
      </w:r>
      <w:r w:rsidRPr="00F65CB6">
        <w:rPr>
          <w:rFonts w:ascii="Verdana" w:hAnsi="Verdana"/>
          <w:sz w:val="16"/>
          <w:szCs w:val="16"/>
          <w:lang w:val="es-CR"/>
        </w:rPr>
        <w:t xml:space="preserve"> Considerando 2</w:t>
      </w:r>
      <w:r w:rsidRPr="00DF0A0A">
        <w:rPr>
          <w:rFonts w:ascii="Verdana" w:hAnsi="Verdana"/>
          <w:sz w:val="16"/>
          <w:szCs w:val="16"/>
          <w:lang w:val="es-CR"/>
        </w:rPr>
        <w:t>.</w:t>
      </w:r>
    </w:p>
  </w:footnote>
  <w:footnote w:id="10">
    <w:p w14:paraId="7DBDFC7C" w14:textId="0D7AE533" w:rsidR="00B32CAA" w:rsidRPr="00D76195" w:rsidRDefault="00B32CAA" w:rsidP="00AE6B77">
      <w:pPr>
        <w:pStyle w:val="Textonotapie"/>
        <w:tabs>
          <w:tab w:val="left" w:pos="426"/>
        </w:tabs>
        <w:jc w:val="both"/>
        <w:rPr>
          <w:rFonts w:ascii="Verdana" w:hAnsi="Verdana"/>
          <w:b/>
          <w:sz w:val="16"/>
          <w:szCs w:val="16"/>
          <w:lang w:val="es-AR"/>
        </w:rPr>
      </w:pPr>
      <w:r w:rsidRPr="00D76195">
        <w:rPr>
          <w:rStyle w:val="Refdenotaalpie"/>
          <w:rFonts w:ascii="Verdana" w:hAnsi="Verdana"/>
          <w:sz w:val="16"/>
          <w:szCs w:val="16"/>
        </w:rPr>
        <w:footnoteRef/>
      </w:r>
      <w:r w:rsidRPr="00D76195">
        <w:rPr>
          <w:rFonts w:ascii="Verdana" w:hAnsi="Verdana"/>
          <w:sz w:val="16"/>
          <w:szCs w:val="16"/>
        </w:rPr>
        <w:t xml:space="preserve"> </w:t>
      </w:r>
      <w:r w:rsidRPr="00D76195">
        <w:rPr>
          <w:rFonts w:ascii="Verdana" w:hAnsi="Verdana"/>
          <w:sz w:val="16"/>
          <w:szCs w:val="16"/>
          <w:lang w:val="es-AR"/>
        </w:rPr>
        <w:tab/>
      </w:r>
      <w:proofErr w:type="spellStart"/>
      <w:r w:rsidRPr="00AE6B77">
        <w:rPr>
          <w:rFonts w:ascii="Verdana" w:hAnsi="Verdana"/>
          <w:i/>
          <w:sz w:val="16"/>
          <w:szCs w:val="16"/>
          <w:lang w:val="es-CR"/>
        </w:rPr>
        <w:t>Cfr</w:t>
      </w:r>
      <w:proofErr w:type="spellEnd"/>
      <w:r w:rsidRPr="00D76195">
        <w:rPr>
          <w:rFonts w:ascii="Verdana" w:hAnsi="Verdana"/>
          <w:i/>
          <w:sz w:val="16"/>
          <w:szCs w:val="16"/>
          <w:lang w:val="es-AR"/>
        </w:rPr>
        <w:t xml:space="preserve">. </w:t>
      </w:r>
      <w:r w:rsidRPr="00D76195">
        <w:rPr>
          <w:rFonts w:ascii="Verdana" w:hAnsi="Verdana"/>
          <w:sz w:val="16"/>
          <w:szCs w:val="16"/>
          <w:lang w:val="es-AR"/>
        </w:rPr>
        <w:t xml:space="preserve">Escrito de observaciones de los representantes de </w:t>
      </w:r>
      <w:r>
        <w:rPr>
          <w:rFonts w:ascii="Verdana" w:hAnsi="Verdana"/>
          <w:sz w:val="16"/>
          <w:szCs w:val="16"/>
          <w:lang w:val="es-AR"/>
        </w:rPr>
        <w:t xml:space="preserve">1 de marzo y </w:t>
      </w:r>
      <w:r w:rsidRPr="00D76195">
        <w:rPr>
          <w:rFonts w:ascii="Verdana" w:hAnsi="Verdana"/>
          <w:sz w:val="16"/>
          <w:szCs w:val="16"/>
          <w:lang w:val="es-AR"/>
        </w:rPr>
        <w:t>5 de octubre de 2018 y escrito de observaciones de la Comisión de 17 de diciembre de 2018.</w:t>
      </w:r>
    </w:p>
  </w:footnote>
  <w:footnote w:id="11">
    <w:p w14:paraId="08A361A7" w14:textId="570646F8" w:rsidR="00B32CAA" w:rsidRPr="002C195B" w:rsidRDefault="00B32CAA" w:rsidP="0006534C">
      <w:pPr>
        <w:pStyle w:val="Textonotapie"/>
        <w:tabs>
          <w:tab w:val="left" w:pos="426"/>
        </w:tabs>
        <w:jc w:val="both"/>
        <w:rPr>
          <w:rFonts w:ascii="Verdana" w:hAnsi="Verdana"/>
          <w:sz w:val="16"/>
          <w:szCs w:val="16"/>
          <w:lang w:val="es-CR"/>
        </w:rPr>
      </w:pPr>
      <w:r w:rsidRPr="00152789">
        <w:rPr>
          <w:rStyle w:val="Refdenotaalpie"/>
          <w:rFonts w:ascii="Verdana" w:hAnsi="Verdana"/>
          <w:sz w:val="16"/>
          <w:szCs w:val="16"/>
        </w:rPr>
        <w:footnoteRef/>
      </w:r>
      <w:r w:rsidRPr="00152789">
        <w:rPr>
          <w:rFonts w:ascii="Verdana" w:hAnsi="Verdana"/>
          <w:sz w:val="16"/>
          <w:szCs w:val="16"/>
        </w:rPr>
        <w:t xml:space="preserve"> </w:t>
      </w:r>
      <w:r>
        <w:rPr>
          <w:rFonts w:ascii="Verdana" w:hAnsi="Verdana"/>
          <w:sz w:val="16"/>
          <w:szCs w:val="16"/>
          <w:lang w:val="es-CR"/>
        </w:rPr>
        <w:tab/>
      </w:r>
      <w:r w:rsidRPr="000C6663">
        <w:rPr>
          <w:rFonts w:ascii="Verdana" w:hAnsi="Verdana"/>
          <w:i/>
          <w:sz w:val="16"/>
          <w:szCs w:val="16"/>
          <w:lang w:val="es-CR"/>
        </w:rPr>
        <w:t>Cfr</w:t>
      </w:r>
      <w:r w:rsidRPr="00152789">
        <w:rPr>
          <w:rFonts w:ascii="Verdana" w:hAnsi="Verdana"/>
          <w:sz w:val="16"/>
          <w:szCs w:val="16"/>
          <w:lang w:val="es-CR"/>
        </w:rPr>
        <w:t xml:space="preserve">. </w:t>
      </w:r>
      <w:r w:rsidRPr="0006534C">
        <w:rPr>
          <w:rFonts w:ascii="Verdana" w:hAnsi="Verdana"/>
          <w:sz w:val="16"/>
          <w:szCs w:val="16"/>
        </w:rPr>
        <w:t>Copia</w:t>
      </w:r>
      <w:r w:rsidRPr="00152789">
        <w:rPr>
          <w:rFonts w:ascii="Verdana" w:hAnsi="Verdana"/>
          <w:sz w:val="16"/>
          <w:szCs w:val="16"/>
          <w:lang w:val="es-CR"/>
        </w:rPr>
        <w:t xml:space="preserve"> de</w:t>
      </w:r>
      <w:r>
        <w:rPr>
          <w:rFonts w:ascii="Verdana" w:hAnsi="Verdana"/>
          <w:sz w:val="16"/>
          <w:szCs w:val="16"/>
          <w:lang w:val="es-CR"/>
        </w:rPr>
        <w:t xml:space="preserve"> la publicación realizada en el</w:t>
      </w:r>
      <w:r w:rsidRPr="00152789">
        <w:rPr>
          <w:rFonts w:ascii="Verdana" w:hAnsi="Verdana"/>
          <w:sz w:val="16"/>
          <w:szCs w:val="16"/>
          <w:lang w:val="es-CR"/>
        </w:rPr>
        <w:t xml:space="preserve"> Diario Oficial de la Unión de 16 de noviembre de 2017, </w:t>
      </w:r>
      <w:r>
        <w:rPr>
          <w:rFonts w:ascii="Verdana" w:hAnsi="Verdana"/>
          <w:sz w:val="16"/>
          <w:szCs w:val="16"/>
          <w:lang w:val="es-CR"/>
        </w:rPr>
        <w:t xml:space="preserve">edición </w:t>
      </w:r>
      <w:proofErr w:type="spellStart"/>
      <w:r>
        <w:rPr>
          <w:rFonts w:ascii="Verdana" w:hAnsi="Verdana"/>
          <w:sz w:val="16"/>
          <w:szCs w:val="16"/>
          <w:lang w:val="es-CR"/>
        </w:rPr>
        <w:t>N°</w:t>
      </w:r>
      <w:proofErr w:type="spellEnd"/>
      <w:r>
        <w:rPr>
          <w:rFonts w:ascii="Verdana" w:hAnsi="Verdana"/>
          <w:sz w:val="16"/>
          <w:szCs w:val="16"/>
          <w:lang w:val="es-CR"/>
        </w:rPr>
        <w:t xml:space="preserve"> 219 </w:t>
      </w:r>
      <w:r w:rsidRPr="00152789">
        <w:rPr>
          <w:rFonts w:ascii="Verdana" w:hAnsi="Verdana"/>
          <w:sz w:val="16"/>
          <w:szCs w:val="16"/>
          <w:lang w:val="es-CR"/>
        </w:rPr>
        <w:t>(anexo</w:t>
      </w:r>
      <w:r>
        <w:rPr>
          <w:rFonts w:ascii="Verdana" w:hAnsi="Verdana"/>
          <w:sz w:val="16"/>
          <w:szCs w:val="16"/>
          <w:lang w:val="es-CR"/>
        </w:rPr>
        <w:t xml:space="preserve"> 9</w:t>
      </w:r>
      <w:r w:rsidRPr="00101290">
        <w:rPr>
          <w:rFonts w:ascii="Verdana" w:hAnsi="Verdana"/>
          <w:sz w:val="16"/>
          <w:szCs w:val="16"/>
          <w:lang w:val="es-CR"/>
        </w:rPr>
        <w:t xml:space="preserve"> al informe estatal de </w:t>
      </w:r>
      <w:r>
        <w:rPr>
          <w:rFonts w:ascii="Verdana" w:hAnsi="Verdana"/>
          <w:sz w:val="16"/>
          <w:szCs w:val="16"/>
          <w:lang w:val="es-CR"/>
        </w:rPr>
        <w:t>19 de diciembre de 2017</w:t>
      </w:r>
      <w:r w:rsidRPr="00101290">
        <w:rPr>
          <w:rFonts w:ascii="Verdana" w:hAnsi="Verdana"/>
          <w:sz w:val="16"/>
          <w:szCs w:val="16"/>
          <w:lang w:val="es-CR"/>
        </w:rPr>
        <w:t>)</w:t>
      </w:r>
      <w:r>
        <w:rPr>
          <w:rFonts w:ascii="Verdana" w:hAnsi="Verdana"/>
          <w:sz w:val="16"/>
          <w:szCs w:val="16"/>
          <w:lang w:val="es-CR"/>
        </w:rPr>
        <w:t>.</w:t>
      </w:r>
    </w:p>
  </w:footnote>
  <w:footnote w:id="12">
    <w:p w14:paraId="7EE5EBFA" w14:textId="4A26EA12" w:rsidR="00B32CAA" w:rsidRPr="002C195B" w:rsidRDefault="00B32CAA" w:rsidP="0006534C">
      <w:pPr>
        <w:pStyle w:val="Textonotapie"/>
        <w:tabs>
          <w:tab w:val="left" w:pos="426"/>
        </w:tabs>
        <w:jc w:val="both"/>
        <w:rPr>
          <w:rFonts w:ascii="Verdana" w:hAnsi="Verdana"/>
          <w:sz w:val="16"/>
          <w:szCs w:val="16"/>
          <w:lang w:val="es-CR"/>
        </w:rPr>
      </w:pPr>
      <w:r w:rsidRPr="00152789">
        <w:rPr>
          <w:rStyle w:val="Refdenotaalpie"/>
          <w:rFonts w:ascii="Verdana" w:hAnsi="Verdana"/>
          <w:sz w:val="16"/>
          <w:szCs w:val="16"/>
        </w:rPr>
        <w:footnoteRef/>
      </w:r>
      <w:r w:rsidRPr="00152789">
        <w:rPr>
          <w:rFonts w:ascii="Verdana" w:hAnsi="Verdana"/>
          <w:sz w:val="16"/>
          <w:szCs w:val="16"/>
        </w:rPr>
        <w:t xml:space="preserve"> </w:t>
      </w:r>
      <w:r>
        <w:rPr>
          <w:rFonts w:ascii="Verdana" w:hAnsi="Verdana"/>
          <w:sz w:val="16"/>
          <w:szCs w:val="16"/>
          <w:lang w:val="es-CR"/>
        </w:rPr>
        <w:tab/>
      </w:r>
      <w:r w:rsidRPr="000C6663">
        <w:rPr>
          <w:rFonts w:ascii="Verdana" w:hAnsi="Verdana"/>
          <w:i/>
          <w:sz w:val="16"/>
          <w:szCs w:val="16"/>
          <w:lang w:val="es-CR"/>
        </w:rPr>
        <w:t>Cfr</w:t>
      </w:r>
      <w:r w:rsidRPr="00152789">
        <w:rPr>
          <w:rFonts w:ascii="Verdana" w:hAnsi="Verdana"/>
          <w:sz w:val="16"/>
          <w:szCs w:val="16"/>
          <w:lang w:val="es-CR"/>
        </w:rPr>
        <w:t xml:space="preserve">. </w:t>
      </w:r>
      <w:r>
        <w:rPr>
          <w:rFonts w:ascii="Verdana" w:hAnsi="Verdana"/>
          <w:sz w:val="16"/>
          <w:szCs w:val="16"/>
          <w:lang w:val="es-CR"/>
        </w:rPr>
        <w:t>Copia de la publicación realizada en el Diario “O Globo” de 3 de julio de 2018 (anexo 3</w:t>
      </w:r>
      <w:r w:rsidRPr="00101290">
        <w:rPr>
          <w:rFonts w:ascii="Verdana" w:hAnsi="Verdana"/>
          <w:sz w:val="16"/>
          <w:szCs w:val="16"/>
          <w:lang w:val="es-CR"/>
        </w:rPr>
        <w:t xml:space="preserve"> al informe estatal de </w:t>
      </w:r>
      <w:r>
        <w:rPr>
          <w:rFonts w:ascii="Verdana" w:hAnsi="Verdana"/>
          <w:sz w:val="16"/>
          <w:szCs w:val="16"/>
          <w:lang w:val="es-CR"/>
        </w:rPr>
        <w:t>15 de agosto de 2018</w:t>
      </w:r>
      <w:r w:rsidRPr="00101290">
        <w:rPr>
          <w:rFonts w:ascii="Verdana" w:hAnsi="Verdana"/>
          <w:sz w:val="16"/>
          <w:szCs w:val="16"/>
          <w:lang w:val="es-CR"/>
        </w:rPr>
        <w:t>).</w:t>
      </w:r>
    </w:p>
  </w:footnote>
  <w:footnote w:id="13">
    <w:p w14:paraId="559ACB62" w14:textId="391E0573" w:rsidR="00B32CAA" w:rsidRPr="00132BCA" w:rsidRDefault="00B32CAA" w:rsidP="0006534C">
      <w:pPr>
        <w:pStyle w:val="Textonotapie"/>
        <w:tabs>
          <w:tab w:val="left" w:pos="426"/>
        </w:tabs>
        <w:jc w:val="both"/>
        <w:rPr>
          <w:rFonts w:ascii="Verdana" w:hAnsi="Verdana"/>
          <w:b/>
          <w:sz w:val="16"/>
          <w:szCs w:val="16"/>
          <w:lang w:val="es-CR"/>
        </w:rPr>
      </w:pPr>
      <w:r w:rsidRPr="002C195B">
        <w:rPr>
          <w:rStyle w:val="Refdenotaalpie"/>
          <w:rFonts w:ascii="Verdana" w:hAnsi="Verdana"/>
          <w:sz w:val="16"/>
          <w:szCs w:val="16"/>
        </w:rPr>
        <w:footnoteRef/>
      </w:r>
      <w:r w:rsidRPr="002C195B">
        <w:rPr>
          <w:rFonts w:ascii="Verdana" w:hAnsi="Verdana"/>
          <w:sz w:val="16"/>
          <w:szCs w:val="16"/>
        </w:rPr>
        <w:t xml:space="preserve"> </w:t>
      </w:r>
      <w:r>
        <w:rPr>
          <w:rFonts w:ascii="Verdana" w:hAnsi="Verdana"/>
          <w:sz w:val="16"/>
          <w:szCs w:val="16"/>
          <w:lang w:val="es-CR"/>
        </w:rPr>
        <w:tab/>
        <w:t>Brasil informó que el texto íntegro de la Sentencia se podía consultar desde el 17 de mayo de 2017</w:t>
      </w:r>
      <w:r w:rsidRPr="002C195B">
        <w:rPr>
          <w:rFonts w:ascii="Verdana" w:hAnsi="Verdana"/>
          <w:sz w:val="16"/>
          <w:szCs w:val="16"/>
          <w:lang w:val="es-CR"/>
        </w:rPr>
        <w:t xml:space="preserve"> a través de la página de inicio de los sitios web oficiales</w:t>
      </w:r>
      <w:r w:rsidRPr="00EC2D0B">
        <w:rPr>
          <w:rFonts w:ascii="Verdana" w:hAnsi="Verdana"/>
          <w:sz w:val="16"/>
          <w:szCs w:val="16"/>
          <w:lang w:val="es-CR"/>
        </w:rPr>
        <w:t xml:space="preserve"> de la Abogacía General de la Unión, del Ministerio de Relaciones Exteriores y del Ministerio de Derechos Humanos </w:t>
      </w:r>
      <w:r>
        <w:rPr>
          <w:rFonts w:ascii="Verdana" w:hAnsi="Verdana"/>
          <w:sz w:val="16"/>
          <w:szCs w:val="16"/>
          <w:lang w:val="es-CR"/>
        </w:rPr>
        <w:t>en</w:t>
      </w:r>
      <w:r w:rsidRPr="00EC2D0B">
        <w:rPr>
          <w:rFonts w:ascii="Verdana" w:hAnsi="Verdana"/>
          <w:sz w:val="16"/>
          <w:szCs w:val="16"/>
          <w:lang w:val="es-CR"/>
        </w:rPr>
        <w:t xml:space="preserve"> los siguientes enlaces:</w:t>
      </w:r>
      <w:r>
        <w:rPr>
          <w:rFonts w:ascii="Verdana" w:hAnsi="Verdana"/>
          <w:sz w:val="16"/>
          <w:szCs w:val="16"/>
          <w:lang w:val="es-CR"/>
        </w:rPr>
        <w:t xml:space="preserve"> </w:t>
      </w:r>
      <w:hyperlink r:id="rId3" w:history="1">
        <w:r w:rsidRPr="00B6786E">
          <w:rPr>
            <w:rStyle w:val="Hipervnculo"/>
            <w:rFonts w:ascii="Verdana" w:hAnsi="Verdana"/>
            <w:sz w:val="16"/>
            <w:szCs w:val="16"/>
            <w:lang w:val="es-CR"/>
          </w:rPr>
          <w:t>http://www.agu.gov.br/page/content/detail/id_conteudo/113486</w:t>
        </w:r>
      </w:hyperlink>
      <w:r>
        <w:rPr>
          <w:rFonts w:ascii="Verdana" w:hAnsi="Verdana"/>
          <w:sz w:val="16"/>
          <w:szCs w:val="16"/>
          <w:lang w:val="es-CR"/>
        </w:rPr>
        <w:t xml:space="preserve">, </w:t>
      </w:r>
      <w:hyperlink r:id="rId4" w:history="1">
        <w:r w:rsidRPr="00B6786E">
          <w:rPr>
            <w:rStyle w:val="Hipervnculo"/>
            <w:rFonts w:ascii="Verdana" w:hAnsi="Verdana"/>
            <w:sz w:val="16"/>
            <w:szCs w:val="16"/>
            <w:lang w:val="es-CR"/>
          </w:rPr>
          <w:t>http://www.itamaraty.gov.br/pt-BR/direitos-humanos-e-temas-sociais/sentenca-corte-interamericana-de-direitos-humanos-no-caso-trabalhadores-da-fazenda-brasil-verde</w:t>
        </w:r>
      </w:hyperlink>
      <w:r>
        <w:rPr>
          <w:rFonts w:ascii="Verdana" w:hAnsi="Verdana"/>
          <w:sz w:val="16"/>
          <w:szCs w:val="16"/>
          <w:lang w:val="es-CR"/>
        </w:rPr>
        <w:t xml:space="preserve"> y </w:t>
      </w:r>
      <w:hyperlink r:id="rId5" w:history="1">
        <w:r w:rsidRPr="00B6786E">
          <w:rPr>
            <w:rStyle w:val="Hipervnculo"/>
            <w:rFonts w:ascii="Verdana" w:hAnsi="Verdana"/>
            <w:sz w:val="16"/>
            <w:szCs w:val="16"/>
            <w:lang w:val="es-CR"/>
          </w:rPr>
          <w:t>https://www.mdh.gov.br/navegue-por-temas/atuacao-internacional/editais-2018-1/sentencas-da-corte-interamericana</w:t>
        </w:r>
      </w:hyperlink>
      <w:r>
        <w:rPr>
          <w:rFonts w:ascii="Verdana" w:hAnsi="Verdana"/>
          <w:sz w:val="16"/>
          <w:szCs w:val="16"/>
          <w:lang w:val="es-CR"/>
        </w:rPr>
        <w:t xml:space="preserve">. La última vez que dichas páginas web fueron visitadas, se pudo constatar que la Sentencia seguía disponible en los referidos </w:t>
      </w:r>
      <w:r w:rsidRPr="00132BCA">
        <w:rPr>
          <w:rFonts w:ascii="Verdana" w:hAnsi="Verdana"/>
          <w:sz w:val="16"/>
          <w:szCs w:val="16"/>
          <w:lang w:val="es-CR"/>
        </w:rPr>
        <w:t>enlaces (</w:t>
      </w:r>
      <w:r w:rsidR="001623EE" w:rsidRPr="00132BCA">
        <w:rPr>
          <w:rFonts w:ascii="Verdana" w:hAnsi="Verdana"/>
          <w:sz w:val="16"/>
          <w:szCs w:val="16"/>
          <w:lang w:val="es-CR"/>
        </w:rPr>
        <w:t>visitadas por última vez</w:t>
      </w:r>
      <w:r w:rsidRPr="00132BCA">
        <w:rPr>
          <w:rFonts w:ascii="Verdana" w:hAnsi="Verdana"/>
          <w:sz w:val="16"/>
          <w:szCs w:val="16"/>
          <w:lang w:val="es-CR"/>
        </w:rPr>
        <w:t xml:space="preserve"> el 22 de noviembre de 2019). </w:t>
      </w:r>
      <w:r w:rsidRPr="00132BCA">
        <w:rPr>
          <w:rFonts w:ascii="Verdana" w:hAnsi="Verdana"/>
          <w:i/>
          <w:sz w:val="16"/>
          <w:szCs w:val="16"/>
          <w:lang w:val="es-CR"/>
        </w:rPr>
        <w:t xml:space="preserve">Cfr. </w:t>
      </w:r>
      <w:r w:rsidRPr="00132BCA">
        <w:rPr>
          <w:rFonts w:ascii="Verdana" w:hAnsi="Verdana"/>
          <w:sz w:val="16"/>
          <w:szCs w:val="16"/>
          <w:lang w:val="es-CR"/>
        </w:rPr>
        <w:t>Impresiones de pantalla de 17 de mayo de 2017 referentes a la publicación en línea de la Sentencia (anexo 8 al informe estatal de 19 de diciembre de 2017).</w:t>
      </w:r>
    </w:p>
  </w:footnote>
  <w:footnote w:id="14">
    <w:p w14:paraId="2E79484B" w14:textId="4FC3D72E" w:rsidR="00B32CAA" w:rsidRPr="00DD5E82" w:rsidRDefault="00B32CAA" w:rsidP="0006534C">
      <w:pPr>
        <w:pStyle w:val="Textonotapie"/>
        <w:tabs>
          <w:tab w:val="left" w:pos="426"/>
        </w:tabs>
        <w:jc w:val="both"/>
        <w:rPr>
          <w:rFonts w:ascii="Verdana" w:hAnsi="Verdana"/>
          <w:b/>
          <w:sz w:val="16"/>
          <w:szCs w:val="16"/>
          <w:lang w:val="es-CR"/>
        </w:rPr>
      </w:pPr>
      <w:r w:rsidRPr="00132BCA">
        <w:rPr>
          <w:rStyle w:val="Refdenotaalpie"/>
          <w:rFonts w:ascii="Verdana" w:hAnsi="Verdana"/>
          <w:sz w:val="16"/>
          <w:szCs w:val="16"/>
        </w:rPr>
        <w:footnoteRef/>
      </w:r>
      <w:r w:rsidRPr="00132BCA">
        <w:rPr>
          <w:rFonts w:ascii="Verdana" w:hAnsi="Verdana"/>
          <w:sz w:val="16"/>
          <w:szCs w:val="16"/>
        </w:rPr>
        <w:t xml:space="preserve"> </w:t>
      </w:r>
      <w:r w:rsidRPr="00132BCA">
        <w:rPr>
          <w:rFonts w:ascii="Verdana" w:hAnsi="Verdana"/>
          <w:sz w:val="16"/>
          <w:szCs w:val="16"/>
          <w:lang w:val="es-AR"/>
        </w:rPr>
        <w:tab/>
      </w:r>
      <w:r w:rsidRPr="00132BCA">
        <w:rPr>
          <w:rFonts w:ascii="Verdana" w:hAnsi="Verdana"/>
          <w:sz w:val="16"/>
          <w:szCs w:val="16"/>
          <w:lang w:val="es-CR"/>
        </w:rPr>
        <w:t>El Estado informó que se encontraba realizando eventos tales como el Seminario “Impactos de la sentencia de la Corte Interamericana de Derechos Humanos en el caso Hacienda Brasil Verde”, promovido por la Escuela Superior del Ministerio Público de la Unión (ESMPU), en conjunto con la Comisión para la Erradicación del Trabajo Esclavo (CONATRAE), ligada al Ministerio de Derechos Humanos, “con el objetivo de divulgar la sentencia y de sensibilizar a los operadores jurídicos en materia de trabajo esclavo contemporáneo”, para lo cual ofrec</w:t>
      </w:r>
      <w:r w:rsidR="001623EE" w:rsidRPr="00132BCA">
        <w:rPr>
          <w:rFonts w:ascii="Verdana" w:hAnsi="Verdana"/>
          <w:sz w:val="16"/>
          <w:szCs w:val="16"/>
          <w:lang w:val="es-CR"/>
        </w:rPr>
        <w:t>i</w:t>
      </w:r>
      <w:r w:rsidRPr="00132BCA">
        <w:rPr>
          <w:rFonts w:ascii="Verdana" w:hAnsi="Verdana"/>
          <w:sz w:val="16"/>
          <w:szCs w:val="16"/>
          <w:lang w:val="es-CR"/>
        </w:rPr>
        <w:t>e</w:t>
      </w:r>
      <w:r w:rsidR="001623EE" w:rsidRPr="00132BCA">
        <w:rPr>
          <w:rFonts w:ascii="Verdana" w:hAnsi="Verdana"/>
          <w:sz w:val="16"/>
          <w:szCs w:val="16"/>
          <w:lang w:val="es-CR"/>
        </w:rPr>
        <w:t>ro</w:t>
      </w:r>
      <w:r w:rsidRPr="00132BCA">
        <w:rPr>
          <w:rFonts w:ascii="Verdana" w:hAnsi="Verdana"/>
          <w:sz w:val="16"/>
          <w:szCs w:val="16"/>
          <w:lang w:val="es-CR"/>
        </w:rPr>
        <w:t>n 30 vacantes para el Ministerio Público Federal, 20 para el Ministerio Público de Trabajo, 50 para jueces federales y del trabajo y 50 para servidores de la Justicia Federal y del Trabajo.</w:t>
      </w:r>
      <w:r w:rsidR="001623EE" w:rsidRPr="00132BCA">
        <w:rPr>
          <w:rFonts w:ascii="Verdana" w:hAnsi="Verdana"/>
          <w:sz w:val="16"/>
          <w:szCs w:val="16"/>
          <w:lang w:val="es-CR"/>
        </w:rPr>
        <w:t xml:space="preserve"> </w:t>
      </w:r>
      <w:r w:rsidR="001623EE" w:rsidRPr="00132BCA">
        <w:rPr>
          <w:rFonts w:ascii="Verdana" w:hAnsi="Verdana"/>
          <w:i/>
          <w:sz w:val="16"/>
          <w:szCs w:val="16"/>
          <w:lang w:val="es-CR"/>
        </w:rPr>
        <w:t xml:space="preserve">Cfr. </w:t>
      </w:r>
      <w:r w:rsidR="001623EE" w:rsidRPr="00132BCA">
        <w:rPr>
          <w:rFonts w:ascii="Verdana" w:hAnsi="Verdana"/>
          <w:sz w:val="16"/>
          <w:szCs w:val="16"/>
          <w:lang w:val="es-CR"/>
        </w:rPr>
        <w:t>Informe estatal de 19 de diciembre de 2017.</w:t>
      </w:r>
    </w:p>
  </w:footnote>
  <w:footnote w:id="15">
    <w:p w14:paraId="7DD728FA" w14:textId="77777777" w:rsidR="00B32CAA" w:rsidRPr="00415209" w:rsidRDefault="00B32CAA" w:rsidP="00805307">
      <w:pPr>
        <w:pStyle w:val="Textonotapie"/>
        <w:tabs>
          <w:tab w:val="left" w:pos="426"/>
        </w:tabs>
        <w:jc w:val="both"/>
        <w:rPr>
          <w:rFonts w:ascii="Verdana" w:hAnsi="Verdana"/>
          <w:sz w:val="16"/>
          <w:szCs w:val="16"/>
          <w:lang w:val="es-CR"/>
        </w:rPr>
      </w:pPr>
      <w:r w:rsidRPr="00415209">
        <w:rPr>
          <w:rStyle w:val="Refdenotaalpie"/>
          <w:rFonts w:ascii="Verdana" w:hAnsi="Verdana"/>
          <w:sz w:val="16"/>
          <w:szCs w:val="16"/>
        </w:rPr>
        <w:footnoteRef/>
      </w:r>
      <w:r w:rsidRPr="00415209">
        <w:rPr>
          <w:rStyle w:val="Refdenotaalpie"/>
          <w:rFonts w:ascii="Verdana" w:hAnsi="Verdana"/>
          <w:sz w:val="16"/>
          <w:szCs w:val="16"/>
        </w:rPr>
        <w:t xml:space="preserve"> </w:t>
      </w:r>
      <w:r>
        <w:rPr>
          <w:rFonts w:ascii="Verdana" w:hAnsi="Verdana"/>
          <w:sz w:val="16"/>
          <w:szCs w:val="16"/>
          <w:lang w:val="es-AR"/>
        </w:rPr>
        <w:tab/>
      </w:r>
      <w:r w:rsidRPr="00415209">
        <w:rPr>
          <w:rFonts w:ascii="Verdana" w:hAnsi="Verdana"/>
          <w:sz w:val="16"/>
          <w:szCs w:val="16"/>
          <w:lang w:val="es-CR"/>
        </w:rPr>
        <w:t xml:space="preserve">En el </w:t>
      </w:r>
      <w:r w:rsidRPr="00415209">
        <w:rPr>
          <w:rFonts w:ascii="Verdana" w:hAnsi="Verdana"/>
          <w:sz w:val="16"/>
          <w:szCs w:val="16"/>
          <w:lang w:val="es-AR"/>
        </w:rPr>
        <w:t>párrafo</w:t>
      </w:r>
      <w:r>
        <w:rPr>
          <w:rFonts w:ascii="Verdana" w:hAnsi="Verdana"/>
          <w:sz w:val="16"/>
          <w:szCs w:val="16"/>
          <w:lang w:val="es-CR"/>
        </w:rPr>
        <w:t xml:space="preserve"> 487</w:t>
      </w:r>
      <w:r w:rsidRPr="00415209">
        <w:rPr>
          <w:rFonts w:ascii="Verdana" w:hAnsi="Verdana"/>
          <w:sz w:val="16"/>
          <w:szCs w:val="16"/>
          <w:lang w:val="es-CR"/>
        </w:rPr>
        <w:t xml:space="preserve"> de la Sentencia, la Corte </w:t>
      </w:r>
      <w:r>
        <w:rPr>
          <w:rFonts w:ascii="Verdana" w:hAnsi="Verdana"/>
          <w:sz w:val="16"/>
          <w:szCs w:val="16"/>
          <w:lang w:val="es-CR"/>
        </w:rPr>
        <w:t>“</w:t>
      </w:r>
      <w:proofErr w:type="spellStart"/>
      <w:r>
        <w:rPr>
          <w:rFonts w:ascii="Verdana" w:hAnsi="Verdana"/>
          <w:sz w:val="16"/>
          <w:szCs w:val="16"/>
          <w:lang w:val="es-CR"/>
        </w:rPr>
        <w:t>fij</w:t>
      </w:r>
      <w:proofErr w:type="spellEnd"/>
      <w:r>
        <w:rPr>
          <w:rFonts w:ascii="Verdana" w:hAnsi="Verdana"/>
          <w:sz w:val="16"/>
          <w:szCs w:val="16"/>
          <w:lang w:val="es-CR"/>
        </w:rPr>
        <w:t>[</w:t>
      </w:r>
      <w:proofErr w:type="spellStart"/>
      <w:r>
        <w:rPr>
          <w:rFonts w:ascii="Verdana" w:hAnsi="Verdana"/>
          <w:sz w:val="16"/>
          <w:szCs w:val="16"/>
          <w:lang w:val="es-CR"/>
        </w:rPr>
        <w:t>ó</w:t>
      </w:r>
      <w:proofErr w:type="spellEnd"/>
      <w:r>
        <w:rPr>
          <w:rFonts w:ascii="Verdana" w:hAnsi="Verdana"/>
          <w:sz w:val="16"/>
          <w:szCs w:val="16"/>
          <w:lang w:val="es-CR"/>
        </w:rPr>
        <w:t>]</w:t>
      </w:r>
      <w:r w:rsidRPr="00805307">
        <w:rPr>
          <w:rFonts w:ascii="Verdana" w:hAnsi="Verdana"/>
          <w:sz w:val="16"/>
          <w:szCs w:val="16"/>
          <w:lang w:val="es-CR"/>
        </w:rPr>
        <w:t xml:space="preserve"> en equidad la suma de US$ 30.000,00 (treinta mil dólares de los Estados Unidos de América) para cada uno de los 43 trabajadores de la Hacienda Brasil Verde que se encontraron durante la fiscalización de 23 de abril de 1997 </w:t>
      </w:r>
      <w:r>
        <w:rPr>
          <w:rFonts w:ascii="Verdana" w:hAnsi="Verdana"/>
          <w:sz w:val="16"/>
          <w:szCs w:val="16"/>
          <w:lang w:val="es-CR"/>
        </w:rPr>
        <w:t xml:space="preserve">[…] </w:t>
      </w:r>
      <w:r w:rsidRPr="00805307">
        <w:rPr>
          <w:rFonts w:ascii="Verdana" w:hAnsi="Verdana"/>
          <w:sz w:val="16"/>
          <w:szCs w:val="16"/>
          <w:lang w:val="es-CR"/>
        </w:rPr>
        <w:t>y la suma de US$ 40.000,00 (cuarenta mil dólares de los Estados Unidos de América) para cada uno de los 85 trabajadores de la Hacienda Brasil Verde que se encontraron durante la fiscalización de 15 de marzo de 2000</w:t>
      </w:r>
      <w:r w:rsidRPr="00415209">
        <w:rPr>
          <w:rFonts w:ascii="Verdana" w:hAnsi="Verdana"/>
          <w:sz w:val="16"/>
          <w:szCs w:val="16"/>
          <w:lang w:val="es-CR"/>
        </w:rPr>
        <w:t xml:space="preserve">”. </w:t>
      </w:r>
    </w:p>
  </w:footnote>
  <w:footnote w:id="16">
    <w:p w14:paraId="424C06D1" w14:textId="77777777" w:rsidR="00B32CAA" w:rsidRPr="00B20AAD" w:rsidRDefault="00B32CAA" w:rsidP="00B20AAD">
      <w:pPr>
        <w:pStyle w:val="Textonotapie"/>
        <w:tabs>
          <w:tab w:val="left" w:pos="426"/>
        </w:tabs>
        <w:jc w:val="both"/>
        <w:rPr>
          <w:rFonts w:ascii="Verdana" w:hAnsi="Verdana"/>
          <w:sz w:val="16"/>
          <w:szCs w:val="16"/>
          <w:lang w:val="es-CR"/>
        </w:rPr>
      </w:pPr>
      <w:r w:rsidRPr="00FA43FE">
        <w:rPr>
          <w:rStyle w:val="Refdenotaalpie"/>
          <w:rFonts w:ascii="Verdana" w:hAnsi="Verdana"/>
          <w:sz w:val="16"/>
          <w:szCs w:val="16"/>
        </w:rPr>
        <w:footnoteRef/>
      </w:r>
      <w:r w:rsidRPr="00FA43FE">
        <w:rPr>
          <w:rStyle w:val="Refdenotaalpie"/>
          <w:rFonts w:ascii="Verdana" w:hAnsi="Verdana"/>
          <w:sz w:val="16"/>
          <w:szCs w:val="16"/>
        </w:rPr>
        <w:t xml:space="preserve"> </w:t>
      </w:r>
      <w:r>
        <w:rPr>
          <w:rFonts w:ascii="Verdana" w:hAnsi="Verdana"/>
          <w:sz w:val="16"/>
          <w:szCs w:val="16"/>
          <w:lang w:val="es-AR"/>
        </w:rPr>
        <w:tab/>
      </w:r>
      <w:r w:rsidRPr="00FA43FE">
        <w:rPr>
          <w:rFonts w:ascii="Verdana" w:hAnsi="Verdana"/>
          <w:sz w:val="16"/>
          <w:szCs w:val="16"/>
          <w:lang w:val="es-CR"/>
        </w:rPr>
        <w:t xml:space="preserve">En el párrafo </w:t>
      </w:r>
      <w:r>
        <w:rPr>
          <w:rFonts w:ascii="Verdana" w:hAnsi="Verdana"/>
          <w:sz w:val="16"/>
          <w:szCs w:val="16"/>
          <w:lang w:val="es-AR"/>
        </w:rPr>
        <w:t>495</w:t>
      </w:r>
      <w:r w:rsidRPr="00FA43FE">
        <w:rPr>
          <w:rFonts w:ascii="Verdana" w:hAnsi="Verdana"/>
          <w:sz w:val="16"/>
          <w:szCs w:val="16"/>
          <w:lang w:val="es-CR"/>
        </w:rPr>
        <w:t xml:space="preserve"> de la Sentencia, la Corte</w:t>
      </w:r>
      <w:r>
        <w:rPr>
          <w:rFonts w:ascii="Verdana" w:hAnsi="Verdana"/>
          <w:sz w:val="16"/>
          <w:szCs w:val="16"/>
          <w:lang w:val="es-CR"/>
        </w:rPr>
        <w:t xml:space="preserve"> “</w:t>
      </w:r>
      <w:proofErr w:type="spellStart"/>
      <w:r>
        <w:rPr>
          <w:rFonts w:ascii="Verdana" w:hAnsi="Verdana"/>
          <w:sz w:val="16"/>
          <w:szCs w:val="16"/>
          <w:lang w:val="es-CR"/>
        </w:rPr>
        <w:t>determin</w:t>
      </w:r>
      <w:proofErr w:type="spellEnd"/>
      <w:r>
        <w:rPr>
          <w:rFonts w:ascii="Verdana" w:hAnsi="Verdana"/>
          <w:sz w:val="16"/>
          <w:szCs w:val="16"/>
          <w:lang w:val="es-CR"/>
        </w:rPr>
        <w:t>[</w:t>
      </w:r>
      <w:proofErr w:type="spellStart"/>
      <w:r>
        <w:rPr>
          <w:rFonts w:ascii="Verdana" w:hAnsi="Verdana"/>
          <w:sz w:val="16"/>
          <w:szCs w:val="16"/>
          <w:lang w:val="es-CR"/>
        </w:rPr>
        <w:t>ó</w:t>
      </w:r>
      <w:proofErr w:type="spellEnd"/>
      <w:r>
        <w:rPr>
          <w:rFonts w:ascii="Verdana" w:hAnsi="Verdana"/>
          <w:sz w:val="16"/>
          <w:szCs w:val="16"/>
          <w:lang w:val="es-CR"/>
        </w:rPr>
        <w:t>]</w:t>
      </w:r>
      <w:r w:rsidRPr="00716492">
        <w:rPr>
          <w:rFonts w:ascii="Verdana" w:hAnsi="Verdana"/>
          <w:sz w:val="16"/>
          <w:szCs w:val="16"/>
          <w:lang w:val="es-CR"/>
        </w:rPr>
        <w:t xml:space="preserve"> en equidad que el Estado debe pagar la </w:t>
      </w:r>
      <w:r w:rsidRPr="00B20AAD">
        <w:rPr>
          <w:rFonts w:ascii="Verdana" w:hAnsi="Verdana"/>
          <w:sz w:val="16"/>
          <w:szCs w:val="16"/>
          <w:lang w:val="es-CR"/>
        </w:rPr>
        <w:t xml:space="preserve">suma de US$5.000,00 (cinco mil dólares de los Estados Unidos de América) a la CPT, y US$50.000,00 (cincuenta mil dólares de los Estados Unidos de América) a CEJIL”. </w:t>
      </w:r>
    </w:p>
  </w:footnote>
  <w:footnote w:id="17">
    <w:p w14:paraId="79AE4D79" w14:textId="2E0D0D8A" w:rsidR="00B32CAA" w:rsidRPr="007B605B" w:rsidRDefault="00B32CAA" w:rsidP="001616CD">
      <w:pPr>
        <w:pStyle w:val="Textonotapie"/>
        <w:tabs>
          <w:tab w:val="left" w:pos="426"/>
        </w:tabs>
        <w:jc w:val="both"/>
        <w:rPr>
          <w:rFonts w:ascii="Verdana" w:hAnsi="Verdana"/>
          <w:b/>
          <w:sz w:val="16"/>
          <w:szCs w:val="16"/>
          <w:lang w:val="es-CR"/>
        </w:rPr>
      </w:pPr>
      <w:r w:rsidRPr="00036E8A">
        <w:rPr>
          <w:rStyle w:val="Refdenotaalpie"/>
          <w:rFonts w:ascii="Verdana" w:hAnsi="Verdana"/>
          <w:sz w:val="16"/>
          <w:szCs w:val="16"/>
        </w:rPr>
        <w:footnoteRef/>
      </w:r>
      <w:r w:rsidRPr="00036E8A">
        <w:rPr>
          <w:rFonts w:ascii="Verdana" w:hAnsi="Verdana"/>
          <w:sz w:val="16"/>
          <w:szCs w:val="16"/>
        </w:rPr>
        <w:t xml:space="preserve"> </w:t>
      </w:r>
      <w:r w:rsidRPr="00036E8A">
        <w:rPr>
          <w:rFonts w:ascii="Verdana" w:hAnsi="Verdana"/>
          <w:sz w:val="16"/>
          <w:szCs w:val="16"/>
          <w:lang w:val="es-AR"/>
        </w:rPr>
        <w:tab/>
      </w:r>
      <w:r w:rsidRPr="00036E8A">
        <w:rPr>
          <w:rFonts w:ascii="Verdana" w:hAnsi="Verdana"/>
          <w:i/>
          <w:sz w:val="16"/>
          <w:szCs w:val="16"/>
          <w:lang w:val="es-CR"/>
        </w:rPr>
        <w:t xml:space="preserve">Cfr. </w:t>
      </w:r>
      <w:r>
        <w:rPr>
          <w:rFonts w:ascii="Verdana" w:hAnsi="Verdana"/>
          <w:sz w:val="16"/>
          <w:szCs w:val="16"/>
          <w:lang w:val="es-CR"/>
        </w:rPr>
        <w:t>Orden bancaria</w:t>
      </w:r>
      <w:r w:rsidRPr="00036E8A">
        <w:rPr>
          <w:rFonts w:ascii="Verdana" w:hAnsi="Verdana"/>
          <w:sz w:val="16"/>
          <w:szCs w:val="16"/>
          <w:lang w:val="es-CR"/>
        </w:rPr>
        <w:t xml:space="preserve"> </w:t>
      </w:r>
      <w:proofErr w:type="spellStart"/>
      <w:r w:rsidRPr="00036E8A">
        <w:rPr>
          <w:rFonts w:ascii="Verdana" w:hAnsi="Verdana"/>
          <w:sz w:val="16"/>
          <w:szCs w:val="16"/>
          <w:lang w:val="es-CR"/>
        </w:rPr>
        <w:t>N</w:t>
      </w:r>
      <w:r>
        <w:rPr>
          <w:rFonts w:ascii="Verdana" w:hAnsi="Verdana"/>
          <w:sz w:val="16"/>
          <w:szCs w:val="16"/>
          <w:lang w:val="es-CR"/>
        </w:rPr>
        <w:t>°</w:t>
      </w:r>
      <w:proofErr w:type="spellEnd"/>
      <w:r w:rsidRPr="00036E8A">
        <w:rPr>
          <w:rFonts w:ascii="Verdana" w:hAnsi="Verdana"/>
          <w:sz w:val="16"/>
          <w:szCs w:val="16"/>
          <w:lang w:val="es-CR"/>
        </w:rPr>
        <w:t xml:space="preserve"> 2017OB800007 de 8 de diciembre de 2017 a favor de CEJIL por un monto de US$ 50.000</w:t>
      </w:r>
      <w:r w:rsidRPr="00EF3AED">
        <w:rPr>
          <w:rFonts w:ascii="Verdana" w:hAnsi="Verdana"/>
          <w:sz w:val="16"/>
          <w:szCs w:val="16"/>
          <w:lang w:val="es-CR"/>
        </w:rPr>
        <w:t>,</w:t>
      </w:r>
      <w:r w:rsidRPr="00B20AAD">
        <w:rPr>
          <w:rFonts w:ascii="Verdana" w:hAnsi="Verdana"/>
          <w:sz w:val="16"/>
          <w:szCs w:val="16"/>
          <w:lang w:val="es-CR"/>
        </w:rPr>
        <w:t xml:space="preserve">00 y </w:t>
      </w:r>
      <w:r>
        <w:rPr>
          <w:rFonts w:ascii="Verdana" w:hAnsi="Verdana"/>
          <w:sz w:val="16"/>
          <w:szCs w:val="16"/>
          <w:lang w:val="es-CR"/>
        </w:rPr>
        <w:t>orden bancaria</w:t>
      </w:r>
      <w:r w:rsidRPr="00B20AAD">
        <w:rPr>
          <w:rFonts w:ascii="Verdana" w:hAnsi="Verdana"/>
          <w:sz w:val="16"/>
          <w:szCs w:val="16"/>
          <w:lang w:val="es-CR"/>
        </w:rPr>
        <w:t xml:space="preserve"> </w:t>
      </w:r>
      <w:proofErr w:type="spellStart"/>
      <w:r w:rsidRPr="00B20AAD">
        <w:rPr>
          <w:rFonts w:ascii="Verdana" w:hAnsi="Verdana"/>
          <w:sz w:val="16"/>
          <w:szCs w:val="16"/>
          <w:lang w:val="es-CR"/>
        </w:rPr>
        <w:t>N</w:t>
      </w:r>
      <w:r>
        <w:rPr>
          <w:rFonts w:ascii="Verdana" w:hAnsi="Verdana"/>
          <w:sz w:val="16"/>
          <w:szCs w:val="16"/>
          <w:lang w:val="es-CR"/>
        </w:rPr>
        <w:t>°</w:t>
      </w:r>
      <w:proofErr w:type="spellEnd"/>
      <w:r w:rsidRPr="00B20AAD">
        <w:rPr>
          <w:rFonts w:ascii="Verdana" w:hAnsi="Verdana"/>
          <w:sz w:val="16"/>
          <w:szCs w:val="16"/>
          <w:lang w:val="es-CR"/>
        </w:rPr>
        <w:t xml:space="preserve"> 2017OB800006 de </w:t>
      </w:r>
      <w:r>
        <w:rPr>
          <w:rFonts w:ascii="Verdana" w:hAnsi="Verdana"/>
          <w:sz w:val="16"/>
          <w:szCs w:val="16"/>
          <w:lang w:val="es-CR"/>
        </w:rPr>
        <w:t>8</w:t>
      </w:r>
      <w:r w:rsidRPr="00B20AAD">
        <w:rPr>
          <w:rFonts w:ascii="Verdana" w:hAnsi="Verdana"/>
          <w:sz w:val="16"/>
          <w:szCs w:val="16"/>
          <w:lang w:val="es-CR"/>
        </w:rPr>
        <w:t xml:space="preserve"> de diciembre de 2017 a favor de la CPT por un monto de US$ 5.000,00 (anexos 34 y 35 al informe estatal de 19 de diciembre de 2017). </w:t>
      </w:r>
      <w:r>
        <w:rPr>
          <w:rFonts w:ascii="Verdana" w:hAnsi="Verdana"/>
          <w:sz w:val="16"/>
          <w:szCs w:val="16"/>
          <w:lang w:val="es-CR"/>
        </w:rPr>
        <w:t>Los representantes confirmaron haber recibido dichos montos en su escrito de observaciones de 1 de marzo de 2018.</w:t>
      </w:r>
    </w:p>
  </w:footnote>
  <w:footnote w:id="18">
    <w:p w14:paraId="63CA3AB5" w14:textId="1011A63D" w:rsidR="00B32CAA" w:rsidRPr="006563D4" w:rsidRDefault="00B32CAA" w:rsidP="00494C28">
      <w:pPr>
        <w:pStyle w:val="Textonotapie"/>
        <w:tabs>
          <w:tab w:val="left" w:pos="426"/>
        </w:tabs>
        <w:jc w:val="both"/>
        <w:rPr>
          <w:rFonts w:ascii="Verdana" w:hAnsi="Verdana"/>
          <w:sz w:val="16"/>
          <w:szCs w:val="16"/>
          <w:lang w:val="pt-BR"/>
        </w:rPr>
      </w:pPr>
      <w:r w:rsidRPr="00494C28">
        <w:rPr>
          <w:rStyle w:val="Refdenotaalpie"/>
          <w:rFonts w:ascii="Verdana" w:hAnsi="Verdana"/>
          <w:sz w:val="16"/>
          <w:szCs w:val="16"/>
        </w:rPr>
        <w:footnoteRef/>
      </w:r>
      <w:r w:rsidRPr="00494C28">
        <w:rPr>
          <w:rFonts w:ascii="Verdana" w:hAnsi="Verdana"/>
          <w:sz w:val="16"/>
          <w:szCs w:val="16"/>
        </w:rPr>
        <w:t xml:space="preserve"> </w:t>
      </w:r>
      <w:r w:rsidRPr="006563D4">
        <w:rPr>
          <w:rFonts w:ascii="Verdana" w:hAnsi="Verdana"/>
          <w:sz w:val="16"/>
          <w:szCs w:val="16"/>
          <w:lang w:val="pt-BR"/>
        </w:rPr>
        <w:tab/>
      </w:r>
      <w:proofErr w:type="spellStart"/>
      <w:r w:rsidRPr="006563D4">
        <w:rPr>
          <w:rFonts w:ascii="Verdana" w:hAnsi="Verdana"/>
          <w:sz w:val="16"/>
          <w:szCs w:val="16"/>
          <w:lang w:val="pt-BR"/>
        </w:rPr>
        <w:t>Éstas</w:t>
      </w:r>
      <w:proofErr w:type="spellEnd"/>
      <w:r w:rsidRPr="006563D4">
        <w:rPr>
          <w:rFonts w:ascii="Verdana" w:hAnsi="Verdana"/>
          <w:sz w:val="16"/>
          <w:szCs w:val="16"/>
          <w:lang w:val="pt-BR"/>
        </w:rPr>
        <w:t xml:space="preserve"> </w:t>
      </w:r>
      <w:proofErr w:type="spellStart"/>
      <w:r w:rsidRPr="006563D4">
        <w:rPr>
          <w:rFonts w:ascii="Verdana" w:hAnsi="Verdana"/>
          <w:sz w:val="16"/>
          <w:szCs w:val="16"/>
          <w:lang w:val="pt-BR"/>
        </w:rPr>
        <w:t>son</w:t>
      </w:r>
      <w:proofErr w:type="spellEnd"/>
      <w:r w:rsidRPr="006563D4">
        <w:rPr>
          <w:rFonts w:ascii="Verdana" w:hAnsi="Verdana"/>
          <w:sz w:val="16"/>
          <w:szCs w:val="16"/>
          <w:lang w:val="pt-BR"/>
        </w:rPr>
        <w:t xml:space="preserve">: 1) Cassimiro Neto Souza Maia; 2) Alcione Freitas </w:t>
      </w:r>
      <w:r w:rsidRPr="00BB1CDD">
        <w:rPr>
          <w:rFonts w:ascii="Verdana" w:hAnsi="Verdana"/>
          <w:sz w:val="16"/>
          <w:szCs w:val="16"/>
          <w:lang w:val="pt-BR"/>
        </w:rPr>
        <w:t xml:space="preserve">Sousa; </w:t>
      </w:r>
      <w:r w:rsidR="00FC435D" w:rsidRPr="00BB1CDD">
        <w:rPr>
          <w:rFonts w:ascii="Verdana" w:hAnsi="Verdana"/>
          <w:sz w:val="16"/>
          <w:szCs w:val="16"/>
          <w:lang w:val="pt-BR"/>
        </w:rPr>
        <w:t xml:space="preserve">3) </w:t>
      </w:r>
      <w:r w:rsidRPr="00BB1CDD">
        <w:rPr>
          <w:rFonts w:ascii="Verdana" w:hAnsi="Verdana"/>
          <w:sz w:val="16"/>
          <w:szCs w:val="16"/>
          <w:lang w:val="pt-BR"/>
        </w:rPr>
        <w:t>Alfredo</w:t>
      </w:r>
      <w:r w:rsidRPr="006563D4">
        <w:rPr>
          <w:rFonts w:ascii="Verdana" w:hAnsi="Verdana"/>
          <w:sz w:val="16"/>
          <w:szCs w:val="16"/>
          <w:lang w:val="pt-BR"/>
        </w:rPr>
        <w:t xml:space="preserve"> Rodrigues; 4) Antônio Aroldo Rodrigues Santos; 5) Antônio Bento da Silva; 6) Antônio Damas Filho; 7) Antônio Edvaldo da Silva; 8) Antônio Fernandes Costa; 9) Antônio Francisco da Silva; 10) Antônio Ivaldo Rodrigues da Silva; 11) </w:t>
      </w:r>
      <w:proofErr w:type="spellStart"/>
      <w:r w:rsidRPr="00494C28">
        <w:rPr>
          <w:rFonts w:ascii="Verdana" w:hAnsi="Verdana"/>
          <w:sz w:val="16"/>
          <w:szCs w:val="16"/>
        </w:rPr>
        <w:t>Carlito</w:t>
      </w:r>
      <w:proofErr w:type="spellEnd"/>
      <w:r w:rsidRPr="00494C28">
        <w:rPr>
          <w:rFonts w:ascii="Verdana" w:hAnsi="Verdana"/>
          <w:sz w:val="16"/>
          <w:szCs w:val="16"/>
        </w:rPr>
        <w:t xml:space="preserve"> Bastos Gonçalves</w:t>
      </w:r>
      <w:r w:rsidRPr="006563D4">
        <w:rPr>
          <w:rFonts w:ascii="Verdana" w:hAnsi="Verdana"/>
          <w:sz w:val="16"/>
          <w:szCs w:val="16"/>
          <w:lang w:val="pt-BR"/>
        </w:rPr>
        <w:t xml:space="preserve">; 12) Carlos André da Conceição Pereira; 13) Carlos Ferreira Lopes; 14) </w:t>
      </w:r>
      <w:proofErr w:type="spellStart"/>
      <w:r w:rsidRPr="006563D4">
        <w:rPr>
          <w:rFonts w:ascii="Verdana" w:hAnsi="Verdana"/>
          <w:sz w:val="16"/>
          <w:szCs w:val="16"/>
          <w:lang w:val="pt-BR"/>
        </w:rPr>
        <w:t>Erimar</w:t>
      </w:r>
      <w:proofErr w:type="spellEnd"/>
      <w:r w:rsidRPr="006563D4">
        <w:rPr>
          <w:rFonts w:ascii="Verdana" w:hAnsi="Verdana"/>
          <w:sz w:val="16"/>
          <w:szCs w:val="16"/>
          <w:lang w:val="pt-BR"/>
        </w:rPr>
        <w:t xml:space="preserve"> Lima da Silva; 15) Francisco da Silva; 16) Francisco das Chagas </w:t>
      </w:r>
      <w:proofErr w:type="spellStart"/>
      <w:r w:rsidRPr="006563D4">
        <w:rPr>
          <w:rFonts w:ascii="Verdana" w:hAnsi="Verdana"/>
          <w:sz w:val="16"/>
          <w:szCs w:val="16"/>
          <w:lang w:val="pt-BR"/>
        </w:rPr>
        <w:t>Araujo</w:t>
      </w:r>
      <w:proofErr w:type="spellEnd"/>
      <w:r w:rsidRPr="006563D4">
        <w:rPr>
          <w:rFonts w:ascii="Verdana" w:hAnsi="Verdana"/>
          <w:sz w:val="16"/>
          <w:szCs w:val="16"/>
          <w:lang w:val="pt-BR"/>
        </w:rPr>
        <w:t xml:space="preserve"> Carvalho; 17) Francisco das Chagas Bastos Souza; 18) Francisco das Chagas Cardoso Carvalho; 19) Francisco das Chagas da Silva Lira; 20) Francisco Mariano da Silva; 21) Francisco das Chagas Diogo; 22) Francisco das Chagas Moreira Alves; 23) Francisco das Chagas Sousa Cardoso; 24) Francisco de Assis Felix; 25) Francisco de Assis Pereira da Silva; 26) Francisco de Souza </w:t>
      </w:r>
      <w:proofErr w:type="spellStart"/>
      <w:r w:rsidRPr="006563D4">
        <w:rPr>
          <w:rFonts w:ascii="Verdana" w:hAnsi="Verdana"/>
          <w:sz w:val="16"/>
          <w:szCs w:val="16"/>
          <w:lang w:val="pt-BR"/>
        </w:rPr>
        <w:t>Brígido</w:t>
      </w:r>
      <w:proofErr w:type="spellEnd"/>
      <w:r w:rsidRPr="006563D4">
        <w:rPr>
          <w:rFonts w:ascii="Verdana" w:hAnsi="Verdana"/>
          <w:sz w:val="16"/>
          <w:szCs w:val="16"/>
          <w:lang w:val="pt-BR"/>
        </w:rPr>
        <w:t xml:space="preserve">; 27) Francisco Fabiano Leandro; 28) Francisco Ferreira da Silva; 29) Francisco Ferreira da Silva Filho; 30) Francisco </w:t>
      </w:r>
      <w:proofErr w:type="spellStart"/>
      <w:r w:rsidRPr="006563D4">
        <w:rPr>
          <w:rFonts w:ascii="Verdana" w:hAnsi="Verdana"/>
          <w:sz w:val="16"/>
          <w:szCs w:val="16"/>
          <w:lang w:val="pt-BR"/>
        </w:rPr>
        <w:t>Mirele</w:t>
      </w:r>
      <w:proofErr w:type="spellEnd"/>
      <w:r w:rsidRPr="006563D4">
        <w:rPr>
          <w:rFonts w:ascii="Verdana" w:hAnsi="Verdana"/>
          <w:sz w:val="16"/>
          <w:szCs w:val="16"/>
          <w:lang w:val="pt-BR"/>
        </w:rPr>
        <w:t xml:space="preserve"> Ribeiro da Silva; 31) Francisco Teodoro Diogo; 32) </w:t>
      </w:r>
      <w:proofErr w:type="spellStart"/>
      <w:r w:rsidRPr="00494C28">
        <w:rPr>
          <w:rFonts w:ascii="Verdana" w:hAnsi="Verdana"/>
          <w:sz w:val="16"/>
          <w:szCs w:val="16"/>
        </w:rPr>
        <w:t>Gonçal</w:t>
      </w:r>
      <w:r w:rsidRPr="006563D4">
        <w:rPr>
          <w:rFonts w:ascii="Verdana" w:hAnsi="Verdana"/>
          <w:sz w:val="16"/>
          <w:szCs w:val="16"/>
          <w:lang w:val="pt-BR"/>
        </w:rPr>
        <w:t>o</w:t>
      </w:r>
      <w:proofErr w:type="spellEnd"/>
      <w:r w:rsidRPr="006563D4">
        <w:rPr>
          <w:rFonts w:ascii="Verdana" w:hAnsi="Verdana"/>
          <w:sz w:val="16"/>
          <w:szCs w:val="16"/>
          <w:lang w:val="pt-BR"/>
        </w:rPr>
        <w:t xml:space="preserve"> Firmino de Sousa; 33) </w:t>
      </w:r>
      <w:proofErr w:type="spellStart"/>
      <w:r w:rsidRPr="00494C28">
        <w:rPr>
          <w:rFonts w:ascii="Verdana" w:hAnsi="Verdana"/>
          <w:sz w:val="16"/>
          <w:szCs w:val="16"/>
        </w:rPr>
        <w:t>Gonçal</w:t>
      </w:r>
      <w:r w:rsidRPr="006563D4">
        <w:rPr>
          <w:rFonts w:ascii="Verdana" w:hAnsi="Verdana"/>
          <w:sz w:val="16"/>
          <w:szCs w:val="16"/>
          <w:lang w:val="pt-BR"/>
        </w:rPr>
        <w:t>o</w:t>
      </w:r>
      <w:proofErr w:type="spellEnd"/>
      <w:r w:rsidRPr="006563D4">
        <w:rPr>
          <w:rFonts w:ascii="Verdana" w:hAnsi="Verdana"/>
          <w:sz w:val="16"/>
          <w:szCs w:val="16"/>
          <w:lang w:val="pt-BR"/>
        </w:rPr>
        <w:t xml:space="preserve"> José Gomes; 34) </w:t>
      </w:r>
      <w:proofErr w:type="spellStart"/>
      <w:r w:rsidRPr="006563D4">
        <w:rPr>
          <w:rFonts w:ascii="Verdana" w:hAnsi="Verdana"/>
          <w:sz w:val="16"/>
          <w:szCs w:val="16"/>
          <w:lang w:val="pt-BR"/>
        </w:rPr>
        <w:t>Jenival</w:t>
      </w:r>
      <w:proofErr w:type="spellEnd"/>
      <w:r w:rsidRPr="006563D4">
        <w:rPr>
          <w:rFonts w:ascii="Verdana" w:hAnsi="Verdana"/>
          <w:sz w:val="16"/>
          <w:szCs w:val="16"/>
          <w:lang w:val="pt-BR"/>
        </w:rPr>
        <w:t xml:space="preserve"> Lopes; 35) João Diogo Pereira Filho; 36) José de Ribamar Souza; 37) José do Egito Santos; 38) José Gomes; 39) José Leandro da Silva; 40) José Renato do Nascimento Costa; 41) </w:t>
      </w:r>
      <w:proofErr w:type="spellStart"/>
      <w:r w:rsidRPr="006563D4">
        <w:rPr>
          <w:rFonts w:ascii="Verdana" w:hAnsi="Verdana"/>
          <w:sz w:val="16"/>
          <w:szCs w:val="16"/>
          <w:lang w:val="pt-BR"/>
        </w:rPr>
        <w:t>Juni</w:t>
      </w:r>
      <w:proofErr w:type="spellEnd"/>
      <w:r w:rsidRPr="006563D4">
        <w:rPr>
          <w:rFonts w:ascii="Verdana" w:hAnsi="Verdana"/>
          <w:sz w:val="16"/>
          <w:szCs w:val="16"/>
          <w:lang w:val="pt-BR"/>
        </w:rPr>
        <w:t xml:space="preserve"> Carlos da Silva; 42) Lourival da Silva Santos; 43) Luiz </w:t>
      </w:r>
      <w:proofErr w:type="spellStart"/>
      <w:r w:rsidRPr="006563D4">
        <w:rPr>
          <w:rFonts w:ascii="Verdana" w:hAnsi="Verdana"/>
          <w:sz w:val="16"/>
          <w:szCs w:val="16"/>
          <w:lang w:val="pt-BR"/>
        </w:rPr>
        <w:t>Sicinato</w:t>
      </w:r>
      <w:proofErr w:type="spellEnd"/>
      <w:r w:rsidRPr="006563D4">
        <w:rPr>
          <w:rFonts w:ascii="Verdana" w:hAnsi="Verdana"/>
          <w:sz w:val="16"/>
          <w:szCs w:val="16"/>
          <w:lang w:val="pt-BR"/>
        </w:rPr>
        <w:t xml:space="preserve"> de Menezes; 44) Marcio Fran</w:t>
      </w:r>
      <w:proofErr w:type="spellStart"/>
      <w:r w:rsidRPr="00494C28">
        <w:rPr>
          <w:rFonts w:ascii="Verdana" w:hAnsi="Verdana"/>
          <w:sz w:val="16"/>
          <w:szCs w:val="16"/>
        </w:rPr>
        <w:t>ça</w:t>
      </w:r>
      <w:proofErr w:type="spellEnd"/>
      <w:r w:rsidRPr="006563D4">
        <w:rPr>
          <w:rFonts w:ascii="Verdana" w:hAnsi="Verdana"/>
          <w:sz w:val="16"/>
          <w:szCs w:val="16"/>
          <w:lang w:val="pt-BR"/>
        </w:rPr>
        <w:t xml:space="preserve"> da Costa Silva; 45) Marcos Antônio Lima; 46) Paulo Pereira dos Santos; 47) Raimundo Cardoso Macêdo; 48) Raimundo de Andrade; 49) Raimundo de Sousa Leandro; 50) Raimundo Nonato da Silva; 51) Roberto Alves Nascimento; 52) Rogerio Felix Silva; 53) Silvestre Moreira de Castro Filho, y 54) Vicentina Maria da </w:t>
      </w:r>
      <w:proofErr w:type="spellStart"/>
      <w:r w:rsidRPr="00494C28">
        <w:rPr>
          <w:rFonts w:ascii="Verdana" w:hAnsi="Verdana"/>
          <w:sz w:val="16"/>
          <w:szCs w:val="16"/>
        </w:rPr>
        <w:t>Conceição</w:t>
      </w:r>
      <w:proofErr w:type="spellEnd"/>
      <w:r w:rsidRPr="006563D4">
        <w:rPr>
          <w:rFonts w:ascii="Verdana" w:hAnsi="Verdana"/>
          <w:sz w:val="16"/>
          <w:szCs w:val="16"/>
          <w:lang w:val="pt-BR"/>
        </w:rPr>
        <w:t xml:space="preserve">. </w:t>
      </w:r>
    </w:p>
  </w:footnote>
  <w:footnote w:id="19">
    <w:p w14:paraId="5BC8D561" w14:textId="2DA97C07" w:rsidR="00B32CAA" w:rsidRPr="0006534C" w:rsidRDefault="00B32CAA" w:rsidP="0006534C">
      <w:pPr>
        <w:pStyle w:val="Textonotapie"/>
        <w:tabs>
          <w:tab w:val="left" w:pos="426"/>
        </w:tabs>
        <w:jc w:val="both"/>
        <w:rPr>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Pr>
          <w:rFonts w:ascii="Verdana" w:hAnsi="Verdana"/>
          <w:sz w:val="16"/>
          <w:szCs w:val="16"/>
          <w:lang w:val="es-CR"/>
        </w:rPr>
        <w:t>Orden bancaria</w:t>
      </w:r>
      <w:r w:rsidRPr="0006534C">
        <w:rPr>
          <w:rFonts w:ascii="Verdana" w:hAnsi="Verdana"/>
          <w:sz w:val="16"/>
          <w:szCs w:val="16"/>
          <w:lang w:val="es-AR"/>
        </w:rPr>
        <w:t xml:space="preserve"> </w:t>
      </w:r>
      <w:proofErr w:type="spellStart"/>
      <w:r w:rsidRPr="0006534C">
        <w:rPr>
          <w:rFonts w:ascii="Verdana" w:hAnsi="Verdana"/>
          <w:sz w:val="16"/>
          <w:szCs w:val="16"/>
          <w:lang w:val="es-AR"/>
        </w:rPr>
        <w:t>N</w:t>
      </w:r>
      <w:r>
        <w:rPr>
          <w:rFonts w:ascii="Verdana" w:hAnsi="Verdana"/>
          <w:sz w:val="16"/>
          <w:szCs w:val="16"/>
          <w:lang w:val="es-AR"/>
        </w:rPr>
        <w:t>°</w:t>
      </w:r>
      <w:proofErr w:type="spellEnd"/>
      <w:r w:rsidRPr="0006534C">
        <w:rPr>
          <w:rFonts w:ascii="Verdana" w:hAnsi="Verdana"/>
          <w:sz w:val="16"/>
          <w:szCs w:val="16"/>
          <w:lang w:val="es-AR"/>
        </w:rPr>
        <w:t xml:space="preserve"> 2017OB800011 </w:t>
      </w:r>
      <w:r>
        <w:rPr>
          <w:rFonts w:ascii="Verdana" w:hAnsi="Verdana"/>
          <w:sz w:val="16"/>
          <w:szCs w:val="16"/>
          <w:lang w:val="es-AR"/>
        </w:rPr>
        <w:t xml:space="preserve">de 13 de diciembre de 2017 </w:t>
      </w:r>
      <w:r w:rsidRPr="0006534C">
        <w:rPr>
          <w:rFonts w:ascii="Verdana" w:hAnsi="Verdana"/>
          <w:sz w:val="16"/>
          <w:szCs w:val="16"/>
          <w:lang w:val="es-AR"/>
        </w:rPr>
        <w:t>(</w:t>
      </w:r>
      <w:r>
        <w:rPr>
          <w:rFonts w:ascii="Verdana" w:hAnsi="Verdana"/>
          <w:sz w:val="16"/>
          <w:szCs w:val="16"/>
          <w:lang w:val="es-AR"/>
        </w:rPr>
        <w:t>a</w:t>
      </w:r>
      <w:r w:rsidRPr="0006534C">
        <w:rPr>
          <w:rFonts w:ascii="Verdana" w:hAnsi="Verdana"/>
          <w:sz w:val="16"/>
          <w:szCs w:val="16"/>
          <w:lang w:val="es-AR"/>
        </w:rPr>
        <w:t>nexo 33 al informe estatal de 19 de diciembre de 2017)</w:t>
      </w:r>
      <w:r>
        <w:rPr>
          <w:rFonts w:ascii="Verdana" w:hAnsi="Verdana"/>
          <w:sz w:val="16"/>
          <w:szCs w:val="16"/>
          <w:lang w:val="es-AR"/>
        </w:rPr>
        <w:t>.</w:t>
      </w:r>
    </w:p>
  </w:footnote>
  <w:footnote w:id="20">
    <w:p w14:paraId="7B7B2BC8" w14:textId="0FFC1E13" w:rsidR="00B32CAA" w:rsidRPr="0006534C" w:rsidRDefault="00B32CAA" w:rsidP="006E3B0D">
      <w:pPr>
        <w:pStyle w:val="Textonotapie"/>
        <w:tabs>
          <w:tab w:val="left" w:pos="426"/>
        </w:tabs>
        <w:jc w:val="both"/>
        <w:rPr>
          <w:rFonts w:ascii="Verdana" w:hAnsi="Verdana"/>
          <w:sz w:val="16"/>
          <w:szCs w:val="16"/>
          <w:lang w:val="es-CR"/>
        </w:rPr>
      </w:pPr>
      <w:r w:rsidRPr="00FA43FE">
        <w:rPr>
          <w:rStyle w:val="Refdenotaalpie"/>
          <w:rFonts w:ascii="Verdana" w:hAnsi="Verdana"/>
          <w:sz w:val="16"/>
          <w:szCs w:val="16"/>
        </w:rPr>
        <w:footnoteRef/>
      </w:r>
      <w:r w:rsidRPr="00FA43FE">
        <w:rPr>
          <w:rStyle w:val="Refdenotaalpie"/>
          <w:rFonts w:ascii="Verdana" w:hAnsi="Verdana"/>
          <w:sz w:val="16"/>
          <w:szCs w:val="16"/>
        </w:rPr>
        <w:t xml:space="preserve"> </w:t>
      </w:r>
      <w:r>
        <w:rPr>
          <w:rFonts w:ascii="Verdana" w:hAnsi="Verdana"/>
          <w:sz w:val="16"/>
          <w:szCs w:val="16"/>
          <w:lang w:val="es-AR"/>
        </w:rPr>
        <w:tab/>
      </w:r>
      <w:r w:rsidR="00BB1CDD">
        <w:rPr>
          <w:rFonts w:ascii="Verdana" w:hAnsi="Verdana"/>
          <w:i/>
          <w:sz w:val="16"/>
          <w:szCs w:val="16"/>
          <w:lang w:val="es-AR"/>
        </w:rPr>
        <w:t xml:space="preserve">Cfr. </w:t>
      </w:r>
      <w:r>
        <w:rPr>
          <w:rFonts w:ascii="Verdana" w:hAnsi="Verdana"/>
          <w:sz w:val="16"/>
          <w:szCs w:val="16"/>
          <w:lang w:val="es-CR"/>
        </w:rPr>
        <w:t>Informe estatal de 19 de diciembre de 2017. Al respecto, l</w:t>
      </w:r>
      <w:r w:rsidRPr="006E3B0D">
        <w:rPr>
          <w:rFonts w:ascii="Verdana" w:hAnsi="Verdana"/>
          <w:sz w:val="16"/>
          <w:szCs w:val="16"/>
          <w:lang w:val="es-CR"/>
        </w:rPr>
        <w:t>os representantes</w:t>
      </w:r>
      <w:r>
        <w:rPr>
          <w:rFonts w:ascii="Verdana" w:hAnsi="Verdana"/>
          <w:sz w:val="16"/>
          <w:szCs w:val="16"/>
          <w:lang w:val="es-CR"/>
        </w:rPr>
        <w:t xml:space="preserve"> </w:t>
      </w:r>
      <w:r w:rsidRPr="006E3B0D">
        <w:rPr>
          <w:rFonts w:ascii="Verdana" w:hAnsi="Verdana"/>
          <w:sz w:val="16"/>
          <w:szCs w:val="16"/>
          <w:lang w:val="es-CR"/>
        </w:rPr>
        <w:t xml:space="preserve">remarcaron que “el Tribunal determinó la obligación del Estado de realizar [los] depósitos, tanto de las víctimas que fallecieron como de las que no fueron localizadas, dentro del plazo de un año a partir de la notificación </w:t>
      </w:r>
      <w:r w:rsidRPr="00BB1CDD">
        <w:rPr>
          <w:rFonts w:ascii="Verdana" w:hAnsi="Verdana"/>
          <w:sz w:val="16"/>
          <w:szCs w:val="16"/>
          <w:lang w:val="es-CR"/>
        </w:rPr>
        <w:t xml:space="preserve">de la </w:t>
      </w:r>
      <w:r w:rsidR="00A84DAE" w:rsidRPr="00BB1CDD">
        <w:rPr>
          <w:rFonts w:ascii="Verdana" w:hAnsi="Verdana"/>
          <w:sz w:val="16"/>
          <w:szCs w:val="16"/>
          <w:lang w:val="es-CR"/>
        </w:rPr>
        <w:t>Sentencia”</w:t>
      </w:r>
      <w:r w:rsidRPr="00BB1CDD">
        <w:rPr>
          <w:rFonts w:ascii="Verdana" w:hAnsi="Verdana"/>
          <w:sz w:val="16"/>
          <w:szCs w:val="16"/>
          <w:lang w:val="es-CR"/>
        </w:rPr>
        <w:t>, lo</w:t>
      </w:r>
      <w:r w:rsidRPr="006E3B0D">
        <w:rPr>
          <w:rFonts w:ascii="Verdana" w:hAnsi="Verdana"/>
          <w:sz w:val="16"/>
          <w:szCs w:val="16"/>
          <w:lang w:val="es-CR"/>
        </w:rPr>
        <w:t xml:space="preserve"> cual no había sido realizado, por lo que solicit</w:t>
      </w:r>
      <w:r>
        <w:rPr>
          <w:rFonts w:ascii="Verdana" w:hAnsi="Verdana"/>
          <w:sz w:val="16"/>
          <w:szCs w:val="16"/>
          <w:lang w:val="es-CR"/>
        </w:rPr>
        <w:t>aron</w:t>
      </w:r>
      <w:r w:rsidRPr="006E3B0D">
        <w:rPr>
          <w:rFonts w:ascii="Verdana" w:hAnsi="Verdana"/>
          <w:sz w:val="16"/>
          <w:szCs w:val="16"/>
          <w:lang w:val="es-CR"/>
        </w:rPr>
        <w:t xml:space="preserve"> a esta Corte que </w:t>
      </w:r>
      <w:r>
        <w:rPr>
          <w:rFonts w:ascii="Verdana" w:hAnsi="Verdana"/>
          <w:sz w:val="16"/>
          <w:szCs w:val="16"/>
          <w:lang w:val="es-CR"/>
        </w:rPr>
        <w:t xml:space="preserve">le </w:t>
      </w:r>
      <w:r w:rsidRPr="006E3B0D">
        <w:rPr>
          <w:rFonts w:ascii="Verdana" w:hAnsi="Verdana"/>
          <w:sz w:val="16"/>
          <w:szCs w:val="16"/>
          <w:lang w:val="es-CR"/>
        </w:rPr>
        <w:t xml:space="preserve">inste </w:t>
      </w:r>
      <w:r>
        <w:rPr>
          <w:rFonts w:ascii="Verdana" w:hAnsi="Verdana"/>
          <w:sz w:val="16"/>
          <w:szCs w:val="16"/>
          <w:lang w:val="es-CR"/>
        </w:rPr>
        <w:t>a efectuar dichos depósitos</w:t>
      </w:r>
      <w:r w:rsidRPr="006E3B0D">
        <w:rPr>
          <w:rFonts w:ascii="Verdana" w:hAnsi="Verdana"/>
          <w:sz w:val="16"/>
          <w:szCs w:val="16"/>
          <w:lang w:val="es-CR"/>
        </w:rPr>
        <w:t>.</w:t>
      </w:r>
      <w:r>
        <w:rPr>
          <w:rFonts w:ascii="Verdana" w:hAnsi="Verdana"/>
          <w:sz w:val="16"/>
          <w:szCs w:val="16"/>
          <w:lang w:val="es-CR"/>
        </w:rPr>
        <w:t xml:space="preserve"> </w:t>
      </w:r>
      <w:r>
        <w:rPr>
          <w:rFonts w:ascii="Verdana" w:hAnsi="Verdana"/>
          <w:i/>
          <w:sz w:val="16"/>
          <w:szCs w:val="16"/>
          <w:lang w:val="es-CR"/>
        </w:rPr>
        <w:t xml:space="preserve">Cfr. </w:t>
      </w:r>
      <w:r>
        <w:rPr>
          <w:rFonts w:ascii="Verdana" w:hAnsi="Verdana"/>
          <w:sz w:val="16"/>
          <w:szCs w:val="16"/>
          <w:lang w:val="es-CR"/>
        </w:rPr>
        <w:t>Escritos de observaciones de los representantes de 1 de marzo y 5 de octubre de 2018.</w:t>
      </w:r>
    </w:p>
  </w:footnote>
  <w:footnote w:id="21">
    <w:p w14:paraId="741B524C" w14:textId="762D6D16"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CR"/>
        </w:rPr>
        <w:t>Informe</w:t>
      </w:r>
      <w:r>
        <w:rPr>
          <w:rFonts w:ascii="Verdana" w:hAnsi="Verdana"/>
          <w:sz w:val="16"/>
          <w:szCs w:val="16"/>
          <w:lang w:val="es-CR"/>
        </w:rPr>
        <w:t>s</w:t>
      </w:r>
      <w:r w:rsidRPr="0006534C">
        <w:rPr>
          <w:rFonts w:ascii="Verdana" w:hAnsi="Verdana"/>
          <w:sz w:val="16"/>
          <w:szCs w:val="16"/>
          <w:lang w:val="es-AR"/>
        </w:rPr>
        <w:t xml:space="preserve"> estatal</w:t>
      </w:r>
      <w:r>
        <w:rPr>
          <w:rFonts w:ascii="Verdana" w:hAnsi="Verdana"/>
          <w:sz w:val="16"/>
          <w:szCs w:val="16"/>
          <w:lang w:val="es-AR"/>
        </w:rPr>
        <w:t>es</w:t>
      </w:r>
      <w:r w:rsidRPr="0006534C">
        <w:rPr>
          <w:rFonts w:ascii="Verdana" w:hAnsi="Verdana"/>
          <w:sz w:val="16"/>
          <w:szCs w:val="16"/>
          <w:lang w:val="es-AR"/>
        </w:rPr>
        <w:t xml:space="preserve"> de 19 de diciembre de 2017</w:t>
      </w:r>
      <w:r>
        <w:rPr>
          <w:rFonts w:ascii="Verdana" w:hAnsi="Verdana"/>
          <w:sz w:val="16"/>
          <w:szCs w:val="16"/>
          <w:lang w:val="es-AR"/>
        </w:rPr>
        <w:t xml:space="preserve"> y 11 de septiembre de 2019</w:t>
      </w:r>
      <w:r w:rsidRPr="0006534C">
        <w:rPr>
          <w:rFonts w:ascii="Verdana" w:hAnsi="Verdana"/>
          <w:sz w:val="16"/>
          <w:szCs w:val="16"/>
          <w:lang w:val="es-AR"/>
        </w:rPr>
        <w:t xml:space="preserve">. </w:t>
      </w:r>
    </w:p>
  </w:footnote>
  <w:footnote w:id="22">
    <w:p w14:paraId="36D8E2AB" w14:textId="3DA35DA0"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t xml:space="preserve">La </w:t>
      </w:r>
      <w:r w:rsidRPr="0006534C">
        <w:rPr>
          <w:rFonts w:ascii="Verdana" w:hAnsi="Verdana"/>
          <w:sz w:val="16"/>
          <w:szCs w:val="16"/>
          <w:lang w:val="es-CR"/>
        </w:rPr>
        <w:t>misma</w:t>
      </w:r>
      <w:r w:rsidRPr="0006534C">
        <w:rPr>
          <w:rFonts w:ascii="Verdana" w:hAnsi="Verdana"/>
          <w:sz w:val="16"/>
          <w:szCs w:val="16"/>
          <w:lang w:val="es-AR"/>
        </w:rPr>
        <w:t xml:space="preserve"> </w:t>
      </w:r>
      <w:r w:rsidRPr="0006534C">
        <w:rPr>
          <w:rFonts w:ascii="Verdana" w:hAnsi="Verdana"/>
          <w:sz w:val="16"/>
          <w:szCs w:val="16"/>
          <w:lang w:val="es-CR"/>
        </w:rPr>
        <w:t xml:space="preserve">incluye los datos personales, familiares y bancarios de las víctimas, localidad de nacimiento y posibles localidades de residencia, la cual fue compartida con la CPT. </w:t>
      </w:r>
    </w:p>
  </w:footnote>
  <w:footnote w:id="23">
    <w:p w14:paraId="4FD4795E" w14:textId="0C7F3A03"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B66765">
        <w:rPr>
          <w:rFonts w:ascii="Verdana" w:hAnsi="Verdana"/>
          <w:i/>
          <w:sz w:val="16"/>
          <w:szCs w:val="16"/>
          <w:lang w:val="es-CR"/>
        </w:rPr>
        <w:t xml:space="preserve">Cfr. </w:t>
      </w:r>
      <w:r w:rsidRPr="00B66765">
        <w:rPr>
          <w:rFonts w:ascii="Verdana" w:hAnsi="Verdana"/>
          <w:sz w:val="16"/>
          <w:szCs w:val="16"/>
          <w:lang w:val="es-CR"/>
        </w:rPr>
        <w:t>Copia de</w:t>
      </w:r>
      <w:r>
        <w:rPr>
          <w:rFonts w:ascii="Verdana" w:hAnsi="Verdana"/>
          <w:sz w:val="16"/>
          <w:szCs w:val="16"/>
          <w:lang w:val="es-CR"/>
        </w:rPr>
        <w:t xml:space="preserve"> la publicación realizada en e</w:t>
      </w:r>
      <w:r w:rsidRPr="00B66765">
        <w:rPr>
          <w:rFonts w:ascii="Verdana" w:hAnsi="Verdana"/>
          <w:sz w:val="16"/>
          <w:szCs w:val="16"/>
          <w:lang w:val="es-CR"/>
        </w:rPr>
        <w:t>l Diario Oficial de la Unión</w:t>
      </w:r>
      <w:r>
        <w:rPr>
          <w:rFonts w:ascii="Verdana" w:hAnsi="Verdana"/>
          <w:sz w:val="16"/>
          <w:szCs w:val="16"/>
          <w:lang w:val="es-CR"/>
        </w:rPr>
        <w:t xml:space="preserve"> </w:t>
      </w:r>
      <w:r w:rsidRPr="00B66765">
        <w:rPr>
          <w:rFonts w:ascii="Verdana" w:hAnsi="Verdana"/>
          <w:sz w:val="16"/>
          <w:szCs w:val="16"/>
          <w:lang w:val="es-CR"/>
        </w:rPr>
        <w:t xml:space="preserve">de 1 de noviembre de 2017, </w:t>
      </w:r>
      <w:r>
        <w:rPr>
          <w:rFonts w:ascii="Verdana" w:hAnsi="Verdana"/>
          <w:sz w:val="16"/>
          <w:szCs w:val="16"/>
          <w:lang w:val="es-CR"/>
        </w:rPr>
        <w:t xml:space="preserve">edición </w:t>
      </w:r>
      <w:proofErr w:type="spellStart"/>
      <w:r>
        <w:rPr>
          <w:rFonts w:ascii="Verdana" w:hAnsi="Verdana"/>
          <w:sz w:val="16"/>
          <w:szCs w:val="16"/>
          <w:lang w:val="es-CR"/>
        </w:rPr>
        <w:t>N°</w:t>
      </w:r>
      <w:proofErr w:type="spellEnd"/>
      <w:r>
        <w:rPr>
          <w:rFonts w:ascii="Verdana" w:hAnsi="Verdana"/>
          <w:sz w:val="16"/>
          <w:szCs w:val="16"/>
          <w:lang w:val="es-CR"/>
        </w:rPr>
        <w:t xml:space="preserve"> 210</w:t>
      </w:r>
      <w:r w:rsidRPr="00B66765">
        <w:rPr>
          <w:rFonts w:ascii="Verdana" w:hAnsi="Verdana"/>
          <w:sz w:val="16"/>
          <w:szCs w:val="16"/>
          <w:lang w:val="es-CR"/>
        </w:rPr>
        <w:t xml:space="preserve"> (anexo 31 al informe estatal de 19 de diciembre de 2017)</w:t>
      </w:r>
      <w:r>
        <w:rPr>
          <w:rFonts w:ascii="Verdana" w:hAnsi="Verdana"/>
          <w:sz w:val="16"/>
          <w:szCs w:val="16"/>
          <w:lang w:val="es-CR"/>
        </w:rPr>
        <w:t>, y</w:t>
      </w:r>
      <w:r w:rsidRPr="00B66765">
        <w:rPr>
          <w:rFonts w:ascii="Verdana" w:hAnsi="Verdana"/>
          <w:sz w:val="16"/>
          <w:szCs w:val="16"/>
          <w:lang w:val="es-CR"/>
        </w:rPr>
        <w:t xml:space="preserve"> </w:t>
      </w:r>
      <w:r>
        <w:rPr>
          <w:rFonts w:ascii="Verdana" w:hAnsi="Verdana"/>
          <w:sz w:val="16"/>
          <w:szCs w:val="16"/>
          <w:lang w:val="es-CR"/>
        </w:rPr>
        <w:t>c</w:t>
      </w:r>
      <w:r w:rsidRPr="00B66765">
        <w:rPr>
          <w:rFonts w:ascii="Verdana" w:hAnsi="Verdana"/>
          <w:sz w:val="16"/>
          <w:szCs w:val="16"/>
          <w:lang w:val="es-CR"/>
        </w:rPr>
        <w:t xml:space="preserve">opia de </w:t>
      </w:r>
      <w:r>
        <w:rPr>
          <w:rFonts w:ascii="Verdana" w:hAnsi="Verdana"/>
          <w:sz w:val="16"/>
          <w:szCs w:val="16"/>
          <w:lang w:val="es-CR"/>
        </w:rPr>
        <w:t xml:space="preserve">la publicación realizada en </w:t>
      </w:r>
      <w:r w:rsidRPr="00B66765">
        <w:rPr>
          <w:rFonts w:ascii="Verdana" w:hAnsi="Verdana"/>
          <w:sz w:val="16"/>
          <w:szCs w:val="16"/>
          <w:lang w:val="es-CR"/>
        </w:rPr>
        <w:t>los diarios “O Dia”, del estado de Piauí</w:t>
      </w:r>
      <w:r>
        <w:rPr>
          <w:rFonts w:ascii="Verdana" w:hAnsi="Verdana"/>
          <w:sz w:val="16"/>
          <w:szCs w:val="16"/>
          <w:lang w:val="es-CR"/>
        </w:rPr>
        <w:t>;</w:t>
      </w:r>
      <w:r w:rsidRPr="00B66765">
        <w:rPr>
          <w:rFonts w:ascii="Verdana" w:hAnsi="Verdana"/>
          <w:sz w:val="16"/>
          <w:szCs w:val="16"/>
          <w:lang w:val="es-CR"/>
        </w:rPr>
        <w:t xml:space="preserve"> “Imparcial”, del estado de Maranhão, y “O Liberal”, del estado de Pará, </w:t>
      </w:r>
      <w:r>
        <w:rPr>
          <w:rFonts w:ascii="Verdana" w:hAnsi="Verdana"/>
          <w:sz w:val="16"/>
          <w:szCs w:val="16"/>
          <w:lang w:val="es-CR"/>
        </w:rPr>
        <w:t xml:space="preserve">todas </w:t>
      </w:r>
      <w:r w:rsidRPr="00B66765">
        <w:rPr>
          <w:rFonts w:ascii="Verdana" w:hAnsi="Verdana"/>
          <w:sz w:val="16"/>
          <w:szCs w:val="16"/>
          <w:lang w:val="es-CR"/>
        </w:rPr>
        <w:t xml:space="preserve">de 30 de agosto de 2018 (anexo 18 al informe estatal de </w:t>
      </w:r>
      <w:r>
        <w:rPr>
          <w:rFonts w:ascii="Verdana" w:hAnsi="Verdana"/>
          <w:sz w:val="16"/>
          <w:szCs w:val="16"/>
          <w:lang w:val="es-CR"/>
        </w:rPr>
        <w:t>11 de septiembre</w:t>
      </w:r>
      <w:r w:rsidRPr="00B66765">
        <w:rPr>
          <w:rFonts w:ascii="Verdana" w:hAnsi="Verdana"/>
          <w:sz w:val="16"/>
          <w:szCs w:val="16"/>
          <w:lang w:val="es-CR"/>
        </w:rPr>
        <w:t xml:space="preserve"> de 2019). </w:t>
      </w:r>
      <w:r w:rsidRPr="0006534C">
        <w:rPr>
          <w:rFonts w:ascii="Verdana" w:hAnsi="Verdana"/>
          <w:sz w:val="16"/>
          <w:szCs w:val="16"/>
          <w:lang w:val="es-AR"/>
        </w:rPr>
        <w:t xml:space="preserve">Al respecto, en su informe de 19 de diciembre de 2017 el Estado precisó que había </w:t>
      </w:r>
      <w:r w:rsidRPr="0006534C">
        <w:rPr>
          <w:rFonts w:ascii="Verdana" w:hAnsi="Verdana"/>
          <w:sz w:val="16"/>
          <w:szCs w:val="16"/>
          <w:lang w:val="es-CR"/>
        </w:rPr>
        <w:t>elaborado datos estadísticos de las víctimas del caso para determinar en qué ciudades había nacido la mayor parte de ellas</w:t>
      </w:r>
      <w:r>
        <w:rPr>
          <w:rFonts w:ascii="Verdana" w:hAnsi="Verdana"/>
          <w:sz w:val="16"/>
          <w:szCs w:val="16"/>
          <w:lang w:val="es-CR"/>
        </w:rPr>
        <w:t>.</w:t>
      </w:r>
    </w:p>
  </w:footnote>
  <w:footnote w:id="24">
    <w:p w14:paraId="22054DBD" w14:textId="03C8B6CB" w:rsidR="00B32CAA" w:rsidRPr="0006534C" w:rsidRDefault="00B32CAA" w:rsidP="0006534C">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sz w:val="16"/>
          <w:szCs w:val="16"/>
          <w:lang w:val="es-CR"/>
        </w:rPr>
        <w:t>En</w:t>
      </w:r>
      <w:r w:rsidRPr="0006534C">
        <w:rPr>
          <w:rFonts w:ascii="Verdana" w:hAnsi="Verdana"/>
          <w:sz w:val="16"/>
          <w:szCs w:val="16"/>
          <w:lang w:val="es-AR"/>
        </w:rPr>
        <w:t xml:space="preserve"> su informe de 19 de diciembre de 2017, el Estado </w:t>
      </w:r>
      <w:r>
        <w:rPr>
          <w:rFonts w:ascii="Verdana" w:hAnsi="Verdana"/>
          <w:sz w:val="16"/>
          <w:szCs w:val="16"/>
          <w:lang w:val="es-AR"/>
        </w:rPr>
        <w:t>refirió</w:t>
      </w:r>
      <w:r w:rsidRPr="0006534C">
        <w:rPr>
          <w:rFonts w:ascii="Verdana" w:hAnsi="Verdana"/>
          <w:sz w:val="16"/>
          <w:szCs w:val="16"/>
          <w:lang w:val="es-AR"/>
        </w:rPr>
        <w:t xml:space="preserve"> que había enviado un total de </w:t>
      </w:r>
      <w:r w:rsidRPr="0006534C">
        <w:rPr>
          <w:rFonts w:ascii="Verdana" w:hAnsi="Verdana"/>
          <w:sz w:val="16"/>
          <w:szCs w:val="16"/>
          <w:lang w:val="es-CR"/>
        </w:rPr>
        <w:t>106 cartas a 49 víctimas, mientras que e</w:t>
      </w:r>
      <w:r w:rsidR="008A6AEB">
        <w:rPr>
          <w:rFonts w:ascii="Verdana" w:hAnsi="Verdana"/>
          <w:sz w:val="16"/>
          <w:szCs w:val="16"/>
          <w:lang w:val="es-CR"/>
        </w:rPr>
        <w:t>n su informe de</w:t>
      </w:r>
      <w:r w:rsidRPr="0006534C">
        <w:rPr>
          <w:rFonts w:ascii="Verdana" w:hAnsi="Verdana"/>
          <w:sz w:val="16"/>
          <w:szCs w:val="16"/>
          <w:lang w:val="es-CR"/>
        </w:rPr>
        <w:t xml:space="preserve"> </w:t>
      </w:r>
      <w:r w:rsidR="008A6AEB">
        <w:rPr>
          <w:rFonts w:ascii="Verdana" w:hAnsi="Verdana"/>
          <w:sz w:val="16"/>
          <w:szCs w:val="16"/>
          <w:lang w:val="es-CR"/>
        </w:rPr>
        <w:t>11 de septiembre</w:t>
      </w:r>
      <w:r w:rsidRPr="0006534C">
        <w:rPr>
          <w:rFonts w:ascii="Verdana" w:hAnsi="Verdana"/>
          <w:sz w:val="16"/>
          <w:szCs w:val="16"/>
          <w:lang w:val="es-CR"/>
        </w:rPr>
        <w:t xml:space="preserve"> de 2019 indicó que había enviado otras </w:t>
      </w:r>
      <w:r>
        <w:rPr>
          <w:rFonts w:ascii="Verdana" w:hAnsi="Verdana"/>
          <w:sz w:val="16"/>
          <w:szCs w:val="16"/>
          <w:lang w:val="es-CR"/>
        </w:rPr>
        <w:t>más</w:t>
      </w:r>
      <w:r w:rsidRPr="0006534C">
        <w:rPr>
          <w:rFonts w:ascii="Verdana" w:hAnsi="Verdana"/>
          <w:sz w:val="16"/>
          <w:szCs w:val="16"/>
          <w:lang w:val="es-CR"/>
        </w:rPr>
        <w:t xml:space="preserve"> a las direcciones probables de 11 víctimas.</w:t>
      </w:r>
    </w:p>
  </w:footnote>
  <w:footnote w:id="25">
    <w:p w14:paraId="7C8B6328" w14:textId="44C4235F" w:rsidR="00B32CAA" w:rsidRPr="0006534C" w:rsidRDefault="00B32CAA" w:rsidP="0006534C">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6563D4">
        <w:rPr>
          <w:rFonts w:ascii="Verdana" w:hAnsi="Verdana"/>
          <w:sz w:val="16"/>
          <w:szCs w:val="16"/>
          <w:lang w:val="pt-BR"/>
        </w:rPr>
        <w:tab/>
      </w:r>
      <w:proofErr w:type="spellStart"/>
      <w:r w:rsidRPr="006563D4">
        <w:rPr>
          <w:rFonts w:ascii="Verdana" w:hAnsi="Verdana"/>
          <w:sz w:val="16"/>
          <w:szCs w:val="16"/>
          <w:lang w:val="pt-BR"/>
        </w:rPr>
        <w:t>Éstas</w:t>
      </w:r>
      <w:proofErr w:type="spellEnd"/>
      <w:r w:rsidRPr="006563D4">
        <w:rPr>
          <w:rFonts w:ascii="Verdana" w:hAnsi="Verdana"/>
          <w:sz w:val="16"/>
          <w:szCs w:val="16"/>
          <w:lang w:val="pt-BR"/>
        </w:rPr>
        <w:t xml:space="preserve"> </w:t>
      </w:r>
      <w:proofErr w:type="spellStart"/>
      <w:r w:rsidRPr="006563D4">
        <w:rPr>
          <w:rFonts w:ascii="Verdana" w:hAnsi="Verdana"/>
          <w:sz w:val="16"/>
          <w:szCs w:val="16"/>
          <w:lang w:val="pt-BR"/>
        </w:rPr>
        <w:t>son</w:t>
      </w:r>
      <w:proofErr w:type="spellEnd"/>
      <w:r w:rsidRPr="006563D4">
        <w:rPr>
          <w:rFonts w:ascii="Verdana" w:hAnsi="Verdana"/>
          <w:sz w:val="16"/>
          <w:szCs w:val="16"/>
          <w:lang w:val="pt-BR"/>
        </w:rPr>
        <w:t xml:space="preserve">: 1) José Astrogildo Damascena; 2) Manoel Alves de Oliveira; 3) Antônio Almir Lima da Silva; 4) Antônio Francisco da Silva Fernandes; 5) Carlos Augusto Cunha; 6) </w:t>
      </w:r>
      <w:proofErr w:type="spellStart"/>
      <w:r w:rsidRPr="006563D4">
        <w:rPr>
          <w:rFonts w:ascii="Verdana" w:hAnsi="Verdana"/>
          <w:sz w:val="16"/>
          <w:szCs w:val="16"/>
          <w:lang w:val="pt-BR"/>
        </w:rPr>
        <w:t>Edirceu</w:t>
      </w:r>
      <w:proofErr w:type="spellEnd"/>
      <w:r w:rsidRPr="006563D4">
        <w:rPr>
          <w:rFonts w:ascii="Verdana" w:hAnsi="Verdana"/>
          <w:sz w:val="16"/>
          <w:szCs w:val="16"/>
          <w:lang w:val="pt-BR"/>
        </w:rPr>
        <w:t xml:space="preserve"> Lima de Brito; 7) Francisco das Chagas Costa Rabelo; 8) Francisco das Chagas Rodrigues de Sousa; 9) Francisco Ernesto de Melo; 10) Francisco Soares da Silva; 11) Gonçalo </w:t>
      </w:r>
      <w:proofErr w:type="spellStart"/>
      <w:r w:rsidRPr="006563D4">
        <w:rPr>
          <w:rFonts w:ascii="Verdana" w:hAnsi="Verdana"/>
          <w:sz w:val="16"/>
          <w:szCs w:val="16"/>
          <w:lang w:val="pt-BR"/>
        </w:rPr>
        <w:t>Constancio</w:t>
      </w:r>
      <w:proofErr w:type="spellEnd"/>
      <w:r w:rsidRPr="006563D4">
        <w:rPr>
          <w:rFonts w:ascii="Verdana" w:hAnsi="Verdana"/>
          <w:sz w:val="16"/>
          <w:szCs w:val="16"/>
          <w:lang w:val="pt-BR"/>
        </w:rPr>
        <w:t xml:space="preserve"> da Silva; 12) José Cordeiro Ramos; 13) José de Deus de Jesus Sousa; 14) Luiz Gonzaga Silva Pires; 15) Manoel do Nascimento da Silva; 16) Manoel Pinheiro Brito; 17) Pedro Fernandes da Silva, y 18) Sebastião Pereira de Sousa Neto. </w:t>
      </w:r>
      <w:r>
        <w:rPr>
          <w:rFonts w:ascii="Verdana" w:hAnsi="Verdana"/>
          <w:i/>
          <w:sz w:val="16"/>
          <w:szCs w:val="16"/>
          <w:lang w:val="es-CR"/>
        </w:rPr>
        <w:t xml:space="preserve">Cfr. </w:t>
      </w:r>
      <w:r>
        <w:rPr>
          <w:rFonts w:ascii="Verdana" w:hAnsi="Verdana"/>
          <w:sz w:val="16"/>
          <w:szCs w:val="16"/>
          <w:lang w:val="es-CR"/>
        </w:rPr>
        <w:t>Órdenes bancarias anexas al informe estatal de 11 de septiembre de 2019 (anexos 4, 5, 6 y 15).</w:t>
      </w:r>
    </w:p>
  </w:footnote>
  <w:footnote w:id="26">
    <w:p w14:paraId="4B470370" w14:textId="63B81419"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Pr>
          <w:rFonts w:ascii="Verdana" w:hAnsi="Verdana"/>
          <w:sz w:val="16"/>
          <w:szCs w:val="16"/>
          <w:lang w:val="es-AR"/>
        </w:rPr>
        <w:t>Orden bancaria</w:t>
      </w:r>
      <w:r w:rsidRPr="0006534C">
        <w:rPr>
          <w:rFonts w:ascii="Verdana" w:hAnsi="Verdana"/>
          <w:sz w:val="16"/>
          <w:szCs w:val="16"/>
          <w:lang w:val="es-AR"/>
        </w:rPr>
        <w:t xml:space="preserve"> </w:t>
      </w:r>
      <w:proofErr w:type="spellStart"/>
      <w:r w:rsidRPr="0006534C">
        <w:rPr>
          <w:rFonts w:ascii="Verdana" w:hAnsi="Verdana"/>
          <w:sz w:val="16"/>
          <w:szCs w:val="16"/>
          <w:lang w:val="es-AR"/>
        </w:rPr>
        <w:t>N</w:t>
      </w:r>
      <w:r>
        <w:rPr>
          <w:rFonts w:ascii="Verdana" w:hAnsi="Verdana"/>
          <w:sz w:val="16"/>
          <w:szCs w:val="16"/>
          <w:lang w:val="es-AR"/>
        </w:rPr>
        <w:t>°</w:t>
      </w:r>
      <w:proofErr w:type="spellEnd"/>
      <w:r w:rsidRPr="0006534C">
        <w:rPr>
          <w:rFonts w:ascii="Verdana" w:hAnsi="Verdana"/>
          <w:sz w:val="16"/>
          <w:szCs w:val="16"/>
          <w:lang w:val="es-AR"/>
        </w:rPr>
        <w:t xml:space="preserve"> 2018OB800287 de 25 de abril de 2018 a favor de </w:t>
      </w:r>
      <w:proofErr w:type="spellStart"/>
      <w:r w:rsidRPr="0006534C">
        <w:rPr>
          <w:rFonts w:ascii="Verdana" w:hAnsi="Verdana"/>
          <w:sz w:val="16"/>
          <w:szCs w:val="16"/>
          <w:lang w:val="es-CR"/>
        </w:rPr>
        <w:t>Antônio</w:t>
      </w:r>
      <w:proofErr w:type="spellEnd"/>
      <w:r w:rsidRPr="0006534C">
        <w:rPr>
          <w:rFonts w:ascii="Verdana" w:hAnsi="Verdana"/>
          <w:sz w:val="16"/>
          <w:szCs w:val="16"/>
          <w:lang w:val="es-CR"/>
        </w:rPr>
        <w:t xml:space="preserve"> Paulo da Silva</w:t>
      </w:r>
      <w:r>
        <w:rPr>
          <w:rFonts w:ascii="Verdana" w:hAnsi="Verdana"/>
          <w:sz w:val="16"/>
          <w:szCs w:val="16"/>
          <w:lang w:val="es-CR"/>
        </w:rPr>
        <w:t xml:space="preserve"> (anexo 15 al informe estatal de 11 de septiembre de 2019)</w:t>
      </w:r>
      <w:r w:rsidRPr="0006534C">
        <w:rPr>
          <w:rFonts w:ascii="Verdana" w:hAnsi="Verdana"/>
          <w:sz w:val="16"/>
          <w:szCs w:val="16"/>
          <w:lang w:val="es-CR"/>
        </w:rPr>
        <w:t xml:space="preserve">. </w:t>
      </w:r>
    </w:p>
  </w:footnote>
  <w:footnote w:id="27">
    <w:p w14:paraId="1387D76E" w14:textId="494D3476"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Escrito de observaciones de los representantes de 26 de septiembre de 2019. </w:t>
      </w:r>
    </w:p>
  </w:footnote>
  <w:footnote w:id="28">
    <w:p w14:paraId="23A7E671" w14:textId="45FDA2EB" w:rsidR="00B32CAA" w:rsidRPr="00902852" w:rsidRDefault="00B32CAA" w:rsidP="00BC6C61">
      <w:pPr>
        <w:pStyle w:val="Textonotapie"/>
        <w:tabs>
          <w:tab w:val="left" w:pos="426"/>
        </w:tabs>
        <w:jc w:val="both"/>
        <w:rPr>
          <w:rFonts w:ascii="Verdana" w:hAnsi="Verdana"/>
          <w:b/>
          <w:sz w:val="16"/>
          <w:szCs w:val="16"/>
          <w:lang w:val="es-AR"/>
        </w:rPr>
      </w:pPr>
      <w:r w:rsidRPr="00902852">
        <w:rPr>
          <w:rStyle w:val="Refdenotaalpie"/>
          <w:rFonts w:ascii="Verdana" w:hAnsi="Verdana"/>
          <w:sz w:val="16"/>
          <w:szCs w:val="16"/>
        </w:rPr>
        <w:footnoteRef/>
      </w:r>
      <w:r w:rsidRPr="00902852">
        <w:rPr>
          <w:rFonts w:ascii="Verdana" w:hAnsi="Verdana"/>
          <w:sz w:val="16"/>
          <w:szCs w:val="16"/>
        </w:rPr>
        <w:t xml:space="preserve"> </w:t>
      </w:r>
      <w:r w:rsidRPr="006563D4">
        <w:rPr>
          <w:rFonts w:ascii="Verdana" w:hAnsi="Verdana"/>
          <w:sz w:val="16"/>
          <w:szCs w:val="16"/>
          <w:lang w:val="pt-BR"/>
        </w:rPr>
        <w:tab/>
        <w:t xml:space="preserve">Se trata de </w:t>
      </w:r>
      <w:proofErr w:type="spellStart"/>
      <w:r w:rsidRPr="006563D4">
        <w:rPr>
          <w:rFonts w:ascii="Verdana" w:hAnsi="Verdana"/>
          <w:sz w:val="16"/>
          <w:szCs w:val="16"/>
          <w:lang w:val="pt-BR"/>
        </w:rPr>
        <w:t>las</w:t>
      </w:r>
      <w:proofErr w:type="spellEnd"/>
      <w:r w:rsidRPr="006563D4">
        <w:rPr>
          <w:rFonts w:ascii="Verdana" w:hAnsi="Verdana"/>
          <w:sz w:val="16"/>
          <w:szCs w:val="16"/>
          <w:lang w:val="pt-BR"/>
        </w:rPr>
        <w:t xml:space="preserve"> </w:t>
      </w:r>
      <w:proofErr w:type="spellStart"/>
      <w:r w:rsidRPr="006563D4">
        <w:rPr>
          <w:rFonts w:ascii="Verdana" w:hAnsi="Verdana"/>
          <w:sz w:val="16"/>
          <w:szCs w:val="16"/>
          <w:lang w:val="pt-BR"/>
        </w:rPr>
        <w:t>víctimas</w:t>
      </w:r>
      <w:proofErr w:type="spellEnd"/>
      <w:r w:rsidRPr="006563D4">
        <w:rPr>
          <w:rFonts w:ascii="Verdana" w:hAnsi="Verdana"/>
          <w:sz w:val="16"/>
          <w:szCs w:val="16"/>
          <w:lang w:val="pt-BR"/>
        </w:rPr>
        <w:t xml:space="preserve"> Antônio da Silva Martins, Antônio de Paula Rodrigues de Sousa y Manoel Fernandes dos Santos. </w:t>
      </w:r>
      <w:r w:rsidRPr="00BB1CDD">
        <w:rPr>
          <w:rFonts w:ascii="Verdana" w:hAnsi="Verdana"/>
          <w:sz w:val="16"/>
          <w:szCs w:val="16"/>
          <w:lang w:val="es-CR"/>
        </w:rPr>
        <w:t xml:space="preserve">Según lo informado por el Estado en septiembre de 2019, </w:t>
      </w:r>
      <w:r w:rsidR="00410FA2" w:rsidRPr="00BB1CDD">
        <w:rPr>
          <w:rFonts w:ascii="Verdana" w:hAnsi="Verdana"/>
          <w:sz w:val="16"/>
          <w:szCs w:val="16"/>
          <w:lang w:val="es-CR"/>
        </w:rPr>
        <w:t>e</w:t>
      </w:r>
      <w:r w:rsidRPr="00BB1CDD">
        <w:rPr>
          <w:rFonts w:ascii="Verdana" w:hAnsi="Verdana"/>
          <w:sz w:val="16"/>
          <w:szCs w:val="16"/>
          <w:lang w:val="es-CR"/>
        </w:rPr>
        <w:t xml:space="preserve">sta última </w:t>
      </w:r>
      <w:r w:rsidR="00410FA2" w:rsidRPr="00BB1CDD">
        <w:rPr>
          <w:rFonts w:ascii="Verdana" w:hAnsi="Verdana"/>
          <w:sz w:val="16"/>
          <w:szCs w:val="16"/>
          <w:lang w:val="es-CR"/>
        </w:rPr>
        <w:t xml:space="preserve">víctima </w:t>
      </w:r>
      <w:r w:rsidRPr="00BB1CDD">
        <w:rPr>
          <w:rFonts w:ascii="Verdana" w:hAnsi="Verdana"/>
          <w:sz w:val="16"/>
          <w:szCs w:val="16"/>
          <w:lang w:val="es-CR"/>
        </w:rPr>
        <w:t>había fallecido</w:t>
      </w:r>
      <w:r>
        <w:rPr>
          <w:rFonts w:ascii="Verdana" w:hAnsi="Verdana"/>
          <w:sz w:val="16"/>
          <w:szCs w:val="16"/>
          <w:lang w:val="es-CR"/>
        </w:rPr>
        <w:t xml:space="preserve"> y se había finalizado la tramitación de la acción internacional de cumplimiento de obligaciones, procedimiento utilizado bajo el derecho brasileño para proceder al pago de las indemnizaciones a víctimas fallecidas (</w:t>
      </w:r>
      <w:r>
        <w:rPr>
          <w:rFonts w:ascii="Verdana" w:hAnsi="Verdana"/>
          <w:i/>
          <w:sz w:val="16"/>
          <w:szCs w:val="16"/>
          <w:lang w:val="es-CR"/>
        </w:rPr>
        <w:t xml:space="preserve">infra </w:t>
      </w:r>
      <w:r>
        <w:rPr>
          <w:rFonts w:ascii="Verdana" w:hAnsi="Verdana"/>
          <w:sz w:val="16"/>
          <w:szCs w:val="16"/>
          <w:lang w:val="es-CR"/>
        </w:rPr>
        <w:t>Considerando 19)</w:t>
      </w:r>
      <w:r w:rsidRPr="00902852">
        <w:rPr>
          <w:rFonts w:ascii="Verdana" w:hAnsi="Verdana"/>
          <w:sz w:val="16"/>
          <w:szCs w:val="16"/>
          <w:lang w:val="es-CR"/>
        </w:rPr>
        <w:t xml:space="preserve">. </w:t>
      </w:r>
      <w:r w:rsidRPr="00902852">
        <w:rPr>
          <w:rFonts w:ascii="Verdana" w:hAnsi="Verdana"/>
          <w:i/>
          <w:sz w:val="16"/>
          <w:szCs w:val="16"/>
          <w:lang w:val="es-CR"/>
        </w:rPr>
        <w:t xml:space="preserve">Cfr. </w:t>
      </w:r>
      <w:r w:rsidRPr="00902852">
        <w:rPr>
          <w:rFonts w:ascii="Verdana" w:hAnsi="Verdana"/>
          <w:sz w:val="16"/>
          <w:szCs w:val="16"/>
          <w:lang w:val="es-CR"/>
        </w:rPr>
        <w:t xml:space="preserve">Informe estatal de </w:t>
      </w:r>
      <w:r>
        <w:rPr>
          <w:rFonts w:ascii="Verdana" w:hAnsi="Verdana"/>
          <w:sz w:val="16"/>
          <w:szCs w:val="16"/>
          <w:lang w:val="es-CR"/>
        </w:rPr>
        <w:t>11 de septiembre</w:t>
      </w:r>
      <w:r w:rsidRPr="00902852">
        <w:rPr>
          <w:rFonts w:ascii="Verdana" w:hAnsi="Verdana"/>
          <w:sz w:val="16"/>
          <w:szCs w:val="16"/>
          <w:lang w:val="es-CR"/>
        </w:rPr>
        <w:t xml:space="preserve"> de 2019.</w:t>
      </w:r>
    </w:p>
  </w:footnote>
  <w:footnote w:id="29">
    <w:p w14:paraId="633AF8E6" w14:textId="68119906" w:rsidR="00B32CAA" w:rsidRPr="00DD5E82" w:rsidRDefault="00B32CAA" w:rsidP="00494C28">
      <w:pPr>
        <w:pStyle w:val="Textonotapie"/>
        <w:tabs>
          <w:tab w:val="left" w:pos="426"/>
        </w:tabs>
        <w:jc w:val="both"/>
        <w:rPr>
          <w:rFonts w:ascii="Verdana" w:hAnsi="Verdana"/>
          <w:sz w:val="16"/>
          <w:szCs w:val="16"/>
          <w:lang w:val="es-AR"/>
        </w:rPr>
      </w:pPr>
      <w:r w:rsidRPr="00BB1CDD">
        <w:rPr>
          <w:rStyle w:val="Refdenotaalpie"/>
          <w:rFonts w:ascii="Verdana" w:hAnsi="Verdana"/>
          <w:sz w:val="16"/>
          <w:szCs w:val="16"/>
        </w:rPr>
        <w:footnoteRef/>
      </w:r>
      <w:r w:rsidRPr="00BB1CDD">
        <w:rPr>
          <w:rFonts w:ascii="Verdana" w:hAnsi="Verdana"/>
          <w:sz w:val="16"/>
          <w:szCs w:val="16"/>
        </w:rPr>
        <w:t xml:space="preserve"> </w:t>
      </w:r>
      <w:r w:rsidRPr="00BB1CDD">
        <w:rPr>
          <w:rFonts w:ascii="Verdana" w:hAnsi="Verdana"/>
          <w:sz w:val="16"/>
          <w:szCs w:val="16"/>
          <w:lang w:val="es-AR"/>
        </w:rPr>
        <w:tab/>
      </w:r>
      <w:r w:rsidRPr="00BB1CDD">
        <w:rPr>
          <w:rFonts w:ascii="Verdana" w:hAnsi="Verdana"/>
          <w:i/>
          <w:sz w:val="16"/>
          <w:szCs w:val="16"/>
          <w:lang w:val="es-AR"/>
        </w:rPr>
        <w:t xml:space="preserve">Cfr. </w:t>
      </w:r>
      <w:r w:rsidRPr="00BB1CDD">
        <w:rPr>
          <w:rFonts w:ascii="Verdana" w:hAnsi="Verdana"/>
          <w:sz w:val="16"/>
          <w:szCs w:val="16"/>
          <w:lang w:val="es-AR"/>
        </w:rPr>
        <w:t xml:space="preserve">Orden bancaria </w:t>
      </w:r>
      <w:proofErr w:type="spellStart"/>
      <w:r w:rsidRPr="00BB1CDD">
        <w:rPr>
          <w:rFonts w:ascii="Verdana" w:hAnsi="Verdana"/>
          <w:sz w:val="16"/>
          <w:szCs w:val="16"/>
          <w:lang w:val="es-AR"/>
        </w:rPr>
        <w:t>N°</w:t>
      </w:r>
      <w:proofErr w:type="spellEnd"/>
      <w:r w:rsidRPr="00BB1CDD">
        <w:rPr>
          <w:rFonts w:ascii="Verdana" w:hAnsi="Verdana"/>
          <w:sz w:val="16"/>
          <w:szCs w:val="16"/>
          <w:lang w:val="es-AR"/>
        </w:rPr>
        <w:t xml:space="preserve"> 2019OB800517 de 26 de agosto de 2019 a favor de los herederos de </w:t>
      </w:r>
      <w:proofErr w:type="spellStart"/>
      <w:r w:rsidRPr="00BB1CDD">
        <w:rPr>
          <w:rFonts w:ascii="Verdana" w:hAnsi="Verdana"/>
          <w:sz w:val="16"/>
          <w:szCs w:val="16"/>
          <w:lang w:val="es-AR"/>
        </w:rPr>
        <w:t>Manoel</w:t>
      </w:r>
      <w:proofErr w:type="spellEnd"/>
      <w:r w:rsidRPr="00BB1CDD">
        <w:rPr>
          <w:rFonts w:ascii="Verdana" w:hAnsi="Verdana"/>
          <w:sz w:val="16"/>
          <w:szCs w:val="16"/>
          <w:lang w:val="es-AR"/>
        </w:rPr>
        <w:t xml:space="preserve"> </w:t>
      </w:r>
      <w:proofErr w:type="spellStart"/>
      <w:r w:rsidRPr="00BB1CDD">
        <w:rPr>
          <w:rFonts w:ascii="Verdana" w:hAnsi="Verdana"/>
          <w:sz w:val="16"/>
          <w:szCs w:val="16"/>
          <w:lang w:val="es-AR"/>
        </w:rPr>
        <w:t>Fernandes</w:t>
      </w:r>
      <w:proofErr w:type="spellEnd"/>
      <w:r w:rsidRPr="00BB1CDD">
        <w:rPr>
          <w:rFonts w:ascii="Verdana" w:hAnsi="Verdana"/>
          <w:sz w:val="16"/>
          <w:szCs w:val="16"/>
          <w:lang w:val="es-AR"/>
        </w:rPr>
        <w:t xml:space="preserve"> dos Santos (anexo 16 al informe estatal de 11 de septiembre de 2019) y orden bancaria </w:t>
      </w:r>
      <w:proofErr w:type="spellStart"/>
      <w:r w:rsidRPr="00BB1CDD">
        <w:rPr>
          <w:rFonts w:ascii="Verdana" w:hAnsi="Verdana"/>
          <w:sz w:val="16"/>
          <w:szCs w:val="16"/>
          <w:lang w:val="es-AR"/>
        </w:rPr>
        <w:t>N°</w:t>
      </w:r>
      <w:proofErr w:type="spellEnd"/>
      <w:r w:rsidRPr="00BB1CDD">
        <w:rPr>
          <w:rFonts w:ascii="Verdana" w:hAnsi="Verdana"/>
          <w:sz w:val="16"/>
          <w:szCs w:val="16"/>
          <w:lang w:val="es-AR"/>
        </w:rPr>
        <w:t xml:space="preserve"> 2019OB800526 de 29 de agosto de 2019 a favor de </w:t>
      </w:r>
      <w:proofErr w:type="spellStart"/>
      <w:r w:rsidRPr="00BB1CDD">
        <w:rPr>
          <w:rFonts w:ascii="Verdana" w:hAnsi="Verdana"/>
          <w:sz w:val="16"/>
          <w:szCs w:val="16"/>
          <w:lang w:val="es-CR"/>
        </w:rPr>
        <w:t>Antônio</w:t>
      </w:r>
      <w:proofErr w:type="spellEnd"/>
      <w:r w:rsidRPr="00BB1CDD">
        <w:rPr>
          <w:rFonts w:ascii="Verdana" w:hAnsi="Verdana"/>
          <w:sz w:val="16"/>
          <w:szCs w:val="16"/>
          <w:lang w:val="es-CR"/>
        </w:rPr>
        <w:t xml:space="preserve"> de Paula </w:t>
      </w:r>
      <w:proofErr w:type="spellStart"/>
      <w:r w:rsidRPr="00BB1CDD">
        <w:rPr>
          <w:rFonts w:ascii="Verdana" w:hAnsi="Verdana"/>
          <w:sz w:val="16"/>
          <w:szCs w:val="16"/>
          <w:lang w:val="es-CR"/>
        </w:rPr>
        <w:t>Rodrigues</w:t>
      </w:r>
      <w:proofErr w:type="spellEnd"/>
      <w:r w:rsidRPr="00BB1CDD">
        <w:rPr>
          <w:rFonts w:ascii="Verdana" w:hAnsi="Verdana"/>
          <w:sz w:val="16"/>
          <w:szCs w:val="16"/>
          <w:lang w:val="es-CR"/>
        </w:rPr>
        <w:t xml:space="preserve"> de Sousa (anexo 17 al informe estatal de 11 de septiembre de 2019).</w:t>
      </w:r>
    </w:p>
  </w:footnote>
  <w:footnote w:id="30">
    <w:p w14:paraId="4F3BAD96" w14:textId="24968450" w:rsidR="007074DA" w:rsidRPr="00DD5E82" w:rsidRDefault="007074DA" w:rsidP="00DD5E82">
      <w:pPr>
        <w:pStyle w:val="Textonotapie"/>
        <w:tabs>
          <w:tab w:val="left" w:pos="432"/>
        </w:tabs>
        <w:rPr>
          <w:rFonts w:ascii="Verdana" w:hAnsi="Verdana"/>
          <w:sz w:val="16"/>
          <w:szCs w:val="16"/>
          <w:lang w:val="es-CR"/>
        </w:rPr>
      </w:pPr>
      <w:r w:rsidRPr="00BB1CDD">
        <w:rPr>
          <w:rStyle w:val="Refdenotaalpie"/>
          <w:rFonts w:ascii="Verdana" w:hAnsi="Verdana"/>
          <w:sz w:val="16"/>
          <w:szCs w:val="16"/>
        </w:rPr>
        <w:footnoteRef/>
      </w:r>
      <w:r w:rsidRPr="00BB1CDD">
        <w:rPr>
          <w:rFonts w:ascii="Verdana" w:hAnsi="Verdana"/>
          <w:sz w:val="16"/>
          <w:szCs w:val="16"/>
        </w:rPr>
        <w:t xml:space="preserve"> </w:t>
      </w:r>
      <w:r w:rsidRPr="00BB1CDD">
        <w:rPr>
          <w:rFonts w:ascii="Verdana" w:hAnsi="Verdana"/>
          <w:sz w:val="16"/>
          <w:szCs w:val="16"/>
        </w:rPr>
        <w:tab/>
      </w:r>
      <w:r w:rsidRPr="00BB1CDD">
        <w:rPr>
          <w:rFonts w:ascii="Verdana" w:hAnsi="Verdana"/>
          <w:i/>
          <w:sz w:val="16"/>
          <w:szCs w:val="16"/>
          <w:lang w:val="es-CR"/>
        </w:rPr>
        <w:t xml:space="preserve">Cfr. </w:t>
      </w:r>
      <w:r w:rsidRPr="00BB1CDD">
        <w:rPr>
          <w:rFonts w:ascii="Verdana" w:hAnsi="Verdana"/>
          <w:sz w:val="16"/>
          <w:szCs w:val="16"/>
          <w:lang w:val="es-CR"/>
        </w:rPr>
        <w:t>Escrito de observaciones de los representantes de 26 de septiembre de 2019.</w:t>
      </w:r>
    </w:p>
  </w:footnote>
  <w:footnote w:id="31">
    <w:p w14:paraId="2DBE6EA4" w14:textId="46986548" w:rsidR="00B32CAA" w:rsidRPr="0006534C" w:rsidRDefault="00B32CAA" w:rsidP="007074DA">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Escrito de observaciones de los representantes de 5 de octubre de 2018. </w:t>
      </w:r>
    </w:p>
  </w:footnote>
  <w:footnote w:id="32">
    <w:p w14:paraId="6B835D26" w14:textId="77D899F9" w:rsidR="00B32CAA" w:rsidRPr="0006534C" w:rsidRDefault="00B32CAA" w:rsidP="0006534C">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t xml:space="preserve">Éstos son los </w:t>
      </w:r>
      <w:r>
        <w:rPr>
          <w:rFonts w:ascii="Verdana" w:hAnsi="Verdana"/>
          <w:sz w:val="16"/>
          <w:szCs w:val="16"/>
          <w:lang w:val="es-AR"/>
        </w:rPr>
        <w:t>señores</w:t>
      </w:r>
      <w:r w:rsidRPr="0006534C">
        <w:rPr>
          <w:rFonts w:ascii="Verdana" w:hAnsi="Verdana"/>
          <w:sz w:val="16"/>
          <w:szCs w:val="16"/>
          <w:lang w:val="es-AR"/>
        </w:rPr>
        <w:t xml:space="preserve"> Danilo Carvalho Almeida y Leno Ferreira Almeida.</w:t>
      </w:r>
    </w:p>
  </w:footnote>
  <w:footnote w:id="33">
    <w:p w14:paraId="369BEECD" w14:textId="6B38496C" w:rsidR="00B32CAA" w:rsidRPr="0006534C" w:rsidRDefault="00B32CAA" w:rsidP="0006534C">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Informe estatal de </w:t>
      </w:r>
      <w:r>
        <w:rPr>
          <w:rFonts w:ascii="Verdana" w:hAnsi="Verdana"/>
          <w:sz w:val="16"/>
          <w:szCs w:val="16"/>
          <w:lang w:val="es-AR"/>
        </w:rPr>
        <w:t>11 de septiembre</w:t>
      </w:r>
      <w:r w:rsidRPr="0006534C">
        <w:rPr>
          <w:rFonts w:ascii="Verdana" w:hAnsi="Verdana"/>
          <w:sz w:val="16"/>
          <w:szCs w:val="16"/>
          <w:lang w:val="es-AR"/>
        </w:rPr>
        <w:t xml:space="preserve"> de 2019; Comunicación del Sr. </w:t>
      </w:r>
      <w:proofErr w:type="spellStart"/>
      <w:r w:rsidRPr="0011751F">
        <w:rPr>
          <w:rFonts w:ascii="Verdana" w:hAnsi="Verdana"/>
          <w:sz w:val="16"/>
          <w:szCs w:val="16"/>
          <w:lang w:val="es-CO"/>
        </w:rPr>
        <w:t>Antônio</w:t>
      </w:r>
      <w:proofErr w:type="spellEnd"/>
      <w:r w:rsidRPr="0011751F">
        <w:rPr>
          <w:rFonts w:ascii="Verdana" w:hAnsi="Verdana"/>
          <w:sz w:val="16"/>
          <w:szCs w:val="16"/>
          <w:lang w:val="es-CO"/>
        </w:rPr>
        <w:t xml:space="preserve"> Pereira da Silva de 27 de noviembre de 2018 dirigida al </w:t>
      </w:r>
      <w:r w:rsidRPr="0011751F">
        <w:rPr>
          <w:rFonts w:ascii="Verdana" w:hAnsi="Verdana"/>
          <w:sz w:val="16"/>
          <w:szCs w:val="16"/>
          <w:lang w:val="es-CR"/>
        </w:rPr>
        <w:t>Ministerio de la Mujer, la Familia y los Derechos Humanos (</w:t>
      </w:r>
      <w:r>
        <w:rPr>
          <w:rFonts w:ascii="Verdana" w:hAnsi="Verdana"/>
          <w:sz w:val="16"/>
          <w:szCs w:val="16"/>
          <w:lang w:val="es-CR"/>
        </w:rPr>
        <w:t>a</w:t>
      </w:r>
      <w:r w:rsidRPr="0011751F">
        <w:rPr>
          <w:rFonts w:ascii="Verdana" w:hAnsi="Verdana"/>
          <w:sz w:val="16"/>
          <w:szCs w:val="16"/>
          <w:lang w:val="es-CR"/>
        </w:rPr>
        <w:t xml:space="preserve">nexo 7 al informe estatal de </w:t>
      </w:r>
      <w:r>
        <w:rPr>
          <w:rFonts w:ascii="Verdana" w:hAnsi="Verdana"/>
          <w:sz w:val="16"/>
          <w:szCs w:val="16"/>
          <w:lang w:val="es-CR"/>
        </w:rPr>
        <w:t>11 de septiembre</w:t>
      </w:r>
      <w:r w:rsidRPr="0011751F">
        <w:rPr>
          <w:rFonts w:ascii="Verdana" w:hAnsi="Verdana"/>
          <w:sz w:val="16"/>
          <w:szCs w:val="16"/>
          <w:lang w:val="es-CR"/>
        </w:rPr>
        <w:t xml:space="preserve"> de 2019), y Cartera de trabajo y seguridad social de </w:t>
      </w:r>
      <w:proofErr w:type="spellStart"/>
      <w:r w:rsidRPr="0011751F">
        <w:rPr>
          <w:rFonts w:ascii="Verdana" w:hAnsi="Verdana"/>
          <w:sz w:val="16"/>
          <w:szCs w:val="16"/>
          <w:lang w:val="es-CO"/>
        </w:rPr>
        <w:t>Antônio</w:t>
      </w:r>
      <w:proofErr w:type="spellEnd"/>
      <w:r w:rsidRPr="0011751F">
        <w:rPr>
          <w:rFonts w:ascii="Verdana" w:hAnsi="Verdana"/>
          <w:sz w:val="16"/>
          <w:szCs w:val="16"/>
          <w:lang w:val="es-CO"/>
        </w:rPr>
        <w:t xml:space="preserve"> Pereira da Silva (</w:t>
      </w:r>
      <w:r>
        <w:rPr>
          <w:rFonts w:ascii="Verdana" w:hAnsi="Verdana"/>
          <w:sz w:val="16"/>
          <w:szCs w:val="16"/>
          <w:lang w:val="es-CO"/>
        </w:rPr>
        <w:t>a</w:t>
      </w:r>
      <w:r w:rsidRPr="0011751F">
        <w:rPr>
          <w:rFonts w:ascii="Verdana" w:hAnsi="Verdana"/>
          <w:sz w:val="16"/>
          <w:szCs w:val="16"/>
          <w:lang w:val="es-CO"/>
        </w:rPr>
        <w:t xml:space="preserve">nexo 8 al informe estatal de </w:t>
      </w:r>
      <w:r>
        <w:rPr>
          <w:rFonts w:ascii="Verdana" w:hAnsi="Verdana"/>
          <w:sz w:val="16"/>
          <w:szCs w:val="16"/>
          <w:lang w:val="es-CO"/>
        </w:rPr>
        <w:t>11 de septiembre</w:t>
      </w:r>
      <w:r w:rsidRPr="0011751F">
        <w:rPr>
          <w:rFonts w:ascii="Verdana" w:hAnsi="Verdana"/>
          <w:sz w:val="16"/>
          <w:szCs w:val="16"/>
          <w:lang w:val="es-CO"/>
        </w:rPr>
        <w:t xml:space="preserve"> de 2019).</w:t>
      </w:r>
    </w:p>
  </w:footnote>
  <w:footnote w:id="34">
    <w:p w14:paraId="553CE6BC" w14:textId="02A98504" w:rsidR="00B32CAA" w:rsidRPr="0006534C" w:rsidRDefault="00B32CAA" w:rsidP="0006534C">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Comunicación de CEJIL de 7 de febrero de 2019 dirigida al </w:t>
      </w:r>
      <w:proofErr w:type="gramStart"/>
      <w:r w:rsidRPr="0006534C">
        <w:rPr>
          <w:rFonts w:ascii="Verdana" w:hAnsi="Verdana"/>
          <w:sz w:val="16"/>
          <w:szCs w:val="16"/>
          <w:lang w:val="es-AR"/>
        </w:rPr>
        <w:t>Jefe</w:t>
      </w:r>
      <w:proofErr w:type="gramEnd"/>
      <w:r w:rsidRPr="0006534C">
        <w:rPr>
          <w:rFonts w:ascii="Verdana" w:hAnsi="Verdana"/>
          <w:sz w:val="16"/>
          <w:szCs w:val="16"/>
          <w:lang w:val="es-AR"/>
        </w:rPr>
        <w:t xml:space="preserve"> y la Coordinadora de Asesoría de Asuntos Internacionales del Ministerio de Derechos Humanos (</w:t>
      </w:r>
      <w:r>
        <w:rPr>
          <w:rFonts w:ascii="Verdana" w:hAnsi="Verdana"/>
          <w:sz w:val="16"/>
          <w:szCs w:val="16"/>
          <w:lang w:val="es-AR"/>
        </w:rPr>
        <w:t>a</w:t>
      </w:r>
      <w:r w:rsidRPr="0006534C">
        <w:rPr>
          <w:rFonts w:ascii="Verdana" w:hAnsi="Verdana"/>
          <w:sz w:val="16"/>
          <w:szCs w:val="16"/>
          <w:lang w:val="es-AR"/>
        </w:rPr>
        <w:t xml:space="preserve">nexo 9 al informe estatal de </w:t>
      </w:r>
      <w:r>
        <w:rPr>
          <w:rFonts w:ascii="Verdana" w:hAnsi="Verdana"/>
          <w:sz w:val="16"/>
          <w:szCs w:val="16"/>
          <w:lang w:val="es-AR"/>
        </w:rPr>
        <w:t>11 de septiembre</w:t>
      </w:r>
      <w:r w:rsidRPr="0006534C">
        <w:rPr>
          <w:rFonts w:ascii="Verdana" w:hAnsi="Verdana"/>
          <w:sz w:val="16"/>
          <w:szCs w:val="16"/>
          <w:lang w:val="es-AR"/>
        </w:rPr>
        <w:t xml:space="preserve"> de 2019).</w:t>
      </w:r>
    </w:p>
  </w:footnote>
  <w:footnote w:id="35">
    <w:p w14:paraId="4F90ACC0" w14:textId="3C60ADE4"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44238C">
        <w:rPr>
          <w:rFonts w:ascii="Verdana" w:hAnsi="Verdana"/>
          <w:i/>
          <w:sz w:val="16"/>
          <w:szCs w:val="16"/>
          <w:lang w:val="es-AR"/>
        </w:rPr>
        <w:t xml:space="preserve">Cfr. </w:t>
      </w:r>
      <w:r w:rsidRPr="0044238C">
        <w:rPr>
          <w:rFonts w:ascii="Verdana" w:hAnsi="Verdana"/>
          <w:sz w:val="16"/>
          <w:szCs w:val="16"/>
          <w:lang w:val="es-AR"/>
        </w:rPr>
        <w:t xml:space="preserve">Informe estatal de </w:t>
      </w:r>
      <w:r>
        <w:rPr>
          <w:rFonts w:ascii="Verdana" w:hAnsi="Verdana"/>
          <w:sz w:val="16"/>
          <w:szCs w:val="16"/>
          <w:lang w:val="es-AR"/>
        </w:rPr>
        <w:t>11 de septiembre</w:t>
      </w:r>
      <w:r w:rsidRPr="0044238C">
        <w:rPr>
          <w:rFonts w:ascii="Verdana" w:hAnsi="Verdana"/>
          <w:sz w:val="16"/>
          <w:szCs w:val="16"/>
          <w:lang w:val="es-AR"/>
        </w:rPr>
        <w:t xml:space="preserve"> de 2019</w:t>
      </w:r>
      <w:r>
        <w:rPr>
          <w:rFonts w:ascii="Verdana" w:hAnsi="Verdana"/>
          <w:sz w:val="16"/>
          <w:szCs w:val="16"/>
          <w:lang w:val="es-AR"/>
        </w:rPr>
        <w:t>.</w:t>
      </w:r>
    </w:p>
  </w:footnote>
  <w:footnote w:id="36">
    <w:p w14:paraId="26815869" w14:textId="63FBC996"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Escrito de observaciones de los representantes de 26 de septiembre de 2019.</w:t>
      </w:r>
    </w:p>
  </w:footnote>
  <w:footnote w:id="37">
    <w:p w14:paraId="3614D75E" w14:textId="04FA8977" w:rsidR="00B32CAA" w:rsidRPr="006563D4" w:rsidRDefault="00B32CAA" w:rsidP="0006534C">
      <w:pPr>
        <w:pStyle w:val="Textonotapie"/>
        <w:tabs>
          <w:tab w:val="left" w:pos="426"/>
        </w:tabs>
        <w:jc w:val="both"/>
        <w:rPr>
          <w:rFonts w:ascii="Verdana" w:hAnsi="Verdana"/>
          <w:sz w:val="16"/>
          <w:szCs w:val="16"/>
          <w:lang w:val="pt-BR"/>
        </w:rPr>
      </w:pPr>
      <w:r w:rsidRPr="0006534C">
        <w:rPr>
          <w:rStyle w:val="Refdenotaalpie"/>
          <w:rFonts w:ascii="Verdana" w:hAnsi="Verdana"/>
          <w:sz w:val="16"/>
          <w:szCs w:val="16"/>
        </w:rPr>
        <w:footnoteRef/>
      </w:r>
      <w:r w:rsidRPr="0006534C">
        <w:rPr>
          <w:rFonts w:ascii="Verdana" w:hAnsi="Verdana"/>
          <w:sz w:val="16"/>
          <w:szCs w:val="16"/>
        </w:rPr>
        <w:t xml:space="preserve"> </w:t>
      </w:r>
      <w:r w:rsidRPr="006563D4">
        <w:rPr>
          <w:rFonts w:ascii="Verdana" w:hAnsi="Verdana"/>
          <w:sz w:val="16"/>
          <w:szCs w:val="16"/>
          <w:lang w:val="pt-BR"/>
        </w:rPr>
        <w:tab/>
      </w:r>
      <w:proofErr w:type="spellStart"/>
      <w:r w:rsidRPr="006563D4">
        <w:rPr>
          <w:rFonts w:ascii="Verdana" w:hAnsi="Verdana"/>
          <w:sz w:val="16"/>
          <w:szCs w:val="16"/>
          <w:lang w:val="pt-BR"/>
        </w:rPr>
        <w:t>Éstas</w:t>
      </w:r>
      <w:proofErr w:type="spellEnd"/>
      <w:r w:rsidRPr="006563D4">
        <w:rPr>
          <w:rFonts w:ascii="Verdana" w:hAnsi="Verdana"/>
          <w:sz w:val="16"/>
          <w:szCs w:val="16"/>
          <w:lang w:val="pt-BR"/>
        </w:rPr>
        <w:t xml:space="preserve"> </w:t>
      </w:r>
      <w:proofErr w:type="spellStart"/>
      <w:r w:rsidRPr="006563D4">
        <w:rPr>
          <w:rFonts w:ascii="Verdana" w:hAnsi="Verdana"/>
          <w:sz w:val="16"/>
          <w:szCs w:val="16"/>
          <w:lang w:val="pt-BR"/>
        </w:rPr>
        <w:t>son</w:t>
      </w:r>
      <w:proofErr w:type="spellEnd"/>
      <w:r w:rsidRPr="006563D4">
        <w:rPr>
          <w:rFonts w:ascii="Verdana" w:hAnsi="Verdana"/>
          <w:sz w:val="16"/>
          <w:szCs w:val="16"/>
          <w:lang w:val="pt-BR"/>
        </w:rPr>
        <w:t>: 1) Geraldo Hilário de Almeida; 2) João Pereira Marinho; 3) Firmino da Silva; 4) Francisco Antônio Oliveira Barbosa; 5) Francisco José Furtado y 6) Francisco Junior da Silva.</w:t>
      </w:r>
    </w:p>
  </w:footnote>
  <w:footnote w:id="38">
    <w:p w14:paraId="5E6179ED" w14:textId="37CA6180" w:rsidR="00B32CAA" w:rsidRPr="00D3180A" w:rsidRDefault="00B32CAA" w:rsidP="009D784E">
      <w:pPr>
        <w:pStyle w:val="Textonotapie"/>
        <w:tabs>
          <w:tab w:val="left" w:pos="426"/>
        </w:tabs>
        <w:jc w:val="both"/>
        <w:rPr>
          <w:rFonts w:ascii="Verdana" w:hAnsi="Verdana"/>
          <w:sz w:val="16"/>
          <w:szCs w:val="16"/>
          <w:lang w:val="es-CO"/>
        </w:rPr>
      </w:pPr>
      <w:r w:rsidRPr="00D3180A">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sidRPr="00D3180A">
        <w:rPr>
          <w:rFonts w:ascii="Verdana" w:hAnsi="Verdana"/>
          <w:sz w:val="16"/>
          <w:szCs w:val="16"/>
          <w:lang w:val="es-CR"/>
        </w:rPr>
        <w:t>Informe estatal de 11 de septiembre de 2019</w:t>
      </w:r>
      <w:r>
        <w:rPr>
          <w:rFonts w:ascii="Verdana" w:hAnsi="Verdana"/>
          <w:sz w:val="16"/>
          <w:szCs w:val="16"/>
          <w:lang w:val="es-AR"/>
        </w:rPr>
        <w:t>.</w:t>
      </w:r>
    </w:p>
  </w:footnote>
  <w:footnote w:id="39">
    <w:p w14:paraId="385D754F" w14:textId="01E925C6" w:rsidR="00B32CAA" w:rsidRPr="0006534C" w:rsidRDefault="00B32CAA" w:rsidP="0006534C">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Escrito de </w:t>
      </w:r>
      <w:r w:rsidRPr="0006534C">
        <w:rPr>
          <w:rFonts w:ascii="Verdana" w:hAnsi="Verdana"/>
          <w:sz w:val="16"/>
          <w:szCs w:val="16"/>
          <w:lang w:val="es-CR"/>
        </w:rPr>
        <w:t>observaciones</w:t>
      </w:r>
      <w:r w:rsidRPr="0006534C">
        <w:rPr>
          <w:rFonts w:ascii="Verdana" w:hAnsi="Verdana"/>
          <w:sz w:val="16"/>
          <w:szCs w:val="16"/>
          <w:lang w:val="es-AR"/>
        </w:rPr>
        <w:t xml:space="preserve"> de los representantes de 26 de septiembre de 2019. </w:t>
      </w:r>
    </w:p>
  </w:footnote>
  <w:footnote w:id="40">
    <w:p w14:paraId="6384F55E" w14:textId="1A78429F" w:rsidR="00B32CAA" w:rsidRPr="00DB59BF" w:rsidRDefault="00B32CAA" w:rsidP="008771BF">
      <w:pPr>
        <w:pStyle w:val="Textonotapie"/>
        <w:tabs>
          <w:tab w:val="left" w:pos="426"/>
        </w:tabs>
        <w:jc w:val="both"/>
        <w:rPr>
          <w:lang w:val="es-ES"/>
        </w:rPr>
      </w:pPr>
      <w:r>
        <w:rPr>
          <w:rStyle w:val="Refdenotaalpie"/>
        </w:rPr>
        <w:footnoteRef/>
      </w:r>
      <w:r>
        <w:t xml:space="preserve"> </w:t>
      </w:r>
      <w:r>
        <w:tab/>
      </w:r>
      <w:r>
        <w:rPr>
          <w:rFonts w:ascii="Verdana" w:hAnsi="Verdana"/>
          <w:sz w:val="16"/>
          <w:szCs w:val="16"/>
          <w:lang w:val="es-CR"/>
        </w:rPr>
        <w:t>C</w:t>
      </w:r>
      <w:r w:rsidRPr="008771BF">
        <w:rPr>
          <w:rFonts w:ascii="Verdana" w:hAnsi="Verdana"/>
          <w:sz w:val="16"/>
          <w:szCs w:val="16"/>
          <w:lang w:val="es-CR"/>
        </w:rPr>
        <w:t>on respecto a las investigaciones realizadas en el presente caso,</w:t>
      </w:r>
      <w:r>
        <w:rPr>
          <w:rFonts w:ascii="Verdana" w:hAnsi="Verdana"/>
          <w:sz w:val="16"/>
          <w:szCs w:val="16"/>
          <w:lang w:val="es-CR"/>
        </w:rPr>
        <w:t xml:space="preserve"> en la Sentencia la Corte remarcó </w:t>
      </w:r>
      <w:r w:rsidRPr="008771BF">
        <w:rPr>
          <w:rFonts w:ascii="Verdana" w:hAnsi="Verdana"/>
          <w:sz w:val="16"/>
          <w:szCs w:val="16"/>
          <w:lang w:val="es-CR"/>
        </w:rPr>
        <w:t>que “ninguno de los procedimientos de los que recibió información determinó algún tipo de responsabilidad respecto de las conductas denunciadas, ni fue un medio para obtener la reparación del daño a las víctimas, debido a que en ninguno de los procesos se realizó un estudio de fondo de cada cuestión planteada”, por lo que ordenó al Estado “reiniciar, con la debida diligencia, las investigaciones y/o procesos penales que correspondan por los hechos constatados en marzo de 2000 en el presente caso para, en un plazo razonable, identificar, procesar y, en su caso, sancionar a los responsables”, para lo cual el Estado debía “asegurar el pleno acceso y capacidad de actuar de las víctimas y sus familiares en todas las etapas de estas investigaciones, de acuerdo con la ley interna y las normas de la Convención Americana”</w:t>
      </w:r>
      <w:r>
        <w:rPr>
          <w:rFonts w:ascii="Verdana" w:hAnsi="Verdana"/>
          <w:sz w:val="16"/>
          <w:szCs w:val="16"/>
          <w:lang w:val="es-CR"/>
        </w:rPr>
        <w:t xml:space="preserve">. </w:t>
      </w:r>
      <w:r w:rsidRPr="008771BF">
        <w:rPr>
          <w:rFonts w:ascii="Verdana" w:hAnsi="Verdana"/>
          <w:i/>
          <w:sz w:val="16"/>
          <w:szCs w:val="16"/>
        </w:rPr>
        <w:t xml:space="preserve">Cfr. </w:t>
      </w:r>
      <w:r w:rsidRPr="008771BF">
        <w:rPr>
          <w:rStyle w:val="Textoennegrita"/>
          <w:rFonts w:ascii="Verdana" w:hAnsi="Verdana"/>
          <w:b w:val="0"/>
          <w:i/>
          <w:sz w:val="16"/>
          <w:szCs w:val="16"/>
          <w:shd w:val="clear" w:color="auto" w:fill="FFFFFF"/>
        </w:rPr>
        <w:t xml:space="preserve">Caso </w:t>
      </w:r>
      <w:r w:rsidRPr="008771BF">
        <w:rPr>
          <w:rFonts w:ascii="Verdana" w:hAnsi="Verdana"/>
          <w:bCs/>
          <w:i/>
          <w:sz w:val="16"/>
          <w:szCs w:val="16"/>
        </w:rPr>
        <w:t>Trabajadores</w:t>
      </w:r>
      <w:r w:rsidRPr="008771BF">
        <w:rPr>
          <w:rStyle w:val="Textoennegrita"/>
          <w:rFonts w:ascii="Verdana" w:hAnsi="Verdana"/>
          <w:b w:val="0"/>
          <w:i/>
          <w:sz w:val="16"/>
          <w:szCs w:val="16"/>
          <w:shd w:val="clear" w:color="auto" w:fill="FFFFFF"/>
          <w:lang w:val="es-CR"/>
        </w:rPr>
        <w:t xml:space="preserve"> de la Hacienda Brasil Verde</w:t>
      </w:r>
      <w:r w:rsidRPr="008771BF">
        <w:rPr>
          <w:rStyle w:val="Textoennegrita"/>
          <w:rFonts w:ascii="Verdana" w:hAnsi="Verdana"/>
          <w:b w:val="0"/>
          <w:i/>
          <w:sz w:val="16"/>
          <w:szCs w:val="16"/>
          <w:shd w:val="clear" w:color="auto" w:fill="FFFFFF"/>
        </w:rPr>
        <w:t xml:space="preserve"> Vs. </w:t>
      </w:r>
      <w:r w:rsidRPr="008771BF">
        <w:rPr>
          <w:rStyle w:val="Textoennegrita"/>
          <w:rFonts w:ascii="Verdana" w:hAnsi="Verdana"/>
          <w:b w:val="0"/>
          <w:i/>
          <w:sz w:val="16"/>
          <w:szCs w:val="16"/>
          <w:shd w:val="clear" w:color="auto" w:fill="FFFFFF"/>
          <w:lang w:val="es-CR"/>
        </w:rPr>
        <w:t>Br</w:t>
      </w:r>
      <w:proofErr w:type="spellStart"/>
      <w:r w:rsidRPr="008771BF">
        <w:rPr>
          <w:rStyle w:val="Textoennegrita"/>
          <w:rFonts w:ascii="Verdana" w:hAnsi="Verdana"/>
          <w:b w:val="0"/>
          <w:i/>
          <w:sz w:val="16"/>
          <w:szCs w:val="16"/>
          <w:shd w:val="clear" w:color="auto" w:fill="FFFFFF"/>
        </w:rPr>
        <w:t>a</w:t>
      </w:r>
      <w:r w:rsidRPr="008771BF">
        <w:rPr>
          <w:rStyle w:val="Textoennegrita"/>
          <w:rFonts w:ascii="Verdana" w:hAnsi="Verdana"/>
          <w:b w:val="0"/>
          <w:i/>
          <w:sz w:val="16"/>
          <w:szCs w:val="16"/>
          <w:shd w:val="clear" w:color="auto" w:fill="FFFFFF"/>
          <w:lang w:val="es-CR"/>
        </w:rPr>
        <w:t>sil</w:t>
      </w:r>
      <w:proofErr w:type="spellEnd"/>
      <w:r w:rsidRPr="008771BF">
        <w:rPr>
          <w:rStyle w:val="Textoennegrita"/>
          <w:rFonts w:ascii="Verdana" w:hAnsi="Verdana"/>
          <w:b w:val="0"/>
          <w:i/>
          <w:sz w:val="16"/>
          <w:szCs w:val="16"/>
          <w:shd w:val="clear" w:color="auto" w:fill="FFFFFF"/>
        </w:rPr>
        <w:t xml:space="preserve">. </w:t>
      </w:r>
      <w:r w:rsidRPr="008771BF">
        <w:rPr>
          <w:rStyle w:val="Textoennegrita"/>
          <w:rFonts w:ascii="Verdana" w:hAnsi="Verdana"/>
          <w:b w:val="0"/>
          <w:i/>
          <w:sz w:val="16"/>
          <w:szCs w:val="16"/>
          <w:shd w:val="clear" w:color="auto" w:fill="FFFFFF"/>
          <w:lang w:val="es-CR"/>
        </w:rPr>
        <w:t xml:space="preserve">Excepciones Preliminares, </w:t>
      </w:r>
      <w:r w:rsidRPr="008771BF">
        <w:rPr>
          <w:rStyle w:val="Textoennegrita"/>
          <w:rFonts w:ascii="Verdana" w:hAnsi="Verdana"/>
          <w:b w:val="0"/>
          <w:i/>
          <w:sz w:val="16"/>
          <w:szCs w:val="16"/>
          <w:shd w:val="clear" w:color="auto" w:fill="FFFFFF"/>
        </w:rPr>
        <w:t xml:space="preserve">Fondo, Reparaciones y Costas, supra, </w:t>
      </w:r>
      <w:proofErr w:type="spellStart"/>
      <w:r w:rsidRPr="008771BF">
        <w:rPr>
          <w:rStyle w:val="Textoennegrita"/>
          <w:rFonts w:ascii="Verdana" w:hAnsi="Verdana"/>
          <w:b w:val="0"/>
          <w:sz w:val="16"/>
          <w:szCs w:val="16"/>
          <w:shd w:val="clear" w:color="auto" w:fill="FFFFFF"/>
        </w:rPr>
        <w:t>párrs</w:t>
      </w:r>
      <w:proofErr w:type="spellEnd"/>
      <w:r w:rsidRPr="008771BF">
        <w:rPr>
          <w:rStyle w:val="Textoennegrita"/>
          <w:rFonts w:ascii="Verdana" w:hAnsi="Verdana"/>
          <w:b w:val="0"/>
          <w:sz w:val="16"/>
          <w:szCs w:val="16"/>
          <w:shd w:val="clear" w:color="auto" w:fill="FFFFFF"/>
        </w:rPr>
        <w:t>. 40</w:t>
      </w:r>
      <w:r>
        <w:rPr>
          <w:rStyle w:val="Textoennegrita"/>
          <w:rFonts w:ascii="Verdana" w:hAnsi="Verdana"/>
          <w:b w:val="0"/>
          <w:sz w:val="16"/>
          <w:szCs w:val="16"/>
          <w:shd w:val="clear" w:color="auto" w:fill="FFFFFF"/>
          <w:lang w:val="es-AR"/>
        </w:rPr>
        <w:t>4</w:t>
      </w:r>
      <w:r w:rsidRPr="008771BF">
        <w:rPr>
          <w:rStyle w:val="Textoennegrita"/>
          <w:rFonts w:ascii="Verdana" w:hAnsi="Verdana"/>
          <w:b w:val="0"/>
          <w:sz w:val="16"/>
          <w:szCs w:val="16"/>
          <w:shd w:val="clear" w:color="auto" w:fill="FFFFFF"/>
        </w:rPr>
        <w:t xml:space="preserve"> y 445.</w:t>
      </w:r>
      <w:r>
        <w:rPr>
          <w:rStyle w:val="Textoennegrita"/>
          <w:rFonts w:ascii="Verdana" w:hAnsi="Verdana"/>
          <w:b w:val="0"/>
          <w:sz w:val="16"/>
          <w:szCs w:val="16"/>
          <w:shd w:val="clear" w:color="auto" w:fill="FFFFFF"/>
        </w:rPr>
        <w:t xml:space="preserve"> </w:t>
      </w:r>
    </w:p>
  </w:footnote>
  <w:footnote w:id="41">
    <w:p w14:paraId="2C58E666" w14:textId="5B2C64A5" w:rsidR="00B32CAA" w:rsidRPr="0095252D" w:rsidRDefault="00B32CAA" w:rsidP="000C467E">
      <w:pPr>
        <w:pStyle w:val="Textonotapie"/>
        <w:tabs>
          <w:tab w:val="left" w:pos="426"/>
        </w:tabs>
        <w:jc w:val="both"/>
        <w:rPr>
          <w:rFonts w:ascii="Verdana" w:hAnsi="Verdana"/>
          <w:sz w:val="16"/>
          <w:szCs w:val="16"/>
          <w:lang w:val="es-AR"/>
        </w:rPr>
      </w:pPr>
      <w:r w:rsidRPr="00A30C55">
        <w:rPr>
          <w:rStyle w:val="Refdenotaalpie"/>
          <w:rFonts w:ascii="Verdana" w:hAnsi="Verdana"/>
          <w:sz w:val="16"/>
          <w:szCs w:val="16"/>
        </w:rPr>
        <w:footnoteRef/>
      </w:r>
      <w:r w:rsidRPr="00A30C55">
        <w:rPr>
          <w:rFonts w:ascii="Verdana" w:hAnsi="Verdana"/>
          <w:sz w:val="16"/>
          <w:szCs w:val="16"/>
        </w:rPr>
        <w:t xml:space="preserve"> </w:t>
      </w:r>
      <w:r w:rsidRPr="00A30C55">
        <w:rPr>
          <w:rFonts w:ascii="Verdana" w:hAnsi="Verdana"/>
          <w:sz w:val="16"/>
          <w:szCs w:val="16"/>
          <w:lang w:val="es-AR"/>
        </w:rPr>
        <w:tab/>
        <w:t xml:space="preserve">El Estado </w:t>
      </w:r>
      <w:r w:rsidRPr="00A30C55">
        <w:rPr>
          <w:rFonts w:ascii="Verdana" w:hAnsi="Verdana"/>
          <w:sz w:val="16"/>
          <w:szCs w:val="16"/>
          <w:lang w:val="es-CR"/>
        </w:rPr>
        <w:t>informó</w:t>
      </w:r>
      <w:r w:rsidRPr="00A30C55">
        <w:rPr>
          <w:rFonts w:ascii="Verdana" w:hAnsi="Verdana"/>
          <w:sz w:val="16"/>
          <w:szCs w:val="16"/>
          <w:lang w:val="es-AR"/>
        </w:rPr>
        <w:t xml:space="preserve"> que la Asesoría Jurídica del Ministerio de Derechos Humanos concluyó que no era posible “ignorar el contenido de la sentencia […], que constituye título ejecutivo</w:t>
      </w:r>
      <w:r w:rsidRPr="0095252D">
        <w:rPr>
          <w:rFonts w:ascii="Verdana" w:hAnsi="Verdana"/>
          <w:sz w:val="16"/>
          <w:szCs w:val="16"/>
          <w:lang w:val="es-AR"/>
        </w:rPr>
        <w:t xml:space="preserve"> judicial, e incluir como acreedor del pago de la </w:t>
      </w:r>
      <w:r w:rsidRPr="004D359E">
        <w:rPr>
          <w:rFonts w:ascii="Verdana" w:hAnsi="Verdana"/>
          <w:sz w:val="16"/>
          <w:szCs w:val="16"/>
          <w:lang w:val="es-AR"/>
        </w:rPr>
        <w:t xml:space="preserve">indemnización a una persona que no ha sido mencionada en la decisión. En otros términos, no sería posible realizar el pago administrativo de la indemnización a un beneficiario que no haya sido expresamente indicado en la sentencia”. </w:t>
      </w:r>
      <w:r w:rsidR="005246F1" w:rsidRPr="004D359E">
        <w:rPr>
          <w:rFonts w:ascii="Verdana" w:hAnsi="Verdana"/>
          <w:i/>
          <w:sz w:val="16"/>
          <w:szCs w:val="16"/>
          <w:lang w:val="es-AR"/>
        </w:rPr>
        <w:t xml:space="preserve">Cfr. </w:t>
      </w:r>
      <w:r w:rsidRPr="004D359E">
        <w:rPr>
          <w:rFonts w:ascii="Verdana" w:hAnsi="Verdana"/>
          <w:sz w:val="16"/>
          <w:szCs w:val="16"/>
          <w:lang w:val="es-AR"/>
        </w:rPr>
        <w:t>Informe</w:t>
      </w:r>
      <w:r>
        <w:rPr>
          <w:rFonts w:ascii="Verdana" w:hAnsi="Verdana"/>
          <w:sz w:val="16"/>
          <w:szCs w:val="16"/>
          <w:lang w:val="es-AR"/>
        </w:rPr>
        <w:t xml:space="preserve"> estatal de 8 de octubre de 2018.</w:t>
      </w:r>
    </w:p>
  </w:footnote>
  <w:footnote w:id="42">
    <w:p w14:paraId="698B9970" w14:textId="511DFD49" w:rsidR="00B32CAA" w:rsidRPr="0006534C" w:rsidRDefault="00B32CAA" w:rsidP="000C467E">
      <w:pPr>
        <w:pStyle w:val="Textonotapie"/>
        <w:tabs>
          <w:tab w:val="left" w:pos="426"/>
        </w:tabs>
        <w:jc w:val="both"/>
        <w:rPr>
          <w:rFonts w:ascii="Verdana" w:hAnsi="Verdana"/>
          <w:b/>
          <w:sz w:val="16"/>
          <w:szCs w:val="16"/>
          <w:lang w:val="es-AR"/>
        </w:rPr>
      </w:pPr>
      <w:r w:rsidRPr="00B97374">
        <w:rPr>
          <w:rStyle w:val="Refdenotaalpie"/>
          <w:rFonts w:ascii="Verdana" w:hAnsi="Verdana"/>
          <w:sz w:val="16"/>
          <w:szCs w:val="16"/>
        </w:rPr>
        <w:footnoteRef/>
      </w:r>
      <w:r w:rsidRPr="00B97374">
        <w:rPr>
          <w:rFonts w:ascii="Verdana" w:hAnsi="Verdana"/>
          <w:sz w:val="16"/>
          <w:szCs w:val="16"/>
        </w:rPr>
        <w:t xml:space="preserve"> </w:t>
      </w:r>
      <w:r w:rsidRPr="00B97374">
        <w:rPr>
          <w:rFonts w:ascii="Verdana" w:hAnsi="Verdana"/>
          <w:sz w:val="16"/>
          <w:szCs w:val="16"/>
          <w:lang w:val="es-AR"/>
        </w:rPr>
        <w:tab/>
        <w:t xml:space="preserve">El 13 de diciembre de 2017, </w:t>
      </w:r>
      <w:r w:rsidRPr="00B97374">
        <w:rPr>
          <w:rFonts w:ascii="Verdana" w:hAnsi="Verdana"/>
          <w:sz w:val="16"/>
          <w:szCs w:val="16"/>
          <w:lang w:val="es-CR"/>
        </w:rPr>
        <w:t>José Francisco Furtado de Sousa</w:t>
      </w:r>
      <w:r w:rsidRPr="00B97374">
        <w:rPr>
          <w:rFonts w:ascii="Verdana" w:hAnsi="Verdana"/>
          <w:sz w:val="16"/>
          <w:szCs w:val="16"/>
          <w:lang w:val="es-AR"/>
        </w:rPr>
        <w:t xml:space="preserve"> aseveró ante el Ministerio Público Fiscal que: “vio a sus empleadores quemando sus documentos personales</w:t>
      </w:r>
      <w:r>
        <w:rPr>
          <w:rFonts w:ascii="Verdana" w:hAnsi="Verdana"/>
          <w:sz w:val="16"/>
          <w:szCs w:val="16"/>
          <w:lang w:val="es-AR"/>
        </w:rPr>
        <w:t>”, quienes “</w:t>
      </w:r>
      <w:r w:rsidRPr="00B97374">
        <w:rPr>
          <w:rFonts w:ascii="Verdana" w:hAnsi="Verdana"/>
          <w:sz w:val="16"/>
          <w:szCs w:val="16"/>
          <w:lang w:val="es-AR"/>
        </w:rPr>
        <w:t xml:space="preserve">tomaron una de sus fotos y la colocaron en una </w:t>
      </w:r>
      <w:r w:rsidRPr="0006534C">
        <w:rPr>
          <w:rFonts w:ascii="Verdana" w:hAnsi="Verdana"/>
          <w:sz w:val="16"/>
          <w:szCs w:val="16"/>
          <w:lang w:val="es-AR"/>
        </w:rPr>
        <w:t xml:space="preserve">cartera de trabajo </w:t>
      </w:r>
      <w:r w:rsidRPr="00B97374">
        <w:rPr>
          <w:rFonts w:ascii="Verdana" w:hAnsi="Verdana"/>
          <w:sz w:val="16"/>
          <w:szCs w:val="16"/>
          <w:lang w:val="es-AR"/>
        </w:rPr>
        <w:t>diferente</w:t>
      </w:r>
      <w:r>
        <w:rPr>
          <w:rFonts w:ascii="Verdana" w:hAnsi="Verdana"/>
          <w:sz w:val="16"/>
          <w:szCs w:val="16"/>
          <w:lang w:val="es-AR"/>
        </w:rPr>
        <w:t>”. Agregó que “</w:t>
      </w:r>
      <w:r w:rsidRPr="00B97374">
        <w:rPr>
          <w:rFonts w:ascii="Verdana" w:hAnsi="Verdana"/>
          <w:sz w:val="16"/>
          <w:szCs w:val="16"/>
          <w:lang w:val="es-AR"/>
        </w:rPr>
        <w:t xml:space="preserve">presentó un documento falso a la Policía Federal </w:t>
      </w:r>
      <w:r>
        <w:rPr>
          <w:rFonts w:ascii="Verdana" w:hAnsi="Verdana"/>
          <w:sz w:val="16"/>
          <w:szCs w:val="16"/>
          <w:lang w:val="es-AR"/>
        </w:rPr>
        <w:t xml:space="preserve">porque no sabe leer ni </w:t>
      </w:r>
      <w:r w:rsidRPr="004D359E">
        <w:rPr>
          <w:rFonts w:ascii="Verdana" w:hAnsi="Verdana"/>
          <w:sz w:val="16"/>
          <w:szCs w:val="16"/>
          <w:lang w:val="es-AR"/>
        </w:rPr>
        <w:t xml:space="preserve">escribir su nombre” y que “fue amenazado por los funcionarios de la hacienda </w:t>
      </w:r>
      <w:proofErr w:type="gramStart"/>
      <w:r w:rsidRPr="004D359E">
        <w:rPr>
          <w:rFonts w:ascii="Verdana" w:hAnsi="Verdana"/>
          <w:sz w:val="16"/>
          <w:szCs w:val="16"/>
          <w:lang w:val="es-AR"/>
        </w:rPr>
        <w:t>que</w:t>
      </w:r>
      <w:proofErr w:type="gramEnd"/>
      <w:r w:rsidRPr="004D359E">
        <w:rPr>
          <w:rFonts w:ascii="Verdana" w:hAnsi="Verdana"/>
          <w:sz w:val="16"/>
          <w:szCs w:val="16"/>
          <w:lang w:val="es-AR"/>
        </w:rPr>
        <w:t xml:space="preserve"> si decía que el documento había sido falsificado, lo matarían”. Además, refirió que “al momento de los hechos era menor de dieciocho años de edad, pero en el documento falsificado constaba que era mayor”, y que “no tiene más el documento que fue falsificado”. </w:t>
      </w:r>
      <w:r w:rsidR="005246F1" w:rsidRPr="004D359E">
        <w:rPr>
          <w:rFonts w:ascii="Verdana" w:hAnsi="Verdana"/>
          <w:i/>
          <w:sz w:val="16"/>
          <w:szCs w:val="16"/>
          <w:lang w:val="es-AR"/>
        </w:rPr>
        <w:t xml:space="preserve">Cfr. </w:t>
      </w:r>
      <w:r w:rsidRPr="004D359E">
        <w:rPr>
          <w:rFonts w:ascii="Verdana" w:hAnsi="Verdana"/>
          <w:sz w:val="16"/>
          <w:szCs w:val="16"/>
          <w:lang w:val="es-AR"/>
        </w:rPr>
        <w:t>Informe</w:t>
      </w:r>
      <w:r>
        <w:rPr>
          <w:rFonts w:ascii="Verdana" w:hAnsi="Verdana"/>
          <w:sz w:val="16"/>
          <w:szCs w:val="16"/>
          <w:lang w:val="es-AR"/>
        </w:rPr>
        <w:t xml:space="preserve"> del Ministerio Público Fiscal de 31 de octubre de 2018 (anexo al informe estatal de 1 de noviembre de 2018).</w:t>
      </w:r>
    </w:p>
  </w:footnote>
  <w:footnote w:id="43">
    <w:p w14:paraId="2B8A5B58" w14:textId="445FE5B1" w:rsidR="00B32CAA" w:rsidRPr="00CB40B1" w:rsidRDefault="00B32CAA" w:rsidP="000C467E">
      <w:pPr>
        <w:pStyle w:val="Textonotapie"/>
        <w:tabs>
          <w:tab w:val="left" w:pos="426"/>
        </w:tabs>
        <w:jc w:val="both"/>
        <w:rPr>
          <w:rFonts w:ascii="Verdana" w:hAnsi="Verdana"/>
          <w:b/>
          <w:sz w:val="16"/>
          <w:szCs w:val="16"/>
          <w:lang w:val="es-AR"/>
        </w:rPr>
      </w:pPr>
      <w:r w:rsidRPr="00D30898">
        <w:rPr>
          <w:rStyle w:val="Refdenotaalpie"/>
          <w:rFonts w:ascii="Verdana" w:hAnsi="Verdana"/>
          <w:sz w:val="16"/>
          <w:szCs w:val="16"/>
        </w:rPr>
        <w:footnoteRef/>
      </w:r>
      <w:r w:rsidRPr="00D30898">
        <w:rPr>
          <w:rFonts w:ascii="Verdana" w:hAnsi="Verdana"/>
          <w:sz w:val="16"/>
          <w:szCs w:val="16"/>
        </w:rPr>
        <w:t xml:space="preserve"> </w:t>
      </w:r>
      <w:r w:rsidRPr="00D30898">
        <w:rPr>
          <w:rFonts w:ascii="Verdana" w:hAnsi="Verdana"/>
          <w:sz w:val="16"/>
          <w:szCs w:val="16"/>
        </w:rPr>
        <w:tab/>
      </w:r>
      <w:r w:rsidRPr="00D30898">
        <w:rPr>
          <w:rFonts w:ascii="Verdana" w:hAnsi="Verdana"/>
          <w:i/>
          <w:sz w:val="16"/>
          <w:szCs w:val="16"/>
        </w:rPr>
        <w:t xml:space="preserve">Cfr. </w:t>
      </w:r>
      <w:r>
        <w:rPr>
          <w:rFonts w:ascii="Verdana" w:hAnsi="Verdana"/>
          <w:sz w:val="16"/>
          <w:szCs w:val="16"/>
        </w:rPr>
        <w:t>Informe estatal de 8 de octubre de 2018.</w:t>
      </w:r>
    </w:p>
  </w:footnote>
  <w:footnote w:id="44">
    <w:p w14:paraId="49254D40" w14:textId="2E5FD9AE" w:rsidR="00B32CAA" w:rsidRPr="00DD5E82" w:rsidRDefault="00B32CAA" w:rsidP="00CC4E85">
      <w:pPr>
        <w:pStyle w:val="Textonotapie"/>
        <w:tabs>
          <w:tab w:val="left" w:pos="426"/>
        </w:tabs>
        <w:jc w:val="both"/>
        <w:rPr>
          <w:rFonts w:ascii="Verdana" w:hAnsi="Verdana"/>
          <w:sz w:val="16"/>
          <w:szCs w:val="16"/>
          <w:lang w:val="es-AR"/>
        </w:rPr>
      </w:pPr>
      <w:r w:rsidRPr="001F0A85">
        <w:rPr>
          <w:rStyle w:val="Refdenotaalpie"/>
          <w:rFonts w:ascii="Verdana" w:hAnsi="Verdana"/>
          <w:sz w:val="16"/>
          <w:szCs w:val="16"/>
        </w:rPr>
        <w:footnoteRef/>
      </w:r>
      <w:r w:rsidRPr="001F0A85">
        <w:rPr>
          <w:rFonts w:ascii="Verdana" w:hAnsi="Verdana"/>
          <w:sz w:val="16"/>
          <w:szCs w:val="16"/>
        </w:rPr>
        <w:t xml:space="preserve"> </w:t>
      </w:r>
      <w:r w:rsidRPr="001F0A85">
        <w:rPr>
          <w:rFonts w:ascii="Verdana" w:hAnsi="Verdana"/>
          <w:sz w:val="16"/>
          <w:szCs w:val="16"/>
          <w:lang w:val="es-AR"/>
        </w:rPr>
        <w:tab/>
        <w:t xml:space="preserve">En el informe del Ministerio Público Fiscal de 31 de octubre de 2018 (anexo al informe estatal de 1 de noviembre de 2018), </w:t>
      </w:r>
      <w:r w:rsidRPr="001F0A85">
        <w:rPr>
          <w:rFonts w:ascii="Verdana" w:hAnsi="Verdana"/>
          <w:sz w:val="16"/>
          <w:szCs w:val="16"/>
          <w:lang w:val="es-CR"/>
        </w:rPr>
        <w:t xml:space="preserve">se hace referencia a los testimonios de </w:t>
      </w:r>
      <w:r w:rsidRPr="004D359E">
        <w:rPr>
          <w:rFonts w:ascii="Verdana" w:hAnsi="Verdana"/>
          <w:sz w:val="16"/>
          <w:szCs w:val="16"/>
          <w:lang w:val="es-CR"/>
        </w:rPr>
        <w:t xml:space="preserve">nueve víctimas que confirmaron la presencia de José Francisco Furtado de Sousa en la Hacienda: Antonio da Silva </w:t>
      </w:r>
      <w:proofErr w:type="spellStart"/>
      <w:r w:rsidRPr="004D359E">
        <w:rPr>
          <w:rFonts w:ascii="Verdana" w:hAnsi="Verdana"/>
          <w:sz w:val="16"/>
          <w:szCs w:val="16"/>
          <w:lang w:val="es-CR"/>
        </w:rPr>
        <w:t>Martins</w:t>
      </w:r>
      <w:proofErr w:type="spellEnd"/>
      <w:r w:rsidRPr="004D359E">
        <w:rPr>
          <w:rFonts w:ascii="Verdana" w:hAnsi="Verdana"/>
          <w:sz w:val="16"/>
          <w:szCs w:val="16"/>
          <w:lang w:val="es-CR"/>
        </w:rPr>
        <w:t xml:space="preserve">, Antonio Francisco da Silva, Antonio de Paula </w:t>
      </w:r>
      <w:proofErr w:type="spellStart"/>
      <w:r w:rsidRPr="004D359E">
        <w:rPr>
          <w:rFonts w:ascii="Verdana" w:hAnsi="Verdana"/>
          <w:sz w:val="16"/>
          <w:szCs w:val="16"/>
          <w:lang w:val="es-CR"/>
        </w:rPr>
        <w:t>Rodrígue</w:t>
      </w:r>
      <w:r w:rsidR="00630A37" w:rsidRPr="004D359E">
        <w:rPr>
          <w:rFonts w:ascii="Verdana" w:hAnsi="Verdana"/>
          <w:sz w:val="16"/>
          <w:szCs w:val="16"/>
          <w:lang w:val="es-CR"/>
        </w:rPr>
        <w:t>s</w:t>
      </w:r>
      <w:proofErr w:type="spellEnd"/>
      <w:r w:rsidRPr="004D359E">
        <w:rPr>
          <w:rFonts w:ascii="Verdana" w:hAnsi="Verdana"/>
          <w:sz w:val="16"/>
          <w:szCs w:val="16"/>
          <w:lang w:val="es-CR"/>
        </w:rPr>
        <w:t xml:space="preserve"> de Sousa, Francisco das Chagas Costa Rabelo, Francisco Ferreira da Silva, </w:t>
      </w:r>
      <w:proofErr w:type="spellStart"/>
      <w:r w:rsidRPr="004D359E">
        <w:rPr>
          <w:rFonts w:ascii="Verdana" w:hAnsi="Verdana"/>
          <w:sz w:val="16"/>
          <w:szCs w:val="16"/>
          <w:lang w:val="es-CR"/>
        </w:rPr>
        <w:t>Gonçalo</w:t>
      </w:r>
      <w:proofErr w:type="spellEnd"/>
      <w:r w:rsidRPr="004D359E">
        <w:rPr>
          <w:rFonts w:ascii="Verdana" w:hAnsi="Verdana"/>
          <w:sz w:val="16"/>
          <w:szCs w:val="16"/>
          <w:lang w:val="es-CR"/>
        </w:rPr>
        <w:t xml:space="preserve"> </w:t>
      </w:r>
      <w:proofErr w:type="spellStart"/>
      <w:r w:rsidRPr="004D359E">
        <w:rPr>
          <w:rFonts w:ascii="Verdana" w:hAnsi="Verdana"/>
          <w:sz w:val="16"/>
          <w:szCs w:val="16"/>
          <w:lang w:val="es-CR"/>
        </w:rPr>
        <w:t>Firmino</w:t>
      </w:r>
      <w:proofErr w:type="spellEnd"/>
      <w:r w:rsidRPr="004D359E">
        <w:rPr>
          <w:rFonts w:ascii="Verdana" w:hAnsi="Verdana"/>
          <w:sz w:val="16"/>
          <w:szCs w:val="16"/>
          <w:lang w:val="es-CR"/>
        </w:rPr>
        <w:t xml:space="preserve"> de Sousa, Geraldo Ferreira da Silva, José de </w:t>
      </w:r>
      <w:proofErr w:type="spellStart"/>
      <w:r w:rsidRPr="004D359E">
        <w:rPr>
          <w:rFonts w:ascii="Verdana" w:hAnsi="Verdana"/>
          <w:sz w:val="16"/>
          <w:szCs w:val="16"/>
          <w:lang w:val="es-CR"/>
        </w:rPr>
        <w:t>Ribamar</w:t>
      </w:r>
      <w:proofErr w:type="spellEnd"/>
      <w:r w:rsidRPr="004D359E">
        <w:rPr>
          <w:rFonts w:ascii="Verdana" w:hAnsi="Verdana"/>
          <w:sz w:val="16"/>
          <w:szCs w:val="16"/>
          <w:lang w:val="es-CR"/>
        </w:rPr>
        <w:t xml:space="preserve"> Souza y Alfredo </w:t>
      </w:r>
      <w:proofErr w:type="spellStart"/>
      <w:r w:rsidRPr="004D359E">
        <w:rPr>
          <w:rFonts w:ascii="Verdana" w:hAnsi="Verdana"/>
          <w:sz w:val="16"/>
          <w:szCs w:val="16"/>
          <w:lang w:val="es-CR"/>
        </w:rPr>
        <w:t>Rodrígue</w:t>
      </w:r>
      <w:r w:rsidR="00630A37" w:rsidRPr="004D359E">
        <w:rPr>
          <w:rFonts w:ascii="Verdana" w:hAnsi="Verdana"/>
          <w:sz w:val="16"/>
          <w:szCs w:val="16"/>
          <w:lang w:val="es-CR"/>
        </w:rPr>
        <w:t>s</w:t>
      </w:r>
      <w:proofErr w:type="spellEnd"/>
      <w:r w:rsidRPr="004D359E">
        <w:rPr>
          <w:rFonts w:ascii="Verdana" w:hAnsi="Verdana"/>
          <w:sz w:val="16"/>
          <w:szCs w:val="16"/>
          <w:lang w:val="es-CR"/>
        </w:rPr>
        <w:t xml:space="preserve">. </w:t>
      </w:r>
      <w:r w:rsidR="005246F1" w:rsidRPr="004D359E">
        <w:rPr>
          <w:rFonts w:ascii="Verdana" w:hAnsi="Verdana"/>
          <w:sz w:val="16"/>
          <w:szCs w:val="16"/>
          <w:lang w:val="es-CR"/>
        </w:rPr>
        <w:t xml:space="preserve">Posteriormente </w:t>
      </w:r>
      <w:r w:rsidRPr="004D359E">
        <w:rPr>
          <w:rFonts w:ascii="Verdana" w:hAnsi="Verdana"/>
          <w:sz w:val="16"/>
          <w:szCs w:val="16"/>
          <w:lang w:val="es-CR"/>
        </w:rPr>
        <w:t>el Estado remitió los videos con los testimonios de las nueve víctimas y de José Francisco Furtado de Sousa.</w:t>
      </w:r>
      <w:r w:rsidR="005246F1" w:rsidRPr="004D359E">
        <w:rPr>
          <w:rFonts w:ascii="Verdana" w:hAnsi="Verdana"/>
          <w:sz w:val="16"/>
          <w:szCs w:val="16"/>
          <w:lang w:val="es-CR"/>
        </w:rPr>
        <w:t xml:space="preserve"> </w:t>
      </w:r>
      <w:r w:rsidR="005246F1" w:rsidRPr="004D359E">
        <w:rPr>
          <w:rFonts w:ascii="Verdana" w:hAnsi="Verdana"/>
          <w:i/>
          <w:sz w:val="16"/>
          <w:szCs w:val="16"/>
          <w:lang w:val="es-CR"/>
        </w:rPr>
        <w:t xml:space="preserve">Cfr. </w:t>
      </w:r>
      <w:r w:rsidR="005246F1" w:rsidRPr="004D359E">
        <w:rPr>
          <w:rFonts w:ascii="Verdana" w:hAnsi="Verdana"/>
          <w:sz w:val="16"/>
          <w:szCs w:val="16"/>
          <w:lang w:val="es-CR"/>
        </w:rPr>
        <w:t>Informe estatal de 4 de diciembre de 2018.</w:t>
      </w:r>
    </w:p>
  </w:footnote>
  <w:footnote w:id="45">
    <w:p w14:paraId="1D3C00A2" w14:textId="67266CB8" w:rsidR="00630A37" w:rsidRPr="00494C28" w:rsidRDefault="00630A37" w:rsidP="00DD5E82">
      <w:pPr>
        <w:pStyle w:val="Textonotapie"/>
        <w:tabs>
          <w:tab w:val="left" w:pos="426"/>
        </w:tabs>
        <w:ind w:left="426" w:hanging="426"/>
        <w:jc w:val="both"/>
        <w:rPr>
          <w:rFonts w:ascii="Verdana" w:hAnsi="Verdana"/>
          <w:sz w:val="16"/>
          <w:szCs w:val="16"/>
          <w:lang w:val="es-AR"/>
        </w:rPr>
      </w:pPr>
      <w:r w:rsidRPr="00494C28">
        <w:rPr>
          <w:rStyle w:val="Refdenotaalpie"/>
          <w:rFonts w:ascii="Verdana" w:hAnsi="Verdana"/>
          <w:sz w:val="16"/>
          <w:szCs w:val="16"/>
        </w:rPr>
        <w:footnoteRef/>
      </w:r>
      <w:r w:rsidRPr="00494C28">
        <w:rPr>
          <w:rFonts w:ascii="Verdana" w:hAnsi="Verdana"/>
          <w:sz w:val="16"/>
          <w:szCs w:val="16"/>
        </w:rPr>
        <w:t xml:space="preserve"> </w:t>
      </w:r>
      <w:r w:rsidRPr="00494C28">
        <w:rPr>
          <w:rFonts w:ascii="Verdana" w:hAnsi="Verdana"/>
          <w:sz w:val="16"/>
          <w:szCs w:val="16"/>
          <w:lang w:val="es-AR"/>
        </w:rPr>
        <w:tab/>
      </w:r>
      <w:r w:rsidR="005246F1" w:rsidRPr="0006534C">
        <w:rPr>
          <w:rFonts w:ascii="Verdana" w:hAnsi="Verdana"/>
          <w:i/>
          <w:sz w:val="16"/>
          <w:szCs w:val="16"/>
          <w:lang w:val="es-AR"/>
        </w:rPr>
        <w:t xml:space="preserve">Cfr. </w:t>
      </w:r>
      <w:r w:rsidRPr="00494C28">
        <w:rPr>
          <w:rFonts w:ascii="Verdana" w:hAnsi="Verdana"/>
          <w:sz w:val="16"/>
          <w:szCs w:val="16"/>
          <w:lang w:val="es-AR"/>
        </w:rPr>
        <w:t>Informe estatal de 11 de septiembre de 2019.</w:t>
      </w:r>
    </w:p>
  </w:footnote>
  <w:footnote w:id="46">
    <w:p w14:paraId="6EE2CB00" w14:textId="58D17F71" w:rsidR="00B32CAA" w:rsidRPr="0006534C" w:rsidRDefault="00B32CAA" w:rsidP="00CC4E85">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Informe </w:t>
      </w:r>
      <w:r w:rsidRPr="0006534C">
        <w:rPr>
          <w:rFonts w:ascii="Verdana" w:hAnsi="Verdana"/>
          <w:sz w:val="16"/>
          <w:szCs w:val="16"/>
        </w:rPr>
        <w:t>estatal</w:t>
      </w:r>
      <w:r w:rsidRPr="0006534C">
        <w:rPr>
          <w:rFonts w:ascii="Verdana" w:hAnsi="Verdana"/>
          <w:sz w:val="16"/>
          <w:szCs w:val="16"/>
          <w:lang w:val="es-AR"/>
        </w:rPr>
        <w:t xml:space="preserve"> de </w:t>
      </w:r>
      <w:r w:rsidR="00535AF5">
        <w:rPr>
          <w:rFonts w:ascii="Verdana" w:hAnsi="Verdana"/>
          <w:sz w:val="16"/>
          <w:szCs w:val="16"/>
          <w:lang w:val="es-AR"/>
        </w:rPr>
        <w:t>11 de septiembre</w:t>
      </w:r>
      <w:r w:rsidRPr="0006534C">
        <w:rPr>
          <w:rFonts w:ascii="Verdana" w:hAnsi="Verdana"/>
          <w:sz w:val="16"/>
          <w:szCs w:val="16"/>
          <w:lang w:val="es-AR"/>
        </w:rPr>
        <w:t xml:space="preserve"> de 2019.</w:t>
      </w:r>
    </w:p>
  </w:footnote>
  <w:footnote w:id="47">
    <w:p w14:paraId="6C048A3B" w14:textId="3CB32A80" w:rsidR="00B32CAA" w:rsidRPr="00F42A53" w:rsidRDefault="00B32CAA" w:rsidP="000C467E">
      <w:pPr>
        <w:pStyle w:val="Textonotapie"/>
        <w:tabs>
          <w:tab w:val="left" w:pos="426"/>
        </w:tabs>
        <w:jc w:val="both"/>
        <w:rPr>
          <w:rFonts w:ascii="Verdana" w:hAnsi="Verdana"/>
          <w:sz w:val="16"/>
          <w:szCs w:val="16"/>
        </w:rPr>
      </w:pPr>
      <w:r w:rsidRPr="00F42A53">
        <w:rPr>
          <w:rStyle w:val="Refdenotaalpie"/>
          <w:rFonts w:ascii="Verdana" w:hAnsi="Verdana"/>
          <w:sz w:val="16"/>
          <w:szCs w:val="16"/>
        </w:rPr>
        <w:footnoteRef/>
      </w:r>
      <w:r w:rsidRPr="00F42A53">
        <w:rPr>
          <w:rFonts w:ascii="Verdana" w:hAnsi="Verdana"/>
          <w:sz w:val="16"/>
          <w:szCs w:val="16"/>
        </w:rPr>
        <w:t xml:space="preserve"> </w:t>
      </w:r>
      <w:r w:rsidRPr="00F42A53">
        <w:rPr>
          <w:rFonts w:ascii="Verdana" w:hAnsi="Verdana"/>
          <w:sz w:val="16"/>
          <w:szCs w:val="16"/>
        </w:rPr>
        <w:tab/>
      </w:r>
      <w:r w:rsidRPr="00F42A53">
        <w:rPr>
          <w:rFonts w:ascii="Verdana" w:hAnsi="Verdana"/>
          <w:i/>
          <w:sz w:val="16"/>
          <w:szCs w:val="16"/>
        </w:rPr>
        <w:t xml:space="preserve">Cfr. </w:t>
      </w:r>
      <w:r w:rsidRPr="00F42A53">
        <w:rPr>
          <w:rFonts w:ascii="Verdana" w:hAnsi="Verdana"/>
          <w:sz w:val="16"/>
          <w:szCs w:val="16"/>
          <w:lang w:val="es-AR"/>
        </w:rPr>
        <w:t xml:space="preserve">Informe del </w:t>
      </w:r>
      <w:r w:rsidRPr="00F42A53">
        <w:rPr>
          <w:rFonts w:ascii="Verdana" w:hAnsi="Verdana"/>
          <w:sz w:val="16"/>
          <w:szCs w:val="16"/>
        </w:rPr>
        <w:t>Ministerio</w:t>
      </w:r>
      <w:r w:rsidRPr="00F42A53">
        <w:rPr>
          <w:rFonts w:ascii="Verdana" w:hAnsi="Verdana"/>
          <w:sz w:val="16"/>
          <w:szCs w:val="16"/>
          <w:lang w:val="es-AR"/>
        </w:rPr>
        <w:t xml:space="preserve"> Público Fiscal de 31 de octubre de 2018 (anexo al informe estatal de 1 de noviembre de 2018).</w:t>
      </w:r>
    </w:p>
  </w:footnote>
  <w:footnote w:id="48">
    <w:p w14:paraId="0537F72B" w14:textId="54A83328" w:rsidR="00B32CAA" w:rsidRPr="00F42A53" w:rsidRDefault="00B32CAA" w:rsidP="000C467E">
      <w:pPr>
        <w:pStyle w:val="Textonotapie"/>
        <w:tabs>
          <w:tab w:val="left" w:pos="426"/>
        </w:tabs>
        <w:jc w:val="both"/>
        <w:rPr>
          <w:rFonts w:ascii="Verdana" w:hAnsi="Verdana"/>
          <w:sz w:val="16"/>
          <w:szCs w:val="16"/>
          <w:lang w:val="es-ES"/>
        </w:rPr>
      </w:pPr>
      <w:r w:rsidRPr="00F42A53">
        <w:rPr>
          <w:rStyle w:val="Refdenotaalpie"/>
          <w:rFonts w:ascii="Verdana" w:hAnsi="Verdana"/>
          <w:sz w:val="16"/>
          <w:szCs w:val="16"/>
        </w:rPr>
        <w:footnoteRef/>
      </w:r>
      <w:r w:rsidRPr="00F42A53">
        <w:rPr>
          <w:rFonts w:ascii="Verdana" w:hAnsi="Verdana"/>
          <w:sz w:val="16"/>
          <w:szCs w:val="16"/>
        </w:rPr>
        <w:t xml:space="preserve"> </w:t>
      </w:r>
      <w:r w:rsidRPr="00F42A53">
        <w:rPr>
          <w:rFonts w:ascii="Verdana" w:hAnsi="Verdana"/>
          <w:sz w:val="16"/>
          <w:szCs w:val="16"/>
        </w:rPr>
        <w:tab/>
      </w:r>
      <w:r w:rsidRPr="00F42A53">
        <w:rPr>
          <w:rFonts w:ascii="Verdana" w:hAnsi="Verdana"/>
          <w:i/>
          <w:sz w:val="16"/>
          <w:szCs w:val="16"/>
        </w:rPr>
        <w:t xml:space="preserve">Cfr. </w:t>
      </w:r>
      <w:r w:rsidRPr="00F42A53">
        <w:rPr>
          <w:rFonts w:ascii="Verdana" w:hAnsi="Verdana"/>
          <w:sz w:val="16"/>
          <w:szCs w:val="16"/>
        </w:rPr>
        <w:t>Informe</w:t>
      </w:r>
      <w:r w:rsidRPr="00F42A53">
        <w:rPr>
          <w:rFonts w:ascii="Verdana" w:hAnsi="Verdana"/>
          <w:sz w:val="16"/>
          <w:szCs w:val="16"/>
          <w:lang w:val="es-AR"/>
        </w:rPr>
        <w:t xml:space="preserve"> del </w:t>
      </w:r>
      <w:r w:rsidRPr="00F42A53">
        <w:rPr>
          <w:rFonts w:ascii="Verdana" w:hAnsi="Verdana"/>
          <w:sz w:val="16"/>
          <w:szCs w:val="16"/>
        </w:rPr>
        <w:t>Ministerio</w:t>
      </w:r>
      <w:r w:rsidRPr="00F42A53">
        <w:rPr>
          <w:rFonts w:ascii="Verdana" w:hAnsi="Verdana"/>
          <w:sz w:val="16"/>
          <w:szCs w:val="16"/>
          <w:lang w:val="es-AR"/>
        </w:rPr>
        <w:t xml:space="preserve"> Público Fiscal de 31 de octubre de 2018 (anexo al informe estatal de 1 de noviembre de 2018).</w:t>
      </w:r>
    </w:p>
  </w:footnote>
  <w:footnote w:id="49">
    <w:p w14:paraId="4F11D827" w14:textId="2172269F" w:rsidR="00B32CAA" w:rsidRPr="0006534C" w:rsidRDefault="00B32CAA" w:rsidP="000C467E">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Informe </w:t>
      </w:r>
      <w:r w:rsidRPr="0006534C">
        <w:rPr>
          <w:rFonts w:ascii="Verdana" w:hAnsi="Verdana"/>
          <w:sz w:val="16"/>
          <w:szCs w:val="16"/>
        </w:rPr>
        <w:t>estatal</w:t>
      </w:r>
      <w:r w:rsidRPr="0006534C">
        <w:rPr>
          <w:rFonts w:ascii="Verdana" w:hAnsi="Verdana"/>
          <w:sz w:val="16"/>
          <w:szCs w:val="16"/>
          <w:lang w:val="es-AR"/>
        </w:rPr>
        <w:t xml:space="preserve"> de </w:t>
      </w:r>
      <w:r w:rsidR="0050506A">
        <w:rPr>
          <w:rFonts w:ascii="Verdana" w:hAnsi="Verdana"/>
          <w:sz w:val="16"/>
          <w:szCs w:val="16"/>
          <w:lang w:val="es-AR"/>
        </w:rPr>
        <w:t>11 de septiembre</w:t>
      </w:r>
      <w:r w:rsidRPr="0006534C">
        <w:rPr>
          <w:rFonts w:ascii="Verdana" w:hAnsi="Verdana"/>
          <w:sz w:val="16"/>
          <w:szCs w:val="16"/>
          <w:lang w:val="es-AR"/>
        </w:rPr>
        <w:t xml:space="preserve"> de 2019. </w:t>
      </w:r>
    </w:p>
  </w:footnote>
  <w:footnote w:id="50">
    <w:p w14:paraId="7A9E3E76" w14:textId="77777777" w:rsidR="00B32CAA" w:rsidRPr="0006534C" w:rsidRDefault="00B32CAA" w:rsidP="000C467E">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 xml:space="preserve">Informe estatal de 8 de octubre de 2018. </w:t>
      </w:r>
    </w:p>
  </w:footnote>
  <w:footnote w:id="51">
    <w:p w14:paraId="23CF1D18" w14:textId="2D737823" w:rsidR="00B32CAA" w:rsidRPr="00494C28" w:rsidRDefault="00B32CAA" w:rsidP="000C467E">
      <w:pPr>
        <w:pStyle w:val="Textonotapie"/>
        <w:tabs>
          <w:tab w:val="left" w:pos="426"/>
        </w:tabs>
        <w:jc w:val="both"/>
        <w:rPr>
          <w:rFonts w:ascii="Verdana" w:hAnsi="Verdana"/>
          <w:sz w:val="16"/>
          <w:szCs w:val="16"/>
          <w:lang w:val="es-AR"/>
        </w:rPr>
      </w:pPr>
      <w:r w:rsidRPr="00F42A53">
        <w:rPr>
          <w:rStyle w:val="Refdenotaalpie"/>
          <w:rFonts w:ascii="Verdana" w:hAnsi="Verdana"/>
          <w:sz w:val="16"/>
          <w:szCs w:val="16"/>
        </w:rPr>
        <w:footnoteRef/>
      </w:r>
      <w:r w:rsidRPr="00F42A53">
        <w:rPr>
          <w:rFonts w:ascii="Verdana" w:hAnsi="Verdana"/>
          <w:sz w:val="16"/>
          <w:szCs w:val="16"/>
        </w:rPr>
        <w:t xml:space="preserve"> </w:t>
      </w:r>
      <w:r w:rsidRPr="00F42A53">
        <w:rPr>
          <w:rFonts w:ascii="Verdana" w:hAnsi="Verdana"/>
          <w:sz w:val="16"/>
          <w:szCs w:val="16"/>
          <w:lang w:val="es-ES"/>
        </w:rPr>
        <w:tab/>
        <w:t xml:space="preserve">El 19 de octubre de 2018, siguiendo instrucciones del </w:t>
      </w:r>
      <w:proofErr w:type="gramStart"/>
      <w:r w:rsidRPr="00F42A53">
        <w:rPr>
          <w:rFonts w:ascii="Verdana" w:hAnsi="Verdana"/>
          <w:sz w:val="16"/>
          <w:szCs w:val="16"/>
          <w:lang w:val="es-ES"/>
        </w:rPr>
        <w:t>Presidente</w:t>
      </w:r>
      <w:proofErr w:type="gramEnd"/>
      <w:r w:rsidRPr="00F42A53">
        <w:rPr>
          <w:rFonts w:ascii="Verdana" w:hAnsi="Verdana"/>
          <w:sz w:val="16"/>
          <w:szCs w:val="16"/>
          <w:lang w:val="es-ES"/>
        </w:rPr>
        <w:t xml:space="preserve"> del Tribunal, se solicitó al Estado por medio de una nota de Secretarí</w:t>
      </w:r>
      <w:r>
        <w:rPr>
          <w:rFonts w:ascii="Verdana" w:hAnsi="Verdana"/>
          <w:sz w:val="16"/>
          <w:szCs w:val="16"/>
          <w:lang w:val="es-ES"/>
        </w:rPr>
        <w:t xml:space="preserve">a que explicara </w:t>
      </w:r>
      <w:r w:rsidRPr="00F42A53">
        <w:rPr>
          <w:rFonts w:ascii="Verdana" w:hAnsi="Verdana"/>
          <w:sz w:val="16"/>
          <w:szCs w:val="16"/>
          <w:lang w:val="es-ES"/>
        </w:rPr>
        <w:t xml:space="preserve">si </w:t>
      </w:r>
      <w:r>
        <w:rPr>
          <w:rFonts w:ascii="Verdana" w:hAnsi="Verdana"/>
          <w:sz w:val="16"/>
          <w:szCs w:val="16"/>
          <w:lang w:val="es-ES"/>
        </w:rPr>
        <w:t>había considerado</w:t>
      </w:r>
      <w:r w:rsidRPr="00F42A53">
        <w:rPr>
          <w:rFonts w:ascii="Verdana" w:hAnsi="Verdana"/>
          <w:sz w:val="16"/>
          <w:szCs w:val="16"/>
          <w:lang w:val="es-ES"/>
        </w:rPr>
        <w:t xml:space="preserve"> la posibilidad de que </w:t>
      </w:r>
      <w:r w:rsidRPr="00F42A53">
        <w:rPr>
          <w:rFonts w:ascii="Verdana" w:hAnsi="Verdana" w:cs="Arial"/>
          <w:sz w:val="16"/>
          <w:szCs w:val="16"/>
          <w:shd w:val="clear" w:color="auto" w:fill="FFFFFF"/>
        </w:rPr>
        <w:t>Jos</w:t>
      </w:r>
      <w:r w:rsidR="0050506A">
        <w:rPr>
          <w:rFonts w:ascii="Verdana" w:hAnsi="Verdana" w:cs="Arial"/>
          <w:sz w:val="16"/>
          <w:szCs w:val="16"/>
          <w:shd w:val="clear" w:color="auto" w:fill="FFFFFF"/>
          <w:lang w:val="es-AR"/>
        </w:rPr>
        <w:t>é</w:t>
      </w:r>
      <w:r w:rsidRPr="00F42A53">
        <w:rPr>
          <w:rFonts w:ascii="Verdana" w:hAnsi="Verdana" w:cs="Arial"/>
          <w:sz w:val="16"/>
          <w:szCs w:val="16"/>
          <w:shd w:val="clear" w:color="auto" w:fill="FFFFFF"/>
        </w:rPr>
        <w:t xml:space="preserve"> Francisco Furtado de Sousa fuera la misma persona identificada en la </w:t>
      </w:r>
      <w:r>
        <w:rPr>
          <w:rFonts w:ascii="Verdana" w:hAnsi="Verdana" w:cs="Arial"/>
          <w:sz w:val="16"/>
          <w:szCs w:val="16"/>
          <w:shd w:val="clear" w:color="auto" w:fill="FFFFFF"/>
          <w:lang w:val="es-AR"/>
        </w:rPr>
        <w:t>S</w:t>
      </w:r>
      <w:proofErr w:type="spellStart"/>
      <w:r w:rsidRPr="00F42A53">
        <w:rPr>
          <w:rFonts w:ascii="Verdana" w:hAnsi="Verdana" w:cs="Arial"/>
          <w:sz w:val="16"/>
          <w:szCs w:val="16"/>
          <w:shd w:val="clear" w:color="auto" w:fill="FFFFFF"/>
        </w:rPr>
        <w:t>entencia</w:t>
      </w:r>
      <w:proofErr w:type="spellEnd"/>
      <w:r w:rsidRPr="00F42A53">
        <w:rPr>
          <w:rFonts w:ascii="Verdana" w:hAnsi="Verdana" w:cs="Arial"/>
          <w:sz w:val="16"/>
          <w:szCs w:val="16"/>
          <w:shd w:val="clear" w:color="auto" w:fill="FFFFFF"/>
        </w:rPr>
        <w:t xml:space="preserve"> como Francisco José Furtado</w:t>
      </w:r>
      <w:r>
        <w:rPr>
          <w:rFonts w:ascii="Verdana" w:hAnsi="Verdana" w:cs="Arial"/>
          <w:sz w:val="16"/>
          <w:szCs w:val="16"/>
          <w:shd w:val="clear" w:color="auto" w:fill="FFFFFF"/>
          <w:lang w:val="es-AR"/>
        </w:rPr>
        <w:t>, solicitándose explicaciones adicionales al respecto el 1 de agosto de 2019.</w:t>
      </w:r>
    </w:p>
  </w:footnote>
  <w:footnote w:id="52">
    <w:p w14:paraId="5B9BEEAB" w14:textId="7E919331" w:rsidR="00B32CAA" w:rsidRPr="0006534C" w:rsidRDefault="00B32CAA" w:rsidP="000C467E">
      <w:pPr>
        <w:pStyle w:val="Textonotapie"/>
        <w:tabs>
          <w:tab w:val="left" w:pos="426"/>
        </w:tabs>
        <w:jc w:val="both"/>
        <w:rPr>
          <w:rFonts w:ascii="Verdana" w:hAnsi="Verdana"/>
          <w:b/>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0050506A">
        <w:rPr>
          <w:rFonts w:ascii="Verdana" w:hAnsi="Verdana"/>
          <w:sz w:val="16"/>
          <w:szCs w:val="16"/>
          <w:lang w:val="es-AR"/>
        </w:rPr>
        <w:t>D</w:t>
      </w:r>
      <w:r w:rsidRPr="0006534C">
        <w:rPr>
          <w:rFonts w:ascii="Verdana" w:hAnsi="Verdana"/>
          <w:sz w:val="16"/>
          <w:szCs w:val="16"/>
          <w:lang w:val="es-AR"/>
        </w:rPr>
        <w:t xml:space="preserve">ocumentación de </w:t>
      </w:r>
      <w:r w:rsidRPr="0006534C">
        <w:rPr>
          <w:rFonts w:ascii="Verdana" w:hAnsi="Verdana"/>
          <w:sz w:val="16"/>
          <w:szCs w:val="16"/>
          <w:lang w:val="es-CR"/>
        </w:rPr>
        <w:t xml:space="preserve">Francisco José Furtado </w:t>
      </w:r>
      <w:r w:rsidR="0050506A">
        <w:rPr>
          <w:rFonts w:ascii="Verdana" w:hAnsi="Verdana"/>
          <w:sz w:val="16"/>
          <w:szCs w:val="16"/>
          <w:lang w:val="es-CR"/>
        </w:rPr>
        <w:t xml:space="preserve">enviada por los representantes de las víctimas </w:t>
      </w:r>
      <w:r w:rsidRPr="0006534C">
        <w:rPr>
          <w:rFonts w:ascii="Verdana" w:hAnsi="Verdana"/>
          <w:sz w:val="16"/>
          <w:szCs w:val="16"/>
          <w:lang w:val="es-CR"/>
        </w:rPr>
        <w:t>(</w:t>
      </w:r>
      <w:r>
        <w:rPr>
          <w:rFonts w:ascii="Verdana" w:hAnsi="Verdana"/>
          <w:sz w:val="16"/>
          <w:szCs w:val="16"/>
          <w:lang w:val="es-CR"/>
        </w:rPr>
        <w:t>a</w:t>
      </w:r>
      <w:r w:rsidRPr="0006534C">
        <w:rPr>
          <w:rFonts w:ascii="Verdana" w:hAnsi="Verdana"/>
          <w:sz w:val="16"/>
          <w:szCs w:val="16"/>
          <w:lang w:val="es-CR"/>
        </w:rPr>
        <w:t>nexo 3 al informe estatal</w:t>
      </w:r>
      <w:r w:rsidR="0050506A">
        <w:rPr>
          <w:rFonts w:ascii="Verdana" w:hAnsi="Verdana"/>
          <w:sz w:val="16"/>
          <w:szCs w:val="16"/>
          <w:lang w:val="es-CR"/>
        </w:rPr>
        <w:t xml:space="preserve"> de 11 de septiembre de 2019</w:t>
      </w:r>
      <w:r w:rsidRPr="0006534C">
        <w:rPr>
          <w:rFonts w:ascii="Verdana" w:hAnsi="Verdana"/>
          <w:sz w:val="16"/>
          <w:szCs w:val="16"/>
          <w:lang w:val="es-CR"/>
        </w:rPr>
        <w:t xml:space="preserve">). </w:t>
      </w:r>
    </w:p>
  </w:footnote>
  <w:footnote w:id="53">
    <w:p w14:paraId="082004DE" w14:textId="31C8BBEF" w:rsidR="00B32CAA" w:rsidRPr="0006534C" w:rsidRDefault="00B32CAA" w:rsidP="000C467E">
      <w:pPr>
        <w:pStyle w:val="Textonotapie"/>
        <w:tabs>
          <w:tab w:val="left" w:pos="426"/>
        </w:tabs>
        <w:jc w:val="both"/>
        <w:rPr>
          <w:rFonts w:ascii="Verdana" w:hAnsi="Verdana"/>
          <w:sz w:val="16"/>
          <w:szCs w:val="16"/>
          <w:lang w:val="es-AR"/>
        </w:rPr>
      </w:pPr>
      <w:r w:rsidRPr="0006534C">
        <w:rPr>
          <w:rStyle w:val="Refdenotaalpie"/>
          <w:rFonts w:ascii="Verdana" w:hAnsi="Verdana"/>
          <w:sz w:val="16"/>
          <w:szCs w:val="16"/>
        </w:rPr>
        <w:footnoteRef/>
      </w:r>
      <w:r w:rsidRPr="0006534C">
        <w:rPr>
          <w:rFonts w:ascii="Verdana" w:hAnsi="Verdana"/>
          <w:sz w:val="16"/>
          <w:szCs w:val="16"/>
        </w:rPr>
        <w:t xml:space="preserve"> </w:t>
      </w:r>
      <w:r w:rsidRPr="0006534C">
        <w:rPr>
          <w:rFonts w:ascii="Verdana" w:hAnsi="Verdana"/>
          <w:sz w:val="16"/>
          <w:szCs w:val="16"/>
          <w:lang w:val="es-AR"/>
        </w:rPr>
        <w:tab/>
      </w:r>
      <w:r w:rsidRPr="0006534C">
        <w:rPr>
          <w:rFonts w:ascii="Verdana" w:hAnsi="Verdana"/>
          <w:i/>
          <w:sz w:val="16"/>
          <w:szCs w:val="16"/>
          <w:lang w:val="es-AR"/>
        </w:rPr>
        <w:t xml:space="preserve">Cfr. </w:t>
      </w:r>
      <w:r w:rsidRPr="0006534C">
        <w:rPr>
          <w:rFonts w:ascii="Verdana" w:hAnsi="Verdana"/>
          <w:sz w:val="16"/>
          <w:szCs w:val="16"/>
          <w:lang w:val="es-AR"/>
        </w:rPr>
        <w:t>Informe del Ministerio Público Fiscal de 31 de octubre de 2018 (</w:t>
      </w:r>
      <w:r>
        <w:rPr>
          <w:rFonts w:ascii="Verdana" w:hAnsi="Verdana"/>
          <w:sz w:val="16"/>
          <w:szCs w:val="16"/>
          <w:lang w:val="es-AR"/>
        </w:rPr>
        <w:t>a</w:t>
      </w:r>
      <w:r w:rsidRPr="0006534C">
        <w:rPr>
          <w:rFonts w:ascii="Verdana" w:hAnsi="Verdana"/>
          <w:sz w:val="16"/>
          <w:szCs w:val="16"/>
          <w:lang w:val="es-AR"/>
        </w:rPr>
        <w:t xml:space="preserve">nexo al informe estatal de 1 de noviembre de 2018). </w:t>
      </w:r>
    </w:p>
  </w:footnote>
  <w:footnote w:id="54">
    <w:p w14:paraId="7ACE30F7" w14:textId="7D899EB4" w:rsidR="00150D94" w:rsidRPr="00DD5E82" w:rsidRDefault="00150D94" w:rsidP="00DD5E82">
      <w:pPr>
        <w:pStyle w:val="Textonotapie"/>
        <w:tabs>
          <w:tab w:val="left" w:pos="432"/>
        </w:tabs>
        <w:rPr>
          <w:rFonts w:ascii="Verdana" w:hAnsi="Verdana"/>
          <w:sz w:val="16"/>
          <w:szCs w:val="16"/>
          <w:lang w:val="es-CR"/>
        </w:rPr>
      </w:pPr>
      <w:r w:rsidRPr="004D359E">
        <w:rPr>
          <w:rStyle w:val="Refdenotaalpie"/>
          <w:rFonts w:ascii="Verdana" w:hAnsi="Verdana"/>
          <w:sz w:val="16"/>
          <w:szCs w:val="16"/>
        </w:rPr>
        <w:footnoteRef/>
      </w:r>
      <w:r w:rsidRPr="004D359E">
        <w:rPr>
          <w:rFonts w:ascii="Verdana" w:hAnsi="Verdana"/>
          <w:sz w:val="16"/>
          <w:szCs w:val="16"/>
        </w:rPr>
        <w:t xml:space="preserve"> </w:t>
      </w:r>
      <w:r w:rsidRPr="004D359E">
        <w:rPr>
          <w:rFonts w:ascii="Verdana" w:hAnsi="Verdana"/>
          <w:sz w:val="16"/>
          <w:szCs w:val="16"/>
        </w:rPr>
        <w:tab/>
      </w:r>
      <w:r w:rsidRPr="004D359E">
        <w:rPr>
          <w:rFonts w:ascii="Verdana" w:hAnsi="Verdana"/>
          <w:i/>
          <w:sz w:val="16"/>
          <w:szCs w:val="16"/>
          <w:lang w:val="es-CR"/>
        </w:rPr>
        <w:t xml:space="preserve">Cfr. </w:t>
      </w:r>
      <w:r w:rsidRPr="004D359E">
        <w:rPr>
          <w:rFonts w:ascii="Verdana" w:hAnsi="Verdana"/>
          <w:sz w:val="16"/>
          <w:szCs w:val="16"/>
          <w:lang w:val="es-CR"/>
        </w:rPr>
        <w:t>Escrito de observaciones de los representantes de 7 de enero de 2019.</w:t>
      </w:r>
    </w:p>
  </w:footnote>
  <w:footnote w:id="55">
    <w:p w14:paraId="4F677DF5" w14:textId="4862B62A" w:rsidR="00B32CAA" w:rsidRPr="00DB7627" w:rsidRDefault="00B32CAA" w:rsidP="000C467E">
      <w:pPr>
        <w:pStyle w:val="Textonotapie"/>
        <w:tabs>
          <w:tab w:val="left" w:pos="426"/>
        </w:tabs>
        <w:jc w:val="both"/>
        <w:rPr>
          <w:rFonts w:ascii="Verdana" w:hAnsi="Verdana"/>
          <w:b/>
          <w:sz w:val="16"/>
          <w:szCs w:val="16"/>
          <w:lang w:val="es-ES"/>
        </w:rPr>
      </w:pPr>
      <w:r w:rsidRPr="00AD1E2D">
        <w:rPr>
          <w:rStyle w:val="Refdenotaalpie"/>
          <w:rFonts w:ascii="Verdana" w:hAnsi="Verdana"/>
          <w:sz w:val="16"/>
          <w:szCs w:val="16"/>
        </w:rPr>
        <w:footnoteRef/>
      </w:r>
      <w:r w:rsidRPr="00AD1E2D">
        <w:rPr>
          <w:rFonts w:ascii="Verdana" w:hAnsi="Verdana"/>
          <w:sz w:val="16"/>
          <w:szCs w:val="16"/>
        </w:rPr>
        <w:t xml:space="preserve"> </w:t>
      </w:r>
      <w:r w:rsidRPr="00AD1E2D">
        <w:rPr>
          <w:rFonts w:ascii="Verdana" w:hAnsi="Verdana"/>
          <w:sz w:val="16"/>
          <w:szCs w:val="16"/>
          <w:lang w:val="es-ES"/>
        </w:rPr>
        <w:tab/>
      </w:r>
      <w:r w:rsidR="00150D94" w:rsidRPr="00DB7627">
        <w:rPr>
          <w:rFonts w:ascii="Verdana" w:hAnsi="Verdana"/>
          <w:i/>
          <w:sz w:val="16"/>
          <w:szCs w:val="16"/>
          <w:lang w:val="es-CR"/>
        </w:rPr>
        <w:t xml:space="preserve">Cfr. </w:t>
      </w:r>
      <w:r w:rsidRPr="00DB7627">
        <w:rPr>
          <w:rFonts w:ascii="Verdana" w:hAnsi="Verdana"/>
          <w:sz w:val="16"/>
          <w:szCs w:val="16"/>
          <w:lang w:val="es-ES"/>
        </w:rPr>
        <w:t>Escrito de observaciones de los representantes de 7 de enero de 2019.</w:t>
      </w:r>
    </w:p>
  </w:footnote>
  <w:footnote w:id="56">
    <w:p w14:paraId="5057FA84" w14:textId="2C8DE621" w:rsidR="00B32CAA" w:rsidRPr="00DB7627" w:rsidRDefault="00B32CAA" w:rsidP="000C467E">
      <w:pPr>
        <w:pStyle w:val="Textonotapie"/>
        <w:tabs>
          <w:tab w:val="left" w:pos="426"/>
        </w:tabs>
        <w:jc w:val="both"/>
        <w:rPr>
          <w:rFonts w:ascii="Verdana" w:hAnsi="Verdana"/>
          <w:sz w:val="16"/>
          <w:szCs w:val="16"/>
          <w:lang w:val="es-AR"/>
        </w:rPr>
      </w:pPr>
      <w:r w:rsidRPr="00DB7627">
        <w:rPr>
          <w:rStyle w:val="Refdenotaalpie"/>
          <w:rFonts w:ascii="Verdana" w:hAnsi="Verdana"/>
          <w:sz w:val="16"/>
          <w:szCs w:val="16"/>
        </w:rPr>
        <w:footnoteRef/>
      </w:r>
      <w:r w:rsidRPr="00DB7627">
        <w:rPr>
          <w:rFonts w:ascii="Verdana" w:hAnsi="Verdana"/>
          <w:sz w:val="16"/>
          <w:szCs w:val="16"/>
        </w:rPr>
        <w:t xml:space="preserve"> </w:t>
      </w:r>
      <w:r w:rsidRPr="00DB7627">
        <w:rPr>
          <w:rFonts w:ascii="Verdana" w:hAnsi="Verdana"/>
          <w:sz w:val="16"/>
          <w:szCs w:val="16"/>
          <w:lang w:val="es-AR"/>
        </w:rPr>
        <w:tab/>
      </w:r>
      <w:r w:rsidR="00FC6733" w:rsidRPr="00DB7627">
        <w:rPr>
          <w:rFonts w:ascii="Verdana" w:hAnsi="Verdana"/>
          <w:i/>
          <w:sz w:val="16"/>
          <w:szCs w:val="16"/>
          <w:lang w:val="es-CR"/>
        </w:rPr>
        <w:t xml:space="preserve">Cfr. </w:t>
      </w:r>
      <w:r w:rsidRPr="00DB7627">
        <w:rPr>
          <w:rFonts w:ascii="Verdana" w:hAnsi="Verdana"/>
          <w:sz w:val="16"/>
          <w:szCs w:val="16"/>
          <w:lang w:val="es-AR"/>
        </w:rPr>
        <w:t xml:space="preserve">Escrito de </w:t>
      </w:r>
      <w:r w:rsidRPr="00DB7627">
        <w:rPr>
          <w:rFonts w:ascii="Verdana" w:hAnsi="Verdana"/>
          <w:sz w:val="16"/>
          <w:szCs w:val="16"/>
          <w:lang w:val="es-ES"/>
        </w:rPr>
        <w:t>observaciones</w:t>
      </w:r>
      <w:r w:rsidRPr="00DB7627">
        <w:rPr>
          <w:rFonts w:ascii="Verdana" w:hAnsi="Verdana"/>
          <w:sz w:val="16"/>
          <w:szCs w:val="16"/>
          <w:lang w:val="es-AR"/>
        </w:rPr>
        <w:t xml:space="preserve"> de los representantes de 26 de septiembre de 2019. </w:t>
      </w:r>
    </w:p>
  </w:footnote>
  <w:footnote w:id="57">
    <w:p w14:paraId="5A3283FA" w14:textId="6BDA98BF" w:rsidR="00B32CAA" w:rsidRPr="00DB7627" w:rsidRDefault="00B32CAA" w:rsidP="000C467E">
      <w:pPr>
        <w:pStyle w:val="Textonotapie"/>
        <w:tabs>
          <w:tab w:val="left" w:pos="426"/>
        </w:tabs>
        <w:jc w:val="both"/>
        <w:rPr>
          <w:rFonts w:ascii="Verdana" w:hAnsi="Verdana"/>
          <w:b/>
          <w:sz w:val="16"/>
          <w:szCs w:val="16"/>
          <w:lang w:val="es-ES"/>
        </w:rPr>
      </w:pPr>
      <w:r w:rsidRPr="00DB7627">
        <w:rPr>
          <w:rStyle w:val="Refdenotaalpie"/>
          <w:rFonts w:ascii="Verdana" w:hAnsi="Verdana"/>
          <w:sz w:val="16"/>
          <w:szCs w:val="16"/>
        </w:rPr>
        <w:footnoteRef/>
      </w:r>
      <w:r w:rsidRPr="00DB7627">
        <w:rPr>
          <w:rFonts w:ascii="Verdana" w:hAnsi="Verdana"/>
          <w:sz w:val="16"/>
          <w:szCs w:val="16"/>
        </w:rPr>
        <w:t xml:space="preserve"> </w:t>
      </w:r>
      <w:r w:rsidRPr="00DB7627">
        <w:rPr>
          <w:rFonts w:ascii="Verdana" w:hAnsi="Verdana"/>
          <w:sz w:val="16"/>
          <w:szCs w:val="16"/>
          <w:lang w:val="es-ES"/>
        </w:rPr>
        <w:tab/>
      </w:r>
      <w:r w:rsidR="00FC6733" w:rsidRPr="00DB7627">
        <w:rPr>
          <w:rFonts w:ascii="Verdana" w:hAnsi="Verdana"/>
          <w:i/>
          <w:sz w:val="16"/>
          <w:szCs w:val="16"/>
          <w:lang w:val="es-CR"/>
        </w:rPr>
        <w:t xml:space="preserve">Cfr. </w:t>
      </w:r>
      <w:r w:rsidRPr="00DB7627">
        <w:rPr>
          <w:rFonts w:ascii="Verdana" w:hAnsi="Verdana"/>
          <w:sz w:val="16"/>
          <w:szCs w:val="16"/>
          <w:lang w:val="es-ES"/>
        </w:rPr>
        <w:t>Escrito de observaciones de la Comisión de 11 de febrero de 2019.</w:t>
      </w:r>
    </w:p>
  </w:footnote>
  <w:footnote w:id="58">
    <w:p w14:paraId="4DCCAEA5" w14:textId="77777777" w:rsidR="00B32CAA" w:rsidRPr="00AC225F" w:rsidRDefault="00B32CAA" w:rsidP="000C467E">
      <w:pPr>
        <w:pStyle w:val="Textonotapie"/>
        <w:tabs>
          <w:tab w:val="left" w:pos="426"/>
        </w:tabs>
        <w:jc w:val="both"/>
        <w:rPr>
          <w:rFonts w:ascii="Verdana" w:hAnsi="Verdana"/>
          <w:sz w:val="16"/>
          <w:szCs w:val="16"/>
          <w:lang w:val="es-AR"/>
        </w:rPr>
      </w:pPr>
      <w:r w:rsidRPr="00DB7627">
        <w:rPr>
          <w:rStyle w:val="Refdenotaalpie"/>
          <w:rFonts w:ascii="Verdana" w:hAnsi="Verdana"/>
          <w:sz w:val="16"/>
          <w:szCs w:val="16"/>
        </w:rPr>
        <w:footnoteRef/>
      </w:r>
      <w:r w:rsidRPr="00DB7627">
        <w:rPr>
          <w:rFonts w:ascii="Verdana" w:hAnsi="Verdana"/>
          <w:sz w:val="16"/>
          <w:szCs w:val="16"/>
        </w:rPr>
        <w:t xml:space="preserve"> </w:t>
      </w:r>
      <w:r w:rsidRPr="00DB7627">
        <w:rPr>
          <w:rFonts w:ascii="Verdana" w:hAnsi="Verdana"/>
          <w:sz w:val="16"/>
          <w:szCs w:val="16"/>
          <w:lang w:val="es-AR"/>
        </w:rPr>
        <w:tab/>
        <w:t>El artículo</w:t>
      </w:r>
      <w:r w:rsidRPr="00AC225F">
        <w:rPr>
          <w:rFonts w:ascii="Verdana" w:hAnsi="Verdana"/>
          <w:sz w:val="16"/>
          <w:szCs w:val="16"/>
          <w:lang w:val="es-AR"/>
        </w:rPr>
        <w:t xml:space="preserve"> 76 del Reglamento de la Corte dispone que “</w:t>
      </w:r>
      <w:r w:rsidRPr="00AC225F">
        <w:rPr>
          <w:rFonts w:ascii="Verdana" w:hAnsi="Verdana"/>
          <w:sz w:val="16"/>
          <w:szCs w:val="16"/>
          <w:lang w:val="es-CR"/>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footnote>
  <w:footnote w:id="59">
    <w:p w14:paraId="34CCD92D" w14:textId="77A4FD7A" w:rsidR="009E55E1" w:rsidRPr="00DB59BF" w:rsidRDefault="009E55E1" w:rsidP="009E55E1">
      <w:pPr>
        <w:pStyle w:val="Textonotapie"/>
        <w:tabs>
          <w:tab w:val="left" w:pos="426"/>
        </w:tabs>
        <w:jc w:val="both"/>
        <w:rPr>
          <w:lang w:val="es-ES"/>
        </w:rPr>
      </w:pPr>
      <w:r>
        <w:rPr>
          <w:rStyle w:val="Refdenotaalpie"/>
        </w:rPr>
        <w:footnoteRef/>
      </w:r>
      <w:r>
        <w:t xml:space="preserve"> </w:t>
      </w:r>
      <w:r>
        <w:tab/>
      </w:r>
      <w:r w:rsidRPr="005C2927">
        <w:rPr>
          <w:rFonts w:ascii="Verdana" w:hAnsi="Verdana"/>
          <w:i/>
          <w:sz w:val="16"/>
          <w:szCs w:val="16"/>
        </w:rPr>
        <w:t xml:space="preserve">Cfr. </w:t>
      </w:r>
      <w:r w:rsidRPr="005C2927">
        <w:rPr>
          <w:rStyle w:val="Textoennegrita"/>
          <w:rFonts w:ascii="Verdana" w:hAnsi="Verdana"/>
          <w:b w:val="0"/>
          <w:i/>
          <w:sz w:val="16"/>
          <w:szCs w:val="16"/>
          <w:shd w:val="clear" w:color="auto" w:fill="FFFFFF"/>
        </w:rPr>
        <w:t xml:space="preserve">Caso </w:t>
      </w:r>
      <w:r w:rsidRPr="005C2927">
        <w:rPr>
          <w:rFonts w:ascii="Verdana" w:hAnsi="Verdana"/>
          <w:bCs/>
          <w:i/>
          <w:sz w:val="16"/>
          <w:szCs w:val="16"/>
        </w:rPr>
        <w:t>Trabajadores</w:t>
      </w:r>
      <w:r w:rsidRPr="005C2927">
        <w:rPr>
          <w:rStyle w:val="Textoennegrita"/>
          <w:rFonts w:ascii="Verdana" w:hAnsi="Verdana"/>
          <w:b w:val="0"/>
          <w:i/>
          <w:sz w:val="16"/>
          <w:szCs w:val="16"/>
          <w:shd w:val="clear" w:color="auto" w:fill="FFFFFF"/>
          <w:lang w:val="es-CR"/>
        </w:rPr>
        <w:t xml:space="preserve"> de la Hacienda Brasil Verde</w:t>
      </w:r>
      <w:r w:rsidRPr="005C2927">
        <w:rPr>
          <w:rStyle w:val="Textoennegrita"/>
          <w:rFonts w:ascii="Verdana" w:hAnsi="Verdana"/>
          <w:b w:val="0"/>
          <w:i/>
          <w:sz w:val="16"/>
          <w:szCs w:val="16"/>
          <w:shd w:val="clear" w:color="auto" w:fill="FFFFFF"/>
        </w:rPr>
        <w:t xml:space="preserve"> Vs. </w:t>
      </w:r>
      <w:r w:rsidRPr="005C2927">
        <w:rPr>
          <w:rStyle w:val="Textoennegrita"/>
          <w:rFonts w:ascii="Verdana" w:hAnsi="Verdana"/>
          <w:b w:val="0"/>
          <w:i/>
          <w:sz w:val="16"/>
          <w:szCs w:val="16"/>
          <w:shd w:val="clear" w:color="auto" w:fill="FFFFFF"/>
          <w:lang w:val="es-CR"/>
        </w:rPr>
        <w:t>Br</w:t>
      </w:r>
      <w:proofErr w:type="spellStart"/>
      <w:r w:rsidRPr="005C2927">
        <w:rPr>
          <w:rStyle w:val="Textoennegrita"/>
          <w:rFonts w:ascii="Verdana" w:hAnsi="Verdana"/>
          <w:b w:val="0"/>
          <w:i/>
          <w:sz w:val="16"/>
          <w:szCs w:val="16"/>
          <w:shd w:val="clear" w:color="auto" w:fill="FFFFFF"/>
        </w:rPr>
        <w:t>a</w:t>
      </w:r>
      <w:r w:rsidRPr="005C2927">
        <w:rPr>
          <w:rStyle w:val="Textoennegrita"/>
          <w:rFonts w:ascii="Verdana" w:hAnsi="Verdana"/>
          <w:b w:val="0"/>
          <w:i/>
          <w:sz w:val="16"/>
          <w:szCs w:val="16"/>
          <w:shd w:val="clear" w:color="auto" w:fill="FFFFFF"/>
          <w:lang w:val="es-CR"/>
        </w:rPr>
        <w:t>sil</w:t>
      </w:r>
      <w:proofErr w:type="spellEnd"/>
      <w:r w:rsidRPr="005C2927">
        <w:rPr>
          <w:rStyle w:val="Textoennegrita"/>
          <w:rFonts w:ascii="Verdana" w:hAnsi="Verdana"/>
          <w:b w:val="0"/>
          <w:i/>
          <w:sz w:val="16"/>
          <w:szCs w:val="16"/>
          <w:shd w:val="clear" w:color="auto" w:fill="FFFFFF"/>
        </w:rPr>
        <w:t>, supra</w:t>
      </w:r>
      <w:r w:rsidR="00FC6733">
        <w:rPr>
          <w:rStyle w:val="Textoennegrita"/>
          <w:rFonts w:ascii="Verdana" w:hAnsi="Verdana"/>
          <w:b w:val="0"/>
          <w:i/>
          <w:sz w:val="16"/>
          <w:szCs w:val="16"/>
          <w:shd w:val="clear" w:color="auto" w:fill="FFFFFF"/>
          <w:lang w:val="es-CR"/>
        </w:rPr>
        <w:t xml:space="preserve"> </w:t>
      </w:r>
      <w:r w:rsidR="00FC6733">
        <w:rPr>
          <w:rStyle w:val="Textoennegrita"/>
          <w:rFonts w:ascii="Verdana" w:hAnsi="Verdana"/>
          <w:b w:val="0"/>
          <w:sz w:val="16"/>
          <w:szCs w:val="16"/>
          <w:shd w:val="clear" w:color="auto" w:fill="FFFFFF"/>
          <w:lang w:val="es-CR"/>
        </w:rPr>
        <w:t>nota 1</w:t>
      </w:r>
      <w:r w:rsidRPr="005C2927">
        <w:rPr>
          <w:rStyle w:val="Textoennegrita"/>
          <w:rFonts w:ascii="Verdana" w:hAnsi="Verdana"/>
          <w:b w:val="0"/>
          <w:i/>
          <w:sz w:val="16"/>
          <w:szCs w:val="16"/>
          <w:shd w:val="clear" w:color="auto" w:fill="FFFFFF"/>
        </w:rPr>
        <w:t xml:space="preserve">, </w:t>
      </w:r>
      <w:proofErr w:type="spellStart"/>
      <w:r w:rsidRPr="005C2927">
        <w:rPr>
          <w:rStyle w:val="Textoennegrita"/>
          <w:rFonts w:ascii="Verdana" w:hAnsi="Verdana"/>
          <w:b w:val="0"/>
          <w:sz w:val="16"/>
          <w:szCs w:val="16"/>
          <w:shd w:val="clear" w:color="auto" w:fill="FFFFFF"/>
        </w:rPr>
        <w:t>párr</w:t>
      </w:r>
      <w:r>
        <w:rPr>
          <w:rStyle w:val="Textoennegrita"/>
          <w:rFonts w:ascii="Verdana" w:hAnsi="Verdana"/>
          <w:b w:val="0"/>
          <w:sz w:val="16"/>
          <w:szCs w:val="16"/>
          <w:shd w:val="clear" w:color="auto" w:fill="FFFFFF"/>
        </w:rPr>
        <w:t>s</w:t>
      </w:r>
      <w:proofErr w:type="spellEnd"/>
      <w:r>
        <w:rPr>
          <w:rStyle w:val="Textoennegrita"/>
          <w:rFonts w:ascii="Verdana" w:hAnsi="Verdana"/>
          <w:b w:val="0"/>
          <w:sz w:val="16"/>
          <w:szCs w:val="16"/>
          <w:shd w:val="clear" w:color="auto" w:fill="FFFFFF"/>
        </w:rPr>
        <w:t xml:space="preserve">. </w:t>
      </w:r>
      <w:r>
        <w:rPr>
          <w:rStyle w:val="Textoennegrita"/>
          <w:rFonts w:ascii="Verdana" w:hAnsi="Verdana"/>
          <w:b w:val="0"/>
          <w:sz w:val="16"/>
          <w:szCs w:val="16"/>
          <w:shd w:val="clear" w:color="auto" w:fill="FFFFFF"/>
          <w:lang w:val="es-AR"/>
        </w:rPr>
        <w:t>46, 48</w:t>
      </w:r>
      <w:r>
        <w:rPr>
          <w:rStyle w:val="Textoennegrita"/>
          <w:rFonts w:ascii="Verdana" w:hAnsi="Verdana"/>
          <w:b w:val="0"/>
          <w:sz w:val="16"/>
          <w:szCs w:val="16"/>
          <w:shd w:val="clear" w:color="auto" w:fill="FFFFFF"/>
        </w:rPr>
        <w:t xml:space="preserve"> y 4</w:t>
      </w:r>
      <w:r>
        <w:rPr>
          <w:rStyle w:val="Textoennegrita"/>
          <w:rFonts w:ascii="Verdana" w:hAnsi="Verdana"/>
          <w:b w:val="0"/>
          <w:sz w:val="16"/>
          <w:szCs w:val="16"/>
          <w:shd w:val="clear" w:color="auto" w:fill="FFFFFF"/>
          <w:lang w:val="es-AR"/>
        </w:rPr>
        <w:t>9</w:t>
      </w:r>
      <w:r>
        <w:rPr>
          <w:rStyle w:val="Textoennegrita"/>
          <w:rFonts w:ascii="Verdana" w:hAnsi="Verdana"/>
          <w:b w:val="0"/>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269B" w14:textId="7DFD2E10" w:rsidR="00B32CAA" w:rsidRPr="0017584E" w:rsidRDefault="00B32CAA">
    <w:pPr>
      <w:pStyle w:val="Encabezado"/>
      <w:jc w:val="center"/>
      <w:rPr>
        <w:rFonts w:ascii="Verdana" w:hAnsi="Verdana"/>
        <w:sz w:val="20"/>
        <w:szCs w:val="20"/>
      </w:rPr>
    </w:pPr>
  </w:p>
  <w:p w14:paraId="25EBEE70" w14:textId="77777777" w:rsidR="00B32CAA" w:rsidRPr="0082357B" w:rsidRDefault="00B32CAA" w:rsidP="008235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174A" w14:textId="77777777" w:rsidR="00B32CAA" w:rsidRDefault="00B32CA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A1F"/>
    <w:multiLevelType w:val="hybridMultilevel"/>
    <w:tmpl w:val="C0BED2B8"/>
    <w:lvl w:ilvl="0" w:tplc="6466231C">
      <w:start w:val="2"/>
      <w:numFmt w:val="decimal"/>
      <w:lvlText w:val="%1."/>
      <w:lvlJc w:val="left"/>
      <w:pPr>
        <w:ind w:left="2487" w:hanging="360"/>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7C0CE2"/>
    <w:multiLevelType w:val="hybridMultilevel"/>
    <w:tmpl w:val="EFB240E4"/>
    <w:lvl w:ilvl="0" w:tplc="14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0AA9"/>
    <w:multiLevelType w:val="hybridMultilevel"/>
    <w:tmpl w:val="B510B1B8"/>
    <w:lvl w:ilvl="0" w:tplc="05643F4C">
      <w:start w:val="1"/>
      <w:numFmt w:val="lowerRoman"/>
      <w:lvlText w:val="(%1)"/>
      <w:lvlJc w:val="left"/>
      <w:pPr>
        <w:ind w:left="4680" w:hanging="72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69B7035"/>
    <w:multiLevelType w:val="hybridMultilevel"/>
    <w:tmpl w:val="CF7A1DC2"/>
    <w:lvl w:ilvl="0" w:tplc="14184BE0">
      <w:start w:val="1"/>
      <w:numFmt w:val="decimal"/>
      <w:lvlText w:val="%1."/>
      <w:lvlJc w:val="left"/>
      <w:pPr>
        <w:ind w:left="2487" w:hanging="360"/>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5710F9"/>
    <w:multiLevelType w:val="hybridMultilevel"/>
    <w:tmpl w:val="30D0082C"/>
    <w:lvl w:ilvl="0" w:tplc="0A18BF3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B078C3"/>
    <w:multiLevelType w:val="hybridMultilevel"/>
    <w:tmpl w:val="7452D054"/>
    <w:lvl w:ilvl="0" w:tplc="DB8AB6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1F02"/>
    <w:multiLevelType w:val="hybridMultilevel"/>
    <w:tmpl w:val="06E60898"/>
    <w:lvl w:ilvl="0" w:tplc="317A8302">
      <w:start w:val="3"/>
      <w:numFmt w:val="decimal"/>
      <w:lvlText w:val="%1."/>
      <w:lvlJc w:val="left"/>
      <w:pPr>
        <w:ind w:left="450" w:hanging="360"/>
      </w:pPr>
      <w:rPr>
        <w:rFonts w:hint="default"/>
        <w:b w:val="0"/>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A0B300C"/>
    <w:multiLevelType w:val="multilevel"/>
    <w:tmpl w:val="C0BED2B8"/>
    <w:lvl w:ilvl="0">
      <w:start w:val="2"/>
      <w:numFmt w:val="decimal"/>
      <w:lvlText w:val="%1."/>
      <w:lvlJc w:val="left"/>
      <w:pPr>
        <w:ind w:left="2487"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171F0E"/>
    <w:multiLevelType w:val="hybridMultilevel"/>
    <w:tmpl w:val="8DE65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93101"/>
    <w:multiLevelType w:val="hybridMultilevel"/>
    <w:tmpl w:val="7292B9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3F9747F"/>
    <w:multiLevelType w:val="hybridMultilevel"/>
    <w:tmpl w:val="C0BED2B8"/>
    <w:lvl w:ilvl="0" w:tplc="6466231C">
      <w:start w:val="2"/>
      <w:numFmt w:val="decimal"/>
      <w:lvlText w:val="%1."/>
      <w:lvlJc w:val="left"/>
      <w:pPr>
        <w:ind w:left="2487" w:hanging="360"/>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93A7347"/>
    <w:multiLevelType w:val="hybridMultilevel"/>
    <w:tmpl w:val="678E4438"/>
    <w:lvl w:ilvl="0" w:tplc="416EA6CC">
      <w:start w:val="7"/>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BBE0E90"/>
    <w:multiLevelType w:val="hybridMultilevel"/>
    <w:tmpl w:val="68A4D502"/>
    <w:lvl w:ilvl="0" w:tplc="838AAB90">
      <w:start w:val="1"/>
      <w:numFmt w:val="decimal"/>
      <w:lvlText w:val="%1."/>
      <w:lvlJc w:val="left"/>
      <w:pPr>
        <w:ind w:left="2487"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C601D6B"/>
    <w:multiLevelType w:val="hybridMultilevel"/>
    <w:tmpl w:val="9422542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7BA1D96"/>
    <w:multiLevelType w:val="hybridMultilevel"/>
    <w:tmpl w:val="A174554C"/>
    <w:lvl w:ilvl="0" w:tplc="97E83616">
      <w:start w:val="1"/>
      <w:numFmt w:val="decimal"/>
      <w:lvlText w:val="%1."/>
      <w:lvlJc w:val="left"/>
      <w:pPr>
        <w:ind w:left="6314" w:hanging="36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4"/>
  </w:num>
  <w:num w:numId="6">
    <w:abstractNumId w:val="11"/>
  </w:num>
  <w:num w:numId="7">
    <w:abstractNumId w:val="0"/>
  </w:num>
  <w:num w:numId="8">
    <w:abstractNumId w:val="3"/>
  </w:num>
  <w:num w:numId="9">
    <w:abstractNumId w:val="7"/>
  </w:num>
  <w:num w:numId="10">
    <w:abstractNumId w:val="9"/>
  </w:num>
  <w:num w:numId="11">
    <w:abstractNumId w:val="13"/>
  </w:num>
  <w:num w:numId="12">
    <w:abstractNumId w:val="8"/>
  </w:num>
  <w:num w:numId="13">
    <w:abstractNumId w:val="6"/>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CR"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4F"/>
    <w:rsid w:val="0000026B"/>
    <w:rsid w:val="00000334"/>
    <w:rsid w:val="00000714"/>
    <w:rsid w:val="000007AD"/>
    <w:rsid w:val="0000098A"/>
    <w:rsid w:val="000009CB"/>
    <w:rsid w:val="00000CE6"/>
    <w:rsid w:val="00000E7F"/>
    <w:rsid w:val="00001058"/>
    <w:rsid w:val="0000277A"/>
    <w:rsid w:val="000032D0"/>
    <w:rsid w:val="00003703"/>
    <w:rsid w:val="00003D61"/>
    <w:rsid w:val="00004288"/>
    <w:rsid w:val="00004E48"/>
    <w:rsid w:val="0000617D"/>
    <w:rsid w:val="0000697F"/>
    <w:rsid w:val="00006D16"/>
    <w:rsid w:val="00006DB9"/>
    <w:rsid w:val="0000754C"/>
    <w:rsid w:val="00007747"/>
    <w:rsid w:val="0000791C"/>
    <w:rsid w:val="00007936"/>
    <w:rsid w:val="00007B9E"/>
    <w:rsid w:val="0001100E"/>
    <w:rsid w:val="000112D9"/>
    <w:rsid w:val="00011647"/>
    <w:rsid w:val="000121CA"/>
    <w:rsid w:val="000121ED"/>
    <w:rsid w:val="000126F2"/>
    <w:rsid w:val="000135F1"/>
    <w:rsid w:val="00014138"/>
    <w:rsid w:val="000142A3"/>
    <w:rsid w:val="00014366"/>
    <w:rsid w:val="0001482C"/>
    <w:rsid w:val="0001483C"/>
    <w:rsid w:val="00014DF4"/>
    <w:rsid w:val="000159FF"/>
    <w:rsid w:val="00015F8F"/>
    <w:rsid w:val="000162F9"/>
    <w:rsid w:val="000165BB"/>
    <w:rsid w:val="000167C4"/>
    <w:rsid w:val="00016BD8"/>
    <w:rsid w:val="00017391"/>
    <w:rsid w:val="00017DED"/>
    <w:rsid w:val="00017E73"/>
    <w:rsid w:val="000210F6"/>
    <w:rsid w:val="000216A7"/>
    <w:rsid w:val="0002220E"/>
    <w:rsid w:val="00022486"/>
    <w:rsid w:val="00022D48"/>
    <w:rsid w:val="00022FB1"/>
    <w:rsid w:val="000236CF"/>
    <w:rsid w:val="00023AE7"/>
    <w:rsid w:val="00023CD2"/>
    <w:rsid w:val="000240AA"/>
    <w:rsid w:val="00024488"/>
    <w:rsid w:val="00024A8B"/>
    <w:rsid w:val="00024AB4"/>
    <w:rsid w:val="00024BA4"/>
    <w:rsid w:val="00024D27"/>
    <w:rsid w:val="00025154"/>
    <w:rsid w:val="00026080"/>
    <w:rsid w:val="000264EB"/>
    <w:rsid w:val="000264F8"/>
    <w:rsid w:val="000274EA"/>
    <w:rsid w:val="00027B3D"/>
    <w:rsid w:val="00027CB1"/>
    <w:rsid w:val="000306FE"/>
    <w:rsid w:val="00030C57"/>
    <w:rsid w:val="00031A4B"/>
    <w:rsid w:val="0003272D"/>
    <w:rsid w:val="0003288F"/>
    <w:rsid w:val="00032944"/>
    <w:rsid w:val="00032A4E"/>
    <w:rsid w:val="00033D1C"/>
    <w:rsid w:val="000348EE"/>
    <w:rsid w:val="000368A4"/>
    <w:rsid w:val="00036946"/>
    <w:rsid w:val="00036E8A"/>
    <w:rsid w:val="000370E1"/>
    <w:rsid w:val="00037483"/>
    <w:rsid w:val="000375F5"/>
    <w:rsid w:val="000378BC"/>
    <w:rsid w:val="00037A5D"/>
    <w:rsid w:val="00040684"/>
    <w:rsid w:val="00041A7B"/>
    <w:rsid w:val="000426F7"/>
    <w:rsid w:val="00042BAF"/>
    <w:rsid w:val="000437BD"/>
    <w:rsid w:val="00043B6F"/>
    <w:rsid w:val="000440AB"/>
    <w:rsid w:val="000444EB"/>
    <w:rsid w:val="0004522E"/>
    <w:rsid w:val="0004536F"/>
    <w:rsid w:val="00045428"/>
    <w:rsid w:val="000457D4"/>
    <w:rsid w:val="000465E5"/>
    <w:rsid w:val="00046B67"/>
    <w:rsid w:val="00046F7E"/>
    <w:rsid w:val="00047288"/>
    <w:rsid w:val="000477CE"/>
    <w:rsid w:val="00047B9A"/>
    <w:rsid w:val="0005001D"/>
    <w:rsid w:val="00051936"/>
    <w:rsid w:val="00051AB0"/>
    <w:rsid w:val="00051F92"/>
    <w:rsid w:val="00052FE4"/>
    <w:rsid w:val="000532B1"/>
    <w:rsid w:val="000534CE"/>
    <w:rsid w:val="00053719"/>
    <w:rsid w:val="000554B1"/>
    <w:rsid w:val="00055E18"/>
    <w:rsid w:val="00055FA5"/>
    <w:rsid w:val="00056307"/>
    <w:rsid w:val="00056933"/>
    <w:rsid w:val="00056F37"/>
    <w:rsid w:val="00057EF6"/>
    <w:rsid w:val="0006027D"/>
    <w:rsid w:val="0006062A"/>
    <w:rsid w:val="0006095B"/>
    <w:rsid w:val="00060D08"/>
    <w:rsid w:val="00060F9F"/>
    <w:rsid w:val="000611E8"/>
    <w:rsid w:val="00061517"/>
    <w:rsid w:val="00061708"/>
    <w:rsid w:val="00062194"/>
    <w:rsid w:val="00062679"/>
    <w:rsid w:val="00062C87"/>
    <w:rsid w:val="0006311B"/>
    <w:rsid w:val="00063E45"/>
    <w:rsid w:val="00064638"/>
    <w:rsid w:val="00064748"/>
    <w:rsid w:val="000651FD"/>
    <w:rsid w:val="0006534C"/>
    <w:rsid w:val="00065841"/>
    <w:rsid w:val="00065B58"/>
    <w:rsid w:val="0006620E"/>
    <w:rsid w:val="000662BB"/>
    <w:rsid w:val="000665E9"/>
    <w:rsid w:val="00066A72"/>
    <w:rsid w:val="00067391"/>
    <w:rsid w:val="00067392"/>
    <w:rsid w:val="00067569"/>
    <w:rsid w:val="00067AC7"/>
    <w:rsid w:val="00067C6D"/>
    <w:rsid w:val="00067FB2"/>
    <w:rsid w:val="000704F5"/>
    <w:rsid w:val="00070842"/>
    <w:rsid w:val="000719FB"/>
    <w:rsid w:val="00072210"/>
    <w:rsid w:val="00072F0E"/>
    <w:rsid w:val="0007341F"/>
    <w:rsid w:val="000734F1"/>
    <w:rsid w:val="00073D0D"/>
    <w:rsid w:val="00074FB2"/>
    <w:rsid w:val="000756C1"/>
    <w:rsid w:val="00075E85"/>
    <w:rsid w:val="00076512"/>
    <w:rsid w:val="00076CEC"/>
    <w:rsid w:val="00077139"/>
    <w:rsid w:val="000777B0"/>
    <w:rsid w:val="00077849"/>
    <w:rsid w:val="00077897"/>
    <w:rsid w:val="000800A2"/>
    <w:rsid w:val="00080215"/>
    <w:rsid w:val="00080455"/>
    <w:rsid w:val="0008060C"/>
    <w:rsid w:val="00081DF3"/>
    <w:rsid w:val="00083AF1"/>
    <w:rsid w:val="00083FF0"/>
    <w:rsid w:val="0008477D"/>
    <w:rsid w:val="000851F0"/>
    <w:rsid w:val="0008580F"/>
    <w:rsid w:val="0008633E"/>
    <w:rsid w:val="000865DA"/>
    <w:rsid w:val="00086DEF"/>
    <w:rsid w:val="00087322"/>
    <w:rsid w:val="000875A7"/>
    <w:rsid w:val="00087B98"/>
    <w:rsid w:val="00087BD9"/>
    <w:rsid w:val="00090386"/>
    <w:rsid w:val="00091247"/>
    <w:rsid w:val="0009166C"/>
    <w:rsid w:val="00092470"/>
    <w:rsid w:val="00092C50"/>
    <w:rsid w:val="0009311A"/>
    <w:rsid w:val="0009316B"/>
    <w:rsid w:val="000935EC"/>
    <w:rsid w:val="00094026"/>
    <w:rsid w:val="00094AE3"/>
    <w:rsid w:val="0009548A"/>
    <w:rsid w:val="000955AF"/>
    <w:rsid w:val="000957E6"/>
    <w:rsid w:val="00095E6D"/>
    <w:rsid w:val="000968F9"/>
    <w:rsid w:val="00096CE4"/>
    <w:rsid w:val="00097083"/>
    <w:rsid w:val="000A2037"/>
    <w:rsid w:val="000A235F"/>
    <w:rsid w:val="000A23F8"/>
    <w:rsid w:val="000A27E4"/>
    <w:rsid w:val="000A2AA1"/>
    <w:rsid w:val="000A2B57"/>
    <w:rsid w:val="000A31B0"/>
    <w:rsid w:val="000A3BC5"/>
    <w:rsid w:val="000A43EE"/>
    <w:rsid w:val="000A45C3"/>
    <w:rsid w:val="000A487F"/>
    <w:rsid w:val="000A5474"/>
    <w:rsid w:val="000A552E"/>
    <w:rsid w:val="000A5B46"/>
    <w:rsid w:val="000A6374"/>
    <w:rsid w:val="000A6C08"/>
    <w:rsid w:val="000A7384"/>
    <w:rsid w:val="000B01FF"/>
    <w:rsid w:val="000B0E1A"/>
    <w:rsid w:val="000B14C2"/>
    <w:rsid w:val="000B1545"/>
    <w:rsid w:val="000B196A"/>
    <w:rsid w:val="000B1C6A"/>
    <w:rsid w:val="000B1ECC"/>
    <w:rsid w:val="000B2062"/>
    <w:rsid w:val="000B32DB"/>
    <w:rsid w:val="000B5069"/>
    <w:rsid w:val="000B5132"/>
    <w:rsid w:val="000B53C1"/>
    <w:rsid w:val="000B652B"/>
    <w:rsid w:val="000B6A88"/>
    <w:rsid w:val="000B70BB"/>
    <w:rsid w:val="000B73B9"/>
    <w:rsid w:val="000B7AA6"/>
    <w:rsid w:val="000C042D"/>
    <w:rsid w:val="000C1769"/>
    <w:rsid w:val="000C1883"/>
    <w:rsid w:val="000C1A4D"/>
    <w:rsid w:val="000C248E"/>
    <w:rsid w:val="000C32E1"/>
    <w:rsid w:val="000C331B"/>
    <w:rsid w:val="000C3D26"/>
    <w:rsid w:val="000C43A4"/>
    <w:rsid w:val="000C467E"/>
    <w:rsid w:val="000C478D"/>
    <w:rsid w:val="000C4C46"/>
    <w:rsid w:val="000C4E28"/>
    <w:rsid w:val="000C57FB"/>
    <w:rsid w:val="000C5D91"/>
    <w:rsid w:val="000C609F"/>
    <w:rsid w:val="000C69A2"/>
    <w:rsid w:val="000D0B3B"/>
    <w:rsid w:val="000D1136"/>
    <w:rsid w:val="000D1150"/>
    <w:rsid w:val="000D21D6"/>
    <w:rsid w:val="000D23E2"/>
    <w:rsid w:val="000D2F5C"/>
    <w:rsid w:val="000D36CB"/>
    <w:rsid w:val="000D40C8"/>
    <w:rsid w:val="000D42B2"/>
    <w:rsid w:val="000D44DD"/>
    <w:rsid w:val="000D4A18"/>
    <w:rsid w:val="000D4E48"/>
    <w:rsid w:val="000D5673"/>
    <w:rsid w:val="000D5685"/>
    <w:rsid w:val="000D5DB5"/>
    <w:rsid w:val="000D5FAC"/>
    <w:rsid w:val="000D7448"/>
    <w:rsid w:val="000D7A2E"/>
    <w:rsid w:val="000E013E"/>
    <w:rsid w:val="000E0457"/>
    <w:rsid w:val="000E1063"/>
    <w:rsid w:val="000E1085"/>
    <w:rsid w:val="000E1E37"/>
    <w:rsid w:val="000E241E"/>
    <w:rsid w:val="000E2786"/>
    <w:rsid w:val="000E286E"/>
    <w:rsid w:val="000E2A1D"/>
    <w:rsid w:val="000E2C81"/>
    <w:rsid w:val="000E3071"/>
    <w:rsid w:val="000E349A"/>
    <w:rsid w:val="000E3BEE"/>
    <w:rsid w:val="000E50D8"/>
    <w:rsid w:val="000E5261"/>
    <w:rsid w:val="000E5946"/>
    <w:rsid w:val="000E64A5"/>
    <w:rsid w:val="000E65D3"/>
    <w:rsid w:val="000E66B1"/>
    <w:rsid w:val="000E71A9"/>
    <w:rsid w:val="000E7572"/>
    <w:rsid w:val="000E7B02"/>
    <w:rsid w:val="000E7E98"/>
    <w:rsid w:val="000F0AAC"/>
    <w:rsid w:val="000F0C43"/>
    <w:rsid w:val="000F13E4"/>
    <w:rsid w:val="000F1CF4"/>
    <w:rsid w:val="000F29C9"/>
    <w:rsid w:val="000F34E4"/>
    <w:rsid w:val="000F35B5"/>
    <w:rsid w:val="000F3F89"/>
    <w:rsid w:val="000F4B14"/>
    <w:rsid w:val="000F4BAD"/>
    <w:rsid w:val="000F55AB"/>
    <w:rsid w:val="000F59DD"/>
    <w:rsid w:val="000F652B"/>
    <w:rsid w:val="000F6688"/>
    <w:rsid w:val="000F6D54"/>
    <w:rsid w:val="000F746D"/>
    <w:rsid w:val="0010008A"/>
    <w:rsid w:val="001005C5"/>
    <w:rsid w:val="00101159"/>
    <w:rsid w:val="00101290"/>
    <w:rsid w:val="00101692"/>
    <w:rsid w:val="00101ED6"/>
    <w:rsid w:val="00102481"/>
    <w:rsid w:val="00102519"/>
    <w:rsid w:val="001025CA"/>
    <w:rsid w:val="00102635"/>
    <w:rsid w:val="001027B6"/>
    <w:rsid w:val="00102A1D"/>
    <w:rsid w:val="00102BF4"/>
    <w:rsid w:val="00103654"/>
    <w:rsid w:val="001038C5"/>
    <w:rsid w:val="00103B3C"/>
    <w:rsid w:val="00103B54"/>
    <w:rsid w:val="00103FC0"/>
    <w:rsid w:val="00104788"/>
    <w:rsid w:val="00105656"/>
    <w:rsid w:val="001058C0"/>
    <w:rsid w:val="00105E2B"/>
    <w:rsid w:val="00105F39"/>
    <w:rsid w:val="001062CF"/>
    <w:rsid w:val="001063F6"/>
    <w:rsid w:val="00106618"/>
    <w:rsid w:val="00106AF1"/>
    <w:rsid w:val="00106CFE"/>
    <w:rsid w:val="001074BE"/>
    <w:rsid w:val="00107EEF"/>
    <w:rsid w:val="00110097"/>
    <w:rsid w:val="001107F5"/>
    <w:rsid w:val="00110C17"/>
    <w:rsid w:val="001124BA"/>
    <w:rsid w:val="001129F7"/>
    <w:rsid w:val="001141EE"/>
    <w:rsid w:val="00114270"/>
    <w:rsid w:val="001147A5"/>
    <w:rsid w:val="00114807"/>
    <w:rsid w:val="0011751F"/>
    <w:rsid w:val="00117E4A"/>
    <w:rsid w:val="0012020A"/>
    <w:rsid w:val="001205CA"/>
    <w:rsid w:val="00120C2D"/>
    <w:rsid w:val="00120DE5"/>
    <w:rsid w:val="00121288"/>
    <w:rsid w:val="00121A45"/>
    <w:rsid w:val="001227D6"/>
    <w:rsid w:val="001227FD"/>
    <w:rsid w:val="00122BD6"/>
    <w:rsid w:val="00122CC9"/>
    <w:rsid w:val="001235EA"/>
    <w:rsid w:val="00125F1D"/>
    <w:rsid w:val="001260C1"/>
    <w:rsid w:val="00126FE9"/>
    <w:rsid w:val="00130494"/>
    <w:rsid w:val="001308BD"/>
    <w:rsid w:val="0013095B"/>
    <w:rsid w:val="001310B4"/>
    <w:rsid w:val="001311DB"/>
    <w:rsid w:val="001312F0"/>
    <w:rsid w:val="001316E4"/>
    <w:rsid w:val="00132974"/>
    <w:rsid w:val="001329EC"/>
    <w:rsid w:val="00132BCA"/>
    <w:rsid w:val="00132F50"/>
    <w:rsid w:val="00133364"/>
    <w:rsid w:val="001333B1"/>
    <w:rsid w:val="00133813"/>
    <w:rsid w:val="00134D0D"/>
    <w:rsid w:val="00135333"/>
    <w:rsid w:val="00136053"/>
    <w:rsid w:val="0013607D"/>
    <w:rsid w:val="00136725"/>
    <w:rsid w:val="00137014"/>
    <w:rsid w:val="00137146"/>
    <w:rsid w:val="001400E3"/>
    <w:rsid w:val="00140894"/>
    <w:rsid w:val="001408B1"/>
    <w:rsid w:val="00140E58"/>
    <w:rsid w:val="001410A9"/>
    <w:rsid w:val="00141B1D"/>
    <w:rsid w:val="00141C87"/>
    <w:rsid w:val="00142A56"/>
    <w:rsid w:val="00142D1F"/>
    <w:rsid w:val="00142F86"/>
    <w:rsid w:val="00143430"/>
    <w:rsid w:val="00144562"/>
    <w:rsid w:val="00144F60"/>
    <w:rsid w:val="00145C3C"/>
    <w:rsid w:val="00145EA9"/>
    <w:rsid w:val="00146422"/>
    <w:rsid w:val="001468C2"/>
    <w:rsid w:val="00146D49"/>
    <w:rsid w:val="00147176"/>
    <w:rsid w:val="001502B2"/>
    <w:rsid w:val="0015036A"/>
    <w:rsid w:val="00150884"/>
    <w:rsid w:val="00150C79"/>
    <w:rsid w:val="00150D7E"/>
    <w:rsid w:val="00150D94"/>
    <w:rsid w:val="001510FF"/>
    <w:rsid w:val="00151CC6"/>
    <w:rsid w:val="00151D2A"/>
    <w:rsid w:val="0015263B"/>
    <w:rsid w:val="001526B2"/>
    <w:rsid w:val="00152789"/>
    <w:rsid w:val="001531E0"/>
    <w:rsid w:val="00153642"/>
    <w:rsid w:val="00153946"/>
    <w:rsid w:val="00154053"/>
    <w:rsid w:val="001540F7"/>
    <w:rsid w:val="00154BDE"/>
    <w:rsid w:val="00154CCB"/>
    <w:rsid w:val="00154E7D"/>
    <w:rsid w:val="0015548F"/>
    <w:rsid w:val="001560A9"/>
    <w:rsid w:val="001561A3"/>
    <w:rsid w:val="00156E17"/>
    <w:rsid w:val="00157974"/>
    <w:rsid w:val="001600BA"/>
    <w:rsid w:val="0016018A"/>
    <w:rsid w:val="00160226"/>
    <w:rsid w:val="0016027A"/>
    <w:rsid w:val="001608C6"/>
    <w:rsid w:val="001608F0"/>
    <w:rsid w:val="00161115"/>
    <w:rsid w:val="0016129F"/>
    <w:rsid w:val="001616CD"/>
    <w:rsid w:val="001623EE"/>
    <w:rsid w:val="001633AC"/>
    <w:rsid w:val="00163BCF"/>
    <w:rsid w:val="00163C46"/>
    <w:rsid w:val="001642C5"/>
    <w:rsid w:val="001645D8"/>
    <w:rsid w:val="001647B6"/>
    <w:rsid w:val="00164C34"/>
    <w:rsid w:val="00166126"/>
    <w:rsid w:val="00166B56"/>
    <w:rsid w:val="00166E60"/>
    <w:rsid w:val="00166F16"/>
    <w:rsid w:val="00166F56"/>
    <w:rsid w:val="00166F70"/>
    <w:rsid w:val="00166FCF"/>
    <w:rsid w:val="0016758F"/>
    <w:rsid w:val="0016792E"/>
    <w:rsid w:val="0017097F"/>
    <w:rsid w:val="00170D34"/>
    <w:rsid w:val="001710E8"/>
    <w:rsid w:val="00171A43"/>
    <w:rsid w:val="0017227E"/>
    <w:rsid w:val="00172555"/>
    <w:rsid w:val="00172A5A"/>
    <w:rsid w:val="00172B21"/>
    <w:rsid w:val="00172C26"/>
    <w:rsid w:val="001735B8"/>
    <w:rsid w:val="00173699"/>
    <w:rsid w:val="001738C2"/>
    <w:rsid w:val="0017567D"/>
    <w:rsid w:val="0017584E"/>
    <w:rsid w:val="001759FF"/>
    <w:rsid w:val="00175B2D"/>
    <w:rsid w:val="00176685"/>
    <w:rsid w:val="00176F5B"/>
    <w:rsid w:val="00177921"/>
    <w:rsid w:val="0018068E"/>
    <w:rsid w:val="00180C61"/>
    <w:rsid w:val="0018176F"/>
    <w:rsid w:val="00181DD5"/>
    <w:rsid w:val="0018228D"/>
    <w:rsid w:val="001824C8"/>
    <w:rsid w:val="00182731"/>
    <w:rsid w:val="001834FC"/>
    <w:rsid w:val="001835B4"/>
    <w:rsid w:val="00183A07"/>
    <w:rsid w:val="00183D6F"/>
    <w:rsid w:val="0018423E"/>
    <w:rsid w:val="001846CE"/>
    <w:rsid w:val="00184DC8"/>
    <w:rsid w:val="00185379"/>
    <w:rsid w:val="0018643A"/>
    <w:rsid w:val="00187E68"/>
    <w:rsid w:val="00190461"/>
    <w:rsid w:val="001907F0"/>
    <w:rsid w:val="00190AE7"/>
    <w:rsid w:val="001916B5"/>
    <w:rsid w:val="00191815"/>
    <w:rsid w:val="00191CC7"/>
    <w:rsid w:val="001920DF"/>
    <w:rsid w:val="00192A88"/>
    <w:rsid w:val="00193901"/>
    <w:rsid w:val="00193CD3"/>
    <w:rsid w:val="00193DD5"/>
    <w:rsid w:val="00194304"/>
    <w:rsid w:val="00194471"/>
    <w:rsid w:val="00194853"/>
    <w:rsid w:val="00194FF3"/>
    <w:rsid w:val="0019538B"/>
    <w:rsid w:val="00195640"/>
    <w:rsid w:val="001956C7"/>
    <w:rsid w:val="00196482"/>
    <w:rsid w:val="00196ECE"/>
    <w:rsid w:val="001978EC"/>
    <w:rsid w:val="00197AA3"/>
    <w:rsid w:val="00197F8D"/>
    <w:rsid w:val="001A0008"/>
    <w:rsid w:val="001A0A57"/>
    <w:rsid w:val="001A0CA3"/>
    <w:rsid w:val="001A0FCF"/>
    <w:rsid w:val="001A23A8"/>
    <w:rsid w:val="001A2531"/>
    <w:rsid w:val="001A2755"/>
    <w:rsid w:val="001A2AE5"/>
    <w:rsid w:val="001A3510"/>
    <w:rsid w:val="001A3A82"/>
    <w:rsid w:val="001A4841"/>
    <w:rsid w:val="001A4B34"/>
    <w:rsid w:val="001A5207"/>
    <w:rsid w:val="001A526E"/>
    <w:rsid w:val="001A566C"/>
    <w:rsid w:val="001A5C15"/>
    <w:rsid w:val="001A60F0"/>
    <w:rsid w:val="001A6397"/>
    <w:rsid w:val="001A6685"/>
    <w:rsid w:val="001A6C4C"/>
    <w:rsid w:val="001A748B"/>
    <w:rsid w:val="001A7BA9"/>
    <w:rsid w:val="001B0269"/>
    <w:rsid w:val="001B02F5"/>
    <w:rsid w:val="001B0651"/>
    <w:rsid w:val="001B082A"/>
    <w:rsid w:val="001B0BB6"/>
    <w:rsid w:val="001B13F9"/>
    <w:rsid w:val="001B2690"/>
    <w:rsid w:val="001B286E"/>
    <w:rsid w:val="001B2E3B"/>
    <w:rsid w:val="001B3A03"/>
    <w:rsid w:val="001B3B19"/>
    <w:rsid w:val="001B3BAB"/>
    <w:rsid w:val="001B3DFC"/>
    <w:rsid w:val="001B4929"/>
    <w:rsid w:val="001B4B5F"/>
    <w:rsid w:val="001B4F7B"/>
    <w:rsid w:val="001B501F"/>
    <w:rsid w:val="001B539B"/>
    <w:rsid w:val="001B5547"/>
    <w:rsid w:val="001B5941"/>
    <w:rsid w:val="001B62B1"/>
    <w:rsid w:val="001B6709"/>
    <w:rsid w:val="001B6A1C"/>
    <w:rsid w:val="001B71F2"/>
    <w:rsid w:val="001C048B"/>
    <w:rsid w:val="001C0DED"/>
    <w:rsid w:val="001C1227"/>
    <w:rsid w:val="001C1572"/>
    <w:rsid w:val="001C1578"/>
    <w:rsid w:val="001C1842"/>
    <w:rsid w:val="001C207B"/>
    <w:rsid w:val="001C237F"/>
    <w:rsid w:val="001C25A0"/>
    <w:rsid w:val="001C31DF"/>
    <w:rsid w:val="001C39E3"/>
    <w:rsid w:val="001C3AB5"/>
    <w:rsid w:val="001C4029"/>
    <w:rsid w:val="001C483E"/>
    <w:rsid w:val="001C4B0B"/>
    <w:rsid w:val="001C57DD"/>
    <w:rsid w:val="001C58C9"/>
    <w:rsid w:val="001C5DF0"/>
    <w:rsid w:val="001C5E0F"/>
    <w:rsid w:val="001C5F8F"/>
    <w:rsid w:val="001C639B"/>
    <w:rsid w:val="001C6F5F"/>
    <w:rsid w:val="001C70A4"/>
    <w:rsid w:val="001C7192"/>
    <w:rsid w:val="001C71BB"/>
    <w:rsid w:val="001C76CC"/>
    <w:rsid w:val="001D12D6"/>
    <w:rsid w:val="001D155D"/>
    <w:rsid w:val="001D2537"/>
    <w:rsid w:val="001D3593"/>
    <w:rsid w:val="001D4423"/>
    <w:rsid w:val="001D4BB1"/>
    <w:rsid w:val="001D4F99"/>
    <w:rsid w:val="001D5D60"/>
    <w:rsid w:val="001D6A7A"/>
    <w:rsid w:val="001D7259"/>
    <w:rsid w:val="001D75B4"/>
    <w:rsid w:val="001D78E9"/>
    <w:rsid w:val="001D7F3F"/>
    <w:rsid w:val="001E0636"/>
    <w:rsid w:val="001E06FB"/>
    <w:rsid w:val="001E0775"/>
    <w:rsid w:val="001E1361"/>
    <w:rsid w:val="001E183D"/>
    <w:rsid w:val="001E19A3"/>
    <w:rsid w:val="001E1E53"/>
    <w:rsid w:val="001E20C3"/>
    <w:rsid w:val="001E21EC"/>
    <w:rsid w:val="001E23A6"/>
    <w:rsid w:val="001E2890"/>
    <w:rsid w:val="001E2A32"/>
    <w:rsid w:val="001E2A4B"/>
    <w:rsid w:val="001E2E9C"/>
    <w:rsid w:val="001E2EDA"/>
    <w:rsid w:val="001E338D"/>
    <w:rsid w:val="001E3BB4"/>
    <w:rsid w:val="001E4133"/>
    <w:rsid w:val="001E4140"/>
    <w:rsid w:val="001E4180"/>
    <w:rsid w:val="001E43A2"/>
    <w:rsid w:val="001E442E"/>
    <w:rsid w:val="001E4A6C"/>
    <w:rsid w:val="001E515A"/>
    <w:rsid w:val="001E557C"/>
    <w:rsid w:val="001E56D2"/>
    <w:rsid w:val="001E5721"/>
    <w:rsid w:val="001E5943"/>
    <w:rsid w:val="001E5E57"/>
    <w:rsid w:val="001E6092"/>
    <w:rsid w:val="001E64A7"/>
    <w:rsid w:val="001E684B"/>
    <w:rsid w:val="001E7A4D"/>
    <w:rsid w:val="001E7E53"/>
    <w:rsid w:val="001F019B"/>
    <w:rsid w:val="001F027F"/>
    <w:rsid w:val="001F0A85"/>
    <w:rsid w:val="001F1AE0"/>
    <w:rsid w:val="001F2260"/>
    <w:rsid w:val="001F25C1"/>
    <w:rsid w:val="001F3684"/>
    <w:rsid w:val="001F3FF0"/>
    <w:rsid w:val="001F42E4"/>
    <w:rsid w:val="001F42FD"/>
    <w:rsid w:val="001F4C08"/>
    <w:rsid w:val="001F5485"/>
    <w:rsid w:val="001F6064"/>
    <w:rsid w:val="001F60DA"/>
    <w:rsid w:val="001F62D3"/>
    <w:rsid w:val="001F6594"/>
    <w:rsid w:val="001F6AEC"/>
    <w:rsid w:val="001F6F6A"/>
    <w:rsid w:val="001F793B"/>
    <w:rsid w:val="001F7E31"/>
    <w:rsid w:val="0020039A"/>
    <w:rsid w:val="0020070C"/>
    <w:rsid w:val="00200846"/>
    <w:rsid w:val="00200CF7"/>
    <w:rsid w:val="00200E0D"/>
    <w:rsid w:val="00201008"/>
    <w:rsid w:val="002012C1"/>
    <w:rsid w:val="00201781"/>
    <w:rsid w:val="00201CA9"/>
    <w:rsid w:val="00202026"/>
    <w:rsid w:val="002021B9"/>
    <w:rsid w:val="002025A0"/>
    <w:rsid w:val="00202E30"/>
    <w:rsid w:val="002032D7"/>
    <w:rsid w:val="00203456"/>
    <w:rsid w:val="002049E0"/>
    <w:rsid w:val="00205359"/>
    <w:rsid w:val="0020595B"/>
    <w:rsid w:val="002059E6"/>
    <w:rsid w:val="002060FD"/>
    <w:rsid w:val="0020680E"/>
    <w:rsid w:val="00206845"/>
    <w:rsid w:val="0020777A"/>
    <w:rsid w:val="00207945"/>
    <w:rsid w:val="002101A1"/>
    <w:rsid w:val="002103B0"/>
    <w:rsid w:val="0021108E"/>
    <w:rsid w:val="00211241"/>
    <w:rsid w:val="00213930"/>
    <w:rsid w:val="00213BDA"/>
    <w:rsid w:val="002142AE"/>
    <w:rsid w:val="00214C6B"/>
    <w:rsid w:val="002154B6"/>
    <w:rsid w:val="00216F2E"/>
    <w:rsid w:val="002174A2"/>
    <w:rsid w:val="00217E7F"/>
    <w:rsid w:val="00220DB0"/>
    <w:rsid w:val="00221008"/>
    <w:rsid w:val="002218A7"/>
    <w:rsid w:val="00221A7F"/>
    <w:rsid w:val="00222320"/>
    <w:rsid w:val="0022240E"/>
    <w:rsid w:val="00222F3C"/>
    <w:rsid w:val="00223685"/>
    <w:rsid w:val="002238E8"/>
    <w:rsid w:val="00223972"/>
    <w:rsid w:val="00223AE0"/>
    <w:rsid w:val="00224029"/>
    <w:rsid w:val="00224432"/>
    <w:rsid w:val="00224ACE"/>
    <w:rsid w:val="00225497"/>
    <w:rsid w:val="0022564C"/>
    <w:rsid w:val="002259D9"/>
    <w:rsid w:val="00225D72"/>
    <w:rsid w:val="002273C1"/>
    <w:rsid w:val="00227EEE"/>
    <w:rsid w:val="00230075"/>
    <w:rsid w:val="0023152E"/>
    <w:rsid w:val="0023269D"/>
    <w:rsid w:val="0023290D"/>
    <w:rsid w:val="00232C67"/>
    <w:rsid w:val="00232F1C"/>
    <w:rsid w:val="0023336E"/>
    <w:rsid w:val="00233408"/>
    <w:rsid w:val="00233410"/>
    <w:rsid w:val="002339FB"/>
    <w:rsid w:val="00233BE4"/>
    <w:rsid w:val="00233D35"/>
    <w:rsid w:val="0023436B"/>
    <w:rsid w:val="002345E9"/>
    <w:rsid w:val="00234A5C"/>
    <w:rsid w:val="002359DD"/>
    <w:rsid w:val="00235FA5"/>
    <w:rsid w:val="0023624F"/>
    <w:rsid w:val="00236C4D"/>
    <w:rsid w:val="0023706D"/>
    <w:rsid w:val="002373A9"/>
    <w:rsid w:val="0024012F"/>
    <w:rsid w:val="002403A3"/>
    <w:rsid w:val="00240783"/>
    <w:rsid w:val="00240A28"/>
    <w:rsid w:val="002415E3"/>
    <w:rsid w:val="00242C8F"/>
    <w:rsid w:val="002430E5"/>
    <w:rsid w:val="00243992"/>
    <w:rsid w:val="002439D0"/>
    <w:rsid w:val="00243B67"/>
    <w:rsid w:val="00244281"/>
    <w:rsid w:val="002446E6"/>
    <w:rsid w:val="0024584D"/>
    <w:rsid w:val="00245C6C"/>
    <w:rsid w:val="00245E92"/>
    <w:rsid w:val="00246221"/>
    <w:rsid w:val="002464BD"/>
    <w:rsid w:val="002467BB"/>
    <w:rsid w:val="002468BB"/>
    <w:rsid w:val="00246B5E"/>
    <w:rsid w:val="00246F55"/>
    <w:rsid w:val="00246F5C"/>
    <w:rsid w:val="002471D4"/>
    <w:rsid w:val="00247683"/>
    <w:rsid w:val="00247B4B"/>
    <w:rsid w:val="00250085"/>
    <w:rsid w:val="00250775"/>
    <w:rsid w:val="00250992"/>
    <w:rsid w:val="0025143F"/>
    <w:rsid w:val="00251DB6"/>
    <w:rsid w:val="00251DEF"/>
    <w:rsid w:val="002528F7"/>
    <w:rsid w:val="00252DB5"/>
    <w:rsid w:val="00252F60"/>
    <w:rsid w:val="002531F0"/>
    <w:rsid w:val="00253240"/>
    <w:rsid w:val="0025369C"/>
    <w:rsid w:val="002543BD"/>
    <w:rsid w:val="00254674"/>
    <w:rsid w:val="00254C89"/>
    <w:rsid w:val="00255B9F"/>
    <w:rsid w:val="002564F7"/>
    <w:rsid w:val="002567F6"/>
    <w:rsid w:val="002611C1"/>
    <w:rsid w:val="002617F7"/>
    <w:rsid w:val="00261FB0"/>
    <w:rsid w:val="002631DB"/>
    <w:rsid w:val="00263326"/>
    <w:rsid w:val="00263B31"/>
    <w:rsid w:val="00263C5A"/>
    <w:rsid w:val="00263EBD"/>
    <w:rsid w:val="0026403E"/>
    <w:rsid w:val="00264743"/>
    <w:rsid w:val="00264877"/>
    <w:rsid w:val="00264887"/>
    <w:rsid w:val="00264B5C"/>
    <w:rsid w:val="00264ED7"/>
    <w:rsid w:val="00265EBD"/>
    <w:rsid w:val="002661D3"/>
    <w:rsid w:val="0026639A"/>
    <w:rsid w:val="002676D2"/>
    <w:rsid w:val="00267DF3"/>
    <w:rsid w:val="00267EC7"/>
    <w:rsid w:val="002715D8"/>
    <w:rsid w:val="0027167E"/>
    <w:rsid w:val="00271DC5"/>
    <w:rsid w:val="00272B5C"/>
    <w:rsid w:val="0027329C"/>
    <w:rsid w:val="0027332B"/>
    <w:rsid w:val="002733A0"/>
    <w:rsid w:val="00273A81"/>
    <w:rsid w:val="00273E96"/>
    <w:rsid w:val="00274472"/>
    <w:rsid w:val="00274678"/>
    <w:rsid w:val="00274B6B"/>
    <w:rsid w:val="002751B7"/>
    <w:rsid w:val="002751E3"/>
    <w:rsid w:val="002754EE"/>
    <w:rsid w:val="00275FC0"/>
    <w:rsid w:val="00276A9C"/>
    <w:rsid w:val="00276C82"/>
    <w:rsid w:val="00277370"/>
    <w:rsid w:val="002776A8"/>
    <w:rsid w:val="00280D2D"/>
    <w:rsid w:val="00280D3D"/>
    <w:rsid w:val="0028181B"/>
    <w:rsid w:val="0028198F"/>
    <w:rsid w:val="00281E0F"/>
    <w:rsid w:val="0028269B"/>
    <w:rsid w:val="00282B6A"/>
    <w:rsid w:val="0028312F"/>
    <w:rsid w:val="00283510"/>
    <w:rsid w:val="002835BA"/>
    <w:rsid w:val="00284238"/>
    <w:rsid w:val="00285FBE"/>
    <w:rsid w:val="00286520"/>
    <w:rsid w:val="0028697B"/>
    <w:rsid w:val="00286D62"/>
    <w:rsid w:val="00287598"/>
    <w:rsid w:val="00290176"/>
    <w:rsid w:val="00290A96"/>
    <w:rsid w:val="00290BAB"/>
    <w:rsid w:val="002911F3"/>
    <w:rsid w:val="00291455"/>
    <w:rsid w:val="00291462"/>
    <w:rsid w:val="0029159F"/>
    <w:rsid w:val="00292B56"/>
    <w:rsid w:val="002935AC"/>
    <w:rsid w:val="00293A29"/>
    <w:rsid w:val="0029435D"/>
    <w:rsid w:val="002947C3"/>
    <w:rsid w:val="00294880"/>
    <w:rsid w:val="002950A7"/>
    <w:rsid w:val="002958AE"/>
    <w:rsid w:val="00295BA9"/>
    <w:rsid w:val="0029654E"/>
    <w:rsid w:val="00296F38"/>
    <w:rsid w:val="00297B19"/>
    <w:rsid w:val="002A0491"/>
    <w:rsid w:val="002A0C47"/>
    <w:rsid w:val="002A3B4C"/>
    <w:rsid w:val="002A3E3C"/>
    <w:rsid w:val="002A4269"/>
    <w:rsid w:val="002A4405"/>
    <w:rsid w:val="002A4433"/>
    <w:rsid w:val="002A5DF6"/>
    <w:rsid w:val="002A66D2"/>
    <w:rsid w:val="002A66ED"/>
    <w:rsid w:val="002A6F89"/>
    <w:rsid w:val="002A727E"/>
    <w:rsid w:val="002B0B5C"/>
    <w:rsid w:val="002B1943"/>
    <w:rsid w:val="002B1FDE"/>
    <w:rsid w:val="002B20FE"/>
    <w:rsid w:val="002B26D0"/>
    <w:rsid w:val="002B312C"/>
    <w:rsid w:val="002B3649"/>
    <w:rsid w:val="002B3DCB"/>
    <w:rsid w:val="002B3ECC"/>
    <w:rsid w:val="002B44A6"/>
    <w:rsid w:val="002B44B9"/>
    <w:rsid w:val="002B4690"/>
    <w:rsid w:val="002B4D6E"/>
    <w:rsid w:val="002B5A29"/>
    <w:rsid w:val="002B5A73"/>
    <w:rsid w:val="002B604E"/>
    <w:rsid w:val="002B60C5"/>
    <w:rsid w:val="002B625E"/>
    <w:rsid w:val="002B659C"/>
    <w:rsid w:val="002B6E33"/>
    <w:rsid w:val="002B6F44"/>
    <w:rsid w:val="002B7060"/>
    <w:rsid w:val="002C0726"/>
    <w:rsid w:val="002C111D"/>
    <w:rsid w:val="002C11A3"/>
    <w:rsid w:val="002C195B"/>
    <w:rsid w:val="002C1C1D"/>
    <w:rsid w:val="002C213F"/>
    <w:rsid w:val="002C2483"/>
    <w:rsid w:val="002C24D5"/>
    <w:rsid w:val="002C2E7C"/>
    <w:rsid w:val="002C334C"/>
    <w:rsid w:val="002C33E5"/>
    <w:rsid w:val="002C37DC"/>
    <w:rsid w:val="002C38D3"/>
    <w:rsid w:val="002C3996"/>
    <w:rsid w:val="002C3BE9"/>
    <w:rsid w:val="002C45F8"/>
    <w:rsid w:val="002C47CC"/>
    <w:rsid w:val="002C48C6"/>
    <w:rsid w:val="002C4DD9"/>
    <w:rsid w:val="002C510B"/>
    <w:rsid w:val="002C53B9"/>
    <w:rsid w:val="002C5805"/>
    <w:rsid w:val="002C5B55"/>
    <w:rsid w:val="002C5C59"/>
    <w:rsid w:val="002C5F2D"/>
    <w:rsid w:val="002C60DC"/>
    <w:rsid w:val="002C62B0"/>
    <w:rsid w:val="002C6325"/>
    <w:rsid w:val="002C7D7B"/>
    <w:rsid w:val="002D018B"/>
    <w:rsid w:val="002D086B"/>
    <w:rsid w:val="002D0D66"/>
    <w:rsid w:val="002D23A5"/>
    <w:rsid w:val="002D2939"/>
    <w:rsid w:val="002D2E14"/>
    <w:rsid w:val="002D4286"/>
    <w:rsid w:val="002D5531"/>
    <w:rsid w:val="002D5827"/>
    <w:rsid w:val="002D59AC"/>
    <w:rsid w:val="002D59F1"/>
    <w:rsid w:val="002D5E6B"/>
    <w:rsid w:val="002D615D"/>
    <w:rsid w:val="002D68CA"/>
    <w:rsid w:val="002D728B"/>
    <w:rsid w:val="002D7C72"/>
    <w:rsid w:val="002D7CD3"/>
    <w:rsid w:val="002E0358"/>
    <w:rsid w:val="002E03EF"/>
    <w:rsid w:val="002E1101"/>
    <w:rsid w:val="002E1742"/>
    <w:rsid w:val="002E19D1"/>
    <w:rsid w:val="002E1EEC"/>
    <w:rsid w:val="002E212E"/>
    <w:rsid w:val="002E2C70"/>
    <w:rsid w:val="002E305D"/>
    <w:rsid w:val="002E35B8"/>
    <w:rsid w:val="002E429A"/>
    <w:rsid w:val="002E484D"/>
    <w:rsid w:val="002E555A"/>
    <w:rsid w:val="002E6550"/>
    <w:rsid w:val="002E692C"/>
    <w:rsid w:val="002E6F5A"/>
    <w:rsid w:val="002E76B3"/>
    <w:rsid w:val="002E7B29"/>
    <w:rsid w:val="002E7D62"/>
    <w:rsid w:val="002F006C"/>
    <w:rsid w:val="002F12FB"/>
    <w:rsid w:val="002F133C"/>
    <w:rsid w:val="002F1A4A"/>
    <w:rsid w:val="002F1C4C"/>
    <w:rsid w:val="002F203B"/>
    <w:rsid w:val="002F21BC"/>
    <w:rsid w:val="002F2D5C"/>
    <w:rsid w:val="002F3BFF"/>
    <w:rsid w:val="002F4414"/>
    <w:rsid w:val="002F472B"/>
    <w:rsid w:val="002F50F0"/>
    <w:rsid w:val="002F51DC"/>
    <w:rsid w:val="002F5D20"/>
    <w:rsid w:val="002F631C"/>
    <w:rsid w:val="002F7496"/>
    <w:rsid w:val="002F7F73"/>
    <w:rsid w:val="002F7FBF"/>
    <w:rsid w:val="003007C8"/>
    <w:rsid w:val="00300B97"/>
    <w:rsid w:val="00300D02"/>
    <w:rsid w:val="00301C50"/>
    <w:rsid w:val="00301F46"/>
    <w:rsid w:val="003020A0"/>
    <w:rsid w:val="003020E6"/>
    <w:rsid w:val="003023FF"/>
    <w:rsid w:val="003028BD"/>
    <w:rsid w:val="003028EA"/>
    <w:rsid w:val="00302DAA"/>
    <w:rsid w:val="00303C71"/>
    <w:rsid w:val="0030415F"/>
    <w:rsid w:val="003042D4"/>
    <w:rsid w:val="0030486D"/>
    <w:rsid w:val="0030501E"/>
    <w:rsid w:val="00305273"/>
    <w:rsid w:val="003055B9"/>
    <w:rsid w:val="0030566D"/>
    <w:rsid w:val="003056D2"/>
    <w:rsid w:val="00305C30"/>
    <w:rsid w:val="00306011"/>
    <w:rsid w:val="003066CA"/>
    <w:rsid w:val="00306D86"/>
    <w:rsid w:val="00307BD4"/>
    <w:rsid w:val="0031007A"/>
    <w:rsid w:val="00310C4C"/>
    <w:rsid w:val="003110B7"/>
    <w:rsid w:val="0031232D"/>
    <w:rsid w:val="0031240A"/>
    <w:rsid w:val="00312967"/>
    <w:rsid w:val="003130B8"/>
    <w:rsid w:val="003131B7"/>
    <w:rsid w:val="0031350C"/>
    <w:rsid w:val="003139CB"/>
    <w:rsid w:val="00313A35"/>
    <w:rsid w:val="00314153"/>
    <w:rsid w:val="00314A94"/>
    <w:rsid w:val="00314AE8"/>
    <w:rsid w:val="0031508F"/>
    <w:rsid w:val="003151C8"/>
    <w:rsid w:val="003155B3"/>
    <w:rsid w:val="00315BFD"/>
    <w:rsid w:val="00316149"/>
    <w:rsid w:val="00316755"/>
    <w:rsid w:val="0031749C"/>
    <w:rsid w:val="003175A6"/>
    <w:rsid w:val="0031772A"/>
    <w:rsid w:val="00317822"/>
    <w:rsid w:val="00317DB3"/>
    <w:rsid w:val="00317E08"/>
    <w:rsid w:val="0032029F"/>
    <w:rsid w:val="003202D8"/>
    <w:rsid w:val="0032069E"/>
    <w:rsid w:val="00320951"/>
    <w:rsid w:val="00320CC0"/>
    <w:rsid w:val="003213C0"/>
    <w:rsid w:val="00322612"/>
    <w:rsid w:val="003227A5"/>
    <w:rsid w:val="00322B5D"/>
    <w:rsid w:val="00322F78"/>
    <w:rsid w:val="0032351B"/>
    <w:rsid w:val="00323576"/>
    <w:rsid w:val="00323595"/>
    <w:rsid w:val="003236E7"/>
    <w:rsid w:val="00323EBE"/>
    <w:rsid w:val="0032442A"/>
    <w:rsid w:val="00324A9E"/>
    <w:rsid w:val="00324B45"/>
    <w:rsid w:val="00324D4F"/>
    <w:rsid w:val="0032533E"/>
    <w:rsid w:val="0032570B"/>
    <w:rsid w:val="003277DC"/>
    <w:rsid w:val="00327D3A"/>
    <w:rsid w:val="00327E23"/>
    <w:rsid w:val="003307E9"/>
    <w:rsid w:val="00331035"/>
    <w:rsid w:val="003313E7"/>
    <w:rsid w:val="00331827"/>
    <w:rsid w:val="00331D77"/>
    <w:rsid w:val="003320E3"/>
    <w:rsid w:val="00332435"/>
    <w:rsid w:val="00332F62"/>
    <w:rsid w:val="003336EC"/>
    <w:rsid w:val="00333AED"/>
    <w:rsid w:val="003342B6"/>
    <w:rsid w:val="00334B4D"/>
    <w:rsid w:val="00334EF7"/>
    <w:rsid w:val="00335A84"/>
    <w:rsid w:val="00335AAC"/>
    <w:rsid w:val="00335AC0"/>
    <w:rsid w:val="00335C65"/>
    <w:rsid w:val="00337161"/>
    <w:rsid w:val="0033747A"/>
    <w:rsid w:val="00337D96"/>
    <w:rsid w:val="00337FAA"/>
    <w:rsid w:val="00337FF8"/>
    <w:rsid w:val="003402E7"/>
    <w:rsid w:val="00340688"/>
    <w:rsid w:val="00340A3A"/>
    <w:rsid w:val="003417FF"/>
    <w:rsid w:val="003422F4"/>
    <w:rsid w:val="00342BD7"/>
    <w:rsid w:val="00342CE4"/>
    <w:rsid w:val="00343FC2"/>
    <w:rsid w:val="003450B3"/>
    <w:rsid w:val="003453C7"/>
    <w:rsid w:val="003453F7"/>
    <w:rsid w:val="003461FF"/>
    <w:rsid w:val="00346355"/>
    <w:rsid w:val="00346C14"/>
    <w:rsid w:val="00346D31"/>
    <w:rsid w:val="00346E3D"/>
    <w:rsid w:val="00346FB0"/>
    <w:rsid w:val="0034725D"/>
    <w:rsid w:val="00347675"/>
    <w:rsid w:val="0034787A"/>
    <w:rsid w:val="00347A42"/>
    <w:rsid w:val="00350662"/>
    <w:rsid w:val="003508F7"/>
    <w:rsid w:val="00350E39"/>
    <w:rsid w:val="00352EAD"/>
    <w:rsid w:val="00353149"/>
    <w:rsid w:val="00353560"/>
    <w:rsid w:val="00353B1C"/>
    <w:rsid w:val="00353B9F"/>
    <w:rsid w:val="00354FE3"/>
    <w:rsid w:val="0035533A"/>
    <w:rsid w:val="00355E08"/>
    <w:rsid w:val="003563C4"/>
    <w:rsid w:val="0035693E"/>
    <w:rsid w:val="00357F47"/>
    <w:rsid w:val="0036086E"/>
    <w:rsid w:val="003608C8"/>
    <w:rsid w:val="00361356"/>
    <w:rsid w:val="0036146D"/>
    <w:rsid w:val="003614EE"/>
    <w:rsid w:val="00361797"/>
    <w:rsid w:val="00361AB6"/>
    <w:rsid w:val="003624CA"/>
    <w:rsid w:val="0036260B"/>
    <w:rsid w:val="00362E24"/>
    <w:rsid w:val="003631F8"/>
    <w:rsid w:val="00363641"/>
    <w:rsid w:val="00363B55"/>
    <w:rsid w:val="00363FE9"/>
    <w:rsid w:val="003661F4"/>
    <w:rsid w:val="00366D77"/>
    <w:rsid w:val="00366E18"/>
    <w:rsid w:val="003673E5"/>
    <w:rsid w:val="0036774A"/>
    <w:rsid w:val="00367C99"/>
    <w:rsid w:val="00367E71"/>
    <w:rsid w:val="00370601"/>
    <w:rsid w:val="0037114B"/>
    <w:rsid w:val="003715F1"/>
    <w:rsid w:val="00372036"/>
    <w:rsid w:val="0037203E"/>
    <w:rsid w:val="00372198"/>
    <w:rsid w:val="00372737"/>
    <w:rsid w:val="00372D90"/>
    <w:rsid w:val="00373956"/>
    <w:rsid w:val="00374AB2"/>
    <w:rsid w:val="003758ED"/>
    <w:rsid w:val="00375B0D"/>
    <w:rsid w:val="00375BF6"/>
    <w:rsid w:val="00375E7C"/>
    <w:rsid w:val="00375F7B"/>
    <w:rsid w:val="003763BD"/>
    <w:rsid w:val="0037703B"/>
    <w:rsid w:val="003771DF"/>
    <w:rsid w:val="00377B77"/>
    <w:rsid w:val="00377D15"/>
    <w:rsid w:val="00380604"/>
    <w:rsid w:val="00380815"/>
    <w:rsid w:val="003809EE"/>
    <w:rsid w:val="003817CE"/>
    <w:rsid w:val="0038196D"/>
    <w:rsid w:val="00381FF2"/>
    <w:rsid w:val="00382381"/>
    <w:rsid w:val="00382563"/>
    <w:rsid w:val="003829D2"/>
    <w:rsid w:val="00383078"/>
    <w:rsid w:val="00383571"/>
    <w:rsid w:val="0038360F"/>
    <w:rsid w:val="003838C2"/>
    <w:rsid w:val="0038395A"/>
    <w:rsid w:val="003840A3"/>
    <w:rsid w:val="00384107"/>
    <w:rsid w:val="00384499"/>
    <w:rsid w:val="00384B39"/>
    <w:rsid w:val="00384D10"/>
    <w:rsid w:val="00384D60"/>
    <w:rsid w:val="00384F4E"/>
    <w:rsid w:val="00385396"/>
    <w:rsid w:val="0038562F"/>
    <w:rsid w:val="00386761"/>
    <w:rsid w:val="00386CD6"/>
    <w:rsid w:val="00386FC5"/>
    <w:rsid w:val="00387064"/>
    <w:rsid w:val="003873B7"/>
    <w:rsid w:val="0038778F"/>
    <w:rsid w:val="003878CA"/>
    <w:rsid w:val="00387B6A"/>
    <w:rsid w:val="0039042B"/>
    <w:rsid w:val="003907E9"/>
    <w:rsid w:val="00390D23"/>
    <w:rsid w:val="00390D8A"/>
    <w:rsid w:val="003919E0"/>
    <w:rsid w:val="00391E0C"/>
    <w:rsid w:val="00392544"/>
    <w:rsid w:val="00392671"/>
    <w:rsid w:val="00392FA8"/>
    <w:rsid w:val="0039328B"/>
    <w:rsid w:val="00393991"/>
    <w:rsid w:val="00393DD4"/>
    <w:rsid w:val="00394839"/>
    <w:rsid w:val="00394E14"/>
    <w:rsid w:val="003957C7"/>
    <w:rsid w:val="0039681D"/>
    <w:rsid w:val="00396AEE"/>
    <w:rsid w:val="00396E83"/>
    <w:rsid w:val="0039707C"/>
    <w:rsid w:val="0039762B"/>
    <w:rsid w:val="003A023E"/>
    <w:rsid w:val="003A06CB"/>
    <w:rsid w:val="003A0835"/>
    <w:rsid w:val="003A1711"/>
    <w:rsid w:val="003A1A64"/>
    <w:rsid w:val="003A1EA9"/>
    <w:rsid w:val="003A30FE"/>
    <w:rsid w:val="003A3655"/>
    <w:rsid w:val="003A3C9E"/>
    <w:rsid w:val="003A483B"/>
    <w:rsid w:val="003A4AA9"/>
    <w:rsid w:val="003A4D68"/>
    <w:rsid w:val="003A4F4D"/>
    <w:rsid w:val="003A50C3"/>
    <w:rsid w:val="003A5477"/>
    <w:rsid w:val="003A5DF1"/>
    <w:rsid w:val="003A6F67"/>
    <w:rsid w:val="003A6FA1"/>
    <w:rsid w:val="003B0001"/>
    <w:rsid w:val="003B0482"/>
    <w:rsid w:val="003B082B"/>
    <w:rsid w:val="003B16DF"/>
    <w:rsid w:val="003B361C"/>
    <w:rsid w:val="003B4B0D"/>
    <w:rsid w:val="003B4C02"/>
    <w:rsid w:val="003B4EBF"/>
    <w:rsid w:val="003B5782"/>
    <w:rsid w:val="003B5918"/>
    <w:rsid w:val="003B7166"/>
    <w:rsid w:val="003B71DC"/>
    <w:rsid w:val="003B7620"/>
    <w:rsid w:val="003B7D95"/>
    <w:rsid w:val="003C065B"/>
    <w:rsid w:val="003C06EB"/>
    <w:rsid w:val="003C0B4D"/>
    <w:rsid w:val="003C11A2"/>
    <w:rsid w:val="003C1318"/>
    <w:rsid w:val="003C1505"/>
    <w:rsid w:val="003C2375"/>
    <w:rsid w:val="003C2579"/>
    <w:rsid w:val="003C33BF"/>
    <w:rsid w:val="003C3C56"/>
    <w:rsid w:val="003C3C96"/>
    <w:rsid w:val="003C3DD9"/>
    <w:rsid w:val="003C40BA"/>
    <w:rsid w:val="003C5E0C"/>
    <w:rsid w:val="003C7483"/>
    <w:rsid w:val="003C7621"/>
    <w:rsid w:val="003C7A77"/>
    <w:rsid w:val="003C7AB7"/>
    <w:rsid w:val="003D0369"/>
    <w:rsid w:val="003D1237"/>
    <w:rsid w:val="003D14FE"/>
    <w:rsid w:val="003D1B1A"/>
    <w:rsid w:val="003D1DAA"/>
    <w:rsid w:val="003D2021"/>
    <w:rsid w:val="003D24BE"/>
    <w:rsid w:val="003D29CA"/>
    <w:rsid w:val="003D2F80"/>
    <w:rsid w:val="003D2FAE"/>
    <w:rsid w:val="003D30E0"/>
    <w:rsid w:val="003D3D52"/>
    <w:rsid w:val="003D45D8"/>
    <w:rsid w:val="003D4875"/>
    <w:rsid w:val="003D4AE5"/>
    <w:rsid w:val="003D4B93"/>
    <w:rsid w:val="003D52CA"/>
    <w:rsid w:val="003D5D1F"/>
    <w:rsid w:val="003D63EC"/>
    <w:rsid w:val="003D6488"/>
    <w:rsid w:val="003D6E73"/>
    <w:rsid w:val="003D789E"/>
    <w:rsid w:val="003D7AEE"/>
    <w:rsid w:val="003D7F51"/>
    <w:rsid w:val="003E00DA"/>
    <w:rsid w:val="003E0775"/>
    <w:rsid w:val="003E423E"/>
    <w:rsid w:val="003E458E"/>
    <w:rsid w:val="003E4608"/>
    <w:rsid w:val="003E46BD"/>
    <w:rsid w:val="003E46F6"/>
    <w:rsid w:val="003E49C6"/>
    <w:rsid w:val="003E4CF5"/>
    <w:rsid w:val="003E57AE"/>
    <w:rsid w:val="003E59FB"/>
    <w:rsid w:val="003E69F0"/>
    <w:rsid w:val="003E70D1"/>
    <w:rsid w:val="003E74CB"/>
    <w:rsid w:val="003E77D6"/>
    <w:rsid w:val="003E7957"/>
    <w:rsid w:val="003E7BFB"/>
    <w:rsid w:val="003F02B5"/>
    <w:rsid w:val="003F0A6B"/>
    <w:rsid w:val="003F0D75"/>
    <w:rsid w:val="003F0D92"/>
    <w:rsid w:val="003F216D"/>
    <w:rsid w:val="003F2298"/>
    <w:rsid w:val="003F2689"/>
    <w:rsid w:val="003F28E5"/>
    <w:rsid w:val="003F28E8"/>
    <w:rsid w:val="003F2B88"/>
    <w:rsid w:val="003F2DA3"/>
    <w:rsid w:val="003F2F5C"/>
    <w:rsid w:val="003F2FDA"/>
    <w:rsid w:val="003F3238"/>
    <w:rsid w:val="003F39E0"/>
    <w:rsid w:val="003F41EC"/>
    <w:rsid w:val="003F42CF"/>
    <w:rsid w:val="003F463D"/>
    <w:rsid w:val="003F4891"/>
    <w:rsid w:val="003F5288"/>
    <w:rsid w:val="003F54CC"/>
    <w:rsid w:val="003F5A80"/>
    <w:rsid w:val="003F5F46"/>
    <w:rsid w:val="003F604D"/>
    <w:rsid w:val="003F6316"/>
    <w:rsid w:val="003F635D"/>
    <w:rsid w:val="003F6FE9"/>
    <w:rsid w:val="003F705A"/>
    <w:rsid w:val="003F77DA"/>
    <w:rsid w:val="003F7981"/>
    <w:rsid w:val="00400170"/>
    <w:rsid w:val="00400E5F"/>
    <w:rsid w:val="00401021"/>
    <w:rsid w:val="004014AF"/>
    <w:rsid w:val="00402178"/>
    <w:rsid w:val="004022C0"/>
    <w:rsid w:val="0040232E"/>
    <w:rsid w:val="0040240C"/>
    <w:rsid w:val="00402678"/>
    <w:rsid w:val="004031FF"/>
    <w:rsid w:val="00403A91"/>
    <w:rsid w:val="0040404A"/>
    <w:rsid w:val="004048A8"/>
    <w:rsid w:val="00404DCD"/>
    <w:rsid w:val="004063E0"/>
    <w:rsid w:val="004074C4"/>
    <w:rsid w:val="00407724"/>
    <w:rsid w:val="004078D3"/>
    <w:rsid w:val="00407A34"/>
    <w:rsid w:val="00407A71"/>
    <w:rsid w:val="00407AED"/>
    <w:rsid w:val="00407D89"/>
    <w:rsid w:val="004100B7"/>
    <w:rsid w:val="00410C88"/>
    <w:rsid w:val="00410F20"/>
    <w:rsid w:val="00410FA2"/>
    <w:rsid w:val="0041187E"/>
    <w:rsid w:val="0041245F"/>
    <w:rsid w:val="0041290D"/>
    <w:rsid w:val="00412ABE"/>
    <w:rsid w:val="004131F2"/>
    <w:rsid w:val="00413629"/>
    <w:rsid w:val="00414A18"/>
    <w:rsid w:val="00414D72"/>
    <w:rsid w:val="00414F92"/>
    <w:rsid w:val="00415ABD"/>
    <w:rsid w:val="00415D8C"/>
    <w:rsid w:val="004163BB"/>
    <w:rsid w:val="00416B12"/>
    <w:rsid w:val="0041703E"/>
    <w:rsid w:val="00417478"/>
    <w:rsid w:val="004201F0"/>
    <w:rsid w:val="004203C4"/>
    <w:rsid w:val="00420754"/>
    <w:rsid w:val="00420D86"/>
    <w:rsid w:val="00420F7C"/>
    <w:rsid w:val="00420F90"/>
    <w:rsid w:val="00421012"/>
    <w:rsid w:val="00422EFD"/>
    <w:rsid w:val="00424DB3"/>
    <w:rsid w:val="0042573B"/>
    <w:rsid w:val="004267A7"/>
    <w:rsid w:val="00426973"/>
    <w:rsid w:val="00426E5B"/>
    <w:rsid w:val="004272D0"/>
    <w:rsid w:val="00427378"/>
    <w:rsid w:val="00427B08"/>
    <w:rsid w:val="00427B3D"/>
    <w:rsid w:val="0043062A"/>
    <w:rsid w:val="0043095C"/>
    <w:rsid w:val="00431844"/>
    <w:rsid w:val="00431A53"/>
    <w:rsid w:val="00431F27"/>
    <w:rsid w:val="004322BB"/>
    <w:rsid w:val="00432658"/>
    <w:rsid w:val="004337E2"/>
    <w:rsid w:val="00433A86"/>
    <w:rsid w:val="00433AB7"/>
    <w:rsid w:val="00433F4E"/>
    <w:rsid w:val="0043434A"/>
    <w:rsid w:val="0043576D"/>
    <w:rsid w:val="00436DE3"/>
    <w:rsid w:val="00436E2D"/>
    <w:rsid w:val="004372CF"/>
    <w:rsid w:val="00437A5D"/>
    <w:rsid w:val="00437C5C"/>
    <w:rsid w:val="0044010B"/>
    <w:rsid w:val="004402EC"/>
    <w:rsid w:val="004410E5"/>
    <w:rsid w:val="004412E1"/>
    <w:rsid w:val="00441DB4"/>
    <w:rsid w:val="0044238C"/>
    <w:rsid w:val="00442E2D"/>
    <w:rsid w:val="0044419F"/>
    <w:rsid w:val="0044427F"/>
    <w:rsid w:val="00444A84"/>
    <w:rsid w:val="00444BC9"/>
    <w:rsid w:val="00446307"/>
    <w:rsid w:val="00447C11"/>
    <w:rsid w:val="00450D75"/>
    <w:rsid w:val="0045137B"/>
    <w:rsid w:val="004513C5"/>
    <w:rsid w:val="004517B4"/>
    <w:rsid w:val="004522AF"/>
    <w:rsid w:val="00452C6A"/>
    <w:rsid w:val="00453620"/>
    <w:rsid w:val="004536EF"/>
    <w:rsid w:val="00453865"/>
    <w:rsid w:val="0045497B"/>
    <w:rsid w:val="00454D3A"/>
    <w:rsid w:val="00454F2E"/>
    <w:rsid w:val="00455551"/>
    <w:rsid w:val="004562C1"/>
    <w:rsid w:val="00456387"/>
    <w:rsid w:val="00456633"/>
    <w:rsid w:val="0045756A"/>
    <w:rsid w:val="004600A1"/>
    <w:rsid w:val="00460262"/>
    <w:rsid w:val="004608C4"/>
    <w:rsid w:val="00461099"/>
    <w:rsid w:val="004614E1"/>
    <w:rsid w:val="00461838"/>
    <w:rsid w:val="00462E8D"/>
    <w:rsid w:val="004633A4"/>
    <w:rsid w:val="00463567"/>
    <w:rsid w:val="0046420D"/>
    <w:rsid w:val="004645A0"/>
    <w:rsid w:val="004647F1"/>
    <w:rsid w:val="004650B8"/>
    <w:rsid w:val="004659B0"/>
    <w:rsid w:val="00465C31"/>
    <w:rsid w:val="00466235"/>
    <w:rsid w:val="004664D2"/>
    <w:rsid w:val="00466FD8"/>
    <w:rsid w:val="00467AED"/>
    <w:rsid w:val="004704D5"/>
    <w:rsid w:val="004707AD"/>
    <w:rsid w:val="004709AF"/>
    <w:rsid w:val="0047102A"/>
    <w:rsid w:val="004711DA"/>
    <w:rsid w:val="00471329"/>
    <w:rsid w:val="00471902"/>
    <w:rsid w:val="00471923"/>
    <w:rsid w:val="00471F4F"/>
    <w:rsid w:val="004720D7"/>
    <w:rsid w:val="0047217D"/>
    <w:rsid w:val="0047228E"/>
    <w:rsid w:val="00472ACD"/>
    <w:rsid w:val="004736E9"/>
    <w:rsid w:val="00475416"/>
    <w:rsid w:val="00475A3E"/>
    <w:rsid w:val="00475F96"/>
    <w:rsid w:val="004776A3"/>
    <w:rsid w:val="0047783F"/>
    <w:rsid w:val="00477D52"/>
    <w:rsid w:val="004808EA"/>
    <w:rsid w:val="00480B28"/>
    <w:rsid w:val="00480E1C"/>
    <w:rsid w:val="004814AF"/>
    <w:rsid w:val="004816A0"/>
    <w:rsid w:val="00481778"/>
    <w:rsid w:val="00482318"/>
    <w:rsid w:val="0048299E"/>
    <w:rsid w:val="00482E1D"/>
    <w:rsid w:val="00483028"/>
    <w:rsid w:val="00483AA2"/>
    <w:rsid w:val="00483AE9"/>
    <w:rsid w:val="00483C0A"/>
    <w:rsid w:val="0048402F"/>
    <w:rsid w:val="0048487D"/>
    <w:rsid w:val="00484BD0"/>
    <w:rsid w:val="00485376"/>
    <w:rsid w:val="00485674"/>
    <w:rsid w:val="00486406"/>
    <w:rsid w:val="004871D6"/>
    <w:rsid w:val="0048797E"/>
    <w:rsid w:val="00487A05"/>
    <w:rsid w:val="00487B70"/>
    <w:rsid w:val="004900A8"/>
    <w:rsid w:val="00491607"/>
    <w:rsid w:val="004919C7"/>
    <w:rsid w:val="00491B12"/>
    <w:rsid w:val="00493ADC"/>
    <w:rsid w:val="00493CB6"/>
    <w:rsid w:val="0049462B"/>
    <w:rsid w:val="00494C28"/>
    <w:rsid w:val="00495038"/>
    <w:rsid w:val="00495339"/>
    <w:rsid w:val="004958C4"/>
    <w:rsid w:val="00495E09"/>
    <w:rsid w:val="0049637A"/>
    <w:rsid w:val="00496421"/>
    <w:rsid w:val="00496739"/>
    <w:rsid w:val="0049676F"/>
    <w:rsid w:val="004971B8"/>
    <w:rsid w:val="00497668"/>
    <w:rsid w:val="004A0184"/>
    <w:rsid w:val="004A05F1"/>
    <w:rsid w:val="004A0A81"/>
    <w:rsid w:val="004A10B2"/>
    <w:rsid w:val="004A1429"/>
    <w:rsid w:val="004A14DC"/>
    <w:rsid w:val="004A2180"/>
    <w:rsid w:val="004A2C3C"/>
    <w:rsid w:val="004A2CA2"/>
    <w:rsid w:val="004A31B5"/>
    <w:rsid w:val="004A3773"/>
    <w:rsid w:val="004A5209"/>
    <w:rsid w:val="004A56E1"/>
    <w:rsid w:val="004A5754"/>
    <w:rsid w:val="004A6627"/>
    <w:rsid w:val="004A67EE"/>
    <w:rsid w:val="004A6A22"/>
    <w:rsid w:val="004A7036"/>
    <w:rsid w:val="004A779B"/>
    <w:rsid w:val="004A7BD0"/>
    <w:rsid w:val="004A7D59"/>
    <w:rsid w:val="004B04B9"/>
    <w:rsid w:val="004B1682"/>
    <w:rsid w:val="004B2447"/>
    <w:rsid w:val="004B2534"/>
    <w:rsid w:val="004B2EC4"/>
    <w:rsid w:val="004B394D"/>
    <w:rsid w:val="004B4516"/>
    <w:rsid w:val="004B514A"/>
    <w:rsid w:val="004B598B"/>
    <w:rsid w:val="004B5AA4"/>
    <w:rsid w:val="004B6911"/>
    <w:rsid w:val="004B6AA7"/>
    <w:rsid w:val="004C04C4"/>
    <w:rsid w:val="004C152E"/>
    <w:rsid w:val="004C192D"/>
    <w:rsid w:val="004C2CC6"/>
    <w:rsid w:val="004C3914"/>
    <w:rsid w:val="004C3FCD"/>
    <w:rsid w:val="004C41A4"/>
    <w:rsid w:val="004C430A"/>
    <w:rsid w:val="004C442D"/>
    <w:rsid w:val="004C48F5"/>
    <w:rsid w:val="004C4AC3"/>
    <w:rsid w:val="004C6676"/>
    <w:rsid w:val="004C6807"/>
    <w:rsid w:val="004C68B6"/>
    <w:rsid w:val="004C7694"/>
    <w:rsid w:val="004C7B35"/>
    <w:rsid w:val="004C7BE2"/>
    <w:rsid w:val="004C7E5C"/>
    <w:rsid w:val="004D10FA"/>
    <w:rsid w:val="004D1AF8"/>
    <w:rsid w:val="004D1E75"/>
    <w:rsid w:val="004D256A"/>
    <w:rsid w:val="004D268E"/>
    <w:rsid w:val="004D3129"/>
    <w:rsid w:val="004D338A"/>
    <w:rsid w:val="004D359E"/>
    <w:rsid w:val="004D361C"/>
    <w:rsid w:val="004D3929"/>
    <w:rsid w:val="004D3F70"/>
    <w:rsid w:val="004D40B6"/>
    <w:rsid w:val="004D40FA"/>
    <w:rsid w:val="004D47C3"/>
    <w:rsid w:val="004D4B78"/>
    <w:rsid w:val="004D4C34"/>
    <w:rsid w:val="004D4F0C"/>
    <w:rsid w:val="004D50B3"/>
    <w:rsid w:val="004D5C17"/>
    <w:rsid w:val="004D6330"/>
    <w:rsid w:val="004D643D"/>
    <w:rsid w:val="004D64D4"/>
    <w:rsid w:val="004D764E"/>
    <w:rsid w:val="004D7A78"/>
    <w:rsid w:val="004D7EE7"/>
    <w:rsid w:val="004E0E17"/>
    <w:rsid w:val="004E1BBE"/>
    <w:rsid w:val="004E1BCF"/>
    <w:rsid w:val="004E21B7"/>
    <w:rsid w:val="004E241A"/>
    <w:rsid w:val="004E3270"/>
    <w:rsid w:val="004E3313"/>
    <w:rsid w:val="004E3998"/>
    <w:rsid w:val="004E414E"/>
    <w:rsid w:val="004E5E52"/>
    <w:rsid w:val="004E5F23"/>
    <w:rsid w:val="004E6013"/>
    <w:rsid w:val="004E6320"/>
    <w:rsid w:val="004E6CFD"/>
    <w:rsid w:val="004E7389"/>
    <w:rsid w:val="004E7702"/>
    <w:rsid w:val="004F00A1"/>
    <w:rsid w:val="004F0471"/>
    <w:rsid w:val="004F0719"/>
    <w:rsid w:val="004F171E"/>
    <w:rsid w:val="004F19FF"/>
    <w:rsid w:val="004F1D46"/>
    <w:rsid w:val="004F26F4"/>
    <w:rsid w:val="004F3F39"/>
    <w:rsid w:val="004F491B"/>
    <w:rsid w:val="004F4B79"/>
    <w:rsid w:val="004F4C4F"/>
    <w:rsid w:val="004F64E2"/>
    <w:rsid w:val="004F75D1"/>
    <w:rsid w:val="004F7E90"/>
    <w:rsid w:val="005003AF"/>
    <w:rsid w:val="00500E9A"/>
    <w:rsid w:val="005011F6"/>
    <w:rsid w:val="005012E3"/>
    <w:rsid w:val="0050168C"/>
    <w:rsid w:val="00501C95"/>
    <w:rsid w:val="005020A5"/>
    <w:rsid w:val="005023DB"/>
    <w:rsid w:val="00503183"/>
    <w:rsid w:val="005034A8"/>
    <w:rsid w:val="005034CA"/>
    <w:rsid w:val="00503E1C"/>
    <w:rsid w:val="0050458B"/>
    <w:rsid w:val="0050506A"/>
    <w:rsid w:val="00505829"/>
    <w:rsid w:val="00505DB8"/>
    <w:rsid w:val="00505FF4"/>
    <w:rsid w:val="00507A67"/>
    <w:rsid w:val="0051071F"/>
    <w:rsid w:val="005111C1"/>
    <w:rsid w:val="0051133B"/>
    <w:rsid w:val="00511C23"/>
    <w:rsid w:val="00513B03"/>
    <w:rsid w:val="00513E07"/>
    <w:rsid w:val="00513E3E"/>
    <w:rsid w:val="00513E8F"/>
    <w:rsid w:val="0051464F"/>
    <w:rsid w:val="005149B6"/>
    <w:rsid w:val="005151B6"/>
    <w:rsid w:val="00515912"/>
    <w:rsid w:val="00515AD8"/>
    <w:rsid w:val="0051635A"/>
    <w:rsid w:val="00516DB4"/>
    <w:rsid w:val="00516F2C"/>
    <w:rsid w:val="00517F4A"/>
    <w:rsid w:val="00520034"/>
    <w:rsid w:val="0052067D"/>
    <w:rsid w:val="00520868"/>
    <w:rsid w:val="00520D39"/>
    <w:rsid w:val="00521176"/>
    <w:rsid w:val="005221DC"/>
    <w:rsid w:val="005225F1"/>
    <w:rsid w:val="00523004"/>
    <w:rsid w:val="005237EB"/>
    <w:rsid w:val="00523B17"/>
    <w:rsid w:val="00523F01"/>
    <w:rsid w:val="00523F9F"/>
    <w:rsid w:val="005246F1"/>
    <w:rsid w:val="00524849"/>
    <w:rsid w:val="0052498E"/>
    <w:rsid w:val="00524A41"/>
    <w:rsid w:val="00524A7D"/>
    <w:rsid w:val="00525A37"/>
    <w:rsid w:val="00525A62"/>
    <w:rsid w:val="00525A68"/>
    <w:rsid w:val="005260B0"/>
    <w:rsid w:val="00526FD5"/>
    <w:rsid w:val="00527561"/>
    <w:rsid w:val="005275DA"/>
    <w:rsid w:val="00527663"/>
    <w:rsid w:val="005300D9"/>
    <w:rsid w:val="00530289"/>
    <w:rsid w:val="00530A3D"/>
    <w:rsid w:val="00531B98"/>
    <w:rsid w:val="00531BEB"/>
    <w:rsid w:val="00532075"/>
    <w:rsid w:val="005325A9"/>
    <w:rsid w:val="005326B7"/>
    <w:rsid w:val="00532C8B"/>
    <w:rsid w:val="00532DBE"/>
    <w:rsid w:val="00533307"/>
    <w:rsid w:val="00533BB2"/>
    <w:rsid w:val="0053435C"/>
    <w:rsid w:val="005344D5"/>
    <w:rsid w:val="00535AF5"/>
    <w:rsid w:val="00535F31"/>
    <w:rsid w:val="00536036"/>
    <w:rsid w:val="005364A0"/>
    <w:rsid w:val="00536C1F"/>
    <w:rsid w:val="00536D93"/>
    <w:rsid w:val="005378B5"/>
    <w:rsid w:val="00537E6F"/>
    <w:rsid w:val="00537F14"/>
    <w:rsid w:val="0054040E"/>
    <w:rsid w:val="00540471"/>
    <w:rsid w:val="00541208"/>
    <w:rsid w:val="005419C3"/>
    <w:rsid w:val="00542BDE"/>
    <w:rsid w:val="00542E35"/>
    <w:rsid w:val="00543555"/>
    <w:rsid w:val="005439B2"/>
    <w:rsid w:val="00543E5B"/>
    <w:rsid w:val="005444FC"/>
    <w:rsid w:val="005446BA"/>
    <w:rsid w:val="00544723"/>
    <w:rsid w:val="005449B3"/>
    <w:rsid w:val="00544CFA"/>
    <w:rsid w:val="005460D3"/>
    <w:rsid w:val="005463D8"/>
    <w:rsid w:val="005464F3"/>
    <w:rsid w:val="00546582"/>
    <w:rsid w:val="00550340"/>
    <w:rsid w:val="0055120A"/>
    <w:rsid w:val="00551A6C"/>
    <w:rsid w:val="00551E2A"/>
    <w:rsid w:val="005523AA"/>
    <w:rsid w:val="00552D44"/>
    <w:rsid w:val="00553736"/>
    <w:rsid w:val="00553917"/>
    <w:rsid w:val="00554109"/>
    <w:rsid w:val="00554E98"/>
    <w:rsid w:val="005551D6"/>
    <w:rsid w:val="00555371"/>
    <w:rsid w:val="00555603"/>
    <w:rsid w:val="005558EA"/>
    <w:rsid w:val="00555FDB"/>
    <w:rsid w:val="00556B75"/>
    <w:rsid w:val="005571A7"/>
    <w:rsid w:val="00557509"/>
    <w:rsid w:val="005579CB"/>
    <w:rsid w:val="00560316"/>
    <w:rsid w:val="00561409"/>
    <w:rsid w:val="005618FF"/>
    <w:rsid w:val="00562DAF"/>
    <w:rsid w:val="005632A3"/>
    <w:rsid w:val="00563360"/>
    <w:rsid w:val="005633FC"/>
    <w:rsid w:val="005635CC"/>
    <w:rsid w:val="00563E3A"/>
    <w:rsid w:val="00564352"/>
    <w:rsid w:val="00564B1E"/>
    <w:rsid w:val="00565459"/>
    <w:rsid w:val="005656C0"/>
    <w:rsid w:val="00565F2A"/>
    <w:rsid w:val="00565F74"/>
    <w:rsid w:val="00567043"/>
    <w:rsid w:val="00567244"/>
    <w:rsid w:val="005678EF"/>
    <w:rsid w:val="00567B64"/>
    <w:rsid w:val="005701AA"/>
    <w:rsid w:val="0057047A"/>
    <w:rsid w:val="005708D6"/>
    <w:rsid w:val="00570A08"/>
    <w:rsid w:val="00570A96"/>
    <w:rsid w:val="00570B13"/>
    <w:rsid w:val="00571003"/>
    <w:rsid w:val="0057155D"/>
    <w:rsid w:val="00571888"/>
    <w:rsid w:val="0057192F"/>
    <w:rsid w:val="005719CC"/>
    <w:rsid w:val="00572E5F"/>
    <w:rsid w:val="00573427"/>
    <w:rsid w:val="005736F6"/>
    <w:rsid w:val="0057391E"/>
    <w:rsid w:val="00573A0F"/>
    <w:rsid w:val="00573C17"/>
    <w:rsid w:val="00574882"/>
    <w:rsid w:val="00574DFC"/>
    <w:rsid w:val="00575053"/>
    <w:rsid w:val="00575284"/>
    <w:rsid w:val="00575991"/>
    <w:rsid w:val="00575F36"/>
    <w:rsid w:val="0057609C"/>
    <w:rsid w:val="00576156"/>
    <w:rsid w:val="00576F96"/>
    <w:rsid w:val="005802BB"/>
    <w:rsid w:val="00580974"/>
    <w:rsid w:val="005809F6"/>
    <w:rsid w:val="00581215"/>
    <w:rsid w:val="00582170"/>
    <w:rsid w:val="00582656"/>
    <w:rsid w:val="00582B0C"/>
    <w:rsid w:val="00582FFB"/>
    <w:rsid w:val="005836E2"/>
    <w:rsid w:val="00584011"/>
    <w:rsid w:val="005851C3"/>
    <w:rsid w:val="00585FB4"/>
    <w:rsid w:val="005869E1"/>
    <w:rsid w:val="00587A4B"/>
    <w:rsid w:val="00590606"/>
    <w:rsid w:val="00590B63"/>
    <w:rsid w:val="00590D01"/>
    <w:rsid w:val="00591A78"/>
    <w:rsid w:val="00591ED1"/>
    <w:rsid w:val="00591F5F"/>
    <w:rsid w:val="005921C0"/>
    <w:rsid w:val="005923F4"/>
    <w:rsid w:val="00592459"/>
    <w:rsid w:val="005926BA"/>
    <w:rsid w:val="0059271C"/>
    <w:rsid w:val="00592744"/>
    <w:rsid w:val="00592821"/>
    <w:rsid w:val="00592E6E"/>
    <w:rsid w:val="00592F25"/>
    <w:rsid w:val="00593569"/>
    <w:rsid w:val="00593590"/>
    <w:rsid w:val="00593EDF"/>
    <w:rsid w:val="00594361"/>
    <w:rsid w:val="00594709"/>
    <w:rsid w:val="0059486B"/>
    <w:rsid w:val="005948AA"/>
    <w:rsid w:val="005949D1"/>
    <w:rsid w:val="005952CF"/>
    <w:rsid w:val="00595F48"/>
    <w:rsid w:val="0059605C"/>
    <w:rsid w:val="00596444"/>
    <w:rsid w:val="005965D1"/>
    <w:rsid w:val="00596D5E"/>
    <w:rsid w:val="00596E4A"/>
    <w:rsid w:val="00597061"/>
    <w:rsid w:val="00597291"/>
    <w:rsid w:val="005976D5"/>
    <w:rsid w:val="00597C56"/>
    <w:rsid w:val="005A02F4"/>
    <w:rsid w:val="005A08DD"/>
    <w:rsid w:val="005A0923"/>
    <w:rsid w:val="005A0998"/>
    <w:rsid w:val="005A14DC"/>
    <w:rsid w:val="005A1B3D"/>
    <w:rsid w:val="005A2901"/>
    <w:rsid w:val="005A29F3"/>
    <w:rsid w:val="005A2E32"/>
    <w:rsid w:val="005A30B1"/>
    <w:rsid w:val="005A3C5B"/>
    <w:rsid w:val="005A3FC1"/>
    <w:rsid w:val="005A40CC"/>
    <w:rsid w:val="005A459B"/>
    <w:rsid w:val="005A4B2F"/>
    <w:rsid w:val="005A4FCF"/>
    <w:rsid w:val="005A54C8"/>
    <w:rsid w:val="005A56A7"/>
    <w:rsid w:val="005A5911"/>
    <w:rsid w:val="005A6B21"/>
    <w:rsid w:val="005A6C32"/>
    <w:rsid w:val="005A7773"/>
    <w:rsid w:val="005A7837"/>
    <w:rsid w:val="005B010A"/>
    <w:rsid w:val="005B0D14"/>
    <w:rsid w:val="005B1595"/>
    <w:rsid w:val="005B1658"/>
    <w:rsid w:val="005B17A6"/>
    <w:rsid w:val="005B18CF"/>
    <w:rsid w:val="005B2D3C"/>
    <w:rsid w:val="005B303A"/>
    <w:rsid w:val="005B341D"/>
    <w:rsid w:val="005B3B1C"/>
    <w:rsid w:val="005B4197"/>
    <w:rsid w:val="005B4A61"/>
    <w:rsid w:val="005B5203"/>
    <w:rsid w:val="005B5CF2"/>
    <w:rsid w:val="005B60E1"/>
    <w:rsid w:val="005B65FB"/>
    <w:rsid w:val="005B673A"/>
    <w:rsid w:val="005B6E70"/>
    <w:rsid w:val="005B7C31"/>
    <w:rsid w:val="005C00DF"/>
    <w:rsid w:val="005C025D"/>
    <w:rsid w:val="005C0DF5"/>
    <w:rsid w:val="005C0F6E"/>
    <w:rsid w:val="005C245E"/>
    <w:rsid w:val="005C2927"/>
    <w:rsid w:val="005C2A74"/>
    <w:rsid w:val="005C3529"/>
    <w:rsid w:val="005C4072"/>
    <w:rsid w:val="005C42FE"/>
    <w:rsid w:val="005C4D9D"/>
    <w:rsid w:val="005C5DD9"/>
    <w:rsid w:val="005C6019"/>
    <w:rsid w:val="005C649F"/>
    <w:rsid w:val="005C6CAE"/>
    <w:rsid w:val="005C6FC8"/>
    <w:rsid w:val="005C7A06"/>
    <w:rsid w:val="005C7E58"/>
    <w:rsid w:val="005D046B"/>
    <w:rsid w:val="005D0622"/>
    <w:rsid w:val="005D0657"/>
    <w:rsid w:val="005D088B"/>
    <w:rsid w:val="005D1B82"/>
    <w:rsid w:val="005D23F0"/>
    <w:rsid w:val="005D26C7"/>
    <w:rsid w:val="005D29DF"/>
    <w:rsid w:val="005D2EBF"/>
    <w:rsid w:val="005D3B7E"/>
    <w:rsid w:val="005D46A9"/>
    <w:rsid w:val="005D5065"/>
    <w:rsid w:val="005D5528"/>
    <w:rsid w:val="005D565B"/>
    <w:rsid w:val="005D5CD2"/>
    <w:rsid w:val="005D62B4"/>
    <w:rsid w:val="005D68FE"/>
    <w:rsid w:val="005D6A03"/>
    <w:rsid w:val="005D6D17"/>
    <w:rsid w:val="005D7527"/>
    <w:rsid w:val="005E01F2"/>
    <w:rsid w:val="005E1062"/>
    <w:rsid w:val="005E11C0"/>
    <w:rsid w:val="005E1263"/>
    <w:rsid w:val="005E159E"/>
    <w:rsid w:val="005E1785"/>
    <w:rsid w:val="005E18D4"/>
    <w:rsid w:val="005E19FC"/>
    <w:rsid w:val="005E22A4"/>
    <w:rsid w:val="005E241D"/>
    <w:rsid w:val="005E2876"/>
    <w:rsid w:val="005E3291"/>
    <w:rsid w:val="005E382B"/>
    <w:rsid w:val="005E3AA2"/>
    <w:rsid w:val="005E4CB5"/>
    <w:rsid w:val="005E4EA3"/>
    <w:rsid w:val="005E619C"/>
    <w:rsid w:val="005E68C1"/>
    <w:rsid w:val="005E73FD"/>
    <w:rsid w:val="005E7B86"/>
    <w:rsid w:val="005E7FE0"/>
    <w:rsid w:val="005F05A8"/>
    <w:rsid w:val="005F05BF"/>
    <w:rsid w:val="005F081C"/>
    <w:rsid w:val="005F0D57"/>
    <w:rsid w:val="005F0E49"/>
    <w:rsid w:val="005F0FA1"/>
    <w:rsid w:val="005F12DF"/>
    <w:rsid w:val="005F18CB"/>
    <w:rsid w:val="005F25CC"/>
    <w:rsid w:val="005F30E5"/>
    <w:rsid w:val="005F31CF"/>
    <w:rsid w:val="005F3D47"/>
    <w:rsid w:val="005F402B"/>
    <w:rsid w:val="005F4A21"/>
    <w:rsid w:val="005F578B"/>
    <w:rsid w:val="005F5DF4"/>
    <w:rsid w:val="005F5FCA"/>
    <w:rsid w:val="005F5FE4"/>
    <w:rsid w:val="005F6D6C"/>
    <w:rsid w:val="005F7C9B"/>
    <w:rsid w:val="005F7DA0"/>
    <w:rsid w:val="0060052E"/>
    <w:rsid w:val="006006DB"/>
    <w:rsid w:val="006009A3"/>
    <w:rsid w:val="0060119B"/>
    <w:rsid w:val="00601765"/>
    <w:rsid w:val="0060189A"/>
    <w:rsid w:val="00601C96"/>
    <w:rsid w:val="00602E54"/>
    <w:rsid w:val="006030C9"/>
    <w:rsid w:val="006049FF"/>
    <w:rsid w:val="00604FAF"/>
    <w:rsid w:val="006055D7"/>
    <w:rsid w:val="00605FC0"/>
    <w:rsid w:val="0060604F"/>
    <w:rsid w:val="006063C0"/>
    <w:rsid w:val="006063D6"/>
    <w:rsid w:val="00606C37"/>
    <w:rsid w:val="00607091"/>
    <w:rsid w:val="00607286"/>
    <w:rsid w:val="006075EC"/>
    <w:rsid w:val="00607656"/>
    <w:rsid w:val="00610AE7"/>
    <w:rsid w:val="006115B7"/>
    <w:rsid w:val="00611911"/>
    <w:rsid w:val="00612458"/>
    <w:rsid w:val="00612AE7"/>
    <w:rsid w:val="00613151"/>
    <w:rsid w:val="00613809"/>
    <w:rsid w:val="006139BF"/>
    <w:rsid w:val="00613B0B"/>
    <w:rsid w:val="00613B55"/>
    <w:rsid w:val="0061419B"/>
    <w:rsid w:val="00614AB3"/>
    <w:rsid w:val="006151C6"/>
    <w:rsid w:val="00615471"/>
    <w:rsid w:val="00615A23"/>
    <w:rsid w:val="0061728D"/>
    <w:rsid w:val="00617A05"/>
    <w:rsid w:val="00617C14"/>
    <w:rsid w:val="00617CC7"/>
    <w:rsid w:val="006201BC"/>
    <w:rsid w:val="00620609"/>
    <w:rsid w:val="00621369"/>
    <w:rsid w:val="0062146E"/>
    <w:rsid w:val="006218E1"/>
    <w:rsid w:val="00621EE3"/>
    <w:rsid w:val="006230A5"/>
    <w:rsid w:val="006232CA"/>
    <w:rsid w:val="00623FD4"/>
    <w:rsid w:val="006245BD"/>
    <w:rsid w:val="00624BAD"/>
    <w:rsid w:val="00624BF3"/>
    <w:rsid w:val="006253AB"/>
    <w:rsid w:val="006255ED"/>
    <w:rsid w:val="006256E8"/>
    <w:rsid w:val="0062628D"/>
    <w:rsid w:val="00626FB9"/>
    <w:rsid w:val="00627821"/>
    <w:rsid w:val="00630503"/>
    <w:rsid w:val="0063083A"/>
    <w:rsid w:val="00630A37"/>
    <w:rsid w:val="00630E15"/>
    <w:rsid w:val="0063227C"/>
    <w:rsid w:val="00632362"/>
    <w:rsid w:val="00632625"/>
    <w:rsid w:val="00633A6D"/>
    <w:rsid w:val="00633C6F"/>
    <w:rsid w:val="00633E95"/>
    <w:rsid w:val="00633F57"/>
    <w:rsid w:val="00633F7C"/>
    <w:rsid w:val="00634041"/>
    <w:rsid w:val="00634695"/>
    <w:rsid w:val="006347AA"/>
    <w:rsid w:val="0063488B"/>
    <w:rsid w:val="0063545D"/>
    <w:rsid w:val="006357F7"/>
    <w:rsid w:val="00636177"/>
    <w:rsid w:val="006367A6"/>
    <w:rsid w:val="0063694D"/>
    <w:rsid w:val="00637414"/>
    <w:rsid w:val="006377F6"/>
    <w:rsid w:val="00637D86"/>
    <w:rsid w:val="00637E9D"/>
    <w:rsid w:val="006402BF"/>
    <w:rsid w:val="00640925"/>
    <w:rsid w:val="00640C65"/>
    <w:rsid w:val="00641E63"/>
    <w:rsid w:val="0064291B"/>
    <w:rsid w:val="00642C8E"/>
    <w:rsid w:val="006433DF"/>
    <w:rsid w:val="00643491"/>
    <w:rsid w:val="006445DC"/>
    <w:rsid w:val="00644DAC"/>
    <w:rsid w:val="00645256"/>
    <w:rsid w:val="00645375"/>
    <w:rsid w:val="006459E8"/>
    <w:rsid w:val="00645D8F"/>
    <w:rsid w:val="00645DAC"/>
    <w:rsid w:val="006461E4"/>
    <w:rsid w:val="00646A2E"/>
    <w:rsid w:val="00646F53"/>
    <w:rsid w:val="006475DB"/>
    <w:rsid w:val="00651322"/>
    <w:rsid w:val="006516CC"/>
    <w:rsid w:val="00651F84"/>
    <w:rsid w:val="00652E4B"/>
    <w:rsid w:val="006530A9"/>
    <w:rsid w:val="00653970"/>
    <w:rsid w:val="00653C37"/>
    <w:rsid w:val="00654A1E"/>
    <w:rsid w:val="00654CAD"/>
    <w:rsid w:val="00655914"/>
    <w:rsid w:val="006563D4"/>
    <w:rsid w:val="00656B92"/>
    <w:rsid w:val="00657109"/>
    <w:rsid w:val="00657427"/>
    <w:rsid w:val="006603B1"/>
    <w:rsid w:val="00660761"/>
    <w:rsid w:val="0066104E"/>
    <w:rsid w:val="0066146B"/>
    <w:rsid w:val="00663B33"/>
    <w:rsid w:val="00663B7F"/>
    <w:rsid w:val="00664834"/>
    <w:rsid w:val="00664C33"/>
    <w:rsid w:val="00665571"/>
    <w:rsid w:val="0066568E"/>
    <w:rsid w:val="00665758"/>
    <w:rsid w:val="0066598D"/>
    <w:rsid w:val="00665BDD"/>
    <w:rsid w:val="006665AC"/>
    <w:rsid w:val="0066670D"/>
    <w:rsid w:val="0066784A"/>
    <w:rsid w:val="006678F9"/>
    <w:rsid w:val="00667B8F"/>
    <w:rsid w:val="00667E61"/>
    <w:rsid w:val="00670640"/>
    <w:rsid w:val="00671120"/>
    <w:rsid w:val="00671494"/>
    <w:rsid w:val="00671B23"/>
    <w:rsid w:val="00672037"/>
    <w:rsid w:val="00672CD7"/>
    <w:rsid w:val="006735AB"/>
    <w:rsid w:val="00673C90"/>
    <w:rsid w:val="0067438E"/>
    <w:rsid w:val="006744E5"/>
    <w:rsid w:val="00674A2F"/>
    <w:rsid w:val="00675265"/>
    <w:rsid w:val="00675323"/>
    <w:rsid w:val="006762E8"/>
    <w:rsid w:val="00676594"/>
    <w:rsid w:val="00676D76"/>
    <w:rsid w:val="006771A6"/>
    <w:rsid w:val="00677344"/>
    <w:rsid w:val="006778BD"/>
    <w:rsid w:val="00680283"/>
    <w:rsid w:val="006807C4"/>
    <w:rsid w:val="0068086F"/>
    <w:rsid w:val="00680885"/>
    <w:rsid w:val="00681861"/>
    <w:rsid w:val="006818D3"/>
    <w:rsid w:val="00681A94"/>
    <w:rsid w:val="00682440"/>
    <w:rsid w:val="006826CD"/>
    <w:rsid w:val="00682829"/>
    <w:rsid w:val="006836B2"/>
    <w:rsid w:val="00683740"/>
    <w:rsid w:val="00684AEB"/>
    <w:rsid w:val="00684C4D"/>
    <w:rsid w:val="00685041"/>
    <w:rsid w:val="00685C67"/>
    <w:rsid w:val="00685D66"/>
    <w:rsid w:val="00686127"/>
    <w:rsid w:val="00686D74"/>
    <w:rsid w:val="00686F49"/>
    <w:rsid w:val="006878BB"/>
    <w:rsid w:val="00687B05"/>
    <w:rsid w:val="00687FD9"/>
    <w:rsid w:val="00690A15"/>
    <w:rsid w:val="00690FDD"/>
    <w:rsid w:val="00691A77"/>
    <w:rsid w:val="00691D8B"/>
    <w:rsid w:val="006921EA"/>
    <w:rsid w:val="00694B7E"/>
    <w:rsid w:val="00694EF7"/>
    <w:rsid w:val="006950D3"/>
    <w:rsid w:val="006952DE"/>
    <w:rsid w:val="00695830"/>
    <w:rsid w:val="00696457"/>
    <w:rsid w:val="00696BA8"/>
    <w:rsid w:val="00696BDB"/>
    <w:rsid w:val="00696E59"/>
    <w:rsid w:val="00697DDB"/>
    <w:rsid w:val="006A004B"/>
    <w:rsid w:val="006A08FC"/>
    <w:rsid w:val="006A0B28"/>
    <w:rsid w:val="006A122A"/>
    <w:rsid w:val="006A1750"/>
    <w:rsid w:val="006A254F"/>
    <w:rsid w:val="006A2678"/>
    <w:rsid w:val="006A365A"/>
    <w:rsid w:val="006A3EB2"/>
    <w:rsid w:val="006A433F"/>
    <w:rsid w:val="006A44E3"/>
    <w:rsid w:val="006A4DC7"/>
    <w:rsid w:val="006A5852"/>
    <w:rsid w:val="006A5EBC"/>
    <w:rsid w:val="006A6362"/>
    <w:rsid w:val="006A6C98"/>
    <w:rsid w:val="006A6FC4"/>
    <w:rsid w:val="006A75D4"/>
    <w:rsid w:val="006A7AD2"/>
    <w:rsid w:val="006A7EE9"/>
    <w:rsid w:val="006A7F98"/>
    <w:rsid w:val="006B0DCA"/>
    <w:rsid w:val="006B0FC7"/>
    <w:rsid w:val="006B2214"/>
    <w:rsid w:val="006B2563"/>
    <w:rsid w:val="006B2C00"/>
    <w:rsid w:val="006B4344"/>
    <w:rsid w:val="006B4815"/>
    <w:rsid w:val="006B4B08"/>
    <w:rsid w:val="006B4DED"/>
    <w:rsid w:val="006B5300"/>
    <w:rsid w:val="006B5D23"/>
    <w:rsid w:val="006B5E91"/>
    <w:rsid w:val="006B6526"/>
    <w:rsid w:val="006B6721"/>
    <w:rsid w:val="006B691D"/>
    <w:rsid w:val="006B7381"/>
    <w:rsid w:val="006B753E"/>
    <w:rsid w:val="006B7577"/>
    <w:rsid w:val="006B761B"/>
    <w:rsid w:val="006B7859"/>
    <w:rsid w:val="006B7F72"/>
    <w:rsid w:val="006C0571"/>
    <w:rsid w:val="006C1105"/>
    <w:rsid w:val="006C17B3"/>
    <w:rsid w:val="006C17CE"/>
    <w:rsid w:val="006C1C0C"/>
    <w:rsid w:val="006C1D47"/>
    <w:rsid w:val="006C2193"/>
    <w:rsid w:val="006C3571"/>
    <w:rsid w:val="006C3582"/>
    <w:rsid w:val="006C42FF"/>
    <w:rsid w:val="006C4CCD"/>
    <w:rsid w:val="006C512D"/>
    <w:rsid w:val="006C5988"/>
    <w:rsid w:val="006C5A0A"/>
    <w:rsid w:val="006C5C92"/>
    <w:rsid w:val="006C6020"/>
    <w:rsid w:val="006C6B0E"/>
    <w:rsid w:val="006C6C7C"/>
    <w:rsid w:val="006C7098"/>
    <w:rsid w:val="006C79A9"/>
    <w:rsid w:val="006D19D6"/>
    <w:rsid w:val="006D2595"/>
    <w:rsid w:val="006D3747"/>
    <w:rsid w:val="006D37CC"/>
    <w:rsid w:val="006D3DB1"/>
    <w:rsid w:val="006D4635"/>
    <w:rsid w:val="006D4FC1"/>
    <w:rsid w:val="006D52AB"/>
    <w:rsid w:val="006D597E"/>
    <w:rsid w:val="006D5A7B"/>
    <w:rsid w:val="006D6BD0"/>
    <w:rsid w:val="006E07C1"/>
    <w:rsid w:val="006E0E54"/>
    <w:rsid w:val="006E1A15"/>
    <w:rsid w:val="006E1F00"/>
    <w:rsid w:val="006E215D"/>
    <w:rsid w:val="006E2174"/>
    <w:rsid w:val="006E32AB"/>
    <w:rsid w:val="006E333C"/>
    <w:rsid w:val="006E388A"/>
    <w:rsid w:val="006E3B0D"/>
    <w:rsid w:val="006E3BF9"/>
    <w:rsid w:val="006E46F7"/>
    <w:rsid w:val="006E4A31"/>
    <w:rsid w:val="006E511A"/>
    <w:rsid w:val="006E5624"/>
    <w:rsid w:val="006E5AD9"/>
    <w:rsid w:val="006E5C2C"/>
    <w:rsid w:val="006E673C"/>
    <w:rsid w:val="006E7DF8"/>
    <w:rsid w:val="006E7F91"/>
    <w:rsid w:val="006F0127"/>
    <w:rsid w:val="006F0822"/>
    <w:rsid w:val="006F0AF8"/>
    <w:rsid w:val="006F1300"/>
    <w:rsid w:val="006F19DA"/>
    <w:rsid w:val="006F215C"/>
    <w:rsid w:val="006F22A5"/>
    <w:rsid w:val="006F22AE"/>
    <w:rsid w:val="006F26F8"/>
    <w:rsid w:val="006F2F58"/>
    <w:rsid w:val="006F4AF1"/>
    <w:rsid w:val="006F4DDF"/>
    <w:rsid w:val="006F4E0F"/>
    <w:rsid w:val="006F5280"/>
    <w:rsid w:val="006F52CC"/>
    <w:rsid w:val="006F55EE"/>
    <w:rsid w:val="006F59C8"/>
    <w:rsid w:val="006F6910"/>
    <w:rsid w:val="006F74E8"/>
    <w:rsid w:val="006F75CC"/>
    <w:rsid w:val="00700657"/>
    <w:rsid w:val="00700796"/>
    <w:rsid w:val="00700854"/>
    <w:rsid w:val="00701099"/>
    <w:rsid w:val="0070133F"/>
    <w:rsid w:val="00701C85"/>
    <w:rsid w:val="00701C8A"/>
    <w:rsid w:val="00701F2A"/>
    <w:rsid w:val="007025F2"/>
    <w:rsid w:val="00702AE2"/>
    <w:rsid w:val="007032E7"/>
    <w:rsid w:val="00703536"/>
    <w:rsid w:val="007042C8"/>
    <w:rsid w:val="00704DDA"/>
    <w:rsid w:val="00705636"/>
    <w:rsid w:val="0070579A"/>
    <w:rsid w:val="00705D08"/>
    <w:rsid w:val="007063AF"/>
    <w:rsid w:val="00706518"/>
    <w:rsid w:val="007068AB"/>
    <w:rsid w:val="007074DA"/>
    <w:rsid w:val="00707D23"/>
    <w:rsid w:val="00707F54"/>
    <w:rsid w:val="007103AC"/>
    <w:rsid w:val="00710D1C"/>
    <w:rsid w:val="00711A29"/>
    <w:rsid w:val="00711D26"/>
    <w:rsid w:val="007126F1"/>
    <w:rsid w:val="007128CE"/>
    <w:rsid w:val="00712C7A"/>
    <w:rsid w:val="00714424"/>
    <w:rsid w:val="00714A74"/>
    <w:rsid w:val="00715182"/>
    <w:rsid w:val="00715C62"/>
    <w:rsid w:val="00715F42"/>
    <w:rsid w:val="0071607A"/>
    <w:rsid w:val="00716492"/>
    <w:rsid w:val="0071660B"/>
    <w:rsid w:val="00717073"/>
    <w:rsid w:val="00717E81"/>
    <w:rsid w:val="00717F4C"/>
    <w:rsid w:val="0072047C"/>
    <w:rsid w:val="0072067B"/>
    <w:rsid w:val="00720785"/>
    <w:rsid w:val="007220DB"/>
    <w:rsid w:val="00722801"/>
    <w:rsid w:val="00722A5F"/>
    <w:rsid w:val="007231F2"/>
    <w:rsid w:val="00723ACD"/>
    <w:rsid w:val="00723FFA"/>
    <w:rsid w:val="00724375"/>
    <w:rsid w:val="007249FC"/>
    <w:rsid w:val="00724A1A"/>
    <w:rsid w:val="00724DFE"/>
    <w:rsid w:val="00724FC4"/>
    <w:rsid w:val="0072546D"/>
    <w:rsid w:val="00725AF5"/>
    <w:rsid w:val="00725B15"/>
    <w:rsid w:val="00726230"/>
    <w:rsid w:val="00726545"/>
    <w:rsid w:val="00726BF0"/>
    <w:rsid w:val="007277CE"/>
    <w:rsid w:val="00727C1B"/>
    <w:rsid w:val="00727D98"/>
    <w:rsid w:val="00727DE2"/>
    <w:rsid w:val="00727E70"/>
    <w:rsid w:val="00730B5C"/>
    <w:rsid w:val="0073135F"/>
    <w:rsid w:val="00731618"/>
    <w:rsid w:val="00731983"/>
    <w:rsid w:val="007329AC"/>
    <w:rsid w:val="00733320"/>
    <w:rsid w:val="00733D54"/>
    <w:rsid w:val="007343C9"/>
    <w:rsid w:val="00734427"/>
    <w:rsid w:val="00734C90"/>
    <w:rsid w:val="00734E41"/>
    <w:rsid w:val="0073589A"/>
    <w:rsid w:val="00736CB9"/>
    <w:rsid w:val="0073797D"/>
    <w:rsid w:val="00740F3D"/>
    <w:rsid w:val="00740F3F"/>
    <w:rsid w:val="007413F2"/>
    <w:rsid w:val="007424D6"/>
    <w:rsid w:val="00742557"/>
    <w:rsid w:val="00742653"/>
    <w:rsid w:val="00742855"/>
    <w:rsid w:val="00742D4C"/>
    <w:rsid w:val="007435C4"/>
    <w:rsid w:val="00743CA7"/>
    <w:rsid w:val="00743E73"/>
    <w:rsid w:val="00743E84"/>
    <w:rsid w:val="00744209"/>
    <w:rsid w:val="00744756"/>
    <w:rsid w:val="007454AB"/>
    <w:rsid w:val="007455CE"/>
    <w:rsid w:val="00745A06"/>
    <w:rsid w:val="00745AE4"/>
    <w:rsid w:val="00745F69"/>
    <w:rsid w:val="007460F5"/>
    <w:rsid w:val="00747097"/>
    <w:rsid w:val="0075065D"/>
    <w:rsid w:val="00751941"/>
    <w:rsid w:val="00751FC2"/>
    <w:rsid w:val="00752392"/>
    <w:rsid w:val="00752FD5"/>
    <w:rsid w:val="007530F1"/>
    <w:rsid w:val="007539A0"/>
    <w:rsid w:val="00753A39"/>
    <w:rsid w:val="00754308"/>
    <w:rsid w:val="0075522D"/>
    <w:rsid w:val="00755650"/>
    <w:rsid w:val="00756435"/>
    <w:rsid w:val="00756526"/>
    <w:rsid w:val="00756530"/>
    <w:rsid w:val="0075715B"/>
    <w:rsid w:val="0075715C"/>
    <w:rsid w:val="00757211"/>
    <w:rsid w:val="007573D6"/>
    <w:rsid w:val="00757743"/>
    <w:rsid w:val="00757EA9"/>
    <w:rsid w:val="00757F6B"/>
    <w:rsid w:val="00757F87"/>
    <w:rsid w:val="007600E1"/>
    <w:rsid w:val="00760588"/>
    <w:rsid w:val="00760D2F"/>
    <w:rsid w:val="00760F6D"/>
    <w:rsid w:val="00760F6F"/>
    <w:rsid w:val="00760FB4"/>
    <w:rsid w:val="00761428"/>
    <w:rsid w:val="0076230A"/>
    <w:rsid w:val="007627F9"/>
    <w:rsid w:val="00762EEC"/>
    <w:rsid w:val="007636A2"/>
    <w:rsid w:val="007636AF"/>
    <w:rsid w:val="00763713"/>
    <w:rsid w:val="00763D76"/>
    <w:rsid w:val="0076403A"/>
    <w:rsid w:val="00764F48"/>
    <w:rsid w:val="0076516A"/>
    <w:rsid w:val="00766423"/>
    <w:rsid w:val="00766755"/>
    <w:rsid w:val="00766A72"/>
    <w:rsid w:val="00766DFC"/>
    <w:rsid w:val="007674E3"/>
    <w:rsid w:val="0076750A"/>
    <w:rsid w:val="007703C8"/>
    <w:rsid w:val="00770805"/>
    <w:rsid w:val="00770FCA"/>
    <w:rsid w:val="00771178"/>
    <w:rsid w:val="007712E1"/>
    <w:rsid w:val="00772230"/>
    <w:rsid w:val="00772545"/>
    <w:rsid w:val="0077295D"/>
    <w:rsid w:val="00772C54"/>
    <w:rsid w:val="00772D7E"/>
    <w:rsid w:val="00773945"/>
    <w:rsid w:val="00773EB7"/>
    <w:rsid w:val="0077434E"/>
    <w:rsid w:val="0077456C"/>
    <w:rsid w:val="007747E9"/>
    <w:rsid w:val="00774C04"/>
    <w:rsid w:val="00774C75"/>
    <w:rsid w:val="0077540B"/>
    <w:rsid w:val="00775825"/>
    <w:rsid w:val="00775EFE"/>
    <w:rsid w:val="00776180"/>
    <w:rsid w:val="007762F6"/>
    <w:rsid w:val="00776A05"/>
    <w:rsid w:val="007775E0"/>
    <w:rsid w:val="00777BFE"/>
    <w:rsid w:val="00777E5F"/>
    <w:rsid w:val="007808B2"/>
    <w:rsid w:val="00780DC0"/>
    <w:rsid w:val="007813B6"/>
    <w:rsid w:val="007822DD"/>
    <w:rsid w:val="00782730"/>
    <w:rsid w:val="00782BE1"/>
    <w:rsid w:val="00783B44"/>
    <w:rsid w:val="00783F02"/>
    <w:rsid w:val="00784B57"/>
    <w:rsid w:val="00785790"/>
    <w:rsid w:val="00786128"/>
    <w:rsid w:val="00786239"/>
    <w:rsid w:val="00786F8D"/>
    <w:rsid w:val="00786FC6"/>
    <w:rsid w:val="0078736C"/>
    <w:rsid w:val="007874D5"/>
    <w:rsid w:val="00790114"/>
    <w:rsid w:val="00790CEA"/>
    <w:rsid w:val="00791D3E"/>
    <w:rsid w:val="0079232E"/>
    <w:rsid w:val="00793223"/>
    <w:rsid w:val="00793B11"/>
    <w:rsid w:val="00793F26"/>
    <w:rsid w:val="00795633"/>
    <w:rsid w:val="0079594E"/>
    <w:rsid w:val="00795E59"/>
    <w:rsid w:val="00796216"/>
    <w:rsid w:val="007962B1"/>
    <w:rsid w:val="007962F8"/>
    <w:rsid w:val="00796329"/>
    <w:rsid w:val="00796362"/>
    <w:rsid w:val="007966BD"/>
    <w:rsid w:val="0079759F"/>
    <w:rsid w:val="00797A92"/>
    <w:rsid w:val="007A0BE5"/>
    <w:rsid w:val="007A0C65"/>
    <w:rsid w:val="007A116D"/>
    <w:rsid w:val="007A1A13"/>
    <w:rsid w:val="007A2696"/>
    <w:rsid w:val="007A275B"/>
    <w:rsid w:val="007A2833"/>
    <w:rsid w:val="007A284E"/>
    <w:rsid w:val="007A3336"/>
    <w:rsid w:val="007A48E4"/>
    <w:rsid w:val="007A497A"/>
    <w:rsid w:val="007A4D08"/>
    <w:rsid w:val="007A4EC7"/>
    <w:rsid w:val="007A53D6"/>
    <w:rsid w:val="007A5DE6"/>
    <w:rsid w:val="007A66D0"/>
    <w:rsid w:val="007A7048"/>
    <w:rsid w:val="007A7F95"/>
    <w:rsid w:val="007B0413"/>
    <w:rsid w:val="007B060C"/>
    <w:rsid w:val="007B1539"/>
    <w:rsid w:val="007B160B"/>
    <w:rsid w:val="007B1643"/>
    <w:rsid w:val="007B1D29"/>
    <w:rsid w:val="007B1DD7"/>
    <w:rsid w:val="007B1ECB"/>
    <w:rsid w:val="007B20A4"/>
    <w:rsid w:val="007B2207"/>
    <w:rsid w:val="007B2286"/>
    <w:rsid w:val="007B26D8"/>
    <w:rsid w:val="007B29B1"/>
    <w:rsid w:val="007B30F9"/>
    <w:rsid w:val="007B331F"/>
    <w:rsid w:val="007B3857"/>
    <w:rsid w:val="007B5310"/>
    <w:rsid w:val="007B5EE3"/>
    <w:rsid w:val="007B605B"/>
    <w:rsid w:val="007B725D"/>
    <w:rsid w:val="007B7269"/>
    <w:rsid w:val="007B748F"/>
    <w:rsid w:val="007B7837"/>
    <w:rsid w:val="007B78C5"/>
    <w:rsid w:val="007B7C1B"/>
    <w:rsid w:val="007C00E9"/>
    <w:rsid w:val="007C07FB"/>
    <w:rsid w:val="007C08F0"/>
    <w:rsid w:val="007C0A6F"/>
    <w:rsid w:val="007C0D94"/>
    <w:rsid w:val="007C1166"/>
    <w:rsid w:val="007C11B6"/>
    <w:rsid w:val="007C1F8D"/>
    <w:rsid w:val="007C1FEF"/>
    <w:rsid w:val="007C2800"/>
    <w:rsid w:val="007C2CD3"/>
    <w:rsid w:val="007C3318"/>
    <w:rsid w:val="007C3ECE"/>
    <w:rsid w:val="007C434C"/>
    <w:rsid w:val="007C442B"/>
    <w:rsid w:val="007C44A2"/>
    <w:rsid w:val="007C45D9"/>
    <w:rsid w:val="007C4E88"/>
    <w:rsid w:val="007C50D7"/>
    <w:rsid w:val="007C659A"/>
    <w:rsid w:val="007C6A85"/>
    <w:rsid w:val="007C721A"/>
    <w:rsid w:val="007C74CC"/>
    <w:rsid w:val="007C7518"/>
    <w:rsid w:val="007C7EAC"/>
    <w:rsid w:val="007D0042"/>
    <w:rsid w:val="007D01F2"/>
    <w:rsid w:val="007D03BF"/>
    <w:rsid w:val="007D03DA"/>
    <w:rsid w:val="007D06D0"/>
    <w:rsid w:val="007D0C27"/>
    <w:rsid w:val="007D0F33"/>
    <w:rsid w:val="007D11D6"/>
    <w:rsid w:val="007D12FD"/>
    <w:rsid w:val="007D1E24"/>
    <w:rsid w:val="007D215C"/>
    <w:rsid w:val="007D30EA"/>
    <w:rsid w:val="007D31A6"/>
    <w:rsid w:val="007D3578"/>
    <w:rsid w:val="007D3584"/>
    <w:rsid w:val="007D39DC"/>
    <w:rsid w:val="007D3DF1"/>
    <w:rsid w:val="007D4C32"/>
    <w:rsid w:val="007D4EBD"/>
    <w:rsid w:val="007D5602"/>
    <w:rsid w:val="007D5981"/>
    <w:rsid w:val="007E0183"/>
    <w:rsid w:val="007E0280"/>
    <w:rsid w:val="007E061B"/>
    <w:rsid w:val="007E07C5"/>
    <w:rsid w:val="007E07F5"/>
    <w:rsid w:val="007E0E97"/>
    <w:rsid w:val="007E15B7"/>
    <w:rsid w:val="007E194C"/>
    <w:rsid w:val="007E21B2"/>
    <w:rsid w:val="007E276E"/>
    <w:rsid w:val="007E28C6"/>
    <w:rsid w:val="007E2E21"/>
    <w:rsid w:val="007E3AA2"/>
    <w:rsid w:val="007E3C37"/>
    <w:rsid w:val="007E3D6E"/>
    <w:rsid w:val="007E3D70"/>
    <w:rsid w:val="007E3DA9"/>
    <w:rsid w:val="007E42B4"/>
    <w:rsid w:val="007E47F9"/>
    <w:rsid w:val="007E54E9"/>
    <w:rsid w:val="007E60E4"/>
    <w:rsid w:val="007E629E"/>
    <w:rsid w:val="007E64E5"/>
    <w:rsid w:val="007E6AD1"/>
    <w:rsid w:val="007E6C55"/>
    <w:rsid w:val="007E746D"/>
    <w:rsid w:val="007E7F12"/>
    <w:rsid w:val="007F018E"/>
    <w:rsid w:val="007F0274"/>
    <w:rsid w:val="007F0423"/>
    <w:rsid w:val="007F06C0"/>
    <w:rsid w:val="007F0A72"/>
    <w:rsid w:val="007F0BB2"/>
    <w:rsid w:val="007F0BDA"/>
    <w:rsid w:val="007F1115"/>
    <w:rsid w:val="007F1BAB"/>
    <w:rsid w:val="007F28AB"/>
    <w:rsid w:val="007F3106"/>
    <w:rsid w:val="007F326F"/>
    <w:rsid w:val="007F3C4A"/>
    <w:rsid w:val="007F3C8B"/>
    <w:rsid w:val="007F4504"/>
    <w:rsid w:val="007F498C"/>
    <w:rsid w:val="007F49FB"/>
    <w:rsid w:val="007F4BC5"/>
    <w:rsid w:val="007F4CE6"/>
    <w:rsid w:val="007F51DF"/>
    <w:rsid w:val="007F551E"/>
    <w:rsid w:val="007F56C1"/>
    <w:rsid w:val="007F6116"/>
    <w:rsid w:val="007F72B4"/>
    <w:rsid w:val="007F7820"/>
    <w:rsid w:val="00800332"/>
    <w:rsid w:val="008009A0"/>
    <w:rsid w:val="00800B93"/>
    <w:rsid w:val="00801F0E"/>
    <w:rsid w:val="00802038"/>
    <w:rsid w:val="00802410"/>
    <w:rsid w:val="00802893"/>
    <w:rsid w:val="0080290B"/>
    <w:rsid w:val="00802BFB"/>
    <w:rsid w:val="008030A6"/>
    <w:rsid w:val="0080346E"/>
    <w:rsid w:val="0080346F"/>
    <w:rsid w:val="0080358F"/>
    <w:rsid w:val="00803845"/>
    <w:rsid w:val="008041C8"/>
    <w:rsid w:val="008046BA"/>
    <w:rsid w:val="00804AFC"/>
    <w:rsid w:val="008051D9"/>
    <w:rsid w:val="00805307"/>
    <w:rsid w:val="00805833"/>
    <w:rsid w:val="008068A0"/>
    <w:rsid w:val="00806F65"/>
    <w:rsid w:val="0080785D"/>
    <w:rsid w:val="00810415"/>
    <w:rsid w:val="00810BE5"/>
    <w:rsid w:val="00811453"/>
    <w:rsid w:val="00811CA0"/>
    <w:rsid w:val="0081278D"/>
    <w:rsid w:val="00812A40"/>
    <w:rsid w:val="0081322D"/>
    <w:rsid w:val="0081359A"/>
    <w:rsid w:val="008139ED"/>
    <w:rsid w:val="008140CA"/>
    <w:rsid w:val="00814445"/>
    <w:rsid w:val="00814657"/>
    <w:rsid w:val="00814877"/>
    <w:rsid w:val="00814ECF"/>
    <w:rsid w:val="00815800"/>
    <w:rsid w:val="00817614"/>
    <w:rsid w:val="00817778"/>
    <w:rsid w:val="00817967"/>
    <w:rsid w:val="008203CB"/>
    <w:rsid w:val="00820877"/>
    <w:rsid w:val="00820E4E"/>
    <w:rsid w:val="00820FFE"/>
    <w:rsid w:val="00821308"/>
    <w:rsid w:val="008220B3"/>
    <w:rsid w:val="00822354"/>
    <w:rsid w:val="00822C08"/>
    <w:rsid w:val="00822D19"/>
    <w:rsid w:val="00822FC9"/>
    <w:rsid w:val="0082357B"/>
    <w:rsid w:val="00824329"/>
    <w:rsid w:val="0082518E"/>
    <w:rsid w:val="008253C2"/>
    <w:rsid w:val="008256F9"/>
    <w:rsid w:val="008258AE"/>
    <w:rsid w:val="0082668D"/>
    <w:rsid w:val="00826D81"/>
    <w:rsid w:val="00827163"/>
    <w:rsid w:val="0083001A"/>
    <w:rsid w:val="008303B5"/>
    <w:rsid w:val="00830873"/>
    <w:rsid w:val="00830D69"/>
    <w:rsid w:val="0083176C"/>
    <w:rsid w:val="00831867"/>
    <w:rsid w:val="00832355"/>
    <w:rsid w:val="008325EE"/>
    <w:rsid w:val="008328AD"/>
    <w:rsid w:val="008336FF"/>
    <w:rsid w:val="0083451E"/>
    <w:rsid w:val="008347E1"/>
    <w:rsid w:val="00834D5C"/>
    <w:rsid w:val="0083577A"/>
    <w:rsid w:val="0083583C"/>
    <w:rsid w:val="00835C1D"/>
    <w:rsid w:val="00836504"/>
    <w:rsid w:val="0083660A"/>
    <w:rsid w:val="008366A6"/>
    <w:rsid w:val="0083682A"/>
    <w:rsid w:val="0083749E"/>
    <w:rsid w:val="00837860"/>
    <w:rsid w:val="008378A1"/>
    <w:rsid w:val="008378F4"/>
    <w:rsid w:val="008401D6"/>
    <w:rsid w:val="00840571"/>
    <w:rsid w:val="008408D9"/>
    <w:rsid w:val="00840A44"/>
    <w:rsid w:val="008419D5"/>
    <w:rsid w:val="00841DEE"/>
    <w:rsid w:val="008420BA"/>
    <w:rsid w:val="00842D7B"/>
    <w:rsid w:val="008431A3"/>
    <w:rsid w:val="00843A32"/>
    <w:rsid w:val="00844436"/>
    <w:rsid w:val="008451A5"/>
    <w:rsid w:val="008453BA"/>
    <w:rsid w:val="00845BD7"/>
    <w:rsid w:val="00845C14"/>
    <w:rsid w:val="00845E29"/>
    <w:rsid w:val="00846413"/>
    <w:rsid w:val="00846A7B"/>
    <w:rsid w:val="0084780A"/>
    <w:rsid w:val="00847B8A"/>
    <w:rsid w:val="00847E44"/>
    <w:rsid w:val="00847F7A"/>
    <w:rsid w:val="00850206"/>
    <w:rsid w:val="0085029B"/>
    <w:rsid w:val="0085039D"/>
    <w:rsid w:val="00850C6C"/>
    <w:rsid w:val="00851B40"/>
    <w:rsid w:val="008529D7"/>
    <w:rsid w:val="00852DCB"/>
    <w:rsid w:val="00852E6A"/>
    <w:rsid w:val="00852F97"/>
    <w:rsid w:val="0085357E"/>
    <w:rsid w:val="008538A5"/>
    <w:rsid w:val="008538AD"/>
    <w:rsid w:val="00853B95"/>
    <w:rsid w:val="00853E58"/>
    <w:rsid w:val="00854D73"/>
    <w:rsid w:val="008557B0"/>
    <w:rsid w:val="00855C65"/>
    <w:rsid w:val="0085654B"/>
    <w:rsid w:val="00856B1C"/>
    <w:rsid w:val="00857641"/>
    <w:rsid w:val="00857677"/>
    <w:rsid w:val="00857BF4"/>
    <w:rsid w:val="00860114"/>
    <w:rsid w:val="00860B03"/>
    <w:rsid w:val="00860F60"/>
    <w:rsid w:val="0086199E"/>
    <w:rsid w:val="00861D6F"/>
    <w:rsid w:val="00862C77"/>
    <w:rsid w:val="00862D86"/>
    <w:rsid w:val="00862E39"/>
    <w:rsid w:val="00862F60"/>
    <w:rsid w:val="00863257"/>
    <w:rsid w:val="00863350"/>
    <w:rsid w:val="00863547"/>
    <w:rsid w:val="00863C90"/>
    <w:rsid w:val="008641F9"/>
    <w:rsid w:val="008642C1"/>
    <w:rsid w:val="008648F7"/>
    <w:rsid w:val="008652A2"/>
    <w:rsid w:val="00865668"/>
    <w:rsid w:val="00865712"/>
    <w:rsid w:val="00865839"/>
    <w:rsid w:val="008659B3"/>
    <w:rsid w:val="008668EE"/>
    <w:rsid w:val="0086698F"/>
    <w:rsid w:val="00867DA2"/>
    <w:rsid w:val="00870776"/>
    <w:rsid w:val="00872466"/>
    <w:rsid w:val="008729E6"/>
    <w:rsid w:val="00872A34"/>
    <w:rsid w:val="0087369B"/>
    <w:rsid w:val="00875335"/>
    <w:rsid w:val="0087550B"/>
    <w:rsid w:val="00875DCD"/>
    <w:rsid w:val="00875F9A"/>
    <w:rsid w:val="00875FE3"/>
    <w:rsid w:val="00875FE5"/>
    <w:rsid w:val="00876C87"/>
    <w:rsid w:val="008771BF"/>
    <w:rsid w:val="00877222"/>
    <w:rsid w:val="00877820"/>
    <w:rsid w:val="00877D03"/>
    <w:rsid w:val="00877F74"/>
    <w:rsid w:val="008801C6"/>
    <w:rsid w:val="0088027A"/>
    <w:rsid w:val="00880308"/>
    <w:rsid w:val="008805FC"/>
    <w:rsid w:val="00880689"/>
    <w:rsid w:val="00880F5D"/>
    <w:rsid w:val="008813B6"/>
    <w:rsid w:val="00881748"/>
    <w:rsid w:val="00881F37"/>
    <w:rsid w:val="00882870"/>
    <w:rsid w:val="008830F8"/>
    <w:rsid w:val="00883FCC"/>
    <w:rsid w:val="00884A9F"/>
    <w:rsid w:val="00884DDA"/>
    <w:rsid w:val="00885B1E"/>
    <w:rsid w:val="00886837"/>
    <w:rsid w:val="0088753C"/>
    <w:rsid w:val="00887947"/>
    <w:rsid w:val="00887B8E"/>
    <w:rsid w:val="00890966"/>
    <w:rsid w:val="00891086"/>
    <w:rsid w:val="00892797"/>
    <w:rsid w:val="0089321B"/>
    <w:rsid w:val="00893244"/>
    <w:rsid w:val="008937F8"/>
    <w:rsid w:val="00893BCB"/>
    <w:rsid w:val="00894883"/>
    <w:rsid w:val="008949B5"/>
    <w:rsid w:val="00895F0A"/>
    <w:rsid w:val="00896196"/>
    <w:rsid w:val="00896A88"/>
    <w:rsid w:val="00896AA2"/>
    <w:rsid w:val="008973F2"/>
    <w:rsid w:val="008976F4"/>
    <w:rsid w:val="00897AFD"/>
    <w:rsid w:val="008A0F2E"/>
    <w:rsid w:val="008A10F1"/>
    <w:rsid w:val="008A1329"/>
    <w:rsid w:val="008A1949"/>
    <w:rsid w:val="008A22A0"/>
    <w:rsid w:val="008A23BF"/>
    <w:rsid w:val="008A25FC"/>
    <w:rsid w:val="008A339E"/>
    <w:rsid w:val="008A3408"/>
    <w:rsid w:val="008A3528"/>
    <w:rsid w:val="008A3AB3"/>
    <w:rsid w:val="008A418C"/>
    <w:rsid w:val="008A4FD1"/>
    <w:rsid w:val="008A568E"/>
    <w:rsid w:val="008A5ADD"/>
    <w:rsid w:val="008A5FD5"/>
    <w:rsid w:val="008A625C"/>
    <w:rsid w:val="008A6372"/>
    <w:rsid w:val="008A652C"/>
    <w:rsid w:val="008A68F7"/>
    <w:rsid w:val="008A692D"/>
    <w:rsid w:val="008A6A70"/>
    <w:rsid w:val="008A6AEB"/>
    <w:rsid w:val="008A6C56"/>
    <w:rsid w:val="008A6DD2"/>
    <w:rsid w:val="008A789F"/>
    <w:rsid w:val="008B15BC"/>
    <w:rsid w:val="008B2726"/>
    <w:rsid w:val="008B2E62"/>
    <w:rsid w:val="008B3A23"/>
    <w:rsid w:val="008B3F48"/>
    <w:rsid w:val="008B3F53"/>
    <w:rsid w:val="008B4E13"/>
    <w:rsid w:val="008B5244"/>
    <w:rsid w:val="008B5EF8"/>
    <w:rsid w:val="008B6204"/>
    <w:rsid w:val="008B727D"/>
    <w:rsid w:val="008B75E2"/>
    <w:rsid w:val="008C00F7"/>
    <w:rsid w:val="008C0513"/>
    <w:rsid w:val="008C0DF0"/>
    <w:rsid w:val="008C0E58"/>
    <w:rsid w:val="008C1109"/>
    <w:rsid w:val="008C1F48"/>
    <w:rsid w:val="008C2089"/>
    <w:rsid w:val="008C2B21"/>
    <w:rsid w:val="008C3528"/>
    <w:rsid w:val="008C3544"/>
    <w:rsid w:val="008C36AC"/>
    <w:rsid w:val="008C3BB9"/>
    <w:rsid w:val="008C41D4"/>
    <w:rsid w:val="008C4663"/>
    <w:rsid w:val="008C4B56"/>
    <w:rsid w:val="008C4D0D"/>
    <w:rsid w:val="008C5710"/>
    <w:rsid w:val="008C5A45"/>
    <w:rsid w:val="008C5BBC"/>
    <w:rsid w:val="008C5F98"/>
    <w:rsid w:val="008C6013"/>
    <w:rsid w:val="008C75B1"/>
    <w:rsid w:val="008C75F6"/>
    <w:rsid w:val="008D0655"/>
    <w:rsid w:val="008D1139"/>
    <w:rsid w:val="008D188E"/>
    <w:rsid w:val="008D1D36"/>
    <w:rsid w:val="008D1D72"/>
    <w:rsid w:val="008D1E90"/>
    <w:rsid w:val="008D1F14"/>
    <w:rsid w:val="008D2300"/>
    <w:rsid w:val="008D2531"/>
    <w:rsid w:val="008D2577"/>
    <w:rsid w:val="008D2660"/>
    <w:rsid w:val="008D29EF"/>
    <w:rsid w:val="008D2CC1"/>
    <w:rsid w:val="008D3507"/>
    <w:rsid w:val="008D3EB9"/>
    <w:rsid w:val="008D4A15"/>
    <w:rsid w:val="008D512C"/>
    <w:rsid w:val="008D5265"/>
    <w:rsid w:val="008D53A9"/>
    <w:rsid w:val="008D5464"/>
    <w:rsid w:val="008D558E"/>
    <w:rsid w:val="008D675E"/>
    <w:rsid w:val="008D73C4"/>
    <w:rsid w:val="008D73E8"/>
    <w:rsid w:val="008D7702"/>
    <w:rsid w:val="008D77A8"/>
    <w:rsid w:val="008E0DB8"/>
    <w:rsid w:val="008E15E4"/>
    <w:rsid w:val="008E283B"/>
    <w:rsid w:val="008E2B8B"/>
    <w:rsid w:val="008E3784"/>
    <w:rsid w:val="008E378B"/>
    <w:rsid w:val="008E37AC"/>
    <w:rsid w:val="008E3E7B"/>
    <w:rsid w:val="008E40F6"/>
    <w:rsid w:val="008E43A4"/>
    <w:rsid w:val="008E4A45"/>
    <w:rsid w:val="008E4CAB"/>
    <w:rsid w:val="008E596C"/>
    <w:rsid w:val="008E5BEC"/>
    <w:rsid w:val="008E5D3C"/>
    <w:rsid w:val="008E5FD9"/>
    <w:rsid w:val="008E6962"/>
    <w:rsid w:val="008E6FDF"/>
    <w:rsid w:val="008E78B2"/>
    <w:rsid w:val="008F01A4"/>
    <w:rsid w:val="008F03CB"/>
    <w:rsid w:val="008F16F2"/>
    <w:rsid w:val="008F1A06"/>
    <w:rsid w:val="008F1ADF"/>
    <w:rsid w:val="008F2187"/>
    <w:rsid w:val="008F244E"/>
    <w:rsid w:val="008F27F9"/>
    <w:rsid w:val="008F2F7B"/>
    <w:rsid w:val="008F3B2B"/>
    <w:rsid w:val="008F4072"/>
    <w:rsid w:val="008F47E2"/>
    <w:rsid w:val="008F482D"/>
    <w:rsid w:val="008F54B1"/>
    <w:rsid w:val="008F563D"/>
    <w:rsid w:val="008F5820"/>
    <w:rsid w:val="008F5FD0"/>
    <w:rsid w:val="008F61C8"/>
    <w:rsid w:val="008F6806"/>
    <w:rsid w:val="008F69F8"/>
    <w:rsid w:val="008F6C95"/>
    <w:rsid w:val="008F6C9F"/>
    <w:rsid w:val="008F6CCD"/>
    <w:rsid w:val="008F74CA"/>
    <w:rsid w:val="008F7933"/>
    <w:rsid w:val="00900845"/>
    <w:rsid w:val="009019DF"/>
    <w:rsid w:val="00901AF0"/>
    <w:rsid w:val="00901BA0"/>
    <w:rsid w:val="00901C7A"/>
    <w:rsid w:val="00901D8D"/>
    <w:rsid w:val="0090205A"/>
    <w:rsid w:val="00903164"/>
    <w:rsid w:val="00903AA5"/>
    <w:rsid w:val="009044CD"/>
    <w:rsid w:val="00905A27"/>
    <w:rsid w:val="00905A2E"/>
    <w:rsid w:val="00905E39"/>
    <w:rsid w:val="0090652C"/>
    <w:rsid w:val="00906699"/>
    <w:rsid w:val="00906E87"/>
    <w:rsid w:val="0090766A"/>
    <w:rsid w:val="00907E70"/>
    <w:rsid w:val="009106A4"/>
    <w:rsid w:val="00910EFB"/>
    <w:rsid w:val="00911A56"/>
    <w:rsid w:val="00911F80"/>
    <w:rsid w:val="00912347"/>
    <w:rsid w:val="00913E5A"/>
    <w:rsid w:val="009143B2"/>
    <w:rsid w:val="00914764"/>
    <w:rsid w:val="00915638"/>
    <w:rsid w:val="00917693"/>
    <w:rsid w:val="00917C45"/>
    <w:rsid w:val="00920167"/>
    <w:rsid w:val="009209B3"/>
    <w:rsid w:val="009211B6"/>
    <w:rsid w:val="0092203F"/>
    <w:rsid w:val="009226C0"/>
    <w:rsid w:val="009239A5"/>
    <w:rsid w:val="00923B82"/>
    <w:rsid w:val="00924914"/>
    <w:rsid w:val="009250F8"/>
    <w:rsid w:val="009254AA"/>
    <w:rsid w:val="00926CE7"/>
    <w:rsid w:val="00927014"/>
    <w:rsid w:val="009277A5"/>
    <w:rsid w:val="00930C3A"/>
    <w:rsid w:val="00931283"/>
    <w:rsid w:val="0093148A"/>
    <w:rsid w:val="009321D2"/>
    <w:rsid w:val="0093233E"/>
    <w:rsid w:val="009323FF"/>
    <w:rsid w:val="0093294F"/>
    <w:rsid w:val="00934581"/>
    <w:rsid w:val="0093492B"/>
    <w:rsid w:val="009350E3"/>
    <w:rsid w:val="0093543D"/>
    <w:rsid w:val="00935BC9"/>
    <w:rsid w:val="00935E0A"/>
    <w:rsid w:val="0093608F"/>
    <w:rsid w:val="00937CBE"/>
    <w:rsid w:val="00937FFA"/>
    <w:rsid w:val="009400E5"/>
    <w:rsid w:val="00940C1C"/>
    <w:rsid w:val="0094135B"/>
    <w:rsid w:val="00941769"/>
    <w:rsid w:val="00941AD5"/>
    <w:rsid w:val="00942492"/>
    <w:rsid w:val="00942E71"/>
    <w:rsid w:val="00943CB8"/>
    <w:rsid w:val="00944972"/>
    <w:rsid w:val="00944ECA"/>
    <w:rsid w:val="009455D3"/>
    <w:rsid w:val="009456E8"/>
    <w:rsid w:val="00945E22"/>
    <w:rsid w:val="00946702"/>
    <w:rsid w:val="009468E5"/>
    <w:rsid w:val="00946BA9"/>
    <w:rsid w:val="0094732D"/>
    <w:rsid w:val="00947484"/>
    <w:rsid w:val="00947B78"/>
    <w:rsid w:val="009501FF"/>
    <w:rsid w:val="00950263"/>
    <w:rsid w:val="0095076C"/>
    <w:rsid w:val="00950BC3"/>
    <w:rsid w:val="009516C3"/>
    <w:rsid w:val="00951E5F"/>
    <w:rsid w:val="00951F3B"/>
    <w:rsid w:val="009523A7"/>
    <w:rsid w:val="0095252D"/>
    <w:rsid w:val="00952BC9"/>
    <w:rsid w:val="00952F9F"/>
    <w:rsid w:val="0095317A"/>
    <w:rsid w:val="009534EC"/>
    <w:rsid w:val="00954400"/>
    <w:rsid w:val="0095489F"/>
    <w:rsid w:val="00955CDD"/>
    <w:rsid w:val="00956066"/>
    <w:rsid w:val="00956079"/>
    <w:rsid w:val="00956100"/>
    <w:rsid w:val="009566AE"/>
    <w:rsid w:val="0095722C"/>
    <w:rsid w:val="009575E7"/>
    <w:rsid w:val="0095764D"/>
    <w:rsid w:val="009577C7"/>
    <w:rsid w:val="00957F9C"/>
    <w:rsid w:val="009603D6"/>
    <w:rsid w:val="00960439"/>
    <w:rsid w:val="009608FE"/>
    <w:rsid w:val="0096164F"/>
    <w:rsid w:val="0096309C"/>
    <w:rsid w:val="00963425"/>
    <w:rsid w:val="009640CB"/>
    <w:rsid w:val="009641B0"/>
    <w:rsid w:val="00964B98"/>
    <w:rsid w:val="00964EC9"/>
    <w:rsid w:val="0096518D"/>
    <w:rsid w:val="00965335"/>
    <w:rsid w:val="00965E9F"/>
    <w:rsid w:val="00966087"/>
    <w:rsid w:val="00966221"/>
    <w:rsid w:val="00966CB8"/>
    <w:rsid w:val="00966E88"/>
    <w:rsid w:val="00967021"/>
    <w:rsid w:val="00967037"/>
    <w:rsid w:val="0096757D"/>
    <w:rsid w:val="009677A1"/>
    <w:rsid w:val="00967845"/>
    <w:rsid w:val="00970B4C"/>
    <w:rsid w:val="00971575"/>
    <w:rsid w:val="009715FA"/>
    <w:rsid w:val="00971770"/>
    <w:rsid w:val="00971C80"/>
    <w:rsid w:val="00972079"/>
    <w:rsid w:val="0097275F"/>
    <w:rsid w:val="009749F7"/>
    <w:rsid w:val="00974E02"/>
    <w:rsid w:val="00975390"/>
    <w:rsid w:val="00975B02"/>
    <w:rsid w:val="00975EC3"/>
    <w:rsid w:val="00976708"/>
    <w:rsid w:val="0097689B"/>
    <w:rsid w:val="00976C5B"/>
    <w:rsid w:val="009770BC"/>
    <w:rsid w:val="00977F0D"/>
    <w:rsid w:val="009803A0"/>
    <w:rsid w:val="00980C1B"/>
    <w:rsid w:val="00980DC0"/>
    <w:rsid w:val="00981174"/>
    <w:rsid w:val="00981207"/>
    <w:rsid w:val="009814D0"/>
    <w:rsid w:val="0098151D"/>
    <w:rsid w:val="00981654"/>
    <w:rsid w:val="009823D3"/>
    <w:rsid w:val="009826A2"/>
    <w:rsid w:val="00982DCC"/>
    <w:rsid w:val="00982F5F"/>
    <w:rsid w:val="0098386A"/>
    <w:rsid w:val="00984195"/>
    <w:rsid w:val="0098457D"/>
    <w:rsid w:val="0098572D"/>
    <w:rsid w:val="00985FB2"/>
    <w:rsid w:val="009860F1"/>
    <w:rsid w:val="0098676D"/>
    <w:rsid w:val="00986A33"/>
    <w:rsid w:val="009872B4"/>
    <w:rsid w:val="00987E8F"/>
    <w:rsid w:val="009903D2"/>
    <w:rsid w:val="009904F2"/>
    <w:rsid w:val="00990E71"/>
    <w:rsid w:val="009912E2"/>
    <w:rsid w:val="00991502"/>
    <w:rsid w:val="0099178F"/>
    <w:rsid w:val="00991816"/>
    <w:rsid w:val="009919DB"/>
    <w:rsid w:val="00991EC9"/>
    <w:rsid w:val="009929D5"/>
    <w:rsid w:val="00993038"/>
    <w:rsid w:val="00993F4D"/>
    <w:rsid w:val="00993FE3"/>
    <w:rsid w:val="00994204"/>
    <w:rsid w:val="00994502"/>
    <w:rsid w:val="0099469A"/>
    <w:rsid w:val="00994B2B"/>
    <w:rsid w:val="00994F15"/>
    <w:rsid w:val="0099522C"/>
    <w:rsid w:val="00995423"/>
    <w:rsid w:val="0099578D"/>
    <w:rsid w:val="009966CE"/>
    <w:rsid w:val="00997C99"/>
    <w:rsid w:val="009A04EC"/>
    <w:rsid w:val="009A0E4A"/>
    <w:rsid w:val="009A1608"/>
    <w:rsid w:val="009A1BF7"/>
    <w:rsid w:val="009A36FA"/>
    <w:rsid w:val="009A38EF"/>
    <w:rsid w:val="009A397F"/>
    <w:rsid w:val="009A47C6"/>
    <w:rsid w:val="009A574D"/>
    <w:rsid w:val="009A59D0"/>
    <w:rsid w:val="009A5C89"/>
    <w:rsid w:val="009A5CB3"/>
    <w:rsid w:val="009A5F6A"/>
    <w:rsid w:val="009A5F9D"/>
    <w:rsid w:val="009A647F"/>
    <w:rsid w:val="009A7518"/>
    <w:rsid w:val="009A7871"/>
    <w:rsid w:val="009A7C83"/>
    <w:rsid w:val="009B0264"/>
    <w:rsid w:val="009B045C"/>
    <w:rsid w:val="009B07E7"/>
    <w:rsid w:val="009B0F64"/>
    <w:rsid w:val="009B162F"/>
    <w:rsid w:val="009B2AEB"/>
    <w:rsid w:val="009B416C"/>
    <w:rsid w:val="009B4B9D"/>
    <w:rsid w:val="009B4CE8"/>
    <w:rsid w:val="009B4FF2"/>
    <w:rsid w:val="009B591D"/>
    <w:rsid w:val="009B6512"/>
    <w:rsid w:val="009B66C6"/>
    <w:rsid w:val="009B7BC0"/>
    <w:rsid w:val="009C0A30"/>
    <w:rsid w:val="009C0A85"/>
    <w:rsid w:val="009C1694"/>
    <w:rsid w:val="009C1727"/>
    <w:rsid w:val="009C23A5"/>
    <w:rsid w:val="009C2507"/>
    <w:rsid w:val="009C28F0"/>
    <w:rsid w:val="009C36DE"/>
    <w:rsid w:val="009C41E2"/>
    <w:rsid w:val="009C4B37"/>
    <w:rsid w:val="009C4CCE"/>
    <w:rsid w:val="009C4F46"/>
    <w:rsid w:val="009C51EE"/>
    <w:rsid w:val="009C52F3"/>
    <w:rsid w:val="009C5309"/>
    <w:rsid w:val="009C5ABD"/>
    <w:rsid w:val="009C5D40"/>
    <w:rsid w:val="009C6094"/>
    <w:rsid w:val="009C60E7"/>
    <w:rsid w:val="009C61AE"/>
    <w:rsid w:val="009C6483"/>
    <w:rsid w:val="009C7A15"/>
    <w:rsid w:val="009C7A55"/>
    <w:rsid w:val="009D0637"/>
    <w:rsid w:val="009D0674"/>
    <w:rsid w:val="009D099B"/>
    <w:rsid w:val="009D09D3"/>
    <w:rsid w:val="009D237A"/>
    <w:rsid w:val="009D2F10"/>
    <w:rsid w:val="009D2FF5"/>
    <w:rsid w:val="009D3525"/>
    <w:rsid w:val="009D3B6C"/>
    <w:rsid w:val="009D3CA8"/>
    <w:rsid w:val="009D41F1"/>
    <w:rsid w:val="009D4381"/>
    <w:rsid w:val="009D5421"/>
    <w:rsid w:val="009D551F"/>
    <w:rsid w:val="009D5A20"/>
    <w:rsid w:val="009D5D71"/>
    <w:rsid w:val="009D6E6D"/>
    <w:rsid w:val="009D784E"/>
    <w:rsid w:val="009D7973"/>
    <w:rsid w:val="009D7EFF"/>
    <w:rsid w:val="009E007E"/>
    <w:rsid w:val="009E12EA"/>
    <w:rsid w:val="009E20A0"/>
    <w:rsid w:val="009E24AA"/>
    <w:rsid w:val="009E258A"/>
    <w:rsid w:val="009E28E5"/>
    <w:rsid w:val="009E2EFF"/>
    <w:rsid w:val="009E3502"/>
    <w:rsid w:val="009E37A7"/>
    <w:rsid w:val="009E41CE"/>
    <w:rsid w:val="009E464C"/>
    <w:rsid w:val="009E55E1"/>
    <w:rsid w:val="009E62BF"/>
    <w:rsid w:val="009E6411"/>
    <w:rsid w:val="009E7425"/>
    <w:rsid w:val="009E7A39"/>
    <w:rsid w:val="009E7CC6"/>
    <w:rsid w:val="009E7DC6"/>
    <w:rsid w:val="009F0325"/>
    <w:rsid w:val="009F18AA"/>
    <w:rsid w:val="009F215D"/>
    <w:rsid w:val="009F2BA2"/>
    <w:rsid w:val="009F2D15"/>
    <w:rsid w:val="009F32AB"/>
    <w:rsid w:val="009F3740"/>
    <w:rsid w:val="009F3FCD"/>
    <w:rsid w:val="009F434E"/>
    <w:rsid w:val="009F53F7"/>
    <w:rsid w:val="009F582F"/>
    <w:rsid w:val="009F6389"/>
    <w:rsid w:val="009F6742"/>
    <w:rsid w:val="009F681E"/>
    <w:rsid w:val="009F72A9"/>
    <w:rsid w:val="009F749C"/>
    <w:rsid w:val="009F78E3"/>
    <w:rsid w:val="009F7FBF"/>
    <w:rsid w:val="00A00667"/>
    <w:rsid w:val="00A00BEF"/>
    <w:rsid w:val="00A00C2F"/>
    <w:rsid w:val="00A0102D"/>
    <w:rsid w:val="00A01233"/>
    <w:rsid w:val="00A012CB"/>
    <w:rsid w:val="00A013F2"/>
    <w:rsid w:val="00A0212A"/>
    <w:rsid w:val="00A022D1"/>
    <w:rsid w:val="00A02E39"/>
    <w:rsid w:val="00A03C1E"/>
    <w:rsid w:val="00A03EDE"/>
    <w:rsid w:val="00A040F0"/>
    <w:rsid w:val="00A0422D"/>
    <w:rsid w:val="00A04818"/>
    <w:rsid w:val="00A0582D"/>
    <w:rsid w:val="00A0599B"/>
    <w:rsid w:val="00A05A30"/>
    <w:rsid w:val="00A05AE5"/>
    <w:rsid w:val="00A0685F"/>
    <w:rsid w:val="00A07BF9"/>
    <w:rsid w:val="00A10C2C"/>
    <w:rsid w:val="00A11135"/>
    <w:rsid w:val="00A1187E"/>
    <w:rsid w:val="00A11AAD"/>
    <w:rsid w:val="00A11D68"/>
    <w:rsid w:val="00A124DC"/>
    <w:rsid w:val="00A12C10"/>
    <w:rsid w:val="00A12DF2"/>
    <w:rsid w:val="00A13F30"/>
    <w:rsid w:val="00A1457A"/>
    <w:rsid w:val="00A15331"/>
    <w:rsid w:val="00A168C5"/>
    <w:rsid w:val="00A16AD6"/>
    <w:rsid w:val="00A171BB"/>
    <w:rsid w:val="00A17306"/>
    <w:rsid w:val="00A17474"/>
    <w:rsid w:val="00A1759A"/>
    <w:rsid w:val="00A1762F"/>
    <w:rsid w:val="00A203FC"/>
    <w:rsid w:val="00A2049F"/>
    <w:rsid w:val="00A2074D"/>
    <w:rsid w:val="00A20A84"/>
    <w:rsid w:val="00A20D49"/>
    <w:rsid w:val="00A21210"/>
    <w:rsid w:val="00A21468"/>
    <w:rsid w:val="00A21D48"/>
    <w:rsid w:val="00A21F9A"/>
    <w:rsid w:val="00A22741"/>
    <w:rsid w:val="00A22859"/>
    <w:rsid w:val="00A22899"/>
    <w:rsid w:val="00A23276"/>
    <w:rsid w:val="00A23C67"/>
    <w:rsid w:val="00A23F9B"/>
    <w:rsid w:val="00A244D1"/>
    <w:rsid w:val="00A244DF"/>
    <w:rsid w:val="00A24D96"/>
    <w:rsid w:val="00A24F51"/>
    <w:rsid w:val="00A264F5"/>
    <w:rsid w:val="00A266A9"/>
    <w:rsid w:val="00A26C9C"/>
    <w:rsid w:val="00A2702B"/>
    <w:rsid w:val="00A27C16"/>
    <w:rsid w:val="00A3028E"/>
    <w:rsid w:val="00A30C55"/>
    <w:rsid w:val="00A311BB"/>
    <w:rsid w:val="00A31FEA"/>
    <w:rsid w:val="00A32C77"/>
    <w:rsid w:val="00A32D77"/>
    <w:rsid w:val="00A33196"/>
    <w:rsid w:val="00A33BAC"/>
    <w:rsid w:val="00A33D6F"/>
    <w:rsid w:val="00A34810"/>
    <w:rsid w:val="00A355B5"/>
    <w:rsid w:val="00A357B1"/>
    <w:rsid w:val="00A35A0C"/>
    <w:rsid w:val="00A35D74"/>
    <w:rsid w:val="00A36601"/>
    <w:rsid w:val="00A367EB"/>
    <w:rsid w:val="00A36E99"/>
    <w:rsid w:val="00A4058E"/>
    <w:rsid w:val="00A4074B"/>
    <w:rsid w:val="00A40B59"/>
    <w:rsid w:val="00A4103F"/>
    <w:rsid w:val="00A41288"/>
    <w:rsid w:val="00A41AE3"/>
    <w:rsid w:val="00A424C0"/>
    <w:rsid w:val="00A424C5"/>
    <w:rsid w:val="00A42EDD"/>
    <w:rsid w:val="00A4335C"/>
    <w:rsid w:val="00A438C8"/>
    <w:rsid w:val="00A444EC"/>
    <w:rsid w:val="00A44DA6"/>
    <w:rsid w:val="00A44F6F"/>
    <w:rsid w:val="00A44FFE"/>
    <w:rsid w:val="00A45092"/>
    <w:rsid w:val="00A450D2"/>
    <w:rsid w:val="00A45F9F"/>
    <w:rsid w:val="00A46408"/>
    <w:rsid w:val="00A46504"/>
    <w:rsid w:val="00A47337"/>
    <w:rsid w:val="00A473B8"/>
    <w:rsid w:val="00A4796F"/>
    <w:rsid w:val="00A50BE7"/>
    <w:rsid w:val="00A50FC6"/>
    <w:rsid w:val="00A51627"/>
    <w:rsid w:val="00A5168B"/>
    <w:rsid w:val="00A519B4"/>
    <w:rsid w:val="00A51F8A"/>
    <w:rsid w:val="00A526FD"/>
    <w:rsid w:val="00A52D13"/>
    <w:rsid w:val="00A52F18"/>
    <w:rsid w:val="00A533C5"/>
    <w:rsid w:val="00A54411"/>
    <w:rsid w:val="00A54AE9"/>
    <w:rsid w:val="00A54BDE"/>
    <w:rsid w:val="00A55F87"/>
    <w:rsid w:val="00A56613"/>
    <w:rsid w:val="00A57275"/>
    <w:rsid w:val="00A5757A"/>
    <w:rsid w:val="00A579BE"/>
    <w:rsid w:val="00A605DB"/>
    <w:rsid w:val="00A60E24"/>
    <w:rsid w:val="00A619AF"/>
    <w:rsid w:val="00A619F9"/>
    <w:rsid w:val="00A61DFD"/>
    <w:rsid w:val="00A621EB"/>
    <w:rsid w:val="00A6284E"/>
    <w:rsid w:val="00A628FB"/>
    <w:rsid w:val="00A62F76"/>
    <w:rsid w:val="00A63ABA"/>
    <w:rsid w:val="00A651B9"/>
    <w:rsid w:val="00A65A23"/>
    <w:rsid w:val="00A65A5A"/>
    <w:rsid w:val="00A66616"/>
    <w:rsid w:val="00A6668E"/>
    <w:rsid w:val="00A66715"/>
    <w:rsid w:val="00A6691A"/>
    <w:rsid w:val="00A670ED"/>
    <w:rsid w:val="00A67543"/>
    <w:rsid w:val="00A677E0"/>
    <w:rsid w:val="00A67F90"/>
    <w:rsid w:val="00A7090A"/>
    <w:rsid w:val="00A711BA"/>
    <w:rsid w:val="00A7181D"/>
    <w:rsid w:val="00A7182C"/>
    <w:rsid w:val="00A71980"/>
    <w:rsid w:val="00A71A16"/>
    <w:rsid w:val="00A73198"/>
    <w:rsid w:val="00A731E6"/>
    <w:rsid w:val="00A73278"/>
    <w:rsid w:val="00A7334B"/>
    <w:rsid w:val="00A733E5"/>
    <w:rsid w:val="00A7356C"/>
    <w:rsid w:val="00A73F3F"/>
    <w:rsid w:val="00A74134"/>
    <w:rsid w:val="00A75A1B"/>
    <w:rsid w:val="00A75FA4"/>
    <w:rsid w:val="00A76047"/>
    <w:rsid w:val="00A7610D"/>
    <w:rsid w:val="00A76391"/>
    <w:rsid w:val="00A76931"/>
    <w:rsid w:val="00A77F1D"/>
    <w:rsid w:val="00A812DC"/>
    <w:rsid w:val="00A821FC"/>
    <w:rsid w:val="00A82C29"/>
    <w:rsid w:val="00A82CF5"/>
    <w:rsid w:val="00A8322C"/>
    <w:rsid w:val="00A8326B"/>
    <w:rsid w:val="00A832F2"/>
    <w:rsid w:val="00A84DAE"/>
    <w:rsid w:val="00A86093"/>
    <w:rsid w:val="00A86A05"/>
    <w:rsid w:val="00A86B45"/>
    <w:rsid w:val="00A870DF"/>
    <w:rsid w:val="00A8768F"/>
    <w:rsid w:val="00A9139C"/>
    <w:rsid w:val="00A913B1"/>
    <w:rsid w:val="00A91628"/>
    <w:rsid w:val="00A91EF2"/>
    <w:rsid w:val="00A91FA8"/>
    <w:rsid w:val="00A92136"/>
    <w:rsid w:val="00A93D4F"/>
    <w:rsid w:val="00A94984"/>
    <w:rsid w:val="00A94C80"/>
    <w:rsid w:val="00A9526C"/>
    <w:rsid w:val="00A95685"/>
    <w:rsid w:val="00A95E80"/>
    <w:rsid w:val="00A95EBA"/>
    <w:rsid w:val="00A95EF8"/>
    <w:rsid w:val="00A96A2B"/>
    <w:rsid w:val="00A96B72"/>
    <w:rsid w:val="00A970D6"/>
    <w:rsid w:val="00A97AB1"/>
    <w:rsid w:val="00AA00CE"/>
    <w:rsid w:val="00AA0127"/>
    <w:rsid w:val="00AA0480"/>
    <w:rsid w:val="00AA0CE0"/>
    <w:rsid w:val="00AA0FB7"/>
    <w:rsid w:val="00AA1519"/>
    <w:rsid w:val="00AA1C4C"/>
    <w:rsid w:val="00AA1E70"/>
    <w:rsid w:val="00AA2979"/>
    <w:rsid w:val="00AA2B9D"/>
    <w:rsid w:val="00AA2DEE"/>
    <w:rsid w:val="00AA30E1"/>
    <w:rsid w:val="00AA35EE"/>
    <w:rsid w:val="00AA36CC"/>
    <w:rsid w:val="00AA3970"/>
    <w:rsid w:val="00AA4A2F"/>
    <w:rsid w:val="00AA535D"/>
    <w:rsid w:val="00AA5621"/>
    <w:rsid w:val="00AA5D6F"/>
    <w:rsid w:val="00AA5E97"/>
    <w:rsid w:val="00AA645A"/>
    <w:rsid w:val="00AA6956"/>
    <w:rsid w:val="00AA6F07"/>
    <w:rsid w:val="00AA72A9"/>
    <w:rsid w:val="00AA74EF"/>
    <w:rsid w:val="00AA766E"/>
    <w:rsid w:val="00AA7A47"/>
    <w:rsid w:val="00AB0AC4"/>
    <w:rsid w:val="00AB0B52"/>
    <w:rsid w:val="00AB2208"/>
    <w:rsid w:val="00AB2963"/>
    <w:rsid w:val="00AB349F"/>
    <w:rsid w:val="00AB36FB"/>
    <w:rsid w:val="00AB393A"/>
    <w:rsid w:val="00AB42B3"/>
    <w:rsid w:val="00AB4321"/>
    <w:rsid w:val="00AB4BB8"/>
    <w:rsid w:val="00AB5CB9"/>
    <w:rsid w:val="00AB5D34"/>
    <w:rsid w:val="00AB66BB"/>
    <w:rsid w:val="00AB6CA6"/>
    <w:rsid w:val="00AB6D19"/>
    <w:rsid w:val="00AB7F83"/>
    <w:rsid w:val="00AC0032"/>
    <w:rsid w:val="00AC008D"/>
    <w:rsid w:val="00AC0534"/>
    <w:rsid w:val="00AC0D03"/>
    <w:rsid w:val="00AC1808"/>
    <w:rsid w:val="00AC192A"/>
    <w:rsid w:val="00AC221E"/>
    <w:rsid w:val="00AC225F"/>
    <w:rsid w:val="00AC22E7"/>
    <w:rsid w:val="00AC2872"/>
    <w:rsid w:val="00AC3DDE"/>
    <w:rsid w:val="00AC3FED"/>
    <w:rsid w:val="00AC4AB5"/>
    <w:rsid w:val="00AC4D9F"/>
    <w:rsid w:val="00AC533A"/>
    <w:rsid w:val="00AC5A53"/>
    <w:rsid w:val="00AC5BFF"/>
    <w:rsid w:val="00AC5E55"/>
    <w:rsid w:val="00AC5F1D"/>
    <w:rsid w:val="00AC6593"/>
    <w:rsid w:val="00AC65A7"/>
    <w:rsid w:val="00AC677F"/>
    <w:rsid w:val="00AC6D5B"/>
    <w:rsid w:val="00AD00FC"/>
    <w:rsid w:val="00AD01DB"/>
    <w:rsid w:val="00AD0547"/>
    <w:rsid w:val="00AD11A2"/>
    <w:rsid w:val="00AD15E3"/>
    <w:rsid w:val="00AD1655"/>
    <w:rsid w:val="00AD186A"/>
    <w:rsid w:val="00AD1E2D"/>
    <w:rsid w:val="00AD2041"/>
    <w:rsid w:val="00AD2511"/>
    <w:rsid w:val="00AD25D1"/>
    <w:rsid w:val="00AD277C"/>
    <w:rsid w:val="00AD38E8"/>
    <w:rsid w:val="00AD4184"/>
    <w:rsid w:val="00AD49D3"/>
    <w:rsid w:val="00AD533E"/>
    <w:rsid w:val="00AD5D43"/>
    <w:rsid w:val="00AD60F1"/>
    <w:rsid w:val="00AD6330"/>
    <w:rsid w:val="00AD6532"/>
    <w:rsid w:val="00AD6863"/>
    <w:rsid w:val="00AD690B"/>
    <w:rsid w:val="00AD76B2"/>
    <w:rsid w:val="00AD7DB9"/>
    <w:rsid w:val="00AE0D51"/>
    <w:rsid w:val="00AE115F"/>
    <w:rsid w:val="00AE17EE"/>
    <w:rsid w:val="00AE1A25"/>
    <w:rsid w:val="00AE338B"/>
    <w:rsid w:val="00AE36A3"/>
    <w:rsid w:val="00AE39C4"/>
    <w:rsid w:val="00AE3BDF"/>
    <w:rsid w:val="00AE4A44"/>
    <w:rsid w:val="00AE5829"/>
    <w:rsid w:val="00AE5E44"/>
    <w:rsid w:val="00AE65D8"/>
    <w:rsid w:val="00AE6A70"/>
    <w:rsid w:val="00AE6AD1"/>
    <w:rsid w:val="00AE6B77"/>
    <w:rsid w:val="00AE72B1"/>
    <w:rsid w:val="00AF100B"/>
    <w:rsid w:val="00AF1374"/>
    <w:rsid w:val="00AF1D4D"/>
    <w:rsid w:val="00AF20E2"/>
    <w:rsid w:val="00AF216A"/>
    <w:rsid w:val="00AF236A"/>
    <w:rsid w:val="00AF27F2"/>
    <w:rsid w:val="00AF33ED"/>
    <w:rsid w:val="00AF356C"/>
    <w:rsid w:val="00AF35FE"/>
    <w:rsid w:val="00AF3C89"/>
    <w:rsid w:val="00AF3CA3"/>
    <w:rsid w:val="00AF4618"/>
    <w:rsid w:val="00AF466B"/>
    <w:rsid w:val="00AF4E60"/>
    <w:rsid w:val="00AF5429"/>
    <w:rsid w:val="00AF556E"/>
    <w:rsid w:val="00AF574A"/>
    <w:rsid w:val="00AF594D"/>
    <w:rsid w:val="00AF5A3A"/>
    <w:rsid w:val="00AF5FEB"/>
    <w:rsid w:val="00AF62E1"/>
    <w:rsid w:val="00AF6901"/>
    <w:rsid w:val="00AF6A20"/>
    <w:rsid w:val="00AF74D9"/>
    <w:rsid w:val="00AF77D3"/>
    <w:rsid w:val="00B000C2"/>
    <w:rsid w:val="00B00248"/>
    <w:rsid w:val="00B01206"/>
    <w:rsid w:val="00B0206C"/>
    <w:rsid w:val="00B02626"/>
    <w:rsid w:val="00B0281D"/>
    <w:rsid w:val="00B02C84"/>
    <w:rsid w:val="00B02D14"/>
    <w:rsid w:val="00B03883"/>
    <w:rsid w:val="00B0447F"/>
    <w:rsid w:val="00B045AF"/>
    <w:rsid w:val="00B04F90"/>
    <w:rsid w:val="00B0520C"/>
    <w:rsid w:val="00B059BF"/>
    <w:rsid w:val="00B065D7"/>
    <w:rsid w:val="00B06F43"/>
    <w:rsid w:val="00B07BA2"/>
    <w:rsid w:val="00B10995"/>
    <w:rsid w:val="00B109AC"/>
    <w:rsid w:val="00B10F9A"/>
    <w:rsid w:val="00B11535"/>
    <w:rsid w:val="00B11C1A"/>
    <w:rsid w:val="00B1210C"/>
    <w:rsid w:val="00B12281"/>
    <w:rsid w:val="00B12851"/>
    <w:rsid w:val="00B12E06"/>
    <w:rsid w:val="00B13356"/>
    <w:rsid w:val="00B160DD"/>
    <w:rsid w:val="00B17AD6"/>
    <w:rsid w:val="00B200E8"/>
    <w:rsid w:val="00B20892"/>
    <w:rsid w:val="00B20AAD"/>
    <w:rsid w:val="00B20B75"/>
    <w:rsid w:val="00B21465"/>
    <w:rsid w:val="00B228CA"/>
    <w:rsid w:val="00B22935"/>
    <w:rsid w:val="00B22F05"/>
    <w:rsid w:val="00B23D84"/>
    <w:rsid w:val="00B240C2"/>
    <w:rsid w:val="00B243BE"/>
    <w:rsid w:val="00B2465D"/>
    <w:rsid w:val="00B2490B"/>
    <w:rsid w:val="00B24B88"/>
    <w:rsid w:val="00B24C2D"/>
    <w:rsid w:val="00B251DC"/>
    <w:rsid w:val="00B255EE"/>
    <w:rsid w:val="00B25727"/>
    <w:rsid w:val="00B25FF2"/>
    <w:rsid w:val="00B261B4"/>
    <w:rsid w:val="00B26566"/>
    <w:rsid w:val="00B26AAA"/>
    <w:rsid w:val="00B26EB9"/>
    <w:rsid w:val="00B27047"/>
    <w:rsid w:val="00B2714A"/>
    <w:rsid w:val="00B2750F"/>
    <w:rsid w:val="00B27873"/>
    <w:rsid w:val="00B27BB9"/>
    <w:rsid w:val="00B27C16"/>
    <w:rsid w:val="00B31203"/>
    <w:rsid w:val="00B31E4A"/>
    <w:rsid w:val="00B32441"/>
    <w:rsid w:val="00B32467"/>
    <w:rsid w:val="00B32CAA"/>
    <w:rsid w:val="00B3314A"/>
    <w:rsid w:val="00B335C3"/>
    <w:rsid w:val="00B33ABF"/>
    <w:rsid w:val="00B340E0"/>
    <w:rsid w:val="00B347A2"/>
    <w:rsid w:val="00B347E7"/>
    <w:rsid w:val="00B34CF4"/>
    <w:rsid w:val="00B34F3F"/>
    <w:rsid w:val="00B34F95"/>
    <w:rsid w:val="00B357E0"/>
    <w:rsid w:val="00B36822"/>
    <w:rsid w:val="00B36A29"/>
    <w:rsid w:val="00B3712F"/>
    <w:rsid w:val="00B37D54"/>
    <w:rsid w:val="00B4033F"/>
    <w:rsid w:val="00B40B5A"/>
    <w:rsid w:val="00B4172A"/>
    <w:rsid w:val="00B41890"/>
    <w:rsid w:val="00B41E09"/>
    <w:rsid w:val="00B41E80"/>
    <w:rsid w:val="00B42325"/>
    <w:rsid w:val="00B4296A"/>
    <w:rsid w:val="00B42E1F"/>
    <w:rsid w:val="00B43427"/>
    <w:rsid w:val="00B4345C"/>
    <w:rsid w:val="00B43E56"/>
    <w:rsid w:val="00B44FE2"/>
    <w:rsid w:val="00B4505D"/>
    <w:rsid w:val="00B45192"/>
    <w:rsid w:val="00B4531E"/>
    <w:rsid w:val="00B453BC"/>
    <w:rsid w:val="00B45F14"/>
    <w:rsid w:val="00B46E59"/>
    <w:rsid w:val="00B471BB"/>
    <w:rsid w:val="00B47CF9"/>
    <w:rsid w:val="00B5016F"/>
    <w:rsid w:val="00B51509"/>
    <w:rsid w:val="00B51591"/>
    <w:rsid w:val="00B518CA"/>
    <w:rsid w:val="00B525A2"/>
    <w:rsid w:val="00B53A55"/>
    <w:rsid w:val="00B54153"/>
    <w:rsid w:val="00B548B1"/>
    <w:rsid w:val="00B553D6"/>
    <w:rsid w:val="00B564D6"/>
    <w:rsid w:val="00B56CC5"/>
    <w:rsid w:val="00B56D98"/>
    <w:rsid w:val="00B57B91"/>
    <w:rsid w:val="00B57F6B"/>
    <w:rsid w:val="00B6099D"/>
    <w:rsid w:val="00B60BE2"/>
    <w:rsid w:val="00B60D90"/>
    <w:rsid w:val="00B61031"/>
    <w:rsid w:val="00B61827"/>
    <w:rsid w:val="00B62A84"/>
    <w:rsid w:val="00B62DAE"/>
    <w:rsid w:val="00B633F6"/>
    <w:rsid w:val="00B63A62"/>
    <w:rsid w:val="00B63B62"/>
    <w:rsid w:val="00B63DB9"/>
    <w:rsid w:val="00B645B4"/>
    <w:rsid w:val="00B65FAE"/>
    <w:rsid w:val="00B6602A"/>
    <w:rsid w:val="00B66765"/>
    <w:rsid w:val="00B668AD"/>
    <w:rsid w:val="00B6693A"/>
    <w:rsid w:val="00B66DEB"/>
    <w:rsid w:val="00B6738C"/>
    <w:rsid w:val="00B67F5D"/>
    <w:rsid w:val="00B70783"/>
    <w:rsid w:val="00B71AF0"/>
    <w:rsid w:val="00B71BB4"/>
    <w:rsid w:val="00B72181"/>
    <w:rsid w:val="00B721BB"/>
    <w:rsid w:val="00B72232"/>
    <w:rsid w:val="00B723F2"/>
    <w:rsid w:val="00B72972"/>
    <w:rsid w:val="00B72976"/>
    <w:rsid w:val="00B72BAF"/>
    <w:rsid w:val="00B7321B"/>
    <w:rsid w:val="00B73671"/>
    <w:rsid w:val="00B7410F"/>
    <w:rsid w:val="00B745A3"/>
    <w:rsid w:val="00B7462C"/>
    <w:rsid w:val="00B7511E"/>
    <w:rsid w:val="00B75150"/>
    <w:rsid w:val="00B75248"/>
    <w:rsid w:val="00B75CD4"/>
    <w:rsid w:val="00B76500"/>
    <w:rsid w:val="00B777BE"/>
    <w:rsid w:val="00B777DC"/>
    <w:rsid w:val="00B77AB7"/>
    <w:rsid w:val="00B77C34"/>
    <w:rsid w:val="00B80290"/>
    <w:rsid w:val="00B80E3F"/>
    <w:rsid w:val="00B81032"/>
    <w:rsid w:val="00B82998"/>
    <w:rsid w:val="00B83033"/>
    <w:rsid w:val="00B833AD"/>
    <w:rsid w:val="00B837E0"/>
    <w:rsid w:val="00B84010"/>
    <w:rsid w:val="00B85518"/>
    <w:rsid w:val="00B8567C"/>
    <w:rsid w:val="00B856FB"/>
    <w:rsid w:val="00B857A0"/>
    <w:rsid w:val="00B86026"/>
    <w:rsid w:val="00B864F0"/>
    <w:rsid w:val="00B86F1D"/>
    <w:rsid w:val="00B87196"/>
    <w:rsid w:val="00B90073"/>
    <w:rsid w:val="00B90386"/>
    <w:rsid w:val="00B9103E"/>
    <w:rsid w:val="00B91270"/>
    <w:rsid w:val="00B914D9"/>
    <w:rsid w:val="00B92078"/>
    <w:rsid w:val="00B920B2"/>
    <w:rsid w:val="00B924B5"/>
    <w:rsid w:val="00B9270D"/>
    <w:rsid w:val="00B92D0E"/>
    <w:rsid w:val="00B92FC8"/>
    <w:rsid w:val="00B93A27"/>
    <w:rsid w:val="00B94831"/>
    <w:rsid w:val="00B94EAA"/>
    <w:rsid w:val="00B94ED3"/>
    <w:rsid w:val="00B96072"/>
    <w:rsid w:val="00B9626A"/>
    <w:rsid w:val="00B969CE"/>
    <w:rsid w:val="00B96D48"/>
    <w:rsid w:val="00B96D95"/>
    <w:rsid w:val="00B971F9"/>
    <w:rsid w:val="00B97374"/>
    <w:rsid w:val="00B974EB"/>
    <w:rsid w:val="00B975B1"/>
    <w:rsid w:val="00B97D6E"/>
    <w:rsid w:val="00B97F68"/>
    <w:rsid w:val="00BA15D6"/>
    <w:rsid w:val="00BA15EA"/>
    <w:rsid w:val="00BA2194"/>
    <w:rsid w:val="00BA2ACC"/>
    <w:rsid w:val="00BA2EEF"/>
    <w:rsid w:val="00BA30D1"/>
    <w:rsid w:val="00BA39C1"/>
    <w:rsid w:val="00BA51DF"/>
    <w:rsid w:val="00BA5656"/>
    <w:rsid w:val="00BA5942"/>
    <w:rsid w:val="00BA618E"/>
    <w:rsid w:val="00BA6993"/>
    <w:rsid w:val="00BA6CA3"/>
    <w:rsid w:val="00BA6D2A"/>
    <w:rsid w:val="00BA6DB4"/>
    <w:rsid w:val="00BA7223"/>
    <w:rsid w:val="00BA74D8"/>
    <w:rsid w:val="00BA7C80"/>
    <w:rsid w:val="00BB0475"/>
    <w:rsid w:val="00BB054B"/>
    <w:rsid w:val="00BB0C0B"/>
    <w:rsid w:val="00BB15E4"/>
    <w:rsid w:val="00BB172F"/>
    <w:rsid w:val="00BB18BA"/>
    <w:rsid w:val="00BB1CDD"/>
    <w:rsid w:val="00BB1FAE"/>
    <w:rsid w:val="00BB210F"/>
    <w:rsid w:val="00BB25CB"/>
    <w:rsid w:val="00BB2CE5"/>
    <w:rsid w:val="00BB3A65"/>
    <w:rsid w:val="00BB3DB7"/>
    <w:rsid w:val="00BB4D36"/>
    <w:rsid w:val="00BB5701"/>
    <w:rsid w:val="00BB6B6D"/>
    <w:rsid w:val="00BB7064"/>
    <w:rsid w:val="00BC02B9"/>
    <w:rsid w:val="00BC0465"/>
    <w:rsid w:val="00BC0A7E"/>
    <w:rsid w:val="00BC0B4B"/>
    <w:rsid w:val="00BC126B"/>
    <w:rsid w:val="00BC1640"/>
    <w:rsid w:val="00BC1737"/>
    <w:rsid w:val="00BC17FD"/>
    <w:rsid w:val="00BC1C90"/>
    <w:rsid w:val="00BC2DE1"/>
    <w:rsid w:val="00BC303D"/>
    <w:rsid w:val="00BC3ED4"/>
    <w:rsid w:val="00BC4E09"/>
    <w:rsid w:val="00BC60DE"/>
    <w:rsid w:val="00BC67DA"/>
    <w:rsid w:val="00BC6974"/>
    <w:rsid w:val="00BC6A6A"/>
    <w:rsid w:val="00BC6C61"/>
    <w:rsid w:val="00BC76AA"/>
    <w:rsid w:val="00BD19D3"/>
    <w:rsid w:val="00BD20DA"/>
    <w:rsid w:val="00BD2268"/>
    <w:rsid w:val="00BD25BD"/>
    <w:rsid w:val="00BD303A"/>
    <w:rsid w:val="00BD3694"/>
    <w:rsid w:val="00BD3C12"/>
    <w:rsid w:val="00BD4B08"/>
    <w:rsid w:val="00BD4CD7"/>
    <w:rsid w:val="00BD4FC5"/>
    <w:rsid w:val="00BD51C7"/>
    <w:rsid w:val="00BD522D"/>
    <w:rsid w:val="00BD5DC3"/>
    <w:rsid w:val="00BD66D0"/>
    <w:rsid w:val="00BD69B9"/>
    <w:rsid w:val="00BD6F58"/>
    <w:rsid w:val="00BD7044"/>
    <w:rsid w:val="00BD773B"/>
    <w:rsid w:val="00BD7AC2"/>
    <w:rsid w:val="00BD7EBD"/>
    <w:rsid w:val="00BE0A71"/>
    <w:rsid w:val="00BE0A72"/>
    <w:rsid w:val="00BE132B"/>
    <w:rsid w:val="00BE16CD"/>
    <w:rsid w:val="00BE1881"/>
    <w:rsid w:val="00BE19F1"/>
    <w:rsid w:val="00BE291A"/>
    <w:rsid w:val="00BE2994"/>
    <w:rsid w:val="00BE2F4D"/>
    <w:rsid w:val="00BE2FB9"/>
    <w:rsid w:val="00BE377F"/>
    <w:rsid w:val="00BE43A2"/>
    <w:rsid w:val="00BE4DBA"/>
    <w:rsid w:val="00BE5050"/>
    <w:rsid w:val="00BE5240"/>
    <w:rsid w:val="00BE5483"/>
    <w:rsid w:val="00BE5744"/>
    <w:rsid w:val="00BE6150"/>
    <w:rsid w:val="00BE666B"/>
    <w:rsid w:val="00BE69CF"/>
    <w:rsid w:val="00BE74FF"/>
    <w:rsid w:val="00BE77FE"/>
    <w:rsid w:val="00BE783E"/>
    <w:rsid w:val="00BF0129"/>
    <w:rsid w:val="00BF0664"/>
    <w:rsid w:val="00BF0E49"/>
    <w:rsid w:val="00BF2323"/>
    <w:rsid w:val="00BF32B4"/>
    <w:rsid w:val="00BF3A53"/>
    <w:rsid w:val="00BF3B9E"/>
    <w:rsid w:val="00BF48D3"/>
    <w:rsid w:val="00BF4BE2"/>
    <w:rsid w:val="00BF54DB"/>
    <w:rsid w:val="00BF57FF"/>
    <w:rsid w:val="00BF5AB8"/>
    <w:rsid w:val="00BF5CF5"/>
    <w:rsid w:val="00BF615B"/>
    <w:rsid w:val="00BF6F58"/>
    <w:rsid w:val="00BF75E4"/>
    <w:rsid w:val="00BF75EB"/>
    <w:rsid w:val="00BF79D5"/>
    <w:rsid w:val="00BF7E5A"/>
    <w:rsid w:val="00C00022"/>
    <w:rsid w:val="00C002F4"/>
    <w:rsid w:val="00C00DEA"/>
    <w:rsid w:val="00C01AE1"/>
    <w:rsid w:val="00C01E44"/>
    <w:rsid w:val="00C02BB3"/>
    <w:rsid w:val="00C02F34"/>
    <w:rsid w:val="00C03332"/>
    <w:rsid w:val="00C03459"/>
    <w:rsid w:val="00C03D14"/>
    <w:rsid w:val="00C04784"/>
    <w:rsid w:val="00C055DC"/>
    <w:rsid w:val="00C05811"/>
    <w:rsid w:val="00C05BB7"/>
    <w:rsid w:val="00C05DD2"/>
    <w:rsid w:val="00C062F5"/>
    <w:rsid w:val="00C064CE"/>
    <w:rsid w:val="00C0657A"/>
    <w:rsid w:val="00C06A81"/>
    <w:rsid w:val="00C07824"/>
    <w:rsid w:val="00C105FF"/>
    <w:rsid w:val="00C10923"/>
    <w:rsid w:val="00C112F5"/>
    <w:rsid w:val="00C11676"/>
    <w:rsid w:val="00C1243A"/>
    <w:rsid w:val="00C12457"/>
    <w:rsid w:val="00C136C6"/>
    <w:rsid w:val="00C137F2"/>
    <w:rsid w:val="00C138F6"/>
    <w:rsid w:val="00C13905"/>
    <w:rsid w:val="00C13F0C"/>
    <w:rsid w:val="00C14143"/>
    <w:rsid w:val="00C15215"/>
    <w:rsid w:val="00C1599B"/>
    <w:rsid w:val="00C1669B"/>
    <w:rsid w:val="00C169DA"/>
    <w:rsid w:val="00C16B6B"/>
    <w:rsid w:val="00C16CC5"/>
    <w:rsid w:val="00C1710D"/>
    <w:rsid w:val="00C17D1D"/>
    <w:rsid w:val="00C223C4"/>
    <w:rsid w:val="00C22984"/>
    <w:rsid w:val="00C234DD"/>
    <w:rsid w:val="00C23779"/>
    <w:rsid w:val="00C2397C"/>
    <w:rsid w:val="00C23AB6"/>
    <w:rsid w:val="00C248FB"/>
    <w:rsid w:val="00C25434"/>
    <w:rsid w:val="00C2597A"/>
    <w:rsid w:val="00C26649"/>
    <w:rsid w:val="00C27A78"/>
    <w:rsid w:val="00C30089"/>
    <w:rsid w:val="00C304EA"/>
    <w:rsid w:val="00C30E61"/>
    <w:rsid w:val="00C31214"/>
    <w:rsid w:val="00C319E3"/>
    <w:rsid w:val="00C31ADF"/>
    <w:rsid w:val="00C31CD7"/>
    <w:rsid w:val="00C3204C"/>
    <w:rsid w:val="00C3253D"/>
    <w:rsid w:val="00C32C95"/>
    <w:rsid w:val="00C3310B"/>
    <w:rsid w:val="00C3310E"/>
    <w:rsid w:val="00C33482"/>
    <w:rsid w:val="00C33597"/>
    <w:rsid w:val="00C33C7F"/>
    <w:rsid w:val="00C340D6"/>
    <w:rsid w:val="00C34225"/>
    <w:rsid w:val="00C34E19"/>
    <w:rsid w:val="00C34F0F"/>
    <w:rsid w:val="00C35846"/>
    <w:rsid w:val="00C35D68"/>
    <w:rsid w:val="00C36C69"/>
    <w:rsid w:val="00C36D04"/>
    <w:rsid w:val="00C37488"/>
    <w:rsid w:val="00C37B64"/>
    <w:rsid w:val="00C40404"/>
    <w:rsid w:val="00C40677"/>
    <w:rsid w:val="00C40B5A"/>
    <w:rsid w:val="00C421CB"/>
    <w:rsid w:val="00C42361"/>
    <w:rsid w:val="00C42847"/>
    <w:rsid w:val="00C42A91"/>
    <w:rsid w:val="00C42B83"/>
    <w:rsid w:val="00C442BA"/>
    <w:rsid w:val="00C44CD6"/>
    <w:rsid w:val="00C45CD3"/>
    <w:rsid w:val="00C45D13"/>
    <w:rsid w:val="00C45E4C"/>
    <w:rsid w:val="00C4606B"/>
    <w:rsid w:val="00C465FF"/>
    <w:rsid w:val="00C4745B"/>
    <w:rsid w:val="00C47552"/>
    <w:rsid w:val="00C47F9C"/>
    <w:rsid w:val="00C5075A"/>
    <w:rsid w:val="00C513C0"/>
    <w:rsid w:val="00C517D6"/>
    <w:rsid w:val="00C52368"/>
    <w:rsid w:val="00C524A3"/>
    <w:rsid w:val="00C52796"/>
    <w:rsid w:val="00C53032"/>
    <w:rsid w:val="00C541C5"/>
    <w:rsid w:val="00C55146"/>
    <w:rsid w:val="00C553C1"/>
    <w:rsid w:val="00C559FA"/>
    <w:rsid w:val="00C55AA7"/>
    <w:rsid w:val="00C55C19"/>
    <w:rsid w:val="00C56B2D"/>
    <w:rsid w:val="00C56E54"/>
    <w:rsid w:val="00C572AE"/>
    <w:rsid w:val="00C572D7"/>
    <w:rsid w:val="00C576E1"/>
    <w:rsid w:val="00C578E8"/>
    <w:rsid w:val="00C57FE5"/>
    <w:rsid w:val="00C60562"/>
    <w:rsid w:val="00C60D07"/>
    <w:rsid w:val="00C615D6"/>
    <w:rsid w:val="00C6169B"/>
    <w:rsid w:val="00C61BC1"/>
    <w:rsid w:val="00C62877"/>
    <w:rsid w:val="00C62DE2"/>
    <w:rsid w:val="00C63956"/>
    <w:rsid w:val="00C63BA3"/>
    <w:rsid w:val="00C63DDB"/>
    <w:rsid w:val="00C6463C"/>
    <w:rsid w:val="00C646DD"/>
    <w:rsid w:val="00C64C26"/>
    <w:rsid w:val="00C652B3"/>
    <w:rsid w:val="00C6605B"/>
    <w:rsid w:val="00C6618D"/>
    <w:rsid w:val="00C668A5"/>
    <w:rsid w:val="00C66E54"/>
    <w:rsid w:val="00C673D6"/>
    <w:rsid w:val="00C676C7"/>
    <w:rsid w:val="00C67CEF"/>
    <w:rsid w:val="00C701A1"/>
    <w:rsid w:val="00C706EA"/>
    <w:rsid w:val="00C70927"/>
    <w:rsid w:val="00C71099"/>
    <w:rsid w:val="00C71288"/>
    <w:rsid w:val="00C71679"/>
    <w:rsid w:val="00C7178F"/>
    <w:rsid w:val="00C71B6E"/>
    <w:rsid w:val="00C71E95"/>
    <w:rsid w:val="00C7213E"/>
    <w:rsid w:val="00C72E11"/>
    <w:rsid w:val="00C737DB"/>
    <w:rsid w:val="00C73A33"/>
    <w:rsid w:val="00C73BCF"/>
    <w:rsid w:val="00C74935"/>
    <w:rsid w:val="00C74AB8"/>
    <w:rsid w:val="00C754AB"/>
    <w:rsid w:val="00C756A9"/>
    <w:rsid w:val="00C7570F"/>
    <w:rsid w:val="00C75D67"/>
    <w:rsid w:val="00C772D5"/>
    <w:rsid w:val="00C77A28"/>
    <w:rsid w:val="00C77BDD"/>
    <w:rsid w:val="00C77CCE"/>
    <w:rsid w:val="00C80A7A"/>
    <w:rsid w:val="00C80B70"/>
    <w:rsid w:val="00C80C47"/>
    <w:rsid w:val="00C80E09"/>
    <w:rsid w:val="00C81C4C"/>
    <w:rsid w:val="00C82323"/>
    <w:rsid w:val="00C82A1C"/>
    <w:rsid w:val="00C832F1"/>
    <w:rsid w:val="00C8434A"/>
    <w:rsid w:val="00C8446F"/>
    <w:rsid w:val="00C84BC4"/>
    <w:rsid w:val="00C84C17"/>
    <w:rsid w:val="00C85F33"/>
    <w:rsid w:val="00C869E0"/>
    <w:rsid w:val="00C86A85"/>
    <w:rsid w:val="00C8773C"/>
    <w:rsid w:val="00C878BB"/>
    <w:rsid w:val="00C9099E"/>
    <w:rsid w:val="00C91444"/>
    <w:rsid w:val="00C9168B"/>
    <w:rsid w:val="00C921C6"/>
    <w:rsid w:val="00C9230B"/>
    <w:rsid w:val="00C92798"/>
    <w:rsid w:val="00C930EC"/>
    <w:rsid w:val="00C93475"/>
    <w:rsid w:val="00C93788"/>
    <w:rsid w:val="00C93EAF"/>
    <w:rsid w:val="00C94440"/>
    <w:rsid w:val="00C946EB"/>
    <w:rsid w:val="00C94C94"/>
    <w:rsid w:val="00C94CAE"/>
    <w:rsid w:val="00C94EEC"/>
    <w:rsid w:val="00C9551D"/>
    <w:rsid w:val="00C9634E"/>
    <w:rsid w:val="00C96370"/>
    <w:rsid w:val="00CA0A3C"/>
    <w:rsid w:val="00CA0E3B"/>
    <w:rsid w:val="00CA0FCB"/>
    <w:rsid w:val="00CA1186"/>
    <w:rsid w:val="00CA2CAC"/>
    <w:rsid w:val="00CA3116"/>
    <w:rsid w:val="00CA31BE"/>
    <w:rsid w:val="00CA31EC"/>
    <w:rsid w:val="00CA38EE"/>
    <w:rsid w:val="00CA3BF8"/>
    <w:rsid w:val="00CA4414"/>
    <w:rsid w:val="00CA496D"/>
    <w:rsid w:val="00CA4CC4"/>
    <w:rsid w:val="00CA5298"/>
    <w:rsid w:val="00CA5650"/>
    <w:rsid w:val="00CA6213"/>
    <w:rsid w:val="00CA7658"/>
    <w:rsid w:val="00CA7ABA"/>
    <w:rsid w:val="00CB0303"/>
    <w:rsid w:val="00CB0536"/>
    <w:rsid w:val="00CB0BA2"/>
    <w:rsid w:val="00CB0BA8"/>
    <w:rsid w:val="00CB1AF9"/>
    <w:rsid w:val="00CB263E"/>
    <w:rsid w:val="00CB2C93"/>
    <w:rsid w:val="00CB3F1C"/>
    <w:rsid w:val="00CB40B1"/>
    <w:rsid w:val="00CB42A4"/>
    <w:rsid w:val="00CB51F2"/>
    <w:rsid w:val="00CB5365"/>
    <w:rsid w:val="00CB5784"/>
    <w:rsid w:val="00CB5C40"/>
    <w:rsid w:val="00CB64D8"/>
    <w:rsid w:val="00CB6F78"/>
    <w:rsid w:val="00CB6FDA"/>
    <w:rsid w:val="00CB74F3"/>
    <w:rsid w:val="00CB7B9C"/>
    <w:rsid w:val="00CC070B"/>
    <w:rsid w:val="00CC1555"/>
    <w:rsid w:val="00CC1D2C"/>
    <w:rsid w:val="00CC22F9"/>
    <w:rsid w:val="00CC24D6"/>
    <w:rsid w:val="00CC4287"/>
    <w:rsid w:val="00CC44D6"/>
    <w:rsid w:val="00CC499B"/>
    <w:rsid w:val="00CC4A5F"/>
    <w:rsid w:val="00CC4E85"/>
    <w:rsid w:val="00CC5233"/>
    <w:rsid w:val="00CC66E6"/>
    <w:rsid w:val="00CC77F0"/>
    <w:rsid w:val="00CC7CFD"/>
    <w:rsid w:val="00CD0330"/>
    <w:rsid w:val="00CD09AB"/>
    <w:rsid w:val="00CD0A0B"/>
    <w:rsid w:val="00CD0A94"/>
    <w:rsid w:val="00CD0CB6"/>
    <w:rsid w:val="00CD131C"/>
    <w:rsid w:val="00CD1CDB"/>
    <w:rsid w:val="00CD2BD7"/>
    <w:rsid w:val="00CD2EEB"/>
    <w:rsid w:val="00CD2F93"/>
    <w:rsid w:val="00CD2FBE"/>
    <w:rsid w:val="00CD3793"/>
    <w:rsid w:val="00CD42D5"/>
    <w:rsid w:val="00CD44FE"/>
    <w:rsid w:val="00CD4637"/>
    <w:rsid w:val="00CD4DDE"/>
    <w:rsid w:val="00CD5070"/>
    <w:rsid w:val="00CD512F"/>
    <w:rsid w:val="00CD5CB8"/>
    <w:rsid w:val="00CD5F54"/>
    <w:rsid w:val="00CD60EF"/>
    <w:rsid w:val="00CD71AC"/>
    <w:rsid w:val="00CD7455"/>
    <w:rsid w:val="00CD796E"/>
    <w:rsid w:val="00CD79C6"/>
    <w:rsid w:val="00CE0C05"/>
    <w:rsid w:val="00CE1200"/>
    <w:rsid w:val="00CE1C89"/>
    <w:rsid w:val="00CE1D20"/>
    <w:rsid w:val="00CE2635"/>
    <w:rsid w:val="00CE269E"/>
    <w:rsid w:val="00CE2C33"/>
    <w:rsid w:val="00CE3596"/>
    <w:rsid w:val="00CE36F5"/>
    <w:rsid w:val="00CE495B"/>
    <w:rsid w:val="00CE4C5B"/>
    <w:rsid w:val="00CE6B1A"/>
    <w:rsid w:val="00CE6BD4"/>
    <w:rsid w:val="00CE6D07"/>
    <w:rsid w:val="00CE6F4B"/>
    <w:rsid w:val="00CE73E1"/>
    <w:rsid w:val="00CE7704"/>
    <w:rsid w:val="00CF0120"/>
    <w:rsid w:val="00CF0138"/>
    <w:rsid w:val="00CF02EF"/>
    <w:rsid w:val="00CF0524"/>
    <w:rsid w:val="00CF0638"/>
    <w:rsid w:val="00CF1A08"/>
    <w:rsid w:val="00CF1AAD"/>
    <w:rsid w:val="00CF27E2"/>
    <w:rsid w:val="00CF29FB"/>
    <w:rsid w:val="00CF30D3"/>
    <w:rsid w:val="00CF3580"/>
    <w:rsid w:val="00CF3616"/>
    <w:rsid w:val="00CF3A57"/>
    <w:rsid w:val="00CF4365"/>
    <w:rsid w:val="00CF471C"/>
    <w:rsid w:val="00CF4882"/>
    <w:rsid w:val="00CF5265"/>
    <w:rsid w:val="00CF55AC"/>
    <w:rsid w:val="00CF5EEA"/>
    <w:rsid w:val="00CF6CEF"/>
    <w:rsid w:val="00CF6D74"/>
    <w:rsid w:val="00CF7B40"/>
    <w:rsid w:val="00CF7F8A"/>
    <w:rsid w:val="00D009BD"/>
    <w:rsid w:val="00D00BB1"/>
    <w:rsid w:val="00D01359"/>
    <w:rsid w:val="00D01897"/>
    <w:rsid w:val="00D018DC"/>
    <w:rsid w:val="00D01AAA"/>
    <w:rsid w:val="00D02786"/>
    <w:rsid w:val="00D02B0B"/>
    <w:rsid w:val="00D02E8E"/>
    <w:rsid w:val="00D03460"/>
    <w:rsid w:val="00D03615"/>
    <w:rsid w:val="00D03664"/>
    <w:rsid w:val="00D03CCB"/>
    <w:rsid w:val="00D04192"/>
    <w:rsid w:val="00D042EE"/>
    <w:rsid w:val="00D0452D"/>
    <w:rsid w:val="00D05443"/>
    <w:rsid w:val="00D0592F"/>
    <w:rsid w:val="00D05DCE"/>
    <w:rsid w:val="00D05F3E"/>
    <w:rsid w:val="00D0673E"/>
    <w:rsid w:val="00D06C40"/>
    <w:rsid w:val="00D07963"/>
    <w:rsid w:val="00D10418"/>
    <w:rsid w:val="00D1059E"/>
    <w:rsid w:val="00D1097E"/>
    <w:rsid w:val="00D1098E"/>
    <w:rsid w:val="00D10CC3"/>
    <w:rsid w:val="00D11A48"/>
    <w:rsid w:val="00D1375B"/>
    <w:rsid w:val="00D1416C"/>
    <w:rsid w:val="00D1440B"/>
    <w:rsid w:val="00D14705"/>
    <w:rsid w:val="00D147E3"/>
    <w:rsid w:val="00D14AF6"/>
    <w:rsid w:val="00D1504E"/>
    <w:rsid w:val="00D151B7"/>
    <w:rsid w:val="00D157CF"/>
    <w:rsid w:val="00D15E7C"/>
    <w:rsid w:val="00D16033"/>
    <w:rsid w:val="00D16509"/>
    <w:rsid w:val="00D16771"/>
    <w:rsid w:val="00D16EE6"/>
    <w:rsid w:val="00D17B25"/>
    <w:rsid w:val="00D17D99"/>
    <w:rsid w:val="00D20EBF"/>
    <w:rsid w:val="00D216EC"/>
    <w:rsid w:val="00D21712"/>
    <w:rsid w:val="00D219B2"/>
    <w:rsid w:val="00D21C02"/>
    <w:rsid w:val="00D21DDC"/>
    <w:rsid w:val="00D22629"/>
    <w:rsid w:val="00D22937"/>
    <w:rsid w:val="00D22EFB"/>
    <w:rsid w:val="00D230A1"/>
    <w:rsid w:val="00D232BF"/>
    <w:rsid w:val="00D23DAB"/>
    <w:rsid w:val="00D24CE3"/>
    <w:rsid w:val="00D24E80"/>
    <w:rsid w:val="00D251BB"/>
    <w:rsid w:val="00D25665"/>
    <w:rsid w:val="00D2578C"/>
    <w:rsid w:val="00D25A1A"/>
    <w:rsid w:val="00D25A82"/>
    <w:rsid w:val="00D25E11"/>
    <w:rsid w:val="00D25EFD"/>
    <w:rsid w:val="00D2658F"/>
    <w:rsid w:val="00D267EC"/>
    <w:rsid w:val="00D271FA"/>
    <w:rsid w:val="00D27289"/>
    <w:rsid w:val="00D27581"/>
    <w:rsid w:val="00D2775B"/>
    <w:rsid w:val="00D27B39"/>
    <w:rsid w:val="00D303EA"/>
    <w:rsid w:val="00D30898"/>
    <w:rsid w:val="00D30F56"/>
    <w:rsid w:val="00D31246"/>
    <w:rsid w:val="00D3180A"/>
    <w:rsid w:val="00D31AC9"/>
    <w:rsid w:val="00D31B21"/>
    <w:rsid w:val="00D31E13"/>
    <w:rsid w:val="00D31F20"/>
    <w:rsid w:val="00D32E40"/>
    <w:rsid w:val="00D33BB6"/>
    <w:rsid w:val="00D3451B"/>
    <w:rsid w:val="00D34D33"/>
    <w:rsid w:val="00D35587"/>
    <w:rsid w:val="00D356B4"/>
    <w:rsid w:val="00D35CA4"/>
    <w:rsid w:val="00D35DF8"/>
    <w:rsid w:val="00D35F7B"/>
    <w:rsid w:val="00D361EB"/>
    <w:rsid w:val="00D362E2"/>
    <w:rsid w:val="00D3739B"/>
    <w:rsid w:val="00D37730"/>
    <w:rsid w:val="00D37904"/>
    <w:rsid w:val="00D37DDA"/>
    <w:rsid w:val="00D40021"/>
    <w:rsid w:val="00D40313"/>
    <w:rsid w:val="00D404BB"/>
    <w:rsid w:val="00D4167F"/>
    <w:rsid w:val="00D41B09"/>
    <w:rsid w:val="00D41F17"/>
    <w:rsid w:val="00D42487"/>
    <w:rsid w:val="00D42842"/>
    <w:rsid w:val="00D429AE"/>
    <w:rsid w:val="00D42B3E"/>
    <w:rsid w:val="00D43405"/>
    <w:rsid w:val="00D43569"/>
    <w:rsid w:val="00D43639"/>
    <w:rsid w:val="00D438FE"/>
    <w:rsid w:val="00D445CB"/>
    <w:rsid w:val="00D447D7"/>
    <w:rsid w:val="00D44DDF"/>
    <w:rsid w:val="00D456B1"/>
    <w:rsid w:val="00D459AF"/>
    <w:rsid w:val="00D45E07"/>
    <w:rsid w:val="00D46531"/>
    <w:rsid w:val="00D46587"/>
    <w:rsid w:val="00D467A3"/>
    <w:rsid w:val="00D46CDA"/>
    <w:rsid w:val="00D47E53"/>
    <w:rsid w:val="00D500F7"/>
    <w:rsid w:val="00D50397"/>
    <w:rsid w:val="00D50462"/>
    <w:rsid w:val="00D50F17"/>
    <w:rsid w:val="00D510D9"/>
    <w:rsid w:val="00D51AED"/>
    <w:rsid w:val="00D5214B"/>
    <w:rsid w:val="00D525C1"/>
    <w:rsid w:val="00D529B7"/>
    <w:rsid w:val="00D5312F"/>
    <w:rsid w:val="00D533AF"/>
    <w:rsid w:val="00D53520"/>
    <w:rsid w:val="00D538AC"/>
    <w:rsid w:val="00D5395C"/>
    <w:rsid w:val="00D53DF4"/>
    <w:rsid w:val="00D54869"/>
    <w:rsid w:val="00D5490E"/>
    <w:rsid w:val="00D55051"/>
    <w:rsid w:val="00D55649"/>
    <w:rsid w:val="00D55A4B"/>
    <w:rsid w:val="00D56236"/>
    <w:rsid w:val="00D56924"/>
    <w:rsid w:val="00D57067"/>
    <w:rsid w:val="00D572D8"/>
    <w:rsid w:val="00D57B97"/>
    <w:rsid w:val="00D60AB6"/>
    <w:rsid w:val="00D61283"/>
    <w:rsid w:val="00D61DC4"/>
    <w:rsid w:val="00D62466"/>
    <w:rsid w:val="00D62961"/>
    <w:rsid w:val="00D63866"/>
    <w:rsid w:val="00D639A0"/>
    <w:rsid w:val="00D63D31"/>
    <w:rsid w:val="00D63D69"/>
    <w:rsid w:val="00D63E97"/>
    <w:rsid w:val="00D63EBA"/>
    <w:rsid w:val="00D640FA"/>
    <w:rsid w:val="00D64C91"/>
    <w:rsid w:val="00D64D28"/>
    <w:rsid w:val="00D64D48"/>
    <w:rsid w:val="00D65D71"/>
    <w:rsid w:val="00D66445"/>
    <w:rsid w:val="00D665C7"/>
    <w:rsid w:val="00D668CF"/>
    <w:rsid w:val="00D67524"/>
    <w:rsid w:val="00D70F1E"/>
    <w:rsid w:val="00D71C48"/>
    <w:rsid w:val="00D72512"/>
    <w:rsid w:val="00D72CFA"/>
    <w:rsid w:val="00D7381F"/>
    <w:rsid w:val="00D73B08"/>
    <w:rsid w:val="00D7429A"/>
    <w:rsid w:val="00D7444E"/>
    <w:rsid w:val="00D74B6B"/>
    <w:rsid w:val="00D74FBC"/>
    <w:rsid w:val="00D754D5"/>
    <w:rsid w:val="00D75C7F"/>
    <w:rsid w:val="00D76195"/>
    <w:rsid w:val="00D76D31"/>
    <w:rsid w:val="00D7723A"/>
    <w:rsid w:val="00D77E71"/>
    <w:rsid w:val="00D8057A"/>
    <w:rsid w:val="00D80A4A"/>
    <w:rsid w:val="00D80C5C"/>
    <w:rsid w:val="00D80D0E"/>
    <w:rsid w:val="00D80EAD"/>
    <w:rsid w:val="00D81786"/>
    <w:rsid w:val="00D81E95"/>
    <w:rsid w:val="00D82689"/>
    <w:rsid w:val="00D82CCB"/>
    <w:rsid w:val="00D838FC"/>
    <w:rsid w:val="00D8432E"/>
    <w:rsid w:val="00D84638"/>
    <w:rsid w:val="00D84654"/>
    <w:rsid w:val="00D84ED4"/>
    <w:rsid w:val="00D85444"/>
    <w:rsid w:val="00D85CA3"/>
    <w:rsid w:val="00D85E81"/>
    <w:rsid w:val="00D860E1"/>
    <w:rsid w:val="00D861B4"/>
    <w:rsid w:val="00D86A42"/>
    <w:rsid w:val="00D87BDA"/>
    <w:rsid w:val="00D87BE1"/>
    <w:rsid w:val="00D87C89"/>
    <w:rsid w:val="00D9001A"/>
    <w:rsid w:val="00D90736"/>
    <w:rsid w:val="00D90B52"/>
    <w:rsid w:val="00D90D91"/>
    <w:rsid w:val="00D91099"/>
    <w:rsid w:val="00D911D9"/>
    <w:rsid w:val="00D913AF"/>
    <w:rsid w:val="00D9264D"/>
    <w:rsid w:val="00D92A59"/>
    <w:rsid w:val="00D92F9B"/>
    <w:rsid w:val="00D935B8"/>
    <w:rsid w:val="00D936A9"/>
    <w:rsid w:val="00D93AA2"/>
    <w:rsid w:val="00D93DCA"/>
    <w:rsid w:val="00D95270"/>
    <w:rsid w:val="00D95444"/>
    <w:rsid w:val="00D9544D"/>
    <w:rsid w:val="00D9553E"/>
    <w:rsid w:val="00D957C9"/>
    <w:rsid w:val="00D95916"/>
    <w:rsid w:val="00D95B61"/>
    <w:rsid w:val="00D96637"/>
    <w:rsid w:val="00D96827"/>
    <w:rsid w:val="00D975E1"/>
    <w:rsid w:val="00D97F5B"/>
    <w:rsid w:val="00DA1B46"/>
    <w:rsid w:val="00DA26ED"/>
    <w:rsid w:val="00DA272D"/>
    <w:rsid w:val="00DA274A"/>
    <w:rsid w:val="00DA27BB"/>
    <w:rsid w:val="00DA27CC"/>
    <w:rsid w:val="00DA297B"/>
    <w:rsid w:val="00DA352F"/>
    <w:rsid w:val="00DA54F5"/>
    <w:rsid w:val="00DA6250"/>
    <w:rsid w:val="00DA687A"/>
    <w:rsid w:val="00DA68E2"/>
    <w:rsid w:val="00DA7463"/>
    <w:rsid w:val="00DA7B33"/>
    <w:rsid w:val="00DB086B"/>
    <w:rsid w:val="00DB0B49"/>
    <w:rsid w:val="00DB0CCF"/>
    <w:rsid w:val="00DB0F56"/>
    <w:rsid w:val="00DB1148"/>
    <w:rsid w:val="00DB158B"/>
    <w:rsid w:val="00DB162B"/>
    <w:rsid w:val="00DB1C23"/>
    <w:rsid w:val="00DB2103"/>
    <w:rsid w:val="00DB26AF"/>
    <w:rsid w:val="00DB3792"/>
    <w:rsid w:val="00DB48C4"/>
    <w:rsid w:val="00DB4A50"/>
    <w:rsid w:val="00DB5120"/>
    <w:rsid w:val="00DB5610"/>
    <w:rsid w:val="00DB59BF"/>
    <w:rsid w:val="00DB5B3E"/>
    <w:rsid w:val="00DB6CE0"/>
    <w:rsid w:val="00DB7627"/>
    <w:rsid w:val="00DB7D6C"/>
    <w:rsid w:val="00DC0E65"/>
    <w:rsid w:val="00DC1091"/>
    <w:rsid w:val="00DC1B54"/>
    <w:rsid w:val="00DC2217"/>
    <w:rsid w:val="00DC24E5"/>
    <w:rsid w:val="00DC2669"/>
    <w:rsid w:val="00DC2AE8"/>
    <w:rsid w:val="00DC3C87"/>
    <w:rsid w:val="00DC3C94"/>
    <w:rsid w:val="00DC4AA1"/>
    <w:rsid w:val="00DC4DF2"/>
    <w:rsid w:val="00DC51A6"/>
    <w:rsid w:val="00DC5AF4"/>
    <w:rsid w:val="00DC5C02"/>
    <w:rsid w:val="00DC5D85"/>
    <w:rsid w:val="00DC6044"/>
    <w:rsid w:val="00DC64C2"/>
    <w:rsid w:val="00DC652D"/>
    <w:rsid w:val="00DC6599"/>
    <w:rsid w:val="00DC65E4"/>
    <w:rsid w:val="00DC6A67"/>
    <w:rsid w:val="00DC6EC0"/>
    <w:rsid w:val="00DC7089"/>
    <w:rsid w:val="00DD0321"/>
    <w:rsid w:val="00DD0811"/>
    <w:rsid w:val="00DD08A1"/>
    <w:rsid w:val="00DD12C3"/>
    <w:rsid w:val="00DD1A0C"/>
    <w:rsid w:val="00DD1F6B"/>
    <w:rsid w:val="00DD2D7D"/>
    <w:rsid w:val="00DD2F02"/>
    <w:rsid w:val="00DD3F9E"/>
    <w:rsid w:val="00DD4534"/>
    <w:rsid w:val="00DD59C4"/>
    <w:rsid w:val="00DD5E82"/>
    <w:rsid w:val="00DD5F49"/>
    <w:rsid w:val="00DD6ED7"/>
    <w:rsid w:val="00DD6FF5"/>
    <w:rsid w:val="00DD7EB1"/>
    <w:rsid w:val="00DE0CEE"/>
    <w:rsid w:val="00DE247E"/>
    <w:rsid w:val="00DE2CC4"/>
    <w:rsid w:val="00DE38EC"/>
    <w:rsid w:val="00DE3CFF"/>
    <w:rsid w:val="00DE4167"/>
    <w:rsid w:val="00DE43B3"/>
    <w:rsid w:val="00DE45A9"/>
    <w:rsid w:val="00DE4DB2"/>
    <w:rsid w:val="00DE6124"/>
    <w:rsid w:val="00DE69DD"/>
    <w:rsid w:val="00DE6B1E"/>
    <w:rsid w:val="00DE6D5D"/>
    <w:rsid w:val="00DE6D67"/>
    <w:rsid w:val="00DE73D5"/>
    <w:rsid w:val="00DE7BD4"/>
    <w:rsid w:val="00DF0A0A"/>
    <w:rsid w:val="00DF0A78"/>
    <w:rsid w:val="00DF0AAF"/>
    <w:rsid w:val="00DF155C"/>
    <w:rsid w:val="00DF16B1"/>
    <w:rsid w:val="00DF1F69"/>
    <w:rsid w:val="00DF268D"/>
    <w:rsid w:val="00DF27A4"/>
    <w:rsid w:val="00DF2E6D"/>
    <w:rsid w:val="00DF3339"/>
    <w:rsid w:val="00DF37D4"/>
    <w:rsid w:val="00DF4124"/>
    <w:rsid w:val="00DF468E"/>
    <w:rsid w:val="00DF484D"/>
    <w:rsid w:val="00DF53BD"/>
    <w:rsid w:val="00DF550A"/>
    <w:rsid w:val="00DF5EA4"/>
    <w:rsid w:val="00DF680C"/>
    <w:rsid w:val="00DF6BF6"/>
    <w:rsid w:val="00DF6E25"/>
    <w:rsid w:val="00DF72E4"/>
    <w:rsid w:val="00E00626"/>
    <w:rsid w:val="00E00F25"/>
    <w:rsid w:val="00E017BE"/>
    <w:rsid w:val="00E0231F"/>
    <w:rsid w:val="00E023B3"/>
    <w:rsid w:val="00E023D9"/>
    <w:rsid w:val="00E0259B"/>
    <w:rsid w:val="00E02BD1"/>
    <w:rsid w:val="00E0301F"/>
    <w:rsid w:val="00E03388"/>
    <w:rsid w:val="00E03626"/>
    <w:rsid w:val="00E03813"/>
    <w:rsid w:val="00E03A34"/>
    <w:rsid w:val="00E03D29"/>
    <w:rsid w:val="00E03D31"/>
    <w:rsid w:val="00E04F44"/>
    <w:rsid w:val="00E04F5A"/>
    <w:rsid w:val="00E05168"/>
    <w:rsid w:val="00E05465"/>
    <w:rsid w:val="00E05B80"/>
    <w:rsid w:val="00E05D6E"/>
    <w:rsid w:val="00E05DD7"/>
    <w:rsid w:val="00E05DFC"/>
    <w:rsid w:val="00E06C4B"/>
    <w:rsid w:val="00E06F62"/>
    <w:rsid w:val="00E07A61"/>
    <w:rsid w:val="00E07CB0"/>
    <w:rsid w:val="00E07F87"/>
    <w:rsid w:val="00E105EE"/>
    <w:rsid w:val="00E108E8"/>
    <w:rsid w:val="00E110AA"/>
    <w:rsid w:val="00E11AC1"/>
    <w:rsid w:val="00E11BD1"/>
    <w:rsid w:val="00E12A72"/>
    <w:rsid w:val="00E137DE"/>
    <w:rsid w:val="00E13E78"/>
    <w:rsid w:val="00E14711"/>
    <w:rsid w:val="00E14CF2"/>
    <w:rsid w:val="00E15D53"/>
    <w:rsid w:val="00E15E48"/>
    <w:rsid w:val="00E16BA1"/>
    <w:rsid w:val="00E16C3E"/>
    <w:rsid w:val="00E172EB"/>
    <w:rsid w:val="00E1735F"/>
    <w:rsid w:val="00E17A88"/>
    <w:rsid w:val="00E201B6"/>
    <w:rsid w:val="00E248AB"/>
    <w:rsid w:val="00E24D05"/>
    <w:rsid w:val="00E251D7"/>
    <w:rsid w:val="00E262FC"/>
    <w:rsid w:val="00E269A5"/>
    <w:rsid w:val="00E26C67"/>
    <w:rsid w:val="00E26E8D"/>
    <w:rsid w:val="00E273E3"/>
    <w:rsid w:val="00E30719"/>
    <w:rsid w:val="00E30800"/>
    <w:rsid w:val="00E30B3D"/>
    <w:rsid w:val="00E31821"/>
    <w:rsid w:val="00E31ED2"/>
    <w:rsid w:val="00E31F97"/>
    <w:rsid w:val="00E322AE"/>
    <w:rsid w:val="00E32805"/>
    <w:rsid w:val="00E32EBB"/>
    <w:rsid w:val="00E344B8"/>
    <w:rsid w:val="00E35DC4"/>
    <w:rsid w:val="00E3608E"/>
    <w:rsid w:val="00E36767"/>
    <w:rsid w:val="00E367CB"/>
    <w:rsid w:val="00E36ACC"/>
    <w:rsid w:val="00E37091"/>
    <w:rsid w:val="00E37542"/>
    <w:rsid w:val="00E37A65"/>
    <w:rsid w:val="00E37B76"/>
    <w:rsid w:val="00E40645"/>
    <w:rsid w:val="00E408EC"/>
    <w:rsid w:val="00E410FD"/>
    <w:rsid w:val="00E411B4"/>
    <w:rsid w:val="00E41516"/>
    <w:rsid w:val="00E41725"/>
    <w:rsid w:val="00E417A5"/>
    <w:rsid w:val="00E426B5"/>
    <w:rsid w:val="00E42A3B"/>
    <w:rsid w:val="00E4318C"/>
    <w:rsid w:val="00E431FA"/>
    <w:rsid w:val="00E43FFF"/>
    <w:rsid w:val="00E442D0"/>
    <w:rsid w:val="00E442DA"/>
    <w:rsid w:val="00E44A1A"/>
    <w:rsid w:val="00E44D5A"/>
    <w:rsid w:val="00E45223"/>
    <w:rsid w:val="00E453A4"/>
    <w:rsid w:val="00E4588A"/>
    <w:rsid w:val="00E45CC7"/>
    <w:rsid w:val="00E503B2"/>
    <w:rsid w:val="00E50517"/>
    <w:rsid w:val="00E505E1"/>
    <w:rsid w:val="00E511AC"/>
    <w:rsid w:val="00E515D9"/>
    <w:rsid w:val="00E51845"/>
    <w:rsid w:val="00E521E3"/>
    <w:rsid w:val="00E53928"/>
    <w:rsid w:val="00E53DC9"/>
    <w:rsid w:val="00E544CC"/>
    <w:rsid w:val="00E54B4F"/>
    <w:rsid w:val="00E54C14"/>
    <w:rsid w:val="00E54D45"/>
    <w:rsid w:val="00E56004"/>
    <w:rsid w:val="00E56CF2"/>
    <w:rsid w:val="00E571AF"/>
    <w:rsid w:val="00E57645"/>
    <w:rsid w:val="00E578B9"/>
    <w:rsid w:val="00E57A75"/>
    <w:rsid w:val="00E6023C"/>
    <w:rsid w:val="00E60536"/>
    <w:rsid w:val="00E60658"/>
    <w:rsid w:val="00E60A1E"/>
    <w:rsid w:val="00E6154F"/>
    <w:rsid w:val="00E6173E"/>
    <w:rsid w:val="00E61C9D"/>
    <w:rsid w:val="00E627BE"/>
    <w:rsid w:val="00E6321A"/>
    <w:rsid w:val="00E6375E"/>
    <w:rsid w:val="00E63BBE"/>
    <w:rsid w:val="00E640A6"/>
    <w:rsid w:val="00E645E8"/>
    <w:rsid w:val="00E645FD"/>
    <w:rsid w:val="00E6474E"/>
    <w:rsid w:val="00E64BF3"/>
    <w:rsid w:val="00E64F1C"/>
    <w:rsid w:val="00E669F0"/>
    <w:rsid w:val="00E66BE4"/>
    <w:rsid w:val="00E66D28"/>
    <w:rsid w:val="00E67FED"/>
    <w:rsid w:val="00E70799"/>
    <w:rsid w:val="00E70904"/>
    <w:rsid w:val="00E70A7D"/>
    <w:rsid w:val="00E70B00"/>
    <w:rsid w:val="00E70F0B"/>
    <w:rsid w:val="00E711F9"/>
    <w:rsid w:val="00E713A1"/>
    <w:rsid w:val="00E71CDE"/>
    <w:rsid w:val="00E71DB0"/>
    <w:rsid w:val="00E73280"/>
    <w:rsid w:val="00E74039"/>
    <w:rsid w:val="00E74662"/>
    <w:rsid w:val="00E74F37"/>
    <w:rsid w:val="00E74F45"/>
    <w:rsid w:val="00E7518B"/>
    <w:rsid w:val="00E75DDE"/>
    <w:rsid w:val="00E76634"/>
    <w:rsid w:val="00E76915"/>
    <w:rsid w:val="00E771D4"/>
    <w:rsid w:val="00E77356"/>
    <w:rsid w:val="00E77C80"/>
    <w:rsid w:val="00E77EE0"/>
    <w:rsid w:val="00E8059D"/>
    <w:rsid w:val="00E80EA6"/>
    <w:rsid w:val="00E815E7"/>
    <w:rsid w:val="00E816F0"/>
    <w:rsid w:val="00E81DB5"/>
    <w:rsid w:val="00E82E28"/>
    <w:rsid w:val="00E830B6"/>
    <w:rsid w:val="00E8398C"/>
    <w:rsid w:val="00E83EB7"/>
    <w:rsid w:val="00E841AC"/>
    <w:rsid w:val="00E84622"/>
    <w:rsid w:val="00E84AD1"/>
    <w:rsid w:val="00E85983"/>
    <w:rsid w:val="00E85D4B"/>
    <w:rsid w:val="00E85F17"/>
    <w:rsid w:val="00E85F85"/>
    <w:rsid w:val="00E8645F"/>
    <w:rsid w:val="00E87098"/>
    <w:rsid w:val="00E87502"/>
    <w:rsid w:val="00E87EDC"/>
    <w:rsid w:val="00E87F73"/>
    <w:rsid w:val="00E90481"/>
    <w:rsid w:val="00E90813"/>
    <w:rsid w:val="00E9188A"/>
    <w:rsid w:val="00E918E3"/>
    <w:rsid w:val="00E9221E"/>
    <w:rsid w:val="00E928E2"/>
    <w:rsid w:val="00E937CA"/>
    <w:rsid w:val="00E94654"/>
    <w:rsid w:val="00E94A4F"/>
    <w:rsid w:val="00E94A75"/>
    <w:rsid w:val="00E95107"/>
    <w:rsid w:val="00E95989"/>
    <w:rsid w:val="00E96BDF"/>
    <w:rsid w:val="00E96D98"/>
    <w:rsid w:val="00E96F7A"/>
    <w:rsid w:val="00E9702C"/>
    <w:rsid w:val="00E9738E"/>
    <w:rsid w:val="00E97419"/>
    <w:rsid w:val="00EA0254"/>
    <w:rsid w:val="00EA0B55"/>
    <w:rsid w:val="00EA0D9F"/>
    <w:rsid w:val="00EA0DE8"/>
    <w:rsid w:val="00EA1307"/>
    <w:rsid w:val="00EA141F"/>
    <w:rsid w:val="00EA180F"/>
    <w:rsid w:val="00EA2801"/>
    <w:rsid w:val="00EA3288"/>
    <w:rsid w:val="00EA329B"/>
    <w:rsid w:val="00EA3445"/>
    <w:rsid w:val="00EA3C99"/>
    <w:rsid w:val="00EA5EEB"/>
    <w:rsid w:val="00EA6CFF"/>
    <w:rsid w:val="00EB091F"/>
    <w:rsid w:val="00EB0F87"/>
    <w:rsid w:val="00EB11C7"/>
    <w:rsid w:val="00EB11E5"/>
    <w:rsid w:val="00EB155B"/>
    <w:rsid w:val="00EB1A49"/>
    <w:rsid w:val="00EB2242"/>
    <w:rsid w:val="00EB2584"/>
    <w:rsid w:val="00EB343B"/>
    <w:rsid w:val="00EB3651"/>
    <w:rsid w:val="00EB3DD5"/>
    <w:rsid w:val="00EB44A2"/>
    <w:rsid w:val="00EB5230"/>
    <w:rsid w:val="00EB55F3"/>
    <w:rsid w:val="00EB55F6"/>
    <w:rsid w:val="00EB5B2F"/>
    <w:rsid w:val="00EB65A0"/>
    <w:rsid w:val="00EB687C"/>
    <w:rsid w:val="00EB6FEE"/>
    <w:rsid w:val="00EB717B"/>
    <w:rsid w:val="00EB74CF"/>
    <w:rsid w:val="00EB78B2"/>
    <w:rsid w:val="00EC06A7"/>
    <w:rsid w:val="00EC0D08"/>
    <w:rsid w:val="00EC1CF7"/>
    <w:rsid w:val="00EC24F4"/>
    <w:rsid w:val="00EC2AFA"/>
    <w:rsid w:val="00EC2B80"/>
    <w:rsid w:val="00EC2C54"/>
    <w:rsid w:val="00EC2D0B"/>
    <w:rsid w:val="00EC32FB"/>
    <w:rsid w:val="00EC3F07"/>
    <w:rsid w:val="00EC4335"/>
    <w:rsid w:val="00EC527C"/>
    <w:rsid w:val="00EC5731"/>
    <w:rsid w:val="00EC5A43"/>
    <w:rsid w:val="00EC5DED"/>
    <w:rsid w:val="00EC62C8"/>
    <w:rsid w:val="00EC6329"/>
    <w:rsid w:val="00EC6433"/>
    <w:rsid w:val="00EC700D"/>
    <w:rsid w:val="00ED14AB"/>
    <w:rsid w:val="00ED1DDD"/>
    <w:rsid w:val="00ED2236"/>
    <w:rsid w:val="00ED3798"/>
    <w:rsid w:val="00ED4836"/>
    <w:rsid w:val="00ED5B45"/>
    <w:rsid w:val="00ED5F3C"/>
    <w:rsid w:val="00ED6D6F"/>
    <w:rsid w:val="00ED7AA2"/>
    <w:rsid w:val="00ED7B17"/>
    <w:rsid w:val="00ED7D1D"/>
    <w:rsid w:val="00EE00C3"/>
    <w:rsid w:val="00EE037A"/>
    <w:rsid w:val="00EE0484"/>
    <w:rsid w:val="00EE05BF"/>
    <w:rsid w:val="00EE092A"/>
    <w:rsid w:val="00EE1419"/>
    <w:rsid w:val="00EE16B6"/>
    <w:rsid w:val="00EE2032"/>
    <w:rsid w:val="00EE239D"/>
    <w:rsid w:val="00EE3486"/>
    <w:rsid w:val="00EE3B9F"/>
    <w:rsid w:val="00EE4599"/>
    <w:rsid w:val="00EE4603"/>
    <w:rsid w:val="00EE47E6"/>
    <w:rsid w:val="00EE5032"/>
    <w:rsid w:val="00EE50C6"/>
    <w:rsid w:val="00EE52E6"/>
    <w:rsid w:val="00EE5573"/>
    <w:rsid w:val="00EE5596"/>
    <w:rsid w:val="00EE6081"/>
    <w:rsid w:val="00EE66BD"/>
    <w:rsid w:val="00EE680D"/>
    <w:rsid w:val="00EE6995"/>
    <w:rsid w:val="00EE7480"/>
    <w:rsid w:val="00EE7B38"/>
    <w:rsid w:val="00EE7BE2"/>
    <w:rsid w:val="00EE7DD4"/>
    <w:rsid w:val="00EF06FD"/>
    <w:rsid w:val="00EF0C73"/>
    <w:rsid w:val="00EF1222"/>
    <w:rsid w:val="00EF12A8"/>
    <w:rsid w:val="00EF1582"/>
    <w:rsid w:val="00EF16F6"/>
    <w:rsid w:val="00EF1993"/>
    <w:rsid w:val="00EF1B92"/>
    <w:rsid w:val="00EF34A7"/>
    <w:rsid w:val="00EF35FD"/>
    <w:rsid w:val="00EF393B"/>
    <w:rsid w:val="00EF3AED"/>
    <w:rsid w:val="00EF41D5"/>
    <w:rsid w:val="00EF420E"/>
    <w:rsid w:val="00EF4320"/>
    <w:rsid w:val="00EF4564"/>
    <w:rsid w:val="00EF4971"/>
    <w:rsid w:val="00EF4F9E"/>
    <w:rsid w:val="00EF505E"/>
    <w:rsid w:val="00EF5BAC"/>
    <w:rsid w:val="00EF6887"/>
    <w:rsid w:val="00EF6F0C"/>
    <w:rsid w:val="00EF7480"/>
    <w:rsid w:val="00EF7930"/>
    <w:rsid w:val="00EF7996"/>
    <w:rsid w:val="00F00506"/>
    <w:rsid w:val="00F00AFB"/>
    <w:rsid w:val="00F00E9E"/>
    <w:rsid w:val="00F02226"/>
    <w:rsid w:val="00F02594"/>
    <w:rsid w:val="00F0277B"/>
    <w:rsid w:val="00F02B6A"/>
    <w:rsid w:val="00F030AB"/>
    <w:rsid w:val="00F0336F"/>
    <w:rsid w:val="00F0337B"/>
    <w:rsid w:val="00F03843"/>
    <w:rsid w:val="00F03E59"/>
    <w:rsid w:val="00F0408E"/>
    <w:rsid w:val="00F040EF"/>
    <w:rsid w:val="00F04CE5"/>
    <w:rsid w:val="00F050EF"/>
    <w:rsid w:val="00F05487"/>
    <w:rsid w:val="00F05561"/>
    <w:rsid w:val="00F0597A"/>
    <w:rsid w:val="00F05A17"/>
    <w:rsid w:val="00F066DD"/>
    <w:rsid w:val="00F069F3"/>
    <w:rsid w:val="00F06F74"/>
    <w:rsid w:val="00F07086"/>
    <w:rsid w:val="00F07141"/>
    <w:rsid w:val="00F07333"/>
    <w:rsid w:val="00F07FEC"/>
    <w:rsid w:val="00F102DF"/>
    <w:rsid w:val="00F10524"/>
    <w:rsid w:val="00F10907"/>
    <w:rsid w:val="00F12255"/>
    <w:rsid w:val="00F1294C"/>
    <w:rsid w:val="00F13FF0"/>
    <w:rsid w:val="00F142C3"/>
    <w:rsid w:val="00F14610"/>
    <w:rsid w:val="00F14858"/>
    <w:rsid w:val="00F1487A"/>
    <w:rsid w:val="00F1599B"/>
    <w:rsid w:val="00F15B5B"/>
    <w:rsid w:val="00F15B63"/>
    <w:rsid w:val="00F1604C"/>
    <w:rsid w:val="00F1663A"/>
    <w:rsid w:val="00F16A34"/>
    <w:rsid w:val="00F177DD"/>
    <w:rsid w:val="00F17E64"/>
    <w:rsid w:val="00F20D26"/>
    <w:rsid w:val="00F20EDF"/>
    <w:rsid w:val="00F20F9A"/>
    <w:rsid w:val="00F2157C"/>
    <w:rsid w:val="00F21F67"/>
    <w:rsid w:val="00F2235F"/>
    <w:rsid w:val="00F2285E"/>
    <w:rsid w:val="00F23DF7"/>
    <w:rsid w:val="00F252A6"/>
    <w:rsid w:val="00F2619C"/>
    <w:rsid w:val="00F26479"/>
    <w:rsid w:val="00F275EE"/>
    <w:rsid w:val="00F279A9"/>
    <w:rsid w:val="00F27E17"/>
    <w:rsid w:val="00F3010A"/>
    <w:rsid w:val="00F30228"/>
    <w:rsid w:val="00F3047C"/>
    <w:rsid w:val="00F30A14"/>
    <w:rsid w:val="00F30B59"/>
    <w:rsid w:val="00F30D19"/>
    <w:rsid w:val="00F310D6"/>
    <w:rsid w:val="00F317A7"/>
    <w:rsid w:val="00F31AC0"/>
    <w:rsid w:val="00F32063"/>
    <w:rsid w:val="00F3225B"/>
    <w:rsid w:val="00F325C2"/>
    <w:rsid w:val="00F32D3B"/>
    <w:rsid w:val="00F32DFC"/>
    <w:rsid w:val="00F33014"/>
    <w:rsid w:val="00F331A0"/>
    <w:rsid w:val="00F33E52"/>
    <w:rsid w:val="00F3411D"/>
    <w:rsid w:val="00F34DAA"/>
    <w:rsid w:val="00F352F0"/>
    <w:rsid w:val="00F3575D"/>
    <w:rsid w:val="00F35AA0"/>
    <w:rsid w:val="00F35D06"/>
    <w:rsid w:val="00F36461"/>
    <w:rsid w:val="00F36613"/>
    <w:rsid w:val="00F366C4"/>
    <w:rsid w:val="00F367C8"/>
    <w:rsid w:val="00F36908"/>
    <w:rsid w:val="00F369B4"/>
    <w:rsid w:val="00F36C91"/>
    <w:rsid w:val="00F379A7"/>
    <w:rsid w:val="00F37F62"/>
    <w:rsid w:val="00F414EE"/>
    <w:rsid w:val="00F4209B"/>
    <w:rsid w:val="00F425F2"/>
    <w:rsid w:val="00F42A53"/>
    <w:rsid w:val="00F4427C"/>
    <w:rsid w:val="00F4439A"/>
    <w:rsid w:val="00F44454"/>
    <w:rsid w:val="00F44641"/>
    <w:rsid w:val="00F449A4"/>
    <w:rsid w:val="00F449F2"/>
    <w:rsid w:val="00F4512C"/>
    <w:rsid w:val="00F45816"/>
    <w:rsid w:val="00F45D43"/>
    <w:rsid w:val="00F46A0F"/>
    <w:rsid w:val="00F46D3B"/>
    <w:rsid w:val="00F47AE3"/>
    <w:rsid w:val="00F47CB8"/>
    <w:rsid w:val="00F5005A"/>
    <w:rsid w:val="00F503EB"/>
    <w:rsid w:val="00F517EC"/>
    <w:rsid w:val="00F518D6"/>
    <w:rsid w:val="00F520B3"/>
    <w:rsid w:val="00F525A2"/>
    <w:rsid w:val="00F527ED"/>
    <w:rsid w:val="00F52CEE"/>
    <w:rsid w:val="00F52D2F"/>
    <w:rsid w:val="00F53A9A"/>
    <w:rsid w:val="00F53C6D"/>
    <w:rsid w:val="00F5445C"/>
    <w:rsid w:val="00F54AD7"/>
    <w:rsid w:val="00F54D0C"/>
    <w:rsid w:val="00F557BA"/>
    <w:rsid w:val="00F55A7F"/>
    <w:rsid w:val="00F55F82"/>
    <w:rsid w:val="00F562DD"/>
    <w:rsid w:val="00F56355"/>
    <w:rsid w:val="00F56ACD"/>
    <w:rsid w:val="00F57856"/>
    <w:rsid w:val="00F61034"/>
    <w:rsid w:val="00F62181"/>
    <w:rsid w:val="00F621A3"/>
    <w:rsid w:val="00F632F7"/>
    <w:rsid w:val="00F638E2"/>
    <w:rsid w:val="00F63A94"/>
    <w:rsid w:val="00F649E9"/>
    <w:rsid w:val="00F64ED9"/>
    <w:rsid w:val="00F666DF"/>
    <w:rsid w:val="00F67041"/>
    <w:rsid w:val="00F6746A"/>
    <w:rsid w:val="00F67486"/>
    <w:rsid w:val="00F676A8"/>
    <w:rsid w:val="00F67D6E"/>
    <w:rsid w:val="00F7032D"/>
    <w:rsid w:val="00F70635"/>
    <w:rsid w:val="00F70B39"/>
    <w:rsid w:val="00F70CB4"/>
    <w:rsid w:val="00F71090"/>
    <w:rsid w:val="00F71436"/>
    <w:rsid w:val="00F7180F"/>
    <w:rsid w:val="00F72623"/>
    <w:rsid w:val="00F72BC5"/>
    <w:rsid w:val="00F733CF"/>
    <w:rsid w:val="00F737EB"/>
    <w:rsid w:val="00F73A85"/>
    <w:rsid w:val="00F73EC3"/>
    <w:rsid w:val="00F73EC9"/>
    <w:rsid w:val="00F7406C"/>
    <w:rsid w:val="00F749C0"/>
    <w:rsid w:val="00F757C8"/>
    <w:rsid w:val="00F7584E"/>
    <w:rsid w:val="00F75E5F"/>
    <w:rsid w:val="00F76347"/>
    <w:rsid w:val="00F7674F"/>
    <w:rsid w:val="00F76AEA"/>
    <w:rsid w:val="00F76BFB"/>
    <w:rsid w:val="00F76C22"/>
    <w:rsid w:val="00F77C71"/>
    <w:rsid w:val="00F8007D"/>
    <w:rsid w:val="00F806D0"/>
    <w:rsid w:val="00F8098A"/>
    <w:rsid w:val="00F80CF5"/>
    <w:rsid w:val="00F80E69"/>
    <w:rsid w:val="00F80FBE"/>
    <w:rsid w:val="00F81399"/>
    <w:rsid w:val="00F8182C"/>
    <w:rsid w:val="00F82985"/>
    <w:rsid w:val="00F82ADE"/>
    <w:rsid w:val="00F833C0"/>
    <w:rsid w:val="00F83AFD"/>
    <w:rsid w:val="00F84C01"/>
    <w:rsid w:val="00F84F35"/>
    <w:rsid w:val="00F85D78"/>
    <w:rsid w:val="00F866C3"/>
    <w:rsid w:val="00F868FE"/>
    <w:rsid w:val="00F8698E"/>
    <w:rsid w:val="00F86C69"/>
    <w:rsid w:val="00F871CA"/>
    <w:rsid w:val="00F87B2C"/>
    <w:rsid w:val="00F87D11"/>
    <w:rsid w:val="00F87D5C"/>
    <w:rsid w:val="00F90017"/>
    <w:rsid w:val="00F90155"/>
    <w:rsid w:val="00F90AD1"/>
    <w:rsid w:val="00F9143D"/>
    <w:rsid w:val="00F91A5D"/>
    <w:rsid w:val="00F91C54"/>
    <w:rsid w:val="00F91F5A"/>
    <w:rsid w:val="00F9285D"/>
    <w:rsid w:val="00F93DF3"/>
    <w:rsid w:val="00F94B6C"/>
    <w:rsid w:val="00F94D59"/>
    <w:rsid w:val="00F95552"/>
    <w:rsid w:val="00F95D8B"/>
    <w:rsid w:val="00F961CD"/>
    <w:rsid w:val="00F9631F"/>
    <w:rsid w:val="00F9751B"/>
    <w:rsid w:val="00F97981"/>
    <w:rsid w:val="00FA010E"/>
    <w:rsid w:val="00FA0232"/>
    <w:rsid w:val="00FA044C"/>
    <w:rsid w:val="00FA0F81"/>
    <w:rsid w:val="00FA1302"/>
    <w:rsid w:val="00FA1BD6"/>
    <w:rsid w:val="00FA21B9"/>
    <w:rsid w:val="00FA235C"/>
    <w:rsid w:val="00FA2D88"/>
    <w:rsid w:val="00FA2E3E"/>
    <w:rsid w:val="00FA371D"/>
    <w:rsid w:val="00FA3B55"/>
    <w:rsid w:val="00FA3E0C"/>
    <w:rsid w:val="00FA4036"/>
    <w:rsid w:val="00FA47D5"/>
    <w:rsid w:val="00FA4A1E"/>
    <w:rsid w:val="00FA4FDB"/>
    <w:rsid w:val="00FA54C0"/>
    <w:rsid w:val="00FA55FD"/>
    <w:rsid w:val="00FA5B8C"/>
    <w:rsid w:val="00FA5F62"/>
    <w:rsid w:val="00FA65F1"/>
    <w:rsid w:val="00FA73EB"/>
    <w:rsid w:val="00FA78BA"/>
    <w:rsid w:val="00FB0521"/>
    <w:rsid w:val="00FB101F"/>
    <w:rsid w:val="00FB1598"/>
    <w:rsid w:val="00FB25ED"/>
    <w:rsid w:val="00FB2607"/>
    <w:rsid w:val="00FB2C7C"/>
    <w:rsid w:val="00FB377C"/>
    <w:rsid w:val="00FB3834"/>
    <w:rsid w:val="00FB3AE3"/>
    <w:rsid w:val="00FB41A5"/>
    <w:rsid w:val="00FB4309"/>
    <w:rsid w:val="00FB444F"/>
    <w:rsid w:val="00FB4871"/>
    <w:rsid w:val="00FB4D85"/>
    <w:rsid w:val="00FB549E"/>
    <w:rsid w:val="00FB57C5"/>
    <w:rsid w:val="00FB619C"/>
    <w:rsid w:val="00FB6A98"/>
    <w:rsid w:val="00FB6B1B"/>
    <w:rsid w:val="00FB6BB6"/>
    <w:rsid w:val="00FC04BE"/>
    <w:rsid w:val="00FC05CE"/>
    <w:rsid w:val="00FC0682"/>
    <w:rsid w:val="00FC0AAA"/>
    <w:rsid w:val="00FC145D"/>
    <w:rsid w:val="00FC18E7"/>
    <w:rsid w:val="00FC1F10"/>
    <w:rsid w:val="00FC204C"/>
    <w:rsid w:val="00FC21BB"/>
    <w:rsid w:val="00FC2967"/>
    <w:rsid w:val="00FC2A34"/>
    <w:rsid w:val="00FC2F5D"/>
    <w:rsid w:val="00FC3B4B"/>
    <w:rsid w:val="00FC435D"/>
    <w:rsid w:val="00FC4512"/>
    <w:rsid w:val="00FC4FD8"/>
    <w:rsid w:val="00FC55BF"/>
    <w:rsid w:val="00FC5BA4"/>
    <w:rsid w:val="00FC5CBC"/>
    <w:rsid w:val="00FC6733"/>
    <w:rsid w:val="00FC734B"/>
    <w:rsid w:val="00FC749C"/>
    <w:rsid w:val="00FC7989"/>
    <w:rsid w:val="00FC7DB6"/>
    <w:rsid w:val="00FD1420"/>
    <w:rsid w:val="00FD18F1"/>
    <w:rsid w:val="00FD273F"/>
    <w:rsid w:val="00FD2AA5"/>
    <w:rsid w:val="00FD2D6C"/>
    <w:rsid w:val="00FD2F3F"/>
    <w:rsid w:val="00FD31D7"/>
    <w:rsid w:val="00FD4635"/>
    <w:rsid w:val="00FD4D08"/>
    <w:rsid w:val="00FD5005"/>
    <w:rsid w:val="00FD5054"/>
    <w:rsid w:val="00FD520C"/>
    <w:rsid w:val="00FD5A4B"/>
    <w:rsid w:val="00FD6499"/>
    <w:rsid w:val="00FD6B8F"/>
    <w:rsid w:val="00FD7A1C"/>
    <w:rsid w:val="00FD7C87"/>
    <w:rsid w:val="00FE0980"/>
    <w:rsid w:val="00FE0BB1"/>
    <w:rsid w:val="00FE14B8"/>
    <w:rsid w:val="00FE1797"/>
    <w:rsid w:val="00FE1A11"/>
    <w:rsid w:val="00FE2156"/>
    <w:rsid w:val="00FE2AC2"/>
    <w:rsid w:val="00FE2E9B"/>
    <w:rsid w:val="00FE2F42"/>
    <w:rsid w:val="00FE3B82"/>
    <w:rsid w:val="00FE3CAC"/>
    <w:rsid w:val="00FE3F6C"/>
    <w:rsid w:val="00FE3FC3"/>
    <w:rsid w:val="00FE5263"/>
    <w:rsid w:val="00FE59A3"/>
    <w:rsid w:val="00FE6451"/>
    <w:rsid w:val="00FE6B49"/>
    <w:rsid w:val="00FE6FB6"/>
    <w:rsid w:val="00FE703A"/>
    <w:rsid w:val="00FE7DE0"/>
    <w:rsid w:val="00FF02F9"/>
    <w:rsid w:val="00FF04A0"/>
    <w:rsid w:val="00FF2BF0"/>
    <w:rsid w:val="00FF2CD3"/>
    <w:rsid w:val="00FF308E"/>
    <w:rsid w:val="00FF3263"/>
    <w:rsid w:val="00FF4038"/>
    <w:rsid w:val="00FF4515"/>
    <w:rsid w:val="00FF4605"/>
    <w:rsid w:val="00FF482C"/>
    <w:rsid w:val="00FF49F3"/>
    <w:rsid w:val="00FF4A51"/>
    <w:rsid w:val="00FF4DCA"/>
    <w:rsid w:val="00FF50DC"/>
    <w:rsid w:val="00FF5111"/>
    <w:rsid w:val="00FF545C"/>
    <w:rsid w:val="00FF583A"/>
    <w:rsid w:val="00FF6308"/>
    <w:rsid w:val="00FF6794"/>
    <w:rsid w:val="00FF69F8"/>
    <w:rsid w:val="00FF72B6"/>
    <w:rsid w:val="00FF773F"/>
    <w:rsid w:val="00FF78C5"/>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B180A49-935E-4233-BC0B-0E4DE592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04"/>
    <w:pPr>
      <w:spacing w:after="200" w:line="276" w:lineRule="auto"/>
    </w:pPr>
    <w:rPr>
      <w:sz w:val="22"/>
      <w:szCs w:val="22"/>
      <w:lang w:val="es-CR"/>
    </w:rPr>
  </w:style>
  <w:style w:type="paragraph" w:styleId="Ttulo1">
    <w:name w:val="heading 1"/>
    <w:basedOn w:val="Normal"/>
    <w:next w:val="Normal"/>
    <w:link w:val="Ttulo1Car"/>
    <w:uiPriority w:val="9"/>
    <w:qFormat/>
    <w:rsid w:val="00D82689"/>
    <w:pPr>
      <w:keepNext/>
      <w:keepLines/>
      <w:spacing w:before="480" w:after="0"/>
      <w:outlineLvl w:val="0"/>
    </w:pPr>
    <w:rPr>
      <w:rFonts w:ascii="Cambria" w:eastAsia="MS Gothic" w:hAnsi="Cambria"/>
      <w:b/>
      <w:bCs/>
      <w:color w:val="365F91"/>
      <w:sz w:val="28"/>
      <w:szCs w:val="28"/>
      <w:lang w:val="x-none" w:eastAsia="x-none"/>
    </w:rPr>
  </w:style>
  <w:style w:type="paragraph" w:styleId="Ttulo2">
    <w:name w:val="heading 2"/>
    <w:basedOn w:val="Normal"/>
    <w:next w:val="Normal"/>
    <w:link w:val="Ttulo2Car"/>
    <w:uiPriority w:val="9"/>
    <w:qFormat/>
    <w:rsid w:val="00A526F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6618D"/>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5A1B3D"/>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link w:val="Textonotapie"/>
    <w:qFormat/>
    <w:rsid w:val="005A1B3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5A1B3D"/>
    <w:rPr>
      <w:vertAlign w:val="superscript"/>
    </w:rPr>
  </w:style>
  <w:style w:type="character" w:styleId="Hipervnculo">
    <w:name w:val="Hyperlink"/>
    <w:uiPriority w:val="99"/>
    <w:unhideWhenUsed/>
    <w:rsid w:val="00D665C7"/>
    <w:rPr>
      <w:color w:val="0000FF"/>
      <w:u w:val="single"/>
    </w:rPr>
  </w:style>
  <w:style w:type="paragraph" w:customStyle="1" w:styleId="Listaclara-nfasis51">
    <w:name w:val="Lista clara - Énfasis 51"/>
    <w:aliases w:val="Footnote,Párrafo de lista1"/>
    <w:basedOn w:val="Normal"/>
    <w:link w:val="Listaclara-nfasis5Car"/>
    <w:uiPriority w:val="34"/>
    <w:qFormat/>
    <w:rsid w:val="00D665C7"/>
    <w:pPr>
      <w:ind w:left="720"/>
      <w:contextualSpacing/>
    </w:pPr>
  </w:style>
  <w:style w:type="character" w:customStyle="1" w:styleId="Listaclara-nfasis5Car">
    <w:name w:val="Lista clara - Énfasis 5 Car"/>
    <w:aliases w:val="Footnote Car,Párrafo de lista1 Car,Párrafo de lista Car,Colorful List - Accent 11 Car"/>
    <w:link w:val="Listaclara-nfasis51"/>
    <w:uiPriority w:val="34"/>
    <w:locked/>
    <w:rsid w:val="008F5FD0"/>
  </w:style>
  <w:style w:type="table" w:styleId="Tablaconcuadrcula">
    <w:name w:val="Table Grid"/>
    <w:basedOn w:val="Tablanormal"/>
    <w:uiPriority w:val="59"/>
    <w:rsid w:val="00F3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F0336F"/>
  </w:style>
  <w:style w:type="character" w:customStyle="1" w:styleId="apple-converted-space">
    <w:name w:val="apple-converted-space"/>
    <w:basedOn w:val="Fuentedeprrafopredeter"/>
    <w:rsid w:val="001C0DED"/>
  </w:style>
  <w:style w:type="paragraph" w:styleId="Encabezado">
    <w:name w:val="header"/>
    <w:basedOn w:val="Normal"/>
    <w:link w:val="EncabezadoCar"/>
    <w:uiPriority w:val="99"/>
    <w:unhideWhenUsed/>
    <w:rsid w:val="00F56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ACD"/>
  </w:style>
  <w:style w:type="paragraph" w:styleId="Piedepgina">
    <w:name w:val="footer"/>
    <w:basedOn w:val="Normal"/>
    <w:link w:val="PiedepginaCar"/>
    <w:uiPriority w:val="99"/>
    <w:unhideWhenUsed/>
    <w:rsid w:val="00F56A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ACD"/>
  </w:style>
  <w:style w:type="paragraph" w:styleId="Textodeglobo">
    <w:name w:val="Balloon Text"/>
    <w:basedOn w:val="Normal"/>
    <w:link w:val="TextodegloboCar"/>
    <w:uiPriority w:val="99"/>
    <w:semiHidden/>
    <w:unhideWhenUsed/>
    <w:rsid w:val="00F56AC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56ACD"/>
    <w:rPr>
      <w:rFonts w:ascii="Tahoma" w:hAnsi="Tahoma" w:cs="Tahoma"/>
      <w:sz w:val="16"/>
      <w:szCs w:val="16"/>
    </w:rPr>
  </w:style>
  <w:style w:type="character" w:styleId="Textoennegrita">
    <w:name w:val="Strong"/>
    <w:uiPriority w:val="22"/>
    <w:qFormat/>
    <w:rsid w:val="005A2E32"/>
    <w:rPr>
      <w:b/>
      <w:bCs/>
    </w:rPr>
  </w:style>
  <w:style w:type="paragraph" w:styleId="Textoindependiente">
    <w:name w:val="Body Text"/>
    <w:basedOn w:val="Normal"/>
    <w:link w:val="TextoindependienteCar"/>
    <w:uiPriority w:val="99"/>
    <w:unhideWhenUsed/>
    <w:rsid w:val="009F78E3"/>
    <w:pPr>
      <w:spacing w:after="120"/>
    </w:pPr>
    <w:rPr>
      <w:sz w:val="20"/>
      <w:szCs w:val="20"/>
      <w:lang w:val="x-none" w:eastAsia="x-none"/>
    </w:rPr>
  </w:style>
  <w:style w:type="character" w:customStyle="1" w:styleId="TextoindependienteCar">
    <w:name w:val="Texto independiente Car"/>
    <w:link w:val="Textoindependiente"/>
    <w:uiPriority w:val="99"/>
    <w:rsid w:val="009F78E3"/>
    <w:rPr>
      <w:rFonts w:ascii="Calibri" w:eastAsia="Calibri" w:hAnsi="Calibri" w:cs="Times New Roman"/>
    </w:rPr>
  </w:style>
  <w:style w:type="character" w:styleId="Refdecomentario">
    <w:name w:val="annotation reference"/>
    <w:uiPriority w:val="99"/>
    <w:semiHidden/>
    <w:unhideWhenUsed/>
    <w:rsid w:val="005B4A61"/>
    <w:rPr>
      <w:sz w:val="16"/>
      <w:szCs w:val="16"/>
    </w:rPr>
  </w:style>
  <w:style w:type="paragraph" w:styleId="Textocomentario">
    <w:name w:val="annotation text"/>
    <w:basedOn w:val="Normal"/>
    <w:link w:val="TextocomentarioCar"/>
    <w:uiPriority w:val="99"/>
    <w:unhideWhenUsed/>
    <w:rsid w:val="005B4A61"/>
    <w:pPr>
      <w:spacing w:line="240" w:lineRule="auto"/>
    </w:pPr>
    <w:rPr>
      <w:sz w:val="20"/>
      <w:szCs w:val="20"/>
      <w:lang w:val="x-none" w:eastAsia="x-none"/>
    </w:rPr>
  </w:style>
  <w:style w:type="character" w:customStyle="1" w:styleId="TextocomentarioCar">
    <w:name w:val="Texto comentario Car"/>
    <w:link w:val="Textocomentario"/>
    <w:uiPriority w:val="99"/>
    <w:rsid w:val="005B4A61"/>
    <w:rPr>
      <w:sz w:val="20"/>
      <w:szCs w:val="20"/>
    </w:rPr>
  </w:style>
  <w:style w:type="paragraph" w:styleId="Asuntodelcomentario">
    <w:name w:val="annotation subject"/>
    <w:basedOn w:val="Textocomentario"/>
    <w:next w:val="Textocomentario"/>
    <w:link w:val="AsuntodelcomentarioCar"/>
    <w:uiPriority w:val="99"/>
    <w:semiHidden/>
    <w:unhideWhenUsed/>
    <w:rsid w:val="005B4A61"/>
    <w:rPr>
      <w:b/>
      <w:bCs/>
    </w:rPr>
  </w:style>
  <w:style w:type="character" w:customStyle="1" w:styleId="AsuntodelcomentarioCar">
    <w:name w:val="Asunto del comentario Car"/>
    <w:link w:val="Asuntodelcomentario"/>
    <w:uiPriority w:val="99"/>
    <w:semiHidden/>
    <w:rsid w:val="005B4A61"/>
    <w:rPr>
      <w:b/>
      <w:bCs/>
      <w:sz w:val="20"/>
      <w:szCs w:val="20"/>
    </w:rPr>
  </w:style>
  <w:style w:type="character" w:styleId="Nmerodelnea">
    <w:name w:val="line number"/>
    <w:basedOn w:val="Fuentedeprrafopredeter"/>
    <w:uiPriority w:val="99"/>
    <w:semiHidden/>
    <w:unhideWhenUsed/>
    <w:rsid w:val="00AE338B"/>
  </w:style>
  <w:style w:type="paragraph" w:customStyle="1" w:styleId="Sombreadoclaro-nfasis51">
    <w:name w:val="Sombreado claro - Énfasis 51"/>
    <w:hidden/>
    <w:uiPriority w:val="99"/>
    <w:semiHidden/>
    <w:rsid w:val="00790114"/>
    <w:rPr>
      <w:sz w:val="22"/>
      <w:szCs w:val="22"/>
    </w:rPr>
  </w:style>
  <w:style w:type="paragraph" w:styleId="TDC1">
    <w:name w:val="toc 1"/>
    <w:basedOn w:val="Normal"/>
    <w:next w:val="Normal"/>
    <w:autoRedefine/>
    <w:uiPriority w:val="39"/>
    <w:unhideWhenUsed/>
    <w:qFormat/>
    <w:rsid w:val="00633E95"/>
    <w:pPr>
      <w:tabs>
        <w:tab w:val="left" w:pos="709"/>
        <w:tab w:val="right" w:leader="dot" w:pos="8789"/>
      </w:tabs>
      <w:spacing w:before="120" w:after="120" w:line="240" w:lineRule="auto"/>
      <w:ind w:left="425" w:right="573"/>
      <w:jc w:val="both"/>
    </w:pPr>
    <w:rPr>
      <w:b/>
      <w:bCs/>
      <w:caps/>
      <w:sz w:val="20"/>
      <w:szCs w:val="20"/>
    </w:rPr>
  </w:style>
  <w:style w:type="character" w:customStyle="1" w:styleId="Ttulo1Car">
    <w:name w:val="Título 1 Car"/>
    <w:link w:val="Ttulo1"/>
    <w:uiPriority w:val="9"/>
    <w:rsid w:val="00D82689"/>
    <w:rPr>
      <w:rFonts w:ascii="Cambria" w:eastAsia="MS Gothic" w:hAnsi="Cambria" w:cs="Times New Roman"/>
      <w:b/>
      <w:bCs/>
      <w:color w:val="365F91"/>
      <w:sz w:val="28"/>
      <w:szCs w:val="28"/>
    </w:rPr>
  </w:style>
  <w:style w:type="paragraph" w:customStyle="1" w:styleId="TOCHeading1">
    <w:name w:val="TOC Heading1"/>
    <w:basedOn w:val="Ttulo1"/>
    <w:next w:val="Normal"/>
    <w:uiPriority w:val="39"/>
    <w:semiHidden/>
    <w:unhideWhenUsed/>
    <w:qFormat/>
    <w:rsid w:val="00D82689"/>
    <w:pPr>
      <w:outlineLvl w:val="9"/>
    </w:pPr>
    <w:rPr>
      <w:lang w:val="es-CR" w:eastAsia="es-CR"/>
    </w:rPr>
  </w:style>
  <w:style w:type="paragraph" w:styleId="TDC2">
    <w:name w:val="toc 2"/>
    <w:basedOn w:val="Normal"/>
    <w:next w:val="Normal"/>
    <w:autoRedefine/>
    <w:uiPriority w:val="39"/>
    <w:unhideWhenUsed/>
    <w:qFormat/>
    <w:rsid w:val="00D82689"/>
    <w:pPr>
      <w:spacing w:after="0"/>
      <w:ind w:left="220"/>
    </w:pPr>
    <w:rPr>
      <w:smallCaps/>
      <w:sz w:val="20"/>
      <w:szCs w:val="20"/>
    </w:rPr>
  </w:style>
  <w:style w:type="paragraph" w:styleId="TDC3">
    <w:name w:val="toc 3"/>
    <w:basedOn w:val="Normal"/>
    <w:next w:val="Normal"/>
    <w:autoRedefine/>
    <w:uiPriority w:val="39"/>
    <w:unhideWhenUsed/>
    <w:qFormat/>
    <w:rsid w:val="00D82689"/>
    <w:pPr>
      <w:spacing w:after="0"/>
      <w:ind w:left="440"/>
    </w:pPr>
    <w:rPr>
      <w:i/>
      <w:iCs/>
      <w:sz w:val="20"/>
      <w:szCs w:val="20"/>
    </w:rPr>
  </w:style>
  <w:style w:type="character" w:styleId="Hipervnculovisitado">
    <w:name w:val="FollowedHyperlink"/>
    <w:uiPriority w:val="99"/>
    <w:semiHidden/>
    <w:unhideWhenUsed/>
    <w:rsid w:val="00334EF7"/>
    <w:rPr>
      <w:color w:val="800080"/>
      <w:u w:val="single"/>
    </w:rPr>
  </w:style>
  <w:style w:type="paragraph" w:customStyle="1" w:styleId="Default">
    <w:name w:val="Default"/>
    <w:rsid w:val="00685C67"/>
    <w:pPr>
      <w:autoSpaceDE w:val="0"/>
      <w:autoSpaceDN w:val="0"/>
      <w:adjustRightInd w:val="0"/>
    </w:pPr>
    <w:rPr>
      <w:rFonts w:ascii="Verdana" w:hAnsi="Verdana" w:cs="Verdana"/>
      <w:color w:val="000000"/>
      <w:sz w:val="24"/>
      <w:szCs w:val="24"/>
    </w:rPr>
  </w:style>
  <w:style w:type="paragraph" w:customStyle="1" w:styleId="Listamedia2-nfasis41">
    <w:name w:val="Lista media 2 - Énfasis 41"/>
    <w:aliases w:val="List Paragraph1,Colorful List - Accent 11"/>
    <w:basedOn w:val="Normal"/>
    <w:uiPriority w:val="34"/>
    <w:qFormat/>
    <w:rsid w:val="00745A06"/>
    <w:pPr>
      <w:ind w:left="708"/>
    </w:pPr>
  </w:style>
  <w:style w:type="paragraph" w:customStyle="1" w:styleId="Prrafodelista2">
    <w:name w:val="Párrafo de lista2"/>
    <w:basedOn w:val="Normal"/>
    <w:uiPriority w:val="99"/>
    <w:rsid w:val="00745A06"/>
    <w:pPr>
      <w:spacing w:after="0" w:line="240" w:lineRule="auto"/>
      <w:ind w:left="720"/>
    </w:pPr>
    <w:rPr>
      <w:rFonts w:ascii="Verdana" w:eastAsia="MS Mincho" w:hAnsi="Verdana" w:cs="Verdana"/>
      <w:sz w:val="20"/>
      <w:szCs w:val="20"/>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A76931"/>
    <w:rPr>
      <w:rFonts w:ascii="Verdana" w:eastAsia="Times" w:hAnsi="Verdana"/>
      <w:sz w:val="16"/>
      <w:lang w:val="en-US"/>
    </w:rPr>
  </w:style>
  <w:style w:type="paragraph" w:styleId="Textonotaalfinal">
    <w:name w:val="endnote text"/>
    <w:basedOn w:val="Normal"/>
    <w:link w:val="TextonotaalfinalCar"/>
    <w:uiPriority w:val="99"/>
    <w:unhideWhenUsed/>
    <w:rsid w:val="00752392"/>
    <w:rPr>
      <w:sz w:val="24"/>
      <w:szCs w:val="24"/>
      <w:lang w:eastAsia="x-none"/>
    </w:rPr>
  </w:style>
  <w:style w:type="character" w:customStyle="1" w:styleId="TextonotaalfinalCar">
    <w:name w:val="Texto nota al final Car"/>
    <w:link w:val="Textonotaalfinal"/>
    <w:uiPriority w:val="99"/>
    <w:rsid w:val="00752392"/>
    <w:rPr>
      <w:sz w:val="24"/>
      <w:szCs w:val="24"/>
      <w:lang w:val="es-CR"/>
    </w:rPr>
  </w:style>
  <w:style w:type="character" w:styleId="Refdenotaalfinal">
    <w:name w:val="endnote reference"/>
    <w:uiPriority w:val="99"/>
    <w:unhideWhenUsed/>
    <w:rsid w:val="00752392"/>
    <w:rPr>
      <w:vertAlign w:val="superscript"/>
    </w:rPr>
  </w:style>
  <w:style w:type="paragraph" w:customStyle="1" w:styleId="Listamedia1-nfasis41">
    <w:name w:val="Lista media 1 - Énfasis 41"/>
    <w:hidden/>
    <w:uiPriority w:val="71"/>
    <w:rsid w:val="00C55C19"/>
    <w:rPr>
      <w:sz w:val="22"/>
      <w:szCs w:val="22"/>
      <w:lang w:val="es-CR"/>
    </w:rPr>
  </w:style>
  <w:style w:type="paragraph" w:customStyle="1" w:styleId="Sombreadovistoso-nfasis31">
    <w:name w:val="Sombreado vistoso - Énfasis 31"/>
    <w:basedOn w:val="Normal"/>
    <w:uiPriority w:val="34"/>
    <w:qFormat/>
    <w:rsid w:val="00F90155"/>
    <w:pPr>
      <w:ind w:left="708"/>
    </w:pPr>
  </w:style>
  <w:style w:type="paragraph" w:customStyle="1" w:styleId="Listaoscura-nfasis31">
    <w:name w:val="Lista oscura - Énfasis 31"/>
    <w:hidden/>
    <w:uiPriority w:val="71"/>
    <w:rsid w:val="006E511A"/>
    <w:rPr>
      <w:sz w:val="22"/>
      <w:szCs w:val="22"/>
      <w:lang w:val="es-CR"/>
    </w:rPr>
  </w:style>
  <w:style w:type="paragraph" w:customStyle="1" w:styleId="Listaclara-nfasis31">
    <w:name w:val="Lista clara - Énfasis 31"/>
    <w:hidden/>
    <w:uiPriority w:val="99"/>
    <w:semiHidden/>
    <w:rsid w:val="00564B1E"/>
    <w:rPr>
      <w:sz w:val="22"/>
      <w:szCs w:val="22"/>
      <w:lang w:val="es-CR"/>
    </w:rPr>
  </w:style>
  <w:style w:type="paragraph" w:styleId="NormalWeb">
    <w:name w:val="Normal (Web)"/>
    <w:basedOn w:val="Normal"/>
    <w:uiPriority w:val="99"/>
    <w:unhideWhenUsed/>
    <w:rsid w:val="00BA6DB4"/>
    <w:pPr>
      <w:spacing w:before="100" w:beforeAutospacing="1" w:after="100" w:afterAutospacing="1" w:line="240" w:lineRule="auto"/>
    </w:pPr>
    <w:rPr>
      <w:rFonts w:ascii="Times" w:hAnsi="Times"/>
      <w:sz w:val="20"/>
      <w:szCs w:val="20"/>
      <w:lang w:val="en-US"/>
    </w:rPr>
  </w:style>
  <w:style w:type="paragraph" w:customStyle="1" w:styleId="Listavistosa-nfasis11">
    <w:name w:val="Lista vistosa - Énfasis 11"/>
    <w:basedOn w:val="Normal"/>
    <w:uiPriority w:val="99"/>
    <w:qFormat/>
    <w:rsid w:val="00A670ED"/>
    <w:pPr>
      <w:ind w:left="720"/>
    </w:pPr>
  </w:style>
  <w:style w:type="paragraph" w:customStyle="1" w:styleId="TOCHeading2">
    <w:name w:val="TOC Heading2"/>
    <w:basedOn w:val="Ttulo1"/>
    <w:next w:val="Normal"/>
    <w:uiPriority w:val="39"/>
    <w:semiHidden/>
    <w:unhideWhenUsed/>
    <w:qFormat/>
    <w:rsid w:val="00D27289"/>
    <w:pPr>
      <w:outlineLvl w:val="9"/>
    </w:pPr>
    <w:rPr>
      <w:lang w:val="en-US" w:eastAsia="ja-JP"/>
    </w:rPr>
  </w:style>
  <w:style w:type="character" w:customStyle="1" w:styleId="Ttulo2Car">
    <w:name w:val="Título 2 Car"/>
    <w:link w:val="Ttulo2"/>
    <w:uiPriority w:val="9"/>
    <w:semiHidden/>
    <w:rsid w:val="00A526FD"/>
    <w:rPr>
      <w:rFonts w:ascii="Cambria" w:eastAsia="Times New Roman" w:hAnsi="Cambria" w:cs="Times New Roman"/>
      <w:b/>
      <w:bCs/>
      <w:i/>
      <w:iCs/>
      <w:sz w:val="28"/>
      <w:szCs w:val="28"/>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90386"/>
    <w:pPr>
      <w:spacing w:after="0" w:line="240" w:lineRule="auto"/>
      <w:jc w:val="both"/>
    </w:pPr>
    <w:rPr>
      <w:sz w:val="20"/>
      <w:szCs w:val="20"/>
      <w:vertAlign w:val="superscript"/>
      <w:lang w:eastAsia="es-CR"/>
    </w:rPr>
  </w:style>
  <w:style w:type="paragraph" w:styleId="TDC4">
    <w:name w:val="toc 4"/>
    <w:basedOn w:val="Normal"/>
    <w:next w:val="Normal"/>
    <w:autoRedefine/>
    <w:uiPriority w:val="39"/>
    <w:unhideWhenUsed/>
    <w:rsid w:val="00CC1555"/>
    <w:pPr>
      <w:spacing w:after="0"/>
      <w:ind w:left="660"/>
    </w:pPr>
    <w:rPr>
      <w:sz w:val="18"/>
      <w:szCs w:val="18"/>
    </w:rPr>
  </w:style>
  <w:style w:type="paragraph" w:styleId="TDC5">
    <w:name w:val="toc 5"/>
    <w:basedOn w:val="Normal"/>
    <w:next w:val="Normal"/>
    <w:autoRedefine/>
    <w:uiPriority w:val="39"/>
    <w:unhideWhenUsed/>
    <w:rsid w:val="00CC1555"/>
    <w:pPr>
      <w:spacing w:after="0"/>
      <w:ind w:left="880"/>
    </w:pPr>
    <w:rPr>
      <w:sz w:val="18"/>
      <w:szCs w:val="18"/>
    </w:rPr>
  </w:style>
  <w:style w:type="paragraph" w:styleId="TDC6">
    <w:name w:val="toc 6"/>
    <w:basedOn w:val="Normal"/>
    <w:next w:val="Normal"/>
    <w:autoRedefine/>
    <w:uiPriority w:val="39"/>
    <w:unhideWhenUsed/>
    <w:rsid w:val="00CC1555"/>
    <w:pPr>
      <w:spacing w:after="0"/>
      <w:ind w:left="1100"/>
    </w:pPr>
    <w:rPr>
      <w:sz w:val="18"/>
      <w:szCs w:val="18"/>
    </w:rPr>
  </w:style>
  <w:style w:type="paragraph" w:styleId="TDC7">
    <w:name w:val="toc 7"/>
    <w:basedOn w:val="Normal"/>
    <w:next w:val="Normal"/>
    <w:autoRedefine/>
    <w:uiPriority w:val="39"/>
    <w:unhideWhenUsed/>
    <w:rsid w:val="00CC1555"/>
    <w:pPr>
      <w:spacing w:after="0"/>
      <w:ind w:left="1320"/>
    </w:pPr>
    <w:rPr>
      <w:sz w:val="18"/>
      <w:szCs w:val="18"/>
    </w:rPr>
  </w:style>
  <w:style w:type="paragraph" w:styleId="TDC8">
    <w:name w:val="toc 8"/>
    <w:basedOn w:val="Normal"/>
    <w:next w:val="Normal"/>
    <w:autoRedefine/>
    <w:uiPriority w:val="39"/>
    <w:unhideWhenUsed/>
    <w:rsid w:val="00CC1555"/>
    <w:pPr>
      <w:spacing w:after="0"/>
      <w:ind w:left="1540"/>
    </w:pPr>
    <w:rPr>
      <w:sz w:val="18"/>
      <w:szCs w:val="18"/>
    </w:rPr>
  </w:style>
  <w:style w:type="paragraph" w:styleId="TDC9">
    <w:name w:val="toc 9"/>
    <w:basedOn w:val="Normal"/>
    <w:next w:val="Normal"/>
    <w:autoRedefine/>
    <w:uiPriority w:val="39"/>
    <w:unhideWhenUsed/>
    <w:rsid w:val="00CC1555"/>
    <w:pPr>
      <w:spacing w:after="0"/>
      <w:ind w:left="1760"/>
    </w:pPr>
    <w:rPr>
      <w:sz w:val="18"/>
      <w:szCs w:val="18"/>
    </w:rPr>
  </w:style>
  <w:style w:type="paragraph" w:customStyle="1" w:styleId="Listavistosa-nfasis12">
    <w:name w:val="Lista vistosa - Énfasis 12"/>
    <w:basedOn w:val="Normal"/>
    <w:uiPriority w:val="34"/>
    <w:qFormat/>
    <w:rsid w:val="000B0E1A"/>
    <w:pPr>
      <w:ind w:left="708"/>
    </w:pPr>
  </w:style>
  <w:style w:type="paragraph" w:customStyle="1" w:styleId="TtulodeTDC1">
    <w:name w:val="Título de TDC1"/>
    <w:basedOn w:val="Ttulo1"/>
    <w:next w:val="Normal"/>
    <w:uiPriority w:val="39"/>
    <w:semiHidden/>
    <w:unhideWhenUsed/>
    <w:qFormat/>
    <w:rsid w:val="008E0DB8"/>
    <w:pPr>
      <w:outlineLvl w:val="9"/>
    </w:pPr>
    <w:rPr>
      <w:lang w:val="en-US" w:eastAsia="ja-JP"/>
    </w:rPr>
  </w:style>
  <w:style w:type="character" w:customStyle="1" w:styleId="Ttulo3Car">
    <w:name w:val="Título 3 Car"/>
    <w:link w:val="Ttulo3"/>
    <w:uiPriority w:val="9"/>
    <w:semiHidden/>
    <w:rsid w:val="00C6618D"/>
    <w:rPr>
      <w:rFonts w:ascii="Cambria" w:eastAsia="Times New Roman" w:hAnsi="Cambria" w:cs="Times New Roman"/>
      <w:b/>
      <w:bCs/>
      <w:sz w:val="26"/>
      <w:szCs w:val="26"/>
      <w:lang w:val="es-CR"/>
    </w:rPr>
  </w:style>
  <w:style w:type="paragraph" w:customStyle="1" w:styleId="Sombreadovistoso-nfasis11">
    <w:name w:val="Sombreado vistoso - Énfasis 11"/>
    <w:hidden/>
    <w:uiPriority w:val="99"/>
    <w:semiHidden/>
    <w:rsid w:val="00BC2DE1"/>
    <w:rPr>
      <w:sz w:val="22"/>
      <w:szCs w:val="22"/>
      <w:lang w:val="es-CR"/>
    </w:rPr>
  </w:style>
  <w:style w:type="paragraph" w:styleId="Revisin">
    <w:name w:val="Revision"/>
    <w:hidden/>
    <w:uiPriority w:val="71"/>
    <w:rsid w:val="00415ABD"/>
    <w:rPr>
      <w:sz w:val="22"/>
      <w:szCs w:val="22"/>
      <w:lang w:val="es-CR"/>
    </w:rPr>
  </w:style>
  <w:style w:type="paragraph" w:styleId="Prrafodelista">
    <w:name w:val="List Paragraph"/>
    <w:basedOn w:val="Normal"/>
    <w:uiPriority w:val="72"/>
    <w:qFormat/>
    <w:rsid w:val="006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5190">
      <w:bodyDiv w:val="1"/>
      <w:marLeft w:val="0"/>
      <w:marRight w:val="0"/>
      <w:marTop w:val="0"/>
      <w:marBottom w:val="0"/>
      <w:divBdr>
        <w:top w:val="none" w:sz="0" w:space="0" w:color="auto"/>
        <w:left w:val="none" w:sz="0" w:space="0" w:color="auto"/>
        <w:bottom w:val="none" w:sz="0" w:space="0" w:color="auto"/>
        <w:right w:val="none" w:sz="0" w:space="0" w:color="auto"/>
      </w:divBdr>
    </w:div>
    <w:div w:id="100881424">
      <w:bodyDiv w:val="1"/>
      <w:marLeft w:val="0"/>
      <w:marRight w:val="0"/>
      <w:marTop w:val="0"/>
      <w:marBottom w:val="0"/>
      <w:divBdr>
        <w:top w:val="none" w:sz="0" w:space="0" w:color="auto"/>
        <w:left w:val="none" w:sz="0" w:space="0" w:color="auto"/>
        <w:bottom w:val="none" w:sz="0" w:space="0" w:color="auto"/>
        <w:right w:val="none" w:sz="0" w:space="0" w:color="auto"/>
      </w:divBdr>
    </w:div>
    <w:div w:id="111873639">
      <w:bodyDiv w:val="1"/>
      <w:marLeft w:val="0"/>
      <w:marRight w:val="0"/>
      <w:marTop w:val="0"/>
      <w:marBottom w:val="0"/>
      <w:divBdr>
        <w:top w:val="none" w:sz="0" w:space="0" w:color="auto"/>
        <w:left w:val="none" w:sz="0" w:space="0" w:color="auto"/>
        <w:bottom w:val="none" w:sz="0" w:space="0" w:color="auto"/>
        <w:right w:val="none" w:sz="0" w:space="0" w:color="auto"/>
      </w:divBdr>
    </w:div>
    <w:div w:id="133957627">
      <w:bodyDiv w:val="1"/>
      <w:marLeft w:val="0"/>
      <w:marRight w:val="0"/>
      <w:marTop w:val="0"/>
      <w:marBottom w:val="0"/>
      <w:divBdr>
        <w:top w:val="none" w:sz="0" w:space="0" w:color="auto"/>
        <w:left w:val="none" w:sz="0" w:space="0" w:color="auto"/>
        <w:bottom w:val="none" w:sz="0" w:space="0" w:color="auto"/>
        <w:right w:val="none" w:sz="0" w:space="0" w:color="auto"/>
      </w:divBdr>
    </w:div>
    <w:div w:id="138964624">
      <w:bodyDiv w:val="1"/>
      <w:marLeft w:val="0"/>
      <w:marRight w:val="0"/>
      <w:marTop w:val="0"/>
      <w:marBottom w:val="0"/>
      <w:divBdr>
        <w:top w:val="none" w:sz="0" w:space="0" w:color="auto"/>
        <w:left w:val="none" w:sz="0" w:space="0" w:color="auto"/>
        <w:bottom w:val="none" w:sz="0" w:space="0" w:color="auto"/>
        <w:right w:val="none" w:sz="0" w:space="0" w:color="auto"/>
      </w:divBdr>
      <w:divsChild>
        <w:div w:id="1930232932">
          <w:marLeft w:val="0"/>
          <w:marRight w:val="0"/>
          <w:marTop w:val="0"/>
          <w:marBottom w:val="0"/>
          <w:divBdr>
            <w:top w:val="none" w:sz="0" w:space="0" w:color="auto"/>
            <w:left w:val="none" w:sz="0" w:space="0" w:color="auto"/>
            <w:bottom w:val="none" w:sz="0" w:space="0" w:color="auto"/>
            <w:right w:val="none" w:sz="0" w:space="0" w:color="auto"/>
          </w:divBdr>
          <w:divsChild>
            <w:div w:id="248151102">
              <w:marLeft w:val="0"/>
              <w:marRight w:val="0"/>
              <w:marTop w:val="0"/>
              <w:marBottom w:val="0"/>
              <w:divBdr>
                <w:top w:val="none" w:sz="0" w:space="0" w:color="auto"/>
                <w:left w:val="none" w:sz="0" w:space="0" w:color="auto"/>
                <w:bottom w:val="none" w:sz="0" w:space="0" w:color="auto"/>
                <w:right w:val="none" w:sz="0" w:space="0" w:color="auto"/>
              </w:divBdr>
              <w:divsChild>
                <w:div w:id="3718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349">
      <w:bodyDiv w:val="1"/>
      <w:marLeft w:val="0"/>
      <w:marRight w:val="0"/>
      <w:marTop w:val="0"/>
      <w:marBottom w:val="0"/>
      <w:divBdr>
        <w:top w:val="none" w:sz="0" w:space="0" w:color="auto"/>
        <w:left w:val="none" w:sz="0" w:space="0" w:color="auto"/>
        <w:bottom w:val="none" w:sz="0" w:space="0" w:color="auto"/>
        <w:right w:val="none" w:sz="0" w:space="0" w:color="auto"/>
      </w:divBdr>
    </w:div>
    <w:div w:id="244799737">
      <w:bodyDiv w:val="1"/>
      <w:marLeft w:val="0"/>
      <w:marRight w:val="0"/>
      <w:marTop w:val="0"/>
      <w:marBottom w:val="0"/>
      <w:divBdr>
        <w:top w:val="none" w:sz="0" w:space="0" w:color="auto"/>
        <w:left w:val="none" w:sz="0" w:space="0" w:color="auto"/>
        <w:bottom w:val="none" w:sz="0" w:space="0" w:color="auto"/>
        <w:right w:val="none" w:sz="0" w:space="0" w:color="auto"/>
      </w:divBdr>
    </w:div>
    <w:div w:id="264462710">
      <w:bodyDiv w:val="1"/>
      <w:marLeft w:val="0"/>
      <w:marRight w:val="0"/>
      <w:marTop w:val="0"/>
      <w:marBottom w:val="0"/>
      <w:divBdr>
        <w:top w:val="none" w:sz="0" w:space="0" w:color="auto"/>
        <w:left w:val="none" w:sz="0" w:space="0" w:color="auto"/>
        <w:bottom w:val="none" w:sz="0" w:space="0" w:color="auto"/>
        <w:right w:val="none" w:sz="0" w:space="0" w:color="auto"/>
      </w:divBdr>
    </w:div>
    <w:div w:id="355347833">
      <w:bodyDiv w:val="1"/>
      <w:marLeft w:val="0"/>
      <w:marRight w:val="0"/>
      <w:marTop w:val="0"/>
      <w:marBottom w:val="0"/>
      <w:divBdr>
        <w:top w:val="none" w:sz="0" w:space="0" w:color="auto"/>
        <w:left w:val="none" w:sz="0" w:space="0" w:color="auto"/>
        <w:bottom w:val="none" w:sz="0" w:space="0" w:color="auto"/>
        <w:right w:val="none" w:sz="0" w:space="0" w:color="auto"/>
      </w:divBdr>
      <w:divsChild>
        <w:div w:id="1806506807">
          <w:marLeft w:val="0"/>
          <w:marRight w:val="0"/>
          <w:marTop w:val="0"/>
          <w:marBottom w:val="0"/>
          <w:divBdr>
            <w:top w:val="none" w:sz="0" w:space="0" w:color="auto"/>
            <w:left w:val="none" w:sz="0" w:space="0" w:color="auto"/>
            <w:bottom w:val="none" w:sz="0" w:space="0" w:color="auto"/>
            <w:right w:val="none" w:sz="0" w:space="0" w:color="auto"/>
          </w:divBdr>
          <w:divsChild>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3951">
      <w:bodyDiv w:val="1"/>
      <w:marLeft w:val="0"/>
      <w:marRight w:val="0"/>
      <w:marTop w:val="0"/>
      <w:marBottom w:val="0"/>
      <w:divBdr>
        <w:top w:val="none" w:sz="0" w:space="0" w:color="auto"/>
        <w:left w:val="none" w:sz="0" w:space="0" w:color="auto"/>
        <w:bottom w:val="none" w:sz="0" w:space="0" w:color="auto"/>
        <w:right w:val="none" w:sz="0" w:space="0" w:color="auto"/>
      </w:divBdr>
    </w:div>
    <w:div w:id="397751622">
      <w:bodyDiv w:val="1"/>
      <w:marLeft w:val="0"/>
      <w:marRight w:val="0"/>
      <w:marTop w:val="0"/>
      <w:marBottom w:val="0"/>
      <w:divBdr>
        <w:top w:val="none" w:sz="0" w:space="0" w:color="auto"/>
        <w:left w:val="none" w:sz="0" w:space="0" w:color="auto"/>
        <w:bottom w:val="none" w:sz="0" w:space="0" w:color="auto"/>
        <w:right w:val="none" w:sz="0" w:space="0" w:color="auto"/>
      </w:divBdr>
    </w:div>
    <w:div w:id="414281715">
      <w:bodyDiv w:val="1"/>
      <w:marLeft w:val="0"/>
      <w:marRight w:val="0"/>
      <w:marTop w:val="0"/>
      <w:marBottom w:val="0"/>
      <w:divBdr>
        <w:top w:val="none" w:sz="0" w:space="0" w:color="auto"/>
        <w:left w:val="none" w:sz="0" w:space="0" w:color="auto"/>
        <w:bottom w:val="none" w:sz="0" w:space="0" w:color="auto"/>
        <w:right w:val="none" w:sz="0" w:space="0" w:color="auto"/>
      </w:divBdr>
    </w:div>
    <w:div w:id="447747427">
      <w:bodyDiv w:val="1"/>
      <w:marLeft w:val="0"/>
      <w:marRight w:val="0"/>
      <w:marTop w:val="0"/>
      <w:marBottom w:val="0"/>
      <w:divBdr>
        <w:top w:val="none" w:sz="0" w:space="0" w:color="auto"/>
        <w:left w:val="none" w:sz="0" w:space="0" w:color="auto"/>
        <w:bottom w:val="none" w:sz="0" w:space="0" w:color="auto"/>
        <w:right w:val="none" w:sz="0" w:space="0" w:color="auto"/>
      </w:divBdr>
      <w:divsChild>
        <w:div w:id="2054193125">
          <w:marLeft w:val="0"/>
          <w:marRight w:val="0"/>
          <w:marTop w:val="0"/>
          <w:marBottom w:val="0"/>
          <w:divBdr>
            <w:top w:val="none" w:sz="0" w:space="0" w:color="auto"/>
            <w:left w:val="none" w:sz="0" w:space="0" w:color="auto"/>
            <w:bottom w:val="none" w:sz="0" w:space="0" w:color="auto"/>
            <w:right w:val="none" w:sz="0" w:space="0" w:color="auto"/>
          </w:divBdr>
          <w:divsChild>
            <w:div w:id="1756439628">
              <w:marLeft w:val="0"/>
              <w:marRight w:val="0"/>
              <w:marTop w:val="0"/>
              <w:marBottom w:val="0"/>
              <w:divBdr>
                <w:top w:val="none" w:sz="0" w:space="0" w:color="auto"/>
                <w:left w:val="none" w:sz="0" w:space="0" w:color="auto"/>
                <w:bottom w:val="none" w:sz="0" w:space="0" w:color="auto"/>
                <w:right w:val="none" w:sz="0" w:space="0" w:color="auto"/>
              </w:divBdr>
              <w:divsChild>
                <w:div w:id="1490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7189">
      <w:bodyDiv w:val="1"/>
      <w:marLeft w:val="0"/>
      <w:marRight w:val="0"/>
      <w:marTop w:val="0"/>
      <w:marBottom w:val="0"/>
      <w:divBdr>
        <w:top w:val="none" w:sz="0" w:space="0" w:color="auto"/>
        <w:left w:val="none" w:sz="0" w:space="0" w:color="auto"/>
        <w:bottom w:val="none" w:sz="0" w:space="0" w:color="auto"/>
        <w:right w:val="none" w:sz="0" w:space="0" w:color="auto"/>
      </w:divBdr>
    </w:div>
    <w:div w:id="571350050">
      <w:bodyDiv w:val="1"/>
      <w:marLeft w:val="0"/>
      <w:marRight w:val="0"/>
      <w:marTop w:val="0"/>
      <w:marBottom w:val="0"/>
      <w:divBdr>
        <w:top w:val="none" w:sz="0" w:space="0" w:color="auto"/>
        <w:left w:val="none" w:sz="0" w:space="0" w:color="auto"/>
        <w:bottom w:val="none" w:sz="0" w:space="0" w:color="auto"/>
        <w:right w:val="none" w:sz="0" w:space="0" w:color="auto"/>
      </w:divBdr>
    </w:div>
    <w:div w:id="586966052">
      <w:bodyDiv w:val="1"/>
      <w:marLeft w:val="0"/>
      <w:marRight w:val="0"/>
      <w:marTop w:val="0"/>
      <w:marBottom w:val="0"/>
      <w:divBdr>
        <w:top w:val="none" w:sz="0" w:space="0" w:color="auto"/>
        <w:left w:val="none" w:sz="0" w:space="0" w:color="auto"/>
        <w:bottom w:val="none" w:sz="0" w:space="0" w:color="auto"/>
        <w:right w:val="none" w:sz="0" w:space="0" w:color="auto"/>
      </w:divBdr>
    </w:div>
    <w:div w:id="615211543">
      <w:bodyDiv w:val="1"/>
      <w:marLeft w:val="0"/>
      <w:marRight w:val="0"/>
      <w:marTop w:val="0"/>
      <w:marBottom w:val="0"/>
      <w:divBdr>
        <w:top w:val="none" w:sz="0" w:space="0" w:color="auto"/>
        <w:left w:val="none" w:sz="0" w:space="0" w:color="auto"/>
        <w:bottom w:val="none" w:sz="0" w:space="0" w:color="auto"/>
        <w:right w:val="none" w:sz="0" w:space="0" w:color="auto"/>
      </w:divBdr>
      <w:divsChild>
        <w:div w:id="1496337337">
          <w:marLeft w:val="0"/>
          <w:marRight w:val="0"/>
          <w:marTop w:val="0"/>
          <w:marBottom w:val="0"/>
          <w:divBdr>
            <w:top w:val="none" w:sz="0" w:space="0" w:color="auto"/>
            <w:left w:val="none" w:sz="0" w:space="0" w:color="auto"/>
            <w:bottom w:val="none" w:sz="0" w:space="0" w:color="auto"/>
            <w:right w:val="none" w:sz="0" w:space="0" w:color="auto"/>
          </w:divBdr>
          <w:divsChild>
            <w:div w:id="939334326">
              <w:marLeft w:val="0"/>
              <w:marRight w:val="0"/>
              <w:marTop w:val="0"/>
              <w:marBottom w:val="0"/>
              <w:divBdr>
                <w:top w:val="none" w:sz="0" w:space="0" w:color="auto"/>
                <w:left w:val="none" w:sz="0" w:space="0" w:color="auto"/>
                <w:bottom w:val="none" w:sz="0" w:space="0" w:color="auto"/>
                <w:right w:val="none" w:sz="0" w:space="0" w:color="auto"/>
              </w:divBdr>
              <w:divsChild>
                <w:div w:id="643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2711">
      <w:bodyDiv w:val="1"/>
      <w:marLeft w:val="0"/>
      <w:marRight w:val="0"/>
      <w:marTop w:val="0"/>
      <w:marBottom w:val="0"/>
      <w:divBdr>
        <w:top w:val="none" w:sz="0" w:space="0" w:color="auto"/>
        <w:left w:val="none" w:sz="0" w:space="0" w:color="auto"/>
        <w:bottom w:val="none" w:sz="0" w:space="0" w:color="auto"/>
        <w:right w:val="none" w:sz="0" w:space="0" w:color="auto"/>
      </w:divBdr>
    </w:div>
    <w:div w:id="675154332">
      <w:bodyDiv w:val="1"/>
      <w:marLeft w:val="0"/>
      <w:marRight w:val="0"/>
      <w:marTop w:val="0"/>
      <w:marBottom w:val="0"/>
      <w:divBdr>
        <w:top w:val="none" w:sz="0" w:space="0" w:color="auto"/>
        <w:left w:val="none" w:sz="0" w:space="0" w:color="auto"/>
        <w:bottom w:val="none" w:sz="0" w:space="0" w:color="auto"/>
        <w:right w:val="none" w:sz="0" w:space="0" w:color="auto"/>
      </w:divBdr>
    </w:div>
    <w:div w:id="685450939">
      <w:bodyDiv w:val="1"/>
      <w:marLeft w:val="0"/>
      <w:marRight w:val="0"/>
      <w:marTop w:val="0"/>
      <w:marBottom w:val="0"/>
      <w:divBdr>
        <w:top w:val="none" w:sz="0" w:space="0" w:color="auto"/>
        <w:left w:val="none" w:sz="0" w:space="0" w:color="auto"/>
        <w:bottom w:val="none" w:sz="0" w:space="0" w:color="auto"/>
        <w:right w:val="none" w:sz="0" w:space="0" w:color="auto"/>
      </w:divBdr>
    </w:div>
    <w:div w:id="817768039">
      <w:bodyDiv w:val="1"/>
      <w:marLeft w:val="0"/>
      <w:marRight w:val="0"/>
      <w:marTop w:val="0"/>
      <w:marBottom w:val="0"/>
      <w:divBdr>
        <w:top w:val="none" w:sz="0" w:space="0" w:color="auto"/>
        <w:left w:val="none" w:sz="0" w:space="0" w:color="auto"/>
        <w:bottom w:val="none" w:sz="0" w:space="0" w:color="auto"/>
        <w:right w:val="none" w:sz="0" w:space="0" w:color="auto"/>
      </w:divBdr>
    </w:div>
    <w:div w:id="988050080">
      <w:bodyDiv w:val="1"/>
      <w:marLeft w:val="0"/>
      <w:marRight w:val="0"/>
      <w:marTop w:val="0"/>
      <w:marBottom w:val="0"/>
      <w:divBdr>
        <w:top w:val="none" w:sz="0" w:space="0" w:color="auto"/>
        <w:left w:val="none" w:sz="0" w:space="0" w:color="auto"/>
        <w:bottom w:val="none" w:sz="0" w:space="0" w:color="auto"/>
        <w:right w:val="none" w:sz="0" w:space="0" w:color="auto"/>
      </w:divBdr>
    </w:div>
    <w:div w:id="1042901718">
      <w:bodyDiv w:val="1"/>
      <w:marLeft w:val="0"/>
      <w:marRight w:val="0"/>
      <w:marTop w:val="0"/>
      <w:marBottom w:val="0"/>
      <w:divBdr>
        <w:top w:val="none" w:sz="0" w:space="0" w:color="auto"/>
        <w:left w:val="none" w:sz="0" w:space="0" w:color="auto"/>
        <w:bottom w:val="none" w:sz="0" w:space="0" w:color="auto"/>
        <w:right w:val="none" w:sz="0" w:space="0" w:color="auto"/>
      </w:divBdr>
    </w:div>
    <w:div w:id="1079056311">
      <w:bodyDiv w:val="1"/>
      <w:marLeft w:val="0"/>
      <w:marRight w:val="0"/>
      <w:marTop w:val="0"/>
      <w:marBottom w:val="0"/>
      <w:divBdr>
        <w:top w:val="none" w:sz="0" w:space="0" w:color="auto"/>
        <w:left w:val="none" w:sz="0" w:space="0" w:color="auto"/>
        <w:bottom w:val="none" w:sz="0" w:space="0" w:color="auto"/>
        <w:right w:val="none" w:sz="0" w:space="0" w:color="auto"/>
      </w:divBdr>
    </w:div>
    <w:div w:id="1084036242">
      <w:bodyDiv w:val="1"/>
      <w:marLeft w:val="0"/>
      <w:marRight w:val="0"/>
      <w:marTop w:val="0"/>
      <w:marBottom w:val="0"/>
      <w:divBdr>
        <w:top w:val="none" w:sz="0" w:space="0" w:color="auto"/>
        <w:left w:val="none" w:sz="0" w:space="0" w:color="auto"/>
        <w:bottom w:val="none" w:sz="0" w:space="0" w:color="auto"/>
        <w:right w:val="none" w:sz="0" w:space="0" w:color="auto"/>
      </w:divBdr>
    </w:div>
    <w:div w:id="1118600634">
      <w:bodyDiv w:val="1"/>
      <w:marLeft w:val="0"/>
      <w:marRight w:val="0"/>
      <w:marTop w:val="0"/>
      <w:marBottom w:val="0"/>
      <w:divBdr>
        <w:top w:val="none" w:sz="0" w:space="0" w:color="auto"/>
        <w:left w:val="none" w:sz="0" w:space="0" w:color="auto"/>
        <w:bottom w:val="none" w:sz="0" w:space="0" w:color="auto"/>
        <w:right w:val="none" w:sz="0" w:space="0" w:color="auto"/>
      </w:divBdr>
    </w:div>
    <w:div w:id="1140655563">
      <w:bodyDiv w:val="1"/>
      <w:marLeft w:val="0"/>
      <w:marRight w:val="0"/>
      <w:marTop w:val="0"/>
      <w:marBottom w:val="0"/>
      <w:divBdr>
        <w:top w:val="none" w:sz="0" w:space="0" w:color="auto"/>
        <w:left w:val="none" w:sz="0" w:space="0" w:color="auto"/>
        <w:bottom w:val="none" w:sz="0" w:space="0" w:color="auto"/>
        <w:right w:val="none" w:sz="0" w:space="0" w:color="auto"/>
      </w:divBdr>
    </w:div>
    <w:div w:id="1190946478">
      <w:bodyDiv w:val="1"/>
      <w:marLeft w:val="0"/>
      <w:marRight w:val="0"/>
      <w:marTop w:val="0"/>
      <w:marBottom w:val="0"/>
      <w:divBdr>
        <w:top w:val="none" w:sz="0" w:space="0" w:color="auto"/>
        <w:left w:val="none" w:sz="0" w:space="0" w:color="auto"/>
        <w:bottom w:val="none" w:sz="0" w:space="0" w:color="auto"/>
        <w:right w:val="none" w:sz="0" w:space="0" w:color="auto"/>
      </w:divBdr>
    </w:div>
    <w:div w:id="1196043275">
      <w:bodyDiv w:val="1"/>
      <w:marLeft w:val="0"/>
      <w:marRight w:val="0"/>
      <w:marTop w:val="0"/>
      <w:marBottom w:val="0"/>
      <w:divBdr>
        <w:top w:val="none" w:sz="0" w:space="0" w:color="auto"/>
        <w:left w:val="none" w:sz="0" w:space="0" w:color="auto"/>
        <w:bottom w:val="none" w:sz="0" w:space="0" w:color="auto"/>
        <w:right w:val="none" w:sz="0" w:space="0" w:color="auto"/>
      </w:divBdr>
      <w:divsChild>
        <w:div w:id="2052223189">
          <w:marLeft w:val="0"/>
          <w:marRight w:val="0"/>
          <w:marTop w:val="0"/>
          <w:marBottom w:val="0"/>
          <w:divBdr>
            <w:top w:val="none" w:sz="0" w:space="0" w:color="auto"/>
            <w:left w:val="none" w:sz="0" w:space="0" w:color="auto"/>
            <w:bottom w:val="none" w:sz="0" w:space="0" w:color="auto"/>
            <w:right w:val="none" w:sz="0" w:space="0" w:color="auto"/>
          </w:divBdr>
          <w:divsChild>
            <w:div w:id="216011493">
              <w:marLeft w:val="0"/>
              <w:marRight w:val="0"/>
              <w:marTop w:val="0"/>
              <w:marBottom w:val="0"/>
              <w:divBdr>
                <w:top w:val="none" w:sz="0" w:space="0" w:color="auto"/>
                <w:left w:val="none" w:sz="0" w:space="0" w:color="auto"/>
                <w:bottom w:val="none" w:sz="0" w:space="0" w:color="auto"/>
                <w:right w:val="none" w:sz="0" w:space="0" w:color="auto"/>
              </w:divBdr>
              <w:divsChild>
                <w:div w:id="4387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7749">
      <w:bodyDiv w:val="1"/>
      <w:marLeft w:val="0"/>
      <w:marRight w:val="0"/>
      <w:marTop w:val="0"/>
      <w:marBottom w:val="0"/>
      <w:divBdr>
        <w:top w:val="none" w:sz="0" w:space="0" w:color="auto"/>
        <w:left w:val="none" w:sz="0" w:space="0" w:color="auto"/>
        <w:bottom w:val="none" w:sz="0" w:space="0" w:color="auto"/>
        <w:right w:val="none" w:sz="0" w:space="0" w:color="auto"/>
      </w:divBdr>
      <w:divsChild>
        <w:div w:id="946884328">
          <w:marLeft w:val="0"/>
          <w:marRight w:val="0"/>
          <w:marTop w:val="0"/>
          <w:marBottom w:val="0"/>
          <w:divBdr>
            <w:top w:val="none" w:sz="0" w:space="0" w:color="auto"/>
            <w:left w:val="none" w:sz="0" w:space="0" w:color="auto"/>
            <w:bottom w:val="none" w:sz="0" w:space="0" w:color="auto"/>
            <w:right w:val="none" w:sz="0" w:space="0" w:color="auto"/>
          </w:divBdr>
          <w:divsChild>
            <w:div w:id="612976560">
              <w:marLeft w:val="0"/>
              <w:marRight w:val="0"/>
              <w:marTop w:val="0"/>
              <w:marBottom w:val="0"/>
              <w:divBdr>
                <w:top w:val="none" w:sz="0" w:space="0" w:color="auto"/>
                <w:left w:val="none" w:sz="0" w:space="0" w:color="auto"/>
                <w:bottom w:val="none" w:sz="0" w:space="0" w:color="auto"/>
                <w:right w:val="none" w:sz="0" w:space="0" w:color="auto"/>
              </w:divBdr>
              <w:divsChild>
                <w:div w:id="16079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80744">
      <w:bodyDiv w:val="1"/>
      <w:marLeft w:val="0"/>
      <w:marRight w:val="0"/>
      <w:marTop w:val="0"/>
      <w:marBottom w:val="0"/>
      <w:divBdr>
        <w:top w:val="none" w:sz="0" w:space="0" w:color="auto"/>
        <w:left w:val="none" w:sz="0" w:space="0" w:color="auto"/>
        <w:bottom w:val="none" w:sz="0" w:space="0" w:color="auto"/>
        <w:right w:val="none" w:sz="0" w:space="0" w:color="auto"/>
      </w:divBdr>
    </w:div>
    <w:div w:id="1231620823">
      <w:bodyDiv w:val="1"/>
      <w:marLeft w:val="0"/>
      <w:marRight w:val="0"/>
      <w:marTop w:val="0"/>
      <w:marBottom w:val="0"/>
      <w:divBdr>
        <w:top w:val="none" w:sz="0" w:space="0" w:color="auto"/>
        <w:left w:val="none" w:sz="0" w:space="0" w:color="auto"/>
        <w:bottom w:val="none" w:sz="0" w:space="0" w:color="auto"/>
        <w:right w:val="none" w:sz="0" w:space="0" w:color="auto"/>
      </w:divBdr>
    </w:div>
    <w:div w:id="1272475255">
      <w:bodyDiv w:val="1"/>
      <w:marLeft w:val="0"/>
      <w:marRight w:val="0"/>
      <w:marTop w:val="0"/>
      <w:marBottom w:val="0"/>
      <w:divBdr>
        <w:top w:val="none" w:sz="0" w:space="0" w:color="auto"/>
        <w:left w:val="none" w:sz="0" w:space="0" w:color="auto"/>
        <w:bottom w:val="none" w:sz="0" w:space="0" w:color="auto"/>
        <w:right w:val="none" w:sz="0" w:space="0" w:color="auto"/>
      </w:divBdr>
    </w:div>
    <w:div w:id="1332609849">
      <w:bodyDiv w:val="1"/>
      <w:marLeft w:val="0"/>
      <w:marRight w:val="0"/>
      <w:marTop w:val="0"/>
      <w:marBottom w:val="0"/>
      <w:divBdr>
        <w:top w:val="none" w:sz="0" w:space="0" w:color="auto"/>
        <w:left w:val="none" w:sz="0" w:space="0" w:color="auto"/>
        <w:bottom w:val="none" w:sz="0" w:space="0" w:color="auto"/>
        <w:right w:val="none" w:sz="0" w:space="0" w:color="auto"/>
      </w:divBdr>
    </w:div>
    <w:div w:id="1337075318">
      <w:bodyDiv w:val="1"/>
      <w:marLeft w:val="0"/>
      <w:marRight w:val="0"/>
      <w:marTop w:val="0"/>
      <w:marBottom w:val="0"/>
      <w:divBdr>
        <w:top w:val="none" w:sz="0" w:space="0" w:color="auto"/>
        <w:left w:val="none" w:sz="0" w:space="0" w:color="auto"/>
        <w:bottom w:val="none" w:sz="0" w:space="0" w:color="auto"/>
        <w:right w:val="none" w:sz="0" w:space="0" w:color="auto"/>
      </w:divBdr>
    </w:div>
    <w:div w:id="1348941403">
      <w:bodyDiv w:val="1"/>
      <w:marLeft w:val="0"/>
      <w:marRight w:val="0"/>
      <w:marTop w:val="0"/>
      <w:marBottom w:val="0"/>
      <w:divBdr>
        <w:top w:val="none" w:sz="0" w:space="0" w:color="auto"/>
        <w:left w:val="none" w:sz="0" w:space="0" w:color="auto"/>
        <w:bottom w:val="none" w:sz="0" w:space="0" w:color="auto"/>
        <w:right w:val="none" w:sz="0" w:space="0" w:color="auto"/>
      </w:divBdr>
    </w:div>
    <w:div w:id="1364742662">
      <w:bodyDiv w:val="1"/>
      <w:marLeft w:val="0"/>
      <w:marRight w:val="0"/>
      <w:marTop w:val="0"/>
      <w:marBottom w:val="0"/>
      <w:divBdr>
        <w:top w:val="none" w:sz="0" w:space="0" w:color="auto"/>
        <w:left w:val="none" w:sz="0" w:space="0" w:color="auto"/>
        <w:bottom w:val="none" w:sz="0" w:space="0" w:color="auto"/>
        <w:right w:val="none" w:sz="0" w:space="0" w:color="auto"/>
      </w:divBdr>
      <w:divsChild>
        <w:div w:id="109319201">
          <w:marLeft w:val="0"/>
          <w:marRight w:val="0"/>
          <w:marTop w:val="0"/>
          <w:marBottom w:val="0"/>
          <w:divBdr>
            <w:top w:val="none" w:sz="0" w:space="0" w:color="auto"/>
            <w:left w:val="none" w:sz="0" w:space="0" w:color="auto"/>
            <w:bottom w:val="none" w:sz="0" w:space="0" w:color="auto"/>
            <w:right w:val="none" w:sz="0" w:space="0" w:color="auto"/>
          </w:divBdr>
          <w:divsChild>
            <w:div w:id="1038818873">
              <w:marLeft w:val="0"/>
              <w:marRight w:val="0"/>
              <w:marTop w:val="0"/>
              <w:marBottom w:val="0"/>
              <w:divBdr>
                <w:top w:val="none" w:sz="0" w:space="0" w:color="auto"/>
                <w:left w:val="none" w:sz="0" w:space="0" w:color="auto"/>
                <w:bottom w:val="none" w:sz="0" w:space="0" w:color="auto"/>
                <w:right w:val="none" w:sz="0" w:space="0" w:color="auto"/>
              </w:divBdr>
              <w:divsChild>
                <w:div w:id="4222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038">
      <w:bodyDiv w:val="1"/>
      <w:marLeft w:val="0"/>
      <w:marRight w:val="0"/>
      <w:marTop w:val="0"/>
      <w:marBottom w:val="0"/>
      <w:divBdr>
        <w:top w:val="none" w:sz="0" w:space="0" w:color="auto"/>
        <w:left w:val="none" w:sz="0" w:space="0" w:color="auto"/>
        <w:bottom w:val="none" w:sz="0" w:space="0" w:color="auto"/>
        <w:right w:val="none" w:sz="0" w:space="0" w:color="auto"/>
      </w:divBdr>
      <w:divsChild>
        <w:div w:id="803547565">
          <w:marLeft w:val="0"/>
          <w:marRight w:val="0"/>
          <w:marTop w:val="0"/>
          <w:marBottom w:val="0"/>
          <w:divBdr>
            <w:top w:val="none" w:sz="0" w:space="0" w:color="auto"/>
            <w:left w:val="none" w:sz="0" w:space="0" w:color="auto"/>
            <w:bottom w:val="none" w:sz="0" w:space="0" w:color="auto"/>
            <w:right w:val="none" w:sz="0" w:space="0" w:color="auto"/>
          </w:divBdr>
          <w:divsChild>
            <w:div w:id="526720870">
              <w:marLeft w:val="0"/>
              <w:marRight w:val="0"/>
              <w:marTop w:val="0"/>
              <w:marBottom w:val="0"/>
              <w:divBdr>
                <w:top w:val="none" w:sz="0" w:space="0" w:color="auto"/>
                <w:left w:val="none" w:sz="0" w:space="0" w:color="auto"/>
                <w:bottom w:val="none" w:sz="0" w:space="0" w:color="auto"/>
                <w:right w:val="none" w:sz="0" w:space="0" w:color="auto"/>
              </w:divBdr>
              <w:divsChild>
                <w:div w:id="7500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5364">
      <w:bodyDiv w:val="1"/>
      <w:marLeft w:val="0"/>
      <w:marRight w:val="0"/>
      <w:marTop w:val="0"/>
      <w:marBottom w:val="0"/>
      <w:divBdr>
        <w:top w:val="none" w:sz="0" w:space="0" w:color="auto"/>
        <w:left w:val="none" w:sz="0" w:space="0" w:color="auto"/>
        <w:bottom w:val="none" w:sz="0" w:space="0" w:color="auto"/>
        <w:right w:val="none" w:sz="0" w:space="0" w:color="auto"/>
      </w:divBdr>
    </w:div>
    <w:div w:id="1425765923">
      <w:bodyDiv w:val="1"/>
      <w:marLeft w:val="0"/>
      <w:marRight w:val="0"/>
      <w:marTop w:val="0"/>
      <w:marBottom w:val="0"/>
      <w:divBdr>
        <w:top w:val="none" w:sz="0" w:space="0" w:color="auto"/>
        <w:left w:val="none" w:sz="0" w:space="0" w:color="auto"/>
        <w:bottom w:val="none" w:sz="0" w:space="0" w:color="auto"/>
        <w:right w:val="none" w:sz="0" w:space="0" w:color="auto"/>
      </w:divBdr>
      <w:divsChild>
        <w:div w:id="1248613938">
          <w:marLeft w:val="0"/>
          <w:marRight w:val="0"/>
          <w:marTop w:val="0"/>
          <w:marBottom w:val="0"/>
          <w:divBdr>
            <w:top w:val="none" w:sz="0" w:space="0" w:color="auto"/>
            <w:left w:val="none" w:sz="0" w:space="0" w:color="auto"/>
            <w:bottom w:val="none" w:sz="0" w:space="0" w:color="auto"/>
            <w:right w:val="none" w:sz="0" w:space="0" w:color="auto"/>
          </w:divBdr>
          <w:divsChild>
            <w:div w:id="2090498842">
              <w:marLeft w:val="0"/>
              <w:marRight w:val="0"/>
              <w:marTop w:val="0"/>
              <w:marBottom w:val="0"/>
              <w:divBdr>
                <w:top w:val="none" w:sz="0" w:space="0" w:color="auto"/>
                <w:left w:val="none" w:sz="0" w:space="0" w:color="auto"/>
                <w:bottom w:val="none" w:sz="0" w:space="0" w:color="auto"/>
                <w:right w:val="none" w:sz="0" w:space="0" w:color="auto"/>
              </w:divBdr>
              <w:divsChild>
                <w:div w:id="153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2950">
      <w:bodyDiv w:val="1"/>
      <w:marLeft w:val="0"/>
      <w:marRight w:val="0"/>
      <w:marTop w:val="0"/>
      <w:marBottom w:val="0"/>
      <w:divBdr>
        <w:top w:val="none" w:sz="0" w:space="0" w:color="auto"/>
        <w:left w:val="none" w:sz="0" w:space="0" w:color="auto"/>
        <w:bottom w:val="none" w:sz="0" w:space="0" w:color="auto"/>
        <w:right w:val="none" w:sz="0" w:space="0" w:color="auto"/>
      </w:divBdr>
    </w:div>
    <w:div w:id="1579510645">
      <w:bodyDiv w:val="1"/>
      <w:marLeft w:val="0"/>
      <w:marRight w:val="0"/>
      <w:marTop w:val="0"/>
      <w:marBottom w:val="0"/>
      <w:divBdr>
        <w:top w:val="none" w:sz="0" w:space="0" w:color="auto"/>
        <w:left w:val="none" w:sz="0" w:space="0" w:color="auto"/>
        <w:bottom w:val="none" w:sz="0" w:space="0" w:color="auto"/>
        <w:right w:val="none" w:sz="0" w:space="0" w:color="auto"/>
      </w:divBdr>
    </w:div>
    <w:div w:id="1586261030">
      <w:bodyDiv w:val="1"/>
      <w:marLeft w:val="0"/>
      <w:marRight w:val="0"/>
      <w:marTop w:val="0"/>
      <w:marBottom w:val="0"/>
      <w:divBdr>
        <w:top w:val="none" w:sz="0" w:space="0" w:color="auto"/>
        <w:left w:val="none" w:sz="0" w:space="0" w:color="auto"/>
        <w:bottom w:val="none" w:sz="0" w:space="0" w:color="auto"/>
        <w:right w:val="none" w:sz="0" w:space="0" w:color="auto"/>
      </w:divBdr>
    </w:div>
    <w:div w:id="1590191029">
      <w:bodyDiv w:val="1"/>
      <w:marLeft w:val="0"/>
      <w:marRight w:val="0"/>
      <w:marTop w:val="0"/>
      <w:marBottom w:val="0"/>
      <w:divBdr>
        <w:top w:val="none" w:sz="0" w:space="0" w:color="auto"/>
        <w:left w:val="none" w:sz="0" w:space="0" w:color="auto"/>
        <w:bottom w:val="none" w:sz="0" w:space="0" w:color="auto"/>
        <w:right w:val="none" w:sz="0" w:space="0" w:color="auto"/>
      </w:divBdr>
    </w:div>
    <w:div w:id="1658996921">
      <w:bodyDiv w:val="1"/>
      <w:marLeft w:val="0"/>
      <w:marRight w:val="0"/>
      <w:marTop w:val="0"/>
      <w:marBottom w:val="0"/>
      <w:divBdr>
        <w:top w:val="none" w:sz="0" w:space="0" w:color="auto"/>
        <w:left w:val="none" w:sz="0" w:space="0" w:color="auto"/>
        <w:bottom w:val="none" w:sz="0" w:space="0" w:color="auto"/>
        <w:right w:val="none" w:sz="0" w:space="0" w:color="auto"/>
      </w:divBdr>
    </w:div>
    <w:div w:id="1683818735">
      <w:bodyDiv w:val="1"/>
      <w:marLeft w:val="0"/>
      <w:marRight w:val="0"/>
      <w:marTop w:val="0"/>
      <w:marBottom w:val="0"/>
      <w:divBdr>
        <w:top w:val="none" w:sz="0" w:space="0" w:color="auto"/>
        <w:left w:val="none" w:sz="0" w:space="0" w:color="auto"/>
        <w:bottom w:val="none" w:sz="0" w:space="0" w:color="auto"/>
        <w:right w:val="none" w:sz="0" w:space="0" w:color="auto"/>
      </w:divBdr>
      <w:divsChild>
        <w:div w:id="388651974">
          <w:marLeft w:val="0"/>
          <w:marRight w:val="0"/>
          <w:marTop w:val="0"/>
          <w:marBottom w:val="0"/>
          <w:divBdr>
            <w:top w:val="none" w:sz="0" w:space="0" w:color="auto"/>
            <w:left w:val="none" w:sz="0" w:space="0" w:color="auto"/>
            <w:bottom w:val="none" w:sz="0" w:space="0" w:color="auto"/>
            <w:right w:val="none" w:sz="0" w:space="0" w:color="auto"/>
          </w:divBdr>
          <w:divsChild>
            <w:div w:id="1504590065">
              <w:marLeft w:val="0"/>
              <w:marRight w:val="0"/>
              <w:marTop w:val="0"/>
              <w:marBottom w:val="0"/>
              <w:divBdr>
                <w:top w:val="none" w:sz="0" w:space="0" w:color="auto"/>
                <w:left w:val="none" w:sz="0" w:space="0" w:color="auto"/>
                <w:bottom w:val="none" w:sz="0" w:space="0" w:color="auto"/>
                <w:right w:val="none" w:sz="0" w:space="0" w:color="auto"/>
              </w:divBdr>
              <w:divsChild>
                <w:div w:id="7049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7465">
      <w:bodyDiv w:val="1"/>
      <w:marLeft w:val="0"/>
      <w:marRight w:val="0"/>
      <w:marTop w:val="0"/>
      <w:marBottom w:val="0"/>
      <w:divBdr>
        <w:top w:val="none" w:sz="0" w:space="0" w:color="auto"/>
        <w:left w:val="none" w:sz="0" w:space="0" w:color="auto"/>
        <w:bottom w:val="none" w:sz="0" w:space="0" w:color="auto"/>
        <w:right w:val="none" w:sz="0" w:space="0" w:color="auto"/>
      </w:divBdr>
    </w:div>
    <w:div w:id="1743597491">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sChild>
        <w:div w:id="380591914">
          <w:marLeft w:val="0"/>
          <w:marRight w:val="0"/>
          <w:marTop w:val="0"/>
          <w:marBottom w:val="0"/>
          <w:divBdr>
            <w:top w:val="none" w:sz="0" w:space="0" w:color="auto"/>
            <w:left w:val="none" w:sz="0" w:space="0" w:color="auto"/>
            <w:bottom w:val="none" w:sz="0" w:space="0" w:color="auto"/>
            <w:right w:val="none" w:sz="0" w:space="0" w:color="auto"/>
          </w:divBdr>
          <w:divsChild>
            <w:div w:id="571164918">
              <w:marLeft w:val="0"/>
              <w:marRight w:val="0"/>
              <w:marTop w:val="0"/>
              <w:marBottom w:val="0"/>
              <w:divBdr>
                <w:top w:val="none" w:sz="0" w:space="0" w:color="auto"/>
                <w:left w:val="none" w:sz="0" w:space="0" w:color="auto"/>
                <w:bottom w:val="none" w:sz="0" w:space="0" w:color="auto"/>
                <w:right w:val="none" w:sz="0" w:space="0" w:color="auto"/>
              </w:divBdr>
              <w:divsChild>
                <w:div w:id="19176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7631">
      <w:bodyDiv w:val="1"/>
      <w:marLeft w:val="0"/>
      <w:marRight w:val="0"/>
      <w:marTop w:val="0"/>
      <w:marBottom w:val="0"/>
      <w:divBdr>
        <w:top w:val="none" w:sz="0" w:space="0" w:color="auto"/>
        <w:left w:val="none" w:sz="0" w:space="0" w:color="auto"/>
        <w:bottom w:val="none" w:sz="0" w:space="0" w:color="auto"/>
        <w:right w:val="none" w:sz="0" w:space="0" w:color="auto"/>
      </w:divBdr>
      <w:divsChild>
        <w:div w:id="1233007152">
          <w:marLeft w:val="0"/>
          <w:marRight w:val="0"/>
          <w:marTop w:val="0"/>
          <w:marBottom w:val="0"/>
          <w:divBdr>
            <w:top w:val="none" w:sz="0" w:space="0" w:color="auto"/>
            <w:left w:val="none" w:sz="0" w:space="0" w:color="auto"/>
            <w:bottom w:val="none" w:sz="0" w:space="0" w:color="auto"/>
            <w:right w:val="none" w:sz="0" w:space="0" w:color="auto"/>
          </w:divBdr>
          <w:divsChild>
            <w:div w:id="302396575">
              <w:marLeft w:val="0"/>
              <w:marRight w:val="0"/>
              <w:marTop w:val="0"/>
              <w:marBottom w:val="0"/>
              <w:divBdr>
                <w:top w:val="none" w:sz="0" w:space="0" w:color="auto"/>
                <w:left w:val="none" w:sz="0" w:space="0" w:color="auto"/>
                <w:bottom w:val="none" w:sz="0" w:space="0" w:color="auto"/>
                <w:right w:val="none" w:sz="0" w:space="0" w:color="auto"/>
              </w:divBdr>
              <w:divsChild>
                <w:div w:id="17047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0752">
      <w:bodyDiv w:val="1"/>
      <w:marLeft w:val="0"/>
      <w:marRight w:val="0"/>
      <w:marTop w:val="0"/>
      <w:marBottom w:val="0"/>
      <w:divBdr>
        <w:top w:val="none" w:sz="0" w:space="0" w:color="auto"/>
        <w:left w:val="none" w:sz="0" w:space="0" w:color="auto"/>
        <w:bottom w:val="none" w:sz="0" w:space="0" w:color="auto"/>
        <w:right w:val="none" w:sz="0" w:space="0" w:color="auto"/>
      </w:divBdr>
      <w:divsChild>
        <w:div w:id="215051021">
          <w:marLeft w:val="0"/>
          <w:marRight w:val="0"/>
          <w:marTop w:val="0"/>
          <w:marBottom w:val="0"/>
          <w:divBdr>
            <w:top w:val="none" w:sz="0" w:space="0" w:color="auto"/>
            <w:left w:val="none" w:sz="0" w:space="0" w:color="auto"/>
            <w:bottom w:val="none" w:sz="0" w:space="0" w:color="auto"/>
            <w:right w:val="none" w:sz="0" w:space="0" w:color="auto"/>
          </w:divBdr>
          <w:divsChild>
            <w:div w:id="1370454852">
              <w:marLeft w:val="0"/>
              <w:marRight w:val="0"/>
              <w:marTop w:val="0"/>
              <w:marBottom w:val="0"/>
              <w:divBdr>
                <w:top w:val="none" w:sz="0" w:space="0" w:color="auto"/>
                <w:left w:val="none" w:sz="0" w:space="0" w:color="auto"/>
                <w:bottom w:val="none" w:sz="0" w:space="0" w:color="auto"/>
                <w:right w:val="none" w:sz="0" w:space="0" w:color="auto"/>
              </w:divBdr>
              <w:divsChild>
                <w:div w:id="20273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869">
      <w:bodyDiv w:val="1"/>
      <w:marLeft w:val="0"/>
      <w:marRight w:val="0"/>
      <w:marTop w:val="0"/>
      <w:marBottom w:val="0"/>
      <w:divBdr>
        <w:top w:val="none" w:sz="0" w:space="0" w:color="auto"/>
        <w:left w:val="none" w:sz="0" w:space="0" w:color="auto"/>
        <w:bottom w:val="none" w:sz="0" w:space="0" w:color="auto"/>
        <w:right w:val="none" w:sz="0" w:space="0" w:color="auto"/>
      </w:divBdr>
    </w:div>
    <w:div w:id="1930380812">
      <w:bodyDiv w:val="1"/>
      <w:marLeft w:val="0"/>
      <w:marRight w:val="0"/>
      <w:marTop w:val="0"/>
      <w:marBottom w:val="0"/>
      <w:divBdr>
        <w:top w:val="none" w:sz="0" w:space="0" w:color="auto"/>
        <w:left w:val="none" w:sz="0" w:space="0" w:color="auto"/>
        <w:bottom w:val="none" w:sz="0" w:space="0" w:color="auto"/>
        <w:right w:val="none" w:sz="0" w:space="0" w:color="auto"/>
      </w:divBdr>
    </w:div>
    <w:div w:id="1960063184">
      <w:bodyDiv w:val="1"/>
      <w:marLeft w:val="0"/>
      <w:marRight w:val="0"/>
      <w:marTop w:val="0"/>
      <w:marBottom w:val="0"/>
      <w:divBdr>
        <w:top w:val="none" w:sz="0" w:space="0" w:color="auto"/>
        <w:left w:val="none" w:sz="0" w:space="0" w:color="auto"/>
        <w:bottom w:val="none" w:sz="0" w:space="0" w:color="auto"/>
        <w:right w:val="none" w:sz="0" w:space="0" w:color="auto"/>
      </w:divBdr>
      <w:divsChild>
        <w:div w:id="15624366">
          <w:marLeft w:val="0"/>
          <w:marRight w:val="0"/>
          <w:marTop w:val="0"/>
          <w:marBottom w:val="0"/>
          <w:divBdr>
            <w:top w:val="none" w:sz="0" w:space="0" w:color="auto"/>
            <w:left w:val="none" w:sz="0" w:space="0" w:color="auto"/>
            <w:bottom w:val="none" w:sz="0" w:space="0" w:color="auto"/>
            <w:right w:val="none" w:sz="0" w:space="0" w:color="auto"/>
          </w:divBdr>
          <w:divsChild>
            <w:div w:id="161627630">
              <w:marLeft w:val="0"/>
              <w:marRight w:val="0"/>
              <w:marTop w:val="0"/>
              <w:marBottom w:val="0"/>
              <w:divBdr>
                <w:top w:val="none" w:sz="0" w:space="0" w:color="auto"/>
                <w:left w:val="none" w:sz="0" w:space="0" w:color="auto"/>
                <w:bottom w:val="none" w:sz="0" w:space="0" w:color="auto"/>
                <w:right w:val="none" w:sz="0" w:space="0" w:color="auto"/>
              </w:divBdr>
              <w:divsChild>
                <w:div w:id="3765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41219">
      <w:bodyDiv w:val="1"/>
      <w:marLeft w:val="0"/>
      <w:marRight w:val="0"/>
      <w:marTop w:val="0"/>
      <w:marBottom w:val="0"/>
      <w:divBdr>
        <w:top w:val="none" w:sz="0" w:space="0" w:color="auto"/>
        <w:left w:val="none" w:sz="0" w:space="0" w:color="auto"/>
        <w:bottom w:val="none" w:sz="0" w:space="0" w:color="auto"/>
        <w:right w:val="none" w:sz="0" w:space="0" w:color="auto"/>
      </w:divBdr>
    </w:div>
    <w:div w:id="2043089052">
      <w:bodyDiv w:val="1"/>
      <w:marLeft w:val="0"/>
      <w:marRight w:val="0"/>
      <w:marTop w:val="0"/>
      <w:marBottom w:val="0"/>
      <w:divBdr>
        <w:top w:val="none" w:sz="0" w:space="0" w:color="auto"/>
        <w:left w:val="none" w:sz="0" w:space="0" w:color="auto"/>
        <w:bottom w:val="none" w:sz="0" w:space="0" w:color="auto"/>
        <w:right w:val="none" w:sz="0" w:space="0" w:color="auto"/>
      </w:divBdr>
    </w:div>
    <w:div w:id="2073237372">
      <w:bodyDiv w:val="1"/>
      <w:marLeft w:val="0"/>
      <w:marRight w:val="0"/>
      <w:marTop w:val="0"/>
      <w:marBottom w:val="0"/>
      <w:divBdr>
        <w:top w:val="none" w:sz="0" w:space="0" w:color="auto"/>
        <w:left w:val="none" w:sz="0" w:space="0" w:color="auto"/>
        <w:bottom w:val="none" w:sz="0" w:space="0" w:color="auto"/>
        <w:right w:val="none" w:sz="0" w:space="0" w:color="auto"/>
      </w:divBdr>
      <w:divsChild>
        <w:div w:id="50349751">
          <w:marLeft w:val="0"/>
          <w:marRight w:val="0"/>
          <w:marTop w:val="0"/>
          <w:marBottom w:val="0"/>
          <w:divBdr>
            <w:top w:val="none" w:sz="0" w:space="0" w:color="auto"/>
            <w:left w:val="none" w:sz="0" w:space="0" w:color="auto"/>
            <w:bottom w:val="none" w:sz="0" w:space="0" w:color="auto"/>
            <w:right w:val="none" w:sz="0" w:space="0" w:color="auto"/>
          </w:divBdr>
          <w:divsChild>
            <w:div w:id="1698850193">
              <w:marLeft w:val="0"/>
              <w:marRight w:val="0"/>
              <w:marTop w:val="0"/>
              <w:marBottom w:val="0"/>
              <w:divBdr>
                <w:top w:val="none" w:sz="0" w:space="0" w:color="auto"/>
                <w:left w:val="none" w:sz="0" w:space="0" w:color="auto"/>
                <w:bottom w:val="none" w:sz="0" w:space="0" w:color="auto"/>
                <w:right w:val="none" w:sz="0" w:space="0" w:color="auto"/>
              </w:divBdr>
              <w:divsChild>
                <w:div w:id="17386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8095">
      <w:bodyDiv w:val="1"/>
      <w:marLeft w:val="0"/>
      <w:marRight w:val="0"/>
      <w:marTop w:val="0"/>
      <w:marBottom w:val="0"/>
      <w:divBdr>
        <w:top w:val="none" w:sz="0" w:space="0" w:color="auto"/>
        <w:left w:val="none" w:sz="0" w:space="0" w:color="auto"/>
        <w:bottom w:val="none" w:sz="0" w:space="0" w:color="auto"/>
        <w:right w:val="none" w:sz="0" w:space="0" w:color="auto"/>
      </w:divBdr>
    </w:div>
    <w:div w:id="2095127714">
      <w:bodyDiv w:val="1"/>
      <w:marLeft w:val="0"/>
      <w:marRight w:val="0"/>
      <w:marTop w:val="0"/>
      <w:marBottom w:val="0"/>
      <w:divBdr>
        <w:top w:val="none" w:sz="0" w:space="0" w:color="auto"/>
        <w:left w:val="none" w:sz="0" w:space="0" w:color="auto"/>
        <w:bottom w:val="none" w:sz="0" w:space="0" w:color="auto"/>
        <w:right w:val="none" w:sz="0" w:space="0" w:color="auto"/>
      </w:divBdr>
    </w:div>
    <w:div w:id="20988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gu.gov.br/page/content/detail/id_conteudo/113486" TargetMode="External"/><Relationship Id="rId2" Type="http://schemas.openxmlformats.org/officeDocument/2006/relationships/hyperlink" Target="http://corteidh.or.cr/docs/casos/articulos/seriec_337_esp.pdf" TargetMode="External"/><Relationship Id="rId1" Type="http://schemas.openxmlformats.org/officeDocument/2006/relationships/hyperlink" Target="http://corteidh.or.cr/docs/casos/articulos/seriec_318_esp.pdf" TargetMode="External"/><Relationship Id="rId5" Type="http://schemas.openxmlformats.org/officeDocument/2006/relationships/hyperlink" Target="https://www.mdh.gov.br/navegue-por-temas/atuacao-internacional/editais-2018-1/sentencas-da-corte-interamericana" TargetMode="External"/><Relationship Id="rId4" Type="http://schemas.openxmlformats.org/officeDocument/2006/relationships/hyperlink" Target="http://www.itamaraty.gov.br/pt-BR/direitos-humanos-e-temas-sociais/sentenca-corte-interamericana-de-direitos-humanos-no-caso-trabalhadores-da-fazenda-brasil-ver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70E6-60C4-4EB3-953A-A59C810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6361</Words>
  <Characters>33651</Characters>
  <Application>Microsoft Office Word</Application>
  <DocSecurity>0</DocSecurity>
  <Lines>580</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39913</CharactersWithSpaces>
  <SharedDoc>false</SharedDoc>
  <HLinks>
    <vt:vector size="42" baseType="variant">
      <vt:variant>
        <vt:i4>1179696</vt:i4>
      </vt:variant>
      <vt:variant>
        <vt:i4>8</vt:i4>
      </vt:variant>
      <vt:variant>
        <vt:i4>0</vt:i4>
      </vt:variant>
      <vt:variant>
        <vt:i4>5</vt:i4>
      </vt:variant>
      <vt:variant>
        <vt:lpwstr/>
      </vt:variant>
      <vt:variant>
        <vt:lpwstr>_Toc14367255</vt:lpwstr>
      </vt:variant>
      <vt:variant>
        <vt:i4>1245232</vt:i4>
      </vt:variant>
      <vt:variant>
        <vt:i4>2</vt:i4>
      </vt:variant>
      <vt:variant>
        <vt:i4>0</vt:i4>
      </vt:variant>
      <vt:variant>
        <vt:i4>5</vt:i4>
      </vt:variant>
      <vt:variant>
        <vt:lpwstr/>
      </vt:variant>
      <vt:variant>
        <vt:lpwstr>_Toc14367254</vt:lpwstr>
      </vt:variant>
      <vt:variant>
        <vt:i4>7995439</vt:i4>
      </vt:variant>
      <vt:variant>
        <vt:i4>12</vt:i4>
      </vt:variant>
      <vt:variant>
        <vt:i4>0</vt:i4>
      </vt:variant>
      <vt:variant>
        <vt:i4>5</vt:i4>
      </vt:variant>
      <vt:variant>
        <vt:lpwstr>https://www.mdh.gov.br/navegue-por-temas/atuacao-internacional/editais-2018-1/sentencas-da-corte-interamericana</vt:lpwstr>
      </vt:variant>
      <vt:variant>
        <vt:lpwstr/>
      </vt:variant>
      <vt:variant>
        <vt:i4>2162746</vt:i4>
      </vt:variant>
      <vt:variant>
        <vt:i4>9</vt:i4>
      </vt:variant>
      <vt:variant>
        <vt:i4>0</vt:i4>
      </vt:variant>
      <vt:variant>
        <vt:i4>5</vt:i4>
      </vt:variant>
      <vt:variant>
        <vt:lpwstr>http://www.itamaraty.gov.br/pt-BR/direitos-humanos-e-temas-sociais/sentenca-corte-interamericana-de-direitos-humanos-no-caso-trabalhadores-da-fazenda-brasil-verde</vt:lpwstr>
      </vt:variant>
      <vt:variant>
        <vt:lpwstr/>
      </vt:variant>
      <vt:variant>
        <vt:i4>5832749</vt:i4>
      </vt:variant>
      <vt:variant>
        <vt:i4>6</vt:i4>
      </vt:variant>
      <vt:variant>
        <vt:i4>0</vt:i4>
      </vt:variant>
      <vt:variant>
        <vt:i4>5</vt:i4>
      </vt:variant>
      <vt:variant>
        <vt:lpwstr>http://www.agu.gov.br/page/content/detail/id_conteudo/113486</vt:lpwstr>
      </vt:variant>
      <vt:variant>
        <vt:lpwstr/>
      </vt:variant>
      <vt:variant>
        <vt:i4>5439497</vt:i4>
      </vt:variant>
      <vt:variant>
        <vt:i4>3</vt:i4>
      </vt:variant>
      <vt:variant>
        <vt:i4>0</vt:i4>
      </vt:variant>
      <vt:variant>
        <vt:i4>5</vt:i4>
      </vt:variant>
      <vt:variant>
        <vt:lpwstr>http://corteidh.or.cr/docs/casos/articulos/seriec_337_esp.pdf</vt:lpwstr>
      </vt:variant>
      <vt:variant>
        <vt:lpwstr/>
      </vt:variant>
      <vt:variant>
        <vt:i4>5308422</vt:i4>
      </vt:variant>
      <vt:variant>
        <vt:i4>0</vt:i4>
      </vt:variant>
      <vt:variant>
        <vt:i4>0</vt:i4>
      </vt:variant>
      <vt:variant>
        <vt:i4>5</vt:i4>
      </vt:variant>
      <vt:variant>
        <vt:lpwstr>http://corteidh.or.cr/docs/casos/articulos/seriec_318_esp.pdf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3</cp:revision>
  <cp:lastPrinted>2019-12-20T19:25:00Z</cp:lastPrinted>
  <dcterms:created xsi:type="dcterms:W3CDTF">2019-12-20T19:24:00Z</dcterms:created>
  <dcterms:modified xsi:type="dcterms:W3CDTF">2019-12-20T19:25:00Z</dcterms:modified>
</cp:coreProperties>
</file>